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48" w:lineRule="auto"/>
        <w:jc w:val="center"/>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食堂、档案楼AI安全防范系统（摄像头）</w:t>
      </w:r>
    </w:p>
    <w:p>
      <w:pPr>
        <w:spacing w:line="348" w:lineRule="auto"/>
        <w:jc w:val="center"/>
        <w:rPr>
          <w:rFonts w:hint="eastAsia"/>
          <w:sz w:val="32"/>
          <w:szCs w:val="32"/>
        </w:rPr>
      </w:pPr>
      <w:r>
        <w:rPr>
          <w:rFonts w:hint="eastAsia" w:ascii="方正小标宋简体" w:hAnsi="方正小标宋简体" w:eastAsia="方正小标宋简体" w:cs="方正小标宋简体"/>
          <w:b w:val="0"/>
          <w:bCs w:val="0"/>
          <w:sz w:val="44"/>
          <w:szCs w:val="44"/>
          <w:lang w:eastAsia="zh-CN"/>
        </w:rPr>
        <w:t>零星采购项目技术规范文件</w:t>
      </w:r>
    </w:p>
    <w:p>
      <w:pPr>
        <w:rPr>
          <w:rFonts w:hint="eastAsia"/>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黑体" w:hAnsi="宋体" w:eastAsia="黑体" w:cs="Times New Roman"/>
          <w:sz w:val="32"/>
          <w:szCs w:val="32"/>
          <w:lang w:eastAsia="zh-CN"/>
        </w:rPr>
      </w:pPr>
      <w:r>
        <w:rPr>
          <w:rFonts w:hint="eastAsia" w:ascii="黑体" w:hAnsi="宋体" w:eastAsia="黑体" w:cs="Times New Roman"/>
          <w:sz w:val="32"/>
          <w:szCs w:val="32"/>
          <w:lang w:eastAsia="zh-CN"/>
        </w:rPr>
        <w:t>一、总则</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1.1项目概况</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本项目为公司食堂、档案楼AI安全防范系统改造工程配套摄像头零星采购，旨在通过采购具备AI智能分析功能的高清网络摄像头，替换现有老旧监控设备，完善食堂、档案楼重点区域安全防范体系，实现人员监测、异常行为预警、视频高清存储与回溯等功能，保障食堂就餐秩序、食品安全管控及档案楼涉密资料、重要物资的安全防护，提升整体安防智能化水平。</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1.2适用范围</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本技术规范文件适用于本次食堂、档案楼AI安全防范系统摄像头零星采购的设备选型、技术参数、供货、安装调试、验收、售后服务等全流程工作，采购人、投标供应商、施工方及相关单位均需严格遵照执行。</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1.3编制依据</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1.《安全防范工程技术标准》（GB50348-2018）</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2.《视频安防监控系统工程设计规范》（GB50395-2015）</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3.《公共安全视频监控联网系统信息传输、交换、控制技术要求》（GB/T28181-2016）</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4.国家及行业现行相关法律法规、技术标准</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1.4核心要求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1.供应商所供设备需全新、原装、合格，符合国家3C认证及安防行业标准，具备完整的产品合格证、检测报告、质保卡等资料。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2.设备需兼容公司现有安防管理平台，实现数据互通、统一管控，无需额外采购适配设备。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3.针对食堂、档案楼不同场景特性，设备需满足防潮、防尘、低噪、防干扰等环境适配要求，确保7×24小时稳定运行。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4.报价清单需包含税金（材料13%，施工费6%）、安装调试费，报价时提供厂家出具针对本项目的质量保证及售后服务承诺函。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仿宋" w:hAnsi="仿宋" w:eastAsia="仿宋" w:cs="仿宋"/>
          <w:b w:val="0"/>
          <w:bCs w:val="0"/>
          <w:kern w:val="2"/>
          <w:sz w:val="32"/>
          <w:szCs w:val="32"/>
          <w:lang w:val="en-US" w:eastAsia="zh-CN" w:bidi="ar-SA"/>
        </w:rPr>
      </w:pPr>
      <w:r>
        <w:rPr>
          <w:rFonts w:hint="eastAsia" w:ascii="仿宋" w:hAnsi="仿宋" w:eastAsia="仿宋" w:cs="仿宋"/>
          <w:b w:val="0"/>
          <w:bCs w:val="0"/>
          <w:kern w:val="2"/>
          <w:sz w:val="32"/>
          <w:szCs w:val="32"/>
          <w:lang w:val="en-US" w:eastAsia="zh-CN" w:bidi="ar-SA"/>
        </w:rPr>
        <w:t>5.本项目需实现与公司已建项目技术架构统一，兼容适配，确保能够无缝接入公司现有架构平台。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黑体" w:hAnsi="宋体" w:eastAsia="黑体" w:cs="Times New Roman"/>
          <w:sz w:val="32"/>
          <w:szCs w:val="32"/>
          <w:lang w:eastAsia="zh-CN"/>
        </w:rPr>
      </w:pPr>
      <w:r>
        <w:rPr>
          <w:rFonts w:hint="eastAsia" w:ascii="黑体" w:hAnsi="宋体" w:eastAsia="黑体" w:cs="Times New Roman"/>
          <w:sz w:val="32"/>
          <w:szCs w:val="32"/>
          <w:lang w:eastAsia="zh-CN"/>
        </w:rPr>
        <w:t>二、技术</w:t>
      </w:r>
      <w:r>
        <w:rPr>
          <w:rFonts w:hint="eastAsia" w:ascii="黑体" w:hAnsi="宋体" w:eastAsia="黑体" w:cs="Times New Roman"/>
          <w:sz w:val="32"/>
          <w:szCs w:val="32"/>
          <w:lang w:val="en-US" w:eastAsia="zh-CN"/>
        </w:rPr>
        <w:t>要求</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2.1</w:t>
      </w:r>
      <w:r>
        <w:rPr>
          <w:rFonts w:hint="eastAsia" w:ascii="楷体" w:hAnsi="楷体" w:eastAsia="楷体" w:cs="楷体"/>
          <w:b/>
          <w:sz w:val="32"/>
          <w:szCs w:val="32"/>
          <w:lang w:val="en-US" w:eastAsia="zh-CN"/>
        </w:rPr>
        <w:t xml:space="preserve"> </w:t>
      </w:r>
      <w:r>
        <w:rPr>
          <w:rFonts w:hint="eastAsia" w:ascii="楷体" w:hAnsi="楷体" w:eastAsia="楷体" w:cs="楷体"/>
          <w:b/>
          <w:sz w:val="32"/>
          <w:szCs w:val="32"/>
          <w:lang w:eastAsia="zh-CN"/>
        </w:rPr>
        <w:t>通用技术要求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1.供电方式：全系列摄像头支持POE供电，工作电压DC12V/POE双模，适配现场布线条件。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2.工作环境：温度-20℃~60℃，湿度0%~95%（无凝结），满足食堂、档案楼不同环境温湿度要求。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3.存储功能：支持本地存储+云端存储，断网本地录像，联网自动同步，避免数据丢失。</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4.网络传输：支持有线网络传输，抗干扰能力强，适应办公区域复杂网络环境，视频传输无卡顿、无延迟。</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2.2</w:t>
      </w:r>
      <w:r>
        <w:rPr>
          <w:rFonts w:hint="eastAsia" w:ascii="楷体" w:hAnsi="楷体" w:eastAsia="楷体" w:cs="楷体"/>
          <w:b/>
          <w:sz w:val="32"/>
          <w:szCs w:val="32"/>
          <w:lang w:val="en-US" w:eastAsia="zh-CN"/>
        </w:rPr>
        <w:t xml:space="preserve"> </w:t>
      </w:r>
      <w:r>
        <w:rPr>
          <w:rFonts w:hint="eastAsia" w:ascii="楷体" w:hAnsi="楷体" w:eastAsia="楷体" w:cs="楷体"/>
          <w:b/>
          <w:sz w:val="32"/>
          <w:szCs w:val="32"/>
          <w:lang w:eastAsia="zh-CN"/>
        </w:rPr>
        <w:t>AI智能功能</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1.人形检测与追踪：精准识别人员目标，过滤宠物、杂物等干扰，支持实时人形追踪，锁定移动目标。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2.区域入侵/越界侦测：可自定义重点区域，出现人员违规闯入、越界行为时，实时触发报警。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3.异常行为分析：支持摔倒、滞留、剧烈动作等异常行为检测，针对</w:t>
      </w:r>
      <w:r>
        <w:rPr>
          <w:rFonts w:hint="eastAsia" w:ascii="仿宋" w:hAnsi="仿宋" w:eastAsia="仿宋" w:cs="仿宋"/>
          <w:b w:val="0"/>
          <w:bCs w:val="0"/>
          <w:sz w:val="32"/>
          <w:szCs w:val="32"/>
          <w:lang w:val="en-US" w:eastAsia="zh-CN"/>
        </w:rPr>
        <w:t>特定</w:t>
      </w:r>
      <w:r>
        <w:rPr>
          <w:rFonts w:hint="eastAsia" w:ascii="仿宋" w:hAnsi="仿宋" w:eastAsia="仿宋" w:cs="仿宋"/>
          <w:b w:val="0"/>
          <w:bCs w:val="0"/>
          <w:sz w:val="32"/>
          <w:szCs w:val="32"/>
        </w:rPr>
        <w:t>区域突发状况及时预警。</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黑体" w:hAnsi="宋体" w:eastAsia="黑体" w:cs="Times New Roman"/>
          <w:sz w:val="32"/>
          <w:szCs w:val="32"/>
          <w:lang w:eastAsia="zh-CN"/>
        </w:rPr>
      </w:pPr>
      <w:r>
        <w:rPr>
          <w:rFonts w:hint="eastAsia" w:ascii="黑体" w:hAnsi="宋体" w:eastAsia="黑体" w:cs="Times New Roman"/>
          <w:sz w:val="32"/>
          <w:szCs w:val="32"/>
          <w:lang w:eastAsia="zh-CN"/>
        </w:rPr>
        <w:t>三、供货与安装调试要求</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3.1供货要求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1.供应商需在合同签订后7个工作日内完成所有设备供货，送至公司指定地点（食堂、档案楼现场），并提供产品清单、出厂合格证、检测报告、保修凭证等资料。</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2.设备运输过程中需做好防护，避免磕碰、损坏，到货后采购人现场验收，破损、型号不符设备无条件更换。</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3.2安装调试要求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1.安装位置：食堂摄像头安装于大厅、后厨、出入口、食材仓库上方，无遮挡、视角覆盖全面；档案楼摄像头安装于库房门口、走廊、涉密区域、出入口，重点覆盖档案存放区域，无监控死角。</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2.安装规范：严格按照安防工程施工标准，布线隐蔽、规整，不破坏现有装修、墙面；POE网线布设符合网络工程规范，避免强电干扰，确保设备供电、传输稳定。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3.调试内容：完成设备通电调试、网络配置、AI功能参数设置、区域划定、平台对接调试，确保所有功能正常运行，视频画面清晰。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4.施工安全：施工人员需具备安防施工资质，遵守公司现场管理规定，食堂施工避开就餐高峰，档案楼施工做好防护，严禁触碰档案资料，施工完毕清理现场。</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黑体" w:hAnsi="宋体" w:eastAsia="黑体" w:cs="Times New Roman"/>
          <w:sz w:val="32"/>
          <w:szCs w:val="32"/>
          <w:lang w:eastAsia="zh-CN"/>
        </w:rPr>
      </w:pPr>
      <w:r>
        <w:rPr>
          <w:rFonts w:hint="eastAsia" w:ascii="黑体" w:hAnsi="宋体" w:eastAsia="黑体" w:cs="Times New Roman"/>
          <w:sz w:val="32"/>
          <w:szCs w:val="32"/>
          <w:lang w:eastAsia="zh-CN"/>
        </w:rPr>
        <w:t>四、验收标准</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4.1到货验收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1.核对设备型号、数量、配件与采购清单一致，设备外观无破损、无划痕，配件齐全（电源、支架、网线、说明书等）。</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2.查验产品合格证、3C认证、检测报告、质保卡等资料齐全有效，设备可正常开机、识别网络。</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4.2功能验收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1.视频效果：所有摄像头画面清晰、无卡顿、无噪点，夜视模式下成像清晰，宽动态功能正常，逆光、暗光环境成像达标。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2.AI功能：人形检测、人脸识别、区域入侵、物品侦测等AI功能响应及时。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3.平台对接：设备成功接入公司现有安防管理平台，可实现实时预览、录像回放、报警查看、远程管控，数据传输稳定。</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4.安装质量：安装牢固、位置合理，无监控死角，布线规范，符合施工安全标准，不影响食堂、档案楼正常使用。</w:t>
      </w:r>
    </w:p>
    <w:p>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outlineLvl w:val="9"/>
        <w:rPr>
          <w:rFonts w:hint="eastAsia" w:ascii="楷体" w:hAnsi="楷体" w:eastAsia="楷体" w:cs="楷体"/>
          <w:b/>
          <w:sz w:val="32"/>
          <w:szCs w:val="32"/>
          <w:lang w:eastAsia="zh-CN"/>
        </w:rPr>
      </w:pPr>
      <w:r>
        <w:rPr>
          <w:rFonts w:hint="eastAsia" w:ascii="楷体" w:hAnsi="楷体" w:eastAsia="楷体" w:cs="楷体"/>
          <w:b/>
          <w:sz w:val="32"/>
          <w:szCs w:val="32"/>
          <w:lang w:eastAsia="zh-CN"/>
        </w:rPr>
        <w:t>4.3最终验收</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设备安装调试完成后，试运行72小时，无故障、无异常，各项指标均满足本技术规范及合同要求，双方签署验收合格单。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黑体" w:hAnsi="宋体" w:eastAsia="黑体" w:cs="Times New Roman"/>
          <w:sz w:val="32"/>
          <w:szCs w:val="32"/>
          <w:lang w:eastAsia="zh-CN"/>
        </w:rPr>
      </w:pPr>
      <w:r>
        <w:rPr>
          <w:rFonts w:hint="eastAsia" w:ascii="黑体" w:hAnsi="宋体" w:eastAsia="黑体" w:cs="Times New Roman"/>
          <w:sz w:val="32"/>
          <w:szCs w:val="32"/>
          <w:lang w:eastAsia="zh-CN"/>
        </w:rPr>
        <w:t>五、售后服务要求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1.质保期限：所有设备提供不少于</w:t>
      </w:r>
      <w:r>
        <w:rPr>
          <w:rFonts w:hint="eastAsia" w:ascii="仿宋" w:hAnsi="仿宋" w:eastAsia="仿宋" w:cs="仿宋"/>
          <w:b w:val="0"/>
          <w:bCs w:val="0"/>
          <w:sz w:val="32"/>
          <w:szCs w:val="32"/>
          <w:lang w:val="en-US" w:eastAsia="zh-CN"/>
        </w:rPr>
        <w:t>1</w:t>
      </w:r>
      <w:r>
        <w:rPr>
          <w:rFonts w:hint="eastAsia" w:ascii="仿宋" w:hAnsi="仿宋" w:eastAsia="仿宋" w:cs="仿宋"/>
          <w:b w:val="0"/>
          <w:bCs w:val="0"/>
          <w:sz w:val="32"/>
          <w:szCs w:val="32"/>
        </w:rPr>
        <w:t>年免费质保，质保期自验收合格之日起计算，质保期内非人为损坏免费维修、更换配件及设备。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2.响应时间：质保期内设备出现故障，供应商接到报修通知后，2小时内远程响应，4小时内到达现场，24小时内修复，无法修复的免费提供备用设备。</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3.技术培训：供应商需对采购人相关管理人员进行操作培训，包括设备使用、AI功能设置、录像回放、故障排查等，确保操作人员熟练掌握使用方法。</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4.后期服务：质保期满后，供应商提供终身维修服务，仅收取配件成本费，定期上门巡检（每年不少于2次），保障设备长期稳定运行。</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5.技术支持：提供7×24小时技术咨询热线，随时解答使用过程中的问题，协助解决平台对接、功能调试等技术难题。</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黑体" w:hAnsi="宋体" w:eastAsia="黑体" w:cs="Times New Roman"/>
          <w:sz w:val="32"/>
          <w:szCs w:val="32"/>
          <w:lang w:eastAsia="zh-CN"/>
        </w:rPr>
      </w:pPr>
      <w:r>
        <w:rPr>
          <w:rFonts w:hint="eastAsia" w:ascii="黑体" w:hAnsi="宋体" w:eastAsia="黑体" w:cs="Times New Roman"/>
          <w:sz w:val="32"/>
          <w:szCs w:val="32"/>
          <w:lang w:eastAsia="zh-CN"/>
        </w:rPr>
        <w:t>六、其他要求</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1.供应商需承诺所供设备无知识产权纠纷，若出现侵权问题，由供应商承担全部责任。</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2.施工过程中若造成食堂、档案楼设施损坏，供应商需无条件修复并承担相关费用。</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3.本技术规范文件为采购合同的组成部分，与合同具有同等法律效力，若有未尽事宜，双方协商解决。</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r>
        <w:rPr>
          <w:rFonts w:hint="eastAsia" w:ascii="仿宋" w:hAnsi="仿宋" w:eastAsia="仿宋" w:cs="仿宋"/>
          <w:b w:val="0"/>
          <w:bCs w:val="0"/>
          <w:sz w:val="32"/>
          <w:szCs w:val="32"/>
        </w:rPr>
        <w:t>4.所有设备需符合国家环保要求，无有害物质，报废后可回收处理。</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default" w:ascii="黑体" w:hAnsi="宋体" w:eastAsia="黑体" w:cs="Times New Roman"/>
          <w:sz w:val="32"/>
          <w:szCs w:val="32"/>
          <w:lang w:val="en-US" w:eastAsia="zh-CN"/>
        </w:rPr>
      </w:pPr>
      <w:r>
        <w:rPr>
          <w:rFonts w:hint="eastAsia" w:ascii="黑体" w:hAnsi="宋体" w:eastAsia="黑体" w:cs="Times New Roman"/>
          <w:sz w:val="32"/>
          <w:szCs w:val="32"/>
          <w:lang w:eastAsia="zh-CN"/>
        </w:rPr>
        <w:t>七、设备采购清单</w:t>
      </w:r>
      <w:r>
        <w:rPr>
          <w:rFonts w:hint="eastAsia" w:ascii="黑体" w:hAnsi="宋体" w:eastAsia="黑体" w:cs="Times New Roman"/>
          <w:sz w:val="32"/>
          <w:szCs w:val="32"/>
          <w:lang w:val="en-US" w:eastAsia="zh-CN"/>
        </w:rPr>
        <w:t>及参数</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9"/>
        <w:rPr>
          <w:rFonts w:hint="eastAsia" w:ascii="仿宋" w:hAnsi="仿宋" w:eastAsia="仿宋" w:cs="仿宋"/>
          <w:b w:val="0"/>
          <w:bCs w:val="0"/>
          <w:sz w:val="32"/>
          <w:szCs w:val="32"/>
        </w:rPr>
      </w:pPr>
    </w:p>
    <w:tbl>
      <w:tblPr>
        <w:tblStyle w:val="5"/>
        <w:tblW w:w="9900" w:type="dxa"/>
        <w:tblInd w:w="-6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
        <w:gridCol w:w="1485"/>
        <w:gridCol w:w="714"/>
        <w:gridCol w:w="5754"/>
        <w:gridCol w:w="613"/>
        <w:gridCol w:w="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序号</w:t>
            </w:r>
          </w:p>
        </w:tc>
        <w:tc>
          <w:tcPr>
            <w:tcW w:w="1485"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名称</w:t>
            </w:r>
          </w:p>
        </w:tc>
        <w:tc>
          <w:tcPr>
            <w:tcW w:w="714"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品牌型号</w:t>
            </w:r>
          </w:p>
        </w:tc>
        <w:tc>
          <w:tcPr>
            <w:tcW w:w="5754" w:type="dxa"/>
          </w:tcPr>
          <w:p>
            <w:pPr>
              <w:pStyle w:val="2"/>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设备参数</w:t>
            </w:r>
          </w:p>
        </w:tc>
        <w:tc>
          <w:tcPr>
            <w:tcW w:w="61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单位</w:t>
            </w:r>
          </w:p>
        </w:tc>
        <w:tc>
          <w:tcPr>
            <w:tcW w:w="83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w:t>
            </w:r>
          </w:p>
        </w:tc>
        <w:tc>
          <w:tcPr>
            <w:tcW w:w="1485"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AI筒型摄像机</w:t>
            </w:r>
          </w:p>
        </w:tc>
        <w:tc>
          <w:tcPr>
            <w:tcW w:w="714"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华为D2150-20-LIV</w:t>
            </w:r>
          </w:p>
        </w:tc>
        <w:tc>
          <w:tcPr>
            <w:tcW w:w="5754" w:type="dxa"/>
          </w:tcPr>
          <w:p>
            <w:pPr>
              <w:pStyle w:val="2"/>
              <w:keepNext w:val="0"/>
              <w:keepLines w:val="0"/>
              <w:pageBreakBefore w:val="0"/>
              <w:widowControl w:val="0"/>
              <w:numPr>
                <w:ilvl w:val="0"/>
                <w:numId w:val="1"/>
              </w:numPr>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图像传感器 1/2.7" CMOS,5MP 2880(H)*1620(V);支持本地SD卡存储，最大支持256GB内存卡。</w:t>
            </w:r>
          </w:p>
          <w:p>
            <w:pPr>
              <w:pStyle w:val="2"/>
              <w:keepNext w:val="0"/>
              <w:keepLines w:val="0"/>
              <w:pageBreakBefore w:val="0"/>
              <w:widowControl w:val="0"/>
              <w:numPr>
                <w:numId w:val="0"/>
              </w:numPr>
              <w:kinsoku/>
              <w:wordWrap/>
              <w:overflowPunct/>
              <w:topLinePunct w:val="0"/>
              <w:autoSpaceDE/>
              <w:autoSpaceDN/>
              <w:bidi w:val="0"/>
              <w:adjustRightInd/>
              <w:snapToGrid w:val="0"/>
              <w:spacing w:line="240" w:lineRule="auto"/>
              <w:ind w:right="0" w:rightChars="0"/>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2.具有安全启动设置选项，具有在启动的过程中，OS+应用软件逐级校验uboot的设置选项；</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3.内置1个麦克风、1个扬声器，支持双向语音对接功能。支持自动识别背光、运动速度、雾（雨）天、正常等场景，并能在＜1s的时间内快速自适应调整相应的图像参数</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支持多角度人脸检测功能，支持检出水平转动角不超过±90°，俯仰角不超过60°，倾斜角不超过±45°姿态角度的人脸抓拍；支持对运动人脸进行检测、跟踪、抓拍、评分、筛选，输出最优的人脸抓图，最佳人脸抓拍模式支持单张或多张目标快照输出，人脸抓拍率≥99%，支持对人脸最佳抓拍图片筛选去重，重复率≤1%；</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5.可自动识别50Hz/60Hz工频闪现象并自动开启康频闪功能，实现自动抑制画面工频闪滚动条纹问题；</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6.最大功耗:10.07W, 典型功耗:2.5W；内置柔光补光模块和红外补光模块，柔光补光距离≥30m，红外补光距离≥50m；补光灯开启时，可根据被摄物的距离自动调节补光灯的功率；</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7.在设定的区域内，可对设定时间段的排队长度进行检测，检测时间可配，并上报检测结果，准确率≥95%</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8.支持心跳机制、背光补偿功能、自动曝光功能、数字降噪功能、透雾、强光抑制、防红外过曝补偿功能；</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9.环境温度为25℃时，在正常工作条件、异常工作条件和单一故障条件下，设备可触及的外表面和零部件的接触温度应符合GB 16796-2022中表6规定的要求</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10.摄像机在正常工作条件下，连续工作168h，不应出现电气、机械或软件的故障</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11.支持下面4种多算法切换运行：(1)、人脸、人体智能；(2)、行为分析智能；(3)、态势分析智能；(4)、普通事件分析；</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12.支持人体检测、跟踪、抓拍，支持正面、背面双向抓拍，抓拍率≥99%，支持最佳人体全貌抓拍筛选去重，重复率≤1%</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13.支持倾斜安装对经过监控画面中的行人进行（自上而下，自下而上）的人流量统计，支持双向通行的人数统计，准确率≥99%，支持报表统计，支持日报表、周报表、月报表、年报表</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14.在设定的区域内，可对人群的密度进行统计，并实时上报统计结果；区域内的人数上限可设置，当超过设定人数时支持告警上报，人数上报准确率≥95%</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15.智能安防摄像头网络安全分级认证二星级认证</w:t>
            </w:r>
          </w:p>
          <w:p>
            <w:pPr>
              <w:pStyle w:val="2"/>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16.通过开发原子开源基金会生态产品兼容认证</w:t>
            </w:r>
          </w:p>
        </w:tc>
        <w:tc>
          <w:tcPr>
            <w:tcW w:w="61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台</w:t>
            </w:r>
          </w:p>
        </w:tc>
        <w:tc>
          <w:tcPr>
            <w:tcW w:w="83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w:t>
            </w:r>
          </w:p>
        </w:tc>
        <w:tc>
          <w:tcPr>
            <w:tcW w:w="1485"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AI全景摄像机</w:t>
            </w:r>
          </w:p>
        </w:tc>
        <w:tc>
          <w:tcPr>
            <w:tcW w:w="714"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大华DH-IPC-EB5541-AS </w:t>
            </w:r>
          </w:p>
        </w:tc>
        <w:tc>
          <w:tcPr>
            <w:tcW w:w="5754" w:type="dxa"/>
          </w:tcPr>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传感器类型：1/2.7英寸CMOS；</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像素：500万；</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最大分辨率：2592×1944；</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最低照度：0.01lux（彩色模式）；0.001lux（黑白模式）；</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镜头类型：定焦；</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镜头焦距：1.4mm；</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镜头光圈：F2.0；</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视场角：水平：180°；垂直：180°；对角：180°；</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热度图：支持；</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周界防范：绊线入侵；区域入侵；</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人数统计：支持区域内人数统计，并可显示及输出日、月、年统计报表（需配合配套产品支持）；支持4个区域内人数统计；</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智能编码：H.264：支持H.265：支持；</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宽动态：120dB；</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音频接口：支持；</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内置麦克风：支持，内置1个麦克风；</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报警事件：无SD卡；SD卡空间不足；SD卡出错；SD卡寿命不足（安防智能卡支持）；网络断开；IP冲突；非法访问；动态检测；视频遮挡；绊线入侵；区域入侵；场景变更；音频异常侦测；电压检测；外部报警；区域内人数统计；滞留报警；人数异常检测；安全异常；</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接入标准：ONVIF（Profile S &amp; Profile G &amp; Profile T）；CGI；GB/T28181（双国标）；</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预览最大用户数：20个（总带宽：64Ｍ）；</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最大Micro SD卡：256GB；</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其他功能：一键撤防；</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音频输入：1路（RCA头）；</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音频输出：1路（RCA头）；</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报警输入：1路（湿接点，支持直流3～5V电位，5mA电流）；</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报警输出：1路（湿接点，支持直流最大12V电位，0.3A电流）；</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供电方式：DC12V/PoE；</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防护等级：IP67；IK10</w:t>
            </w:r>
          </w:p>
        </w:tc>
        <w:tc>
          <w:tcPr>
            <w:tcW w:w="61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台</w:t>
            </w:r>
          </w:p>
        </w:tc>
        <w:tc>
          <w:tcPr>
            <w:tcW w:w="83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w:t>
            </w:r>
          </w:p>
        </w:tc>
        <w:tc>
          <w:tcPr>
            <w:tcW w:w="1485"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支架</w:t>
            </w:r>
          </w:p>
        </w:tc>
        <w:tc>
          <w:tcPr>
            <w:tcW w:w="714"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国优</w:t>
            </w:r>
          </w:p>
        </w:tc>
        <w:tc>
          <w:tcPr>
            <w:tcW w:w="5754" w:type="dxa"/>
          </w:tcPr>
          <w:p>
            <w:pPr>
              <w:pStyle w:val="2"/>
              <w:jc w:val="left"/>
              <w:rPr>
                <w:rFonts w:hint="eastAsia" w:ascii="仿宋" w:hAnsi="仿宋" w:eastAsia="仿宋" w:cs="仿宋"/>
                <w:b w:val="0"/>
                <w:bCs w:val="0"/>
                <w:kern w:val="2"/>
                <w:sz w:val="24"/>
                <w:szCs w:val="24"/>
                <w:lang w:val="en-US" w:eastAsia="zh-CN" w:bidi="ar-SA"/>
              </w:rPr>
            </w:pPr>
          </w:p>
        </w:tc>
        <w:tc>
          <w:tcPr>
            <w:tcW w:w="61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套</w:t>
            </w:r>
          </w:p>
        </w:tc>
        <w:tc>
          <w:tcPr>
            <w:tcW w:w="83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501"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w:t>
            </w:r>
          </w:p>
        </w:tc>
        <w:tc>
          <w:tcPr>
            <w:tcW w:w="1485"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监控专用硬盘 </w:t>
            </w:r>
          </w:p>
        </w:tc>
        <w:tc>
          <w:tcPr>
            <w:tcW w:w="714"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希捷8TB</w:t>
            </w:r>
          </w:p>
        </w:tc>
        <w:tc>
          <w:tcPr>
            <w:tcW w:w="5754" w:type="dxa"/>
          </w:tcPr>
          <w:p>
            <w:pPr>
              <w:pStyle w:val="2"/>
              <w:jc w:val="left"/>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8TB</w:t>
            </w:r>
          </w:p>
        </w:tc>
        <w:tc>
          <w:tcPr>
            <w:tcW w:w="61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块</w:t>
            </w:r>
          </w:p>
        </w:tc>
        <w:tc>
          <w:tcPr>
            <w:tcW w:w="83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w:t>
            </w:r>
          </w:p>
        </w:tc>
        <w:tc>
          <w:tcPr>
            <w:tcW w:w="1485"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存储服务器</w:t>
            </w:r>
          </w:p>
        </w:tc>
        <w:tc>
          <w:tcPr>
            <w:tcW w:w="714"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华为NVR800-B04-16P</w:t>
            </w:r>
          </w:p>
        </w:tc>
        <w:tc>
          <w:tcPr>
            <w:tcW w:w="5754" w:type="dxa"/>
          </w:tcPr>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1.32路，接入能力320Mbps，转发能力320Mbps。内置16个IPC直连PoE网络接口，支持即插即用，自动发现配置功能。支持下列智能分析告警功能：（1）移动侦测告警、（2）周界入侵告警、（3）绊线监测、（4）进入/离开区域、（5）快速移动侦测、（6）区域徘徊、（7）音频异常、（8）视频遮挡、（9）过线计数统计、（10）热度图、（11）排队长度、（12）区域人数统计；</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2.可实时检测视频画面中的人脸，并抓拍人脸图像；可识别视频画面中带口罩的人脸；</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3.可对捕捉的目标数据进行分析，并以图表、圆饼图等形式显示</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4.可对人脸数据库进行增删改查，分组管理，支持从外部U盘和本地导入名单库；</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5.支持单张图片输入，以图像特征检索目标库相似目标。</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6、视频信号丢失报警功能：当视频信号丢失时，应能发出报警信号，响应时间≤5s，并满足GA/T367—2001中3.15检验和4.4.3.4的要求</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运行状态自检与故障恢复功能检验：对于在记录过程中出现的系统死机或意外故障，设备应能在规定的时间内自动恢复其正常工作状态并使故障前的信息不丢失。故障恢复时间不大于5min，应在产品标准中明确规定，并在产品的技术文件中明示</w:t>
            </w:r>
          </w:p>
          <w:p>
            <w:pPr>
              <w:pStyle w:val="2"/>
              <w:jc w:val="left"/>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操作授权、数据加密与数据安全检验：设备均应具有权限管理、数据保密、运行日志功能设备应设置操作口令，宜有图像加密、防篡改、防非法复制等措施，以保证原始数据的完整性。重要的图像应加保护，不被删除和覆盖；设备应有防偶发死机的措施（如硬件看门狗或软件、硬件看门狗或定时自动起动等），死机后的自动恢复时间应满足 8.12的要求</w:t>
            </w:r>
          </w:p>
        </w:tc>
        <w:tc>
          <w:tcPr>
            <w:tcW w:w="61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台</w:t>
            </w:r>
          </w:p>
        </w:tc>
        <w:tc>
          <w:tcPr>
            <w:tcW w:w="833" w:type="dxa"/>
          </w:tcPr>
          <w:p>
            <w:pPr>
              <w:pStyle w:val="2"/>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w:t>
            </w:r>
          </w:p>
        </w:tc>
        <w:tc>
          <w:tcPr>
            <w:tcW w:w="1485"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汇聚箱</w:t>
            </w:r>
          </w:p>
        </w:tc>
        <w:tc>
          <w:tcPr>
            <w:tcW w:w="714"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i w:val="0"/>
                <w:iCs w:val="0"/>
                <w:color w:val="000000"/>
                <w:kern w:val="0"/>
                <w:sz w:val="24"/>
                <w:szCs w:val="24"/>
                <w:u w:val="none"/>
                <w:lang w:val="en-US" w:eastAsia="zh-CN" w:bidi="ar"/>
              </w:rPr>
              <w:t>国优</w:t>
            </w:r>
          </w:p>
        </w:tc>
        <w:tc>
          <w:tcPr>
            <w:tcW w:w="5754" w:type="dxa"/>
          </w:tcPr>
          <w:p>
            <w:pPr>
              <w:pStyle w:val="2"/>
              <w:jc w:val="left"/>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w:t>
            </w:r>
          </w:p>
        </w:tc>
        <w:tc>
          <w:tcPr>
            <w:tcW w:w="613"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个</w:t>
            </w:r>
          </w:p>
        </w:tc>
        <w:tc>
          <w:tcPr>
            <w:tcW w:w="833"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7</w:t>
            </w:r>
          </w:p>
        </w:tc>
        <w:tc>
          <w:tcPr>
            <w:tcW w:w="1485"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电线管</w:t>
            </w:r>
          </w:p>
        </w:tc>
        <w:tc>
          <w:tcPr>
            <w:tcW w:w="714"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国优</w:t>
            </w:r>
          </w:p>
        </w:tc>
        <w:tc>
          <w:tcPr>
            <w:tcW w:w="5754" w:type="dxa"/>
            <w:vAlign w:val="center"/>
          </w:tcPr>
          <w:p>
            <w:pPr>
              <w:keepNext w:val="0"/>
              <w:keepLines w:val="0"/>
              <w:widowControl/>
              <w:suppressLineNumbers w:val="0"/>
              <w:jc w:val="left"/>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材质:PVC  规格:∮20</w:t>
            </w:r>
          </w:p>
        </w:tc>
        <w:tc>
          <w:tcPr>
            <w:tcW w:w="613"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米</w:t>
            </w:r>
          </w:p>
        </w:tc>
        <w:tc>
          <w:tcPr>
            <w:tcW w:w="833"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w:t>
            </w:r>
          </w:p>
        </w:tc>
        <w:tc>
          <w:tcPr>
            <w:tcW w:w="1485"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超五类网线</w:t>
            </w:r>
          </w:p>
        </w:tc>
        <w:tc>
          <w:tcPr>
            <w:tcW w:w="714"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国优</w:t>
            </w:r>
          </w:p>
        </w:tc>
        <w:tc>
          <w:tcPr>
            <w:tcW w:w="5754" w:type="dxa"/>
            <w:vAlign w:val="center"/>
          </w:tcPr>
          <w:p>
            <w:pPr>
              <w:keepNext w:val="0"/>
              <w:keepLines w:val="0"/>
              <w:widowControl/>
              <w:suppressLineNumbers w:val="0"/>
              <w:jc w:val="left"/>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UTP Cat5e</w:t>
            </w:r>
          </w:p>
        </w:tc>
        <w:tc>
          <w:tcPr>
            <w:tcW w:w="613"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米</w:t>
            </w:r>
          </w:p>
        </w:tc>
        <w:tc>
          <w:tcPr>
            <w:tcW w:w="833"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9</w:t>
            </w:r>
          </w:p>
        </w:tc>
        <w:tc>
          <w:tcPr>
            <w:tcW w:w="1485" w:type="dxa"/>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液晶显示器</w:t>
            </w:r>
          </w:p>
        </w:tc>
        <w:tc>
          <w:tcPr>
            <w:tcW w:w="714" w:type="dxa"/>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国优</w:t>
            </w:r>
          </w:p>
        </w:tc>
        <w:tc>
          <w:tcPr>
            <w:tcW w:w="5754" w:type="dxa"/>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27寸</w:t>
            </w:r>
          </w:p>
        </w:tc>
        <w:tc>
          <w:tcPr>
            <w:tcW w:w="613" w:type="dxa"/>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833"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10</w:t>
            </w:r>
          </w:p>
        </w:tc>
        <w:tc>
          <w:tcPr>
            <w:tcW w:w="1485"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安装辅材</w:t>
            </w:r>
          </w:p>
        </w:tc>
        <w:tc>
          <w:tcPr>
            <w:tcW w:w="714"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国优</w:t>
            </w:r>
          </w:p>
        </w:tc>
        <w:tc>
          <w:tcPr>
            <w:tcW w:w="5754" w:type="dxa"/>
          </w:tcPr>
          <w:p>
            <w:pPr>
              <w:pStyle w:val="2"/>
              <w:jc w:val="left"/>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w:t>
            </w:r>
          </w:p>
        </w:tc>
        <w:tc>
          <w:tcPr>
            <w:tcW w:w="613"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项</w:t>
            </w:r>
          </w:p>
        </w:tc>
        <w:tc>
          <w:tcPr>
            <w:tcW w:w="833"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1"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12</w:t>
            </w:r>
          </w:p>
        </w:tc>
        <w:tc>
          <w:tcPr>
            <w:tcW w:w="1485"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安装调试集成服务费</w:t>
            </w:r>
          </w:p>
        </w:tc>
        <w:tc>
          <w:tcPr>
            <w:tcW w:w="714" w:type="dxa"/>
            <w:vAlign w:val="center"/>
          </w:tcPr>
          <w:p>
            <w:pPr>
              <w:jc w:val="center"/>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w:t>
            </w:r>
          </w:p>
        </w:tc>
        <w:tc>
          <w:tcPr>
            <w:tcW w:w="5754" w:type="dxa"/>
          </w:tcPr>
          <w:p>
            <w:pPr>
              <w:pStyle w:val="2"/>
              <w:jc w:val="left"/>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w:t>
            </w:r>
          </w:p>
        </w:tc>
        <w:tc>
          <w:tcPr>
            <w:tcW w:w="613" w:type="dxa"/>
            <w:vAlign w:val="center"/>
          </w:tcPr>
          <w:p>
            <w:pPr>
              <w:keepNext w:val="0"/>
              <w:keepLines w:val="0"/>
              <w:widowControl/>
              <w:suppressLineNumbers w:val="0"/>
              <w:jc w:val="center"/>
              <w:textAlignment w:val="center"/>
              <w:rPr>
                <w:rFonts w:hint="eastAsia" w:ascii="仿宋" w:hAnsi="仿宋" w:eastAsia="仿宋" w:cs="仿宋"/>
                <w:b w:val="0"/>
                <w:bCs w:val="0"/>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项</w:t>
            </w:r>
          </w:p>
        </w:tc>
        <w:tc>
          <w:tcPr>
            <w:tcW w:w="833" w:type="dxa"/>
          </w:tcPr>
          <w:p>
            <w:pPr>
              <w:pStyle w:val="2"/>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2</w:t>
            </w:r>
          </w:p>
        </w:tc>
      </w:tr>
    </w:tbl>
    <w:p>
      <w:pPr>
        <w:pStyle w:val="2"/>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9E6058"/>
    <w:multiLevelType w:val="singleLevel"/>
    <w:tmpl w:val="769E6058"/>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B13440"/>
    <w:rsid w:val="10B13440"/>
    <w:rsid w:val="14060EC2"/>
    <w:rsid w:val="15A83E30"/>
    <w:rsid w:val="30D6254A"/>
    <w:rsid w:val="41516605"/>
    <w:rsid w:val="55633225"/>
    <w:rsid w:val="60D16BE8"/>
    <w:rsid w:val="6DFA2C65"/>
    <w:rsid w:val="732F1E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pPr>
    <w:rPr>
      <w:rFonts w:ascii="Times New Roman" w:hAnsi="Times New Roman" w:eastAsia="宋体" w:cs="Times New Roman"/>
    </w:rPr>
  </w:style>
  <w:style w:type="paragraph" w:styleId="3">
    <w:name w:val="Title"/>
    <w:basedOn w:val="1"/>
    <w:next w:val="1"/>
    <w:qFormat/>
    <w:uiPriority w:val="0"/>
    <w:pPr>
      <w:widowControl w:val="0"/>
      <w:spacing w:before="240" w:after="60"/>
      <w:ind w:left="0" w:right="0"/>
      <w:jc w:val="center"/>
      <w:outlineLvl w:val="0"/>
    </w:pPr>
    <w:rPr>
      <w:rFonts w:hint="eastAsia" w:ascii="Calibri Light" w:hAnsi="Calibri Light" w:eastAsia="宋体" w:cs="Times New Roman"/>
      <w:b/>
      <w:kern w:val="2"/>
      <w:sz w:val="32"/>
      <w:szCs w:val="32"/>
      <w:lang w:val="en-US" w:eastAsia="zh-CN" w:bidi="ar-SA"/>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6417</Words>
  <Characters>7203</Characters>
  <Lines>0</Lines>
  <Paragraphs>0</Paragraphs>
  <TotalTime>3</TotalTime>
  <ScaleCrop>false</ScaleCrop>
  <LinksUpToDate>false</LinksUpToDate>
  <CharactersWithSpaces>7232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2026-04-14T03:36:00Z</dcterms:created>
  <dc:creator>陈醒</dc:creator>
  <cp:lastModifiedBy>陈醒</cp:lastModifiedBy>
  <dcterms:modified xsi:type="dcterms:W3CDTF">2026-04-15T02:34:36Z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46F031AE7AE84734BB106E7327301A52_13</vt:lpwstr>
  </property>
  <property fmtid="{D5CDD505-2E9C-101B-9397-08002B2CF9AE}" pid="4" name="KSOTemplateDocerSaveRecord">
    <vt:lpwstr>eyJoZGlkIjoiYzdjNWEyZjM0NzNjMmQxNGYwNjdhZDQwMDExNzVmNjYiLCJ1c2VySWQiOiIyMTcyNzA3ODkifQ==</vt:lpwstr>
  </property>
</Properties>
</file>