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spacing w:line="360" w:lineRule="auto"/>
        <w:rPr>
          <w:rFonts w:hint="eastAsia" w:ascii="宋体" w:hAnsi="宋体" w:cs="宋体"/>
          <w:color w:val="auto"/>
          <w:highlight w:val="none"/>
        </w:rPr>
      </w:pPr>
      <w:r>
        <w:rPr>
          <w:rFonts w:ascii="宋体" w:hAnsi="宋体" w:cs="宋体"/>
          <w:color w:val="auto"/>
          <w:highlight w:val="none"/>
        </w:rPr>
        <w:drawing>
          <wp:anchor distT="0" distB="0" distL="114300" distR="114300" simplePos="0" relativeHeight="251659264" behindDoc="1" locked="0" layoutInCell="1" allowOverlap="1">
            <wp:simplePos x="0" y="0"/>
            <wp:positionH relativeFrom="column">
              <wp:posOffset>-906145</wp:posOffset>
            </wp:positionH>
            <wp:positionV relativeFrom="paragraph">
              <wp:posOffset>-352425</wp:posOffset>
            </wp:positionV>
            <wp:extent cx="7639050" cy="3263265"/>
            <wp:effectExtent l="0" t="0" r="0" b="13335"/>
            <wp:wrapTight wrapText="bothSides">
              <wp:wrapPolygon>
                <wp:start x="0" y="0"/>
                <wp:lineTo x="0" y="21436"/>
                <wp:lineTo x="21546" y="21436"/>
                <wp:lineTo x="21546" y="0"/>
                <wp:lineTo x="0" y="0"/>
              </wp:wrapPolygon>
            </wp:wrapTight>
            <wp:docPr id="3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descr="模板-3"/>
                    <pic:cNvPicPr>
                      <a:picLocks noChangeAspect="1" noChangeArrowheads="1"/>
                    </pic:cNvPicPr>
                  </pic:nvPicPr>
                  <pic:blipFill>
                    <a:blip r:embed="rId11" cstate="print"/>
                    <a:srcRect/>
                    <a:stretch>
                      <a:fillRect/>
                    </a:stretch>
                  </pic:blipFill>
                  <pic:spPr>
                    <a:xfrm>
                      <a:off x="0" y="0"/>
                      <a:ext cx="7638821" cy="3263265"/>
                    </a:xfrm>
                    <a:prstGeom prst="rect">
                      <a:avLst/>
                    </a:prstGeom>
                    <a:noFill/>
                    <a:ln w="9525">
                      <a:noFill/>
                      <a:miter lim="800000"/>
                      <a:headEnd/>
                      <a:tailEnd/>
                    </a:ln>
                  </pic:spPr>
                </pic:pic>
              </a:graphicData>
            </a:graphic>
          </wp:anchor>
        </w:drawing>
      </w:r>
    </w:p>
    <w:p>
      <w:pPr>
        <w:shd w:val="clear"/>
        <w:spacing w:line="360" w:lineRule="auto"/>
        <w:jc w:val="center"/>
        <w:rPr>
          <w:rFonts w:hint="eastAsia" w:ascii="宋体" w:hAnsi="宋体" w:cs="宋体"/>
          <w:b/>
          <w:color w:val="auto"/>
          <w:sz w:val="52"/>
          <w:szCs w:val="52"/>
          <w:highlight w:val="none"/>
          <w:lang w:val="en-US" w:eastAsia="zh-CN"/>
        </w:rPr>
      </w:pPr>
      <w:bookmarkStart w:id="0" w:name="OLE_LINK1"/>
      <w:r>
        <w:rPr>
          <w:rFonts w:hint="eastAsia" w:ascii="宋体" w:hAnsi="宋体" w:cs="宋体"/>
          <w:b/>
          <w:color w:val="auto"/>
          <w:sz w:val="52"/>
          <w:szCs w:val="52"/>
          <w:highlight w:val="none"/>
          <w:lang w:val="en-US" w:eastAsia="zh-CN"/>
        </w:rPr>
        <w:t>抽水机</w:t>
      </w:r>
    </w:p>
    <w:p>
      <w:pPr>
        <w:shd w:val="clear"/>
        <w:spacing w:line="360" w:lineRule="auto"/>
        <w:jc w:val="center"/>
        <w:rPr>
          <w:rFonts w:hint="eastAsia" w:ascii="宋体" w:hAnsi="宋体" w:cs="宋体"/>
          <w:b/>
          <w:color w:val="auto"/>
          <w:sz w:val="52"/>
          <w:szCs w:val="52"/>
          <w:highlight w:val="none"/>
        </w:rPr>
      </w:pPr>
      <w:r>
        <w:rPr>
          <w:rFonts w:hint="eastAsia" w:ascii="宋体" w:hAnsi="宋体" w:cs="宋体"/>
          <w:b/>
          <w:color w:val="auto"/>
          <w:sz w:val="52"/>
          <w:szCs w:val="52"/>
          <w:highlight w:val="none"/>
          <w:lang w:val="en-US" w:eastAsia="zh-CN"/>
        </w:rPr>
        <w:t>（排涝方舱）</w:t>
      </w:r>
      <w:bookmarkEnd w:id="0"/>
    </w:p>
    <w:p>
      <w:pPr>
        <w:shd w:val="clear"/>
        <w:spacing w:line="360" w:lineRule="auto"/>
        <w:jc w:val="center"/>
        <w:rPr>
          <w:rFonts w:hint="eastAsia" w:ascii="宋体" w:hAnsi="宋体" w:cs="宋体"/>
          <w:b/>
          <w:color w:val="auto"/>
          <w:sz w:val="52"/>
          <w:highlight w:val="none"/>
        </w:rPr>
      </w:pPr>
      <w:r>
        <w:rPr>
          <w:rFonts w:hint="eastAsia" w:ascii="宋体" w:hAnsi="宋体" w:cs="宋体"/>
          <w:b/>
          <w:color w:val="auto"/>
          <w:sz w:val="52"/>
          <w:highlight w:val="none"/>
        </w:rPr>
        <w:t>技术</w:t>
      </w:r>
      <w:r>
        <w:rPr>
          <w:rFonts w:hint="eastAsia" w:ascii="宋体" w:hAnsi="宋体" w:cs="宋体"/>
          <w:b/>
          <w:color w:val="auto"/>
          <w:sz w:val="52"/>
          <w:highlight w:val="none"/>
          <w:lang w:val="en-US" w:eastAsia="zh-CN"/>
        </w:rPr>
        <w:t>规范</w:t>
      </w:r>
      <w:r>
        <w:rPr>
          <w:rFonts w:hint="eastAsia" w:ascii="宋体" w:hAnsi="宋体" w:cs="宋体"/>
          <w:b/>
          <w:color w:val="auto"/>
          <w:sz w:val="52"/>
          <w:highlight w:val="none"/>
        </w:rPr>
        <w:t>书</w:t>
      </w:r>
    </w:p>
    <w:p>
      <w:pPr>
        <w:shd w:val="clear"/>
        <w:spacing w:line="360" w:lineRule="auto"/>
        <w:jc w:val="center"/>
        <w:rPr>
          <w:rFonts w:hint="eastAsia" w:ascii="宋体" w:hAnsi="宋体" w:cs="宋体"/>
          <w:b/>
          <w:color w:val="auto"/>
          <w:sz w:val="36"/>
          <w:highlight w:val="none"/>
        </w:rPr>
      </w:pPr>
    </w:p>
    <w:p>
      <w:pPr>
        <w:shd w:val="clear"/>
        <w:spacing w:line="360" w:lineRule="auto"/>
        <w:jc w:val="center"/>
        <w:rPr>
          <w:rFonts w:hint="eastAsia" w:ascii="宋体" w:hAnsi="宋体" w:cs="宋体"/>
          <w:b/>
          <w:color w:val="auto"/>
          <w:sz w:val="36"/>
          <w:highlight w:val="none"/>
        </w:rPr>
      </w:pPr>
    </w:p>
    <w:p>
      <w:pPr>
        <w:shd w:val="clear"/>
        <w:spacing w:line="360" w:lineRule="auto"/>
        <w:jc w:val="center"/>
        <w:rPr>
          <w:rFonts w:hint="eastAsia" w:ascii="宋体" w:hAnsi="宋体" w:cs="宋体"/>
          <w:b/>
          <w:color w:val="auto"/>
          <w:sz w:val="36"/>
          <w:highlight w:val="none"/>
        </w:rPr>
      </w:pPr>
    </w:p>
    <w:p>
      <w:pPr>
        <w:shd w:val="clear"/>
        <w:spacing w:line="360" w:lineRule="auto"/>
        <w:jc w:val="center"/>
        <w:rPr>
          <w:rFonts w:hint="eastAsia" w:ascii="宋体" w:hAnsi="宋体" w:cs="宋体"/>
          <w:b/>
          <w:color w:val="auto"/>
          <w:sz w:val="36"/>
          <w:highlight w:val="none"/>
        </w:rPr>
      </w:pPr>
    </w:p>
    <w:p>
      <w:pPr>
        <w:shd w:val="clear"/>
        <w:spacing w:line="360" w:lineRule="auto"/>
        <w:jc w:val="center"/>
        <w:rPr>
          <w:rFonts w:hint="eastAsia" w:ascii="宋体" w:hAnsi="宋体" w:cs="宋体"/>
          <w:b/>
          <w:color w:val="auto"/>
          <w:sz w:val="36"/>
          <w:highlight w:val="none"/>
        </w:rPr>
      </w:pPr>
    </w:p>
    <w:p>
      <w:pPr>
        <w:shd w:val="clear"/>
        <w:spacing w:line="360" w:lineRule="auto"/>
        <w:jc w:val="center"/>
        <w:rPr>
          <w:rFonts w:hint="eastAsia" w:ascii="宋体" w:hAnsi="宋体" w:cs="宋体"/>
          <w:b/>
          <w:color w:val="auto"/>
          <w:spacing w:val="20"/>
          <w:w w:val="135"/>
          <w:sz w:val="30"/>
          <w:highlight w:val="none"/>
        </w:rPr>
      </w:pPr>
      <w:r>
        <w:rPr>
          <w:rFonts w:hint="eastAsia" w:ascii="宋体" w:hAnsi="宋体" w:cs="宋体"/>
          <w:b/>
          <w:color w:val="auto"/>
          <w:spacing w:val="20"/>
          <w:w w:val="135"/>
          <w:sz w:val="30"/>
          <w:highlight w:val="none"/>
        </w:rPr>
        <w:t>深圳供电局有限公司</w:t>
      </w:r>
    </w:p>
    <w:p>
      <w:pPr>
        <w:shd w:val="clear"/>
        <w:spacing w:line="360" w:lineRule="auto"/>
        <w:jc w:val="center"/>
        <w:rPr>
          <w:rFonts w:hint="eastAsia" w:ascii="宋体" w:hAnsi="宋体" w:cs="宋体"/>
          <w:color w:val="auto"/>
          <w:highlight w:val="none"/>
        </w:rPr>
        <w:sectPr>
          <w:headerReference r:id="rId3" w:type="default"/>
          <w:footerReference r:id="rId5" w:type="default"/>
          <w:headerReference r:id="rId4" w:type="even"/>
          <w:footerReference r:id="rId6" w:type="even"/>
          <w:pgSz w:w="11907" w:h="16839"/>
          <w:pgMar w:top="567" w:right="1559" w:bottom="1361" w:left="1418" w:header="0" w:footer="0" w:gutter="0"/>
          <w:pgNumType w:fmt="upperRoman" w:start="1"/>
          <w:cols w:space="720" w:num="1"/>
          <w:titlePg/>
          <w:docGrid w:type="lines" w:linePitch="312" w:charSpace="0"/>
        </w:sectPr>
      </w:pPr>
      <w:r>
        <w:rPr>
          <w:rFonts w:ascii="宋体" w:hAnsi="宋体" w:cs="宋体"/>
          <w:b/>
          <w:color w:val="auto"/>
          <w:spacing w:val="20"/>
          <w:w w:val="135"/>
          <w:sz w:val="30"/>
          <w:highlight w:val="none"/>
        </w:rPr>
        <w:t>202</w:t>
      </w:r>
      <w:r>
        <w:rPr>
          <w:rFonts w:hint="eastAsia" w:ascii="宋体" w:hAnsi="宋体" w:cs="宋体"/>
          <w:b/>
          <w:color w:val="auto"/>
          <w:spacing w:val="20"/>
          <w:w w:val="135"/>
          <w:sz w:val="30"/>
          <w:highlight w:val="none"/>
          <w:lang w:val="en-US" w:eastAsia="zh-CN"/>
        </w:rPr>
        <w:t>6</w:t>
      </w:r>
      <w:r>
        <w:rPr>
          <w:rFonts w:ascii="宋体" w:hAnsi="宋体" w:cs="宋体"/>
          <w:b/>
          <w:color w:val="auto"/>
          <w:spacing w:val="20"/>
          <w:w w:val="135"/>
          <w:sz w:val="30"/>
          <w:highlight w:val="none"/>
        </w:rPr>
        <w:t>年</w:t>
      </w:r>
      <w:r>
        <w:rPr>
          <w:rFonts w:hint="eastAsia" w:ascii="宋体" w:hAnsi="宋体" w:cs="宋体"/>
          <w:b/>
          <w:color w:val="auto"/>
          <w:spacing w:val="20"/>
          <w:w w:val="135"/>
          <w:sz w:val="30"/>
          <w:highlight w:val="none"/>
          <w:lang w:val="en-US" w:eastAsia="zh-CN"/>
        </w:rPr>
        <w:t>03</w:t>
      </w:r>
      <w:r>
        <w:rPr>
          <w:rFonts w:ascii="宋体" w:hAnsi="宋体" w:cs="宋体"/>
          <w:b/>
          <w:color w:val="auto"/>
          <w:spacing w:val="20"/>
          <w:w w:val="135"/>
          <w:sz w:val="30"/>
          <w:highlight w:val="none"/>
        </w:rPr>
        <w:t>月</w:t>
      </w:r>
      <w:r>
        <w:rPr>
          <w:rFonts w:ascii="宋体" w:hAnsi="宋体" w:cs="宋体"/>
          <w:color w:val="auto"/>
          <w:highlight w:val="none"/>
        </w:rPr>
        <mc:AlternateContent>
          <mc:Choice Requires="wps">
            <w:drawing>
              <wp:anchor distT="0" distB="0" distL="114300" distR="114300" simplePos="0" relativeHeight="251660288" behindDoc="0" locked="1" layoutInCell="1" allowOverlap="1">
                <wp:simplePos x="0" y="0"/>
                <wp:positionH relativeFrom="margin">
                  <wp:posOffset>0</wp:posOffset>
                </wp:positionH>
                <wp:positionV relativeFrom="margin">
                  <wp:posOffset>9108440</wp:posOffset>
                </wp:positionV>
                <wp:extent cx="6120130" cy="363220"/>
                <wp:effectExtent l="0" t="0" r="13970" b="1778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6120130" cy="363220"/>
                        </a:xfrm>
                        <a:prstGeom prst="rect">
                          <a:avLst/>
                        </a:prstGeom>
                        <a:solidFill>
                          <a:srgbClr val="FFFFFF"/>
                        </a:solidFill>
                        <a:ln>
                          <a:noFill/>
                        </a:ln>
                        <a:effectLst/>
                      </wps:spPr>
                      <wps:txbx>
                        <w:txbxContent>
                          <w:p>
                            <w:pPr>
                              <w:pStyle w:val="32"/>
                              <w:rPr>
                                <w:b/>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0pt;margin-top:717.2pt;height:28.6pt;width:481.9pt;mso-position-horizontal-relative:margin;mso-position-vertical-relative:margin;z-index:251660288;mso-width-relative:page;mso-height-relative:page;" fillcolor="#FFFFFF" filled="t" stroked="f" coordsize="21600,21600" o:gfxdata="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J&#10;Vgbr2AAAAAoBAAAPAAAAAAAAAAEAIAAAACIAAABkcnMvZG93bnJldi54bWxQSwECFAAUAAAACACH&#10;TuJAajB+jiQCAAA8BAAADgAAAAAAAAABACAAAAAnAQAAZHJzL2Uyb0RvYy54bWxQSwUGAAAAAAYA&#10;BgBZAQAAvQUAAAAA&#10;">
                <v:fill on="t" focussize="0,0"/>
                <v:stroke on="f"/>
                <v:imagedata o:title=""/>
                <o:lock v:ext="edit" aspectratio="f"/>
                <v:textbox inset="0mm,0mm,0mm,0mm">
                  <w:txbxContent>
                    <w:p>
                      <w:pPr>
                        <w:pStyle w:val="32"/>
                        <w:rPr>
                          <w:b/>
                        </w:rPr>
                      </w:pPr>
                    </w:p>
                  </w:txbxContent>
                </v:textbox>
                <w10:anchorlock/>
              </v:shape>
            </w:pict>
          </mc:Fallback>
        </mc:AlternateContent>
      </w:r>
    </w:p>
    <w:p>
      <w:pPr>
        <w:pStyle w:val="20"/>
        <w:shd w:val="clear"/>
        <w:spacing w:before="0" w:beforeAutospacing="0" w:after="0" w:afterAutospacing="0" w:line="240" w:lineRule="auto"/>
        <w:rPr>
          <w:rFonts w:hint="eastAsia"/>
          <w:color w:val="auto"/>
          <w:sz w:val="36"/>
          <w:szCs w:val="36"/>
          <w:highlight w:val="none"/>
        </w:rPr>
      </w:pPr>
    </w:p>
    <w:sdt>
      <w:sdtPr>
        <w:rPr>
          <w:rFonts w:ascii="宋体" w:hAnsi="宋体" w:eastAsia="宋体" w:cs="Times New Roman"/>
          <w:color w:val="auto"/>
          <w:kern w:val="2"/>
          <w:sz w:val="21"/>
          <w:szCs w:val="24"/>
          <w:highlight w:val="none"/>
          <w:lang w:val="en-US" w:eastAsia="zh-CN" w:bidi="ar-SA"/>
        </w:rPr>
        <w:id w:val="147476063"/>
        <w15:color w:val="DBDBDB"/>
        <w:docPartObj>
          <w:docPartGallery w:val="Table of Contents"/>
          <w:docPartUnique/>
        </w:docPartObj>
      </w:sdtPr>
      <w:sdtEndPr>
        <w:rPr>
          <w:rFonts w:hint="eastAsia" w:ascii="宋体" w:hAnsi="宋体" w:eastAsia="宋体" w:cs="宋体"/>
          <w:color w:val="auto"/>
          <w:kern w:val="0"/>
          <w:sz w:val="24"/>
          <w:szCs w:val="36"/>
          <w:highlight w:val="none"/>
          <w:lang w:val="en-US" w:eastAsia="zh-CN" w:bidi="ar-SA"/>
        </w:rPr>
      </w:sdtEndPr>
      <w:sdtContent>
        <w:p>
          <w:pPr>
            <w:spacing w:before="0" w:beforeLines="0" w:after="0" w:afterLines="0" w:line="240" w:lineRule="auto"/>
            <w:ind w:left="0" w:leftChars="0" w:right="0" w:rightChars="0" w:firstLine="0" w:firstLineChars="0"/>
            <w:jc w:val="center"/>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目</w:t>
          </w:r>
          <w:r>
            <w:rPr>
              <w:rFonts w:hint="eastAsia" w:ascii="黑体" w:hAnsi="黑体" w:eastAsia="黑体" w:cs="黑体"/>
              <w:b/>
              <w:bCs/>
              <w:color w:val="auto"/>
              <w:sz w:val="24"/>
              <w:szCs w:val="24"/>
              <w:highlight w:val="none"/>
              <w:lang w:val="en-US" w:eastAsia="zh-CN"/>
            </w:rPr>
            <w:t xml:space="preserve">    </w:t>
          </w:r>
          <w:r>
            <w:rPr>
              <w:rFonts w:hint="eastAsia" w:ascii="黑体" w:hAnsi="黑体" w:eastAsia="黑体" w:cs="黑体"/>
              <w:b/>
              <w:bCs/>
              <w:color w:val="auto"/>
              <w:sz w:val="24"/>
              <w:szCs w:val="24"/>
              <w:highlight w:val="none"/>
            </w:rPr>
            <w:t>录</w:t>
          </w:r>
        </w:p>
        <w:p>
          <w:pPr>
            <w:pStyle w:val="17"/>
            <w:tabs>
              <w:tab w:val="right" w:leader="dot" w:pos="8787"/>
              <w:tab w:val="clear" w:pos="8296"/>
            </w:tabs>
            <w:rPr>
              <w:color w:val="auto"/>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TOC \o "1-2" \h \u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_Toc1872966355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1总则</w:t>
          </w:r>
          <w:r>
            <w:rPr>
              <w:color w:val="auto"/>
              <w:highlight w:val="none"/>
            </w:rPr>
            <w:tab/>
          </w:r>
          <w:r>
            <w:rPr>
              <w:color w:val="auto"/>
              <w:highlight w:val="none"/>
            </w:rPr>
            <w:fldChar w:fldCharType="begin"/>
          </w:r>
          <w:r>
            <w:rPr>
              <w:color w:val="auto"/>
              <w:highlight w:val="none"/>
            </w:rPr>
            <w:instrText xml:space="preserve"> PAGEREF _Toc1872966355 \h </w:instrText>
          </w:r>
          <w:r>
            <w:rPr>
              <w:color w:val="auto"/>
              <w:highlight w:val="none"/>
            </w:rPr>
            <w:fldChar w:fldCharType="separate"/>
          </w:r>
          <w:r>
            <w:rPr>
              <w:color w:val="auto"/>
              <w:highlight w:val="none"/>
            </w:rPr>
            <w:t>4</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_Toc1130230759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1.1范围与目的</w:t>
          </w:r>
          <w:r>
            <w:rPr>
              <w:color w:val="auto"/>
              <w:highlight w:val="none"/>
            </w:rPr>
            <w:tab/>
          </w:r>
          <w:r>
            <w:rPr>
              <w:color w:val="auto"/>
              <w:highlight w:val="none"/>
            </w:rPr>
            <w:fldChar w:fldCharType="begin"/>
          </w:r>
          <w:r>
            <w:rPr>
              <w:color w:val="auto"/>
              <w:highlight w:val="none"/>
            </w:rPr>
            <w:instrText xml:space="preserve"> PAGEREF _Toc1130230759 \h </w:instrText>
          </w:r>
          <w:r>
            <w:rPr>
              <w:color w:val="auto"/>
              <w:highlight w:val="none"/>
            </w:rPr>
            <w:fldChar w:fldCharType="separate"/>
          </w:r>
          <w:r>
            <w:rPr>
              <w:color w:val="auto"/>
              <w:highlight w:val="none"/>
            </w:rPr>
            <w:t>4</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_Toc1295508798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1.2规范性引用文件</w:t>
          </w:r>
          <w:r>
            <w:rPr>
              <w:color w:val="auto"/>
              <w:highlight w:val="none"/>
            </w:rPr>
            <w:tab/>
          </w:r>
          <w:r>
            <w:rPr>
              <w:color w:val="auto"/>
              <w:highlight w:val="none"/>
            </w:rPr>
            <w:fldChar w:fldCharType="begin"/>
          </w:r>
          <w:r>
            <w:rPr>
              <w:color w:val="auto"/>
              <w:highlight w:val="none"/>
            </w:rPr>
            <w:instrText xml:space="preserve"> PAGEREF _Toc1295508798 \h </w:instrText>
          </w:r>
          <w:r>
            <w:rPr>
              <w:color w:val="auto"/>
              <w:highlight w:val="none"/>
            </w:rPr>
            <w:fldChar w:fldCharType="separate"/>
          </w:r>
          <w:r>
            <w:rPr>
              <w:color w:val="auto"/>
              <w:highlight w:val="none"/>
            </w:rPr>
            <w:t>4</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_Toc279671053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1.3术语和定义</w:t>
          </w:r>
          <w:r>
            <w:rPr>
              <w:color w:val="auto"/>
              <w:highlight w:val="none"/>
            </w:rPr>
            <w:tab/>
          </w:r>
          <w:r>
            <w:rPr>
              <w:color w:val="auto"/>
              <w:highlight w:val="none"/>
            </w:rPr>
            <w:fldChar w:fldCharType="begin"/>
          </w:r>
          <w:r>
            <w:rPr>
              <w:color w:val="auto"/>
              <w:highlight w:val="none"/>
            </w:rPr>
            <w:instrText xml:space="preserve"> PAGEREF _Toc279671053 \h </w:instrText>
          </w:r>
          <w:r>
            <w:rPr>
              <w:color w:val="auto"/>
              <w:highlight w:val="none"/>
            </w:rPr>
            <w:fldChar w:fldCharType="separate"/>
          </w:r>
          <w:r>
            <w:rPr>
              <w:color w:val="auto"/>
              <w:highlight w:val="none"/>
            </w:rPr>
            <w:t>4</w:t>
          </w:r>
          <w:r>
            <w:rPr>
              <w:color w:val="auto"/>
              <w:highlight w:val="none"/>
            </w:rPr>
            <w:fldChar w:fldCharType="end"/>
          </w:r>
          <w:r>
            <w:rPr>
              <w:rFonts w:hint="eastAsia" w:ascii="黑体" w:hAnsi="黑体" w:eastAsia="黑体" w:cs="黑体"/>
              <w:color w:val="auto"/>
              <w:szCs w:val="24"/>
              <w:highlight w:val="none"/>
            </w:rPr>
            <w:fldChar w:fldCharType="end"/>
          </w:r>
        </w:p>
        <w:p>
          <w:pPr>
            <w:pStyle w:val="17"/>
            <w:tabs>
              <w:tab w:val="right" w:leader="dot" w:pos="8787"/>
              <w:tab w:val="clear" w:pos="8296"/>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_Toc1737168135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2工程概述</w:t>
          </w:r>
          <w:r>
            <w:rPr>
              <w:color w:val="auto"/>
              <w:highlight w:val="none"/>
            </w:rPr>
            <w:tab/>
          </w:r>
          <w:r>
            <w:rPr>
              <w:color w:val="auto"/>
              <w:highlight w:val="none"/>
            </w:rPr>
            <w:fldChar w:fldCharType="begin"/>
          </w:r>
          <w:r>
            <w:rPr>
              <w:color w:val="auto"/>
              <w:highlight w:val="none"/>
            </w:rPr>
            <w:instrText xml:space="preserve"> PAGEREF _Toc1737168135 \h </w:instrText>
          </w:r>
          <w:r>
            <w:rPr>
              <w:color w:val="auto"/>
              <w:highlight w:val="none"/>
            </w:rPr>
            <w:fldChar w:fldCharType="separate"/>
          </w:r>
          <w:r>
            <w:rPr>
              <w:color w:val="auto"/>
              <w:highlight w:val="none"/>
            </w:rPr>
            <w:t>5</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_Toc1544663980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2.1工程概况</w:t>
          </w:r>
          <w:r>
            <w:rPr>
              <w:color w:val="auto"/>
              <w:highlight w:val="none"/>
            </w:rPr>
            <w:tab/>
          </w:r>
          <w:r>
            <w:rPr>
              <w:color w:val="auto"/>
              <w:highlight w:val="none"/>
            </w:rPr>
            <w:fldChar w:fldCharType="begin"/>
          </w:r>
          <w:r>
            <w:rPr>
              <w:color w:val="auto"/>
              <w:highlight w:val="none"/>
            </w:rPr>
            <w:instrText xml:space="preserve"> PAGEREF _Toc1544663980 \h </w:instrText>
          </w:r>
          <w:r>
            <w:rPr>
              <w:color w:val="auto"/>
              <w:highlight w:val="none"/>
            </w:rPr>
            <w:fldChar w:fldCharType="separate"/>
          </w:r>
          <w:r>
            <w:rPr>
              <w:color w:val="auto"/>
              <w:highlight w:val="none"/>
            </w:rPr>
            <w:t>5</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_Toc237703277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2.2使用条件</w:t>
          </w:r>
          <w:r>
            <w:rPr>
              <w:color w:val="auto"/>
              <w:highlight w:val="none"/>
            </w:rPr>
            <w:tab/>
          </w:r>
          <w:r>
            <w:rPr>
              <w:color w:val="auto"/>
              <w:highlight w:val="none"/>
            </w:rPr>
            <w:fldChar w:fldCharType="begin"/>
          </w:r>
          <w:r>
            <w:rPr>
              <w:color w:val="auto"/>
              <w:highlight w:val="none"/>
            </w:rPr>
            <w:instrText xml:space="preserve"> PAGEREF _Toc237703277 \h </w:instrText>
          </w:r>
          <w:r>
            <w:rPr>
              <w:color w:val="auto"/>
              <w:highlight w:val="none"/>
            </w:rPr>
            <w:fldChar w:fldCharType="separate"/>
          </w:r>
          <w:r>
            <w:rPr>
              <w:color w:val="auto"/>
              <w:highlight w:val="none"/>
            </w:rPr>
            <w:t>5</w:t>
          </w:r>
          <w:r>
            <w:rPr>
              <w:color w:val="auto"/>
              <w:highlight w:val="none"/>
            </w:rPr>
            <w:fldChar w:fldCharType="end"/>
          </w:r>
          <w:r>
            <w:rPr>
              <w:rFonts w:hint="eastAsia" w:ascii="黑体" w:hAnsi="黑体" w:eastAsia="黑体" w:cs="黑体"/>
              <w:color w:val="auto"/>
              <w:szCs w:val="24"/>
              <w:highlight w:val="none"/>
            </w:rPr>
            <w:fldChar w:fldCharType="end"/>
          </w:r>
        </w:p>
        <w:p>
          <w:pPr>
            <w:pStyle w:val="17"/>
            <w:tabs>
              <w:tab w:val="right" w:leader="dot" w:pos="8787"/>
              <w:tab w:val="clear" w:pos="8296"/>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_Toc759393119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3技术要求</w:t>
          </w:r>
          <w:r>
            <w:rPr>
              <w:color w:val="auto"/>
              <w:highlight w:val="none"/>
            </w:rPr>
            <w:tab/>
          </w:r>
          <w:r>
            <w:rPr>
              <w:color w:val="auto"/>
              <w:highlight w:val="none"/>
            </w:rPr>
            <w:fldChar w:fldCharType="begin"/>
          </w:r>
          <w:r>
            <w:rPr>
              <w:color w:val="auto"/>
              <w:highlight w:val="none"/>
            </w:rPr>
            <w:instrText xml:space="preserve"> PAGEREF _Toc759393119 \h </w:instrText>
          </w:r>
          <w:r>
            <w:rPr>
              <w:color w:val="auto"/>
              <w:highlight w:val="none"/>
            </w:rPr>
            <w:fldChar w:fldCharType="separate"/>
          </w:r>
          <w:r>
            <w:rPr>
              <w:color w:val="auto"/>
              <w:highlight w:val="none"/>
            </w:rPr>
            <w:t>6</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_Toc624836912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3.1使用环境条件</w:t>
          </w:r>
          <w:r>
            <w:rPr>
              <w:color w:val="auto"/>
              <w:highlight w:val="none"/>
            </w:rPr>
            <w:tab/>
          </w:r>
          <w:r>
            <w:rPr>
              <w:color w:val="auto"/>
              <w:highlight w:val="none"/>
            </w:rPr>
            <w:fldChar w:fldCharType="begin"/>
          </w:r>
          <w:r>
            <w:rPr>
              <w:color w:val="auto"/>
              <w:highlight w:val="none"/>
            </w:rPr>
            <w:instrText xml:space="preserve"> PAGEREF _Toc624836912 \h </w:instrText>
          </w:r>
          <w:r>
            <w:rPr>
              <w:color w:val="auto"/>
              <w:highlight w:val="none"/>
            </w:rPr>
            <w:fldChar w:fldCharType="separate"/>
          </w:r>
          <w:r>
            <w:rPr>
              <w:color w:val="auto"/>
              <w:highlight w:val="none"/>
            </w:rPr>
            <w:t>6</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_Toc438946154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3.2工作条件</w:t>
          </w:r>
          <w:r>
            <w:rPr>
              <w:color w:val="auto"/>
              <w:highlight w:val="none"/>
            </w:rPr>
            <w:tab/>
          </w:r>
          <w:r>
            <w:rPr>
              <w:color w:val="auto"/>
              <w:highlight w:val="none"/>
            </w:rPr>
            <w:fldChar w:fldCharType="begin"/>
          </w:r>
          <w:r>
            <w:rPr>
              <w:color w:val="auto"/>
              <w:highlight w:val="none"/>
            </w:rPr>
            <w:instrText xml:space="preserve"> PAGEREF _Toc438946154 \h </w:instrText>
          </w:r>
          <w:r>
            <w:rPr>
              <w:color w:val="auto"/>
              <w:highlight w:val="none"/>
            </w:rPr>
            <w:fldChar w:fldCharType="separate"/>
          </w:r>
          <w:r>
            <w:rPr>
              <w:color w:val="auto"/>
              <w:highlight w:val="none"/>
            </w:rPr>
            <w:t>6</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_Toc761682833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3.3应遵循的主要标准</w:t>
          </w:r>
          <w:r>
            <w:rPr>
              <w:color w:val="auto"/>
              <w:highlight w:val="none"/>
            </w:rPr>
            <w:tab/>
          </w:r>
          <w:r>
            <w:rPr>
              <w:color w:val="auto"/>
              <w:highlight w:val="none"/>
            </w:rPr>
            <w:fldChar w:fldCharType="begin"/>
          </w:r>
          <w:r>
            <w:rPr>
              <w:color w:val="auto"/>
              <w:highlight w:val="none"/>
            </w:rPr>
            <w:instrText xml:space="preserve"> PAGEREF _Toc761682833 \h </w:instrText>
          </w:r>
          <w:r>
            <w:rPr>
              <w:color w:val="auto"/>
              <w:highlight w:val="none"/>
            </w:rPr>
            <w:fldChar w:fldCharType="separate"/>
          </w:r>
          <w:r>
            <w:rPr>
              <w:color w:val="auto"/>
              <w:highlight w:val="none"/>
            </w:rPr>
            <w:t>6</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_Toc453354464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3.4结构与材质要求</w:t>
          </w:r>
          <w:r>
            <w:rPr>
              <w:color w:val="auto"/>
              <w:highlight w:val="none"/>
            </w:rPr>
            <w:tab/>
          </w:r>
          <w:r>
            <w:rPr>
              <w:color w:val="auto"/>
              <w:highlight w:val="none"/>
            </w:rPr>
            <w:fldChar w:fldCharType="begin"/>
          </w:r>
          <w:r>
            <w:rPr>
              <w:color w:val="auto"/>
              <w:highlight w:val="none"/>
            </w:rPr>
            <w:instrText xml:space="preserve"> PAGEREF _Toc453354464 \h </w:instrText>
          </w:r>
          <w:r>
            <w:rPr>
              <w:color w:val="auto"/>
              <w:highlight w:val="none"/>
            </w:rPr>
            <w:fldChar w:fldCharType="separate"/>
          </w:r>
          <w:r>
            <w:rPr>
              <w:color w:val="auto"/>
              <w:highlight w:val="none"/>
            </w:rPr>
            <w:t>6</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_Toc256496892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3.5安全性能要求</w:t>
          </w:r>
          <w:r>
            <w:rPr>
              <w:color w:val="auto"/>
              <w:highlight w:val="none"/>
            </w:rPr>
            <w:tab/>
          </w:r>
          <w:r>
            <w:rPr>
              <w:color w:val="auto"/>
              <w:highlight w:val="none"/>
            </w:rPr>
            <w:fldChar w:fldCharType="begin"/>
          </w:r>
          <w:r>
            <w:rPr>
              <w:color w:val="auto"/>
              <w:highlight w:val="none"/>
            </w:rPr>
            <w:instrText xml:space="preserve"> PAGEREF _Toc256496892 \h </w:instrText>
          </w:r>
          <w:r>
            <w:rPr>
              <w:color w:val="auto"/>
              <w:highlight w:val="none"/>
            </w:rPr>
            <w:fldChar w:fldCharType="separate"/>
          </w:r>
          <w:r>
            <w:rPr>
              <w:color w:val="auto"/>
              <w:highlight w:val="none"/>
            </w:rPr>
            <w:t>7</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_Toc943584315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3.6</w:t>
          </w:r>
          <w:r>
            <w:rPr>
              <w:rFonts w:hint="eastAsia" w:ascii="Arial" w:hAnsi="Arial" w:eastAsia="等线" w:cs="Arial"/>
              <w:color w:val="auto"/>
              <w:highlight w:val="none"/>
            </w:rPr>
            <w:t>遥控</w:t>
          </w:r>
          <w:r>
            <w:rPr>
              <w:rFonts w:ascii="Arial" w:hAnsi="Arial" w:eastAsia="等线" w:cs="Arial"/>
              <w:color w:val="auto"/>
              <w:highlight w:val="none"/>
            </w:rPr>
            <w:t>要求</w:t>
          </w:r>
          <w:r>
            <w:rPr>
              <w:color w:val="auto"/>
              <w:highlight w:val="none"/>
            </w:rPr>
            <w:tab/>
          </w:r>
          <w:r>
            <w:rPr>
              <w:color w:val="auto"/>
              <w:highlight w:val="none"/>
            </w:rPr>
            <w:fldChar w:fldCharType="begin"/>
          </w:r>
          <w:r>
            <w:rPr>
              <w:color w:val="auto"/>
              <w:highlight w:val="none"/>
            </w:rPr>
            <w:instrText xml:space="preserve"> PAGEREF _Toc943584315 \h </w:instrText>
          </w:r>
          <w:r>
            <w:rPr>
              <w:color w:val="auto"/>
              <w:highlight w:val="none"/>
            </w:rPr>
            <w:fldChar w:fldCharType="separate"/>
          </w:r>
          <w:r>
            <w:rPr>
              <w:color w:val="auto"/>
              <w:highlight w:val="none"/>
            </w:rPr>
            <w:t>7</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_Toc1802332757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3.7核心性能指标</w:t>
          </w:r>
          <w:r>
            <w:rPr>
              <w:color w:val="auto"/>
              <w:highlight w:val="none"/>
            </w:rPr>
            <w:tab/>
          </w:r>
          <w:r>
            <w:rPr>
              <w:color w:val="auto"/>
              <w:highlight w:val="none"/>
            </w:rPr>
            <w:fldChar w:fldCharType="begin"/>
          </w:r>
          <w:r>
            <w:rPr>
              <w:color w:val="auto"/>
              <w:highlight w:val="none"/>
            </w:rPr>
            <w:instrText xml:space="preserve"> PAGEREF _Toc1802332757 \h </w:instrText>
          </w:r>
          <w:r>
            <w:rPr>
              <w:color w:val="auto"/>
              <w:highlight w:val="none"/>
            </w:rPr>
            <w:fldChar w:fldCharType="separate"/>
          </w:r>
          <w:r>
            <w:rPr>
              <w:color w:val="auto"/>
              <w:highlight w:val="none"/>
            </w:rPr>
            <w:t>8</w:t>
          </w:r>
          <w:r>
            <w:rPr>
              <w:color w:val="auto"/>
              <w:highlight w:val="none"/>
            </w:rPr>
            <w:fldChar w:fldCharType="end"/>
          </w:r>
          <w:r>
            <w:rPr>
              <w:rFonts w:hint="eastAsia" w:ascii="黑体" w:hAnsi="黑体" w:eastAsia="黑体" w:cs="黑体"/>
              <w:color w:val="auto"/>
              <w:szCs w:val="24"/>
              <w:highlight w:val="none"/>
            </w:rPr>
            <w:fldChar w:fldCharType="end"/>
          </w:r>
        </w:p>
        <w:p>
          <w:pPr>
            <w:pStyle w:val="17"/>
            <w:tabs>
              <w:tab w:val="right" w:leader="dot" w:pos="8787"/>
              <w:tab w:val="clear" w:pos="8296"/>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_Toc1549805964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4供货需求及范围</w:t>
          </w:r>
          <w:r>
            <w:rPr>
              <w:color w:val="auto"/>
              <w:highlight w:val="none"/>
            </w:rPr>
            <w:tab/>
          </w:r>
          <w:r>
            <w:rPr>
              <w:color w:val="auto"/>
              <w:highlight w:val="none"/>
            </w:rPr>
            <w:fldChar w:fldCharType="begin"/>
          </w:r>
          <w:r>
            <w:rPr>
              <w:color w:val="auto"/>
              <w:highlight w:val="none"/>
            </w:rPr>
            <w:instrText xml:space="preserve"> PAGEREF _Toc1549805964 \h </w:instrText>
          </w:r>
          <w:r>
            <w:rPr>
              <w:color w:val="auto"/>
              <w:highlight w:val="none"/>
            </w:rPr>
            <w:fldChar w:fldCharType="separate"/>
          </w:r>
          <w:r>
            <w:rPr>
              <w:color w:val="auto"/>
              <w:highlight w:val="none"/>
            </w:rPr>
            <w:t>9</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_Toc759682485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4.1供货总体要求</w:t>
          </w:r>
          <w:r>
            <w:rPr>
              <w:color w:val="auto"/>
              <w:highlight w:val="none"/>
            </w:rPr>
            <w:tab/>
          </w:r>
          <w:r>
            <w:rPr>
              <w:color w:val="auto"/>
              <w:highlight w:val="none"/>
            </w:rPr>
            <w:fldChar w:fldCharType="begin"/>
          </w:r>
          <w:r>
            <w:rPr>
              <w:color w:val="auto"/>
              <w:highlight w:val="none"/>
            </w:rPr>
            <w:instrText xml:space="preserve"> PAGEREF _Toc759682485 \h </w:instrText>
          </w:r>
          <w:r>
            <w:rPr>
              <w:color w:val="auto"/>
              <w:highlight w:val="none"/>
            </w:rPr>
            <w:fldChar w:fldCharType="separate"/>
          </w:r>
          <w:r>
            <w:rPr>
              <w:color w:val="auto"/>
              <w:highlight w:val="none"/>
            </w:rPr>
            <w:t>9</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_Toc1193243980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4.2最低供货范围</w:t>
          </w:r>
          <w:r>
            <w:rPr>
              <w:color w:val="auto"/>
              <w:highlight w:val="none"/>
            </w:rPr>
            <w:tab/>
          </w:r>
          <w:r>
            <w:rPr>
              <w:color w:val="auto"/>
              <w:highlight w:val="none"/>
            </w:rPr>
            <w:fldChar w:fldCharType="begin"/>
          </w:r>
          <w:r>
            <w:rPr>
              <w:color w:val="auto"/>
              <w:highlight w:val="none"/>
            </w:rPr>
            <w:instrText xml:space="preserve"> PAGEREF _Toc1193243980 \h </w:instrText>
          </w:r>
          <w:r>
            <w:rPr>
              <w:color w:val="auto"/>
              <w:highlight w:val="none"/>
            </w:rPr>
            <w:fldChar w:fldCharType="separate"/>
          </w:r>
          <w:r>
            <w:rPr>
              <w:color w:val="auto"/>
              <w:highlight w:val="none"/>
            </w:rPr>
            <w:t>9</w:t>
          </w:r>
          <w:r>
            <w:rPr>
              <w:color w:val="auto"/>
              <w:highlight w:val="none"/>
            </w:rPr>
            <w:fldChar w:fldCharType="end"/>
          </w:r>
          <w:r>
            <w:rPr>
              <w:rFonts w:hint="eastAsia" w:ascii="黑体" w:hAnsi="黑体" w:eastAsia="黑体" w:cs="黑体"/>
              <w:color w:val="auto"/>
              <w:szCs w:val="24"/>
              <w:highlight w:val="none"/>
            </w:rPr>
            <w:fldChar w:fldCharType="end"/>
          </w:r>
        </w:p>
        <w:p>
          <w:pPr>
            <w:pStyle w:val="17"/>
            <w:tabs>
              <w:tab w:val="right" w:leader="dot" w:pos="8787"/>
              <w:tab w:val="clear" w:pos="8296"/>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_Toc1649276174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5试验与验收</w:t>
          </w:r>
          <w:r>
            <w:rPr>
              <w:color w:val="auto"/>
              <w:highlight w:val="none"/>
            </w:rPr>
            <w:tab/>
          </w:r>
          <w:r>
            <w:rPr>
              <w:color w:val="auto"/>
              <w:highlight w:val="none"/>
            </w:rPr>
            <w:fldChar w:fldCharType="begin"/>
          </w:r>
          <w:r>
            <w:rPr>
              <w:color w:val="auto"/>
              <w:highlight w:val="none"/>
            </w:rPr>
            <w:instrText xml:space="preserve"> PAGEREF _Toc1649276174 \h </w:instrText>
          </w:r>
          <w:r>
            <w:rPr>
              <w:color w:val="auto"/>
              <w:highlight w:val="none"/>
            </w:rPr>
            <w:fldChar w:fldCharType="separate"/>
          </w:r>
          <w:r>
            <w:rPr>
              <w:color w:val="auto"/>
              <w:highlight w:val="none"/>
            </w:rPr>
            <w:t>10</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_Toc1813224589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5.1型式试验</w:t>
          </w:r>
          <w:r>
            <w:rPr>
              <w:color w:val="auto"/>
              <w:highlight w:val="none"/>
            </w:rPr>
            <w:tab/>
          </w:r>
          <w:r>
            <w:rPr>
              <w:color w:val="auto"/>
              <w:highlight w:val="none"/>
            </w:rPr>
            <w:fldChar w:fldCharType="begin"/>
          </w:r>
          <w:r>
            <w:rPr>
              <w:color w:val="auto"/>
              <w:highlight w:val="none"/>
            </w:rPr>
            <w:instrText xml:space="preserve"> PAGEREF _Toc1813224589 \h </w:instrText>
          </w:r>
          <w:r>
            <w:rPr>
              <w:color w:val="auto"/>
              <w:highlight w:val="none"/>
            </w:rPr>
            <w:fldChar w:fldCharType="separate"/>
          </w:r>
          <w:r>
            <w:rPr>
              <w:color w:val="auto"/>
              <w:highlight w:val="none"/>
            </w:rPr>
            <w:t>10</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_Toc2072716393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5.2出厂试验</w:t>
          </w:r>
          <w:r>
            <w:rPr>
              <w:color w:val="auto"/>
              <w:highlight w:val="none"/>
            </w:rPr>
            <w:tab/>
          </w:r>
          <w:r>
            <w:rPr>
              <w:color w:val="auto"/>
              <w:highlight w:val="none"/>
            </w:rPr>
            <w:fldChar w:fldCharType="begin"/>
          </w:r>
          <w:r>
            <w:rPr>
              <w:color w:val="auto"/>
              <w:highlight w:val="none"/>
            </w:rPr>
            <w:instrText xml:space="preserve"> PAGEREF _Toc2072716393 \h </w:instrText>
          </w:r>
          <w:r>
            <w:rPr>
              <w:color w:val="auto"/>
              <w:highlight w:val="none"/>
            </w:rPr>
            <w:fldChar w:fldCharType="separate"/>
          </w:r>
          <w:r>
            <w:rPr>
              <w:color w:val="auto"/>
              <w:highlight w:val="none"/>
            </w:rPr>
            <w:t>10</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_Toc1812179164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5.3现场验收</w:t>
          </w:r>
          <w:r>
            <w:rPr>
              <w:color w:val="auto"/>
              <w:highlight w:val="none"/>
            </w:rPr>
            <w:tab/>
          </w:r>
          <w:r>
            <w:rPr>
              <w:color w:val="auto"/>
              <w:highlight w:val="none"/>
            </w:rPr>
            <w:fldChar w:fldCharType="begin"/>
          </w:r>
          <w:r>
            <w:rPr>
              <w:color w:val="auto"/>
              <w:highlight w:val="none"/>
            </w:rPr>
            <w:instrText xml:space="preserve"> PAGEREF _Toc1812179164 \h </w:instrText>
          </w:r>
          <w:r>
            <w:rPr>
              <w:color w:val="auto"/>
              <w:highlight w:val="none"/>
            </w:rPr>
            <w:fldChar w:fldCharType="separate"/>
          </w:r>
          <w:r>
            <w:rPr>
              <w:color w:val="auto"/>
              <w:highlight w:val="none"/>
            </w:rPr>
            <w:t>11</w:t>
          </w:r>
          <w:r>
            <w:rPr>
              <w:color w:val="auto"/>
              <w:highlight w:val="none"/>
            </w:rPr>
            <w:fldChar w:fldCharType="end"/>
          </w:r>
          <w:r>
            <w:rPr>
              <w:rFonts w:hint="eastAsia" w:ascii="黑体" w:hAnsi="黑体" w:eastAsia="黑体" w:cs="黑体"/>
              <w:color w:val="auto"/>
              <w:szCs w:val="24"/>
              <w:highlight w:val="none"/>
            </w:rPr>
            <w:fldChar w:fldCharType="end"/>
          </w:r>
        </w:p>
        <w:p>
          <w:pPr>
            <w:pStyle w:val="17"/>
            <w:tabs>
              <w:tab w:val="right" w:leader="dot" w:pos="8787"/>
              <w:tab w:val="clear" w:pos="8296"/>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_Toc1682127594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6监造、包装、运输与贮存</w:t>
          </w:r>
          <w:r>
            <w:rPr>
              <w:color w:val="auto"/>
              <w:highlight w:val="none"/>
            </w:rPr>
            <w:tab/>
          </w:r>
          <w:r>
            <w:rPr>
              <w:color w:val="auto"/>
              <w:highlight w:val="none"/>
            </w:rPr>
            <w:fldChar w:fldCharType="begin"/>
          </w:r>
          <w:r>
            <w:rPr>
              <w:color w:val="auto"/>
              <w:highlight w:val="none"/>
            </w:rPr>
            <w:instrText xml:space="preserve"> PAGEREF _Toc1682127594 \h </w:instrText>
          </w:r>
          <w:r>
            <w:rPr>
              <w:color w:val="auto"/>
              <w:highlight w:val="none"/>
            </w:rPr>
            <w:fldChar w:fldCharType="separate"/>
          </w:r>
          <w:r>
            <w:rPr>
              <w:color w:val="auto"/>
              <w:highlight w:val="none"/>
            </w:rPr>
            <w:t>11</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_Toc2043743250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6.1监造要求</w:t>
          </w:r>
          <w:r>
            <w:rPr>
              <w:color w:val="auto"/>
              <w:highlight w:val="none"/>
            </w:rPr>
            <w:tab/>
          </w:r>
          <w:r>
            <w:rPr>
              <w:color w:val="auto"/>
              <w:highlight w:val="none"/>
            </w:rPr>
            <w:fldChar w:fldCharType="begin"/>
          </w:r>
          <w:r>
            <w:rPr>
              <w:color w:val="auto"/>
              <w:highlight w:val="none"/>
            </w:rPr>
            <w:instrText xml:space="preserve"> PAGEREF _Toc2043743250 \h </w:instrText>
          </w:r>
          <w:r>
            <w:rPr>
              <w:color w:val="auto"/>
              <w:highlight w:val="none"/>
            </w:rPr>
            <w:fldChar w:fldCharType="separate"/>
          </w:r>
          <w:r>
            <w:rPr>
              <w:color w:val="auto"/>
              <w:highlight w:val="none"/>
            </w:rPr>
            <w:t>11</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_Toc191868985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6.2包装要求</w:t>
          </w:r>
          <w:r>
            <w:rPr>
              <w:color w:val="auto"/>
              <w:highlight w:val="none"/>
            </w:rPr>
            <w:tab/>
          </w:r>
          <w:r>
            <w:rPr>
              <w:color w:val="auto"/>
              <w:highlight w:val="none"/>
            </w:rPr>
            <w:fldChar w:fldCharType="begin"/>
          </w:r>
          <w:r>
            <w:rPr>
              <w:color w:val="auto"/>
              <w:highlight w:val="none"/>
            </w:rPr>
            <w:instrText xml:space="preserve"> PAGEREF _Toc191868985 \h </w:instrText>
          </w:r>
          <w:r>
            <w:rPr>
              <w:color w:val="auto"/>
              <w:highlight w:val="none"/>
            </w:rPr>
            <w:fldChar w:fldCharType="separate"/>
          </w:r>
          <w:r>
            <w:rPr>
              <w:color w:val="auto"/>
              <w:highlight w:val="none"/>
            </w:rPr>
            <w:t>12</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_Toc1369076748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6.3运输要求</w:t>
          </w:r>
          <w:r>
            <w:rPr>
              <w:color w:val="auto"/>
              <w:highlight w:val="none"/>
            </w:rPr>
            <w:tab/>
          </w:r>
          <w:r>
            <w:rPr>
              <w:color w:val="auto"/>
              <w:highlight w:val="none"/>
            </w:rPr>
            <w:fldChar w:fldCharType="begin"/>
          </w:r>
          <w:r>
            <w:rPr>
              <w:color w:val="auto"/>
              <w:highlight w:val="none"/>
            </w:rPr>
            <w:instrText xml:space="preserve"> PAGEREF _Toc1369076748 \h </w:instrText>
          </w:r>
          <w:r>
            <w:rPr>
              <w:color w:val="auto"/>
              <w:highlight w:val="none"/>
            </w:rPr>
            <w:fldChar w:fldCharType="separate"/>
          </w:r>
          <w:r>
            <w:rPr>
              <w:color w:val="auto"/>
              <w:highlight w:val="none"/>
            </w:rPr>
            <w:t>12</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_Toc1933109678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6.4贮存要求</w:t>
          </w:r>
          <w:r>
            <w:rPr>
              <w:color w:val="auto"/>
              <w:highlight w:val="none"/>
            </w:rPr>
            <w:tab/>
          </w:r>
          <w:r>
            <w:rPr>
              <w:color w:val="auto"/>
              <w:highlight w:val="none"/>
            </w:rPr>
            <w:fldChar w:fldCharType="begin"/>
          </w:r>
          <w:r>
            <w:rPr>
              <w:color w:val="auto"/>
              <w:highlight w:val="none"/>
            </w:rPr>
            <w:instrText xml:space="preserve"> PAGEREF _Toc1933109678 \h </w:instrText>
          </w:r>
          <w:r>
            <w:rPr>
              <w:color w:val="auto"/>
              <w:highlight w:val="none"/>
            </w:rPr>
            <w:fldChar w:fldCharType="separate"/>
          </w:r>
          <w:r>
            <w:rPr>
              <w:color w:val="auto"/>
              <w:highlight w:val="none"/>
            </w:rPr>
            <w:t>12</w:t>
          </w:r>
          <w:r>
            <w:rPr>
              <w:color w:val="auto"/>
              <w:highlight w:val="none"/>
            </w:rPr>
            <w:fldChar w:fldCharType="end"/>
          </w:r>
          <w:r>
            <w:rPr>
              <w:rFonts w:hint="eastAsia" w:ascii="黑体" w:hAnsi="黑体" w:eastAsia="黑体" w:cs="黑体"/>
              <w:color w:val="auto"/>
              <w:szCs w:val="24"/>
              <w:highlight w:val="none"/>
            </w:rPr>
            <w:fldChar w:fldCharType="end"/>
          </w:r>
        </w:p>
        <w:p>
          <w:pPr>
            <w:pStyle w:val="17"/>
            <w:tabs>
              <w:tab w:val="right" w:leader="dot" w:pos="8787"/>
              <w:tab w:val="clear" w:pos="8296"/>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_Toc494262683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7质量保证与售后服务</w:t>
          </w:r>
          <w:r>
            <w:rPr>
              <w:color w:val="auto"/>
              <w:highlight w:val="none"/>
            </w:rPr>
            <w:tab/>
          </w:r>
          <w:r>
            <w:rPr>
              <w:color w:val="auto"/>
              <w:highlight w:val="none"/>
            </w:rPr>
            <w:fldChar w:fldCharType="begin"/>
          </w:r>
          <w:r>
            <w:rPr>
              <w:color w:val="auto"/>
              <w:highlight w:val="none"/>
            </w:rPr>
            <w:instrText xml:space="preserve"> PAGEREF _Toc494262683 \h </w:instrText>
          </w:r>
          <w:r>
            <w:rPr>
              <w:color w:val="auto"/>
              <w:highlight w:val="none"/>
            </w:rPr>
            <w:fldChar w:fldCharType="separate"/>
          </w:r>
          <w:r>
            <w:rPr>
              <w:color w:val="auto"/>
              <w:highlight w:val="none"/>
            </w:rPr>
            <w:t>13</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_Toc606166585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7.1质量保证要求</w:t>
          </w:r>
          <w:r>
            <w:rPr>
              <w:color w:val="auto"/>
              <w:highlight w:val="none"/>
            </w:rPr>
            <w:tab/>
          </w:r>
          <w:r>
            <w:rPr>
              <w:color w:val="auto"/>
              <w:highlight w:val="none"/>
            </w:rPr>
            <w:fldChar w:fldCharType="begin"/>
          </w:r>
          <w:r>
            <w:rPr>
              <w:color w:val="auto"/>
              <w:highlight w:val="none"/>
            </w:rPr>
            <w:instrText xml:space="preserve"> PAGEREF _Toc606166585 \h </w:instrText>
          </w:r>
          <w:r>
            <w:rPr>
              <w:color w:val="auto"/>
              <w:highlight w:val="none"/>
            </w:rPr>
            <w:fldChar w:fldCharType="separate"/>
          </w:r>
          <w:r>
            <w:rPr>
              <w:color w:val="auto"/>
              <w:highlight w:val="none"/>
            </w:rPr>
            <w:t>13</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_Toc179372727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7.2售后服务要求</w:t>
          </w:r>
          <w:r>
            <w:rPr>
              <w:color w:val="auto"/>
              <w:highlight w:val="none"/>
            </w:rPr>
            <w:tab/>
          </w:r>
          <w:r>
            <w:rPr>
              <w:color w:val="auto"/>
              <w:highlight w:val="none"/>
            </w:rPr>
            <w:fldChar w:fldCharType="begin"/>
          </w:r>
          <w:r>
            <w:rPr>
              <w:color w:val="auto"/>
              <w:highlight w:val="none"/>
            </w:rPr>
            <w:instrText xml:space="preserve"> PAGEREF _Toc179372727 \h </w:instrText>
          </w:r>
          <w:r>
            <w:rPr>
              <w:color w:val="auto"/>
              <w:highlight w:val="none"/>
            </w:rPr>
            <w:fldChar w:fldCharType="separate"/>
          </w:r>
          <w:r>
            <w:rPr>
              <w:color w:val="auto"/>
              <w:highlight w:val="none"/>
            </w:rPr>
            <w:t>13</w:t>
          </w:r>
          <w:r>
            <w:rPr>
              <w:color w:val="auto"/>
              <w:highlight w:val="none"/>
            </w:rPr>
            <w:fldChar w:fldCharType="end"/>
          </w:r>
          <w:r>
            <w:rPr>
              <w:rFonts w:hint="eastAsia" w:ascii="黑体" w:hAnsi="黑体" w:eastAsia="黑体" w:cs="黑体"/>
              <w:color w:val="auto"/>
              <w:szCs w:val="24"/>
              <w:highlight w:val="none"/>
            </w:rPr>
            <w:fldChar w:fldCharType="end"/>
          </w:r>
        </w:p>
        <w:p>
          <w:pPr>
            <w:pStyle w:val="17"/>
            <w:tabs>
              <w:tab w:val="right" w:leader="dot" w:pos="8787"/>
              <w:tab w:val="clear" w:pos="8296"/>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_Toc1797865948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8招标方与投标方职责</w:t>
          </w:r>
          <w:r>
            <w:rPr>
              <w:color w:val="auto"/>
              <w:highlight w:val="none"/>
            </w:rPr>
            <w:tab/>
          </w:r>
          <w:r>
            <w:rPr>
              <w:color w:val="auto"/>
              <w:highlight w:val="none"/>
            </w:rPr>
            <w:fldChar w:fldCharType="begin"/>
          </w:r>
          <w:r>
            <w:rPr>
              <w:color w:val="auto"/>
              <w:highlight w:val="none"/>
            </w:rPr>
            <w:instrText xml:space="preserve"> PAGEREF _Toc1797865948 \h </w:instrText>
          </w:r>
          <w:r>
            <w:rPr>
              <w:color w:val="auto"/>
              <w:highlight w:val="none"/>
            </w:rPr>
            <w:fldChar w:fldCharType="separate"/>
          </w:r>
          <w:r>
            <w:rPr>
              <w:color w:val="auto"/>
              <w:highlight w:val="none"/>
            </w:rPr>
            <w:t>13</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_Toc1638074746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8.1招标方职责</w:t>
          </w:r>
          <w:r>
            <w:rPr>
              <w:color w:val="auto"/>
              <w:highlight w:val="none"/>
            </w:rPr>
            <w:tab/>
          </w:r>
          <w:r>
            <w:rPr>
              <w:color w:val="auto"/>
              <w:highlight w:val="none"/>
            </w:rPr>
            <w:fldChar w:fldCharType="begin"/>
          </w:r>
          <w:r>
            <w:rPr>
              <w:color w:val="auto"/>
              <w:highlight w:val="none"/>
            </w:rPr>
            <w:instrText xml:space="preserve"> PAGEREF _Toc1638074746 \h </w:instrText>
          </w:r>
          <w:r>
            <w:rPr>
              <w:color w:val="auto"/>
              <w:highlight w:val="none"/>
            </w:rPr>
            <w:fldChar w:fldCharType="separate"/>
          </w:r>
          <w:r>
            <w:rPr>
              <w:color w:val="auto"/>
              <w:highlight w:val="none"/>
            </w:rPr>
            <w:t>14</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_Toc381901482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8.2投标方职责</w:t>
          </w:r>
          <w:r>
            <w:rPr>
              <w:color w:val="auto"/>
              <w:highlight w:val="none"/>
            </w:rPr>
            <w:tab/>
          </w:r>
          <w:r>
            <w:rPr>
              <w:color w:val="auto"/>
              <w:highlight w:val="none"/>
            </w:rPr>
            <w:fldChar w:fldCharType="begin"/>
          </w:r>
          <w:r>
            <w:rPr>
              <w:color w:val="auto"/>
              <w:highlight w:val="none"/>
            </w:rPr>
            <w:instrText xml:space="preserve"> PAGEREF _Toc381901482 \h </w:instrText>
          </w:r>
          <w:r>
            <w:rPr>
              <w:color w:val="auto"/>
              <w:highlight w:val="none"/>
            </w:rPr>
            <w:fldChar w:fldCharType="separate"/>
          </w:r>
          <w:r>
            <w:rPr>
              <w:color w:val="auto"/>
              <w:highlight w:val="none"/>
            </w:rPr>
            <w:t>14</w:t>
          </w:r>
          <w:r>
            <w:rPr>
              <w:color w:val="auto"/>
              <w:highlight w:val="none"/>
            </w:rPr>
            <w:fldChar w:fldCharType="end"/>
          </w:r>
          <w:r>
            <w:rPr>
              <w:rFonts w:hint="eastAsia" w:ascii="黑体" w:hAnsi="黑体" w:eastAsia="黑体" w:cs="黑体"/>
              <w:color w:val="auto"/>
              <w:szCs w:val="24"/>
              <w:highlight w:val="none"/>
            </w:rPr>
            <w:fldChar w:fldCharType="end"/>
          </w:r>
        </w:p>
        <w:p>
          <w:pPr>
            <w:pStyle w:val="17"/>
            <w:tabs>
              <w:tab w:val="right" w:leader="dot" w:pos="8787"/>
              <w:tab w:val="clear" w:pos="8296"/>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_Toc1937070738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9设计联络、技术培训要求</w:t>
          </w:r>
          <w:r>
            <w:rPr>
              <w:color w:val="auto"/>
              <w:highlight w:val="none"/>
            </w:rPr>
            <w:tab/>
          </w:r>
          <w:r>
            <w:rPr>
              <w:color w:val="auto"/>
              <w:highlight w:val="none"/>
            </w:rPr>
            <w:fldChar w:fldCharType="begin"/>
          </w:r>
          <w:r>
            <w:rPr>
              <w:color w:val="auto"/>
              <w:highlight w:val="none"/>
            </w:rPr>
            <w:instrText xml:space="preserve"> PAGEREF _Toc1937070738 \h </w:instrText>
          </w:r>
          <w:r>
            <w:rPr>
              <w:color w:val="auto"/>
              <w:highlight w:val="none"/>
            </w:rPr>
            <w:fldChar w:fldCharType="separate"/>
          </w:r>
          <w:r>
            <w:rPr>
              <w:color w:val="auto"/>
              <w:highlight w:val="none"/>
            </w:rPr>
            <w:t>14</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_Toc495805046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9.1设计联络会</w:t>
          </w:r>
          <w:r>
            <w:rPr>
              <w:color w:val="auto"/>
              <w:highlight w:val="none"/>
            </w:rPr>
            <w:tab/>
          </w:r>
          <w:r>
            <w:rPr>
              <w:color w:val="auto"/>
              <w:highlight w:val="none"/>
            </w:rPr>
            <w:fldChar w:fldCharType="begin"/>
          </w:r>
          <w:r>
            <w:rPr>
              <w:color w:val="auto"/>
              <w:highlight w:val="none"/>
            </w:rPr>
            <w:instrText xml:space="preserve"> PAGEREF _Toc495805046 \h </w:instrText>
          </w:r>
          <w:r>
            <w:rPr>
              <w:color w:val="auto"/>
              <w:highlight w:val="none"/>
            </w:rPr>
            <w:fldChar w:fldCharType="separate"/>
          </w:r>
          <w:r>
            <w:rPr>
              <w:color w:val="auto"/>
              <w:highlight w:val="none"/>
            </w:rPr>
            <w:t>14</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_Toc758857762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9.2技术培训要求</w:t>
          </w:r>
          <w:r>
            <w:rPr>
              <w:color w:val="auto"/>
              <w:highlight w:val="none"/>
            </w:rPr>
            <w:tab/>
          </w:r>
          <w:r>
            <w:rPr>
              <w:color w:val="auto"/>
              <w:highlight w:val="none"/>
            </w:rPr>
            <w:fldChar w:fldCharType="begin"/>
          </w:r>
          <w:r>
            <w:rPr>
              <w:color w:val="auto"/>
              <w:highlight w:val="none"/>
            </w:rPr>
            <w:instrText xml:space="preserve"> PAGEREF _Toc758857762 \h </w:instrText>
          </w:r>
          <w:r>
            <w:rPr>
              <w:color w:val="auto"/>
              <w:highlight w:val="none"/>
            </w:rPr>
            <w:fldChar w:fldCharType="separate"/>
          </w:r>
          <w:r>
            <w:rPr>
              <w:color w:val="auto"/>
              <w:highlight w:val="none"/>
            </w:rPr>
            <w:t>14</w:t>
          </w:r>
          <w:r>
            <w:rPr>
              <w:color w:val="auto"/>
              <w:highlight w:val="none"/>
            </w:rPr>
            <w:fldChar w:fldCharType="end"/>
          </w:r>
          <w:r>
            <w:rPr>
              <w:rFonts w:hint="eastAsia" w:ascii="黑体" w:hAnsi="黑体" w:eastAsia="黑体" w:cs="黑体"/>
              <w:color w:val="auto"/>
              <w:szCs w:val="24"/>
              <w:highlight w:val="none"/>
            </w:rPr>
            <w:fldChar w:fldCharType="end"/>
          </w:r>
        </w:p>
        <w:p>
          <w:pPr>
            <w:pStyle w:val="17"/>
            <w:tabs>
              <w:tab w:val="right" w:leader="dot" w:pos="8787"/>
              <w:tab w:val="clear" w:pos="8296"/>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_Toc217026401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10投标方资料提交要求</w:t>
          </w:r>
          <w:r>
            <w:rPr>
              <w:color w:val="auto"/>
              <w:highlight w:val="none"/>
            </w:rPr>
            <w:tab/>
          </w:r>
          <w:r>
            <w:rPr>
              <w:color w:val="auto"/>
              <w:highlight w:val="none"/>
            </w:rPr>
            <w:fldChar w:fldCharType="begin"/>
          </w:r>
          <w:r>
            <w:rPr>
              <w:color w:val="auto"/>
              <w:highlight w:val="none"/>
            </w:rPr>
            <w:instrText xml:space="preserve"> PAGEREF _Toc217026401 \h </w:instrText>
          </w:r>
          <w:r>
            <w:rPr>
              <w:color w:val="auto"/>
              <w:highlight w:val="none"/>
            </w:rPr>
            <w:fldChar w:fldCharType="separate"/>
          </w:r>
          <w:r>
            <w:rPr>
              <w:color w:val="auto"/>
              <w:highlight w:val="none"/>
            </w:rPr>
            <w:t>15</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_Toc1135489001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10.1资料提交时限</w:t>
          </w:r>
          <w:r>
            <w:rPr>
              <w:color w:val="auto"/>
              <w:highlight w:val="none"/>
            </w:rPr>
            <w:tab/>
          </w:r>
          <w:r>
            <w:rPr>
              <w:color w:val="auto"/>
              <w:highlight w:val="none"/>
            </w:rPr>
            <w:fldChar w:fldCharType="begin"/>
          </w:r>
          <w:r>
            <w:rPr>
              <w:color w:val="auto"/>
              <w:highlight w:val="none"/>
            </w:rPr>
            <w:instrText xml:space="preserve"> PAGEREF _Toc1135489001 \h </w:instrText>
          </w:r>
          <w:r>
            <w:rPr>
              <w:color w:val="auto"/>
              <w:highlight w:val="none"/>
            </w:rPr>
            <w:fldChar w:fldCharType="separate"/>
          </w:r>
          <w:r>
            <w:rPr>
              <w:color w:val="auto"/>
              <w:highlight w:val="none"/>
            </w:rPr>
            <w:t>15</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_Toc1623952565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10.2主要设备/元器件来源说明</w:t>
          </w:r>
          <w:r>
            <w:rPr>
              <w:color w:val="auto"/>
              <w:highlight w:val="none"/>
            </w:rPr>
            <w:tab/>
          </w:r>
          <w:r>
            <w:rPr>
              <w:color w:val="auto"/>
              <w:highlight w:val="none"/>
            </w:rPr>
            <w:fldChar w:fldCharType="begin"/>
          </w:r>
          <w:r>
            <w:rPr>
              <w:color w:val="auto"/>
              <w:highlight w:val="none"/>
            </w:rPr>
            <w:instrText xml:space="preserve"> PAGEREF _Toc1623952565 \h </w:instrText>
          </w:r>
          <w:r>
            <w:rPr>
              <w:color w:val="auto"/>
              <w:highlight w:val="none"/>
            </w:rPr>
            <w:fldChar w:fldCharType="separate"/>
          </w:r>
          <w:r>
            <w:rPr>
              <w:color w:val="auto"/>
              <w:highlight w:val="none"/>
            </w:rPr>
            <w:t>15</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_Toc1401090232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10.3备品备件及专用工具提交要求</w:t>
          </w:r>
          <w:r>
            <w:rPr>
              <w:color w:val="auto"/>
              <w:highlight w:val="none"/>
            </w:rPr>
            <w:tab/>
          </w:r>
          <w:r>
            <w:rPr>
              <w:color w:val="auto"/>
              <w:highlight w:val="none"/>
            </w:rPr>
            <w:fldChar w:fldCharType="begin"/>
          </w:r>
          <w:r>
            <w:rPr>
              <w:color w:val="auto"/>
              <w:highlight w:val="none"/>
            </w:rPr>
            <w:instrText xml:space="preserve"> PAGEREF _Toc1401090232 \h </w:instrText>
          </w:r>
          <w:r>
            <w:rPr>
              <w:color w:val="auto"/>
              <w:highlight w:val="none"/>
            </w:rPr>
            <w:fldChar w:fldCharType="separate"/>
          </w:r>
          <w:r>
            <w:rPr>
              <w:color w:val="auto"/>
              <w:highlight w:val="none"/>
            </w:rPr>
            <w:t>16</w:t>
          </w:r>
          <w:r>
            <w:rPr>
              <w:color w:val="auto"/>
              <w:highlight w:val="none"/>
            </w:rPr>
            <w:fldChar w:fldCharType="end"/>
          </w:r>
          <w:r>
            <w:rPr>
              <w:rFonts w:hint="eastAsia" w:ascii="黑体" w:hAnsi="黑体" w:eastAsia="黑体" w:cs="黑体"/>
              <w:color w:val="auto"/>
              <w:szCs w:val="24"/>
              <w:highlight w:val="none"/>
            </w:rPr>
            <w:fldChar w:fldCharType="end"/>
          </w:r>
        </w:p>
        <w:p>
          <w:pPr>
            <w:pStyle w:val="17"/>
            <w:tabs>
              <w:tab w:val="right" w:leader="dot" w:pos="8787"/>
              <w:tab w:val="clear" w:pos="8296"/>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_Toc965339869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11投标方技术偏差说明</w:t>
          </w:r>
          <w:r>
            <w:rPr>
              <w:color w:val="auto"/>
              <w:highlight w:val="none"/>
            </w:rPr>
            <w:tab/>
          </w:r>
          <w:r>
            <w:rPr>
              <w:color w:val="auto"/>
              <w:highlight w:val="none"/>
            </w:rPr>
            <w:fldChar w:fldCharType="begin"/>
          </w:r>
          <w:r>
            <w:rPr>
              <w:color w:val="auto"/>
              <w:highlight w:val="none"/>
            </w:rPr>
            <w:instrText xml:space="preserve"> PAGEREF _Toc965339869 \h </w:instrText>
          </w:r>
          <w:r>
            <w:rPr>
              <w:color w:val="auto"/>
              <w:highlight w:val="none"/>
            </w:rPr>
            <w:fldChar w:fldCharType="separate"/>
          </w:r>
          <w:r>
            <w:rPr>
              <w:color w:val="auto"/>
              <w:highlight w:val="none"/>
            </w:rPr>
            <w:t>16</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_Toc228225198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11.1技术偏差表填报要求</w:t>
          </w:r>
          <w:r>
            <w:rPr>
              <w:color w:val="auto"/>
              <w:highlight w:val="none"/>
            </w:rPr>
            <w:tab/>
          </w:r>
          <w:r>
            <w:rPr>
              <w:color w:val="auto"/>
              <w:highlight w:val="none"/>
            </w:rPr>
            <w:fldChar w:fldCharType="begin"/>
          </w:r>
          <w:r>
            <w:rPr>
              <w:color w:val="auto"/>
              <w:highlight w:val="none"/>
            </w:rPr>
            <w:instrText xml:space="preserve"> PAGEREF _Toc228225198 \h </w:instrText>
          </w:r>
          <w:r>
            <w:rPr>
              <w:color w:val="auto"/>
              <w:highlight w:val="none"/>
            </w:rPr>
            <w:fldChar w:fldCharType="separate"/>
          </w:r>
          <w:r>
            <w:rPr>
              <w:color w:val="auto"/>
              <w:highlight w:val="none"/>
            </w:rPr>
            <w:t>16</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_Toc375109244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11.2其他问题说明要求</w:t>
          </w:r>
          <w:r>
            <w:rPr>
              <w:color w:val="auto"/>
              <w:highlight w:val="none"/>
            </w:rPr>
            <w:tab/>
          </w:r>
          <w:r>
            <w:rPr>
              <w:color w:val="auto"/>
              <w:highlight w:val="none"/>
            </w:rPr>
            <w:fldChar w:fldCharType="begin"/>
          </w:r>
          <w:r>
            <w:rPr>
              <w:color w:val="auto"/>
              <w:highlight w:val="none"/>
            </w:rPr>
            <w:instrText xml:space="preserve"> PAGEREF _Toc375109244 \h </w:instrText>
          </w:r>
          <w:r>
            <w:rPr>
              <w:color w:val="auto"/>
              <w:highlight w:val="none"/>
            </w:rPr>
            <w:fldChar w:fldCharType="separate"/>
          </w:r>
          <w:r>
            <w:rPr>
              <w:color w:val="auto"/>
              <w:highlight w:val="none"/>
            </w:rPr>
            <w:t>17</w:t>
          </w:r>
          <w:r>
            <w:rPr>
              <w:color w:val="auto"/>
              <w:highlight w:val="none"/>
            </w:rPr>
            <w:fldChar w:fldCharType="end"/>
          </w:r>
          <w:r>
            <w:rPr>
              <w:rFonts w:hint="eastAsia" w:ascii="黑体" w:hAnsi="黑体" w:eastAsia="黑体" w:cs="黑体"/>
              <w:color w:val="auto"/>
              <w:szCs w:val="24"/>
              <w:highlight w:val="none"/>
            </w:rPr>
            <w:fldChar w:fldCharType="end"/>
          </w:r>
        </w:p>
        <w:p>
          <w:pPr>
            <w:pStyle w:val="17"/>
            <w:tabs>
              <w:tab w:val="right" w:leader="dot" w:pos="8787"/>
              <w:tab w:val="clear" w:pos="8296"/>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_Toc1596559963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12设计图纸提交要求</w:t>
          </w:r>
          <w:r>
            <w:rPr>
              <w:color w:val="auto"/>
              <w:highlight w:val="none"/>
            </w:rPr>
            <w:tab/>
          </w:r>
          <w:r>
            <w:rPr>
              <w:color w:val="auto"/>
              <w:highlight w:val="none"/>
            </w:rPr>
            <w:fldChar w:fldCharType="begin"/>
          </w:r>
          <w:r>
            <w:rPr>
              <w:color w:val="auto"/>
              <w:highlight w:val="none"/>
            </w:rPr>
            <w:instrText xml:space="preserve"> PAGEREF _Toc1596559963 \h </w:instrText>
          </w:r>
          <w:r>
            <w:rPr>
              <w:color w:val="auto"/>
              <w:highlight w:val="none"/>
            </w:rPr>
            <w:fldChar w:fldCharType="separate"/>
          </w:r>
          <w:r>
            <w:rPr>
              <w:color w:val="auto"/>
              <w:highlight w:val="none"/>
            </w:rPr>
            <w:t>17</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_Toc575128876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12.1提交形式与要求</w:t>
          </w:r>
          <w:r>
            <w:rPr>
              <w:color w:val="auto"/>
              <w:highlight w:val="none"/>
            </w:rPr>
            <w:tab/>
          </w:r>
          <w:r>
            <w:rPr>
              <w:color w:val="auto"/>
              <w:highlight w:val="none"/>
            </w:rPr>
            <w:fldChar w:fldCharType="begin"/>
          </w:r>
          <w:r>
            <w:rPr>
              <w:color w:val="auto"/>
              <w:highlight w:val="none"/>
            </w:rPr>
            <w:instrText xml:space="preserve"> PAGEREF _Toc575128876 \h </w:instrText>
          </w:r>
          <w:r>
            <w:rPr>
              <w:color w:val="auto"/>
              <w:highlight w:val="none"/>
            </w:rPr>
            <w:fldChar w:fldCharType="separate"/>
          </w:r>
          <w:r>
            <w:rPr>
              <w:color w:val="auto"/>
              <w:highlight w:val="none"/>
            </w:rPr>
            <w:t>17</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_Toc367123785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12.2扩建工程接口要求</w:t>
          </w:r>
          <w:r>
            <w:rPr>
              <w:color w:val="auto"/>
              <w:highlight w:val="none"/>
            </w:rPr>
            <w:tab/>
          </w:r>
          <w:r>
            <w:rPr>
              <w:color w:val="auto"/>
              <w:highlight w:val="none"/>
            </w:rPr>
            <w:fldChar w:fldCharType="begin"/>
          </w:r>
          <w:r>
            <w:rPr>
              <w:color w:val="auto"/>
              <w:highlight w:val="none"/>
            </w:rPr>
            <w:instrText xml:space="preserve"> PAGEREF _Toc367123785 \h </w:instrText>
          </w:r>
          <w:r>
            <w:rPr>
              <w:color w:val="auto"/>
              <w:highlight w:val="none"/>
            </w:rPr>
            <w:fldChar w:fldCharType="separate"/>
          </w:r>
          <w:r>
            <w:rPr>
              <w:color w:val="auto"/>
              <w:highlight w:val="none"/>
            </w:rPr>
            <w:t>18</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_Toc528936664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12.3图纸资料提交明细</w:t>
          </w:r>
          <w:r>
            <w:rPr>
              <w:color w:val="auto"/>
              <w:highlight w:val="none"/>
            </w:rPr>
            <w:tab/>
          </w:r>
          <w:r>
            <w:rPr>
              <w:color w:val="auto"/>
              <w:highlight w:val="none"/>
            </w:rPr>
            <w:fldChar w:fldCharType="begin"/>
          </w:r>
          <w:r>
            <w:rPr>
              <w:color w:val="auto"/>
              <w:highlight w:val="none"/>
            </w:rPr>
            <w:instrText xml:space="preserve"> PAGEREF _Toc528936664 \h </w:instrText>
          </w:r>
          <w:r>
            <w:rPr>
              <w:color w:val="auto"/>
              <w:highlight w:val="none"/>
            </w:rPr>
            <w:fldChar w:fldCharType="separate"/>
          </w:r>
          <w:r>
            <w:rPr>
              <w:color w:val="auto"/>
              <w:highlight w:val="none"/>
            </w:rPr>
            <w:t>18</w:t>
          </w:r>
          <w:r>
            <w:rPr>
              <w:color w:val="auto"/>
              <w:highlight w:val="none"/>
            </w:rPr>
            <w:fldChar w:fldCharType="end"/>
          </w:r>
          <w:r>
            <w:rPr>
              <w:rFonts w:hint="eastAsia" w:ascii="黑体" w:hAnsi="黑体" w:eastAsia="黑体" w:cs="黑体"/>
              <w:color w:val="auto"/>
              <w:szCs w:val="24"/>
              <w:highlight w:val="none"/>
            </w:rPr>
            <w:fldChar w:fldCharType="end"/>
          </w:r>
        </w:p>
        <w:p>
          <w:pPr>
            <w:pStyle w:val="17"/>
            <w:tabs>
              <w:tab w:val="right" w:leader="dot" w:pos="8787"/>
              <w:tab w:val="clear" w:pos="8296"/>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_Toc1403696915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13其他要求</w:t>
          </w:r>
          <w:r>
            <w:rPr>
              <w:color w:val="auto"/>
              <w:highlight w:val="none"/>
            </w:rPr>
            <w:tab/>
          </w:r>
          <w:r>
            <w:rPr>
              <w:color w:val="auto"/>
              <w:highlight w:val="none"/>
            </w:rPr>
            <w:fldChar w:fldCharType="begin"/>
          </w:r>
          <w:r>
            <w:rPr>
              <w:color w:val="auto"/>
              <w:highlight w:val="none"/>
            </w:rPr>
            <w:instrText xml:space="preserve"> PAGEREF _Toc1403696915 \h </w:instrText>
          </w:r>
          <w:r>
            <w:rPr>
              <w:color w:val="auto"/>
              <w:highlight w:val="none"/>
            </w:rPr>
            <w:fldChar w:fldCharType="separate"/>
          </w:r>
          <w:r>
            <w:rPr>
              <w:color w:val="auto"/>
              <w:highlight w:val="none"/>
            </w:rPr>
            <w:t>19</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_Toc1826188110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13.1全生命周期成本（LCC）资料</w:t>
          </w:r>
          <w:r>
            <w:rPr>
              <w:color w:val="auto"/>
              <w:highlight w:val="none"/>
            </w:rPr>
            <w:tab/>
          </w:r>
          <w:r>
            <w:rPr>
              <w:color w:val="auto"/>
              <w:highlight w:val="none"/>
            </w:rPr>
            <w:fldChar w:fldCharType="begin"/>
          </w:r>
          <w:r>
            <w:rPr>
              <w:color w:val="auto"/>
              <w:highlight w:val="none"/>
            </w:rPr>
            <w:instrText xml:space="preserve"> PAGEREF _Toc1826188110 \h </w:instrText>
          </w:r>
          <w:r>
            <w:rPr>
              <w:color w:val="auto"/>
              <w:highlight w:val="none"/>
            </w:rPr>
            <w:fldChar w:fldCharType="separate"/>
          </w:r>
          <w:r>
            <w:rPr>
              <w:color w:val="auto"/>
              <w:highlight w:val="none"/>
            </w:rPr>
            <w:t>19</w:t>
          </w:r>
          <w:r>
            <w:rPr>
              <w:color w:val="auto"/>
              <w:highlight w:val="none"/>
            </w:rPr>
            <w:fldChar w:fldCharType="end"/>
          </w:r>
          <w:r>
            <w:rPr>
              <w:rFonts w:hint="eastAsia" w:ascii="黑体" w:hAnsi="黑体" w:eastAsia="黑体" w:cs="黑体"/>
              <w:color w:val="auto"/>
              <w:szCs w:val="24"/>
              <w:highlight w:val="none"/>
            </w:rPr>
            <w:fldChar w:fldCharType="end"/>
          </w:r>
        </w:p>
        <w:p>
          <w:pPr>
            <w:pStyle w:val="19"/>
            <w:tabs>
              <w:tab w:val="right" w:leader="dot" w:pos="8787"/>
            </w:tabs>
            <w:rPr>
              <w:color w:val="auto"/>
              <w:highlight w:val="none"/>
            </w:rPr>
          </w:pPr>
          <w:r>
            <w:rPr>
              <w:rFonts w:hint="eastAsia" w:ascii="黑体" w:hAnsi="黑体" w:eastAsia="黑体" w:cs="黑体"/>
              <w:color w:val="auto"/>
              <w:szCs w:val="24"/>
              <w:highlight w:val="none"/>
            </w:rPr>
            <w:fldChar w:fldCharType="begin"/>
          </w:r>
          <w:r>
            <w:rPr>
              <w:rFonts w:hint="eastAsia" w:ascii="黑体" w:hAnsi="黑体" w:eastAsia="黑体" w:cs="黑体"/>
              <w:color w:val="auto"/>
              <w:szCs w:val="24"/>
              <w:highlight w:val="none"/>
            </w:rPr>
            <w:instrText xml:space="preserve"> HYPERLINK \l _Toc907281846 </w:instrText>
          </w:r>
          <w:r>
            <w:rPr>
              <w:rFonts w:hint="eastAsia" w:ascii="黑体" w:hAnsi="黑体" w:eastAsia="黑体" w:cs="黑体"/>
              <w:color w:val="auto"/>
              <w:szCs w:val="24"/>
              <w:highlight w:val="none"/>
            </w:rPr>
            <w:fldChar w:fldCharType="separate"/>
          </w:r>
          <w:r>
            <w:rPr>
              <w:rFonts w:ascii="Arial" w:hAnsi="Arial" w:eastAsia="等线" w:cs="Arial"/>
              <w:color w:val="auto"/>
              <w:highlight w:val="none"/>
            </w:rPr>
            <w:t>13.2其他强制性约定</w:t>
          </w:r>
          <w:r>
            <w:rPr>
              <w:color w:val="auto"/>
              <w:highlight w:val="none"/>
            </w:rPr>
            <w:tab/>
          </w:r>
          <w:r>
            <w:rPr>
              <w:color w:val="auto"/>
              <w:highlight w:val="none"/>
            </w:rPr>
            <w:fldChar w:fldCharType="begin"/>
          </w:r>
          <w:r>
            <w:rPr>
              <w:color w:val="auto"/>
              <w:highlight w:val="none"/>
            </w:rPr>
            <w:instrText xml:space="preserve"> PAGEREF _Toc907281846 \h </w:instrText>
          </w:r>
          <w:r>
            <w:rPr>
              <w:color w:val="auto"/>
              <w:highlight w:val="none"/>
            </w:rPr>
            <w:fldChar w:fldCharType="separate"/>
          </w:r>
          <w:r>
            <w:rPr>
              <w:color w:val="auto"/>
              <w:highlight w:val="none"/>
            </w:rPr>
            <w:t>19</w:t>
          </w:r>
          <w:r>
            <w:rPr>
              <w:color w:val="auto"/>
              <w:highlight w:val="none"/>
            </w:rPr>
            <w:fldChar w:fldCharType="end"/>
          </w:r>
          <w:r>
            <w:rPr>
              <w:rFonts w:hint="eastAsia" w:ascii="黑体" w:hAnsi="黑体" w:eastAsia="黑体" w:cs="黑体"/>
              <w:color w:val="auto"/>
              <w:szCs w:val="24"/>
              <w:highlight w:val="none"/>
            </w:rPr>
            <w:fldChar w:fldCharType="end"/>
          </w:r>
        </w:p>
        <w:p>
          <w:pPr>
            <w:pStyle w:val="20"/>
            <w:shd w:val="clear"/>
            <w:spacing w:before="0" w:beforeAutospacing="0" w:after="0" w:afterAutospacing="0" w:line="360" w:lineRule="auto"/>
            <w:rPr>
              <w:rFonts w:hint="eastAsia" w:ascii="宋体" w:hAnsi="宋体" w:eastAsia="宋体" w:cs="宋体"/>
              <w:color w:val="auto"/>
              <w:kern w:val="0"/>
              <w:sz w:val="24"/>
              <w:szCs w:val="36"/>
              <w:highlight w:val="none"/>
              <w:lang w:val="en-US" w:eastAsia="zh-CN" w:bidi="ar-SA"/>
            </w:rPr>
          </w:pPr>
          <w:r>
            <w:rPr>
              <w:rFonts w:hint="eastAsia" w:ascii="黑体" w:hAnsi="黑体" w:eastAsia="黑体" w:cs="黑体"/>
              <w:color w:val="auto"/>
              <w:szCs w:val="24"/>
              <w:highlight w:val="none"/>
            </w:rPr>
            <w:fldChar w:fldCharType="end"/>
          </w:r>
        </w:p>
      </w:sdtContent>
    </w:sdt>
    <w:p>
      <w:pPr>
        <w:spacing w:before="380" w:after="140" w:line="288" w:lineRule="auto"/>
        <w:ind w:left="0"/>
        <w:jc w:val="left"/>
        <w:outlineLvl w:val="0"/>
        <w:rPr>
          <w:rFonts w:hint="eastAsia" w:ascii="宋体" w:hAnsi="宋体" w:eastAsia="宋体" w:cs="宋体"/>
          <w:b/>
          <w:color w:val="auto"/>
          <w:sz w:val="36"/>
          <w:highlight w:val="none"/>
        </w:rPr>
        <w:sectPr>
          <w:headerReference r:id="rId7" w:type="default"/>
          <w:pgSz w:w="11906" w:h="16838"/>
          <w:pgMar w:top="1304" w:right="1701" w:bottom="1304" w:left="1418" w:header="851" w:footer="992" w:gutter="0"/>
          <w:cols w:space="720" w:num="1"/>
          <w:docGrid w:linePitch="312" w:charSpace="0"/>
        </w:sectPr>
      </w:pPr>
      <w:bookmarkStart w:id="1" w:name="_Hlk146039758"/>
      <w:bookmarkStart w:id="2" w:name="_Toc6111"/>
      <w:bookmarkStart w:id="3" w:name="_Toc68889872"/>
      <w:bookmarkStart w:id="4" w:name="_Toc32155"/>
      <w:bookmarkStart w:id="5" w:name="_Toc314557149"/>
      <w:bookmarkStart w:id="6" w:name="heading_1"/>
      <w:bookmarkStart w:id="7" w:name="_Toc4890"/>
    </w:p>
    <w:bookmarkEnd w:id="1"/>
    <w:bookmarkEnd w:id="2"/>
    <w:bookmarkEnd w:id="3"/>
    <w:bookmarkEnd w:id="4"/>
    <w:bookmarkEnd w:id="5"/>
    <w:bookmarkEnd w:id="6"/>
    <w:bookmarkEnd w:id="7"/>
    <w:p>
      <w:pPr>
        <w:spacing w:before="380" w:after="140" w:line="288" w:lineRule="auto"/>
        <w:ind w:left="0"/>
        <w:jc w:val="left"/>
        <w:outlineLvl w:val="0"/>
        <w:rPr>
          <w:color w:val="auto"/>
          <w:highlight w:val="none"/>
        </w:rPr>
      </w:pPr>
      <w:bookmarkStart w:id="8" w:name="heading_2"/>
      <w:bookmarkStart w:id="9" w:name="_Toc1872966355"/>
      <w:r>
        <w:rPr>
          <w:rFonts w:ascii="Arial" w:hAnsi="Arial" w:eastAsia="等线" w:cs="Arial"/>
          <w:b/>
          <w:color w:val="auto"/>
          <w:sz w:val="36"/>
          <w:highlight w:val="none"/>
        </w:rPr>
        <w:t>1总则</w:t>
      </w:r>
      <w:bookmarkEnd w:id="8"/>
      <w:bookmarkEnd w:id="9"/>
    </w:p>
    <w:p>
      <w:pPr>
        <w:spacing w:before="320" w:after="120" w:line="288" w:lineRule="auto"/>
        <w:ind w:left="0"/>
        <w:jc w:val="left"/>
        <w:outlineLvl w:val="1"/>
        <w:rPr>
          <w:color w:val="auto"/>
          <w:highlight w:val="none"/>
        </w:rPr>
      </w:pPr>
      <w:bookmarkStart w:id="10" w:name="heading_3"/>
      <w:bookmarkStart w:id="11" w:name="_Toc1130230759"/>
      <w:r>
        <w:rPr>
          <w:rFonts w:ascii="Arial" w:hAnsi="Arial" w:eastAsia="等线" w:cs="Arial"/>
          <w:b/>
          <w:color w:val="auto"/>
          <w:sz w:val="32"/>
          <w:highlight w:val="none"/>
        </w:rPr>
        <w:t>1.1范围与目的</w:t>
      </w:r>
      <w:bookmarkEnd w:id="10"/>
      <w:bookmarkEnd w:id="11"/>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b w:val="0"/>
          <w:bCs w:val="0"/>
          <w:color w:val="auto"/>
          <w:sz w:val="24"/>
          <w:szCs w:val="24"/>
          <w:highlight w:val="none"/>
        </w:rPr>
      </w:pPr>
      <w:r>
        <w:rPr>
          <w:rFonts w:ascii="Arial" w:hAnsi="Arial" w:eastAsia="等线" w:cs="Arial"/>
          <w:b w:val="0"/>
          <w:bCs w:val="0"/>
          <w:color w:val="auto"/>
          <w:sz w:val="24"/>
          <w:szCs w:val="24"/>
          <w:highlight w:val="none"/>
        </w:rPr>
        <w:t>本技术规范书为深圳供电局有限公司电网</w:t>
      </w:r>
      <w:r>
        <w:rPr>
          <w:rFonts w:hint="eastAsia" w:ascii="Arial" w:hAnsi="Arial" w:eastAsia="等线" w:cs="Arial"/>
          <w:b w:val="0"/>
          <w:bCs w:val="0"/>
          <w:color w:val="auto"/>
          <w:sz w:val="24"/>
          <w:szCs w:val="24"/>
          <w:highlight w:val="none"/>
          <w:lang w:eastAsia="zh-CN"/>
        </w:rPr>
        <w:t>抽水机（排涝方舱）</w:t>
      </w:r>
      <w:r>
        <w:rPr>
          <w:rFonts w:ascii="Arial" w:hAnsi="Arial" w:eastAsia="等线" w:cs="Arial"/>
          <w:b w:val="0"/>
          <w:bCs w:val="0"/>
          <w:color w:val="auto"/>
          <w:sz w:val="24"/>
          <w:szCs w:val="24"/>
          <w:highlight w:val="none"/>
        </w:rPr>
        <w:t>采购项目的强制性技术发标文件，规定了本项目采购的电网场景专用</w:t>
      </w:r>
      <w:r>
        <w:rPr>
          <w:rFonts w:hint="eastAsia" w:ascii="Arial" w:hAnsi="Arial" w:eastAsia="等线" w:cs="Arial"/>
          <w:b w:val="0"/>
          <w:bCs w:val="0"/>
          <w:color w:val="auto"/>
          <w:sz w:val="24"/>
          <w:szCs w:val="24"/>
          <w:highlight w:val="none"/>
          <w:lang w:eastAsia="zh-CN"/>
        </w:rPr>
        <w:t>抽水机（排涝方舱）</w:t>
      </w:r>
      <w:r>
        <w:rPr>
          <w:rFonts w:ascii="Arial" w:hAnsi="Arial" w:eastAsia="等线" w:cs="Arial"/>
          <w:b w:val="0"/>
          <w:bCs w:val="0"/>
          <w:color w:val="auto"/>
          <w:sz w:val="24"/>
          <w:szCs w:val="24"/>
          <w:highlight w:val="none"/>
        </w:rPr>
        <w:t>（含变电站防汛排涝、电缆沟积水疏导、配电室清淤、电网管网廊道应急排水类）的技术要求、供货范围、试验验收、监造包装、质量保障、职责划分、资料提交等全部条款，是投标方设计、生产、供货的唯一技术依据，亦是招标方验收、使用的核心标准。</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b w:val="0"/>
          <w:bCs w:val="0"/>
          <w:color w:val="auto"/>
          <w:sz w:val="24"/>
          <w:szCs w:val="24"/>
          <w:highlight w:val="none"/>
        </w:rPr>
      </w:pPr>
      <w:r>
        <w:rPr>
          <w:rFonts w:ascii="Arial" w:hAnsi="Arial" w:eastAsia="等线" w:cs="Arial"/>
          <w:b w:val="0"/>
          <w:bCs w:val="0"/>
          <w:color w:val="auto"/>
          <w:sz w:val="24"/>
          <w:szCs w:val="24"/>
          <w:highlight w:val="none"/>
        </w:rPr>
        <w:t>本规范书适用于电网系统内变电站、开闭所、电缆沟、地下管网、防汛排水节点等场景</w:t>
      </w:r>
      <w:r>
        <w:rPr>
          <w:rFonts w:hint="eastAsia" w:ascii="Arial" w:hAnsi="Arial" w:eastAsia="等线" w:cs="Arial"/>
          <w:b w:val="0"/>
          <w:bCs w:val="0"/>
          <w:color w:val="auto"/>
          <w:sz w:val="24"/>
          <w:szCs w:val="24"/>
          <w:highlight w:val="none"/>
          <w:lang w:eastAsia="zh-CN"/>
        </w:rPr>
        <w:t>抽水机（排涝方舱）</w:t>
      </w:r>
      <w:r>
        <w:rPr>
          <w:rFonts w:ascii="Arial" w:hAnsi="Arial" w:eastAsia="等线" w:cs="Arial"/>
          <w:b w:val="0"/>
          <w:bCs w:val="0"/>
          <w:color w:val="auto"/>
          <w:sz w:val="24"/>
          <w:szCs w:val="24"/>
          <w:highlight w:val="none"/>
        </w:rPr>
        <w:t>的采购招标、设计制造、出厂验收、现场交付及后期运维。未尽事宜按国家、电力行业现行最新标准执行，若本规范书要求高于国家/行业标准，以本规范书要求为准。</w:t>
      </w:r>
    </w:p>
    <w:p>
      <w:pPr>
        <w:spacing w:before="320" w:after="120" w:line="288" w:lineRule="auto"/>
        <w:ind w:left="0"/>
        <w:jc w:val="left"/>
        <w:outlineLvl w:val="1"/>
        <w:rPr>
          <w:color w:val="auto"/>
          <w:highlight w:val="none"/>
        </w:rPr>
      </w:pPr>
      <w:bookmarkStart w:id="12" w:name="_Toc1295508798"/>
      <w:bookmarkStart w:id="13" w:name="heading_4"/>
      <w:r>
        <w:rPr>
          <w:rFonts w:ascii="Arial" w:hAnsi="Arial" w:eastAsia="等线" w:cs="Arial"/>
          <w:b/>
          <w:color w:val="auto"/>
          <w:sz w:val="32"/>
          <w:highlight w:val="none"/>
        </w:rPr>
        <w:t>1.2规范性引用文件</w:t>
      </w:r>
      <w:bookmarkEnd w:id="12"/>
      <w:bookmarkEnd w:id="13"/>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下列文件为本规范书的必备引用依据，注日期的引用文件仅对应版本适用，未注日期的引用文件其最新版本（含修改单）适用。</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GB/T1.1-2020标准化工作导则第1部分：标准化文件的起草规则</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GB/T2423.1-2008电工电子产品环境试验低温试验</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GB/T2423.2-2008电工电子产品环境试验高温试验</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GB/T4208-2017外壳防护等级(IP代码)</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GB/T13384-2008机电产品包装通用技术条件</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DL/T2027-2019电力电缆隧道运维技术规程</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DL/T5044-2014电力工程电缆设计标准</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电力行业安全、环保、防爆、电磁兼容相关现行标准</w:t>
      </w:r>
    </w:p>
    <w:p>
      <w:pPr>
        <w:spacing w:before="320" w:after="120" w:line="288" w:lineRule="auto"/>
        <w:ind w:left="0"/>
        <w:jc w:val="left"/>
        <w:outlineLvl w:val="1"/>
        <w:rPr>
          <w:color w:val="auto"/>
          <w:highlight w:val="none"/>
        </w:rPr>
      </w:pPr>
      <w:bookmarkStart w:id="14" w:name="_Toc279671053"/>
      <w:bookmarkStart w:id="15" w:name="heading_5"/>
      <w:r>
        <w:rPr>
          <w:rFonts w:ascii="Arial" w:hAnsi="Arial" w:eastAsia="等线" w:cs="Arial"/>
          <w:b/>
          <w:color w:val="auto"/>
          <w:sz w:val="32"/>
          <w:highlight w:val="none"/>
        </w:rPr>
        <w:t>1.3术语和定义</w:t>
      </w:r>
      <w:bookmarkEnd w:id="14"/>
      <w:bookmarkEnd w:id="15"/>
    </w:p>
    <w:p>
      <w:pPr>
        <w:spacing w:before="300" w:after="120" w:line="288" w:lineRule="auto"/>
        <w:ind w:left="0"/>
        <w:jc w:val="left"/>
        <w:outlineLvl w:val="2"/>
        <w:rPr>
          <w:rFonts w:hint="eastAsia" w:eastAsia="等线"/>
          <w:color w:val="auto"/>
          <w:highlight w:val="none"/>
          <w:lang w:eastAsia="zh-CN"/>
        </w:rPr>
      </w:pPr>
      <w:bookmarkStart w:id="16" w:name="heading_6"/>
      <w:r>
        <w:rPr>
          <w:rFonts w:ascii="Arial" w:hAnsi="Arial" w:eastAsia="等线" w:cs="Arial"/>
          <w:b/>
          <w:color w:val="auto"/>
          <w:sz w:val="30"/>
          <w:highlight w:val="none"/>
        </w:rPr>
        <w:t>1.3.1电网</w:t>
      </w:r>
      <w:bookmarkEnd w:id="16"/>
      <w:r>
        <w:rPr>
          <w:rFonts w:hint="eastAsia" w:ascii="Arial" w:hAnsi="Arial" w:eastAsia="等线" w:cs="Arial"/>
          <w:b/>
          <w:color w:val="auto"/>
          <w:sz w:val="30"/>
          <w:highlight w:val="none"/>
          <w:lang w:eastAsia="zh-CN"/>
        </w:rPr>
        <w:t>抽水机（排涝方舱）</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专为电网防汛应急、积水排涝设计，采用液压驱动</w:t>
      </w:r>
      <w:r>
        <w:rPr>
          <w:rFonts w:hint="eastAsia" w:ascii="Arial" w:hAnsi="Arial" w:eastAsia="等线" w:cs="Arial"/>
          <w:b w:val="0"/>
          <w:bCs w:val="0"/>
          <w:color w:val="auto"/>
          <w:sz w:val="24"/>
          <w:szCs w:val="24"/>
          <w:highlight w:val="none"/>
          <w:lang w:val="en-US" w:eastAsia="zh-CN"/>
        </w:rPr>
        <w:t>或电驱动+履带橡胶履带行走</w:t>
      </w:r>
      <w:r>
        <w:rPr>
          <w:rFonts w:ascii="Arial" w:hAnsi="Arial" w:eastAsia="等线" w:cs="Arial"/>
          <w:b w:val="0"/>
          <w:bCs w:val="0"/>
          <w:color w:val="auto"/>
          <w:sz w:val="24"/>
          <w:szCs w:val="24"/>
          <w:highlight w:val="none"/>
        </w:rPr>
        <w:t>，搭载大流量</w:t>
      </w:r>
      <w:r>
        <w:rPr>
          <w:rFonts w:ascii="Arial" w:hAnsi="Arial" w:eastAsia="等线" w:cs="Arial"/>
          <w:b w:val="0"/>
          <w:bCs w:val="0"/>
          <w:strike w:val="0"/>
          <w:dstrike w:val="0"/>
          <w:color w:val="auto"/>
          <w:sz w:val="24"/>
          <w:szCs w:val="24"/>
          <w:highlight w:val="none"/>
        </w:rPr>
        <w:t>液压渣浆泵</w:t>
      </w:r>
      <w:r>
        <w:rPr>
          <w:rFonts w:hint="eastAsia" w:ascii="Arial" w:hAnsi="Arial" w:eastAsia="等线" w:cs="Arial"/>
          <w:b w:val="0"/>
          <w:bCs w:val="0"/>
          <w:strike w:val="0"/>
          <w:dstrike w:val="0"/>
          <w:color w:val="auto"/>
          <w:sz w:val="24"/>
          <w:szCs w:val="24"/>
          <w:highlight w:val="none"/>
          <w:lang w:val="en-US" w:eastAsia="zh-CN"/>
        </w:rPr>
        <w:t>或电动潜水泵</w:t>
      </w:r>
      <w:r>
        <w:rPr>
          <w:rFonts w:ascii="Arial" w:hAnsi="Arial" w:eastAsia="等线" w:cs="Arial"/>
          <w:b w:val="0"/>
          <w:bCs w:val="0"/>
          <w:color w:val="auto"/>
          <w:sz w:val="24"/>
          <w:szCs w:val="24"/>
          <w:highlight w:val="none"/>
        </w:rPr>
        <w:t>，可远程遥控完成装卸、</w:t>
      </w:r>
      <w:r>
        <w:rPr>
          <w:rFonts w:hint="eastAsia" w:ascii="Arial" w:hAnsi="Arial" w:eastAsia="等线" w:cs="Arial"/>
          <w:b w:val="0"/>
          <w:bCs w:val="0"/>
          <w:color w:val="auto"/>
          <w:sz w:val="24"/>
          <w:szCs w:val="24"/>
          <w:highlight w:val="none"/>
        </w:rPr>
        <w:t>行走</w:t>
      </w:r>
      <w:r>
        <w:rPr>
          <w:rFonts w:hint="eastAsia" w:ascii="Arial" w:hAnsi="Arial" w:eastAsia="等线" w:cs="Arial"/>
          <w:b w:val="0"/>
          <w:bCs w:val="0"/>
          <w:color w:val="auto"/>
          <w:sz w:val="24"/>
          <w:szCs w:val="24"/>
          <w:highlight w:val="none"/>
          <w:lang w:val="en-US" w:eastAsia="zh-CN"/>
        </w:rPr>
        <w:t>的</w:t>
      </w:r>
      <w:r>
        <w:rPr>
          <w:rFonts w:hint="eastAsia" w:ascii="Arial" w:hAnsi="Arial" w:eastAsia="等线" w:cs="Arial"/>
          <w:b w:val="0"/>
          <w:bCs w:val="0"/>
          <w:color w:val="auto"/>
          <w:sz w:val="24"/>
          <w:szCs w:val="24"/>
          <w:highlight w:val="none"/>
        </w:rPr>
        <w:t>履带式</w:t>
      </w:r>
      <w:r>
        <w:rPr>
          <w:rFonts w:ascii="Arial" w:hAnsi="Arial" w:eastAsia="等线" w:cs="Arial"/>
          <w:b w:val="0"/>
          <w:bCs w:val="0"/>
          <w:color w:val="auto"/>
          <w:sz w:val="24"/>
          <w:szCs w:val="24"/>
          <w:highlight w:val="none"/>
        </w:rPr>
        <w:t>智能排涝设备，适用于变电站、电缆沟等复杂地形积水抽吸、淤泥清理，具备部署快、排涝强、安全可控的核心特点。</w:t>
      </w:r>
    </w:p>
    <w:p>
      <w:pPr>
        <w:spacing w:before="300" w:after="120" w:line="288" w:lineRule="auto"/>
        <w:ind w:left="0"/>
        <w:jc w:val="left"/>
        <w:outlineLvl w:val="2"/>
        <w:rPr>
          <w:color w:val="auto"/>
          <w:highlight w:val="none"/>
        </w:rPr>
      </w:pPr>
      <w:bookmarkStart w:id="17" w:name="heading_7"/>
      <w:r>
        <w:rPr>
          <w:rFonts w:ascii="Arial" w:hAnsi="Arial" w:eastAsia="等线" w:cs="Arial"/>
          <w:b/>
          <w:color w:val="auto"/>
          <w:sz w:val="30"/>
          <w:highlight w:val="none"/>
        </w:rPr>
        <w:t>1.3.2</w:t>
      </w:r>
      <w:r>
        <w:rPr>
          <w:rFonts w:hint="eastAsia" w:ascii="Arial" w:hAnsi="Arial" w:eastAsia="等线" w:cs="Arial"/>
          <w:b/>
          <w:color w:val="auto"/>
          <w:sz w:val="30"/>
          <w:highlight w:val="none"/>
          <w:lang w:val="en-US" w:eastAsia="zh-CN"/>
        </w:rPr>
        <w:t>涉水部件</w:t>
      </w:r>
      <w:r>
        <w:rPr>
          <w:rFonts w:ascii="Arial" w:hAnsi="Arial" w:eastAsia="等线" w:cs="Arial"/>
          <w:b/>
          <w:color w:val="auto"/>
          <w:sz w:val="30"/>
          <w:highlight w:val="none"/>
        </w:rPr>
        <w:t>防护等级IP68</w:t>
      </w:r>
      <w:bookmarkEnd w:id="17"/>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完全防止粉尘侵入，</w:t>
      </w:r>
      <w:r>
        <w:rPr>
          <w:rFonts w:hint="eastAsia" w:ascii="Arial" w:hAnsi="Arial" w:eastAsia="等线" w:cs="Arial"/>
          <w:b w:val="0"/>
          <w:bCs w:val="0"/>
          <w:color w:val="auto"/>
          <w:sz w:val="24"/>
          <w:szCs w:val="24"/>
          <w:highlight w:val="none"/>
          <w:lang w:val="en-US" w:eastAsia="zh-CN"/>
        </w:rPr>
        <w:t>涉水部件</w:t>
      </w:r>
      <w:r>
        <w:rPr>
          <w:rFonts w:ascii="Arial" w:hAnsi="Arial" w:eastAsia="等线" w:cs="Arial"/>
          <w:b w:val="0"/>
          <w:bCs w:val="0"/>
          <w:color w:val="auto"/>
          <w:sz w:val="24"/>
          <w:szCs w:val="24"/>
          <w:highlight w:val="none"/>
        </w:rPr>
        <w:t>可在0.6MPa水压下长期浸水作业，设备核心部件无进水、无短路，绝缘性能达标，适配电网潮湿积水特殊工况。</w:t>
      </w:r>
    </w:p>
    <w:p>
      <w:pPr>
        <w:spacing w:before="300" w:after="120" w:line="288" w:lineRule="auto"/>
        <w:ind w:left="0"/>
        <w:jc w:val="left"/>
        <w:outlineLvl w:val="2"/>
        <w:rPr>
          <w:color w:val="auto"/>
          <w:highlight w:val="none"/>
        </w:rPr>
      </w:pPr>
      <w:bookmarkStart w:id="18" w:name="heading_8"/>
      <w:r>
        <w:rPr>
          <w:rFonts w:ascii="Arial" w:hAnsi="Arial" w:eastAsia="等线" w:cs="Arial"/>
          <w:b/>
          <w:color w:val="auto"/>
          <w:sz w:val="30"/>
          <w:highlight w:val="none"/>
        </w:rPr>
        <w:t>1.3.3平均无故障工作时间（MTBF）</w:t>
      </w:r>
      <w:bookmarkEnd w:id="18"/>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衡量设备可靠性的核心指标，指设备两次相邻故障之间的平均工作时长（单位：小时），本项目设备需满足电网防汛应急高强度、长时间作业需求。</w:t>
      </w:r>
    </w:p>
    <w:p>
      <w:pPr>
        <w:spacing w:before="300" w:after="120" w:line="288" w:lineRule="auto"/>
        <w:ind w:left="0"/>
        <w:jc w:val="left"/>
        <w:outlineLvl w:val="2"/>
        <w:rPr>
          <w:color w:val="auto"/>
          <w:highlight w:val="none"/>
        </w:rPr>
      </w:pPr>
      <w:bookmarkStart w:id="19" w:name="heading_9"/>
      <w:r>
        <w:rPr>
          <w:rFonts w:ascii="Arial" w:hAnsi="Arial" w:eastAsia="等线" w:cs="Arial"/>
          <w:b/>
          <w:color w:val="auto"/>
          <w:sz w:val="30"/>
          <w:highlight w:val="none"/>
        </w:rPr>
        <w:t>1.3.4电力安全间距</w:t>
      </w:r>
      <w:bookmarkEnd w:id="19"/>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hint="eastAsia" w:ascii="Arial" w:hAnsi="Arial" w:eastAsia="等线" w:cs="Arial"/>
          <w:b w:val="0"/>
          <w:bCs w:val="0"/>
          <w:color w:val="auto"/>
          <w:sz w:val="24"/>
          <w:szCs w:val="24"/>
          <w:highlight w:val="none"/>
          <w:lang w:eastAsia="zh-CN"/>
        </w:rPr>
        <w:t>抽水机（排涝方舱）</w:t>
      </w:r>
      <w:r>
        <w:rPr>
          <w:rFonts w:ascii="Arial" w:hAnsi="Arial" w:eastAsia="等线" w:cs="Arial"/>
          <w:b w:val="0"/>
          <w:bCs w:val="0"/>
          <w:color w:val="auto"/>
          <w:sz w:val="24"/>
          <w:szCs w:val="24"/>
          <w:highlight w:val="none"/>
        </w:rPr>
        <w:t>作业时与电网带电设备、高压电缆必须保持的安全距离，需严格符合电力行业安全规程，杜绝触电、短路等安全风险。</w:t>
      </w:r>
    </w:p>
    <w:p>
      <w:pPr>
        <w:spacing w:before="300" w:after="120" w:line="288" w:lineRule="auto"/>
        <w:ind w:left="0"/>
        <w:jc w:val="left"/>
        <w:outlineLvl w:val="2"/>
        <w:rPr>
          <w:color w:val="auto"/>
          <w:highlight w:val="none"/>
        </w:rPr>
      </w:pPr>
      <w:bookmarkStart w:id="20" w:name="heading_10"/>
      <w:r>
        <w:rPr>
          <w:rFonts w:ascii="Arial" w:hAnsi="Arial" w:eastAsia="等线" w:cs="Arial"/>
          <w:b/>
          <w:color w:val="auto"/>
          <w:sz w:val="30"/>
          <w:highlight w:val="none"/>
        </w:rPr>
        <w:t>1.4通用约定</w:t>
      </w:r>
      <w:bookmarkEnd w:id="20"/>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本规范书中标注★的条款/参数为关键强制性要求，投标方必须100%满足，不允许任何负偏离，否则作无效投标处理</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标注▲的条款/参数为重要性能要求，鼓励投标方正偏离，正偏离情况将作为评标加分依据</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本规范书中所有“≥</w:t>
      </w:r>
      <w:r>
        <w:rPr>
          <w:rFonts w:hint="eastAsia" w:ascii="Arial" w:hAnsi="Arial" w:eastAsia="等线" w:cs="Arial"/>
          <w:b w:val="0"/>
          <w:bCs w:val="0"/>
          <w:color w:val="auto"/>
          <w:sz w:val="24"/>
          <w:szCs w:val="24"/>
          <w:highlight w:val="none"/>
          <w:lang w:eastAsia="zh-CN"/>
        </w:rPr>
        <w:t>、</w:t>
      </w:r>
      <w:r>
        <w:rPr>
          <w:rFonts w:ascii="Arial" w:hAnsi="Arial" w:eastAsia="等线" w:cs="Arial"/>
          <w:b w:val="0"/>
          <w:bCs w:val="0"/>
          <w:color w:val="auto"/>
          <w:sz w:val="24"/>
          <w:szCs w:val="24"/>
          <w:highlight w:val="none"/>
        </w:rPr>
        <w:t>≤、＞、＜”均为强制性限值，投标方响应值需严格符合</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投标方须承诺所供设备为全新、未使用过的原厂正品，无设计、制造缺陷</w:t>
      </w:r>
      <w:r>
        <w:rPr>
          <w:rFonts w:hint="eastAsia" w:ascii="Arial" w:hAnsi="Arial" w:eastAsia="等线" w:cs="Arial"/>
          <w:b w:val="0"/>
          <w:bCs w:val="0"/>
          <w:color w:val="auto"/>
          <w:sz w:val="24"/>
          <w:szCs w:val="24"/>
          <w:highlight w:val="none"/>
          <w:lang w:eastAsia="zh-CN"/>
        </w:rPr>
        <w:t>，</w:t>
      </w:r>
      <w:r>
        <w:rPr>
          <w:rFonts w:ascii="Arial" w:hAnsi="Arial" w:eastAsia="等线" w:cs="Arial"/>
          <w:b w:val="0"/>
          <w:bCs w:val="0"/>
          <w:color w:val="auto"/>
          <w:sz w:val="24"/>
          <w:szCs w:val="24"/>
          <w:highlight w:val="none"/>
        </w:rPr>
        <w:t>符合本规范书全部要求</w:t>
      </w:r>
      <w:r>
        <w:rPr>
          <w:rFonts w:hint="eastAsia" w:ascii="Arial" w:hAnsi="Arial" w:eastAsia="等线" w:cs="Arial"/>
          <w:b w:val="0"/>
          <w:bCs w:val="0"/>
          <w:color w:val="auto"/>
          <w:sz w:val="24"/>
          <w:szCs w:val="24"/>
          <w:highlight w:val="none"/>
          <w:lang w:eastAsia="zh-CN"/>
        </w:rPr>
        <w:t>。</w:t>
      </w:r>
    </w:p>
    <w:p>
      <w:pPr>
        <w:spacing w:before="380" w:after="140" w:line="288" w:lineRule="auto"/>
        <w:ind w:left="0"/>
        <w:jc w:val="left"/>
        <w:outlineLvl w:val="0"/>
        <w:rPr>
          <w:color w:val="auto"/>
          <w:highlight w:val="none"/>
        </w:rPr>
      </w:pPr>
      <w:bookmarkStart w:id="21" w:name="heading_11"/>
      <w:bookmarkStart w:id="22" w:name="_Toc1737168135"/>
      <w:r>
        <w:rPr>
          <w:rFonts w:ascii="Arial" w:hAnsi="Arial" w:eastAsia="等线" w:cs="Arial"/>
          <w:b/>
          <w:color w:val="auto"/>
          <w:sz w:val="36"/>
          <w:highlight w:val="none"/>
        </w:rPr>
        <w:t>2工程概述</w:t>
      </w:r>
      <w:bookmarkEnd w:id="21"/>
      <w:bookmarkEnd w:id="22"/>
    </w:p>
    <w:p>
      <w:pPr>
        <w:spacing w:before="320" w:after="120" w:line="288" w:lineRule="auto"/>
        <w:ind w:left="0"/>
        <w:jc w:val="left"/>
        <w:outlineLvl w:val="1"/>
        <w:rPr>
          <w:color w:val="auto"/>
          <w:highlight w:val="none"/>
        </w:rPr>
      </w:pPr>
      <w:bookmarkStart w:id="23" w:name="heading_12"/>
      <w:bookmarkStart w:id="24" w:name="_Toc1544663980"/>
      <w:r>
        <w:rPr>
          <w:rFonts w:ascii="Arial" w:hAnsi="Arial" w:eastAsia="等线" w:cs="Arial"/>
          <w:b/>
          <w:color w:val="auto"/>
          <w:sz w:val="32"/>
          <w:highlight w:val="none"/>
        </w:rPr>
        <w:t>2.1工程概况</w:t>
      </w:r>
      <w:bookmarkEnd w:id="23"/>
      <w:bookmarkEnd w:id="24"/>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本项目为深圳供电局有限公司电网防汛能力提升专项采购项目，采购遥控</w:t>
      </w:r>
      <w:r>
        <w:rPr>
          <w:rFonts w:hint="eastAsia" w:ascii="Arial" w:hAnsi="Arial" w:eastAsia="等线" w:cs="Arial"/>
          <w:b w:val="0"/>
          <w:bCs w:val="0"/>
          <w:color w:val="auto"/>
          <w:sz w:val="24"/>
          <w:szCs w:val="24"/>
          <w:highlight w:val="none"/>
          <w:lang w:eastAsia="zh-CN"/>
        </w:rPr>
        <w:t>抽水机（排涝方舱）</w:t>
      </w:r>
      <w:r>
        <w:rPr>
          <w:rFonts w:ascii="Arial" w:hAnsi="Arial" w:eastAsia="等线" w:cs="Arial"/>
          <w:b w:val="0"/>
          <w:bCs w:val="0"/>
          <w:color w:val="auto"/>
          <w:sz w:val="24"/>
          <w:szCs w:val="24"/>
          <w:highlight w:val="none"/>
        </w:rPr>
        <w:t>，用于替代传统人工排水设备，解决电网变电站、电缆沟、配电室等场景防汛排涝、积水疏导痛点，实现应急排涝快速部署、带电区域安全作业、复杂工况高效排涝，保障电网防汛期间设备安全与系统稳定运维。</w:t>
      </w:r>
    </w:p>
    <w:p>
      <w:pPr>
        <w:spacing w:before="320" w:after="120" w:line="288" w:lineRule="auto"/>
        <w:ind w:left="0"/>
        <w:jc w:val="left"/>
        <w:outlineLvl w:val="1"/>
        <w:rPr>
          <w:color w:val="auto"/>
          <w:highlight w:val="none"/>
        </w:rPr>
      </w:pPr>
      <w:bookmarkStart w:id="25" w:name="heading_13"/>
      <w:bookmarkStart w:id="26" w:name="_Toc237703277"/>
      <w:r>
        <w:rPr>
          <w:rFonts w:ascii="Arial" w:hAnsi="Arial" w:eastAsia="等线" w:cs="Arial"/>
          <w:b/>
          <w:color w:val="auto"/>
          <w:sz w:val="32"/>
          <w:highlight w:val="none"/>
        </w:rPr>
        <w:t>2.2使用条件</w:t>
      </w:r>
      <w:bookmarkEnd w:id="25"/>
      <w:bookmarkEnd w:id="26"/>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本项目采购设备需适配电网户外、地下密闭、泥泞积水、狭小空间等复杂工况，满足高低温、防水防尘、抗电磁干扰要求，可在电网带电区域周边安全作业，适配多种运输、装卸方式，具体环境参数详见本规范书3.1章节使用环境条件，投标方须承诺设备完全适配本项目所有使用工况。</w:t>
      </w:r>
    </w:p>
    <w:p>
      <w:pPr>
        <w:spacing w:before="380" w:after="140" w:line="288" w:lineRule="auto"/>
        <w:ind w:left="0"/>
        <w:jc w:val="left"/>
        <w:outlineLvl w:val="0"/>
        <w:rPr>
          <w:color w:val="auto"/>
          <w:highlight w:val="none"/>
        </w:rPr>
      </w:pPr>
      <w:bookmarkStart w:id="27" w:name="_Toc759393119"/>
      <w:bookmarkStart w:id="28" w:name="heading_14"/>
      <w:r>
        <w:rPr>
          <w:rFonts w:ascii="Arial" w:hAnsi="Arial" w:eastAsia="等线" w:cs="Arial"/>
          <w:b/>
          <w:color w:val="auto"/>
          <w:sz w:val="36"/>
          <w:highlight w:val="none"/>
        </w:rPr>
        <w:t>3技术要求</w:t>
      </w:r>
      <w:bookmarkEnd w:id="27"/>
      <w:bookmarkEnd w:id="28"/>
    </w:p>
    <w:p>
      <w:pPr>
        <w:spacing w:before="320" w:after="120" w:line="288" w:lineRule="auto"/>
        <w:ind w:left="0"/>
        <w:jc w:val="left"/>
        <w:outlineLvl w:val="1"/>
        <w:rPr>
          <w:color w:val="auto"/>
          <w:highlight w:val="none"/>
        </w:rPr>
      </w:pPr>
      <w:bookmarkStart w:id="29" w:name="_Toc624836912"/>
      <w:bookmarkStart w:id="30" w:name="heading_15"/>
      <w:r>
        <w:rPr>
          <w:rFonts w:ascii="Arial" w:hAnsi="Arial" w:eastAsia="等线" w:cs="Arial"/>
          <w:b/>
          <w:color w:val="auto"/>
          <w:sz w:val="32"/>
          <w:highlight w:val="none"/>
        </w:rPr>
        <w:t>3.1使用环境条件</w:t>
      </w:r>
      <w:bookmarkEnd w:id="29"/>
      <w:bookmarkEnd w:id="30"/>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投标方所供设备必须满足以下环境适应性要求，无任何例外：</w:t>
      </w: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温度：工作温度-25℃～+65℃，存储温度-35℃～+75℃，适配电网高寒、高温、户外、地下等全场景</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防护等级：</w:t>
      </w:r>
      <w:r>
        <w:rPr>
          <w:rFonts w:hint="eastAsia" w:ascii="Arial" w:hAnsi="Arial" w:eastAsia="等线" w:cs="Arial"/>
          <w:b w:val="0"/>
          <w:bCs w:val="0"/>
          <w:color w:val="auto"/>
          <w:sz w:val="24"/>
          <w:szCs w:val="24"/>
          <w:highlight w:val="none"/>
          <w:lang w:val="en-US" w:eastAsia="zh-CN"/>
        </w:rPr>
        <w:t>涉水</w:t>
      </w:r>
      <w:r>
        <w:rPr>
          <w:rFonts w:ascii="Arial" w:hAnsi="Arial" w:eastAsia="等线" w:cs="Arial"/>
          <w:b w:val="0"/>
          <w:bCs w:val="0"/>
          <w:color w:val="auto"/>
          <w:sz w:val="24"/>
          <w:szCs w:val="24"/>
          <w:highlight w:val="none"/>
        </w:rPr>
        <w:t>部件IP68，可承受0.6MPa水压连续作业，耐污水、油污、泥沙、轻度腐蚀性电解液浸泡</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介质适应性：可处理雨水、污水、含泥积水、电缆沟渗漏水，适配pH4～10的轻度腐蚀性液体，可有效抽吸含杂质、淤泥状积水</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工况适应性：适应场地坡度≤30°、积水流速≤2.0m/s、淤积厚度≤50mm，可在泥泞、松软地面、狭小弯道正常作业</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电磁兼容性：符合电力行业EMC现行标准，作业时不干扰电网继电保护、监控、通信等设备，抗电网强电磁干扰能力优异。</w:t>
      </w:r>
    </w:p>
    <w:p>
      <w:pPr>
        <w:spacing w:before="320" w:after="120" w:line="288" w:lineRule="auto"/>
        <w:ind w:left="0"/>
        <w:jc w:val="left"/>
        <w:outlineLvl w:val="1"/>
        <w:rPr>
          <w:color w:val="auto"/>
          <w:highlight w:val="none"/>
        </w:rPr>
      </w:pPr>
      <w:bookmarkStart w:id="31" w:name="_Toc438946154"/>
      <w:bookmarkStart w:id="32" w:name="heading_16"/>
      <w:r>
        <w:rPr>
          <w:rFonts w:ascii="Arial" w:hAnsi="Arial" w:eastAsia="等线" w:cs="Arial"/>
          <w:b/>
          <w:color w:val="auto"/>
          <w:sz w:val="32"/>
          <w:highlight w:val="none"/>
        </w:rPr>
        <w:t>3.2工作条件</w:t>
      </w:r>
      <w:bookmarkEnd w:id="31"/>
      <w:bookmarkEnd w:id="32"/>
    </w:p>
    <w:p>
      <w:pPr>
        <w:keepNext w:val="0"/>
        <w:keepLines w:val="0"/>
        <w:pageBreakBefore w:val="0"/>
        <w:widowControl w:val="0"/>
        <w:numPr>
          <w:ilvl w:val="0"/>
          <w:numId w:val="5"/>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供电模式：柴</w:t>
      </w:r>
      <w:r>
        <w:rPr>
          <w:rFonts w:hint="eastAsia" w:ascii="Arial" w:hAnsi="Arial" w:eastAsia="等线" w:cs="Arial"/>
          <w:b w:val="0"/>
          <w:bCs w:val="0"/>
          <w:color w:val="auto"/>
          <w:sz w:val="24"/>
          <w:szCs w:val="24"/>
          <w:highlight w:val="none"/>
          <w:lang w:val="en-US" w:eastAsia="zh-CN"/>
        </w:rPr>
        <w:t>汽油</w:t>
      </w:r>
      <w:r>
        <w:rPr>
          <w:rFonts w:ascii="Arial" w:hAnsi="Arial" w:eastAsia="等线" w:cs="Arial"/>
          <w:b w:val="0"/>
          <w:bCs w:val="0"/>
          <w:color w:val="auto"/>
          <w:sz w:val="24"/>
          <w:szCs w:val="24"/>
          <w:highlight w:val="none"/>
        </w:rPr>
        <w:t>动机+液压</w:t>
      </w:r>
      <w:r>
        <w:rPr>
          <w:rFonts w:hint="eastAsia" w:ascii="Arial" w:hAnsi="Arial" w:eastAsia="等线" w:cs="Arial"/>
          <w:b w:val="0"/>
          <w:bCs w:val="0"/>
          <w:color w:val="auto"/>
          <w:sz w:val="24"/>
          <w:szCs w:val="24"/>
          <w:highlight w:val="none"/>
          <w:lang w:val="en-US" w:eastAsia="zh-CN"/>
        </w:rPr>
        <w:t>/电</w:t>
      </w:r>
      <w:r>
        <w:rPr>
          <w:rFonts w:ascii="Arial" w:hAnsi="Arial" w:eastAsia="等线" w:cs="Arial"/>
          <w:b w:val="0"/>
          <w:bCs w:val="0"/>
          <w:color w:val="auto"/>
          <w:sz w:val="24"/>
          <w:szCs w:val="24"/>
          <w:highlight w:val="none"/>
        </w:rPr>
        <w:t>驱动，控制电路采用DC12V</w:t>
      </w:r>
      <w:r>
        <w:rPr>
          <w:rFonts w:hint="eastAsia" w:ascii="Arial" w:hAnsi="Arial" w:eastAsia="等线" w:cs="Arial"/>
          <w:b w:val="0"/>
          <w:bCs w:val="0"/>
          <w:color w:val="auto"/>
          <w:sz w:val="24"/>
          <w:szCs w:val="24"/>
          <w:highlight w:val="none"/>
          <w:lang w:val="en-US" w:eastAsia="zh-CN"/>
        </w:rPr>
        <w:t>/36V/48V</w:t>
      </w:r>
      <w:r>
        <w:rPr>
          <w:rFonts w:ascii="Arial" w:hAnsi="Arial" w:eastAsia="等线" w:cs="Arial"/>
          <w:b w:val="0"/>
          <w:bCs w:val="0"/>
          <w:color w:val="auto"/>
          <w:sz w:val="24"/>
          <w:szCs w:val="24"/>
          <w:highlight w:val="none"/>
        </w:rPr>
        <w:t>铅酸电池独立供电，支持电启动，启动成功率100%</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numPr>
          <w:ilvl w:val="0"/>
          <w:numId w:val="5"/>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作业模式：</w:t>
      </w:r>
      <w:r>
        <w:rPr>
          <w:rFonts w:hint="eastAsia" w:ascii="Arial" w:hAnsi="Arial" w:eastAsia="等线" w:cs="Arial"/>
          <w:b w:val="0"/>
          <w:bCs w:val="0"/>
          <w:color w:val="auto"/>
          <w:sz w:val="24"/>
          <w:szCs w:val="24"/>
          <w:highlight w:val="none"/>
        </w:rPr>
        <w:t>支持</w:t>
      </w:r>
      <w:r>
        <w:rPr>
          <w:rFonts w:ascii="Arial" w:hAnsi="Arial" w:eastAsia="等线" w:cs="Arial"/>
          <w:b w:val="0"/>
          <w:bCs w:val="0"/>
          <w:color w:val="auto"/>
          <w:sz w:val="24"/>
          <w:szCs w:val="24"/>
          <w:highlight w:val="none"/>
        </w:rPr>
        <w:t>无线远程无接触操控</w:t>
      </w:r>
      <w:r>
        <w:rPr>
          <w:rFonts w:hint="eastAsia" w:ascii="Arial" w:hAnsi="Arial" w:eastAsia="等线" w:cs="Arial"/>
          <w:b w:val="0"/>
          <w:bCs w:val="0"/>
          <w:color w:val="auto"/>
          <w:sz w:val="24"/>
          <w:szCs w:val="24"/>
          <w:highlight w:val="none"/>
          <w:lang w:val="en-US" w:eastAsia="zh-CN"/>
        </w:rPr>
        <w:t>和</w:t>
      </w:r>
      <w:r>
        <w:rPr>
          <w:rFonts w:hint="eastAsia" w:ascii="Arial" w:hAnsi="Arial" w:eastAsia="等线" w:cs="Arial"/>
          <w:b w:val="0"/>
          <w:bCs w:val="0"/>
          <w:color w:val="auto"/>
          <w:sz w:val="24"/>
          <w:szCs w:val="24"/>
          <w:highlight w:val="none"/>
        </w:rPr>
        <w:t>现场操作，水泵启停、辅助照明</w:t>
      </w:r>
      <w:r>
        <w:rPr>
          <w:rFonts w:hint="eastAsia" w:ascii="Arial" w:hAnsi="Arial" w:eastAsia="等线" w:cs="Arial"/>
          <w:b w:val="0"/>
          <w:bCs w:val="0"/>
          <w:color w:val="auto"/>
          <w:sz w:val="24"/>
          <w:szCs w:val="24"/>
          <w:highlight w:val="none"/>
          <w:lang w:eastAsia="zh-CN"/>
        </w:rPr>
        <w:t>、</w:t>
      </w:r>
      <w:r>
        <w:rPr>
          <w:rFonts w:hint="eastAsia" w:ascii="Arial" w:hAnsi="Arial" w:eastAsia="等线" w:cs="Arial"/>
          <w:b w:val="0"/>
          <w:bCs w:val="0"/>
          <w:color w:val="auto"/>
          <w:sz w:val="24"/>
          <w:szCs w:val="24"/>
          <w:highlight w:val="none"/>
          <w:lang w:val="en-US" w:eastAsia="zh-CN"/>
        </w:rPr>
        <w:t>测距</w:t>
      </w:r>
      <w:r>
        <w:rPr>
          <w:rFonts w:hint="eastAsia" w:ascii="Arial" w:hAnsi="Arial" w:eastAsia="等线" w:cs="Arial"/>
          <w:b w:val="0"/>
          <w:bCs w:val="0"/>
          <w:color w:val="auto"/>
          <w:sz w:val="24"/>
          <w:szCs w:val="24"/>
          <w:highlight w:val="none"/>
        </w:rPr>
        <w:t>等核心功能，保障作业安全。</w:t>
      </w:r>
    </w:p>
    <w:p>
      <w:pPr>
        <w:keepNext w:val="0"/>
        <w:keepLines w:val="0"/>
        <w:pageBreakBefore w:val="0"/>
        <w:widowControl w:val="0"/>
        <w:numPr>
          <w:ilvl w:val="0"/>
          <w:numId w:val="5"/>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连续作业时长：</w:t>
      </w:r>
      <w:r>
        <w:rPr>
          <w:rFonts w:ascii="Arial" w:hAnsi="Arial" w:eastAsia="等线" w:cs="Arial"/>
          <w:b w:val="0"/>
          <w:bCs w:val="0"/>
          <w:strike w:val="0"/>
          <w:dstrike w:val="0"/>
          <w:color w:val="auto"/>
          <w:sz w:val="24"/>
          <w:szCs w:val="24"/>
          <w:highlight w:val="none"/>
        </w:rPr>
        <w:t>≥</w:t>
      </w:r>
      <w:r>
        <w:rPr>
          <w:rFonts w:hint="eastAsia" w:ascii="Arial" w:hAnsi="Arial" w:eastAsia="等线" w:cs="Arial"/>
          <w:b w:val="0"/>
          <w:bCs w:val="0"/>
          <w:strike w:val="0"/>
          <w:dstrike w:val="0"/>
          <w:color w:val="auto"/>
          <w:sz w:val="24"/>
          <w:szCs w:val="24"/>
          <w:highlight w:val="none"/>
          <w:lang w:val="en-US" w:eastAsia="zh-CN"/>
        </w:rPr>
        <w:t>8</w:t>
      </w:r>
      <w:r>
        <w:rPr>
          <w:rFonts w:ascii="Arial" w:hAnsi="Arial" w:eastAsia="等线" w:cs="Arial"/>
          <w:b w:val="0"/>
          <w:bCs w:val="0"/>
          <w:strike w:val="0"/>
          <w:dstrike w:val="0"/>
          <w:color w:val="auto"/>
          <w:sz w:val="24"/>
          <w:szCs w:val="24"/>
          <w:highlight w:val="none"/>
        </w:rPr>
        <w:t>h（满负荷工况）</w:t>
      </w:r>
      <w:r>
        <w:rPr>
          <w:rFonts w:ascii="Arial" w:hAnsi="Arial" w:eastAsia="等线" w:cs="Arial"/>
          <w:b w:val="0"/>
          <w:bCs w:val="0"/>
          <w:strike w:val="0"/>
          <w:color w:val="auto"/>
          <w:sz w:val="24"/>
          <w:szCs w:val="24"/>
          <w:highlight w:val="none"/>
        </w:rPr>
        <w:t>，</w:t>
      </w:r>
      <w:r>
        <w:rPr>
          <w:rFonts w:ascii="Arial" w:hAnsi="Arial" w:eastAsia="等线" w:cs="Arial"/>
          <w:b w:val="0"/>
          <w:bCs w:val="0"/>
          <w:color w:val="auto"/>
          <w:sz w:val="24"/>
          <w:szCs w:val="24"/>
          <w:highlight w:val="none"/>
        </w:rPr>
        <w:t>适配电网防汛抢修长时间作业需求；</w:t>
      </w:r>
    </w:p>
    <w:p>
      <w:pPr>
        <w:keepNext w:val="0"/>
        <w:keepLines w:val="0"/>
        <w:pageBreakBefore w:val="0"/>
        <w:widowControl w:val="0"/>
        <w:numPr>
          <w:ilvl w:val="0"/>
          <w:numId w:val="5"/>
        </w:numPr>
        <w:kinsoku/>
        <w:wordWrap/>
        <w:overflowPunct/>
        <w:topLinePunct w:val="0"/>
        <w:autoSpaceDE/>
        <w:autoSpaceDN/>
        <w:bidi w:val="0"/>
        <w:adjustRightInd/>
        <w:snapToGrid/>
        <w:spacing w:line="288" w:lineRule="auto"/>
        <w:ind w:left="425" w:leftChars="0" w:hanging="425" w:firstLineChars="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场地适配：无需提前整备场地，可直接在泥泞、积水、狭小空间（电缆沟、配电室廊道等）开展作业。</w:t>
      </w:r>
    </w:p>
    <w:p>
      <w:pPr>
        <w:spacing w:before="320" w:after="120" w:line="288" w:lineRule="auto"/>
        <w:ind w:left="0"/>
        <w:jc w:val="left"/>
        <w:outlineLvl w:val="1"/>
        <w:rPr>
          <w:color w:val="auto"/>
          <w:highlight w:val="none"/>
        </w:rPr>
      </w:pPr>
      <w:bookmarkStart w:id="33" w:name="heading_17"/>
      <w:bookmarkStart w:id="34" w:name="_Toc761682833"/>
      <w:r>
        <w:rPr>
          <w:rFonts w:ascii="Arial" w:hAnsi="Arial" w:eastAsia="等线" w:cs="Arial"/>
          <w:b/>
          <w:color w:val="auto"/>
          <w:sz w:val="32"/>
          <w:highlight w:val="none"/>
        </w:rPr>
        <w:t>3.3应遵循的主要标准</w:t>
      </w:r>
      <w:bookmarkEnd w:id="33"/>
      <w:bookmarkEnd w:id="34"/>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设备的设计、制造、试验、验收除满足本规范书1.2章节引用文件外，还需同步满足国家强制性标准、电力行业专项标准、中国南方电网有限责任公司及深圳供电局有限公司内部运维规程，涉及安全、防爆、绝缘、电磁兼容的指标，优先满足电网高标准要求。</w:t>
      </w:r>
    </w:p>
    <w:p>
      <w:pPr>
        <w:spacing w:before="320" w:after="120" w:line="288" w:lineRule="auto"/>
        <w:ind w:left="0"/>
        <w:jc w:val="left"/>
        <w:outlineLvl w:val="1"/>
        <w:rPr>
          <w:color w:val="auto"/>
          <w:highlight w:val="none"/>
        </w:rPr>
      </w:pPr>
      <w:bookmarkStart w:id="35" w:name="_Toc453354464"/>
      <w:bookmarkStart w:id="36" w:name="heading_18"/>
      <w:r>
        <w:rPr>
          <w:rFonts w:ascii="Arial" w:hAnsi="Arial" w:eastAsia="等线" w:cs="Arial"/>
          <w:b/>
          <w:color w:val="auto"/>
          <w:sz w:val="32"/>
          <w:highlight w:val="none"/>
        </w:rPr>
        <w:t>3.4结构与材质要求</w:t>
      </w:r>
      <w:bookmarkEnd w:id="35"/>
      <w:bookmarkEnd w:id="36"/>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hint="default" w:ascii="Arial" w:hAnsi="Arial" w:eastAsia="等线" w:cs="Arial"/>
          <w:b w:val="0"/>
          <w:bCs w:val="0"/>
          <w:color w:val="auto"/>
          <w:sz w:val="24"/>
          <w:szCs w:val="24"/>
          <w:highlight w:val="none"/>
          <w:lang w:val="en-US"/>
        </w:rPr>
      </w:pPr>
      <w:r>
        <w:rPr>
          <w:rFonts w:ascii="Arial" w:hAnsi="Arial" w:eastAsia="等线" w:cs="Arial"/>
          <w:b w:val="0"/>
          <w:bCs w:val="0"/>
          <w:color w:val="auto"/>
          <w:sz w:val="24"/>
          <w:szCs w:val="24"/>
          <w:highlight w:val="none"/>
        </w:rPr>
        <w:t>★1.主体框架：采用高强度加厚碳钢</w:t>
      </w:r>
      <w:r>
        <w:rPr>
          <w:rFonts w:hint="eastAsia" w:ascii="Arial" w:hAnsi="Arial" w:eastAsia="等线" w:cs="Arial"/>
          <w:b w:val="0"/>
          <w:bCs w:val="0"/>
          <w:color w:val="auto"/>
          <w:sz w:val="24"/>
          <w:szCs w:val="24"/>
          <w:highlight w:val="none"/>
          <w:lang w:val="en-US" w:eastAsia="zh-CN"/>
        </w:rPr>
        <w:t>或</w:t>
      </w:r>
      <w:r>
        <w:rPr>
          <w:rFonts w:ascii="Arial" w:hAnsi="Arial" w:eastAsia="等线" w:cs="Arial"/>
          <w:b w:val="0"/>
          <w:bCs w:val="0"/>
          <w:color w:val="auto"/>
          <w:sz w:val="24"/>
          <w:szCs w:val="24"/>
          <w:highlight w:val="none"/>
        </w:rPr>
        <w:t>316不锈钢组合材质，履带采用耐磨绝缘橡胶材质</w:t>
      </w:r>
      <w:r>
        <w:rPr>
          <w:rFonts w:hint="eastAsia" w:ascii="Arial" w:hAnsi="Arial" w:eastAsia="等线" w:cs="Arial"/>
          <w:b w:val="0"/>
          <w:bCs w:val="0"/>
          <w:color w:val="auto"/>
          <w:sz w:val="24"/>
          <w:szCs w:val="24"/>
          <w:highlight w:val="none"/>
          <w:lang w:eastAsia="zh-CN"/>
        </w:rPr>
        <w:t>，</w:t>
      </w:r>
      <w:r>
        <w:rPr>
          <w:rFonts w:ascii="Arial" w:hAnsi="Arial" w:eastAsia="等线" w:cs="Arial"/>
          <w:b w:val="0"/>
          <w:bCs w:val="0"/>
          <w:color w:val="auto"/>
          <w:sz w:val="24"/>
          <w:szCs w:val="24"/>
          <w:highlight w:val="none"/>
        </w:rPr>
        <w:t>整体满足耐腐蚀、抗冲击、高承重、绝缘防护要求</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★2.设计形式：模块化集成设计，排水泵可独立拆分，拆装便捷，满足电网应急抢修“快速部署、快速维修”需求</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★3.防护结构：排水泵、</w:t>
      </w:r>
      <w:r>
        <w:rPr>
          <w:rFonts w:hint="eastAsia" w:ascii="Arial" w:hAnsi="Arial" w:eastAsia="等线" w:cs="Arial"/>
          <w:b w:val="0"/>
          <w:bCs w:val="0"/>
          <w:strike w:val="0"/>
          <w:dstrike w:val="0"/>
          <w:color w:val="auto"/>
          <w:sz w:val="24"/>
          <w:szCs w:val="24"/>
          <w:highlight w:val="none"/>
          <w:lang w:val="en-US" w:eastAsia="zh-CN"/>
        </w:rPr>
        <w:t>升降滑架或一体式电动吊装机构</w:t>
      </w:r>
      <w:r>
        <w:rPr>
          <w:rFonts w:hint="eastAsia" w:ascii="Arial" w:hAnsi="Arial" w:eastAsia="等线" w:cs="Arial"/>
          <w:b w:val="0"/>
          <w:bCs w:val="0"/>
          <w:strike w:val="0"/>
          <w:color w:val="auto"/>
          <w:sz w:val="24"/>
          <w:szCs w:val="24"/>
          <w:highlight w:val="none"/>
          <w:lang w:val="en-US" w:eastAsia="zh-CN"/>
        </w:rPr>
        <w:t>、</w:t>
      </w:r>
      <w:r>
        <w:rPr>
          <w:rFonts w:ascii="Arial" w:hAnsi="Arial" w:eastAsia="等线" w:cs="Arial"/>
          <w:b w:val="0"/>
          <w:bCs w:val="0"/>
          <w:strike w:val="0"/>
          <w:dstrike w:val="0"/>
          <w:color w:val="auto"/>
          <w:sz w:val="24"/>
          <w:szCs w:val="24"/>
          <w:highlight w:val="none"/>
        </w:rPr>
        <w:t>液压管路</w:t>
      </w:r>
      <w:r>
        <w:rPr>
          <w:rFonts w:ascii="Arial" w:hAnsi="Arial" w:eastAsia="等线" w:cs="Arial"/>
          <w:b w:val="0"/>
          <w:bCs w:val="0"/>
          <w:color w:val="auto"/>
          <w:sz w:val="24"/>
          <w:szCs w:val="24"/>
          <w:highlight w:val="none"/>
        </w:rPr>
        <w:t>必须配备防撞、防刮、防堵、防缠绕保护结构，适应泥沙、杂物等复杂排水介质</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hint="eastAsia" w:ascii="Arial" w:hAnsi="Arial" w:eastAsia="等线" w:cs="Arial"/>
          <w:b w:val="0"/>
          <w:bCs w:val="0"/>
          <w:color w:val="auto"/>
          <w:sz w:val="24"/>
          <w:szCs w:val="24"/>
          <w:highlight w:val="none"/>
          <w:lang w:eastAsia="zh-CN"/>
        </w:rPr>
      </w:pPr>
      <w:r>
        <w:rPr>
          <w:rFonts w:ascii="Arial" w:hAnsi="Arial" w:eastAsia="等线" w:cs="Arial"/>
          <w:b w:val="0"/>
          <w:bCs w:val="0"/>
          <w:color w:val="auto"/>
          <w:sz w:val="24"/>
          <w:szCs w:val="24"/>
          <w:highlight w:val="none"/>
        </w:rPr>
        <w:t>★4.外观布局：整机布局紧凑，收纳体积小，无尖锐棱角，避免作业时刮蹭电网电缆、柜体等电力设施</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w:t>
      </w:r>
      <w:r>
        <w:rPr>
          <w:rFonts w:hint="eastAsia" w:ascii="Arial" w:hAnsi="Arial" w:eastAsia="等线" w:cs="Arial"/>
          <w:b w:val="0"/>
          <w:bCs w:val="0"/>
          <w:color w:val="auto"/>
          <w:sz w:val="24"/>
          <w:szCs w:val="24"/>
          <w:highlight w:val="none"/>
          <w:lang w:val="en-US" w:eastAsia="zh-CN"/>
        </w:rPr>
        <w:t>5.</w:t>
      </w:r>
      <w:r>
        <w:rPr>
          <w:rFonts w:ascii="Arial" w:hAnsi="Arial" w:eastAsia="等线" w:cs="Arial"/>
          <w:b w:val="0"/>
          <w:bCs w:val="0"/>
          <w:color w:val="auto"/>
          <w:sz w:val="24"/>
          <w:szCs w:val="24"/>
          <w:highlight w:val="none"/>
        </w:rPr>
        <w:t>接地要求：设备配备专用接地装置，接地电阻符合电力行业安全标准，确保作业安全。</w:t>
      </w:r>
    </w:p>
    <w:p>
      <w:pPr>
        <w:spacing w:before="320" w:after="120" w:line="288" w:lineRule="auto"/>
        <w:ind w:left="0"/>
        <w:jc w:val="left"/>
        <w:outlineLvl w:val="1"/>
        <w:rPr>
          <w:color w:val="auto"/>
          <w:highlight w:val="none"/>
        </w:rPr>
      </w:pPr>
      <w:bookmarkStart w:id="37" w:name="heading_19"/>
      <w:bookmarkStart w:id="38" w:name="_Toc256496892"/>
      <w:r>
        <w:rPr>
          <w:rFonts w:ascii="Arial" w:hAnsi="Arial" w:eastAsia="等线" w:cs="Arial"/>
          <w:b/>
          <w:color w:val="auto"/>
          <w:sz w:val="32"/>
          <w:highlight w:val="none"/>
        </w:rPr>
        <w:t>3.5安全性能要求</w:t>
      </w:r>
      <w:bookmarkEnd w:id="37"/>
      <w:bookmarkEnd w:id="38"/>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★1.自动保护功能：具备过载、超压、过热、漏电、短路等全工况自动保护功能，杜绝电力安全隐患；</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★2.绝缘密封：整机绝缘性能达标，所有带电部件、油路部件全密封隔离，符合电力行业安全操作规程，可在带电区域周边安全作业；</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★3.应急操控：配备一键急停、自锁刹车、故障自检、强制停机功能，操控响应灵敏，应急处置及时，无延迟；</w:t>
      </w:r>
    </w:p>
    <w:p>
      <w:pPr>
        <w:keepNext w:val="0"/>
        <w:keepLines w:val="0"/>
        <w:pageBreakBefore w:val="0"/>
        <w:widowControl w:val="0"/>
        <w:kinsoku/>
        <w:wordWrap/>
        <w:overflowPunct/>
        <w:topLinePunct w:val="0"/>
        <w:autoSpaceDE/>
        <w:autoSpaceDN/>
        <w:bidi w:val="0"/>
        <w:adjustRightInd/>
        <w:snapToGrid/>
        <w:spacing w:line="288" w:lineRule="auto"/>
        <w:ind w:left="0" w:firstLine="440" w:firstLineChars="200"/>
        <w:jc w:val="left"/>
        <w:textAlignment w:val="auto"/>
        <w:rPr>
          <w:rFonts w:hint="eastAsia" w:ascii="Arial" w:hAnsi="Arial" w:eastAsia="宋体" w:cs="Arial"/>
          <w:b w:val="0"/>
          <w:bCs w:val="0"/>
          <w:color w:val="auto"/>
          <w:sz w:val="24"/>
          <w:szCs w:val="24"/>
          <w:highlight w:val="none"/>
          <w:lang w:eastAsia="zh-CN"/>
        </w:rPr>
      </w:pPr>
      <w:r>
        <w:rPr>
          <w:rFonts w:ascii="Arial" w:hAnsi="Arial" w:eastAsia="等线" w:cs="Arial"/>
          <w:color w:val="auto"/>
          <w:sz w:val="22"/>
          <w:highlight w:val="none"/>
        </w:rPr>
        <w:t>▲</w:t>
      </w:r>
      <w:r>
        <w:rPr>
          <w:rFonts w:ascii="Arial" w:hAnsi="Arial" w:eastAsia="等线" w:cs="Arial"/>
          <w:b w:val="0"/>
          <w:bCs w:val="0"/>
          <w:color w:val="auto"/>
          <w:sz w:val="24"/>
          <w:szCs w:val="24"/>
          <w:highlight w:val="none"/>
        </w:rPr>
        <w:t>4.液压管路：采用高压防爆设计，抗拉、耐磨、防渗漏，可适配电网复杂空间拖拽、弯折作业</w:t>
      </w:r>
      <w:r>
        <w:rPr>
          <w:rFonts w:hint="eastAsia" w:ascii="Arial" w:hAnsi="Arial" w:eastAsia="等线" w:cs="Arial"/>
          <w:b w:val="0"/>
          <w:bCs w:val="0"/>
          <w:color w:val="auto"/>
          <w:sz w:val="24"/>
          <w:szCs w:val="24"/>
          <w:highlight w:val="none"/>
          <w:lang w:eastAsia="zh-CN"/>
        </w:rPr>
        <w:t>。（</w:t>
      </w:r>
      <w:r>
        <w:rPr>
          <w:rFonts w:hint="eastAsia" w:ascii="Arial" w:hAnsi="Arial" w:eastAsia="等线" w:cs="Arial"/>
          <w:b w:val="0"/>
          <w:bCs w:val="0"/>
          <w:color w:val="auto"/>
          <w:sz w:val="24"/>
          <w:szCs w:val="24"/>
          <w:highlight w:val="none"/>
          <w:lang w:val="en-US" w:eastAsia="zh-CN"/>
        </w:rPr>
        <w:t>该条要求仅对液压设备做要求</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40" w:firstLineChars="200"/>
        <w:jc w:val="left"/>
        <w:textAlignment w:val="auto"/>
        <w:rPr>
          <w:rFonts w:hint="eastAsia" w:ascii="Arial" w:hAnsi="Arial" w:eastAsia="等线" w:cs="Arial"/>
          <w:b w:val="0"/>
          <w:bCs w:val="0"/>
          <w:color w:val="auto"/>
          <w:sz w:val="24"/>
          <w:szCs w:val="24"/>
          <w:highlight w:val="none"/>
          <w:lang w:eastAsia="zh-CN"/>
        </w:rPr>
      </w:pPr>
      <w:r>
        <w:rPr>
          <w:rFonts w:ascii="Arial" w:hAnsi="Arial" w:eastAsia="等线" w:cs="Arial"/>
          <w:color w:val="auto"/>
          <w:sz w:val="22"/>
          <w:highlight w:val="none"/>
        </w:rPr>
        <w:t>▲</w:t>
      </w:r>
      <w:r>
        <w:rPr>
          <w:rFonts w:ascii="Arial" w:hAnsi="Arial" w:eastAsia="等线" w:cs="Arial"/>
          <w:b w:val="0"/>
          <w:bCs w:val="0"/>
          <w:color w:val="auto"/>
          <w:sz w:val="24"/>
          <w:szCs w:val="24"/>
          <w:highlight w:val="none"/>
        </w:rPr>
        <w:t>5.燃油系统：全密封防爆设计，符合电力场所防火安全规范，无明火、燃油泄漏风险</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hint="default" w:ascii="Arial" w:hAnsi="Arial" w:eastAsia="等线" w:cs="Arial"/>
          <w:b w:val="0"/>
          <w:bCs w:val="0"/>
          <w:color w:val="auto"/>
          <w:sz w:val="24"/>
          <w:szCs w:val="24"/>
          <w:highlight w:val="none"/>
          <w:lang w:val="en-US"/>
        </w:rPr>
        <w:t>6.</w:t>
      </w:r>
      <w:r>
        <w:rPr>
          <w:rFonts w:ascii="Arial" w:hAnsi="Arial" w:eastAsia="等线" w:cs="Arial"/>
          <w:b w:val="0"/>
          <w:bCs w:val="0"/>
          <w:color w:val="auto"/>
          <w:sz w:val="24"/>
          <w:szCs w:val="24"/>
          <w:highlight w:val="none"/>
        </w:rPr>
        <w:t>标识要求：设备机身醒目位置标注电力安全警示、防火标识、操作禁忌，标识永久清晰，不易脱落。</w:t>
      </w:r>
    </w:p>
    <w:p>
      <w:pPr>
        <w:spacing w:before="320" w:after="120" w:line="288" w:lineRule="auto"/>
        <w:ind w:left="0"/>
        <w:jc w:val="left"/>
        <w:outlineLvl w:val="1"/>
        <w:rPr>
          <w:color w:val="auto"/>
          <w:highlight w:val="none"/>
        </w:rPr>
      </w:pPr>
      <w:bookmarkStart w:id="39" w:name="heading_20"/>
      <w:bookmarkStart w:id="40" w:name="_Toc943584315"/>
      <w:r>
        <w:rPr>
          <w:rFonts w:ascii="Arial" w:hAnsi="Arial" w:eastAsia="等线" w:cs="Arial"/>
          <w:b/>
          <w:color w:val="auto"/>
          <w:sz w:val="32"/>
          <w:highlight w:val="none"/>
        </w:rPr>
        <w:t>3.6</w:t>
      </w:r>
      <w:r>
        <w:rPr>
          <w:rFonts w:hint="eastAsia" w:ascii="Arial" w:hAnsi="Arial" w:eastAsia="等线" w:cs="Arial"/>
          <w:b/>
          <w:color w:val="auto"/>
          <w:sz w:val="32"/>
          <w:highlight w:val="none"/>
        </w:rPr>
        <w:t>遥控</w:t>
      </w:r>
      <w:r>
        <w:rPr>
          <w:rFonts w:ascii="Arial" w:hAnsi="Arial" w:eastAsia="等线" w:cs="Arial"/>
          <w:b/>
          <w:color w:val="auto"/>
          <w:sz w:val="32"/>
          <w:highlight w:val="none"/>
        </w:rPr>
        <w:t>要求</w:t>
      </w:r>
      <w:bookmarkEnd w:id="39"/>
      <w:bookmarkEnd w:id="40"/>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hint="eastAsia" w:ascii="Arial" w:hAnsi="Arial" w:eastAsia="等线" w:cs="Arial"/>
          <w:b w:val="0"/>
          <w:bCs w:val="0"/>
          <w:color w:val="auto"/>
          <w:sz w:val="24"/>
          <w:szCs w:val="24"/>
          <w:highlight w:val="none"/>
          <w:lang w:val="en-US" w:eastAsia="zh-CN"/>
        </w:rPr>
      </w:pPr>
      <w:r>
        <w:rPr>
          <w:rFonts w:ascii="Arial" w:hAnsi="Arial" w:eastAsia="等线" w:cs="Arial"/>
          <w:b w:val="0"/>
          <w:bCs w:val="0"/>
          <w:color w:val="auto"/>
          <w:sz w:val="24"/>
          <w:szCs w:val="24"/>
          <w:highlight w:val="none"/>
        </w:rPr>
        <w:t>★1.遥控设备：采用三防手持无线遥控器（防摔、防水、防尘），地下密闭、远距离等恶劣场景下信号稳定无中断</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hint="eastAsia" w:ascii="Arial" w:hAnsi="Arial" w:eastAsia="等线" w:cs="Arial"/>
          <w:b w:val="0"/>
          <w:bCs w:val="0"/>
          <w:color w:val="auto"/>
          <w:sz w:val="24"/>
          <w:szCs w:val="24"/>
          <w:highlight w:val="none"/>
          <w:lang w:eastAsia="zh-CN"/>
        </w:rPr>
      </w:pPr>
      <w:r>
        <w:rPr>
          <w:rFonts w:ascii="Arial" w:hAnsi="Arial" w:eastAsia="等线" w:cs="Arial"/>
          <w:b w:val="0"/>
          <w:bCs w:val="0"/>
          <w:color w:val="auto"/>
          <w:sz w:val="24"/>
          <w:szCs w:val="24"/>
          <w:highlight w:val="none"/>
        </w:rPr>
        <w:t>★2.控制延迟：≤150ms，可实时传输操控指令，无延迟、无卡顿，支持设备所有动作的远程控制</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40" w:firstLineChars="200"/>
        <w:jc w:val="left"/>
        <w:textAlignment w:val="auto"/>
        <w:rPr>
          <w:rFonts w:hint="eastAsia" w:ascii="Arial" w:hAnsi="Arial" w:eastAsia="等线" w:cs="Arial"/>
          <w:b w:val="0"/>
          <w:bCs w:val="0"/>
          <w:color w:val="auto"/>
          <w:sz w:val="24"/>
          <w:szCs w:val="24"/>
          <w:highlight w:val="none"/>
          <w:lang w:eastAsia="zh-CN"/>
        </w:rPr>
      </w:pPr>
      <w:r>
        <w:rPr>
          <w:rFonts w:ascii="Arial" w:hAnsi="Arial" w:eastAsia="等线" w:cs="Arial"/>
          <w:color w:val="auto"/>
          <w:sz w:val="22"/>
          <w:highlight w:val="none"/>
        </w:rPr>
        <w:t>▲</w:t>
      </w:r>
      <w:r>
        <w:rPr>
          <w:rFonts w:ascii="Arial" w:hAnsi="Arial" w:eastAsia="等线" w:cs="Arial"/>
          <w:b w:val="0"/>
          <w:bCs w:val="0"/>
          <w:color w:val="auto"/>
          <w:sz w:val="24"/>
          <w:szCs w:val="24"/>
          <w:highlight w:val="none"/>
        </w:rPr>
        <w:t>3.遥控器功能：具备设备运行参数实时显示、操作权限锁定、操作记录存储</w:t>
      </w:r>
      <w:r>
        <w:rPr>
          <w:rFonts w:hint="eastAsia" w:ascii="Arial" w:hAnsi="Arial" w:eastAsia="等线" w:cs="Arial"/>
          <w:b w:val="0"/>
          <w:bCs w:val="0"/>
          <w:color w:val="auto"/>
          <w:sz w:val="24"/>
          <w:szCs w:val="24"/>
          <w:highlight w:val="none"/>
          <w:lang w:eastAsia="zh-CN"/>
        </w:rPr>
        <w:t>，</w:t>
      </w:r>
      <w:r>
        <w:rPr>
          <w:rFonts w:ascii="Arial" w:hAnsi="Arial" w:eastAsia="等线" w:cs="Arial"/>
          <w:b w:val="0"/>
          <w:bCs w:val="0"/>
          <w:color w:val="auto"/>
          <w:sz w:val="24"/>
          <w:szCs w:val="24"/>
          <w:highlight w:val="none"/>
        </w:rPr>
        <w:t>适配户外强光、潮湿环境使用</w:t>
      </w:r>
      <w:r>
        <w:rPr>
          <w:rFonts w:hint="eastAsia" w:ascii="Arial" w:hAnsi="Arial" w:eastAsia="等线" w:cs="Arial"/>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★4.备用保障：遥控器配备备用电池及快充充电器，备用电池续航≥8h，确保长时间作业无中断</w:t>
      </w:r>
      <w:r>
        <w:rPr>
          <w:rFonts w:hint="eastAsia" w:ascii="Arial" w:hAnsi="Arial" w:eastAsia="等线" w:cs="Arial"/>
          <w:b w:val="0"/>
          <w:bCs w:val="0"/>
          <w:color w:val="auto"/>
          <w:sz w:val="24"/>
          <w:szCs w:val="24"/>
          <w:highlight w:val="none"/>
          <w:lang w:eastAsia="zh-CN"/>
        </w:rPr>
        <w:t>，</w:t>
      </w:r>
      <w:r>
        <w:rPr>
          <w:rFonts w:hint="eastAsia" w:ascii="Arial" w:hAnsi="Arial" w:eastAsia="等线" w:cs="Arial"/>
          <w:b w:val="0"/>
          <w:bCs w:val="0"/>
          <w:color w:val="auto"/>
          <w:sz w:val="24"/>
          <w:szCs w:val="24"/>
          <w:highlight w:val="none"/>
          <w:lang w:val="en-US" w:eastAsia="zh-CN"/>
        </w:rPr>
        <w:t>内置测距功能的检修照明</w:t>
      </w:r>
      <w:r>
        <w:rPr>
          <w:rFonts w:ascii="Arial" w:hAnsi="Arial" w:eastAsia="等线" w:cs="Arial"/>
          <w:b w:val="0"/>
          <w:bCs w:val="0"/>
          <w:color w:val="auto"/>
          <w:sz w:val="24"/>
          <w:szCs w:val="24"/>
          <w:highlight w:val="none"/>
        </w:rPr>
        <w:t>。</w:t>
      </w:r>
    </w:p>
    <w:p>
      <w:pPr>
        <w:spacing w:before="320" w:after="120" w:line="288" w:lineRule="auto"/>
        <w:ind w:left="0"/>
        <w:jc w:val="left"/>
        <w:outlineLvl w:val="1"/>
        <w:rPr>
          <w:color w:val="auto"/>
          <w:highlight w:val="none"/>
        </w:rPr>
      </w:pPr>
      <w:bookmarkStart w:id="41" w:name="heading_21"/>
      <w:bookmarkStart w:id="42" w:name="_Toc1802332757"/>
      <w:r>
        <w:rPr>
          <w:rFonts w:ascii="Arial" w:hAnsi="Arial" w:eastAsia="等线" w:cs="Arial"/>
          <w:b/>
          <w:color w:val="auto"/>
          <w:sz w:val="32"/>
          <w:highlight w:val="none"/>
        </w:rPr>
        <w:t>3.7核心性能指标</w:t>
      </w:r>
      <w:bookmarkEnd w:id="41"/>
      <w:bookmarkEnd w:id="42"/>
    </w:p>
    <w:p>
      <w:pPr>
        <w:keepNext w:val="0"/>
        <w:keepLines w:val="0"/>
        <w:pageBreakBefore w:val="0"/>
        <w:widowControl w:val="0"/>
        <w:kinsoku/>
        <w:wordWrap/>
        <w:overflowPunct/>
        <w:topLinePunct w:val="0"/>
        <w:autoSpaceDE/>
        <w:autoSpaceDN/>
        <w:bidi w:val="0"/>
        <w:adjustRightInd/>
        <w:snapToGrid/>
        <w:spacing w:line="288" w:lineRule="auto"/>
        <w:ind w:left="0" w:firstLine="480" w:firstLineChars="200"/>
        <w:jc w:val="left"/>
        <w:textAlignment w:val="auto"/>
        <w:rPr>
          <w:rFonts w:ascii="Arial" w:hAnsi="Arial" w:eastAsia="等线" w:cs="Arial"/>
          <w:b w:val="0"/>
          <w:bCs w:val="0"/>
          <w:color w:val="auto"/>
          <w:sz w:val="24"/>
          <w:szCs w:val="24"/>
          <w:highlight w:val="none"/>
        </w:rPr>
      </w:pPr>
      <w:r>
        <w:rPr>
          <w:rFonts w:ascii="Arial" w:hAnsi="Arial" w:eastAsia="等线" w:cs="Arial"/>
          <w:b w:val="0"/>
          <w:bCs w:val="0"/>
          <w:color w:val="auto"/>
          <w:sz w:val="24"/>
          <w:szCs w:val="24"/>
          <w:highlight w:val="none"/>
        </w:rPr>
        <w:t>本表为设备核心性能指标，★为关键指标，必须100%满足，不允许负偏离；▲为重要指标，鼓励正偏离，投标方需在投标文件中如实填报响应值，附检测报告佐证。</w:t>
      </w:r>
    </w:p>
    <w:tbl>
      <w:tblPr>
        <w:tblStyle w:val="22"/>
        <w:tblW w:w="10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07"/>
        <w:gridCol w:w="1213"/>
        <w:gridCol w:w="4344"/>
        <w:gridCol w:w="1868"/>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19" w:hRule="atLeast"/>
          <w:jc w:val="center"/>
        </w:trPr>
        <w:tc>
          <w:tcPr>
            <w:tcW w:w="907"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序号</w:t>
            </w:r>
          </w:p>
        </w:tc>
        <w:tc>
          <w:tcPr>
            <w:tcW w:w="1213"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参数类别</w:t>
            </w:r>
          </w:p>
        </w:tc>
        <w:tc>
          <w:tcPr>
            <w:tcW w:w="4344"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技术要求</w:t>
            </w:r>
          </w:p>
        </w:tc>
        <w:tc>
          <w:tcPr>
            <w:tcW w:w="1868"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投标方响应值</w:t>
            </w:r>
          </w:p>
        </w:tc>
        <w:tc>
          <w:tcPr>
            <w:tcW w:w="178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53" w:hRule="atLeast"/>
          <w:jc w:val="center"/>
        </w:trPr>
        <w:tc>
          <w:tcPr>
            <w:tcW w:w="907"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1</w:t>
            </w:r>
          </w:p>
        </w:tc>
        <w:tc>
          <w:tcPr>
            <w:tcW w:w="1213"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★整机基本参数</w:t>
            </w:r>
          </w:p>
        </w:tc>
        <w:tc>
          <w:tcPr>
            <w:tcW w:w="4344" w:type="dxa"/>
            <w:tcMar>
              <w:top w:w="60" w:type="dxa"/>
              <w:left w:w="120" w:type="dxa"/>
              <w:bottom w:w="30" w:type="dxa"/>
              <w:right w:w="120" w:type="dxa"/>
            </w:tcMar>
            <w:vAlign w:val="center"/>
          </w:tcPr>
          <w:p>
            <w:pPr>
              <w:spacing w:before="120" w:after="120" w:line="288" w:lineRule="auto"/>
              <w:ind w:left="0"/>
              <w:jc w:val="center"/>
              <w:rPr>
                <w:rFonts w:hint="eastAsia" w:eastAsia="等线"/>
                <w:color w:val="auto"/>
                <w:highlight w:val="none"/>
                <w:lang w:eastAsia="zh-CN"/>
              </w:rPr>
            </w:pPr>
            <w:r>
              <w:rPr>
                <w:rFonts w:ascii="Arial" w:hAnsi="Arial" w:eastAsia="等线" w:cs="Arial"/>
                <w:color w:val="auto"/>
                <w:sz w:val="22"/>
                <w:highlight w:val="none"/>
              </w:rPr>
              <w:t>1.整车尺寸：≤</w:t>
            </w:r>
            <w:r>
              <w:rPr>
                <w:rFonts w:hint="eastAsia" w:ascii="Arial" w:hAnsi="Arial" w:eastAsia="等线" w:cs="Arial"/>
                <w:color w:val="auto"/>
                <w:sz w:val="22"/>
                <w:highlight w:val="none"/>
                <w:lang w:val="en-US" w:eastAsia="zh-CN"/>
              </w:rPr>
              <w:t>30</w:t>
            </w:r>
            <w:r>
              <w:rPr>
                <w:rFonts w:hint="eastAsia" w:ascii="Arial" w:hAnsi="Arial" w:eastAsia="等线" w:cs="Arial"/>
                <w:color w:val="auto"/>
                <w:sz w:val="22"/>
                <w:highlight w:val="none"/>
              </w:rPr>
              <w:t>00mm*</w:t>
            </w:r>
            <w:r>
              <w:rPr>
                <w:rFonts w:hint="eastAsia" w:ascii="Arial" w:hAnsi="Arial" w:eastAsia="等线" w:cs="Arial"/>
                <w:color w:val="auto"/>
                <w:sz w:val="22"/>
                <w:highlight w:val="none"/>
                <w:lang w:val="en-US" w:eastAsia="zh-CN"/>
              </w:rPr>
              <w:t>20</w:t>
            </w:r>
            <w:r>
              <w:rPr>
                <w:rFonts w:hint="eastAsia" w:ascii="Arial" w:hAnsi="Arial" w:eastAsia="等线" w:cs="Arial"/>
                <w:color w:val="auto"/>
                <w:sz w:val="22"/>
                <w:highlight w:val="none"/>
              </w:rPr>
              <w:t>00mm*</w:t>
            </w:r>
            <w:r>
              <w:rPr>
                <w:rFonts w:hint="eastAsia" w:ascii="Arial" w:hAnsi="Arial" w:eastAsia="等线" w:cs="Arial"/>
                <w:color w:val="auto"/>
                <w:sz w:val="22"/>
                <w:highlight w:val="none"/>
                <w:lang w:val="en-US" w:eastAsia="zh-CN"/>
              </w:rPr>
              <w:t>200</w:t>
            </w:r>
            <w:r>
              <w:rPr>
                <w:rFonts w:hint="eastAsia" w:ascii="Arial" w:hAnsi="Arial" w:eastAsia="等线" w:cs="Arial"/>
                <w:color w:val="auto"/>
                <w:sz w:val="22"/>
                <w:highlight w:val="none"/>
              </w:rPr>
              <w:t>0mm</w:t>
            </w:r>
            <w:r>
              <w:rPr>
                <w:rFonts w:ascii="Arial" w:hAnsi="Arial" w:eastAsia="等线" w:cs="Arial"/>
                <w:color w:val="auto"/>
                <w:sz w:val="22"/>
                <w:highlight w:val="none"/>
              </w:rPr>
              <w:t>（长×宽×高）</w:t>
            </w:r>
            <w:r>
              <w:rPr>
                <w:rFonts w:hint="eastAsia" w:ascii="Arial" w:hAnsi="Arial" w:eastAsia="等线" w:cs="Arial"/>
                <w:color w:val="auto"/>
                <w:sz w:val="22"/>
                <w:highlight w:val="none"/>
                <w:lang w:eastAsia="zh-CN"/>
              </w:rPr>
              <w:t>；</w:t>
            </w:r>
            <w:r>
              <w:rPr>
                <w:rFonts w:ascii="Arial" w:hAnsi="Arial" w:eastAsia="等线" w:cs="Arial"/>
                <w:color w:val="auto"/>
                <w:sz w:val="22"/>
                <w:highlight w:val="none"/>
              </w:rPr>
              <w:t>2.整车重量：≤</w:t>
            </w:r>
            <w:r>
              <w:rPr>
                <w:rFonts w:hint="eastAsia" w:ascii="Arial" w:hAnsi="Arial" w:eastAsia="等线" w:cs="Arial"/>
                <w:color w:val="auto"/>
                <w:sz w:val="22"/>
                <w:highlight w:val="none"/>
                <w:lang w:val="en-US" w:eastAsia="zh-CN"/>
              </w:rPr>
              <w:t>4000</w:t>
            </w:r>
            <w:r>
              <w:rPr>
                <w:rFonts w:ascii="Arial" w:hAnsi="Arial" w:eastAsia="等线" w:cs="Arial"/>
                <w:color w:val="auto"/>
                <w:sz w:val="22"/>
                <w:highlight w:val="none"/>
              </w:rPr>
              <w:t>Kg</w:t>
            </w:r>
            <w:r>
              <w:rPr>
                <w:rFonts w:hint="eastAsia" w:ascii="Arial" w:hAnsi="Arial" w:eastAsia="等线" w:cs="Arial"/>
                <w:color w:val="auto"/>
                <w:sz w:val="22"/>
                <w:highlight w:val="none"/>
                <w:lang w:eastAsia="zh-CN"/>
              </w:rPr>
              <w:t>；</w:t>
            </w:r>
            <w:r>
              <w:rPr>
                <w:rFonts w:ascii="Arial" w:hAnsi="Arial" w:eastAsia="等线" w:cs="Arial"/>
                <w:color w:val="auto"/>
                <w:sz w:val="22"/>
                <w:highlight w:val="none"/>
              </w:rPr>
              <w:t>3.装卸方式：支持</w:t>
            </w:r>
            <w:r>
              <w:rPr>
                <w:rFonts w:hint="eastAsia" w:ascii="Arial" w:hAnsi="Arial" w:eastAsia="等线" w:cs="Arial"/>
                <w:color w:val="auto"/>
                <w:sz w:val="22"/>
                <w:highlight w:val="none"/>
                <w:lang w:val="en-US" w:eastAsia="zh-CN"/>
              </w:rPr>
              <w:t>履带+自装卸；</w:t>
            </w:r>
            <w:r>
              <w:rPr>
                <w:rFonts w:ascii="Arial" w:hAnsi="Arial" w:eastAsia="等线" w:cs="Arial"/>
                <w:color w:val="auto"/>
                <w:sz w:val="22"/>
                <w:highlight w:val="none"/>
              </w:rPr>
              <w:t>4.控制电路：DC</w:t>
            </w:r>
            <w:r>
              <w:rPr>
                <w:rFonts w:hint="eastAsia" w:ascii="Arial" w:hAnsi="Arial" w:eastAsia="等线" w:cs="Arial"/>
                <w:color w:val="auto"/>
                <w:sz w:val="22"/>
                <w:highlight w:val="none"/>
                <w:lang w:val="en-US" w:eastAsia="zh-CN"/>
              </w:rPr>
              <w:t>12</w:t>
            </w:r>
            <w:r>
              <w:rPr>
                <w:rFonts w:ascii="Arial" w:hAnsi="Arial" w:eastAsia="等线" w:cs="Arial"/>
                <w:color w:val="auto"/>
                <w:sz w:val="22"/>
                <w:highlight w:val="none"/>
              </w:rPr>
              <w:t>V</w:t>
            </w:r>
            <w:r>
              <w:rPr>
                <w:rFonts w:hint="eastAsia"/>
                <w:color w:val="auto"/>
                <w:highlight w:val="none"/>
                <w:lang w:val="en-US" w:eastAsia="zh-CN"/>
              </w:rPr>
              <w:t>/36V/48V，电池容量</w:t>
            </w:r>
            <w:r>
              <w:rPr>
                <w:rFonts w:ascii="Arial" w:hAnsi="Arial" w:eastAsia="等线" w:cs="Arial"/>
                <w:strike w:val="0"/>
                <w:dstrike w:val="0"/>
                <w:color w:val="auto"/>
                <w:sz w:val="22"/>
                <w:highlight w:val="none"/>
              </w:rPr>
              <w:t>≥</w:t>
            </w:r>
            <w:r>
              <w:rPr>
                <w:rFonts w:hint="eastAsia" w:ascii="Arial" w:hAnsi="Arial" w:eastAsia="等线" w:cs="Arial"/>
                <w:strike w:val="0"/>
                <w:dstrike w:val="0"/>
                <w:color w:val="auto"/>
                <w:sz w:val="22"/>
                <w:highlight w:val="none"/>
                <w:lang w:val="en-US" w:eastAsia="zh-CN"/>
              </w:rPr>
              <w:t>1000WH</w:t>
            </w:r>
            <w:r>
              <w:rPr>
                <w:rFonts w:hint="eastAsia" w:ascii="Arial" w:hAnsi="Arial" w:eastAsia="等线" w:cs="Arial"/>
                <w:color w:val="auto"/>
                <w:sz w:val="22"/>
                <w:highlight w:val="none"/>
                <w:lang w:eastAsia="zh-CN"/>
              </w:rPr>
              <w:t>；</w:t>
            </w:r>
            <w:r>
              <w:rPr>
                <w:rFonts w:ascii="Arial" w:hAnsi="Arial" w:eastAsia="等线" w:cs="Arial"/>
                <w:color w:val="auto"/>
                <w:sz w:val="22"/>
                <w:highlight w:val="none"/>
              </w:rPr>
              <w:t>5.收纳占地：≤</w:t>
            </w:r>
            <w:r>
              <w:rPr>
                <w:rFonts w:hint="eastAsia" w:ascii="Arial" w:hAnsi="Arial" w:eastAsia="等线" w:cs="Arial"/>
                <w:color w:val="auto"/>
                <w:sz w:val="22"/>
                <w:highlight w:val="none"/>
                <w:lang w:val="en-US" w:eastAsia="zh-CN"/>
              </w:rPr>
              <w:t>6</w:t>
            </w:r>
            <w:r>
              <w:rPr>
                <w:rFonts w:ascii="Arial" w:hAnsi="Arial" w:eastAsia="等线" w:cs="Arial"/>
                <w:color w:val="auto"/>
                <w:sz w:val="22"/>
                <w:highlight w:val="none"/>
              </w:rPr>
              <w:t>㎡</w:t>
            </w:r>
            <w:r>
              <w:rPr>
                <w:rFonts w:hint="eastAsia" w:ascii="Arial" w:hAnsi="Arial" w:eastAsia="等线" w:cs="Arial"/>
                <w:color w:val="auto"/>
                <w:sz w:val="22"/>
                <w:highlight w:val="none"/>
                <w:lang w:eastAsia="zh-CN"/>
              </w:rPr>
              <w:t>。</w:t>
            </w:r>
          </w:p>
        </w:tc>
        <w:tc>
          <w:tcPr>
            <w:tcW w:w="1868" w:type="dxa"/>
            <w:tcMar>
              <w:top w:w="60" w:type="dxa"/>
              <w:left w:w="120" w:type="dxa"/>
              <w:bottom w:w="30" w:type="dxa"/>
              <w:right w:w="120" w:type="dxa"/>
            </w:tcMar>
            <w:vAlign w:val="center"/>
          </w:tcPr>
          <w:p>
            <w:pPr>
              <w:jc w:val="center"/>
              <w:rPr>
                <w:color w:val="auto"/>
                <w:highlight w:val="none"/>
              </w:rPr>
            </w:pPr>
          </w:p>
        </w:tc>
        <w:tc>
          <w:tcPr>
            <w:tcW w:w="1786" w:type="dxa"/>
            <w:tcMar>
              <w:top w:w="60" w:type="dxa"/>
              <w:left w:w="120" w:type="dxa"/>
              <w:bottom w:w="30" w:type="dxa"/>
              <w:right w:w="120" w:type="dxa"/>
            </w:tcMar>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57" w:hRule="atLeast"/>
          <w:jc w:val="center"/>
        </w:trPr>
        <w:tc>
          <w:tcPr>
            <w:tcW w:w="907"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2</w:t>
            </w:r>
          </w:p>
        </w:tc>
        <w:tc>
          <w:tcPr>
            <w:tcW w:w="1213"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r>
              <w:rPr>
                <w:rFonts w:hint="eastAsia"/>
                <w:color w:val="auto"/>
                <w:highlight w:val="none"/>
                <w:lang w:val="en-US" w:eastAsia="zh-CN"/>
              </w:rPr>
              <w:t>自装卸系统</w:t>
            </w:r>
          </w:p>
        </w:tc>
        <w:tc>
          <w:tcPr>
            <w:tcW w:w="4344" w:type="dxa"/>
            <w:tcMar>
              <w:top w:w="60" w:type="dxa"/>
              <w:left w:w="120" w:type="dxa"/>
              <w:bottom w:w="30" w:type="dxa"/>
              <w:right w:w="120" w:type="dxa"/>
            </w:tcMar>
            <w:vAlign w:val="center"/>
          </w:tcPr>
          <w:p>
            <w:pPr>
              <w:spacing w:before="120" w:after="120" w:line="288" w:lineRule="auto"/>
              <w:ind w:left="0"/>
              <w:jc w:val="center"/>
              <w:rPr>
                <w:rFonts w:hint="eastAsia" w:eastAsia="宋体"/>
                <w:color w:val="auto"/>
                <w:highlight w:val="none"/>
                <w:lang w:val="en-US" w:eastAsia="zh-CN"/>
              </w:rPr>
            </w:pPr>
            <w:r>
              <w:rPr>
                <w:rFonts w:ascii="Arial" w:hAnsi="Arial" w:eastAsia="等线" w:cs="Arial"/>
                <w:color w:val="auto"/>
                <w:sz w:val="22"/>
                <w:highlight w:val="none"/>
              </w:rPr>
              <w:t>1.</w:t>
            </w:r>
            <w:r>
              <w:rPr>
                <w:rFonts w:hint="eastAsia" w:ascii="Arial" w:hAnsi="Arial" w:eastAsia="等线" w:cs="Arial"/>
                <w:color w:val="auto"/>
                <w:sz w:val="22"/>
                <w:highlight w:val="none"/>
                <w:lang w:val="en-US" w:eastAsia="zh-CN"/>
              </w:rPr>
              <w:t>装卸方式</w:t>
            </w:r>
            <w:r>
              <w:rPr>
                <w:rFonts w:ascii="Arial" w:hAnsi="Arial" w:eastAsia="等线" w:cs="Arial"/>
                <w:color w:val="auto"/>
                <w:sz w:val="22"/>
                <w:highlight w:val="none"/>
              </w:rPr>
              <w:t>：</w:t>
            </w:r>
            <w:r>
              <w:rPr>
                <w:rFonts w:hint="eastAsia" w:ascii="Arial" w:hAnsi="Arial" w:eastAsia="等线" w:cs="Arial"/>
                <w:color w:val="auto"/>
                <w:sz w:val="22"/>
                <w:highlight w:val="none"/>
                <w:lang w:val="en-US" w:eastAsia="zh-CN"/>
              </w:rPr>
              <w:t>一体化</w:t>
            </w:r>
            <w:r>
              <w:rPr>
                <w:rFonts w:hint="eastAsia" w:ascii="Arial" w:hAnsi="Arial" w:eastAsia="等线" w:cs="Arial"/>
                <w:color w:val="auto"/>
                <w:sz w:val="22"/>
                <w:highlight w:val="none"/>
              </w:rPr>
              <w:t>自</w:t>
            </w:r>
            <w:r>
              <w:rPr>
                <w:rFonts w:hint="eastAsia" w:ascii="Arial" w:hAnsi="Arial" w:eastAsia="等线" w:cs="Arial"/>
                <w:color w:val="auto"/>
                <w:sz w:val="22"/>
                <w:highlight w:val="none"/>
                <w:lang w:val="en-US" w:eastAsia="zh-CN"/>
              </w:rPr>
              <w:t>动</w:t>
            </w:r>
            <w:r>
              <w:rPr>
                <w:rFonts w:hint="eastAsia" w:ascii="Arial" w:hAnsi="Arial" w:eastAsia="等线" w:cs="Arial"/>
                <w:color w:val="auto"/>
                <w:sz w:val="22"/>
                <w:highlight w:val="none"/>
              </w:rPr>
              <w:t>装卸</w:t>
            </w:r>
            <w:r>
              <w:rPr>
                <w:rFonts w:hint="eastAsia" w:ascii="Arial" w:hAnsi="Arial" w:eastAsia="等线" w:cs="Arial"/>
                <w:color w:val="auto"/>
                <w:sz w:val="22"/>
                <w:highlight w:val="none"/>
                <w:lang w:eastAsia="zh-CN"/>
              </w:rPr>
              <w:t>，</w:t>
            </w:r>
            <w:r>
              <w:rPr>
                <w:rFonts w:hint="eastAsia" w:ascii="Arial" w:hAnsi="Arial" w:eastAsia="等线" w:cs="Arial"/>
                <w:color w:val="auto"/>
                <w:sz w:val="22"/>
                <w:highlight w:val="none"/>
                <w:lang w:val="en-US" w:eastAsia="zh-CN"/>
              </w:rPr>
              <w:t>单人即可操作；</w:t>
            </w:r>
            <w:r>
              <w:rPr>
                <w:rFonts w:hint="eastAsia" w:ascii="Arial" w:hAnsi="Arial" w:eastAsia="等线" w:cs="Arial"/>
                <w:color w:val="auto"/>
                <w:sz w:val="22"/>
                <w:highlight w:val="none"/>
              </w:rPr>
              <w:t>2、</w:t>
            </w:r>
            <w:r>
              <w:rPr>
                <w:rFonts w:hint="eastAsia" w:ascii="Arial" w:hAnsi="Arial" w:eastAsia="等线" w:cs="Arial"/>
                <w:color w:val="auto"/>
                <w:sz w:val="22"/>
                <w:highlight w:val="none"/>
                <w:lang w:val="en-US" w:eastAsia="zh-CN"/>
              </w:rPr>
              <w:t>装车方式：履带或吊装</w:t>
            </w:r>
            <w:r>
              <w:rPr>
                <w:rFonts w:hint="eastAsia" w:ascii="Arial" w:hAnsi="Arial" w:eastAsia="等线" w:cs="Arial"/>
                <w:color w:val="auto"/>
                <w:sz w:val="22"/>
                <w:highlight w:val="none"/>
                <w:lang w:eastAsia="zh-CN"/>
              </w:rPr>
              <w:t>；</w:t>
            </w:r>
            <w:r>
              <w:rPr>
                <w:rFonts w:hint="eastAsia" w:ascii="Arial" w:hAnsi="Arial" w:eastAsia="等线" w:cs="Arial"/>
                <w:color w:val="auto"/>
                <w:sz w:val="22"/>
                <w:highlight w:val="none"/>
              </w:rPr>
              <w:t>3、能直接使用电力抢修皮卡车、</w:t>
            </w:r>
            <w:r>
              <w:rPr>
                <w:rFonts w:ascii="Arial" w:hAnsi="Arial" w:eastAsia="等线" w:cs="Arial"/>
                <w:color w:val="auto"/>
                <w:sz w:val="22"/>
                <w:highlight w:val="none"/>
              </w:rPr>
              <w:t>平板货车、</w:t>
            </w:r>
            <w:r>
              <w:rPr>
                <w:rFonts w:hint="eastAsia" w:ascii="Arial" w:hAnsi="Arial" w:eastAsia="等线" w:cs="Arial"/>
                <w:color w:val="auto"/>
                <w:sz w:val="22"/>
                <w:highlight w:val="none"/>
              </w:rPr>
              <w:t>小型</w:t>
            </w:r>
            <w:r>
              <w:rPr>
                <w:rFonts w:ascii="Arial" w:hAnsi="Arial" w:eastAsia="等线" w:cs="Arial"/>
                <w:color w:val="auto"/>
                <w:sz w:val="22"/>
                <w:highlight w:val="none"/>
              </w:rPr>
              <w:t>货车</w:t>
            </w:r>
            <w:r>
              <w:rPr>
                <w:rFonts w:hint="eastAsia" w:ascii="Arial" w:hAnsi="Arial" w:eastAsia="等线" w:cs="Arial"/>
                <w:color w:val="auto"/>
                <w:sz w:val="22"/>
                <w:highlight w:val="none"/>
              </w:rPr>
              <w:t>等进行装载</w:t>
            </w:r>
            <w:r>
              <w:rPr>
                <w:rFonts w:ascii="Arial" w:hAnsi="Arial" w:eastAsia="等线" w:cs="Arial"/>
                <w:color w:val="auto"/>
                <w:sz w:val="22"/>
                <w:highlight w:val="none"/>
              </w:rPr>
              <w:t>运输</w:t>
            </w:r>
            <w:r>
              <w:rPr>
                <w:rFonts w:hint="eastAsia" w:ascii="Arial" w:hAnsi="Arial" w:eastAsia="等线" w:cs="Arial"/>
                <w:color w:val="auto"/>
                <w:sz w:val="22"/>
                <w:highlight w:val="none"/>
                <w:lang w:eastAsia="zh-CN"/>
              </w:rPr>
              <w:t>；</w:t>
            </w:r>
            <w:r>
              <w:rPr>
                <w:rFonts w:hint="eastAsia" w:ascii="Arial" w:hAnsi="Arial" w:eastAsia="等线" w:cs="Arial"/>
                <w:color w:val="auto"/>
                <w:sz w:val="22"/>
                <w:highlight w:val="none"/>
                <w:lang w:val="en-US" w:eastAsia="zh-CN"/>
              </w:rPr>
              <w:t>4、装卸机构工作电压24V</w:t>
            </w:r>
            <w:r>
              <w:rPr>
                <w:rFonts w:hint="eastAsia"/>
                <w:color w:val="auto"/>
                <w:highlight w:val="none"/>
                <w:lang w:val="en-US" w:eastAsia="zh-CN"/>
              </w:rPr>
              <w:t>/48V</w:t>
            </w:r>
            <w:r>
              <w:rPr>
                <w:rFonts w:hint="eastAsia"/>
                <w:color w:val="auto"/>
                <w:highlight w:val="none"/>
                <w:lang w:eastAsia="zh-CN"/>
              </w:rPr>
              <w:t>。</w:t>
            </w:r>
          </w:p>
        </w:tc>
        <w:tc>
          <w:tcPr>
            <w:tcW w:w="1868" w:type="dxa"/>
            <w:tcMar>
              <w:top w:w="60" w:type="dxa"/>
              <w:left w:w="120" w:type="dxa"/>
              <w:bottom w:w="30" w:type="dxa"/>
              <w:right w:w="120" w:type="dxa"/>
            </w:tcMar>
            <w:vAlign w:val="center"/>
          </w:tcPr>
          <w:p>
            <w:pPr>
              <w:jc w:val="center"/>
              <w:rPr>
                <w:color w:val="auto"/>
                <w:highlight w:val="none"/>
              </w:rPr>
            </w:pPr>
          </w:p>
        </w:tc>
        <w:tc>
          <w:tcPr>
            <w:tcW w:w="1786" w:type="dxa"/>
            <w:tcMar>
              <w:top w:w="60" w:type="dxa"/>
              <w:left w:w="120" w:type="dxa"/>
              <w:bottom w:w="30" w:type="dxa"/>
              <w:right w:w="120" w:type="dxa"/>
            </w:tcMar>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457" w:hRule="atLeast"/>
          <w:jc w:val="center"/>
        </w:trPr>
        <w:tc>
          <w:tcPr>
            <w:tcW w:w="907" w:type="dxa"/>
            <w:tcMar>
              <w:top w:w="60" w:type="dxa"/>
              <w:left w:w="120" w:type="dxa"/>
              <w:bottom w:w="30" w:type="dxa"/>
              <w:right w:w="120" w:type="dxa"/>
            </w:tcMar>
            <w:vAlign w:val="center"/>
          </w:tcPr>
          <w:p>
            <w:pPr>
              <w:spacing w:before="120" w:after="120" w:line="288" w:lineRule="auto"/>
              <w:ind w:left="0" w:leftChars="0"/>
              <w:jc w:val="center"/>
              <w:rPr>
                <w:rFonts w:ascii="Arial" w:hAnsi="Arial" w:eastAsia="等线" w:cs="Arial"/>
                <w:color w:val="auto"/>
                <w:sz w:val="22"/>
                <w:highlight w:val="none"/>
              </w:rPr>
            </w:pPr>
            <w:r>
              <w:rPr>
                <w:rFonts w:hint="eastAsia" w:ascii="Arial" w:hAnsi="Arial" w:eastAsia="等线" w:cs="Arial"/>
                <w:color w:val="auto"/>
                <w:sz w:val="22"/>
                <w:highlight w:val="none"/>
                <w:lang w:val="en-US" w:eastAsia="zh-CN"/>
              </w:rPr>
              <w:t>3</w:t>
            </w:r>
          </w:p>
        </w:tc>
        <w:tc>
          <w:tcPr>
            <w:tcW w:w="1213" w:type="dxa"/>
            <w:tcMar>
              <w:top w:w="60" w:type="dxa"/>
              <w:left w:w="120" w:type="dxa"/>
              <w:bottom w:w="30" w:type="dxa"/>
              <w:right w:w="120" w:type="dxa"/>
            </w:tcMar>
            <w:vAlign w:val="center"/>
          </w:tcPr>
          <w:p>
            <w:pPr>
              <w:spacing w:before="120" w:after="120" w:line="288" w:lineRule="auto"/>
              <w:ind w:left="0" w:leftChars="0"/>
              <w:jc w:val="center"/>
              <w:rPr>
                <w:rFonts w:ascii="Arial" w:hAnsi="Arial" w:eastAsia="等线" w:cs="Arial"/>
                <w:color w:val="auto"/>
                <w:sz w:val="22"/>
                <w:highlight w:val="none"/>
              </w:rPr>
            </w:pPr>
            <w:r>
              <w:rPr>
                <w:rFonts w:ascii="Arial" w:hAnsi="Arial" w:eastAsia="等线" w:cs="Arial"/>
                <w:color w:val="auto"/>
                <w:sz w:val="22"/>
                <w:highlight w:val="none"/>
              </w:rPr>
              <w:t>★</w:t>
            </w:r>
            <w:r>
              <w:rPr>
                <w:rFonts w:hint="eastAsia" w:ascii="Arial" w:hAnsi="Arial" w:eastAsia="等线" w:cs="Arial"/>
                <w:color w:val="auto"/>
                <w:sz w:val="22"/>
                <w:highlight w:val="none"/>
                <w:lang w:val="en-US" w:eastAsia="zh-CN"/>
              </w:rPr>
              <w:t>自行走底盘</w:t>
            </w:r>
          </w:p>
        </w:tc>
        <w:tc>
          <w:tcPr>
            <w:tcW w:w="4344" w:type="dxa"/>
            <w:tcMar>
              <w:top w:w="60" w:type="dxa"/>
              <w:left w:w="120" w:type="dxa"/>
              <w:bottom w:w="30" w:type="dxa"/>
              <w:right w:w="120" w:type="dxa"/>
            </w:tcMar>
            <w:vAlign w:val="center"/>
          </w:tcPr>
          <w:p>
            <w:pPr>
              <w:spacing w:before="120" w:after="120" w:line="288" w:lineRule="auto"/>
              <w:ind w:left="0" w:leftChars="0"/>
              <w:jc w:val="center"/>
              <w:rPr>
                <w:rFonts w:ascii="Arial" w:hAnsi="Arial" w:eastAsia="等线" w:cs="Arial"/>
                <w:color w:val="auto"/>
                <w:sz w:val="22"/>
                <w:highlight w:val="none"/>
              </w:rPr>
            </w:pPr>
            <w:r>
              <w:rPr>
                <w:rFonts w:hint="eastAsia" w:ascii="Arial" w:hAnsi="Arial" w:eastAsia="等线" w:cs="Arial"/>
                <w:strike w:val="0"/>
                <w:dstrike w:val="0"/>
                <w:color w:val="auto"/>
                <w:sz w:val="22"/>
                <w:highlight w:val="none"/>
                <w:lang w:val="en-US" w:eastAsia="zh-CN"/>
              </w:rPr>
              <w:t>1.驱动方式：液压或电驱动。2、转向方式：360°原地掉头。3、刹车方式：液压自锁刹车或蜗轮蜗杆减速机刹车。</w:t>
            </w:r>
            <w:r>
              <w:rPr>
                <w:rFonts w:hint="eastAsia"/>
                <w:color w:val="auto"/>
                <w:highlight w:val="none"/>
                <w:lang w:val="en-US" w:eastAsia="zh-CN"/>
              </w:rPr>
              <w:t>4.</w:t>
            </w:r>
            <w:r>
              <w:rPr>
                <w:rFonts w:hint="eastAsia" w:ascii="Arial" w:hAnsi="Arial" w:eastAsia="等线" w:cs="Arial"/>
                <w:color w:val="auto"/>
                <w:sz w:val="22"/>
                <w:highlight w:val="none"/>
                <w:lang w:val="en-US" w:eastAsia="zh-CN"/>
              </w:rPr>
              <w:t>爬坡角度：30°</w:t>
            </w:r>
          </w:p>
        </w:tc>
        <w:tc>
          <w:tcPr>
            <w:tcW w:w="1868" w:type="dxa"/>
            <w:tcMar>
              <w:top w:w="60" w:type="dxa"/>
              <w:left w:w="120" w:type="dxa"/>
              <w:bottom w:w="30" w:type="dxa"/>
              <w:right w:w="120" w:type="dxa"/>
            </w:tcMar>
            <w:vAlign w:val="center"/>
          </w:tcPr>
          <w:p>
            <w:pPr>
              <w:jc w:val="center"/>
              <w:rPr>
                <w:rFonts w:hint="default" w:eastAsia="宋体"/>
                <w:color w:val="auto"/>
                <w:highlight w:val="none"/>
                <w:lang w:val="en-US" w:eastAsia="zh-CN"/>
              </w:rPr>
            </w:pPr>
          </w:p>
        </w:tc>
        <w:tc>
          <w:tcPr>
            <w:tcW w:w="1786" w:type="dxa"/>
            <w:tcMar>
              <w:top w:w="60" w:type="dxa"/>
              <w:left w:w="120" w:type="dxa"/>
              <w:bottom w:w="30" w:type="dxa"/>
              <w:right w:w="120" w:type="dxa"/>
            </w:tcMar>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144" w:hRule="atLeast"/>
          <w:jc w:val="center"/>
        </w:trPr>
        <w:tc>
          <w:tcPr>
            <w:tcW w:w="907"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4</w:t>
            </w:r>
          </w:p>
        </w:tc>
        <w:tc>
          <w:tcPr>
            <w:tcW w:w="1213"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★排水执行系统</w:t>
            </w:r>
          </w:p>
        </w:tc>
        <w:tc>
          <w:tcPr>
            <w:tcW w:w="4344" w:type="dxa"/>
            <w:tcMar>
              <w:top w:w="60" w:type="dxa"/>
              <w:left w:w="120" w:type="dxa"/>
              <w:bottom w:w="30" w:type="dxa"/>
              <w:right w:w="120" w:type="dxa"/>
            </w:tcMar>
            <w:vAlign w:val="center"/>
          </w:tcPr>
          <w:p>
            <w:pPr>
              <w:spacing w:before="120" w:after="120" w:line="288" w:lineRule="auto"/>
              <w:ind w:left="0"/>
              <w:jc w:val="center"/>
              <w:rPr>
                <w:rFonts w:hint="eastAsia" w:eastAsia="等线"/>
                <w:color w:val="auto"/>
                <w:highlight w:val="none"/>
                <w:lang w:val="en-US" w:eastAsia="zh-CN"/>
              </w:rPr>
            </w:pPr>
            <w:r>
              <w:rPr>
                <w:rFonts w:ascii="Arial" w:hAnsi="Arial" w:eastAsia="等线" w:cs="Arial"/>
                <w:color w:val="auto"/>
                <w:sz w:val="22"/>
                <w:highlight w:val="none"/>
              </w:rPr>
              <w:t>1.泵型：大流量液压渣浆泵</w:t>
            </w:r>
            <w:r>
              <w:rPr>
                <w:rFonts w:hint="eastAsia"/>
                <w:color w:val="auto"/>
                <w:highlight w:val="none"/>
                <w:lang w:val="en-US" w:eastAsia="zh-CN"/>
              </w:rPr>
              <w:t>或电动潜水泵</w:t>
            </w:r>
            <w:r>
              <w:rPr>
                <w:rFonts w:ascii="Arial" w:hAnsi="Arial" w:eastAsia="等线" w:cs="Arial"/>
                <w:color w:val="auto"/>
                <w:sz w:val="22"/>
                <w:highlight w:val="none"/>
              </w:rPr>
              <w:t>，免充水启动</w:t>
            </w:r>
            <w:r>
              <w:rPr>
                <w:rFonts w:hint="eastAsia" w:ascii="Arial" w:hAnsi="Arial" w:eastAsia="等线" w:cs="Arial"/>
                <w:color w:val="auto"/>
                <w:sz w:val="22"/>
                <w:highlight w:val="none"/>
                <w:lang w:eastAsia="zh-CN"/>
              </w:rPr>
              <w:t>；</w:t>
            </w:r>
            <w:r>
              <w:rPr>
                <w:rFonts w:ascii="Arial" w:hAnsi="Arial" w:eastAsia="等线" w:cs="Arial"/>
                <w:color w:val="auto"/>
                <w:sz w:val="22"/>
                <w:highlight w:val="none"/>
              </w:rPr>
              <w:t>2.排水流量：</w:t>
            </w:r>
            <w:r>
              <w:rPr>
                <w:rFonts w:ascii="Arial" w:hAnsi="Arial" w:eastAsia="等线" w:cs="Arial"/>
                <w:strike w:val="0"/>
                <w:dstrike w:val="0"/>
                <w:color w:val="auto"/>
                <w:sz w:val="22"/>
                <w:highlight w:val="none"/>
              </w:rPr>
              <w:t>≥</w:t>
            </w:r>
            <w:r>
              <w:rPr>
                <w:rFonts w:hint="eastAsia" w:ascii="Arial" w:hAnsi="Arial" w:eastAsia="等线" w:cs="Arial"/>
                <w:strike w:val="0"/>
                <w:dstrike w:val="0"/>
                <w:color w:val="auto"/>
                <w:sz w:val="22"/>
                <w:highlight w:val="none"/>
                <w:lang w:val="en-US" w:eastAsia="zh-CN"/>
              </w:rPr>
              <w:t>600</w:t>
            </w:r>
            <w:r>
              <w:rPr>
                <w:rFonts w:ascii="Arial" w:hAnsi="Arial" w:eastAsia="等线" w:cs="Arial"/>
                <w:strike w:val="0"/>
                <w:dstrike w:val="0"/>
                <w:color w:val="auto"/>
                <w:sz w:val="22"/>
                <w:highlight w:val="none"/>
              </w:rPr>
              <w:t>m³/h</w:t>
            </w:r>
            <w:r>
              <w:rPr>
                <w:rFonts w:hint="eastAsia" w:ascii="Arial" w:hAnsi="Arial" w:eastAsia="等线" w:cs="Arial"/>
                <w:strike w:val="0"/>
                <w:dstrike w:val="0"/>
                <w:color w:val="auto"/>
                <w:sz w:val="22"/>
                <w:highlight w:val="none"/>
                <w:lang w:eastAsia="zh-CN"/>
              </w:rPr>
              <w:t>，</w:t>
            </w:r>
            <w:r>
              <w:rPr>
                <w:rFonts w:ascii="Arial" w:hAnsi="Arial" w:eastAsia="等线" w:cs="Arial"/>
                <w:strike w:val="0"/>
                <w:dstrike w:val="0"/>
                <w:color w:val="auto"/>
                <w:sz w:val="22"/>
                <w:highlight w:val="none"/>
              </w:rPr>
              <w:t>扬程：≥</w:t>
            </w:r>
            <w:r>
              <w:rPr>
                <w:rFonts w:hint="eastAsia" w:ascii="Arial" w:hAnsi="Arial" w:eastAsia="等线" w:cs="Arial"/>
                <w:strike w:val="0"/>
                <w:dstrike w:val="0"/>
                <w:color w:val="auto"/>
                <w:sz w:val="22"/>
                <w:highlight w:val="none"/>
                <w:lang w:val="en-US" w:eastAsia="zh-CN"/>
              </w:rPr>
              <w:t>8</w:t>
            </w:r>
            <w:r>
              <w:rPr>
                <w:rFonts w:ascii="Arial" w:hAnsi="Arial" w:eastAsia="等线" w:cs="Arial"/>
                <w:strike w:val="0"/>
                <w:dstrike w:val="0"/>
                <w:color w:val="auto"/>
                <w:sz w:val="22"/>
                <w:highlight w:val="none"/>
              </w:rPr>
              <w:t>m</w:t>
            </w:r>
            <w:r>
              <w:rPr>
                <w:rFonts w:hint="eastAsia" w:ascii="Arial" w:hAnsi="Arial" w:eastAsia="等线" w:cs="Arial"/>
                <w:strike w:val="0"/>
                <w:dstrike w:val="0"/>
                <w:color w:val="auto"/>
                <w:sz w:val="22"/>
                <w:highlight w:val="none"/>
                <w:lang w:eastAsia="zh-CN"/>
              </w:rPr>
              <w:t>；</w:t>
            </w:r>
            <w:r>
              <w:rPr>
                <w:rFonts w:hint="eastAsia" w:ascii="Arial" w:hAnsi="Arial" w:eastAsia="等线" w:cs="Arial"/>
                <w:strike w:val="0"/>
                <w:color w:val="auto"/>
                <w:sz w:val="22"/>
                <w:highlight w:val="none"/>
                <w:lang w:val="en-US" w:eastAsia="zh-CN"/>
              </w:rPr>
              <w:t>3</w:t>
            </w:r>
            <w:r>
              <w:rPr>
                <w:rFonts w:ascii="Arial" w:hAnsi="Arial" w:eastAsia="等线" w:cs="Arial"/>
                <w:strike w:val="0"/>
                <w:color w:val="auto"/>
                <w:sz w:val="22"/>
                <w:highlight w:val="none"/>
              </w:rPr>
              <w:t>.排水口径：</w:t>
            </w:r>
            <w:r>
              <w:rPr>
                <w:rFonts w:ascii="Arial" w:hAnsi="Arial" w:eastAsia="等线" w:cs="Arial"/>
                <w:strike w:val="0"/>
                <w:dstrike w:val="0"/>
                <w:color w:val="auto"/>
                <w:sz w:val="22"/>
                <w:highlight w:val="none"/>
              </w:rPr>
              <w:t>≥</w:t>
            </w:r>
            <w:r>
              <w:rPr>
                <w:rFonts w:ascii="Arial" w:hAnsi="Arial" w:eastAsia="等线" w:cs="Arial"/>
                <w:strike w:val="0"/>
                <w:color w:val="auto"/>
                <w:sz w:val="22"/>
                <w:highlight w:val="none"/>
              </w:rPr>
              <w:t>DN20</w:t>
            </w:r>
            <w:r>
              <w:rPr>
                <w:rFonts w:ascii="Arial" w:hAnsi="Arial" w:eastAsia="等线" w:cs="Arial"/>
                <w:color w:val="auto"/>
                <w:sz w:val="22"/>
                <w:highlight w:val="none"/>
              </w:rPr>
              <w:t>0大口径，防堵塞</w:t>
            </w:r>
            <w:r>
              <w:rPr>
                <w:rFonts w:hint="eastAsia" w:ascii="Arial" w:hAnsi="Arial" w:eastAsia="等线" w:cs="Arial"/>
                <w:color w:val="auto"/>
                <w:sz w:val="22"/>
                <w:highlight w:val="none"/>
                <w:lang w:eastAsia="zh-CN"/>
              </w:rPr>
              <w:t>。</w:t>
            </w:r>
          </w:p>
        </w:tc>
        <w:tc>
          <w:tcPr>
            <w:tcW w:w="1868" w:type="dxa"/>
            <w:tcMar>
              <w:top w:w="60" w:type="dxa"/>
              <w:left w:w="120" w:type="dxa"/>
              <w:bottom w:w="30" w:type="dxa"/>
              <w:right w:w="120" w:type="dxa"/>
            </w:tcMar>
            <w:vAlign w:val="center"/>
          </w:tcPr>
          <w:p>
            <w:pPr>
              <w:jc w:val="center"/>
              <w:rPr>
                <w:color w:val="auto"/>
                <w:highlight w:val="none"/>
              </w:rPr>
            </w:pPr>
          </w:p>
        </w:tc>
        <w:tc>
          <w:tcPr>
            <w:tcW w:w="1786" w:type="dxa"/>
            <w:tcMar>
              <w:top w:w="60" w:type="dxa"/>
              <w:left w:w="120" w:type="dxa"/>
              <w:bottom w:w="30" w:type="dxa"/>
              <w:right w:w="120" w:type="dxa"/>
            </w:tcMar>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972" w:hRule="atLeast"/>
          <w:jc w:val="center"/>
        </w:trPr>
        <w:tc>
          <w:tcPr>
            <w:tcW w:w="907"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5</w:t>
            </w:r>
          </w:p>
        </w:tc>
        <w:tc>
          <w:tcPr>
            <w:tcW w:w="1213"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★遥控安全系统</w:t>
            </w:r>
          </w:p>
        </w:tc>
        <w:tc>
          <w:tcPr>
            <w:tcW w:w="4344" w:type="dxa"/>
            <w:tcMar>
              <w:top w:w="60" w:type="dxa"/>
              <w:left w:w="120" w:type="dxa"/>
              <w:bottom w:w="30" w:type="dxa"/>
              <w:right w:w="120" w:type="dxa"/>
            </w:tcMar>
            <w:vAlign w:val="center"/>
          </w:tcPr>
          <w:p>
            <w:pPr>
              <w:spacing w:before="120" w:after="120" w:line="288" w:lineRule="auto"/>
              <w:ind w:left="0"/>
              <w:jc w:val="center"/>
              <w:rPr>
                <w:rFonts w:hint="eastAsia" w:eastAsia="等线"/>
                <w:color w:val="auto"/>
                <w:highlight w:val="none"/>
                <w:lang w:eastAsia="zh-CN"/>
              </w:rPr>
            </w:pPr>
            <w:r>
              <w:rPr>
                <w:rFonts w:ascii="Arial" w:hAnsi="Arial" w:eastAsia="等线" w:cs="Arial"/>
                <w:color w:val="auto"/>
                <w:sz w:val="22"/>
                <w:highlight w:val="none"/>
              </w:rPr>
              <w:t>1.遥控器：三防手持无线款，人体工学设计</w:t>
            </w:r>
            <w:r>
              <w:rPr>
                <w:rFonts w:hint="eastAsia" w:ascii="Arial" w:hAnsi="Arial" w:eastAsia="等线" w:cs="Arial"/>
                <w:color w:val="auto"/>
                <w:sz w:val="22"/>
                <w:highlight w:val="none"/>
                <w:lang w:eastAsia="zh-CN"/>
              </w:rPr>
              <w:t>；</w:t>
            </w:r>
            <w:r>
              <w:rPr>
                <w:rFonts w:ascii="Arial" w:hAnsi="Arial" w:eastAsia="等线" w:cs="Arial"/>
                <w:color w:val="auto"/>
                <w:sz w:val="22"/>
                <w:highlight w:val="none"/>
              </w:rPr>
              <w:t>2.遥控距离</w:t>
            </w:r>
            <w:r>
              <w:rPr>
                <w:rFonts w:hint="eastAsia" w:ascii="Arial" w:hAnsi="Arial" w:eastAsia="等线" w:cs="Arial"/>
                <w:color w:val="auto"/>
                <w:sz w:val="22"/>
                <w:highlight w:val="none"/>
                <w:lang w:eastAsia="zh-CN"/>
              </w:rPr>
              <w:t>（</w:t>
            </w:r>
            <w:r>
              <w:rPr>
                <w:rFonts w:hint="eastAsia" w:ascii="Arial" w:hAnsi="Arial" w:eastAsia="等线" w:cs="Arial"/>
                <w:color w:val="auto"/>
                <w:sz w:val="22"/>
                <w:highlight w:val="none"/>
                <w:lang w:val="en-US" w:eastAsia="zh-CN"/>
              </w:rPr>
              <w:t>履带、吊臂</w:t>
            </w:r>
            <w:r>
              <w:rPr>
                <w:rFonts w:hint="eastAsia" w:ascii="Arial" w:hAnsi="Arial" w:eastAsia="等线" w:cs="Arial"/>
                <w:color w:val="auto"/>
                <w:sz w:val="22"/>
                <w:highlight w:val="none"/>
                <w:lang w:eastAsia="zh-CN"/>
              </w:rPr>
              <w:t>）</w:t>
            </w:r>
            <w:r>
              <w:rPr>
                <w:rFonts w:ascii="Arial" w:hAnsi="Arial" w:eastAsia="等线" w:cs="Arial"/>
                <w:color w:val="auto"/>
                <w:sz w:val="22"/>
                <w:highlight w:val="none"/>
              </w:rPr>
              <w:t>：≥</w:t>
            </w:r>
            <w:r>
              <w:rPr>
                <w:rFonts w:hint="eastAsia" w:ascii="Arial" w:hAnsi="Arial" w:eastAsia="等线" w:cs="Arial"/>
                <w:color w:val="auto"/>
                <w:sz w:val="22"/>
                <w:highlight w:val="none"/>
                <w:lang w:val="en-US" w:eastAsia="zh-CN"/>
              </w:rPr>
              <w:t>10</w:t>
            </w:r>
            <w:r>
              <w:rPr>
                <w:rFonts w:ascii="Arial" w:hAnsi="Arial" w:eastAsia="等线" w:cs="Arial"/>
                <w:color w:val="auto"/>
                <w:sz w:val="22"/>
                <w:highlight w:val="none"/>
              </w:rPr>
              <w:t>0m（无遮挡）</w:t>
            </w:r>
            <w:r>
              <w:rPr>
                <w:rFonts w:hint="eastAsia" w:ascii="Arial" w:hAnsi="Arial" w:eastAsia="等线" w:cs="Arial"/>
                <w:color w:val="auto"/>
                <w:sz w:val="22"/>
                <w:highlight w:val="none"/>
                <w:lang w:eastAsia="zh-CN"/>
              </w:rPr>
              <w:t>；</w:t>
            </w:r>
            <w:r>
              <w:rPr>
                <w:rFonts w:ascii="Arial" w:hAnsi="Arial" w:eastAsia="等线" w:cs="Arial"/>
                <w:color w:val="auto"/>
                <w:sz w:val="22"/>
                <w:highlight w:val="none"/>
              </w:rPr>
              <w:t>3.操控功能：全动作精准控制，支持</w:t>
            </w:r>
            <w:r>
              <w:rPr>
                <w:rFonts w:hint="eastAsia" w:ascii="Arial" w:hAnsi="Arial" w:eastAsia="等线" w:cs="Arial"/>
                <w:color w:val="auto"/>
                <w:sz w:val="22"/>
                <w:highlight w:val="none"/>
                <w:lang w:val="en-US" w:eastAsia="zh-CN"/>
              </w:rPr>
              <w:t>遥控</w:t>
            </w:r>
            <w:r>
              <w:rPr>
                <w:rFonts w:ascii="Arial" w:hAnsi="Arial" w:eastAsia="等线" w:cs="Arial"/>
                <w:color w:val="auto"/>
                <w:sz w:val="22"/>
                <w:highlight w:val="none"/>
              </w:rPr>
              <w:t>操作</w:t>
            </w:r>
            <w:r>
              <w:rPr>
                <w:rFonts w:hint="eastAsia" w:ascii="Arial" w:hAnsi="Arial" w:eastAsia="等线" w:cs="Arial"/>
                <w:color w:val="auto"/>
                <w:sz w:val="22"/>
                <w:highlight w:val="none"/>
                <w:lang w:eastAsia="zh-CN"/>
              </w:rPr>
              <w:t>；</w:t>
            </w:r>
            <w:r>
              <w:rPr>
                <w:rFonts w:ascii="Arial" w:hAnsi="Arial" w:eastAsia="等线" w:cs="Arial"/>
                <w:color w:val="auto"/>
                <w:sz w:val="22"/>
                <w:highlight w:val="none"/>
              </w:rPr>
              <w:t>4.安全功能：物理一键急停+▲参数实时显示</w:t>
            </w:r>
            <w:r>
              <w:rPr>
                <w:rFonts w:hint="eastAsia" w:ascii="Arial" w:hAnsi="Arial" w:eastAsia="等线" w:cs="Arial"/>
                <w:color w:val="auto"/>
                <w:sz w:val="22"/>
                <w:highlight w:val="none"/>
                <w:lang w:eastAsia="zh-CN"/>
              </w:rPr>
              <w:t>；</w:t>
            </w:r>
            <w:r>
              <w:rPr>
                <w:rFonts w:ascii="Arial" w:hAnsi="Arial" w:eastAsia="等线" w:cs="Arial"/>
                <w:color w:val="auto"/>
                <w:sz w:val="22"/>
                <w:highlight w:val="none"/>
              </w:rPr>
              <w:t>5.照明功能：</w:t>
            </w:r>
            <w:r>
              <w:rPr>
                <w:rFonts w:hint="eastAsia" w:ascii="Arial" w:hAnsi="Arial" w:eastAsia="等线" w:cs="Arial"/>
                <w:color w:val="auto"/>
                <w:sz w:val="22"/>
                <w:highlight w:val="none"/>
                <w:lang w:val="en-US" w:eastAsia="zh-CN"/>
              </w:rPr>
              <w:t>辅助照明不少于3个，≥15W/个，警示灯不少于2个，内置测距功能的检修照明</w:t>
            </w:r>
            <w:r>
              <w:rPr>
                <w:rFonts w:hint="eastAsia" w:ascii="Arial" w:hAnsi="Arial" w:eastAsia="等线" w:cs="Arial"/>
                <w:color w:val="auto"/>
                <w:sz w:val="22"/>
                <w:highlight w:val="none"/>
                <w:lang w:eastAsia="zh-CN"/>
              </w:rPr>
              <w:t>。</w:t>
            </w:r>
          </w:p>
        </w:tc>
        <w:tc>
          <w:tcPr>
            <w:tcW w:w="1868" w:type="dxa"/>
            <w:tcMar>
              <w:top w:w="60" w:type="dxa"/>
              <w:left w:w="120" w:type="dxa"/>
              <w:bottom w:w="30" w:type="dxa"/>
              <w:right w:w="120" w:type="dxa"/>
            </w:tcMar>
            <w:vAlign w:val="center"/>
          </w:tcPr>
          <w:p>
            <w:pPr>
              <w:jc w:val="center"/>
              <w:rPr>
                <w:color w:val="auto"/>
                <w:highlight w:val="none"/>
              </w:rPr>
            </w:pPr>
          </w:p>
        </w:tc>
        <w:tc>
          <w:tcPr>
            <w:tcW w:w="1786" w:type="dxa"/>
            <w:tcMar>
              <w:top w:w="60" w:type="dxa"/>
              <w:left w:w="120" w:type="dxa"/>
              <w:bottom w:w="30" w:type="dxa"/>
              <w:right w:w="120" w:type="dxa"/>
            </w:tcMar>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972" w:hRule="atLeast"/>
          <w:jc w:val="center"/>
        </w:trPr>
        <w:tc>
          <w:tcPr>
            <w:tcW w:w="907" w:type="dxa"/>
            <w:tcMar>
              <w:top w:w="60" w:type="dxa"/>
              <w:left w:w="120" w:type="dxa"/>
              <w:bottom w:w="30" w:type="dxa"/>
              <w:right w:w="120" w:type="dxa"/>
            </w:tcMar>
            <w:vAlign w:val="center"/>
          </w:tcPr>
          <w:p>
            <w:pPr>
              <w:spacing w:before="120" w:after="120" w:line="288" w:lineRule="auto"/>
              <w:ind w:left="0"/>
              <w:jc w:val="center"/>
              <w:rPr>
                <w:rFonts w:hint="eastAsia" w:ascii="Arial" w:hAnsi="Arial" w:eastAsia="等线" w:cs="Arial"/>
                <w:color w:val="auto"/>
                <w:sz w:val="22"/>
                <w:highlight w:val="none"/>
                <w:lang w:val="en-US" w:eastAsia="zh-CN"/>
              </w:rPr>
            </w:pPr>
            <w:bookmarkStart w:id="43" w:name="heading_22"/>
            <w:r>
              <w:rPr>
                <w:rFonts w:hint="eastAsia" w:ascii="Arial" w:hAnsi="Arial" w:eastAsia="等线" w:cs="Arial"/>
                <w:color w:val="auto"/>
                <w:sz w:val="22"/>
                <w:highlight w:val="none"/>
                <w:lang w:val="en-US" w:eastAsia="zh-CN"/>
              </w:rPr>
              <w:t>6</w:t>
            </w:r>
          </w:p>
        </w:tc>
        <w:tc>
          <w:tcPr>
            <w:tcW w:w="1213" w:type="dxa"/>
            <w:tcMar>
              <w:top w:w="60" w:type="dxa"/>
              <w:left w:w="120" w:type="dxa"/>
              <w:bottom w:w="30" w:type="dxa"/>
              <w:right w:w="120" w:type="dxa"/>
            </w:tcMar>
            <w:vAlign w:val="center"/>
          </w:tcPr>
          <w:p>
            <w:pPr>
              <w:spacing w:before="120" w:after="120" w:line="288" w:lineRule="auto"/>
              <w:ind w:left="0"/>
              <w:jc w:val="center"/>
              <w:rPr>
                <w:rFonts w:ascii="Arial" w:hAnsi="Arial" w:eastAsia="等线" w:cs="Arial"/>
                <w:color w:val="auto"/>
                <w:sz w:val="22"/>
                <w:highlight w:val="none"/>
              </w:rPr>
            </w:pPr>
            <w:r>
              <w:rPr>
                <w:rFonts w:hint="eastAsia" w:ascii="Arial" w:hAnsi="Arial" w:eastAsia="等线" w:cs="Arial"/>
                <w:color w:val="auto"/>
                <w:sz w:val="22"/>
                <w:highlight w:val="none"/>
              </w:rPr>
              <w:t>★单北斗定位的</w:t>
            </w:r>
            <w:r>
              <w:rPr>
                <w:rFonts w:hint="eastAsia" w:ascii="Arial" w:hAnsi="Arial" w:eastAsia="等线" w:cs="Arial"/>
                <w:color w:val="auto"/>
                <w:sz w:val="22"/>
                <w:highlight w:val="none"/>
                <w:lang w:val="en-US" w:eastAsia="zh-CN"/>
              </w:rPr>
              <w:t>智能监测</w:t>
            </w:r>
            <w:r>
              <w:rPr>
                <w:rFonts w:hint="eastAsia" w:ascii="Arial" w:hAnsi="Arial" w:eastAsia="等线" w:cs="Arial"/>
                <w:color w:val="auto"/>
                <w:sz w:val="22"/>
                <w:highlight w:val="none"/>
              </w:rPr>
              <w:t>模块</w:t>
            </w:r>
          </w:p>
        </w:tc>
        <w:tc>
          <w:tcPr>
            <w:tcW w:w="4344" w:type="dxa"/>
            <w:tcMar>
              <w:top w:w="60" w:type="dxa"/>
              <w:left w:w="120" w:type="dxa"/>
              <w:bottom w:w="30" w:type="dxa"/>
              <w:right w:w="120" w:type="dxa"/>
            </w:tcMar>
            <w:vAlign w:val="center"/>
          </w:tcPr>
          <w:p>
            <w:pPr>
              <w:spacing w:before="120" w:after="120" w:line="288" w:lineRule="auto"/>
              <w:ind w:left="0"/>
              <w:jc w:val="center"/>
              <w:rPr>
                <w:rFonts w:hint="default" w:ascii="Arial" w:hAnsi="Arial" w:eastAsia="等线" w:cs="Arial"/>
                <w:color w:val="auto"/>
                <w:sz w:val="22"/>
                <w:highlight w:val="none"/>
                <w:lang w:val="en-US" w:eastAsia="zh-CN"/>
              </w:rPr>
            </w:pPr>
            <w:r>
              <w:rPr>
                <w:rFonts w:hint="eastAsia" w:ascii="Arial" w:hAnsi="Arial" w:eastAsia="等线" w:cs="Arial"/>
                <w:color w:val="auto"/>
                <w:sz w:val="22"/>
                <w:highlight w:val="none"/>
                <w:lang w:val="en-US" w:eastAsia="zh-CN"/>
              </w:rPr>
              <w:t>1</w:t>
            </w:r>
            <w:r>
              <w:rPr>
                <w:rFonts w:hint="default" w:ascii="Arial" w:hAnsi="Arial" w:eastAsia="等线" w:cs="Arial"/>
                <w:color w:val="auto"/>
                <w:sz w:val="22"/>
                <w:highlight w:val="none"/>
                <w:lang w:val="en-US" w:eastAsia="zh-CN"/>
              </w:rPr>
              <w:t>.</w:t>
            </w:r>
            <w:r>
              <w:rPr>
                <w:rFonts w:hint="eastAsia" w:ascii="Arial" w:hAnsi="Arial" w:eastAsia="等线" w:cs="Arial"/>
                <w:color w:val="auto"/>
                <w:sz w:val="22"/>
                <w:highlight w:val="none"/>
                <w:lang w:val="en-US" w:eastAsia="zh-CN"/>
              </w:rPr>
              <w:t>设备需标配单北斗定位智能监测模块，</w:t>
            </w:r>
            <w:r>
              <w:rPr>
                <w:rFonts w:hint="eastAsia" w:ascii="Arial" w:hAnsi="Arial" w:eastAsia="等线" w:cs="Arial"/>
                <w:color w:val="auto"/>
                <w:sz w:val="22"/>
                <w:highlight w:val="none"/>
              </w:rPr>
              <w:t>纯北斗定位，精度≤2m；2</w:t>
            </w:r>
            <w:r>
              <w:rPr>
                <w:rFonts w:hint="default" w:ascii="Arial" w:hAnsi="Arial" w:eastAsia="等线" w:cs="Arial"/>
                <w:color w:val="auto"/>
                <w:sz w:val="22"/>
                <w:highlight w:val="none"/>
                <w:lang w:val="en-US"/>
              </w:rPr>
              <w:t>.</w:t>
            </w:r>
            <w:r>
              <w:rPr>
                <w:rFonts w:hint="eastAsia" w:ascii="Arial" w:hAnsi="Arial" w:eastAsia="等线" w:cs="Arial"/>
                <w:color w:val="auto"/>
                <w:sz w:val="22"/>
                <w:highlight w:val="none"/>
              </w:rPr>
              <w:t>实时</w:t>
            </w:r>
            <w:r>
              <w:rPr>
                <w:rFonts w:hint="eastAsia" w:ascii="Arial" w:hAnsi="Arial" w:eastAsia="等线" w:cs="Arial"/>
                <w:color w:val="auto"/>
                <w:sz w:val="22"/>
                <w:highlight w:val="none"/>
                <w:lang w:val="en-US" w:eastAsia="zh-CN"/>
              </w:rPr>
              <w:t>监测</w:t>
            </w:r>
            <w:r>
              <w:rPr>
                <w:rFonts w:hint="eastAsia" w:ascii="Arial" w:hAnsi="Arial" w:eastAsia="等线" w:cs="Arial"/>
                <w:color w:val="auto"/>
                <w:sz w:val="22"/>
                <w:highlight w:val="none"/>
              </w:rPr>
              <w:t>油量、设备液压油温、液压油压、液压油位等</w:t>
            </w:r>
            <w:r>
              <w:rPr>
                <w:rFonts w:ascii="Arial" w:hAnsi="Arial" w:eastAsia="等线" w:cs="Arial"/>
                <w:color w:val="auto"/>
                <w:sz w:val="22"/>
                <w:highlight w:val="none"/>
              </w:rPr>
              <w:t>，</w:t>
            </w:r>
            <w:r>
              <w:rPr>
                <w:rFonts w:hint="eastAsia" w:ascii="Arial" w:hAnsi="Arial" w:eastAsia="等线" w:cs="Arial"/>
                <w:color w:val="auto"/>
                <w:sz w:val="22"/>
                <w:highlight w:val="none"/>
              </w:rPr>
              <w:t>数据采集精准；3</w:t>
            </w:r>
            <w:r>
              <w:rPr>
                <w:rFonts w:hint="default" w:ascii="Arial" w:hAnsi="Arial" w:eastAsia="等线" w:cs="Arial"/>
                <w:color w:val="auto"/>
                <w:sz w:val="22"/>
                <w:highlight w:val="none"/>
                <w:lang w:val="en-US"/>
              </w:rPr>
              <w:t>.</w:t>
            </w:r>
            <w:r>
              <w:rPr>
                <w:rFonts w:hint="eastAsia" w:ascii="Arial" w:hAnsi="Arial" w:eastAsia="等线" w:cs="Arial"/>
                <w:color w:val="auto"/>
                <w:sz w:val="22"/>
                <w:highlight w:val="none"/>
              </w:rPr>
              <w:t>支持无线传输、离线缓存、轨迹回放</w:t>
            </w:r>
            <w:r>
              <w:rPr>
                <w:rFonts w:hint="eastAsia" w:ascii="Arial" w:hAnsi="Arial" w:eastAsia="等线" w:cs="Arial"/>
                <w:color w:val="auto"/>
                <w:sz w:val="22"/>
                <w:highlight w:val="none"/>
                <w:lang w:val="en-US" w:eastAsia="zh-CN"/>
              </w:rPr>
              <w:t>；4</w:t>
            </w:r>
            <w:r>
              <w:rPr>
                <w:rFonts w:hint="default" w:ascii="Arial" w:hAnsi="Arial" w:eastAsia="等线" w:cs="Arial"/>
                <w:color w:val="auto"/>
                <w:sz w:val="22"/>
                <w:highlight w:val="none"/>
                <w:lang w:val="en-US" w:eastAsia="zh-CN"/>
              </w:rPr>
              <w:t>.</w:t>
            </w:r>
            <w:r>
              <w:rPr>
                <w:rFonts w:hint="eastAsia" w:ascii="Arial" w:hAnsi="Arial" w:eastAsia="等线" w:cs="Arial"/>
                <w:color w:val="auto"/>
                <w:sz w:val="22"/>
                <w:highlight w:val="none"/>
                <w:lang w:val="en-US" w:eastAsia="zh-CN"/>
              </w:rPr>
              <w:t>适配电网恶劣工况，</w:t>
            </w:r>
            <w:r>
              <w:rPr>
                <w:rFonts w:hint="eastAsia" w:ascii="Arial" w:hAnsi="Arial" w:eastAsia="等线" w:cs="Arial"/>
                <w:color w:val="auto"/>
                <w:sz w:val="22"/>
                <w:highlight w:val="none"/>
              </w:rPr>
              <w:t>数据可远程查看、存储溯源</w:t>
            </w:r>
            <w:r>
              <w:rPr>
                <w:rFonts w:hint="eastAsia" w:ascii="Arial" w:hAnsi="Arial" w:eastAsia="等线" w:cs="Arial"/>
                <w:color w:val="auto"/>
                <w:sz w:val="22"/>
                <w:highlight w:val="none"/>
                <w:lang w:eastAsia="zh-CN"/>
              </w:rPr>
              <w:t>；</w:t>
            </w:r>
            <w:r>
              <w:rPr>
                <w:rFonts w:hint="eastAsia" w:ascii="Arial" w:hAnsi="Arial" w:eastAsia="等线" w:cs="Arial"/>
                <w:color w:val="auto"/>
                <w:sz w:val="22"/>
                <w:highlight w:val="none"/>
                <w:lang w:val="en-US" w:eastAsia="zh-CN"/>
              </w:rPr>
              <w:t>5</w:t>
            </w:r>
            <w:r>
              <w:rPr>
                <w:rFonts w:hint="default" w:ascii="Arial" w:hAnsi="Arial" w:eastAsia="等线" w:cs="Arial"/>
                <w:color w:val="auto"/>
                <w:sz w:val="22"/>
                <w:highlight w:val="none"/>
                <w:lang w:val="en-US" w:eastAsia="zh-CN"/>
              </w:rPr>
              <w:t>.</w:t>
            </w:r>
            <w:r>
              <w:rPr>
                <w:rFonts w:ascii="Arial" w:hAnsi="Arial" w:eastAsia="等线" w:cs="Arial"/>
                <w:color w:val="auto"/>
                <w:sz w:val="22"/>
                <w:highlight w:val="none"/>
              </w:rPr>
              <w:t>可</w:t>
            </w:r>
            <w:r>
              <w:rPr>
                <w:rFonts w:hint="eastAsia" w:ascii="Arial" w:hAnsi="Arial" w:eastAsia="等线" w:cs="Arial"/>
                <w:color w:val="auto"/>
                <w:sz w:val="22"/>
                <w:highlight w:val="none"/>
              </w:rPr>
              <w:t>接入</w:t>
            </w:r>
            <w:r>
              <w:rPr>
                <w:rFonts w:ascii="Arial" w:hAnsi="Arial" w:eastAsia="等线" w:cs="Arial"/>
                <w:color w:val="auto"/>
                <w:sz w:val="22"/>
                <w:highlight w:val="none"/>
              </w:rPr>
              <w:t>南方电网</w:t>
            </w:r>
            <w:r>
              <w:rPr>
                <w:rFonts w:hint="eastAsia" w:ascii="Arial" w:hAnsi="Arial" w:eastAsia="等线" w:cs="Arial"/>
                <w:color w:val="auto"/>
                <w:sz w:val="22"/>
                <w:highlight w:val="none"/>
                <w:lang w:val="en-US" w:eastAsia="zh-CN"/>
              </w:rPr>
              <w:t>系统</w:t>
            </w:r>
            <w:r>
              <w:rPr>
                <w:rFonts w:hint="eastAsia" w:ascii="Arial" w:hAnsi="Arial" w:eastAsia="等线" w:cs="Arial"/>
                <w:color w:val="auto"/>
                <w:sz w:val="22"/>
                <w:highlight w:val="none"/>
              </w:rPr>
              <w:t>，</w:t>
            </w:r>
            <w:r>
              <w:rPr>
                <w:rFonts w:hint="eastAsia" w:ascii="Arial" w:hAnsi="Arial" w:eastAsia="等线" w:cs="Arial"/>
                <w:color w:val="auto"/>
                <w:sz w:val="22"/>
                <w:highlight w:val="none"/>
                <w:lang w:val="en-US" w:eastAsia="zh-CN"/>
              </w:rPr>
              <w:t>支持</w:t>
            </w:r>
            <w:r>
              <w:rPr>
                <w:rFonts w:ascii="Arial" w:hAnsi="Arial" w:eastAsia="等线" w:cs="Arial"/>
                <w:color w:val="auto"/>
                <w:sz w:val="22"/>
                <w:highlight w:val="none"/>
              </w:rPr>
              <w:t>远程</w:t>
            </w:r>
            <w:r>
              <w:rPr>
                <w:rFonts w:hint="eastAsia" w:ascii="Arial" w:hAnsi="Arial" w:eastAsia="等线" w:cs="Arial"/>
                <w:color w:val="auto"/>
                <w:sz w:val="22"/>
                <w:highlight w:val="none"/>
                <w:lang w:val="en-US" w:eastAsia="zh-CN"/>
              </w:rPr>
              <w:t>监测</w:t>
            </w:r>
            <w:r>
              <w:rPr>
                <w:rFonts w:hint="eastAsia" w:ascii="Arial" w:hAnsi="Arial" w:eastAsia="等线" w:cs="Arial"/>
                <w:color w:val="auto"/>
                <w:sz w:val="22"/>
                <w:highlight w:val="none"/>
              </w:rPr>
              <w:t>和</w:t>
            </w:r>
            <w:r>
              <w:rPr>
                <w:rFonts w:ascii="Arial" w:hAnsi="Arial" w:eastAsia="等线" w:cs="Arial"/>
                <w:color w:val="auto"/>
                <w:sz w:val="22"/>
                <w:highlight w:val="none"/>
              </w:rPr>
              <w:t>调度</w:t>
            </w:r>
            <w:r>
              <w:rPr>
                <w:rFonts w:hint="eastAsia" w:ascii="Arial" w:hAnsi="Arial" w:eastAsia="等线" w:cs="Arial"/>
                <w:color w:val="auto"/>
                <w:sz w:val="22"/>
                <w:highlight w:val="none"/>
                <w:lang w:eastAsia="zh-CN"/>
              </w:rPr>
              <w:t>；</w:t>
            </w:r>
            <w:r>
              <w:rPr>
                <w:rFonts w:ascii="Arial" w:hAnsi="Arial" w:eastAsia="等线" w:cs="Arial"/>
                <w:color w:val="auto"/>
                <w:sz w:val="22"/>
                <w:highlight w:val="none"/>
              </w:rPr>
              <w:t>▲</w:t>
            </w:r>
            <w:r>
              <w:rPr>
                <w:rFonts w:hint="eastAsia" w:ascii="Arial" w:hAnsi="Arial" w:eastAsia="等线" w:cs="Arial"/>
                <w:color w:val="auto"/>
                <w:sz w:val="22"/>
                <w:highlight w:val="none"/>
                <w:lang w:val="en-US" w:eastAsia="zh-CN"/>
              </w:rPr>
              <w:t>6</w:t>
            </w:r>
            <w:r>
              <w:rPr>
                <w:rFonts w:hint="default" w:ascii="Arial" w:hAnsi="Arial" w:eastAsia="等线" w:cs="Arial"/>
                <w:color w:val="auto"/>
                <w:sz w:val="22"/>
                <w:highlight w:val="none"/>
                <w:lang w:val="en-US" w:eastAsia="zh-CN"/>
              </w:rPr>
              <w:t>.</w:t>
            </w:r>
            <w:r>
              <w:rPr>
                <w:rFonts w:hint="eastAsia" w:ascii="Arial" w:hAnsi="Arial" w:eastAsia="等线" w:cs="Arial"/>
                <w:color w:val="auto"/>
                <w:sz w:val="22"/>
                <w:highlight w:val="none"/>
                <w:lang w:val="en-US" w:eastAsia="zh-CN"/>
              </w:rPr>
              <w:t>提供权威机构的单北斗认证报告。</w:t>
            </w:r>
            <w:bookmarkStart w:id="116" w:name="_GoBack"/>
            <w:bookmarkEnd w:id="116"/>
          </w:p>
        </w:tc>
        <w:tc>
          <w:tcPr>
            <w:tcW w:w="1868" w:type="dxa"/>
            <w:tcMar>
              <w:top w:w="60" w:type="dxa"/>
              <w:left w:w="120" w:type="dxa"/>
              <w:bottom w:w="30" w:type="dxa"/>
              <w:right w:w="120" w:type="dxa"/>
            </w:tcMar>
            <w:vAlign w:val="center"/>
          </w:tcPr>
          <w:p>
            <w:pPr>
              <w:jc w:val="center"/>
              <w:rPr>
                <w:color w:val="auto"/>
                <w:highlight w:val="none"/>
              </w:rPr>
            </w:pPr>
          </w:p>
          <w:p>
            <w:pPr>
              <w:rPr>
                <w:color w:val="auto"/>
                <w:highlight w:val="none"/>
              </w:rPr>
            </w:pPr>
          </w:p>
        </w:tc>
        <w:tc>
          <w:tcPr>
            <w:tcW w:w="1786" w:type="dxa"/>
            <w:tcMar>
              <w:top w:w="60" w:type="dxa"/>
              <w:left w:w="120" w:type="dxa"/>
              <w:bottom w:w="30" w:type="dxa"/>
              <w:right w:w="120" w:type="dxa"/>
            </w:tcMar>
            <w:vAlign w:val="center"/>
          </w:tcPr>
          <w:p>
            <w:pPr>
              <w:jc w:val="center"/>
              <w:rPr>
                <w:color w:val="auto"/>
                <w:highlight w:val="none"/>
              </w:rPr>
            </w:pPr>
          </w:p>
        </w:tc>
      </w:tr>
    </w:tbl>
    <w:p>
      <w:pPr>
        <w:spacing w:before="380" w:after="140" w:line="288" w:lineRule="auto"/>
        <w:ind w:left="0"/>
        <w:jc w:val="left"/>
        <w:outlineLvl w:val="0"/>
        <w:rPr>
          <w:color w:val="auto"/>
          <w:highlight w:val="none"/>
        </w:rPr>
      </w:pPr>
      <w:bookmarkStart w:id="44" w:name="_Toc1549805964"/>
      <w:r>
        <w:rPr>
          <w:rFonts w:ascii="Arial" w:hAnsi="Arial" w:eastAsia="等线" w:cs="Arial"/>
          <w:b/>
          <w:color w:val="auto"/>
          <w:sz w:val="36"/>
          <w:highlight w:val="none"/>
        </w:rPr>
        <w:t>4供货需求及范围</w:t>
      </w:r>
      <w:bookmarkEnd w:id="43"/>
      <w:bookmarkEnd w:id="44"/>
    </w:p>
    <w:p>
      <w:pPr>
        <w:spacing w:before="320" w:after="120" w:line="288" w:lineRule="auto"/>
        <w:ind w:left="0"/>
        <w:jc w:val="left"/>
        <w:outlineLvl w:val="1"/>
        <w:rPr>
          <w:color w:val="auto"/>
          <w:highlight w:val="none"/>
        </w:rPr>
      </w:pPr>
      <w:bookmarkStart w:id="45" w:name="_Toc759682485"/>
      <w:bookmarkStart w:id="46" w:name="heading_23"/>
      <w:r>
        <w:rPr>
          <w:rFonts w:ascii="Arial" w:hAnsi="Arial" w:eastAsia="等线" w:cs="Arial"/>
          <w:b/>
          <w:color w:val="auto"/>
          <w:sz w:val="32"/>
          <w:highlight w:val="none"/>
        </w:rPr>
        <w:t>4.1供货总体要求</w:t>
      </w:r>
      <w:bookmarkEnd w:id="45"/>
      <w:bookmarkEnd w:id="46"/>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color w:val="auto"/>
          <w:sz w:val="24"/>
          <w:szCs w:val="24"/>
          <w:highlight w:val="none"/>
        </w:rPr>
      </w:pPr>
      <w:r>
        <w:rPr>
          <w:rFonts w:ascii="Arial" w:hAnsi="Arial" w:eastAsia="等线" w:cs="Arial"/>
          <w:color w:val="auto"/>
          <w:sz w:val="24"/>
          <w:szCs w:val="24"/>
          <w:highlight w:val="none"/>
        </w:rPr>
        <w:t>★投标方需按本规范书要求提供</w:t>
      </w:r>
      <w:r>
        <w:rPr>
          <w:rFonts w:ascii="Arial" w:hAnsi="Arial" w:eastAsia="等线" w:cs="Arial"/>
          <w:b/>
          <w:color w:val="auto"/>
          <w:sz w:val="24"/>
          <w:szCs w:val="24"/>
          <w:highlight w:val="none"/>
        </w:rPr>
        <w:t>全套合格的</w:t>
      </w:r>
      <w:r>
        <w:rPr>
          <w:rFonts w:hint="eastAsia" w:ascii="Arial" w:hAnsi="Arial" w:eastAsia="等线" w:cs="Arial"/>
          <w:b/>
          <w:color w:val="auto"/>
          <w:sz w:val="24"/>
          <w:szCs w:val="24"/>
          <w:highlight w:val="none"/>
          <w:lang w:eastAsia="zh-CN"/>
        </w:rPr>
        <w:t>抽水机（排涝方舱）</w:t>
      </w:r>
      <w:r>
        <w:rPr>
          <w:rFonts w:ascii="Arial" w:hAnsi="Arial" w:eastAsia="等线" w:cs="Arial"/>
          <w:color w:val="auto"/>
          <w:sz w:val="24"/>
          <w:szCs w:val="24"/>
          <w:highlight w:val="none"/>
        </w:rPr>
        <w:t>，所有设备、配件、工具均为全新原厂正品，无任何质量缺陷，设备到场后可直接进行现场调试、投入使用，无需招标方额外配置任何配件。</w:t>
      </w:r>
    </w:p>
    <w:p>
      <w:pPr>
        <w:spacing w:before="320" w:after="120" w:line="288" w:lineRule="auto"/>
        <w:ind w:left="0"/>
        <w:jc w:val="left"/>
        <w:outlineLvl w:val="1"/>
        <w:rPr>
          <w:rFonts w:ascii="Arial" w:hAnsi="Arial" w:eastAsia="等线" w:cs="Arial"/>
          <w:b/>
          <w:color w:val="auto"/>
          <w:sz w:val="32"/>
          <w:highlight w:val="none"/>
        </w:rPr>
      </w:pPr>
      <w:bookmarkStart w:id="47" w:name="_Toc1193243980"/>
      <w:bookmarkStart w:id="48" w:name="heading_24"/>
      <w:r>
        <w:rPr>
          <w:rFonts w:ascii="Arial" w:hAnsi="Arial" w:eastAsia="等线" w:cs="Arial"/>
          <w:b/>
          <w:color w:val="auto"/>
          <w:sz w:val="32"/>
          <w:highlight w:val="none"/>
        </w:rPr>
        <w:t>4.2最低供货范围</w:t>
      </w:r>
      <w:bookmarkEnd w:id="47"/>
      <w:bookmarkEnd w:id="48"/>
    </w:p>
    <w:tbl>
      <w:tblPr>
        <w:tblStyle w:val="22"/>
        <w:tblW w:w="10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47"/>
        <w:gridCol w:w="2290"/>
        <w:gridCol w:w="6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25" w:hRule="atLeast"/>
          <w:tblHeader/>
          <w:jc w:val="center"/>
        </w:trPr>
        <w:tc>
          <w:tcPr>
            <w:tcW w:w="947" w:type="dxa"/>
            <w:tcBorders>
              <w:top w:val="single" w:color="000000" w:sz="4" w:space="0"/>
              <w:left w:val="single" w:color="000000" w:sz="4" w:space="0"/>
              <w:bottom w:val="single" w:color="000000" w:sz="4" w:space="0"/>
              <w:right w:val="single" w:color="000000" w:sz="4" w:space="0"/>
              <w:tl2br w:val="nil"/>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序号</w:t>
            </w:r>
          </w:p>
        </w:tc>
        <w:tc>
          <w:tcPr>
            <w:tcW w:w="2290"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供货品类</w:t>
            </w:r>
          </w:p>
        </w:tc>
        <w:tc>
          <w:tcPr>
            <w:tcW w:w="6763"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具体配置要求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jc w:val="center"/>
        </w:trPr>
        <w:tc>
          <w:tcPr>
            <w:tcW w:w="947"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1</w:t>
            </w:r>
          </w:p>
        </w:tc>
        <w:tc>
          <w:tcPr>
            <w:tcW w:w="2290"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hint="eastAsia" w:ascii="宋体" w:hAnsi="宋体" w:cs="宋体"/>
                <w:b w:val="0"/>
                <w:color w:val="auto"/>
                <w:kern w:val="0"/>
                <w:sz w:val="20"/>
                <w:szCs w:val="20"/>
                <w:highlight w:val="none"/>
                <w:lang w:val="en-US" w:eastAsia="zh-CN" w:bidi="ar"/>
              </w:rPr>
              <w:t>抽水机（排涝方舱）</w:t>
            </w:r>
            <w:r>
              <w:rPr>
                <w:rFonts w:ascii="宋体" w:hAnsi="宋体" w:eastAsia="宋体" w:cs="宋体"/>
                <w:b w:val="0"/>
                <w:color w:val="auto"/>
                <w:kern w:val="0"/>
                <w:sz w:val="20"/>
                <w:szCs w:val="20"/>
                <w:highlight w:val="none"/>
                <w:lang w:val="en-US" w:eastAsia="zh-CN" w:bidi="ar"/>
              </w:rPr>
              <w:t>主机</w:t>
            </w:r>
          </w:p>
        </w:tc>
        <w:tc>
          <w:tcPr>
            <w:tcW w:w="6763"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1台，含动力系统、</w:t>
            </w:r>
            <w:r>
              <w:rPr>
                <w:rFonts w:hint="eastAsia" w:ascii="宋体" w:hAnsi="宋体" w:cs="宋体"/>
                <w:b w:val="0"/>
                <w:color w:val="auto"/>
                <w:kern w:val="0"/>
                <w:sz w:val="20"/>
                <w:szCs w:val="20"/>
                <w:highlight w:val="none"/>
                <w:lang w:val="en-US" w:eastAsia="zh-CN" w:bidi="ar"/>
              </w:rPr>
              <w:t>行走底盘系统、</w:t>
            </w:r>
            <w:r>
              <w:rPr>
                <w:rFonts w:ascii="宋体" w:hAnsi="宋体" w:eastAsia="宋体" w:cs="宋体"/>
                <w:b w:val="0"/>
                <w:color w:val="auto"/>
                <w:kern w:val="0"/>
                <w:sz w:val="20"/>
                <w:szCs w:val="20"/>
                <w:highlight w:val="none"/>
                <w:lang w:val="en-US" w:eastAsia="zh-CN" w:bidi="ar"/>
              </w:rPr>
              <w:t>排水执行系统、电气控制系统等全套核心部件，整机为全新原厂正品，无质量缺陷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80" w:hRule="atLeast"/>
          <w:jc w:val="center"/>
        </w:trPr>
        <w:tc>
          <w:tcPr>
            <w:tcW w:w="947"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2</w:t>
            </w:r>
          </w:p>
        </w:tc>
        <w:tc>
          <w:tcPr>
            <w:tcW w:w="2290"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便携式无线遥控器</w:t>
            </w:r>
          </w:p>
        </w:tc>
        <w:tc>
          <w:tcPr>
            <w:tcW w:w="6763"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1套，含主机、备用电池2块、快充充电器1个、挂绳、防护套，满足远程操控全功能需求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jc w:val="center"/>
        </w:trPr>
        <w:tc>
          <w:tcPr>
            <w:tcW w:w="947"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3</w:t>
            </w:r>
          </w:p>
        </w:tc>
        <w:tc>
          <w:tcPr>
            <w:tcW w:w="2290"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专用配套配件</w:t>
            </w:r>
          </w:p>
        </w:tc>
        <w:tc>
          <w:tcPr>
            <w:tcW w:w="6763"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hint="eastAsia" w:ascii="宋体" w:hAnsi="宋体" w:cs="宋体"/>
                <w:b w:val="0"/>
                <w:color w:val="auto"/>
                <w:kern w:val="0"/>
                <w:sz w:val="20"/>
                <w:szCs w:val="20"/>
                <w:highlight w:val="none"/>
                <w:lang w:val="en-US" w:eastAsia="zh-CN" w:bidi="ar"/>
              </w:rPr>
              <w:t>专用装卸爬梯1套，</w:t>
            </w:r>
            <w:r>
              <w:rPr>
                <w:rFonts w:ascii="宋体" w:hAnsi="宋体" w:eastAsia="宋体" w:cs="宋体"/>
                <w:b w:val="0"/>
                <w:color w:val="auto"/>
                <w:kern w:val="0"/>
                <w:sz w:val="20"/>
                <w:szCs w:val="20"/>
                <w:highlight w:val="none"/>
                <w:lang w:val="en-US" w:eastAsia="zh-CN" w:bidi="ar"/>
              </w:rPr>
              <w:t>DN200排水软管（长度≥20m）、接地装置1套、机身固定件全套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2" w:hRule="atLeast"/>
          <w:jc w:val="center"/>
        </w:trPr>
        <w:tc>
          <w:tcPr>
            <w:tcW w:w="947"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4</w:t>
            </w:r>
          </w:p>
        </w:tc>
        <w:tc>
          <w:tcPr>
            <w:tcW w:w="2290"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备品备件</w:t>
            </w:r>
          </w:p>
        </w:tc>
        <w:tc>
          <w:tcPr>
            <w:tcW w:w="6763"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按设备使用要求配备易损件、易耗件全套，投标方需单独列出明细，注明规格、数量、品牌，确保适配设备运维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41" w:hRule="atLeast"/>
          <w:jc w:val="center"/>
        </w:trPr>
        <w:tc>
          <w:tcPr>
            <w:tcW w:w="947"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5</w:t>
            </w:r>
          </w:p>
        </w:tc>
        <w:tc>
          <w:tcPr>
            <w:tcW w:w="2290"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专用工具与仪器仪表</w:t>
            </w:r>
          </w:p>
        </w:tc>
        <w:tc>
          <w:tcPr>
            <w:tcW w:w="6763"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配备设备安装、调试、日常维护、故障排查所需的专用工具、检测仪器仪表全套，投标方需单独列出明细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96" w:hRule="atLeast"/>
          <w:jc w:val="center"/>
        </w:trPr>
        <w:tc>
          <w:tcPr>
            <w:tcW w:w="947"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6</w:t>
            </w:r>
          </w:p>
        </w:tc>
        <w:tc>
          <w:tcPr>
            <w:tcW w:w="2290"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技术资料</w:t>
            </w:r>
          </w:p>
        </w:tc>
        <w:tc>
          <w:tcPr>
            <w:tcW w:w="6763" w:type="dxa"/>
            <w:tcBorders>
              <w:top w:val="single" w:color="000000" w:sz="4" w:space="0"/>
              <w:left w:val="single" w:color="000000" w:sz="4" w:space="0"/>
              <w:bottom w:val="single" w:color="000000" w:sz="4" w:space="0"/>
              <w:right w:val="single" w:color="000000" w:sz="4" w:space="0"/>
            </w:tcBorders>
            <w:shd w:val="clear" w:color="auto" w:fill="FFFFFF"/>
            <w:tcMar>
              <w:top w:w="160" w:type="dxa"/>
              <w:left w:w="160" w:type="dxa"/>
              <w:bottom w:w="160" w:type="dxa"/>
              <w:right w:w="160"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jc w:val="center"/>
              <w:textAlignment w:val="top"/>
              <w:rPr>
                <w:b w:val="0"/>
                <w:color w:val="auto"/>
                <w:sz w:val="20"/>
                <w:szCs w:val="20"/>
                <w:highlight w:val="none"/>
              </w:rPr>
            </w:pPr>
            <w:r>
              <w:rPr>
                <w:rFonts w:ascii="宋体" w:hAnsi="宋体" w:eastAsia="宋体" w:cs="宋体"/>
                <w:b w:val="0"/>
                <w:color w:val="auto"/>
                <w:kern w:val="0"/>
                <w:sz w:val="20"/>
                <w:szCs w:val="20"/>
                <w:highlight w:val="none"/>
                <w:lang w:val="en-US" w:eastAsia="zh-CN" w:bidi="ar"/>
              </w:rPr>
              <w:t>全套纸质版+电子版技术资料，包含说明书、合格证、型式试验报告、出厂检验报告、电力安全操作手册、维护手册、应急处置流程、设备图纸、元器件清单等</w:t>
            </w: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ascii="Arial" w:hAnsi="Arial" w:eastAsia="等线" w:cs="Arial"/>
          <w:color w:val="auto"/>
          <w:sz w:val="24"/>
          <w:szCs w:val="24"/>
          <w:highlight w:val="none"/>
        </w:rPr>
      </w:pPr>
    </w:p>
    <w:p>
      <w:pPr>
        <w:spacing w:before="380" w:after="140" w:line="288" w:lineRule="auto"/>
        <w:ind w:left="0"/>
        <w:jc w:val="left"/>
        <w:outlineLvl w:val="0"/>
        <w:rPr>
          <w:color w:val="auto"/>
          <w:highlight w:val="none"/>
        </w:rPr>
      </w:pPr>
      <w:bookmarkStart w:id="49" w:name="heading_25"/>
      <w:bookmarkStart w:id="50" w:name="_Toc1649276174"/>
      <w:r>
        <w:rPr>
          <w:rFonts w:ascii="Arial" w:hAnsi="Arial" w:eastAsia="等线" w:cs="Arial"/>
          <w:b/>
          <w:color w:val="auto"/>
          <w:sz w:val="36"/>
          <w:highlight w:val="none"/>
        </w:rPr>
        <w:t>5试验与验收</w:t>
      </w:r>
      <w:bookmarkEnd w:id="49"/>
      <w:bookmarkEnd w:id="50"/>
    </w:p>
    <w:p>
      <w:pPr>
        <w:spacing w:before="320" w:after="120" w:line="288" w:lineRule="auto"/>
        <w:ind w:left="0"/>
        <w:jc w:val="left"/>
        <w:outlineLvl w:val="1"/>
        <w:rPr>
          <w:color w:val="auto"/>
          <w:highlight w:val="none"/>
        </w:rPr>
      </w:pPr>
      <w:bookmarkStart w:id="51" w:name="heading_26"/>
      <w:bookmarkStart w:id="52" w:name="_Toc1813224589"/>
      <w:r>
        <w:rPr>
          <w:rFonts w:ascii="Arial" w:hAnsi="Arial" w:eastAsia="等线" w:cs="Arial"/>
          <w:b/>
          <w:color w:val="auto"/>
          <w:sz w:val="32"/>
          <w:highlight w:val="none"/>
        </w:rPr>
        <w:t>5.1型式试验</w:t>
      </w:r>
      <w:bookmarkEnd w:id="51"/>
      <w:bookmarkEnd w:id="52"/>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ascii="Arial" w:hAnsi="Arial" w:eastAsia="等线" w:cs="Arial"/>
          <w:color w:val="auto"/>
          <w:sz w:val="24"/>
          <w:szCs w:val="24"/>
          <w:highlight w:val="none"/>
        </w:rPr>
      </w:pPr>
      <w:r>
        <w:rPr>
          <w:rFonts w:ascii="Arial" w:hAnsi="Arial" w:eastAsia="等线" w:cs="Arial"/>
          <w:color w:val="auto"/>
          <w:sz w:val="24"/>
          <w:szCs w:val="24"/>
          <w:highlight w:val="none"/>
        </w:rPr>
        <w:t>★1.投标方所供设备需已完成电力行业第三方权威检测机构出具的型式试验，试验项目覆盖环境适应性、安全性能、可靠性、电磁兼容性、排水性能等本规范书所有技术要求，投标文件中需附完整型式试验报告原件扫描件，无报告或报告不完整作无效投标处理；</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ascii="Arial" w:hAnsi="Arial" w:eastAsia="等线" w:cs="Arial"/>
          <w:color w:val="auto"/>
          <w:sz w:val="24"/>
          <w:szCs w:val="24"/>
          <w:highlight w:val="none"/>
        </w:rPr>
      </w:pPr>
      <w:r>
        <w:rPr>
          <w:rFonts w:hint="eastAsia" w:ascii="Arial" w:hAnsi="Arial" w:eastAsia="等线" w:cs="Arial"/>
          <w:color w:val="auto"/>
          <w:sz w:val="24"/>
          <w:szCs w:val="24"/>
          <w:highlight w:val="none"/>
          <w:lang w:val="en-US" w:eastAsia="zh-CN"/>
        </w:rPr>
        <w:t>2.</w:t>
      </w:r>
      <w:r>
        <w:rPr>
          <w:rFonts w:ascii="Arial" w:hAnsi="Arial" w:eastAsia="等线" w:cs="Arial"/>
          <w:color w:val="auto"/>
          <w:sz w:val="24"/>
          <w:szCs w:val="24"/>
          <w:highlight w:val="none"/>
        </w:rPr>
        <w:t>若设备为新产品定型、重大改进后首次供货，需在供货前完成型式试验并取得报告，否则招标方有权拒绝收货。</w:t>
      </w:r>
    </w:p>
    <w:p>
      <w:pPr>
        <w:spacing w:before="320" w:after="120" w:line="288" w:lineRule="auto"/>
        <w:ind w:left="0"/>
        <w:jc w:val="left"/>
        <w:outlineLvl w:val="1"/>
        <w:rPr>
          <w:color w:val="auto"/>
          <w:highlight w:val="none"/>
        </w:rPr>
      </w:pPr>
      <w:bookmarkStart w:id="53" w:name="heading_27"/>
      <w:bookmarkStart w:id="54" w:name="_Toc2072716393"/>
      <w:r>
        <w:rPr>
          <w:rFonts w:ascii="Arial" w:hAnsi="Arial" w:eastAsia="等线" w:cs="Arial"/>
          <w:b/>
          <w:color w:val="auto"/>
          <w:sz w:val="32"/>
          <w:highlight w:val="none"/>
        </w:rPr>
        <w:t>5.2出厂试验</w:t>
      </w:r>
      <w:bookmarkEnd w:id="53"/>
      <w:bookmarkEnd w:id="54"/>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★1.产品实行100%全检，投标方需对每台设备按本规范书全部要求进行出厂试验，检验项目包含外观检查、性能调试、安全功能测试、续航测试、遥控功能测试等，无出厂试验的设备不得出厂。</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color w:val="auto"/>
          <w:highlight w:val="none"/>
        </w:rPr>
      </w:pPr>
      <w:r>
        <w:rPr>
          <w:rFonts w:hint="eastAsia" w:ascii="Arial" w:hAnsi="Arial" w:eastAsia="等线" w:cs="Arial"/>
          <w:color w:val="auto"/>
          <w:sz w:val="24"/>
          <w:szCs w:val="24"/>
          <w:highlight w:val="none"/>
          <w:lang w:val="en-US" w:eastAsia="zh-CN"/>
        </w:rPr>
        <w:t>2.投标方需随设备提供每台设备的出厂检验报告原件、产品合格证原件，报告需注明检验项目、检验结果、检验人员、检验日期，加盖投标方质量检验专用章。</w:t>
      </w:r>
    </w:p>
    <w:p>
      <w:pPr>
        <w:spacing w:before="320" w:after="120" w:line="288" w:lineRule="auto"/>
        <w:ind w:left="0"/>
        <w:jc w:val="left"/>
        <w:outlineLvl w:val="1"/>
        <w:rPr>
          <w:color w:val="auto"/>
          <w:highlight w:val="none"/>
        </w:rPr>
      </w:pPr>
      <w:bookmarkStart w:id="55" w:name="heading_28"/>
      <w:bookmarkStart w:id="56" w:name="_Toc1812179164"/>
      <w:r>
        <w:rPr>
          <w:rFonts w:ascii="Arial" w:hAnsi="Arial" w:eastAsia="等线" w:cs="Arial"/>
          <w:b/>
          <w:color w:val="auto"/>
          <w:sz w:val="32"/>
          <w:highlight w:val="none"/>
        </w:rPr>
        <w:t>5.3现场验收</w:t>
      </w:r>
      <w:bookmarkEnd w:id="55"/>
      <w:bookmarkEnd w:id="56"/>
    </w:p>
    <w:p>
      <w:pPr>
        <w:spacing w:before="300" w:after="120" w:line="288" w:lineRule="auto"/>
        <w:ind w:left="0"/>
        <w:jc w:val="left"/>
        <w:outlineLvl w:val="2"/>
        <w:rPr>
          <w:color w:val="auto"/>
          <w:highlight w:val="none"/>
        </w:rPr>
      </w:pPr>
      <w:bookmarkStart w:id="57" w:name="heading_29"/>
      <w:r>
        <w:rPr>
          <w:rFonts w:ascii="Arial" w:hAnsi="Arial" w:eastAsia="等线" w:cs="Arial"/>
          <w:b/>
          <w:color w:val="auto"/>
          <w:sz w:val="30"/>
          <w:highlight w:val="none"/>
        </w:rPr>
        <w:t>5.3.1开箱检验</w:t>
      </w:r>
      <w:bookmarkEnd w:id="57"/>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设备到货后，招标方组织开箱检验，投标方需派技术人员到场配合，检验内容包含：</w:t>
      </w:r>
    </w:p>
    <w:p>
      <w:pPr>
        <w:keepNext w:val="0"/>
        <w:keepLines w:val="0"/>
        <w:pageBreakBefore w:val="0"/>
        <w:widowControl w:val="0"/>
        <w:numPr>
          <w:ilvl w:val="0"/>
          <w:numId w:val="6"/>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设备、配件、工具、技术资料的数量、规格是否与投标文件、供货清单一致，无缺项、错配。</w:t>
      </w:r>
    </w:p>
    <w:p>
      <w:pPr>
        <w:keepNext w:val="0"/>
        <w:keepLines w:val="0"/>
        <w:pageBreakBefore w:val="0"/>
        <w:widowControl w:val="0"/>
        <w:numPr>
          <w:ilvl w:val="0"/>
          <w:numId w:val="6"/>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设备外观无磕碰、变形、锈蚀，配件无损坏、缺失，技术资料完整、清晰。</w:t>
      </w:r>
    </w:p>
    <w:p>
      <w:pPr>
        <w:keepNext w:val="0"/>
        <w:keepLines w:val="0"/>
        <w:pageBreakBefore w:val="0"/>
        <w:widowControl w:val="0"/>
        <w:numPr>
          <w:ilvl w:val="0"/>
          <w:numId w:val="6"/>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设备铭牌、标识齐全、清晰，与产品合格证、试验报告一致。</w:t>
      </w:r>
    </w:p>
    <w:p>
      <w:pPr>
        <w:keepNext w:val="0"/>
        <w:keepLines w:val="0"/>
        <w:pageBreakBefore w:val="0"/>
        <w:widowControl w:val="0"/>
        <w:numPr>
          <w:ilvl w:val="0"/>
          <w:numId w:val="6"/>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开箱检验不合格的，招标方有权要求投标方无条件更换、补齐，产生的所有费用由投标方承担。</w:t>
      </w:r>
    </w:p>
    <w:p>
      <w:pPr>
        <w:spacing w:before="300" w:after="120" w:line="288" w:lineRule="auto"/>
        <w:ind w:left="0"/>
        <w:jc w:val="left"/>
        <w:outlineLvl w:val="2"/>
        <w:rPr>
          <w:color w:val="auto"/>
          <w:highlight w:val="none"/>
        </w:rPr>
      </w:pPr>
      <w:bookmarkStart w:id="58" w:name="heading_30"/>
      <w:r>
        <w:rPr>
          <w:rFonts w:ascii="Arial" w:hAnsi="Arial" w:eastAsia="等线" w:cs="Arial"/>
          <w:b/>
          <w:color w:val="auto"/>
          <w:sz w:val="30"/>
          <w:highlight w:val="none"/>
        </w:rPr>
        <w:t>5.3.2现场调试与试验</w:t>
      </w:r>
      <w:bookmarkEnd w:id="58"/>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开箱检验合格后，投标方技术人员现场进行设备调试，按本规范书所有技术要求进行现场试验，包含：</w:t>
      </w:r>
    </w:p>
    <w:p>
      <w:pPr>
        <w:keepNext w:val="0"/>
        <w:keepLines w:val="0"/>
        <w:pageBreakBefore w:val="0"/>
        <w:widowControl w:val="0"/>
        <w:numPr>
          <w:ilvl w:val="0"/>
          <w:numId w:val="7"/>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行走、转向、刹车、爬坡等行走性能试验；</w:t>
      </w:r>
    </w:p>
    <w:p>
      <w:pPr>
        <w:keepNext w:val="0"/>
        <w:keepLines w:val="0"/>
        <w:pageBreakBefore w:val="0"/>
        <w:widowControl w:val="0"/>
        <w:numPr>
          <w:ilvl w:val="0"/>
          <w:numId w:val="7"/>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排水流量、扬程、升降等排水性能试验；</w:t>
      </w:r>
    </w:p>
    <w:p>
      <w:pPr>
        <w:keepNext w:val="0"/>
        <w:keepLines w:val="0"/>
        <w:pageBreakBefore w:val="0"/>
        <w:widowControl w:val="0"/>
        <w:numPr>
          <w:ilvl w:val="0"/>
          <w:numId w:val="7"/>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遥控距离、控制延迟、急停等遥控安全性能试验；</w:t>
      </w:r>
    </w:p>
    <w:p>
      <w:pPr>
        <w:keepNext w:val="0"/>
        <w:keepLines w:val="0"/>
        <w:pageBreakBefore w:val="0"/>
        <w:widowControl w:val="0"/>
        <w:numPr>
          <w:ilvl w:val="0"/>
          <w:numId w:val="7"/>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连续作业、故障保护、电磁兼容等全工况性能试验。</w:t>
      </w:r>
    </w:p>
    <w:p>
      <w:pPr>
        <w:spacing w:before="300" w:after="120" w:line="288" w:lineRule="auto"/>
        <w:ind w:left="0"/>
        <w:jc w:val="left"/>
        <w:outlineLvl w:val="2"/>
        <w:rPr>
          <w:color w:val="auto"/>
          <w:highlight w:val="none"/>
        </w:rPr>
      </w:pPr>
      <w:bookmarkStart w:id="59" w:name="heading_31"/>
      <w:r>
        <w:rPr>
          <w:rFonts w:ascii="Arial" w:hAnsi="Arial" w:eastAsia="等线" w:cs="Arial"/>
          <w:b/>
          <w:color w:val="auto"/>
          <w:sz w:val="30"/>
          <w:highlight w:val="none"/>
        </w:rPr>
        <w:t>5.3.3验收合格标准</w:t>
      </w:r>
      <w:bookmarkEnd w:id="59"/>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现场试验所有项目均满足本规范书要求，投标方完成技术培训，招标方签署现场验收合格单，设备正式验收合格；若存在任何一项不满足要求，投标方需在招标方规定时限内整改，整改后仍不合格的，招标方有权解除合同并追究投标方违约责任。</w:t>
      </w:r>
    </w:p>
    <w:p>
      <w:pPr>
        <w:spacing w:before="380" w:after="140" w:line="288" w:lineRule="auto"/>
        <w:ind w:left="0"/>
        <w:jc w:val="left"/>
        <w:outlineLvl w:val="0"/>
        <w:rPr>
          <w:color w:val="auto"/>
          <w:highlight w:val="none"/>
        </w:rPr>
      </w:pPr>
      <w:bookmarkStart w:id="60" w:name="heading_32"/>
      <w:bookmarkStart w:id="61" w:name="_Toc1682127594"/>
      <w:r>
        <w:rPr>
          <w:rFonts w:ascii="Arial" w:hAnsi="Arial" w:eastAsia="等线" w:cs="Arial"/>
          <w:b/>
          <w:color w:val="auto"/>
          <w:sz w:val="36"/>
          <w:highlight w:val="none"/>
        </w:rPr>
        <w:t>6监造、包装、运输与贮存</w:t>
      </w:r>
      <w:bookmarkEnd w:id="60"/>
      <w:bookmarkEnd w:id="61"/>
    </w:p>
    <w:p>
      <w:pPr>
        <w:spacing w:before="320" w:after="120" w:line="288" w:lineRule="auto"/>
        <w:ind w:left="0"/>
        <w:jc w:val="left"/>
        <w:outlineLvl w:val="1"/>
        <w:rPr>
          <w:color w:val="auto"/>
          <w:highlight w:val="none"/>
        </w:rPr>
      </w:pPr>
      <w:bookmarkStart w:id="62" w:name="heading_33"/>
      <w:bookmarkStart w:id="63" w:name="_Toc2043743250"/>
      <w:r>
        <w:rPr>
          <w:rFonts w:ascii="Arial" w:hAnsi="Arial" w:eastAsia="等线" w:cs="Arial"/>
          <w:b/>
          <w:color w:val="auto"/>
          <w:sz w:val="32"/>
          <w:highlight w:val="none"/>
        </w:rPr>
        <w:t>6.1监造要求</w:t>
      </w:r>
      <w:bookmarkEnd w:id="62"/>
      <w:bookmarkEnd w:id="63"/>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★1.招标方有权委派监造人员对设备的生产、组装、测试全过程进行监造，投标方需全力配合，提供生产场地、生产图纸、测试数据、工艺流程等全部相关资料，无任何隐瞒、拒绝。</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2.监造过程中，若发现设备设计、制造不符合本规范书要求，招标方监造人员有权要求停工整改，投标方需立即执行，整改合格后方可继续生产。</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3.监造结果作为设备出厂、验收的重要依据，监造不合格的设备不得出厂。</w:t>
      </w:r>
    </w:p>
    <w:p>
      <w:pPr>
        <w:spacing w:before="320" w:after="120" w:line="288" w:lineRule="auto"/>
        <w:ind w:left="0"/>
        <w:jc w:val="left"/>
        <w:outlineLvl w:val="1"/>
        <w:rPr>
          <w:color w:val="auto"/>
          <w:highlight w:val="none"/>
        </w:rPr>
      </w:pPr>
      <w:bookmarkStart w:id="64" w:name="heading_34"/>
      <w:bookmarkStart w:id="65" w:name="_Toc191868985"/>
      <w:r>
        <w:rPr>
          <w:rFonts w:ascii="Arial" w:hAnsi="Arial" w:eastAsia="等线" w:cs="Arial"/>
          <w:b/>
          <w:color w:val="auto"/>
          <w:sz w:val="32"/>
          <w:highlight w:val="none"/>
        </w:rPr>
        <w:t>6.2包装要求</w:t>
      </w:r>
      <w:bookmarkEnd w:id="64"/>
      <w:bookmarkEnd w:id="65"/>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★1.设备、配件、工具均采用防潮、防震、防水、防静电专用包装箱包装，内部用缓冲材料固定牢固，防止运输过程中磕碰、损坏，适配长途运输及野外装卸。</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2.设备机身配备永久性防锈金属铭牌，标注产品型号、规格参数、制造商名称、生产日期、防护等级、出厂编号、电力安全警示、防火标识、售后服务电话等信息。</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3.包装箱外侧标注设备名称、型号、重量、尺寸、起吊点、防潮/防震/易碎标识、收货单位、收货地址等信息，标注清晰、牢固。</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4.随箱附带全套技术资料、产品合格证、出厂检验报告、保修卡、电力安全操作手册、配件清单，单独密封包装，置于包装箱醒目位置。</w:t>
      </w:r>
    </w:p>
    <w:p>
      <w:pPr>
        <w:spacing w:before="320" w:after="120" w:line="288" w:lineRule="auto"/>
        <w:ind w:left="0"/>
        <w:jc w:val="left"/>
        <w:outlineLvl w:val="1"/>
        <w:rPr>
          <w:color w:val="auto"/>
          <w:highlight w:val="none"/>
        </w:rPr>
      </w:pPr>
      <w:bookmarkStart w:id="66" w:name="_Toc1369076748"/>
      <w:bookmarkStart w:id="67" w:name="heading_35"/>
      <w:r>
        <w:rPr>
          <w:rFonts w:ascii="Arial" w:hAnsi="Arial" w:eastAsia="等线" w:cs="Arial"/>
          <w:b/>
          <w:color w:val="auto"/>
          <w:sz w:val="32"/>
          <w:highlight w:val="none"/>
        </w:rPr>
        <w:t>6.3运输要求</w:t>
      </w:r>
      <w:bookmarkEnd w:id="66"/>
      <w:bookmarkEnd w:id="67"/>
    </w:p>
    <w:p>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投标方负责设备从生产厂家至招标方指定交货地点的全程运输，承担运输过程中的所有费用、风险（含磕碰、损坏、丢失等）。</w:t>
      </w:r>
    </w:p>
    <w:p>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支持自动装卸或铝制爬梯、吊装、叉车多种装卸方式，适配轻卡运输，运输过程中避免剧烈振动、雨淋、暴晒、挤压，符合电力应急运输规范。</w:t>
      </w:r>
    </w:p>
    <w:p>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投标方需提前制定详细运输方案，报备招标方确认，运输过程中接受招标方跟踪查询，按招标方要求按时交货。</w:t>
      </w:r>
    </w:p>
    <w:p>
      <w:pPr>
        <w:keepNext w:val="0"/>
        <w:keepLines w:val="0"/>
        <w:pageBreakBefore w:val="0"/>
        <w:widowControl w:val="0"/>
        <w:numPr>
          <w:ilvl w:val="0"/>
          <w:numId w:val="8"/>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设备到货时，投标方需提供运输单据、货运保险单据（若有），供招标方查验。</w:t>
      </w:r>
    </w:p>
    <w:p>
      <w:pPr>
        <w:spacing w:before="320" w:after="120" w:line="288" w:lineRule="auto"/>
        <w:ind w:left="0"/>
        <w:jc w:val="left"/>
        <w:outlineLvl w:val="1"/>
        <w:rPr>
          <w:color w:val="auto"/>
          <w:highlight w:val="none"/>
        </w:rPr>
      </w:pPr>
      <w:bookmarkStart w:id="68" w:name="heading_36"/>
      <w:bookmarkStart w:id="69" w:name="_Toc1933109678"/>
      <w:r>
        <w:rPr>
          <w:rFonts w:ascii="Arial" w:hAnsi="Arial" w:eastAsia="等线" w:cs="Arial"/>
          <w:b/>
          <w:color w:val="auto"/>
          <w:sz w:val="32"/>
          <w:highlight w:val="none"/>
        </w:rPr>
        <w:t>6.4贮存要求</w:t>
      </w:r>
      <w:bookmarkEnd w:id="68"/>
      <w:bookmarkEnd w:id="69"/>
    </w:p>
    <w:p>
      <w:pPr>
        <w:keepNext w:val="0"/>
        <w:keepLines w:val="0"/>
        <w:pageBreakBefore w:val="0"/>
        <w:widowControl w:val="0"/>
        <w:numPr>
          <w:ilvl w:val="0"/>
          <w:numId w:val="9"/>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投标方需提供设备详细贮存要求，指导招标方进行设备贮存。</w:t>
      </w:r>
    </w:p>
    <w:p>
      <w:pPr>
        <w:keepNext w:val="0"/>
        <w:keepLines w:val="0"/>
        <w:pageBreakBefore w:val="0"/>
        <w:widowControl w:val="0"/>
        <w:numPr>
          <w:ilvl w:val="0"/>
          <w:numId w:val="9"/>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设备贮存需满足本规范书3.1章节的存储温度要求，存放于干燥、通风、无腐蚀性介质、无强电磁干扰的环境中。</w:t>
      </w:r>
    </w:p>
    <w:p>
      <w:pPr>
        <w:keepNext w:val="0"/>
        <w:keepLines w:val="0"/>
        <w:pageBreakBefore w:val="0"/>
        <w:widowControl w:val="0"/>
        <w:numPr>
          <w:ilvl w:val="0"/>
          <w:numId w:val="9"/>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备品备件、电池等需单独贮存，按要求进行防潮、防过充保护。</w:t>
      </w:r>
    </w:p>
    <w:p>
      <w:pPr>
        <w:spacing w:before="380" w:after="140" w:line="288" w:lineRule="auto"/>
        <w:ind w:left="0"/>
        <w:jc w:val="left"/>
        <w:outlineLvl w:val="0"/>
        <w:rPr>
          <w:color w:val="auto"/>
          <w:highlight w:val="none"/>
        </w:rPr>
      </w:pPr>
      <w:bookmarkStart w:id="70" w:name="_Toc494262683"/>
      <w:bookmarkStart w:id="71" w:name="heading_37"/>
      <w:r>
        <w:rPr>
          <w:rFonts w:ascii="Arial" w:hAnsi="Arial" w:eastAsia="等线" w:cs="Arial"/>
          <w:b/>
          <w:color w:val="auto"/>
          <w:sz w:val="36"/>
          <w:highlight w:val="none"/>
        </w:rPr>
        <w:t>7质量保证与售后服务</w:t>
      </w:r>
      <w:bookmarkEnd w:id="70"/>
      <w:bookmarkEnd w:id="71"/>
    </w:p>
    <w:p>
      <w:pPr>
        <w:spacing w:before="320" w:after="120" w:line="288" w:lineRule="auto"/>
        <w:ind w:left="0"/>
        <w:jc w:val="left"/>
        <w:outlineLvl w:val="1"/>
        <w:rPr>
          <w:color w:val="auto"/>
          <w:highlight w:val="none"/>
        </w:rPr>
      </w:pPr>
      <w:bookmarkStart w:id="72" w:name="heading_38"/>
      <w:bookmarkStart w:id="73" w:name="_Toc606166585"/>
      <w:r>
        <w:rPr>
          <w:rFonts w:ascii="Arial" w:hAnsi="Arial" w:eastAsia="等线" w:cs="Arial"/>
          <w:b/>
          <w:color w:val="auto"/>
          <w:sz w:val="32"/>
          <w:highlight w:val="none"/>
        </w:rPr>
        <w:t>7.1质量保证要求</w:t>
      </w:r>
      <w:bookmarkEnd w:id="72"/>
      <w:bookmarkEnd w:id="73"/>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★1.质保期：设备自现场验收合格之日起，整机质保期≥36个月，核心动力部件（发动机）、液压部件（液压泵、马达、管路等）质保期≥18个月。</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2.质保期内，设备因设计、制造、材质等非人为因素出现的质量问题，投标方需免费维修、免费更换配件，承担所有维修、更换费用及往返运输费用。</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3.投标方需承诺设备平均无故障工作时间（MTBF）≥500小时，质保期内若设备故障频次超出约定，招标方有权要求无条件更换设备。</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4.投标方需提供终身技术支持，质保期结束后，按成本价提供备品备件、维修服务，无任何附加费用。</w:t>
      </w:r>
    </w:p>
    <w:p>
      <w:pPr>
        <w:spacing w:before="320" w:after="120" w:line="288" w:lineRule="auto"/>
        <w:ind w:left="0"/>
        <w:jc w:val="left"/>
        <w:outlineLvl w:val="1"/>
        <w:rPr>
          <w:color w:val="auto"/>
          <w:highlight w:val="none"/>
        </w:rPr>
      </w:pPr>
      <w:bookmarkStart w:id="74" w:name="heading_39"/>
      <w:bookmarkStart w:id="75" w:name="_Toc179372727"/>
      <w:r>
        <w:rPr>
          <w:rFonts w:ascii="Arial" w:hAnsi="Arial" w:eastAsia="等线" w:cs="Arial"/>
          <w:b/>
          <w:color w:val="auto"/>
          <w:sz w:val="32"/>
          <w:highlight w:val="none"/>
        </w:rPr>
        <w:t>7.2售后服务要求</w:t>
      </w:r>
      <w:bookmarkEnd w:id="74"/>
      <w:bookmarkEnd w:id="75"/>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★1.响应时限：接到招标方故障报修后，6小时内完成技术响应（电话、视频指导），12小时内派技术人员到达现场解决问题（偏远地区不超过24小时）；</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2.现场服务：技术人员到达现场后，需在最短时间内排除故障，确保设备恢复正常使用，若无法当场解决，需提供备用设备或临时解决方案，保障电网防汛作业不受影响；</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3.定期回访：质保期内，每月对设备使用情况进行一次电话回访，每季度进行一次现场巡检，及时发现并解决潜在问题，巡检结果书面反馈招标方；</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4.售后档案：为每台设备建立专属售后服务档案，记录设备验收、使用、故障、维修、巡检等所有信息，全程跟踪设备运维状态，档案长期保存；</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5.备件供应：投标方需在国内设立备品备件仓库，确保本项目设备的备品备件及时供应，备件供货周期≤7个工作日。</w:t>
      </w:r>
    </w:p>
    <w:p>
      <w:pPr>
        <w:spacing w:before="380" w:after="140" w:line="288" w:lineRule="auto"/>
        <w:ind w:left="0"/>
        <w:jc w:val="left"/>
        <w:outlineLvl w:val="0"/>
        <w:rPr>
          <w:color w:val="auto"/>
          <w:highlight w:val="none"/>
        </w:rPr>
      </w:pPr>
      <w:bookmarkStart w:id="76" w:name="_Toc1797865948"/>
      <w:bookmarkStart w:id="77" w:name="heading_40"/>
      <w:r>
        <w:rPr>
          <w:rFonts w:ascii="Arial" w:hAnsi="Arial" w:eastAsia="等线" w:cs="Arial"/>
          <w:b/>
          <w:color w:val="auto"/>
          <w:sz w:val="36"/>
          <w:highlight w:val="none"/>
        </w:rPr>
        <w:t>8招标方与投标方职责</w:t>
      </w:r>
      <w:bookmarkEnd w:id="76"/>
      <w:bookmarkEnd w:id="77"/>
    </w:p>
    <w:p>
      <w:pPr>
        <w:spacing w:before="320" w:after="120" w:line="288" w:lineRule="auto"/>
        <w:ind w:left="0"/>
        <w:jc w:val="left"/>
        <w:outlineLvl w:val="1"/>
        <w:rPr>
          <w:color w:val="auto"/>
          <w:highlight w:val="none"/>
        </w:rPr>
      </w:pPr>
      <w:bookmarkStart w:id="78" w:name="_Toc1638074746"/>
      <w:bookmarkStart w:id="79" w:name="heading_41"/>
      <w:r>
        <w:rPr>
          <w:rFonts w:ascii="Arial" w:hAnsi="Arial" w:eastAsia="等线" w:cs="Arial"/>
          <w:b/>
          <w:color w:val="auto"/>
          <w:sz w:val="32"/>
          <w:highlight w:val="none"/>
        </w:rPr>
        <w:t>8.1招标方职责</w:t>
      </w:r>
      <w:bookmarkEnd w:id="78"/>
      <w:bookmarkEnd w:id="79"/>
    </w:p>
    <w:p>
      <w:pPr>
        <w:keepNext w:val="0"/>
        <w:keepLines w:val="0"/>
        <w:pageBreakBefore w:val="0"/>
        <w:widowControl w:val="0"/>
        <w:numPr>
          <w:ilvl w:val="0"/>
          <w:numId w:val="10"/>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向投标方提供设备作业场景、技术需求、场地条件等基础资料；</w:t>
      </w:r>
    </w:p>
    <w:p>
      <w:pPr>
        <w:keepNext w:val="0"/>
        <w:keepLines w:val="0"/>
        <w:pageBreakBefore w:val="0"/>
        <w:widowControl w:val="0"/>
        <w:numPr>
          <w:ilvl w:val="0"/>
          <w:numId w:val="10"/>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配合投标方完成设备开箱检验、现场调试、验收、技术培训等工作，提供必要的现场条件；</w:t>
      </w:r>
    </w:p>
    <w:p>
      <w:pPr>
        <w:keepNext w:val="0"/>
        <w:keepLines w:val="0"/>
        <w:pageBreakBefore w:val="0"/>
        <w:widowControl w:val="0"/>
        <w:numPr>
          <w:ilvl w:val="0"/>
          <w:numId w:val="10"/>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按项目合同约定履行付款、验收等流程，及时反馈设备使用过程中的问题；</w:t>
      </w:r>
    </w:p>
    <w:p>
      <w:pPr>
        <w:keepNext w:val="0"/>
        <w:keepLines w:val="0"/>
        <w:pageBreakBefore w:val="0"/>
        <w:widowControl w:val="0"/>
        <w:numPr>
          <w:ilvl w:val="0"/>
          <w:numId w:val="10"/>
        </w:numPr>
        <w:kinsoku/>
        <w:wordWrap/>
        <w:overflowPunct/>
        <w:topLinePunct w:val="0"/>
        <w:autoSpaceDE/>
        <w:autoSpaceDN/>
        <w:bidi w:val="0"/>
        <w:adjustRightInd/>
        <w:snapToGrid/>
        <w:spacing w:before="120" w:after="120" w:line="288" w:lineRule="auto"/>
        <w:ind w:left="425" w:leftChars="0" w:hanging="425"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按本规范书及投标方指导要求进行设备的日常使用、贮存、维护。</w:t>
      </w:r>
    </w:p>
    <w:p>
      <w:pPr>
        <w:spacing w:before="320" w:after="120" w:line="288" w:lineRule="auto"/>
        <w:ind w:left="0"/>
        <w:jc w:val="left"/>
        <w:outlineLvl w:val="1"/>
        <w:rPr>
          <w:color w:val="auto"/>
          <w:highlight w:val="none"/>
        </w:rPr>
      </w:pPr>
      <w:bookmarkStart w:id="80" w:name="heading_42"/>
      <w:bookmarkStart w:id="81" w:name="_Toc381901482"/>
      <w:r>
        <w:rPr>
          <w:rFonts w:ascii="Arial" w:hAnsi="Arial" w:eastAsia="等线" w:cs="Arial"/>
          <w:b/>
          <w:color w:val="auto"/>
          <w:sz w:val="32"/>
          <w:highlight w:val="none"/>
        </w:rPr>
        <w:t>8.2投标方职责</w:t>
      </w:r>
      <w:bookmarkEnd w:id="80"/>
      <w:bookmarkEnd w:id="81"/>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★1.严格按照本规范书、投标文件、项目合同要求进行设备的设计、生产、供货，</w:t>
      </w:r>
      <w:r>
        <w:rPr>
          <w:rFonts w:ascii="Arial" w:hAnsi="Arial" w:eastAsia="等线" w:cs="Arial"/>
          <w:color w:val="auto"/>
          <w:sz w:val="22"/>
          <w:highlight w:val="none"/>
        </w:rPr>
        <w:t>保证</w:t>
      </w:r>
      <w:r>
        <w:rPr>
          <w:rFonts w:hint="eastAsia" w:ascii="Arial" w:hAnsi="Arial" w:eastAsia="等线" w:cs="Arial"/>
          <w:color w:val="auto"/>
          <w:sz w:val="24"/>
          <w:szCs w:val="24"/>
          <w:highlight w:val="none"/>
          <w:lang w:val="en-US" w:eastAsia="zh-CN"/>
        </w:rPr>
        <w:t>设备质量、规格、性能与投标文件一致，无任何偏离；</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2.向招标方提供完整的资质文件、型式试验报告、出厂检验报告、产品合格证、售后承诺等资料，配合招标方完成监造、开箱检验、现场验收等工作；</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3.负责设备的全程运输、现场安装调试、技术培训，承担相关费用，确保设备正常投入使用；</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4.按本规范书要求提供售后服务，及时解决设备使用过程中的所有质量问题，承担质保期内的所有相关费用；</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5.若设备出现质量问题、供货延迟、服务不到位等情况，承担由此给招标方造成的一切损失。</w:t>
      </w:r>
    </w:p>
    <w:p>
      <w:pPr>
        <w:spacing w:before="380" w:after="140" w:line="288" w:lineRule="auto"/>
        <w:ind w:left="0"/>
        <w:jc w:val="left"/>
        <w:outlineLvl w:val="0"/>
        <w:rPr>
          <w:color w:val="auto"/>
          <w:highlight w:val="none"/>
        </w:rPr>
      </w:pPr>
      <w:bookmarkStart w:id="82" w:name="heading_43"/>
      <w:bookmarkStart w:id="83" w:name="_Toc1937070738"/>
      <w:r>
        <w:rPr>
          <w:rFonts w:ascii="Arial" w:hAnsi="Arial" w:eastAsia="等线" w:cs="Arial"/>
          <w:b/>
          <w:color w:val="auto"/>
          <w:sz w:val="36"/>
          <w:highlight w:val="none"/>
        </w:rPr>
        <w:t>9设计联络、技术培训要求</w:t>
      </w:r>
      <w:bookmarkEnd w:id="82"/>
      <w:bookmarkEnd w:id="83"/>
    </w:p>
    <w:p>
      <w:pPr>
        <w:spacing w:before="320" w:after="120" w:line="288" w:lineRule="auto"/>
        <w:ind w:left="0"/>
        <w:jc w:val="left"/>
        <w:outlineLvl w:val="1"/>
        <w:rPr>
          <w:color w:val="auto"/>
          <w:highlight w:val="none"/>
        </w:rPr>
      </w:pPr>
      <w:bookmarkStart w:id="84" w:name="_Toc495805046"/>
      <w:bookmarkStart w:id="85" w:name="heading_44"/>
      <w:r>
        <w:rPr>
          <w:rFonts w:ascii="Arial" w:hAnsi="Arial" w:eastAsia="等线" w:cs="Arial"/>
          <w:b/>
          <w:color w:val="auto"/>
          <w:sz w:val="32"/>
          <w:highlight w:val="none"/>
        </w:rPr>
        <w:t>9.1设计联络会</w:t>
      </w:r>
      <w:bookmarkEnd w:id="84"/>
      <w:bookmarkEnd w:id="85"/>
    </w:p>
    <w:p>
      <w:pPr>
        <w:numPr>
          <w:ilvl w:val="0"/>
          <w:numId w:val="11"/>
        </w:numPr>
        <w:spacing w:before="120" w:after="120" w:line="288" w:lineRule="auto"/>
        <w:ind w:left="0"/>
        <w:jc w:val="left"/>
        <w:rPr>
          <w:color w:val="auto"/>
          <w:highlight w:val="none"/>
        </w:rPr>
      </w:pPr>
      <w:r>
        <w:rPr>
          <w:rFonts w:ascii="Arial" w:hAnsi="Arial" w:eastAsia="等线" w:cs="Arial"/>
          <w:color w:val="auto"/>
          <w:sz w:val="22"/>
          <w:highlight w:val="none"/>
        </w:rPr>
        <w:t>中标后7个工作日内，投标方需主动与招标方联系，根据项目需求召开</w:t>
      </w:r>
      <w:r>
        <w:rPr>
          <w:rFonts w:ascii="Arial" w:hAnsi="Arial" w:eastAsia="等线" w:cs="Arial"/>
          <w:b/>
          <w:color w:val="auto"/>
          <w:sz w:val="22"/>
          <w:highlight w:val="none"/>
        </w:rPr>
        <w:t>设计联络会</w:t>
      </w:r>
      <w:r>
        <w:rPr>
          <w:rFonts w:ascii="Arial" w:hAnsi="Arial" w:eastAsia="等线" w:cs="Arial"/>
          <w:color w:val="auto"/>
          <w:sz w:val="22"/>
          <w:highlight w:val="none"/>
        </w:rPr>
        <w:t>，确认设备技术细节、供货周期、运输方案、现场调试计划、技术培训计划等；</w:t>
      </w:r>
    </w:p>
    <w:p>
      <w:pPr>
        <w:numPr>
          <w:ilvl w:val="0"/>
          <w:numId w:val="12"/>
        </w:numPr>
        <w:spacing w:before="120" w:after="120" w:line="288" w:lineRule="auto"/>
        <w:ind w:left="0"/>
        <w:jc w:val="left"/>
        <w:rPr>
          <w:color w:val="auto"/>
          <w:highlight w:val="none"/>
        </w:rPr>
      </w:pPr>
      <w:r>
        <w:rPr>
          <w:rFonts w:ascii="Arial" w:hAnsi="Arial" w:eastAsia="等线" w:cs="Arial"/>
          <w:color w:val="auto"/>
          <w:sz w:val="22"/>
          <w:highlight w:val="none"/>
        </w:rPr>
        <w:t>设计联络会可采用现场或视频形式召开，投标方需提前准备会议资料，会后3个工作日内出具</w:t>
      </w:r>
      <w:r>
        <w:rPr>
          <w:rFonts w:ascii="Arial" w:hAnsi="Arial" w:eastAsia="等线" w:cs="Arial"/>
          <w:b/>
          <w:color w:val="auto"/>
          <w:sz w:val="22"/>
          <w:highlight w:val="none"/>
        </w:rPr>
        <w:t>设计联络会纪要</w:t>
      </w:r>
      <w:r>
        <w:rPr>
          <w:rFonts w:ascii="Arial" w:hAnsi="Arial" w:eastAsia="等线" w:cs="Arial"/>
          <w:color w:val="auto"/>
          <w:sz w:val="22"/>
          <w:highlight w:val="none"/>
        </w:rPr>
        <w:t>，经双方签字确认后作为项目合同的补充文件。</w:t>
      </w:r>
    </w:p>
    <w:p>
      <w:pPr>
        <w:spacing w:before="320" w:after="120" w:line="288" w:lineRule="auto"/>
        <w:ind w:left="0"/>
        <w:jc w:val="left"/>
        <w:outlineLvl w:val="1"/>
        <w:rPr>
          <w:color w:val="auto"/>
          <w:highlight w:val="none"/>
        </w:rPr>
      </w:pPr>
      <w:bookmarkStart w:id="86" w:name="heading_45"/>
      <w:bookmarkStart w:id="87" w:name="_Toc758857762"/>
      <w:r>
        <w:rPr>
          <w:rFonts w:ascii="Arial" w:hAnsi="Arial" w:eastAsia="等线" w:cs="Arial"/>
          <w:b/>
          <w:color w:val="auto"/>
          <w:sz w:val="32"/>
          <w:highlight w:val="none"/>
        </w:rPr>
        <w:t>9.2技术培训要求</w:t>
      </w:r>
      <w:bookmarkEnd w:id="86"/>
      <w:bookmarkEnd w:id="87"/>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★1.培训性质：投标方向招标方提供免费技术培训，承担培训过程中的所有费用（含师资、教材、场地、耗材等）。</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2.培训对象：招标方设备操作人员、维护人员、安全管理人员，培训人数由招标方确定。</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3.培训内容：包含设备工作原理、结构组成、操作规范、日常维护、故障排查、安全注意事项、应急处置流程等，确保培训人员能独立完成设备操作、日常维护、简单故障排查。</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培训形式：理论培训+现场实操培训相结合，理论培训不少于</w:t>
      </w:r>
      <w:r>
        <w:rPr>
          <w:rFonts w:hint="eastAsia" w:ascii="Arial" w:hAnsi="Arial" w:eastAsia="等线" w:cs="Arial"/>
          <w:color w:val="auto"/>
          <w:sz w:val="24"/>
          <w:szCs w:val="24"/>
          <w:highlight w:val="none"/>
          <w:u w:val="single"/>
          <w:lang w:val="en-US" w:eastAsia="zh-CN"/>
        </w:rPr>
        <w:t xml:space="preserve">  0.5  </w:t>
      </w:r>
      <w:r>
        <w:rPr>
          <w:rFonts w:hint="eastAsia" w:ascii="Arial" w:hAnsi="Arial" w:eastAsia="等线" w:cs="Arial"/>
          <w:color w:val="auto"/>
          <w:sz w:val="24"/>
          <w:szCs w:val="24"/>
          <w:highlight w:val="none"/>
          <w:lang w:val="en-US" w:eastAsia="zh-CN"/>
        </w:rPr>
        <w:t>天，实操培训不少于</w:t>
      </w:r>
      <w:r>
        <w:rPr>
          <w:rFonts w:hint="eastAsia" w:ascii="Arial" w:hAnsi="Arial" w:eastAsia="等线" w:cs="Arial"/>
          <w:color w:val="auto"/>
          <w:sz w:val="24"/>
          <w:szCs w:val="24"/>
          <w:highlight w:val="none"/>
          <w:u w:val="single"/>
          <w:lang w:val="en-US" w:eastAsia="zh-CN"/>
        </w:rPr>
        <w:t xml:space="preserve">  0.5  </w:t>
      </w:r>
      <w:r>
        <w:rPr>
          <w:rFonts w:hint="eastAsia" w:ascii="Arial" w:hAnsi="Arial" w:eastAsia="等线" w:cs="Arial"/>
          <w:color w:val="auto"/>
          <w:sz w:val="24"/>
          <w:szCs w:val="24"/>
          <w:highlight w:val="none"/>
          <w:lang w:val="en-US" w:eastAsia="zh-CN"/>
        </w:rPr>
        <w:t>天；</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培训考核：培训结束后，投标方需对培训人员进行考核，考核合格颁发培训合格证书，考核不合格的需免费重新培训，直至合格。</w:t>
      </w:r>
    </w:p>
    <w:p>
      <w:pPr>
        <w:spacing w:before="380" w:after="140" w:line="288" w:lineRule="auto"/>
        <w:ind w:left="0"/>
        <w:jc w:val="left"/>
        <w:outlineLvl w:val="0"/>
        <w:rPr>
          <w:color w:val="auto"/>
          <w:highlight w:val="none"/>
        </w:rPr>
      </w:pPr>
      <w:bookmarkStart w:id="88" w:name="_Toc217026401"/>
      <w:bookmarkStart w:id="89" w:name="heading_46"/>
      <w:r>
        <w:rPr>
          <w:rFonts w:ascii="Arial" w:hAnsi="Arial" w:eastAsia="等线" w:cs="Arial"/>
          <w:b/>
          <w:color w:val="auto"/>
          <w:sz w:val="36"/>
          <w:highlight w:val="none"/>
        </w:rPr>
        <w:t>10投标方资料提交要求</w:t>
      </w:r>
      <w:bookmarkEnd w:id="88"/>
      <w:bookmarkEnd w:id="89"/>
    </w:p>
    <w:p>
      <w:pPr>
        <w:spacing w:before="320" w:after="120" w:line="288" w:lineRule="auto"/>
        <w:ind w:left="0"/>
        <w:jc w:val="left"/>
        <w:outlineLvl w:val="1"/>
        <w:rPr>
          <w:color w:val="auto"/>
          <w:highlight w:val="none"/>
        </w:rPr>
      </w:pPr>
      <w:bookmarkStart w:id="90" w:name="heading_47"/>
      <w:bookmarkStart w:id="91" w:name="_Toc1135489001"/>
      <w:r>
        <w:rPr>
          <w:rFonts w:ascii="Arial" w:hAnsi="Arial" w:eastAsia="等线" w:cs="Arial"/>
          <w:b/>
          <w:color w:val="auto"/>
          <w:sz w:val="32"/>
          <w:highlight w:val="none"/>
        </w:rPr>
        <w:t>10.1资料提交时限</w:t>
      </w:r>
      <w:bookmarkEnd w:id="90"/>
      <w:bookmarkEnd w:id="91"/>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★1.最终技术资料：在合同谈判日或收到中标通知书后（以先到为准）</w:t>
      </w:r>
      <w:r>
        <w:rPr>
          <w:rFonts w:hint="eastAsia" w:ascii="Arial" w:hAnsi="Arial" w:eastAsia="等线" w:cs="Arial"/>
          <w:color w:val="auto"/>
          <w:sz w:val="24"/>
          <w:szCs w:val="24"/>
          <w:highlight w:val="none"/>
          <w:u w:val="single"/>
          <w:lang w:val="en-US" w:eastAsia="zh-CN"/>
        </w:rPr>
        <w:t xml:space="preserve">  3  </w:t>
      </w:r>
      <w:r>
        <w:rPr>
          <w:rFonts w:hint="eastAsia" w:ascii="Arial" w:hAnsi="Arial" w:eastAsia="等线" w:cs="Arial"/>
          <w:color w:val="auto"/>
          <w:sz w:val="24"/>
          <w:szCs w:val="24"/>
          <w:highlight w:val="none"/>
          <w:lang w:val="en-US" w:eastAsia="zh-CN"/>
        </w:rPr>
        <w:t>天内，向招标方提交全部最终技术资料，经招标方确认后不得更改；</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设计/运维资料：在技术协议签订后</w:t>
      </w:r>
      <w:r>
        <w:rPr>
          <w:rFonts w:hint="eastAsia" w:ascii="Arial" w:hAnsi="Arial" w:eastAsia="等线" w:cs="Arial"/>
          <w:color w:val="auto"/>
          <w:sz w:val="24"/>
          <w:szCs w:val="24"/>
          <w:highlight w:val="none"/>
          <w:u w:val="single"/>
          <w:lang w:val="en-US" w:eastAsia="zh-CN"/>
        </w:rPr>
        <w:t xml:space="preserve">  3  </w:t>
      </w:r>
      <w:r>
        <w:rPr>
          <w:rFonts w:hint="eastAsia" w:ascii="Arial" w:hAnsi="Arial" w:eastAsia="等线" w:cs="Arial"/>
          <w:color w:val="auto"/>
          <w:sz w:val="24"/>
          <w:szCs w:val="24"/>
          <w:highlight w:val="none"/>
          <w:lang w:val="en-US" w:eastAsia="zh-CN"/>
        </w:rPr>
        <w:t>天内，向招标方提供正式版的设计、监造、检验、现场安装调试、运行维护所需的图纸、说明书等技术资料，同时提供2份拷贝磁盘（图纸为AutoCADR2000版，文字资料为Word2013版）；</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所有资料均需提供纸质版（加盖投标方公章）+电子版（PDF可编辑版），纸质版不少于</w:t>
      </w:r>
      <w:r>
        <w:rPr>
          <w:rFonts w:hint="eastAsia" w:ascii="Arial" w:hAnsi="Arial" w:eastAsia="等线" w:cs="Arial"/>
          <w:color w:val="auto"/>
          <w:sz w:val="24"/>
          <w:szCs w:val="24"/>
          <w:highlight w:val="none"/>
          <w:u w:val="single"/>
          <w:lang w:val="en-US" w:eastAsia="zh-CN"/>
        </w:rPr>
        <w:t xml:space="preserve">  2  </w:t>
      </w:r>
      <w:r>
        <w:rPr>
          <w:rFonts w:hint="eastAsia" w:ascii="Arial" w:hAnsi="Arial" w:eastAsia="等线" w:cs="Arial"/>
          <w:color w:val="auto"/>
          <w:sz w:val="24"/>
          <w:szCs w:val="24"/>
          <w:highlight w:val="none"/>
          <w:lang w:val="en-US" w:eastAsia="zh-CN"/>
        </w:rPr>
        <w:t>份，电子版发送至招标方指定邮箱。</w:t>
      </w:r>
    </w:p>
    <w:p>
      <w:pPr>
        <w:spacing w:before="320" w:after="120" w:line="288" w:lineRule="auto"/>
        <w:ind w:left="0"/>
        <w:jc w:val="left"/>
        <w:outlineLvl w:val="1"/>
        <w:rPr>
          <w:color w:val="auto"/>
          <w:highlight w:val="none"/>
        </w:rPr>
      </w:pPr>
      <w:bookmarkStart w:id="92" w:name="heading_48"/>
      <w:bookmarkStart w:id="93" w:name="_Toc1623952565"/>
      <w:r>
        <w:rPr>
          <w:rFonts w:ascii="Arial" w:hAnsi="Arial" w:eastAsia="等线" w:cs="Arial"/>
          <w:b/>
          <w:color w:val="auto"/>
          <w:sz w:val="32"/>
          <w:highlight w:val="none"/>
        </w:rPr>
        <w:t>10.2主要设备/元器件来源说明</w:t>
      </w:r>
      <w:bookmarkEnd w:id="92"/>
      <w:bookmarkEnd w:id="93"/>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投标方需在投标文件中如实填写《主要设备/元器件来源一览表》（见下表），明确所有核心设备/元器件的型号、生产厂家、地址、联系方式，承诺所有元器件为原厂正品，无贴牌、仿冒产品，投标方需附生产厂家授权证明（若有）。</w:t>
      </w:r>
    </w:p>
    <w:tbl>
      <w:tblPr>
        <w:tblStyle w:val="22"/>
        <w:tblW w:w="9335"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762"/>
        <w:gridCol w:w="1623"/>
        <w:gridCol w:w="1049"/>
        <w:gridCol w:w="1145"/>
        <w:gridCol w:w="1145"/>
        <w:gridCol w:w="1145"/>
        <w:gridCol w:w="1145"/>
        <w:gridCol w:w="1321"/>
      </w:tblGrid>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70" w:hRule="atLeast"/>
          <w:jc w:val="center"/>
        </w:trPr>
        <w:tc>
          <w:tcPr>
            <w:tcW w:w="762"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序号</w:t>
            </w:r>
          </w:p>
        </w:tc>
        <w:tc>
          <w:tcPr>
            <w:tcW w:w="1623"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设备/元器件名称</w:t>
            </w:r>
          </w:p>
        </w:tc>
        <w:tc>
          <w:tcPr>
            <w:tcW w:w="104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型号规格</w:t>
            </w:r>
          </w:p>
        </w:tc>
        <w:tc>
          <w:tcPr>
            <w:tcW w:w="11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生产厂家名称</w:t>
            </w:r>
          </w:p>
        </w:tc>
        <w:tc>
          <w:tcPr>
            <w:tcW w:w="11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生产厂家地址</w:t>
            </w:r>
          </w:p>
        </w:tc>
        <w:tc>
          <w:tcPr>
            <w:tcW w:w="11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生产厂家联系方式</w:t>
            </w:r>
          </w:p>
        </w:tc>
        <w:tc>
          <w:tcPr>
            <w:tcW w:w="11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是否原厂正品</w:t>
            </w:r>
          </w:p>
        </w:tc>
        <w:tc>
          <w:tcPr>
            <w:tcW w:w="132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附授权证明（是/否）</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65" w:hRule="atLeast"/>
          <w:jc w:val="center"/>
        </w:trPr>
        <w:tc>
          <w:tcPr>
            <w:tcW w:w="762"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1</w:t>
            </w:r>
          </w:p>
        </w:tc>
        <w:tc>
          <w:tcPr>
            <w:tcW w:w="1623" w:type="dxa"/>
            <w:tcMar>
              <w:top w:w="60" w:type="dxa"/>
              <w:left w:w="120" w:type="dxa"/>
              <w:bottom w:w="30" w:type="dxa"/>
              <w:right w:w="120" w:type="dxa"/>
            </w:tcMar>
            <w:vAlign w:val="center"/>
          </w:tcPr>
          <w:p>
            <w:pPr>
              <w:spacing w:before="120" w:after="120" w:line="288" w:lineRule="auto"/>
              <w:ind w:left="0"/>
              <w:jc w:val="center"/>
              <w:rPr>
                <w:rFonts w:hint="eastAsia" w:eastAsia="宋体"/>
                <w:color w:val="auto"/>
                <w:highlight w:val="none"/>
                <w:lang w:val="en-US" w:eastAsia="zh-CN"/>
              </w:rPr>
            </w:pPr>
            <w:r>
              <w:rPr>
                <w:rFonts w:hint="eastAsia"/>
                <w:color w:val="auto"/>
                <w:highlight w:val="none"/>
                <w:lang w:val="en-US" w:eastAsia="zh-CN"/>
              </w:rPr>
              <w:t>水泵</w:t>
            </w:r>
          </w:p>
        </w:tc>
        <w:tc>
          <w:tcPr>
            <w:tcW w:w="1049"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321" w:type="dxa"/>
            <w:tcMar>
              <w:top w:w="60" w:type="dxa"/>
              <w:left w:w="120" w:type="dxa"/>
              <w:bottom w:w="30" w:type="dxa"/>
              <w:right w:w="120" w:type="dxa"/>
            </w:tcMar>
            <w:vAlign w:val="center"/>
          </w:tcPr>
          <w:p>
            <w:pPr>
              <w:jc w:val="center"/>
              <w:rPr>
                <w:color w:val="auto"/>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65" w:hRule="atLeast"/>
          <w:jc w:val="center"/>
        </w:trPr>
        <w:tc>
          <w:tcPr>
            <w:tcW w:w="762"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2</w:t>
            </w:r>
          </w:p>
        </w:tc>
        <w:tc>
          <w:tcPr>
            <w:tcW w:w="1623" w:type="dxa"/>
            <w:shd w:val="clear" w:color="auto" w:fill="auto"/>
            <w:tcMar>
              <w:top w:w="60" w:type="dxa"/>
              <w:left w:w="120" w:type="dxa"/>
              <w:bottom w:w="30" w:type="dxa"/>
              <w:right w:w="120" w:type="dxa"/>
            </w:tcMar>
            <w:vAlign w:val="center"/>
          </w:tcPr>
          <w:p>
            <w:pPr>
              <w:spacing w:before="120" w:after="120" w:line="288" w:lineRule="auto"/>
              <w:ind w:left="0" w:leftChars="0"/>
              <w:jc w:val="center"/>
              <w:rPr>
                <w:rFonts w:ascii="Times New Roman" w:hAnsi="Times New Roman" w:eastAsia="宋体" w:cs="Times New Roman"/>
                <w:color w:val="auto"/>
                <w:kern w:val="2"/>
                <w:sz w:val="21"/>
                <w:szCs w:val="24"/>
                <w:highlight w:val="none"/>
                <w:lang w:val="en-US" w:eastAsia="zh-CN" w:bidi="ar-SA"/>
              </w:rPr>
            </w:pPr>
            <w:r>
              <w:rPr>
                <w:rFonts w:ascii="Arial" w:hAnsi="Arial" w:eastAsia="等线" w:cs="Arial"/>
                <w:color w:val="auto"/>
                <w:sz w:val="22"/>
                <w:highlight w:val="none"/>
              </w:rPr>
              <w:t>铅酸电池</w:t>
            </w:r>
          </w:p>
        </w:tc>
        <w:tc>
          <w:tcPr>
            <w:tcW w:w="1049"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321" w:type="dxa"/>
            <w:tcMar>
              <w:top w:w="60" w:type="dxa"/>
              <w:left w:w="120" w:type="dxa"/>
              <w:bottom w:w="30" w:type="dxa"/>
              <w:right w:w="120" w:type="dxa"/>
            </w:tcMar>
            <w:vAlign w:val="center"/>
          </w:tcPr>
          <w:p>
            <w:pPr>
              <w:jc w:val="center"/>
              <w:rPr>
                <w:color w:val="auto"/>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819" w:hRule="atLeast"/>
          <w:jc w:val="center"/>
        </w:trPr>
        <w:tc>
          <w:tcPr>
            <w:tcW w:w="762"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3</w:t>
            </w:r>
          </w:p>
        </w:tc>
        <w:tc>
          <w:tcPr>
            <w:tcW w:w="1623" w:type="dxa"/>
            <w:shd w:val="clear" w:color="auto" w:fill="auto"/>
            <w:tcMar>
              <w:top w:w="60" w:type="dxa"/>
              <w:left w:w="120" w:type="dxa"/>
              <w:bottom w:w="30" w:type="dxa"/>
              <w:right w:w="120" w:type="dxa"/>
            </w:tcMar>
            <w:vAlign w:val="center"/>
          </w:tcPr>
          <w:p>
            <w:pPr>
              <w:spacing w:before="120" w:after="120" w:line="288" w:lineRule="auto"/>
              <w:ind w:left="0" w:leftChars="0"/>
              <w:jc w:val="center"/>
              <w:rPr>
                <w:rFonts w:ascii="Times New Roman" w:hAnsi="Times New Roman" w:eastAsia="宋体" w:cs="Times New Roman"/>
                <w:color w:val="auto"/>
                <w:kern w:val="2"/>
                <w:sz w:val="21"/>
                <w:szCs w:val="24"/>
                <w:highlight w:val="none"/>
                <w:lang w:val="en-US" w:eastAsia="zh-CN" w:bidi="ar-SA"/>
              </w:rPr>
            </w:pPr>
            <w:r>
              <w:rPr>
                <w:rFonts w:ascii="Arial" w:hAnsi="Arial" w:eastAsia="等线" w:cs="Arial"/>
                <w:color w:val="auto"/>
                <w:sz w:val="22"/>
                <w:highlight w:val="none"/>
              </w:rPr>
              <w:t>LED照明灯具</w:t>
            </w:r>
          </w:p>
        </w:tc>
        <w:tc>
          <w:tcPr>
            <w:tcW w:w="1049"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321" w:type="dxa"/>
            <w:tcMar>
              <w:top w:w="60" w:type="dxa"/>
              <w:left w:w="120" w:type="dxa"/>
              <w:bottom w:w="30" w:type="dxa"/>
              <w:right w:w="120" w:type="dxa"/>
            </w:tcMar>
            <w:vAlign w:val="center"/>
          </w:tcPr>
          <w:p>
            <w:pPr>
              <w:jc w:val="center"/>
              <w:rPr>
                <w:color w:val="auto"/>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819" w:hRule="atLeast"/>
          <w:jc w:val="center"/>
        </w:trPr>
        <w:tc>
          <w:tcPr>
            <w:tcW w:w="762"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4</w:t>
            </w:r>
          </w:p>
        </w:tc>
        <w:tc>
          <w:tcPr>
            <w:tcW w:w="1623" w:type="dxa"/>
            <w:shd w:val="clear" w:color="auto" w:fill="auto"/>
            <w:tcMar>
              <w:top w:w="60" w:type="dxa"/>
              <w:left w:w="120" w:type="dxa"/>
              <w:bottom w:w="30" w:type="dxa"/>
              <w:right w:w="120" w:type="dxa"/>
            </w:tcMar>
            <w:vAlign w:val="center"/>
          </w:tcPr>
          <w:p>
            <w:pPr>
              <w:spacing w:before="120" w:after="120" w:line="288" w:lineRule="auto"/>
              <w:ind w:left="0" w:leftChars="0"/>
              <w:jc w:val="center"/>
              <w:rPr>
                <w:rFonts w:ascii="Times New Roman" w:hAnsi="Times New Roman" w:eastAsia="宋体" w:cs="Times New Roman"/>
                <w:color w:val="auto"/>
                <w:kern w:val="2"/>
                <w:sz w:val="21"/>
                <w:szCs w:val="24"/>
                <w:highlight w:val="none"/>
                <w:lang w:val="en-US" w:eastAsia="zh-CN" w:bidi="ar-SA"/>
              </w:rPr>
            </w:pPr>
            <w:r>
              <w:rPr>
                <w:rFonts w:ascii="Arial" w:hAnsi="Arial" w:eastAsia="等线" w:cs="Arial"/>
                <w:color w:val="auto"/>
                <w:sz w:val="22"/>
                <w:highlight w:val="none"/>
              </w:rPr>
              <w:t>【其他核心元器件】</w:t>
            </w:r>
          </w:p>
        </w:tc>
        <w:tc>
          <w:tcPr>
            <w:tcW w:w="1049"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145" w:type="dxa"/>
            <w:tcMar>
              <w:top w:w="60" w:type="dxa"/>
              <w:left w:w="120" w:type="dxa"/>
              <w:bottom w:w="30" w:type="dxa"/>
              <w:right w:w="120" w:type="dxa"/>
            </w:tcMar>
            <w:vAlign w:val="center"/>
          </w:tcPr>
          <w:p>
            <w:pPr>
              <w:jc w:val="center"/>
              <w:rPr>
                <w:color w:val="auto"/>
                <w:highlight w:val="none"/>
              </w:rPr>
            </w:pPr>
          </w:p>
        </w:tc>
        <w:tc>
          <w:tcPr>
            <w:tcW w:w="1321" w:type="dxa"/>
            <w:tcMar>
              <w:top w:w="60" w:type="dxa"/>
              <w:left w:w="120" w:type="dxa"/>
              <w:bottom w:w="30" w:type="dxa"/>
              <w:right w:w="120" w:type="dxa"/>
            </w:tcMar>
            <w:vAlign w:val="center"/>
          </w:tcPr>
          <w:p>
            <w:pPr>
              <w:jc w:val="center"/>
              <w:rPr>
                <w:color w:val="auto"/>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34" w:hRule="atLeast"/>
          <w:jc w:val="center"/>
        </w:trPr>
        <w:tc>
          <w:tcPr>
            <w:tcW w:w="762"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623"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04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1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1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1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1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32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r>
    </w:tbl>
    <w:p>
      <w:pPr>
        <w:spacing w:before="320" w:after="120" w:line="288" w:lineRule="auto"/>
        <w:ind w:left="0"/>
        <w:jc w:val="left"/>
        <w:outlineLvl w:val="1"/>
        <w:rPr>
          <w:color w:val="auto"/>
          <w:highlight w:val="none"/>
        </w:rPr>
      </w:pPr>
      <w:bookmarkStart w:id="94" w:name="_Toc1401090232"/>
      <w:bookmarkStart w:id="95" w:name="heading_49"/>
      <w:r>
        <w:rPr>
          <w:rFonts w:ascii="Arial" w:hAnsi="Arial" w:eastAsia="等线" w:cs="Arial"/>
          <w:b/>
          <w:color w:val="auto"/>
          <w:sz w:val="32"/>
          <w:highlight w:val="none"/>
        </w:rPr>
        <w:t>10.3备品备件及专用工具提交要求</w:t>
      </w:r>
      <w:bookmarkEnd w:id="94"/>
      <w:bookmarkEnd w:id="95"/>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1.投标方需在投标文件中如实填写《备品备件、专用工具和仪器仪表供货表》（见下表），明确所有备品备件、专用工具、仪器仪表的名称、型号规格、单位、数量、使用处、制造商，承诺所有物品为新品，与设备同型号、同工艺；</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2.供货表需与实际供货清单一致，不得缺项、错配，招标方现场验收按此表核对。</w:t>
      </w:r>
    </w:p>
    <w:tbl>
      <w:tblPr>
        <w:tblStyle w:val="22"/>
        <w:tblW w:w="9056" w:type="dxa"/>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773"/>
        <w:gridCol w:w="1491"/>
        <w:gridCol w:w="1405"/>
        <w:gridCol w:w="1008"/>
        <w:gridCol w:w="1068"/>
        <w:gridCol w:w="1047"/>
        <w:gridCol w:w="969"/>
        <w:gridCol w:w="1295"/>
      </w:tblGrid>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77" w:hRule="atLeast"/>
        </w:trPr>
        <w:tc>
          <w:tcPr>
            <w:tcW w:w="773"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序号</w:t>
            </w:r>
          </w:p>
        </w:tc>
        <w:tc>
          <w:tcPr>
            <w:tcW w:w="149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名称</w:t>
            </w:r>
          </w:p>
        </w:tc>
        <w:tc>
          <w:tcPr>
            <w:tcW w:w="140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型号及规格</w:t>
            </w:r>
          </w:p>
        </w:tc>
        <w:tc>
          <w:tcPr>
            <w:tcW w:w="1008"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单位</w:t>
            </w:r>
          </w:p>
        </w:tc>
        <w:tc>
          <w:tcPr>
            <w:tcW w:w="1068"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数量</w:t>
            </w:r>
          </w:p>
        </w:tc>
        <w:tc>
          <w:tcPr>
            <w:tcW w:w="1047"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使用处</w:t>
            </w:r>
          </w:p>
        </w:tc>
        <w:tc>
          <w:tcPr>
            <w:tcW w:w="96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制造商</w:t>
            </w:r>
          </w:p>
        </w:tc>
        <w:tc>
          <w:tcPr>
            <w:tcW w:w="129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备注（是否易损/易耗）</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431" w:hRule="atLeast"/>
        </w:trPr>
        <w:tc>
          <w:tcPr>
            <w:tcW w:w="773"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1</w:t>
            </w:r>
          </w:p>
        </w:tc>
        <w:tc>
          <w:tcPr>
            <w:tcW w:w="1491" w:type="dxa"/>
            <w:tcMar>
              <w:top w:w="60" w:type="dxa"/>
              <w:left w:w="120" w:type="dxa"/>
              <w:bottom w:w="30" w:type="dxa"/>
              <w:right w:w="120" w:type="dxa"/>
            </w:tcMar>
            <w:vAlign w:val="center"/>
          </w:tcPr>
          <w:p>
            <w:pPr>
              <w:spacing w:before="120" w:after="120" w:line="288" w:lineRule="auto"/>
              <w:ind w:left="0"/>
              <w:jc w:val="both"/>
              <w:rPr>
                <w:color w:val="auto"/>
                <w:highlight w:val="none"/>
              </w:rPr>
            </w:pPr>
            <w:r>
              <w:rPr>
                <w:rFonts w:ascii="Arial" w:hAnsi="Arial" w:eastAsia="等线" w:cs="Arial"/>
                <w:color w:val="auto"/>
                <w:sz w:val="22"/>
                <w:highlight w:val="none"/>
              </w:rPr>
              <w:t>【备品备件】</w:t>
            </w:r>
          </w:p>
        </w:tc>
        <w:tc>
          <w:tcPr>
            <w:tcW w:w="1405" w:type="dxa"/>
            <w:tcMar>
              <w:top w:w="60" w:type="dxa"/>
              <w:left w:w="120" w:type="dxa"/>
              <w:bottom w:w="30" w:type="dxa"/>
              <w:right w:w="120" w:type="dxa"/>
            </w:tcMar>
            <w:vAlign w:val="center"/>
          </w:tcPr>
          <w:p>
            <w:pPr>
              <w:jc w:val="center"/>
              <w:rPr>
                <w:color w:val="auto"/>
                <w:highlight w:val="none"/>
              </w:rPr>
            </w:pPr>
          </w:p>
        </w:tc>
        <w:tc>
          <w:tcPr>
            <w:tcW w:w="1008" w:type="dxa"/>
            <w:tcMar>
              <w:top w:w="60" w:type="dxa"/>
              <w:left w:w="120" w:type="dxa"/>
              <w:bottom w:w="30" w:type="dxa"/>
              <w:right w:w="120" w:type="dxa"/>
            </w:tcMar>
            <w:vAlign w:val="center"/>
          </w:tcPr>
          <w:p>
            <w:pPr>
              <w:jc w:val="center"/>
              <w:rPr>
                <w:color w:val="auto"/>
                <w:highlight w:val="none"/>
              </w:rPr>
            </w:pPr>
          </w:p>
        </w:tc>
        <w:tc>
          <w:tcPr>
            <w:tcW w:w="1068" w:type="dxa"/>
            <w:tcMar>
              <w:top w:w="60" w:type="dxa"/>
              <w:left w:w="120" w:type="dxa"/>
              <w:bottom w:w="30" w:type="dxa"/>
              <w:right w:w="120" w:type="dxa"/>
            </w:tcMar>
            <w:vAlign w:val="center"/>
          </w:tcPr>
          <w:p>
            <w:pPr>
              <w:jc w:val="center"/>
              <w:rPr>
                <w:color w:val="auto"/>
                <w:highlight w:val="none"/>
              </w:rPr>
            </w:pPr>
          </w:p>
        </w:tc>
        <w:tc>
          <w:tcPr>
            <w:tcW w:w="1047" w:type="dxa"/>
            <w:tcMar>
              <w:top w:w="60" w:type="dxa"/>
              <w:left w:w="120" w:type="dxa"/>
              <w:bottom w:w="30" w:type="dxa"/>
              <w:right w:w="120" w:type="dxa"/>
            </w:tcMar>
            <w:vAlign w:val="center"/>
          </w:tcPr>
          <w:p>
            <w:pPr>
              <w:jc w:val="center"/>
              <w:rPr>
                <w:color w:val="auto"/>
                <w:highlight w:val="none"/>
              </w:rPr>
            </w:pPr>
          </w:p>
        </w:tc>
        <w:tc>
          <w:tcPr>
            <w:tcW w:w="969" w:type="dxa"/>
            <w:tcMar>
              <w:top w:w="60" w:type="dxa"/>
              <w:left w:w="120" w:type="dxa"/>
              <w:bottom w:w="30" w:type="dxa"/>
              <w:right w:w="120" w:type="dxa"/>
            </w:tcMar>
            <w:vAlign w:val="center"/>
          </w:tcPr>
          <w:p>
            <w:pPr>
              <w:jc w:val="center"/>
              <w:rPr>
                <w:color w:val="auto"/>
                <w:highlight w:val="none"/>
              </w:rPr>
            </w:pPr>
          </w:p>
        </w:tc>
        <w:tc>
          <w:tcPr>
            <w:tcW w:w="1295" w:type="dxa"/>
            <w:tcMar>
              <w:top w:w="60" w:type="dxa"/>
              <w:left w:w="120" w:type="dxa"/>
              <w:bottom w:w="30" w:type="dxa"/>
              <w:right w:w="120" w:type="dxa"/>
            </w:tcMar>
            <w:vAlign w:val="center"/>
          </w:tcPr>
          <w:p>
            <w:pPr>
              <w:jc w:val="center"/>
              <w:rPr>
                <w:color w:val="auto"/>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431" w:hRule="atLeast"/>
        </w:trPr>
        <w:tc>
          <w:tcPr>
            <w:tcW w:w="773"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2</w:t>
            </w:r>
          </w:p>
        </w:tc>
        <w:tc>
          <w:tcPr>
            <w:tcW w:w="1491" w:type="dxa"/>
            <w:tcMar>
              <w:top w:w="60" w:type="dxa"/>
              <w:left w:w="120" w:type="dxa"/>
              <w:bottom w:w="30" w:type="dxa"/>
              <w:right w:w="120" w:type="dxa"/>
            </w:tcMar>
            <w:vAlign w:val="center"/>
          </w:tcPr>
          <w:p>
            <w:pPr>
              <w:spacing w:before="120" w:after="120" w:line="288" w:lineRule="auto"/>
              <w:ind w:left="0"/>
              <w:jc w:val="both"/>
              <w:rPr>
                <w:color w:val="auto"/>
                <w:highlight w:val="none"/>
              </w:rPr>
            </w:pPr>
            <w:r>
              <w:rPr>
                <w:rFonts w:ascii="Arial" w:hAnsi="Arial" w:eastAsia="等线" w:cs="Arial"/>
                <w:color w:val="auto"/>
                <w:sz w:val="22"/>
                <w:highlight w:val="none"/>
              </w:rPr>
              <w:t>【专用工具】</w:t>
            </w:r>
          </w:p>
        </w:tc>
        <w:tc>
          <w:tcPr>
            <w:tcW w:w="1405" w:type="dxa"/>
            <w:tcMar>
              <w:top w:w="60" w:type="dxa"/>
              <w:left w:w="120" w:type="dxa"/>
              <w:bottom w:w="30" w:type="dxa"/>
              <w:right w:w="120" w:type="dxa"/>
            </w:tcMar>
            <w:vAlign w:val="center"/>
          </w:tcPr>
          <w:p>
            <w:pPr>
              <w:jc w:val="center"/>
              <w:rPr>
                <w:color w:val="auto"/>
                <w:highlight w:val="none"/>
              </w:rPr>
            </w:pPr>
          </w:p>
        </w:tc>
        <w:tc>
          <w:tcPr>
            <w:tcW w:w="1008" w:type="dxa"/>
            <w:tcMar>
              <w:top w:w="60" w:type="dxa"/>
              <w:left w:w="120" w:type="dxa"/>
              <w:bottom w:w="30" w:type="dxa"/>
              <w:right w:w="120" w:type="dxa"/>
            </w:tcMar>
            <w:vAlign w:val="center"/>
          </w:tcPr>
          <w:p>
            <w:pPr>
              <w:jc w:val="center"/>
              <w:rPr>
                <w:color w:val="auto"/>
                <w:highlight w:val="none"/>
              </w:rPr>
            </w:pPr>
          </w:p>
        </w:tc>
        <w:tc>
          <w:tcPr>
            <w:tcW w:w="1068" w:type="dxa"/>
            <w:tcMar>
              <w:top w:w="60" w:type="dxa"/>
              <w:left w:w="120" w:type="dxa"/>
              <w:bottom w:w="30" w:type="dxa"/>
              <w:right w:w="120" w:type="dxa"/>
            </w:tcMar>
            <w:vAlign w:val="center"/>
          </w:tcPr>
          <w:p>
            <w:pPr>
              <w:jc w:val="center"/>
              <w:rPr>
                <w:color w:val="auto"/>
                <w:highlight w:val="none"/>
              </w:rPr>
            </w:pPr>
          </w:p>
        </w:tc>
        <w:tc>
          <w:tcPr>
            <w:tcW w:w="1047" w:type="dxa"/>
            <w:tcMar>
              <w:top w:w="60" w:type="dxa"/>
              <w:left w:w="120" w:type="dxa"/>
              <w:bottom w:w="30" w:type="dxa"/>
              <w:right w:w="120" w:type="dxa"/>
            </w:tcMar>
            <w:vAlign w:val="center"/>
          </w:tcPr>
          <w:p>
            <w:pPr>
              <w:jc w:val="center"/>
              <w:rPr>
                <w:color w:val="auto"/>
                <w:highlight w:val="none"/>
              </w:rPr>
            </w:pPr>
          </w:p>
        </w:tc>
        <w:tc>
          <w:tcPr>
            <w:tcW w:w="969" w:type="dxa"/>
            <w:tcMar>
              <w:top w:w="60" w:type="dxa"/>
              <w:left w:w="120" w:type="dxa"/>
              <w:bottom w:w="30" w:type="dxa"/>
              <w:right w:w="120" w:type="dxa"/>
            </w:tcMar>
            <w:vAlign w:val="center"/>
          </w:tcPr>
          <w:p>
            <w:pPr>
              <w:jc w:val="center"/>
              <w:rPr>
                <w:color w:val="auto"/>
                <w:highlight w:val="none"/>
              </w:rPr>
            </w:pPr>
          </w:p>
        </w:tc>
        <w:tc>
          <w:tcPr>
            <w:tcW w:w="1295" w:type="dxa"/>
            <w:tcMar>
              <w:top w:w="60" w:type="dxa"/>
              <w:left w:w="120" w:type="dxa"/>
              <w:bottom w:w="30" w:type="dxa"/>
              <w:right w:w="120" w:type="dxa"/>
            </w:tcMar>
            <w:vAlign w:val="center"/>
          </w:tcPr>
          <w:p>
            <w:pPr>
              <w:jc w:val="center"/>
              <w:rPr>
                <w:color w:val="auto"/>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262" w:hRule="atLeast"/>
        </w:trPr>
        <w:tc>
          <w:tcPr>
            <w:tcW w:w="773"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3</w:t>
            </w:r>
          </w:p>
        </w:tc>
        <w:tc>
          <w:tcPr>
            <w:tcW w:w="1491" w:type="dxa"/>
            <w:tcMar>
              <w:top w:w="60" w:type="dxa"/>
              <w:left w:w="120" w:type="dxa"/>
              <w:bottom w:w="30" w:type="dxa"/>
              <w:right w:w="120" w:type="dxa"/>
            </w:tcMar>
            <w:vAlign w:val="center"/>
          </w:tcPr>
          <w:p>
            <w:pPr>
              <w:spacing w:before="120" w:after="120" w:line="288" w:lineRule="auto"/>
              <w:ind w:left="0"/>
              <w:jc w:val="both"/>
              <w:rPr>
                <w:color w:val="auto"/>
                <w:highlight w:val="none"/>
              </w:rPr>
            </w:pPr>
            <w:r>
              <w:rPr>
                <w:rFonts w:ascii="Arial" w:hAnsi="Arial" w:eastAsia="等线" w:cs="Arial"/>
                <w:color w:val="auto"/>
                <w:sz w:val="22"/>
                <w:highlight w:val="none"/>
              </w:rPr>
              <w:t>【仪器仪表】</w:t>
            </w:r>
          </w:p>
        </w:tc>
        <w:tc>
          <w:tcPr>
            <w:tcW w:w="1405" w:type="dxa"/>
            <w:tcMar>
              <w:top w:w="60" w:type="dxa"/>
              <w:left w:w="120" w:type="dxa"/>
              <w:bottom w:w="30" w:type="dxa"/>
              <w:right w:w="120" w:type="dxa"/>
            </w:tcMar>
            <w:vAlign w:val="center"/>
          </w:tcPr>
          <w:p>
            <w:pPr>
              <w:jc w:val="center"/>
              <w:rPr>
                <w:color w:val="auto"/>
                <w:highlight w:val="none"/>
              </w:rPr>
            </w:pPr>
          </w:p>
        </w:tc>
        <w:tc>
          <w:tcPr>
            <w:tcW w:w="1008" w:type="dxa"/>
            <w:tcMar>
              <w:top w:w="60" w:type="dxa"/>
              <w:left w:w="120" w:type="dxa"/>
              <w:bottom w:w="30" w:type="dxa"/>
              <w:right w:w="120" w:type="dxa"/>
            </w:tcMar>
            <w:vAlign w:val="center"/>
          </w:tcPr>
          <w:p>
            <w:pPr>
              <w:jc w:val="center"/>
              <w:rPr>
                <w:color w:val="auto"/>
                <w:highlight w:val="none"/>
              </w:rPr>
            </w:pPr>
          </w:p>
        </w:tc>
        <w:tc>
          <w:tcPr>
            <w:tcW w:w="1068" w:type="dxa"/>
            <w:tcMar>
              <w:top w:w="60" w:type="dxa"/>
              <w:left w:w="120" w:type="dxa"/>
              <w:bottom w:w="30" w:type="dxa"/>
              <w:right w:w="120" w:type="dxa"/>
            </w:tcMar>
            <w:vAlign w:val="center"/>
          </w:tcPr>
          <w:p>
            <w:pPr>
              <w:jc w:val="center"/>
              <w:rPr>
                <w:color w:val="auto"/>
                <w:highlight w:val="none"/>
              </w:rPr>
            </w:pPr>
          </w:p>
        </w:tc>
        <w:tc>
          <w:tcPr>
            <w:tcW w:w="1047" w:type="dxa"/>
            <w:tcMar>
              <w:top w:w="60" w:type="dxa"/>
              <w:left w:w="120" w:type="dxa"/>
              <w:bottom w:w="30" w:type="dxa"/>
              <w:right w:w="120" w:type="dxa"/>
            </w:tcMar>
            <w:vAlign w:val="center"/>
          </w:tcPr>
          <w:p>
            <w:pPr>
              <w:jc w:val="center"/>
              <w:rPr>
                <w:color w:val="auto"/>
                <w:highlight w:val="none"/>
              </w:rPr>
            </w:pPr>
          </w:p>
        </w:tc>
        <w:tc>
          <w:tcPr>
            <w:tcW w:w="969" w:type="dxa"/>
            <w:tcMar>
              <w:top w:w="60" w:type="dxa"/>
              <w:left w:w="120" w:type="dxa"/>
              <w:bottom w:w="30" w:type="dxa"/>
              <w:right w:w="120" w:type="dxa"/>
            </w:tcMar>
            <w:vAlign w:val="center"/>
          </w:tcPr>
          <w:p>
            <w:pPr>
              <w:jc w:val="center"/>
              <w:rPr>
                <w:color w:val="auto"/>
                <w:highlight w:val="none"/>
              </w:rPr>
            </w:pPr>
          </w:p>
        </w:tc>
        <w:tc>
          <w:tcPr>
            <w:tcW w:w="1295" w:type="dxa"/>
            <w:tcMar>
              <w:top w:w="60" w:type="dxa"/>
              <w:left w:w="120" w:type="dxa"/>
              <w:bottom w:w="30" w:type="dxa"/>
              <w:right w:w="120" w:type="dxa"/>
            </w:tcMar>
            <w:vAlign w:val="center"/>
          </w:tcPr>
          <w:p>
            <w:pPr>
              <w:jc w:val="center"/>
              <w:rPr>
                <w:color w:val="auto"/>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264" w:hRule="atLeast"/>
        </w:trPr>
        <w:tc>
          <w:tcPr>
            <w:tcW w:w="773"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49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40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008"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068"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047"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96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29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r>
    </w:tbl>
    <w:p>
      <w:pPr>
        <w:spacing w:before="380" w:after="140" w:line="288" w:lineRule="auto"/>
        <w:ind w:left="0"/>
        <w:jc w:val="left"/>
        <w:outlineLvl w:val="0"/>
        <w:rPr>
          <w:color w:val="auto"/>
          <w:highlight w:val="none"/>
        </w:rPr>
      </w:pPr>
      <w:bookmarkStart w:id="96" w:name="_Toc965339869"/>
      <w:bookmarkStart w:id="97" w:name="heading_50"/>
      <w:r>
        <w:rPr>
          <w:rFonts w:ascii="Arial" w:hAnsi="Arial" w:eastAsia="等线" w:cs="Arial"/>
          <w:b/>
          <w:color w:val="auto"/>
          <w:sz w:val="36"/>
          <w:highlight w:val="none"/>
        </w:rPr>
        <w:t>11投标方技术偏差说明</w:t>
      </w:r>
      <w:bookmarkEnd w:id="96"/>
      <w:bookmarkEnd w:id="97"/>
    </w:p>
    <w:p>
      <w:pPr>
        <w:spacing w:before="320" w:after="120" w:line="288" w:lineRule="auto"/>
        <w:ind w:left="0"/>
        <w:jc w:val="left"/>
        <w:outlineLvl w:val="1"/>
        <w:rPr>
          <w:color w:val="auto"/>
          <w:highlight w:val="none"/>
        </w:rPr>
      </w:pPr>
      <w:bookmarkStart w:id="98" w:name="heading_51"/>
      <w:bookmarkStart w:id="99" w:name="_Toc228225198"/>
      <w:r>
        <w:rPr>
          <w:rFonts w:ascii="Arial" w:hAnsi="Arial" w:eastAsia="等线" w:cs="Arial"/>
          <w:b/>
          <w:color w:val="auto"/>
          <w:sz w:val="32"/>
          <w:highlight w:val="none"/>
        </w:rPr>
        <w:t>11.1技术偏差表填报要求</w:t>
      </w:r>
      <w:bookmarkEnd w:id="98"/>
      <w:bookmarkEnd w:id="99"/>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★1.投标方需对照本规范书所有条款，在投标文件中如实填写《投标方技术偏差表》（见下表），明确与本规范书要求的差异内容。</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2.若存在技术偏差，需注明偏差条款、招标文件要求、投标文件响应内容、偏差原因，并附相关佐证材料。</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3.若无技术偏差，需在偏差表中注明“本投标文件无任何技术偏差，完全满足招标文件所有技术要求”。</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4.未填报技术偏差表或填报不完整的，视为投标方默认存在技术偏差，招标方有权作无效投标处理。</w:t>
      </w:r>
    </w:p>
    <w:tbl>
      <w:tblPr>
        <w:tblStyle w:val="22"/>
        <w:tblW w:w="9593"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745"/>
        <w:gridCol w:w="2908"/>
        <w:gridCol w:w="1479"/>
        <w:gridCol w:w="1621"/>
        <w:gridCol w:w="1359"/>
        <w:gridCol w:w="1481"/>
      </w:tblGrid>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368" w:hRule="atLeast"/>
          <w:jc w:val="center"/>
        </w:trPr>
        <w:tc>
          <w:tcPr>
            <w:tcW w:w="7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序号</w:t>
            </w:r>
          </w:p>
        </w:tc>
        <w:tc>
          <w:tcPr>
            <w:tcW w:w="2908"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招标文件条款/条目</w:t>
            </w:r>
          </w:p>
        </w:tc>
        <w:tc>
          <w:tcPr>
            <w:tcW w:w="147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招标文件要求（简要）</w:t>
            </w:r>
          </w:p>
        </w:tc>
        <w:tc>
          <w:tcPr>
            <w:tcW w:w="162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投标文件响应内容（简要）</w:t>
            </w:r>
          </w:p>
        </w:tc>
        <w:tc>
          <w:tcPr>
            <w:tcW w:w="135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偏差类型（正/负/无）</w:t>
            </w:r>
          </w:p>
        </w:tc>
        <w:tc>
          <w:tcPr>
            <w:tcW w:w="148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偏差原因及佐证材料</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88" w:hRule="atLeast"/>
          <w:jc w:val="center"/>
        </w:trPr>
        <w:tc>
          <w:tcPr>
            <w:tcW w:w="7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1</w:t>
            </w:r>
          </w:p>
        </w:tc>
        <w:tc>
          <w:tcPr>
            <w:tcW w:w="2908"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47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62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35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48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88" w:hRule="atLeast"/>
          <w:jc w:val="center"/>
        </w:trPr>
        <w:tc>
          <w:tcPr>
            <w:tcW w:w="7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2</w:t>
            </w:r>
          </w:p>
        </w:tc>
        <w:tc>
          <w:tcPr>
            <w:tcW w:w="2908"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47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62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35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48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88" w:hRule="atLeast"/>
          <w:jc w:val="center"/>
        </w:trPr>
        <w:tc>
          <w:tcPr>
            <w:tcW w:w="7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3</w:t>
            </w:r>
          </w:p>
        </w:tc>
        <w:tc>
          <w:tcPr>
            <w:tcW w:w="2908"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47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62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35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48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88" w:hRule="atLeast"/>
          <w:jc w:val="center"/>
        </w:trPr>
        <w:tc>
          <w:tcPr>
            <w:tcW w:w="7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2908"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47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62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35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48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629" w:hRule="atLeast"/>
          <w:jc w:val="center"/>
        </w:trPr>
        <w:tc>
          <w:tcPr>
            <w:tcW w:w="745"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b/>
                <w:color w:val="auto"/>
                <w:sz w:val="22"/>
                <w:highlight w:val="none"/>
              </w:rPr>
              <w:t>注</w:t>
            </w:r>
          </w:p>
        </w:tc>
        <w:tc>
          <w:tcPr>
            <w:tcW w:w="2908"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本投标文件共</w:t>
            </w:r>
            <w:r>
              <w:rPr>
                <w:rFonts w:hint="eastAsia" w:ascii="Arial" w:hAnsi="Arial" w:eastAsia="等线" w:cs="Arial"/>
                <w:color w:val="auto"/>
                <w:sz w:val="22"/>
                <w:highlight w:val="none"/>
                <w:u w:val="single"/>
                <w:lang w:val="en-US" w:eastAsia="zh-CN"/>
              </w:rPr>
              <w:t xml:space="preserve">   </w:t>
            </w:r>
            <w:r>
              <w:rPr>
                <w:rFonts w:ascii="Arial" w:hAnsi="Arial" w:eastAsia="等线" w:cs="Arial"/>
                <w:color w:val="auto"/>
                <w:sz w:val="22"/>
                <w:highlight w:val="none"/>
              </w:rPr>
              <w:t>条偏差，其中正偏差</w:t>
            </w:r>
            <w:r>
              <w:rPr>
                <w:rFonts w:hint="eastAsia" w:ascii="Arial" w:hAnsi="Arial" w:eastAsia="等线" w:cs="Arial"/>
                <w:color w:val="auto"/>
                <w:sz w:val="22"/>
                <w:highlight w:val="none"/>
                <w:u w:val="single"/>
                <w:lang w:val="en-US" w:eastAsia="zh-CN"/>
              </w:rPr>
              <w:t xml:space="preserve">   </w:t>
            </w:r>
            <w:r>
              <w:rPr>
                <w:rFonts w:ascii="Arial" w:hAnsi="Arial" w:eastAsia="等线" w:cs="Arial"/>
                <w:color w:val="auto"/>
                <w:sz w:val="22"/>
                <w:highlight w:val="none"/>
              </w:rPr>
              <w:t>条，负偏差</w:t>
            </w:r>
            <w:r>
              <w:rPr>
                <w:rFonts w:hint="eastAsia" w:ascii="Arial" w:hAnsi="Arial" w:eastAsia="等线" w:cs="Arial"/>
                <w:color w:val="auto"/>
                <w:sz w:val="22"/>
                <w:highlight w:val="none"/>
                <w:u w:val="single"/>
                <w:lang w:val="en-US" w:eastAsia="zh-CN"/>
              </w:rPr>
              <w:t xml:space="preserve">   </w:t>
            </w:r>
            <w:r>
              <w:rPr>
                <w:rFonts w:ascii="Arial" w:hAnsi="Arial" w:eastAsia="等线" w:cs="Arial"/>
                <w:color w:val="auto"/>
                <w:sz w:val="22"/>
                <w:highlight w:val="none"/>
              </w:rPr>
              <w:t>条，无偏差</w:t>
            </w:r>
            <w:r>
              <w:rPr>
                <w:rFonts w:hint="eastAsia" w:ascii="Arial" w:hAnsi="Arial" w:eastAsia="等线" w:cs="Arial"/>
                <w:color w:val="auto"/>
                <w:sz w:val="22"/>
                <w:highlight w:val="none"/>
                <w:u w:val="single"/>
                <w:lang w:val="en-US" w:eastAsia="zh-CN"/>
              </w:rPr>
              <w:t xml:space="preserve">      </w:t>
            </w:r>
            <w:r>
              <w:rPr>
                <w:rFonts w:ascii="Arial" w:hAnsi="Arial" w:eastAsia="等线" w:cs="Arial"/>
                <w:color w:val="auto"/>
                <w:sz w:val="22"/>
                <w:highlight w:val="none"/>
              </w:rPr>
              <w:t>条</w:t>
            </w:r>
          </w:p>
        </w:tc>
        <w:tc>
          <w:tcPr>
            <w:tcW w:w="147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62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359"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1481"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r>
    </w:tbl>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0"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投标方（盖章）：____________________</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0"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法定代表人/授权委托人（签字）：____________________</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0"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日期：______年____月____日</w:t>
      </w:r>
    </w:p>
    <w:p>
      <w:pPr>
        <w:spacing w:before="320" w:after="120" w:line="288" w:lineRule="auto"/>
        <w:ind w:left="0"/>
        <w:jc w:val="left"/>
        <w:outlineLvl w:val="1"/>
        <w:rPr>
          <w:color w:val="auto"/>
          <w:highlight w:val="none"/>
        </w:rPr>
      </w:pPr>
      <w:bookmarkStart w:id="100" w:name="heading_52"/>
      <w:bookmarkStart w:id="101" w:name="_Toc375109244"/>
      <w:r>
        <w:rPr>
          <w:rFonts w:ascii="Arial" w:hAnsi="Arial" w:eastAsia="等线" w:cs="Arial"/>
          <w:b/>
          <w:color w:val="auto"/>
          <w:sz w:val="32"/>
          <w:highlight w:val="none"/>
        </w:rPr>
        <w:t>11.2其他问题说明要求</w:t>
      </w:r>
      <w:bookmarkEnd w:id="100"/>
      <w:bookmarkEnd w:id="101"/>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若投标方有其他需要说明的技术、供货、服务等问题，需以书面形式在投标文件中单独说明，加盖投标方公章，未书面说明的，视为投标方认可本规范书所有约定。</w:t>
      </w:r>
    </w:p>
    <w:p>
      <w:pPr>
        <w:spacing w:before="380" w:after="140" w:line="288" w:lineRule="auto"/>
        <w:ind w:left="0"/>
        <w:jc w:val="left"/>
        <w:outlineLvl w:val="0"/>
        <w:rPr>
          <w:color w:val="auto"/>
          <w:highlight w:val="none"/>
        </w:rPr>
      </w:pPr>
      <w:bookmarkStart w:id="102" w:name="_Toc1596559963"/>
      <w:bookmarkStart w:id="103" w:name="heading_53"/>
      <w:r>
        <w:rPr>
          <w:rFonts w:ascii="Arial" w:hAnsi="Arial" w:eastAsia="等线" w:cs="Arial"/>
          <w:b/>
          <w:color w:val="auto"/>
          <w:sz w:val="36"/>
          <w:highlight w:val="none"/>
        </w:rPr>
        <w:t>12设计图纸提交要求</w:t>
      </w:r>
      <w:bookmarkEnd w:id="102"/>
      <w:bookmarkEnd w:id="103"/>
    </w:p>
    <w:p>
      <w:pPr>
        <w:spacing w:before="320" w:after="120" w:line="288" w:lineRule="auto"/>
        <w:ind w:left="0"/>
        <w:jc w:val="left"/>
        <w:outlineLvl w:val="1"/>
        <w:rPr>
          <w:color w:val="auto"/>
          <w:highlight w:val="none"/>
        </w:rPr>
      </w:pPr>
      <w:bookmarkStart w:id="104" w:name="heading_54"/>
      <w:bookmarkStart w:id="105" w:name="_Toc575128876"/>
      <w:r>
        <w:rPr>
          <w:rFonts w:ascii="Arial" w:hAnsi="Arial" w:eastAsia="等线" w:cs="Arial"/>
          <w:b/>
          <w:color w:val="auto"/>
          <w:sz w:val="32"/>
          <w:highlight w:val="none"/>
        </w:rPr>
        <w:t>12.1提交形式与要求</w:t>
      </w:r>
      <w:bookmarkEnd w:id="104"/>
      <w:bookmarkEnd w:id="105"/>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★1.所有设计图纸、技术资料均需由投标方加盖公章后提交至招标方指定单位，图纸需按国家制图标准绘制，清晰、准确、完整；</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2.提交形式：纸质版+电子版，纸质版需装订成册，电子版包含PDF版（不可编辑）+可编辑版（AutoCAD/Word/Excel等）；</w:t>
      </w:r>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3.提交份数：纸质版不少于</w:t>
      </w:r>
      <w:r>
        <w:rPr>
          <w:rFonts w:hint="eastAsia" w:ascii="Arial" w:hAnsi="Arial" w:eastAsia="等线" w:cs="Arial"/>
          <w:color w:val="auto"/>
          <w:sz w:val="24"/>
          <w:szCs w:val="24"/>
          <w:highlight w:val="none"/>
          <w:u w:val="single"/>
          <w:lang w:val="en-US" w:eastAsia="zh-CN"/>
        </w:rPr>
        <w:t xml:space="preserve">  2  </w:t>
      </w:r>
      <w:r>
        <w:rPr>
          <w:rFonts w:hint="eastAsia" w:ascii="Arial" w:hAnsi="Arial" w:eastAsia="等线" w:cs="Arial"/>
          <w:color w:val="auto"/>
          <w:sz w:val="24"/>
          <w:szCs w:val="24"/>
          <w:highlight w:val="none"/>
          <w:lang w:val="en-US" w:eastAsia="zh-CN"/>
        </w:rPr>
        <w:t>份，电子版不少于</w:t>
      </w:r>
      <w:r>
        <w:rPr>
          <w:rFonts w:hint="eastAsia" w:ascii="Arial" w:hAnsi="Arial" w:eastAsia="等线" w:cs="Arial"/>
          <w:color w:val="auto"/>
          <w:sz w:val="24"/>
          <w:szCs w:val="24"/>
          <w:highlight w:val="none"/>
          <w:u w:val="single"/>
          <w:lang w:val="en-US" w:eastAsia="zh-CN"/>
        </w:rPr>
        <w:t xml:space="preserve">  1  </w:t>
      </w:r>
      <w:r>
        <w:rPr>
          <w:rFonts w:hint="eastAsia" w:ascii="Arial" w:hAnsi="Arial" w:eastAsia="等线" w:cs="Arial"/>
          <w:color w:val="auto"/>
          <w:sz w:val="24"/>
          <w:szCs w:val="24"/>
          <w:highlight w:val="none"/>
          <w:lang w:val="en-US" w:eastAsia="zh-CN"/>
        </w:rPr>
        <w:t>份，按招标方要求提交至设计单位、项目单位。</w:t>
      </w:r>
    </w:p>
    <w:p>
      <w:pPr>
        <w:spacing w:before="320" w:after="120" w:line="288" w:lineRule="auto"/>
        <w:ind w:left="0"/>
        <w:jc w:val="left"/>
        <w:outlineLvl w:val="1"/>
        <w:rPr>
          <w:color w:val="auto"/>
          <w:highlight w:val="none"/>
        </w:rPr>
      </w:pPr>
      <w:bookmarkStart w:id="106" w:name="heading_55"/>
      <w:bookmarkStart w:id="107" w:name="_Toc367123785"/>
      <w:r>
        <w:rPr>
          <w:rFonts w:ascii="Arial" w:hAnsi="Arial" w:eastAsia="等线" w:cs="Arial"/>
          <w:b/>
          <w:color w:val="auto"/>
          <w:sz w:val="32"/>
          <w:highlight w:val="none"/>
        </w:rPr>
        <w:t>12.2扩建工程接口要求</w:t>
      </w:r>
      <w:bookmarkEnd w:id="106"/>
      <w:bookmarkEnd w:id="107"/>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若本项目设备用于电网扩建、改造工程，投标方需提前赴现场勘察，明确现有土建基础、电力接口、排水管路的尺寸、规格，确保设备与现有电网设施无缝对接，投标方需承担现场勘察费用，若因勘察不到位导致设备无法对接，由投标方无条件整改。</w:t>
      </w:r>
    </w:p>
    <w:p>
      <w:pPr>
        <w:spacing w:before="320" w:after="120" w:line="288" w:lineRule="auto"/>
        <w:ind w:left="0"/>
        <w:jc w:val="left"/>
        <w:outlineLvl w:val="1"/>
        <w:rPr>
          <w:color w:val="auto"/>
          <w:highlight w:val="none"/>
        </w:rPr>
      </w:pPr>
      <w:bookmarkStart w:id="108" w:name="heading_56"/>
      <w:bookmarkStart w:id="109" w:name="_Toc528936664"/>
      <w:r>
        <w:rPr>
          <w:rFonts w:ascii="Arial" w:hAnsi="Arial" w:eastAsia="等线" w:cs="Arial"/>
          <w:b/>
          <w:color w:val="auto"/>
          <w:sz w:val="32"/>
          <w:highlight w:val="none"/>
        </w:rPr>
        <w:t>12.3图纸资料提交明细</w:t>
      </w:r>
      <w:bookmarkEnd w:id="108"/>
      <w:bookmarkEnd w:id="109"/>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投标方需按下表要求向招标方设计单位、项目单位提交图纸资料，明确提交份数、提交时间，未按要求提交的，视为投标方违约。</w:t>
      </w:r>
    </w:p>
    <w:tbl>
      <w:tblPr>
        <w:tblStyle w:val="22"/>
        <w:tblW w:w="9200"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840"/>
        <w:gridCol w:w="1840"/>
        <w:gridCol w:w="1840"/>
        <w:gridCol w:w="1840"/>
        <w:gridCol w:w="1840"/>
      </w:tblGrid>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24" w:hRule="atLeast"/>
          <w:jc w:val="center"/>
        </w:trPr>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提交图纸资料名称</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接收单位</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提交份数</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提交时间</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备注</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24" w:hRule="atLeast"/>
          <w:jc w:val="center"/>
        </w:trPr>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设备总装配图</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设计单位/项目单位</w:t>
            </w: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AutoCADR2000版</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24" w:hRule="atLeast"/>
          <w:jc w:val="center"/>
        </w:trPr>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设备基础图</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设计单位/项目单位</w:t>
            </w: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AutoCADR2000版</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24" w:hRule="atLeast"/>
          <w:jc w:val="center"/>
        </w:trPr>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液压系统原理图</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设计单位/项目单位</w:t>
            </w: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AutoCADR2000版</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24" w:hRule="atLeast"/>
          <w:jc w:val="center"/>
        </w:trPr>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电气控制系统原理图</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设计单位/项目单位</w:t>
            </w: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AutoCADR2000版</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24" w:hRule="atLeast"/>
          <w:jc w:val="center"/>
        </w:trPr>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设备安装使用说明书</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设计单位/项目单位</w:t>
            </w: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Word2013版+PDF版</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24" w:hRule="atLeast"/>
          <w:jc w:val="center"/>
        </w:trPr>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设备维护手册</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设计单位/项目单位</w:t>
            </w: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Word2013版+PDF版</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24" w:hRule="atLeast"/>
          <w:jc w:val="center"/>
        </w:trPr>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型式试验报告</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设计单位/项目单位</w:t>
            </w: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PDF版（原件扫描）</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24" w:hRule="atLeast"/>
          <w:jc w:val="center"/>
        </w:trPr>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出厂检验报告</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项目单位</w:t>
            </w: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PDF版（原件扫描）</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24" w:hRule="atLeast"/>
          <w:jc w:val="center"/>
        </w:trPr>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产品合格证</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项目单位</w:t>
            </w: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PDF版（原件扫描）</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29" w:hRule="atLeast"/>
          <w:jc w:val="center"/>
        </w:trPr>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【其他图纸资料】</w:t>
            </w: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设计单位/项目单位</w:t>
            </w: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jc w:val="center"/>
              <w:rPr>
                <w:color w:val="auto"/>
                <w:highlight w:val="none"/>
              </w:rPr>
            </w:pPr>
          </w:p>
        </w:tc>
        <w:tc>
          <w:tcPr>
            <w:tcW w:w="1840"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r>
    </w:tbl>
    <w:p>
      <w:pPr>
        <w:spacing w:before="380" w:after="140" w:line="288" w:lineRule="auto"/>
        <w:ind w:left="0"/>
        <w:jc w:val="left"/>
        <w:outlineLvl w:val="0"/>
        <w:rPr>
          <w:color w:val="auto"/>
          <w:highlight w:val="none"/>
        </w:rPr>
      </w:pPr>
      <w:bookmarkStart w:id="110" w:name="heading_57"/>
      <w:bookmarkStart w:id="111" w:name="_Toc1403696915"/>
      <w:r>
        <w:rPr>
          <w:rFonts w:ascii="Arial" w:hAnsi="Arial" w:eastAsia="等线" w:cs="Arial"/>
          <w:b/>
          <w:color w:val="auto"/>
          <w:sz w:val="36"/>
          <w:highlight w:val="none"/>
        </w:rPr>
        <w:t>13其他要求</w:t>
      </w:r>
      <w:bookmarkEnd w:id="110"/>
      <w:bookmarkEnd w:id="111"/>
    </w:p>
    <w:p>
      <w:pPr>
        <w:spacing w:before="320" w:after="120" w:line="288" w:lineRule="auto"/>
        <w:ind w:left="0"/>
        <w:jc w:val="left"/>
        <w:outlineLvl w:val="1"/>
        <w:rPr>
          <w:color w:val="auto"/>
          <w:highlight w:val="none"/>
        </w:rPr>
      </w:pPr>
      <w:bookmarkStart w:id="112" w:name="heading_58"/>
      <w:bookmarkStart w:id="113" w:name="_Toc1826188110"/>
      <w:r>
        <w:rPr>
          <w:rFonts w:ascii="Arial" w:hAnsi="Arial" w:eastAsia="等线" w:cs="Arial"/>
          <w:b/>
          <w:color w:val="auto"/>
          <w:sz w:val="32"/>
          <w:highlight w:val="none"/>
        </w:rPr>
        <w:t>13.1全生命周期成本（LCC）资料</w:t>
      </w:r>
      <w:bookmarkEnd w:id="112"/>
      <w:bookmarkEnd w:id="113"/>
    </w:p>
    <w:p>
      <w:pPr>
        <w:keepNext w:val="0"/>
        <w:keepLines w:val="0"/>
        <w:pageBreakBefore w:val="0"/>
        <w:widowControl w:val="0"/>
        <w:kinsoku/>
        <w:wordWrap/>
        <w:overflowPunct/>
        <w:topLinePunct w:val="0"/>
        <w:autoSpaceDE/>
        <w:autoSpaceDN/>
        <w:bidi w:val="0"/>
        <w:adjustRightInd/>
        <w:snapToGrid/>
        <w:spacing w:before="120" w:after="120" w:line="288" w:lineRule="auto"/>
        <w:ind w:left="0" w:firstLine="480" w:firstLineChars="20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投标方需在投标文件中如实填写《设备投资成本费用表》（见下表），按要求提供设备全生命周期成本相关资料，同时提供专用工具、备品备件、在线监测装置的详细清单，所有数据真实、准确，无虚报、瞒报。</w:t>
      </w:r>
    </w:p>
    <w:tbl>
      <w:tblPr>
        <w:tblStyle w:val="22"/>
        <w:tblW w:w="9160"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916"/>
        <w:gridCol w:w="916"/>
        <w:gridCol w:w="916"/>
        <w:gridCol w:w="916"/>
        <w:gridCol w:w="916"/>
        <w:gridCol w:w="916"/>
        <w:gridCol w:w="916"/>
        <w:gridCol w:w="916"/>
        <w:gridCol w:w="916"/>
        <w:gridCol w:w="916"/>
      </w:tblGrid>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16" w:hRule="atLeast"/>
          <w:jc w:val="center"/>
        </w:trPr>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序号</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设备型号</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数量</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设备单价（元）</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专用工具费（元）</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备品备件费（元）</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调试费用（元）</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现场服务费（元）</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运输费（元）</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合计费用（元）</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358" w:hRule="atLeast"/>
          <w:jc w:val="center"/>
        </w:trPr>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1</w:t>
            </w:r>
          </w:p>
        </w:tc>
        <w:tc>
          <w:tcPr>
            <w:tcW w:w="916" w:type="dxa"/>
            <w:tcMar>
              <w:top w:w="60" w:type="dxa"/>
              <w:left w:w="120" w:type="dxa"/>
              <w:bottom w:w="30" w:type="dxa"/>
              <w:right w:w="120" w:type="dxa"/>
            </w:tcMar>
            <w:vAlign w:val="center"/>
          </w:tcPr>
          <w:p>
            <w:pPr>
              <w:jc w:val="center"/>
              <w:rPr>
                <w:color w:val="auto"/>
                <w:highlight w:val="none"/>
              </w:rPr>
            </w:pPr>
          </w:p>
        </w:tc>
        <w:tc>
          <w:tcPr>
            <w:tcW w:w="916" w:type="dxa"/>
            <w:tcMar>
              <w:top w:w="60" w:type="dxa"/>
              <w:left w:w="120" w:type="dxa"/>
              <w:bottom w:w="30" w:type="dxa"/>
              <w:right w:w="120" w:type="dxa"/>
            </w:tcMar>
            <w:vAlign w:val="center"/>
          </w:tcPr>
          <w:p>
            <w:pPr>
              <w:jc w:val="center"/>
              <w:rPr>
                <w:color w:val="auto"/>
                <w:highlight w:val="none"/>
              </w:rPr>
            </w:pPr>
          </w:p>
        </w:tc>
        <w:tc>
          <w:tcPr>
            <w:tcW w:w="916" w:type="dxa"/>
            <w:tcMar>
              <w:top w:w="60" w:type="dxa"/>
              <w:left w:w="120" w:type="dxa"/>
              <w:bottom w:w="30" w:type="dxa"/>
              <w:right w:w="120" w:type="dxa"/>
            </w:tcMar>
            <w:vAlign w:val="center"/>
          </w:tcPr>
          <w:p>
            <w:pPr>
              <w:jc w:val="center"/>
              <w:rPr>
                <w:color w:val="auto"/>
                <w:highlight w:val="none"/>
              </w:rPr>
            </w:pPr>
          </w:p>
        </w:tc>
        <w:tc>
          <w:tcPr>
            <w:tcW w:w="916" w:type="dxa"/>
            <w:tcMar>
              <w:top w:w="60" w:type="dxa"/>
              <w:left w:w="120" w:type="dxa"/>
              <w:bottom w:w="30" w:type="dxa"/>
              <w:right w:w="120" w:type="dxa"/>
            </w:tcMar>
            <w:vAlign w:val="center"/>
          </w:tcPr>
          <w:p>
            <w:pPr>
              <w:jc w:val="center"/>
              <w:rPr>
                <w:color w:val="auto"/>
                <w:highlight w:val="none"/>
              </w:rPr>
            </w:pPr>
          </w:p>
        </w:tc>
        <w:tc>
          <w:tcPr>
            <w:tcW w:w="916" w:type="dxa"/>
            <w:tcMar>
              <w:top w:w="60" w:type="dxa"/>
              <w:left w:w="120" w:type="dxa"/>
              <w:bottom w:w="30" w:type="dxa"/>
              <w:right w:w="120" w:type="dxa"/>
            </w:tcMar>
            <w:vAlign w:val="center"/>
          </w:tcPr>
          <w:p>
            <w:pPr>
              <w:jc w:val="center"/>
              <w:rPr>
                <w:color w:val="auto"/>
                <w:highlight w:val="none"/>
              </w:rPr>
            </w:pPr>
          </w:p>
        </w:tc>
        <w:tc>
          <w:tcPr>
            <w:tcW w:w="916" w:type="dxa"/>
            <w:tcMar>
              <w:top w:w="60" w:type="dxa"/>
              <w:left w:w="120" w:type="dxa"/>
              <w:bottom w:w="30" w:type="dxa"/>
              <w:right w:w="120" w:type="dxa"/>
            </w:tcMar>
            <w:vAlign w:val="center"/>
          </w:tcPr>
          <w:p>
            <w:pPr>
              <w:jc w:val="center"/>
              <w:rPr>
                <w:color w:val="auto"/>
                <w:highlight w:val="none"/>
              </w:rPr>
            </w:pPr>
          </w:p>
        </w:tc>
        <w:tc>
          <w:tcPr>
            <w:tcW w:w="916" w:type="dxa"/>
            <w:tcMar>
              <w:top w:w="60" w:type="dxa"/>
              <w:left w:w="120" w:type="dxa"/>
              <w:bottom w:w="30" w:type="dxa"/>
              <w:right w:w="120" w:type="dxa"/>
            </w:tcMar>
            <w:vAlign w:val="center"/>
          </w:tcPr>
          <w:p>
            <w:pPr>
              <w:jc w:val="center"/>
              <w:rPr>
                <w:color w:val="auto"/>
                <w:highlight w:val="none"/>
              </w:rPr>
            </w:pPr>
          </w:p>
        </w:tc>
        <w:tc>
          <w:tcPr>
            <w:tcW w:w="916" w:type="dxa"/>
            <w:tcMar>
              <w:top w:w="60" w:type="dxa"/>
              <w:left w:w="120" w:type="dxa"/>
              <w:bottom w:w="30" w:type="dxa"/>
              <w:right w:w="120" w:type="dxa"/>
            </w:tcMar>
            <w:vAlign w:val="center"/>
          </w:tcPr>
          <w:p>
            <w:pPr>
              <w:jc w:val="center"/>
              <w:rPr>
                <w:color w:val="auto"/>
                <w:highlight w:val="none"/>
              </w:rPr>
            </w:pPr>
          </w:p>
        </w:tc>
        <w:tc>
          <w:tcPr>
            <w:tcW w:w="916" w:type="dxa"/>
            <w:tcMar>
              <w:top w:w="60" w:type="dxa"/>
              <w:left w:w="120" w:type="dxa"/>
              <w:bottom w:w="30" w:type="dxa"/>
              <w:right w:w="120" w:type="dxa"/>
            </w:tcMar>
            <w:vAlign w:val="center"/>
          </w:tcPr>
          <w:p>
            <w:pPr>
              <w:jc w:val="center"/>
              <w:rPr>
                <w:color w:val="auto"/>
                <w:highlight w:val="none"/>
              </w:rPr>
            </w:pP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358" w:hRule="atLeast"/>
          <w:jc w:val="center"/>
        </w:trPr>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color w:val="auto"/>
                <w:sz w:val="22"/>
                <w:highlight w:val="none"/>
              </w:rPr>
              <w:t>...</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391" w:hRule="atLeast"/>
          <w:jc w:val="center"/>
        </w:trPr>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r>
              <w:rPr>
                <w:rFonts w:ascii="Arial" w:hAnsi="Arial" w:eastAsia="等线" w:cs="Arial"/>
                <w:b/>
                <w:color w:val="auto"/>
                <w:sz w:val="22"/>
                <w:highlight w:val="none"/>
              </w:rPr>
              <w:t>总计</w:t>
            </w:r>
          </w:p>
        </w:tc>
        <w:tc>
          <w:tcPr>
            <w:tcW w:w="916" w:type="dxa"/>
            <w:tcMar>
              <w:top w:w="60" w:type="dxa"/>
              <w:left w:w="120" w:type="dxa"/>
              <w:bottom w:w="30" w:type="dxa"/>
              <w:right w:w="120" w:type="dxa"/>
            </w:tcMar>
            <w:vAlign w:val="center"/>
          </w:tcPr>
          <w:p>
            <w:pPr>
              <w:jc w:val="center"/>
              <w:rPr>
                <w:color w:val="auto"/>
                <w:highlight w:val="none"/>
              </w:rPr>
            </w:pP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p>
        </w:tc>
        <w:tc>
          <w:tcPr>
            <w:tcW w:w="916" w:type="dxa"/>
            <w:tcMar>
              <w:top w:w="60" w:type="dxa"/>
              <w:left w:w="120" w:type="dxa"/>
              <w:bottom w:w="30" w:type="dxa"/>
              <w:right w:w="120" w:type="dxa"/>
            </w:tcMar>
            <w:vAlign w:val="center"/>
          </w:tcPr>
          <w:p>
            <w:pPr>
              <w:spacing w:before="120" w:after="120" w:line="288" w:lineRule="auto"/>
              <w:ind w:left="0"/>
              <w:jc w:val="center"/>
              <w:rPr>
                <w:color w:val="auto"/>
                <w:highlight w:val="none"/>
              </w:rPr>
            </w:pPr>
          </w:p>
        </w:tc>
      </w:tr>
    </w:tbl>
    <w:p>
      <w:pPr>
        <w:spacing w:before="320" w:after="120" w:line="288" w:lineRule="auto"/>
        <w:ind w:left="0"/>
        <w:jc w:val="left"/>
        <w:outlineLvl w:val="1"/>
        <w:rPr>
          <w:color w:val="auto"/>
          <w:highlight w:val="none"/>
        </w:rPr>
      </w:pPr>
      <w:bookmarkStart w:id="114" w:name="_Toc907281846"/>
      <w:bookmarkStart w:id="115" w:name="heading_59"/>
      <w:r>
        <w:rPr>
          <w:rFonts w:ascii="Arial" w:hAnsi="Arial" w:eastAsia="等线" w:cs="Arial"/>
          <w:b/>
          <w:color w:val="auto"/>
          <w:sz w:val="32"/>
          <w:highlight w:val="none"/>
        </w:rPr>
        <w:t>13.2其他强制性约定</w:t>
      </w:r>
      <w:bookmarkEnd w:id="114"/>
      <w:bookmarkEnd w:id="115"/>
    </w:p>
    <w:p>
      <w:pPr>
        <w:keepNext w:val="0"/>
        <w:keepLines w:val="0"/>
        <w:pageBreakBefore w:val="0"/>
        <w:widowControl w:val="0"/>
        <w:numPr>
          <w:ilvl w:val="0"/>
          <w:numId w:val="13"/>
        </w:numPr>
        <w:kinsoku/>
        <w:wordWrap/>
        <w:overflowPunct/>
        <w:topLinePunct w:val="0"/>
        <w:autoSpaceDE/>
        <w:autoSpaceDN/>
        <w:bidi w:val="0"/>
        <w:adjustRightInd/>
        <w:snapToGrid/>
        <w:spacing w:before="120" w:after="120" w:line="288" w:lineRule="auto"/>
        <w:ind w:left="0" w:leftChars="0" w:firstLine="0"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投标方需承诺在本项目中标后，按招标方要求按时、按质、按量供货，供货周期不得超过</w:t>
      </w:r>
      <w:r>
        <w:rPr>
          <w:rFonts w:hint="eastAsia" w:ascii="Arial" w:hAnsi="Arial" w:eastAsia="等线" w:cs="Arial"/>
          <w:color w:val="auto"/>
          <w:sz w:val="24"/>
          <w:szCs w:val="24"/>
          <w:highlight w:val="none"/>
          <w:u w:val="single"/>
          <w:lang w:val="en-US" w:eastAsia="zh-CN"/>
        </w:rPr>
        <w:t xml:space="preserve">  30  </w:t>
      </w:r>
      <w:r>
        <w:rPr>
          <w:rFonts w:hint="eastAsia" w:ascii="Arial" w:hAnsi="Arial" w:eastAsia="等线" w:cs="Arial"/>
          <w:color w:val="auto"/>
          <w:sz w:val="24"/>
          <w:szCs w:val="24"/>
          <w:highlight w:val="none"/>
          <w:lang w:val="en-US" w:eastAsia="zh-CN"/>
        </w:rPr>
        <w:t>天（自合同签订之日起），若延迟供货，每延迟一天按合同总价的</w:t>
      </w:r>
      <w:r>
        <w:rPr>
          <w:rFonts w:hint="eastAsia" w:ascii="Arial" w:hAnsi="Arial" w:eastAsia="等线" w:cs="Arial"/>
          <w:color w:val="auto"/>
          <w:sz w:val="24"/>
          <w:szCs w:val="24"/>
          <w:highlight w:val="none"/>
          <w:u w:val="single"/>
          <w:lang w:val="en-US" w:eastAsia="zh-CN"/>
        </w:rPr>
        <w:t xml:space="preserve">  1  </w:t>
      </w:r>
      <w:r>
        <w:rPr>
          <w:rFonts w:hint="eastAsia" w:ascii="Arial" w:hAnsi="Arial" w:eastAsia="等线" w:cs="Arial"/>
          <w:color w:val="auto"/>
          <w:sz w:val="24"/>
          <w:szCs w:val="24"/>
          <w:highlight w:val="none"/>
          <w:lang w:val="en-US" w:eastAsia="zh-CN"/>
        </w:rPr>
        <w:t>‰支付违约金，延迟超过</w:t>
      </w:r>
      <w:r>
        <w:rPr>
          <w:rFonts w:hint="eastAsia" w:ascii="Arial" w:hAnsi="Arial" w:eastAsia="等线" w:cs="Arial"/>
          <w:color w:val="auto"/>
          <w:sz w:val="24"/>
          <w:szCs w:val="24"/>
          <w:highlight w:val="none"/>
          <w:u w:val="single"/>
          <w:lang w:val="en-US" w:eastAsia="zh-CN"/>
        </w:rPr>
        <w:t xml:space="preserve">  15  </w:t>
      </w:r>
      <w:r>
        <w:rPr>
          <w:rFonts w:hint="eastAsia" w:ascii="Arial" w:hAnsi="Arial" w:eastAsia="等线" w:cs="Arial"/>
          <w:color w:val="auto"/>
          <w:sz w:val="24"/>
          <w:szCs w:val="24"/>
          <w:highlight w:val="none"/>
          <w:lang w:val="en-US" w:eastAsia="zh-CN"/>
        </w:rPr>
        <w:t>天的，招标方有权解除合同；</w:t>
      </w:r>
    </w:p>
    <w:p>
      <w:pPr>
        <w:keepNext w:val="0"/>
        <w:keepLines w:val="0"/>
        <w:pageBreakBefore w:val="0"/>
        <w:widowControl w:val="0"/>
        <w:numPr>
          <w:ilvl w:val="0"/>
          <w:numId w:val="13"/>
        </w:numPr>
        <w:kinsoku/>
        <w:wordWrap/>
        <w:overflowPunct/>
        <w:topLinePunct w:val="0"/>
        <w:autoSpaceDE/>
        <w:autoSpaceDN/>
        <w:bidi w:val="0"/>
        <w:adjustRightInd/>
        <w:snapToGrid/>
        <w:spacing w:before="120" w:after="120" w:line="288" w:lineRule="auto"/>
        <w:ind w:left="0" w:leftChars="0" w:firstLine="0"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投标方需承诺所供设备符合国家环保、安全标准，无任何环境污染、安全隐患，若因设备环保、安全问题给招标方造成损失，由投标方承担全部责任；</w:t>
      </w:r>
    </w:p>
    <w:p>
      <w:pPr>
        <w:keepNext w:val="0"/>
        <w:keepLines w:val="0"/>
        <w:pageBreakBefore w:val="0"/>
        <w:widowControl w:val="0"/>
        <w:numPr>
          <w:ilvl w:val="0"/>
          <w:numId w:val="13"/>
        </w:numPr>
        <w:kinsoku/>
        <w:wordWrap/>
        <w:overflowPunct/>
        <w:topLinePunct w:val="0"/>
        <w:autoSpaceDE/>
        <w:autoSpaceDN/>
        <w:bidi w:val="0"/>
        <w:adjustRightInd/>
        <w:snapToGrid/>
        <w:spacing w:before="120" w:after="120" w:line="288" w:lineRule="auto"/>
        <w:ind w:left="0" w:leftChars="0" w:firstLine="0"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本规范书为项目招标合同的重要组成部分，与招标合同具有同等法律效力，双方均需严格遵守；</w:t>
      </w:r>
    </w:p>
    <w:p>
      <w:pPr>
        <w:keepNext w:val="0"/>
        <w:keepLines w:val="0"/>
        <w:pageBreakBefore w:val="0"/>
        <w:widowControl w:val="0"/>
        <w:numPr>
          <w:ilvl w:val="0"/>
          <w:numId w:val="13"/>
        </w:numPr>
        <w:kinsoku/>
        <w:wordWrap/>
        <w:overflowPunct/>
        <w:topLinePunct w:val="0"/>
        <w:autoSpaceDE/>
        <w:autoSpaceDN/>
        <w:bidi w:val="0"/>
        <w:adjustRightInd/>
        <w:snapToGrid/>
        <w:spacing w:before="120" w:after="120" w:line="288" w:lineRule="auto"/>
        <w:ind w:left="0" w:leftChars="0" w:firstLine="0" w:firstLineChars="0"/>
        <w:jc w:val="left"/>
        <w:textAlignment w:val="auto"/>
        <w:rPr>
          <w:rFonts w:hint="eastAsia" w:ascii="Arial" w:hAnsi="Arial" w:eastAsia="等线" w:cs="Arial"/>
          <w:color w:val="auto"/>
          <w:sz w:val="24"/>
          <w:szCs w:val="24"/>
          <w:highlight w:val="none"/>
          <w:lang w:val="en-US" w:eastAsia="zh-CN"/>
        </w:rPr>
      </w:pPr>
      <w:r>
        <w:rPr>
          <w:rFonts w:hint="eastAsia" w:ascii="Arial" w:hAnsi="Arial" w:eastAsia="等线" w:cs="Arial"/>
          <w:color w:val="auto"/>
          <w:sz w:val="24"/>
          <w:szCs w:val="24"/>
          <w:highlight w:val="none"/>
          <w:lang w:val="en-US" w:eastAsia="zh-CN"/>
        </w:rPr>
        <w:t>本规范书未尽事宜，由双方协商解决，协商结果以书面形式作为本规范书的补充文件，加盖双方公章后生效。</w:t>
      </w:r>
    </w:p>
    <w:p>
      <w:pPr>
        <w:spacing w:before="120" w:after="120" w:line="288" w:lineRule="auto"/>
        <w:ind w:left="0"/>
        <w:jc w:val="left"/>
        <w:rPr>
          <w:color w:val="auto"/>
          <w:highlight w:val="none"/>
        </w:rPr>
      </w:pPr>
      <w:r>
        <w:rPr>
          <w:rFonts w:hint="eastAsia" w:ascii="Arial" w:hAnsi="Arial" w:eastAsia="等线" w:cs="Arial"/>
          <w:b/>
          <w:color w:val="auto"/>
          <w:sz w:val="22"/>
          <w:highlight w:val="none"/>
          <w:lang w:val="en-US" w:eastAsia="zh-CN"/>
        </w:rPr>
        <w:t>投标</w:t>
      </w:r>
      <w:r>
        <w:rPr>
          <w:rFonts w:ascii="Arial" w:hAnsi="Arial" w:eastAsia="等线" w:cs="Arial"/>
          <w:b/>
          <w:color w:val="auto"/>
          <w:sz w:val="22"/>
          <w:highlight w:val="none"/>
        </w:rPr>
        <w:t>单位（盖章）</w:t>
      </w:r>
      <w:r>
        <w:rPr>
          <w:rFonts w:ascii="Arial" w:hAnsi="Arial" w:eastAsia="等线" w:cs="Arial"/>
          <w:color w:val="auto"/>
          <w:sz w:val="22"/>
          <w:highlight w:val="none"/>
        </w:rPr>
        <w:t>：</w:t>
      </w:r>
    </w:p>
    <w:p>
      <w:pPr>
        <w:spacing w:before="120" w:after="120" w:line="288" w:lineRule="auto"/>
        <w:ind w:left="0"/>
        <w:jc w:val="left"/>
        <w:rPr>
          <w:color w:val="auto"/>
          <w:highlight w:val="none"/>
        </w:rPr>
      </w:pPr>
      <w:r>
        <w:rPr>
          <w:rFonts w:ascii="Arial" w:hAnsi="Arial" w:eastAsia="等线" w:cs="Arial"/>
          <w:b/>
          <w:color w:val="auto"/>
          <w:sz w:val="22"/>
          <w:highlight w:val="none"/>
        </w:rPr>
        <w:t>法定代表人/授权委托人（签字）</w:t>
      </w:r>
      <w:r>
        <w:rPr>
          <w:rFonts w:ascii="Arial" w:hAnsi="Arial" w:eastAsia="等线" w:cs="Arial"/>
          <w:color w:val="auto"/>
          <w:sz w:val="22"/>
          <w:highlight w:val="none"/>
        </w:rPr>
        <w:t>：____________________</w:t>
      </w:r>
    </w:p>
    <w:p>
      <w:pPr>
        <w:spacing w:before="120" w:after="120" w:line="288" w:lineRule="auto"/>
        <w:ind w:left="0"/>
        <w:jc w:val="left"/>
        <w:rPr>
          <w:rFonts w:hint="eastAsia" w:ascii="宋体" w:hAnsi="宋体" w:cs="宋体"/>
          <w:color w:val="auto"/>
          <w:sz w:val="24"/>
          <w:highlight w:val="none"/>
        </w:rPr>
      </w:pPr>
      <w:r>
        <w:rPr>
          <w:rFonts w:ascii="Arial" w:hAnsi="Arial" w:eastAsia="等线" w:cs="Arial"/>
          <w:b/>
          <w:color w:val="auto"/>
          <w:sz w:val="22"/>
          <w:highlight w:val="none"/>
        </w:rPr>
        <w:t>日期</w:t>
      </w:r>
      <w:r>
        <w:rPr>
          <w:rFonts w:ascii="Arial" w:hAnsi="Arial" w:eastAsia="等线" w:cs="Arial"/>
          <w:color w:val="auto"/>
          <w:sz w:val="22"/>
          <w:highlight w:val="none"/>
        </w:rPr>
        <w:t>：</w:t>
      </w:r>
      <w:r>
        <w:rPr>
          <w:rFonts w:hint="eastAsia" w:ascii="Arial" w:hAnsi="Arial" w:eastAsia="等线" w:cs="Arial"/>
          <w:color w:val="auto"/>
          <w:sz w:val="22"/>
          <w:highlight w:val="none"/>
          <w:u w:val="single"/>
          <w:lang w:val="en-US" w:eastAsia="zh-CN"/>
        </w:rPr>
        <w:t xml:space="preserve">     </w:t>
      </w:r>
      <w:r>
        <w:rPr>
          <w:rFonts w:ascii="Arial" w:hAnsi="Arial" w:eastAsia="等线" w:cs="Arial"/>
          <w:color w:val="auto"/>
          <w:sz w:val="22"/>
          <w:highlight w:val="none"/>
        </w:rPr>
        <w:t>年</w:t>
      </w:r>
      <w:r>
        <w:rPr>
          <w:rFonts w:hint="eastAsia" w:ascii="Arial" w:hAnsi="Arial" w:eastAsia="等线" w:cs="Arial"/>
          <w:color w:val="auto"/>
          <w:sz w:val="22"/>
          <w:highlight w:val="none"/>
          <w:u w:val="single"/>
          <w:lang w:val="en-US" w:eastAsia="zh-CN"/>
        </w:rPr>
        <w:t xml:space="preserve">     </w:t>
      </w:r>
      <w:r>
        <w:rPr>
          <w:rFonts w:ascii="Arial" w:hAnsi="Arial" w:eastAsia="等线" w:cs="Arial"/>
          <w:color w:val="auto"/>
          <w:sz w:val="22"/>
          <w:highlight w:val="none"/>
        </w:rPr>
        <w:t>月</w:t>
      </w:r>
      <w:r>
        <w:rPr>
          <w:rFonts w:hint="eastAsia" w:ascii="Arial" w:hAnsi="Arial" w:eastAsia="等线" w:cs="Arial"/>
          <w:color w:val="auto"/>
          <w:sz w:val="22"/>
          <w:highlight w:val="none"/>
          <w:u w:val="single"/>
          <w:lang w:val="en-US" w:eastAsia="zh-CN"/>
        </w:rPr>
        <w:t xml:space="preserve">     </w:t>
      </w:r>
      <w:r>
        <w:rPr>
          <w:rFonts w:ascii="Arial" w:hAnsi="Arial" w:eastAsia="等线" w:cs="Arial"/>
          <w:color w:val="auto"/>
          <w:sz w:val="22"/>
          <w:highlight w:val="none"/>
        </w:rPr>
        <w:t>日</w:t>
      </w:r>
    </w:p>
    <w:sectPr>
      <w:headerReference r:id="rId8" w:type="default"/>
      <w:footerReference r:id="rId9"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ind w:right="360" w:firstLine="360"/>
      <w:rPr>
        <w:rStyle w:val="2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page" w:hAnchor="page" w:xAlign="right" w:yAlign="center"/>
      <w:rPr>
        <w:rStyle w:val="25"/>
      </w:rPr>
    </w:pPr>
    <w:r>
      <w:fldChar w:fldCharType="begin"/>
    </w:r>
    <w:r>
      <w:rPr>
        <w:rStyle w:val="25"/>
      </w:rPr>
      <w:instrText xml:space="preserve">PAGE  </w:instrText>
    </w:r>
    <w:r>
      <w:fldChar w:fldCharType="separate"/>
    </w:r>
    <w:r>
      <w:rPr>
        <w:rStyle w:val="25"/>
      </w:rPr>
      <w:t>II</w:t>
    </w:r>
    <w:r>
      <w:fldChar w:fldCharType="end"/>
    </w:r>
  </w:p>
  <w:p>
    <w:pPr>
      <w:pStyle w:val="34"/>
      <w:ind w:right="360"/>
      <w:rPr>
        <w:rStyle w:val="25"/>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both"/>
      <w:rPr>
        <w:rFonts w:hint="default"/>
        <w:lang w:val="en-US"/>
      </w:rPr>
    </w:pPr>
    <w:r>
      <w:rPr>
        <w:rFonts w:hint="eastAsia"/>
      </w:rPr>
      <w:t>中国南方电网有限责任公司500kV变电站计算机监控系统标准技术标书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rFonts w:hint="eastAsia"/>
      </w:rPr>
      <w:t>中国南方电网有限责任公司500kV线路保护标准技术标书第</w:t>
    </w:r>
    <w:r>
      <w:fldChar w:fldCharType="begin"/>
    </w:r>
    <w:r>
      <w:rPr>
        <w:rStyle w:val="25"/>
      </w:rPr>
      <w:instrText xml:space="preserve"> PAGE </w:instrText>
    </w:r>
    <w:r>
      <w:fldChar w:fldCharType="separate"/>
    </w:r>
    <w:r>
      <w:rPr>
        <w:rStyle w:val="25"/>
      </w:rPr>
      <w:t>II</w:t>
    </w:r>
    <w:r>
      <w:fldChar w:fldCharType="end"/>
    </w:r>
    <w:r>
      <w:rPr>
        <w:rFonts w:hint="eastAsia"/>
      </w:rPr>
      <w:t>页/共</w:t>
    </w:r>
    <w:r>
      <w:fldChar w:fldCharType="begin"/>
    </w:r>
    <w:r>
      <w:rPr>
        <w:rStyle w:val="25"/>
      </w:rPr>
      <w:instrText xml:space="preserve"> NUMPAGES </w:instrText>
    </w:r>
    <w:r>
      <w:fldChar w:fldCharType="separate"/>
    </w:r>
    <w:r>
      <w:rPr>
        <w:rStyle w:val="25"/>
      </w:rPr>
      <w:t>59</w:t>
    </w:r>
    <w:r>
      <w:fldChar w:fldCharType="end"/>
    </w:r>
    <w:r>
      <w:rPr>
        <w:rFonts w:hint="eastAsia"/>
      </w:rPr>
      <w:t>页</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rPr>
        <w:rFonts w:hint="eastAsia"/>
        <w:lang w:val="en-US" w:eastAsia="zh-CN"/>
      </w:rPr>
      <w:t xml:space="preserve">抽水机技术规范书 </w:t>
    </w: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58</w:t>
    </w:r>
    <w:r>
      <w:rPr>
        <w:kern w:val="0"/>
        <w:szCs w:val="21"/>
      </w:rPr>
      <w:fldChar w:fldCharType="end"/>
    </w:r>
    <w:r>
      <w:rPr>
        <w:rFonts w:hint="eastAsia"/>
        <w:kern w:val="0"/>
        <w:szCs w:val="21"/>
      </w:rPr>
      <w:t>页共30页</w:t>
    </w: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FFA1D7"/>
    <w:multiLevelType w:val="singleLevel"/>
    <w:tmpl w:val="9FFFA1D7"/>
    <w:lvl w:ilvl="0" w:tentative="0">
      <w:start w:val="1"/>
      <w:numFmt w:val="decimal"/>
      <w:lvlText w:val="%1."/>
      <w:lvlJc w:val="left"/>
      <w:pPr>
        <w:ind w:left="425" w:hanging="425"/>
      </w:pPr>
      <w:rPr>
        <w:rFonts w:hint="default"/>
      </w:rPr>
    </w:lvl>
  </w:abstractNum>
  <w:abstractNum w:abstractNumId="1">
    <w:nsid w:val="AD9A5B8C"/>
    <w:multiLevelType w:val="singleLevel"/>
    <w:tmpl w:val="AD9A5B8C"/>
    <w:lvl w:ilvl="0" w:tentative="0">
      <w:start w:val="1"/>
      <w:numFmt w:val="decimal"/>
      <w:lvlText w:val="%1."/>
      <w:lvlJc w:val="left"/>
      <w:pPr>
        <w:ind w:left="425" w:hanging="425"/>
      </w:pPr>
      <w:rPr>
        <w:rFonts w:hint="default"/>
      </w:rPr>
    </w:lvl>
  </w:abstractNum>
  <w:abstractNum w:abstractNumId="2">
    <w:nsid w:val="ADE61FC9"/>
    <w:multiLevelType w:val="singleLevel"/>
    <w:tmpl w:val="ADE61FC9"/>
    <w:lvl w:ilvl="0" w:tentative="0">
      <w:start w:val="2"/>
      <w:numFmt w:val="decimal"/>
      <w:lvlText w:val="%1."/>
      <w:lvlJc w:val="left"/>
      <w:rPr>
        <w:color w:val="3370FF"/>
      </w:rPr>
    </w:lvl>
  </w:abstractNum>
  <w:abstractNum w:abstractNumId="3">
    <w:nsid w:val="CFFE981F"/>
    <w:multiLevelType w:val="singleLevel"/>
    <w:tmpl w:val="CFFE981F"/>
    <w:lvl w:ilvl="0" w:tentative="0">
      <w:start w:val="1"/>
      <w:numFmt w:val="decimal"/>
      <w:lvlText w:val="%1."/>
      <w:lvlJc w:val="left"/>
      <w:pPr>
        <w:ind w:left="425" w:hanging="425"/>
      </w:pPr>
      <w:rPr>
        <w:rFonts w:hint="default"/>
      </w:rPr>
    </w:lvl>
  </w:abstractNum>
  <w:abstractNum w:abstractNumId="4">
    <w:nsid w:val="D90EB951"/>
    <w:multiLevelType w:val="multilevel"/>
    <w:tmpl w:val="D90EB951"/>
    <w:lvl w:ilvl="0" w:tentative="0">
      <w:start w:val="1"/>
      <w:numFmt w:val="decimal"/>
      <w:pStyle w:val="2"/>
      <w:lvlText w:val="%1"/>
      <w:lvlJc w:val="left"/>
      <w:pPr>
        <w:ind w:left="672" w:hanging="432"/>
      </w:pPr>
      <w:rPr>
        <w:rFonts w:hint="default"/>
      </w:rPr>
    </w:lvl>
    <w:lvl w:ilvl="1" w:tentative="0">
      <w:start w:val="1"/>
      <w:numFmt w:val="decimal"/>
      <w:pStyle w:val="3"/>
      <w:lvlText w:val="%1.%2"/>
      <w:lvlJc w:val="left"/>
      <w:pPr>
        <w:ind w:left="816" w:hanging="576"/>
      </w:pPr>
    </w:lvl>
    <w:lvl w:ilvl="2" w:tentative="0">
      <w:start w:val="1"/>
      <w:numFmt w:val="decimal"/>
      <w:lvlText w:val="%1.%2.%3"/>
      <w:lvlJc w:val="left"/>
      <w:pPr>
        <w:ind w:left="960" w:hanging="720"/>
      </w:pPr>
    </w:lvl>
    <w:lvl w:ilvl="3" w:tentative="0">
      <w:start w:val="1"/>
      <w:numFmt w:val="decimal"/>
      <w:lvlText w:val="%1.%2.%3.%4"/>
      <w:lvlJc w:val="left"/>
      <w:pPr>
        <w:ind w:left="1104" w:hanging="864"/>
      </w:pPr>
    </w:lvl>
    <w:lvl w:ilvl="4" w:tentative="0">
      <w:start w:val="1"/>
      <w:numFmt w:val="decimal"/>
      <w:pStyle w:val="6"/>
      <w:lvlText w:val="%1.%2.%3.%4.%5"/>
      <w:lvlJc w:val="left"/>
      <w:pPr>
        <w:ind w:left="1248" w:hanging="1008"/>
      </w:pPr>
    </w:lvl>
    <w:lvl w:ilvl="5" w:tentative="0">
      <w:start w:val="1"/>
      <w:numFmt w:val="decimal"/>
      <w:pStyle w:val="7"/>
      <w:lvlText w:val="%1.%2.%3.%4.%5.%6"/>
      <w:lvlJc w:val="left"/>
      <w:pPr>
        <w:ind w:left="1392" w:hanging="1152"/>
      </w:pPr>
    </w:lvl>
    <w:lvl w:ilvl="6" w:tentative="0">
      <w:start w:val="1"/>
      <w:numFmt w:val="decimal"/>
      <w:pStyle w:val="8"/>
      <w:lvlText w:val="%1.%2.%3.%4.%5.%6.%7"/>
      <w:lvlJc w:val="left"/>
      <w:pPr>
        <w:ind w:left="1536" w:hanging="1296"/>
      </w:pPr>
    </w:lvl>
    <w:lvl w:ilvl="7" w:tentative="0">
      <w:start w:val="1"/>
      <w:numFmt w:val="decimal"/>
      <w:pStyle w:val="9"/>
      <w:lvlText w:val="%1.%2.%3.%4.%5.%6.%7.%8"/>
      <w:lvlJc w:val="left"/>
      <w:pPr>
        <w:ind w:left="1680" w:hanging="1440"/>
      </w:pPr>
    </w:lvl>
    <w:lvl w:ilvl="8" w:tentative="0">
      <w:start w:val="1"/>
      <w:numFmt w:val="decimal"/>
      <w:pStyle w:val="10"/>
      <w:lvlText w:val="%1.%2.%3.%4.%5.%6.%7.%8.%9"/>
      <w:lvlJc w:val="left"/>
      <w:pPr>
        <w:ind w:left="1824" w:hanging="1584"/>
      </w:pPr>
    </w:lvl>
  </w:abstractNum>
  <w:abstractNum w:abstractNumId="5">
    <w:nsid w:val="EDFEB5F5"/>
    <w:multiLevelType w:val="singleLevel"/>
    <w:tmpl w:val="EDFEB5F5"/>
    <w:lvl w:ilvl="0" w:tentative="0">
      <w:start w:val="1"/>
      <w:numFmt w:val="decimal"/>
      <w:lvlText w:val="%1."/>
      <w:lvlJc w:val="left"/>
      <w:rPr>
        <w:color w:val="3370FF"/>
      </w:rPr>
    </w:lvl>
  </w:abstractNum>
  <w:abstractNum w:abstractNumId="6">
    <w:nsid w:val="EFFE0449"/>
    <w:multiLevelType w:val="singleLevel"/>
    <w:tmpl w:val="EFFE0449"/>
    <w:lvl w:ilvl="0" w:tentative="0">
      <w:start w:val="1"/>
      <w:numFmt w:val="decimal"/>
      <w:lvlText w:val="%1."/>
      <w:lvlJc w:val="left"/>
      <w:pPr>
        <w:ind w:left="425" w:hanging="425"/>
      </w:pPr>
      <w:rPr>
        <w:rFonts w:hint="default"/>
      </w:rPr>
    </w:lvl>
  </w:abstractNum>
  <w:abstractNum w:abstractNumId="7">
    <w:nsid w:val="F7FA0EC0"/>
    <w:multiLevelType w:val="singleLevel"/>
    <w:tmpl w:val="F7FA0EC0"/>
    <w:lvl w:ilvl="0" w:tentative="0">
      <w:start w:val="1"/>
      <w:numFmt w:val="decimal"/>
      <w:lvlText w:val="%1."/>
      <w:lvlJc w:val="left"/>
      <w:pPr>
        <w:ind w:left="425" w:hanging="425"/>
      </w:pPr>
      <w:rPr>
        <w:rFonts w:hint="default"/>
      </w:rPr>
    </w:lvl>
  </w:abstractNum>
  <w:abstractNum w:abstractNumId="8">
    <w:nsid w:val="FBDD7E79"/>
    <w:multiLevelType w:val="singleLevel"/>
    <w:tmpl w:val="FBDD7E79"/>
    <w:lvl w:ilvl="0" w:tentative="0">
      <w:start w:val="1"/>
      <w:numFmt w:val="decimal"/>
      <w:lvlText w:val="%1."/>
      <w:lvlJc w:val="left"/>
      <w:pPr>
        <w:ind w:left="425" w:hanging="425"/>
      </w:pPr>
      <w:rPr>
        <w:rFonts w:hint="default"/>
      </w:rPr>
    </w:lvl>
  </w:abstractNum>
  <w:abstractNum w:abstractNumId="9">
    <w:nsid w:val="FFFE1F00"/>
    <w:multiLevelType w:val="singleLevel"/>
    <w:tmpl w:val="FFFE1F00"/>
    <w:lvl w:ilvl="0" w:tentative="0">
      <w:start w:val="1"/>
      <w:numFmt w:val="decimal"/>
      <w:lvlText w:val="%1."/>
      <w:lvlJc w:val="left"/>
      <w:rPr>
        <w:rFonts w:hint="default"/>
        <w:color w:val="auto"/>
      </w:rPr>
    </w:lvl>
  </w:abstractNum>
  <w:abstractNum w:abstractNumId="10">
    <w:nsid w:val="1FFEA863"/>
    <w:multiLevelType w:val="singleLevel"/>
    <w:tmpl w:val="1FFEA863"/>
    <w:lvl w:ilvl="0" w:tentative="0">
      <w:start w:val="1"/>
      <w:numFmt w:val="decimal"/>
      <w:lvlText w:val="%1."/>
      <w:lvlJc w:val="left"/>
      <w:pPr>
        <w:ind w:left="425" w:hanging="425"/>
      </w:pPr>
      <w:rPr>
        <w:rFonts w:hint="default"/>
      </w:rPr>
    </w:lvl>
  </w:abstractNum>
  <w:abstractNum w:abstractNumId="11">
    <w:nsid w:val="6E089B07"/>
    <w:multiLevelType w:val="multilevel"/>
    <w:tmpl w:val="6E089B07"/>
    <w:lvl w:ilvl="0" w:tentative="0">
      <w:start w:val="1"/>
      <w:numFmt w:val="decimal"/>
      <w:lvlText w:val="%1."/>
      <w:lvlJc w:val="left"/>
      <w:pPr>
        <w:ind w:left="708" w:hanging="425"/>
      </w:pPr>
      <w:rPr>
        <w:rFonts w:hint="default"/>
      </w:rPr>
    </w:lvl>
    <w:lvl w:ilvl="1" w:tentative="0">
      <w:start w:val="1"/>
      <w:numFmt w:val="decimal"/>
      <w:lvlText w:val="%1.%2."/>
      <w:lvlJc w:val="left"/>
      <w:pPr>
        <w:ind w:left="992"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2">
    <w:nsid w:val="78FEBE3D"/>
    <w:multiLevelType w:val="singleLevel"/>
    <w:tmpl w:val="78FEBE3D"/>
    <w:lvl w:ilvl="0" w:tentative="0">
      <w:start w:val="1"/>
      <w:numFmt w:val="decimal"/>
      <w:lvlText w:val="%1."/>
      <w:lvlJc w:val="left"/>
      <w:pPr>
        <w:ind w:left="425" w:hanging="425"/>
      </w:pPr>
      <w:rPr>
        <w:rFonts w:hint="default"/>
      </w:rPr>
    </w:lvl>
  </w:abstractNum>
  <w:num w:numId="1">
    <w:abstractNumId w:val="4"/>
  </w:num>
  <w:num w:numId="2">
    <w:abstractNumId w:val="11"/>
  </w:num>
  <w:num w:numId="3">
    <w:abstractNumId w:val="1"/>
  </w:num>
  <w:num w:numId="4">
    <w:abstractNumId w:val="10"/>
  </w:num>
  <w:num w:numId="5">
    <w:abstractNumId w:val="0"/>
  </w:num>
  <w:num w:numId="6">
    <w:abstractNumId w:val="8"/>
  </w:num>
  <w:num w:numId="7">
    <w:abstractNumId w:val="6"/>
  </w:num>
  <w:num w:numId="8">
    <w:abstractNumId w:val="7"/>
  </w:num>
  <w:num w:numId="9">
    <w:abstractNumId w:val="3"/>
  </w:num>
  <w:num w:numId="10">
    <w:abstractNumId w:val="12"/>
  </w:num>
  <w:num w:numId="11">
    <w:abstractNumId w:val="5"/>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952E15"/>
    <w:rsid w:val="00026BDC"/>
    <w:rsid w:val="00090A50"/>
    <w:rsid w:val="0014701E"/>
    <w:rsid w:val="00167F7D"/>
    <w:rsid w:val="001D55EE"/>
    <w:rsid w:val="001D71BB"/>
    <w:rsid w:val="002E67D4"/>
    <w:rsid w:val="006139D8"/>
    <w:rsid w:val="006140F3"/>
    <w:rsid w:val="00685B1C"/>
    <w:rsid w:val="006D051E"/>
    <w:rsid w:val="009B3963"/>
    <w:rsid w:val="009E29F3"/>
    <w:rsid w:val="00A01D77"/>
    <w:rsid w:val="00A06255"/>
    <w:rsid w:val="00A53153"/>
    <w:rsid w:val="00A74C23"/>
    <w:rsid w:val="00A940F9"/>
    <w:rsid w:val="00AD4589"/>
    <w:rsid w:val="00BF40A5"/>
    <w:rsid w:val="00C048CB"/>
    <w:rsid w:val="00C77D0D"/>
    <w:rsid w:val="00D05161"/>
    <w:rsid w:val="00D17187"/>
    <w:rsid w:val="00DB59F4"/>
    <w:rsid w:val="00E14D95"/>
    <w:rsid w:val="00E15985"/>
    <w:rsid w:val="00E5510A"/>
    <w:rsid w:val="011B0A67"/>
    <w:rsid w:val="011F59FD"/>
    <w:rsid w:val="01203084"/>
    <w:rsid w:val="012A1E78"/>
    <w:rsid w:val="012D564F"/>
    <w:rsid w:val="01840F9B"/>
    <w:rsid w:val="018803C8"/>
    <w:rsid w:val="01AB3D9B"/>
    <w:rsid w:val="01B2567D"/>
    <w:rsid w:val="01D803FB"/>
    <w:rsid w:val="01E156DD"/>
    <w:rsid w:val="01E81E94"/>
    <w:rsid w:val="023B0FEE"/>
    <w:rsid w:val="02407E6F"/>
    <w:rsid w:val="025D0792"/>
    <w:rsid w:val="028D2630"/>
    <w:rsid w:val="02A64F18"/>
    <w:rsid w:val="02AD34F4"/>
    <w:rsid w:val="02CE5028"/>
    <w:rsid w:val="02D4600D"/>
    <w:rsid w:val="02DD2233"/>
    <w:rsid w:val="03002861"/>
    <w:rsid w:val="03074EB4"/>
    <w:rsid w:val="035B7934"/>
    <w:rsid w:val="036D7D6E"/>
    <w:rsid w:val="03A10192"/>
    <w:rsid w:val="03A466CC"/>
    <w:rsid w:val="03B44492"/>
    <w:rsid w:val="03BF6775"/>
    <w:rsid w:val="03C74BB5"/>
    <w:rsid w:val="03F32240"/>
    <w:rsid w:val="04086400"/>
    <w:rsid w:val="04300676"/>
    <w:rsid w:val="0478706F"/>
    <w:rsid w:val="047C1254"/>
    <w:rsid w:val="04AE1EE2"/>
    <w:rsid w:val="04B55092"/>
    <w:rsid w:val="04C77462"/>
    <w:rsid w:val="04D563B3"/>
    <w:rsid w:val="04F35ED1"/>
    <w:rsid w:val="05000C12"/>
    <w:rsid w:val="0588047B"/>
    <w:rsid w:val="05AF51F5"/>
    <w:rsid w:val="05B22790"/>
    <w:rsid w:val="05B97AB5"/>
    <w:rsid w:val="05C33511"/>
    <w:rsid w:val="05FC51B4"/>
    <w:rsid w:val="0658212B"/>
    <w:rsid w:val="066D7188"/>
    <w:rsid w:val="067F60AD"/>
    <w:rsid w:val="069035DF"/>
    <w:rsid w:val="069C5AEE"/>
    <w:rsid w:val="06C55D6E"/>
    <w:rsid w:val="06DE214A"/>
    <w:rsid w:val="06E230F6"/>
    <w:rsid w:val="06F50192"/>
    <w:rsid w:val="06F7182F"/>
    <w:rsid w:val="070A57E0"/>
    <w:rsid w:val="071C2053"/>
    <w:rsid w:val="071F38F9"/>
    <w:rsid w:val="072040EA"/>
    <w:rsid w:val="075340CC"/>
    <w:rsid w:val="07760245"/>
    <w:rsid w:val="077A10F2"/>
    <w:rsid w:val="07857B54"/>
    <w:rsid w:val="078B3C70"/>
    <w:rsid w:val="07A80A90"/>
    <w:rsid w:val="07D52BA9"/>
    <w:rsid w:val="07EC0390"/>
    <w:rsid w:val="07F34E21"/>
    <w:rsid w:val="080C1215"/>
    <w:rsid w:val="08273D19"/>
    <w:rsid w:val="08465321"/>
    <w:rsid w:val="084C3617"/>
    <w:rsid w:val="089E5A3A"/>
    <w:rsid w:val="08AD46A1"/>
    <w:rsid w:val="08B47A02"/>
    <w:rsid w:val="08B845C9"/>
    <w:rsid w:val="08BE7DE2"/>
    <w:rsid w:val="08BF53CC"/>
    <w:rsid w:val="090F03B5"/>
    <w:rsid w:val="091A553F"/>
    <w:rsid w:val="091D250E"/>
    <w:rsid w:val="09263E2D"/>
    <w:rsid w:val="09294BCB"/>
    <w:rsid w:val="095D0688"/>
    <w:rsid w:val="097E7F40"/>
    <w:rsid w:val="09916C07"/>
    <w:rsid w:val="099E34E5"/>
    <w:rsid w:val="09C2147F"/>
    <w:rsid w:val="09D70479"/>
    <w:rsid w:val="09DB692B"/>
    <w:rsid w:val="09E51E0E"/>
    <w:rsid w:val="09E76C59"/>
    <w:rsid w:val="09F86C81"/>
    <w:rsid w:val="0A0037B9"/>
    <w:rsid w:val="0A047BA3"/>
    <w:rsid w:val="0A6522B6"/>
    <w:rsid w:val="0A7B6F00"/>
    <w:rsid w:val="0A7F2FBE"/>
    <w:rsid w:val="0A8B4D50"/>
    <w:rsid w:val="0A8F080F"/>
    <w:rsid w:val="0AA57BE7"/>
    <w:rsid w:val="0AA8200A"/>
    <w:rsid w:val="0AD36E1D"/>
    <w:rsid w:val="0AFD47FC"/>
    <w:rsid w:val="0B115E74"/>
    <w:rsid w:val="0B13113B"/>
    <w:rsid w:val="0B362E72"/>
    <w:rsid w:val="0B540BB2"/>
    <w:rsid w:val="0B5A2317"/>
    <w:rsid w:val="0B63601A"/>
    <w:rsid w:val="0B871E56"/>
    <w:rsid w:val="0BB6171C"/>
    <w:rsid w:val="0BC53940"/>
    <w:rsid w:val="0BCB55B8"/>
    <w:rsid w:val="0BD17DF8"/>
    <w:rsid w:val="0BD55679"/>
    <w:rsid w:val="0BE14E0C"/>
    <w:rsid w:val="0C0E2DAD"/>
    <w:rsid w:val="0C21337C"/>
    <w:rsid w:val="0C3B5B77"/>
    <w:rsid w:val="0C720D19"/>
    <w:rsid w:val="0CC569D9"/>
    <w:rsid w:val="0CCA7600"/>
    <w:rsid w:val="0CDD7488"/>
    <w:rsid w:val="0CE628ED"/>
    <w:rsid w:val="0CF01994"/>
    <w:rsid w:val="0CFF0960"/>
    <w:rsid w:val="0D0C53E6"/>
    <w:rsid w:val="0D2A6F5B"/>
    <w:rsid w:val="0D45263A"/>
    <w:rsid w:val="0D5562D3"/>
    <w:rsid w:val="0D565565"/>
    <w:rsid w:val="0D570BB7"/>
    <w:rsid w:val="0D5A7A56"/>
    <w:rsid w:val="0DE40972"/>
    <w:rsid w:val="0DE601CC"/>
    <w:rsid w:val="0DF05AA7"/>
    <w:rsid w:val="0E277CC2"/>
    <w:rsid w:val="0E3E1B37"/>
    <w:rsid w:val="0E4C6C96"/>
    <w:rsid w:val="0E5470F2"/>
    <w:rsid w:val="0E73339D"/>
    <w:rsid w:val="0E763175"/>
    <w:rsid w:val="0E7D3DBA"/>
    <w:rsid w:val="0E811E85"/>
    <w:rsid w:val="0EB07E1F"/>
    <w:rsid w:val="0EB42F53"/>
    <w:rsid w:val="0EB6385C"/>
    <w:rsid w:val="0EBC72C7"/>
    <w:rsid w:val="0EC27E26"/>
    <w:rsid w:val="0EE02FCE"/>
    <w:rsid w:val="0EED1BFB"/>
    <w:rsid w:val="0EF01E99"/>
    <w:rsid w:val="0F1446CB"/>
    <w:rsid w:val="0F520A4E"/>
    <w:rsid w:val="0F523430"/>
    <w:rsid w:val="0F632919"/>
    <w:rsid w:val="0F635864"/>
    <w:rsid w:val="0F7F48A1"/>
    <w:rsid w:val="0F952E15"/>
    <w:rsid w:val="0F9777B3"/>
    <w:rsid w:val="0F9F7C7F"/>
    <w:rsid w:val="0FA7652A"/>
    <w:rsid w:val="0FBE1BAE"/>
    <w:rsid w:val="0FC422F0"/>
    <w:rsid w:val="0FCA3F3C"/>
    <w:rsid w:val="0FF4235A"/>
    <w:rsid w:val="0FFF5E0F"/>
    <w:rsid w:val="101F4EB5"/>
    <w:rsid w:val="1028153B"/>
    <w:rsid w:val="102979C8"/>
    <w:rsid w:val="102D4537"/>
    <w:rsid w:val="102D50F8"/>
    <w:rsid w:val="10332340"/>
    <w:rsid w:val="10354362"/>
    <w:rsid w:val="103817A3"/>
    <w:rsid w:val="10434141"/>
    <w:rsid w:val="105D575F"/>
    <w:rsid w:val="10817E44"/>
    <w:rsid w:val="109B3CF8"/>
    <w:rsid w:val="10B23B4B"/>
    <w:rsid w:val="10BE11F2"/>
    <w:rsid w:val="10C35B7B"/>
    <w:rsid w:val="10ED1764"/>
    <w:rsid w:val="10F1502F"/>
    <w:rsid w:val="1109001F"/>
    <w:rsid w:val="1112374F"/>
    <w:rsid w:val="111E773D"/>
    <w:rsid w:val="11234D80"/>
    <w:rsid w:val="1143094B"/>
    <w:rsid w:val="11590366"/>
    <w:rsid w:val="116B4268"/>
    <w:rsid w:val="118B6C97"/>
    <w:rsid w:val="11906433"/>
    <w:rsid w:val="119D6462"/>
    <w:rsid w:val="11A20DC2"/>
    <w:rsid w:val="11AB7C29"/>
    <w:rsid w:val="11B057E6"/>
    <w:rsid w:val="11C50583"/>
    <w:rsid w:val="11DB2190"/>
    <w:rsid w:val="12377CEC"/>
    <w:rsid w:val="12545F76"/>
    <w:rsid w:val="128E7E7B"/>
    <w:rsid w:val="12BC500F"/>
    <w:rsid w:val="12C76AE8"/>
    <w:rsid w:val="12E631E6"/>
    <w:rsid w:val="12EC53F6"/>
    <w:rsid w:val="13073693"/>
    <w:rsid w:val="131821D8"/>
    <w:rsid w:val="133C4890"/>
    <w:rsid w:val="1341736C"/>
    <w:rsid w:val="134B0B37"/>
    <w:rsid w:val="134B2AF1"/>
    <w:rsid w:val="13825190"/>
    <w:rsid w:val="13887CD6"/>
    <w:rsid w:val="138A5B24"/>
    <w:rsid w:val="13990C9E"/>
    <w:rsid w:val="13C5358B"/>
    <w:rsid w:val="13D44784"/>
    <w:rsid w:val="13DA4490"/>
    <w:rsid w:val="13DC42A6"/>
    <w:rsid w:val="140E1406"/>
    <w:rsid w:val="14104729"/>
    <w:rsid w:val="141177B2"/>
    <w:rsid w:val="143A3BC4"/>
    <w:rsid w:val="144131AC"/>
    <w:rsid w:val="14452C98"/>
    <w:rsid w:val="146061C0"/>
    <w:rsid w:val="148D25BA"/>
    <w:rsid w:val="14BA44D9"/>
    <w:rsid w:val="14C111BA"/>
    <w:rsid w:val="14CC667B"/>
    <w:rsid w:val="14EA34E5"/>
    <w:rsid w:val="14F122F2"/>
    <w:rsid w:val="15041D3C"/>
    <w:rsid w:val="150D086F"/>
    <w:rsid w:val="15177379"/>
    <w:rsid w:val="157444BA"/>
    <w:rsid w:val="157C0131"/>
    <w:rsid w:val="157C335F"/>
    <w:rsid w:val="15837C25"/>
    <w:rsid w:val="158D0489"/>
    <w:rsid w:val="15911B10"/>
    <w:rsid w:val="1591551E"/>
    <w:rsid w:val="1593080A"/>
    <w:rsid w:val="15935AA3"/>
    <w:rsid w:val="15C04A53"/>
    <w:rsid w:val="15CB3A9D"/>
    <w:rsid w:val="15E3366C"/>
    <w:rsid w:val="15E86E8A"/>
    <w:rsid w:val="163F2007"/>
    <w:rsid w:val="168D1266"/>
    <w:rsid w:val="16931E50"/>
    <w:rsid w:val="169A0017"/>
    <w:rsid w:val="169F551D"/>
    <w:rsid w:val="16AA674A"/>
    <w:rsid w:val="16BA2357"/>
    <w:rsid w:val="16CF4DD0"/>
    <w:rsid w:val="16DF591A"/>
    <w:rsid w:val="16E65CF1"/>
    <w:rsid w:val="16ED7CF1"/>
    <w:rsid w:val="170B6341"/>
    <w:rsid w:val="172C70E3"/>
    <w:rsid w:val="173A4697"/>
    <w:rsid w:val="17423D25"/>
    <w:rsid w:val="17480543"/>
    <w:rsid w:val="174F723B"/>
    <w:rsid w:val="17604D35"/>
    <w:rsid w:val="176467FE"/>
    <w:rsid w:val="177C28BE"/>
    <w:rsid w:val="1782339D"/>
    <w:rsid w:val="179809BA"/>
    <w:rsid w:val="17BC795A"/>
    <w:rsid w:val="17DA4A5F"/>
    <w:rsid w:val="17EB4158"/>
    <w:rsid w:val="17EC162C"/>
    <w:rsid w:val="17FE3499"/>
    <w:rsid w:val="1809044B"/>
    <w:rsid w:val="180E1E38"/>
    <w:rsid w:val="181202B4"/>
    <w:rsid w:val="182872D9"/>
    <w:rsid w:val="18872644"/>
    <w:rsid w:val="188A0F44"/>
    <w:rsid w:val="18CE57FC"/>
    <w:rsid w:val="195465E1"/>
    <w:rsid w:val="19826EE0"/>
    <w:rsid w:val="19843706"/>
    <w:rsid w:val="19AA64B0"/>
    <w:rsid w:val="19AD3C2C"/>
    <w:rsid w:val="19B55CF3"/>
    <w:rsid w:val="19BC61BF"/>
    <w:rsid w:val="19D24147"/>
    <w:rsid w:val="19DF7485"/>
    <w:rsid w:val="1A717F2E"/>
    <w:rsid w:val="1A8058AE"/>
    <w:rsid w:val="1A9E74B4"/>
    <w:rsid w:val="1AE127DE"/>
    <w:rsid w:val="1AE25876"/>
    <w:rsid w:val="1AED4593"/>
    <w:rsid w:val="1AF6078B"/>
    <w:rsid w:val="1AFB629F"/>
    <w:rsid w:val="1B070AF7"/>
    <w:rsid w:val="1B1C7800"/>
    <w:rsid w:val="1B4D379A"/>
    <w:rsid w:val="1B4D718B"/>
    <w:rsid w:val="1B6C54E3"/>
    <w:rsid w:val="1BC82944"/>
    <w:rsid w:val="1BCD21D4"/>
    <w:rsid w:val="1BCF2401"/>
    <w:rsid w:val="1BE72596"/>
    <w:rsid w:val="1C077FF6"/>
    <w:rsid w:val="1C224807"/>
    <w:rsid w:val="1C3B2538"/>
    <w:rsid w:val="1C614A7E"/>
    <w:rsid w:val="1C8A6CE9"/>
    <w:rsid w:val="1C8E17B6"/>
    <w:rsid w:val="1C986A88"/>
    <w:rsid w:val="1C9D0B69"/>
    <w:rsid w:val="1CA33F1C"/>
    <w:rsid w:val="1CA72A40"/>
    <w:rsid w:val="1CB97827"/>
    <w:rsid w:val="1CBB4289"/>
    <w:rsid w:val="1CBD542B"/>
    <w:rsid w:val="1CE6538B"/>
    <w:rsid w:val="1CEE32E5"/>
    <w:rsid w:val="1D052E8F"/>
    <w:rsid w:val="1D2F6432"/>
    <w:rsid w:val="1D47724A"/>
    <w:rsid w:val="1DAF4298"/>
    <w:rsid w:val="1DD74CBB"/>
    <w:rsid w:val="1DEC73E5"/>
    <w:rsid w:val="1E16313A"/>
    <w:rsid w:val="1E377B00"/>
    <w:rsid w:val="1E482827"/>
    <w:rsid w:val="1E4E03FF"/>
    <w:rsid w:val="1E6B38CA"/>
    <w:rsid w:val="1E6D0EFF"/>
    <w:rsid w:val="1E886CF6"/>
    <w:rsid w:val="1EC52880"/>
    <w:rsid w:val="1EC71AB5"/>
    <w:rsid w:val="1ED9577A"/>
    <w:rsid w:val="1EDA14E1"/>
    <w:rsid w:val="1EE6041E"/>
    <w:rsid w:val="1EFC1369"/>
    <w:rsid w:val="1F344294"/>
    <w:rsid w:val="1F3C6FDC"/>
    <w:rsid w:val="1F523F07"/>
    <w:rsid w:val="1F8B2C4D"/>
    <w:rsid w:val="1FA8579D"/>
    <w:rsid w:val="1FAC1CFE"/>
    <w:rsid w:val="1FAD4814"/>
    <w:rsid w:val="1FE90C05"/>
    <w:rsid w:val="20011A5D"/>
    <w:rsid w:val="200C78E8"/>
    <w:rsid w:val="200D5E30"/>
    <w:rsid w:val="2035401D"/>
    <w:rsid w:val="203F55F3"/>
    <w:rsid w:val="204227A5"/>
    <w:rsid w:val="205247CA"/>
    <w:rsid w:val="205A5828"/>
    <w:rsid w:val="206977B4"/>
    <w:rsid w:val="20812AB3"/>
    <w:rsid w:val="20832352"/>
    <w:rsid w:val="20A66DBB"/>
    <w:rsid w:val="20B35BB3"/>
    <w:rsid w:val="20BD3AB2"/>
    <w:rsid w:val="20BE4DE7"/>
    <w:rsid w:val="20C06672"/>
    <w:rsid w:val="20D50176"/>
    <w:rsid w:val="20E33E11"/>
    <w:rsid w:val="20F11BF0"/>
    <w:rsid w:val="20F929A4"/>
    <w:rsid w:val="20FB5E2D"/>
    <w:rsid w:val="210B2454"/>
    <w:rsid w:val="21105037"/>
    <w:rsid w:val="211865F8"/>
    <w:rsid w:val="211A52ED"/>
    <w:rsid w:val="214928DD"/>
    <w:rsid w:val="215F29B8"/>
    <w:rsid w:val="21A41E1A"/>
    <w:rsid w:val="21C92AD7"/>
    <w:rsid w:val="21F93DDE"/>
    <w:rsid w:val="222D480E"/>
    <w:rsid w:val="22401962"/>
    <w:rsid w:val="2241380B"/>
    <w:rsid w:val="22454A75"/>
    <w:rsid w:val="224E7557"/>
    <w:rsid w:val="225F4489"/>
    <w:rsid w:val="2263163E"/>
    <w:rsid w:val="22C504CA"/>
    <w:rsid w:val="22DC5DCF"/>
    <w:rsid w:val="22EF560A"/>
    <w:rsid w:val="230D4D1D"/>
    <w:rsid w:val="231336A3"/>
    <w:rsid w:val="231D2CB8"/>
    <w:rsid w:val="2385254D"/>
    <w:rsid w:val="23A117EE"/>
    <w:rsid w:val="23C10132"/>
    <w:rsid w:val="23DA6508"/>
    <w:rsid w:val="23E83ED0"/>
    <w:rsid w:val="23FC2053"/>
    <w:rsid w:val="240956C0"/>
    <w:rsid w:val="2419690F"/>
    <w:rsid w:val="24270C93"/>
    <w:rsid w:val="24440A16"/>
    <w:rsid w:val="24607D7A"/>
    <w:rsid w:val="24797CDD"/>
    <w:rsid w:val="24A41426"/>
    <w:rsid w:val="24A95017"/>
    <w:rsid w:val="24AA67DD"/>
    <w:rsid w:val="24BB79C6"/>
    <w:rsid w:val="24C033A4"/>
    <w:rsid w:val="24D30C10"/>
    <w:rsid w:val="24E84EB4"/>
    <w:rsid w:val="24EA553C"/>
    <w:rsid w:val="24F54AA9"/>
    <w:rsid w:val="250C0FF0"/>
    <w:rsid w:val="25277CBA"/>
    <w:rsid w:val="253411A6"/>
    <w:rsid w:val="25455431"/>
    <w:rsid w:val="254766CF"/>
    <w:rsid w:val="255E5775"/>
    <w:rsid w:val="25610124"/>
    <w:rsid w:val="257E4D0C"/>
    <w:rsid w:val="25833082"/>
    <w:rsid w:val="258E567A"/>
    <w:rsid w:val="258F4E6D"/>
    <w:rsid w:val="25905D43"/>
    <w:rsid w:val="25960D1F"/>
    <w:rsid w:val="25B27C21"/>
    <w:rsid w:val="25BA2FFA"/>
    <w:rsid w:val="25BD1B1F"/>
    <w:rsid w:val="25DE0DD1"/>
    <w:rsid w:val="262F3A43"/>
    <w:rsid w:val="265608F5"/>
    <w:rsid w:val="2662265A"/>
    <w:rsid w:val="266548E4"/>
    <w:rsid w:val="26981F10"/>
    <w:rsid w:val="26A701C5"/>
    <w:rsid w:val="26A81C03"/>
    <w:rsid w:val="26B211D3"/>
    <w:rsid w:val="26C6446A"/>
    <w:rsid w:val="26CC049D"/>
    <w:rsid w:val="26CC3617"/>
    <w:rsid w:val="26F8457D"/>
    <w:rsid w:val="272179E5"/>
    <w:rsid w:val="272D5C3F"/>
    <w:rsid w:val="273305D4"/>
    <w:rsid w:val="279A3851"/>
    <w:rsid w:val="27A25708"/>
    <w:rsid w:val="27A42993"/>
    <w:rsid w:val="27B22602"/>
    <w:rsid w:val="27B921CD"/>
    <w:rsid w:val="27BE51CE"/>
    <w:rsid w:val="27C22CE4"/>
    <w:rsid w:val="27DD65D4"/>
    <w:rsid w:val="280A092B"/>
    <w:rsid w:val="28607C44"/>
    <w:rsid w:val="28802B60"/>
    <w:rsid w:val="28A72650"/>
    <w:rsid w:val="28D45F01"/>
    <w:rsid w:val="28E042EF"/>
    <w:rsid w:val="28F23D41"/>
    <w:rsid w:val="29181057"/>
    <w:rsid w:val="29456D28"/>
    <w:rsid w:val="298116FD"/>
    <w:rsid w:val="299F2B15"/>
    <w:rsid w:val="29B810E6"/>
    <w:rsid w:val="29E81CEF"/>
    <w:rsid w:val="29FB6322"/>
    <w:rsid w:val="2A164B27"/>
    <w:rsid w:val="2A414E6C"/>
    <w:rsid w:val="2A4F3037"/>
    <w:rsid w:val="2A530EA9"/>
    <w:rsid w:val="2A673073"/>
    <w:rsid w:val="2A77438F"/>
    <w:rsid w:val="2A774E09"/>
    <w:rsid w:val="2AAC0CEA"/>
    <w:rsid w:val="2AB76683"/>
    <w:rsid w:val="2ABB138C"/>
    <w:rsid w:val="2ABB14BB"/>
    <w:rsid w:val="2AD879FE"/>
    <w:rsid w:val="2AF00F1E"/>
    <w:rsid w:val="2B076FD1"/>
    <w:rsid w:val="2B225F87"/>
    <w:rsid w:val="2B232995"/>
    <w:rsid w:val="2B2362C5"/>
    <w:rsid w:val="2B5B6BE5"/>
    <w:rsid w:val="2B834432"/>
    <w:rsid w:val="2BA33F1C"/>
    <w:rsid w:val="2BA675D9"/>
    <w:rsid w:val="2BAC1148"/>
    <w:rsid w:val="2BC164E2"/>
    <w:rsid w:val="2BE47CED"/>
    <w:rsid w:val="2BEC2B5B"/>
    <w:rsid w:val="2BF9426D"/>
    <w:rsid w:val="2C1D4DF7"/>
    <w:rsid w:val="2C1E0728"/>
    <w:rsid w:val="2C457A8C"/>
    <w:rsid w:val="2C466F5B"/>
    <w:rsid w:val="2C4A0A06"/>
    <w:rsid w:val="2C50711C"/>
    <w:rsid w:val="2C642C79"/>
    <w:rsid w:val="2CC0072C"/>
    <w:rsid w:val="2CC077C2"/>
    <w:rsid w:val="2CC667B2"/>
    <w:rsid w:val="2CD41411"/>
    <w:rsid w:val="2CD46C9D"/>
    <w:rsid w:val="2CE9779C"/>
    <w:rsid w:val="2CF16FDD"/>
    <w:rsid w:val="2D2442F1"/>
    <w:rsid w:val="2D4C270B"/>
    <w:rsid w:val="2D75266D"/>
    <w:rsid w:val="2D963BC9"/>
    <w:rsid w:val="2DA06311"/>
    <w:rsid w:val="2DC47DD7"/>
    <w:rsid w:val="2DC53AC7"/>
    <w:rsid w:val="2DC77716"/>
    <w:rsid w:val="2DD85398"/>
    <w:rsid w:val="2DDE03F8"/>
    <w:rsid w:val="2DED3AC5"/>
    <w:rsid w:val="2DF3754D"/>
    <w:rsid w:val="2DFA5A7B"/>
    <w:rsid w:val="2DFD5BC9"/>
    <w:rsid w:val="2E0574DC"/>
    <w:rsid w:val="2E4D59F9"/>
    <w:rsid w:val="2E790125"/>
    <w:rsid w:val="2E8C56A5"/>
    <w:rsid w:val="2E8E336E"/>
    <w:rsid w:val="2E9C17FD"/>
    <w:rsid w:val="2EF41CC8"/>
    <w:rsid w:val="2F302095"/>
    <w:rsid w:val="2F6534CB"/>
    <w:rsid w:val="2F6B6E54"/>
    <w:rsid w:val="2F7E4A5C"/>
    <w:rsid w:val="2F8277D3"/>
    <w:rsid w:val="2F8A59A9"/>
    <w:rsid w:val="2F9B242E"/>
    <w:rsid w:val="2FA05369"/>
    <w:rsid w:val="2FA9301C"/>
    <w:rsid w:val="2FAA0D63"/>
    <w:rsid w:val="2FE457A1"/>
    <w:rsid w:val="2FEB0C77"/>
    <w:rsid w:val="301A7541"/>
    <w:rsid w:val="30432049"/>
    <w:rsid w:val="305B27D2"/>
    <w:rsid w:val="30765915"/>
    <w:rsid w:val="308E1F88"/>
    <w:rsid w:val="30986E0D"/>
    <w:rsid w:val="30A50ACE"/>
    <w:rsid w:val="30AF56FB"/>
    <w:rsid w:val="30DF1286"/>
    <w:rsid w:val="30EC273A"/>
    <w:rsid w:val="311B1CDC"/>
    <w:rsid w:val="313006E0"/>
    <w:rsid w:val="314A34B0"/>
    <w:rsid w:val="315749DE"/>
    <w:rsid w:val="31986B4A"/>
    <w:rsid w:val="31A56795"/>
    <w:rsid w:val="31B22151"/>
    <w:rsid w:val="31BE36C4"/>
    <w:rsid w:val="31C762EC"/>
    <w:rsid w:val="31C95215"/>
    <w:rsid w:val="31D37177"/>
    <w:rsid w:val="31F75A71"/>
    <w:rsid w:val="31F864D6"/>
    <w:rsid w:val="320C3474"/>
    <w:rsid w:val="322360C0"/>
    <w:rsid w:val="32283D45"/>
    <w:rsid w:val="322F0090"/>
    <w:rsid w:val="322F7200"/>
    <w:rsid w:val="32350BED"/>
    <w:rsid w:val="323A2739"/>
    <w:rsid w:val="323B13BD"/>
    <w:rsid w:val="325D750C"/>
    <w:rsid w:val="326C0040"/>
    <w:rsid w:val="326F0FA5"/>
    <w:rsid w:val="3292068C"/>
    <w:rsid w:val="329E4A59"/>
    <w:rsid w:val="32AB5C75"/>
    <w:rsid w:val="32B02295"/>
    <w:rsid w:val="32BD4414"/>
    <w:rsid w:val="32EF2B1C"/>
    <w:rsid w:val="32FF3B1E"/>
    <w:rsid w:val="330B46F4"/>
    <w:rsid w:val="33191C1B"/>
    <w:rsid w:val="33360560"/>
    <w:rsid w:val="335A65FC"/>
    <w:rsid w:val="33727E9B"/>
    <w:rsid w:val="338E016B"/>
    <w:rsid w:val="33C156EC"/>
    <w:rsid w:val="33D43963"/>
    <w:rsid w:val="33DA6DF5"/>
    <w:rsid w:val="340123CF"/>
    <w:rsid w:val="340262C1"/>
    <w:rsid w:val="34033802"/>
    <w:rsid w:val="342B1486"/>
    <w:rsid w:val="344A0E21"/>
    <w:rsid w:val="347408A3"/>
    <w:rsid w:val="34825E0A"/>
    <w:rsid w:val="34B03006"/>
    <w:rsid w:val="34B72D3C"/>
    <w:rsid w:val="34CE72A2"/>
    <w:rsid w:val="34DA09BE"/>
    <w:rsid w:val="34E153BE"/>
    <w:rsid w:val="34EF5975"/>
    <w:rsid w:val="34F82605"/>
    <w:rsid w:val="34F8690E"/>
    <w:rsid w:val="34F92A9D"/>
    <w:rsid w:val="35321C38"/>
    <w:rsid w:val="354447A5"/>
    <w:rsid w:val="3546260A"/>
    <w:rsid w:val="354C4C36"/>
    <w:rsid w:val="35700465"/>
    <w:rsid w:val="3572268F"/>
    <w:rsid w:val="35801C2C"/>
    <w:rsid w:val="358952A6"/>
    <w:rsid w:val="35990846"/>
    <w:rsid w:val="359C0BEC"/>
    <w:rsid w:val="35B57DD3"/>
    <w:rsid w:val="35C21843"/>
    <w:rsid w:val="35CE2E2C"/>
    <w:rsid w:val="35E679F4"/>
    <w:rsid w:val="35EB7863"/>
    <w:rsid w:val="35F12A4E"/>
    <w:rsid w:val="36032F7B"/>
    <w:rsid w:val="360F0F5E"/>
    <w:rsid w:val="365C0E10"/>
    <w:rsid w:val="3661535A"/>
    <w:rsid w:val="36A302BA"/>
    <w:rsid w:val="36D36DE8"/>
    <w:rsid w:val="36D40605"/>
    <w:rsid w:val="371B7871"/>
    <w:rsid w:val="371D1E81"/>
    <w:rsid w:val="372C4A3D"/>
    <w:rsid w:val="372E4CC3"/>
    <w:rsid w:val="373D07F9"/>
    <w:rsid w:val="374B2696"/>
    <w:rsid w:val="376F3C94"/>
    <w:rsid w:val="37702C8C"/>
    <w:rsid w:val="37A70FB7"/>
    <w:rsid w:val="37CA02FC"/>
    <w:rsid w:val="37CA4FEB"/>
    <w:rsid w:val="37D921E5"/>
    <w:rsid w:val="37DE0AE3"/>
    <w:rsid w:val="37F55B11"/>
    <w:rsid w:val="380B7544"/>
    <w:rsid w:val="38130201"/>
    <w:rsid w:val="38337786"/>
    <w:rsid w:val="386707CF"/>
    <w:rsid w:val="387F53C0"/>
    <w:rsid w:val="38871652"/>
    <w:rsid w:val="388C2A9E"/>
    <w:rsid w:val="388E4E68"/>
    <w:rsid w:val="38E5447A"/>
    <w:rsid w:val="38F7173E"/>
    <w:rsid w:val="38FD14A2"/>
    <w:rsid w:val="39271328"/>
    <w:rsid w:val="39350DF6"/>
    <w:rsid w:val="3939649D"/>
    <w:rsid w:val="396E7533"/>
    <w:rsid w:val="396F26D5"/>
    <w:rsid w:val="398402A8"/>
    <w:rsid w:val="39A13259"/>
    <w:rsid w:val="3A4A6CCF"/>
    <w:rsid w:val="3A5D3409"/>
    <w:rsid w:val="3A9929CF"/>
    <w:rsid w:val="3AAD5BAB"/>
    <w:rsid w:val="3AB61DC2"/>
    <w:rsid w:val="3AB977FC"/>
    <w:rsid w:val="3ADF10E1"/>
    <w:rsid w:val="3B2A6B8F"/>
    <w:rsid w:val="3B342972"/>
    <w:rsid w:val="3B371CB4"/>
    <w:rsid w:val="3B555E44"/>
    <w:rsid w:val="3B665697"/>
    <w:rsid w:val="3B6B2240"/>
    <w:rsid w:val="3B795E5C"/>
    <w:rsid w:val="3B7F4680"/>
    <w:rsid w:val="3B8266DA"/>
    <w:rsid w:val="3B90034F"/>
    <w:rsid w:val="3BA449EB"/>
    <w:rsid w:val="3BBB2A81"/>
    <w:rsid w:val="3BC90678"/>
    <w:rsid w:val="3C074B4E"/>
    <w:rsid w:val="3C271C33"/>
    <w:rsid w:val="3C367EAD"/>
    <w:rsid w:val="3C590B82"/>
    <w:rsid w:val="3C75152F"/>
    <w:rsid w:val="3C7671E7"/>
    <w:rsid w:val="3C795135"/>
    <w:rsid w:val="3C8B07D4"/>
    <w:rsid w:val="3C9C0F27"/>
    <w:rsid w:val="3C9E6710"/>
    <w:rsid w:val="3CAE3ABE"/>
    <w:rsid w:val="3CF0683C"/>
    <w:rsid w:val="3D12567D"/>
    <w:rsid w:val="3D1F2315"/>
    <w:rsid w:val="3D20421B"/>
    <w:rsid w:val="3D274242"/>
    <w:rsid w:val="3D4D4083"/>
    <w:rsid w:val="3D6020BA"/>
    <w:rsid w:val="3D667773"/>
    <w:rsid w:val="3D74650C"/>
    <w:rsid w:val="3D833381"/>
    <w:rsid w:val="3D9F00AD"/>
    <w:rsid w:val="3DF3712B"/>
    <w:rsid w:val="3DF95BBC"/>
    <w:rsid w:val="3E0B1EF9"/>
    <w:rsid w:val="3E2A0456"/>
    <w:rsid w:val="3E34142C"/>
    <w:rsid w:val="3E3E2275"/>
    <w:rsid w:val="3E431154"/>
    <w:rsid w:val="3E484F38"/>
    <w:rsid w:val="3E534E3E"/>
    <w:rsid w:val="3E554250"/>
    <w:rsid w:val="3E595BFF"/>
    <w:rsid w:val="3E5D0A43"/>
    <w:rsid w:val="3E8F60B9"/>
    <w:rsid w:val="3EA753A2"/>
    <w:rsid w:val="3EAE74AC"/>
    <w:rsid w:val="3EB5121E"/>
    <w:rsid w:val="3EB54A0A"/>
    <w:rsid w:val="3EEF6C1E"/>
    <w:rsid w:val="3F070D76"/>
    <w:rsid w:val="3F0F2CDB"/>
    <w:rsid w:val="3F1D75A2"/>
    <w:rsid w:val="3F371406"/>
    <w:rsid w:val="3F456AC1"/>
    <w:rsid w:val="3F5807ED"/>
    <w:rsid w:val="3F5813A1"/>
    <w:rsid w:val="3F6F1EB6"/>
    <w:rsid w:val="3FBD0691"/>
    <w:rsid w:val="3FDE59D4"/>
    <w:rsid w:val="40005CD9"/>
    <w:rsid w:val="40047A8A"/>
    <w:rsid w:val="40211600"/>
    <w:rsid w:val="40224945"/>
    <w:rsid w:val="402D2326"/>
    <w:rsid w:val="40377510"/>
    <w:rsid w:val="40862B30"/>
    <w:rsid w:val="40863C48"/>
    <w:rsid w:val="409B7C89"/>
    <w:rsid w:val="40A00C2C"/>
    <w:rsid w:val="40AE66C4"/>
    <w:rsid w:val="40CD0CF1"/>
    <w:rsid w:val="40DB1F7A"/>
    <w:rsid w:val="40E0696A"/>
    <w:rsid w:val="40E16DAD"/>
    <w:rsid w:val="412B6368"/>
    <w:rsid w:val="416661AD"/>
    <w:rsid w:val="41831F8B"/>
    <w:rsid w:val="41AC728D"/>
    <w:rsid w:val="41D4096B"/>
    <w:rsid w:val="41D51DE4"/>
    <w:rsid w:val="41DC07A5"/>
    <w:rsid w:val="41E338BD"/>
    <w:rsid w:val="41ED20DC"/>
    <w:rsid w:val="42197A54"/>
    <w:rsid w:val="421B46F8"/>
    <w:rsid w:val="422B597D"/>
    <w:rsid w:val="423F061E"/>
    <w:rsid w:val="425F0297"/>
    <w:rsid w:val="42697349"/>
    <w:rsid w:val="428468CB"/>
    <w:rsid w:val="42B70D56"/>
    <w:rsid w:val="42B927B4"/>
    <w:rsid w:val="42F942C5"/>
    <w:rsid w:val="42FF2B78"/>
    <w:rsid w:val="430C798F"/>
    <w:rsid w:val="43300B97"/>
    <w:rsid w:val="4333192F"/>
    <w:rsid w:val="4338300F"/>
    <w:rsid w:val="434A5A2F"/>
    <w:rsid w:val="434B6FBF"/>
    <w:rsid w:val="435C611C"/>
    <w:rsid w:val="437F6BA5"/>
    <w:rsid w:val="438600DD"/>
    <w:rsid w:val="438A44FE"/>
    <w:rsid w:val="439D279F"/>
    <w:rsid w:val="43BA5E71"/>
    <w:rsid w:val="43C05589"/>
    <w:rsid w:val="441501B0"/>
    <w:rsid w:val="443E65DA"/>
    <w:rsid w:val="44432266"/>
    <w:rsid w:val="44475E98"/>
    <w:rsid w:val="445226C5"/>
    <w:rsid w:val="4456677C"/>
    <w:rsid w:val="44684A56"/>
    <w:rsid w:val="44685222"/>
    <w:rsid w:val="44775BB7"/>
    <w:rsid w:val="447D1F17"/>
    <w:rsid w:val="447F3868"/>
    <w:rsid w:val="449B705C"/>
    <w:rsid w:val="44A40F85"/>
    <w:rsid w:val="44A86879"/>
    <w:rsid w:val="450A2302"/>
    <w:rsid w:val="452969C9"/>
    <w:rsid w:val="454702DD"/>
    <w:rsid w:val="45734B59"/>
    <w:rsid w:val="459B1BDC"/>
    <w:rsid w:val="45C52C36"/>
    <w:rsid w:val="45D71C43"/>
    <w:rsid w:val="45DB7D51"/>
    <w:rsid w:val="45FC38E6"/>
    <w:rsid w:val="46566C35"/>
    <w:rsid w:val="46631271"/>
    <w:rsid w:val="46686B9C"/>
    <w:rsid w:val="46722E0D"/>
    <w:rsid w:val="46827631"/>
    <w:rsid w:val="46970067"/>
    <w:rsid w:val="46B13D20"/>
    <w:rsid w:val="46C54D34"/>
    <w:rsid w:val="46FE1EDD"/>
    <w:rsid w:val="4701087D"/>
    <w:rsid w:val="47142E4E"/>
    <w:rsid w:val="472B0583"/>
    <w:rsid w:val="473F01BA"/>
    <w:rsid w:val="474558DD"/>
    <w:rsid w:val="475D281B"/>
    <w:rsid w:val="47783BAC"/>
    <w:rsid w:val="479E05EE"/>
    <w:rsid w:val="480C1A6F"/>
    <w:rsid w:val="481268B0"/>
    <w:rsid w:val="4831209F"/>
    <w:rsid w:val="485A5C54"/>
    <w:rsid w:val="486E3C7D"/>
    <w:rsid w:val="486F5F2A"/>
    <w:rsid w:val="48C7234C"/>
    <w:rsid w:val="491849C0"/>
    <w:rsid w:val="493556E9"/>
    <w:rsid w:val="494F05B4"/>
    <w:rsid w:val="49551493"/>
    <w:rsid w:val="49683782"/>
    <w:rsid w:val="496B2C2B"/>
    <w:rsid w:val="498033FE"/>
    <w:rsid w:val="49A973EE"/>
    <w:rsid w:val="49AF4DDF"/>
    <w:rsid w:val="49B164F5"/>
    <w:rsid w:val="49B165E6"/>
    <w:rsid w:val="49B927E0"/>
    <w:rsid w:val="49DF2BF5"/>
    <w:rsid w:val="4A0C458F"/>
    <w:rsid w:val="4A151ADA"/>
    <w:rsid w:val="4A1946C3"/>
    <w:rsid w:val="4A3E5FC4"/>
    <w:rsid w:val="4A461F80"/>
    <w:rsid w:val="4A5C0D97"/>
    <w:rsid w:val="4A9B58C2"/>
    <w:rsid w:val="4A9E63DD"/>
    <w:rsid w:val="4AB36114"/>
    <w:rsid w:val="4AB465DD"/>
    <w:rsid w:val="4AD079B2"/>
    <w:rsid w:val="4AE114C9"/>
    <w:rsid w:val="4AF40BE8"/>
    <w:rsid w:val="4B10560F"/>
    <w:rsid w:val="4B170531"/>
    <w:rsid w:val="4B5D0C80"/>
    <w:rsid w:val="4B6751FD"/>
    <w:rsid w:val="4B71315E"/>
    <w:rsid w:val="4B782567"/>
    <w:rsid w:val="4B8354A1"/>
    <w:rsid w:val="4B8A21A7"/>
    <w:rsid w:val="4BB56F29"/>
    <w:rsid w:val="4BC20FC9"/>
    <w:rsid w:val="4BC44D3C"/>
    <w:rsid w:val="4BD60245"/>
    <w:rsid w:val="4BE679EB"/>
    <w:rsid w:val="4BF8394F"/>
    <w:rsid w:val="4C35750D"/>
    <w:rsid w:val="4C42742C"/>
    <w:rsid w:val="4C467123"/>
    <w:rsid w:val="4C475701"/>
    <w:rsid w:val="4C4A42B7"/>
    <w:rsid w:val="4C4D75CC"/>
    <w:rsid w:val="4C70617B"/>
    <w:rsid w:val="4C716343"/>
    <w:rsid w:val="4C9168F3"/>
    <w:rsid w:val="4CA6579B"/>
    <w:rsid w:val="4CAB194D"/>
    <w:rsid w:val="4CED1422"/>
    <w:rsid w:val="4CF308D5"/>
    <w:rsid w:val="4D16313C"/>
    <w:rsid w:val="4D2149BC"/>
    <w:rsid w:val="4D24186A"/>
    <w:rsid w:val="4D4B26CA"/>
    <w:rsid w:val="4D5938A3"/>
    <w:rsid w:val="4D730B98"/>
    <w:rsid w:val="4D8A1884"/>
    <w:rsid w:val="4D961780"/>
    <w:rsid w:val="4DAA6AD6"/>
    <w:rsid w:val="4DC9291A"/>
    <w:rsid w:val="4DF04DDF"/>
    <w:rsid w:val="4DFB3DC1"/>
    <w:rsid w:val="4DFF0D87"/>
    <w:rsid w:val="4E323FA5"/>
    <w:rsid w:val="4E485CB6"/>
    <w:rsid w:val="4EA01871"/>
    <w:rsid w:val="4EBA2938"/>
    <w:rsid w:val="4ED03394"/>
    <w:rsid w:val="4ED060F2"/>
    <w:rsid w:val="4EDD5723"/>
    <w:rsid w:val="4EED56ED"/>
    <w:rsid w:val="4EEF7A57"/>
    <w:rsid w:val="4F3A2D41"/>
    <w:rsid w:val="4F85545D"/>
    <w:rsid w:val="4F8D27A8"/>
    <w:rsid w:val="4F9815E0"/>
    <w:rsid w:val="4FA7451F"/>
    <w:rsid w:val="4FE250F5"/>
    <w:rsid w:val="500F33A0"/>
    <w:rsid w:val="502620CF"/>
    <w:rsid w:val="503072C4"/>
    <w:rsid w:val="50660CD2"/>
    <w:rsid w:val="508D7BB9"/>
    <w:rsid w:val="509172E0"/>
    <w:rsid w:val="50B26CE7"/>
    <w:rsid w:val="50D02F98"/>
    <w:rsid w:val="50FF03D4"/>
    <w:rsid w:val="51172195"/>
    <w:rsid w:val="511754BF"/>
    <w:rsid w:val="511B7980"/>
    <w:rsid w:val="513446B9"/>
    <w:rsid w:val="514546F3"/>
    <w:rsid w:val="51497629"/>
    <w:rsid w:val="5165572E"/>
    <w:rsid w:val="51727B76"/>
    <w:rsid w:val="51877001"/>
    <w:rsid w:val="518F6EE4"/>
    <w:rsid w:val="51AF3FA2"/>
    <w:rsid w:val="51B93182"/>
    <w:rsid w:val="51D0755D"/>
    <w:rsid w:val="51E46EE6"/>
    <w:rsid w:val="51FC5B54"/>
    <w:rsid w:val="52023487"/>
    <w:rsid w:val="52646F14"/>
    <w:rsid w:val="52682F3D"/>
    <w:rsid w:val="5271516B"/>
    <w:rsid w:val="52820232"/>
    <w:rsid w:val="5287320B"/>
    <w:rsid w:val="528A19AB"/>
    <w:rsid w:val="52A2168E"/>
    <w:rsid w:val="52A83559"/>
    <w:rsid w:val="52BD6488"/>
    <w:rsid w:val="52CA51E1"/>
    <w:rsid w:val="52D05643"/>
    <w:rsid w:val="52E22783"/>
    <w:rsid w:val="52EF42ED"/>
    <w:rsid w:val="52F17279"/>
    <w:rsid w:val="53005AB1"/>
    <w:rsid w:val="53446D09"/>
    <w:rsid w:val="53470CE9"/>
    <w:rsid w:val="534A3B3F"/>
    <w:rsid w:val="534C23DA"/>
    <w:rsid w:val="534D0DAF"/>
    <w:rsid w:val="536E249B"/>
    <w:rsid w:val="5371610E"/>
    <w:rsid w:val="5384336A"/>
    <w:rsid w:val="5396578A"/>
    <w:rsid w:val="53A67EFC"/>
    <w:rsid w:val="53BC5345"/>
    <w:rsid w:val="53D81AAB"/>
    <w:rsid w:val="53DD0D54"/>
    <w:rsid w:val="53E72CEF"/>
    <w:rsid w:val="53EC4188"/>
    <w:rsid w:val="544D0F25"/>
    <w:rsid w:val="544D1202"/>
    <w:rsid w:val="54904F14"/>
    <w:rsid w:val="54D157F2"/>
    <w:rsid w:val="54DC1371"/>
    <w:rsid w:val="54E25CB7"/>
    <w:rsid w:val="553F603F"/>
    <w:rsid w:val="55467DF7"/>
    <w:rsid w:val="554B1A23"/>
    <w:rsid w:val="555F0B2E"/>
    <w:rsid w:val="559C5A49"/>
    <w:rsid w:val="55B74054"/>
    <w:rsid w:val="55D44AD7"/>
    <w:rsid w:val="55DC52DC"/>
    <w:rsid w:val="560D1E6C"/>
    <w:rsid w:val="5616545C"/>
    <w:rsid w:val="56286560"/>
    <w:rsid w:val="5630482D"/>
    <w:rsid w:val="563B3C13"/>
    <w:rsid w:val="56660C90"/>
    <w:rsid w:val="56765468"/>
    <w:rsid w:val="568E0AC3"/>
    <w:rsid w:val="569C7623"/>
    <w:rsid w:val="569D6BDA"/>
    <w:rsid w:val="56A833BB"/>
    <w:rsid w:val="56B33514"/>
    <w:rsid w:val="56B63B13"/>
    <w:rsid w:val="56D47EB2"/>
    <w:rsid w:val="56E35AE4"/>
    <w:rsid w:val="56EE72A7"/>
    <w:rsid w:val="57087F99"/>
    <w:rsid w:val="571FFB86"/>
    <w:rsid w:val="572B2546"/>
    <w:rsid w:val="57407B74"/>
    <w:rsid w:val="57573F55"/>
    <w:rsid w:val="577D6C9B"/>
    <w:rsid w:val="57C7625F"/>
    <w:rsid w:val="57D523CF"/>
    <w:rsid w:val="582A482C"/>
    <w:rsid w:val="583D275F"/>
    <w:rsid w:val="588912CB"/>
    <w:rsid w:val="589846B3"/>
    <w:rsid w:val="58A91EA1"/>
    <w:rsid w:val="58AB5292"/>
    <w:rsid w:val="58B54B47"/>
    <w:rsid w:val="58BB3256"/>
    <w:rsid w:val="58CF0E3E"/>
    <w:rsid w:val="58E87337"/>
    <w:rsid w:val="58F05525"/>
    <w:rsid w:val="58FE1115"/>
    <w:rsid w:val="592765A4"/>
    <w:rsid w:val="594208D9"/>
    <w:rsid w:val="59491499"/>
    <w:rsid w:val="59611C87"/>
    <w:rsid w:val="5965706E"/>
    <w:rsid w:val="59725888"/>
    <w:rsid w:val="59C94889"/>
    <w:rsid w:val="59DF37AC"/>
    <w:rsid w:val="5A097A2B"/>
    <w:rsid w:val="5A272745"/>
    <w:rsid w:val="5A3D7C55"/>
    <w:rsid w:val="5A513FDE"/>
    <w:rsid w:val="5A554E08"/>
    <w:rsid w:val="5A64375E"/>
    <w:rsid w:val="5A6C4C0C"/>
    <w:rsid w:val="5A766764"/>
    <w:rsid w:val="5A8632D4"/>
    <w:rsid w:val="5A8959B6"/>
    <w:rsid w:val="5A945208"/>
    <w:rsid w:val="5A9542AA"/>
    <w:rsid w:val="5AC51413"/>
    <w:rsid w:val="5ACD7B69"/>
    <w:rsid w:val="5AFC7831"/>
    <w:rsid w:val="5B13098A"/>
    <w:rsid w:val="5B1D5F4A"/>
    <w:rsid w:val="5B303552"/>
    <w:rsid w:val="5B3A3383"/>
    <w:rsid w:val="5B5B6D49"/>
    <w:rsid w:val="5B6F6E07"/>
    <w:rsid w:val="5B7B3A14"/>
    <w:rsid w:val="5B821010"/>
    <w:rsid w:val="5B8567C6"/>
    <w:rsid w:val="5B960CE6"/>
    <w:rsid w:val="5BAD06A3"/>
    <w:rsid w:val="5BB1639F"/>
    <w:rsid w:val="5BC5477D"/>
    <w:rsid w:val="5BD17B4C"/>
    <w:rsid w:val="5BE91932"/>
    <w:rsid w:val="5C003D25"/>
    <w:rsid w:val="5C144F70"/>
    <w:rsid w:val="5C2B135F"/>
    <w:rsid w:val="5C5526FF"/>
    <w:rsid w:val="5C8E623C"/>
    <w:rsid w:val="5C996CBC"/>
    <w:rsid w:val="5CAB6ADF"/>
    <w:rsid w:val="5CCD7CB9"/>
    <w:rsid w:val="5CE12FC8"/>
    <w:rsid w:val="5CF3437A"/>
    <w:rsid w:val="5CF43114"/>
    <w:rsid w:val="5CFD41F3"/>
    <w:rsid w:val="5D113218"/>
    <w:rsid w:val="5D4930BA"/>
    <w:rsid w:val="5D4D0EEB"/>
    <w:rsid w:val="5D5338F9"/>
    <w:rsid w:val="5D56048F"/>
    <w:rsid w:val="5D61031F"/>
    <w:rsid w:val="5D797C9C"/>
    <w:rsid w:val="5D7E071D"/>
    <w:rsid w:val="5D810DDD"/>
    <w:rsid w:val="5DB50D59"/>
    <w:rsid w:val="5DCD5A99"/>
    <w:rsid w:val="5E165EC3"/>
    <w:rsid w:val="5E1F2CDD"/>
    <w:rsid w:val="5E631301"/>
    <w:rsid w:val="5E762A2C"/>
    <w:rsid w:val="5E814130"/>
    <w:rsid w:val="5EB0113C"/>
    <w:rsid w:val="5EB109F3"/>
    <w:rsid w:val="5EB21109"/>
    <w:rsid w:val="5EC6412A"/>
    <w:rsid w:val="5ECB3C18"/>
    <w:rsid w:val="5EE635B4"/>
    <w:rsid w:val="5EE906B0"/>
    <w:rsid w:val="5EF30192"/>
    <w:rsid w:val="5EF70B41"/>
    <w:rsid w:val="5F083FC2"/>
    <w:rsid w:val="5F09030D"/>
    <w:rsid w:val="5F234D26"/>
    <w:rsid w:val="5F3D2D19"/>
    <w:rsid w:val="5F4158B5"/>
    <w:rsid w:val="5F475556"/>
    <w:rsid w:val="5F595469"/>
    <w:rsid w:val="5F5B6E73"/>
    <w:rsid w:val="5F6652CC"/>
    <w:rsid w:val="5F8F1C80"/>
    <w:rsid w:val="5FDB30F1"/>
    <w:rsid w:val="5FF26B36"/>
    <w:rsid w:val="60392872"/>
    <w:rsid w:val="607267CC"/>
    <w:rsid w:val="60AE5BC8"/>
    <w:rsid w:val="60B029F4"/>
    <w:rsid w:val="60BF3D4C"/>
    <w:rsid w:val="60D2341B"/>
    <w:rsid w:val="60DE4086"/>
    <w:rsid w:val="60EF270B"/>
    <w:rsid w:val="60FF33EE"/>
    <w:rsid w:val="61052C88"/>
    <w:rsid w:val="610E1462"/>
    <w:rsid w:val="611858A2"/>
    <w:rsid w:val="61210A86"/>
    <w:rsid w:val="61473938"/>
    <w:rsid w:val="615B542D"/>
    <w:rsid w:val="61626B32"/>
    <w:rsid w:val="61663995"/>
    <w:rsid w:val="616D08C1"/>
    <w:rsid w:val="617A2EAA"/>
    <w:rsid w:val="61821E2A"/>
    <w:rsid w:val="61842B45"/>
    <w:rsid w:val="61C430FB"/>
    <w:rsid w:val="6207253B"/>
    <w:rsid w:val="622A066E"/>
    <w:rsid w:val="622F773F"/>
    <w:rsid w:val="623F3E87"/>
    <w:rsid w:val="625000F7"/>
    <w:rsid w:val="62536E58"/>
    <w:rsid w:val="62587E80"/>
    <w:rsid w:val="626420E8"/>
    <w:rsid w:val="626F35C2"/>
    <w:rsid w:val="62844339"/>
    <w:rsid w:val="62C82BC5"/>
    <w:rsid w:val="62CB6B38"/>
    <w:rsid w:val="62E52187"/>
    <w:rsid w:val="62E91227"/>
    <w:rsid w:val="63270FF9"/>
    <w:rsid w:val="635709A7"/>
    <w:rsid w:val="63660521"/>
    <w:rsid w:val="63674EB3"/>
    <w:rsid w:val="637C5D39"/>
    <w:rsid w:val="638767B2"/>
    <w:rsid w:val="63881B11"/>
    <w:rsid w:val="638865E5"/>
    <w:rsid w:val="63C4194D"/>
    <w:rsid w:val="63EE7CDC"/>
    <w:rsid w:val="63F164FB"/>
    <w:rsid w:val="63F45E84"/>
    <w:rsid w:val="64616F3B"/>
    <w:rsid w:val="64634A08"/>
    <w:rsid w:val="647F2F69"/>
    <w:rsid w:val="649749DD"/>
    <w:rsid w:val="64A54580"/>
    <w:rsid w:val="64BD0763"/>
    <w:rsid w:val="64C14E5C"/>
    <w:rsid w:val="64CA6972"/>
    <w:rsid w:val="64EB2E09"/>
    <w:rsid w:val="655005E5"/>
    <w:rsid w:val="65D56621"/>
    <w:rsid w:val="65E43BEF"/>
    <w:rsid w:val="65E66A3B"/>
    <w:rsid w:val="660130BE"/>
    <w:rsid w:val="661B4ED5"/>
    <w:rsid w:val="6621343D"/>
    <w:rsid w:val="66353F04"/>
    <w:rsid w:val="66466AF9"/>
    <w:rsid w:val="6671570C"/>
    <w:rsid w:val="66A77581"/>
    <w:rsid w:val="66B61862"/>
    <w:rsid w:val="67086FE5"/>
    <w:rsid w:val="672475F5"/>
    <w:rsid w:val="67450CB5"/>
    <w:rsid w:val="674703D8"/>
    <w:rsid w:val="6768166E"/>
    <w:rsid w:val="676C5BB2"/>
    <w:rsid w:val="678450A8"/>
    <w:rsid w:val="678E0047"/>
    <w:rsid w:val="67C223E6"/>
    <w:rsid w:val="67C55C34"/>
    <w:rsid w:val="67CE2A4E"/>
    <w:rsid w:val="67CF31A0"/>
    <w:rsid w:val="67DE13F8"/>
    <w:rsid w:val="67E23EA7"/>
    <w:rsid w:val="67E401AC"/>
    <w:rsid w:val="680912C3"/>
    <w:rsid w:val="68172E5E"/>
    <w:rsid w:val="681B6EEC"/>
    <w:rsid w:val="68394C62"/>
    <w:rsid w:val="683C2E2B"/>
    <w:rsid w:val="683E0C16"/>
    <w:rsid w:val="683F5B78"/>
    <w:rsid w:val="684C0191"/>
    <w:rsid w:val="684D095C"/>
    <w:rsid w:val="68534CD3"/>
    <w:rsid w:val="687E1E19"/>
    <w:rsid w:val="68A013BB"/>
    <w:rsid w:val="68DD6368"/>
    <w:rsid w:val="68E43F44"/>
    <w:rsid w:val="68E87626"/>
    <w:rsid w:val="68EC21A6"/>
    <w:rsid w:val="68ED7234"/>
    <w:rsid w:val="68EE51D8"/>
    <w:rsid w:val="68F904F0"/>
    <w:rsid w:val="69230374"/>
    <w:rsid w:val="693A1DC7"/>
    <w:rsid w:val="695A6CDA"/>
    <w:rsid w:val="696066D9"/>
    <w:rsid w:val="697D24CA"/>
    <w:rsid w:val="69994618"/>
    <w:rsid w:val="69AB66A3"/>
    <w:rsid w:val="69B110A7"/>
    <w:rsid w:val="69B7087C"/>
    <w:rsid w:val="69D003CF"/>
    <w:rsid w:val="69D0617F"/>
    <w:rsid w:val="69D201BB"/>
    <w:rsid w:val="69E21300"/>
    <w:rsid w:val="69FF72BC"/>
    <w:rsid w:val="6A051C62"/>
    <w:rsid w:val="6A0C0A33"/>
    <w:rsid w:val="6A1008D7"/>
    <w:rsid w:val="6A2634EE"/>
    <w:rsid w:val="6A266425"/>
    <w:rsid w:val="6A3D128B"/>
    <w:rsid w:val="6A3F30DF"/>
    <w:rsid w:val="6A645B1A"/>
    <w:rsid w:val="6A6D6C00"/>
    <w:rsid w:val="6A733FF6"/>
    <w:rsid w:val="6A776443"/>
    <w:rsid w:val="6A8F0A67"/>
    <w:rsid w:val="6AA32B9F"/>
    <w:rsid w:val="6AA60CD6"/>
    <w:rsid w:val="6AD42215"/>
    <w:rsid w:val="6AEB0BB5"/>
    <w:rsid w:val="6AF71A0B"/>
    <w:rsid w:val="6AFA5F2C"/>
    <w:rsid w:val="6B2579B6"/>
    <w:rsid w:val="6B2D1238"/>
    <w:rsid w:val="6B421207"/>
    <w:rsid w:val="6B4634C2"/>
    <w:rsid w:val="6B464BF6"/>
    <w:rsid w:val="6B823ECA"/>
    <w:rsid w:val="6BA26F59"/>
    <w:rsid w:val="6BB257C3"/>
    <w:rsid w:val="6BD053DD"/>
    <w:rsid w:val="6BDD334B"/>
    <w:rsid w:val="6BF41E69"/>
    <w:rsid w:val="6BF77783"/>
    <w:rsid w:val="6C521674"/>
    <w:rsid w:val="6C591D8C"/>
    <w:rsid w:val="6C916240"/>
    <w:rsid w:val="6C9167F3"/>
    <w:rsid w:val="6CAE56A2"/>
    <w:rsid w:val="6CB41EBA"/>
    <w:rsid w:val="6CCB6C12"/>
    <w:rsid w:val="6CD2545B"/>
    <w:rsid w:val="6CEE1A51"/>
    <w:rsid w:val="6CFA04BF"/>
    <w:rsid w:val="6D014EB4"/>
    <w:rsid w:val="6D06067F"/>
    <w:rsid w:val="6D2531FB"/>
    <w:rsid w:val="6D3256C6"/>
    <w:rsid w:val="6D3D0606"/>
    <w:rsid w:val="6D570C69"/>
    <w:rsid w:val="6D637319"/>
    <w:rsid w:val="6D6F6958"/>
    <w:rsid w:val="6D7E3440"/>
    <w:rsid w:val="6DCA2791"/>
    <w:rsid w:val="6DE35F97"/>
    <w:rsid w:val="6DF075F5"/>
    <w:rsid w:val="6DFB67C0"/>
    <w:rsid w:val="6E226DC7"/>
    <w:rsid w:val="6E230581"/>
    <w:rsid w:val="6E2F2212"/>
    <w:rsid w:val="6E4F358A"/>
    <w:rsid w:val="6E6652BF"/>
    <w:rsid w:val="6E6B7042"/>
    <w:rsid w:val="6E7F4433"/>
    <w:rsid w:val="6E8035F2"/>
    <w:rsid w:val="6E9B3A04"/>
    <w:rsid w:val="6E9C4CCA"/>
    <w:rsid w:val="6EA72004"/>
    <w:rsid w:val="6EF43887"/>
    <w:rsid w:val="6F1A5FBF"/>
    <w:rsid w:val="6F2315F5"/>
    <w:rsid w:val="6F2F3D47"/>
    <w:rsid w:val="6F354C8C"/>
    <w:rsid w:val="6FA452B1"/>
    <w:rsid w:val="6FBF2E90"/>
    <w:rsid w:val="6FC667CD"/>
    <w:rsid w:val="6FD01F88"/>
    <w:rsid w:val="6FDD35BA"/>
    <w:rsid w:val="6FE43C9C"/>
    <w:rsid w:val="701C13A7"/>
    <w:rsid w:val="702134A1"/>
    <w:rsid w:val="70240A70"/>
    <w:rsid w:val="70286F9C"/>
    <w:rsid w:val="703807D3"/>
    <w:rsid w:val="7038246E"/>
    <w:rsid w:val="70512595"/>
    <w:rsid w:val="706F1708"/>
    <w:rsid w:val="706F2DE0"/>
    <w:rsid w:val="70917F1F"/>
    <w:rsid w:val="70B84386"/>
    <w:rsid w:val="70BD6EB8"/>
    <w:rsid w:val="70FA6E37"/>
    <w:rsid w:val="70FA723B"/>
    <w:rsid w:val="70FF5B11"/>
    <w:rsid w:val="713A6B3C"/>
    <w:rsid w:val="713B20D6"/>
    <w:rsid w:val="713E6F7E"/>
    <w:rsid w:val="715B3588"/>
    <w:rsid w:val="716A31DD"/>
    <w:rsid w:val="716B3DA1"/>
    <w:rsid w:val="71740782"/>
    <w:rsid w:val="718166DC"/>
    <w:rsid w:val="718A6727"/>
    <w:rsid w:val="71961C3E"/>
    <w:rsid w:val="71A30B93"/>
    <w:rsid w:val="71E03228"/>
    <w:rsid w:val="71F238C8"/>
    <w:rsid w:val="71F77B95"/>
    <w:rsid w:val="71FA26B8"/>
    <w:rsid w:val="7217294D"/>
    <w:rsid w:val="724561C4"/>
    <w:rsid w:val="72594823"/>
    <w:rsid w:val="726F3753"/>
    <w:rsid w:val="726F4522"/>
    <w:rsid w:val="728330F6"/>
    <w:rsid w:val="728B7BC5"/>
    <w:rsid w:val="728E4663"/>
    <w:rsid w:val="72A73806"/>
    <w:rsid w:val="73364102"/>
    <w:rsid w:val="73B72176"/>
    <w:rsid w:val="73C25E4C"/>
    <w:rsid w:val="73ED0E6A"/>
    <w:rsid w:val="74051E7F"/>
    <w:rsid w:val="741C1942"/>
    <w:rsid w:val="7430401A"/>
    <w:rsid w:val="743157D2"/>
    <w:rsid w:val="74356975"/>
    <w:rsid w:val="7472215E"/>
    <w:rsid w:val="74C048DC"/>
    <w:rsid w:val="74C2757B"/>
    <w:rsid w:val="74E63408"/>
    <w:rsid w:val="74EA3463"/>
    <w:rsid w:val="74F31FCB"/>
    <w:rsid w:val="74F37239"/>
    <w:rsid w:val="750D097E"/>
    <w:rsid w:val="7516673A"/>
    <w:rsid w:val="752F76F8"/>
    <w:rsid w:val="753C61DE"/>
    <w:rsid w:val="75443193"/>
    <w:rsid w:val="755F5E9B"/>
    <w:rsid w:val="75687EF0"/>
    <w:rsid w:val="758565A7"/>
    <w:rsid w:val="7591022E"/>
    <w:rsid w:val="759B32D2"/>
    <w:rsid w:val="759B3E31"/>
    <w:rsid w:val="75B034CD"/>
    <w:rsid w:val="75BF3132"/>
    <w:rsid w:val="75E67F1A"/>
    <w:rsid w:val="75F7678B"/>
    <w:rsid w:val="76107DC2"/>
    <w:rsid w:val="761330E9"/>
    <w:rsid w:val="76166A88"/>
    <w:rsid w:val="763265D1"/>
    <w:rsid w:val="76356029"/>
    <w:rsid w:val="763E0BC7"/>
    <w:rsid w:val="764566BC"/>
    <w:rsid w:val="764B2907"/>
    <w:rsid w:val="765263A6"/>
    <w:rsid w:val="768B4BE5"/>
    <w:rsid w:val="76AB7206"/>
    <w:rsid w:val="76AF4CF9"/>
    <w:rsid w:val="76BF228B"/>
    <w:rsid w:val="76DC5A0C"/>
    <w:rsid w:val="772941B8"/>
    <w:rsid w:val="77534F6E"/>
    <w:rsid w:val="776E437B"/>
    <w:rsid w:val="779C055E"/>
    <w:rsid w:val="77DFBC6C"/>
    <w:rsid w:val="78085BF3"/>
    <w:rsid w:val="78173C26"/>
    <w:rsid w:val="781B4DE7"/>
    <w:rsid w:val="781B5763"/>
    <w:rsid w:val="783D4756"/>
    <w:rsid w:val="783E5412"/>
    <w:rsid w:val="786302F2"/>
    <w:rsid w:val="78680825"/>
    <w:rsid w:val="786E5338"/>
    <w:rsid w:val="78796CC2"/>
    <w:rsid w:val="787D55E6"/>
    <w:rsid w:val="788B37E1"/>
    <w:rsid w:val="78AF5D22"/>
    <w:rsid w:val="78B81F8D"/>
    <w:rsid w:val="78D74A72"/>
    <w:rsid w:val="79020370"/>
    <w:rsid w:val="79114895"/>
    <w:rsid w:val="79304B37"/>
    <w:rsid w:val="793B1E91"/>
    <w:rsid w:val="795F7BC5"/>
    <w:rsid w:val="79731708"/>
    <w:rsid w:val="79890A5A"/>
    <w:rsid w:val="798B68EE"/>
    <w:rsid w:val="79A35FDF"/>
    <w:rsid w:val="79AF05EE"/>
    <w:rsid w:val="79BB6081"/>
    <w:rsid w:val="79BF7567"/>
    <w:rsid w:val="79D56778"/>
    <w:rsid w:val="79E007D6"/>
    <w:rsid w:val="79E57F11"/>
    <w:rsid w:val="79EE476E"/>
    <w:rsid w:val="7A026D44"/>
    <w:rsid w:val="7A2817F0"/>
    <w:rsid w:val="7A473FA6"/>
    <w:rsid w:val="7A5077DE"/>
    <w:rsid w:val="7A5F48C3"/>
    <w:rsid w:val="7A611932"/>
    <w:rsid w:val="7A614FFA"/>
    <w:rsid w:val="7A737C5F"/>
    <w:rsid w:val="7A8A15FD"/>
    <w:rsid w:val="7A8F0B1D"/>
    <w:rsid w:val="7AA25F5B"/>
    <w:rsid w:val="7AA5177B"/>
    <w:rsid w:val="7AAA2563"/>
    <w:rsid w:val="7AC06AC3"/>
    <w:rsid w:val="7AD01599"/>
    <w:rsid w:val="7ADC75A9"/>
    <w:rsid w:val="7AE01A33"/>
    <w:rsid w:val="7AE1492A"/>
    <w:rsid w:val="7AF45F62"/>
    <w:rsid w:val="7B0056D5"/>
    <w:rsid w:val="7B116A21"/>
    <w:rsid w:val="7B1603AE"/>
    <w:rsid w:val="7B1A3CA7"/>
    <w:rsid w:val="7B1C0C62"/>
    <w:rsid w:val="7B267257"/>
    <w:rsid w:val="7B2C3AF5"/>
    <w:rsid w:val="7B32221D"/>
    <w:rsid w:val="7B425546"/>
    <w:rsid w:val="7B805DC9"/>
    <w:rsid w:val="7B851173"/>
    <w:rsid w:val="7B945FD5"/>
    <w:rsid w:val="7BB63258"/>
    <w:rsid w:val="7BBA3593"/>
    <w:rsid w:val="7BFD5318"/>
    <w:rsid w:val="7C0261BE"/>
    <w:rsid w:val="7C0831A1"/>
    <w:rsid w:val="7C11467F"/>
    <w:rsid w:val="7C232E8B"/>
    <w:rsid w:val="7C4D3404"/>
    <w:rsid w:val="7C583CF9"/>
    <w:rsid w:val="7C60168E"/>
    <w:rsid w:val="7C6D5668"/>
    <w:rsid w:val="7C734BFD"/>
    <w:rsid w:val="7CAF2AE1"/>
    <w:rsid w:val="7CB20DB6"/>
    <w:rsid w:val="7CB535B9"/>
    <w:rsid w:val="7CB91220"/>
    <w:rsid w:val="7CC05EEC"/>
    <w:rsid w:val="7CD40CA4"/>
    <w:rsid w:val="7CFBF6DD"/>
    <w:rsid w:val="7D287695"/>
    <w:rsid w:val="7D3074AE"/>
    <w:rsid w:val="7D58284F"/>
    <w:rsid w:val="7D750DCC"/>
    <w:rsid w:val="7D93502F"/>
    <w:rsid w:val="7DB94D6B"/>
    <w:rsid w:val="7E2143A5"/>
    <w:rsid w:val="7E284041"/>
    <w:rsid w:val="7E43425B"/>
    <w:rsid w:val="7E4C1D4C"/>
    <w:rsid w:val="7E890321"/>
    <w:rsid w:val="7EBD3A49"/>
    <w:rsid w:val="7EDE0C43"/>
    <w:rsid w:val="7EE943A8"/>
    <w:rsid w:val="7EEC4A48"/>
    <w:rsid w:val="7F077B08"/>
    <w:rsid w:val="7F267E00"/>
    <w:rsid w:val="7F574788"/>
    <w:rsid w:val="7F9801FA"/>
    <w:rsid w:val="7F9A2551"/>
    <w:rsid w:val="7F9C449A"/>
    <w:rsid w:val="7FB26A45"/>
    <w:rsid w:val="7FB421BD"/>
    <w:rsid w:val="7FC56688"/>
    <w:rsid w:val="7FFA1115"/>
    <w:rsid w:val="9FFB5FF8"/>
    <w:rsid w:val="D7FF9A17"/>
    <w:rsid w:val="FFFDDE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6" w:lineRule="auto"/>
      <w:outlineLvl w:val="0"/>
    </w:pPr>
    <w:rPr>
      <w:b/>
      <w:bCs/>
      <w:kern w:val="44"/>
      <w:sz w:val="44"/>
      <w:szCs w:val="44"/>
    </w:rPr>
  </w:style>
  <w:style w:type="paragraph" w:styleId="3">
    <w:name w:val="heading 2"/>
    <w:basedOn w:val="1"/>
    <w:next w:val="1"/>
    <w:qFormat/>
    <w:uiPriority w:val="0"/>
    <w:pPr>
      <w:keepNext/>
      <w:keepLines/>
      <w:numPr>
        <w:ilvl w:val="1"/>
        <w:numId w:val="1"/>
      </w:numPr>
      <w:adjustRightInd w:val="0"/>
      <w:spacing w:before="100" w:after="100" w:line="600" w:lineRule="exact"/>
      <w:textAlignment w:val="baseline"/>
      <w:outlineLvl w:val="1"/>
    </w:pPr>
    <w:rPr>
      <w:rFonts w:eastAsia="黑体"/>
      <w:kern w:val="0"/>
      <w:sz w:val="32"/>
      <w:szCs w:val="20"/>
    </w:rPr>
  </w:style>
  <w:style w:type="paragraph" w:styleId="4">
    <w:name w:val="heading 3"/>
    <w:basedOn w:val="1"/>
    <w:next w:val="1"/>
    <w:qFormat/>
    <w:uiPriority w:val="0"/>
    <w:pPr>
      <w:keepNext/>
      <w:keepLines/>
      <w:numPr>
        <w:ilvl w:val="2"/>
        <w:numId w:val="2"/>
      </w:numPr>
      <w:spacing w:line="360" w:lineRule="auto"/>
      <w:ind w:firstLine="482" w:firstLineChars="200"/>
      <w:outlineLvl w:val="2"/>
    </w:pPr>
    <w:rPr>
      <w:rFonts w:ascii="宋体" w:hAnsi="宋体" w:cs="宋体"/>
      <w:b/>
      <w:bCs/>
      <w:sz w:val="24"/>
      <w:szCs w:val="32"/>
    </w:rPr>
  </w:style>
  <w:style w:type="paragraph" w:styleId="5">
    <w:name w:val="heading 4"/>
    <w:basedOn w:val="1"/>
    <w:next w:val="1"/>
    <w:qFormat/>
    <w:uiPriority w:val="0"/>
    <w:pPr>
      <w:keepNext/>
      <w:keepLines/>
      <w:numPr>
        <w:ilvl w:val="3"/>
        <w:numId w:val="2"/>
      </w:numPr>
      <w:adjustRightInd w:val="0"/>
      <w:spacing w:before="157" w:beforeLines="50" w:after="157" w:afterLines="50" w:line="360" w:lineRule="auto"/>
      <w:ind w:firstLine="482" w:firstLineChars="200"/>
      <w:textAlignment w:val="baseline"/>
      <w:outlineLvl w:val="3"/>
    </w:pPr>
    <w:rPr>
      <w:rFonts w:ascii="宋体" w:hAnsi="宋体" w:cs="宋体"/>
      <w:b/>
      <w:bCs/>
      <w:sz w:val="24"/>
    </w:rPr>
  </w:style>
  <w:style w:type="paragraph" w:styleId="6">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7">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9">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qFormat/>
    <w:uiPriority w:val="0"/>
    <w:pPr>
      <w:jc w:val="left"/>
    </w:pPr>
  </w:style>
  <w:style w:type="paragraph" w:styleId="12">
    <w:name w:val="Body Text"/>
    <w:basedOn w:val="1"/>
    <w:link w:val="37"/>
    <w:qFormat/>
    <w:uiPriority w:val="0"/>
    <w:pPr>
      <w:spacing w:after="120"/>
    </w:pPr>
  </w:style>
  <w:style w:type="paragraph" w:styleId="13">
    <w:name w:val="Body Text Indent"/>
    <w:basedOn w:val="1"/>
    <w:qFormat/>
    <w:uiPriority w:val="0"/>
    <w:pPr>
      <w:ind w:left="1080"/>
    </w:pPr>
    <w:rPr>
      <w:rFonts w:ascii="楷体_GB2312" w:eastAsia="楷体_GB2312"/>
      <w:b/>
      <w:kern w:val="15"/>
      <w:sz w:val="30"/>
      <w:szCs w:val="20"/>
    </w:rPr>
  </w:style>
  <w:style w:type="paragraph" w:styleId="14">
    <w:name w:val="Plain Text"/>
    <w:basedOn w:val="1"/>
    <w:link w:val="35"/>
    <w:qFormat/>
    <w:uiPriority w:val="0"/>
    <w:pPr>
      <w:spacing w:line="360" w:lineRule="auto"/>
    </w:pPr>
    <w:rPr>
      <w:rFonts w:hint="eastAsia" w:ascii="宋体" w:hAnsi="Courier New"/>
      <w:szCs w:val="20"/>
    </w:rPr>
  </w:style>
  <w:style w:type="paragraph" w:styleId="15">
    <w:name w:val="footer"/>
    <w:basedOn w:val="1"/>
    <w:qFormat/>
    <w:uiPriority w:val="0"/>
    <w:pPr>
      <w:tabs>
        <w:tab w:val="center" w:pos="4153"/>
        <w:tab w:val="right" w:pos="8306"/>
      </w:tabs>
      <w:snapToGrid w:val="0"/>
      <w:ind w:right="210" w:rightChars="100"/>
      <w:jc w:val="right"/>
    </w:pPr>
    <w:rPr>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39"/>
    <w:pPr>
      <w:tabs>
        <w:tab w:val="right" w:leader="dot" w:pos="8296"/>
      </w:tabs>
    </w:pPr>
  </w:style>
  <w:style w:type="paragraph" w:styleId="18">
    <w:name w:val="Body Text Indent 3"/>
    <w:basedOn w:val="1"/>
    <w:qFormat/>
    <w:uiPriority w:val="0"/>
    <w:pPr>
      <w:spacing w:line="360" w:lineRule="auto"/>
      <w:ind w:firstLine="480"/>
    </w:pPr>
    <w:rPr>
      <w:sz w:val="24"/>
    </w:rPr>
  </w:style>
  <w:style w:type="paragraph" w:styleId="19">
    <w:name w:val="toc 2"/>
    <w:basedOn w:val="1"/>
    <w:next w:val="1"/>
    <w:qFormat/>
    <w:uiPriority w:val="39"/>
    <w:pPr>
      <w:ind w:left="420" w:leftChars="200"/>
    </w:pPr>
  </w:style>
  <w:style w:type="paragraph" w:styleId="20">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1">
    <w:name w:val="Body Text First Indent"/>
    <w:basedOn w:val="1"/>
    <w:link w:val="36"/>
    <w:qFormat/>
    <w:uiPriority w:val="0"/>
    <w:pPr>
      <w:spacing w:line="360" w:lineRule="auto"/>
      <w:ind w:firstLine="420" w:firstLineChars="100"/>
    </w:pPr>
    <w:rPr>
      <w:rFonts w:ascii="Calibri" w:hAnsi="Calibri"/>
      <w:szCs w:val="21"/>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character" w:styleId="26">
    <w:name w:val="Hyperlink"/>
    <w:qFormat/>
    <w:uiPriority w:val="99"/>
    <w:rPr>
      <w:rFonts w:hint="default" w:ascii="Arial" w:hAnsi="Arial" w:cs="Arial"/>
      <w:color w:val="0000AA"/>
      <w:u w:val="single"/>
    </w:rPr>
  </w:style>
  <w:style w:type="paragraph" w:customStyle="1" w:styleId="27">
    <w:name w:val="列出段落2"/>
    <w:basedOn w:val="1"/>
    <w:qFormat/>
    <w:uiPriority w:val="99"/>
    <w:pPr>
      <w:ind w:firstLine="420" w:firstLineChars="200"/>
    </w:pPr>
  </w:style>
  <w:style w:type="paragraph" w:customStyle="1" w:styleId="28">
    <w:name w:val="列出段落21"/>
    <w:basedOn w:val="1"/>
    <w:qFormat/>
    <w:uiPriority w:val="99"/>
    <w:pPr>
      <w:ind w:firstLine="420" w:firstLineChars="200"/>
    </w:pPr>
  </w:style>
  <w:style w:type="paragraph" w:customStyle="1" w:styleId="29">
    <w:name w:val="首行缩进"/>
    <w:basedOn w:val="1"/>
    <w:qFormat/>
    <w:uiPriority w:val="0"/>
    <w:pPr>
      <w:spacing w:line="300" w:lineRule="auto"/>
      <w:ind w:firstLine="420" w:firstLineChars="200"/>
    </w:pPr>
    <w:rPr>
      <w:rFonts w:eastAsia="方正书宋简体" w:cs="宋体"/>
      <w:szCs w:val="20"/>
    </w:rPr>
  </w:style>
  <w:style w:type="paragraph" w:customStyle="1" w:styleId="30">
    <w:name w:val="列出段落3"/>
    <w:basedOn w:val="1"/>
    <w:qFormat/>
    <w:uiPriority w:val="99"/>
    <w:pPr>
      <w:ind w:firstLine="420" w:firstLineChars="200"/>
    </w:pPr>
  </w:style>
  <w:style w:type="paragraph" w:styleId="31">
    <w:name w:val="List Paragraph"/>
    <w:basedOn w:val="1"/>
    <w:unhideWhenUsed/>
    <w:qFormat/>
    <w:uiPriority w:val="99"/>
    <w:pPr>
      <w:ind w:firstLine="420" w:firstLineChars="200"/>
    </w:pPr>
  </w:style>
  <w:style w:type="paragraph" w:customStyle="1" w:styleId="32">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33">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34">
    <w:name w:val="标准书脚_偶数页"/>
    <w:qFormat/>
    <w:uiPriority w:val="0"/>
    <w:pPr>
      <w:spacing w:before="120"/>
    </w:pPr>
    <w:rPr>
      <w:rFonts w:ascii="Times New Roman" w:hAnsi="Times New Roman" w:eastAsia="宋体" w:cs="Times New Roman"/>
      <w:sz w:val="18"/>
      <w:lang w:val="en-US" w:eastAsia="zh-CN" w:bidi="ar-SA"/>
    </w:rPr>
  </w:style>
  <w:style w:type="character" w:customStyle="1" w:styleId="35">
    <w:name w:val="纯文本 字符"/>
    <w:basedOn w:val="24"/>
    <w:link w:val="14"/>
    <w:qFormat/>
    <w:uiPriority w:val="0"/>
    <w:rPr>
      <w:rFonts w:hint="eastAsia" w:ascii="宋体" w:hAnsi="Courier New" w:eastAsia="宋体" w:cs="宋体"/>
      <w:kern w:val="2"/>
      <w:sz w:val="21"/>
    </w:rPr>
  </w:style>
  <w:style w:type="character" w:customStyle="1" w:styleId="36">
    <w:name w:val="正文文本首行缩进 字符"/>
    <w:basedOn w:val="37"/>
    <w:link w:val="21"/>
    <w:qFormat/>
    <w:uiPriority w:val="0"/>
    <w:rPr>
      <w:rFonts w:hint="default" w:ascii="Calibri" w:hAnsi="Calibri" w:cs="Calibri"/>
      <w:kern w:val="2"/>
      <w:sz w:val="21"/>
      <w:szCs w:val="21"/>
    </w:rPr>
  </w:style>
  <w:style w:type="character" w:customStyle="1" w:styleId="37">
    <w:name w:val="正文文本 字符"/>
    <w:basedOn w:val="24"/>
    <w:link w:val="12"/>
    <w:qFormat/>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4154</Words>
  <Characters>4627</Characters>
  <Lines>337</Lines>
  <Paragraphs>429</Paragraphs>
  <TotalTime>3</TotalTime>
  <ScaleCrop>false</ScaleCrop>
  <LinksUpToDate>false</LinksUpToDate>
  <CharactersWithSpaces>4781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2023-04-09T09:24:00Z</dcterms:created>
  <dc:creator>黄炜昭</dc:creator>
  <cp:lastModifiedBy>林泽伟</cp:lastModifiedBy>
  <dcterms:modified xsi:type="dcterms:W3CDTF">2026-04-22T08:35:53Z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EAA236D6541544F7BC9F436D70F542D4</vt:lpwstr>
  </property>
  <property fmtid="{D5CDD505-2E9C-101B-9397-08002B2CF9AE}" pid="4" name="KSOTemplateDocerSaveRecord">
    <vt:lpwstr>eyJoZGlkIjoiNGZkMjU4NWFlODljYTcwNjAzOTAwZmEwMzFlZGExOWEiLCJ1c2VySWQiOiI3MzY3NTcxMTgifQ==</vt:lpwstr>
  </property>
</Properties>
</file>