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autoSpaceDE/>
        <w:autoSpaceDN/>
        <w:bidi w:val="0"/>
        <w:adjustRightInd/>
        <w:snapToGrid/>
        <w:spacing w:line="240" w:lineRule="auto"/>
        <w:jc w:val="center"/>
        <w:textAlignment w:val="auto"/>
        <w:rPr>
          <w:rFonts w:hint="eastAsia" w:ascii="Times New Roman" w:hAnsi="Times New Roman" w:eastAsia="宋体" w:cs="Times New Roman"/>
          <w:b/>
          <w:bCs/>
          <w:snapToGrid/>
          <w:kern w:val="2"/>
          <w:sz w:val="28"/>
          <w:szCs w:val="24"/>
          <w:lang w:val="en-US" w:eastAsia="zh-CN"/>
        </w:rPr>
      </w:pPr>
      <w:r>
        <w:rPr>
          <w:rFonts w:hint="eastAsia"/>
          <w:b/>
          <w:bCs/>
          <w:sz w:val="28"/>
          <w:szCs w:val="24"/>
          <w:lang w:val="en-US" w:eastAsia="zh-CN"/>
        </w:rPr>
        <w:t>广州南网科研技术有</w:t>
      </w:r>
      <w:r>
        <w:rPr>
          <w:rFonts w:hint="eastAsia"/>
          <w:b/>
          <w:bCs/>
          <w:sz w:val="28"/>
          <w:szCs w:val="24"/>
        </w:rPr>
        <w:t>限责任公司</w:t>
      </w:r>
      <w:r>
        <w:rPr>
          <w:rFonts w:hint="eastAsia" w:ascii="Times New Roman" w:hAnsi="Times New Roman" w:eastAsia="宋体" w:cs="Times New Roman"/>
          <w:b/>
          <w:bCs/>
          <w:snapToGrid/>
          <w:kern w:val="2"/>
          <w:sz w:val="28"/>
          <w:szCs w:val="24"/>
          <w:lang w:val="en-US" w:eastAsia="zh-CN"/>
        </w:rPr>
        <w:t>2026年第一批测试辅助设备零星采购技术附件</w:t>
      </w:r>
    </w:p>
    <w:p>
      <w:pPr>
        <w:spacing w:beforeLines="0" w:afterLines="0"/>
        <w:jc w:val="left"/>
        <w:rPr>
          <w:rFonts w:hint="eastAsia" w:ascii="宋体" w:hAnsi="宋体" w:eastAsia="宋体"/>
          <w:b/>
          <w:bCs/>
          <w:color w:val="000000"/>
          <w:sz w:val="28"/>
          <w:szCs w:val="36"/>
        </w:rPr>
      </w:pPr>
    </w:p>
    <w:p>
      <w:pPr>
        <w:keepNext w:val="0"/>
        <w:keepLines w:val="0"/>
        <w:pageBreakBefore w:val="0"/>
        <w:widowControl/>
        <w:kinsoku w:val="0"/>
        <w:wordWrap/>
        <w:overflowPunct/>
        <w:topLinePunct w:val="0"/>
        <w:autoSpaceDE w:val="0"/>
        <w:autoSpaceDN w:val="0"/>
        <w:bidi w:val="0"/>
        <w:adjustRightInd w:val="0"/>
        <w:snapToGrid w:val="0"/>
        <w:spacing w:beforeLines="0" w:afterLines="0" w:line="360" w:lineRule="auto"/>
        <w:jc w:val="left"/>
        <w:textAlignment w:val="baseline"/>
        <w:rPr>
          <w:rFonts w:hint="eastAsia" w:ascii="宋体" w:hAnsi="宋体" w:eastAsia="宋体" w:cs="宋体"/>
          <w:b/>
          <w:bCs/>
          <w:sz w:val="32"/>
          <w:szCs w:val="32"/>
        </w:rPr>
      </w:pPr>
      <w:r>
        <w:rPr>
          <w:rFonts w:hint="eastAsia" w:ascii="宋体" w:hAnsi="宋体" w:eastAsia="宋体"/>
          <w:b/>
          <w:bCs/>
          <w:color w:val="000000"/>
          <w:sz w:val="28"/>
          <w:szCs w:val="36"/>
        </w:rPr>
        <w:t>一、采购范围及要求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ascii="仿宋_GB2312" w:hAnsi="仿宋_GB2312" w:eastAsia="仿宋_GB2312" w:cs="仿宋_GB2312"/>
          <w:snapToGrid/>
          <w:kern w:val="2"/>
          <w:sz w:val="24"/>
          <w:szCs w:val="32"/>
          <w:lang w:val="en-US" w:eastAsia="zh-CN"/>
        </w:rPr>
      </w:pPr>
      <w:r>
        <w:rPr>
          <w:rFonts w:hint="eastAsia" w:ascii="仿宋_GB2312" w:hAnsi="仿宋_GB2312" w:eastAsia="仿宋_GB2312" w:cs="仿宋_GB2312"/>
          <w:snapToGrid/>
          <w:kern w:val="2"/>
          <w:sz w:val="24"/>
          <w:szCs w:val="32"/>
          <w:lang w:val="en-US" w:eastAsia="zh-CN"/>
        </w:rPr>
        <w:t>为进一步支撑南网技术公司计量安全芯片等产品的研发、装配制造及升级迭代工作，拟发起南网技术公司2026年第一批测试辅助设备零星采购，补充采购一批测试辅助设备。具体内容为：</w:t>
      </w:r>
      <w:r>
        <w:rPr>
          <w:rFonts w:hint="eastAsia" w:ascii="仿宋_GB2312" w:hAnsi="仿宋_GB2312" w:eastAsia="仿宋_GB2312" w:cs="仿宋_GB2312"/>
          <w:snapToGrid/>
          <w:kern w:val="2"/>
          <w:sz w:val="24"/>
          <w:szCs w:val="32"/>
          <w:lang w:val="en-US" w:eastAsia="zh-CN"/>
        </w:rPr>
        <w:br w:type="textWrapping"/>
      </w:r>
      <w:r>
        <w:rPr>
          <w:rFonts w:hint="eastAsia" w:ascii="仿宋_GB2312" w:hAnsi="仿宋_GB2312" w:eastAsia="仿宋_GB2312" w:cs="仿宋_GB2312"/>
          <w:snapToGrid/>
          <w:kern w:val="2"/>
          <w:sz w:val="24"/>
          <w:szCs w:val="32"/>
          <w:lang w:val="en-US" w:eastAsia="zh-CN"/>
        </w:rPr>
        <w:tab/>
      </w:r>
      <w:r>
        <w:rPr>
          <w:rFonts w:hint="eastAsia" w:ascii="仿宋_GB2312" w:hAnsi="仿宋_GB2312" w:eastAsia="仿宋_GB2312" w:cs="仿宋_GB2312"/>
          <w:snapToGrid/>
          <w:kern w:val="2"/>
          <w:sz w:val="24"/>
          <w:szCs w:val="32"/>
          <w:lang w:val="en-US" w:eastAsia="zh-CN"/>
        </w:rPr>
        <w:t>全自动光学检测仪1台、函数/任意波形发生器1台、模拟电池测试仪1台、自动上板机1台、自动下板机1台、弯排机1台、母线加工机1台。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b/>
          <w:bCs/>
          <w:color w:val="000000"/>
          <w:sz w:val="28"/>
          <w:szCs w:val="36"/>
        </w:rPr>
      </w:pPr>
      <w:r>
        <w:rPr>
          <w:rFonts w:hint="eastAsia" w:ascii="仿宋_GB2312" w:hAnsi="仿宋_GB2312" w:eastAsia="仿宋_GB2312" w:cs="仿宋_GB2312"/>
          <w:snapToGrid/>
          <w:kern w:val="2"/>
          <w:sz w:val="24"/>
          <w:szCs w:val="32"/>
          <w:lang w:val="en-US" w:eastAsia="zh-CN"/>
        </w:rPr>
        <w:tab/>
      </w:r>
      <w:r>
        <w:rPr>
          <w:rFonts w:hint="eastAsia" w:ascii="仿宋_GB2312" w:hAnsi="仿宋_GB2312" w:eastAsia="仿宋_GB2312" w:cs="仿宋_GB2312"/>
          <w:snapToGrid/>
          <w:kern w:val="2"/>
          <w:sz w:val="24"/>
          <w:szCs w:val="32"/>
          <w:lang w:val="en-US" w:eastAsia="zh-CN"/>
        </w:rPr>
        <w:t>本项目为零星采购，有效期为自合同签订之日起</w:t>
      </w:r>
      <w:r>
        <w:rPr>
          <w:rFonts w:hint="eastAsia" w:ascii="仿宋_GB2312" w:hAnsi="仿宋_GB2312" w:eastAsia="仿宋_GB2312" w:cs="仿宋_GB2312"/>
          <w:snapToGrid/>
          <w:kern w:val="2"/>
          <w:sz w:val="24"/>
          <w:szCs w:val="32"/>
          <w:highlight w:val="none"/>
          <w:lang w:val="en-US" w:eastAsia="zh-CN"/>
        </w:rPr>
        <w:t>一个月</w:t>
      </w:r>
      <w:r>
        <w:rPr>
          <w:rFonts w:hint="eastAsia" w:ascii="仿宋_GB2312" w:hAnsi="仿宋_GB2312" w:eastAsia="仿宋_GB2312" w:cs="仿宋_GB2312"/>
          <w:snapToGrid/>
          <w:kern w:val="2"/>
          <w:sz w:val="24"/>
          <w:szCs w:val="32"/>
          <w:lang w:val="en-US" w:eastAsia="zh-CN"/>
        </w:rPr>
        <w:t>，项目概算金额</w:t>
      </w:r>
      <w:r>
        <w:rPr>
          <w:rFonts w:hint="eastAsia" w:ascii="仿宋_GB2312" w:hAnsi="仿宋_GB2312" w:eastAsia="仿宋_GB2312" w:cs="仿宋_GB2312"/>
          <w:snapToGrid/>
          <w:kern w:val="2"/>
          <w:sz w:val="24"/>
          <w:szCs w:val="32"/>
          <w:highlight w:val="none"/>
          <w:lang w:val="en-US" w:eastAsia="zh-CN"/>
        </w:rPr>
        <w:t>4.55</w:t>
      </w:r>
      <w:r>
        <w:rPr>
          <w:rFonts w:hint="eastAsia" w:ascii="仿宋_GB2312" w:hAnsi="仿宋_GB2312" w:eastAsia="仿宋_GB2312" w:cs="仿宋_GB2312"/>
          <w:snapToGrid/>
          <w:kern w:val="2"/>
          <w:sz w:val="24"/>
          <w:szCs w:val="32"/>
          <w:lang w:val="en-US" w:eastAsia="zh-CN"/>
        </w:rPr>
        <w:t>万元，在有效期内报价单位依据设备清单向南网技术公司提供所有设备，以及配套的安装调试、技术支持、培训等服务。</w:t>
      </w:r>
    </w:p>
    <w:p>
      <w:pPr>
        <w:bidi w:val="0"/>
        <w:rPr>
          <w:rFonts w:hint="eastAsia"/>
        </w:rPr>
      </w:pPr>
    </w:p>
    <w:p>
      <w:pPr>
        <w:keepNext w:val="0"/>
        <w:keepLines w:val="0"/>
        <w:pageBreakBefore w:val="0"/>
        <w:widowControl/>
        <w:kinsoku w:val="0"/>
        <w:wordWrap/>
        <w:overflowPunct/>
        <w:topLinePunct w:val="0"/>
        <w:autoSpaceDE w:val="0"/>
        <w:autoSpaceDN w:val="0"/>
        <w:bidi w:val="0"/>
        <w:adjustRightInd w:val="0"/>
        <w:snapToGrid w:val="0"/>
        <w:spacing w:beforeLines="0" w:afterLines="0" w:line="360" w:lineRule="auto"/>
        <w:jc w:val="left"/>
        <w:textAlignment w:val="baseline"/>
        <w:rPr>
          <w:rFonts w:hint="eastAsia" w:ascii="宋体" w:hAnsi="宋体" w:eastAsia="宋体"/>
          <w:b/>
          <w:bCs/>
          <w:color w:val="000000"/>
          <w:sz w:val="28"/>
          <w:szCs w:val="36"/>
        </w:rPr>
      </w:pPr>
      <w:r>
        <w:rPr>
          <w:rFonts w:hint="eastAsia" w:ascii="宋体" w:hAnsi="宋体" w:eastAsia="宋体"/>
          <w:b/>
          <w:bCs/>
          <w:color w:val="000000"/>
          <w:sz w:val="28"/>
          <w:szCs w:val="36"/>
          <w:lang w:val="en-US" w:eastAsia="zh-CN"/>
        </w:rPr>
        <w:t>二、</w:t>
      </w:r>
      <w:r>
        <w:rPr>
          <w:rFonts w:hint="eastAsia" w:ascii="宋体" w:hAnsi="宋体" w:eastAsia="宋体"/>
          <w:b/>
          <w:bCs/>
          <w:color w:val="000000"/>
          <w:sz w:val="28"/>
          <w:szCs w:val="36"/>
        </w:rPr>
        <w:t>资格条件</w:t>
      </w:r>
    </w:p>
    <w:tbl>
      <w:tblPr>
        <w:tblStyle w:val="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7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top"/>
          </w:tcPr>
          <w:p>
            <w:pPr>
              <w:widowControl w:val="0"/>
              <w:numPr>
                <w:ilvl w:val="0"/>
                <w:numId w:val="0"/>
              </w:numPr>
              <w:jc w:val="center"/>
              <w:rPr>
                <w:rFonts w:hint="eastAsia" w:ascii="仿宋_GB2312" w:hAnsi="仿宋_GB2312" w:eastAsia="仿宋_GB2312" w:cs="仿宋_GB2312"/>
                <w:b/>
                <w:bCs/>
                <w:color w:val="000000"/>
                <w:sz w:val="24"/>
                <w:szCs w:val="32"/>
                <w:vertAlign w:val="baseline"/>
                <w:lang w:val="en-US" w:eastAsia="zh-CN"/>
              </w:rPr>
            </w:pPr>
            <w:r>
              <w:rPr>
                <w:rFonts w:hint="eastAsia" w:ascii="仿宋_GB2312" w:hAnsi="仿宋_GB2312" w:eastAsia="仿宋_GB2312" w:cs="仿宋_GB2312"/>
                <w:b/>
                <w:bCs/>
                <w:color w:val="000000"/>
                <w:sz w:val="24"/>
                <w:szCs w:val="32"/>
                <w:vertAlign w:val="baseline"/>
                <w:lang w:val="en-US" w:eastAsia="zh-CN"/>
              </w:rPr>
              <w:t>序号</w:t>
            </w:r>
          </w:p>
        </w:tc>
        <w:tc>
          <w:tcPr>
            <w:tcW w:w="4583" w:type="pct"/>
            <w:noWrap w:val="0"/>
            <w:vAlign w:val="top"/>
          </w:tcPr>
          <w:p>
            <w:pPr>
              <w:widowControl w:val="0"/>
              <w:numPr>
                <w:ilvl w:val="0"/>
                <w:numId w:val="0"/>
              </w:numPr>
              <w:jc w:val="center"/>
              <w:rPr>
                <w:rFonts w:hint="eastAsia" w:ascii="仿宋_GB2312" w:hAnsi="仿宋_GB2312" w:eastAsia="仿宋_GB2312" w:cs="仿宋_GB2312"/>
                <w:b/>
                <w:bCs/>
                <w:color w:val="000000"/>
                <w:sz w:val="24"/>
                <w:szCs w:val="32"/>
                <w:vertAlign w:val="baseline"/>
                <w:lang w:val="en-US" w:eastAsia="zh-CN"/>
              </w:rPr>
            </w:pPr>
            <w:r>
              <w:rPr>
                <w:rFonts w:hint="eastAsia" w:ascii="仿宋_GB2312" w:hAnsi="仿宋_GB2312" w:eastAsia="仿宋_GB2312" w:cs="仿宋_GB2312"/>
                <w:b/>
                <w:bCs/>
                <w:color w:val="000000"/>
                <w:sz w:val="24"/>
                <w:szCs w:val="32"/>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top"/>
          </w:tcPr>
          <w:p>
            <w:pPr>
              <w:widowControl w:val="0"/>
              <w:numPr>
                <w:ilvl w:val="0"/>
                <w:numId w:val="0"/>
              </w:numPr>
              <w:jc w:val="center"/>
              <w:rPr>
                <w:rFonts w:hint="eastAsia" w:ascii="仿宋_GB2312" w:hAnsi="仿宋_GB2312" w:eastAsia="仿宋_GB2312" w:cs="仿宋_GB2312"/>
                <w:b w:val="0"/>
                <w:bCs w:val="0"/>
                <w:color w:val="000000"/>
                <w:sz w:val="24"/>
                <w:szCs w:val="32"/>
                <w:vertAlign w:val="baseline"/>
                <w:lang w:val="en-US" w:eastAsia="zh-CN"/>
              </w:rPr>
            </w:pPr>
            <w:r>
              <w:rPr>
                <w:rFonts w:hint="eastAsia" w:ascii="仿宋_GB2312" w:hAnsi="仿宋_GB2312" w:eastAsia="仿宋_GB2312" w:cs="仿宋_GB2312"/>
                <w:b w:val="0"/>
                <w:bCs w:val="0"/>
                <w:color w:val="000000"/>
                <w:sz w:val="24"/>
                <w:szCs w:val="32"/>
                <w:vertAlign w:val="baseline"/>
                <w:lang w:val="en-US" w:eastAsia="zh-CN"/>
              </w:rPr>
              <w:t>1</w:t>
            </w:r>
          </w:p>
        </w:tc>
        <w:tc>
          <w:tcPr>
            <w:tcW w:w="4583" w:type="pct"/>
            <w:noWrap w:val="0"/>
            <w:vAlign w:val="top"/>
          </w:tcPr>
          <w:p>
            <w:pPr>
              <w:widowControl w:val="0"/>
              <w:numPr>
                <w:ilvl w:val="0"/>
                <w:numId w:val="0"/>
              </w:numPr>
              <w:rPr>
                <w:rFonts w:hint="eastAsia" w:ascii="仿宋_GB2312" w:hAnsi="仿宋_GB2312" w:eastAsia="仿宋_GB2312" w:cs="仿宋_GB2312"/>
                <w:b w:val="0"/>
                <w:bCs w:val="0"/>
                <w:color w:val="000000"/>
                <w:sz w:val="24"/>
                <w:szCs w:val="32"/>
                <w:vertAlign w:val="baseline"/>
              </w:rPr>
            </w:pPr>
            <w:r>
              <w:rPr>
                <w:rFonts w:hint="eastAsia" w:ascii="仿宋_GB2312" w:hAnsi="仿宋_GB2312" w:eastAsia="仿宋_GB2312" w:cs="仿宋_GB2312"/>
                <w:b w:val="0"/>
                <w:bCs w:val="0"/>
                <w:color w:val="000000"/>
                <w:sz w:val="24"/>
                <w:szCs w:val="32"/>
                <w:vertAlign w:val="baseline"/>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位为自然人的，应提供有效的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top"/>
          </w:tcPr>
          <w:p>
            <w:pPr>
              <w:widowControl w:val="0"/>
              <w:numPr>
                <w:ilvl w:val="0"/>
                <w:numId w:val="0"/>
              </w:numPr>
              <w:jc w:val="center"/>
              <w:rPr>
                <w:rFonts w:hint="eastAsia" w:ascii="仿宋_GB2312" w:hAnsi="仿宋_GB2312" w:eastAsia="仿宋_GB2312" w:cs="仿宋_GB2312"/>
                <w:b w:val="0"/>
                <w:bCs w:val="0"/>
                <w:color w:val="000000"/>
                <w:sz w:val="24"/>
                <w:szCs w:val="32"/>
                <w:vertAlign w:val="baseline"/>
                <w:lang w:val="en-US" w:eastAsia="zh-CN"/>
              </w:rPr>
            </w:pPr>
            <w:r>
              <w:rPr>
                <w:rFonts w:hint="eastAsia" w:ascii="仿宋_GB2312" w:hAnsi="仿宋_GB2312" w:eastAsia="仿宋_GB2312" w:cs="仿宋_GB2312"/>
                <w:b w:val="0"/>
                <w:bCs w:val="0"/>
                <w:color w:val="000000"/>
                <w:sz w:val="24"/>
                <w:szCs w:val="32"/>
                <w:vertAlign w:val="baseline"/>
                <w:lang w:val="en-US" w:eastAsia="zh-CN"/>
              </w:rPr>
              <w:t>2</w:t>
            </w:r>
          </w:p>
        </w:tc>
        <w:tc>
          <w:tcPr>
            <w:tcW w:w="4583" w:type="pct"/>
            <w:noWrap w:val="0"/>
            <w:vAlign w:val="top"/>
          </w:tcPr>
          <w:p>
            <w:pPr>
              <w:widowControl w:val="0"/>
              <w:numPr>
                <w:ilvl w:val="0"/>
                <w:numId w:val="0"/>
              </w:numPr>
              <w:rPr>
                <w:rFonts w:hint="eastAsia" w:ascii="仿宋_GB2312" w:hAnsi="仿宋_GB2312" w:eastAsia="仿宋_GB2312" w:cs="仿宋_GB2312"/>
                <w:b w:val="0"/>
                <w:bCs w:val="0"/>
                <w:color w:val="000000"/>
                <w:sz w:val="24"/>
                <w:szCs w:val="32"/>
                <w:vertAlign w:val="baseline"/>
              </w:rPr>
            </w:pPr>
            <w:r>
              <w:rPr>
                <w:rFonts w:hint="eastAsia" w:ascii="仿宋_GB2312" w:hAnsi="仿宋_GB2312" w:eastAsia="仿宋_GB2312" w:cs="仿宋_GB2312"/>
                <w:b w:val="0"/>
                <w:bCs w:val="0"/>
                <w:color w:val="000000"/>
                <w:sz w:val="24"/>
                <w:szCs w:val="32"/>
                <w:vertAlign w:val="baseline"/>
              </w:rPr>
              <w:t>单位负责人为同一人或者存在控股、管理关系的不同单位，不得同时参加报价；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6" w:type="pct"/>
            <w:noWrap w:val="0"/>
            <w:vAlign w:val="top"/>
          </w:tcPr>
          <w:p>
            <w:pPr>
              <w:widowControl w:val="0"/>
              <w:numPr>
                <w:ilvl w:val="0"/>
                <w:numId w:val="0"/>
              </w:numPr>
              <w:jc w:val="center"/>
              <w:rPr>
                <w:rFonts w:hint="default" w:ascii="仿宋_GB2312" w:hAnsi="仿宋_GB2312" w:eastAsia="仿宋_GB2312" w:cs="仿宋_GB2312"/>
                <w:b w:val="0"/>
                <w:bCs w:val="0"/>
                <w:color w:val="000000"/>
                <w:sz w:val="24"/>
                <w:szCs w:val="32"/>
                <w:vertAlign w:val="baseline"/>
                <w:lang w:val="en-US" w:eastAsia="zh-CN"/>
              </w:rPr>
            </w:pPr>
            <w:r>
              <w:rPr>
                <w:rFonts w:hint="eastAsia" w:ascii="仿宋_GB2312" w:hAnsi="仿宋_GB2312" w:eastAsia="仿宋_GB2312" w:cs="仿宋_GB2312"/>
                <w:b w:val="0"/>
                <w:bCs w:val="0"/>
                <w:color w:val="000000"/>
                <w:sz w:val="24"/>
                <w:szCs w:val="32"/>
                <w:vertAlign w:val="baseline"/>
                <w:lang w:val="en-US" w:eastAsia="zh-CN"/>
              </w:rPr>
              <w:t>3</w:t>
            </w:r>
          </w:p>
        </w:tc>
        <w:tc>
          <w:tcPr>
            <w:tcW w:w="4583" w:type="pct"/>
            <w:noWrap w:val="0"/>
            <w:vAlign w:val="top"/>
          </w:tcPr>
          <w:p>
            <w:pPr>
              <w:widowControl w:val="0"/>
              <w:numPr>
                <w:ilvl w:val="0"/>
                <w:numId w:val="0"/>
              </w:numPr>
              <w:rPr>
                <w:rFonts w:hint="eastAsia" w:ascii="仿宋_GB2312" w:hAnsi="仿宋_GB2312" w:eastAsia="仿宋_GB2312" w:cs="仿宋_GB2312"/>
                <w:b w:val="0"/>
                <w:bCs w:val="0"/>
                <w:color w:val="000000"/>
                <w:sz w:val="24"/>
                <w:szCs w:val="32"/>
                <w:vertAlign w:val="baseline"/>
              </w:rPr>
            </w:pPr>
            <w:r>
              <w:rPr>
                <w:rFonts w:hint="eastAsia" w:ascii="仿宋_GB2312" w:hAnsi="仿宋_GB2312" w:eastAsia="仿宋_GB2312" w:cs="仿宋_GB2312"/>
                <w:b w:val="0"/>
                <w:bCs w:val="0"/>
                <w:color w:val="000000"/>
                <w:sz w:val="24"/>
                <w:szCs w:val="32"/>
                <w:vertAlign w:val="baseline"/>
              </w:rPr>
              <w:t>报价单位没有被中国南方电网有限责任公司暂停或取消其投标资格的。</w:t>
            </w:r>
          </w:p>
        </w:tc>
      </w:tr>
    </w:tbl>
    <w:p>
      <w:pPr>
        <w:numPr>
          <w:ilvl w:val="0"/>
          <w:numId w:val="0"/>
        </w:numPr>
        <w:rPr>
          <w:rFonts w:hint="eastAsia" w:ascii="宋体" w:hAnsi="宋体" w:eastAsia="宋体"/>
          <w:b/>
          <w:bCs/>
          <w:color w:val="000000"/>
          <w:sz w:val="28"/>
          <w:szCs w:val="36"/>
        </w:rPr>
      </w:pPr>
    </w:p>
    <w:p>
      <w:pPr>
        <w:numPr>
          <w:ilvl w:val="0"/>
          <w:numId w:val="0"/>
        </w:numPr>
        <w:rPr>
          <w:rFonts w:hint="eastAsia" w:ascii="宋体" w:hAnsi="宋体" w:eastAsia="宋体" w:cs="Times New Roman"/>
          <w:b/>
          <w:bCs/>
          <w:color w:val="000000"/>
          <w:sz w:val="28"/>
          <w:szCs w:val="36"/>
        </w:rPr>
      </w:pPr>
      <w:r>
        <w:rPr>
          <w:rFonts w:hint="eastAsia" w:ascii="宋体" w:hAnsi="宋体" w:eastAsia="宋体" w:cs="Times New Roman"/>
          <w:b/>
          <w:bCs/>
          <w:color w:val="000000"/>
          <w:sz w:val="28"/>
          <w:szCs w:val="36"/>
          <w:lang w:val="en-US" w:eastAsia="zh-CN"/>
        </w:rPr>
        <w:t>三、</w:t>
      </w:r>
      <w:r>
        <w:rPr>
          <w:rFonts w:hint="eastAsia" w:ascii="宋体" w:hAnsi="宋体" w:eastAsia="宋体" w:cs="Times New Roman"/>
          <w:b/>
          <w:bCs/>
          <w:color w:val="000000"/>
          <w:sz w:val="28"/>
          <w:szCs w:val="36"/>
        </w:rPr>
        <w:t>成交办法</w:t>
      </w:r>
    </w:p>
    <w:p>
      <w:pPr>
        <w:numPr>
          <w:ilvl w:val="0"/>
          <w:numId w:val="0"/>
        </w:numPr>
        <w:ind w:firstLine="480" w:firstLineChars="200"/>
        <w:jc w:val="both"/>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根据满足资格条件的各家单位有效报价，选择报价最低者为成交对象</w:t>
      </w:r>
      <w:r>
        <w:rPr>
          <w:rFonts w:hint="eastAsia" w:ascii="仿宋_GB2312" w:hAnsi="仿宋_GB2312" w:eastAsia="仿宋_GB2312" w:cs="仿宋_GB2312"/>
          <w:sz w:val="24"/>
          <w:szCs w:val="24"/>
          <w:lang w:eastAsia="zh-CN"/>
        </w:rPr>
        <w:t>。</w:t>
      </w:r>
    </w:p>
    <w:p>
      <w:pPr>
        <w:bidi w:val="0"/>
        <w:rPr>
          <w:rFonts w:hint="eastAsia"/>
          <w:lang w:eastAsia="zh-CN"/>
        </w:rPr>
      </w:pPr>
    </w:p>
    <w:p>
      <w:pPr>
        <w:numPr>
          <w:ilvl w:val="0"/>
          <w:numId w:val="0"/>
        </w:numPr>
        <w:jc w:val="both"/>
        <w:rPr>
          <w:rFonts w:hint="eastAsia" w:ascii="宋体" w:hAnsi="宋体" w:eastAsia="宋体"/>
          <w:b/>
          <w:bCs/>
          <w:color w:val="000000"/>
          <w:sz w:val="28"/>
          <w:szCs w:val="36"/>
          <w:lang w:val="en-US" w:eastAsia="zh-CN"/>
        </w:rPr>
      </w:pPr>
      <w:r>
        <w:rPr>
          <w:rFonts w:hint="eastAsia" w:ascii="宋体" w:hAnsi="宋体" w:eastAsia="宋体"/>
          <w:b/>
          <w:bCs/>
          <w:color w:val="000000"/>
          <w:sz w:val="28"/>
          <w:szCs w:val="36"/>
          <w:lang w:val="en-US" w:eastAsia="zh-CN"/>
        </w:rPr>
        <w:t>四、报价表</w:t>
      </w:r>
    </w:p>
    <w:p>
      <w:pPr>
        <w:kinsoku/>
        <w:autoSpaceDE/>
        <w:autoSpaceDN/>
        <w:adjustRightInd/>
        <w:snapToGrid/>
        <w:spacing w:line="240" w:lineRule="auto"/>
        <w:jc w:val="center"/>
        <w:textAlignment w:val="auto"/>
        <w:rPr>
          <w:rFonts w:hint="eastAsia" w:ascii="仿宋_GB2312" w:hAnsi="仿宋_GB2312" w:eastAsia="仿宋_GB2312" w:cs="仿宋_GB2312"/>
          <w:b/>
          <w:bCs/>
          <w:snapToGrid/>
          <w:kern w:val="2"/>
          <w:sz w:val="24"/>
          <w:szCs w:val="24"/>
          <w:lang w:val="en-US" w:eastAsia="zh-CN"/>
        </w:rPr>
      </w:pPr>
      <w:r>
        <w:rPr>
          <w:rFonts w:hint="eastAsia" w:ascii="仿宋_GB2312" w:hAnsi="仿宋_GB2312" w:eastAsia="仿宋_GB2312" w:cs="仿宋_GB2312"/>
          <w:b/>
          <w:bCs/>
          <w:snapToGrid/>
          <w:kern w:val="2"/>
          <w:sz w:val="24"/>
          <w:szCs w:val="24"/>
          <w:lang w:val="en-US" w:eastAsia="zh-CN"/>
        </w:rPr>
        <w:t>表1 报价明细表</w:t>
      </w:r>
    </w:p>
    <w:tbl>
      <w:tblPr>
        <w:tblStyle w:val="6"/>
        <w:tblW w:w="10433" w:type="dxa"/>
        <w:jc w:val="center"/>
        <w:tblLayout w:type="fixed"/>
        <w:tblCellMar>
          <w:top w:w="0" w:type="dxa"/>
          <w:left w:w="0" w:type="dxa"/>
          <w:bottom w:w="0" w:type="dxa"/>
          <w:right w:w="0" w:type="dxa"/>
        </w:tblCellMar>
      </w:tblPr>
      <w:tblGrid>
        <w:gridCol w:w="561"/>
        <w:gridCol w:w="1395"/>
        <w:gridCol w:w="1845"/>
        <w:gridCol w:w="1995"/>
        <w:gridCol w:w="1302"/>
        <w:gridCol w:w="633"/>
        <w:gridCol w:w="814"/>
        <w:gridCol w:w="811"/>
        <w:gridCol w:w="1077"/>
      </w:tblGrid>
      <w:tr>
        <w:tblPrEx>
          <w:tblCellMar>
            <w:top w:w="0" w:type="dxa"/>
            <w:left w:w="0" w:type="dxa"/>
            <w:bottom w:w="0" w:type="dxa"/>
            <w:right w:w="0" w:type="dxa"/>
          </w:tblCellMar>
        </w:tblPrEx>
        <w:trPr>
          <w:trHeight w:val="511" w:hRule="atLeast"/>
          <w:jc w:val="center"/>
        </w:trPr>
        <w:tc>
          <w:tcPr>
            <w:tcW w:w="56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rPr>
            </w:pPr>
            <w:r>
              <w:rPr>
                <w:rFonts w:hint="eastAsia" w:ascii="仿宋_GB2312" w:hAnsi="仿宋_GB2312" w:eastAsia="仿宋_GB2312" w:cs="仿宋_GB2312"/>
                <w:b/>
                <w:bCs/>
                <w:snapToGrid/>
                <w:color w:val="000000"/>
                <w:kern w:val="2"/>
                <w:sz w:val="21"/>
                <w:szCs w:val="21"/>
              </w:rPr>
              <w:t>序号</w:t>
            </w:r>
          </w:p>
        </w:tc>
        <w:tc>
          <w:tcPr>
            <w:tcW w:w="1395"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rPr>
            </w:pPr>
            <w:r>
              <w:rPr>
                <w:rFonts w:hint="eastAsia" w:ascii="仿宋_GB2312" w:hAnsi="仿宋_GB2312" w:eastAsia="仿宋_GB2312" w:cs="仿宋_GB2312"/>
                <w:b/>
                <w:bCs/>
                <w:snapToGrid/>
                <w:color w:val="000000"/>
                <w:kern w:val="2"/>
                <w:sz w:val="21"/>
                <w:szCs w:val="21"/>
              </w:rPr>
              <w:t>报价项目</w:t>
            </w:r>
          </w:p>
        </w:tc>
        <w:tc>
          <w:tcPr>
            <w:tcW w:w="184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lang w:val="en-US" w:eastAsia="zh-CN"/>
              </w:rPr>
            </w:pPr>
            <w:r>
              <w:rPr>
                <w:rFonts w:hint="eastAsia" w:ascii="仿宋_GB2312" w:hAnsi="仿宋_GB2312" w:eastAsia="仿宋_GB2312" w:cs="仿宋_GB2312"/>
                <w:b/>
                <w:bCs/>
                <w:snapToGrid/>
                <w:color w:val="000000"/>
                <w:kern w:val="2"/>
                <w:sz w:val="21"/>
                <w:szCs w:val="21"/>
                <w:lang w:val="en-US" w:eastAsia="zh-CN"/>
              </w:rPr>
              <w:t>功能</w:t>
            </w:r>
          </w:p>
        </w:tc>
        <w:tc>
          <w:tcPr>
            <w:tcW w:w="199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default" w:ascii="仿宋_GB2312" w:hAnsi="仿宋_GB2312" w:eastAsia="仿宋_GB2312" w:cs="仿宋_GB2312"/>
                <w:b/>
                <w:bCs/>
                <w:snapToGrid/>
                <w:color w:val="000000"/>
                <w:kern w:val="2"/>
                <w:sz w:val="21"/>
                <w:szCs w:val="21"/>
                <w:lang w:val="en-US" w:eastAsia="zh-CN"/>
              </w:rPr>
            </w:pPr>
            <w:r>
              <w:rPr>
                <w:rFonts w:hint="eastAsia" w:ascii="仿宋_GB2312" w:hAnsi="仿宋_GB2312" w:eastAsia="仿宋_GB2312" w:cs="仿宋_GB2312"/>
                <w:b/>
                <w:bCs/>
                <w:snapToGrid/>
                <w:color w:val="000000"/>
                <w:kern w:val="2"/>
                <w:sz w:val="21"/>
                <w:szCs w:val="21"/>
                <w:lang w:val="en-US" w:eastAsia="zh-CN"/>
              </w:rPr>
              <w:t>主要参数</w:t>
            </w:r>
          </w:p>
        </w:tc>
        <w:tc>
          <w:tcPr>
            <w:tcW w:w="1302"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default" w:ascii="仿宋_GB2312" w:hAnsi="仿宋_GB2312" w:eastAsia="仿宋_GB2312" w:cs="仿宋_GB2312"/>
                <w:b/>
                <w:bCs/>
                <w:snapToGrid/>
                <w:color w:val="000000"/>
                <w:kern w:val="2"/>
                <w:sz w:val="21"/>
                <w:szCs w:val="21"/>
                <w:lang w:val="en-US"/>
              </w:rPr>
            </w:pPr>
            <w:r>
              <w:rPr>
                <w:rFonts w:hint="eastAsia" w:ascii="仿宋_GB2312" w:hAnsi="仿宋_GB2312" w:eastAsia="仿宋_GB2312" w:cs="仿宋_GB2312"/>
                <w:b/>
                <w:bCs/>
                <w:snapToGrid/>
                <w:color w:val="000000"/>
                <w:kern w:val="2"/>
                <w:sz w:val="21"/>
                <w:szCs w:val="21"/>
                <w:lang w:val="en-US" w:eastAsia="zh-CN"/>
              </w:rPr>
              <w:t>含税单价限价（元）</w:t>
            </w:r>
          </w:p>
        </w:tc>
        <w:tc>
          <w:tcPr>
            <w:tcW w:w="633"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default" w:ascii="仿宋_GB2312" w:hAnsi="仿宋_GB2312" w:eastAsia="仿宋_GB2312" w:cs="仿宋_GB2312"/>
                <w:b/>
                <w:bCs/>
                <w:snapToGrid/>
                <w:color w:val="000000"/>
                <w:kern w:val="2"/>
                <w:sz w:val="21"/>
                <w:szCs w:val="21"/>
                <w:lang w:val="en-US" w:eastAsia="zh-CN" w:bidi="ar-SA"/>
              </w:rPr>
            </w:pPr>
            <w:r>
              <w:rPr>
                <w:rFonts w:hint="eastAsia" w:ascii="仿宋_GB2312" w:hAnsi="仿宋_GB2312" w:eastAsia="仿宋_GB2312" w:cs="仿宋_GB2312"/>
                <w:b/>
                <w:bCs/>
                <w:snapToGrid/>
                <w:color w:val="000000"/>
                <w:kern w:val="2"/>
                <w:sz w:val="21"/>
                <w:szCs w:val="21"/>
                <w:lang w:val="en-US" w:eastAsia="zh-CN"/>
              </w:rPr>
              <w:t>数量</w:t>
            </w:r>
          </w:p>
        </w:tc>
        <w:tc>
          <w:tcPr>
            <w:tcW w:w="814"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lang w:eastAsia="zh-CN"/>
              </w:rPr>
            </w:pPr>
            <w:r>
              <w:rPr>
                <w:rFonts w:hint="eastAsia" w:ascii="仿宋_GB2312" w:hAnsi="仿宋_GB2312" w:eastAsia="仿宋_GB2312" w:cs="仿宋_GB2312"/>
                <w:b/>
                <w:bCs/>
                <w:snapToGrid/>
                <w:color w:val="000000"/>
                <w:kern w:val="2"/>
                <w:sz w:val="21"/>
                <w:szCs w:val="21"/>
                <w:lang w:val="en-US" w:eastAsia="zh-CN"/>
              </w:rPr>
              <w:t>税率</w:t>
            </w: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lang w:eastAsia="zh-CN"/>
              </w:rPr>
            </w:pPr>
            <w:r>
              <w:rPr>
                <w:rFonts w:hint="eastAsia" w:ascii="仿宋_GB2312" w:hAnsi="仿宋_GB2312" w:eastAsia="仿宋_GB2312" w:cs="仿宋_GB2312"/>
                <w:b/>
                <w:bCs/>
                <w:snapToGrid/>
                <w:color w:val="000000"/>
                <w:kern w:val="2"/>
                <w:sz w:val="21"/>
                <w:szCs w:val="21"/>
                <w:lang w:val="en-US" w:eastAsia="zh-CN"/>
              </w:rPr>
              <w:t>含税</w:t>
            </w:r>
            <w:r>
              <w:rPr>
                <w:rFonts w:hint="eastAsia" w:ascii="仿宋_GB2312" w:hAnsi="仿宋_GB2312" w:eastAsia="仿宋_GB2312" w:cs="仿宋_GB2312"/>
                <w:b/>
                <w:bCs/>
                <w:snapToGrid/>
                <w:color w:val="000000"/>
                <w:kern w:val="2"/>
                <w:sz w:val="21"/>
                <w:szCs w:val="21"/>
              </w:rPr>
              <w:t>单价</w:t>
            </w:r>
            <w:r>
              <w:rPr>
                <w:rFonts w:hint="eastAsia" w:ascii="仿宋_GB2312" w:hAnsi="仿宋_GB2312" w:eastAsia="仿宋_GB2312" w:cs="仿宋_GB2312"/>
                <w:b/>
                <w:bCs/>
                <w:snapToGrid/>
                <w:color w:val="000000"/>
                <w:kern w:val="2"/>
                <w:sz w:val="21"/>
                <w:szCs w:val="21"/>
                <w:lang w:eastAsia="zh-CN"/>
              </w:rPr>
              <w:t>（元）</w:t>
            </w:r>
          </w:p>
        </w:tc>
        <w:tc>
          <w:tcPr>
            <w:tcW w:w="1077"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lang w:val="en-US" w:eastAsia="zh-CN"/>
              </w:rPr>
            </w:pPr>
            <w:r>
              <w:rPr>
                <w:rFonts w:hint="eastAsia" w:ascii="仿宋_GB2312" w:hAnsi="仿宋_GB2312" w:eastAsia="仿宋_GB2312" w:cs="仿宋_GB2312"/>
                <w:b/>
                <w:bCs/>
                <w:snapToGrid/>
                <w:color w:val="000000"/>
                <w:kern w:val="2"/>
                <w:sz w:val="21"/>
                <w:szCs w:val="21"/>
                <w:lang w:val="en-US" w:eastAsia="zh-CN"/>
              </w:rPr>
              <w:t>含税</w:t>
            </w:r>
            <w:r>
              <w:rPr>
                <w:rFonts w:hint="eastAsia" w:ascii="仿宋_GB2312" w:hAnsi="仿宋_GB2312" w:eastAsia="仿宋_GB2312" w:cs="仿宋_GB2312"/>
                <w:b/>
                <w:bCs/>
                <w:snapToGrid/>
                <w:color w:val="000000"/>
                <w:kern w:val="2"/>
                <w:sz w:val="21"/>
                <w:szCs w:val="21"/>
              </w:rPr>
              <w:t>合价</w:t>
            </w:r>
            <w:r>
              <w:rPr>
                <w:rFonts w:hint="eastAsia" w:ascii="仿宋_GB2312" w:hAnsi="仿宋_GB2312" w:eastAsia="仿宋_GB2312" w:cs="仿宋_GB2312"/>
                <w:b/>
                <w:bCs/>
                <w:snapToGrid/>
                <w:color w:val="000000"/>
                <w:kern w:val="2"/>
                <w:sz w:val="21"/>
                <w:szCs w:val="21"/>
                <w:lang w:eastAsia="zh-CN"/>
              </w:rPr>
              <w:t>（元）</w:t>
            </w:r>
          </w:p>
        </w:tc>
      </w:tr>
      <w:tr>
        <w:tblPrEx>
          <w:tblCellMar>
            <w:top w:w="0" w:type="dxa"/>
            <w:left w:w="0" w:type="dxa"/>
            <w:bottom w:w="0" w:type="dxa"/>
            <w:right w:w="0" w:type="dxa"/>
          </w:tblCellMar>
        </w:tblPrEx>
        <w:trPr>
          <w:trHeight w:val="511" w:hRule="atLeast"/>
          <w:jc w:val="center"/>
        </w:trPr>
        <w:tc>
          <w:tcPr>
            <w:tcW w:w="56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lang w:val="en-US" w:eastAsia="zh-CN" w:bidi="ar-SA"/>
              </w:rPr>
            </w:pPr>
            <w:r>
              <w:rPr>
                <w:rFonts w:hint="eastAsia" w:ascii="宋体" w:hAnsi="宋体" w:eastAsia="宋体" w:cs="宋体"/>
                <w:i w:val="0"/>
                <w:iCs w:val="0"/>
                <w:snapToGrid w:val="0"/>
                <w:color w:val="000000"/>
                <w:kern w:val="0"/>
                <w:sz w:val="22"/>
                <w:szCs w:val="22"/>
                <w:u w:val="none"/>
                <w:lang w:val="en-US" w:eastAsia="zh-CN" w:bidi="ar"/>
              </w:rPr>
              <w:t>1</w:t>
            </w:r>
          </w:p>
        </w:tc>
        <w:tc>
          <w:tcPr>
            <w:tcW w:w="1395"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widowControl/>
              <w:numPr>
                <w:ilvl w:val="0"/>
                <w:numId w:val="0"/>
              </w:numPr>
              <w:kinsoku/>
              <w:autoSpaceDE/>
              <w:autoSpaceDN/>
              <w:adjustRightInd/>
              <w:snapToGrid/>
              <w:spacing w:line="240" w:lineRule="auto"/>
              <w:ind w:left="0" w:leftChars="0" w:firstLine="0" w:firstLineChars="0"/>
              <w:jc w:val="center"/>
              <w:textAlignment w:val="auto"/>
              <w:rPr>
                <w:rFonts w:hint="eastAsia"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全自动光学检测仪</w:t>
            </w:r>
          </w:p>
        </w:tc>
        <w:tc>
          <w:tcPr>
            <w:tcW w:w="184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left"/>
              <w:textAlignment w:val="center"/>
              <w:rPr>
                <w:rFonts w:hint="default"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利用光学成像自动检测外观缺陷</w:t>
            </w:r>
          </w:p>
        </w:tc>
        <w:tc>
          <w:tcPr>
            <w:tcW w:w="199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both"/>
              <w:textAlignment w:val="center"/>
              <w:rPr>
                <w:rFonts w:hint="eastAsia"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适用检测：贴片元件、焊点、字符、波峰焊焊点</w:t>
            </w:r>
            <w:r>
              <w:rPr>
                <w:rFonts w:hint="eastAsia" w:ascii="仿宋" w:hAnsi="仿宋" w:eastAsia="仿宋" w:cs="仿宋"/>
                <w:i w:val="0"/>
                <w:iCs w:val="0"/>
                <w:snapToGrid w:val="0"/>
                <w:color w:val="000000"/>
                <w:kern w:val="0"/>
                <w:sz w:val="24"/>
                <w:szCs w:val="24"/>
                <w:u w:val="none"/>
                <w:lang w:val="en-US" w:eastAsia="zh-CN" w:bidi="ar"/>
              </w:rPr>
              <w:br w:type="textWrapping"/>
            </w:r>
            <w:r>
              <w:rPr>
                <w:rFonts w:hint="eastAsia" w:ascii="仿宋" w:hAnsi="仿宋" w:eastAsia="仿宋" w:cs="仿宋"/>
                <w:i w:val="0"/>
                <w:iCs w:val="0"/>
                <w:snapToGrid w:val="0"/>
                <w:color w:val="000000"/>
                <w:kern w:val="0"/>
                <w:sz w:val="24"/>
                <w:szCs w:val="24"/>
                <w:u w:val="none"/>
                <w:lang w:val="en-US" w:eastAsia="zh-CN" w:bidi="ar"/>
              </w:rPr>
              <w:t>检测项目：SMT检测、DIP检测</w:t>
            </w:r>
          </w:p>
        </w:tc>
        <w:tc>
          <w:tcPr>
            <w:tcW w:w="1302"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仿宋_GB2312" w:hAnsi="仿宋_GB2312" w:eastAsia="仿宋_GB2312" w:cs="仿宋_GB2312"/>
                <w:b/>
                <w:bCs/>
                <w:snapToGrid/>
                <w:color w:val="000000"/>
                <w:kern w:val="2"/>
                <w:sz w:val="21"/>
                <w:szCs w:val="21"/>
                <w:lang w:val="en-US" w:eastAsia="zh-CN" w:bidi="ar-SA"/>
              </w:rPr>
            </w:pPr>
            <w:r>
              <w:rPr>
                <w:rFonts w:hint="eastAsia" w:ascii="宋体" w:hAnsi="宋体" w:eastAsia="宋体" w:cs="宋体"/>
                <w:i w:val="0"/>
                <w:iCs w:val="0"/>
                <w:snapToGrid w:val="0"/>
                <w:color w:val="000000"/>
                <w:kern w:val="0"/>
                <w:sz w:val="22"/>
                <w:szCs w:val="22"/>
                <w:u w:val="none"/>
                <w:lang w:val="en-US" w:eastAsia="zh-CN" w:bidi="ar"/>
              </w:rPr>
              <w:t>23000</w:t>
            </w:r>
          </w:p>
        </w:tc>
        <w:tc>
          <w:tcPr>
            <w:tcW w:w="633"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1</w:t>
            </w:r>
          </w:p>
        </w:tc>
        <w:tc>
          <w:tcPr>
            <w:tcW w:w="814"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lang w:val="en-US" w:eastAsia="zh-CN" w:bidi="ar-SA"/>
              </w:rPr>
            </w:pPr>
          </w:p>
        </w:tc>
        <w:tc>
          <w:tcPr>
            <w:tcW w:w="1077"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lang w:val="en-US" w:eastAsia="zh-CN" w:bidi="ar-SA"/>
              </w:rPr>
            </w:pPr>
          </w:p>
        </w:tc>
      </w:tr>
      <w:tr>
        <w:tblPrEx>
          <w:tblCellMar>
            <w:top w:w="0" w:type="dxa"/>
            <w:left w:w="0" w:type="dxa"/>
            <w:bottom w:w="0" w:type="dxa"/>
            <w:right w:w="0" w:type="dxa"/>
          </w:tblCellMar>
        </w:tblPrEx>
        <w:trPr>
          <w:trHeight w:val="511" w:hRule="atLeast"/>
          <w:jc w:val="center"/>
        </w:trPr>
        <w:tc>
          <w:tcPr>
            <w:tcW w:w="56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lang w:val="en-US" w:eastAsia="zh-CN" w:bidi="ar-SA"/>
              </w:rPr>
            </w:pPr>
            <w:r>
              <w:rPr>
                <w:rFonts w:hint="eastAsia" w:ascii="宋体" w:hAnsi="宋体" w:eastAsia="宋体" w:cs="宋体"/>
                <w:i w:val="0"/>
                <w:iCs w:val="0"/>
                <w:snapToGrid w:val="0"/>
                <w:color w:val="000000"/>
                <w:kern w:val="0"/>
                <w:sz w:val="22"/>
                <w:szCs w:val="22"/>
                <w:u w:val="none"/>
                <w:lang w:val="en-US" w:eastAsia="zh-CN" w:bidi="ar"/>
              </w:rPr>
              <w:t>2</w:t>
            </w:r>
          </w:p>
        </w:tc>
        <w:tc>
          <w:tcPr>
            <w:tcW w:w="1395"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widowControl/>
              <w:numPr>
                <w:ilvl w:val="0"/>
                <w:numId w:val="0"/>
              </w:numPr>
              <w:kinsoku/>
              <w:autoSpaceDE/>
              <w:autoSpaceDN/>
              <w:adjustRightInd/>
              <w:snapToGrid/>
              <w:spacing w:line="240" w:lineRule="auto"/>
              <w:ind w:left="0" w:leftChars="0" w:firstLine="0" w:firstLineChars="0"/>
              <w:jc w:val="center"/>
              <w:textAlignment w:val="auto"/>
              <w:rPr>
                <w:rFonts w:hint="eastAsia"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函数/任意波形发生器</w:t>
            </w:r>
          </w:p>
        </w:tc>
        <w:tc>
          <w:tcPr>
            <w:tcW w:w="184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left"/>
              <w:textAlignment w:val="center"/>
              <w:rPr>
                <w:rFonts w:hint="default"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生成标准函数或任意波形</w:t>
            </w:r>
          </w:p>
        </w:tc>
        <w:tc>
          <w:tcPr>
            <w:tcW w:w="199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both"/>
              <w:textAlignment w:val="center"/>
              <w:rPr>
                <w:rFonts w:hint="eastAsia"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波形类型：标准波形（正弦波、方波等）、任意波（指数上升、指数下降等）</w:t>
            </w:r>
            <w:r>
              <w:rPr>
                <w:rFonts w:hint="eastAsia" w:ascii="仿宋" w:hAnsi="仿宋" w:eastAsia="仿宋" w:cs="仿宋"/>
                <w:i w:val="0"/>
                <w:iCs w:val="0"/>
                <w:snapToGrid w:val="0"/>
                <w:color w:val="000000"/>
                <w:kern w:val="0"/>
                <w:sz w:val="24"/>
                <w:szCs w:val="24"/>
                <w:u w:val="none"/>
                <w:lang w:val="en-US" w:eastAsia="zh-CN" w:bidi="ar"/>
              </w:rPr>
              <w:br w:type="textWrapping"/>
            </w:r>
            <w:r>
              <w:rPr>
                <w:rFonts w:hint="eastAsia" w:ascii="仿宋" w:hAnsi="仿宋" w:eastAsia="仿宋" w:cs="仿宋"/>
                <w:i w:val="0"/>
                <w:iCs w:val="0"/>
                <w:snapToGrid w:val="0"/>
                <w:color w:val="000000"/>
                <w:kern w:val="0"/>
                <w:sz w:val="24"/>
                <w:szCs w:val="24"/>
                <w:u w:val="none"/>
                <w:lang w:val="en-US" w:eastAsia="zh-CN" w:bidi="ar"/>
              </w:rPr>
              <w:t>工作模式：连续、突发、扫频、调制</w:t>
            </w:r>
          </w:p>
        </w:tc>
        <w:tc>
          <w:tcPr>
            <w:tcW w:w="1302"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仿宋_GB2312" w:hAnsi="仿宋_GB2312" w:eastAsia="仿宋_GB2312" w:cs="仿宋_GB2312"/>
                <w:b/>
                <w:bCs/>
                <w:snapToGrid/>
                <w:color w:val="000000"/>
                <w:kern w:val="2"/>
                <w:sz w:val="21"/>
                <w:szCs w:val="21"/>
                <w:lang w:val="en-US" w:eastAsia="zh-CN" w:bidi="ar-SA"/>
              </w:rPr>
            </w:pPr>
            <w:r>
              <w:rPr>
                <w:rFonts w:hint="eastAsia" w:ascii="宋体" w:hAnsi="宋体" w:eastAsia="宋体" w:cs="宋体"/>
                <w:i w:val="0"/>
                <w:iCs w:val="0"/>
                <w:snapToGrid w:val="0"/>
                <w:color w:val="000000"/>
                <w:kern w:val="0"/>
                <w:sz w:val="22"/>
                <w:szCs w:val="22"/>
                <w:u w:val="none"/>
                <w:lang w:val="en-US" w:eastAsia="zh-CN" w:bidi="ar"/>
              </w:rPr>
              <w:t>4000</w:t>
            </w:r>
          </w:p>
        </w:tc>
        <w:tc>
          <w:tcPr>
            <w:tcW w:w="633"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1</w:t>
            </w:r>
          </w:p>
        </w:tc>
        <w:tc>
          <w:tcPr>
            <w:tcW w:w="814"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lang w:val="en-US" w:eastAsia="zh-CN" w:bidi="ar-SA"/>
              </w:rPr>
            </w:pPr>
          </w:p>
        </w:tc>
        <w:tc>
          <w:tcPr>
            <w:tcW w:w="1077"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lang w:val="en-US" w:eastAsia="zh-CN" w:bidi="ar-SA"/>
              </w:rPr>
            </w:pPr>
          </w:p>
        </w:tc>
      </w:tr>
      <w:tr>
        <w:tblPrEx>
          <w:tblCellMar>
            <w:top w:w="0" w:type="dxa"/>
            <w:left w:w="0" w:type="dxa"/>
            <w:bottom w:w="0" w:type="dxa"/>
            <w:right w:w="0" w:type="dxa"/>
          </w:tblCellMar>
        </w:tblPrEx>
        <w:trPr>
          <w:trHeight w:val="511" w:hRule="atLeast"/>
          <w:jc w:val="center"/>
        </w:trPr>
        <w:tc>
          <w:tcPr>
            <w:tcW w:w="56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lang w:val="en-US" w:eastAsia="zh-CN" w:bidi="ar-SA"/>
              </w:rPr>
            </w:pPr>
            <w:r>
              <w:rPr>
                <w:rFonts w:hint="eastAsia" w:ascii="宋体" w:hAnsi="宋体" w:eastAsia="宋体" w:cs="宋体"/>
                <w:i w:val="0"/>
                <w:iCs w:val="0"/>
                <w:snapToGrid w:val="0"/>
                <w:color w:val="000000"/>
                <w:kern w:val="0"/>
                <w:sz w:val="22"/>
                <w:szCs w:val="22"/>
                <w:u w:val="none"/>
                <w:lang w:val="en-US" w:eastAsia="zh-CN" w:bidi="ar"/>
              </w:rPr>
              <w:t>3</w:t>
            </w:r>
          </w:p>
        </w:tc>
        <w:tc>
          <w:tcPr>
            <w:tcW w:w="1395"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widowControl/>
              <w:numPr>
                <w:ilvl w:val="0"/>
                <w:numId w:val="0"/>
              </w:numPr>
              <w:kinsoku/>
              <w:autoSpaceDE/>
              <w:autoSpaceDN/>
              <w:adjustRightInd/>
              <w:snapToGrid/>
              <w:spacing w:line="240" w:lineRule="auto"/>
              <w:ind w:left="0" w:leftChars="0" w:firstLine="0" w:firstLineChars="0"/>
              <w:jc w:val="center"/>
              <w:textAlignment w:val="auto"/>
              <w:rPr>
                <w:rFonts w:hint="eastAsia"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模拟电池测试仪</w:t>
            </w:r>
          </w:p>
        </w:tc>
        <w:tc>
          <w:tcPr>
            <w:tcW w:w="184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left"/>
              <w:textAlignment w:val="center"/>
              <w:rPr>
                <w:rFonts w:hint="default"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模拟电池特性，提供安全可控测试环境</w:t>
            </w:r>
          </w:p>
        </w:tc>
        <w:tc>
          <w:tcPr>
            <w:tcW w:w="199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both"/>
              <w:textAlignment w:val="center"/>
              <w:rPr>
                <w:rFonts w:hint="eastAsia"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电压范围：0.1~10V</w:t>
            </w:r>
            <w:r>
              <w:rPr>
                <w:rFonts w:hint="eastAsia" w:ascii="仿宋" w:hAnsi="仿宋" w:eastAsia="仿宋" w:cs="仿宋"/>
                <w:i w:val="0"/>
                <w:iCs w:val="0"/>
                <w:snapToGrid w:val="0"/>
                <w:color w:val="000000"/>
                <w:kern w:val="0"/>
                <w:sz w:val="24"/>
                <w:szCs w:val="24"/>
                <w:u w:val="none"/>
                <w:lang w:val="en-US" w:eastAsia="zh-CN" w:bidi="ar"/>
              </w:rPr>
              <w:br w:type="textWrapping"/>
            </w:r>
            <w:r>
              <w:rPr>
                <w:rFonts w:hint="eastAsia" w:ascii="仿宋" w:hAnsi="仿宋" w:eastAsia="仿宋" w:cs="仿宋"/>
                <w:i w:val="0"/>
                <w:iCs w:val="0"/>
                <w:snapToGrid w:val="0"/>
                <w:color w:val="000000"/>
                <w:kern w:val="0"/>
                <w:sz w:val="24"/>
                <w:szCs w:val="24"/>
                <w:u w:val="none"/>
                <w:lang w:val="en-US" w:eastAsia="zh-CN" w:bidi="ar"/>
              </w:rPr>
              <w:t>电流范围：0~2A</w:t>
            </w:r>
          </w:p>
        </w:tc>
        <w:tc>
          <w:tcPr>
            <w:tcW w:w="1302"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仿宋_GB2312" w:hAnsi="仿宋_GB2312" w:eastAsia="仿宋_GB2312" w:cs="仿宋_GB2312"/>
                <w:b/>
                <w:bCs/>
                <w:snapToGrid/>
                <w:color w:val="000000"/>
                <w:kern w:val="2"/>
                <w:sz w:val="21"/>
                <w:szCs w:val="21"/>
                <w:lang w:val="en-US" w:eastAsia="zh-CN" w:bidi="ar-SA"/>
              </w:rPr>
            </w:pPr>
            <w:r>
              <w:rPr>
                <w:rFonts w:hint="eastAsia" w:ascii="宋体" w:hAnsi="宋体" w:eastAsia="宋体" w:cs="宋体"/>
                <w:i w:val="0"/>
                <w:iCs w:val="0"/>
                <w:snapToGrid w:val="0"/>
                <w:color w:val="000000"/>
                <w:kern w:val="0"/>
                <w:sz w:val="22"/>
                <w:szCs w:val="22"/>
                <w:u w:val="none"/>
                <w:lang w:val="en-US" w:eastAsia="zh-CN" w:bidi="ar"/>
              </w:rPr>
              <w:t>3800</w:t>
            </w:r>
          </w:p>
        </w:tc>
        <w:tc>
          <w:tcPr>
            <w:tcW w:w="633"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1</w:t>
            </w:r>
          </w:p>
        </w:tc>
        <w:tc>
          <w:tcPr>
            <w:tcW w:w="814"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lang w:val="en-US" w:eastAsia="zh-CN" w:bidi="ar-SA"/>
              </w:rPr>
            </w:pPr>
          </w:p>
        </w:tc>
        <w:tc>
          <w:tcPr>
            <w:tcW w:w="1077"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lang w:val="en-US" w:eastAsia="zh-CN" w:bidi="ar-SA"/>
              </w:rPr>
            </w:pPr>
          </w:p>
        </w:tc>
      </w:tr>
      <w:tr>
        <w:tblPrEx>
          <w:tblCellMar>
            <w:top w:w="0" w:type="dxa"/>
            <w:left w:w="0" w:type="dxa"/>
            <w:bottom w:w="0" w:type="dxa"/>
            <w:right w:w="0" w:type="dxa"/>
          </w:tblCellMar>
        </w:tblPrEx>
        <w:trPr>
          <w:trHeight w:val="511" w:hRule="atLeast"/>
          <w:jc w:val="center"/>
        </w:trPr>
        <w:tc>
          <w:tcPr>
            <w:tcW w:w="56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widowControl/>
              <w:numPr>
                <w:ilvl w:val="0"/>
                <w:numId w:val="0"/>
              </w:numPr>
              <w:kinsoku/>
              <w:autoSpaceDE/>
              <w:autoSpaceDN/>
              <w:adjustRightInd/>
              <w:snapToGrid/>
              <w:spacing w:line="240" w:lineRule="auto"/>
              <w:ind w:left="0" w:leftChars="0" w:firstLine="0" w:firstLineChars="0"/>
              <w:jc w:val="center"/>
              <w:textAlignment w:val="auto"/>
              <w:rPr>
                <w:rFonts w:hint="eastAsia" w:ascii="仿宋_GB2312" w:hAnsi="仿宋_GB2312" w:eastAsia="仿宋_GB2312" w:cs="仿宋_GB2312"/>
                <w:snapToGrid/>
                <w:color w:val="000000"/>
                <w:kern w:val="2"/>
                <w:sz w:val="21"/>
                <w:szCs w:val="21"/>
                <w:lang w:val="en-US" w:eastAsia="en-US" w:bidi="ar-SA"/>
              </w:rPr>
            </w:pPr>
            <w:r>
              <w:rPr>
                <w:rFonts w:hint="eastAsia" w:ascii="宋体" w:hAnsi="宋体" w:eastAsia="宋体" w:cs="宋体"/>
                <w:i w:val="0"/>
                <w:iCs w:val="0"/>
                <w:snapToGrid w:val="0"/>
                <w:color w:val="000000"/>
                <w:kern w:val="0"/>
                <w:sz w:val="22"/>
                <w:szCs w:val="22"/>
                <w:u w:val="none"/>
                <w:lang w:val="en-US" w:eastAsia="zh-CN" w:bidi="ar"/>
              </w:rPr>
              <w:t>4</w:t>
            </w:r>
          </w:p>
        </w:tc>
        <w:tc>
          <w:tcPr>
            <w:tcW w:w="1395"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widowControl/>
              <w:numPr>
                <w:ilvl w:val="0"/>
                <w:numId w:val="0"/>
              </w:numPr>
              <w:kinsoku/>
              <w:autoSpaceDE/>
              <w:autoSpaceDN/>
              <w:adjustRightInd/>
              <w:snapToGrid/>
              <w:spacing w:line="240" w:lineRule="auto"/>
              <w:ind w:left="0" w:leftChars="0" w:firstLine="0" w:firstLineChars="0"/>
              <w:jc w:val="center"/>
              <w:textAlignment w:val="auto"/>
              <w:rPr>
                <w:rFonts w:hint="eastAsia" w:ascii="仿宋_GB2312" w:hAnsi="仿宋_GB2312" w:eastAsia="仿宋_GB2312" w:cs="仿宋_GB2312"/>
                <w:snapToGrid/>
                <w:color w:val="000000"/>
                <w:kern w:val="2"/>
                <w:sz w:val="21"/>
                <w:szCs w:val="21"/>
                <w:lang w:val="en-US" w:eastAsia="zh-CN" w:bidi="ar-SA"/>
              </w:rPr>
            </w:pPr>
            <w:r>
              <w:rPr>
                <w:rFonts w:hint="eastAsia" w:ascii="仿宋" w:hAnsi="仿宋" w:eastAsia="仿宋" w:cs="仿宋"/>
                <w:i w:val="0"/>
                <w:iCs w:val="0"/>
                <w:snapToGrid w:val="0"/>
                <w:color w:val="000000"/>
                <w:kern w:val="0"/>
                <w:sz w:val="24"/>
                <w:szCs w:val="24"/>
                <w:u w:val="none"/>
                <w:lang w:val="en-US" w:eastAsia="zh-CN" w:bidi="ar"/>
              </w:rPr>
              <w:t>自动上板机</w:t>
            </w:r>
          </w:p>
        </w:tc>
        <w:tc>
          <w:tcPr>
            <w:tcW w:w="184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left"/>
              <w:textAlignment w:val="center"/>
              <w:rPr>
                <w:rFonts w:hint="default"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将PCB板自动送入产线</w:t>
            </w:r>
          </w:p>
        </w:tc>
        <w:tc>
          <w:tcPr>
            <w:tcW w:w="199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both"/>
              <w:textAlignment w:val="center"/>
              <w:rPr>
                <w:rFonts w:hint="eastAsia"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电源:AC220V±10%，50/60Hz</w:t>
            </w:r>
            <w:r>
              <w:rPr>
                <w:rFonts w:hint="eastAsia" w:ascii="仿宋" w:hAnsi="仿宋" w:eastAsia="仿宋" w:cs="仿宋"/>
                <w:i w:val="0"/>
                <w:iCs w:val="0"/>
                <w:snapToGrid w:val="0"/>
                <w:color w:val="000000"/>
                <w:kern w:val="0"/>
                <w:sz w:val="24"/>
                <w:szCs w:val="24"/>
                <w:u w:val="none"/>
                <w:lang w:val="en-US" w:eastAsia="zh-CN" w:bidi="ar"/>
              </w:rPr>
              <w:br w:type="textWrapping"/>
            </w:r>
            <w:r>
              <w:rPr>
                <w:rFonts w:hint="eastAsia" w:ascii="仿宋" w:hAnsi="仿宋" w:eastAsia="仿宋" w:cs="仿宋"/>
                <w:i w:val="0"/>
                <w:iCs w:val="0"/>
                <w:snapToGrid w:val="0"/>
                <w:color w:val="000000"/>
                <w:kern w:val="0"/>
                <w:sz w:val="24"/>
                <w:szCs w:val="24"/>
                <w:u w:val="none"/>
                <w:lang w:val="en-US" w:eastAsia="zh-CN" w:bidi="ar"/>
              </w:rPr>
              <w:t>传输高度:</w:t>
            </w:r>
          </w:p>
          <w:p>
            <w:pPr>
              <w:keepNext w:val="0"/>
              <w:keepLines w:val="0"/>
              <w:widowControl/>
              <w:suppressLineNumbers w:val="0"/>
              <w:jc w:val="both"/>
              <w:textAlignment w:val="center"/>
              <w:rPr>
                <w:rFonts w:hint="eastAsia"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900±20mm</w:t>
            </w:r>
            <w:r>
              <w:rPr>
                <w:rFonts w:hint="eastAsia" w:ascii="仿宋" w:hAnsi="仿宋" w:eastAsia="仿宋" w:cs="仿宋"/>
                <w:i w:val="0"/>
                <w:iCs w:val="0"/>
                <w:snapToGrid w:val="0"/>
                <w:color w:val="000000"/>
                <w:kern w:val="0"/>
                <w:sz w:val="24"/>
                <w:szCs w:val="24"/>
                <w:u w:val="none"/>
                <w:lang w:val="en-US" w:eastAsia="zh-CN" w:bidi="ar"/>
              </w:rPr>
              <w:br w:type="textWrapping"/>
            </w:r>
            <w:r>
              <w:rPr>
                <w:rFonts w:hint="eastAsia" w:ascii="仿宋" w:hAnsi="仿宋" w:eastAsia="仿宋" w:cs="仿宋"/>
                <w:i w:val="0"/>
                <w:iCs w:val="0"/>
                <w:snapToGrid w:val="0"/>
                <w:color w:val="000000"/>
                <w:kern w:val="0"/>
                <w:sz w:val="24"/>
                <w:szCs w:val="24"/>
                <w:u w:val="none"/>
                <w:lang w:val="en-US" w:eastAsia="zh-CN" w:bidi="ar"/>
              </w:rPr>
              <w:t>输送速度:</w:t>
            </w:r>
          </w:p>
          <w:p>
            <w:pPr>
              <w:keepNext w:val="0"/>
              <w:keepLines w:val="0"/>
              <w:widowControl/>
              <w:suppressLineNumbers w:val="0"/>
              <w:jc w:val="both"/>
              <w:textAlignment w:val="center"/>
              <w:rPr>
                <w:rFonts w:hint="eastAsia"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0.5~20m/min</w:t>
            </w:r>
          </w:p>
        </w:tc>
        <w:tc>
          <w:tcPr>
            <w:tcW w:w="1302"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3500</w:t>
            </w:r>
          </w:p>
        </w:tc>
        <w:tc>
          <w:tcPr>
            <w:tcW w:w="633"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1</w:t>
            </w:r>
          </w:p>
        </w:tc>
        <w:tc>
          <w:tcPr>
            <w:tcW w:w="814"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widowControl/>
              <w:numPr>
                <w:ilvl w:val="0"/>
                <w:numId w:val="0"/>
              </w:numPr>
              <w:kinsoku/>
              <w:autoSpaceDE/>
              <w:autoSpaceDN/>
              <w:adjustRightInd/>
              <w:snapToGrid/>
              <w:spacing w:line="240" w:lineRule="auto"/>
              <w:ind w:left="0" w:leftChars="0" w:firstLine="0" w:firstLineChars="0"/>
              <w:jc w:val="center"/>
              <w:textAlignment w:val="auto"/>
              <w:rPr>
                <w:rFonts w:hint="eastAsia" w:ascii="仿宋_GB2312" w:hAnsi="仿宋_GB2312" w:eastAsia="仿宋_GB2312" w:cs="仿宋_GB2312"/>
                <w:snapToGrid/>
                <w:color w:val="000000"/>
                <w:kern w:val="2"/>
                <w:sz w:val="21"/>
                <w:szCs w:val="21"/>
                <w:lang w:val="en-US" w:eastAsia="en-US" w:bidi="ar-SA"/>
              </w:rPr>
            </w:pPr>
          </w:p>
        </w:tc>
        <w:tc>
          <w:tcPr>
            <w:tcW w:w="1077"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widowControl/>
              <w:numPr>
                <w:ilvl w:val="0"/>
                <w:numId w:val="0"/>
              </w:numPr>
              <w:kinsoku/>
              <w:autoSpaceDE/>
              <w:autoSpaceDN/>
              <w:adjustRightInd/>
              <w:snapToGrid/>
              <w:spacing w:line="240" w:lineRule="auto"/>
              <w:ind w:left="0" w:leftChars="0" w:firstLine="0" w:firstLineChars="0"/>
              <w:jc w:val="center"/>
              <w:textAlignment w:val="auto"/>
              <w:rPr>
                <w:rFonts w:hint="eastAsia" w:ascii="仿宋_GB2312" w:hAnsi="仿宋_GB2312" w:eastAsia="仿宋_GB2312" w:cs="仿宋_GB2312"/>
                <w:snapToGrid/>
                <w:color w:val="000000"/>
                <w:kern w:val="2"/>
                <w:sz w:val="21"/>
                <w:szCs w:val="21"/>
                <w:lang w:val="en-US" w:eastAsia="en-US" w:bidi="ar-SA"/>
              </w:rPr>
            </w:pPr>
          </w:p>
        </w:tc>
      </w:tr>
      <w:tr>
        <w:tblPrEx>
          <w:tblCellMar>
            <w:top w:w="0" w:type="dxa"/>
            <w:left w:w="0" w:type="dxa"/>
            <w:bottom w:w="0" w:type="dxa"/>
            <w:right w:w="0" w:type="dxa"/>
          </w:tblCellMar>
        </w:tblPrEx>
        <w:trPr>
          <w:trHeight w:val="511" w:hRule="atLeast"/>
          <w:jc w:val="center"/>
        </w:trPr>
        <w:tc>
          <w:tcPr>
            <w:tcW w:w="56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lang w:val="en-US" w:eastAsia="en-US" w:bidi="ar-SA"/>
              </w:rPr>
            </w:pPr>
            <w:r>
              <w:rPr>
                <w:rFonts w:hint="eastAsia" w:ascii="宋体" w:hAnsi="宋体" w:eastAsia="宋体" w:cs="宋体"/>
                <w:i w:val="0"/>
                <w:iCs w:val="0"/>
                <w:snapToGrid w:val="0"/>
                <w:color w:val="000000"/>
                <w:kern w:val="0"/>
                <w:sz w:val="22"/>
                <w:szCs w:val="22"/>
                <w:u w:val="none"/>
                <w:lang w:val="en-US" w:eastAsia="zh-CN" w:bidi="ar"/>
              </w:rPr>
              <w:t>5</w:t>
            </w:r>
          </w:p>
        </w:tc>
        <w:tc>
          <w:tcPr>
            <w:tcW w:w="1395"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widowControl/>
              <w:numPr>
                <w:ilvl w:val="0"/>
                <w:numId w:val="0"/>
              </w:numPr>
              <w:kinsoku/>
              <w:autoSpaceDE/>
              <w:autoSpaceDN/>
              <w:adjustRightInd/>
              <w:snapToGrid/>
              <w:spacing w:line="240" w:lineRule="auto"/>
              <w:ind w:left="0" w:leftChars="0" w:firstLine="0" w:firstLineChars="0"/>
              <w:jc w:val="center"/>
              <w:textAlignment w:val="auto"/>
              <w:rPr>
                <w:rFonts w:hint="eastAsia"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自动下板机</w:t>
            </w:r>
          </w:p>
        </w:tc>
        <w:tc>
          <w:tcPr>
            <w:tcW w:w="184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left"/>
              <w:textAlignment w:val="center"/>
              <w:rPr>
                <w:rFonts w:hint="default"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自动收集成品板</w:t>
            </w:r>
          </w:p>
        </w:tc>
        <w:tc>
          <w:tcPr>
            <w:tcW w:w="199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both"/>
              <w:textAlignment w:val="center"/>
              <w:rPr>
                <w:rFonts w:hint="eastAsia"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电源:AC220V±10%，50/60Hz</w:t>
            </w:r>
            <w:r>
              <w:rPr>
                <w:rFonts w:hint="eastAsia" w:ascii="仿宋" w:hAnsi="仿宋" w:eastAsia="仿宋" w:cs="仿宋"/>
                <w:i w:val="0"/>
                <w:iCs w:val="0"/>
                <w:snapToGrid w:val="0"/>
                <w:color w:val="000000"/>
                <w:kern w:val="0"/>
                <w:sz w:val="24"/>
                <w:szCs w:val="24"/>
                <w:u w:val="none"/>
                <w:lang w:val="en-US" w:eastAsia="zh-CN" w:bidi="ar"/>
              </w:rPr>
              <w:br w:type="textWrapping"/>
            </w:r>
            <w:r>
              <w:rPr>
                <w:rFonts w:hint="eastAsia" w:ascii="仿宋" w:hAnsi="仿宋" w:eastAsia="仿宋" w:cs="仿宋"/>
                <w:i w:val="0"/>
                <w:iCs w:val="0"/>
                <w:snapToGrid w:val="0"/>
                <w:color w:val="000000"/>
                <w:kern w:val="0"/>
                <w:sz w:val="24"/>
                <w:szCs w:val="24"/>
                <w:u w:val="none"/>
                <w:lang w:val="en-US" w:eastAsia="zh-CN" w:bidi="ar"/>
              </w:rPr>
              <w:t>传输高度:</w:t>
            </w:r>
          </w:p>
          <w:p>
            <w:pPr>
              <w:keepNext w:val="0"/>
              <w:keepLines w:val="0"/>
              <w:widowControl/>
              <w:suppressLineNumbers w:val="0"/>
              <w:jc w:val="both"/>
              <w:textAlignment w:val="center"/>
              <w:rPr>
                <w:rFonts w:hint="eastAsia"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900±20mm</w:t>
            </w:r>
            <w:r>
              <w:rPr>
                <w:rFonts w:hint="eastAsia" w:ascii="仿宋" w:hAnsi="仿宋" w:eastAsia="仿宋" w:cs="仿宋"/>
                <w:i w:val="0"/>
                <w:iCs w:val="0"/>
                <w:snapToGrid w:val="0"/>
                <w:color w:val="000000"/>
                <w:kern w:val="0"/>
                <w:sz w:val="24"/>
                <w:szCs w:val="24"/>
                <w:u w:val="none"/>
                <w:lang w:val="en-US" w:eastAsia="zh-CN" w:bidi="ar"/>
              </w:rPr>
              <w:br w:type="textWrapping"/>
            </w:r>
            <w:r>
              <w:rPr>
                <w:rFonts w:hint="eastAsia" w:ascii="仿宋" w:hAnsi="仿宋" w:eastAsia="仿宋" w:cs="仿宋"/>
                <w:i w:val="0"/>
                <w:iCs w:val="0"/>
                <w:snapToGrid w:val="0"/>
                <w:color w:val="000000"/>
                <w:kern w:val="0"/>
                <w:sz w:val="24"/>
                <w:szCs w:val="24"/>
                <w:u w:val="none"/>
                <w:lang w:val="en-US" w:eastAsia="zh-CN" w:bidi="ar"/>
              </w:rPr>
              <w:t>输送速度:</w:t>
            </w:r>
          </w:p>
          <w:p>
            <w:pPr>
              <w:keepNext w:val="0"/>
              <w:keepLines w:val="0"/>
              <w:widowControl/>
              <w:suppressLineNumbers w:val="0"/>
              <w:jc w:val="both"/>
              <w:textAlignment w:val="center"/>
              <w:rPr>
                <w:rFonts w:hint="eastAsia"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0.5~20m/min</w:t>
            </w:r>
          </w:p>
        </w:tc>
        <w:tc>
          <w:tcPr>
            <w:tcW w:w="1302"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4000</w:t>
            </w:r>
          </w:p>
        </w:tc>
        <w:tc>
          <w:tcPr>
            <w:tcW w:w="633"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1</w:t>
            </w:r>
          </w:p>
        </w:tc>
        <w:tc>
          <w:tcPr>
            <w:tcW w:w="814"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lang w:val="en-US" w:eastAsia="en-US" w:bidi="ar-SA"/>
              </w:rPr>
            </w:pPr>
          </w:p>
        </w:tc>
        <w:tc>
          <w:tcPr>
            <w:tcW w:w="1077"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lang w:val="en-US" w:eastAsia="en-US" w:bidi="ar-SA"/>
              </w:rPr>
            </w:pPr>
          </w:p>
        </w:tc>
      </w:tr>
      <w:tr>
        <w:tblPrEx>
          <w:tblCellMar>
            <w:top w:w="0" w:type="dxa"/>
            <w:left w:w="0" w:type="dxa"/>
            <w:bottom w:w="0" w:type="dxa"/>
            <w:right w:w="0" w:type="dxa"/>
          </w:tblCellMar>
        </w:tblPrEx>
        <w:trPr>
          <w:trHeight w:val="511" w:hRule="atLeast"/>
          <w:jc w:val="center"/>
        </w:trPr>
        <w:tc>
          <w:tcPr>
            <w:tcW w:w="56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b/>
                <w:bCs/>
                <w:snapToGrid/>
                <w:color w:val="000000"/>
                <w:kern w:val="2"/>
                <w:sz w:val="21"/>
                <w:szCs w:val="21"/>
                <w:lang w:val="en-US" w:eastAsia="zh-CN" w:bidi="ar-SA"/>
              </w:rPr>
            </w:pPr>
            <w:r>
              <w:rPr>
                <w:rFonts w:hint="eastAsia" w:ascii="宋体" w:hAnsi="宋体" w:eastAsia="宋体" w:cs="宋体"/>
                <w:i w:val="0"/>
                <w:iCs w:val="0"/>
                <w:snapToGrid w:val="0"/>
                <w:color w:val="000000"/>
                <w:kern w:val="0"/>
                <w:sz w:val="22"/>
                <w:szCs w:val="22"/>
                <w:u w:val="none"/>
                <w:lang w:val="en-US" w:eastAsia="zh-CN" w:bidi="ar"/>
              </w:rPr>
              <w:t>6</w:t>
            </w:r>
          </w:p>
        </w:tc>
        <w:tc>
          <w:tcPr>
            <w:tcW w:w="1395"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widowControl/>
              <w:numPr>
                <w:ilvl w:val="0"/>
                <w:numId w:val="0"/>
              </w:numPr>
              <w:kinsoku/>
              <w:autoSpaceDE/>
              <w:autoSpaceDN/>
              <w:adjustRightInd/>
              <w:snapToGrid/>
              <w:spacing w:line="240" w:lineRule="auto"/>
              <w:ind w:left="0" w:leftChars="0" w:firstLine="0" w:firstLineChars="0"/>
              <w:jc w:val="center"/>
              <w:textAlignment w:val="auto"/>
              <w:rPr>
                <w:rFonts w:hint="eastAsia"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弯排机</w:t>
            </w:r>
          </w:p>
        </w:tc>
        <w:tc>
          <w:tcPr>
            <w:tcW w:w="184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left"/>
              <w:textAlignment w:val="center"/>
              <w:rPr>
                <w:rFonts w:hint="default"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对母线进行平弯和立弯加工</w:t>
            </w:r>
          </w:p>
        </w:tc>
        <w:tc>
          <w:tcPr>
            <w:tcW w:w="199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both"/>
              <w:textAlignment w:val="center"/>
              <w:rPr>
                <w:rFonts w:hint="eastAsia"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加工对象：铜排/铝排</w:t>
            </w:r>
          </w:p>
        </w:tc>
        <w:tc>
          <w:tcPr>
            <w:tcW w:w="1302"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仿宋_GB2312" w:hAnsi="仿宋_GB2312" w:eastAsia="仿宋_GB2312" w:cs="仿宋_GB2312"/>
                <w:b/>
                <w:bCs/>
                <w:snapToGrid/>
                <w:color w:val="000000"/>
                <w:kern w:val="2"/>
                <w:sz w:val="21"/>
                <w:szCs w:val="21"/>
                <w:lang w:val="en-US" w:eastAsia="zh-CN" w:bidi="ar-SA"/>
              </w:rPr>
            </w:pPr>
            <w:r>
              <w:rPr>
                <w:rFonts w:hint="eastAsia" w:ascii="宋体" w:hAnsi="宋体" w:eastAsia="宋体" w:cs="宋体"/>
                <w:i w:val="0"/>
                <w:iCs w:val="0"/>
                <w:snapToGrid w:val="0"/>
                <w:color w:val="000000"/>
                <w:kern w:val="0"/>
                <w:sz w:val="22"/>
                <w:szCs w:val="22"/>
                <w:u w:val="none"/>
                <w:lang w:val="en-US" w:eastAsia="zh-CN" w:bidi="ar"/>
              </w:rPr>
              <w:t>3000</w:t>
            </w:r>
          </w:p>
        </w:tc>
        <w:tc>
          <w:tcPr>
            <w:tcW w:w="633"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eastAsia"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1</w:t>
            </w:r>
          </w:p>
        </w:tc>
        <w:tc>
          <w:tcPr>
            <w:tcW w:w="814"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lang w:val="en-US" w:eastAsia="zh-CN" w:bidi="ar-SA"/>
              </w:rPr>
            </w:pPr>
          </w:p>
        </w:tc>
        <w:tc>
          <w:tcPr>
            <w:tcW w:w="1077"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insoku/>
              <w:autoSpaceDE/>
              <w:autoSpaceDN/>
              <w:adjustRightInd/>
              <w:snapToGrid/>
              <w:spacing w:line="360" w:lineRule="auto"/>
              <w:jc w:val="center"/>
              <w:textAlignment w:val="auto"/>
              <w:rPr>
                <w:rFonts w:hint="eastAsia" w:ascii="仿宋_GB2312" w:hAnsi="仿宋_GB2312" w:eastAsia="仿宋_GB2312" w:cs="仿宋_GB2312"/>
                <w:b/>
                <w:bCs/>
                <w:snapToGrid/>
                <w:color w:val="000000"/>
                <w:kern w:val="2"/>
                <w:sz w:val="21"/>
                <w:szCs w:val="21"/>
                <w:lang w:val="en-US" w:eastAsia="zh-CN" w:bidi="ar-SA"/>
              </w:rPr>
            </w:pPr>
          </w:p>
        </w:tc>
      </w:tr>
      <w:tr>
        <w:tblPrEx>
          <w:tblCellMar>
            <w:top w:w="0" w:type="dxa"/>
            <w:left w:w="0" w:type="dxa"/>
            <w:bottom w:w="0" w:type="dxa"/>
            <w:right w:w="0" w:type="dxa"/>
          </w:tblCellMar>
        </w:tblPrEx>
        <w:trPr>
          <w:trHeight w:val="511" w:hRule="atLeast"/>
          <w:jc w:val="center"/>
        </w:trPr>
        <w:tc>
          <w:tcPr>
            <w:tcW w:w="561"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jc w:val="center"/>
              <w:textAlignment w:val="center"/>
              <w:rPr>
                <w:rFonts w:hint="eastAsia" w:ascii="仿宋_GB2312" w:hAnsi="仿宋_GB2312" w:eastAsia="仿宋_GB2312" w:cs="仿宋_GB2312"/>
                <w:snapToGrid/>
                <w:color w:val="000000"/>
                <w:kern w:val="2"/>
                <w:sz w:val="21"/>
                <w:szCs w:val="21"/>
                <w:lang w:val="en-US" w:eastAsia="en-US" w:bidi="ar-SA"/>
              </w:rPr>
            </w:pPr>
            <w:r>
              <w:rPr>
                <w:rFonts w:hint="eastAsia" w:ascii="仿宋" w:hAnsi="仿宋" w:eastAsia="仿宋" w:cs="仿宋"/>
                <w:i w:val="0"/>
                <w:iCs w:val="0"/>
                <w:snapToGrid w:val="0"/>
                <w:color w:val="000000"/>
                <w:kern w:val="0"/>
                <w:sz w:val="24"/>
                <w:szCs w:val="24"/>
                <w:u w:val="none"/>
                <w:lang w:val="en-US" w:eastAsia="zh-CN" w:bidi="ar"/>
              </w:rPr>
              <w:t>7</w:t>
            </w:r>
          </w:p>
        </w:tc>
        <w:tc>
          <w:tcPr>
            <w:tcW w:w="1395" w:type="dxa"/>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widowControl/>
              <w:numPr>
                <w:ilvl w:val="0"/>
                <w:numId w:val="0"/>
              </w:numPr>
              <w:kinsoku/>
              <w:autoSpaceDE/>
              <w:autoSpaceDN/>
              <w:adjustRightInd/>
              <w:snapToGrid/>
              <w:spacing w:line="240" w:lineRule="auto"/>
              <w:ind w:left="0" w:leftChars="0" w:firstLine="0" w:firstLineChars="0"/>
              <w:jc w:val="center"/>
              <w:textAlignment w:val="auto"/>
              <w:rPr>
                <w:rFonts w:hint="eastAsia"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母线加工机</w:t>
            </w:r>
          </w:p>
        </w:tc>
        <w:tc>
          <w:tcPr>
            <w:tcW w:w="184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left"/>
              <w:textAlignment w:val="center"/>
              <w:rPr>
                <w:rFonts w:hint="default"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一站式加工铜铝母线</w:t>
            </w:r>
          </w:p>
        </w:tc>
        <w:tc>
          <w:tcPr>
            <w:tcW w:w="1995"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both"/>
              <w:textAlignment w:val="center"/>
              <w:rPr>
                <w:rFonts w:hint="eastAsia" w:ascii="仿宋" w:hAnsi="仿宋" w:eastAsia="仿宋" w:cs="仿宋"/>
                <w:i w:val="0"/>
                <w:iCs w:val="0"/>
                <w:snapToGrid w:val="0"/>
                <w:color w:val="000000"/>
                <w:kern w:val="0"/>
                <w:sz w:val="24"/>
                <w:szCs w:val="24"/>
                <w:u w:val="none"/>
                <w:lang w:val="en-US" w:eastAsia="zh-CN" w:bidi="ar"/>
              </w:rPr>
            </w:pPr>
            <w:r>
              <w:rPr>
                <w:rFonts w:hint="eastAsia" w:ascii="仿宋" w:hAnsi="仿宋" w:eastAsia="仿宋" w:cs="仿宋"/>
                <w:i w:val="0"/>
                <w:iCs w:val="0"/>
                <w:snapToGrid w:val="0"/>
                <w:color w:val="000000"/>
                <w:kern w:val="0"/>
                <w:sz w:val="24"/>
                <w:szCs w:val="24"/>
                <w:u w:val="none"/>
                <w:lang w:val="en-US" w:eastAsia="zh-CN" w:bidi="ar"/>
              </w:rPr>
              <w:t>电源：AC220V,50Hz；功率750W</w:t>
            </w:r>
          </w:p>
        </w:tc>
        <w:tc>
          <w:tcPr>
            <w:tcW w:w="1302"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仿宋_GB2312" w:hAnsi="仿宋_GB2312" w:eastAsia="仿宋_GB2312" w:cs="仿宋_GB2312"/>
                <w:snapToGrid/>
                <w:color w:val="000000"/>
                <w:kern w:val="2"/>
                <w:sz w:val="21"/>
                <w:szCs w:val="21"/>
                <w:lang w:val="en-US" w:eastAsia="zh-CN" w:bidi="ar-SA"/>
              </w:rPr>
            </w:pPr>
            <w:r>
              <w:rPr>
                <w:rFonts w:hint="eastAsia" w:ascii="宋体" w:hAnsi="宋体" w:eastAsia="宋体" w:cs="宋体"/>
                <w:i w:val="0"/>
                <w:iCs w:val="0"/>
                <w:snapToGrid w:val="0"/>
                <w:color w:val="000000"/>
                <w:kern w:val="0"/>
                <w:sz w:val="22"/>
                <w:szCs w:val="22"/>
                <w:u w:val="none"/>
                <w:lang w:val="en-US" w:eastAsia="zh-CN" w:bidi="ar"/>
              </w:rPr>
              <w:t>4200</w:t>
            </w:r>
          </w:p>
        </w:tc>
        <w:tc>
          <w:tcPr>
            <w:tcW w:w="633"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r>
              <w:rPr>
                <w:rFonts w:hint="eastAsia" w:ascii="宋体" w:hAnsi="宋体" w:eastAsia="宋体" w:cs="宋体"/>
                <w:i w:val="0"/>
                <w:iCs w:val="0"/>
                <w:snapToGrid w:val="0"/>
                <w:color w:val="000000"/>
                <w:kern w:val="0"/>
                <w:sz w:val="22"/>
                <w:szCs w:val="22"/>
                <w:u w:val="none"/>
                <w:lang w:val="en-US" w:eastAsia="zh-CN" w:bidi="ar"/>
              </w:rPr>
              <w:t>1</w:t>
            </w:r>
          </w:p>
        </w:tc>
        <w:tc>
          <w:tcPr>
            <w:tcW w:w="814"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keepNext w:val="0"/>
              <w:keepLines w:val="0"/>
              <w:widowControl/>
              <w:suppressLineNumbers w:val="0"/>
              <w:jc w:val="center"/>
              <w:textAlignment w:val="center"/>
              <w:rPr>
                <w:rFonts w:hint="default" w:ascii="宋体" w:hAnsi="宋体" w:eastAsia="宋体" w:cs="宋体"/>
                <w:i w:val="0"/>
                <w:iCs w:val="0"/>
                <w:snapToGrid w:val="0"/>
                <w:color w:val="000000"/>
                <w:kern w:val="0"/>
                <w:sz w:val="22"/>
                <w:szCs w:val="22"/>
                <w:u w:val="none"/>
                <w:lang w:val="en-US" w:eastAsia="zh-CN" w:bidi="ar"/>
              </w:rPr>
            </w:pPr>
          </w:p>
        </w:tc>
        <w:tc>
          <w:tcPr>
            <w:tcW w:w="811"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widowControl/>
              <w:numPr>
                <w:ilvl w:val="0"/>
                <w:numId w:val="0"/>
              </w:numPr>
              <w:kinsoku/>
              <w:autoSpaceDE/>
              <w:autoSpaceDN/>
              <w:adjustRightInd/>
              <w:snapToGrid/>
              <w:spacing w:line="240" w:lineRule="auto"/>
              <w:ind w:left="0" w:leftChars="0" w:firstLine="0" w:firstLineChars="0"/>
              <w:jc w:val="center"/>
              <w:textAlignment w:val="auto"/>
              <w:rPr>
                <w:rFonts w:hint="eastAsia" w:ascii="仿宋_GB2312" w:hAnsi="仿宋_GB2312" w:eastAsia="仿宋_GB2312" w:cs="仿宋_GB2312"/>
                <w:snapToGrid/>
                <w:color w:val="000000"/>
                <w:kern w:val="2"/>
                <w:sz w:val="21"/>
                <w:szCs w:val="21"/>
                <w:lang w:val="en-US" w:eastAsia="en-US" w:bidi="ar-SA"/>
              </w:rPr>
            </w:pPr>
          </w:p>
        </w:tc>
        <w:tc>
          <w:tcPr>
            <w:tcW w:w="1077" w:type="dxa"/>
            <w:tcBorders>
              <w:top w:val="single" w:color="000000" w:sz="6" w:space="0"/>
              <w:left w:val="single" w:color="auto" w:sz="4" w:space="0"/>
              <w:bottom w:val="single" w:color="000000" w:sz="6" w:space="0"/>
              <w:right w:val="single" w:color="auto" w:sz="4" w:space="0"/>
            </w:tcBorders>
            <w:shd w:val="clear" w:color="auto" w:fill="FFFFFF"/>
            <w:noWrap w:val="0"/>
            <w:vAlign w:val="center"/>
          </w:tcPr>
          <w:p>
            <w:pPr>
              <w:widowControl/>
              <w:numPr>
                <w:ilvl w:val="0"/>
                <w:numId w:val="0"/>
              </w:numPr>
              <w:kinsoku/>
              <w:autoSpaceDE/>
              <w:autoSpaceDN/>
              <w:adjustRightInd/>
              <w:snapToGrid/>
              <w:spacing w:line="240" w:lineRule="auto"/>
              <w:ind w:left="0" w:leftChars="0" w:firstLine="0" w:firstLineChars="0"/>
              <w:jc w:val="center"/>
              <w:textAlignment w:val="auto"/>
              <w:rPr>
                <w:rFonts w:hint="eastAsia" w:ascii="仿宋_GB2312" w:hAnsi="仿宋_GB2312" w:eastAsia="仿宋_GB2312" w:cs="仿宋_GB2312"/>
                <w:snapToGrid/>
                <w:color w:val="000000"/>
                <w:kern w:val="2"/>
                <w:sz w:val="21"/>
                <w:szCs w:val="21"/>
                <w:lang w:val="en-US" w:eastAsia="en-US" w:bidi="ar-SA"/>
              </w:rPr>
            </w:pPr>
          </w:p>
        </w:tc>
      </w:tr>
      <w:tr>
        <w:tblPrEx>
          <w:tblCellMar>
            <w:top w:w="0" w:type="dxa"/>
            <w:left w:w="0" w:type="dxa"/>
            <w:bottom w:w="0" w:type="dxa"/>
            <w:right w:w="0" w:type="dxa"/>
          </w:tblCellMar>
        </w:tblPrEx>
        <w:trPr>
          <w:trHeight w:val="511" w:hRule="atLeast"/>
          <w:jc w:val="center"/>
        </w:trPr>
        <w:tc>
          <w:tcPr>
            <w:tcW w:w="1956" w:type="dxa"/>
            <w:gridSpan w:val="2"/>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widowControl/>
              <w:numPr>
                <w:ilvl w:val="0"/>
                <w:numId w:val="0"/>
              </w:numPr>
              <w:kinsoku/>
              <w:wordWrap/>
              <w:autoSpaceDE/>
              <w:autoSpaceDN/>
              <w:adjustRightInd/>
              <w:snapToGrid/>
              <w:spacing w:line="240" w:lineRule="auto"/>
              <w:jc w:val="center"/>
              <w:textAlignment w:val="auto"/>
              <w:rPr>
                <w:rFonts w:hint="eastAsia" w:ascii="仿宋_GB2312" w:hAnsi="仿宋_GB2312" w:eastAsia="仿宋_GB2312" w:cs="仿宋_GB2312"/>
                <w:snapToGrid/>
                <w:color w:val="000000"/>
                <w:kern w:val="2"/>
                <w:sz w:val="21"/>
                <w:szCs w:val="21"/>
                <w:lang w:val="en-US" w:eastAsia="zh-CN"/>
              </w:rPr>
            </w:pPr>
            <w:bookmarkStart w:id="0" w:name="_GoBack"/>
            <w:r>
              <w:rPr>
                <w:rFonts w:hint="eastAsia" w:ascii="仿宋_GB2312" w:hAnsi="仿宋_GB2312" w:eastAsia="仿宋_GB2312" w:cs="仿宋_GB2312"/>
                <w:snapToGrid/>
                <w:color w:val="000000"/>
                <w:kern w:val="2"/>
                <w:sz w:val="21"/>
                <w:szCs w:val="21"/>
                <w:lang w:val="en-US" w:eastAsia="zh-CN"/>
              </w:rPr>
              <w:t>合计</w:t>
            </w:r>
          </w:p>
        </w:tc>
        <w:tc>
          <w:tcPr>
            <w:tcW w:w="8477" w:type="dxa"/>
            <w:gridSpan w:val="7"/>
            <w:tcBorders>
              <w:top w:val="single" w:color="000000" w:sz="6" w:space="0"/>
              <w:left w:val="single" w:color="000000" w:sz="6" w:space="0"/>
              <w:bottom w:val="single" w:color="000000" w:sz="6" w:space="0"/>
              <w:right w:val="single" w:color="auto" w:sz="4" w:space="0"/>
            </w:tcBorders>
            <w:shd w:val="clear" w:color="auto" w:fill="FFFFFF"/>
            <w:noWrap w:val="0"/>
            <w:vAlign w:val="center"/>
          </w:tcPr>
          <w:p>
            <w:pPr>
              <w:widowControl/>
              <w:numPr>
                <w:ilvl w:val="0"/>
                <w:numId w:val="0"/>
              </w:numPr>
              <w:kinsoku/>
              <w:wordWrap/>
              <w:autoSpaceDE/>
              <w:autoSpaceDN/>
              <w:adjustRightInd/>
              <w:snapToGrid/>
              <w:spacing w:line="240" w:lineRule="auto"/>
              <w:ind w:firstLine="1260" w:firstLineChars="600"/>
              <w:jc w:val="both"/>
              <w:textAlignment w:val="auto"/>
              <w:rPr>
                <w:rFonts w:hint="eastAsia" w:ascii="仿宋_GB2312" w:hAnsi="仿宋_GB2312" w:eastAsia="仿宋_GB2312" w:cs="仿宋_GB2312"/>
                <w:snapToGrid/>
                <w:color w:val="000000"/>
                <w:kern w:val="2"/>
                <w:sz w:val="21"/>
                <w:szCs w:val="21"/>
                <w:lang w:val="en-US" w:eastAsia="zh-CN"/>
              </w:rPr>
            </w:pPr>
            <w:r>
              <w:rPr>
                <w:rFonts w:hint="eastAsia" w:ascii="仿宋_GB2312" w:hAnsi="仿宋_GB2312" w:eastAsia="仿宋_GB2312" w:cs="仿宋_GB2312"/>
                <w:snapToGrid/>
                <w:color w:val="000000"/>
                <w:kern w:val="2"/>
                <w:sz w:val="21"/>
                <w:szCs w:val="21"/>
                <w:lang w:val="en-US" w:eastAsia="zh-CN"/>
              </w:rPr>
              <w:t>小写：￥</w:t>
            </w:r>
            <w:r>
              <w:rPr>
                <w:rFonts w:hint="eastAsia" w:ascii="仿宋_GB2312" w:hAnsi="仿宋_GB2312" w:eastAsia="仿宋_GB2312" w:cs="仿宋_GB2312"/>
                <w:snapToGrid/>
                <w:color w:val="000000"/>
                <w:kern w:val="2"/>
                <w:sz w:val="21"/>
                <w:szCs w:val="21"/>
                <w:u w:val="single"/>
                <w:lang w:val="en-US" w:eastAsia="zh-CN"/>
              </w:rPr>
              <w:t xml:space="preserve">            </w:t>
            </w:r>
            <w:r>
              <w:rPr>
                <w:rFonts w:hint="eastAsia" w:ascii="仿宋_GB2312" w:hAnsi="仿宋_GB2312" w:eastAsia="仿宋_GB2312" w:cs="仿宋_GB2312"/>
                <w:snapToGrid/>
                <w:color w:val="000000"/>
                <w:kern w:val="2"/>
                <w:sz w:val="21"/>
                <w:szCs w:val="21"/>
                <w:u w:val="none"/>
                <w:lang w:val="en-US" w:eastAsia="zh-CN"/>
              </w:rPr>
              <w:t>元</w:t>
            </w:r>
            <w:r>
              <w:rPr>
                <w:rFonts w:hint="eastAsia" w:ascii="仿宋_GB2312" w:hAnsi="仿宋_GB2312" w:eastAsia="仿宋_GB2312" w:cs="仿宋_GB2312"/>
                <w:snapToGrid/>
                <w:color w:val="000000"/>
                <w:kern w:val="2"/>
                <w:sz w:val="21"/>
                <w:szCs w:val="21"/>
                <w:lang w:val="en-US" w:eastAsia="zh-CN"/>
              </w:rPr>
              <w:t>，大写：</w:t>
            </w:r>
            <w:r>
              <w:rPr>
                <w:rFonts w:hint="eastAsia" w:ascii="仿宋_GB2312" w:hAnsi="仿宋_GB2312" w:eastAsia="仿宋_GB2312" w:cs="仿宋_GB2312"/>
                <w:snapToGrid/>
                <w:color w:val="000000"/>
                <w:kern w:val="2"/>
                <w:sz w:val="21"/>
                <w:szCs w:val="21"/>
                <w:u w:val="single"/>
                <w:lang w:val="en-US" w:eastAsia="zh-CN"/>
              </w:rPr>
              <w:t xml:space="preserve">             </w:t>
            </w:r>
          </w:p>
        </w:tc>
      </w:tr>
      <w:bookmarkEnd w:id="0"/>
    </w:tbl>
    <w:p>
      <w:pPr>
        <w:spacing w:line="360" w:lineRule="auto"/>
        <w:jc w:val="left"/>
        <w:rPr>
          <w:rFonts w:hint="eastAsia" w:ascii="仿宋_GB2312" w:hAnsi="Times New Roman" w:eastAsia="仿宋_GB2312"/>
          <w:sz w:val="24"/>
          <w:szCs w:val="24"/>
          <w:lang w:eastAsia="zh-CN"/>
        </w:rPr>
      </w:pPr>
      <w:r>
        <w:rPr>
          <w:rFonts w:hint="eastAsia" w:ascii="仿宋_GB2312" w:hAnsi="Times New Roman" w:eastAsia="仿宋_GB2312"/>
          <w:sz w:val="24"/>
          <w:szCs w:val="24"/>
          <w:lang w:eastAsia="zh-CN"/>
        </w:rPr>
        <w:t>备注：报价明细表的价格须与平台上填报价格严格一致。</w:t>
      </w:r>
    </w:p>
    <w:p>
      <w:pPr>
        <w:pStyle w:val="2"/>
        <w:rPr>
          <w:rFonts w:hint="eastAsia"/>
          <w:lang w:eastAsia="zh-CN"/>
        </w:rPr>
      </w:pPr>
    </w:p>
    <w:p>
      <w:pPr>
        <w:spacing w:line="360" w:lineRule="auto"/>
        <w:ind w:left="5950" w:firstLine="425"/>
        <w:rPr>
          <w:rFonts w:ascii="仿宋_GB2312" w:eastAsia="仿宋_GB2312" w:cs="宋体"/>
          <w:sz w:val="28"/>
          <w:szCs w:val="28"/>
        </w:rPr>
      </w:pPr>
      <w:r>
        <w:rPr>
          <w:rFonts w:hint="eastAsia" w:ascii="仿宋_GB2312" w:hAnsi="Times New Roman" w:eastAsia="仿宋_GB2312"/>
          <w:sz w:val="28"/>
          <w:szCs w:val="28"/>
          <w:lang w:eastAsia="zh-CN"/>
        </w:rPr>
        <w:t>报价</w:t>
      </w:r>
      <w:r>
        <w:rPr>
          <w:rFonts w:hint="eastAsia" w:ascii="仿宋_GB2312" w:hAnsi="Times New Roman" w:eastAsia="仿宋_GB2312"/>
          <w:sz w:val="28"/>
          <w:szCs w:val="28"/>
        </w:rPr>
        <w:t>人（盖章)</w:t>
      </w:r>
    </w:p>
    <w:p>
      <w:pPr>
        <w:jc w:val="right"/>
        <w:rPr>
          <w:rFonts w:hint="eastAsia" w:ascii="仿宋_GB2312" w:hAnsi="Times New Roman" w:eastAsia="仿宋_GB2312"/>
          <w:sz w:val="28"/>
          <w:szCs w:val="28"/>
        </w:rPr>
      </w:pPr>
      <w:r>
        <w:rPr>
          <w:rFonts w:ascii="仿宋_GB2312" w:eastAsia="仿宋_GB2312"/>
          <w:snapToGrid w:val="0"/>
          <w:kern w:val="24"/>
          <w:sz w:val="28"/>
          <w:szCs w:val="28"/>
        </w:rPr>
        <w:t xml:space="preserve">     </w:t>
      </w:r>
      <w:r>
        <w:rPr>
          <w:rFonts w:hint="eastAsia" w:ascii="仿宋_GB2312" w:hAnsi="Times New Roman" w:eastAsia="仿宋_GB2312"/>
          <w:sz w:val="28"/>
          <w:szCs w:val="28"/>
        </w:rPr>
        <w:t xml:space="preserve"> </w:t>
      </w:r>
      <w:r>
        <w:rPr>
          <w:rFonts w:hint="eastAsia" w:ascii="仿宋_GB2312" w:hAnsi="Times New Roman" w:eastAsia="仿宋_GB2312"/>
          <w:sz w:val="28"/>
          <w:szCs w:val="28"/>
          <w:u w:val="single"/>
        </w:rPr>
        <w:t xml:space="preserve">     </w:t>
      </w:r>
      <w:r>
        <w:rPr>
          <w:rFonts w:hint="eastAsia" w:ascii="仿宋_GB2312" w:hAnsi="Times New Roman" w:eastAsia="仿宋_GB2312"/>
          <w:sz w:val="28"/>
          <w:szCs w:val="28"/>
        </w:rPr>
        <w:t>年</w:t>
      </w:r>
      <w:r>
        <w:rPr>
          <w:rFonts w:hint="eastAsia" w:ascii="仿宋_GB2312" w:hAnsi="Times New Roman" w:eastAsia="仿宋_GB2312"/>
          <w:sz w:val="28"/>
          <w:szCs w:val="28"/>
          <w:u w:val="single"/>
        </w:rPr>
        <w:t xml:space="preserve">    </w:t>
      </w:r>
      <w:r>
        <w:rPr>
          <w:rFonts w:hint="eastAsia" w:ascii="仿宋_GB2312" w:hAnsi="Times New Roman" w:eastAsia="仿宋_GB2312"/>
          <w:sz w:val="28"/>
          <w:szCs w:val="28"/>
        </w:rPr>
        <w:t>月</w:t>
      </w:r>
      <w:r>
        <w:rPr>
          <w:rFonts w:hint="eastAsia" w:ascii="仿宋_GB2312" w:hAnsi="Times New Roman" w:eastAsia="仿宋_GB2312"/>
          <w:sz w:val="28"/>
          <w:szCs w:val="28"/>
          <w:u w:val="single"/>
        </w:rPr>
        <w:t xml:space="preserve">   </w:t>
      </w:r>
      <w:r>
        <w:rPr>
          <w:rFonts w:hint="eastAsia" w:ascii="仿宋_GB2312" w:hAnsi="Times New Roman" w:eastAsia="仿宋_GB2312"/>
          <w:sz w:val="28"/>
          <w:szCs w:val="28"/>
        </w:rPr>
        <w:t>日</w:t>
      </w:r>
    </w:p>
    <w:p>
      <w:pPr>
        <w:rPr>
          <w:rFonts w:hint="default" w:eastAsia="宋体"/>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6100AC"/>
    <w:rsid w:val="00BC2D44"/>
    <w:rsid w:val="00E83326"/>
    <w:rsid w:val="00E91852"/>
    <w:rsid w:val="01C81549"/>
    <w:rsid w:val="02554FB2"/>
    <w:rsid w:val="04B554FA"/>
    <w:rsid w:val="055B3B66"/>
    <w:rsid w:val="058E4EA5"/>
    <w:rsid w:val="064A1761"/>
    <w:rsid w:val="06780FAB"/>
    <w:rsid w:val="06D41534"/>
    <w:rsid w:val="071C7E5F"/>
    <w:rsid w:val="07905320"/>
    <w:rsid w:val="088074B9"/>
    <w:rsid w:val="08890B54"/>
    <w:rsid w:val="08A46B7E"/>
    <w:rsid w:val="09012BD3"/>
    <w:rsid w:val="0955751E"/>
    <w:rsid w:val="095E1B17"/>
    <w:rsid w:val="09BA4874"/>
    <w:rsid w:val="0A247833"/>
    <w:rsid w:val="0B3E28FE"/>
    <w:rsid w:val="0C8B7A9C"/>
    <w:rsid w:val="0DC66D88"/>
    <w:rsid w:val="0E4E309A"/>
    <w:rsid w:val="0F064AB2"/>
    <w:rsid w:val="0F2F153E"/>
    <w:rsid w:val="107C6D27"/>
    <w:rsid w:val="108E4749"/>
    <w:rsid w:val="113E3458"/>
    <w:rsid w:val="120F1B19"/>
    <w:rsid w:val="12A3721F"/>
    <w:rsid w:val="135375C3"/>
    <w:rsid w:val="137978B4"/>
    <w:rsid w:val="13814968"/>
    <w:rsid w:val="13B42C90"/>
    <w:rsid w:val="13EA0AB8"/>
    <w:rsid w:val="13EE74BE"/>
    <w:rsid w:val="142E3B2B"/>
    <w:rsid w:val="151D7BB0"/>
    <w:rsid w:val="15532609"/>
    <w:rsid w:val="15996E27"/>
    <w:rsid w:val="15F45D6C"/>
    <w:rsid w:val="176F4492"/>
    <w:rsid w:val="17D50129"/>
    <w:rsid w:val="18101182"/>
    <w:rsid w:val="18565610"/>
    <w:rsid w:val="18E51432"/>
    <w:rsid w:val="1911682C"/>
    <w:rsid w:val="19B95D40"/>
    <w:rsid w:val="19FC1357"/>
    <w:rsid w:val="1A087F78"/>
    <w:rsid w:val="1A186D43"/>
    <w:rsid w:val="1A610913"/>
    <w:rsid w:val="1AC8397F"/>
    <w:rsid w:val="1B1F0B0A"/>
    <w:rsid w:val="1B412344"/>
    <w:rsid w:val="1B5473DD"/>
    <w:rsid w:val="1B650A8B"/>
    <w:rsid w:val="1B751477"/>
    <w:rsid w:val="1BC77652"/>
    <w:rsid w:val="1C260C75"/>
    <w:rsid w:val="1C403981"/>
    <w:rsid w:val="1CA25D75"/>
    <w:rsid w:val="1DA72513"/>
    <w:rsid w:val="1DDF07A3"/>
    <w:rsid w:val="1EA71815"/>
    <w:rsid w:val="1EE86E63"/>
    <w:rsid w:val="1F1A0416"/>
    <w:rsid w:val="1F3211FE"/>
    <w:rsid w:val="1FFC543F"/>
    <w:rsid w:val="201A2537"/>
    <w:rsid w:val="206B03A0"/>
    <w:rsid w:val="20C429D0"/>
    <w:rsid w:val="21495F3F"/>
    <w:rsid w:val="22185880"/>
    <w:rsid w:val="22343B10"/>
    <w:rsid w:val="228F6A51"/>
    <w:rsid w:val="22BA24C0"/>
    <w:rsid w:val="23431AEA"/>
    <w:rsid w:val="24D2144A"/>
    <w:rsid w:val="25CC0A1E"/>
    <w:rsid w:val="25CD1194"/>
    <w:rsid w:val="25D72B4E"/>
    <w:rsid w:val="265E0329"/>
    <w:rsid w:val="2670099D"/>
    <w:rsid w:val="26A06F6E"/>
    <w:rsid w:val="273D00F1"/>
    <w:rsid w:val="274403BD"/>
    <w:rsid w:val="286C74DE"/>
    <w:rsid w:val="29686D03"/>
    <w:rsid w:val="296B6BBA"/>
    <w:rsid w:val="2B02041C"/>
    <w:rsid w:val="2BC37160"/>
    <w:rsid w:val="2BE025AD"/>
    <w:rsid w:val="2BFE6AE3"/>
    <w:rsid w:val="2C5E380E"/>
    <w:rsid w:val="2D207D8E"/>
    <w:rsid w:val="2D2E11B0"/>
    <w:rsid w:val="2DA54273"/>
    <w:rsid w:val="2E034121"/>
    <w:rsid w:val="2E97127C"/>
    <w:rsid w:val="2ECD3DD0"/>
    <w:rsid w:val="2F8463E4"/>
    <w:rsid w:val="2FCE691E"/>
    <w:rsid w:val="2FEE50F3"/>
    <w:rsid w:val="30045BF1"/>
    <w:rsid w:val="30090737"/>
    <w:rsid w:val="30533046"/>
    <w:rsid w:val="30832044"/>
    <w:rsid w:val="30A226BE"/>
    <w:rsid w:val="30A722E1"/>
    <w:rsid w:val="30B24E77"/>
    <w:rsid w:val="310D1C85"/>
    <w:rsid w:val="312176B5"/>
    <w:rsid w:val="312C21FD"/>
    <w:rsid w:val="314978EC"/>
    <w:rsid w:val="31611710"/>
    <w:rsid w:val="318232C0"/>
    <w:rsid w:val="31B47C77"/>
    <w:rsid w:val="31F84FD8"/>
    <w:rsid w:val="324259A0"/>
    <w:rsid w:val="32DF1F4B"/>
    <w:rsid w:val="33030EB6"/>
    <w:rsid w:val="334E101F"/>
    <w:rsid w:val="33521EC0"/>
    <w:rsid w:val="33A8380B"/>
    <w:rsid w:val="33E2181E"/>
    <w:rsid w:val="3448372B"/>
    <w:rsid w:val="344B2560"/>
    <w:rsid w:val="35344697"/>
    <w:rsid w:val="35410CCD"/>
    <w:rsid w:val="35840EDB"/>
    <w:rsid w:val="35D74E22"/>
    <w:rsid w:val="35E54BA2"/>
    <w:rsid w:val="361A6E50"/>
    <w:rsid w:val="36BE5EAC"/>
    <w:rsid w:val="36E175BE"/>
    <w:rsid w:val="37C13D08"/>
    <w:rsid w:val="38BA0CF6"/>
    <w:rsid w:val="39FC1C58"/>
    <w:rsid w:val="3A323F34"/>
    <w:rsid w:val="3A717D6E"/>
    <w:rsid w:val="3AAB1585"/>
    <w:rsid w:val="3B006358"/>
    <w:rsid w:val="3B457E59"/>
    <w:rsid w:val="3BDA7340"/>
    <w:rsid w:val="3BDE6B90"/>
    <w:rsid w:val="3BE802E5"/>
    <w:rsid w:val="3C050408"/>
    <w:rsid w:val="3C1D582B"/>
    <w:rsid w:val="3C75051A"/>
    <w:rsid w:val="3CC67D92"/>
    <w:rsid w:val="3D4578C5"/>
    <w:rsid w:val="3D690EA2"/>
    <w:rsid w:val="3E3816FC"/>
    <w:rsid w:val="3E602803"/>
    <w:rsid w:val="3F14003E"/>
    <w:rsid w:val="3F310B59"/>
    <w:rsid w:val="403B5FBE"/>
    <w:rsid w:val="414D717A"/>
    <w:rsid w:val="41566D3D"/>
    <w:rsid w:val="42826579"/>
    <w:rsid w:val="42915696"/>
    <w:rsid w:val="443E41B9"/>
    <w:rsid w:val="45B90994"/>
    <w:rsid w:val="46BA0199"/>
    <w:rsid w:val="46F91E7C"/>
    <w:rsid w:val="47356E70"/>
    <w:rsid w:val="47964EC2"/>
    <w:rsid w:val="47A40956"/>
    <w:rsid w:val="486453C9"/>
    <w:rsid w:val="488D7D14"/>
    <w:rsid w:val="4AD551CD"/>
    <w:rsid w:val="4AE41175"/>
    <w:rsid w:val="4C741464"/>
    <w:rsid w:val="4C7E4397"/>
    <w:rsid w:val="4CDF47AB"/>
    <w:rsid w:val="4D1625A3"/>
    <w:rsid w:val="4D1976C6"/>
    <w:rsid w:val="4D583DE0"/>
    <w:rsid w:val="4EDF70BF"/>
    <w:rsid w:val="4F586138"/>
    <w:rsid w:val="4F974DC0"/>
    <w:rsid w:val="50496D46"/>
    <w:rsid w:val="504E6A51"/>
    <w:rsid w:val="50780C10"/>
    <w:rsid w:val="50D5692A"/>
    <w:rsid w:val="50EC7B2B"/>
    <w:rsid w:val="510C4885"/>
    <w:rsid w:val="513308B8"/>
    <w:rsid w:val="517B7BEB"/>
    <w:rsid w:val="527135D1"/>
    <w:rsid w:val="52C40EB5"/>
    <w:rsid w:val="540478B9"/>
    <w:rsid w:val="55955967"/>
    <w:rsid w:val="55A4276E"/>
    <w:rsid w:val="561C4BD2"/>
    <w:rsid w:val="56490020"/>
    <w:rsid w:val="570A74B7"/>
    <w:rsid w:val="571D387C"/>
    <w:rsid w:val="573726C7"/>
    <w:rsid w:val="57FA5FD2"/>
    <w:rsid w:val="58620690"/>
    <w:rsid w:val="587D0EF4"/>
    <w:rsid w:val="58CA4480"/>
    <w:rsid w:val="597B335B"/>
    <w:rsid w:val="597F0492"/>
    <w:rsid w:val="59DF4762"/>
    <w:rsid w:val="59FF13B5"/>
    <w:rsid w:val="5A866D10"/>
    <w:rsid w:val="5ABE39D6"/>
    <w:rsid w:val="5B74628A"/>
    <w:rsid w:val="5B84766C"/>
    <w:rsid w:val="5C1B076F"/>
    <w:rsid w:val="5C4C447D"/>
    <w:rsid w:val="5CAB1AF3"/>
    <w:rsid w:val="5E6F75FB"/>
    <w:rsid w:val="5F6B351D"/>
    <w:rsid w:val="5F8B593B"/>
    <w:rsid w:val="5FD421CC"/>
    <w:rsid w:val="60864543"/>
    <w:rsid w:val="6143039D"/>
    <w:rsid w:val="621A0401"/>
    <w:rsid w:val="62DF4795"/>
    <w:rsid w:val="62E87900"/>
    <w:rsid w:val="63D964A6"/>
    <w:rsid w:val="652B3002"/>
    <w:rsid w:val="667015FB"/>
    <w:rsid w:val="667967BE"/>
    <w:rsid w:val="677123B9"/>
    <w:rsid w:val="682676EC"/>
    <w:rsid w:val="68525C1F"/>
    <w:rsid w:val="68616311"/>
    <w:rsid w:val="68D30B09"/>
    <w:rsid w:val="68FA2F47"/>
    <w:rsid w:val="6A7875F5"/>
    <w:rsid w:val="6BD33AB5"/>
    <w:rsid w:val="6C1E27F0"/>
    <w:rsid w:val="6C2F15A9"/>
    <w:rsid w:val="6C9E1B12"/>
    <w:rsid w:val="6D5B238A"/>
    <w:rsid w:val="6D743A98"/>
    <w:rsid w:val="6D7F36B1"/>
    <w:rsid w:val="6DDD14CC"/>
    <w:rsid w:val="6E2C0996"/>
    <w:rsid w:val="6E6123BE"/>
    <w:rsid w:val="6F7E447B"/>
    <w:rsid w:val="6FFA71FD"/>
    <w:rsid w:val="6FFB0F46"/>
    <w:rsid w:val="706459F2"/>
    <w:rsid w:val="706C5454"/>
    <w:rsid w:val="71A47476"/>
    <w:rsid w:val="71F75E09"/>
    <w:rsid w:val="72480D6B"/>
    <w:rsid w:val="725E1025"/>
    <w:rsid w:val="72FE3420"/>
    <w:rsid w:val="733F7E37"/>
    <w:rsid w:val="73664213"/>
    <w:rsid w:val="73994981"/>
    <w:rsid w:val="73CD4D44"/>
    <w:rsid w:val="74EB70E0"/>
    <w:rsid w:val="75527D89"/>
    <w:rsid w:val="75CA7B83"/>
    <w:rsid w:val="76B3570B"/>
    <w:rsid w:val="772067E2"/>
    <w:rsid w:val="772B3963"/>
    <w:rsid w:val="776D717F"/>
    <w:rsid w:val="77CE4501"/>
    <w:rsid w:val="78181816"/>
    <w:rsid w:val="78283CF7"/>
    <w:rsid w:val="78403E52"/>
    <w:rsid w:val="784142F4"/>
    <w:rsid w:val="797152CB"/>
    <w:rsid w:val="79E75ABA"/>
    <w:rsid w:val="7A525252"/>
    <w:rsid w:val="7A57526B"/>
    <w:rsid w:val="7B653379"/>
    <w:rsid w:val="7C7742F7"/>
    <w:rsid w:val="7CBE4AD3"/>
    <w:rsid w:val="7D0E5A5A"/>
    <w:rsid w:val="7D496E5F"/>
    <w:rsid w:val="7DFF25D6"/>
    <w:rsid w:val="7EA448D3"/>
    <w:rsid w:val="7EE70AFA"/>
    <w:rsid w:val="7F6D2FF3"/>
    <w:rsid w:val="7F8E0059"/>
    <w:rsid w:val="7FB4328F"/>
    <w:rsid w:val="7FBE51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5"/>
    <w:basedOn w:val="1"/>
    <w:next w:val="1"/>
    <w:qFormat/>
    <w:uiPriority w:val="0"/>
    <w:pPr>
      <w:tabs>
        <w:tab w:val="left" w:pos="800"/>
      </w:tabs>
      <w:outlineLvl w:val="4"/>
    </w:p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4">
    <w:name w:val="Body Text"/>
    <w:basedOn w:val="1"/>
    <w:next w:val="5"/>
    <w:semiHidden/>
    <w:qFormat/>
    <w:uiPriority w:val="0"/>
    <w:rPr>
      <w:rFonts w:ascii="仿宋" w:hAnsi="仿宋" w:eastAsia="仿宋" w:cs="仿宋"/>
      <w:sz w:val="28"/>
      <w:szCs w:val="28"/>
      <w:lang w:val="en-US" w:eastAsia="en-US" w:bidi="ar-SA"/>
    </w:rPr>
  </w:style>
  <w:style w:type="paragraph" w:styleId="5">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font21"/>
    <w:basedOn w:val="8"/>
    <w:qFormat/>
    <w:uiPriority w:val="0"/>
    <w:rPr>
      <w:rFonts w:hint="eastAsia" w:ascii="宋体" w:hAnsi="宋体" w:eastAsia="宋体" w:cs="宋体"/>
      <w:color w:val="000000"/>
      <w:sz w:val="21"/>
      <w:szCs w:val="21"/>
      <w:u w:val="none"/>
    </w:rPr>
  </w:style>
  <w:style w:type="character" w:customStyle="1" w:styleId="10">
    <w:name w:val="font31"/>
    <w:basedOn w:val="8"/>
    <w:qFormat/>
    <w:uiPriority w:val="0"/>
    <w:rPr>
      <w:rFonts w:hint="default" w:ascii="Arial" w:hAnsi="Arial" w:cs="Arial"/>
      <w:color w:val="000000"/>
      <w:sz w:val="21"/>
      <w:szCs w:val="21"/>
      <w:u w:val="none"/>
    </w:rPr>
  </w:style>
  <w:style w:type="character" w:customStyle="1" w:styleId="11">
    <w:name w:val="font61"/>
    <w:basedOn w:val="8"/>
    <w:qFormat/>
    <w:uiPriority w:val="0"/>
    <w:rPr>
      <w:rFonts w:ascii="Arial" w:hAnsi="Arial" w:cs="Arial"/>
      <w:color w:val="000000"/>
      <w:sz w:val="21"/>
      <w:szCs w:val="21"/>
      <w:u w:val="none"/>
    </w:rPr>
  </w:style>
  <w:style w:type="paragraph" w:customStyle="1" w:styleId="12">
    <w:name w:val="中等深浅网格 21"/>
    <w:qFormat/>
    <w:uiPriority w:val="0"/>
    <w:pPr>
      <w:widowControl w:val="0"/>
      <w:jc w:val="both"/>
    </w:pPr>
    <w:rPr>
      <w:rFonts w:ascii="Calibri" w:hAnsi="Calibri" w:eastAsia="宋体" w:cs="Times New Roman"/>
      <w:kern w:val="2"/>
      <w:sz w:val="21"/>
      <w:szCs w:val="22"/>
      <w:lang w:val="en-US" w:eastAsia="zh-CN" w:bidi="ar-SA"/>
    </w:rPr>
  </w:style>
  <w:style w:type="character" w:customStyle="1" w:styleId="13">
    <w:name w:val="font01"/>
    <w:basedOn w:val="8"/>
    <w:qFormat/>
    <w:uiPriority w:val="0"/>
    <w:rPr>
      <w:rFonts w:hint="eastAsia" w:ascii="宋体" w:hAnsi="宋体" w:eastAsia="宋体" w:cs="宋体"/>
      <w:color w:val="000000"/>
      <w:sz w:val="22"/>
      <w:szCs w:val="22"/>
      <w:u w:val="none"/>
    </w:rPr>
  </w:style>
  <w:style w:type="character" w:customStyle="1" w:styleId="14">
    <w:name w:val="font11"/>
    <w:basedOn w:val="8"/>
    <w:qFormat/>
    <w:uiPriority w:val="0"/>
    <w:rPr>
      <w:rFonts w:hint="eastAsia" w:ascii="宋体" w:hAnsi="宋体" w:eastAsia="宋体" w:cs="宋体"/>
      <w:color w:val="000000"/>
      <w:sz w:val="22"/>
      <w:szCs w:val="22"/>
      <w:u w:val="none"/>
    </w:rPr>
  </w:style>
  <w:style w:type="character" w:customStyle="1" w:styleId="15">
    <w:name w:val="font41"/>
    <w:basedOn w:val="8"/>
    <w:qFormat/>
    <w:uiPriority w:val="0"/>
    <w:rPr>
      <w:rFonts w:ascii="等线" w:hAnsi="等线" w:eastAsia="等线" w:cs="等线"/>
      <w:color w:val="0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2023-11-08T00:53:00Z</dcterms:created>
  <dc:creator>syb05</dc:creator>
  <cp:lastModifiedBy>hfb</cp:lastModifiedBy>
  <dcterms:modified xsi:type="dcterms:W3CDTF">2026-04-24T07:38:15Z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1930D6AC5B244148B1AA2E30151E83E2</vt:lpwstr>
  </property>
</Properties>
</file>