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8"/>
        <w:jc w:val="center"/>
        <w:rPr>
          <w:rFonts w:hint="eastAsia" w:ascii="宋体" w:hAnsi="宋体" w:cs="宋体"/>
          <w:b/>
          <w:i w:val="0"/>
          <w:iCs/>
          <w:color w:val="auto"/>
          <w:kern w:val="0"/>
          <w:sz w:val="32"/>
          <w:szCs w:val="32"/>
          <w:highlight w:val="none"/>
          <w:lang w:val="en-US" w:eastAsia="zh-CN"/>
        </w:rPr>
      </w:pPr>
      <w:r>
        <w:rPr>
          <w:rFonts w:hint="eastAsia" w:ascii="宋体" w:hAnsi="宋体" w:cs="宋体"/>
          <w:b/>
          <w:i w:val="0"/>
          <w:iCs/>
          <w:color w:val="auto"/>
          <w:kern w:val="0"/>
          <w:sz w:val="32"/>
          <w:szCs w:val="32"/>
          <w:highlight w:val="none"/>
          <w:lang w:val="en-US" w:eastAsia="zh-CN"/>
        </w:rPr>
        <w:t>合同条款差异对比表</w:t>
      </w:r>
    </w:p>
    <w:p>
      <w:pPr>
        <w:pStyle w:val="8"/>
        <w:jc w:val="center"/>
        <w:rPr>
          <w:rFonts w:hint="default" w:ascii="宋体" w:hAnsi="宋体" w:eastAsia="宋体" w:cs="宋体"/>
          <w:b/>
          <w:iCs/>
          <w:color w:val="auto"/>
          <w:kern w:val="0"/>
          <w:sz w:val="28"/>
          <w:szCs w:val="28"/>
          <w:highlight w:val="none"/>
          <w:lang w:val="en-US" w:eastAsia="zh-CN"/>
        </w:rPr>
      </w:pPr>
      <w:r>
        <w:rPr>
          <w:rStyle w:val="14"/>
          <w:rFonts w:hint="eastAsia" w:eastAsia="黑体"/>
          <w:b/>
          <w:color w:val="auto"/>
          <w:sz w:val="28"/>
          <w:szCs w:val="28"/>
          <w:highlight w:val="none"/>
          <w:lang w:val="en-US" w:eastAsia="zh-CN"/>
        </w:rPr>
        <w:t>适用合同：基建输变电工程施工合同（2025年版）</w:t>
      </w:r>
    </w:p>
    <w:tbl>
      <w:tblPr>
        <w:tblStyle w:val="10"/>
        <w:tblW w:w="15099" w:type="dxa"/>
        <w:tblInd w:w="-66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2"/>
        <w:gridCol w:w="1108"/>
        <w:gridCol w:w="1262"/>
        <w:gridCol w:w="5760"/>
        <w:gridCol w:w="5800"/>
        <w:gridCol w:w="6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blHeader/>
        </w:trPr>
        <w:tc>
          <w:tcPr>
            <w:tcW w:w="482" w:type="dxa"/>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firstLine="0" w:firstLineChars="0"/>
              <w:jc w:val="center"/>
              <w:textAlignment w:val="auto"/>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rPr>
              <w:t>序号</w:t>
            </w:r>
          </w:p>
        </w:tc>
        <w:tc>
          <w:tcPr>
            <w:tcW w:w="1108" w:type="dxa"/>
            <w:noWrap w:val="0"/>
            <w:vAlign w:val="center"/>
          </w:tcPr>
          <w:p>
            <w:pPr>
              <w:keepNext w:val="0"/>
              <w:keepLines w:val="0"/>
              <w:pageBreakBefore w:val="0"/>
              <w:widowControl/>
              <w:kinsoku/>
              <w:wordWrap/>
              <w:overflowPunct/>
              <w:topLinePunct w:val="0"/>
              <w:bidi w:val="0"/>
              <w:adjustRightInd w:val="0"/>
              <w:snapToGrid w:val="0"/>
              <w:spacing w:line="240" w:lineRule="auto"/>
              <w:ind w:firstLine="0" w:firstLineChars="0"/>
              <w:textAlignment w:val="auto"/>
              <w:rPr>
                <w:rFonts w:hint="eastAsia" w:ascii="宋体" w:hAnsi="宋体" w:eastAsia="宋体" w:cs="宋体"/>
                <w:b/>
                <w:color w:val="auto"/>
                <w:kern w:val="0"/>
                <w:sz w:val="21"/>
                <w:szCs w:val="21"/>
                <w:highlight w:val="none"/>
                <w:lang w:val="en-US" w:eastAsia="zh-CN"/>
              </w:rPr>
            </w:pPr>
            <w:r>
              <w:rPr>
                <w:rFonts w:hint="eastAsia" w:ascii="宋体" w:hAnsi="宋体" w:eastAsia="宋体" w:cs="宋体"/>
                <w:b/>
                <w:color w:val="auto"/>
                <w:kern w:val="0"/>
                <w:sz w:val="21"/>
                <w:szCs w:val="21"/>
                <w:highlight w:val="none"/>
                <w:lang w:val="en-US" w:eastAsia="zh-CN"/>
              </w:rPr>
              <w:t>修订方式</w:t>
            </w:r>
          </w:p>
        </w:tc>
        <w:tc>
          <w:tcPr>
            <w:tcW w:w="1262" w:type="dxa"/>
            <w:noWrap w:val="0"/>
            <w:vAlign w:val="center"/>
          </w:tcPr>
          <w:p>
            <w:pPr>
              <w:keepNext w:val="0"/>
              <w:keepLines w:val="0"/>
              <w:pageBreakBefore w:val="0"/>
              <w:widowControl/>
              <w:kinsoku/>
              <w:wordWrap/>
              <w:overflowPunct/>
              <w:topLinePunct w:val="0"/>
              <w:bidi w:val="0"/>
              <w:adjustRightInd w:val="0"/>
              <w:snapToGrid w:val="0"/>
              <w:spacing w:line="240" w:lineRule="auto"/>
              <w:ind w:firstLine="0" w:firstLineChars="0"/>
              <w:jc w:val="center"/>
              <w:textAlignment w:val="auto"/>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rPr>
              <w:t>条款号</w:t>
            </w:r>
          </w:p>
        </w:tc>
        <w:tc>
          <w:tcPr>
            <w:tcW w:w="5760" w:type="dxa"/>
            <w:noWrap w:val="0"/>
            <w:vAlign w:val="center"/>
          </w:tcPr>
          <w:p>
            <w:pPr>
              <w:keepNext w:val="0"/>
              <w:keepLines w:val="0"/>
              <w:pageBreakBefore w:val="0"/>
              <w:widowControl/>
              <w:kinsoku/>
              <w:wordWrap/>
              <w:overflowPunct/>
              <w:topLinePunct w:val="0"/>
              <w:bidi w:val="0"/>
              <w:adjustRightInd w:val="0"/>
              <w:snapToGrid w:val="0"/>
              <w:spacing w:line="240" w:lineRule="auto"/>
              <w:ind w:firstLine="0" w:firstLineChars="0"/>
              <w:jc w:val="center"/>
              <w:textAlignment w:val="auto"/>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rPr>
              <w:t>合同</w:t>
            </w:r>
            <w:r>
              <w:rPr>
                <w:rFonts w:hint="eastAsia" w:ascii="宋体" w:hAnsi="宋体" w:cs="宋体"/>
                <w:b/>
                <w:color w:val="auto"/>
                <w:kern w:val="0"/>
                <w:sz w:val="21"/>
                <w:szCs w:val="21"/>
                <w:highlight w:val="none"/>
                <w:lang w:val="en-US" w:eastAsia="zh-CN"/>
              </w:rPr>
              <w:t>标准</w:t>
            </w:r>
            <w:r>
              <w:rPr>
                <w:rFonts w:hint="eastAsia" w:ascii="宋体" w:hAnsi="宋体" w:eastAsia="宋体" w:cs="宋体"/>
                <w:b/>
                <w:color w:val="auto"/>
                <w:kern w:val="0"/>
                <w:sz w:val="21"/>
                <w:szCs w:val="21"/>
                <w:highlight w:val="none"/>
              </w:rPr>
              <w:t>文本表述</w:t>
            </w:r>
          </w:p>
        </w:tc>
        <w:tc>
          <w:tcPr>
            <w:tcW w:w="5800" w:type="dxa"/>
            <w:noWrap w:val="0"/>
            <w:vAlign w:val="center"/>
          </w:tcPr>
          <w:p>
            <w:pPr>
              <w:keepNext w:val="0"/>
              <w:keepLines w:val="0"/>
              <w:pageBreakBefore w:val="0"/>
              <w:widowControl/>
              <w:kinsoku/>
              <w:wordWrap/>
              <w:overflowPunct/>
              <w:topLinePunct w:val="0"/>
              <w:bidi w:val="0"/>
              <w:adjustRightInd w:val="0"/>
              <w:snapToGrid w:val="0"/>
              <w:spacing w:line="240" w:lineRule="auto"/>
              <w:ind w:firstLine="0" w:firstLineChars="0"/>
              <w:jc w:val="center"/>
              <w:textAlignment w:val="auto"/>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rPr>
              <w:t>条款修改差异情况</w:t>
            </w:r>
          </w:p>
        </w:tc>
        <w:tc>
          <w:tcPr>
            <w:tcW w:w="687" w:type="dxa"/>
            <w:noWrap w:val="0"/>
            <w:vAlign w:val="center"/>
          </w:tcPr>
          <w:p>
            <w:pPr>
              <w:keepNext w:val="0"/>
              <w:keepLines w:val="0"/>
              <w:pageBreakBefore w:val="0"/>
              <w:widowControl/>
              <w:kinsoku/>
              <w:wordWrap/>
              <w:overflowPunct/>
              <w:topLinePunct w:val="0"/>
              <w:bidi w:val="0"/>
              <w:adjustRightInd w:val="0"/>
              <w:snapToGrid w:val="0"/>
              <w:spacing w:line="240" w:lineRule="auto"/>
              <w:ind w:firstLine="0" w:firstLineChars="0"/>
              <w:jc w:val="center"/>
              <w:textAlignment w:val="auto"/>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82" w:type="dxa"/>
            <w:noWrap w:val="0"/>
            <w:vAlign w:val="center"/>
          </w:tcPr>
          <w:p>
            <w:pPr>
              <w:pStyle w:val="15"/>
              <w:keepNext w:val="0"/>
              <w:keepLines w:val="0"/>
              <w:pageBreakBefore w:val="0"/>
              <w:numPr>
                <w:ilvl w:val="0"/>
                <w:numId w:val="1"/>
              </w:numPr>
              <w:kinsoku/>
              <w:wordWrap/>
              <w:overflowPunct/>
              <w:topLinePunct w:val="0"/>
              <w:autoSpaceDE/>
              <w:autoSpaceDN/>
              <w:bidi w:val="0"/>
              <w:adjustRightInd w:val="0"/>
              <w:snapToGrid w:val="0"/>
              <w:spacing w:line="240" w:lineRule="auto"/>
              <w:ind w:left="0" w:firstLine="0" w:firstLineChars="0"/>
              <w:jc w:val="center"/>
              <w:textAlignment w:val="auto"/>
              <w:rPr>
                <w:rFonts w:hint="eastAsia" w:ascii="宋体" w:hAnsi="宋体" w:eastAsia="宋体" w:cs="宋体"/>
                <w:color w:val="auto"/>
                <w:kern w:val="0"/>
                <w:sz w:val="21"/>
                <w:szCs w:val="21"/>
                <w:highlight w:val="none"/>
              </w:rPr>
            </w:pPr>
          </w:p>
        </w:tc>
        <w:tc>
          <w:tcPr>
            <w:tcW w:w="1108" w:type="dxa"/>
            <w:noWrap w:val="0"/>
            <w:vAlign w:val="center"/>
          </w:tcPr>
          <w:p>
            <w:pPr>
              <w:pStyle w:val="15"/>
              <w:keepNext w:val="0"/>
              <w:keepLines w:val="0"/>
              <w:pageBreakBefore w:val="0"/>
              <w:numPr>
                <w:ilvl w:val="0"/>
                <w:numId w:val="0"/>
              </w:numPr>
              <w:kinsoku/>
              <w:wordWrap/>
              <w:overflowPunct/>
              <w:topLinePunct w:val="0"/>
              <w:bidi w:val="0"/>
              <w:spacing w:line="240" w:lineRule="auto"/>
              <w:ind w:leftChars="0" w:firstLine="0" w:firstLineChars="0"/>
              <w:textAlignment w:val="auto"/>
              <w:rPr>
                <w:rFonts w:hint="eastAsia" w:ascii="宋体" w:hAnsi="宋体" w:eastAsia="宋体" w:cs="宋体"/>
                <w:color w:val="auto"/>
                <w:kern w:val="0"/>
                <w:sz w:val="21"/>
                <w:szCs w:val="21"/>
                <w:highlight w:val="none"/>
                <w:lang w:val="en-US" w:eastAsia="zh-CN"/>
              </w:rPr>
            </w:pPr>
            <w:r>
              <w:rPr>
                <w:rFonts w:hint="eastAsia" w:ascii="宋体" w:hAnsi="宋体" w:cs="宋体"/>
                <w:color w:val="auto"/>
                <w:kern w:val="0"/>
                <w:sz w:val="21"/>
                <w:szCs w:val="21"/>
                <w:highlight w:val="none"/>
                <w:lang w:val="en-US" w:eastAsia="zh-CN"/>
              </w:rPr>
              <w:t>修改</w:t>
            </w:r>
          </w:p>
        </w:tc>
        <w:tc>
          <w:tcPr>
            <w:tcW w:w="1262" w:type="dxa"/>
            <w:noWrap w:val="0"/>
            <w:vAlign w:val="center"/>
          </w:tcPr>
          <w:p>
            <w:pPr>
              <w:pStyle w:val="15"/>
              <w:keepNext w:val="0"/>
              <w:keepLines w:val="0"/>
              <w:pageBreakBefore w:val="0"/>
              <w:numPr>
                <w:ilvl w:val="0"/>
                <w:numId w:val="0"/>
              </w:numPr>
              <w:kinsoku/>
              <w:wordWrap/>
              <w:overflowPunct/>
              <w:topLinePunct w:val="0"/>
              <w:bidi w:val="0"/>
              <w:spacing w:line="240" w:lineRule="auto"/>
              <w:ind w:leftChars="0" w:firstLine="0" w:firstLineChars="0"/>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合同协议书</w:t>
            </w:r>
          </w:p>
          <w:p>
            <w:pPr>
              <w:pStyle w:val="15"/>
              <w:keepNext w:val="0"/>
              <w:keepLines w:val="0"/>
              <w:pageBreakBefore w:val="0"/>
              <w:numPr>
                <w:ilvl w:val="0"/>
                <w:numId w:val="0"/>
              </w:numPr>
              <w:kinsoku/>
              <w:wordWrap/>
              <w:overflowPunct/>
              <w:topLinePunct w:val="0"/>
              <w:bidi w:val="0"/>
              <w:spacing w:line="240" w:lineRule="auto"/>
              <w:ind w:leftChars="0" w:firstLine="0" w:firstLineChars="0"/>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3</w:t>
            </w:r>
            <w:r>
              <w:rPr>
                <w:rFonts w:hint="eastAsia" w:ascii="宋体" w:hAnsi="宋体" w:cs="宋体"/>
                <w:color w:val="auto"/>
                <w:kern w:val="0"/>
                <w:sz w:val="21"/>
                <w:szCs w:val="21"/>
                <w:highlight w:val="none"/>
                <w:lang w:val="en-US" w:eastAsia="zh-CN"/>
              </w:rPr>
              <w:t xml:space="preserve"> </w:t>
            </w:r>
            <w:r>
              <w:rPr>
                <w:rFonts w:hint="eastAsia" w:ascii="宋体" w:hAnsi="宋体" w:eastAsia="宋体" w:cs="宋体"/>
                <w:color w:val="auto"/>
                <w:kern w:val="0"/>
                <w:sz w:val="21"/>
                <w:szCs w:val="21"/>
                <w:highlight w:val="none"/>
                <w:lang w:val="en-US" w:eastAsia="zh-CN"/>
              </w:rPr>
              <w:t>建设目标</w:t>
            </w:r>
          </w:p>
        </w:tc>
        <w:tc>
          <w:tcPr>
            <w:tcW w:w="5760"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3 建设目标</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全过程项目质量目标：</w:t>
            </w:r>
            <w:permStart w:id="0" w:edGrp="everyone"/>
            <w:r>
              <w:rPr>
                <w:rFonts w:hint="eastAsia" w:ascii="宋体" w:hAnsi="宋体" w:eastAsia="宋体" w:cs="宋体"/>
                <w:color w:val="auto"/>
                <w:sz w:val="21"/>
                <w:szCs w:val="21"/>
                <w:highlight w:val="none"/>
                <w:u w:val="single"/>
              </w:rPr>
              <w:t xml:space="preserve">            </w:t>
            </w:r>
            <w:permEnd w:id="0"/>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安全目标：</w:t>
            </w:r>
            <w:permStart w:id="1" w:edGrp="everyone"/>
            <w:r>
              <w:rPr>
                <w:rFonts w:hint="eastAsia" w:ascii="宋体" w:hAnsi="宋体" w:eastAsia="宋体" w:cs="宋体"/>
                <w:color w:val="auto"/>
                <w:sz w:val="21"/>
                <w:szCs w:val="21"/>
                <w:highlight w:val="none"/>
                <w:u w:val="single"/>
              </w:rPr>
              <w:t xml:space="preserve">            </w:t>
            </w:r>
            <w:permEnd w:id="1"/>
            <w:r>
              <w:rPr>
                <w:rFonts w:hint="eastAsia" w:ascii="宋体" w:hAnsi="宋体" w:eastAsia="宋体" w:cs="宋体"/>
                <w:color w:val="auto"/>
                <w:sz w:val="21"/>
                <w:szCs w:val="21"/>
                <w:highlight w:val="none"/>
              </w:rPr>
              <w:t xml:space="preserve"> </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rPr>
              <w:t>文明施工目标：</w:t>
            </w:r>
            <w:permStart w:id="2" w:edGrp="everyone"/>
            <w:r>
              <w:rPr>
                <w:rFonts w:hint="eastAsia" w:ascii="宋体" w:hAnsi="宋体" w:eastAsia="宋体" w:cs="宋体"/>
                <w:color w:val="auto"/>
                <w:sz w:val="21"/>
                <w:szCs w:val="21"/>
                <w:highlight w:val="none"/>
                <w:u w:val="single"/>
              </w:rPr>
              <w:t xml:space="preserve">           </w:t>
            </w:r>
            <w:permEnd w:id="2"/>
            <w:r>
              <w:rPr>
                <w:rFonts w:hint="eastAsia" w:ascii="宋体" w:hAnsi="宋体" w:eastAsia="宋体" w:cs="宋体"/>
                <w:color w:val="auto"/>
                <w:sz w:val="21"/>
                <w:szCs w:val="21"/>
                <w:highlight w:val="none"/>
                <w:u w:val="none"/>
              </w:rPr>
              <w:t xml:space="preserve"> </w:t>
            </w:r>
          </w:p>
          <w:p>
            <w:pPr>
              <w:pStyle w:val="6"/>
              <w:keepNext w:val="0"/>
              <w:keepLines w:val="0"/>
              <w:pageBreakBefore w:val="0"/>
              <w:widowControl w:val="0"/>
              <w:tabs>
                <w:tab w:val="left" w:pos="1236"/>
              </w:tabs>
              <w:kinsoku/>
              <w:wordWrap/>
              <w:overflowPunct/>
              <w:topLinePunct w:val="0"/>
              <w:autoSpaceDE/>
              <w:autoSpaceDN/>
              <w:bidi w:val="0"/>
              <w:adjustRightInd/>
              <w:snapToGrid/>
              <w:spacing w:after="0" w:line="240" w:lineRule="auto"/>
              <w:ind w:left="0" w:leftChars="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计划开工日期为</w:t>
            </w:r>
            <w:sdt>
              <w:sdtPr>
                <w:rPr>
                  <w:rFonts w:hint="eastAsia" w:ascii="宋体" w:hAnsi="宋体" w:eastAsia="宋体" w:cs="宋体"/>
                  <w:color w:val="auto"/>
                  <w:kern w:val="2"/>
                  <w:sz w:val="21"/>
                  <w:szCs w:val="21"/>
                  <w:highlight w:val="none"/>
                  <w:lang w:val="en-US" w:eastAsia="zh-CN" w:bidi="ar-SA"/>
                </w:rPr>
                <w:alias w:val="履行开始时间不应早于合同签订之日"/>
                <w:tag w:val="履行开始时间"/>
                <w:id w:val="147458093"/>
                <w:placeholder>
                  <w:docPart w:val="{fbc9d5b3-feb9-4dde-af76-3585b36059f8}"/>
                </w:placeholder>
                <w:date>
                  <w:dateFormat w:val="yyyy'年'M'月'd'日'"/>
                  <w:lid w:val="zh-CN"/>
                  <w:storeMappedDataAs w:val="datetime"/>
                  <w:calendar w:val="gregorian"/>
                </w:date>
              </w:sdtPr>
              <w:sdtEndPr>
                <w:rPr>
                  <w:rFonts w:hint="eastAsia" w:ascii="宋体" w:hAnsi="宋体" w:eastAsia="宋体" w:cs="宋体"/>
                  <w:color w:val="auto"/>
                  <w:kern w:val="2"/>
                  <w:sz w:val="21"/>
                  <w:szCs w:val="21"/>
                  <w:highlight w:val="none"/>
                  <w:u w:val="single"/>
                  <w:lang w:val="en-US" w:eastAsia="zh-CN" w:bidi="ar-SA"/>
                </w:rPr>
              </w:sdtEndPr>
              <w:sdtContent>
                <w:permStart w:id="3" w:edGrp="everyone"/>
                <w:r>
                  <w:rPr>
                    <w:rFonts w:hint="eastAsia" w:ascii="宋体" w:hAnsi="宋体" w:eastAsia="宋体" w:cs="宋体"/>
                    <w:color w:val="auto"/>
                    <w:kern w:val="2"/>
                    <w:sz w:val="21"/>
                    <w:szCs w:val="21"/>
                    <w:highlight w:val="none"/>
                    <w:u w:val="single"/>
                    <w:lang w:val="en-US" w:eastAsia="zh-CN" w:bidi="ar-SA"/>
                  </w:rPr>
                  <w:t xml:space="preserve">    年   月  日</w:t>
                </w:r>
                <w:permEnd w:id="3"/>
              </w:sdtContent>
            </w:sdt>
            <w:r>
              <w:rPr>
                <w:rFonts w:hint="eastAsia" w:ascii="宋体" w:hAnsi="宋体" w:eastAsia="宋体" w:cs="宋体"/>
                <w:color w:val="auto"/>
                <w:sz w:val="21"/>
                <w:szCs w:val="21"/>
                <w:highlight w:val="none"/>
              </w:rPr>
              <w:t>，计划竣工日期为</w:t>
            </w:r>
            <w:sdt>
              <w:sdtPr>
                <w:rPr>
                  <w:rFonts w:hint="eastAsia" w:ascii="宋体" w:hAnsi="宋体" w:eastAsia="宋体" w:cs="宋体"/>
                  <w:color w:val="auto"/>
                  <w:sz w:val="21"/>
                  <w:szCs w:val="21"/>
                  <w:highlight w:val="none"/>
                  <w:lang w:val="en-US" w:eastAsia="zh-CN"/>
                </w:rPr>
                <w:alias w:val="请选择具体日期。"/>
                <w:tag w:val="履行结束时间"/>
                <w:id w:val="805390313"/>
                <w:placeholder>
                  <w:docPart w:val="{871760d0-d992-4d8d-a8b4-000953b0d240}"/>
                </w:placeholder>
                <w:date w:fullDate="2022-11-24T00:00:00Z">
                  <w:dateFormat w:val="yyyy'年'M'月'd'日'"/>
                  <w:lid w:val="zh-CN"/>
                  <w:storeMappedDataAs w:val="datetime"/>
                  <w:calendar w:val="gregorian"/>
                </w:date>
              </w:sdtPr>
              <w:sdtEndPr>
                <w:rPr>
                  <w:rFonts w:hint="eastAsia" w:ascii="宋体" w:hAnsi="宋体" w:eastAsia="宋体" w:cs="宋体"/>
                  <w:color w:val="auto"/>
                  <w:sz w:val="21"/>
                  <w:szCs w:val="21"/>
                  <w:highlight w:val="none"/>
                  <w:lang w:val="en-US" w:eastAsia="zh-CN"/>
                </w:rPr>
              </w:sdtEndPr>
              <w:sdtContent>
                <w:sdt>
                  <w:sdtPr>
                    <w:rPr>
                      <w:rFonts w:hint="eastAsia" w:ascii="宋体" w:hAnsi="宋体" w:eastAsia="宋体" w:cs="宋体"/>
                      <w:color w:val="auto"/>
                      <w:kern w:val="2"/>
                      <w:sz w:val="21"/>
                      <w:szCs w:val="21"/>
                      <w:highlight w:val="none"/>
                      <w:lang w:val="en-US" w:eastAsia="zh-CN" w:bidi="ar-SA"/>
                    </w:rPr>
                    <w:alias w:val="请选择具体日期。"/>
                    <w:tag w:val="履行结束时间"/>
                    <w:id w:val="538484053"/>
                    <w:placeholder>
                      <w:docPart w:val="{ae39d401-0f7b-4376-bf93-4ddbb5b1b817}"/>
                    </w:placeholder>
                    <w:date>
                      <w:dateFormat w:val="yyyy'年'M'月'd'日'"/>
                      <w:lid w:val="zh-CN"/>
                      <w:storeMappedDataAs w:val="datetime"/>
                      <w:calendar w:val="gregorian"/>
                    </w:date>
                  </w:sdtPr>
                  <w:sdtEndPr>
                    <w:rPr>
                      <w:rFonts w:hint="eastAsia" w:ascii="宋体" w:hAnsi="宋体" w:eastAsia="宋体" w:cs="宋体"/>
                      <w:color w:val="auto"/>
                      <w:kern w:val="2"/>
                      <w:sz w:val="21"/>
                      <w:szCs w:val="21"/>
                      <w:highlight w:val="none"/>
                      <w:u w:val="single"/>
                      <w:lang w:val="en-US" w:eastAsia="zh-CN" w:bidi="ar-SA"/>
                    </w:rPr>
                  </w:sdtEndPr>
                  <w:sdtContent>
                    <w:permStart w:id="4" w:edGrp="everyone"/>
                    <w:r>
                      <w:rPr>
                        <w:rFonts w:hint="eastAsia" w:ascii="宋体" w:hAnsi="宋体" w:eastAsia="宋体" w:cs="宋体"/>
                        <w:color w:val="auto"/>
                        <w:kern w:val="2"/>
                        <w:sz w:val="21"/>
                        <w:szCs w:val="21"/>
                        <w:highlight w:val="none"/>
                        <w:u w:val="single"/>
                        <w:lang w:val="en-US" w:eastAsia="zh-CN" w:bidi="ar-SA"/>
                      </w:rPr>
                      <w:t xml:space="preserve">    年  月   日</w:t>
                    </w:r>
                    <w:permEnd w:id="4"/>
                  </w:sdtContent>
                </w:sdt>
              </w:sdtContent>
            </w:sdt>
            <w:r>
              <w:rPr>
                <w:rFonts w:hint="eastAsia" w:ascii="宋体" w:hAnsi="宋体" w:eastAsia="宋体" w:cs="宋体"/>
                <w:color w:val="auto"/>
                <w:sz w:val="21"/>
                <w:szCs w:val="21"/>
                <w:highlight w:val="none"/>
              </w:rPr>
              <w:t>，总日历天数</w:t>
            </w:r>
            <w:permStart w:id="5" w:edGrp="everyone"/>
            <w:r>
              <w:rPr>
                <w:rFonts w:hint="eastAsia" w:ascii="宋体" w:hAnsi="宋体" w:eastAsia="宋体" w:cs="宋体"/>
                <w:color w:val="auto"/>
                <w:sz w:val="21"/>
                <w:szCs w:val="21"/>
                <w:highlight w:val="none"/>
                <w:u w:val="single"/>
              </w:rPr>
              <w:t xml:space="preserve">    </w:t>
            </w:r>
            <w:permEnd w:id="5"/>
            <w:r>
              <w:rPr>
                <w:rFonts w:hint="eastAsia" w:ascii="宋体" w:hAnsi="宋体" w:eastAsia="宋体" w:cs="宋体"/>
                <w:color w:val="auto"/>
                <w:sz w:val="21"/>
                <w:szCs w:val="21"/>
                <w:highlight w:val="none"/>
              </w:rPr>
              <w:t>天。实际开工日期以发包人和监理发布的开工日期为准，相应竣工日期根据实际开工日期相应顺延。</w:t>
            </w:r>
          </w:p>
        </w:tc>
        <w:tc>
          <w:tcPr>
            <w:tcW w:w="5800" w:type="dxa"/>
            <w:noWrap w:val="0"/>
            <w:vAlign w:val="center"/>
          </w:tcPr>
          <w:p>
            <w:pPr>
              <w:keepNext w:val="0"/>
              <w:keepLines w:val="0"/>
              <w:pageBreakBefore w:val="0"/>
              <w:widowControl w:val="0"/>
              <w:kinsoku/>
              <w:wordWrap/>
              <w:overflowPunct/>
              <w:topLinePunct w:val="0"/>
              <w:autoSpaceDE/>
              <w:autoSpaceDN/>
              <w:bidi w:val="0"/>
              <w:snapToGrid/>
              <w:spacing w:line="240" w:lineRule="auto"/>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替换以下内容第3款的内容：</w:t>
            </w:r>
          </w:p>
          <w:p>
            <w:pPr>
              <w:keepNext w:val="0"/>
              <w:keepLines w:val="0"/>
              <w:pageBreakBefore w:val="0"/>
              <w:widowControl w:val="0"/>
              <w:kinsoku/>
              <w:wordWrap/>
              <w:overflowPunct/>
              <w:topLinePunct w:val="0"/>
              <w:autoSpaceDE/>
              <w:autoSpaceDN/>
              <w:bidi w:val="0"/>
              <w:snapToGrid/>
              <w:spacing w:line="240" w:lineRule="auto"/>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rPr>
              <w:t>3 建设目标</w:t>
            </w:r>
          </w:p>
          <w:p>
            <w:pPr>
              <w:keepNext w:val="0"/>
              <w:keepLines w:val="0"/>
              <w:pageBreakBefore w:val="0"/>
              <w:widowControl w:val="0"/>
              <w:tabs>
                <w:tab w:val="left" w:pos="0"/>
              </w:tabs>
              <w:kinsoku/>
              <w:wordWrap/>
              <w:overflowPunct/>
              <w:topLinePunct w:val="0"/>
              <w:autoSpaceDE/>
              <w:autoSpaceDN/>
              <w:bidi w:val="0"/>
              <w:snapToGrid/>
              <w:spacing w:line="240" w:lineRule="auto"/>
              <w:ind w:firstLine="0" w:firstLineChars="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lang w:val="en-US" w:eastAsia="zh-CN"/>
              </w:rPr>
              <w:t xml:space="preserve">3.1 </w:t>
            </w:r>
            <w:r>
              <w:rPr>
                <w:rFonts w:hint="eastAsia" w:asciiTheme="minorEastAsia" w:hAnsiTheme="minorEastAsia" w:eastAsiaTheme="minorEastAsia" w:cstheme="minorEastAsia"/>
                <w:b/>
                <w:bCs/>
                <w:color w:val="auto"/>
                <w:sz w:val="21"/>
                <w:szCs w:val="21"/>
                <w:highlight w:val="none"/>
              </w:rPr>
              <w:t>总体安全目标：</w:t>
            </w:r>
            <w:r>
              <w:rPr>
                <w:rFonts w:hint="eastAsia" w:asciiTheme="minorEastAsia" w:hAnsiTheme="minorEastAsia" w:eastAsiaTheme="minorEastAsia" w:cstheme="minorEastAsia"/>
                <w:color w:val="auto"/>
                <w:sz w:val="21"/>
                <w:szCs w:val="21"/>
                <w:highlight w:val="none"/>
              </w:rPr>
              <w:t>严格执行国家、行业、南方电网有限责任公司、广东电网有限责任公司有关工程建设安全管理的法律、法规和规章制度，杜绝人身死亡事故、人身重伤事故。</w:t>
            </w:r>
          </w:p>
          <w:p>
            <w:pPr>
              <w:keepNext w:val="0"/>
              <w:keepLines w:val="0"/>
              <w:pageBreakBefore w:val="0"/>
              <w:widowControl w:val="0"/>
              <w:tabs>
                <w:tab w:val="left" w:pos="0"/>
              </w:tabs>
              <w:kinsoku/>
              <w:wordWrap/>
              <w:overflowPunct/>
              <w:topLinePunct w:val="0"/>
              <w:autoSpaceDE/>
              <w:autoSpaceDN/>
              <w:bidi w:val="0"/>
              <w:snapToGrid/>
              <w:spacing w:line="240" w:lineRule="auto"/>
              <w:ind w:firstLine="0" w:firstLineChars="0"/>
              <w:textAlignment w:val="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专项目标：</w:t>
            </w:r>
          </w:p>
          <w:p>
            <w:pPr>
              <w:keepNext w:val="0"/>
              <w:keepLines w:val="0"/>
              <w:pageBreakBefore w:val="0"/>
              <w:widowControl w:val="0"/>
              <w:tabs>
                <w:tab w:val="left" w:pos="0"/>
              </w:tabs>
              <w:kinsoku/>
              <w:wordWrap/>
              <w:overflowPunct/>
              <w:topLinePunct w:val="0"/>
              <w:autoSpaceDE/>
              <w:autoSpaceDN/>
              <w:bidi w:val="0"/>
              <w:snapToGrid/>
              <w:spacing w:line="240" w:lineRule="auto"/>
              <w:ind w:firstLine="0" w:firstLineChars="0"/>
              <w:textAlignment w:val="auto"/>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（1）不发生一般及以上的电力生产安全事故（电力人身事故、电力设备事故、电力安全事故）</w:t>
            </w:r>
          </w:p>
          <w:p>
            <w:pPr>
              <w:keepNext w:val="0"/>
              <w:keepLines w:val="0"/>
              <w:pageBreakBefore w:val="0"/>
              <w:widowControl w:val="0"/>
              <w:tabs>
                <w:tab w:val="left" w:pos="0"/>
              </w:tabs>
              <w:kinsoku/>
              <w:wordWrap/>
              <w:overflowPunct/>
              <w:topLinePunct w:val="0"/>
              <w:autoSpaceDE/>
              <w:autoSpaceDN/>
              <w:bidi w:val="0"/>
              <w:snapToGrid/>
              <w:spacing w:line="240" w:lineRule="auto"/>
              <w:ind w:firstLine="0" w:firstLineChars="0"/>
              <w:textAlignment w:val="auto"/>
              <w:rPr>
                <w:rFonts w:hint="eastAsia" w:asciiTheme="minorEastAsia" w:hAnsiTheme="minorEastAsia" w:eastAsiaTheme="minorEastAsia" w:cstheme="minorEastAsia"/>
                <w:b w:val="0"/>
                <w:bCs w:val="0"/>
                <w:color w:val="auto"/>
                <w:sz w:val="21"/>
                <w:szCs w:val="21"/>
                <w:highlight w:val="none"/>
                <w:lang w:eastAsia="zh-CN"/>
              </w:rPr>
            </w:pPr>
            <w:r>
              <w:rPr>
                <w:rFonts w:hint="eastAsia" w:asciiTheme="minorEastAsia" w:hAnsiTheme="minorEastAsia" w:eastAsiaTheme="minorEastAsia" w:cstheme="minorEastAsia"/>
                <w:b w:val="0"/>
                <w:bCs w:val="0"/>
                <w:color w:val="auto"/>
                <w:sz w:val="21"/>
                <w:szCs w:val="21"/>
                <w:highlight w:val="none"/>
              </w:rPr>
              <w:t>（2）不发生有责任（主要责任或</w:t>
            </w:r>
            <w:r>
              <w:rPr>
                <w:rFonts w:hint="eastAsia" w:asciiTheme="minorEastAsia" w:hAnsiTheme="minorEastAsia" w:eastAsiaTheme="minorEastAsia" w:cstheme="minorEastAsia"/>
                <w:b w:val="0"/>
                <w:bCs w:val="0"/>
                <w:color w:val="auto"/>
                <w:sz w:val="21"/>
                <w:szCs w:val="21"/>
                <w:highlight w:val="none"/>
                <w:lang w:val="en-US" w:eastAsia="zh-CN"/>
              </w:rPr>
              <w:t>次要</w:t>
            </w:r>
            <w:r>
              <w:rPr>
                <w:rFonts w:hint="eastAsia" w:asciiTheme="minorEastAsia" w:hAnsiTheme="minorEastAsia" w:eastAsiaTheme="minorEastAsia" w:cstheme="minorEastAsia"/>
                <w:b w:val="0"/>
                <w:bCs w:val="0"/>
                <w:color w:val="auto"/>
                <w:sz w:val="21"/>
                <w:szCs w:val="21"/>
                <w:highlight w:val="none"/>
              </w:rPr>
              <w:t>责任）的</w:t>
            </w:r>
            <w:r>
              <w:rPr>
                <w:rFonts w:hint="eastAsia" w:asciiTheme="minorEastAsia" w:hAnsiTheme="minorEastAsia" w:eastAsiaTheme="minorEastAsia" w:cstheme="minorEastAsia"/>
                <w:b w:val="0"/>
                <w:bCs w:val="0"/>
                <w:color w:val="auto"/>
                <w:sz w:val="21"/>
                <w:szCs w:val="21"/>
                <w:highlight w:val="none"/>
                <w:lang w:val="en-US" w:eastAsia="zh-CN"/>
              </w:rPr>
              <w:t>三</w:t>
            </w:r>
            <w:r>
              <w:rPr>
                <w:rFonts w:hint="eastAsia" w:asciiTheme="minorEastAsia" w:hAnsiTheme="minorEastAsia" w:eastAsiaTheme="minorEastAsia" w:cstheme="minorEastAsia"/>
                <w:b w:val="0"/>
                <w:bCs w:val="0"/>
                <w:color w:val="auto"/>
                <w:sz w:val="21"/>
                <w:szCs w:val="21"/>
                <w:highlight w:val="none"/>
              </w:rPr>
              <w:t>级及以上电力生产安全事件（电力人身事件、电力设备事件、电力安全事件）</w:t>
            </w:r>
            <w:r>
              <w:rPr>
                <w:rFonts w:hint="eastAsia" w:asciiTheme="minorEastAsia" w:hAnsiTheme="minorEastAsia" w:eastAsiaTheme="minorEastAsia" w:cstheme="minorEastAsia"/>
                <w:b w:val="0"/>
                <w:bCs w:val="0"/>
                <w:color w:val="auto"/>
                <w:sz w:val="21"/>
                <w:szCs w:val="21"/>
                <w:highlight w:val="none"/>
                <w:lang w:eastAsia="zh-CN"/>
              </w:rPr>
              <w:t>。</w:t>
            </w:r>
          </w:p>
          <w:p>
            <w:pPr>
              <w:keepNext w:val="0"/>
              <w:keepLines w:val="0"/>
              <w:pageBreakBefore w:val="0"/>
              <w:widowControl w:val="0"/>
              <w:tabs>
                <w:tab w:val="left" w:pos="0"/>
              </w:tabs>
              <w:kinsoku/>
              <w:wordWrap/>
              <w:overflowPunct/>
              <w:topLinePunct w:val="0"/>
              <w:autoSpaceDE/>
              <w:autoSpaceDN/>
              <w:bidi w:val="0"/>
              <w:snapToGrid/>
              <w:spacing w:line="240" w:lineRule="auto"/>
              <w:ind w:firstLine="0" w:firstLineChars="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rPr>
              <w:t>安全文明施工目标：</w:t>
            </w:r>
            <w:r>
              <w:rPr>
                <w:rFonts w:hint="eastAsia" w:asciiTheme="minorEastAsia" w:hAnsiTheme="minorEastAsia" w:eastAsiaTheme="minorEastAsia" w:cstheme="minorEastAsia"/>
                <w:color w:val="auto"/>
                <w:sz w:val="21"/>
                <w:szCs w:val="21"/>
                <w:highlight w:val="none"/>
              </w:rPr>
              <w:t>按照《广东电网有限责任公司基建工程安全文明施工管理业务指导书》的要求和标准布置施工现场的文明施工设施，安全文明施工设施标准化配置作为施工作业必备条件，安全文明施工费专款专用，创造良好和规范的安全文明施工环境。</w:t>
            </w:r>
          </w:p>
          <w:p>
            <w:pPr>
              <w:pStyle w:val="2"/>
              <w:keepNext w:val="0"/>
              <w:keepLines w:val="0"/>
              <w:pageBreakBefore w:val="0"/>
              <w:widowControl w:val="0"/>
              <w:kinsoku/>
              <w:wordWrap/>
              <w:overflowPunct/>
              <w:topLinePunct w:val="0"/>
              <w:autoSpaceDE/>
              <w:autoSpaceDN/>
              <w:bidi w:val="0"/>
              <w:snapToGrid/>
              <w:spacing w:after="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lang w:val="en-US" w:eastAsia="zh-CN"/>
              </w:rPr>
              <w:t xml:space="preserve">3.2 </w:t>
            </w:r>
            <w:r>
              <w:rPr>
                <w:rFonts w:hint="eastAsia" w:asciiTheme="minorEastAsia" w:hAnsiTheme="minorEastAsia" w:eastAsiaTheme="minorEastAsia" w:cstheme="minorEastAsia"/>
                <w:b/>
                <w:bCs/>
                <w:color w:val="auto"/>
                <w:sz w:val="21"/>
                <w:szCs w:val="21"/>
                <w:highlight w:val="none"/>
              </w:rPr>
              <w:t>质量总体目标：</w:t>
            </w:r>
            <w:r>
              <w:rPr>
                <w:rFonts w:hint="eastAsia" w:asciiTheme="minorEastAsia" w:hAnsiTheme="minorEastAsia" w:eastAsiaTheme="minorEastAsia" w:cstheme="minorEastAsia"/>
                <w:color w:val="auto"/>
                <w:sz w:val="21"/>
                <w:szCs w:val="21"/>
                <w:highlight w:val="none"/>
              </w:rPr>
              <w:t>满足国家、行业、中国南方电网有限责任公司质量标准、控制标准和验收规范，在质量管理过程中达到或超过质量标准，通过各级验收合格并完成启动投产。推进工程高质量建设，执行南方电网有限责任公司、广东电网有限责任公司电网工程机械化施工相关要求。</w:t>
            </w:r>
          </w:p>
          <w:p>
            <w:pPr>
              <w:pStyle w:val="2"/>
              <w:keepNext w:val="0"/>
              <w:keepLines w:val="0"/>
              <w:pageBreakBefore w:val="0"/>
              <w:widowControl w:val="0"/>
              <w:kinsoku/>
              <w:wordWrap/>
              <w:overflowPunct/>
              <w:topLinePunct w:val="0"/>
              <w:autoSpaceDE/>
              <w:autoSpaceDN/>
              <w:bidi w:val="0"/>
              <w:snapToGrid/>
              <w:spacing w:after="0" w:line="24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专项目标：</w:t>
            </w:r>
          </w:p>
          <w:p>
            <w:pPr>
              <w:pStyle w:val="2"/>
              <w:keepNext w:val="0"/>
              <w:keepLines w:val="0"/>
              <w:pageBreakBefore w:val="0"/>
              <w:widowControl w:val="0"/>
              <w:kinsoku/>
              <w:wordWrap/>
              <w:overflowPunct/>
              <w:topLinePunct w:val="0"/>
              <w:autoSpaceDE/>
              <w:autoSpaceDN/>
              <w:bidi w:val="0"/>
              <w:snapToGrid/>
              <w:spacing w:after="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lang w:eastAsia="zh-CN"/>
              </w:rPr>
              <w:t>（</w:t>
            </w:r>
            <w:r>
              <w:rPr>
                <w:rFonts w:hint="eastAsia" w:asciiTheme="minorEastAsia" w:hAnsiTheme="minorEastAsia" w:eastAsiaTheme="minorEastAsia" w:cstheme="minorEastAsia"/>
                <w:b w:val="0"/>
                <w:bCs w:val="0"/>
                <w:color w:val="auto"/>
                <w:sz w:val="21"/>
                <w:szCs w:val="21"/>
                <w:highlight w:val="none"/>
              </w:rPr>
              <w:t>1</w:t>
            </w:r>
            <w:r>
              <w:rPr>
                <w:rFonts w:hint="eastAsia" w:asciiTheme="minorEastAsia" w:hAnsiTheme="minorEastAsia" w:eastAsiaTheme="minorEastAsia" w:cstheme="minorEastAsia"/>
                <w:b w:val="0"/>
                <w:bCs w:val="0"/>
                <w:color w:val="auto"/>
                <w:sz w:val="21"/>
                <w:szCs w:val="21"/>
                <w:highlight w:val="none"/>
                <w:lang w:eastAsia="zh-CN"/>
              </w:rPr>
              <w:t>）</w:t>
            </w:r>
            <w:r>
              <w:rPr>
                <w:rFonts w:hint="eastAsia" w:asciiTheme="minorEastAsia" w:hAnsiTheme="minorEastAsia" w:eastAsiaTheme="minorEastAsia" w:cstheme="minorEastAsia"/>
                <w:b w:val="0"/>
                <w:bCs w:val="0"/>
                <w:color w:val="auto"/>
                <w:sz w:val="21"/>
                <w:szCs w:val="21"/>
                <w:highlight w:val="none"/>
              </w:rPr>
              <w:t>基建质量管理量化评价得分达</w:t>
            </w:r>
            <w:permStart w:id="6" w:edGrp="everyone"/>
            <w:r>
              <w:rPr>
                <w:rFonts w:hint="eastAsia" w:ascii="宋体" w:hAnsi="宋体" w:eastAsia="宋体" w:cs="宋体"/>
                <w:b w:val="0"/>
                <w:bCs w:val="0"/>
                <w:color w:val="auto"/>
                <w:sz w:val="21"/>
                <w:szCs w:val="21"/>
                <w:highlight w:val="none"/>
                <w:u w:val="single"/>
              </w:rPr>
              <w:t xml:space="preserve">    </w:t>
            </w:r>
            <w:permEnd w:id="6"/>
            <w:r>
              <w:rPr>
                <w:rFonts w:hint="eastAsia" w:asciiTheme="minorEastAsia" w:hAnsiTheme="minorEastAsia" w:eastAsiaTheme="minorEastAsia" w:cstheme="minorEastAsia"/>
                <w:b w:val="0"/>
                <w:bCs w:val="0"/>
                <w:color w:val="auto"/>
                <w:sz w:val="21"/>
                <w:szCs w:val="21"/>
                <w:highlight w:val="none"/>
              </w:rPr>
              <w:t>分以上（适用于开展质量量化评价的项目）</w:t>
            </w:r>
            <w:r>
              <w:rPr>
                <w:rFonts w:hint="eastAsia" w:asciiTheme="minorEastAsia" w:hAnsiTheme="minorEastAsia" w:eastAsiaTheme="minorEastAsia" w:cstheme="minorEastAsia"/>
                <w:color w:val="auto"/>
                <w:sz w:val="21"/>
                <w:szCs w:val="21"/>
                <w:highlight w:val="none"/>
              </w:rPr>
              <w:t>，分项工程合格率100%，单位工程合格率100%。</w:t>
            </w:r>
          </w:p>
          <w:p>
            <w:pPr>
              <w:pStyle w:val="2"/>
              <w:keepNext w:val="0"/>
              <w:keepLines w:val="0"/>
              <w:pageBreakBefore w:val="0"/>
              <w:widowControl w:val="0"/>
              <w:kinsoku/>
              <w:wordWrap/>
              <w:overflowPunct/>
              <w:topLinePunct w:val="0"/>
              <w:autoSpaceDE/>
              <w:autoSpaceDN/>
              <w:bidi w:val="0"/>
              <w:snapToGrid/>
              <w:spacing w:after="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lang w:val="en-US" w:eastAsia="zh-CN"/>
              </w:rPr>
              <w:t>2</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创优目标：确保达标投产，项目获得</w:t>
            </w:r>
            <w:permStart w:id="7" w:edGrp="everyone"/>
            <w:r>
              <w:rPr>
                <w:rFonts w:hint="eastAsia" w:ascii="宋体" w:hAnsi="宋体" w:eastAsia="宋体" w:cs="宋体"/>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（根据项目实际情况制定）</w:t>
            </w:r>
            <w:r>
              <w:rPr>
                <w:rFonts w:hint="eastAsia" w:ascii="宋体" w:hAnsi="宋体" w:eastAsia="宋体" w:cs="宋体"/>
                <w:color w:val="auto"/>
                <w:sz w:val="21"/>
                <w:szCs w:val="21"/>
                <w:highlight w:val="none"/>
                <w:u w:val="single"/>
              </w:rPr>
              <w:t xml:space="preserve"> </w:t>
            </w:r>
            <w:permEnd w:id="7"/>
            <w:r>
              <w:rPr>
                <w:rFonts w:hint="eastAsia" w:asciiTheme="minorEastAsia" w:hAnsiTheme="minorEastAsia" w:eastAsiaTheme="minorEastAsia" w:cstheme="minorEastAsia"/>
                <w:color w:val="auto"/>
                <w:sz w:val="21"/>
                <w:szCs w:val="21"/>
                <w:highlight w:val="none"/>
              </w:rPr>
              <w:t>奖。</w:t>
            </w:r>
          </w:p>
          <w:p>
            <w:pPr>
              <w:pStyle w:val="3"/>
              <w:keepNext w:val="0"/>
              <w:keepLines w:val="0"/>
              <w:pageBreakBefore w:val="0"/>
              <w:widowControl w:val="0"/>
              <w:kinsoku/>
              <w:wordWrap/>
              <w:overflowPunct/>
              <w:topLinePunct w:val="0"/>
              <w:autoSpaceDE/>
              <w:autoSpaceDN/>
              <w:bidi w:val="0"/>
              <w:snapToGrid/>
              <w:spacing w:before="0" w:after="0" w:line="240" w:lineRule="auto"/>
              <w:jc w:val="both"/>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3.3 </w:t>
            </w:r>
            <w:r>
              <w:rPr>
                <w:rFonts w:hint="eastAsia" w:asciiTheme="minorEastAsia" w:hAnsiTheme="minorEastAsia" w:eastAsiaTheme="minorEastAsia" w:cstheme="minorEastAsia"/>
                <w:color w:val="auto"/>
                <w:sz w:val="21"/>
                <w:szCs w:val="21"/>
                <w:highlight w:val="none"/>
              </w:rPr>
              <w:t>总体进度目标：</w:t>
            </w:r>
            <w:r>
              <w:rPr>
                <w:rFonts w:hint="eastAsia" w:asciiTheme="minorEastAsia" w:hAnsiTheme="minorEastAsia" w:eastAsiaTheme="minorEastAsia" w:cstheme="minorEastAsia"/>
                <w:b w:val="0"/>
                <w:bCs/>
                <w:color w:val="auto"/>
                <w:sz w:val="21"/>
                <w:szCs w:val="21"/>
                <w:highlight w:val="none"/>
              </w:rPr>
              <w:t>坚持以“工程进度服从安全、质量”为原则，积极采取相应措施确保工程开、竣工时间和工程阶段性里程碑进度计划按时完成。</w:t>
            </w:r>
          </w:p>
          <w:p>
            <w:pPr>
              <w:keepNext w:val="0"/>
              <w:keepLines w:val="0"/>
              <w:pageBreakBefore w:val="0"/>
              <w:widowControl w:val="0"/>
              <w:tabs>
                <w:tab w:val="left" w:pos="0"/>
              </w:tabs>
              <w:kinsoku/>
              <w:wordWrap/>
              <w:overflowPunct/>
              <w:topLinePunct w:val="0"/>
              <w:autoSpaceDE/>
              <w:autoSpaceDN/>
              <w:bidi w:val="0"/>
              <w:snapToGrid/>
              <w:spacing w:line="240" w:lineRule="auto"/>
              <w:ind w:firstLine="0" w:firstLineChars="0"/>
              <w:textAlignment w:val="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专项目标：计划开工日期为</w:t>
            </w:r>
            <w:permStart w:id="8" w:edGrp="everyone"/>
            <w:r>
              <w:rPr>
                <w:rFonts w:hint="eastAsia" w:ascii="宋体" w:hAnsi="宋体" w:eastAsia="宋体" w:cs="宋体"/>
                <w:color w:val="auto"/>
                <w:sz w:val="21"/>
                <w:szCs w:val="21"/>
                <w:highlight w:val="none"/>
                <w:u w:val="single"/>
              </w:rPr>
              <w:t xml:space="preserve">    </w:t>
            </w:r>
            <w:permEnd w:id="8"/>
            <w:r>
              <w:rPr>
                <w:rFonts w:hint="eastAsia" w:asciiTheme="minorEastAsia" w:hAnsiTheme="minorEastAsia" w:eastAsiaTheme="minorEastAsia" w:cstheme="minorEastAsia"/>
                <w:b w:val="0"/>
                <w:bCs/>
                <w:color w:val="auto"/>
                <w:sz w:val="21"/>
                <w:szCs w:val="21"/>
                <w:highlight w:val="none"/>
              </w:rPr>
              <w:t>年</w:t>
            </w:r>
            <w:permStart w:id="9" w:edGrp="everyone"/>
            <w:r>
              <w:rPr>
                <w:rFonts w:hint="eastAsia" w:ascii="宋体" w:hAnsi="宋体" w:eastAsia="宋体" w:cs="宋体"/>
                <w:color w:val="auto"/>
                <w:sz w:val="21"/>
                <w:szCs w:val="21"/>
                <w:highlight w:val="none"/>
                <w:u w:val="single"/>
              </w:rPr>
              <w:t xml:space="preserve">    </w:t>
            </w:r>
            <w:permEnd w:id="9"/>
            <w:r>
              <w:rPr>
                <w:rFonts w:hint="eastAsia" w:asciiTheme="minorEastAsia" w:hAnsiTheme="minorEastAsia" w:eastAsiaTheme="minorEastAsia" w:cstheme="minorEastAsia"/>
                <w:b w:val="0"/>
                <w:bCs/>
                <w:color w:val="auto"/>
                <w:sz w:val="21"/>
                <w:szCs w:val="21"/>
                <w:highlight w:val="none"/>
              </w:rPr>
              <w:t>月</w:t>
            </w:r>
            <w:permStart w:id="10" w:edGrp="everyone"/>
            <w:r>
              <w:rPr>
                <w:rFonts w:hint="eastAsia" w:ascii="宋体" w:hAnsi="宋体" w:eastAsia="宋体" w:cs="宋体"/>
                <w:color w:val="auto"/>
                <w:sz w:val="21"/>
                <w:szCs w:val="21"/>
                <w:highlight w:val="none"/>
                <w:u w:val="single"/>
              </w:rPr>
              <w:t xml:space="preserve">    </w:t>
            </w:r>
            <w:permEnd w:id="10"/>
            <w:r>
              <w:rPr>
                <w:rFonts w:hint="eastAsia" w:asciiTheme="minorEastAsia" w:hAnsiTheme="minorEastAsia" w:eastAsiaTheme="minorEastAsia" w:cstheme="minorEastAsia"/>
                <w:b w:val="0"/>
                <w:bCs/>
                <w:color w:val="auto"/>
                <w:sz w:val="21"/>
                <w:szCs w:val="21"/>
                <w:highlight w:val="none"/>
              </w:rPr>
              <w:t>日，计划竣工日期为</w:t>
            </w:r>
            <w:permStart w:id="11" w:edGrp="everyone"/>
            <w:r>
              <w:rPr>
                <w:rFonts w:hint="eastAsia" w:ascii="宋体" w:hAnsi="宋体" w:eastAsia="宋体" w:cs="宋体"/>
                <w:color w:val="auto"/>
                <w:sz w:val="21"/>
                <w:szCs w:val="21"/>
                <w:highlight w:val="none"/>
                <w:u w:val="single"/>
              </w:rPr>
              <w:t xml:space="preserve">    </w:t>
            </w:r>
            <w:permEnd w:id="11"/>
            <w:r>
              <w:rPr>
                <w:rFonts w:hint="eastAsia" w:asciiTheme="minorEastAsia" w:hAnsiTheme="minorEastAsia" w:eastAsiaTheme="minorEastAsia" w:cstheme="minorEastAsia"/>
                <w:b w:val="0"/>
                <w:bCs/>
                <w:color w:val="auto"/>
                <w:sz w:val="21"/>
                <w:szCs w:val="21"/>
                <w:highlight w:val="none"/>
              </w:rPr>
              <w:t>年</w:t>
            </w:r>
            <w:permStart w:id="12" w:edGrp="everyone"/>
            <w:r>
              <w:rPr>
                <w:rFonts w:hint="eastAsia" w:ascii="宋体" w:hAnsi="宋体" w:eastAsia="宋体" w:cs="宋体"/>
                <w:color w:val="auto"/>
                <w:sz w:val="21"/>
                <w:szCs w:val="21"/>
                <w:highlight w:val="none"/>
                <w:u w:val="single"/>
              </w:rPr>
              <w:t xml:space="preserve">    </w:t>
            </w:r>
            <w:permEnd w:id="12"/>
            <w:r>
              <w:rPr>
                <w:rFonts w:hint="eastAsia" w:asciiTheme="minorEastAsia" w:hAnsiTheme="minorEastAsia" w:eastAsiaTheme="minorEastAsia" w:cstheme="minorEastAsia"/>
                <w:b w:val="0"/>
                <w:bCs/>
                <w:color w:val="auto"/>
                <w:sz w:val="21"/>
                <w:szCs w:val="21"/>
                <w:highlight w:val="none"/>
              </w:rPr>
              <w:t>月</w:t>
            </w:r>
            <w:permStart w:id="13" w:edGrp="everyone"/>
            <w:r>
              <w:rPr>
                <w:rFonts w:hint="eastAsia" w:ascii="宋体" w:hAnsi="宋体" w:eastAsia="宋体" w:cs="宋体"/>
                <w:color w:val="auto"/>
                <w:sz w:val="21"/>
                <w:szCs w:val="21"/>
                <w:highlight w:val="none"/>
                <w:u w:val="single"/>
              </w:rPr>
              <w:t xml:space="preserve">    </w:t>
            </w:r>
            <w:permEnd w:id="13"/>
            <w:r>
              <w:rPr>
                <w:rFonts w:hint="eastAsia" w:asciiTheme="minorEastAsia" w:hAnsiTheme="minorEastAsia" w:eastAsiaTheme="minorEastAsia" w:cstheme="minorEastAsia"/>
                <w:b w:val="0"/>
                <w:bCs/>
                <w:color w:val="auto"/>
                <w:sz w:val="21"/>
                <w:szCs w:val="21"/>
                <w:highlight w:val="none"/>
              </w:rPr>
              <w:t>日，总日历天数</w:t>
            </w:r>
            <w:permStart w:id="14" w:edGrp="everyone"/>
            <w:r>
              <w:rPr>
                <w:rFonts w:hint="eastAsia" w:ascii="宋体" w:hAnsi="宋体" w:eastAsia="宋体" w:cs="宋体"/>
                <w:color w:val="auto"/>
                <w:sz w:val="21"/>
                <w:szCs w:val="21"/>
                <w:highlight w:val="none"/>
                <w:u w:val="single"/>
              </w:rPr>
              <w:t xml:space="preserve">    </w:t>
            </w:r>
            <w:permEnd w:id="14"/>
            <w:r>
              <w:rPr>
                <w:rFonts w:hint="eastAsia" w:asciiTheme="minorEastAsia" w:hAnsiTheme="minorEastAsia" w:eastAsiaTheme="minorEastAsia" w:cstheme="minorEastAsia"/>
                <w:b w:val="0"/>
                <w:bCs/>
                <w:color w:val="auto"/>
                <w:sz w:val="21"/>
                <w:szCs w:val="21"/>
                <w:highlight w:val="none"/>
              </w:rPr>
              <w:t>天。实际开工日期以发包人和监理发布的开工日期为准，相应竣工日期根据实际开工日期相应顺延。</w:t>
            </w:r>
          </w:p>
          <w:p>
            <w:pPr>
              <w:keepNext w:val="0"/>
              <w:keepLines w:val="0"/>
              <w:pageBreakBefore w:val="0"/>
              <w:widowControl w:val="0"/>
              <w:tabs>
                <w:tab w:val="left" w:pos="0"/>
              </w:tabs>
              <w:kinsoku/>
              <w:wordWrap/>
              <w:overflowPunct/>
              <w:topLinePunct w:val="0"/>
              <w:autoSpaceDE/>
              <w:autoSpaceDN/>
              <w:bidi w:val="0"/>
              <w:snapToGrid/>
              <w:spacing w:line="240" w:lineRule="auto"/>
              <w:ind w:firstLine="0" w:firstLineChars="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lang w:val="en-US" w:eastAsia="zh-CN"/>
              </w:rPr>
              <w:t xml:space="preserve">3.4 </w:t>
            </w:r>
            <w:r>
              <w:rPr>
                <w:rFonts w:hint="eastAsia" w:asciiTheme="minorEastAsia" w:hAnsiTheme="minorEastAsia" w:eastAsiaTheme="minorEastAsia" w:cstheme="minorEastAsia"/>
                <w:b/>
                <w:bCs/>
                <w:color w:val="auto"/>
                <w:sz w:val="21"/>
                <w:szCs w:val="21"/>
                <w:highlight w:val="none"/>
              </w:rPr>
              <w:t>造价控制目标：</w:t>
            </w:r>
            <w:r>
              <w:rPr>
                <w:rFonts w:hint="eastAsia" w:asciiTheme="minorEastAsia" w:hAnsiTheme="minorEastAsia" w:eastAsiaTheme="minorEastAsia" w:cstheme="minorEastAsia"/>
                <w:color w:val="auto"/>
                <w:sz w:val="21"/>
                <w:szCs w:val="21"/>
                <w:highlight w:val="none"/>
              </w:rPr>
              <w:t>坚持造价全过程全面管控，坚持降本增效，合理确定工程造价，确保工程资金需求,依法合规开展建设管理，严格执行工程建设程序，规范资金使用，持续提升工程投资效益，实现项目全寿命周期效益最优。</w:t>
            </w:r>
          </w:p>
          <w:p>
            <w:pPr>
              <w:keepNext w:val="0"/>
              <w:keepLines w:val="0"/>
              <w:pageBreakBefore w:val="0"/>
              <w:widowControl w:val="0"/>
              <w:tabs>
                <w:tab w:val="left" w:pos="0"/>
              </w:tabs>
              <w:kinsoku/>
              <w:wordWrap/>
              <w:overflowPunct/>
              <w:topLinePunct w:val="0"/>
              <w:autoSpaceDE/>
              <w:autoSpaceDN/>
              <w:bidi w:val="0"/>
              <w:snapToGrid/>
              <w:spacing w:line="240" w:lineRule="auto"/>
              <w:ind w:firstLine="0" w:firstLineChars="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rPr>
              <w:t>专项目标</w:t>
            </w:r>
            <w:r>
              <w:rPr>
                <w:rFonts w:hint="eastAsia" w:asciiTheme="minorEastAsia" w:hAnsiTheme="minorEastAsia" w:eastAsiaTheme="minorEastAsia" w:cstheme="minorEastAsia"/>
                <w:color w:val="auto"/>
                <w:sz w:val="21"/>
                <w:szCs w:val="21"/>
                <w:highlight w:val="none"/>
              </w:rPr>
              <w:t>：</w:t>
            </w:r>
          </w:p>
          <w:p>
            <w:pPr>
              <w:keepNext w:val="0"/>
              <w:keepLines w:val="0"/>
              <w:pageBreakBefore w:val="0"/>
              <w:widowControl w:val="0"/>
              <w:tabs>
                <w:tab w:val="left" w:pos="0"/>
              </w:tabs>
              <w:kinsoku/>
              <w:wordWrap/>
              <w:overflowPunct/>
              <w:topLinePunct w:val="0"/>
              <w:autoSpaceDE/>
              <w:autoSpaceDN/>
              <w:bidi w:val="0"/>
              <w:snapToGrid/>
              <w:spacing w:line="240" w:lineRule="auto"/>
              <w:ind w:firstLine="0" w:firstLineChars="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lang w:val="en-US" w:eastAsia="zh-CN"/>
              </w:rPr>
              <w:t>1</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工程</w:t>
            </w:r>
            <w:r>
              <w:rPr>
                <w:rFonts w:hint="eastAsia" w:asciiTheme="minorEastAsia" w:hAnsiTheme="minorEastAsia" w:eastAsiaTheme="minorEastAsia" w:cstheme="minorEastAsia"/>
                <w:color w:val="auto"/>
                <w:sz w:val="21"/>
                <w:szCs w:val="21"/>
                <w:highlight w:val="none"/>
                <w:lang w:val="en-US" w:eastAsia="zh-CN"/>
              </w:rPr>
              <w:t>竣工</w:t>
            </w:r>
            <w:r>
              <w:rPr>
                <w:rFonts w:hint="eastAsia" w:asciiTheme="minorEastAsia" w:hAnsiTheme="minorEastAsia" w:eastAsiaTheme="minorEastAsia" w:cstheme="minorEastAsia"/>
                <w:color w:val="auto"/>
                <w:sz w:val="21"/>
                <w:szCs w:val="21"/>
                <w:highlight w:val="none"/>
              </w:rPr>
              <w:t>投产后，在</w:t>
            </w:r>
            <w:permStart w:id="15" w:edGrp="everyone"/>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3个月（220千伏及以上新建电网工程）/2个半月（220千伏及以上扩建工程和110千伏及以下电网工程）</w:t>
            </w:r>
            <w:r>
              <w:rPr>
                <w:rFonts w:hint="eastAsia" w:ascii="宋体" w:hAnsi="宋体" w:eastAsia="宋体" w:cs="宋体"/>
                <w:color w:val="auto"/>
                <w:sz w:val="21"/>
                <w:szCs w:val="21"/>
                <w:highlight w:val="none"/>
                <w:u w:val="single"/>
              </w:rPr>
              <w:t xml:space="preserve">  </w:t>
            </w:r>
            <w:permEnd w:id="15"/>
            <w:r>
              <w:rPr>
                <w:rFonts w:hint="eastAsia" w:asciiTheme="minorEastAsia" w:hAnsiTheme="minorEastAsia" w:eastAsiaTheme="minorEastAsia" w:cstheme="minorEastAsia"/>
                <w:color w:val="auto"/>
                <w:sz w:val="21"/>
                <w:szCs w:val="21"/>
                <w:highlight w:val="none"/>
              </w:rPr>
              <w:t>内完成合同结算。</w:t>
            </w:r>
          </w:p>
          <w:p>
            <w:pPr>
              <w:keepNext w:val="0"/>
              <w:keepLines w:val="0"/>
              <w:pageBreakBefore w:val="0"/>
              <w:widowControl w:val="0"/>
              <w:tabs>
                <w:tab w:val="left" w:pos="0"/>
              </w:tabs>
              <w:kinsoku/>
              <w:wordWrap/>
              <w:overflowPunct/>
              <w:topLinePunct w:val="0"/>
              <w:autoSpaceDE/>
              <w:autoSpaceDN/>
              <w:bidi w:val="0"/>
              <w:snapToGrid/>
              <w:spacing w:line="240" w:lineRule="auto"/>
              <w:ind w:firstLine="0" w:firstLineChars="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lang w:val="en-US" w:eastAsia="zh-CN"/>
              </w:rPr>
              <w:t>2</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安全文明施工费足额使用，专款专用。</w:t>
            </w:r>
          </w:p>
          <w:p>
            <w:pPr>
              <w:keepNext w:val="0"/>
              <w:keepLines w:val="0"/>
              <w:pageBreakBefore w:val="0"/>
              <w:widowControl w:val="0"/>
              <w:tabs>
                <w:tab w:val="left" w:pos="0"/>
              </w:tabs>
              <w:kinsoku/>
              <w:wordWrap/>
              <w:overflowPunct/>
              <w:topLinePunct w:val="0"/>
              <w:autoSpaceDE/>
              <w:autoSpaceDN/>
              <w:bidi w:val="0"/>
              <w:snapToGrid/>
              <w:spacing w:line="240" w:lineRule="auto"/>
              <w:ind w:firstLine="0" w:firstLineChars="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lang w:val="en-US" w:eastAsia="zh-CN"/>
              </w:rPr>
              <w:t>3</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不发生拖欠农民工工资行为。</w:t>
            </w:r>
          </w:p>
          <w:p>
            <w:pPr>
              <w:pStyle w:val="2"/>
              <w:keepNext w:val="0"/>
              <w:keepLines w:val="0"/>
              <w:pageBreakBefore w:val="0"/>
              <w:widowControl w:val="0"/>
              <w:kinsoku/>
              <w:wordWrap/>
              <w:overflowPunct/>
              <w:topLinePunct w:val="0"/>
              <w:autoSpaceDE/>
              <w:autoSpaceDN/>
              <w:bidi w:val="0"/>
              <w:snapToGrid/>
              <w:spacing w:after="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lang w:val="en-US" w:eastAsia="zh-CN"/>
              </w:rPr>
              <w:t>3.6</w:t>
            </w:r>
            <w:r>
              <w:rPr>
                <w:rFonts w:hint="eastAsia" w:asciiTheme="minorEastAsia" w:hAnsiTheme="minorEastAsia" w:eastAsiaTheme="minorEastAsia" w:cstheme="minorEastAsia"/>
                <w:b/>
                <w:bCs/>
                <w:color w:val="auto"/>
                <w:sz w:val="21"/>
                <w:szCs w:val="21"/>
                <w:highlight w:val="none"/>
              </w:rPr>
              <w:t>环境保护与水土保持总体目标</w:t>
            </w:r>
            <w:r>
              <w:rPr>
                <w:rFonts w:hint="eastAsia" w:asciiTheme="minorEastAsia" w:hAnsiTheme="minorEastAsia" w:eastAsiaTheme="minorEastAsia" w:cstheme="minorEastAsia"/>
                <w:b/>
                <w:bCs/>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全面落实国家法律法规及本工程环境保护、水土保持批复文件要求，践行绿色发展理念，建设资源节约型、环境友好型的绿色和谐工程。施工全过程严格管控生态环境影响，最大限度减少水土流失，确保工程质量与生态保护协同推进。</w:t>
            </w:r>
          </w:p>
          <w:p>
            <w:pPr>
              <w:pStyle w:val="2"/>
              <w:keepNext w:val="0"/>
              <w:keepLines w:val="0"/>
              <w:pageBreakBefore w:val="0"/>
              <w:widowControl w:val="0"/>
              <w:kinsoku/>
              <w:wordWrap/>
              <w:overflowPunct/>
              <w:topLinePunct w:val="0"/>
              <w:autoSpaceDE/>
              <w:autoSpaceDN/>
              <w:bidi w:val="0"/>
              <w:snapToGrid/>
              <w:spacing w:after="0" w:line="24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lang w:val="en-US" w:eastAsia="zh-CN"/>
              </w:rPr>
              <w:t>专项</w:t>
            </w:r>
            <w:r>
              <w:rPr>
                <w:rFonts w:hint="eastAsia" w:asciiTheme="minorEastAsia" w:hAnsiTheme="minorEastAsia" w:eastAsiaTheme="minorEastAsia" w:cstheme="minorEastAsia"/>
                <w:b/>
                <w:bCs/>
                <w:color w:val="auto"/>
                <w:sz w:val="21"/>
                <w:szCs w:val="21"/>
                <w:highlight w:val="none"/>
              </w:rPr>
              <w:t>目标：</w:t>
            </w:r>
          </w:p>
          <w:p>
            <w:pPr>
              <w:pStyle w:val="2"/>
              <w:keepNext w:val="0"/>
              <w:keepLines w:val="0"/>
              <w:pageBreakBefore w:val="0"/>
              <w:widowControl w:val="0"/>
              <w:kinsoku/>
              <w:wordWrap/>
              <w:overflowPunct/>
              <w:topLinePunct w:val="0"/>
              <w:autoSpaceDE/>
              <w:autoSpaceDN/>
              <w:bidi w:val="0"/>
              <w:snapToGrid/>
              <w:spacing w:after="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lang w:val="en-US" w:eastAsia="zh-CN"/>
              </w:rPr>
              <w:t>1</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严格执行环境保护、水土保持设施与主体工程同时设计、同时施工、同时投产使用。</w:t>
            </w:r>
          </w:p>
          <w:p>
            <w:pPr>
              <w:pStyle w:val="2"/>
              <w:keepNext w:val="0"/>
              <w:keepLines w:val="0"/>
              <w:pageBreakBefore w:val="0"/>
              <w:widowControl w:val="0"/>
              <w:kinsoku/>
              <w:wordWrap/>
              <w:overflowPunct/>
              <w:topLinePunct w:val="0"/>
              <w:autoSpaceDE/>
              <w:autoSpaceDN/>
              <w:bidi w:val="0"/>
              <w:snapToGrid/>
              <w:spacing w:after="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lang w:val="en-US" w:eastAsia="zh-CN"/>
              </w:rPr>
              <w:t>2</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现场环保、水保措施与环保、水保专项设计文件、批复方案内容一致，严禁擅自变更或降低实施标准。</w:t>
            </w:r>
          </w:p>
          <w:p>
            <w:pPr>
              <w:pStyle w:val="2"/>
              <w:keepNext w:val="0"/>
              <w:keepLines w:val="0"/>
              <w:pageBreakBefore w:val="0"/>
              <w:widowControl w:val="0"/>
              <w:kinsoku/>
              <w:wordWrap/>
              <w:overflowPunct/>
              <w:topLinePunct w:val="0"/>
              <w:autoSpaceDE/>
              <w:autoSpaceDN/>
              <w:bidi w:val="0"/>
              <w:snapToGrid/>
              <w:spacing w:after="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lang w:val="en-US" w:eastAsia="zh-CN"/>
              </w:rPr>
              <w:t>3</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主体工程试运行一年内通过环境保护、水土保持设施专项验收，验收结论需达到合格及以上标准。</w:t>
            </w:r>
          </w:p>
          <w:p>
            <w:pPr>
              <w:pStyle w:val="2"/>
              <w:keepNext w:val="0"/>
              <w:keepLines w:val="0"/>
              <w:pageBreakBefore w:val="0"/>
              <w:widowControl w:val="0"/>
              <w:kinsoku/>
              <w:wordWrap/>
              <w:overflowPunct/>
              <w:topLinePunct w:val="0"/>
              <w:autoSpaceDE/>
              <w:autoSpaceDN/>
              <w:bidi w:val="0"/>
              <w:snapToGrid/>
              <w:spacing w:after="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lang w:val="en-US" w:eastAsia="zh-CN"/>
              </w:rPr>
              <w:t>4</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杜绝发生因</w:t>
            </w:r>
            <w:r>
              <w:rPr>
                <w:rFonts w:hint="eastAsia" w:asciiTheme="minorEastAsia" w:hAnsiTheme="minorEastAsia" w:eastAsiaTheme="minorEastAsia" w:cstheme="minorEastAsia"/>
                <w:color w:val="auto"/>
                <w:sz w:val="21"/>
                <w:szCs w:val="21"/>
                <w:highlight w:val="none"/>
                <w:lang w:val="en-US" w:eastAsia="zh-CN"/>
              </w:rPr>
              <w:t>承包人</w:t>
            </w:r>
            <w:r>
              <w:rPr>
                <w:rFonts w:hint="eastAsia" w:asciiTheme="minorEastAsia" w:hAnsiTheme="minorEastAsia" w:eastAsiaTheme="minorEastAsia" w:cstheme="minorEastAsia"/>
                <w:color w:val="auto"/>
                <w:sz w:val="21"/>
                <w:szCs w:val="21"/>
                <w:highlight w:val="none"/>
              </w:rPr>
              <w:t>施工问题导致建设单位被行政主管部门通报批评、行政处罚或信用惩戒的情形。</w:t>
            </w:r>
          </w:p>
          <w:p>
            <w:pPr>
              <w:pStyle w:val="3"/>
              <w:keepNext w:val="0"/>
              <w:keepLines w:val="0"/>
              <w:pageBreakBefore w:val="0"/>
              <w:widowControl w:val="0"/>
              <w:kinsoku/>
              <w:wordWrap/>
              <w:overflowPunct/>
              <w:topLinePunct w:val="0"/>
              <w:autoSpaceDE/>
              <w:autoSpaceDN/>
              <w:bidi w:val="0"/>
              <w:snapToGrid/>
              <w:spacing w:before="0" w:after="0" w:line="240" w:lineRule="auto"/>
              <w:jc w:val="both"/>
              <w:rPr>
                <w:rFonts w:hint="eastAsia"/>
                <w:color w:val="auto"/>
                <w:highlight w:val="none"/>
              </w:rPr>
            </w:pPr>
            <w:r>
              <w:rPr>
                <w:rFonts w:hint="eastAsia" w:asciiTheme="minorEastAsia" w:hAnsiTheme="minorEastAsia" w:eastAsiaTheme="minorEastAsia" w:cstheme="minorEastAsia"/>
                <w:color w:val="auto"/>
                <w:sz w:val="21"/>
                <w:szCs w:val="21"/>
                <w:highlight w:val="none"/>
                <w:lang w:val="en-US" w:eastAsia="zh-CN"/>
              </w:rPr>
              <w:t xml:space="preserve">3.7 </w:t>
            </w:r>
            <w:r>
              <w:rPr>
                <w:rFonts w:hint="eastAsia" w:asciiTheme="minorEastAsia" w:hAnsiTheme="minorEastAsia" w:eastAsiaTheme="minorEastAsia" w:cstheme="minorEastAsia"/>
                <w:color w:val="auto"/>
                <w:sz w:val="21"/>
                <w:szCs w:val="21"/>
                <w:highlight w:val="none"/>
              </w:rPr>
              <w:t>档案管理目标：</w:t>
            </w:r>
            <w:r>
              <w:rPr>
                <w:rFonts w:hint="eastAsia" w:asciiTheme="minorEastAsia" w:hAnsiTheme="minorEastAsia" w:eastAsiaTheme="minorEastAsia" w:cstheme="minorEastAsia"/>
                <w:b w:val="0"/>
                <w:bCs/>
                <w:color w:val="auto"/>
                <w:sz w:val="21"/>
                <w:szCs w:val="21"/>
                <w:highlight w:val="none"/>
              </w:rPr>
              <w:t>工程档案工作与工程建设同步完成，建设过程实现分阶段预立卷，档案完整、真实、规范、安全，工程整体投运后3个月内完成移交，按规定通过建设单位档案专项验收。</w:t>
            </w:r>
          </w:p>
        </w:tc>
        <w:tc>
          <w:tcPr>
            <w:tcW w:w="687" w:type="dxa"/>
            <w:noWrap w:val="0"/>
            <w:vAlign w:val="center"/>
          </w:tcPr>
          <w:p>
            <w:pPr>
              <w:keepNext w:val="0"/>
              <w:keepLines w:val="0"/>
              <w:pageBreakBefore w:val="0"/>
              <w:widowControl/>
              <w:kinsoku/>
              <w:wordWrap/>
              <w:overflowPunct/>
              <w:topLinePunct w:val="0"/>
              <w:bidi w:val="0"/>
              <w:spacing w:line="240" w:lineRule="auto"/>
              <w:ind w:firstLine="0" w:firstLineChars="0"/>
              <w:jc w:val="left"/>
              <w:textAlignment w:val="auto"/>
              <w:rPr>
                <w:rFonts w:hint="eastAsia" w:ascii="宋体" w:hAnsi="宋体" w:eastAsia="宋体" w:cs="宋体"/>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82" w:type="dxa"/>
            <w:noWrap w:val="0"/>
            <w:vAlign w:val="center"/>
          </w:tcPr>
          <w:p>
            <w:pPr>
              <w:pStyle w:val="15"/>
              <w:keepNext w:val="0"/>
              <w:keepLines w:val="0"/>
              <w:pageBreakBefore w:val="0"/>
              <w:numPr>
                <w:ilvl w:val="0"/>
                <w:numId w:val="1"/>
              </w:numPr>
              <w:kinsoku/>
              <w:wordWrap/>
              <w:overflowPunct/>
              <w:topLinePunct w:val="0"/>
              <w:autoSpaceDE/>
              <w:autoSpaceDN/>
              <w:bidi w:val="0"/>
              <w:adjustRightInd w:val="0"/>
              <w:snapToGrid w:val="0"/>
              <w:spacing w:line="240" w:lineRule="auto"/>
              <w:ind w:left="0" w:firstLine="0" w:firstLineChars="0"/>
              <w:jc w:val="center"/>
              <w:textAlignment w:val="auto"/>
              <w:rPr>
                <w:rFonts w:hint="eastAsia" w:ascii="宋体" w:hAnsi="宋体" w:eastAsia="宋体" w:cs="宋体"/>
                <w:color w:val="auto"/>
                <w:kern w:val="0"/>
                <w:sz w:val="21"/>
                <w:szCs w:val="21"/>
                <w:highlight w:val="none"/>
              </w:rPr>
            </w:pPr>
          </w:p>
        </w:tc>
        <w:tc>
          <w:tcPr>
            <w:tcW w:w="1108" w:type="dxa"/>
            <w:noWrap w:val="0"/>
            <w:vAlign w:val="center"/>
          </w:tcPr>
          <w:p>
            <w:pPr>
              <w:pStyle w:val="15"/>
              <w:keepNext w:val="0"/>
              <w:keepLines w:val="0"/>
              <w:pageBreakBefore w:val="0"/>
              <w:numPr>
                <w:ilvl w:val="0"/>
                <w:numId w:val="0"/>
              </w:numPr>
              <w:kinsoku/>
              <w:wordWrap/>
              <w:overflowPunct/>
              <w:topLinePunct w:val="0"/>
              <w:bidi w:val="0"/>
              <w:spacing w:line="240" w:lineRule="auto"/>
              <w:ind w:leftChars="0" w:firstLine="0" w:firstLineChars="0"/>
              <w:textAlignment w:val="auto"/>
              <w:rPr>
                <w:rFonts w:hint="eastAsia" w:ascii="宋体" w:hAnsi="宋体" w:eastAsia="宋体" w:cs="宋体"/>
                <w:color w:val="auto"/>
                <w:kern w:val="0"/>
                <w:sz w:val="21"/>
                <w:szCs w:val="21"/>
                <w:highlight w:val="none"/>
                <w:lang w:val="en-US" w:eastAsia="zh-CN"/>
              </w:rPr>
            </w:pPr>
            <w:r>
              <w:rPr>
                <w:rFonts w:hint="eastAsia" w:ascii="宋体" w:hAnsi="宋体" w:cs="宋体"/>
                <w:color w:val="auto"/>
                <w:kern w:val="0"/>
                <w:sz w:val="21"/>
                <w:szCs w:val="21"/>
                <w:highlight w:val="none"/>
                <w:lang w:val="en-US" w:eastAsia="zh-CN"/>
              </w:rPr>
              <w:t>修改</w:t>
            </w:r>
          </w:p>
        </w:tc>
        <w:tc>
          <w:tcPr>
            <w:tcW w:w="1262" w:type="dxa"/>
            <w:noWrap w:val="0"/>
            <w:vAlign w:val="center"/>
          </w:tcPr>
          <w:p>
            <w:pPr>
              <w:pStyle w:val="15"/>
              <w:keepNext w:val="0"/>
              <w:keepLines w:val="0"/>
              <w:pageBreakBefore w:val="0"/>
              <w:numPr>
                <w:ilvl w:val="0"/>
                <w:numId w:val="0"/>
              </w:numPr>
              <w:kinsoku/>
              <w:wordWrap/>
              <w:overflowPunct/>
              <w:topLinePunct w:val="0"/>
              <w:bidi w:val="0"/>
              <w:spacing w:line="240" w:lineRule="auto"/>
              <w:ind w:leftChars="0" w:firstLine="0" w:firstLineChars="0"/>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合同协议书</w:t>
            </w:r>
          </w:p>
          <w:p>
            <w:pPr>
              <w:pStyle w:val="15"/>
              <w:keepNext w:val="0"/>
              <w:keepLines w:val="0"/>
              <w:pageBreakBefore w:val="0"/>
              <w:numPr>
                <w:ilvl w:val="0"/>
                <w:numId w:val="0"/>
              </w:numPr>
              <w:kinsoku/>
              <w:wordWrap/>
              <w:overflowPunct/>
              <w:topLinePunct w:val="0"/>
              <w:bidi w:val="0"/>
              <w:spacing w:line="240" w:lineRule="auto"/>
              <w:ind w:leftChars="0" w:firstLine="0" w:firstLineChars="0"/>
              <w:textAlignment w:val="auto"/>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rPr>
              <w:t>6.1款</w:t>
            </w:r>
          </w:p>
        </w:tc>
        <w:tc>
          <w:tcPr>
            <w:tcW w:w="5760" w:type="dxa"/>
            <w:noWrap w:val="0"/>
            <w:vAlign w:val="center"/>
          </w:tcPr>
          <w:p>
            <w:pPr>
              <w:pStyle w:val="6"/>
              <w:keepNext w:val="0"/>
              <w:keepLines w:val="0"/>
              <w:pageBreakBefore w:val="0"/>
              <w:kinsoku/>
              <w:wordWrap/>
              <w:overflowPunct/>
              <w:topLinePunct w:val="0"/>
              <w:bidi w:val="0"/>
              <w:spacing w:after="0" w:line="240" w:lineRule="auto"/>
              <w:ind w:left="0" w:leftChars="0" w:firstLine="0" w:firstLineChars="0"/>
              <w:jc w:val="left"/>
              <w:textAlignment w:val="auto"/>
              <w:rPr>
                <w:rFonts w:hint="eastAsia" w:ascii="宋体" w:hAnsi="宋体" w:eastAsia="宋体" w:cs="宋体"/>
                <w:snapToGrid w:val="0"/>
                <w:color w:val="auto"/>
                <w:sz w:val="21"/>
                <w:szCs w:val="21"/>
                <w:highlight w:val="none"/>
              </w:rPr>
            </w:pPr>
            <w:r>
              <w:rPr>
                <w:rFonts w:hint="eastAsia" w:ascii="宋体" w:hAnsi="宋体" w:eastAsia="宋体" w:cs="宋体"/>
                <w:color w:val="auto"/>
                <w:sz w:val="21"/>
                <w:szCs w:val="21"/>
                <w:highlight w:val="none"/>
              </w:rPr>
              <w:t>6.1 合同总价为人民币（大写）</w:t>
            </w:r>
            <w:sdt>
              <w:sdtPr>
                <w:rPr>
                  <w:rFonts w:hint="eastAsia" w:ascii="宋体" w:hAnsi="宋体" w:eastAsia="宋体" w:cs="宋体"/>
                  <w:color w:val="auto"/>
                  <w:kern w:val="2"/>
                  <w:sz w:val="21"/>
                  <w:szCs w:val="21"/>
                  <w:highlight w:val="none"/>
                  <w:lang w:val="en-US" w:eastAsia="zh-CN" w:bidi="ar-SA"/>
                </w:rPr>
                <w:alias w:val="合同大写金额"/>
                <w:tag w:val="合同大写金额"/>
                <w:id w:val="147476945"/>
                <w:placeholder>
                  <w:docPart w:val="{533cbf3f-df39-4bb6-aa29-3a08867e0a49}"/>
                </w:placeholder>
              </w:sdtPr>
              <w:sdtEndPr>
                <w:rPr>
                  <w:rFonts w:hint="eastAsia" w:ascii="宋体" w:hAnsi="宋体" w:eastAsia="宋体" w:cs="宋体"/>
                  <w:color w:val="auto"/>
                  <w:kern w:val="2"/>
                  <w:sz w:val="21"/>
                  <w:szCs w:val="21"/>
                  <w:highlight w:val="none"/>
                  <w:u w:val="single"/>
                  <w:lang w:val="en-US" w:eastAsia="zh-CN" w:bidi="ar-SA"/>
                </w:rPr>
              </w:sdtEndPr>
              <w:sdtContent>
                <w:permStart w:id="16" w:edGrp="everyone"/>
                <w:r>
                  <w:rPr>
                    <w:rFonts w:hint="eastAsia" w:ascii="宋体" w:hAnsi="宋体" w:eastAsia="宋体" w:cs="宋体"/>
                    <w:color w:val="auto"/>
                    <w:sz w:val="21"/>
                    <w:szCs w:val="21"/>
                    <w:highlight w:val="none"/>
                    <w:u w:val="single"/>
                  </w:rPr>
                  <w:t xml:space="preserve">        </w:t>
                </w:r>
              </w:sdtContent>
            </w:sdt>
            <w:r>
              <w:rPr>
                <w:rFonts w:hint="eastAsia" w:ascii="宋体" w:hAnsi="宋体" w:eastAsia="宋体" w:cs="宋体"/>
                <w:color w:val="auto"/>
                <w:sz w:val="21"/>
                <w:szCs w:val="21"/>
                <w:highlight w:val="none"/>
                <w:u w:val="single"/>
              </w:rPr>
              <w:t xml:space="preserve"> </w:t>
            </w:r>
            <w:permEnd w:id="16"/>
            <w:r>
              <w:rPr>
                <w:rFonts w:hint="eastAsia" w:ascii="宋体" w:hAnsi="宋体" w:eastAsia="宋体" w:cs="宋体"/>
                <w:color w:val="auto"/>
                <w:sz w:val="21"/>
                <w:szCs w:val="21"/>
                <w:highlight w:val="none"/>
              </w:rPr>
              <w:t>（¥</w:t>
            </w:r>
            <w:permStart w:id="17" w:edGrp="everyone"/>
            <w:r>
              <w:rPr>
                <w:rFonts w:hint="eastAsia" w:ascii="宋体" w:hAnsi="宋体" w:eastAsia="宋体" w:cs="宋体"/>
                <w:color w:val="auto"/>
                <w:sz w:val="21"/>
                <w:szCs w:val="21"/>
                <w:highlight w:val="none"/>
                <w:u w:val="single"/>
              </w:rPr>
              <w:t xml:space="preserve"> </w:t>
            </w:r>
            <w:sdt>
              <w:sdtPr>
                <w:rPr>
                  <w:rFonts w:hint="eastAsia" w:ascii="宋体" w:hAnsi="宋体" w:eastAsia="宋体" w:cs="宋体"/>
                  <w:color w:val="auto"/>
                  <w:kern w:val="2"/>
                  <w:sz w:val="21"/>
                  <w:szCs w:val="21"/>
                  <w:highlight w:val="none"/>
                  <w:u w:val="single"/>
                  <w:lang w:val="en-US" w:eastAsia="zh-CN" w:bidi="ar-SA"/>
                </w:rPr>
                <w:alias w:val="合同金额"/>
                <w:tag w:val="合同金额"/>
                <w:id w:val="147476867"/>
                <w:placeholder>
                  <w:docPart w:val="{56211416-3887-48ef-870a-44a8fe3b3415}"/>
                </w:placeholder>
              </w:sdtPr>
              <w:sdtEndPr>
                <w:rPr>
                  <w:rFonts w:hint="eastAsia" w:ascii="宋体" w:hAnsi="宋体" w:eastAsia="宋体" w:cs="宋体"/>
                  <w:color w:val="auto"/>
                  <w:kern w:val="2"/>
                  <w:sz w:val="21"/>
                  <w:szCs w:val="21"/>
                  <w:highlight w:val="none"/>
                  <w:u w:val="single"/>
                  <w:lang w:val="en-US" w:eastAsia="zh-CN" w:bidi="ar-SA"/>
                </w:rPr>
              </w:sdtEndPr>
              <w:sdtContent>
                <w:r>
                  <w:rPr>
                    <w:rFonts w:hint="eastAsia" w:ascii="宋体" w:hAnsi="宋体" w:eastAsia="宋体" w:cs="宋体"/>
                    <w:color w:val="auto"/>
                    <w:sz w:val="21"/>
                    <w:szCs w:val="21"/>
                    <w:highlight w:val="none"/>
                    <w:u w:val="single"/>
                  </w:rPr>
                  <w:t xml:space="preserve">       </w:t>
                </w:r>
                <w:permEnd w:id="17"/>
              </w:sdtContent>
            </w:sdt>
            <w:r>
              <w:rPr>
                <w:rFonts w:hint="eastAsia" w:ascii="宋体" w:hAnsi="宋体" w:eastAsia="宋体" w:cs="宋体"/>
                <w:color w:val="auto"/>
                <w:sz w:val="21"/>
                <w:szCs w:val="21"/>
                <w:highlight w:val="none"/>
              </w:rPr>
              <w:t>元)</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税率为</w:t>
            </w:r>
            <w:sdt>
              <w:sdtPr>
                <w:rPr>
                  <w:rFonts w:hint="eastAsia" w:ascii="宋体" w:hAnsi="宋体" w:eastAsia="宋体" w:cs="宋体"/>
                  <w:color w:val="auto"/>
                  <w:sz w:val="21"/>
                  <w:szCs w:val="21"/>
                  <w:highlight w:val="none"/>
                  <w:lang w:val="en-US" w:eastAsia="zh-CN"/>
                </w:rPr>
                <w:alias w:val="税率"/>
                <w:tag w:val="税率"/>
                <w:id w:val="43070232"/>
                <w:placeholder>
                  <w:docPart w:val="{fb94bfb1-3a9a-4fc6-b6b7-dd865f5202f7}"/>
                </w:placeholder>
                <w:text/>
              </w:sdtPr>
              <w:sdtEndPr>
                <w:rPr>
                  <w:rFonts w:hint="eastAsia" w:ascii="宋体" w:hAnsi="宋体" w:eastAsia="宋体" w:cs="宋体"/>
                  <w:color w:val="auto"/>
                  <w:sz w:val="21"/>
                  <w:szCs w:val="21"/>
                  <w:highlight w:val="none"/>
                  <w:lang w:val="en-US" w:eastAsia="zh-CN"/>
                </w:rPr>
              </w:sdtEndPr>
              <w:sdtContent>
                <w:permStart w:id="18" w:edGrp="everyone"/>
                <w:r>
                  <w:rPr>
                    <w:rFonts w:hint="eastAsia" w:ascii="宋体" w:hAnsi="宋体" w:eastAsia="宋体" w:cs="宋体"/>
                    <w:color w:val="auto"/>
                    <w:sz w:val="21"/>
                    <w:szCs w:val="21"/>
                    <w:highlight w:val="none"/>
                    <w:lang w:val="en-US" w:eastAsia="zh-CN"/>
                  </w:rPr>
                  <w:t xml:space="preserve">    </w:t>
                </w:r>
              </w:sdtContent>
            </w:sdt>
            <w:r>
              <w:rPr>
                <w:rFonts w:hint="eastAsia" w:ascii="宋体" w:hAnsi="宋体" w:eastAsia="宋体" w:cs="宋体"/>
                <w:color w:val="auto"/>
                <w:sz w:val="21"/>
                <w:szCs w:val="21"/>
                <w:highlight w:val="none"/>
                <w:lang w:val="en-US" w:eastAsia="zh-CN"/>
              </w:rPr>
              <w:t>，其中，不含税价为小写</w:t>
            </w:r>
            <w:sdt>
              <w:sdtPr>
                <w:rPr>
                  <w:rFonts w:hint="eastAsia" w:ascii="宋体" w:hAnsi="宋体" w:eastAsia="宋体" w:cs="宋体"/>
                  <w:color w:val="auto"/>
                  <w:sz w:val="21"/>
                  <w:szCs w:val="21"/>
                  <w:highlight w:val="none"/>
                  <w:lang w:val="en-US" w:eastAsia="zh-CN"/>
                </w:rPr>
                <w:alias w:val="不含税价金额"/>
                <w:tag w:val="不含税价金额"/>
                <w:id w:val="972378763"/>
                <w:placeholder>
                  <w:docPart w:val="{7555f478-a283-4796-a621-18ba55bfb02c}"/>
                </w:placeholder>
                <w:text/>
              </w:sdtPr>
              <w:sdtEndPr>
                <w:rPr>
                  <w:rFonts w:hint="eastAsia" w:ascii="宋体" w:hAnsi="宋体" w:eastAsia="宋体" w:cs="宋体"/>
                  <w:color w:val="auto"/>
                  <w:sz w:val="21"/>
                  <w:szCs w:val="21"/>
                  <w:highlight w:val="none"/>
                  <w:lang w:val="en-US" w:eastAsia="zh-CN"/>
                </w:rPr>
              </w:sdtEndPr>
              <w:sdtContent>
                <w:r>
                  <w:rPr>
                    <w:rFonts w:hint="eastAsia" w:ascii="宋体" w:hAnsi="宋体" w:eastAsia="宋体" w:cs="宋体"/>
                    <w:color w:val="auto"/>
                    <w:sz w:val="21"/>
                    <w:szCs w:val="21"/>
                    <w:highlight w:val="none"/>
                    <w:lang w:val="en-US" w:eastAsia="zh-CN"/>
                  </w:rPr>
                  <w:t xml:space="preserve">     </w:t>
                </w:r>
              </w:sdtContent>
            </w:sdt>
            <w:r>
              <w:rPr>
                <w:rFonts w:hint="eastAsia" w:ascii="宋体" w:hAnsi="宋体" w:eastAsia="宋体" w:cs="宋体"/>
                <w:color w:val="auto"/>
                <w:sz w:val="21"/>
                <w:szCs w:val="21"/>
                <w:highlight w:val="none"/>
                <w:lang w:val="en-US" w:eastAsia="zh-CN"/>
              </w:rPr>
              <w:t>元（大写：</w:t>
            </w:r>
            <w:sdt>
              <w:sdtPr>
                <w:rPr>
                  <w:rFonts w:hint="eastAsia" w:ascii="宋体" w:hAnsi="宋体" w:eastAsia="宋体" w:cs="宋体"/>
                  <w:color w:val="auto"/>
                  <w:sz w:val="21"/>
                  <w:szCs w:val="21"/>
                  <w:highlight w:val="none"/>
                  <w:lang w:val="en-US" w:eastAsia="zh-CN"/>
                </w:rPr>
                <w:alias w:val="不含税价大写金额"/>
                <w:tag w:val="不含税价大写金额"/>
                <w:id w:val="419316071"/>
                <w:placeholder>
                  <w:docPart w:val="{b34834c5-7e4c-45bc-bd78-82eef6b41d2c}"/>
                </w:placeholder>
                <w:text/>
              </w:sdtPr>
              <w:sdtEndPr>
                <w:rPr>
                  <w:rFonts w:hint="eastAsia" w:ascii="宋体" w:hAnsi="宋体" w:eastAsia="宋体" w:cs="宋体"/>
                  <w:color w:val="auto"/>
                  <w:sz w:val="21"/>
                  <w:szCs w:val="21"/>
                  <w:highlight w:val="none"/>
                  <w:lang w:val="en-US" w:eastAsia="zh-CN"/>
                </w:rPr>
              </w:sdtEndPr>
              <w:sdtContent>
                <w:r>
                  <w:rPr>
                    <w:rFonts w:hint="eastAsia" w:ascii="宋体" w:hAnsi="宋体" w:eastAsia="宋体" w:cs="宋体"/>
                    <w:color w:val="auto"/>
                    <w:sz w:val="21"/>
                    <w:szCs w:val="21"/>
                    <w:highlight w:val="none"/>
                    <w:lang w:val="en-US" w:eastAsia="zh-CN"/>
                  </w:rPr>
                  <w:t xml:space="preserve">     </w:t>
                </w:r>
              </w:sdtContent>
            </w:sdt>
            <w:r>
              <w:rPr>
                <w:rFonts w:hint="eastAsia" w:ascii="宋体" w:hAnsi="宋体" w:eastAsia="宋体" w:cs="宋体"/>
                <w:color w:val="auto"/>
                <w:sz w:val="21"/>
                <w:szCs w:val="21"/>
                <w:highlight w:val="none"/>
                <w:lang w:val="en-US" w:eastAsia="zh-CN"/>
              </w:rPr>
              <w:t>），增值税为：小写     元（大写：     ）</w:t>
            </w:r>
            <w:permEnd w:id="18"/>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其中安全文明施工费人民币（大写）</w:t>
            </w:r>
            <w:permStart w:id="19" w:edGrp="everyone"/>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元）</w:t>
            </w:r>
            <w:permEnd w:id="19"/>
            <w:r>
              <w:rPr>
                <w:rFonts w:hint="eastAsia" w:ascii="宋体" w:hAnsi="宋体" w:eastAsia="宋体" w:cs="宋体"/>
                <w:color w:val="auto"/>
                <w:sz w:val="21"/>
                <w:szCs w:val="21"/>
                <w:highlight w:val="none"/>
              </w:rPr>
              <w:t>。</w:t>
            </w:r>
          </w:p>
        </w:tc>
        <w:tc>
          <w:tcPr>
            <w:tcW w:w="5800" w:type="dxa"/>
            <w:noWrap w:val="0"/>
            <w:vAlign w:val="center"/>
          </w:tcPr>
          <w:p>
            <w:pPr>
              <w:keepNext w:val="0"/>
              <w:keepLines w:val="0"/>
              <w:pageBreakBefore w:val="0"/>
              <w:widowControl w:val="0"/>
              <w:kinsoku/>
              <w:wordWrap/>
              <w:overflowPunct/>
              <w:topLinePunct w:val="0"/>
              <w:autoSpaceDE/>
              <w:autoSpaceDN/>
              <w:bidi w:val="0"/>
              <w:snapToGrid/>
              <w:spacing w:line="240" w:lineRule="auto"/>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替换第6.1款的内容：</w:t>
            </w:r>
          </w:p>
          <w:p>
            <w:pPr>
              <w:keepNext w:val="0"/>
              <w:keepLines w:val="0"/>
              <w:pageBreakBefore w:val="0"/>
              <w:tabs>
                <w:tab w:val="left" w:pos="0"/>
              </w:tabs>
              <w:kinsoku/>
              <w:wordWrap/>
              <w:overflowPunct/>
              <w:topLinePunct w:val="0"/>
              <w:bidi w:val="0"/>
              <w:spacing w:after="120" w:line="240" w:lineRule="auto"/>
              <w:ind w:firstLine="0" w:firstLineChars="0"/>
              <w:textAlignment w:val="auto"/>
              <w:rPr>
                <w:rFonts w:hint="eastAsia" w:ascii="宋体" w:hAnsi="宋体" w:eastAsia="宋体" w:cs="宋体"/>
                <w:snapToGrid w:val="0"/>
                <w:color w:val="auto"/>
                <w:sz w:val="21"/>
                <w:szCs w:val="21"/>
                <w:highlight w:val="none"/>
              </w:rPr>
            </w:pPr>
            <w:r>
              <w:rPr>
                <w:rFonts w:hint="eastAsia" w:ascii="宋体" w:hAnsi="宋体" w:eastAsia="宋体" w:cs="宋体"/>
                <w:color w:val="auto"/>
                <w:sz w:val="21"/>
                <w:szCs w:val="21"/>
                <w:highlight w:val="none"/>
              </w:rPr>
              <w:t>6.1 合同总价为人民币（大写）</w:t>
            </w:r>
            <w:sdt>
              <w:sdtPr>
                <w:rPr>
                  <w:rFonts w:hint="eastAsia" w:ascii="宋体" w:hAnsi="宋体" w:eastAsia="宋体" w:cs="宋体"/>
                  <w:color w:val="auto"/>
                  <w:kern w:val="2"/>
                  <w:sz w:val="21"/>
                  <w:szCs w:val="21"/>
                  <w:highlight w:val="none"/>
                  <w:lang w:val="en-US" w:eastAsia="zh-CN" w:bidi="ar-SA"/>
                </w:rPr>
                <w:alias w:val="合同大写金额"/>
                <w:tag w:val="合同大写金额"/>
                <w:id w:val="147475898"/>
                <w:placeholder>
                  <w:docPart w:val="{25ff9568-4196-4de4-8941-a4985b4ade2e}"/>
                </w:placeholder>
              </w:sdtPr>
              <w:sdtEndPr>
                <w:rPr>
                  <w:rFonts w:hint="eastAsia" w:ascii="宋体" w:hAnsi="宋体" w:eastAsia="宋体" w:cs="宋体"/>
                  <w:color w:val="auto"/>
                  <w:kern w:val="2"/>
                  <w:sz w:val="21"/>
                  <w:szCs w:val="21"/>
                  <w:highlight w:val="none"/>
                  <w:u w:val="single"/>
                  <w:lang w:val="en-US" w:eastAsia="zh-CN" w:bidi="ar-SA"/>
                </w:rPr>
              </w:sdtEndPr>
              <w:sdtContent>
                <w:permStart w:id="20" w:edGrp="everyone"/>
                <w:r>
                  <w:rPr>
                    <w:rFonts w:hint="eastAsia" w:ascii="宋体" w:hAnsi="宋体" w:eastAsia="宋体" w:cs="宋体"/>
                    <w:color w:val="auto"/>
                    <w:sz w:val="21"/>
                    <w:szCs w:val="21"/>
                    <w:highlight w:val="none"/>
                    <w:u w:val="single"/>
                  </w:rPr>
                  <w:t xml:space="preserve">        </w:t>
                </w:r>
              </w:sdtContent>
            </w:sdt>
            <w:r>
              <w:rPr>
                <w:rFonts w:hint="eastAsia" w:ascii="宋体" w:hAnsi="宋体" w:eastAsia="宋体" w:cs="宋体"/>
                <w:color w:val="auto"/>
                <w:sz w:val="21"/>
                <w:szCs w:val="21"/>
                <w:highlight w:val="none"/>
                <w:u w:val="single"/>
              </w:rPr>
              <w:t xml:space="preserve"> </w:t>
            </w:r>
            <w:permEnd w:id="20"/>
            <w:r>
              <w:rPr>
                <w:rFonts w:hint="eastAsia" w:ascii="宋体" w:hAnsi="宋体" w:eastAsia="宋体" w:cs="宋体"/>
                <w:color w:val="auto"/>
                <w:sz w:val="21"/>
                <w:szCs w:val="21"/>
                <w:highlight w:val="none"/>
              </w:rPr>
              <w:t>（¥</w:t>
            </w:r>
            <w:permStart w:id="21" w:edGrp="everyone"/>
            <w:r>
              <w:rPr>
                <w:rFonts w:hint="eastAsia" w:ascii="宋体" w:hAnsi="宋体" w:eastAsia="宋体" w:cs="宋体"/>
                <w:color w:val="auto"/>
                <w:sz w:val="21"/>
                <w:szCs w:val="21"/>
                <w:highlight w:val="none"/>
                <w:u w:val="single"/>
              </w:rPr>
              <w:t xml:space="preserve"> </w:t>
            </w:r>
            <w:sdt>
              <w:sdtPr>
                <w:rPr>
                  <w:rFonts w:hint="eastAsia" w:ascii="宋体" w:hAnsi="宋体" w:eastAsia="宋体" w:cs="宋体"/>
                  <w:color w:val="auto"/>
                  <w:kern w:val="2"/>
                  <w:sz w:val="21"/>
                  <w:szCs w:val="21"/>
                  <w:highlight w:val="none"/>
                  <w:u w:val="single"/>
                  <w:lang w:val="en-US" w:eastAsia="zh-CN" w:bidi="ar-SA"/>
                </w:rPr>
                <w:alias w:val="合同金额"/>
                <w:tag w:val="合同金额"/>
                <w:id w:val="147474632"/>
                <w:placeholder>
                  <w:docPart w:val="{513011ff-186c-4f9c-b353-41e961401698}"/>
                </w:placeholder>
              </w:sdtPr>
              <w:sdtEndPr>
                <w:rPr>
                  <w:rFonts w:hint="eastAsia" w:ascii="宋体" w:hAnsi="宋体" w:eastAsia="宋体" w:cs="宋体"/>
                  <w:color w:val="auto"/>
                  <w:kern w:val="2"/>
                  <w:sz w:val="21"/>
                  <w:szCs w:val="21"/>
                  <w:highlight w:val="none"/>
                  <w:u w:val="single"/>
                  <w:lang w:val="en-US" w:eastAsia="zh-CN" w:bidi="ar-SA"/>
                </w:rPr>
              </w:sdtEndPr>
              <w:sdtContent>
                <w:r>
                  <w:rPr>
                    <w:rFonts w:hint="eastAsia" w:ascii="宋体" w:hAnsi="宋体" w:eastAsia="宋体" w:cs="宋体"/>
                    <w:color w:val="auto"/>
                    <w:sz w:val="21"/>
                    <w:szCs w:val="21"/>
                    <w:highlight w:val="none"/>
                    <w:u w:val="single"/>
                  </w:rPr>
                  <w:t xml:space="preserve">       </w:t>
                </w:r>
                <w:permEnd w:id="21"/>
              </w:sdtContent>
            </w:sdt>
            <w:r>
              <w:rPr>
                <w:rFonts w:hint="eastAsia" w:ascii="宋体" w:hAnsi="宋体" w:eastAsia="宋体" w:cs="宋体"/>
                <w:color w:val="auto"/>
                <w:sz w:val="21"/>
                <w:szCs w:val="21"/>
                <w:highlight w:val="none"/>
              </w:rPr>
              <w:t>元)（含税），</w:t>
            </w:r>
            <w:r>
              <w:rPr>
                <w:rFonts w:hint="eastAsia" w:ascii="宋体" w:hAnsi="宋体" w:eastAsia="宋体" w:cs="宋体"/>
                <w:color w:val="auto"/>
                <w:sz w:val="21"/>
                <w:szCs w:val="21"/>
                <w:highlight w:val="none"/>
                <w:lang w:val="en-US" w:eastAsia="zh-CN"/>
              </w:rPr>
              <w:t>税率为</w:t>
            </w:r>
            <w:sdt>
              <w:sdtPr>
                <w:rPr>
                  <w:rFonts w:hint="eastAsia" w:ascii="宋体" w:hAnsi="宋体" w:eastAsia="宋体" w:cs="宋体"/>
                  <w:color w:val="auto"/>
                  <w:sz w:val="21"/>
                  <w:szCs w:val="21"/>
                  <w:highlight w:val="none"/>
                  <w:lang w:val="en-US" w:eastAsia="zh-CN"/>
                </w:rPr>
                <w:alias w:val="税率"/>
                <w:tag w:val="税率"/>
                <w:id w:val="147463771"/>
                <w:placeholder>
                  <w:docPart w:val="{4bd1da2f-527f-4c0f-9a30-8f1eed7c80f8}"/>
                </w:placeholder>
                <w:text/>
              </w:sdtPr>
              <w:sdtEndPr>
                <w:rPr>
                  <w:rFonts w:hint="eastAsia" w:ascii="宋体" w:hAnsi="宋体" w:eastAsia="宋体" w:cs="宋体"/>
                  <w:color w:val="auto"/>
                  <w:sz w:val="21"/>
                  <w:szCs w:val="21"/>
                  <w:highlight w:val="none"/>
                  <w:lang w:val="en-US" w:eastAsia="zh-CN"/>
                </w:rPr>
              </w:sdtEndPr>
              <w:sdtContent>
                <w:permStart w:id="22" w:edGrp="everyone"/>
                <w:r>
                  <w:rPr>
                    <w:rFonts w:hint="eastAsia" w:ascii="宋体" w:hAnsi="宋体" w:eastAsia="宋体" w:cs="宋体"/>
                    <w:color w:val="auto"/>
                    <w:sz w:val="21"/>
                    <w:szCs w:val="21"/>
                    <w:highlight w:val="none"/>
                    <w:lang w:val="en-US" w:eastAsia="zh-CN"/>
                  </w:rPr>
                  <w:t xml:space="preserve">    </w:t>
                </w:r>
              </w:sdtContent>
            </w:sdt>
            <w:r>
              <w:rPr>
                <w:rFonts w:hint="eastAsia" w:ascii="宋体" w:hAnsi="宋体" w:eastAsia="宋体" w:cs="宋体"/>
                <w:color w:val="auto"/>
                <w:sz w:val="21"/>
                <w:szCs w:val="21"/>
                <w:highlight w:val="none"/>
                <w:lang w:val="en-US" w:eastAsia="zh-CN"/>
              </w:rPr>
              <w:t>，其中，不含税价为小写</w:t>
            </w:r>
            <w:sdt>
              <w:sdtPr>
                <w:rPr>
                  <w:rFonts w:hint="eastAsia" w:ascii="宋体" w:hAnsi="宋体" w:eastAsia="宋体" w:cs="宋体"/>
                  <w:color w:val="auto"/>
                  <w:sz w:val="21"/>
                  <w:szCs w:val="21"/>
                  <w:highlight w:val="none"/>
                  <w:lang w:val="en-US" w:eastAsia="zh-CN"/>
                </w:rPr>
                <w:alias w:val="不含税价金额"/>
                <w:tag w:val="不含税价金额"/>
                <w:id w:val="147482749"/>
                <w:placeholder>
                  <w:docPart w:val="{99342e3d-0fa7-4e40-b308-1f3bfa5dd507}"/>
                </w:placeholder>
                <w:text/>
              </w:sdtPr>
              <w:sdtEndPr>
                <w:rPr>
                  <w:rFonts w:hint="eastAsia" w:ascii="宋体" w:hAnsi="宋体" w:eastAsia="宋体" w:cs="宋体"/>
                  <w:color w:val="auto"/>
                  <w:sz w:val="21"/>
                  <w:szCs w:val="21"/>
                  <w:highlight w:val="none"/>
                  <w:lang w:val="en-US" w:eastAsia="zh-CN"/>
                </w:rPr>
              </w:sdtEndPr>
              <w:sdtContent>
                <w:r>
                  <w:rPr>
                    <w:rFonts w:hint="eastAsia" w:ascii="宋体" w:hAnsi="宋体" w:eastAsia="宋体" w:cs="宋体"/>
                    <w:color w:val="auto"/>
                    <w:sz w:val="21"/>
                    <w:szCs w:val="21"/>
                    <w:highlight w:val="none"/>
                    <w:lang w:val="en-US" w:eastAsia="zh-CN"/>
                  </w:rPr>
                  <w:t xml:space="preserve">     </w:t>
                </w:r>
              </w:sdtContent>
            </w:sdt>
            <w:r>
              <w:rPr>
                <w:rFonts w:hint="eastAsia" w:ascii="宋体" w:hAnsi="宋体" w:eastAsia="宋体" w:cs="宋体"/>
                <w:color w:val="auto"/>
                <w:sz w:val="21"/>
                <w:szCs w:val="21"/>
                <w:highlight w:val="none"/>
                <w:lang w:val="en-US" w:eastAsia="zh-CN"/>
              </w:rPr>
              <w:t>元（大写：</w:t>
            </w:r>
            <w:sdt>
              <w:sdtPr>
                <w:rPr>
                  <w:rFonts w:hint="eastAsia" w:ascii="宋体" w:hAnsi="宋体" w:eastAsia="宋体" w:cs="宋体"/>
                  <w:color w:val="auto"/>
                  <w:sz w:val="21"/>
                  <w:szCs w:val="21"/>
                  <w:highlight w:val="none"/>
                  <w:lang w:val="en-US" w:eastAsia="zh-CN"/>
                </w:rPr>
                <w:alias w:val="不含税价大写金额"/>
                <w:tag w:val="不含税价大写金额"/>
                <w:id w:val="147459160"/>
                <w:placeholder>
                  <w:docPart w:val="{0fa671e3-dabb-4c43-a6a5-c7f1c1bea88f}"/>
                </w:placeholder>
                <w:text/>
              </w:sdtPr>
              <w:sdtEndPr>
                <w:rPr>
                  <w:rFonts w:hint="eastAsia" w:ascii="宋体" w:hAnsi="宋体" w:eastAsia="宋体" w:cs="宋体"/>
                  <w:color w:val="auto"/>
                  <w:sz w:val="21"/>
                  <w:szCs w:val="21"/>
                  <w:highlight w:val="none"/>
                  <w:lang w:val="en-US" w:eastAsia="zh-CN"/>
                </w:rPr>
              </w:sdtEndPr>
              <w:sdtContent>
                <w:r>
                  <w:rPr>
                    <w:rFonts w:hint="eastAsia" w:ascii="宋体" w:hAnsi="宋体" w:eastAsia="宋体" w:cs="宋体"/>
                    <w:color w:val="auto"/>
                    <w:sz w:val="21"/>
                    <w:szCs w:val="21"/>
                    <w:highlight w:val="none"/>
                    <w:lang w:val="en-US" w:eastAsia="zh-CN"/>
                  </w:rPr>
                  <w:t xml:space="preserve">     </w:t>
                </w:r>
              </w:sdtContent>
            </w:sdt>
            <w:r>
              <w:rPr>
                <w:rFonts w:hint="eastAsia" w:ascii="宋体" w:hAnsi="宋体" w:eastAsia="宋体" w:cs="宋体"/>
                <w:color w:val="auto"/>
                <w:sz w:val="21"/>
                <w:szCs w:val="21"/>
                <w:highlight w:val="none"/>
                <w:lang w:val="en-US" w:eastAsia="zh-CN"/>
              </w:rPr>
              <w:t>），增值税为：小写     元（大写：     ）</w:t>
            </w:r>
            <w:permEnd w:id="22"/>
            <w:r>
              <w:rPr>
                <w:rFonts w:hint="eastAsia" w:ascii="宋体" w:hAnsi="宋体" w:eastAsia="宋体" w:cs="宋体"/>
                <w:color w:val="auto"/>
                <w:sz w:val="21"/>
                <w:szCs w:val="21"/>
                <w:highlight w:val="none"/>
              </w:rPr>
              <w:t>。其中安全文明施工费含税价人民币（大写）</w:t>
            </w:r>
            <w:permStart w:id="23" w:edGrp="everyone"/>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元）</w:t>
            </w:r>
            <w:permEnd w:id="23"/>
            <w:r>
              <w:rPr>
                <w:rFonts w:hint="eastAsia" w:ascii="宋体" w:hAnsi="宋体" w:eastAsia="宋体" w:cs="宋体"/>
                <w:color w:val="auto"/>
                <w:sz w:val="21"/>
                <w:szCs w:val="21"/>
                <w:highlight w:val="none"/>
              </w:rPr>
              <w:t>。当合同约定的税率与国家税法规定及税务机关认定的税率不一致时，以国家税法规定及税务机关认定的税率为准进行调整，调整时以不含税价为基准，执行国家法规规定及税务机关规定的税率。</w:t>
            </w:r>
          </w:p>
        </w:tc>
        <w:tc>
          <w:tcPr>
            <w:tcW w:w="687" w:type="dxa"/>
            <w:noWrap w:val="0"/>
            <w:vAlign w:val="center"/>
          </w:tcPr>
          <w:p>
            <w:pPr>
              <w:keepNext w:val="0"/>
              <w:keepLines w:val="0"/>
              <w:pageBreakBefore w:val="0"/>
              <w:widowControl/>
              <w:kinsoku/>
              <w:wordWrap/>
              <w:overflowPunct/>
              <w:topLinePunct w:val="0"/>
              <w:bidi w:val="0"/>
              <w:spacing w:line="240" w:lineRule="auto"/>
              <w:ind w:firstLine="0" w:firstLineChars="0"/>
              <w:jc w:val="left"/>
              <w:textAlignment w:val="auto"/>
              <w:rPr>
                <w:rFonts w:hint="eastAsia" w:ascii="宋体" w:hAnsi="宋体" w:eastAsia="宋体" w:cs="宋体"/>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82" w:type="dxa"/>
            <w:noWrap w:val="0"/>
            <w:vAlign w:val="center"/>
          </w:tcPr>
          <w:p>
            <w:pPr>
              <w:pStyle w:val="15"/>
              <w:keepNext w:val="0"/>
              <w:keepLines w:val="0"/>
              <w:pageBreakBefore w:val="0"/>
              <w:numPr>
                <w:ilvl w:val="0"/>
                <w:numId w:val="1"/>
              </w:numPr>
              <w:kinsoku/>
              <w:wordWrap/>
              <w:overflowPunct/>
              <w:topLinePunct w:val="0"/>
              <w:autoSpaceDE/>
              <w:autoSpaceDN/>
              <w:bidi w:val="0"/>
              <w:adjustRightInd w:val="0"/>
              <w:snapToGrid w:val="0"/>
              <w:spacing w:line="240" w:lineRule="auto"/>
              <w:ind w:left="0" w:firstLine="0" w:firstLineChars="0"/>
              <w:jc w:val="center"/>
              <w:textAlignment w:val="auto"/>
              <w:rPr>
                <w:rFonts w:hint="eastAsia" w:ascii="宋体" w:hAnsi="宋体" w:eastAsia="宋体" w:cs="宋体"/>
                <w:color w:val="auto"/>
                <w:kern w:val="0"/>
                <w:sz w:val="21"/>
                <w:szCs w:val="21"/>
                <w:highlight w:val="none"/>
              </w:rPr>
            </w:pPr>
          </w:p>
        </w:tc>
        <w:tc>
          <w:tcPr>
            <w:tcW w:w="1108" w:type="dxa"/>
            <w:noWrap w:val="0"/>
            <w:vAlign w:val="center"/>
          </w:tcPr>
          <w:p>
            <w:pPr>
              <w:pStyle w:val="15"/>
              <w:keepNext w:val="0"/>
              <w:keepLines w:val="0"/>
              <w:pageBreakBefore w:val="0"/>
              <w:numPr>
                <w:ilvl w:val="0"/>
                <w:numId w:val="0"/>
              </w:numPr>
              <w:kinsoku/>
              <w:wordWrap/>
              <w:overflowPunct/>
              <w:topLinePunct w:val="0"/>
              <w:bidi w:val="0"/>
              <w:spacing w:line="240" w:lineRule="auto"/>
              <w:ind w:leftChars="0" w:firstLine="0" w:firstLineChars="0"/>
              <w:textAlignment w:val="auto"/>
              <w:rPr>
                <w:rFonts w:hint="default" w:ascii="宋体" w:hAnsi="宋体" w:eastAsia="宋体" w:cs="宋体"/>
                <w:color w:val="auto"/>
                <w:kern w:val="0"/>
                <w:sz w:val="21"/>
                <w:szCs w:val="21"/>
                <w:highlight w:val="none"/>
                <w:lang w:val="en-US" w:eastAsia="zh-CN"/>
              </w:rPr>
            </w:pPr>
            <w:r>
              <w:rPr>
                <w:rFonts w:hint="eastAsia" w:ascii="宋体" w:hAnsi="宋体" w:cs="宋体"/>
                <w:color w:val="auto"/>
                <w:kern w:val="0"/>
                <w:sz w:val="21"/>
                <w:szCs w:val="21"/>
                <w:highlight w:val="none"/>
                <w:lang w:val="en-US" w:eastAsia="zh-CN"/>
              </w:rPr>
              <w:t>修改</w:t>
            </w:r>
          </w:p>
        </w:tc>
        <w:tc>
          <w:tcPr>
            <w:tcW w:w="1262" w:type="dxa"/>
            <w:noWrap w:val="0"/>
            <w:vAlign w:val="center"/>
          </w:tcPr>
          <w:p>
            <w:pPr>
              <w:pStyle w:val="15"/>
              <w:keepNext w:val="0"/>
              <w:keepLines w:val="0"/>
              <w:pageBreakBefore w:val="0"/>
              <w:numPr>
                <w:ilvl w:val="0"/>
                <w:numId w:val="0"/>
              </w:numPr>
              <w:kinsoku/>
              <w:wordWrap/>
              <w:overflowPunct/>
              <w:topLinePunct w:val="0"/>
              <w:bidi w:val="0"/>
              <w:spacing w:line="240" w:lineRule="auto"/>
              <w:ind w:leftChars="0" w:firstLine="0" w:firstLineChars="0"/>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合同协议书</w:t>
            </w:r>
          </w:p>
          <w:p>
            <w:pPr>
              <w:pStyle w:val="15"/>
              <w:keepNext w:val="0"/>
              <w:keepLines w:val="0"/>
              <w:pageBreakBefore w:val="0"/>
              <w:numPr>
                <w:ilvl w:val="0"/>
                <w:numId w:val="0"/>
              </w:numPr>
              <w:kinsoku/>
              <w:wordWrap/>
              <w:overflowPunct/>
              <w:topLinePunct w:val="0"/>
              <w:bidi w:val="0"/>
              <w:spacing w:line="240" w:lineRule="auto"/>
              <w:ind w:leftChars="0" w:firstLine="0" w:firstLineChars="0"/>
              <w:textAlignment w:val="auto"/>
              <w:rPr>
                <w:rFonts w:hint="default"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rPr>
              <w:t>11 承诺</w:t>
            </w:r>
          </w:p>
        </w:tc>
        <w:tc>
          <w:tcPr>
            <w:tcW w:w="5760" w:type="dxa"/>
            <w:noWrap w:val="0"/>
            <w:vAlign w:val="center"/>
          </w:tcPr>
          <w:p>
            <w:pPr>
              <w:pStyle w:val="16"/>
              <w:kinsoku/>
              <w:wordWrap/>
              <w:overflowPunct/>
              <w:topLinePunct w:val="0"/>
              <w:bidi w:val="0"/>
              <w:spacing w:after="0" w:line="540" w:lineRule="exact"/>
              <w:ind w:left="0" w:leftChars="0" w:firstLine="482" w:firstLineChars="200"/>
              <w:outlineLvl w:val="2"/>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11 承诺</w:t>
            </w:r>
          </w:p>
          <w:p>
            <w:pPr>
              <w:keepNext w:val="0"/>
              <w:keepLines w:val="0"/>
              <w:pageBreakBefore w:val="0"/>
              <w:kinsoku/>
              <w:wordWrap/>
              <w:overflowPunct/>
              <w:topLinePunct w:val="0"/>
              <w:autoSpaceDE w:val="0"/>
              <w:autoSpaceDN w:val="0"/>
              <w:bidi w:val="0"/>
              <w:adjustRightInd w:val="0"/>
              <w:snapToGrid w:val="0"/>
              <w:spacing w:line="240" w:lineRule="auto"/>
              <w:ind w:firstLine="420" w:firstLineChars="200"/>
              <w:jc w:val="left"/>
              <w:textAlignment w:val="auto"/>
              <w:rPr>
                <w:rFonts w:hint="eastAsia" w:ascii="宋体" w:hAnsi="宋体" w:eastAsia="宋体" w:cs="宋体"/>
                <w:snapToGrid w:val="0"/>
                <w:color w:val="auto"/>
                <w:sz w:val="21"/>
                <w:szCs w:val="21"/>
                <w:highlight w:val="none"/>
                <w:lang w:val="en-US" w:eastAsia="zh-CN"/>
              </w:rPr>
            </w:pPr>
            <w:r>
              <w:rPr>
                <w:rFonts w:hint="eastAsia" w:ascii="宋体" w:hAnsi="宋体" w:eastAsia="宋体" w:cs="宋体"/>
                <w:snapToGrid w:val="0"/>
                <w:color w:val="auto"/>
                <w:sz w:val="21"/>
                <w:szCs w:val="21"/>
                <w:highlight w:val="none"/>
                <w:lang w:val="en-US" w:eastAsia="zh-CN"/>
              </w:rPr>
              <w:t>发包人承诺按照法律规定履行项目审批手续，按照合同约定提供施工条件，并按合同约定的期限和方式支付合同价款。</w:t>
            </w:r>
          </w:p>
          <w:p>
            <w:pPr>
              <w:keepNext w:val="0"/>
              <w:keepLines w:val="0"/>
              <w:pageBreakBefore w:val="0"/>
              <w:kinsoku/>
              <w:wordWrap/>
              <w:overflowPunct/>
              <w:topLinePunct w:val="0"/>
              <w:autoSpaceDE w:val="0"/>
              <w:autoSpaceDN w:val="0"/>
              <w:bidi w:val="0"/>
              <w:adjustRightInd w:val="0"/>
              <w:snapToGrid w:val="0"/>
              <w:spacing w:line="240" w:lineRule="auto"/>
              <w:ind w:firstLine="420" w:firstLineChars="200"/>
              <w:jc w:val="left"/>
              <w:textAlignment w:val="auto"/>
              <w:rPr>
                <w:rFonts w:hint="eastAsia" w:ascii="宋体" w:hAnsi="宋体" w:eastAsia="宋体" w:cs="宋体"/>
                <w:snapToGrid w:val="0"/>
                <w:color w:val="auto"/>
                <w:sz w:val="21"/>
                <w:szCs w:val="21"/>
                <w:highlight w:val="none"/>
                <w:lang w:val="en-US" w:eastAsia="zh-CN"/>
              </w:rPr>
            </w:pPr>
            <w:r>
              <w:rPr>
                <w:rFonts w:hint="eastAsia" w:ascii="宋体" w:hAnsi="宋体" w:eastAsia="宋体" w:cs="宋体"/>
                <w:snapToGrid w:val="0"/>
                <w:color w:val="auto"/>
                <w:sz w:val="21"/>
                <w:szCs w:val="21"/>
                <w:highlight w:val="none"/>
                <w:lang w:val="en-US" w:eastAsia="zh-CN"/>
              </w:rPr>
              <w:t>承包人承诺按照法律规定及合同约定组织完成工程施工，确保工程质量和安全，不进行违法转包及违法分包和挂靠，并在缺陷责任期及保修期内承担相应的工程维修责任。</w:t>
            </w:r>
          </w:p>
          <w:p>
            <w:pPr>
              <w:keepNext w:val="0"/>
              <w:keepLines w:val="0"/>
              <w:pageBreakBefore w:val="0"/>
              <w:kinsoku/>
              <w:wordWrap/>
              <w:overflowPunct/>
              <w:topLinePunct w:val="0"/>
              <w:autoSpaceDE w:val="0"/>
              <w:autoSpaceDN w:val="0"/>
              <w:bidi w:val="0"/>
              <w:adjustRightInd w:val="0"/>
              <w:snapToGrid w:val="0"/>
              <w:spacing w:line="240" w:lineRule="auto"/>
              <w:ind w:firstLine="420" w:firstLineChars="200"/>
              <w:jc w:val="left"/>
              <w:textAlignment w:val="auto"/>
              <w:rPr>
                <w:rFonts w:hint="eastAsia" w:ascii="宋体" w:hAnsi="宋体" w:eastAsia="宋体" w:cs="宋体"/>
                <w:snapToGrid w:val="0"/>
                <w:color w:val="auto"/>
                <w:sz w:val="21"/>
                <w:szCs w:val="21"/>
                <w:highlight w:val="none"/>
                <w:lang w:val="en-US" w:eastAsia="zh-CN"/>
              </w:rPr>
            </w:pPr>
            <w:r>
              <w:rPr>
                <w:rFonts w:hint="eastAsia" w:ascii="宋体" w:hAnsi="宋体" w:eastAsia="宋体" w:cs="宋体"/>
                <w:snapToGrid w:val="0"/>
                <w:color w:val="auto"/>
                <w:sz w:val="21"/>
                <w:szCs w:val="21"/>
                <w:highlight w:val="none"/>
                <w:lang w:val="en-US" w:eastAsia="zh-CN"/>
              </w:rPr>
              <w:t>承包人承诺，承包人已仔细阅读合同中列明的中国南方电网有限公司基建管理各项管理规定，在项目执行期间自愿服从并严格遵守合同中各项管理规定的要求。在项目执行期间如若违反相关管理规定，承包人自愿接受发包人相关的处罚（如通报批评、承包人考核扣分、停止投标资格以及依照合同额相关比例进行扣罚）。</w:t>
            </w:r>
          </w:p>
        </w:tc>
        <w:tc>
          <w:tcPr>
            <w:tcW w:w="5800" w:type="dxa"/>
            <w:noWrap w:val="0"/>
            <w:vAlign w:val="center"/>
          </w:tcPr>
          <w:p>
            <w:pPr>
              <w:pStyle w:val="16"/>
              <w:kinsoku/>
              <w:wordWrap/>
              <w:overflowPunct/>
              <w:topLinePunct w:val="0"/>
              <w:bidi w:val="0"/>
              <w:spacing w:after="0" w:line="540" w:lineRule="exact"/>
              <w:ind w:left="0" w:leftChars="0" w:firstLine="0" w:firstLineChars="0"/>
              <w:outlineLvl w:val="2"/>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11 承诺</w:t>
            </w:r>
          </w:p>
          <w:p>
            <w:pPr>
              <w:keepNext w:val="0"/>
              <w:keepLines w:val="0"/>
              <w:pageBreakBefore w:val="0"/>
              <w:kinsoku/>
              <w:wordWrap/>
              <w:overflowPunct/>
              <w:topLinePunct w:val="0"/>
              <w:autoSpaceDE w:val="0"/>
              <w:autoSpaceDN w:val="0"/>
              <w:bidi w:val="0"/>
              <w:adjustRightInd w:val="0"/>
              <w:snapToGrid w:val="0"/>
              <w:spacing w:line="240" w:lineRule="auto"/>
              <w:jc w:val="left"/>
              <w:textAlignment w:val="auto"/>
              <w:rPr>
                <w:rFonts w:hint="eastAsia" w:ascii="宋体" w:hAnsi="宋体" w:cs="宋体"/>
                <w:snapToGrid w:val="0"/>
                <w:color w:val="auto"/>
                <w:sz w:val="21"/>
                <w:szCs w:val="21"/>
                <w:highlight w:val="none"/>
                <w:lang w:val="en-US" w:eastAsia="zh-CN"/>
              </w:rPr>
            </w:pPr>
            <w:r>
              <w:rPr>
                <w:rFonts w:hint="eastAsia" w:ascii="宋体" w:hAnsi="宋体" w:cs="宋体"/>
                <w:b/>
                <w:bCs/>
                <w:snapToGrid w:val="0"/>
                <w:color w:val="auto"/>
                <w:sz w:val="21"/>
                <w:szCs w:val="21"/>
                <w:highlight w:val="none"/>
                <w:lang w:val="en-US" w:eastAsia="zh-CN"/>
              </w:rPr>
              <w:t xml:space="preserve">11.1 </w:t>
            </w:r>
            <w:r>
              <w:rPr>
                <w:rFonts w:hint="eastAsia" w:ascii="宋体" w:hAnsi="宋体" w:eastAsia="宋体" w:cs="宋体"/>
                <w:b/>
                <w:bCs/>
                <w:snapToGrid w:val="0"/>
                <w:color w:val="auto"/>
                <w:sz w:val="21"/>
                <w:szCs w:val="21"/>
                <w:highlight w:val="none"/>
                <w:lang w:val="en-US" w:eastAsia="zh-CN"/>
              </w:rPr>
              <w:t>发包人承诺</w:t>
            </w:r>
            <w:r>
              <w:rPr>
                <w:rFonts w:hint="eastAsia" w:ascii="宋体" w:hAnsi="宋体" w:cs="宋体"/>
                <w:snapToGrid w:val="0"/>
                <w:color w:val="auto"/>
                <w:sz w:val="21"/>
                <w:szCs w:val="21"/>
                <w:highlight w:val="none"/>
                <w:lang w:val="en-US" w:eastAsia="zh-CN"/>
              </w:rPr>
              <w:t xml:space="preserve"> </w:t>
            </w:r>
          </w:p>
          <w:p>
            <w:pPr>
              <w:keepNext w:val="0"/>
              <w:keepLines w:val="0"/>
              <w:pageBreakBefore w:val="0"/>
              <w:kinsoku/>
              <w:wordWrap/>
              <w:overflowPunct/>
              <w:topLinePunct w:val="0"/>
              <w:autoSpaceDE w:val="0"/>
              <w:autoSpaceDN w:val="0"/>
              <w:bidi w:val="0"/>
              <w:adjustRightInd w:val="0"/>
              <w:snapToGrid w:val="0"/>
              <w:spacing w:line="240" w:lineRule="auto"/>
              <w:jc w:val="left"/>
              <w:textAlignment w:val="auto"/>
              <w:rPr>
                <w:rFonts w:hint="eastAsia" w:ascii="宋体" w:hAnsi="宋体" w:cs="宋体"/>
                <w:snapToGrid w:val="0"/>
                <w:color w:val="auto"/>
                <w:sz w:val="21"/>
                <w:szCs w:val="21"/>
                <w:highlight w:val="none"/>
                <w:lang w:val="en-US" w:eastAsia="zh-CN"/>
              </w:rPr>
            </w:pPr>
            <w:r>
              <w:rPr>
                <w:rFonts w:hint="eastAsia" w:ascii="宋体" w:hAnsi="宋体" w:cs="宋体"/>
                <w:snapToGrid w:val="0"/>
                <w:color w:val="auto"/>
                <w:sz w:val="21"/>
                <w:szCs w:val="21"/>
                <w:highlight w:val="none"/>
                <w:lang w:val="en-US" w:eastAsia="zh-CN"/>
              </w:rPr>
              <w:t>11.1.1 按照法律规定履行项目审批手续、征地拆迁及用地移交工作，按照合同约定提供施工条件；</w:t>
            </w:r>
          </w:p>
          <w:p>
            <w:pPr>
              <w:keepNext w:val="0"/>
              <w:keepLines w:val="0"/>
              <w:pageBreakBefore w:val="0"/>
              <w:kinsoku/>
              <w:wordWrap/>
              <w:overflowPunct/>
              <w:topLinePunct w:val="0"/>
              <w:autoSpaceDE w:val="0"/>
              <w:autoSpaceDN w:val="0"/>
              <w:bidi w:val="0"/>
              <w:adjustRightInd w:val="0"/>
              <w:snapToGrid w:val="0"/>
              <w:spacing w:line="240" w:lineRule="auto"/>
              <w:jc w:val="left"/>
              <w:textAlignment w:val="auto"/>
              <w:rPr>
                <w:rFonts w:hint="eastAsia" w:ascii="宋体" w:hAnsi="宋体" w:cs="宋体"/>
                <w:snapToGrid w:val="0"/>
                <w:color w:val="auto"/>
                <w:sz w:val="21"/>
                <w:szCs w:val="21"/>
                <w:highlight w:val="none"/>
                <w:lang w:val="en-US" w:eastAsia="zh-CN"/>
              </w:rPr>
            </w:pPr>
            <w:r>
              <w:rPr>
                <w:rFonts w:hint="eastAsia" w:ascii="宋体" w:hAnsi="宋体" w:cs="宋体"/>
                <w:snapToGrid w:val="0"/>
                <w:color w:val="auto"/>
                <w:sz w:val="21"/>
                <w:szCs w:val="21"/>
                <w:highlight w:val="none"/>
                <w:lang w:val="en-US" w:eastAsia="zh-CN"/>
              </w:rPr>
              <w:t>11.1.2  按合同约定的期限和方式足额支付合同价款，及时办理工程结算；</w:t>
            </w:r>
          </w:p>
          <w:p>
            <w:pPr>
              <w:keepNext w:val="0"/>
              <w:keepLines w:val="0"/>
              <w:pageBreakBefore w:val="0"/>
              <w:kinsoku/>
              <w:wordWrap/>
              <w:overflowPunct/>
              <w:topLinePunct w:val="0"/>
              <w:autoSpaceDE w:val="0"/>
              <w:autoSpaceDN w:val="0"/>
              <w:bidi w:val="0"/>
              <w:adjustRightInd w:val="0"/>
              <w:snapToGrid w:val="0"/>
              <w:spacing w:line="240" w:lineRule="auto"/>
              <w:jc w:val="left"/>
              <w:textAlignment w:val="auto"/>
              <w:rPr>
                <w:rFonts w:hint="eastAsia" w:ascii="宋体" w:hAnsi="宋体" w:cs="宋体"/>
                <w:snapToGrid w:val="0"/>
                <w:color w:val="auto"/>
                <w:sz w:val="21"/>
                <w:szCs w:val="21"/>
                <w:highlight w:val="none"/>
                <w:lang w:val="en-US" w:eastAsia="zh-CN"/>
              </w:rPr>
            </w:pPr>
            <w:r>
              <w:rPr>
                <w:rFonts w:hint="eastAsia" w:ascii="宋体" w:hAnsi="宋体" w:cs="宋体"/>
                <w:snapToGrid w:val="0"/>
                <w:color w:val="auto"/>
                <w:sz w:val="21"/>
                <w:szCs w:val="21"/>
                <w:highlight w:val="none"/>
                <w:lang w:val="en-US" w:eastAsia="zh-CN"/>
              </w:rPr>
              <w:t>11.1.3发包人已仔细阅读并严格遵守合同中列明的南方电网、广东电网基建管理各项规定。</w:t>
            </w:r>
          </w:p>
          <w:p>
            <w:pPr>
              <w:keepNext w:val="0"/>
              <w:keepLines w:val="0"/>
              <w:pageBreakBefore w:val="0"/>
              <w:kinsoku/>
              <w:wordWrap/>
              <w:overflowPunct/>
              <w:topLinePunct w:val="0"/>
              <w:autoSpaceDE w:val="0"/>
              <w:autoSpaceDN w:val="0"/>
              <w:bidi w:val="0"/>
              <w:adjustRightInd w:val="0"/>
              <w:snapToGrid w:val="0"/>
              <w:spacing w:line="240" w:lineRule="auto"/>
              <w:jc w:val="left"/>
              <w:textAlignment w:val="auto"/>
              <w:rPr>
                <w:rFonts w:hint="eastAsia" w:ascii="宋体" w:hAnsi="宋体" w:eastAsia="宋体" w:cs="宋体"/>
                <w:b/>
                <w:bCs/>
                <w:snapToGrid w:val="0"/>
                <w:color w:val="auto"/>
                <w:sz w:val="21"/>
                <w:szCs w:val="21"/>
                <w:highlight w:val="none"/>
                <w:lang w:val="en-US" w:eastAsia="zh-CN"/>
              </w:rPr>
            </w:pPr>
            <w:r>
              <w:rPr>
                <w:rFonts w:hint="eastAsia" w:ascii="宋体" w:hAnsi="宋体" w:eastAsia="宋体" w:cs="宋体"/>
                <w:b/>
                <w:bCs/>
                <w:snapToGrid w:val="0"/>
                <w:color w:val="auto"/>
                <w:sz w:val="21"/>
                <w:szCs w:val="21"/>
                <w:highlight w:val="none"/>
                <w:lang w:val="en-US" w:eastAsia="zh-CN"/>
              </w:rPr>
              <w:t>11.2 承包人承诺</w:t>
            </w:r>
          </w:p>
          <w:p>
            <w:pPr>
              <w:keepNext w:val="0"/>
              <w:keepLines w:val="0"/>
              <w:pageBreakBefore w:val="0"/>
              <w:kinsoku/>
              <w:wordWrap/>
              <w:overflowPunct/>
              <w:topLinePunct w:val="0"/>
              <w:autoSpaceDE w:val="0"/>
              <w:autoSpaceDN w:val="0"/>
              <w:bidi w:val="0"/>
              <w:adjustRightInd w:val="0"/>
              <w:snapToGrid w:val="0"/>
              <w:spacing w:line="240" w:lineRule="auto"/>
              <w:jc w:val="left"/>
              <w:textAlignment w:val="auto"/>
              <w:rPr>
                <w:rFonts w:hint="eastAsia" w:ascii="宋体" w:hAnsi="宋体" w:eastAsia="宋体" w:cs="宋体"/>
                <w:snapToGrid w:val="0"/>
                <w:color w:val="auto"/>
                <w:sz w:val="21"/>
                <w:szCs w:val="21"/>
                <w:highlight w:val="none"/>
                <w:lang w:val="en-US" w:eastAsia="zh-CN"/>
              </w:rPr>
            </w:pPr>
            <w:r>
              <w:rPr>
                <w:rFonts w:hint="eastAsia" w:ascii="宋体" w:hAnsi="宋体" w:eastAsia="宋体" w:cs="宋体"/>
                <w:snapToGrid w:val="0"/>
                <w:color w:val="auto"/>
                <w:sz w:val="21"/>
                <w:szCs w:val="21"/>
                <w:highlight w:val="none"/>
                <w:lang w:val="en-US" w:eastAsia="zh-CN"/>
              </w:rPr>
              <w:t>承包人承诺按照法律规定及合同约定组织完成工程施工，确保工程质量和安全，不进行违法转包及违法分包和挂靠，并在缺陷责任期及保修期内承担相应的工程维修责任。</w:t>
            </w:r>
          </w:p>
          <w:p>
            <w:pPr>
              <w:pStyle w:val="6"/>
              <w:keepNext w:val="0"/>
              <w:keepLines w:val="0"/>
              <w:pageBreakBefore w:val="0"/>
              <w:tabs>
                <w:tab w:val="left" w:pos="1035"/>
              </w:tabs>
              <w:kinsoku/>
              <w:wordWrap/>
              <w:overflowPunct/>
              <w:topLinePunct w:val="0"/>
              <w:bidi w:val="0"/>
              <w:spacing w:after="0" w:line="240" w:lineRule="auto"/>
              <w:ind w:left="0" w:leftChars="0" w:firstLine="0" w:firstLineChars="0"/>
              <w:jc w:val="left"/>
              <w:textAlignment w:val="auto"/>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11.2 承包人投标承诺</w:t>
            </w:r>
          </w:p>
          <w:p>
            <w:pPr>
              <w:pStyle w:val="6"/>
              <w:keepNext w:val="0"/>
              <w:keepLines w:val="0"/>
              <w:pageBreakBefore w:val="0"/>
              <w:tabs>
                <w:tab w:val="left" w:pos="1035"/>
              </w:tabs>
              <w:kinsoku/>
              <w:wordWrap/>
              <w:overflowPunct/>
              <w:topLinePunct w:val="0"/>
              <w:bidi w:val="0"/>
              <w:spacing w:after="0" w:line="240" w:lineRule="auto"/>
              <w:ind w:left="0" w:leftChars="0" w:firstLine="0" w:firstLineChars="0"/>
              <w:jc w:val="left"/>
              <w:textAlignment w:val="auto"/>
              <w:rPr>
                <w:rFonts w:hint="eastAsia" w:ascii="宋体" w:hAnsi="宋体" w:cs="宋体"/>
                <w:b w:val="0"/>
                <w:bCs w:val="0"/>
                <w:color w:val="auto"/>
                <w:sz w:val="21"/>
                <w:szCs w:val="21"/>
                <w:highlight w:val="none"/>
                <w:lang w:eastAsia="zh-CN"/>
              </w:rPr>
            </w:pPr>
            <w:r>
              <w:rPr>
                <w:rFonts w:hint="eastAsia" w:ascii="宋体" w:hAnsi="宋体" w:cs="宋体"/>
                <w:b w:val="0"/>
                <w:bCs w:val="0"/>
                <w:color w:val="auto"/>
                <w:sz w:val="21"/>
                <w:szCs w:val="21"/>
                <w:highlight w:val="none"/>
                <w:lang w:val="en-US" w:eastAsia="zh-CN"/>
              </w:rPr>
              <w:t>11.2.</w:t>
            </w:r>
            <w:r>
              <w:rPr>
                <w:rFonts w:hint="eastAsia" w:ascii="宋体" w:hAnsi="宋体" w:cs="宋体"/>
                <w:b w:val="0"/>
                <w:bCs w:val="0"/>
                <w:color w:val="auto"/>
                <w:sz w:val="21"/>
                <w:szCs w:val="21"/>
                <w:highlight w:val="none"/>
                <w:lang w:eastAsia="zh-CN"/>
              </w:rPr>
              <w:t>1.项目管理人员</w:t>
            </w:r>
          </w:p>
          <w:p>
            <w:pPr>
              <w:pStyle w:val="6"/>
              <w:keepNext w:val="0"/>
              <w:keepLines w:val="0"/>
              <w:pageBreakBefore w:val="0"/>
              <w:tabs>
                <w:tab w:val="left" w:pos="1035"/>
              </w:tabs>
              <w:kinsoku/>
              <w:wordWrap/>
              <w:overflowPunct/>
              <w:topLinePunct w:val="0"/>
              <w:bidi w:val="0"/>
              <w:spacing w:after="0" w:line="240" w:lineRule="auto"/>
              <w:ind w:left="0" w:leftChars="0" w:firstLine="0" w:firstLineChars="0"/>
              <w:textAlignment w:val="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投标时承诺的</w:t>
            </w:r>
            <w:r>
              <w:rPr>
                <w:rFonts w:hint="eastAsia" w:ascii="宋体" w:hAnsi="宋体" w:cs="宋体"/>
                <w:color w:val="auto"/>
                <w:sz w:val="21"/>
                <w:szCs w:val="21"/>
                <w:highlight w:val="none"/>
                <w:lang w:val="en-US" w:eastAsia="zh-CN"/>
              </w:rPr>
              <w:t>其他</w:t>
            </w:r>
            <w:r>
              <w:rPr>
                <w:rFonts w:hint="eastAsia" w:ascii="宋体" w:hAnsi="宋体" w:cs="宋体"/>
                <w:color w:val="auto"/>
                <w:sz w:val="21"/>
                <w:szCs w:val="21"/>
                <w:highlight w:val="none"/>
                <w:lang w:eastAsia="zh-CN"/>
              </w:rPr>
              <w:t>管理人员：</w:t>
            </w:r>
          </w:p>
          <w:p>
            <w:pPr>
              <w:pStyle w:val="6"/>
              <w:keepNext w:val="0"/>
              <w:keepLines w:val="0"/>
              <w:pageBreakBefore w:val="0"/>
              <w:tabs>
                <w:tab w:val="left" w:pos="1035"/>
              </w:tabs>
              <w:kinsoku/>
              <w:wordWrap/>
              <w:overflowPunct/>
              <w:topLinePunct w:val="0"/>
              <w:bidi w:val="0"/>
              <w:spacing w:after="0" w:line="240" w:lineRule="auto"/>
              <w:ind w:left="0" w:leftChars="0" w:firstLine="0" w:firstLineChars="0"/>
              <w:textAlignment w:val="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技术负责人：</w:t>
            </w:r>
            <w:sdt>
              <w:sdtPr>
                <w:rPr>
                  <w:rFonts w:hint="eastAsia" w:ascii="宋体" w:hAnsi="宋体" w:eastAsia="宋体" w:cs="宋体"/>
                  <w:color w:val="auto"/>
                  <w:kern w:val="2"/>
                  <w:sz w:val="21"/>
                  <w:szCs w:val="21"/>
                  <w:highlight w:val="none"/>
                  <w:lang w:val="en-US" w:eastAsia="zh-CN" w:bidi="ar-SA"/>
                </w:rPr>
                <w:alias w:val="合同大写金额"/>
                <w:tag w:val="合同大写金额"/>
                <w:id w:val="147468692"/>
                <w:placeholder>
                  <w:docPart w:val="{30ad7cf8-f46d-479c-88d1-739316edc8db}"/>
                </w:placeholder>
              </w:sdtPr>
              <w:sdtEndPr>
                <w:rPr>
                  <w:rFonts w:hint="eastAsia" w:ascii="宋体" w:hAnsi="宋体" w:eastAsia="宋体" w:cs="宋体"/>
                  <w:color w:val="auto"/>
                  <w:kern w:val="2"/>
                  <w:sz w:val="21"/>
                  <w:szCs w:val="21"/>
                  <w:highlight w:val="none"/>
                  <w:u w:val="single"/>
                  <w:lang w:val="en-US" w:eastAsia="zh-CN" w:bidi="ar-SA"/>
                </w:rPr>
              </w:sdtEndPr>
              <w:sdtContent>
                <w:permStart w:id="24" w:edGrp="everyone"/>
                <w:r>
                  <w:rPr>
                    <w:rFonts w:hint="eastAsia" w:ascii="宋体" w:hAnsi="宋体" w:eastAsia="宋体" w:cs="宋体"/>
                    <w:color w:val="auto"/>
                    <w:sz w:val="21"/>
                    <w:szCs w:val="21"/>
                    <w:highlight w:val="none"/>
                    <w:u w:val="single"/>
                  </w:rPr>
                  <w:t xml:space="preserve">        </w:t>
                </w:r>
              </w:sdtContent>
            </w:sdt>
            <w:r>
              <w:rPr>
                <w:rFonts w:hint="eastAsia" w:ascii="宋体" w:hAnsi="宋体" w:eastAsia="宋体" w:cs="宋体"/>
                <w:color w:val="auto"/>
                <w:sz w:val="21"/>
                <w:szCs w:val="21"/>
                <w:highlight w:val="none"/>
                <w:u w:val="single"/>
              </w:rPr>
              <w:t xml:space="preserve"> </w:t>
            </w:r>
            <w:permEnd w:id="24"/>
            <w:r>
              <w:rPr>
                <w:rFonts w:hint="eastAsia" w:ascii="宋体" w:hAnsi="宋体" w:cs="宋体"/>
                <w:color w:val="auto"/>
                <w:sz w:val="21"/>
                <w:szCs w:val="21"/>
                <w:highlight w:val="none"/>
                <w:lang w:eastAsia="zh-CN"/>
              </w:rPr>
              <w:t>。</w:t>
            </w:r>
          </w:p>
          <w:p>
            <w:pPr>
              <w:pStyle w:val="6"/>
              <w:keepNext w:val="0"/>
              <w:keepLines w:val="0"/>
              <w:pageBreakBefore w:val="0"/>
              <w:tabs>
                <w:tab w:val="left" w:pos="1035"/>
              </w:tabs>
              <w:kinsoku/>
              <w:wordWrap/>
              <w:overflowPunct/>
              <w:topLinePunct w:val="0"/>
              <w:bidi w:val="0"/>
              <w:spacing w:after="0" w:line="240" w:lineRule="auto"/>
              <w:ind w:left="0" w:leftChars="0" w:firstLine="0" w:firstLineChars="0"/>
              <w:textAlignment w:val="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安全负责人：</w:t>
            </w:r>
            <w:sdt>
              <w:sdtPr>
                <w:rPr>
                  <w:rFonts w:hint="eastAsia" w:ascii="宋体" w:hAnsi="宋体" w:eastAsia="宋体" w:cs="宋体"/>
                  <w:color w:val="auto"/>
                  <w:kern w:val="2"/>
                  <w:sz w:val="21"/>
                  <w:szCs w:val="21"/>
                  <w:highlight w:val="none"/>
                  <w:lang w:val="en-US" w:eastAsia="zh-CN" w:bidi="ar-SA"/>
                </w:rPr>
                <w:alias w:val="合同大写金额"/>
                <w:tag w:val="合同大写金额"/>
                <w:id w:val="147458247"/>
                <w:placeholder>
                  <w:docPart w:val="{189d426f-9201-489b-8b4b-85953a000da2}"/>
                </w:placeholder>
              </w:sdtPr>
              <w:sdtEndPr>
                <w:rPr>
                  <w:rFonts w:hint="eastAsia" w:ascii="宋体" w:hAnsi="宋体" w:eastAsia="宋体" w:cs="宋体"/>
                  <w:color w:val="auto"/>
                  <w:kern w:val="2"/>
                  <w:sz w:val="21"/>
                  <w:szCs w:val="21"/>
                  <w:highlight w:val="none"/>
                  <w:u w:val="single"/>
                  <w:lang w:val="en-US" w:eastAsia="zh-CN" w:bidi="ar-SA"/>
                </w:rPr>
              </w:sdtEndPr>
              <w:sdtContent>
                <w:permStart w:id="25" w:edGrp="everyone"/>
                <w:r>
                  <w:rPr>
                    <w:rFonts w:hint="eastAsia" w:ascii="宋体" w:hAnsi="宋体" w:eastAsia="宋体" w:cs="宋体"/>
                    <w:color w:val="auto"/>
                    <w:sz w:val="21"/>
                    <w:szCs w:val="21"/>
                    <w:highlight w:val="none"/>
                    <w:u w:val="single"/>
                  </w:rPr>
                  <w:t xml:space="preserve">        </w:t>
                </w:r>
              </w:sdtContent>
            </w:sdt>
            <w:r>
              <w:rPr>
                <w:rFonts w:hint="eastAsia" w:ascii="宋体" w:hAnsi="宋体" w:eastAsia="宋体" w:cs="宋体"/>
                <w:color w:val="auto"/>
                <w:sz w:val="21"/>
                <w:szCs w:val="21"/>
                <w:highlight w:val="none"/>
                <w:u w:val="single"/>
              </w:rPr>
              <w:t xml:space="preserve"> </w:t>
            </w:r>
            <w:permEnd w:id="25"/>
            <w:r>
              <w:rPr>
                <w:rFonts w:hint="eastAsia" w:ascii="宋体" w:hAnsi="宋体" w:cs="宋体"/>
                <w:color w:val="auto"/>
                <w:sz w:val="21"/>
                <w:szCs w:val="21"/>
                <w:highlight w:val="none"/>
                <w:lang w:eastAsia="zh-CN"/>
              </w:rPr>
              <w:t>。</w:t>
            </w:r>
          </w:p>
          <w:p>
            <w:pPr>
              <w:pStyle w:val="6"/>
              <w:keepNext w:val="0"/>
              <w:keepLines w:val="0"/>
              <w:pageBreakBefore w:val="0"/>
              <w:tabs>
                <w:tab w:val="left" w:pos="1035"/>
              </w:tabs>
              <w:kinsoku/>
              <w:wordWrap/>
              <w:overflowPunct/>
              <w:topLinePunct w:val="0"/>
              <w:bidi w:val="0"/>
              <w:spacing w:after="0" w:line="240" w:lineRule="auto"/>
              <w:ind w:left="0" w:leftChars="0" w:firstLine="0" w:firstLineChars="0"/>
              <w:textAlignment w:val="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质量负责人：</w:t>
            </w:r>
            <w:sdt>
              <w:sdtPr>
                <w:rPr>
                  <w:rFonts w:hint="eastAsia" w:ascii="宋体" w:hAnsi="宋体" w:eastAsia="宋体" w:cs="宋体"/>
                  <w:color w:val="auto"/>
                  <w:kern w:val="2"/>
                  <w:sz w:val="21"/>
                  <w:szCs w:val="21"/>
                  <w:highlight w:val="none"/>
                  <w:lang w:val="en-US" w:eastAsia="zh-CN" w:bidi="ar-SA"/>
                </w:rPr>
                <w:alias w:val="合同大写金额"/>
                <w:tag w:val="合同大写金额"/>
                <w:id w:val="147456651"/>
                <w:placeholder>
                  <w:docPart w:val="{0ef5c741-d1a5-4264-90a1-8820ee272a8e}"/>
                </w:placeholder>
              </w:sdtPr>
              <w:sdtEndPr>
                <w:rPr>
                  <w:rFonts w:hint="eastAsia" w:ascii="宋体" w:hAnsi="宋体" w:eastAsia="宋体" w:cs="宋体"/>
                  <w:color w:val="auto"/>
                  <w:kern w:val="2"/>
                  <w:sz w:val="21"/>
                  <w:szCs w:val="21"/>
                  <w:highlight w:val="none"/>
                  <w:u w:val="single"/>
                  <w:lang w:val="en-US" w:eastAsia="zh-CN" w:bidi="ar-SA"/>
                </w:rPr>
              </w:sdtEndPr>
              <w:sdtContent>
                <w:permStart w:id="26" w:edGrp="everyone"/>
                <w:r>
                  <w:rPr>
                    <w:rFonts w:hint="eastAsia" w:ascii="宋体" w:hAnsi="宋体" w:eastAsia="宋体" w:cs="宋体"/>
                    <w:color w:val="auto"/>
                    <w:sz w:val="21"/>
                    <w:szCs w:val="21"/>
                    <w:highlight w:val="none"/>
                    <w:u w:val="single"/>
                  </w:rPr>
                  <w:t xml:space="preserve">        </w:t>
                </w:r>
              </w:sdtContent>
            </w:sdt>
            <w:r>
              <w:rPr>
                <w:rFonts w:hint="eastAsia" w:ascii="宋体" w:hAnsi="宋体" w:eastAsia="宋体" w:cs="宋体"/>
                <w:color w:val="auto"/>
                <w:sz w:val="21"/>
                <w:szCs w:val="21"/>
                <w:highlight w:val="none"/>
                <w:u w:val="single"/>
              </w:rPr>
              <w:t xml:space="preserve"> </w:t>
            </w:r>
            <w:permEnd w:id="26"/>
            <w:r>
              <w:rPr>
                <w:rFonts w:hint="eastAsia" w:ascii="宋体" w:hAnsi="宋体" w:cs="宋体"/>
                <w:color w:val="auto"/>
                <w:sz w:val="21"/>
                <w:szCs w:val="21"/>
                <w:highlight w:val="none"/>
                <w:lang w:eastAsia="zh-CN"/>
              </w:rPr>
              <w:t>。</w:t>
            </w:r>
          </w:p>
          <w:p>
            <w:pPr>
              <w:pStyle w:val="6"/>
              <w:keepNext w:val="0"/>
              <w:keepLines w:val="0"/>
              <w:pageBreakBefore w:val="0"/>
              <w:tabs>
                <w:tab w:val="left" w:pos="1035"/>
              </w:tabs>
              <w:kinsoku/>
              <w:wordWrap/>
              <w:overflowPunct/>
              <w:topLinePunct w:val="0"/>
              <w:bidi w:val="0"/>
              <w:spacing w:after="0" w:line="240" w:lineRule="auto"/>
              <w:ind w:left="0" w:leftChars="0" w:firstLine="0" w:firstLineChars="0"/>
              <w:textAlignment w:val="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造价负责人：</w:t>
            </w:r>
            <w:sdt>
              <w:sdtPr>
                <w:rPr>
                  <w:rFonts w:hint="eastAsia" w:ascii="宋体" w:hAnsi="宋体" w:eastAsia="宋体" w:cs="宋体"/>
                  <w:color w:val="auto"/>
                  <w:kern w:val="2"/>
                  <w:sz w:val="21"/>
                  <w:szCs w:val="21"/>
                  <w:highlight w:val="none"/>
                  <w:lang w:val="en-US" w:eastAsia="zh-CN" w:bidi="ar-SA"/>
                </w:rPr>
                <w:alias w:val="合同大写金额"/>
                <w:tag w:val="合同大写金额"/>
                <w:id w:val="147479284"/>
                <w:placeholder>
                  <w:docPart w:val="{5688ee38-01de-4121-8319-32b36a2e20df}"/>
                </w:placeholder>
              </w:sdtPr>
              <w:sdtEndPr>
                <w:rPr>
                  <w:rFonts w:hint="eastAsia" w:ascii="宋体" w:hAnsi="宋体" w:eastAsia="宋体" w:cs="宋体"/>
                  <w:color w:val="auto"/>
                  <w:kern w:val="2"/>
                  <w:sz w:val="21"/>
                  <w:szCs w:val="21"/>
                  <w:highlight w:val="none"/>
                  <w:u w:val="single"/>
                  <w:lang w:val="en-US" w:eastAsia="zh-CN" w:bidi="ar-SA"/>
                </w:rPr>
              </w:sdtEndPr>
              <w:sdtContent>
                <w:permStart w:id="27" w:edGrp="everyone"/>
                <w:r>
                  <w:rPr>
                    <w:rFonts w:hint="eastAsia" w:ascii="宋体" w:hAnsi="宋体" w:eastAsia="宋体" w:cs="宋体"/>
                    <w:color w:val="auto"/>
                    <w:sz w:val="21"/>
                    <w:szCs w:val="21"/>
                    <w:highlight w:val="none"/>
                    <w:u w:val="single"/>
                  </w:rPr>
                  <w:t xml:space="preserve">        </w:t>
                </w:r>
              </w:sdtContent>
            </w:sdt>
            <w:r>
              <w:rPr>
                <w:rFonts w:hint="eastAsia" w:ascii="宋体" w:hAnsi="宋体" w:eastAsia="宋体" w:cs="宋体"/>
                <w:color w:val="auto"/>
                <w:sz w:val="21"/>
                <w:szCs w:val="21"/>
                <w:highlight w:val="none"/>
                <w:u w:val="single"/>
              </w:rPr>
              <w:t xml:space="preserve"> </w:t>
            </w:r>
            <w:permEnd w:id="27"/>
            <w:r>
              <w:rPr>
                <w:rFonts w:hint="eastAsia" w:ascii="宋体" w:hAnsi="宋体" w:cs="宋体"/>
                <w:color w:val="auto"/>
                <w:sz w:val="21"/>
                <w:szCs w:val="21"/>
                <w:highlight w:val="none"/>
                <w:lang w:eastAsia="zh-CN"/>
              </w:rPr>
              <w:t>。</w:t>
            </w:r>
          </w:p>
          <w:p>
            <w:pPr>
              <w:pStyle w:val="6"/>
              <w:keepNext w:val="0"/>
              <w:keepLines w:val="0"/>
              <w:pageBreakBefore w:val="0"/>
              <w:tabs>
                <w:tab w:val="left" w:pos="1035"/>
              </w:tabs>
              <w:kinsoku/>
              <w:wordWrap/>
              <w:overflowPunct/>
              <w:topLinePunct w:val="0"/>
              <w:bidi w:val="0"/>
              <w:spacing w:after="0" w:line="240" w:lineRule="auto"/>
              <w:ind w:left="0" w:leftChars="0" w:firstLine="420" w:firstLineChars="200"/>
              <w:textAlignment w:val="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承包人承诺：严格按国家规范、合同约定、投标承诺足额配备本项目管理团队核心人员，项目经理、技术负责人、安全负责人、质量负责人、造价负责人等关键岗位人员全部到位履职，在岗在位、专职专责，全面统筹项目施工管理各项工作。</w:t>
            </w:r>
            <w:r>
              <w:rPr>
                <w:rFonts w:hint="eastAsia" w:ascii="宋体" w:hAnsi="宋体" w:cs="宋体"/>
                <w:color w:val="auto"/>
                <w:sz w:val="21"/>
                <w:szCs w:val="21"/>
                <w:highlight w:val="none"/>
                <w:lang w:val="en-US" w:eastAsia="zh-CN"/>
              </w:rPr>
              <w:t xml:space="preserve"> </w:t>
            </w:r>
            <w:r>
              <w:rPr>
                <w:rFonts w:hint="eastAsia" w:ascii="宋体" w:hAnsi="宋体" w:cs="宋体"/>
                <w:b/>
                <w:bCs/>
                <w:color w:val="auto"/>
                <w:sz w:val="21"/>
                <w:szCs w:val="21"/>
                <w:highlight w:val="none"/>
                <w:lang w:eastAsia="zh-CN"/>
              </w:rPr>
              <w:t>项目经理不得违反规定同时负责两个及两个以上的工程项目。</w:t>
            </w:r>
          </w:p>
          <w:p>
            <w:pPr>
              <w:pStyle w:val="6"/>
              <w:keepNext w:val="0"/>
              <w:keepLines w:val="0"/>
              <w:pageBreakBefore w:val="0"/>
              <w:tabs>
                <w:tab w:val="left" w:pos="1035"/>
              </w:tabs>
              <w:kinsoku/>
              <w:wordWrap/>
              <w:overflowPunct/>
              <w:topLinePunct w:val="0"/>
              <w:bidi w:val="0"/>
              <w:spacing w:after="0" w:line="240" w:lineRule="auto"/>
              <w:ind w:left="0" w:leftChars="0" w:firstLine="420" w:firstLineChars="200"/>
              <w:textAlignment w:val="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本项目上述核心管理人员未经发包人书面同意，严禁擅自更换、缺岗、兼职；确因特殊情况需更换的，拟更换人员的资历、职称、执业资格、工作经验等综合素质不得低于原任职人员标准，且需提前向发包人提交书面申请及相关证明资料，经审批同意后方可更换，同时承担因人员更换造成的相关责任。</w:t>
            </w:r>
          </w:p>
          <w:p>
            <w:pPr>
              <w:pStyle w:val="6"/>
              <w:keepNext w:val="0"/>
              <w:keepLines w:val="0"/>
              <w:pageBreakBefore w:val="0"/>
              <w:tabs>
                <w:tab w:val="left" w:pos="1035"/>
              </w:tabs>
              <w:kinsoku/>
              <w:wordWrap/>
              <w:overflowPunct/>
              <w:topLinePunct w:val="0"/>
              <w:bidi w:val="0"/>
              <w:spacing w:after="0" w:line="240" w:lineRule="auto"/>
              <w:ind w:left="0" w:leftChars="0" w:firstLine="0" w:firstLineChars="0"/>
              <w:textAlignment w:val="auto"/>
              <w:rPr>
                <w:rFonts w:hint="eastAsia" w:ascii="宋体" w:hAnsi="宋体" w:cs="宋体"/>
                <w:b/>
                <w:bCs/>
                <w:color w:val="auto"/>
                <w:sz w:val="21"/>
                <w:szCs w:val="21"/>
                <w:highlight w:val="none"/>
                <w:lang w:eastAsia="zh-CN"/>
              </w:rPr>
            </w:pPr>
            <w:r>
              <w:rPr>
                <w:rFonts w:hint="eastAsia" w:ascii="宋体" w:hAnsi="宋体" w:cs="宋体"/>
                <w:b/>
                <w:bCs/>
                <w:color w:val="auto"/>
                <w:sz w:val="21"/>
                <w:szCs w:val="21"/>
                <w:highlight w:val="none"/>
                <w:lang w:val="en-US" w:eastAsia="zh-CN"/>
              </w:rPr>
              <w:t>11.2.</w:t>
            </w:r>
            <w:r>
              <w:rPr>
                <w:rFonts w:hint="eastAsia" w:ascii="宋体" w:hAnsi="宋体" w:cs="宋体"/>
                <w:b/>
                <w:bCs/>
                <w:color w:val="auto"/>
                <w:sz w:val="21"/>
                <w:szCs w:val="21"/>
                <w:highlight w:val="none"/>
                <w:lang w:eastAsia="zh-CN"/>
              </w:rPr>
              <w:t>2.主要自有机具数量</w:t>
            </w:r>
          </w:p>
          <w:p>
            <w:pPr>
              <w:pStyle w:val="6"/>
              <w:keepNext w:val="0"/>
              <w:keepLines w:val="0"/>
              <w:pageBreakBefore w:val="0"/>
              <w:widowControl w:val="0"/>
              <w:tabs>
                <w:tab w:val="left" w:pos="1035"/>
              </w:tabs>
              <w:kinsoku/>
              <w:wordWrap/>
              <w:overflowPunct/>
              <w:topLinePunct w:val="0"/>
              <w:autoSpaceDE/>
              <w:autoSpaceDN/>
              <w:bidi w:val="0"/>
              <w:adjustRightInd/>
              <w:snapToGrid/>
              <w:spacing w:after="0" w:line="240" w:lineRule="auto"/>
              <w:ind w:left="0" w:leftChars="0" w:firstLine="0" w:firstLineChars="0"/>
              <w:textAlignment w:val="auto"/>
              <w:rPr>
                <w:rFonts w:hint="eastAsia" w:ascii="宋体" w:hAnsi="宋体" w:cs="宋体"/>
                <w:color w:val="auto"/>
                <w:sz w:val="21"/>
                <w:szCs w:val="21"/>
                <w:highlight w:val="none"/>
                <w:lang w:eastAsia="zh-CN"/>
              </w:rPr>
            </w:pPr>
            <w:permStart w:id="28" w:edGrp="everyone"/>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lang w:eastAsia="zh-CN"/>
              </w:rPr>
              <w:t>（一）土建工程：全站仪（经纬仪）____台、电焊机____台、钢筋切断机____台、钢筋弯曲机____台、钢筋调直机____台、混凝土搅拌机____台、砂浆搅拌机____台、挖掘机____台、装载机____台、塔吊或物料提升机____台；</w:t>
            </w:r>
          </w:p>
          <w:p>
            <w:pPr>
              <w:pStyle w:val="6"/>
              <w:keepNext w:val="0"/>
              <w:keepLines w:val="0"/>
              <w:pageBreakBefore w:val="0"/>
              <w:widowControl w:val="0"/>
              <w:tabs>
                <w:tab w:val="left" w:pos="1035"/>
              </w:tabs>
              <w:kinsoku/>
              <w:wordWrap/>
              <w:overflowPunct/>
              <w:topLinePunct w:val="0"/>
              <w:autoSpaceDE/>
              <w:autoSpaceDN/>
              <w:bidi w:val="0"/>
              <w:adjustRightInd/>
              <w:snapToGrid/>
              <w:spacing w:after="0" w:line="240" w:lineRule="auto"/>
              <w:ind w:left="0" w:leftChars="0" w:firstLine="0" w:firstLineChars="0"/>
              <w:textAlignment w:val="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（二）电气安装工程：真空滤油机____台、SF6回收充气装置____台、真空抽气装置____台、储油设备____套；起重机____台、机动绞磨____台、液压机____台、电焊机____台；</w:t>
            </w:r>
          </w:p>
          <w:p>
            <w:pPr>
              <w:pStyle w:val="6"/>
              <w:keepNext w:val="0"/>
              <w:keepLines w:val="0"/>
              <w:pageBreakBefore w:val="0"/>
              <w:widowControl w:val="0"/>
              <w:tabs>
                <w:tab w:val="left" w:pos="1035"/>
              </w:tabs>
              <w:kinsoku/>
              <w:wordWrap/>
              <w:overflowPunct/>
              <w:topLinePunct w:val="0"/>
              <w:autoSpaceDE/>
              <w:autoSpaceDN/>
              <w:bidi w:val="0"/>
              <w:adjustRightInd/>
              <w:snapToGrid/>
              <w:spacing w:after="0" w:line="240" w:lineRule="auto"/>
              <w:ind w:left="0" w:leftChars="0" w:firstLine="0" w:firstLineChars="0"/>
              <w:textAlignment w:val="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三）电缆工程：起重机____台、电缆放线架____套、电缆输送机（含总控箱、分控箱）____套、电动液压泵____台、牵引机（机动绞磨）____台（套）、电缆校直机____台、超高压液压泵____台、多节电抗器调频式串联谐振耐压设备____台（套）；</w:t>
            </w:r>
          </w:p>
          <w:p>
            <w:pPr>
              <w:pStyle w:val="6"/>
              <w:keepNext w:val="0"/>
              <w:keepLines w:val="0"/>
              <w:pageBreakBefore w:val="0"/>
              <w:widowControl w:val="0"/>
              <w:tabs>
                <w:tab w:val="left" w:pos="1035"/>
              </w:tabs>
              <w:kinsoku/>
              <w:wordWrap/>
              <w:overflowPunct/>
              <w:topLinePunct w:val="0"/>
              <w:autoSpaceDE/>
              <w:autoSpaceDN/>
              <w:bidi w:val="0"/>
              <w:adjustRightInd/>
              <w:snapToGrid/>
              <w:spacing w:after="0" w:line="240" w:lineRule="auto"/>
              <w:ind w:left="0" w:leftChars="0" w:firstLine="0" w:firstLineChars="0"/>
              <w:textAlignment w:val="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（四）架空线路工程：全站仪（经纬仪）____台、起重机____台、电焊</w:t>
            </w:r>
            <w:r>
              <w:rPr>
                <w:rFonts w:hint="eastAsia" w:ascii="宋体" w:hAnsi="宋体" w:cs="宋体"/>
                <w:color w:val="auto"/>
                <w:sz w:val="21"/>
                <w:szCs w:val="21"/>
                <w:highlight w:val="none"/>
                <w:lang w:val="en-US" w:eastAsia="zh-CN"/>
              </w:rPr>
              <w:t>机</w:t>
            </w:r>
            <w:r>
              <w:rPr>
                <w:rFonts w:hint="eastAsia" w:ascii="宋体" w:hAnsi="宋体" w:cs="宋体"/>
                <w:color w:val="auto"/>
                <w:sz w:val="21"/>
                <w:szCs w:val="21"/>
                <w:highlight w:val="none"/>
                <w:lang w:eastAsia="zh-CN"/>
              </w:rPr>
              <w:t>____台、抱杆____套、机动绞磨____台、液压机____台；大牵引机____台、大张力机____台、小牵引机____台、小张力机____台；</w:t>
            </w:r>
          </w:p>
          <w:p>
            <w:pPr>
              <w:pStyle w:val="6"/>
              <w:keepNext w:val="0"/>
              <w:keepLines w:val="0"/>
              <w:pageBreakBefore w:val="0"/>
              <w:widowControl w:val="0"/>
              <w:tabs>
                <w:tab w:val="left" w:pos="1035"/>
              </w:tabs>
              <w:kinsoku/>
              <w:wordWrap/>
              <w:overflowPunct/>
              <w:topLinePunct w:val="0"/>
              <w:autoSpaceDE/>
              <w:autoSpaceDN/>
              <w:bidi w:val="0"/>
              <w:adjustRightInd/>
              <w:snapToGrid/>
              <w:spacing w:after="0" w:line="240" w:lineRule="auto"/>
              <w:ind w:left="0" w:leftChars="0" w:firstLine="0" w:firstLineChars="0"/>
              <w:textAlignment w:val="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五）试验及调试工程：起重机____台、多节电抗器调频式串联谐振耐压设备____台、回路电阻测试仪____台、变压器直流电阻测试仪____台、色谱分析仪____台、介质损耗测试仪____台、高压直流发生器、CT.PT特性测试仪____台、断路器机械特性测试仪____台、变压器绕组特性测试仪____台、线路参数测试仪____台、继电保护测试仪____台、变压器油微水测试仪____台、避雷器泄露电流测试仪____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eastAsia="zh-CN"/>
              </w:rPr>
              <w:t>（</w:t>
            </w:r>
            <w:r>
              <w:rPr>
                <w:rFonts w:hint="eastAsia" w:ascii="宋体" w:hAnsi="宋体" w:eastAsia="宋体" w:cs="宋体"/>
                <w:color w:val="auto"/>
                <w:sz w:val="21"/>
                <w:szCs w:val="21"/>
                <w:highlight w:val="none"/>
                <w:u w:val="single"/>
                <w:lang w:val="en-US" w:eastAsia="zh-CN"/>
              </w:rPr>
              <w:t>根据投标文件承诺填写</w:t>
            </w:r>
            <w:r>
              <w:rPr>
                <w:rFonts w:hint="eastAsia" w:ascii="宋体" w:hAnsi="宋体" w:eastAsia="宋体" w:cs="宋体"/>
                <w:color w:val="auto"/>
                <w:sz w:val="21"/>
                <w:szCs w:val="21"/>
                <w:highlight w:val="none"/>
                <w:u w:val="single"/>
                <w:lang w:eastAsia="zh-CN"/>
              </w:rPr>
              <w:t>）</w:t>
            </w:r>
            <w:r>
              <w:rPr>
                <w:rFonts w:hint="eastAsia" w:ascii="宋体" w:hAnsi="宋体" w:eastAsia="宋体" w:cs="宋体"/>
                <w:color w:val="auto"/>
                <w:sz w:val="21"/>
                <w:szCs w:val="21"/>
                <w:highlight w:val="none"/>
                <w:u w:val="single"/>
              </w:rPr>
              <w:t xml:space="preserve"> </w:t>
            </w:r>
            <w:permEnd w:id="28"/>
            <w:r>
              <w:rPr>
                <w:rFonts w:hint="eastAsia" w:ascii="宋体" w:hAnsi="宋体" w:cs="宋体"/>
                <w:color w:val="auto"/>
                <w:sz w:val="21"/>
                <w:szCs w:val="21"/>
                <w:highlight w:val="none"/>
                <w:lang w:eastAsia="zh-CN"/>
              </w:rPr>
              <w:t>。</w:t>
            </w:r>
          </w:p>
          <w:p>
            <w:pPr>
              <w:pStyle w:val="6"/>
              <w:keepNext w:val="0"/>
              <w:keepLines w:val="0"/>
              <w:pageBreakBefore w:val="0"/>
              <w:widowControl w:val="0"/>
              <w:tabs>
                <w:tab w:val="left" w:pos="1035"/>
              </w:tabs>
              <w:kinsoku/>
              <w:wordWrap/>
              <w:overflowPunct/>
              <w:topLinePunct w:val="0"/>
              <w:autoSpaceDE/>
              <w:autoSpaceDN/>
              <w:bidi w:val="0"/>
              <w:adjustRightInd/>
              <w:snapToGrid/>
              <w:spacing w:after="0" w:line="240" w:lineRule="auto"/>
              <w:ind w:left="0" w:leftChars="0" w:firstLine="0" w:firstLineChars="0"/>
              <w:textAlignment w:val="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承包人承诺投入符合国家规范和合同规定的，并满足本工程施工需求的自有施工机具设备，机具数量充足、性能完好、配备齐全，定期检修维保，关键施工机具配备备用设备，无租赁缺口，确保施工生产连续进行，机具投入数量及规格型号符合施工方案要求。</w:t>
            </w:r>
          </w:p>
          <w:p>
            <w:pPr>
              <w:pStyle w:val="6"/>
              <w:keepNext w:val="0"/>
              <w:keepLines w:val="0"/>
              <w:pageBreakBefore w:val="0"/>
              <w:widowControl w:val="0"/>
              <w:tabs>
                <w:tab w:val="left" w:pos="1035"/>
              </w:tabs>
              <w:kinsoku/>
              <w:wordWrap/>
              <w:overflowPunct/>
              <w:topLinePunct w:val="0"/>
              <w:autoSpaceDE/>
              <w:autoSpaceDN/>
              <w:bidi w:val="0"/>
              <w:adjustRightInd/>
              <w:snapToGrid/>
              <w:spacing w:after="0" w:line="240" w:lineRule="auto"/>
              <w:ind w:left="0" w:leftChars="0" w:firstLine="0" w:firstLineChars="0"/>
              <w:textAlignment w:val="auto"/>
              <w:rPr>
                <w:rFonts w:hint="eastAsia" w:ascii="宋体" w:hAnsi="宋体" w:cs="宋体"/>
                <w:b/>
                <w:bCs/>
                <w:color w:val="auto"/>
                <w:sz w:val="21"/>
                <w:szCs w:val="21"/>
                <w:highlight w:val="none"/>
                <w:lang w:eastAsia="zh-CN"/>
              </w:rPr>
            </w:pPr>
            <w:r>
              <w:rPr>
                <w:rFonts w:hint="eastAsia" w:ascii="宋体" w:hAnsi="宋体" w:cs="宋体"/>
                <w:b/>
                <w:bCs/>
                <w:color w:val="auto"/>
                <w:sz w:val="21"/>
                <w:szCs w:val="21"/>
                <w:highlight w:val="none"/>
                <w:lang w:val="en-US" w:eastAsia="zh-CN"/>
              </w:rPr>
              <w:t>11.2.</w:t>
            </w:r>
            <w:r>
              <w:rPr>
                <w:rFonts w:hint="eastAsia" w:ascii="宋体" w:hAnsi="宋体" w:cs="宋体"/>
                <w:b/>
                <w:bCs/>
                <w:color w:val="auto"/>
                <w:sz w:val="21"/>
                <w:szCs w:val="21"/>
                <w:highlight w:val="none"/>
                <w:lang w:eastAsia="zh-CN"/>
              </w:rPr>
              <w:t>3.分包管理</w:t>
            </w:r>
          </w:p>
          <w:p>
            <w:pPr>
              <w:pStyle w:val="6"/>
              <w:keepNext w:val="0"/>
              <w:keepLines w:val="0"/>
              <w:pageBreakBefore w:val="0"/>
              <w:widowControl w:val="0"/>
              <w:tabs>
                <w:tab w:val="left" w:pos="1035"/>
              </w:tabs>
              <w:kinsoku/>
              <w:wordWrap/>
              <w:overflowPunct/>
              <w:topLinePunct w:val="0"/>
              <w:autoSpaceDE/>
              <w:autoSpaceDN/>
              <w:bidi w:val="0"/>
              <w:adjustRightInd/>
              <w:snapToGrid/>
              <w:spacing w:after="0" w:line="240" w:lineRule="auto"/>
              <w:ind w:left="0" w:leftChars="0" w:firstLine="0" w:firstLineChars="0"/>
              <w:textAlignment w:val="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（1）承包人承诺，承包人及分包商不发生转包、违法分包和挂靠等违法违规行为。</w:t>
            </w:r>
          </w:p>
          <w:p>
            <w:pPr>
              <w:pStyle w:val="6"/>
              <w:keepNext w:val="0"/>
              <w:keepLines w:val="0"/>
              <w:pageBreakBefore w:val="0"/>
              <w:widowControl w:val="0"/>
              <w:tabs>
                <w:tab w:val="left" w:pos="1035"/>
              </w:tabs>
              <w:kinsoku/>
              <w:wordWrap/>
              <w:overflowPunct/>
              <w:topLinePunct w:val="0"/>
              <w:autoSpaceDE/>
              <w:autoSpaceDN/>
              <w:bidi w:val="0"/>
              <w:adjustRightInd/>
              <w:snapToGrid/>
              <w:spacing w:after="0" w:line="240" w:lineRule="auto"/>
              <w:ind w:left="0" w:leftChars="0" w:firstLine="0" w:firstLineChars="0"/>
              <w:textAlignment w:val="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（2）分包计划：本工程分包范围为：</w:t>
            </w:r>
            <w:sdt>
              <w:sdtPr>
                <w:rPr>
                  <w:rFonts w:hint="eastAsia" w:ascii="宋体" w:hAnsi="宋体" w:eastAsia="宋体" w:cs="宋体"/>
                  <w:color w:val="auto"/>
                  <w:kern w:val="2"/>
                  <w:sz w:val="21"/>
                  <w:szCs w:val="21"/>
                  <w:highlight w:val="none"/>
                  <w:lang w:val="en-US" w:eastAsia="zh-CN" w:bidi="ar-SA"/>
                </w:rPr>
                <w:alias w:val="合同大写金额"/>
                <w:tag w:val="合同大写金额"/>
                <w:id w:val="147453228"/>
                <w:placeholder>
                  <w:docPart w:val="{6977ee3f-ba47-4b90-b901-2c0416e90387}"/>
                </w:placeholder>
              </w:sdtPr>
              <w:sdtEndPr>
                <w:rPr>
                  <w:rFonts w:hint="eastAsia" w:ascii="宋体" w:hAnsi="宋体" w:eastAsia="宋体" w:cs="宋体"/>
                  <w:color w:val="auto"/>
                  <w:kern w:val="2"/>
                  <w:sz w:val="21"/>
                  <w:szCs w:val="21"/>
                  <w:highlight w:val="none"/>
                  <w:u w:val="single"/>
                  <w:lang w:val="en-US" w:eastAsia="zh-CN" w:bidi="ar-SA"/>
                </w:rPr>
              </w:sdtEndPr>
              <w:sdtContent>
                <w:permStart w:id="29" w:edGrp="everyone"/>
                <w:r>
                  <w:rPr>
                    <w:rFonts w:hint="eastAsia" w:ascii="宋体" w:hAnsi="宋体" w:eastAsia="宋体" w:cs="宋体"/>
                    <w:color w:val="auto"/>
                    <w:sz w:val="21"/>
                    <w:szCs w:val="21"/>
                    <w:highlight w:val="none"/>
                    <w:u w:val="single"/>
                  </w:rPr>
                  <w:t xml:space="preserve">        </w:t>
                </w:r>
              </w:sdtContent>
            </w:sdt>
            <w:r>
              <w:rPr>
                <w:rFonts w:hint="eastAsia" w:ascii="宋体" w:hAnsi="宋体" w:eastAsia="宋体" w:cs="宋体"/>
                <w:color w:val="auto"/>
                <w:sz w:val="21"/>
                <w:szCs w:val="21"/>
                <w:highlight w:val="none"/>
                <w:u w:val="single"/>
              </w:rPr>
              <w:t xml:space="preserve"> </w:t>
            </w:r>
            <w:permEnd w:id="29"/>
            <w:r>
              <w:rPr>
                <w:rFonts w:hint="eastAsia" w:ascii="宋体" w:hAnsi="宋体" w:cs="宋体"/>
                <w:color w:val="auto"/>
                <w:sz w:val="21"/>
                <w:szCs w:val="21"/>
                <w:highlight w:val="none"/>
                <w:lang w:eastAsia="zh-CN"/>
              </w:rPr>
              <w:t>。</w:t>
            </w:r>
          </w:p>
          <w:p>
            <w:pPr>
              <w:pStyle w:val="6"/>
              <w:keepNext w:val="0"/>
              <w:keepLines w:val="0"/>
              <w:pageBreakBefore w:val="0"/>
              <w:widowControl w:val="0"/>
              <w:tabs>
                <w:tab w:val="left" w:pos="1035"/>
              </w:tabs>
              <w:kinsoku/>
              <w:wordWrap/>
              <w:overflowPunct/>
              <w:topLinePunct w:val="0"/>
              <w:autoSpaceDE/>
              <w:autoSpaceDN/>
              <w:bidi w:val="0"/>
              <w:adjustRightInd/>
              <w:snapToGrid/>
              <w:spacing w:after="0" w:line="240" w:lineRule="auto"/>
              <w:ind w:left="0" w:leftChars="0" w:firstLine="0" w:firstLineChars="0"/>
              <w:textAlignment w:val="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（3）分包比例：本工程分包比例为：</w:t>
            </w:r>
            <w:sdt>
              <w:sdtPr>
                <w:rPr>
                  <w:rFonts w:hint="eastAsia" w:ascii="宋体" w:hAnsi="宋体" w:eastAsia="宋体" w:cs="宋体"/>
                  <w:color w:val="auto"/>
                  <w:kern w:val="2"/>
                  <w:sz w:val="21"/>
                  <w:szCs w:val="21"/>
                  <w:highlight w:val="none"/>
                  <w:lang w:val="en-US" w:eastAsia="zh-CN" w:bidi="ar-SA"/>
                </w:rPr>
                <w:alias w:val="合同大写金额"/>
                <w:tag w:val="合同大写金额"/>
                <w:id w:val="147463800"/>
                <w:placeholder>
                  <w:docPart w:val="{fa0eacd5-924d-4d03-ba87-4c36602019de}"/>
                </w:placeholder>
              </w:sdtPr>
              <w:sdtEndPr>
                <w:rPr>
                  <w:rFonts w:hint="eastAsia" w:ascii="宋体" w:hAnsi="宋体" w:eastAsia="宋体" w:cs="宋体"/>
                  <w:color w:val="auto"/>
                  <w:kern w:val="2"/>
                  <w:sz w:val="21"/>
                  <w:szCs w:val="21"/>
                  <w:highlight w:val="none"/>
                  <w:u w:val="single"/>
                  <w:lang w:val="en-US" w:eastAsia="zh-CN" w:bidi="ar-SA"/>
                </w:rPr>
              </w:sdtEndPr>
              <w:sdtContent>
                <w:permStart w:id="30" w:edGrp="everyone"/>
                <w:r>
                  <w:rPr>
                    <w:rFonts w:hint="eastAsia" w:ascii="宋体" w:hAnsi="宋体" w:eastAsia="宋体" w:cs="宋体"/>
                    <w:color w:val="auto"/>
                    <w:sz w:val="21"/>
                    <w:szCs w:val="21"/>
                    <w:highlight w:val="none"/>
                    <w:u w:val="single"/>
                  </w:rPr>
                  <w:t xml:space="preserve">        </w:t>
                </w:r>
              </w:sdtContent>
            </w:sdt>
            <w:r>
              <w:rPr>
                <w:rFonts w:hint="eastAsia" w:ascii="宋体" w:hAnsi="宋体" w:eastAsia="宋体" w:cs="宋体"/>
                <w:color w:val="auto"/>
                <w:sz w:val="21"/>
                <w:szCs w:val="21"/>
                <w:highlight w:val="none"/>
                <w:u w:val="single"/>
              </w:rPr>
              <w:t xml:space="preserve"> </w:t>
            </w:r>
            <w:permEnd w:id="30"/>
            <w:r>
              <w:rPr>
                <w:rFonts w:hint="eastAsia" w:ascii="宋体" w:hAnsi="宋体" w:cs="宋体"/>
                <w:color w:val="auto"/>
                <w:sz w:val="21"/>
                <w:szCs w:val="21"/>
                <w:highlight w:val="none"/>
                <w:lang w:eastAsia="zh-CN"/>
              </w:rPr>
              <w:t>。</w:t>
            </w:r>
          </w:p>
          <w:p>
            <w:pPr>
              <w:pStyle w:val="6"/>
              <w:keepNext w:val="0"/>
              <w:keepLines w:val="0"/>
              <w:pageBreakBefore w:val="0"/>
              <w:widowControl w:val="0"/>
              <w:tabs>
                <w:tab w:val="left" w:pos="1035"/>
              </w:tabs>
              <w:kinsoku/>
              <w:wordWrap/>
              <w:overflowPunct/>
              <w:topLinePunct w:val="0"/>
              <w:autoSpaceDE/>
              <w:autoSpaceDN/>
              <w:bidi w:val="0"/>
              <w:adjustRightInd/>
              <w:snapToGrid/>
              <w:spacing w:after="0" w:line="240" w:lineRule="auto"/>
              <w:ind w:left="0" w:leftChars="0" w:firstLine="0" w:firstLineChars="0"/>
              <w:textAlignment w:val="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注：如单个分包(配网：单个分包合同金额)金额超项目金额比例超过50%，或项目(配网：本合同整体分包金额)整体分包金额超项目金额比例超过75%时，须对分包实施计划的合法性、合理性作出详细论证，确保分包合法合规。</w:t>
            </w:r>
          </w:p>
          <w:p>
            <w:pPr>
              <w:pStyle w:val="6"/>
              <w:keepNext w:val="0"/>
              <w:keepLines w:val="0"/>
              <w:pageBreakBefore w:val="0"/>
              <w:widowControl w:val="0"/>
              <w:tabs>
                <w:tab w:val="left" w:pos="1035"/>
              </w:tabs>
              <w:kinsoku/>
              <w:wordWrap/>
              <w:overflowPunct/>
              <w:topLinePunct w:val="0"/>
              <w:autoSpaceDE/>
              <w:autoSpaceDN/>
              <w:bidi w:val="0"/>
              <w:adjustRightInd/>
              <w:snapToGrid/>
              <w:spacing w:after="0" w:line="240" w:lineRule="auto"/>
              <w:ind w:left="0" w:leftChars="0" w:firstLine="0" w:firstLineChars="0"/>
              <w:textAlignment w:val="auto"/>
              <w:rPr>
                <w:rFonts w:hint="eastAsia" w:ascii="宋体" w:hAnsi="宋体" w:cs="宋体"/>
                <w:b/>
                <w:bCs/>
                <w:color w:val="auto"/>
                <w:sz w:val="21"/>
                <w:szCs w:val="21"/>
                <w:highlight w:val="none"/>
                <w:lang w:eastAsia="zh-CN"/>
              </w:rPr>
            </w:pPr>
            <w:r>
              <w:rPr>
                <w:rFonts w:hint="eastAsia" w:ascii="宋体" w:hAnsi="宋体" w:cs="宋体"/>
                <w:b/>
                <w:bCs/>
                <w:color w:val="auto"/>
                <w:sz w:val="21"/>
                <w:szCs w:val="21"/>
                <w:highlight w:val="none"/>
                <w:lang w:val="en-US" w:eastAsia="zh-CN"/>
              </w:rPr>
              <w:t>11.2.</w:t>
            </w:r>
            <w:r>
              <w:rPr>
                <w:rFonts w:hint="eastAsia" w:ascii="宋体" w:hAnsi="宋体" w:cs="宋体"/>
                <w:b/>
                <w:bCs/>
                <w:color w:val="auto"/>
                <w:sz w:val="21"/>
                <w:szCs w:val="21"/>
                <w:highlight w:val="none"/>
                <w:lang w:eastAsia="zh-CN"/>
              </w:rPr>
              <w:t>4.安全文明施工投入</w:t>
            </w:r>
          </w:p>
          <w:p>
            <w:pPr>
              <w:pStyle w:val="6"/>
              <w:keepNext w:val="0"/>
              <w:keepLines w:val="0"/>
              <w:pageBreakBefore w:val="0"/>
              <w:widowControl w:val="0"/>
              <w:tabs>
                <w:tab w:val="left" w:pos="1035"/>
              </w:tabs>
              <w:kinsoku/>
              <w:wordWrap/>
              <w:overflowPunct/>
              <w:topLinePunct w:val="0"/>
              <w:autoSpaceDE/>
              <w:autoSpaceDN/>
              <w:bidi w:val="0"/>
              <w:adjustRightInd/>
              <w:snapToGrid/>
              <w:spacing w:after="0" w:line="240" w:lineRule="auto"/>
              <w:ind w:left="0" w:leftChars="0" w:firstLine="420" w:firstLineChars="200"/>
              <w:textAlignment w:val="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本工程安全文明施工费为：</w:t>
            </w:r>
            <w:sdt>
              <w:sdtPr>
                <w:rPr>
                  <w:rFonts w:hint="eastAsia" w:ascii="宋体" w:hAnsi="宋体" w:eastAsia="宋体" w:cs="宋体"/>
                  <w:color w:val="auto"/>
                  <w:kern w:val="2"/>
                  <w:sz w:val="21"/>
                  <w:szCs w:val="21"/>
                  <w:highlight w:val="none"/>
                  <w:lang w:val="en-US" w:eastAsia="zh-CN" w:bidi="ar-SA"/>
                </w:rPr>
                <w:alias w:val="合同大写金额"/>
                <w:tag w:val="合同大写金额"/>
                <w:id w:val="147477451"/>
                <w:placeholder>
                  <w:docPart w:val="{8001e842-ae4c-4e60-9152-0464bc3dce8b}"/>
                </w:placeholder>
              </w:sdtPr>
              <w:sdtEndPr>
                <w:rPr>
                  <w:rFonts w:hint="eastAsia" w:ascii="宋体" w:hAnsi="宋体" w:eastAsia="宋体" w:cs="宋体"/>
                  <w:color w:val="auto"/>
                  <w:kern w:val="2"/>
                  <w:sz w:val="21"/>
                  <w:szCs w:val="21"/>
                  <w:highlight w:val="none"/>
                  <w:u w:val="single"/>
                  <w:lang w:val="en-US" w:eastAsia="zh-CN" w:bidi="ar-SA"/>
                </w:rPr>
              </w:sdtEndPr>
              <w:sdtContent>
                <w:permStart w:id="31" w:edGrp="everyone"/>
                <w:r>
                  <w:rPr>
                    <w:rFonts w:hint="eastAsia" w:ascii="宋体" w:hAnsi="宋体" w:eastAsia="宋体" w:cs="宋体"/>
                    <w:color w:val="auto"/>
                    <w:sz w:val="21"/>
                    <w:szCs w:val="21"/>
                    <w:highlight w:val="none"/>
                    <w:u w:val="single"/>
                  </w:rPr>
                  <w:t xml:space="preserve">        </w:t>
                </w:r>
              </w:sdtContent>
            </w:sdt>
            <w:r>
              <w:rPr>
                <w:rFonts w:hint="eastAsia" w:ascii="宋体" w:hAnsi="宋体" w:eastAsia="宋体" w:cs="宋体"/>
                <w:color w:val="auto"/>
                <w:sz w:val="21"/>
                <w:szCs w:val="21"/>
                <w:highlight w:val="none"/>
                <w:u w:val="single"/>
              </w:rPr>
              <w:t xml:space="preserve"> </w:t>
            </w:r>
            <w:permEnd w:id="31"/>
            <w:r>
              <w:rPr>
                <w:rFonts w:hint="eastAsia" w:ascii="宋体" w:hAnsi="宋体" w:cs="宋体"/>
                <w:color w:val="auto"/>
                <w:sz w:val="21"/>
                <w:szCs w:val="21"/>
                <w:highlight w:val="none"/>
                <w:lang w:eastAsia="zh-CN"/>
              </w:rPr>
              <w:t>元。</w:t>
            </w:r>
          </w:p>
          <w:p>
            <w:pPr>
              <w:pStyle w:val="6"/>
              <w:keepNext w:val="0"/>
              <w:keepLines w:val="0"/>
              <w:pageBreakBefore w:val="0"/>
              <w:widowControl w:val="0"/>
              <w:tabs>
                <w:tab w:val="left" w:pos="1035"/>
              </w:tabs>
              <w:kinsoku/>
              <w:wordWrap/>
              <w:overflowPunct/>
              <w:topLinePunct w:val="0"/>
              <w:autoSpaceDE/>
              <w:autoSpaceDN/>
              <w:bidi w:val="0"/>
              <w:adjustRightInd/>
              <w:snapToGrid/>
              <w:spacing w:after="0" w:line="240" w:lineRule="auto"/>
              <w:ind w:left="0" w:leftChars="0" w:firstLine="420" w:firstLineChars="200"/>
              <w:textAlignment w:val="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严格执行国家法律法规、行业标准及南方电网公司管理规定，以及按投标文件中的安全文明施工实施方案。落实本工程安全文明施工专项投入，涵盖安全防护、文明施工、环境保护、临时设施等全部相关费用，承包人确保专款专用，不得挪作他用，保障施工安全及现场文明达标。</w:t>
            </w:r>
          </w:p>
          <w:p>
            <w:pPr>
              <w:pStyle w:val="6"/>
              <w:keepNext w:val="0"/>
              <w:keepLines w:val="0"/>
              <w:pageBreakBefore w:val="0"/>
              <w:widowControl w:val="0"/>
              <w:tabs>
                <w:tab w:val="left" w:pos="1035"/>
              </w:tabs>
              <w:kinsoku/>
              <w:wordWrap/>
              <w:overflowPunct/>
              <w:topLinePunct w:val="0"/>
              <w:autoSpaceDE/>
              <w:autoSpaceDN/>
              <w:bidi w:val="0"/>
              <w:adjustRightInd/>
              <w:snapToGrid/>
              <w:spacing w:after="0" w:line="240" w:lineRule="auto"/>
              <w:ind w:left="0" w:leftChars="0" w:firstLine="0" w:firstLineChars="0"/>
              <w:textAlignment w:val="auto"/>
              <w:rPr>
                <w:rFonts w:hint="eastAsia" w:ascii="宋体" w:hAnsi="宋体" w:cs="宋体"/>
                <w:b/>
                <w:bCs/>
                <w:color w:val="auto"/>
                <w:sz w:val="21"/>
                <w:szCs w:val="21"/>
                <w:highlight w:val="none"/>
                <w:lang w:eastAsia="zh-CN"/>
              </w:rPr>
            </w:pPr>
            <w:r>
              <w:rPr>
                <w:rFonts w:hint="eastAsia" w:ascii="宋体" w:hAnsi="宋体" w:cs="宋体"/>
                <w:b/>
                <w:bCs/>
                <w:color w:val="auto"/>
                <w:sz w:val="21"/>
                <w:szCs w:val="21"/>
                <w:highlight w:val="none"/>
                <w:lang w:val="en-US" w:eastAsia="zh-CN"/>
              </w:rPr>
              <w:t>11.2.</w:t>
            </w:r>
            <w:r>
              <w:rPr>
                <w:rFonts w:hint="eastAsia" w:ascii="宋体" w:hAnsi="宋体" w:cs="宋体"/>
                <w:b/>
                <w:bCs/>
                <w:color w:val="auto"/>
                <w:sz w:val="21"/>
                <w:szCs w:val="21"/>
                <w:highlight w:val="none"/>
                <w:lang w:eastAsia="zh-CN"/>
              </w:rPr>
              <w:t>5.廉洁承诺</w:t>
            </w:r>
          </w:p>
          <w:p>
            <w:pPr>
              <w:pStyle w:val="6"/>
              <w:keepNext w:val="0"/>
              <w:keepLines w:val="0"/>
              <w:pageBreakBefore w:val="0"/>
              <w:widowControl w:val="0"/>
              <w:tabs>
                <w:tab w:val="left" w:pos="1035"/>
              </w:tabs>
              <w:kinsoku/>
              <w:wordWrap/>
              <w:overflowPunct/>
              <w:topLinePunct w:val="0"/>
              <w:autoSpaceDE/>
              <w:autoSpaceDN/>
              <w:bidi w:val="0"/>
              <w:adjustRightInd/>
              <w:snapToGrid/>
              <w:spacing w:after="0" w:line="240" w:lineRule="auto"/>
              <w:ind w:left="0" w:leftChars="0" w:firstLine="420" w:firstLineChars="200"/>
              <w:textAlignment w:val="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承包人承诺不违反国家及本合同有关廉洁规定，不违反投标文件中相关的廉洁诚信承诺书内容。</w:t>
            </w:r>
          </w:p>
          <w:p>
            <w:pPr>
              <w:pStyle w:val="6"/>
              <w:keepNext w:val="0"/>
              <w:keepLines w:val="0"/>
              <w:pageBreakBefore w:val="0"/>
              <w:widowControl w:val="0"/>
              <w:tabs>
                <w:tab w:val="left" w:pos="1035"/>
              </w:tabs>
              <w:kinsoku/>
              <w:wordWrap/>
              <w:overflowPunct/>
              <w:topLinePunct w:val="0"/>
              <w:autoSpaceDE/>
              <w:autoSpaceDN/>
              <w:bidi w:val="0"/>
              <w:adjustRightInd/>
              <w:snapToGrid/>
              <w:spacing w:after="0" w:line="240" w:lineRule="auto"/>
              <w:ind w:left="0" w:leftChars="0" w:firstLine="0" w:firstLineChars="0"/>
              <w:textAlignment w:val="auto"/>
              <w:rPr>
                <w:rFonts w:hint="eastAsia" w:ascii="宋体" w:hAnsi="宋体" w:cs="宋体"/>
                <w:b/>
                <w:bCs/>
                <w:color w:val="auto"/>
                <w:sz w:val="21"/>
                <w:szCs w:val="21"/>
                <w:highlight w:val="none"/>
                <w:lang w:eastAsia="zh-CN"/>
              </w:rPr>
            </w:pPr>
            <w:r>
              <w:rPr>
                <w:rFonts w:hint="eastAsia" w:ascii="宋体" w:hAnsi="宋体" w:cs="宋体"/>
                <w:b/>
                <w:bCs/>
                <w:color w:val="auto"/>
                <w:sz w:val="21"/>
                <w:szCs w:val="21"/>
                <w:highlight w:val="none"/>
                <w:lang w:val="en-US" w:eastAsia="zh-CN"/>
              </w:rPr>
              <w:t>11.2.</w:t>
            </w:r>
            <w:r>
              <w:rPr>
                <w:rFonts w:hint="eastAsia" w:ascii="宋体" w:hAnsi="宋体" w:cs="宋体"/>
                <w:b/>
                <w:bCs/>
                <w:color w:val="auto"/>
                <w:sz w:val="21"/>
                <w:szCs w:val="21"/>
                <w:highlight w:val="none"/>
                <w:lang w:eastAsia="zh-CN"/>
              </w:rPr>
              <w:t>6.技术指标</w:t>
            </w:r>
          </w:p>
          <w:p>
            <w:pPr>
              <w:pStyle w:val="6"/>
              <w:keepNext w:val="0"/>
              <w:keepLines w:val="0"/>
              <w:pageBreakBefore w:val="0"/>
              <w:widowControl w:val="0"/>
              <w:tabs>
                <w:tab w:val="left" w:pos="1035"/>
              </w:tabs>
              <w:kinsoku/>
              <w:wordWrap/>
              <w:overflowPunct/>
              <w:topLinePunct w:val="0"/>
              <w:autoSpaceDE/>
              <w:autoSpaceDN/>
              <w:bidi w:val="0"/>
              <w:adjustRightInd/>
              <w:snapToGrid/>
              <w:spacing w:after="0" w:line="240" w:lineRule="auto"/>
              <w:ind w:left="0" w:leftChars="0" w:firstLine="0" w:firstLineChars="0"/>
              <w:textAlignment w:val="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（1）工程机械化率：本工程投标人承诺的机械化率为</w:t>
            </w:r>
            <w:sdt>
              <w:sdtPr>
                <w:rPr>
                  <w:rFonts w:hint="eastAsia" w:ascii="宋体" w:hAnsi="宋体" w:eastAsia="宋体" w:cs="宋体"/>
                  <w:color w:val="auto"/>
                  <w:kern w:val="2"/>
                  <w:sz w:val="21"/>
                  <w:szCs w:val="21"/>
                  <w:highlight w:val="none"/>
                  <w:lang w:val="en-US" w:eastAsia="zh-CN" w:bidi="ar-SA"/>
                </w:rPr>
                <w:alias w:val="合同大写金额"/>
                <w:tag w:val="合同大写金额"/>
                <w:id w:val="147461372"/>
                <w:placeholder>
                  <w:docPart w:val="{2b574b18-759c-4d1c-ac0d-bf5d60f34fa7}"/>
                </w:placeholder>
              </w:sdtPr>
              <w:sdtEndPr>
                <w:rPr>
                  <w:rFonts w:hint="eastAsia" w:ascii="宋体" w:hAnsi="宋体" w:eastAsia="宋体" w:cs="宋体"/>
                  <w:color w:val="auto"/>
                  <w:kern w:val="2"/>
                  <w:sz w:val="21"/>
                  <w:szCs w:val="21"/>
                  <w:highlight w:val="none"/>
                  <w:u w:val="single"/>
                  <w:lang w:val="en-US" w:eastAsia="zh-CN" w:bidi="ar-SA"/>
                </w:rPr>
              </w:sdtEndPr>
              <w:sdtContent>
                <w:permStart w:id="32" w:edGrp="everyone"/>
                <w:r>
                  <w:rPr>
                    <w:rFonts w:hint="eastAsia" w:ascii="宋体" w:hAnsi="宋体" w:eastAsia="宋体" w:cs="宋体"/>
                    <w:color w:val="auto"/>
                    <w:sz w:val="21"/>
                    <w:szCs w:val="21"/>
                    <w:highlight w:val="none"/>
                    <w:u w:val="single"/>
                  </w:rPr>
                  <w:t xml:space="preserve">        </w:t>
                </w:r>
              </w:sdtContent>
            </w:sdt>
            <w:r>
              <w:rPr>
                <w:rFonts w:hint="eastAsia" w:ascii="宋体" w:hAnsi="宋体" w:eastAsia="宋体" w:cs="宋体"/>
                <w:color w:val="auto"/>
                <w:sz w:val="21"/>
                <w:szCs w:val="21"/>
                <w:highlight w:val="none"/>
                <w:u w:val="single"/>
              </w:rPr>
              <w:t xml:space="preserve"> </w:t>
            </w:r>
            <w:permEnd w:id="32"/>
            <w:r>
              <w:rPr>
                <w:rFonts w:hint="eastAsia" w:ascii="宋体" w:hAnsi="宋体" w:cs="宋体"/>
                <w:color w:val="auto"/>
                <w:sz w:val="21"/>
                <w:szCs w:val="21"/>
                <w:highlight w:val="none"/>
                <w:lang w:eastAsia="zh-CN"/>
              </w:rPr>
              <w:t>%。</w:t>
            </w:r>
          </w:p>
          <w:p>
            <w:pPr>
              <w:pStyle w:val="6"/>
              <w:keepNext w:val="0"/>
              <w:keepLines w:val="0"/>
              <w:pageBreakBefore w:val="0"/>
              <w:widowControl w:val="0"/>
              <w:tabs>
                <w:tab w:val="left" w:pos="1035"/>
              </w:tabs>
              <w:kinsoku/>
              <w:wordWrap/>
              <w:overflowPunct/>
              <w:topLinePunct w:val="0"/>
              <w:autoSpaceDE/>
              <w:autoSpaceDN/>
              <w:bidi w:val="0"/>
              <w:adjustRightInd/>
              <w:snapToGrid/>
              <w:spacing w:after="0" w:line="240" w:lineRule="auto"/>
              <w:ind w:left="0" w:leftChars="0" w:firstLine="0" w:firstLineChars="0"/>
              <w:textAlignment w:val="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执行南方电网有限责任公司、广东电网有限责任公司电网工程机械化施工相关要求。编制机械化施工方案，在施工临时占地、施工道路修筑和场地平整、物料运输、基础工程、杆塔组立、架线、接地施工等场景施工装备及施工方式。机械化率达到承包人投标承诺的要求。</w:t>
            </w:r>
          </w:p>
          <w:p>
            <w:pPr>
              <w:pStyle w:val="6"/>
              <w:keepNext w:val="0"/>
              <w:keepLines w:val="0"/>
              <w:pageBreakBefore w:val="0"/>
              <w:widowControl w:val="0"/>
              <w:tabs>
                <w:tab w:val="left" w:pos="1035"/>
              </w:tabs>
              <w:kinsoku/>
              <w:wordWrap/>
              <w:overflowPunct/>
              <w:topLinePunct w:val="0"/>
              <w:autoSpaceDE/>
              <w:autoSpaceDN/>
              <w:bidi w:val="0"/>
              <w:adjustRightInd/>
              <w:snapToGrid/>
              <w:spacing w:after="0" w:line="240" w:lineRule="auto"/>
              <w:ind w:left="0" w:leftChars="0" w:firstLine="0" w:firstLineChars="0"/>
              <w:textAlignment w:val="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（2）其他：</w:t>
            </w:r>
            <w:sdt>
              <w:sdtPr>
                <w:rPr>
                  <w:rFonts w:hint="eastAsia" w:ascii="宋体" w:hAnsi="宋体" w:eastAsia="宋体" w:cs="宋体"/>
                  <w:color w:val="auto"/>
                  <w:kern w:val="2"/>
                  <w:sz w:val="21"/>
                  <w:szCs w:val="21"/>
                  <w:highlight w:val="none"/>
                  <w:lang w:val="en-US" w:eastAsia="zh-CN" w:bidi="ar-SA"/>
                </w:rPr>
                <w:alias w:val="合同大写金额"/>
                <w:tag w:val="合同大写金额"/>
                <w:id w:val="147459960"/>
                <w:placeholder>
                  <w:docPart w:val="{af4fc75b-d332-470d-bf70-1285583b22fb}"/>
                </w:placeholder>
              </w:sdtPr>
              <w:sdtEndPr>
                <w:rPr>
                  <w:rFonts w:hint="eastAsia" w:ascii="宋体" w:hAnsi="宋体" w:eastAsia="宋体" w:cs="宋体"/>
                  <w:color w:val="auto"/>
                  <w:kern w:val="2"/>
                  <w:sz w:val="21"/>
                  <w:szCs w:val="21"/>
                  <w:highlight w:val="none"/>
                  <w:u w:val="single"/>
                  <w:lang w:val="en-US" w:eastAsia="zh-CN" w:bidi="ar-SA"/>
                </w:rPr>
              </w:sdtEndPr>
              <w:sdtContent>
                <w:permStart w:id="33" w:edGrp="everyone"/>
                <w:r>
                  <w:rPr>
                    <w:rFonts w:hint="eastAsia" w:ascii="宋体" w:hAnsi="宋体" w:eastAsia="宋体" w:cs="宋体"/>
                    <w:color w:val="auto"/>
                    <w:sz w:val="21"/>
                    <w:szCs w:val="21"/>
                    <w:highlight w:val="none"/>
                    <w:u w:val="single"/>
                  </w:rPr>
                  <w:t xml:space="preserve">        </w:t>
                </w:r>
              </w:sdtContent>
            </w:sdt>
            <w:r>
              <w:rPr>
                <w:rFonts w:hint="eastAsia" w:ascii="宋体" w:hAnsi="宋体" w:eastAsia="宋体" w:cs="宋体"/>
                <w:color w:val="auto"/>
                <w:sz w:val="21"/>
                <w:szCs w:val="21"/>
                <w:highlight w:val="none"/>
                <w:u w:val="single"/>
              </w:rPr>
              <w:t xml:space="preserve"> </w:t>
            </w:r>
            <w:permEnd w:id="33"/>
            <w:r>
              <w:rPr>
                <w:rFonts w:hint="eastAsia" w:ascii="宋体" w:hAnsi="宋体" w:cs="宋体"/>
                <w:color w:val="auto"/>
                <w:sz w:val="21"/>
                <w:szCs w:val="21"/>
                <w:highlight w:val="none"/>
                <w:lang w:eastAsia="zh-CN"/>
              </w:rPr>
              <w:t>。</w:t>
            </w:r>
          </w:p>
          <w:p>
            <w:pPr>
              <w:pStyle w:val="6"/>
              <w:keepNext w:val="0"/>
              <w:keepLines w:val="0"/>
              <w:pageBreakBefore w:val="0"/>
              <w:widowControl w:val="0"/>
              <w:tabs>
                <w:tab w:val="left" w:pos="1035"/>
              </w:tabs>
              <w:kinsoku/>
              <w:wordWrap/>
              <w:overflowPunct/>
              <w:topLinePunct w:val="0"/>
              <w:autoSpaceDE/>
              <w:autoSpaceDN/>
              <w:bidi w:val="0"/>
              <w:adjustRightInd/>
              <w:snapToGrid/>
              <w:spacing w:after="0" w:line="240" w:lineRule="auto"/>
              <w:ind w:left="0" w:leftChars="0" w:firstLine="0" w:firstLineChars="0"/>
              <w:textAlignment w:val="auto"/>
              <w:rPr>
                <w:rFonts w:hint="eastAsia" w:ascii="宋体" w:hAnsi="宋体" w:cs="宋体"/>
                <w:b/>
                <w:bCs/>
                <w:color w:val="auto"/>
                <w:sz w:val="21"/>
                <w:szCs w:val="21"/>
                <w:highlight w:val="none"/>
                <w:lang w:eastAsia="zh-CN"/>
              </w:rPr>
            </w:pPr>
            <w:r>
              <w:rPr>
                <w:rFonts w:hint="eastAsia" w:ascii="宋体" w:hAnsi="宋体" w:cs="宋体"/>
                <w:b/>
                <w:bCs/>
                <w:color w:val="auto"/>
                <w:sz w:val="21"/>
                <w:szCs w:val="21"/>
                <w:highlight w:val="none"/>
                <w:lang w:val="en-US" w:eastAsia="zh-CN"/>
              </w:rPr>
              <w:t>11.2.</w:t>
            </w:r>
            <w:r>
              <w:rPr>
                <w:rFonts w:hint="eastAsia" w:ascii="宋体" w:hAnsi="宋体" w:cs="宋体"/>
                <w:b/>
                <w:bCs/>
                <w:color w:val="auto"/>
                <w:sz w:val="21"/>
                <w:szCs w:val="21"/>
                <w:highlight w:val="none"/>
                <w:lang w:eastAsia="zh-CN"/>
              </w:rPr>
              <w:t>7.施工承载力</w:t>
            </w:r>
          </w:p>
          <w:p>
            <w:pPr>
              <w:pStyle w:val="6"/>
              <w:keepNext w:val="0"/>
              <w:keepLines w:val="0"/>
              <w:pageBreakBefore w:val="0"/>
              <w:widowControl w:val="0"/>
              <w:tabs>
                <w:tab w:val="left" w:pos="1035"/>
              </w:tabs>
              <w:kinsoku/>
              <w:wordWrap/>
              <w:overflowPunct/>
              <w:topLinePunct w:val="0"/>
              <w:autoSpaceDE/>
              <w:autoSpaceDN/>
              <w:bidi w:val="0"/>
              <w:adjustRightInd/>
              <w:snapToGrid/>
              <w:spacing w:after="0" w:line="240" w:lineRule="auto"/>
              <w:ind w:left="0" w:leftChars="0" w:firstLine="420" w:firstLineChars="200"/>
              <w:textAlignment w:val="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合同履行期间，发包人将根据承包人项目部管理人员、作业班组管理人员出勤与作业数量开展月度施工能力评价，承包人确保项目实际资源投入，若施工能力评价结果重载的，按发包人整改要求与整改时限完成整改。</w:t>
            </w:r>
          </w:p>
        </w:tc>
        <w:tc>
          <w:tcPr>
            <w:tcW w:w="687" w:type="dxa"/>
            <w:noWrap w:val="0"/>
            <w:vAlign w:val="center"/>
          </w:tcPr>
          <w:p>
            <w:pPr>
              <w:keepNext w:val="0"/>
              <w:keepLines w:val="0"/>
              <w:pageBreakBefore w:val="0"/>
              <w:widowControl/>
              <w:kinsoku/>
              <w:wordWrap/>
              <w:overflowPunct/>
              <w:topLinePunct w:val="0"/>
              <w:bidi w:val="0"/>
              <w:spacing w:line="240" w:lineRule="auto"/>
              <w:ind w:firstLine="0" w:firstLineChars="0"/>
              <w:jc w:val="left"/>
              <w:textAlignment w:val="auto"/>
              <w:rPr>
                <w:rFonts w:hint="eastAsia" w:ascii="宋体" w:hAnsi="宋体" w:eastAsia="宋体" w:cs="宋体"/>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82" w:type="dxa"/>
            <w:noWrap w:val="0"/>
            <w:vAlign w:val="center"/>
          </w:tcPr>
          <w:p>
            <w:pPr>
              <w:pStyle w:val="15"/>
              <w:keepNext w:val="0"/>
              <w:keepLines w:val="0"/>
              <w:pageBreakBefore w:val="0"/>
              <w:numPr>
                <w:ilvl w:val="0"/>
                <w:numId w:val="1"/>
              </w:numPr>
              <w:kinsoku/>
              <w:wordWrap/>
              <w:overflowPunct/>
              <w:topLinePunct w:val="0"/>
              <w:autoSpaceDE/>
              <w:autoSpaceDN/>
              <w:bidi w:val="0"/>
              <w:adjustRightInd w:val="0"/>
              <w:snapToGrid w:val="0"/>
              <w:spacing w:line="240" w:lineRule="auto"/>
              <w:ind w:left="0" w:firstLine="0" w:firstLineChars="0"/>
              <w:jc w:val="center"/>
              <w:textAlignment w:val="auto"/>
              <w:rPr>
                <w:rFonts w:hint="eastAsia" w:ascii="宋体" w:hAnsi="宋体" w:eastAsia="宋体" w:cs="宋体"/>
                <w:color w:val="auto"/>
                <w:kern w:val="0"/>
                <w:sz w:val="21"/>
                <w:szCs w:val="21"/>
                <w:highlight w:val="none"/>
              </w:rPr>
            </w:pPr>
          </w:p>
        </w:tc>
        <w:tc>
          <w:tcPr>
            <w:tcW w:w="1108" w:type="dxa"/>
            <w:noWrap w:val="0"/>
            <w:vAlign w:val="center"/>
          </w:tcPr>
          <w:p>
            <w:pPr>
              <w:pStyle w:val="15"/>
              <w:keepNext w:val="0"/>
              <w:keepLines w:val="0"/>
              <w:pageBreakBefore w:val="0"/>
              <w:numPr>
                <w:ilvl w:val="0"/>
                <w:numId w:val="0"/>
              </w:numPr>
              <w:kinsoku/>
              <w:wordWrap/>
              <w:overflowPunct/>
              <w:topLinePunct w:val="0"/>
              <w:bidi w:val="0"/>
              <w:spacing w:line="240" w:lineRule="auto"/>
              <w:ind w:left="0" w:leftChars="0" w:firstLine="0" w:firstLineChars="0"/>
              <w:textAlignment w:val="auto"/>
              <w:rPr>
                <w:rFonts w:hint="eastAsia" w:ascii="宋体" w:hAnsi="宋体" w:cs="宋体"/>
                <w:color w:val="auto"/>
                <w:kern w:val="0"/>
                <w:sz w:val="21"/>
                <w:szCs w:val="21"/>
                <w:highlight w:val="none"/>
                <w:lang w:val="en-US" w:eastAsia="zh-CN"/>
              </w:rPr>
            </w:pPr>
            <w:r>
              <w:rPr>
                <w:rFonts w:hint="eastAsia" w:ascii="宋体" w:hAnsi="宋体" w:cs="宋体"/>
                <w:color w:val="auto"/>
                <w:kern w:val="0"/>
                <w:sz w:val="21"/>
                <w:szCs w:val="21"/>
                <w:highlight w:val="none"/>
                <w:lang w:val="en-US" w:eastAsia="zh-CN"/>
              </w:rPr>
              <w:t>新增</w:t>
            </w:r>
          </w:p>
        </w:tc>
        <w:tc>
          <w:tcPr>
            <w:tcW w:w="1262" w:type="dxa"/>
            <w:noWrap w:val="0"/>
            <w:vAlign w:val="center"/>
          </w:tcPr>
          <w:p>
            <w:pPr>
              <w:pStyle w:val="15"/>
              <w:keepNext w:val="0"/>
              <w:keepLines w:val="0"/>
              <w:pageBreakBefore w:val="0"/>
              <w:numPr>
                <w:ilvl w:val="0"/>
                <w:numId w:val="0"/>
              </w:numPr>
              <w:kinsoku/>
              <w:wordWrap/>
              <w:overflowPunct/>
              <w:topLinePunct w:val="0"/>
              <w:bidi w:val="0"/>
              <w:spacing w:line="240" w:lineRule="auto"/>
              <w:ind w:leftChars="0" w:firstLine="0" w:firstLineChars="0"/>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专用合同条款</w:t>
            </w:r>
          </w:p>
          <w:p>
            <w:pPr>
              <w:pStyle w:val="15"/>
              <w:keepNext w:val="0"/>
              <w:keepLines w:val="0"/>
              <w:pageBreakBefore w:val="0"/>
              <w:numPr>
                <w:ilvl w:val="0"/>
                <w:numId w:val="0"/>
              </w:numPr>
              <w:kinsoku/>
              <w:wordWrap/>
              <w:overflowPunct/>
              <w:topLinePunct w:val="0"/>
              <w:bidi w:val="0"/>
              <w:spacing w:line="240" w:lineRule="auto"/>
              <w:ind w:leftChars="0" w:firstLine="0" w:firstLineChars="0"/>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 一般约定</w:t>
            </w:r>
          </w:p>
          <w:p>
            <w:pPr>
              <w:pStyle w:val="15"/>
              <w:keepNext w:val="0"/>
              <w:keepLines w:val="0"/>
              <w:pageBreakBefore w:val="0"/>
              <w:numPr>
                <w:ilvl w:val="0"/>
                <w:numId w:val="0"/>
              </w:numPr>
              <w:kinsoku/>
              <w:wordWrap/>
              <w:overflowPunct/>
              <w:topLinePunct w:val="0"/>
              <w:bidi w:val="0"/>
              <w:spacing w:line="240" w:lineRule="auto"/>
              <w:ind w:left="0" w:leftChars="0" w:firstLine="0" w:firstLineChars="0"/>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sz w:val="21"/>
                <w:szCs w:val="21"/>
                <w:highlight w:val="none"/>
              </w:rPr>
              <w:t>1.1.</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rPr>
              <w:t>款</w:t>
            </w:r>
          </w:p>
        </w:tc>
        <w:tc>
          <w:tcPr>
            <w:tcW w:w="5760" w:type="dxa"/>
            <w:noWrap w:val="0"/>
            <w:vAlign w:val="center"/>
          </w:tcPr>
          <w:p>
            <w:pPr>
              <w:keepNext w:val="0"/>
              <w:keepLines w:val="0"/>
              <w:pageBreakBefore w:val="0"/>
              <w:kinsoku/>
              <w:wordWrap/>
              <w:overflowPunct/>
              <w:topLinePunct w:val="0"/>
              <w:autoSpaceDE w:val="0"/>
              <w:autoSpaceDN w:val="0"/>
              <w:bidi w:val="0"/>
              <w:adjustRightInd w:val="0"/>
              <w:snapToGrid w:val="0"/>
              <w:spacing w:line="240" w:lineRule="auto"/>
              <w:ind w:firstLine="420" w:firstLineChars="200"/>
              <w:jc w:val="left"/>
              <w:textAlignment w:val="auto"/>
              <w:rPr>
                <w:rFonts w:hint="eastAsia" w:ascii="宋体" w:hAnsi="宋体" w:eastAsia="宋体" w:cs="宋体"/>
                <w:snapToGrid w:val="0"/>
                <w:color w:val="auto"/>
                <w:sz w:val="21"/>
                <w:szCs w:val="21"/>
                <w:highlight w:val="none"/>
                <w:lang w:val="en-US" w:eastAsia="zh-CN"/>
              </w:rPr>
            </w:pPr>
            <w:r>
              <w:rPr>
                <w:rFonts w:hint="eastAsia" w:ascii="宋体" w:hAnsi="宋体" w:eastAsia="宋体" w:cs="宋体"/>
                <w:snapToGrid w:val="0"/>
                <w:color w:val="auto"/>
                <w:sz w:val="21"/>
                <w:szCs w:val="21"/>
                <w:highlight w:val="none"/>
                <w:lang w:val="en-US" w:eastAsia="zh-CN"/>
              </w:rPr>
              <w:t>无</w:t>
            </w:r>
          </w:p>
        </w:tc>
        <w:tc>
          <w:tcPr>
            <w:tcW w:w="5800" w:type="dxa"/>
            <w:noWrap w:val="0"/>
            <w:vAlign w:val="center"/>
          </w:tcPr>
          <w:p>
            <w:pPr>
              <w:pStyle w:val="6"/>
              <w:keepNext w:val="0"/>
              <w:keepLines w:val="0"/>
              <w:pageBreakBefore w:val="0"/>
              <w:kinsoku/>
              <w:wordWrap/>
              <w:overflowPunct/>
              <w:topLinePunct w:val="0"/>
              <w:bidi w:val="0"/>
              <w:spacing w:after="0" w:line="240" w:lineRule="auto"/>
              <w:ind w:left="0" w:leftChars="0" w:firstLine="0" w:firstLineChars="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增加以下内容到第1.</w:t>
            </w:r>
            <w:r>
              <w:rPr>
                <w:rFonts w:hint="eastAsia" w:ascii="宋体" w:hAnsi="宋体" w:cs="宋体"/>
                <w:b/>
                <w:bCs/>
                <w:color w:val="auto"/>
                <w:sz w:val="21"/>
                <w:szCs w:val="21"/>
                <w:highlight w:val="none"/>
                <w:lang w:val="en-US" w:eastAsia="zh-CN"/>
              </w:rPr>
              <w:t>1.1</w:t>
            </w:r>
            <w:r>
              <w:rPr>
                <w:rFonts w:hint="eastAsia" w:ascii="宋体" w:hAnsi="宋体" w:eastAsia="宋体" w:cs="宋体"/>
                <w:b/>
                <w:bCs/>
                <w:color w:val="auto"/>
                <w:sz w:val="21"/>
                <w:szCs w:val="21"/>
                <w:highlight w:val="none"/>
              </w:rPr>
              <w:t>款：</w:t>
            </w:r>
          </w:p>
          <w:p>
            <w:pPr>
              <w:pStyle w:val="6"/>
              <w:keepNext w:val="0"/>
              <w:keepLines w:val="0"/>
              <w:pageBreakBefore w:val="0"/>
              <w:widowControl w:val="0"/>
              <w:tabs>
                <w:tab w:val="left" w:pos="1035"/>
              </w:tabs>
              <w:kinsoku/>
              <w:wordWrap/>
              <w:overflowPunct/>
              <w:topLinePunct w:val="0"/>
              <w:autoSpaceDE/>
              <w:autoSpaceDN/>
              <w:bidi w:val="0"/>
              <w:adjustRightInd/>
              <w:snapToGrid/>
              <w:spacing w:after="0" w:line="240" w:lineRule="auto"/>
              <w:ind w:left="0" w:leftChars="0" w:firstLine="0" w:firstLineChars="0"/>
              <w:textAlignment w:val="auto"/>
              <w:rPr>
                <w:rFonts w:hint="eastAsia" w:ascii="宋体" w:hAnsi="宋体" w:cs="宋体"/>
                <w:color w:val="auto"/>
                <w:sz w:val="21"/>
                <w:szCs w:val="21"/>
                <w:highlight w:val="none"/>
                <w:lang w:eastAsia="zh-CN"/>
              </w:rPr>
            </w:pPr>
            <w:r>
              <w:rPr>
                <w:rFonts w:hint="eastAsia" w:ascii="宋体" w:hAnsi="宋体" w:eastAsia="宋体" w:cs="宋体"/>
                <w:color w:val="auto"/>
                <w:sz w:val="21"/>
                <w:szCs w:val="21"/>
                <w:highlight w:val="none"/>
              </w:rPr>
              <w:t>1.1.</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13</w:t>
            </w:r>
            <w:r>
              <w:rPr>
                <w:rFonts w:hint="eastAsia" w:ascii="宋体" w:hAnsi="宋体" w:eastAsia="宋体" w:cs="宋体"/>
                <w:color w:val="auto"/>
                <w:sz w:val="21"/>
                <w:szCs w:val="21"/>
                <w:highlight w:val="none"/>
              </w:rPr>
              <w:t xml:space="preserve"> “暂停合同” 指合同履行期间，暂停承包人现场施工作业、暂停发包人工程进度款支付，双方对违约事项进行整改，整改合格后恢复合同履行的临时处置措施，暂停期间不计入合同工期。</w:t>
            </w:r>
          </w:p>
        </w:tc>
        <w:tc>
          <w:tcPr>
            <w:tcW w:w="687" w:type="dxa"/>
            <w:noWrap w:val="0"/>
            <w:vAlign w:val="center"/>
          </w:tcPr>
          <w:p>
            <w:pPr>
              <w:keepNext w:val="0"/>
              <w:keepLines w:val="0"/>
              <w:pageBreakBefore w:val="0"/>
              <w:widowControl/>
              <w:kinsoku/>
              <w:wordWrap/>
              <w:overflowPunct/>
              <w:topLinePunct w:val="0"/>
              <w:bidi w:val="0"/>
              <w:spacing w:line="240" w:lineRule="auto"/>
              <w:ind w:firstLine="0" w:firstLineChars="0"/>
              <w:jc w:val="left"/>
              <w:textAlignment w:val="auto"/>
              <w:rPr>
                <w:rFonts w:hint="eastAsia" w:ascii="宋体" w:hAnsi="宋体" w:eastAsia="宋体" w:cs="宋体"/>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82" w:type="dxa"/>
            <w:noWrap w:val="0"/>
            <w:vAlign w:val="center"/>
          </w:tcPr>
          <w:p>
            <w:pPr>
              <w:pStyle w:val="15"/>
              <w:keepNext w:val="0"/>
              <w:keepLines w:val="0"/>
              <w:pageBreakBefore w:val="0"/>
              <w:numPr>
                <w:ilvl w:val="0"/>
                <w:numId w:val="1"/>
              </w:numPr>
              <w:kinsoku/>
              <w:wordWrap/>
              <w:overflowPunct/>
              <w:topLinePunct w:val="0"/>
              <w:autoSpaceDE/>
              <w:autoSpaceDN/>
              <w:bidi w:val="0"/>
              <w:adjustRightInd w:val="0"/>
              <w:snapToGrid w:val="0"/>
              <w:spacing w:line="240" w:lineRule="auto"/>
              <w:ind w:left="0" w:firstLine="0" w:firstLineChars="0"/>
              <w:jc w:val="center"/>
              <w:textAlignment w:val="auto"/>
              <w:rPr>
                <w:rFonts w:hint="eastAsia" w:ascii="宋体" w:hAnsi="宋体" w:eastAsia="宋体" w:cs="宋体"/>
                <w:color w:val="auto"/>
                <w:kern w:val="0"/>
                <w:sz w:val="21"/>
                <w:szCs w:val="21"/>
                <w:highlight w:val="none"/>
              </w:rPr>
            </w:pPr>
          </w:p>
        </w:tc>
        <w:tc>
          <w:tcPr>
            <w:tcW w:w="1108" w:type="dxa"/>
            <w:noWrap w:val="0"/>
            <w:vAlign w:val="center"/>
          </w:tcPr>
          <w:p>
            <w:pPr>
              <w:pStyle w:val="15"/>
              <w:keepNext w:val="0"/>
              <w:keepLines w:val="0"/>
              <w:pageBreakBefore w:val="0"/>
              <w:numPr>
                <w:ilvl w:val="0"/>
                <w:numId w:val="0"/>
              </w:numPr>
              <w:kinsoku/>
              <w:wordWrap/>
              <w:overflowPunct/>
              <w:topLinePunct w:val="0"/>
              <w:bidi w:val="0"/>
              <w:spacing w:line="240" w:lineRule="auto"/>
              <w:ind w:leftChars="0" w:firstLine="0" w:firstLineChars="0"/>
              <w:textAlignment w:val="auto"/>
              <w:rPr>
                <w:rFonts w:hint="eastAsia" w:ascii="宋体" w:hAnsi="宋体" w:eastAsia="宋体" w:cs="宋体"/>
                <w:color w:val="auto"/>
                <w:kern w:val="0"/>
                <w:sz w:val="21"/>
                <w:szCs w:val="21"/>
                <w:highlight w:val="none"/>
                <w:lang w:val="en-US" w:eastAsia="zh-CN"/>
              </w:rPr>
            </w:pPr>
            <w:r>
              <w:rPr>
                <w:rFonts w:hint="eastAsia" w:ascii="宋体" w:hAnsi="宋体" w:cs="宋体"/>
                <w:color w:val="auto"/>
                <w:kern w:val="0"/>
                <w:sz w:val="21"/>
                <w:szCs w:val="21"/>
                <w:highlight w:val="none"/>
                <w:lang w:val="en-US" w:eastAsia="zh-CN"/>
              </w:rPr>
              <w:t>新增</w:t>
            </w:r>
          </w:p>
        </w:tc>
        <w:tc>
          <w:tcPr>
            <w:tcW w:w="1262" w:type="dxa"/>
            <w:noWrap w:val="0"/>
            <w:vAlign w:val="center"/>
          </w:tcPr>
          <w:p>
            <w:pPr>
              <w:pStyle w:val="15"/>
              <w:keepNext w:val="0"/>
              <w:keepLines w:val="0"/>
              <w:pageBreakBefore w:val="0"/>
              <w:numPr>
                <w:ilvl w:val="0"/>
                <w:numId w:val="0"/>
              </w:numPr>
              <w:kinsoku/>
              <w:wordWrap/>
              <w:overflowPunct/>
              <w:topLinePunct w:val="0"/>
              <w:bidi w:val="0"/>
              <w:spacing w:line="240" w:lineRule="auto"/>
              <w:ind w:leftChars="0" w:firstLine="0" w:firstLineChars="0"/>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专用合同条款</w:t>
            </w:r>
          </w:p>
          <w:p>
            <w:pPr>
              <w:pStyle w:val="15"/>
              <w:keepNext w:val="0"/>
              <w:keepLines w:val="0"/>
              <w:pageBreakBefore w:val="0"/>
              <w:numPr>
                <w:ilvl w:val="0"/>
                <w:numId w:val="0"/>
              </w:numPr>
              <w:kinsoku/>
              <w:wordWrap/>
              <w:overflowPunct/>
              <w:topLinePunct w:val="0"/>
              <w:bidi w:val="0"/>
              <w:spacing w:line="240" w:lineRule="auto"/>
              <w:ind w:leftChars="0" w:firstLine="0" w:firstLineChars="0"/>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 一般约定</w:t>
            </w:r>
          </w:p>
          <w:p>
            <w:pPr>
              <w:pStyle w:val="15"/>
              <w:keepNext w:val="0"/>
              <w:keepLines w:val="0"/>
              <w:pageBreakBefore w:val="0"/>
              <w:numPr>
                <w:ilvl w:val="0"/>
                <w:numId w:val="0"/>
              </w:numPr>
              <w:kinsoku/>
              <w:wordWrap/>
              <w:overflowPunct/>
              <w:topLinePunct w:val="0"/>
              <w:bidi w:val="0"/>
              <w:spacing w:line="240" w:lineRule="auto"/>
              <w:ind w:leftChars="0" w:firstLine="0" w:firstLineChars="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1.1.2款</w:t>
            </w:r>
          </w:p>
        </w:tc>
        <w:tc>
          <w:tcPr>
            <w:tcW w:w="5760" w:type="dxa"/>
            <w:noWrap w:val="0"/>
            <w:vAlign w:val="center"/>
          </w:tcPr>
          <w:p>
            <w:pPr>
              <w:keepNext w:val="0"/>
              <w:keepLines w:val="0"/>
              <w:pageBreakBefore w:val="0"/>
              <w:kinsoku/>
              <w:wordWrap/>
              <w:overflowPunct/>
              <w:topLinePunct w:val="0"/>
              <w:autoSpaceDE w:val="0"/>
              <w:autoSpaceDN w:val="0"/>
              <w:bidi w:val="0"/>
              <w:adjustRightInd w:val="0"/>
              <w:snapToGrid w:val="0"/>
              <w:spacing w:line="240" w:lineRule="auto"/>
              <w:ind w:firstLine="0" w:firstLineChars="0"/>
              <w:jc w:val="center"/>
              <w:textAlignment w:val="auto"/>
              <w:rPr>
                <w:rFonts w:hint="eastAsia" w:ascii="宋体" w:hAnsi="宋体" w:eastAsia="宋体" w:cs="宋体"/>
                <w:snapToGrid w:val="0"/>
                <w:color w:val="auto"/>
                <w:sz w:val="21"/>
                <w:szCs w:val="21"/>
                <w:highlight w:val="none"/>
                <w:lang w:val="en-US" w:eastAsia="zh-CN"/>
              </w:rPr>
            </w:pPr>
            <w:r>
              <w:rPr>
                <w:rFonts w:hint="eastAsia" w:ascii="宋体" w:hAnsi="宋体" w:eastAsia="宋体" w:cs="宋体"/>
                <w:snapToGrid w:val="0"/>
                <w:color w:val="auto"/>
                <w:sz w:val="21"/>
                <w:szCs w:val="21"/>
                <w:highlight w:val="none"/>
                <w:lang w:val="en-US" w:eastAsia="zh-CN"/>
              </w:rPr>
              <w:t>无</w:t>
            </w:r>
          </w:p>
        </w:tc>
        <w:tc>
          <w:tcPr>
            <w:tcW w:w="5800" w:type="dxa"/>
            <w:noWrap w:val="0"/>
            <w:vAlign w:val="center"/>
          </w:tcPr>
          <w:p>
            <w:pPr>
              <w:pStyle w:val="6"/>
              <w:keepNext w:val="0"/>
              <w:keepLines w:val="0"/>
              <w:pageBreakBefore w:val="0"/>
              <w:kinsoku/>
              <w:wordWrap/>
              <w:overflowPunct/>
              <w:topLinePunct w:val="0"/>
              <w:bidi w:val="0"/>
              <w:spacing w:after="0" w:line="240" w:lineRule="auto"/>
              <w:ind w:left="0" w:leftChars="0" w:firstLine="0" w:firstLineChars="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增加以下内容到第1.</w:t>
            </w:r>
            <w:r>
              <w:rPr>
                <w:rFonts w:hint="eastAsia" w:ascii="宋体" w:hAnsi="宋体" w:cs="宋体"/>
                <w:b/>
                <w:bCs/>
                <w:color w:val="auto"/>
                <w:sz w:val="21"/>
                <w:szCs w:val="21"/>
                <w:highlight w:val="none"/>
                <w:lang w:val="en-US" w:eastAsia="zh-CN"/>
              </w:rPr>
              <w:t>1.2</w:t>
            </w:r>
            <w:r>
              <w:rPr>
                <w:rFonts w:hint="eastAsia" w:ascii="宋体" w:hAnsi="宋体" w:eastAsia="宋体" w:cs="宋体"/>
                <w:b/>
                <w:bCs/>
                <w:color w:val="auto"/>
                <w:sz w:val="21"/>
                <w:szCs w:val="21"/>
                <w:highlight w:val="none"/>
              </w:rPr>
              <w:t>款：</w:t>
            </w:r>
          </w:p>
          <w:p>
            <w:pPr>
              <w:pStyle w:val="6"/>
              <w:keepNext w:val="0"/>
              <w:keepLines w:val="0"/>
              <w:pageBreakBefore w:val="0"/>
              <w:kinsoku/>
              <w:wordWrap/>
              <w:overflowPunct/>
              <w:topLinePunct w:val="0"/>
              <w:bidi w:val="0"/>
              <w:spacing w:after="0" w:line="240" w:lineRule="auto"/>
              <w:ind w:left="0" w:leftChars="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1.1.2.1</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“农民工”指为承包人及分包单位提供劳动的农村居民。</w:t>
            </w:r>
          </w:p>
          <w:p>
            <w:pPr>
              <w:pStyle w:val="6"/>
              <w:keepNext w:val="0"/>
              <w:keepLines w:val="0"/>
              <w:pageBreakBefore w:val="0"/>
              <w:kinsoku/>
              <w:wordWrap/>
              <w:overflowPunct/>
              <w:topLinePunct w:val="0"/>
              <w:bidi w:val="0"/>
              <w:spacing w:after="0" w:line="240" w:lineRule="auto"/>
              <w:ind w:left="0" w:leftChars="0" w:firstLine="0" w:firstLine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1.1.2.18“农民工工资支付保证金”指承包人在银行设立账户并按照工程施工合同额的一定比例存储，专项用于支付为所承包工程提供劳动的农民工被拖欠工资的专项资金。</w:t>
            </w:r>
          </w:p>
          <w:p>
            <w:pPr>
              <w:pStyle w:val="6"/>
              <w:keepNext w:val="0"/>
              <w:keepLines w:val="0"/>
              <w:pageBreakBefore w:val="0"/>
              <w:kinsoku/>
              <w:wordWrap/>
              <w:overflowPunct/>
              <w:topLinePunct w:val="0"/>
              <w:bidi w:val="0"/>
              <w:spacing w:after="0" w:line="240" w:lineRule="auto"/>
              <w:ind w:left="0" w:leftChars="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1.1.2.1</w:t>
            </w: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“工程款支付担保”指为保证履行合同约定的工程款支付义务，由担保人为</w:t>
            </w:r>
            <w:r>
              <w:rPr>
                <w:rFonts w:hint="eastAsia" w:ascii="宋体" w:hAnsi="宋体" w:cs="宋体"/>
                <w:color w:val="auto"/>
                <w:sz w:val="21"/>
                <w:szCs w:val="21"/>
                <w:highlight w:val="none"/>
                <w:lang w:val="en-US" w:eastAsia="zh-CN"/>
              </w:rPr>
              <w:t>发包人</w:t>
            </w:r>
            <w:r>
              <w:rPr>
                <w:rFonts w:hint="eastAsia" w:ascii="宋体" w:hAnsi="宋体" w:eastAsia="宋体" w:cs="宋体"/>
                <w:color w:val="auto"/>
                <w:sz w:val="21"/>
                <w:szCs w:val="21"/>
                <w:highlight w:val="none"/>
              </w:rPr>
              <w:t>向</w:t>
            </w:r>
            <w:r>
              <w:rPr>
                <w:rFonts w:hint="eastAsia" w:ascii="宋体" w:hAnsi="宋体" w:cs="宋体"/>
                <w:color w:val="auto"/>
                <w:sz w:val="21"/>
                <w:szCs w:val="21"/>
                <w:highlight w:val="none"/>
                <w:lang w:val="en-US" w:eastAsia="zh-CN"/>
              </w:rPr>
              <w:t>承包人</w:t>
            </w:r>
            <w:r>
              <w:rPr>
                <w:rFonts w:hint="eastAsia" w:ascii="宋体" w:hAnsi="宋体" w:eastAsia="宋体" w:cs="宋体"/>
                <w:color w:val="auto"/>
                <w:sz w:val="21"/>
                <w:szCs w:val="21"/>
                <w:highlight w:val="none"/>
              </w:rPr>
              <w:t>提供的保证支付工程款的担保。</w:t>
            </w:r>
          </w:p>
        </w:tc>
        <w:tc>
          <w:tcPr>
            <w:tcW w:w="687" w:type="dxa"/>
            <w:noWrap w:val="0"/>
            <w:vAlign w:val="center"/>
          </w:tcPr>
          <w:p>
            <w:pPr>
              <w:keepNext w:val="0"/>
              <w:keepLines w:val="0"/>
              <w:pageBreakBefore w:val="0"/>
              <w:widowControl/>
              <w:kinsoku/>
              <w:wordWrap/>
              <w:overflowPunct/>
              <w:topLinePunct w:val="0"/>
              <w:bidi w:val="0"/>
              <w:spacing w:line="240" w:lineRule="auto"/>
              <w:ind w:firstLine="0" w:firstLineChars="0"/>
              <w:jc w:val="left"/>
              <w:textAlignment w:val="auto"/>
              <w:rPr>
                <w:rFonts w:hint="eastAsia" w:ascii="宋体" w:hAnsi="宋体" w:eastAsia="宋体" w:cs="宋体"/>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82" w:type="dxa"/>
            <w:noWrap w:val="0"/>
            <w:vAlign w:val="center"/>
          </w:tcPr>
          <w:p>
            <w:pPr>
              <w:pStyle w:val="15"/>
              <w:keepNext w:val="0"/>
              <w:keepLines w:val="0"/>
              <w:pageBreakBefore w:val="0"/>
              <w:widowControl w:val="0"/>
              <w:numPr>
                <w:ilvl w:val="0"/>
                <w:numId w:val="1"/>
              </w:numPr>
              <w:kinsoku/>
              <w:wordWrap/>
              <w:overflowPunct/>
              <w:topLinePunct w:val="0"/>
              <w:autoSpaceDE/>
              <w:autoSpaceDN/>
              <w:bidi w:val="0"/>
              <w:adjustRightInd w:val="0"/>
              <w:snapToGrid w:val="0"/>
              <w:spacing w:line="240" w:lineRule="auto"/>
              <w:ind w:left="0" w:firstLine="0" w:firstLineChars="0"/>
              <w:jc w:val="center"/>
              <w:textAlignment w:val="auto"/>
              <w:rPr>
                <w:rFonts w:hint="eastAsia" w:ascii="宋体" w:hAnsi="宋体" w:eastAsia="宋体" w:cs="宋体"/>
                <w:color w:val="auto"/>
                <w:kern w:val="0"/>
                <w:sz w:val="21"/>
                <w:szCs w:val="21"/>
                <w:highlight w:val="none"/>
              </w:rPr>
            </w:pPr>
          </w:p>
        </w:tc>
        <w:tc>
          <w:tcPr>
            <w:tcW w:w="1108" w:type="dxa"/>
            <w:noWrap w:val="0"/>
            <w:vAlign w:val="center"/>
          </w:tcPr>
          <w:p>
            <w:pPr>
              <w:pStyle w:val="15"/>
              <w:keepNext w:val="0"/>
              <w:keepLines w:val="0"/>
              <w:pageBreakBefore w:val="0"/>
              <w:numPr>
                <w:ilvl w:val="0"/>
                <w:numId w:val="0"/>
              </w:numPr>
              <w:kinsoku/>
              <w:wordWrap/>
              <w:overflowPunct/>
              <w:topLinePunct w:val="0"/>
              <w:bidi w:val="0"/>
              <w:spacing w:line="240" w:lineRule="auto"/>
              <w:ind w:left="0" w:leftChars="0" w:firstLine="0" w:firstLineChars="0"/>
              <w:textAlignment w:val="auto"/>
              <w:rPr>
                <w:rFonts w:hint="eastAsia" w:ascii="宋体" w:hAnsi="宋体" w:eastAsia="宋体" w:cs="宋体"/>
                <w:color w:val="auto"/>
                <w:kern w:val="0"/>
                <w:sz w:val="21"/>
                <w:szCs w:val="21"/>
                <w:highlight w:val="none"/>
                <w:lang w:val="en-US" w:eastAsia="zh-CN"/>
              </w:rPr>
            </w:pPr>
            <w:r>
              <w:rPr>
                <w:rFonts w:hint="eastAsia" w:ascii="宋体" w:hAnsi="宋体" w:cs="宋体"/>
                <w:color w:val="auto"/>
                <w:kern w:val="0"/>
                <w:sz w:val="21"/>
                <w:szCs w:val="21"/>
                <w:highlight w:val="none"/>
                <w:lang w:val="en-US" w:eastAsia="zh-CN"/>
              </w:rPr>
              <w:t>新增</w:t>
            </w:r>
          </w:p>
        </w:tc>
        <w:tc>
          <w:tcPr>
            <w:tcW w:w="1262" w:type="dxa"/>
            <w:noWrap w:val="0"/>
            <w:vAlign w:val="center"/>
          </w:tcPr>
          <w:p>
            <w:pPr>
              <w:pStyle w:val="15"/>
              <w:keepNext w:val="0"/>
              <w:keepLines w:val="0"/>
              <w:pageBreakBefore w:val="0"/>
              <w:numPr>
                <w:ilvl w:val="0"/>
                <w:numId w:val="0"/>
              </w:numPr>
              <w:kinsoku/>
              <w:wordWrap/>
              <w:overflowPunct/>
              <w:topLinePunct w:val="0"/>
              <w:bidi w:val="0"/>
              <w:spacing w:line="240" w:lineRule="auto"/>
              <w:ind w:leftChars="0" w:firstLine="0" w:firstLineChars="0"/>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第三节 专用合同条款</w:t>
            </w:r>
          </w:p>
          <w:p>
            <w:pPr>
              <w:pStyle w:val="15"/>
              <w:keepNext w:val="0"/>
              <w:keepLines w:val="0"/>
              <w:pageBreakBefore w:val="0"/>
              <w:numPr>
                <w:ilvl w:val="0"/>
                <w:numId w:val="0"/>
              </w:numPr>
              <w:kinsoku/>
              <w:wordWrap/>
              <w:overflowPunct/>
              <w:topLinePunct w:val="0"/>
              <w:bidi w:val="0"/>
              <w:spacing w:line="240" w:lineRule="auto"/>
              <w:ind w:leftChars="0" w:firstLine="0" w:firstLineChars="0"/>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 一般约定</w:t>
            </w:r>
          </w:p>
          <w:p>
            <w:pPr>
              <w:keepNext w:val="0"/>
              <w:keepLines w:val="0"/>
              <w:pageBreakBefore w:val="0"/>
              <w:kinsoku/>
              <w:wordWrap/>
              <w:overflowPunct/>
              <w:topLinePunct w:val="0"/>
              <w:bidi w:val="0"/>
              <w:spacing w:line="240" w:lineRule="auto"/>
              <w:ind w:firstLine="0" w:firstLineChars="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1.1.5.9款</w:t>
            </w:r>
          </w:p>
        </w:tc>
        <w:tc>
          <w:tcPr>
            <w:tcW w:w="5760" w:type="dxa"/>
            <w:noWrap w:val="0"/>
            <w:vAlign w:val="center"/>
          </w:tcPr>
          <w:p>
            <w:pPr>
              <w:keepNext w:val="0"/>
              <w:keepLines w:val="0"/>
              <w:pageBreakBefore w:val="0"/>
              <w:kinsoku/>
              <w:wordWrap/>
              <w:overflowPunct/>
              <w:topLinePunct w:val="0"/>
              <w:autoSpaceDE w:val="0"/>
              <w:autoSpaceDN w:val="0"/>
              <w:bidi w:val="0"/>
              <w:adjustRightInd w:val="0"/>
              <w:snapToGrid w:val="0"/>
              <w:spacing w:line="240" w:lineRule="auto"/>
              <w:ind w:firstLine="0" w:firstLineChars="0"/>
              <w:jc w:val="center"/>
              <w:textAlignment w:val="auto"/>
              <w:rPr>
                <w:rFonts w:hint="eastAsia" w:ascii="宋体" w:hAnsi="宋体" w:eastAsia="宋体" w:cs="宋体"/>
                <w:snapToGrid w:val="0"/>
                <w:color w:val="auto"/>
                <w:sz w:val="21"/>
                <w:szCs w:val="21"/>
                <w:highlight w:val="none"/>
                <w:lang w:val="en-US" w:eastAsia="zh-CN"/>
              </w:rPr>
            </w:pPr>
            <w:r>
              <w:rPr>
                <w:rFonts w:hint="eastAsia" w:ascii="宋体" w:hAnsi="宋体" w:eastAsia="宋体" w:cs="宋体"/>
                <w:snapToGrid w:val="0"/>
                <w:color w:val="auto"/>
                <w:sz w:val="21"/>
                <w:szCs w:val="21"/>
                <w:highlight w:val="none"/>
                <w:lang w:val="en-US" w:eastAsia="zh-CN"/>
              </w:rPr>
              <w:t>无</w:t>
            </w:r>
          </w:p>
        </w:tc>
        <w:tc>
          <w:tcPr>
            <w:tcW w:w="5800" w:type="dxa"/>
            <w:noWrap w:val="0"/>
            <w:vAlign w:val="center"/>
          </w:tcPr>
          <w:p>
            <w:pPr>
              <w:pStyle w:val="6"/>
              <w:keepNext w:val="0"/>
              <w:keepLines w:val="0"/>
              <w:pageBreakBefore w:val="0"/>
              <w:kinsoku/>
              <w:wordWrap/>
              <w:overflowPunct/>
              <w:topLinePunct w:val="0"/>
              <w:bidi w:val="0"/>
              <w:spacing w:after="0" w:line="240" w:lineRule="auto"/>
              <w:ind w:left="0" w:leftChars="0" w:firstLine="0" w:firstLineChars="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增加以下内容到第1.</w:t>
            </w:r>
            <w:r>
              <w:rPr>
                <w:rFonts w:hint="eastAsia" w:ascii="宋体" w:hAnsi="宋体" w:cs="宋体"/>
                <w:b/>
                <w:bCs/>
                <w:color w:val="auto"/>
                <w:sz w:val="21"/>
                <w:szCs w:val="21"/>
                <w:highlight w:val="none"/>
                <w:lang w:val="en-US" w:eastAsia="zh-CN"/>
              </w:rPr>
              <w:t>1.5</w:t>
            </w:r>
            <w:r>
              <w:rPr>
                <w:rFonts w:hint="eastAsia" w:ascii="宋体" w:hAnsi="宋体" w:eastAsia="宋体" w:cs="宋体"/>
                <w:b/>
                <w:bCs/>
                <w:color w:val="auto"/>
                <w:sz w:val="21"/>
                <w:szCs w:val="21"/>
                <w:highlight w:val="none"/>
              </w:rPr>
              <w:t>款：</w:t>
            </w:r>
          </w:p>
          <w:p>
            <w:pPr>
              <w:pStyle w:val="6"/>
              <w:keepNext w:val="0"/>
              <w:keepLines w:val="0"/>
              <w:pageBreakBefore w:val="0"/>
              <w:kinsoku/>
              <w:wordWrap/>
              <w:overflowPunct/>
              <w:topLinePunct w:val="0"/>
              <w:bidi w:val="0"/>
              <w:spacing w:after="0" w:line="240" w:lineRule="auto"/>
              <w:ind w:left="0" w:leftChars="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永久占地：指专用合同条款中指明为实施合同工程需永久占用的土地，包括但不限于：红线范围内的占用地、塔基以及极址中心（如有）、电缆沟、井（导流井、观测井等）占地等。</w:t>
            </w:r>
          </w:p>
          <w:p>
            <w:pPr>
              <w:pStyle w:val="6"/>
              <w:keepNext w:val="0"/>
              <w:keepLines w:val="0"/>
              <w:pageBreakBefore w:val="0"/>
              <w:kinsoku/>
              <w:wordWrap/>
              <w:overflowPunct/>
              <w:topLinePunct w:val="0"/>
              <w:bidi w:val="0"/>
              <w:spacing w:after="0" w:line="240" w:lineRule="auto"/>
              <w:ind w:left="0" w:leftChars="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临时占地：指专用合同条款中指明为实施合同工程需临时占用的土地。</w:t>
            </w:r>
          </w:p>
        </w:tc>
        <w:tc>
          <w:tcPr>
            <w:tcW w:w="687" w:type="dxa"/>
            <w:noWrap w:val="0"/>
            <w:vAlign w:val="center"/>
          </w:tcPr>
          <w:p>
            <w:pPr>
              <w:keepNext w:val="0"/>
              <w:keepLines w:val="0"/>
              <w:pageBreakBefore w:val="0"/>
              <w:widowControl/>
              <w:kinsoku/>
              <w:wordWrap/>
              <w:overflowPunct/>
              <w:topLinePunct w:val="0"/>
              <w:bidi w:val="0"/>
              <w:spacing w:line="240" w:lineRule="auto"/>
              <w:ind w:firstLine="0" w:firstLineChars="0"/>
              <w:jc w:val="left"/>
              <w:textAlignment w:val="auto"/>
              <w:rPr>
                <w:rFonts w:hint="eastAsia" w:ascii="宋体" w:hAnsi="宋体" w:eastAsia="宋体" w:cs="宋体"/>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82" w:type="dxa"/>
            <w:noWrap w:val="0"/>
            <w:vAlign w:val="center"/>
          </w:tcPr>
          <w:p>
            <w:pPr>
              <w:pStyle w:val="15"/>
              <w:keepNext w:val="0"/>
              <w:keepLines w:val="0"/>
              <w:pageBreakBefore w:val="0"/>
              <w:widowControl w:val="0"/>
              <w:numPr>
                <w:ilvl w:val="0"/>
                <w:numId w:val="1"/>
              </w:numPr>
              <w:kinsoku/>
              <w:wordWrap/>
              <w:overflowPunct/>
              <w:topLinePunct w:val="0"/>
              <w:autoSpaceDE/>
              <w:autoSpaceDN/>
              <w:bidi w:val="0"/>
              <w:adjustRightInd w:val="0"/>
              <w:snapToGrid w:val="0"/>
              <w:spacing w:line="240" w:lineRule="auto"/>
              <w:ind w:left="0" w:firstLine="0" w:firstLineChars="0"/>
              <w:jc w:val="center"/>
              <w:textAlignment w:val="auto"/>
              <w:rPr>
                <w:rFonts w:hint="eastAsia" w:ascii="宋体" w:hAnsi="宋体" w:eastAsia="宋体" w:cs="宋体"/>
                <w:color w:val="auto"/>
                <w:kern w:val="0"/>
                <w:sz w:val="21"/>
                <w:szCs w:val="21"/>
                <w:highlight w:val="none"/>
              </w:rPr>
            </w:pPr>
          </w:p>
        </w:tc>
        <w:tc>
          <w:tcPr>
            <w:tcW w:w="1108" w:type="dxa"/>
            <w:noWrap w:val="0"/>
            <w:vAlign w:val="center"/>
          </w:tcPr>
          <w:p>
            <w:pPr>
              <w:pStyle w:val="15"/>
              <w:keepNext w:val="0"/>
              <w:keepLines w:val="0"/>
              <w:pageBreakBefore w:val="0"/>
              <w:numPr>
                <w:ilvl w:val="0"/>
                <w:numId w:val="0"/>
              </w:numPr>
              <w:kinsoku/>
              <w:wordWrap/>
              <w:overflowPunct/>
              <w:topLinePunct w:val="0"/>
              <w:bidi w:val="0"/>
              <w:spacing w:line="240" w:lineRule="auto"/>
              <w:ind w:left="0" w:leftChars="0" w:firstLine="0" w:firstLineChars="0"/>
              <w:textAlignment w:val="auto"/>
              <w:rPr>
                <w:rFonts w:hint="eastAsia" w:ascii="宋体" w:hAnsi="宋体" w:eastAsia="宋体" w:cs="宋体"/>
                <w:color w:val="auto"/>
                <w:kern w:val="0"/>
                <w:sz w:val="21"/>
                <w:szCs w:val="21"/>
                <w:highlight w:val="none"/>
                <w:lang w:val="en-US" w:eastAsia="zh-CN"/>
              </w:rPr>
            </w:pPr>
            <w:r>
              <w:rPr>
                <w:rFonts w:hint="eastAsia" w:ascii="宋体" w:hAnsi="宋体" w:cs="宋体"/>
                <w:color w:val="auto"/>
                <w:kern w:val="0"/>
                <w:sz w:val="21"/>
                <w:szCs w:val="21"/>
                <w:highlight w:val="none"/>
                <w:lang w:val="en-US" w:eastAsia="zh-CN"/>
              </w:rPr>
              <w:t>新增</w:t>
            </w:r>
          </w:p>
        </w:tc>
        <w:tc>
          <w:tcPr>
            <w:tcW w:w="1262" w:type="dxa"/>
            <w:noWrap w:val="0"/>
            <w:vAlign w:val="center"/>
          </w:tcPr>
          <w:p>
            <w:pPr>
              <w:pStyle w:val="15"/>
              <w:keepNext w:val="0"/>
              <w:keepLines w:val="0"/>
              <w:pageBreakBefore w:val="0"/>
              <w:numPr>
                <w:ilvl w:val="0"/>
                <w:numId w:val="0"/>
              </w:numPr>
              <w:kinsoku/>
              <w:wordWrap/>
              <w:overflowPunct/>
              <w:topLinePunct w:val="0"/>
              <w:bidi w:val="0"/>
              <w:spacing w:line="240" w:lineRule="auto"/>
              <w:ind w:leftChars="0" w:firstLine="0" w:firstLineChars="0"/>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第三节 专用合同条款</w:t>
            </w:r>
          </w:p>
          <w:p>
            <w:pPr>
              <w:pStyle w:val="15"/>
              <w:keepNext w:val="0"/>
              <w:keepLines w:val="0"/>
              <w:pageBreakBefore w:val="0"/>
              <w:numPr>
                <w:ilvl w:val="0"/>
                <w:numId w:val="0"/>
              </w:numPr>
              <w:kinsoku/>
              <w:wordWrap/>
              <w:overflowPunct/>
              <w:topLinePunct w:val="0"/>
              <w:bidi w:val="0"/>
              <w:spacing w:line="240" w:lineRule="auto"/>
              <w:ind w:leftChars="0" w:firstLine="0" w:firstLineChars="0"/>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 一般约定</w:t>
            </w:r>
          </w:p>
          <w:p>
            <w:pPr>
              <w:keepNext w:val="0"/>
              <w:keepLines w:val="0"/>
              <w:pageBreakBefore w:val="0"/>
              <w:kinsoku/>
              <w:wordWrap/>
              <w:overflowPunct/>
              <w:topLinePunct w:val="0"/>
              <w:bidi w:val="0"/>
              <w:spacing w:line="240" w:lineRule="auto"/>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1.10款</w:t>
            </w:r>
          </w:p>
        </w:tc>
        <w:tc>
          <w:tcPr>
            <w:tcW w:w="5760" w:type="dxa"/>
            <w:noWrap w:val="0"/>
            <w:vAlign w:val="center"/>
          </w:tcPr>
          <w:p>
            <w:pPr>
              <w:keepNext w:val="0"/>
              <w:keepLines w:val="0"/>
              <w:pageBreakBefore w:val="0"/>
              <w:kinsoku/>
              <w:wordWrap/>
              <w:overflowPunct/>
              <w:topLinePunct w:val="0"/>
              <w:autoSpaceDE w:val="0"/>
              <w:autoSpaceDN w:val="0"/>
              <w:bidi w:val="0"/>
              <w:adjustRightInd w:val="0"/>
              <w:snapToGrid w:val="0"/>
              <w:spacing w:line="240" w:lineRule="auto"/>
              <w:ind w:firstLine="0" w:firstLineChars="0"/>
              <w:jc w:val="center"/>
              <w:textAlignment w:val="auto"/>
              <w:rPr>
                <w:rFonts w:hint="eastAsia" w:ascii="宋体" w:hAnsi="宋体" w:eastAsia="宋体" w:cs="宋体"/>
                <w:snapToGrid w:val="0"/>
                <w:color w:val="auto"/>
                <w:sz w:val="21"/>
                <w:szCs w:val="21"/>
                <w:highlight w:val="none"/>
                <w:lang w:val="en-US" w:eastAsia="zh-CN"/>
              </w:rPr>
            </w:pPr>
            <w:r>
              <w:rPr>
                <w:rFonts w:hint="eastAsia" w:ascii="宋体" w:hAnsi="宋体" w:eastAsia="宋体" w:cs="宋体"/>
                <w:snapToGrid w:val="0"/>
                <w:color w:val="auto"/>
                <w:sz w:val="21"/>
                <w:szCs w:val="21"/>
                <w:highlight w:val="none"/>
                <w:lang w:val="en-US" w:eastAsia="zh-CN"/>
              </w:rPr>
              <w:t>无</w:t>
            </w:r>
          </w:p>
        </w:tc>
        <w:tc>
          <w:tcPr>
            <w:tcW w:w="5800" w:type="dxa"/>
            <w:noWrap w:val="0"/>
            <w:vAlign w:val="center"/>
          </w:tcPr>
          <w:p>
            <w:pPr>
              <w:pStyle w:val="6"/>
              <w:keepNext w:val="0"/>
              <w:keepLines w:val="0"/>
              <w:pageBreakBefore w:val="0"/>
              <w:kinsoku/>
              <w:wordWrap/>
              <w:overflowPunct/>
              <w:topLinePunct w:val="0"/>
              <w:bidi w:val="0"/>
              <w:spacing w:after="0" w:line="240" w:lineRule="auto"/>
              <w:ind w:left="0" w:leftChars="0" w:firstLine="0" w:firstLineChars="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增加以下内容到第1.</w:t>
            </w:r>
            <w:r>
              <w:rPr>
                <w:rFonts w:hint="eastAsia" w:ascii="宋体" w:hAnsi="宋体" w:cs="宋体"/>
                <w:b/>
                <w:bCs/>
                <w:color w:val="auto"/>
                <w:sz w:val="21"/>
                <w:szCs w:val="21"/>
                <w:highlight w:val="none"/>
                <w:lang w:val="en-US" w:eastAsia="zh-CN"/>
              </w:rPr>
              <w:t>10</w:t>
            </w:r>
            <w:r>
              <w:rPr>
                <w:rFonts w:hint="eastAsia" w:ascii="宋体" w:hAnsi="宋体" w:eastAsia="宋体" w:cs="宋体"/>
                <w:b/>
                <w:bCs/>
                <w:color w:val="auto"/>
                <w:sz w:val="21"/>
                <w:szCs w:val="21"/>
                <w:highlight w:val="none"/>
              </w:rPr>
              <w:t>款：</w:t>
            </w:r>
          </w:p>
          <w:p>
            <w:pPr>
              <w:pStyle w:val="6"/>
              <w:keepNext w:val="0"/>
              <w:keepLines w:val="0"/>
              <w:pageBreakBefore w:val="0"/>
              <w:kinsoku/>
              <w:wordWrap/>
              <w:overflowPunct/>
              <w:topLinePunct w:val="0"/>
              <w:bidi w:val="0"/>
              <w:spacing w:after="0" w:line="240" w:lineRule="auto"/>
              <w:ind w:left="0" w:leftChars="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（d）对承包人自行基于工程开展的科技开发所产生的专利和“四新”</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新技术、新工艺、新材料、新设备</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等科技成果，承包人应在成果形成后10日内书面告知发包人。仅针对本工程特定施工场景、为满足本工程设计要求专项研发的成果，由发包人与承包人共同共有；承包人自有技术、非针对本工程的通用技术成果，权属归承包人单独所有，发包人享有本工程范围内的免费使用权。</w:t>
            </w:r>
          </w:p>
          <w:p>
            <w:pPr>
              <w:pStyle w:val="6"/>
              <w:keepNext w:val="0"/>
              <w:keepLines w:val="0"/>
              <w:pageBreakBefore w:val="0"/>
              <w:kinsoku/>
              <w:wordWrap/>
              <w:overflowPunct/>
              <w:topLinePunct w:val="0"/>
              <w:bidi w:val="0"/>
              <w:spacing w:after="0" w:line="240" w:lineRule="auto"/>
              <w:ind w:left="0" w:leftChars="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（f）双方共有的科技成果，专利申请权由双方共同行使，成果转让、许可使用需经双方书面同意，未经对方同意，任何一方不得单独转让、许可第三方使用。</w:t>
            </w:r>
          </w:p>
        </w:tc>
        <w:tc>
          <w:tcPr>
            <w:tcW w:w="687" w:type="dxa"/>
            <w:noWrap w:val="0"/>
            <w:vAlign w:val="center"/>
          </w:tcPr>
          <w:p>
            <w:pPr>
              <w:keepNext w:val="0"/>
              <w:keepLines w:val="0"/>
              <w:pageBreakBefore w:val="0"/>
              <w:widowControl/>
              <w:kinsoku/>
              <w:wordWrap/>
              <w:overflowPunct/>
              <w:topLinePunct w:val="0"/>
              <w:bidi w:val="0"/>
              <w:spacing w:line="240" w:lineRule="auto"/>
              <w:ind w:firstLine="0" w:firstLineChars="0"/>
              <w:jc w:val="left"/>
              <w:textAlignment w:val="auto"/>
              <w:rPr>
                <w:rFonts w:hint="eastAsia" w:ascii="宋体" w:hAnsi="宋体" w:eastAsia="宋体" w:cs="宋体"/>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82" w:type="dxa"/>
            <w:noWrap w:val="0"/>
            <w:vAlign w:val="center"/>
          </w:tcPr>
          <w:p>
            <w:pPr>
              <w:pStyle w:val="15"/>
              <w:keepNext w:val="0"/>
              <w:keepLines w:val="0"/>
              <w:pageBreakBefore w:val="0"/>
              <w:widowControl w:val="0"/>
              <w:numPr>
                <w:ilvl w:val="0"/>
                <w:numId w:val="1"/>
              </w:numPr>
              <w:kinsoku/>
              <w:wordWrap/>
              <w:overflowPunct/>
              <w:topLinePunct w:val="0"/>
              <w:autoSpaceDE/>
              <w:autoSpaceDN/>
              <w:bidi w:val="0"/>
              <w:adjustRightInd w:val="0"/>
              <w:snapToGrid w:val="0"/>
              <w:spacing w:line="240" w:lineRule="auto"/>
              <w:ind w:left="0" w:firstLine="0" w:firstLineChars="0"/>
              <w:jc w:val="center"/>
              <w:textAlignment w:val="auto"/>
              <w:rPr>
                <w:rFonts w:hint="eastAsia" w:ascii="宋体" w:hAnsi="宋体" w:eastAsia="宋体" w:cs="宋体"/>
                <w:color w:val="auto"/>
                <w:kern w:val="0"/>
                <w:sz w:val="21"/>
                <w:szCs w:val="21"/>
                <w:highlight w:val="none"/>
              </w:rPr>
            </w:pPr>
          </w:p>
        </w:tc>
        <w:tc>
          <w:tcPr>
            <w:tcW w:w="1108" w:type="dxa"/>
            <w:noWrap w:val="0"/>
            <w:vAlign w:val="center"/>
          </w:tcPr>
          <w:p>
            <w:pPr>
              <w:pStyle w:val="15"/>
              <w:keepNext w:val="0"/>
              <w:keepLines w:val="0"/>
              <w:pageBreakBefore w:val="0"/>
              <w:numPr>
                <w:ilvl w:val="0"/>
                <w:numId w:val="0"/>
              </w:numPr>
              <w:kinsoku/>
              <w:wordWrap/>
              <w:overflowPunct/>
              <w:topLinePunct w:val="0"/>
              <w:bidi w:val="0"/>
              <w:spacing w:line="240" w:lineRule="auto"/>
              <w:ind w:left="0" w:leftChars="0" w:firstLine="0" w:firstLineChars="0"/>
              <w:textAlignment w:val="auto"/>
              <w:rPr>
                <w:rFonts w:hint="eastAsia" w:ascii="宋体" w:hAnsi="宋体" w:cs="宋体"/>
                <w:color w:val="auto"/>
                <w:kern w:val="0"/>
                <w:sz w:val="21"/>
                <w:szCs w:val="21"/>
                <w:highlight w:val="none"/>
                <w:lang w:val="en-US" w:eastAsia="zh-CN"/>
              </w:rPr>
            </w:pPr>
            <w:r>
              <w:rPr>
                <w:rFonts w:hint="eastAsia" w:ascii="宋体" w:hAnsi="宋体" w:cs="宋体"/>
                <w:color w:val="auto"/>
                <w:kern w:val="0"/>
                <w:sz w:val="21"/>
                <w:szCs w:val="21"/>
                <w:highlight w:val="none"/>
                <w:lang w:val="en-US" w:eastAsia="zh-CN"/>
              </w:rPr>
              <w:t>修改</w:t>
            </w:r>
          </w:p>
        </w:tc>
        <w:tc>
          <w:tcPr>
            <w:tcW w:w="1262" w:type="dxa"/>
            <w:noWrap w:val="0"/>
            <w:vAlign w:val="center"/>
          </w:tcPr>
          <w:p>
            <w:pPr>
              <w:pStyle w:val="15"/>
              <w:keepNext w:val="0"/>
              <w:keepLines w:val="0"/>
              <w:pageBreakBefore w:val="0"/>
              <w:numPr>
                <w:ilvl w:val="0"/>
                <w:numId w:val="0"/>
              </w:numPr>
              <w:kinsoku/>
              <w:wordWrap/>
              <w:overflowPunct/>
              <w:topLinePunct w:val="0"/>
              <w:bidi w:val="0"/>
              <w:spacing w:line="240" w:lineRule="auto"/>
              <w:ind w:leftChars="0" w:firstLine="0" w:firstLineChars="0"/>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专用合同条款</w:t>
            </w:r>
          </w:p>
          <w:p>
            <w:pPr>
              <w:keepNext w:val="0"/>
              <w:keepLines w:val="0"/>
              <w:pageBreakBefore w:val="0"/>
              <w:kinsoku/>
              <w:wordWrap/>
              <w:overflowPunct/>
              <w:topLinePunct w:val="0"/>
              <w:bidi w:val="0"/>
              <w:spacing w:line="240" w:lineRule="auto"/>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2.发包人</w:t>
            </w:r>
            <w:r>
              <w:rPr>
                <w:rFonts w:hint="eastAsia" w:ascii="宋体" w:hAnsi="宋体" w:eastAsia="宋体" w:cs="宋体"/>
                <w:b/>
                <w:bCs/>
                <w:color w:val="auto"/>
                <w:sz w:val="21"/>
                <w:szCs w:val="21"/>
                <w:highlight w:val="none"/>
              </w:rPr>
              <w:t>2.6.1</w:t>
            </w:r>
            <w:r>
              <w:rPr>
                <w:rFonts w:hint="eastAsia" w:ascii="宋体" w:hAnsi="宋体" w:eastAsia="宋体" w:cs="宋体"/>
                <w:b/>
                <w:bCs/>
                <w:color w:val="auto"/>
                <w:sz w:val="21"/>
                <w:szCs w:val="21"/>
                <w:highlight w:val="none"/>
                <w:lang w:val="en-US" w:eastAsia="zh-CN"/>
              </w:rPr>
              <w:t>款</w:t>
            </w:r>
          </w:p>
        </w:tc>
        <w:tc>
          <w:tcPr>
            <w:tcW w:w="5760" w:type="dxa"/>
            <w:noWrap w:val="0"/>
            <w:vAlign w:val="center"/>
          </w:tcPr>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新增以下内容到第2.6款：</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2.6.1 追究违约责任的权利</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承包人有下列违约行为，发包人应有权追究违约责任的措施，具体包括：</w:t>
            </w:r>
          </w:p>
        </w:tc>
        <w:tc>
          <w:tcPr>
            <w:tcW w:w="5800" w:type="dxa"/>
            <w:noWrap w:val="0"/>
            <w:vAlign w:val="center"/>
          </w:tcPr>
          <w:p>
            <w:pPr>
              <w:pStyle w:val="6"/>
              <w:keepNext w:val="0"/>
              <w:keepLines w:val="0"/>
              <w:pageBreakBefore w:val="0"/>
              <w:kinsoku/>
              <w:wordWrap/>
              <w:overflowPunct/>
              <w:topLinePunct w:val="0"/>
              <w:bidi w:val="0"/>
              <w:spacing w:after="0" w:line="240" w:lineRule="auto"/>
              <w:ind w:left="0" w:leftChars="0" w:firstLine="0" w:firstLineChars="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宋体"/>
                <w:color w:val="auto"/>
                <w:highlight w:val="none"/>
                <w:lang w:eastAsia="zh-CN"/>
              </w:rPr>
              <w:t>替换</w:t>
            </w:r>
            <w:r>
              <w:rPr>
                <w:rFonts w:hint="eastAsia" w:ascii="宋体"/>
                <w:color w:val="auto"/>
                <w:highlight w:val="none"/>
              </w:rPr>
              <w:t>以下内容作为</w:t>
            </w:r>
            <w:r>
              <w:rPr>
                <w:rFonts w:hint="eastAsia" w:asciiTheme="minorEastAsia" w:hAnsiTheme="minorEastAsia" w:eastAsiaTheme="minorEastAsia" w:cstheme="minorEastAsia"/>
                <w:color w:val="auto"/>
                <w:sz w:val="21"/>
                <w:szCs w:val="21"/>
                <w:highlight w:val="none"/>
                <w:lang w:val="en-US" w:eastAsia="zh-CN"/>
              </w:rPr>
              <w:t>第2.6.1款：</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2.6.1 发包人享有的权利</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宋体" w:hAnsi="宋体" w:eastAsia="宋体" w:cs="宋体"/>
                <w:color w:val="auto"/>
                <w:sz w:val="21"/>
                <w:szCs w:val="21"/>
                <w:highlight w:val="none"/>
              </w:rPr>
              <w:t>承包人有下列行为，发包人有权</w:t>
            </w:r>
            <w:r>
              <w:rPr>
                <w:rFonts w:hint="eastAsia" w:ascii="宋体" w:hAnsi="宋体" w:cs="宋体"/>
                <w:color w:val="auto"/>
                <w:sz w:val="21"/>
                <w:szCs w:val="21"/>
                <w:highlight w:val="none"/>
                <w:lang w:val="en-US" w:eastAsia="zh-CN"/>
              </w:rPr>
              <w:t>采取以下</w:t>
            </w:r>
            <w:r>
              <w:rPr>
                <w:rFonts w:hint="eastAsia" w:ascii="宋体" w:hAnsi="宋体" w:eastAsia="宋体" w:cs="宋体"/>
                <w:color w:val="auto"/>
                <w:sz w:val="21"/>
                <w:szCs w:val="21"/>
                <w:highlight w:val="none"/>
              </w:rPr>
              <w:t>措施</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发包人</w:t>
            </w:r>
            <w:r>
              <w:rPr>
                <w:rFonts w:hint="eastAsia" w:ascii="宋体" w:hAnsi="宋体" w:cs="宋体"/>
                <w:color w:val="auto"/>
                <w:sz w:val="21"/>
                <w:szCs w:val="21"/>
                <w:highlight w:val="none"/>
                <w:lang w:val="en-US" w:eastAsia="zh-CN"/>
              </w:rPr>
              <w:t>除了</w:t>
            </w:r>
            <w:r>
              <w:rPr>
                <w:rFonts w:hint="eastAsia" w:ascii="宋体" w:hAnsi="宋体" w:eastAsia="宋体" w:cs="宋体"/>
                <w:color w:val="auto"/>
                <w:sz w:val="21"/>
                <w:szCs w:val="21"/>
                <w:highlight w:val="none"/>
                <w:lang w:val="en-US" w:eastAsia="zh-CN"/>
              </w:rPr>
              <w:t>有权向承包人发出书面警告</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根据《中国南方电网有限责任公司安全生产督查业务指导书》</w:t>
            </w:r>
            <w:r>
              <w:rPr>
                <w:rFonts w:hint="eastAsia" w:ascii="宋体" w:hAnsi="宋体" w:cs="宋体"/>
                <w:color w:val="auto"/>
                <w:sz w:val="21"/>
                <w:szCs w:val="21"/>
                <w:highlight w:val="none"/>
                <w:lang w:val="en-US" w:eastAsia="zh-CN"/>
              </w:rPr>
              <w:t>《中国南方电网有限责任公司承包商管理业务指导书》</w:t>
            </w:r>
            <w:r>
              <w:rPr>
                <w:rFonts w:hint="eastAsia" w:ascii="宋体" w:hAnsi="宋体" w:eastAsia="宋体" w:cs="宋体"/>
                <w:color w:val="auto"/>
                <w:sz w:val="21"/>
                <w:szCs w:val="21"/>
                <w:highlight w:val="none"/>
                <w:lang w:val="en-US" w:eastAsia="zh-CN"/>
              </w:rPr>
              <w:t>对违章个人进行现场作业违章扣分或对承包商进行失信扣分</w:t>
            </w:r>
            <w:r>
              <w:rPr>
                <w:rFonts w:hint="eastAsia" w:ascii="宋体" w:hAnsi="宋体" w:cs="宋体"/>
                <w:color w:val="auto"/>
                <w:sz w:val="21"/>
                <w:szCs w:val="21"/>
                <w:highlight w:val="none"/>
                <w:lang w:val="en-US" w:eastAsia="zh-CN"/>
              </w:rPr>
              <w:t>，还可以向承包人主张违约责任；</w:t>
            </w:r>
            <w:r>
              <w:rPr>
                <w:rFonts w:hint="eastAsia" w:ascii="宋体" w:hAnsi="宋体" w:eastAsia="宋体" w:cs="宋体"/>
                <w:color w:val="auto"/>
                <w:sz w:val="21"/>
                <w:szCs w:val="21"/>
                <w:highlight w:val="none"/>
              </w:rPr>
              <w:t>如违约金无法覆盖发包人实际损失的，发包人将</w:t>
            </w:r>
            <w:r>
              <w:rPr>
                <w:rFonts w:hint="eastAsia" w:ascii="宋体" w:hAnsi="宋体" w:cs="宋体"/>
                <w:color w:val="auto"/>
                <w:sz w:val="21"/>
                <w:szCs w:val="21"/>
                <w:highlight w:val="none"/>
                <w:lang w:val="en-US" w:eastAsia="zh-CN"/>
              </w:rPr>
              <w:t>另行主张损失赔偿</w:t>
            </w:r>
            <w:r>
              <w:rPr>
                <w:rFonts w:hint="eastAsia" w:ascii="宋体" w:hAnsi="宋体" w:cs="宋体"/>
                <w:color w:val="auto"/>
                <w:sz w:val="21"/>
                <w:szCs w:val="21"/>
                <w:highlight w:val="none"/>
                <w:lang w:eastAsia="zh-CN"/>
              </w:rPr>
              <w:t>。</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任何一方违反合同义务，发生多项违约行为的，应按照合同约定支付违约金，每项违约金扣罚可累计，累计总额最高不超过合同价的15%。违约方应支付的违约金低于给对方造成的实际损失的，应就差额部分另行赔偿，损失赔偿金额不受签约合同价限制。</w:t>
            </w:r>
          </w:p>
        </w:tc>
        <w:tc>
          <w:tcPr>
            <w:tcW w:w="687" w:type="dxa"/>
            <w:noWrap w:val="0"/>
            <w:vAlign w:val="center"/>
          </w:tcPr>
          <w:p>
            <w:pPr>
              <w:keepNext w:val="0"/>
              <w:keepLines w:val="0"/>
              <w:pageBreakBefore w:val="0"/>
              <w:widowControl/>
              <w:kinsoku/>
              <w:wordWrap/>
              <w:overflowPunct/>
              <w:topLinePunct w:val="0"/>
              <w:bidi w:val="0"/>
              <w:spacing w:line="240" w:lineRule="auto"/>
              <w:ind w:firstLine="0" w:firstLineChars="0"/>
              <w:jc w:val="left"/>
              <w:textAlignment w:val="auto"/>
              <w:rPr>
                <w:rFonts w:hint="eastAsia" w:ascii="宋体" w:hAnsi="宋体" w:eastAsia="宋体" w:cs="宋体"/>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82" w:type="dxa"/>
            <w:noWrap w:val="0"/>
            <w:vAlign w:val="center"/>
          </w:tcPr>
          <w:p>
            <w:pPr>
              <w:pStyle w:val="15"/>
              <w:keepNext w:val="0"/>
              <w:keepLines w:val="0"/>
              <w:pageBreakBefore w:val="0"/>
              <w:widowControl w:val="0"/>
              <w:numPr>
                <w:ilvl w:val="0"/>
                <w:numId w:val="1"/>
              </w:numPr>
              <w:kinsoku/>
              <w:wordWrap/>
              <w:overflowPunct/>
              <w:topLinePunct w:val="0"/>
              <w:autoSpaceDE/>
              <w:autoSpaceDN/>
              <w:bidi w:val="0"/>
              <w:adjustRightInd w:val="0"/>
              <w:snapToGrid w:val="0"/>
              <w:spacing w:line="240" w:lineRule="auto"/>
              <w:ind w:left="0" w:firstLine="0" w:firstLineChars="0"/>
              <w:jc w:val="center"/>
              <w:textAlignment w:val="auto"/>
              <w:rPr>
                <w:rFonts w:hint="eastAsia" w:ascii="宋体" w:hAnsi="宋体" w:eastAsia="宋体" w:cs="宋体"/>
                <w:color w:val="auto"/>
                <w:kern w:val="0"/>
                <w:sz w:val="21"/>
                <w:szCs w:val="21"/>
                <w:highlight w:val="none"/>
              </w:rPr>
            </w:pPr>
          </w:p>
        </w:tc>
        <w:tc>
          <w:tcPr>
            <w:tcW w:w="1108" w:type="dxa"/>
            <w:noWrap w:val="0"/>
            <w:vAlign w:val="center"/>
          </w:tcPr>
          <w:p>
            <w:pPr>
              <w:pStyle w:val="15"/>
              <w:keepNext w:val="0"/>
              <w:keepLines w:val="0"/>
              <w:pageBreakBefore w:val="0"/>
              <w:numPr>
                <w:ilvl w:val="0"/>
                <w:numId w:val="0"/>
              </w:numPr>
              <w:kinsoku/>
              <w:wordWrap/>
              <w:overflowPunct/>
              <w:topLinePunct w:val="0"/>
              <w:bidi w:val="0"/>
              <w:spacing w:line="240" w:lineRule="auto"/>
              <w:ind w:left="0" w:leftChars="0" w:firstLine="0" w:firstLineChars="0"/>
              <w:textAlignment w:val="auto"/>
              <w:rPr>
                <w:rFonts w:hint="eastAsia" w:ascii="宋体" w:hAnsi="宋体" w:eastAsia="宋体" w:cs="宋体"/>
                <w:color w:val="auto"/>
                <w:kern w:val="0"/>
                <w:sz w:val="21"/>
                <w:szCs w:val="21"/>
                <w:highlight w:val="none"/>
                <w:lang w:val="en-US" w:eastAsia="zh-CN"/>
              </w:rPr>
            </w:pPr>
            <w:r>
              <w:rPr>
                <w:rFonts w:hint="eastAsia" w:ascii="宋体" w:hAnsi="宋体" w:cs="宋体"/>
                <w:color w:val="auto"/>
                <w:kern w:val="0"/>
                <w:sz w:val="21"/>
                <w:szCs w:val="21"/>
                <w:highlight w:val="none"/>
                <w:lang w:val="en-US" w:eastAsia="zh-CN"/>
              </w:rPr>
              <w:t>修改</w:t>
            </w:r>
          </w:p>
        </w:tc>
        <w:tc>
          <w:tcPr>
            <w:tcW w:w="1262" w:type="dxa"/>
            <w:noWrap w:val="0"/>
            <w:vAlign w:val="center"/>
          </w:tcPr>
          <w:p>
            <w:pPr>
              <w:pStyle w:val="15"/>
              <w:keepNext w:val="0"/>
              <w:keepLines w:val="0"/>
              <w:pageBreakBefore w:val="0"/>
              <w:numPr>
                <w:ilvl w:val="0"/>
                <w:numId w:val="0"/>
              </w:numPr>
              <w:kinsoku/>
              <w:wordWrap/>
              <w:overflowPunct/>
              <w:topLinePunct w:val="0"/>
              <w:bidi w:val="0"/>
              <w:spacing w:line="240" w:lineRule="auto"/>
              <w:ind w:leftChars="0" w:firstLine="0" w:firstLineChars="0"/>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专用合同条款</w:t>
            </w:r>
          </w:p>
          <w:p>
            <w:pPr>
              <w:keepNext w:val="0"/>
              <w:keepLines w:val="0"/>
              <w:pageBreakBefore w:val="0"/>
              <w:kinsoku/>
              <w:wordWrap/>
              <w:overflowPunct/>
              <w:topLinePunct w:val="0"/>
              <w:bidi w:val="0"/>
              <w:spacing w:line="240" w:lineRule="auto"/>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2.发包人</w:t>
            </w:r>
            <w:r>
              <w:rPr>
                <w:rFonts w:hint="eastAsia" w:ascii="宋体" w:hAnsi="宋体" w:eastAsia="宋体" w:cs="宋体"/>
                <w:b/>
                <w:bCs/>
                <w:color w:val="auto"/>
                <w:sz w:val="21"/>
                <w:szCs w:val="21"/>
                <w:highlight w:val="none"/>
              </w:rPr>
              <w:t>2.6.1.</w:t>
            </w:r>
            <w:r>
              <w:rPr>
                <w:rFonts w:hint="eastAsia" w:ascii="宋体" w:hAnsi="宋体" w:eastAsia="宋体" w:cs="宋体"/>
                <w:b/>
                <w:bCs/>
                <w:color w:val="auto"/>
                <w:sz w:val="21"/>
                <w:szCs w:val="21"/>
                <w:highlight w:val="none"/>
                <w:lang w:val="en-US" w:eastAsia="zh-CN"/>
              </w:rPr>
              <w:t>1款</w:t>
            </w:r>
          </w:p>
        </w:tc>
        <w:tc>
          <w:tcPr>
            <w:tcW w:w="5760" w:type="dxa"/>
            <w:noWrap w:val="0"/>
            <w:vAlign w:val="center"/>
          </w:tcPr>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2.6.1.1 如果承包人有下列行为，发包人应有权向承包人发出书面警告，根据《中国南方电网有限责任公司安全生产督查业务指导书》对违章个人进行现场作业违章扣分或对承包商进行失信扣分：</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A 采购管理</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（1）若承包人连续两年呈红灯状态(N≥12分) </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（2）若承包人一年呈红灯状态(N≥12分)，</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（3）若承包人连续两年呈黄灯状态（6分≤N＜12分）</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（4）若承包人一年呈黄灯状态（6分≤N＜12分）</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B 安全管理</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（1）违反国家、行业及公司相关安全管理规定；</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（2）发生被政府部门检查发现安全问题并通报的，或导致发包方被政府部门点名通报、约谈或其他处罚的工程建设过程中发生一、二级电力安全事件；</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（3）承包人在基建安全管理中未贯彻安全生产方针，未制定安全生产责任制，未将安全责任制落实到项目经理、安全员、现场负责人等具体岗位；</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（4）承包人有违反安规的事实；</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（5）承包人有违章指挥、违章作业的事实；</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（6）承包人未在每个项目进程和作业活动中落实基建安全“四步法”，出现以下情况：</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①承包人现场作业未正确选用作业指导书指导现场施工；</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②施工现场作业过程出现重大危险源，未及时进行动态更新并在现场严格落实相关风险管控措施；</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③施工现场未按安全施工作业票作业或作业票填写的相关内容与现场严重不符，在发包人、监理人及其他相关单位检查中累计发现问题超过五次；</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④施工现场未开站班会或站班会安全技术交底等“三交”、“三查”工作与现场实际不符、流于形式，安全控制措施未真正落实，在发包人、监理人及其他相关单位检查中累计发现问题超过五次。</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（7）承包人未按照相关规定设置安全管理机构，不服从监理人和发包人管理，缺席安全会议三次；</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（8）承包人对高和特高等级风险的施工作业未制定专项风险控制措施或专项风险控制措施未经审批流程擅自用于现场指导施工；</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（9）承包人未建立有效的应急机构，制订应急预案并定期演练。</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C 质量管理</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（1）承包人违反国家工程建设强制性条文标准、技术规程规范，造成严重后果；</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（2）承包人开工、复工前不具备施工条件或未经审核批准擅自施工，开工后未对项目实施的实际情况编制完整的安全、质量技术文件，施工现场未按已审批的技术文件及方案指导施工；</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3）承包人项目经理、技术负责人、安全员、质检员等管理人员与投标组织架构不一致或不一致且未履行变更手续；承包人未制定管理人员到位管理制度，管理人员长期未到岗、到位，缺岗、缺位时间累计超过三十个合同日；</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4）承包人未执行《中国南方电网有限责任公司工程项目承包商管理人员和特种作业人员持证上岗管理工作指引》要求，管理人员、特种人员未取得有关证书或未通过中国南方电网公司安规考试和施工类相应考试。在发包人、监理人及其他相关单位检查中累计发现问题超过三次；</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5）现场施工机具（含特种设备）未按公司《中国南方电网公司施工机械（具）和设备管理业务指导书（试行）》的要求进行执行，未严格按照“八步骤”要求管理。在发包人、监理人及其他相关单位检查中累计发现问题超过六次；</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（6）承包人未在基建项目现场推进“7S”管理，检查中累计发现问题超过六次；</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（7）承包人未按照国家、电力行业和中国南方电网公司的有关质量标准和规定，建立、健全质量管理体系且有效运转，并层层分解质量管理责任；</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（8）承包人未严格执行《中国南方电网有限责任公司基建工程质量控制（WHS）标准》（Q/CSG 1202001-2017），未落实WHS质量控制工作，导致工程实体质量（含关键部位、工序或隐蔽工程）出现缺陷，可能影响工程性能、寿命、安全、可靠性和精度等：</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9）承包人在基建施工过程中未严格执行《中国南方电网有限责任公司输变电及配电工程质量验收与评定标准》进行质量验收；未结合工程施工实际情况开展三级检验工作；不配合各级主管部门或独立第三方对项目的现场监察（包含工程竣工前质量评价、竣工后质量监督）；</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（10）承包人将未经监理人审批同意进场使用的主要原材料、设备、构配件、半成品擅自用于本项目建设；</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（11）承包人未根据南方电网公司基建承包人管理要求做好登记建档工作；</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D 进度管理</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（1）承包人不及时制定三级进度计划的，或不及时对三级进度计划进行纠偏措施并调整计划的。</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E 造价管理</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（1）承包人未履行合同约定造价管理义务。</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F 综合管理</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（1）承包人未根据工程进展实际情况，及时更新信息系统数据，并保证数据质量。（详见附件 功能应用要求）</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（2）承包人没有对项目全过程中形成的文字、图表、声像等文件进行同步归档、分阶段移交。 </w:t>
            </w:r>
          </w:p>
        </w:tc>
        <w:tc>
          <w:tcPr>
            <w:tcW w:w="5800" w:type="dxa"/>
            <w:noWrap w:val="0"/>
            <w:vAlign w:val="center"/>
          </w:tcPr>
          <w:p>
            <w:pPr>
              <w:pStyle w:val="6"/>
              <w:keepNext w:val="0"/>
              <w:keepLines w:val="0"/>
              <w:pageBreakBefore w:val="0"/>
              <w:kinsoku/>
              <w:wordWrap/>
              <w:overflowPunct/>
              <w:topLinePunct w:val="0"/>
              <w:bidi w:val="0"/>
              <w:spacing w:after="0" w:line="240" w:lineRule="auto"/>
              <w:ind w:left="0" w:leftChars="0" w:firstLine="422" w:firstLineChars="200"/>
              <w:textAlignment w:val="auto"/>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2.6.1.1 承（分）包管理</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（1）承包人发生以下转包行为（以行政主管机关或发包人发布的生效认定结论为准），扣除合同总额的5%，暂停合同：</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①承包单位将其承包的全部工程转给其他单位(包括母公司承接工程后将所承接工程交由具有独立法人资格的子公司施工的情形)或个人实施的行为；</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②承包单位将其承包的全部工程肢解后，以分包名义转给其他单位或个人实施的行为；</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③两个以上的单位组成联合体承包工程，在联合体分工协议中约定或者在项目实际实施过程中，联合体一方不进行施工也未对施工活动进行组织管理的，并且向联合体其他方收取管理费或者其他类似费用的，视为联合体一方将承包的工程转包给联合体其他方；</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（2）承包人发生转包行为拒不整改的，扣除合同总额的10%，发包人有权单方终止合同。</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（3）承包人发生以下违法分包行为（以行政主管机关或发包人发布的生效认定结论为准），扣除涉及的单项工程合同总额的1%：</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①承包单位将其承包的工程分包给个人的；</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②施工总承包单位将工程分包给不具备相应资质的专业分包单位或劳务分包单位的；</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③承包单位将合同范围内的主体工程业务交由其他单位具体实施的；</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④专业分包单位将其承包的专业工程中非劳务作业部分再分包的；</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⑤专业作业承包人将其承包的劳务再分包；</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⑥专业作业承包人除计取劳务作业费用外，还计取主要建筑材料款和大中型施工机械设备、主要周转材料费用。</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（4）承包人发生违法分包行为拒不整改的，扣除合同总额的10%，发包人有权单方终止合同。</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（5）承包人发生以下农民工工资支付管理不符合的行为，扣除合同总额的0.2%：</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①未按规定开设或者使用农民工工资专用账户。</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②未按规定存储工资保证金或者未提供金融机构保函。</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（6）承包人发生有责的讨薪、闹薪的集体上访事件（达到一般突发性群体事件标准的），扣除合同总额的1%。</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（7）承包人因拖欠农民工工资或唆使农民工以欠薪为由讨要工程款、设备（材料）款而引发较大群体性事件、极端事件造成严重不良社会影响，扣除合同总额的5%，暂停合同。</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（8）承包人因拖欠农民工工资或唆使农民工以欠薪为由讨要工程款、设备（材料）款而引发重大及以上群体性事件、极端事件造成严重不良社会影响，扣除合同总额的10%，发包人有权单方终止合同。</w:t>
            </w:r>
          </w:p>
        </w:tc>
        <w:tc>
          <w:tcPr>
            <w:tcW w:w="687" w:type="dxa"/>
            <w:noWrap w:val="0"/>
            <w:vAlign w:val="center"/>
          </w:tcPr>
          <w:p>
            <w:pPr>
              <w:keepNext w:val="0"/>
              <w:keepLines w:val="0"/>
              <w:pageBreakBefore w:val="0"/>
              <w:widowControl/>
              <w:kinsoku/>
              <w:wordWrap/>
              <w:overflowPunct/>
              <w:topLinePunct w:val="0"/>
              <w:bidi w:val="0"/>
              <w:spacing w:line="240" w:lineRule="auto"/>
              <w:ind w:firstLine="0" w:firstLineChars="0"/>
              <w:jc w:val="left"/>
              <w:textAlignment w:val="auto"/>
              <w:rPr>
                <w:rFonts w:hint="eastAsia" w:ascii="宋体" w:hAnsi="宋体" w:eastAsia="宋体" w:cs="宋体"/>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82" w:type="dxa"/>
            <w:noWrap w:val="0"/>
            <w:vAlign w:val="center"/>
          </w:tcPr>
          <w:p>
            <w:pPr>
              <w:pStyle w:val="15"/>
              <w:keepNext w:val="0"/>
              <w:keepLines w:val="0"/>
              <w:pageBreakBefore w:val="0"/>
              <w:widowControl w:val="0"/>
              <w:numPr>
                <w:ilvl w:val="0"/>
                <w:numId w:val="1"/>
              </w:numPr>
              <w:kinsoku/>
              <w:wordWrap/>
              <w:overflowPunct/>
              <w:topLinePunct w:val="0"/>
              <w:autoSpaceDE/>
              <w:autoSpaceDN/>
              <w:bidi w:val="0"/>
              <w:adjustRightInd w:val="0"/>
              <w:snapToGrid w:val="0"/>
              <w:spacing w:line="240" w:lineRule="auto"/>
              <w:ind w:left="0" w:firstLine="0" w:firstLineChars="0"/>
              <w:jc w:val="center"/>
              <w:textAlignment w:val="auto"/>
              <w:rPr>
                <w:rFonts w:hint="eastAsia" w:ascii="宋体" w:hAnsi="宋体" w:eastAsia="宋体" w:cs="宋体"/>
                <w:color w:val="auto"/>
                <w:kern w:val="0"/>
                <w:sz w:val="21"/>
                <w:szCs w:val="21"/>
                <w:highlight w:val="none"/>
              </w:rPr>
            </w:pPr>
          </w:p>
        </w:tc>
        <w:tc>
          <w:tcPr>
            <w:tcW w:w="1108" w:type="dxa"/>
            <w:noWrap w:val="0"/>
            <w:vAlign w:val="center"/>
          </w:tcPr>
          <w:p>
            <w:pPr>
              <w:pStyle w:val="15"/>
              <w:keepNext w:val="0"/>
              <w:keepLines w:val="0"/>
              <w:pageBreakBefore w:val="0"/>
              <w:numPr>
                <w:ilvl w:val="0"/>
                <w:numId w:val="0"/>
              </w:numPr>
              <w:kinsoku/>
              <w:wordWrap/>
              <w:overflowPunct/>
              <w:topLinePunct w:val="0"/>
              <w:bidi w:val="0"/>
              <w:spacing w:line="240" w:lineRule="auto"/>
              <w:ind w:left="0" w:leftChars="0" w:firstLine="0" w:firstLineChars="0"/>
              <w:textAlignment w:val="auto"/>
              <w:rPr>
                <w:rFonts w:hint="eastAsia" w:ascii="宋体" w:hAnsi="宋体" w:cs="宋体"/>
                <w:color w:val="auto"/>
                <w:kern w:val="0"/>
                <w:sz w:val="21"/>
                <w:szCs w:val="21"/>
                <w:highlight w:val="none"/>
                <w:lang w:val="en-US" w:eastAsia="zh-CN"/>
              </w:rPr>
            </w:pPr>
            <w:r>
              <w:rPr>
                <w:rFonts w:hint="eastAsia" w:ascii="宋体" w:hAnsi="宋体" w:cs="宋体"/>
                <w:color w:val="auto"/>
                <w:kern w:val="0"/>
                <w:sz w:val="21"/>
                <w:szCs w:val="21"/>
                <w:highlight w:val="none"/>
                <w:lang w:val="en-US" w:eastAsia="zh-CN"/>
              </w:rPr>
              <w:t>修改</w:t>
            </w:r>
          </w:p>
        </w:tc>
        <w:tc>
          <w:tcPr>
            <w:tcW w:w="1262" w:type="dxa"/>
            <w:noWrap w:val="0"/>
            <w:vAlign w:val="center"/>
          </w:tcPr>
          <w:p>
            <w:pPr>
              <w:pStyle w:val="15"/>
              <w:keepNext w:val="0"/>
              <w:keepLines w:val="0"/>
              <w:pageBreakBefore w:val="0"/>
              <w:numPr>
                <w:ilvl w:val="0"/>
                <w:numId w:val="0"/>
              </w:numPr>
              <w:kinsoku/>
              <w:wordWrap/>
              <w:overflowPunct/>
              <w:topLinePunct w:val="0"/>
              <w:bidi w:val="0"/>
              <w:spacing w:line="240" w:lineRule="auto"/>
              <w:ind w:leftChars="0" w:firstLine="0" w:firstLineChars="0"/>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专用合同条款</w:t>
            </w:r>
          </w:p>
          <w:p>
            <w:pPr>
              <w:keepNext w:val="0"/>
              <w:keepLines w:val="0"/>
              <w:pageBreakBefore w:val="0"/>
              <w:kinsoku/>
              <w:wordWrap/>
              <w:overflowPunct/>
              <w:topLinePunct w:val="0"/>
              <w:bidi w:val="0"/>
              <w:spacing w:line="240" w:lineRule="auto"/>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2.发包人</w:t>
            </w:r>
            <w:r>
              <w:rPr>
                <w:rFonts w:hint="eastAsia" w:ascii="宋体" w:hAnsi="宋体" w:eastAsia="宋体" w:cs="宋体"/>
                <w:b/>
                <w:bCs/>
                <w:color w:val="auto"/>
                <w:sz w:val="21"/>
                <w:szCs w:val="21"/>
                <w:highlight w:val="none"/>
              </w:rPr>
              <w:t>2.6.1.</w:t>
            </w:r>
            <w:r>
              <w:rPr>
                <w:rFonts w:hint="eastAsia" w:ascii="宋体" w:hAnsi="宋体" w:eastAsia="宋体" w:cs="宋体"/>
                <w:b/>
                <w:bCs/>
                <w:color w:val="auto"/>
                <w:sz w:val="21"/>
                <w:szCs w:val="21"/>
                <w:highlight w:val="none"/>
                <w:lang w:val="en-US" w:eastAsia="zh-CN"/>
              </w:rPr>
              <w:t>2款</w:t>
            </w:r>
          </w:p>
        </w:tc>
        <w:tc>
          <w:tcPr>
            <w:tcW w:w="5760" w:type="dxa"/>
            <w:noWrap w:val="0"/>
            <w:vAlign w:val="center"/>
          </w:tcPr>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2.6.1.2 如果承包人有下列行为，发包人应有权向承包人提出经济索赔，每发生一次扣除合同总额的0.2%，累计最多可扣除合同总额的1%：</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A安全管理</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（1）发生一般人身、设备、电力安全事故；</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（2）发生被政府部门通报的负有责任的一般突发环境事件；</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（3）因拖欠农民工工资或唆使农民工以欠薪为由讨要工程款、设备（材料）款而引发一般突发性群体事件造成严重不良社会影响的；</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（4）在巡视、审计、案件查处、上级检查、交叉检查、举报、投诉和舆情处理等工作核实承包人有不良行为，且影响恶劣的；</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（5）承包人有违反安规、违章指挥、违章作业的事实，造成不良后果的；</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（6）在上级单位对承包人进行检查发现严重问题时；</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B 采购管理</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（1）在工程建设过程中承包人存在转包、违法分包及挂靠等触犯基建工作“八不准”的行为；</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（2）承包人项目经理等管理人员长期无法到岗、到位，长期由他人代行使职责，缺岗、缺位时间累计超过45个合同日；</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C 质量管理</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（1）承包人开工、复工前不具备施工条件或未经审核批准擅自施工，未按发包人、监理人要求停工；</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（2）承包人对高和特高等级风险的施工作业未制定专项风险控制措施或专项风险控制措施未经审批流程擅自用于现场指导施工，未按发包人及监理人要求落实整改措施；</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（3）承包人未严格执行《中国南方电网有限责任公司基建工程质量控制（WHS）及量化评价标准》（Q/CSG 533034-2014），未落实WHS质量控制工作，导致工程实体质量（含关键部位、工序或隐蔽工程）出现缺陷，严重影响工程性能、寿命、安全、可靠性和精度等：</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（4）工程存在质量事故或质量缺陷，启动质量追溯流程，承包人除上述经济索赔外，还将受到通报批评，或在3个月内其评标中扣1-3分，或停止其3个月内参与投标及分包工程的资格的处罚。</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D 综合管理</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（1）承包人未按照《南方电网公司基建承包商管理业务指导书》要求完成登记建档工作，经三次警告后仍未按要求完成登记建档工作的；</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（2）在项目投产后30天内，未向建设单位业主项目部移交项目档案，档案资料不齐全；</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（3）发生拖欠民工工资导致群体性事件造成恶劣社会影响的； </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（4）承包人根据工程进展实际情况，未及时更新信息系统数据，不配合完成信息系统填报的情况，经三次警告后仍未按要求完成工作的。</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（5）承包人未能及时、准确、完整地在规定时间内完成电子化移交或参数移交。</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E 造价管理</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（1）承包人未履行合同约定造价管理义务，经三次书面警告仍未履行的。</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F 进度管理</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（1）承包人未根据南方电网公司基建管理相关规定，编制、执行三级进度计划，发生工程进度失控；</w:t>
            </w:r>
          </w:p>
        </w:tc>
        <w:tc>
          <w:tcPr>
            <w:tcW w:w="5800" w:type="dxa"/>
            <w:noWrap w:val="0"/>
            <w:vAlign w:val="center"/>
          </w:tcPr>
          <w:p>
            <w:pPr>
              <w:pStyle w:val="6"/>
              <w:keepNext w:val="0"/>
              <w:keepLines w:val="0"/>
              <w:pageBreakBefore w:val="0"/>
              <w:kinsoku/>
              <w:wordWrap/>
              <w:overflowPunct/>
              <w:topLinePunct w:val="0"/>
              <w:bidi w:val="0"/>
              <w:spacing w:after="0" w:line="240" w:lineRule="auto"/>
              <w:ind w:left="0" w:leftChars="0" w:firstLine="422" w:firstLineChars="200"/>
              <w:textAlignment w:val="auto"/>
              <w:rPr>
                <w:rFonts w:hint="default"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 xml:space="preserve">2.6.1.2 </w:t>
            </w:r>
            <w:r>
              <w:rPr>
                <w:rFonts w:hint="default" w:asciiTheme="minorEastAsia" w:hAnsiTheme="minorEastAsia" w:eastAsiaTheme="minorEastAsia" w:cstheme="minorEastAsia"/>
                <w:b/>
                <w:bCs/>
                <w:color w:val="auto"/>
                <w:sz w:val="21"/>
                <w:szCs w:val="21"/>
                <w:highlight w:val="none"/>
                <w:lang w:val="en-US" w:eastAsia="zh-CN"/>
              </w:rPr>
              <w:t>安全管理</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本条款所称安全事故、安全事件，责任认定以应急管理部门、电力行业主管部门或发包人出具的生效事故调查报告/责任认定书为准。</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（1）</w:t>
            </w:r>
            <w:r>
              <w:rPr>
                <w:rFonts w:hint="default" w:asciiTheme="minorEastAsia" w:hAnsiTheme="minorEastAsia" w:eastAsiaTheme="minorEastAsia" w:cstheme="minorEastAsia"/>
                <w:color w:val="auto"/>
                <w:sz w:val="21"/>
                <w:szCs w:val="21"/>
                <w:highlight w:val="none"/>
                <w:lang w:val="en-US" w:eastAsia="zh-CN"/>
              </w:rPr>
              <w:t>发生有责任的三级事件</w:t>
            </w:r>
            <w:r>
              <w:rPr>
                <w:rFonts w:hint="eastAsia" w:asciiTheme="minorEastAsia" w:hAnsiTheme="minorEastAsia" w:eastAsiaTheme="minorEastAsia" w:cstheme="minorEastAsia"/>
                <w:color w:val="auto"/>
                <w:sz w:val="21"/>
                <w:szCs w:val="21"/>
                <w:highlight w:val="none"/>
                <w:lang w:val="en-US" w:eastAsia="zh-CN"/>
              </w:rPr>
              <w:t>，扣除合同总额的0.2%</w:t>
            </w:r>
            <w:r>
              <w:rPr>
                <w:rFonts w:hint="default" w:asciiTheme="minorEastAsia" w:hAnsiTheme="minorEastAsia" w:eastAsiaTheme="minorEastAsia" w:cstheme="minorEastAsia"/>
                <w:color w:val="auto"/>
                <w:sz w:val="21"/>
                <w:szCs w:val="21"/>
                <w:highlight w:val="none"/>
                <w:lang w:val="en-US" w:eastAsia="zh-CN"/>
              </w:rPr>
              <w:t>。</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w:t>
            </w:r>
            <w:r>
              <w:rPr>
                <w:rFonts w:hint="default" w:asciiTheme="minorEastAsia" w:hAnsiTheme="minorEastAsia" w:eastAsiaTheme="minorEastAsia" w:cstheme="minorEastAsia"/>
                <w:color w:val="auto"/>
                <w:sz w:val="21"/>
                <w:szCs w:val="21"/>
                <w:highlight w:val="none"/>
                <w:lang w:val="en-US" w:eastAsia="zh-CN"/>
              </w:rPr>
              <w:t>发生有责任的二级事件</w:t>
            </w:r>
            <w:r>
              <w:rPr>
                <w:rFonts w:hint="eastAsia" w:asciiTheme="minorEastAsia" w:hAnsiTheme="minorEastAsia" w:eastAsiaTheme="minorEastAsia" w:cstheme="minorEastAsia"/>
                <w:color w:val="auto"/>
                <w:sz w:val="21"/>
                <w:szCs w:val="21"/>
                <w:highlight w:val="none"/>
                <w:lang w:val="en-US" w:eastAsia="zh-CN"/>
              </w:rPr>
              <w:t>，扣除合同总额的1%</w:t>
            </w:r>
            <w:r>
              <w:rPr>
                <w:rFonts w:hint="default" w:asciiTheme="minorEastAsia" w:hAnsiTheme="minorEastAsia" w:eastAsiaTheme="minorEastAsia" w:cstheme="minorEastAsia"/>
                <w:color w:val="auto"/>
                <w:sz w:val="21"/>
                <w:szCs w:val="21"/>
                <w:highlight w:val="none"/>
                <w:lang w:val="en-US" w:eastAsia="zh-CN"/>
              </w:rPr>
              <w:t>。</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（3）</w:t>
            </w:r>
            <w:r>
              <w:rPr>
                <w:rFonts w:hint="default" w:asciiTheme="minorEastAsia" w:hAnsiTheme="minorEastAsia" w:eastAsiaTheme="minorEastAsia" w:cstheme="minorEastAsia"/>
                <w:color w:val="auto"/>
                <w:sz w:val="21"/>
                <w:szCs w:val="21"/>
                <w:highlight w:val="none"/>
                <w:lang w:val="en-US" w:eastAsia="zh-CN"/>
              </w:rPr>
              <w:t>发生有责任的一级事件</w:t>
            </w:r>
            <w:r>
              <w:rPr>
                <w:rFonts w:hint="eastAsia" w:asciiTheme="minorEastAsia" w:hAnsiTheme="minorEastAsia" w:eastAsiaTheme="minorEastAsia" w:cstheme="minorEastAsia"/>
                <w:color w:val="auto"/>
                <w:sz w:val="21"/>
                <w:szCs w:val="21"/>
                <w:highlight w:val="none"/>
                <w:lang w:val="en-US" w:eastAsia="zh-CN"/>
              </w:rPr>
              <w:t>，扣除合同总额的3%，暂停合同</w:t>
            </w:r>
            <w:r>
              <w:rPr>
                <w:rFonts w:hint="default" w:asciiTheme="minorEastAsia" w:hAnsiTheme="minorEastAsia" w:eastAsiaTheme="minorEastAsia" w:cstheme="minorEastAsia"/>
                <w:color w:val="auto"/>
                <w:sz w:val="21"/>
                <w:szCs w:val="21"/>
                <w:highlight w:val="none"/>
                <w:lang w:val="en-US" w:eastAsia="zh-CN"/>
              </w:rPr>
              <w:t>。</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default"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（4）发生有责任的一般事故，扣除合同总额的</w:t>
            </w:r>
            <w:r>
              <w:rPr>
                <w:rFonts w:hint="eastAsia" w:asciiTheme="minorEastAsia" w:hAnsiTheme="minorEastAsia" w:cstheme="minorEastAsia"/>
                <w:b w:val="0"/>
                <w:bCs w:val="0"/>
                <w:color w:val="auto"/>
                <w:sz w:val="21"/>
                <w:szCs w:val="21"/>
                <w:highlight w:val="none"/>
                <w:lang w:val="en-US" w:eastAsia="zh-CN"/>
              </w:rPr>
              <w:t>5</w:t>
            </w:r>
            <w:r>
              <w:rPr>
                <w:rFonts w:hint="eastAsia" w:asciiTheme="minorEastAsia" w:hAnsiTheme="minorEastAsia" w:eastAsiaTheme="minorEastAsia" w:cstheme="minorEastAsia"/>
                <w:b w:val="0"/>
                <w:bCs w:val="0"/>
                <w:color w:val="auto"/>
                <w:sz w:val="21"/>
                <w:szCs w:val="21"/>
                <w:highlight w:val="none"/>
                <w:lang w:val="en-US" w:eastAsia="zh-CN"/>
              </w:rPr>
              <w:t>%，暂停合同。</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（5）</w:t>
            </w:r>
            <w:r>
              <w:rPr>
                <w:rFonts w:hint="default" w:asciiTheme="minorEastAsia" w:hAnsiTheme="minorEastAsia" w:eastAsiaTheme="minorEastAsia" w:cstheme="minorEastAsia"/>
                <w:color w:val="auto"/>
                <w:sz w:val="21"/>
                <w:szCs w:val="21"/>
                <w:highlight w:val="none"/>
                <w:lang w:val="en-US" w:eastAsia="zh-CN"/>
              </w:rPr>
              <w:t>发生有责任的较大</w:t>
            </w:r>
            <w:r>
              <w:rPr>
                <w:rFonts w:hint="eastAsia" w:asciiTheme="minorEastAsia" w:hAnsiTheme="minorEastAsia" w:eastAsiaTheme="minorEastAsia" w:cstheme="minorEastAsia"/>
                <w:color w:val="auto"/>
                <w:sz w:val="21"/>
                <w:szCs w:val="21"/>
                <w:highlight w:val="none"/>
                <w:lang w:val="en-US" w:eastAsia="zh-CN"/>
              </w:rPr>
              <w:t>及</w:t>
            </w:r>
            <w:r>
              <w:rPr>
                <w:rFonts w:hint="default" w:asciiTheme="minorEastAsia" w:hAnsiTheme="minorEastAsia" w:eastAsiaTheme="minorEastAsia" w:cstheme="minorEastAsia"/>
                <w:color w:val="auto"/>
                <w:sz w:val="21"/>
                <w:szCs w:val="21"/>
                <w:highlight w:val="none"/>
                <w:lang w:val="en-US" w:eastAsia="zh-CN"/>
              </w:rPr>
              <w:t>以上事故</w:t>
            </w:r>
            <w:r>
              <w:rPr>
                <w:rFonts w:hint="eastAsia" w:asciiTheme="minorEastAsia" w:hAnsiTheme="minorEastAsia" w:eastAsiaTheme="minorEastAsia" w:cstheme="minorEastAsia"/>
                <w:color w:val="auto"/>
                <w:sz w:val="21"/>
                <w:szCs w:val="21"/>
                <w:highlight w:val="none"/>
                <w:lang w:val="en-US" w:eastAsia="zh-CN"/>
              </w:rPr>
              <w:t>，扣除合同总额的10%，终止合同</w:t>
            </w:r>
            <w:r>
              <w:rPr>
                <w:rFonts w:hint="default" w:asciiTheme="minorEastAsia" w:hAnsiTheme="minorEastAsia" w:eastAsiaTheme="minorEastAsia" w:cstheme="minorEastAsia"/>
                <w:color w:val="auto"/>
                <w:sz w:val="21"/>
                <w:szCs w:val="21"/>
                <w:highlight w:val="none"/>
                <w:lang w:val="en-US" w:eastAsia="zh-CN"/>
              </w:rPr>
              <w:t>。</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（6）事故隐患排查治理机制未落实，发现安全事故隐患，承包人拒不整改或者不停止施工的，扣除合同总额的0.2%。</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（7）承包人发生以下未按要求开展实名制登记认证与考勤的，按500元每人次进行扣罚：</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①</w:t>
            </w:r>
            <w:r>
              <w:rPr>
                <w:rFonts w:hint="default" w:asciiTheme="minorEastAsia" w:hAnsiTheme="minorEastAsia" w:eastAsiaTheme="minorEastAsia" w:cstheme="minorEastAsia"/>
                <w:color w:val="auto"/>
                <w:sz w:val="21"/>
                <w:szCs w:val="21"/>
                <w:highlight w:val="none"/>
                <w:lang w:val="en-US" w:eastAsia="zh-CN"/>
              </w:rPr>
              <w:t>工程承（分）包单位主要管理人员未在公司智慧工程管理系统中开展实名制登记认证；</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②</w:t>
            </w:r>
            <w:r>
              <w:rPr>
                <w:rFonts w:hint="default" w:asciiTheme="minorEastAsia" w:hAnsiTheme="minorEastAsia" w:eastAsiaTheme="minorEastAsia" w:cstheme="minorEastAsia"/>
                <w:color w:val="auto"/>
                <w:sz w:val="21"/>
                <w:szCs w:val="21"/>
                <w:highlight w:val="none"/>
                <w:lang w:val="en-US" w:eastAsia="zh-CN"/>
              </w:rPr>
              <w:t>现场作业人员未通过公司智慧工程管理系统开展实名制登记认证及考勤。</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（8）承包人发生以下现场安全文明施工管理不符合规定的，每次扣除合同总额的0.1%，累计最多可扣除合同总额的1%：</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①</w:t>
            </w:r>
            <w:r>
              <w:rPr>
                <w:rFonts w:hint="default" w:asciiTheme="minorEastAsia" w:hAnsiTheme="minorEastAsia" w:eastAsiaTheme="minorEastAsia" w:cstheme="minorEastAsia"/>
                <w:color w:val="auto"/>
                <w:sz w:val="21"/>
                <w:szCs w:val="21"/>
                <w:highlight w:val="none"/>
                <w:lang w:val="en-US" w:eastAsia="zh-CN"/>
              </w:rPr>
              <w:t>施工项目现场未按安全文明施工设施标准配置，安全文明施工管理状况差，或现场成品保护差。</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②</w:t>
            </w:r>
            <w:r>
              <w:rPr>
                <w:rFonts w:hint="default" w:asciiTheme="minorEastAsia" w:hAnsiTheme="minorEastAsia" w:eastAsiaTheme="minorEastAsia" w:cstheme="minorEastAsia"/>
                <w:color w:val="auto"/>
                <w:sz w:val="21"/>
                <w:szCs w:val="21"/>
                <w:highlight w:val="none"/>
                <w:lang w:val="en-US" w:eastAsia="zh-CN"/>
              </w:rPr>
              <w:t>未按照国家有关规定计列和使用安全生产费用；未编制安全生产费用使用计划，专款专用；未明确安全费用提取和使用的程序、职责及权限。</w:t>
            </w:r>
          </w:p>
          <w:p>
            <w:pPr>
              <w:pStyle w:val="6"/>
              <w:keepNext w:val="0"/>
              <w:keepLines w:val="0"/>
              <w:pageBreakBefore w:val="0"/>
              <w:widowControl w:val="0"/>
              <w:kinsoku/>
              <w:wordWrap/>
              <w:overflowPunct/>
              <w:topLinePunct w:val="0"/>
              <w:autoSpaceDE/>
              <w:autoSpaceDN/>
              <w:bidi w:val="0"/>
              <w:adjustRightInd/>
              <w:snapToGrid/>
              <w:spacing w:after="0" w:line="240" w:lineRule="auto"/>
              <w:ind w:left="0" w:leftChars="0" w:firstLine="420" w:firstLineChars="200"/>
              <w:textAlignment w:val="auto"/>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eastAsia="zh-CN"/>
              </w:rPr>
              <w:t>（</w:t>
            </w:r>
            <w:r>
              <w:rPr>
                <w:rFonts w:hint="eastAsia" w:ascii="宋体" w:hAnsi="宋体" w:cs="宋体"/>
                <w:bCs/>
                <w:color w:val="auto"/>
                <w:sz w:val="21"/>
                <w:szCs w:val="21"/>
                <w:highlight w:val="none"/>
                <w:lang w:val="en-US" w:eastAsia="zh-CN"/>
              </w:rPr>
              <w:t>9</w:t>
            </w:r>
            <w:r>
              <w:rPr>
                <w:rFonts w:hint="eastAsia" w:ascii="宋体" w:hAnsi="宋体" w:cs="宋体"/>
                <w:bCs/>
                <w:color w:val="auto"/>
                <w:sz w:val="21"/>
                <w:szCs w:val="21"/>
                <w:highlight w:val="none"/>
                <w:lang w:eastAsia="zh-CN"/>
              </w:rPr>
              <w:t>）</w:t>
            </w:r>
            <w:r>
              <w:rPr>
                <w:rFonts w:hint="eastAsia" w:ascii="宋体" w:hAnsi="宋体" w:cs="宋体"/>
                <w:bCs/>
                <w:color w:val="auto"/>
                <w:sz w:val="21"/>
                <w:szCs w:val="21"/>
                <w:highlight w:val="none"/>
                <w:lang w:val="en-US" w:eastAsia="zh-CN"/>
              </w:rPr>
              <w:t>若施工现场</w:t>
            </w:r>
            <w:r>
              <w:rPr>
                <w:rFonts w:hint="eastAsia" w:ascii="宋体" w:hAnsi="宋体" w:cs="宋体"/>
                <w:b/>
                <w:bCs w:val="0"/>
                <w:color w:val="auto"/>
                <w:sz w:val="21"/>
                <w:szCs w:val="21"/>
                <w:highlight w:val="none"/>
                <w:lang w:val="en-US" w:eastAsia="zh-CN"/>
              </w:rPr>
              <w:t>被南方电网公司或广东电网公司或地市供电局查处</w:t>
            </w:r>
            <w:r>
              <w:rPr>
                <w:rFonts w:hint="eastAsia" w:ascii="宋体" w:hAnsi="宋体" w:eastAsia="宋体" w:cs="宋体"/>
                <w:color w:val="auto"/>
                <w:sz w:val="21"/>
                <w:szCs w:val="21"/>
                <w:lang w:val="en-US" w:eastAsia="zh-CN"/>
              </w:rPr>
              <w:t>无票无计划作业（无票作业、无票操作、无计划作业）、无资质作业（无特种作业证作业、未经安规考试合格上岗作业、现场作业人员资质不符合要求、操作票所列人员不具备相应资格、特种作业人员未经年审或证件过期仍开展特种作业）、高处作业失去保护、作业现场使用或携带的生产用具不合格、未按规定落实绝缘防护措施（电气操作未按规定使用绝缘安全工器具、低压不停电作业绝缘防护措施未落实、带电试验或二次回路作业绝缘防护不到位）、未经“停电、接地、许可”即开展作业等六种突破保命底线严重违章的</w:t>
            </w:r>
            <w:r>
              <w:rPr>
                <w:rFonts w:hint="eastAsia" w:asciiTheme="minorEastAsia" w:hAnsiTheme="minorEastAsia" w:eastAsiaTheme="minorEastAsia" w:cstheme="minorEastAsia"/>
                <w:b w:val="0"/>
                <w:bCs/>
                <w:color w:val="auto"/>
                <w:sz w:val="21"/>
                <w:szCs w:val="21"/>
                <w:highlight w:val="none"/>
                <w:lang w:val="en-US" w:eastAsia="zh-CN"/>
              </w:rPr>
              <w:t>，扣除5000元/次。</w:t>
            </w:r>
            <w:r>
              <w:rPr>
                <w:rFonts w:hint="eastAsia" w:ascii="宋体" w:hAnsi="宋体" w:cs="宋体"/>
                <w:bCs/>
                <w:color w:val="auto"/>
                <w:sz w:val="21"/>
                <w:szCs w:val="21"/>
                <w:highlight w:val="none"/>
                <w:lang w:val="en-US" w:eastAsia="zh-CN"/>
              </w:rPr>
              <w:t>违章行为依据《中国南方电网有限责任公司安全生产督查业务指导书》认定，具体违章代码以公司最新发布的《现场作业违章扣分通用条款》为准：</w:t>
            </w:r>
          </w:p>
          <w:p>
            <w:pPr>
              <w:pStyle w:val="6"/>
              <w:keepNext w:val="0"/>
              <w:keepLines w:val="0"/>
              <w:pageBreakBefore w:val="0"/>
              <w:widowControl w:val="0"/>
              <w:kinsoku/>
              <w:wordWrap/>
              <w:overflowPunct/>
              <w:topLinePunct w:val="0"/>
              <w:autoSpaceDE/>
              <w:autoSpaceDN/>
              <w:bidi w:val="0"/>
              <w:adjustRightInd/>
              <w:snapToGrid/>
              <w:spacing w:after="0" w:line="240" w:lineRule="auto"/>
              <w:ind w:left="0" w:leftChars="0" w:firstLine="420" w:firstLineChars="200"/>
              <w:textAlignment w:val="auto"/>
              <w:rPr>
                <w:rFonts w:hint="default"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①无票无计划作业：无票作业（A01），无票操作（A02），无计划作业（B01）；</w:t>
            </w:r>
          </w:p>
          <w:p>
            <w:pPr>
              <w:pStyle w:val="6"/>
              <w:keepNext w:val="0"/>
              <w:keepLines w:val="0"/>
              <w:pageBreakBefore w:val="0"/>
              <w:widowControl w:val="0"/>
              <w:kinsoku/>
              <w:wordWrap/>
              <w:overflowPunct/>
              <w:topLinePunct w:val="0"/>
              <w:autoSpaceDE/>
              <w:autoSpaceDN/>
              <w:bidi w:val="0"/>
              <w:adjustRightInd/>
              <w:snapToGrid/>
              <w:spacing w:after="0" w:line="240" w:lineRule="auto"/>
              <w:ind w:left="0" w:leftChars="0" w:firstLine="420" w:firstLineChars="200"/>
              <w:textAlignment w:val="auto"/>
              <w:rPr>
                <w:rFonts w:hint="default"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②无资质作业：无特种作业证作业（A17），未经安规考试合格上岗作业（A23），现场作业人员资质不符合要求（B10），操作票所列人员不具备相应资格（B12），特种作业人员未经年审或证件过期仍开展特种作业（B33）；</w:t>
            </w:r>
          </w:p>
          <w:p>
            <w:pPr>
              <w:pStyle w:val="6"/>
              <w:keepNext w:val="0"/>
              <w:keepLines w:val="0"/>
              <w:pageBreakBefore w:val="0"/>
              <w:widowControl w:val="0"/>
              <w:kinsoku/>
              <w:wordWrap/>
              <w:overflowPunct/>
              <w:topLinePunct w:val="0"/>
              <w:autoSpaceDE/>
              <w:autoSpaceDN/>
              <w:bidi w:val="0"/>
              <w:adjustRightInd/>
              <w:snapToGrid/>
              <w:spacing w:after="0" w:line="240" w:lineRule="auto"/>
              <w:ind w:left="0" w:leftChars="0" w:firstLine="420" w:firstLineChars="200"/>
              <w:textAlignment w:val="auto"/>
              <w:rPr>
                <w:rFonts w:hint="default"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③高处作业失去保护：A19；</w:t>
            </w:r>
          </w:p>
          <w:p>
            <w:pPr>
              <w:pStyle w:val="6"/>
              <w:keepNext w:val="0"/>
              <w:keepLines w:val="0"/>
              <w:pageBreakBefore w:val="0"/>
              <w:widowControl w:val="0"/>
              <w:kinsoku/>
              <w:wordWrap/>
              <w:overflowPunct/>
              <w:topLinePunct w:val="0"/>
              <w:autoSpaceDE/>
              <w:autoSpaceDN/>
              <w:bidi w:val="0"/>
              <w:adjustRightInd/>
              <w:snapToGrid/>
              <w:spacing w:after="0" w:line="240" w:lineRule="auto"/>
              <w:ind w:left="0" w:leftChars="0" w:firstLine="420" w:firstLineChars="200"/>
              <w:textAlignment w:val="auto"/>
              <w:rPr>
                <w:rFonts w:hint="default"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④作业现场使用或携带的生产用具不合格：B43；</w:t>
            </w:r>
          </w:p>
          <w:p>
            <w:pPr>
              <w:pStyle w:val="6"/>
              <w:keepNext w:val="0"/>
              <w:keepLines w:val="0"/>
              <w:pageBreakBefore w:val="0"/>
              <w:widowControl w:val="0"/>
              <w:kinsoku/>
              <w:wordWrap/>
              <w:overflowPunct/>
              <w:topLinePunct w:val="0"/>
              <w:autoSpaceDE/>
              <w:autoSpaceDN/>
              <w:bidi w:val="0"/>
              <w:adjustRightInd/>
              <w:snapToGrid/>
              <w:spacing w:after="0" w:line="240" w:lineRule="auto"/>
              <w:ind w:left="0" w:leftChars="0" w:firstLine="420" w:firstLineChars="200"/>
              <w:textAlignment w:val="auto"/>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⑤未按规定落实绝缘防护措施：电气操作未按规定使用绝缘安全工器具（B23）、低压不停电作业绝缘防护措施未落实（B25）、带电试验或二次回路作业绝缘防护不到位（B26）；</w:t>
            </w:r>
          </w:p>
          <w:p>
            <w:pPr>
              <w:pStyle w:val="6"/>
              <w:keepNext w:val="0"/>
              <w:keepLines w:val="0"/>
              <w:pageBreakBefore w:val="0"/>
              <w:widowControl w:val="0"/>
              <w:kinsoku/>
              <w:wordWrap/>
              <w:overflowPunct/>
              <w:topLinePunct w:val="0"/>
              <w:autoSpaceDE/>
              <w:autoSpaceDN/>
              <w:bidi w:val="0"/>
              <w:adjustRightInd/>
              <w:snapToGrid/>
              <w:spacing w:after="0" w:line="240" w:lineRule="auto"/>
              <w:ind w:left="0" w:leftChars="0" w:firstLine="420" w:firstLineChars="200"/>
              <w:textAlignment w:val="auto"/>
              <w:rPr>
                <w:rFonts w:hint="default"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⑥未经“停电、接地、许可”即开展作业：A03。</w:t>
            </w:r>
          </w:p>
          <w:p>
            <w:pPr>
              <w:pStyle w:val="6"/>
              <w:keepNext w:val="0"/>
              <w:keepLines w:val="0"/>
              <w:pageBreakBefore w:val="0"/>
              <w:widowControl w:val="0"/>
              <w:kinsoku/>
              <w:wordWrap/>
              <w:overflowPunct/>
              <w:topLinePunct w:val="0"/>
              <w:autoSpaceDE/>
              <w:autoSpaceDN/>
              <w:bidi w:val="0"/>
              <w:adjustRightInd/>
              <w:snapToGrid/>
              <w:spacing w:after="0" w:line="240" w:lineRule="auto"/>
              <w:ind w:left="0" w:leftChars="0" w:firstLine="420" w:firstLineChars="200"/>
              <w:textAlignment w:val="auto"/>
              <w:rPr>
                <w:rFonts w:hint="default"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（10）承包人</w:t>
            </w:r>
            <w:r>
              <w:rPr>
                <w:rFonts w:hint="eastAsia" w:ascii="宋体" w:hAnsi="宋体" w:eastAsia="宋体" w:cs="宋体"/>
                <w:b w:val="0"/>
                <w:bCs/>
                <w:color w:val="auto"/>
                <w:sz w:val="21"/>
                <w:szCs w:val="21"/>
                <w:highlight w:val="none"/>
              </w:rPr>
              <w:t>现场工作负责人及安全监护人</w:t>
            </w:r>
            <w:r>
              <w:rPr>
                <w:rFonts w:hint="eastAsia" w:ascii="宋体" w:hAnsi="宋体" w:cs="宋体"/>
                <w:b w:val="0"/>
                <w:bCs/>
                <w:color w:val="auto"/>
                <w:sz w:val="21"/>
                <w:szCs w:val="21"/>
                <w:highlight w:val="none"/>
                <w:lang w:val="en-US" w:eastAsia="zh-CN"/>
              </w:rPr>
              <w:t>非承包人自有人员的，每发现1人次扣除500元，同时必须更换为自有人员。</w:t>
            </w:r>
          </w:p>
        </w:tc>
        <w:tc>
          <w:tcPr>
            <w:tcW w:w="687" w:type="dxa"/>
            <w:noWrap w:val="0"/>
            <w:vAlign w:val="center"/>
          </w:tcPr>
          <w:p>
            <w:pPr>
              <w:keepNext w:val="0"/>
              <w:keepLines w:val="0"/>
              <w:pageBreakBefore w:val="0"/>
              <w:widowControl/>
              <w:kinsoku/>
              <w:wordWrap/>
              <w:overflowPunct/>
              <w:topLinePunct w:val="0"/>
              <w:bidi w:val="0"/>
              <w:spacing w:line="240" w:lineRule="auto"/>
              <w:ind w:firstLine="0" w:firstLineChars="0"/>
              <w:jc w:val="left"/>
              <w:textAlignment w:val="auto"/>
              <w:rPr>
                <w:rFonts w:hint="eastAsia" w:ascii="宋体" w:hAnsi="宋体" w:eastAsia="宋体" w:cs="宋体"/>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82" w:type="dxa"/>
            <w:noWrap w:val="0"/>
            <w:vAlign w:val="center"/>
          </w:tcPr>
          <w:p>
            <w:pPr>
              <w:pStyle w:val="15"/>
              <w:keepNext w:val="0"/>
              <w:keepLines w:val="0"/>
              <w:pageBreakBefore w:val="0"/>
              <w:widowControl w:val="0"/>
              <w:numPr>
                <w:ilvl w:val="0"/>
                <w:numId w:val="1"/>
              </w:numPr>
              <w:kinsoku/>
              <w:wordWrap/>
              <w:overflowPunct/>
              <w:topLinePunct w:val="0"/>
              <w:autoSpaceDE/>
              <w:autoSpaceDN/>
              <w:bidi w:val="0"/>
              <w:adjustRightInd w:val="0"/>
              <w:snapToGrid w:val="0"/>
              <w:spacing w:line="240" w:lineRule="auto"/>
              <w:ind w:left="0" w:firstLine="0" w:firstLineChars="0"/>
              <w:jc w:val="center"/>
              <w:textAlignment w:val="auto"/>
              <w:rPr>
                <w:rFonts w:hint="eastAsia" w:ascii="宋体" w:hAnsi="宋体" w:eastAsia="宋体" w:cs="宋体"/>
                <w:color w:val="auto"/>
                <w:kern w:val="0"/>
                <w:sz w:val="21"/>
                <w:szCs w:val="21"/>
                <w:highlight w:val="none"/>
              </w:rPr>
            </w:pPr>
          </w:p>
        </w:tc>
        <w:tc>
          <w:tcPr>
            <w:tcW w:w="1108" w:type="dxa"/>
            <w:noWrap w:val="0"/>
            <w:vAlign w:val="center"/>
          </w:tcPr>
          <w:p>
            <w:pPr>
              <w:pStyle w:val="15"/>
              <w:keepNext w:val="0"/>
              <w:keepLines w:val="0"/>
              <w:pageBreakBefore w:val="0"/>
              <w:numPr>
                <w:ilvl w:val="0"/>
                <w:numId w:val="0"/>
              </w:numPr>
              <w:kinsoku/>
              <w:wordWrap/>
              <w:overflowPunct/>
              <w:topLinePunct w:val="0"/>
              <w:bidi w:val="0"/>
              <w:spacing w:line="240" w:lineRule="auto"/>
              <w:ind w:left="0" w:leftChars="0" w:firstLine="0" w:firstLineChars="0"/>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cs="宋体"/>
                <w:color w:val="auto"/>
                <w:kern w:val="0"/>
                <w:sz w:val="21"/>
                <w:szCs w:val="21"/>
                <w:highlight w:val="none"/>
                <w:lang w:val="en-US" w:eastAsia="zh-CN"/>
              </w:rPr>
              <w:t>修改</w:t>
            </w:r>
          </w:p>
        </w:tc>
        <w:tc>
          <w:tcPr>
            <w:tcW w:w="1262" w:type="dxa"/>
            <w:noWrap w:val="0"/>
            <w:vAlign w:val="center"/>
          </w:tcPr>
          <w:p>
            <w:pPr>
              <w:pStyle w:val="15"/>
              <w:keepNext w:val="0"/>
              <w:keepLines w:val="0"/>
              <w:pageBreakBefore w:val="0"/>
              <w:numPr>
                <w:ilvl w:val="0"/>
                <w:numId w:val="0"/>
              </w:numPr>
              <w:kinsoku/>
              <w:wordWrap/>
              <w:overflowPunct/>
              <w:topLinePunct w:val="0"/>
              <w:bidi w:val="0"/>
              <w:spacing w:line="240" w:lineRule="auto"/>
              <w:ind w:leftChars="0" w:firstLine="0" w:firstLineChars="0"/>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专用合同条款</w:t>
            </w:r>
          </w:p>
          <w:p>
            <w:pPr>
              <w:keepNext w:val="0"/>
              <w:keepLines w:val="0"/>
              <w:pageBreakBefore w:val="0"/>
              <w:kinsoku/>
              <w:wordWrap/>
              <w:overflowPunct/>
              <w:topLinePunct w:val="0"/>
              <w:bidi w:val="0"/>
              <w:spacing w:line="240" w:lineRule="auto"/>
              <w:ind w:firstLine="0" w:firstLineChars="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2.发包人</w:t>
            </w:r>
            <w:r>
              <w:rPr>
                <w:rFonts w:hint="eastAsia" w:ascii="宋体" w:hAnsi="宋体" w:eastAsia="宋体" w:cs="宋体"/>
                <w:b/>
                <w:bCs/>
                <w:color w:val="auto"/>
                <w:sz w:val="21"/>
                <w:szCs w:val="21"/>
                <w:highlight w:val="none"/>
              </w:rPr>
              <w:t>2.6.1.</w:t>
            </w:r>
            <w:r>
              <w:rPr>
                <w:rFonts w:hint="eastAsia" w:ascii="宋体" w:hAnsi="宋体" w:eastAsia="宋体" w:cs="宋体"/>
                <w:b/>
                <w:bCs/>
                <w:color w:val="auto"/>
                <w:sz w:val="21"/>
                <w:szCs w:val="21"/>
                <w:highlight w:val="none"/>
                <w:lang w:val="en-US" w:eastAsia="zh-CN"/>
              </w:rPr>
              <w:t>3款</w:t>
            </w:r>
          </w:p>
        </w:tc>
        <w:tc>
          <w:tcPr>
            <w:tcW w:w="5760" w:type="dxa"/>
            <w:noWrap w:val="0"/>
            <w:vAlign w:val="center"/>
          </w:tcPr>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2.6.1.3 如果承包人有下列行为，发包人应有权向承包人提出暂停合同：</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A 安全管理</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（1）发生较大人身、设备、电力安全事故，并不配合事故调查；</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（2）承包人在发生电力安全质量事故、事件后，瞒报、虚报安全事件、事故；</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（3）发生被政府部门通报的负有责任的较大突发环境事件；</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（4）因拖欠农民工工资或唆使农民工以欠薪为由讨要工程款、设备（材料）款而引发较大突发群体性事件造成严重不良社会影响的；</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（5）施工现场存在重大安全隐患，且承包人未按规定采取相应控制措施的；</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（6）承包人有违反安规、违章指挥、违章作业的事实，造成严重后果的；</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B 采购管理</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（1）在工程建设过程中承包人存在转包、违法分包及挂靠等触犯基建工作“八不准”的行为，且拒不整改，除进行上述处罚外，还停止其3- 12个月内参与投标及分包工程的资格。</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C 质量管理</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（1）在工程建设过程中，由于承包人未按合同约定履行职责，给发包人造成巨大经济损失。</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D 综合管理</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（1）若发现承包人有伪造、变造企业有关资料、工程结算文件等不诚信行为。</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（2）承包人造成恶劣影响的社会事件的。</w:t>
            </w:r>
          </w:p>
        </w:tc>
        <w:tc>
          <w:tcPr>
            <w:tcW w:w="5800" w:type="dxa"/>
            <w:noWrap w:val="0"/>
            <w:vAlign w:val="center"/>
          </w:tcPr>
          <w:p>
            <w:pPr>
              <w:pStyle w:val="6"/>
              <w:keepNext w:val="0"/>
              <w:keepLines w:val="0"/>
              <w:pageBreakBefore w:val="0"/>
              <w:kinsoku/>
              <w:wordWrap/>
              <w:overflowPunct/>
              <w:topLinePunct w:val="0"/>
              <w:bidi w:val="0"/>
              <w:spacing w:after="0" w:line="240" w:lineRule="auto"/>
              <w:ind w:left="0" w:leftChars="0" w:firstLine="422" w:firstLineChars="200"/>
              <w:textAlignment w:val="auto"/>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2.6.1.3 技术</w:t>
            </w:r>
            <w:r>
              <w:rPr>
                <w:rFonts w:hint="eastAsia" w:ascii="宋体" w:hAnsi="宋体" w:eastAsia="宋体" w:cs="宋体"/>
                <w:b/>
                <w:bCs/>
                <w:color w:val="auto"/>
                <w:sz w:val="21"/>
                <w:szCs w:val="21"/>
                <w:highlight w:val="none"/>
              </w:rPr>
              <w:t>管理</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（1）承包人存在以下问题的，应向发包人承担违约责任，发包人有权</w:t>
            </w:r>
            <w:r>
              <w:rPr>
                <w:rFonts w:hint="eastAsia" w:ascii="宋体" w:hAnsi="宋体" w:eastAsia="宋体" w:cs="宋体"/>
                <w:color w:val="auto"/>
                <w:sz w:val="21"/>
                <w:szCs w:val="21"/>
                <w:highlight w:val="none"/>
              </w:rPr>
              <w:t>扣除合同总额的0.2%</w:t>
            </w:r>
            <w:r>
              <w:rPr>
                <w:rFonts w:hint="eastAsia" w:ascii="宋体" w:hAnsi="宋体" w:cs="宋体"/>
                <w:color w:val="auto"/>
                <w:sz w:val="21"/>
                <w:szCs w:val="21"/>
                <w:highlight w:val="none"/>
                <w:lang w:val="en-US" w:eastAsia="zh-CN"/>
              </w:rPr>
              <w:t>作为违约金</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如拒不整改的，扣除合同总额的2%</w:t>
            </w:r>
            <w:r>
              <w:rPr>
                <w:rFonts w:hint="eastAsia" w:ascii="宋体" w:hAnsi="宋体" w:cs="宋体"/>
                <w:color w:val="auto"/>
                <w:sz w:val="21"/>
                <w:szCs w:val="21"/>
                <w:highlight w:val="none"/>
                <w:lang w:eastAsia="zh-CN"/>
              </w:rPr>
              <w:t>：</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未按环境保护与水土保持目标开展工作，现场环保水保措施落实不到位，对当地生态环境造成破坏、造成水土流失的；或现场未落实环保、水保措施，施工方案中未明确环保、水保措施或未按照方案执行，导致现场环境不满足法律和规范要求的。</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val="en-US" w:eastAsia="zh-CN"/>
              </w:rPr>
              <w:t>（2）承包人发生被政府部门通报的负有责任的较大及以下突发环境事件，</w:t>
            </w:r>
            <w:r>
              <w:rPr>
                <w:rFonts w:hint="eastAsia" w:ascii="宋体" w:hAnsi="宋体" w:eastAsia="宋体" w:cs="宋体"/>
                <w:color w:val="auto"/>
                <w:sz w:val="21"/>
                <w:szCs w:val="21"/>
                <w:highlight w:val="none"/>
              </w:rPr>
              <w:t>扣除合同总额的</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暂停合同</w:t>
            </w:r>
            <w:r>
              <w:rPr>
                <w:rFonts w:hint="eastAsia" w:ascii="宋体" w:hAnsi="宋体" w:cs="宋体"/>
                <w:color w:val="auto"/>
                <w:sz w:val="21"/>
                <w:szCs w:val="21"/>
                <w:highlight w:val="none"/>
                <w:lang w:eastAsia="zh-CN"/>
              </w:rPr>
              <w:t>。</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default" w:asciiTheme="minorEastAsia" w:hAnsiTheme="minorEastAsia" w:eastAsiaTheme="minorEastAsia" w:cstheme="minorEastAsia"/>
                <w:color w:val="auto"/>
                <w:sz w:val="21"/>
                <w:szCs w:val="21"/>
                <w:highlight w:val="none"/>
                <w:lang w:val="en-US" w:eastAsia="zh-CN"/>
              </w:rPr>
            </w:pPr>
            <w:r>
              <w:rPr>
                <w:rFonts w:hint="eastAsia" w:ascii="宋体" w:hAnsi="宋体" w:cs="宋体"/>
                <w:color w:val="auto"/>
                <w:sz w:val="21"/>
                <w:szCs w:val="21"/>
                <w:highlight w:val="none"/>
                <w:lang w:val="en-US" w:eastAsia="zh-CN"/>
              </w:rPr>
              <w:t>（3）承包人发生被政府部门通报的负有责任的重大及以上的突发环境事件，</w:t>
            </w:r>
            <w:r>
              <w:rPr>
                <w:rFonts w:hint="eastAsia" w:ascii="宋体" w:hAnsi="宋体" w:eastAsia="宋体" w:cs="宋体"/>
                <w:color w:val="auto"/>
                <w:sz w:val="21"/>
                <w:szCs w:val="21"/>
                <w:highlight w:val="none"/>
              </w:rPr>
              <w:t>扣除合同总额的</w:t>
            </w:r>
            <w:r>
              <w:rPr>
                <w:rFonts w:hint="eastAsia" w:ascii="宋体" w:hAnsi="宋体" w:cs="宋体"/>
                <w:color w:val="auto"/>
                <w:sz w:val="21"/>
                <w:szCs w:val="21"/>
                <w:highlight w:val="none"/>
                <w:lang w:val="en-US" w:eastAsia="zh-CN"/>
              </w:rPr>
              <w:t>10</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eastAsia="zh-CN"/>
              </w:rPr>
              <w:t>，发包人有权单方终止合同。</w:t>
            </w:r>
          </w:p>
        </w:tc>
        <w:tc>
          <w:tcPr>
            <w:tcW w:w="687" w:type="dxa"/>
            <w:noWrap w:val="0"/>
            <w:vAlign w:val="center"/>
          </w:tcPr>
          <w:p>
            <w:pPr>
              <w:keepNext w:val="0"/>
              <w:keepLines w:val="0"/>
              <w:pageBreakBefore w:val="0"/>
              <w:widowControl/>
              <w:kinsoku/>
              <w:wordWrap/>
              <w:overflowPunct/>
              <w:topLinePunct w:val="0"/>
              <w:bidi w:val="0"/>
              <w:spacing w:line="240" w:lineRule="auto"/>
              <w:ind w:firstLine="0" w:firstLineChars="0"/>
              <w:jc w:val="left"/>
              <w:textAlignment w:val="auto"/>
              <w:rPr>
                <w:rFonts w:hint="eastAsia" w:ascii="宋体" w:hAnsi="宋体" w:eastAsia="宋体" w:cs="宋体"/>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82" w:type="dxa"/>
            <w:noWrap w:val="0"/>
            <w:vAlign w:val="center"/>
          </w:tcPr>
          <w:p>
            <w:pPr>
              <w:pStyle w:val="15"/>
              <w:keepNext w:val="0"/>
              <w:keepLines w:val="0"/>
              <w:pageBreakBefore w:val="0"/>
              <w:widowControl w:val="0"/>
              <w:numPr>
                <w:ilvl w:val="0"/>
                <w:numId w:val="1"/>
              </w:numPr>
              <w:kinsoku/>
              <w:wordWrap/>
              <w:overflowPunct/>
              <w:topLinePunct w:val="0"/>
              <w:autoSpaceDE/>
              <w:autoSpaceDN/>
              <w:bidi w:val="0"/>
              <w:adjustRightInd w:val="0"/>
              <w:snapToGrid w:val="0"/>
              <w:spacing w:line="240" w:lineRule="auto"/>
              <w:ind w:left="0" w:firstLine="0" w:firstLineChars="0"/>
              <w:jc w:val="center"/>
              <w:textAlignment w:val="auto"/>
              <w:rPr>
                <w:rFonts w:hint="eastAsia" w:ascii="宋体" w:hAnsi="宋体" w:eastAsia="宋体" w:cs="宋体"/>
                <w:color w:val="auto"/>
                <w:kern w:val="0"/>
                <w:sz w:val="21"/>
                <w:szCs w:val="21"/>
                <w:highlight w:val="none"/>
              </w:rPr>
            </w:pPr>
          </w:p>
        </w:tc>
        <w:tc>
          <w:tcPr>
            <w:tcW w:w="1108" w:type="dxa"/>
            <w:noWrap w:val="0"/>
            <w:vAlign w:val="center"/>
          </w:tcPr>
          <w:p>
            <w:pPr>
              <w:pStyle w:val="15"/>
              <w:keepNext w:val="0"/>
              <w:keepLines w:val="0"/>
              <w:pageBreakBefore w:val="0"/>
              <w:numPr>
                <w:ilvl w:val="0"/>
                <w:numId w:val="0"/>
              </w:numPr>
              <w:kinsoku/>
              <w:wordWrap/>
              <w:overflowPunct/>
              <w:topLinePunct w:val="0"/>
              <w:bidi w:val="0"/>
              <w:spacing w:line="240" w:lineRule="auto"/>
              <w:ind w:left="0" w:leftChars="0" w:firstLine="0" w:firstLineChars="0"/>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cs="宋体"/>
                <w:color w:val="auto"/>
                <w:kern w:val="0"/>
                <w:sz w:val="21"/>
                <w:szCs w:val="21"/>
                <w:highlight w:val="none"/>
                <w:lang w:val="en-US" w:eastAsia="zh-CN"/>
              </w:rPr>
              <w:t>修改</w:t>
            </w:r>
          </w:p>
        </w:tc>
        <w:tc>
          <w:tcPr>
            <w:tcW w:w="1262" w:type="dxa"/>
            <w:noWrap w:val="0"/>
            <w:vAlign w:val="center"/>
          </w:tcPr>
          <w:p>
            <w:pPr>
              <w:pStyle w:val="15"/>
              <w:keepNext w:val="0"/>
              <w:keepLines w:val="0"/>
              <w:pageBreakBefore w:val="0"/>
              <w:numPr>
                <w:ilvl w:val="0"/>
                <w:numId w:val="0"/>
              </w:numPr>
              <w:kinsoku/>
              <w:wordWrap/>
              <w:overflowPunct/>
              <w:topLinePunct w:val="0"/>
              <w:bidi w:val="0"/>
              <w:spacing w:line="240" w:lineRule="auto"/>
              <w:ind w:leftChars="0" w:firstLine="0" w:firstLineChars="0"/>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专用合同条款</w:t>
            </w:r>
          </w:p>
          <w:p>
            <w:pPr>
              <w:keepNext w:val="0"/>
              <w:keepLines w:val="0"/>
              <w:pageBreakBefore w:val="0"/>
              <w:kinsoku/>
              <w:wordWrap/>
              <w:overflowPunct/>
              <w:topLinePunct w:val="0"/>
              <w:bidi w:val="0"/>
              <w:spacing w:line="240" w:lineRule="auto"/>
              <w:ind w:firstLine="0" w:firstLineChars="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2.发包人</w:t>
            </w:r>
            <w:r>
              <w:rPr>
                <w:rFonts w:hint="eastAsia" w:ascii="宋体" w:hAnsi="宋体" w:eastAsia="宋体" w:cs="宋体"/>
                <w:b/>
                <w:bCs/>
                <w:color w:val="auto"/>
                <w:sz w:val="21"/>
                <w:szCs w:val="21"/>
                <w:highlight w:val="none"/>
              </w:rPr>
              <w:t>2.6.1.</w:t>
            </w:r>
            <w:r>
              <w:rPr>
                <w:rFonts w:hint="eastAsia" w:ascii="宋体" w:hAnsi="宋体" w:eastAsia="宋体" w:cs="宋体"/>
                <w:b/>
                <w:bCs/>
                <w:color w:val="auto"/>
                <w:sz w:val="21"/>
                <w:szCs w:val="21"/>
                <w:highlight w:val="none"/>
                <w:lang w:val="en-US" w:eastAsia="zh-CN"/>
              </w:rPr>
              <w:t>4款</w:t>
            </w:r>
          </w:p>
        </w:tc>
        <w:tc>
          <w:tcPr>
            <w:tcW w:w="5760" w:type="dxa"/>
            <w:noWrap w:val="0"/>
            <w:vAlign w:val="center"/>
          </w:tcPr>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2.6.1.4 如果承包人有下列行为，发包人应有权终止合同：</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A 安全管理</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1）承包人在施工中发生重大及以上人身、设备、电力安全事故，且谎报或者瞒报事故，或伪造或者故意破坏事故现场，或销毁有关证据、资料，或拒绝接受调查、拒绝提供有关情况和资料，或在事故调查中作伪证或者指使他人作伪证的；</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（2）发生被政府部门通报的负有责任的重大及以上突发环境事件；</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（3）因拖欠农民工工资或唆使农民工以欠薪为由讨要工程款、设备（材料）款而引发重大及以上突发群体事件造成严重不良社会影响的；</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（4）承包人有违反安规、违章指挥、违章作业的事实，造成严重后果且不能容忍的；</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D综合管理</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（1）承包人因违反国家有关的法律法规，并被政府部门追究民事责任、行政责任和刑事责任，不具备执行合同能力；</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（2）承包人被建设行政主管部门给予处罚，因企业资质等级降低或被吊销资质证书，导致资质等级已不满足承揽本合同业务范围。</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（3）承包人造成恶劣影响社会事件，且不能容忍的。</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2.6.1.5 承包人考核</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（1）承包人在一个记分周期内失信扣分满12分的，处以在中国南方电网公司基建领域范围内不接受投标和停止承接分包工程资格，期限为3个月，满12分后，每增加6分，追加3个月的处罚；</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（2）承包人发生负有责任的安全、质量事故的，将列入中国南方电网公司失信名单（黑名单），按《中国南方电网有限责任公司承包商管理业务指导书》要求，处以不接受投标和停止承接分包工程资格的处罚；</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（3）工程建设过程中发生一、二级电力安全事件，承包人还需在其3-6个月内评标中被扣1-3分，或被停止其3-6个月内参与投标及分包工程的资格；</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（4）承包人违反国家工程建设强制性条文标准、技术规程规范，造成严重后果，还需在3-6个月内其评标中被扣1-3分，或被停止其3-6个月内参与投标及分包工程的资格。</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（5）发生较大及以上安全质量事故，对承包人进行如下惩罚：</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①停止其12- 24个月内参与投标及分包工程的资格；</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②不认可其安全生产风险管理体系原审核钻级，取消原钻级招标加分；</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③停止其本年度及下一年度前6个月安全生产风险管理体系审核安排；</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（6）发生一般电力安全质量事故，进行如下惩罚：</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①停止其3- 12个月内参与投标及分包工程的资格；</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②不认可其安全生产风险管理体系原审核钻级，取消原钻级招标加分；</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③停止其本年度及下一年度前6个月安全生产风险管理体系审核安排；</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（7）在上级单位对承包人进行检查发现严重问题时，进行如下惩罚：</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①国家层面检查发现的严重安全问题，直接扣减安全生产风险管理体系审核结1.5分；</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②中国南方电网有限责任公司检查发现的严重安全问题，直接扣减安全生产风险管理体系审核结1.0分；</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③广东电网有限责任公司检查发现的严重安全问题，直接扣减安全生产风险管理体系审核结0.5分；</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（8）在工程建设过程中承包人存在转包、违法分包及挂靠等触犯基建安全“八不准”的行为，停止其3- 12个月内参与投标及分包工程的资格；</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（9）工程存在质量事故或质量缺陷，启动质量追溯流程，对承包人在3个月内其评标中扣1-3分，或停止其3个月内参与投标及分包工程的资格的处罚。</w:t>
            </w:r>
          </w:p>
        </w:tc>
        <w:tc>
          <w:tcPr>
            <w:tcW w:w="5800" w:type="dxa"/>
            <w:noWrap w:val="0"/>
            <w:vAlign w:val="center"/>
          </w:tcPr>
          <w:p>
            <w:pPr>
              <w:pStyle w:val="6"/>
              <w:keepNext w:val="0"/>
              <w:keepLines w:val="0"/>
              <w:pageBreakBefore w:val="0"/>
              <w:kinsoku/>
              <w:wordWrap/>
              <w:overflowPunct/>
              <w:topLinePunct w:val="0"/>
              <w:bidi w:val="0"/>
              <w:spacing w:after="0" w:line="240" w:lineRule="auto"/>
              <w:ind w:left="0" w:leftChars="0" w:firstLine="422" w:firstLineChars="200"/>
              <w:textAlignment w:val="auto"/>
              <w:rPr>
                <w:rFonts w:hint="default" w:ascii="宋体" w:hAnsi="宋体" w:cs="宋体"/>
                <w:b/>
                <w:bCs/>
                <w:color w:val="auto"/>
                <w:sz w:val="21"/>
                <w:szCs w:val="21"/>
                <w:highlight w:val="none"/>
                <w:lang w:val="en-US" w:eastAsia="zh-CN"/>
              </w:rPr>
            </w:pPr>
            <w:r>
              <w:rPr>
                <w:rFonts w:hint="default" w:ascii="宋体" w:hAnsi="宋体" w:cs="宋体"/>
                <w:b/>
                <w:bCs/>
                <w:color w:val="auto"/>
                <w:sz w:val="21"/>
                <w:szCs w:val="21"/>
                <w:highlight w:val="none"/>
                <w:lang w:val="en-US" w:eastAsia="zh-CN"/>
              </w:rPr>
              <w:t>2.6.1.</w:t>
            </w:r>
            <w:r>
              <w:rPr>
                <w:rFonts w:hint="eastAsia" w:ascii="宋体" w:hAnsi="宋体" w:cs="宋体"/>
                <w:b/>
                <w:bCs/>
                <w:color w:val="auto"/>
                <w:sz w:val="21"/>
                <w:szCs w:val="21"/>
                <w:highlight w:val="none"/>
                <w:lang w:val="en-US" w:eastAsia="zh-CN"/>
              </w:rPr>
              <w:t>4</w:t>
            </w:r>
            <w:r>
              <w:rPr>
                <w:rFonts w:hint="default" w:ascii="宋体" w:hAnsi="宋体" w:cs="宋体"/>
                <w:b/>
                <w:bCs/>
                <w:color w:val="auto"/>
                <w:sz w:val="21"/>
                <w:szCs w:val="21"/>
                <w:highlight w:val="none"/>
                <w:lang w:val="en-US" w:eastAsia="zh-CN"/>
              </w:rPr>
              <w:t xml:space="preserve"> 质量管理</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default" w:ascii="宋体" w:hAnsi="宋体" w:cs="宋体"/>
                <w:b w:val="0"/>
                <w:bCs w:val="0"/>
                <w:color w:val="auto"/>
                <w:sz w:val="21"/>
                <w:szCs w:val="21"/>
                <w:highlight w:val="none"/>
                <w:lang w:val="en-US" w:eastAsia="zh-CN"/>
              </w:rPr>
            </w:pPr>
            <w:r>
              <w:rPr>
                <w:rFonts w:hint="default" w:ascii="宋体" w:hAnsi="宋体" w:cs="宋体"/>
                <w:b w:val="0"/>
                <w:bCs w:val="0"/>
                <w:color w:val="auto"/>
                <w:sz w:val="21"/>
                <w:szCs w:val="21"/>
                <w:highlight w:val="none"/>
                <w:lang w:val="en-US" w:eastAsia="zh-CN"/>
              </w:rPr>
              <w:t>本条款所称质量事故、质量事件，认定标准执行《建设工程质量管理条例》及电力行业相关规范，责任认定以</w:t>
            </w:r>
            <w:r>
              <w:rPr>
                <w:rFonts w:hint="eastAsia" w:ascii="宋体" w:hAnsi="宋体" w:cs="宋体"/>
                <w:b w:val="0"/>
                <w:bCs w:val="0"/>
                <w:color w:val="auto"/>
                <w:sz w:val="21"/>
                <w:szCs w:val="21"/>
                <w:highlight w:val="none"/>
                <w:lang w:val="en-US" w:eastAsia="zh-CN"/>
              </w:rPr>
              <w:t>行政</w:t>
            </w:r>
            <w:r>
              <w:rPr>
                <w:rFonts w:hint="default" w:ascii="宋体" w:hAnsi="宋体" w:cs="宋体"/>
                <w:b w:val="0"/>
                <w:bCs w:val="0"/>
                <w:color w:val="auto"/>
                <w:sz w:val="21"/>
                <w:szCs w:val="21"/>
                <w:highlight w:val="none"/>
                <w:lang w:val="en-US" w:eastAsia="zh-CN"/>
              </w:rPr>
              <w:t>主管部门或双方共同委托的第三方质量检测机构出具的生效结论为准。</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default" w:ascii="宋体" w:hAnsi="宋体" w:cs="宋体"/>
                <w:color w:val="auto"/>
                <w:sz w:val="21"/>
                <w:szCs w:val="21"/>
                <w:highlight w:val="none"/>
                <w:lang w:val="en-US" w:eastAsia="zh-CN"/>
              </w:rPr>
            </w:pPr>
            <w:r>
              <w:rPr>
                <w:rFonts w:hint="default" w:ascii="宋体" w:hAnsi="宋体" w:cs="宋体"/>
                <w:color w:val="auto"/>
                <w:sz w:val="21"/>
                <w:szCs w:val="21"/>
                <w:highlight w:val="none"/>
                <w:lang w:val="en-US" w:eastAsia="zh-CN"/>
              </w:rPr>
              <w:t>（1）由于承包人原因造成紧急、重大质量缺陷、或造成质量事件的，扣除合同总额的0.2%。</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default" w:ascii="宋体" w:hAnsi="宋体" w:cs="宋体"/>
                <w:color w:val="auto"/>
                <w:sz w:val="21"/>
                <w:szCs w:val="21"/>
                <w:highlight w:val="none"/>
                <w:lang w:val="en-US" w:eastAsia="zh-CN"/>
              </w:rPr>
            </w:pPr>
            <w:r>
              <w:rPr>
                <w:rFonts w:hint="default" w:ascii="宋体" w:hAnsi="宋体" w:cs="宋体"/>
                <w:color w:val="auto"/>
                <w:sz w:val="21"/>
                <w:szCs w:val="21"/>
                <w:highlight w:val="none"/>
                <w:lang w:val="en-US" w:eastAsia="zh-CN"/>
              </w:rPr>
              <w:t>（2）项目投产后，由于承包人原因未按期整改质量缺陷的，扣除合同总额的0.2%。</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default" w:ascii="宋体" w:hAnsi="宋体" w:cs="宋体"/>
                <w:color w:val="auto"/>
                <w:sz w:val="21"/>
                <w:szCs w:val="21"/>
                <w:highlight w:val="none"/>
                <w:lang w:val="en-US" w:eastAsia="zh-CN"/>
              </w:rPr>
            </w:pPr>
            <w:r>
              <w:rPr>
                <w:rFonts w:hint="default" w:ascii="宋体" w:hAnsi="宋体" w:cs="宋体"/>
                <w:color w:val="auto"/>
                <w:sz w:val="21"/>
                <w:szCs w:val="21"/>
                <w:highlight w:val="none"/>
                <w:lang w:val="en-US" w:eastAsia="zh-CN"/>
              </w:rPr>
              <w:t>（3）由于承包人原因，工程实体存在质量事故的，扣除合同总额的</w:t>
            </w:r>
            <w:r>
              <w:rPr>
                <w:rFonts w:hint="eastAsia" w:ascii="宋体" w:hAnsi="宋体" w:cs="宋体"/>
                <w:color w:val="auto"/>
                <w:sz w:val="21"/>
                <w:szCs w:val="21"/>
                <w:highlight w:val="none"/>
                <w:lang w:val="en-US" w:eastAsia="zh-CN"/>
              </w:rPr>
              <w:t>1%</w:t>
            </w:r>
            <w:r>
              <w:rPr>
                <w:rFonts w:hint="default" w:ascii="宋体" w:hAnsi="宋体" w:cs="宋体"/>
                <w:color w:val="auto"/>
                <w:sz w:val="21"/>
                <w:szCs w:val="21"/>
                <w:highlight w:val="none"/>
                <w:lang w:val="en-US" w:eastAsia="zh-CN"/>
              </w:rPr>
              <w:t>。</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default" w:ascii="宋体" w:hAnsi="宋体" w:cs="宋体"/>
                <w:color w:val="auto"/>
                <w:sz w:val="21"/>
                <w:szCs w:val="21"/>
                <w:highlight w:val="none"/>
                <w:lang w:val="en-US" w:eastAsia="zh-CN"/>
              </w:rPr>
            </w:pPr>
            <w:r>
              <w:rPr>
                <w:rFonts w:hint="default" w:ascii="宋体" w:hAnsi="宋体" w:cs="宋体"/>
                <w:color w:val="auto"/>
                <w:sz w:val="21"/>
                <w:szCs w:val="21"/>
                <w:highlight w:val="none"/>
                <w:lang w:val="en-US" w:eastAsia="zh-CN"/>
              </w:rPr>
              <w:t>（4）承包人验收资料弄虚作假，扣除涉及单项工程合同总额的1%。</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（5）承包人机械化施工未达到投标承诺要求的，应在发包人指定期限内整改；整改后仍不达标的，发包人有权扣除合同总额的0.2%作为违约金，违约金累计不超过合同总额的 1%。</w:t>
            </w:r>
          </w:p>
        </w:tc>
        <w:tc>
          <w:tcPr>
            <w:tcW w:w="687" w:type="dxa"/>
            <w:noWrap w:val="0"/>
            <w:vAlign w:val="center"/>
          </w:tcPr>
          <w:p>
            <w:pPr>
              <w:keepNext w:val="0"/>
              <w:keepLines w:val="0"/>
              <w:pageBreakBefore w:val="0"/>
              <w:widowControl/>
              <w:kinsoku/>
              <w:wordWrap/>
              <w:overflowPunct/>
              <w:topLinePunct w:val="0"/>
              <w:bidi w:val="0"/>
              <w:spacing w:line="240" w:lineRule="auto"/>
              <w:ind w:firstLine="0" w:firstLineChars="0"/>
              <w:jc w:val="left"/>
              <w:textAlignment w:val="auto"/>
              <w:rPr>
                <w:rFonts w:hint="eastAsia" w:ascii="宋体" w:hAnsi="宋体" w:eastAsia="宋体" w:cs="宋体"/>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82" w:type="dxa"/>
            <w:noWrap w:val="0"/>
            <w:vAlign w:val="center"/>
          </w:tcPr>
          <w:p>
            <w:pPr>
              <w:pStyle w:val="15"/>
              <w:keepNext w:val="0"/>
              <w:keepLines w:val="0"/>
              <w:pageBreakBefore w:val="0"/>
              <w:widowControl w:val="0"/>
              <w:numPr>
                <w:ilvl w:val="0"/>
                <w:numId w:val="1"/>
              </w:numPr>
              <w:kinsoku/>
              <w:wordWrap/>
              <w:overflowPunct/>
              <w:topLinePunct w:val="0"/>
              <w:autoSpaceDE/>
              <w:autoSpaceDN/>
              <w:bidi w:val="0"/>
              <w:adjustRightInd w:val="0"/>
              <w:snapToGrid w:val="0"/>
              <w:spacing w:line="240" w:lineRule="auto"/>
              <w:ind w:left="0" w:firstLine="0" w:firstLineChars="0"/>
              <w:jc w:val="center"/>
              <w:textAlignment w:val="auto"/>
              <w:rPr>
                <w:rFonts w:hint="eastAsia" w:ascii="宋体" w:hAnsi="宋体" w:eastAsia="宋体" w:cs="宋体"/>
                <w:color w:val="auto"/>
                <w:kern w:val="0"/>
                <w:sz w:val="21"/>
                <w:szCs w:val="21"/>
                <w:highlight w:val="none"/>
              </w:rPr>
            </w:pPr>
          </w:p>
        </w:tc>
        <w:tc>
          <w:tcPr>
            <w:tcW w:w="1108" w:type="dxa"/>
            <w:noWrap w:val="0"/>
            <w:vAlign w:val="center"/>
          </w:tcPr>
          <w:p>
            <w:pPr>
              <w:pStyle w:val="15"/>
              <w:keepNext w:val="0"/>
              <w:keepLines w:val="0"/>
              <w:pageBreakBefore w:val="0"/>
              <w:numPr>
                <w:ilvl w:val="0"/>
                <w:numId w:val="0"/>
              </w:numPr>
              <w:kinsoku/>
              <w:wordWrap/>
              <w:overflowPunct/>
              <w:topLinePunct w:val="0"/>
              <w:bidi w:val="0"/>
              <w:spacing w:line="240" w:lineRule="auto"/>
              <w:ind w:left="0" w:leftChars="0" w:firstLine="0" w:firstLineChars="0"/>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cs="宋体"/>
                <w:color w:val="auto"/>
                <w:kern w:val="0"/>
                <w:sz w:val="21"/>
                <w:szCs w:val="21"/>
                <w:highlight w:val="none"/>
                <w:lang w:val="en-US" w:eastAsia="zh-CN"/>
              </w:rPr>
              <w:t>新增</w:t>
            </w:r>
          </w:p>
        </w:tc>
        <w:tc>
          <w:tcPr>
            <w:tcW w:w="1262" w:type="dxa"/>
            <w:noWrap w:val="0"/>
            <w:vAlign w:val="center"/>
          </w:tcPr>
          <w:p>
            <w:pPr>
              <w:pStyle w:val="15"/>
              <w:keepNext w:val="0"/>
              <w:keepLines w:val="0"/>
              <w:pageBreakBefore w:val="0"/>
              <w:numPr>
                <w:ilvl w:val="0"/>
                <w:numId w:val="0"/>
              </w:numPr>
              <w:kinsoku/>
              <w:wordWrap/>
              <w:overflowPunct/>
              <w:topLinePunct w:val="0"/>
              <w:bidi w:val="0"/>
              <w:spacing w:line="240" w:lineRule="auto"/>
              <w:ind w:leftChars="0" w:firstLine="0" w:firstLineChars="0"/>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专用合同条款</w:t>
            </w:r>
          </w:p>
          <w:p>
            <w:pPr>
              <w:keepNext w:val="0"/>
              <w:keepLines w:val="0"/>
              <w:pageBreakBefore w:val="0"/>
              <w:kinsoku/>
              <w:wordWrap/>
              <w:overflowPunct/>
              <w:topLinePunct w:val="0"/>
              <w:bidi w:val="0"/>
              <w:spacing w:line="240" w:lineRule="auto"/>
              <w:ind w:firstLine="0" w:firstLineChars="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2.发包人</w:t>
            </w:r>
            <w:r>
              <w:rPr>
                <w:rFonts w:hint="eastAsia" w:ascii="宋体" w:hAnsi="宋体" w:eastAsia="宋体" w:cs="宋体"/>
                <w:b/>
                <w:bCs/>
                <w:color w:val="auto"/>
                <w:sz w:val="21"/>
                <w:szCs w:val="21"/>
                <w:highlight w:val="none"/>
              </w:rPr>
              <w:t>2.6.1.</w:t>
            </w:r>
            <w:r>
              <w:rPr>
                <w:rFonts w:hint="eastAsia" w:ascii="宋体" w:hAnsi="宋体" w:eastAsia="宋体" w:cs="宋体"/>
                <w:b/>
                <w:bCs/>
                <w:color w:val="auto"/>
                <w:sz w:val="21"/>
                <w:szCs w:val="21"/>
                <w:highlight w:val="none"/>
                <w:lang w:val="en-US" w:eastAsia="zh-CN"/>
              </w:rPr>
              <w:t>5款</w:t>
            </w:r>
          </w:p>
        </w:tc>
        <w:tc>
          <w:tcPr>
            <w:tcW w:w="5760" w:type="dxa"/>
            <w:noWrap w:val="0"/>
            <w:vAlign w:val="center"/>
          </w:tcPr>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无</w:t>
            </w:r>
          </w:p>
        </w:tc>
        <w:tc>
          <w:tcPr>
            <w:tcW w:w="5800" w:type="dxa"/>
            <w:noWrap w:val="0"/>
            <w:vAlign w:val="center"/>
          </w:tcPr>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default" w:ascii="宋体" w:hAnsi="宋体" w:cs="宋体"/>
                <w:b w:val="0"/>
                <w:bCs w:val="0"/>
                <w:color w:val="auto"/>
                <w:sz w:val="21"/>
                <w:szCs w:val="21"/>
                <w:highlight w:val="none"/>
                <w:lang w:val="en-US" w:eastAsia="zh-CN"/>
              </w:rPr>
            </w:pPr>
            <w:r>
              <w:rPr>
                <w:rFonts w:hint="default" w:ascii="宋体" w:hAnsi="宋体" w:cs="宋体"/>
                <w:b w:val="0"/>
                <w:bCs w:val="0"/>
                <w:color w:val="auto"/>
                <w:sz w:val="21"/>
                <w:szCs w:val="21"/>
                <w:highlight w:val="none"/>
                <w:lang w:val="en-US" w:eastAsia="zh-CN"/>
              </w:rPr>
              <w:t>2.6.1.</w:t>
            </w:r>
            <w:r>
              <w:rPr>
                <w:rFonts w:hint="eastAsia" w:ascii="宋体" w:hAnsi="宋体" w:cs="宋体"/>
                <w:b w:val="0"/>
                <w:bCs w:val="0"/>
                <w:color w:val="auto"/>
                <w:sz w:val="21"/>
                <w:szCs w:val="21"/>
                <w:highlight w:val="none"/>
                <w:lang w:val="en-US" w:eastAsia="zh-CN"/>
              </w:rPr>
              <w:t>5</w:t>
            </w:r>
            <w:r>
              <w:rPr>
                <w:rFonts w:hint="default" w:ascii="宋体" w:hAnsi="宋体" w:cs="宋体"/>
                <w:b w:val="0"/>
                <w:bCs w:val="0"/>
                <w:color w:val="auto"/>
                <w:sz w:val="21"/>
                <w:szCs w:val="21"/>
                <w:highlight w:val="none"/>
                <w:lang w:val="en-US" w:eastAsia="zh-CN"/>
              </w:rPr>
              <w:t xml:space="preserve"> 进度管理</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default" w:asciiTheme="minorEastAsia" w:hAnsiTheme="minorEastAsia" w:eastAsiaTheme="minorEastAsia" w:cstheme="minorEastAsia"/>
                <w:color w:val="auto"/>
                <w:sz w:val="21"/>
                <w:szCs w:val="21"/>
                <w:highlight w:val="none"/>
                <w:lang w:val="en-US" w:eastAsia="zh-CN"/>
              </w:rPr>
            </w:pPr>
            <w:r>
              <w:rPr>
                <w:rFonts w:hint="default" w:ascii="宋体" w:hAnsi="宋体" w:cs="宋体"/>
                <w:color w:val="auto"/>
                <w:sz w:val="21"/>
                <w:szCs w:val="21"/>
                <w:highlight w:val="none"/>
                <w:lang w:val="en-US" w:eastAsia="zh-CN"/>
              </w:rPr>
              <w:t>因承包人原因，造成实际工期超合同总工期10%以上的，每逾期7天扣除合同总额的0.2%，累计扣罚总额不超过合同总额的5%。</w:t>
            </w:r>
          </w:p>
        </w:tc>
        <w:tc>
          <w:tcPr>
            <w:tcW w:w="687" w:type="dxa"/>
            <w:noWrap w:val="0"/>
            <w:vAlign w:val="center"/>
          </w:tcPr>
          <w:p>
            <w:pPr>
              <w:keepNext w:val="0"/>
              <w:keepLines w:val="0"/>
              <w:pageBreakBefore w:val="0"/>
              <w:widowControl/>
              <w:kinsoku/>
              <w:wordWrap/>
              <w:overflowPunct/>
              <w:topLinePunct w:val="0"/>
              <w:bidi w:val="0"/>
              <w:spacing w:line="240" w:lineRule="auto"/>
              <w:ind w:firstLine="0" w:firstLineChars="0"/>
              <w:jc w:val="left"/>
              <w:textAlignment w:val="auto"/>
              <w:rPr>
                <w:rFonts w:hint="eastAsia" w:ascii="宋体" w:hAnsi="宋体" w:eastAsia="宋体" w:cs="宋体"/>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82" w:type="dxa"/>
            <w:noWrap w:val="0"/>
            <w:vAlign w:val="center"/>
          </w:tcPr>
          <w:p>
            <w:pPr>
              <w:pStyle w:val="15"/>
              <w:keepNext w:val="0"/>
              <w:keepLines w:val="0"/>
              <w:pageBreakBefore w:val="0"/>
              <w:widowControl w:val="0"/>
              <w:numPr>
                <w:ilvl w:val="0"/>
                <w:numId w:val="1"/>
              </w:numPr>
              <w:kinsoku/>
              <w:wordWrap/>
              <w:overflowPunct/>
              <w:topLinePunct w:val="0"/>
              <w:autoSpaceDE/>
              <w:autoSpaceDN/>
              <w:bidi w:val="0"/>
              <w:adjustRightInd w:val="0"/>
              <w:snapToGrid w:val="0"/>
              <w:spacing w:line="240" w:lineRule="auto"/>
              <w:ind w:left="0" w:firstLine="0" w:firstLineChars="0"/>
              <w:jc w:val="center"/>
              <w:textAlignment w:val="auto"/>
              <w:rPr>
                <w:rFonts w:hint="eastAsia" w:ascii="宋体" w:hAnsi="宋体" w:eastAsia="宋体" w:cs="宋体"/>
                <w:color w:val="auto"/>
                <w:kern w:val="0"/>
                <w:sz w:val="21"/>
                <w:szCs w:val="21"/>
                <w:highlight w:val="none"/>
              </w:rPr>
            </w:pPr>
          </w:p>
        </w:tc>
        <w:tc>
          <w:tcPr>
            <w:tcW w:w="1108" w:type="dxa"/>
            <w:noWrap w:val="0"/>
            <w:vAlign w:val="center"/>
          </w:tcPr>
          <w:p>
            <w:pPr>
              <w:pStyle w:val="15"/>
              <w:keepNext w:val="0"/>
              <w:keepLines w:val="0"/>
              <w:pageBreakBefore w:val="0"/>
              <w:numPr>
                <w:ilvl w:val="0"/>
                <w:numId w:val="0"/>
              </w:numPr>
              <w:kinsoku/>
              <w:wordWrap/>
              <w:overflowPunct/>
              <w:topLinePunct w:val="0"/>
              <w:bidi w:val="0"/>
              <w:spacing w:line="240" w:lineRule="auto"/>
              <w:ind w:left="0" w:leftChars="0" w:firstLine="0" w:firstLineChars="0"/>
              <w:textAlignment w:val="auto"/>
              <w:rPr>
                <w:rFonts w:hint="eastAsia" w:ascii="宋体" w:hAnsi="宋体" w:cs="宋体"/>
                <w:color w:val="auto"/>
                <w:kern w:val="0"/>
                <w:sz w:val="21"/>
                <w:szCs w:val="21"/>
                <w:highlight w:val="none"/>
                <w:lang w:val="en-US" w:eastAsia="zh-CN"/>
              </w:rPr>
            </w:pPr>
            <w:r>
              <w:rPr>
                <w:rFonts w:hint="eastAsia" w:ascii="宋体" w:hAnsi="宋体" w:cs="宋体"/>
                <w:color w:val="auto"/>
                <w:kern w:val="0"/>
                <w:sz w:val="21"/>
                <w:szCs w:val="21"/>
                <w:highlight w:val="none"/>
                <w:lang w:val="en-US" w:eastAsia="zh-CN"/>
              </w:rPr>
              <w:t>新增</w:t>
            </w:r>
          </w:p>
        </w:tc>
        <w:tc>
          <w:tcPr>
            <w:tcW w:w="1262" w:type="dxa"/>
            <w:noWrap w:val="0"/>
            <w:vAlign w:val="center"/>
          </w:tcPr>
          <w:p>
            <w:pPr>
              <w:pStyle w:val="15"/>
              <w:keepNext w:val="0"/>
              <w:keepLines w:val="0"/>
              <w:pageBreakBefore w:val="0"/>
              <w:numPr>
                <w:ilvl w:val="0"/>
                <w:numId w:val="0"/>
              </w:numPr>
              <w:kinsoku/>
              <w:wordWrap/>
              <w:overflowPunct/>
              <w:topLinePunct w:val="0"/>
              <w:bidi w:val="0"/>
              <w:spacing w:line="240" w:lineRule="auto"/>
              <w:ind w:leftChars="0" w:firstLine="0" w:firstLineChars="0"/>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专用合同条款</w:t>
            </w:r>
          </w:p>
          <w:p>
            <w:pPr>
              <w:keepNext w:val="0"/>
              <w:keepLines w:val="0"/>
              <w:pageBreakBefore w:val="0"/>
              <w:kinsoku/>
              <w:wordWrap/>
              <w:overflowPunct/>
              <w:topLinePunct w:val="0"/>
              <w:bidi w:val="0"/>
              <w:spacing w:line="240" w:lineRule="auto"/>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2.发包人</w:t>
            </w:r>
            <w:r>
              <w:rPr>
                <w:rFonts w:hint="eastAsia" w:ascii="宋体" w:hAnsi="宋体" w:eastAsia="宋体" w:cs="宋体"/>
                <w:b/>
                <w:bCs/>
                <w:color w:val="auto"/>
                <w:sz w:val="21"/>
                <w:szCs w:val="21"/>
                <w:highlight w:val="none"/>
              </w:rPr>
              <w:t>2.6.1.</w:t>
            </w:r>
            <w:r>
              <w:rPr>
                <w:rFonts w:hint="eastAsia" w:ascii="宋体" w:hAnsi="宋体" w:eastAsia="宋体" w:cs="宋体"/>
                <w:b/>
                <w:bCs/>
                <w:color w:val="auto"/>
                <w:sz w:val="21"/>
                <w:szCs w:val="21"/>
                <w:highlight w:val="none"/>
                <w:lang w:val="en-US" w:eastAsia="zh-CN"/>
              </w:rPr>
              <w:t>6款</w:t>
            </w:r>
          </w:p>
        </w:tc>
        <w:tc>
          <w:tcPr>
            <w:tcW w:w="5760" w:type="dxa"/>
            <w:noWrap w:val="0"/>
            <w:vAlign w:val="center"/>
          </w:tcPr>
          <w:p>
            <w:pPr>
              <w:pStyle w:val="6"/>
              <w:keepNext w:val="0"/>
              <w:keepLines w:val="0"/>
              <w:pageBreakBefore w:val="0"/>
              <w:kinsoku/>
              <w:wordWrap/>
              <w:overflowPunct/>
              <w:topLinePunct w:val="0"/>
              <w:bidi w:val="0"/>
              <w:spacing w:after="0" w:line="240" w:lineRule="auto"/>
              <w:ind w:left="0" w:leftChars="0" w:firstLine="422" w:firstLineChars="200"/>
              <w:textAlignment w:val="auto"/>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无</w:t>
            </w:r>
          </w:p>
        </w:tc>
        <w:tc>
          <w:tcPr>
            <w:tcW w:w="5800" w:type="dxa"/>
            <w:noWrap w:val="0"/>
            <w:vAlign w:val="center"/>
          </w:tcPr>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default" w:ascii="宋体" w:hAnsi="宋体" w:cs="宋体"/>
                <w:b w:val="0"/>
                <w:bCs w:val="0"/>
                <w:color w:val="auto"/>
                <w:sz w:val="21"/>
                <w:szCs w:val="21"/>
                <w:highlight w:val="none"/>
                <w:lang w:val="en-US" w:eastAsia="zh-CN"/>
              </w:rPr>
            </w:pPr>
            <w:r>
              <w:rPr>
                <w:rFonts w:hint="default" w:ascii="宋体" w:hAnsi="宋体" w:cs="宋体"/>
                <w:b w:val="0"/>
                <w:bCs w:val="0"/>
                <w:color w:val="auto"/>
                <w:sz w:val="21"/>
                <w:szCs w:val="21"/>
                <w:highlight w:val="none"/>
                <w:lang w:val="en-US" w:eastAsia="zh-CN"/>
              </w:rPr>
              <w:t>2.6.1.</w:t>
            </w:r>
            <w:r>
              <w:rPr>
                <w:rFonts w:hint="eastAsia" w:ascii="宋体" w:hAnsi="宋体" w:cs="宋体"/>
                <w:b w:val="0"/>
                <w:bCs w:val="0"/>
                <w:color w:val="auto"/>
                <w:sz w:val="21"/>
                <w:szCs w:val="21"/>
                <w:highlight w:val="none"/>
                <w:lang w:val="en-US" w:eastAsia="zh-CN"/>
              </w:rPr>
              <w:t>6</w:t>
            </w:r>
            <w:r>
              <w:rPr>
                <w:rFonts w:hint="default" w:ascii="宋体" w:hAnsi="宋体" w:cs="宋体"/>
                <w:b w:val="0"/>
                <w:bCs w:val="0"/>
                <w:color w:val="auto"/>
                <w:sz w:val="21"/>
                <w:szCs w:val="21"/>
                <w:highlight w:val="none"/>
                <w:lang w:val="en-US" w:eastAsia="zh-CN"/>
              </w:rPr>
              <w:t xml:space="preserve"> </w:t>
            </w:r>
            <w:r>
              <w:rPr>
                <w:rFonts w:hint="eastAsia" w:ascii="宋体" w:hAnsi="宋体" w:cs="宋体"/>
                <w:b w:val="0"/>
                <w:bCs w:val="0"/>
                <w:color w:val="auto"/>
                <w:sz w:val="21"/>
                <w:szCs w:val="21"/>
                <w:highlight w:val="none"/>
                <w:lang w:val="en-US" w:eastAsia="zh-CN"/>
              </w:rPr>
              <w:t>造价</w:t>
            </w:r>
            <w:r>
              <w:rPr>
                <w:rFonts w:hint="default" w:ascii="宋体" w:hAnsi="宋体" w:cs="宋体"/>
                <w:b w:val="0"/>
                <w:bCs w:val="0"/>
                <w:color w:val="auto"/>
                <w:sz w:val="21"/>
                <w:szCs w:val="21"/>
                <w:highlight w:val="none"/>
                <w:lang w:val="en-US" w:eastAsia="zh-CN"/>
              </w:rPr>
              <w:t>管理</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default"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（1）</w:t>
            </w:r>
            <w:r>
              <w:rPr>
                <w:rFonts w:hint="eastAsia" w:asciiTheme="minorEastAsia" w:hAnsiTheme="minorEastAsia" w:eastAsiaTheme="minorEastAsia" w:cstheme="minorEastAsia"/>
                <w:b w:val="0"/>
                <w:bCs w:val="0"/>
                <w:color w:val="auto"/>
                <w:sz w:val="21"/>
                <w:szCs w:val="21"/>
                <w:highlight w:val="none"/>
                <w:lang w:val="en-US" w:eastAsia="zh-CN"/>
              </w:rPr>
              <w:t>承包人</w:t>
            </w:r>
            <w:r>
              <w:rPr>
                <w:rFonts w:hint="eastAsia" w:ascii="宋体" w:hAnsi="宋体" w:cs="宋体"/>
                <w:b w:val="0"/>
                <w:bCs w:val="0"/>
                <w:color w:val="auto"/>
                <w:sz w:val="21"/>
                <w:szCs w:val="21"/>
                <w:highlight w:val="none"/>
                <w:lang w:val="en-US" w:eastAsia="zh-CN"/>
              </w:rPr>
              <w:t>发生以下</w:t>
            </w:r>
            <w:r>
              <w:rPr>
                <w:rFonts w:hint="default" w:ascii="宋体" w:hAnsi="宋体" w:cs="宋体"/>
                <w:b w:val="0"/>
                <w:bCs w:val="0"/>
                <w:color w:val="auto"/>
                <w:sz w:val="21"/>
                <w:szCs w:val="21"/>
                <w:highlight w:val="none"/>
                <w:lang w:val="en-US" w:eastAsia="zh-CN"/>
              </w:rPr>
              <w:t>未按计划、按标准提供结算资料；或结算深度不足</w:t>
            </w:r>
            <w:r>
              <w:rPr>
                <w:rFonts w:hint="eastAsia" w:ascii="宋体" w:hAnsi="宋体" w:cs="宋体"/>
                <w:b w:val="0"/>
                <w:bCs w:val="0"/>
                <w:color w:val="auto"/>
                <w:sz w:val="21"/>
                <w:szCs w:val="21"/>
                <w:highlight w:val="none"/>
                <w:lang w:val="en-US" w:eastAsia="zh-CN"/>
              </w:rPr>
              <w:t>的，</w:t>
            </w:r>
            <w:r>
              <w:rPr>
                <w:rFonts w:hint="default" w:ascii="宋体" w:hAnsi="宋体" w:cs="宋体"/>
                <w:b w:val="0"/>
                <w:bCs w:val="0"/>
                <w:color w:val="auto"/>
                <w:sz w:val="21"/>
                <w:szCs w:val="21"/>
                <w:highlight w:val="none"/>
                <w:lang w:val="en-US" w:eastAsia="zh-CN"/>
              </w:rPr>
              <w:t>扣除涉及单项合同总额的0.2%</w:t>
            </w:r>
            <w:r>
              <w:rPr>
                <w:rFonts w:hint="eastAsia" w:ascii="宋体" w:hAnsi="宋体" w:cs="宋体"/>
                <w:b w:val="0"/>
                <w:bCs w:val="0"/>
                <w:color w:val="auto"/>
                <w:sz w:val="21"/>
                <w:szCs w:val="21"/>
                <w:highlight w:val="none"/>
                <w:lang w:val="en-US" w:eastAsia="zh-CN"/>
              </w:rPr>
              <w:t>：</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default"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①</w:t>
            </w:r>
            <w:r>
              <w:rPr>
                <w:rFonts w:hint="default" w:ascii="宋体" w:hAnsi="宋体" w:cs="宋体"/>
                <w:b w:val="0"/>
                <w:bCs w:val="0"/>
                <w:color w:val="auto"/>
                <w:sz w:val="21"/>
                <w:szCs w:val="21"/>
                <w:highlight w:val="none"/>
                <w:lang w:val="en-US" w:eastAsia="zh-CN"/>
              </w:rPr>
              <w:t>未按送审结算资料清单要求提供结算资料，导致超结算通知书时间要求7天及以上。</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default"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②承包人</w:t>
            </w:r>
            <w:r>
              <w:rPr>
                <w:rFonts w:hint="default" w:ascii="宋体" w:hAnsi="宋体" w:cs="宋体"/>
                <w:b w:val="0"/>
                <w:bCs w:val="0"/>
                <w:color w:val="auto"/>
                <w:sz w:val="21"/>
                <w:szCs w:val="21"/>
                <w:highlight w:val="none"/>
                <w:lang w:val="en-US" w:eastAsia="zh-CN"/>
              </w:rPr>
              <w:t>对结算审核稿的复核，未按约定时间答复复核结果，或未按约定时间补充资料的。</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default"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③</w:t>
            </w:r>
            <w:r>
              <w:rPr>
                <w:rFonts w:hint="default" w:ascii="宋体" w:hAnsi="宋体" w:cs="宋体"/>
                <w:b w:val="0"/>
                <w:bCs w:val="0"/>
                <w:color w:val="auto"/>
                <w:sz w:val="21"/>
                <w:szCs w:val="21"/>
                <w:highlight w:val="none"/>
                <w:lang w:val="en-US" w:eastAsia="zh-CN"/>
              </w:rPr>
              <w:t>工程结算深度和质量等不满足国家、行业及公司相关规定，造成一般及以上质量缺陷的。</w:t>
            </w:r>
          </w:p>
          <w:p>
            <w:pPr>
              <w:pStyle w:val="6"/>
              <w:keepNext w:val="0"/>
              <w:keepLines w:val="0"/>
              <w:pageBreakBefore w:val="0"/>
              <w:numPr>
                <w:ilvl w:val="0"/>
                <w:numId w:val="2"/>
              </w:numPr>
              <w:kinsoku/>
              <w:wordWrap/>
              <w:overflowPunct/>
              <w:topLinePunct w:val="0"/>
              <w:bidi w:val="0"/>
              <w:spacing w:after="0" w:line="240" w:lineRule="auto"/>
              <w:ind w:left="0" w:leftChars="0" w:firstLine="420" w:firstLineChars="200"/>
              <w:textAlignment w:val="auto"/>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因承包方原因，导致未在规定时间内完成单项工程结算，</w:t>
            </w:r>
            <w:r>
              <w:rPr>
                <w:rFonts w:hint="default" w:ascii="宋体" w:hAnsi="宋体" w:cs="宋体"/>
                <w:b w:val="0"/>
                <w:bCs w:val="0"/>
                <w:color w:val="auto"/>
                <w:sz w:val="21"/>
                <w:szCs w:val="21"/>
                <w:highlight w:val="none"/>
                <w:lang w:val="en-US" w:eastAsia="zh-CN"/>
              </w:rPr>
              <w:t>未达到造价控制目标</w:t>
            </w:r>
            <w:r>
              <w:rPr>
                <w:rFonts w:hint="eastAsia" w:ascii="宋体" w:hAnsi="宋体" w:cs="宋体"/>
                <w:b w:val="0"/>
                <w:bCs w:val="0"/>
                <w:color w:val="auto"/>
                <w:sz w:val="21"/>
                <w:szCs w:val="21"/>
                <w:highlight w:val="none"/>
                <w:lang w:val="en-US" w:eastAsia="zh-CN"/>
              </w:rPr>
              <w:t>，</w:t>
            </w:r>
            <w:r>
              <w:rPr>
                <w:rFonts w:hint="default" w:ascii="宋体" w:hAnsi="宋体" w:cs="宋体"/>
                <w:b w:val="0"/>
                <w:bCs w:val="0"/>
                <w:color w:val="auto"/>
                <w:sz w:val="21"/>
                <w:szCs w:val="21"/>
                <w:highlight w:val="none"/>
                <w:lang w:val="en-US" w:eastAsia="zh-CN"/>
              </w:rPr>
              <w:t>扣除单项工程合同总额的1%</w:t>
            </w:r>
            <w:r>
              <w:rPr>
                <w:rFonts w:hint="eastAsia" w:ascii="宋体" w:hAnsi="宋体" w:cs="宋体"/>
                <w:b w:val="0"/>
                <w:bCs w:val="0"/>
                <w:color w:val="auto"/>
                <w:sz w:val="21"/>
                <w:szCs w:val="21"/>
                <w:highlight w:val="none"/>
                <w:lang w:val="en-US" w:eastAsia="zh-CN"/>
              </w:rPr>
              <w:t>。</w:t>
            </w:r>
          </w:p>
          <w:p>
            <w:pPr>
              <w:pStyle w:val="6"/>
              <w:keepNext w:val="0"/>
              <w:keepLines w:val="0"/>
              <w:pageBreakBefore w:val="0"/>
              <w:numPr>
                <w:ilvl w:val="0"/>
                <w:numId w:val="2"/>
              </w:numPr>
              <w:kinsoku/>
              <w:wordWrap/>
              <w:overflowPunct/>
              <w:topLinePunct w:val="0"/>
              <w:bidi w:val="0"/>
              <w:spacing w:after="0" w:line="240" w:lineRule="auto"/>
              <w:ind w:left="0" w:leftChars="0" w:firstLine="420" w:firstLineChars="200"/>
              <w:textAlignment w:val="auto"/>
              <w:rPr>
                <w:rFonts w:hint="default" w:ascii="宋体" w:hAnsi="宋体" w:cs="宋体"/>
                <w:b w:val="0"/>
                <w:bCs w:val="0"/>
                <w:color w:val="auto"/>
                <w:sz w:val="21"/>
                <w:szCs w:val="21"/>
                <w:highlight w:val="none"/>
                <w:lang w:val="en-US" w:eastAsia="zh-CN"/>
              </w:rPr>
            </w:pPr>
            <w:r>
              <w:rPr>
                <w:rFonts w:hint="default" w:ascii="宋体" w:hAnsi="宋体" w:cs="宋体"/>
                <w:b w:val="0"/>
                <w:bCs w:val="0"/>
                <w:color w:val="auto"/>
                <w:sz w:val="21"/>
                <w:szCs w:val="21"/>
                <w:highlight w:val="none"/>
                <w:lang w:val="en-US" w:eastAsia="zh-CN"/>
              </w:rPr>
              <w:t>虚报、虚签工程量、高套定额、价格错误，套取工程结算款</w:t>
            </w:r>
            <w:r>
              <w:rPr>
                <w:rFonts w:hint="eastAsia" w:ascii="宋体" w:hAnsi="宋体" w:cs="宋体"/>
                <w:b w:val="0"/>
                <w:bCs w:val="0"/>
                <w:color w:val="auto"/>
                <w:sz w:val="21"/>
                <w:szCs w:val="21"/>
                <w:highlight w:val="none"/>
                <w:lang w:val="en-US" w:eastAsia="zh-CN"/>
              </w:rPr>
              <w:t>：</w:t>
            </w:r>
            <w:r>
              <w:rPr>
                <w:rFonts w:hint="default" w:ascii="宋体" w:hAnsi="宋体" w:cs="宋体"/>
                <w:b w:val="0"/>
                <w:bCs w:val="0"/>
                <w:color w:val="auto"/>
                <w:sz w:val="21"/>
                <w:szCs w:val="21"/>
                <w:highlight w:val="none"/>
                <w:lang w:val="en-US" w:eastAsia="zh-CN"/>
              </w:rPr>
              <w:t>套取额达单项合同结算额5%以下的</w:t>
            </w:r>
            <w:r>
              <w:rPr>
                <w:rFonts w:hint="eastAsia" w:ascii="宋体" w:hAnsi="宋体" w:cs="宋体"/>
                <w:b w:val="0"/>
                <w:bCs w:val="0"/>
                <w:color w:val="auto"/>
                <w:sz w:val="21"/>
                <w:szCs w:val="21"/>
                <w:highlight w:val="none"/>
                <w:lang w:val="en-US" w:eastAsia="zh-CN"/>
              </w:rPr>
              <w:t>，扣除单项工程合同总额的0.2%，失信扣分。</w:t>
            </w:r>
          </w:p>
          <w:p>
            <w:pPr>
              <w:pStyle w:val="6"/>
              <w:keepNext w:val="0"/>
              <w:keepLines w:val="0"/>
              <w:pageBreakBefore w:val="0"/>
              <w:numPr>
                <w:ilvl w:val="0"/>
                <w:numId w:val="2"/>
              </w:numPr>
              <w:kinsoku/>
              <w:wordWrap/>
              <w:overflowPunct/>
              <w:topLinePunct w:val="0"/>
              <w:bidi w:val="0"/>
              <w:spacing w:after="0" w:line="240" w:lineRule="auto"/>
              <w:ind w:left="0" w:leftChars="0" w:firstLine="420" w:firstLineChars="200"/>
              <w:textAlignment w:val="auto"/>
              <w:rPr>
                <w:rFonts w:hint="default" w:ascii="宋体" w:hAnsi="宋体" w:cs="宋体"/>
                <w:b w:val="0"/>
                <w:bCs w:val="0"/>
                <w:color w:val="auto"/>
                <w:sz w:val="21"/>
                <w:szCs w:val="21"/>
                <w:highlight w:val="none"/>
                <w:lang w:val="en-US" w:eastAsia="zh-CN"/>
              </w:rPr>
            </w:pPr>
            <w:r>
              <w:rPr>
                <w:rFonts w:hint="default" w:ascii="宋体" w:hAnsi="宋体" w:cs="宋体"/>
                <w:b w:val="0"/>
                <w:bCs w:val="0"/>
                <w:color w:val="auto"/>
                <w:sz w:val="21"/>
                <w:szCs w:val="21"/>
                <w:highlight w:val="none"/>
                <w:lang w:val="en-US" w:eastAsia="zh-CN"/>
              </w:rPr>
              <w:t>虚报、虚签工程量、高套定额、价格错误，套取工程结算款</w:t>
            </w:r>
            <w:r>
              <w:rPr>
                <w:rFonts w:hint="eastAsia" w:ascii="宋体" w:hAnsi="宋体" w:cs="宋体"/>
                <w:b w:val="0"/>
                <w:bCs w:val="0"/>
                <w:color w:val="auto"/>
                <w:sz w:val="21"/>
                <w:szCs w:val="21"/>
                <w:highlight w:val="none"/>
                <w:lang w:val="en-US" w:eastAsia="zh-CN"/>
              </w:rPr>
              <w:t>：</w:t>
            </w:r>
            <w:r>
              <w:rPr>
                <w:rFonts w:hint="default" w:ascii="宋体" w:hAnsi="宋体" w:cs="宋体"/>
                <w:b w:val="0"/>
                <w:bCs w:val="0"/>
                <w:color w:val="auto"/>
                <w:sz w:val="21"/>
                <w:szCs w:val="21"/>
                <w:highlight w:val="none"/>
                <w:lang w:val="en-US" w:eastAsia="zh-CN"/>
              </w:rPr>
              <w:t>套取额达单项合同结算额5%（含）以上</w:t>
            </w:r>
            <w:r>
              <w:rPr>
                <w:rFonts w:hint="eastAsia" w:ascii="宋体" w:hAnsi="宋体" w:cs="宋体"/>
                <w:b w:val="0"/>
                <w:bCs w:val="0"/>
                <w:color w:val="auto"/>
                <w:sz w:val="21"/>
                <w:szCs w:val="21"/>
                <w:highlight w:val="none"/>
                <w:lang w:val="en-US" w:eastAsia="zh-CN"/>
              </w:rPr>
              <w:t>，扣除单项工程合同总额的1%，造成发包人损失的，承包人应另行全额赔偿。</w:t>
            </w:r>
          </w:p>
        </w:tc>
        <w:tc>
          <w:tcPr>
            <w:tcW w:w="687" w:type="dxa"/>
            <w:noWrap w:val="0"/>
            <w:vAlign w:val="center"/>
          </w:tcPr>
          <w:p>
            <w:pPr>
              <w:keepNext w:val="0"/>
              <w:keepLines w:val="0"/>
              <w:pageBreakBefore w:val="0"/>
              <w:widowControl/>
              <w:kinsoku/>
              <w:wordWrap/>
              <w:overflowPunct/>
              <w:topLinePunct w:val="0"/>
              <w:bidi w:val="0"/>
              <w:spacing w:line="240" w:lineRule="auto"/>
              <w:ind w:firstLine="0" w:firstLineChars="0"/>
              <w:jc w:val="left"/>
              <w:textAlignment w:val="auto"/>
              <w:rPr>
                <w:rFonts w:hint="eastAsia" w:ascii="宋体" w:hAnsi="宋体" w:eastAsia="宋体" w:cs="宋体"/>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trPr>
        <w:tc>
          <w:tcPr>
            <w:tcW w:w="482" w:type="dxa"/>
            <w:noWrap w:val="0"/>
            <w:vAlign w:val="center"/>
          </w:tcPr>
          <w:p>
            <w:pPr>
              <w:pStyle w:val="15"/>
              <w:keepNext w:val="0"/>
              <w:keepLines w:val="0"/>
              <w:pageBreakBefore w:val="0"/>
              <w:widowControl w:val="0"/>
              <w:numPr>
                <w:ilvl w:val="0"/>
                <w:numId w:val="1"/>
              </w:numPr>
              <w:kinsoku/>
              <w:wordWrap/>
              <w:overflowPunct/>
              <w:topLinePunct w:val="0"/>
              <w:autoSpaceDE/>
              <w:autoSpaceDN/>
              <w:bidi w:val="0"/>
              <w:adjustRightInd w:val="0"/>
              <w:snapToGrid w:val="0"/>
              <w:spacing w:line="240" w:lineRule="auto"/>
              <w:ind w:left="0" w:firstLine="0" w:firstLineChars="0"/>
              <w:jc w:val="center"/>
              <w:textAlignment w:val="auto"/>
              <w:rPr>
                <w:rFonts w:hint="eastAsia" w:ascii="宋体" w:hAnsi="宋体" w:eastAsia="宋体" w:cs="宋体"/>
                <w:color w:val="auto"/>
                <w:kern w:val="0"/>
                <w:sz w:val="21"/>
                <w:szCs w:val="21"/>
                <w:highlight w:val="none"/>
              </w:rPr>
            </w:pPr>
          </w:p>
        </w:tc>
        <w:tc>
          <w:tcPr>
            <w:tcW w:w="1108" w:type="dxa"/>
            <w:noWrap w:val="0"/>
            <w:vAlign w:val="center"/>
          </w:tcPr>
          <w:p>
            <w:pPr>
              <w:pStyle w:val="15"/>
              <w:keepNext w:val="0"/>
              <w:keepLines w:val="0"/>
              <w:pageBreakBefore w:val="0"/>
              <w:numPr>
                <w:ilvl w:val="0"/>
                <w:numId w:val="0"/>
              </w:numPr>
              <w:kinsoku/>
              <w:wordWrap/>
              <w:overflowPunct/>
              <w:topLinePunct w:val="0"/>
              <w:bidi w:val="0"/>
              <w:spacing w:line="240" w:lineRule="auto"/>
              <w:ind w:left="0" w:leftChars="0" w:firstLine="0" w:firstLineChars="0"/>
              <w:textAlignment w:val="auto"/>
              <w:rPr>
                <w:rFonts w:hint="eastAsia" w:ascii="宋体" w:hAnsi="宋体" w:cs="宋体"/>
                <w:color w:val="auto"/>
                <w:kern w:val="0"/>
                <w:sz w:val="21"/>
                <w:szCs w:val="21"/>
                <w:highlight w:val="none"/>
                <w:lang w:val="en-US" w:eastAsia="zh-CN"/>
              </w:rPr>
            </w:pPr>
            <w:r>
              <w:rPr>
                <w:rFonts w:hint="eastAsia" w:ascii="宋体" w:hAnsi="宋体" w:cs="宋体"/>
                <w:color w:val="auto"/>
                <w:kern w:val="0"/>
                <w:sz w:val="21"/>
                <w:szCs w:val="21"/>
                <w:highlight w:val="none"/>
                <w:lang w:val="en-US" w:eastAsia="zh-CN"/>
              </w:rPr>
              <w:t>新增</w:t>
            </w:r>
          </w:p>
        </w:tc>
        <w:tc>
          <w:tcPr>
            <w:tcW w:w="1262" w:type="dxa"/>
            <w:noWrap w:val="0"/>
            <w:vAlign w:val="center"/>
          </w:tcPr>
          <w:p>
            <w:pPr>
              <w:pStyle w:val="15"/>
              <w:keepNext w:val="0"/>
              <w:keepLines w:val="0"/>
              <w:pageBreakBefore w:val="0"/>
              <w:numPr>
                <w:ilvl w:val="0"/>
                <w:numId w:val="0"/>
              </w:numPr>
              <w:kinsoku/>
              <w:wordWrap/>
              <w:overflowPunct/>
              <w:topLinePunct w:val="0"/>
              <w:bidi w:val="0"/>
              <w:spacing w:line="240" w:lineRule="auto"/>
              <w:ind w:leftChars="0" w:firstLine="0" w:firstLineChars="0"/>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专用合同条款</w:t>
            </w:r>
          </w:p>
          <w:p>
            <w:pPr>
              <w:keepNext w:val="0"/>
              <w:keepLines w:val="0"/>
              <w:pageBreakBefore w:val="0"/>
              <w:kinsoku/>
              <w:wordWrap/>
              <w:overflowPunct/>
              <w:topLinePunct w:val="0"/>
              <w:bidi w:val="0"/>
              <w:spacing w:line="240" w:lineRule="auto"/>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2.发包人</w:t>
            </w:r>
            <w:r>
              <w:rPr>
                <w:rFonts w:hint="eastAsia" w:ascii="宋体" w:hAnsi="宋体" w:eastAsia="宋体" w:cs="宋体"/>
                <w:b/>
                <w:bCs/>
                <w:color w:val="auto"/>
                <w:sz w:val="21"/>
                <w:szCs w:val="21"/>
                <w:highlight w:val="none"/>
              </w:rPr>
              <w:t>2.6.1</w:t>
            </w:r>
            <w:r>
              <w:rPr>
                <w:rFonts w:hint="eastAsia" w:ascii="宋体" w:hAnsi="宋体" w:eastAsia="宋体" w:cs="宋体"/>
                <w:b/>
                <w:bCs/>
                <w:color w:val="auto"/>
                <w:sz w:val="21"/>
                <w:szCs w:val="21"/>
                <w:highlight w:val="none"/>
                <w:lang w:val="en-US" w:eastAsia="zh-CN"/>
              </w:rPr>
              <w:t>.7款</w:t>
            </w:r>
          </w:p>
        </w:tc>
        <w:tc>
          <w:tcPr>
            <w:tcW w:w="5760" w:type="dxa"/>
            <w:noWrap w:val="0"/>
            <w:vAlign w:val="center"/>
          </w:tcPr>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无</w:t>
            </w:r>
          </w:p>
        </w:tc>
        <w:tc>
          <w:tcPr>
            <w:tcW w:w="5800" w:type="dxa"/>
            <w:noWrap w:val="0"/>
            <w:vAlign w:val="center"/>
          </w:tcPr>
          <w:p>
            <w:pPr>
              <w:pStyle w:val="6"/>
              <w:keepNext w:val="0"/>
              <w:keepLines w:val="0"/>
              <w:pageBreakBefore w:val="0"/>
              <w:kinsoku/>
              <w:wordWrap/>
              <w:overflowPunct/>
              <w:topLinePunct w:val="0"/>
              <w:bidi w:val="0"/>
              <w:spacing w:after="0" w:line="240" w:lineRule="auto"/>
              <w:ind w:left="0" w:leftChars="0" w:firstLine="422" w:firstLineChars="200"/>
              <w:textAlignment w:val="auto"/>
              <w:rPr>
                <w:rFonts w:hint="default" w:ascii="宋体" w:hAnsi="宋体" w:cs="宋体"/>
                <w:b/>
                <w:bCs/>
                <w:color w:val="auto"/>
                <w:sz w:val="21"/>
                <w:szCs w:val="21"/>
                <w:highlight w:val="none"/>
                <w:lang w:val="en-US" w:eastAsia="zh-CN"/>
              </w:rPr>
            </w:pPr>
            <w:r>
              <w:rPr>
                <w:rFonts w:hint="default" w:ascii="宋体" w:hAnsi="宋体" w:cs="宋体"/>
                <w:b/>
                <w:bCs/>
                <w:color w:val="auto"/>
                <w:sz w:val="21"/>
                <w:szCs w:val="21"/>
                <w:highlight w:val="none"/>
                <w:lang w:val="en-US" w:eastAsia="zh-CN"/>
              </w:rPr>
              <w:t>2.6.1.7 综合管理</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default" w:ascii="宋体" w:hAnsi="宋体" w:cs="宋体"/>
                <w:color w:val="auto"/>
                <w:sz w:val="21"/>
                <w:szCs w:val="21"/>
                <w:highlight w:val="none"/>
                <w:lang w:val="en-US" w:eastAsia="zh-CN"/>
              </w:rPr>
            </w:pPr>
            <w:r>
              <w:rPr>
                <w:rFonts w:hint="default" w:ascii="宋体" w:hAnsi="宋体" w:cs="宋体"/>
                <w:color w:val="auto"/>
                <w:sz w:val="21"/>
                <w:szCs w:val="21"/>
                <w:highlight w:val="none"/>
                <w:lang w:val="en-US" w:eastAsia="zh-CN"/>
              </w:rPr>
              <w:t>本条款所称书面警告，指发包人加盖公章、明确违规事实及整改期限的书面文件，应送达承包人项目经理并签收；承包人对书面警告有异议的，可在收到后3个工作日内向发包人提出书面复核申请，发包人应在5个工作日内出具复核结论。</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default" w:ascii="宋体" w:hAnsi="宋体" w:cs="宋体"/>
                <w:color w:val="auto"/>
                <w:sz w:val="21"/>
                <w:szCs w:val="21"/>
                <w:highlight w:val="none"/>
                <w:lang w:val="en-US" w:eastAsia="zh-CN"/>
              </w:rPr>
            </w:pPr>
            <w:r>
              <w:rPr>
                <w:rFonts w:hint="default" w:ascii="宋体" w:hAnsi="宋体" w:cs="宋体"/>
                <w:color w:val="auto"/>
                <w:sz w:val="21"/>
                <w:szCs w:val="21"/>
                <w:highlight w:val="none"/>
                <w:lang w:val="en-US" w:eastAsia="zh-CN"/>
              </w:rPr>
              <w:t>（1）承包商存在信息系统录入及时性和准确性问题，且经三次</w:t>
            </w:r>
            <w:r>
              <w:rPr>
                <w:rFonts w:hint="eastAsia" w:ascii="宋体" w:hAnsi="宋体" w:cs="宋体"/>
                <w:color w:val="auto"/>
                <w:sz w:val="21"/>
                <w:szCs w:val="21"/>
                <w:highlight w:val="none"/>
                <w:lang w:val="en-US" w:eastAsia="zh-CN"/>
              </w:rPr>
              <w:t>书面</w:t>
            </w:r>
            <w:r>
              <w:rPr>
                <w:rFonts w:hint="default" w:ascii="宋体" w:hAnsi="宋体" w:cs="宋体"/>
                <w:color w:val="auto"/>
                <w:sz w:val="21"/>
                <w:szCs w:val="21"/>
                <w:highlight w:val="none"/>
                <w:lang w:val="en-US" w:eastAsia="zh-CN"/>
              </w:rPr>
              <w:t>警告后仍未按要求完成工作的，扣除合同总额的0.2%。</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default" w:ascii="宋体" w:hAnsi="宋体" w:cs="宋体"/>
                <w:color w:val="auto"/>
                <w:sz w:val="21"/>
                <w:szCs w:val="21"/>
                <w:highlight w:val="none"/>
                <w:lang w:val="en-US" w:eastAsia="zh-CN"/>
              </w:rPr>
            </w:pPr>
            <w:r>
              <w:rPr>
                <w:rFonts w:hint="default" w:ascii="宋体" w:hAnsi="宋体" w:cs="宋体"/>
                <w:color w:val="auto"/>
                <w:sz w:val="21"/>
                <w:szCs w:val="21"/>
                <w:highlight w:val="none"/>
                <w:lang w:val="en-US" w:eastAsia="zh-CN"/>
              </w:rPr>
              <w:t>（2）因承包商原因未在工程投运后3个月内完成移交，或未按规定通过建设单位档案验收，扣除合同总额的0.2%。</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default" w:ascii="宋体" w:hAnsi="宋体" w:cs="宋体"/>
                <w:color w:val="auto"/>
                <w:sz w:val="21"/>
                <w:szCs w:val="21"/>
                <w:highlight w:val="none"/>
                <w:lang w:val="en-US" w:eastAsia="zh-CN"/>
              </w:rPr>
            </w:pPr>
            <w:r>
              <w:rPr>
                <w:rFonts w:hint="default" w:ascii="宋体" w:hAnsi="宋体" w:cs="宋体"/>
                <w:color w:val="auto"/>
                <w:sz w:val="21"/>
                <w:szCs w:val="21"/>
                <w:highlight w:val="none"/>
                <w:lang w:val="en-US" w:eastAsia="zh-CN"/>
              </w:rPr>
              <w:t>（3）承包人对书面警告问题无书面回复、拒不执行整改，或书面警告达到五次以上的，扣除合同总额的0.2%。</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default" w:ascii="宋体" w:hAnsi="宋体" w:cs="宋体"/>
                <w:color w:val="auto"/>
                <w:sz w:val="21"/>
                <w:szCs w:val="21"/>
                <w:highlight w:val="none"/>
                <w:lang w:val="en-US" w:eastAsia="zh-CN"/>
              </w:rPr>
            </w:pPr>
            <w:r>
              <w:rPr>
                <w:rFonts w:hint="default" w:ascii="宋体" w:hAnsi="宋体" w:cs="宋体"/>
                <w:color w:val="auto"/>
                <w:sz w:val="21"/>
                <w:szCs w:val="21"/>
                <w:highlight w:val="none"/>
                <w:lang w:val="en-US" w:eastAsia="zh-CN"/>
              </w:rPr>
              <w:t>（4）承包人因企业资质等级降低或被吊销资质证书，导致资质已不满足承揽本合同业务范围，终止合同。</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default" w:ascii="宋体" w:hAnsi="宋体" w:cs="宋体"/>
                <w:color w:val="auto"/>
                <w:sz w:val="21"/>
                <w:szCs w:val="21"/>
                <w:highlight w:val="none"/>
                <w:lang w:val="en-US" w:eastAsia="zh-CN"/>
              </w:rPr>
            </w:pPr>
            <w:r>
              <w:rPr>
                <w:rFonts w:hint="default" w:ascii="宋体" w:hAnsi="宋体" w:cs="宋体"/>
                <w:color w:val="auto"/>
                <w:sz w:val="21"/>
                <w:szCs w:val="21"/>
                <w:highlight w:val="none"/>
                <w:lang w:val="en-US" w:eastAsia="zh-CN"/>
              </w:rPr>
              <w:t>（5）承包人如需更换项目经理，按照以下情形相应处置：</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default" w:ascii="宋体" w:hAnsi="宋体" w:cs="宋体"/>
                <w:color w:val="auto"/>
                <w:sz w:val="21"/>
                <w:szCs w:val="21"/>
                <w:highlight w:val="none"/>
                <w:lang w:val="en-US" w:eastAsia="zh-CN"/>
              </w:rPr>
            </w:pPr>
            <w:r>
              <w:rPr>
                <w:rFonts w:hint="default" w:ascii="宋体" w:hAnsi="宋体" w:cs="宋体"/>
                <w:color w:val="auto"/>
                <w:sz w:val="21"/>
                <w:szCs w:val="21"/>
                <w:highlight w:val="none"/>
                <w:lang w:val="en-US" w:eastAsia="zh-CN"/>
              </w:rPr>
              <w:t>承包人更换项目经理，无因不可抗力等因素发包人不接受更换。项目经理如需更换，需经甲方同意，且按以下标准支付违约金：合同额0.5亿元以下10万元/人次；合同额0.5-1亿元20万元/人次；合同额1-5亿元40万元/人次；合同额5亿元及以上80万元/人次。未经甲方同意，违约金标准翻倍计罚，且原项目经理不允许参与后续项目投标，按否决投标处理。</w:t>
            </w:r>
          </w:p>
        </w:tc>
        <w:tc>
          <w:tcPr>
            <w:tcW w:w="687" w:type="dxa"/>
            <w:noWrap w:val="0"/>
            <w:vAlign w:val="center"/>
          </w:tcPr>
          <w:p>
            <w:pPr>
              <w:keepNext w:val="0"/>
              <w:keepLines w:val="0"/>
              <w:pageBreakBefore w:val="0"/>
              <w:widowControl/>
              <w:kinsoku/>
              <w:wordWrap/>
              <w:overflowPunct/>
              <w:topLinePunct w:val="0"/>
              <w:bidi w:val="0"/>
              <w:spacing w:line="240" w:lineRule="auto"/>
              <w:ind w:firstLine="0" w:firstLineChars="0"/>
              <w:jc w:val="left"/>
              <w:textAlignment w:val="auto"/>
              <w:rPr>
                <w:rFonts w:hint="eastAsia" w:ascii="宋体" w:hAnsi="宋体" w:eastAsia="宋体" w:cs="宋体"/>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82" w:type="dxa"/>
            <w:noWrap w:val="0"/>
            <w:vAlign w:val="center"/>
          </w:tcPr>
          <w:p>
            <w:pPr>
              <w:pStyle w:val="15"/>
              <w:keepNext w:val="0"/>
              <w:keepLines w:val="0"/>
              <w:pageBreakBefore w:val="0"/>
              <w:widowControl w:val="0"/>
              <w:numPr>
                <w:ilvl w:val="0"/>
                <w:numId w:val="1"/>
              </w:numPr>
              <w:kinsoku/>
              <w:wordWrap/>
              <w:overflowPunct/>
              <w:topLinePunct w:val="0"/>
              <w:autoSpaceDE/>
              <w:autoSpaceDN/>
              <w:bidi w:val="0"/>
              <w:adjustRightInd w:val="0"/>
              <w:snapToGrid w:val="0"/>
              <w:spacing w:line="240" w:lineRule="auto"/>
              <w:ind w:left="0" w:firstLine="0" w:firstLineChars="0"/>
              <w:jc w:val="center"/>
              <w:textAlignment w:val="auto"/>
              <w:rPr>
                <w:rFonts w:hint="eastAsia" w:ascii="宋体" w:hAnsi="宋体" w:eastAsia="宋体" w:cs="宋体"/>
                <w:color w:val="auto"/>
                <w:kern w:val="0"/>
                <w:sz w:val="21"/>
                <w:szCs w:val="21"/>
                <w:highlight w:val="none"/>
              </w:rPr>
            </w:pPr>
          </w:p>
        </w:tc>
        <w:tc>
          <w:tcPr>
            <w:tcW w:w="1108" w:type="dxa"/>
            <w:noWrap w:val="0"/>
            <w:vAlign w:val="center"/>
          </w:tcPr>
          <w:p>
            <w:pPr>
              <w:pStyle w:val="15"/>
              <w:keepNext w:val="0"/>
              <w:keepLines w:val="0"/>
              <w:pageBreakBefore w:val="0"/>
              <w:numPr>
                <w:ilvl w:val="0"/>
                <w:numId w:val="0"/>
              </w:numPr>
              <w:kinsoku/>
              <w:wordWrap/>
              <w:overflowPunct/>
              <w:topLinePunct w:val="0"/>
              <w:bidi w:val="0"/>
              <w:spacing w:line="240" w:lineRule="auto"/>
              <w:ind w:left="0" w:leftChars="0" w:firstLine="0" w:firstLineChars="0"/>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修改</w:t>
            </w:r>
          </w:p>
        </w:tc>
        <w:tc>
          <w:tcPr>
            <w:tcW w:w="1262" w:type="dxa"/>
            <w:noWrap w:val="0"/>
            <w:vAlign w:val="center"/>
          </w:tcPr>
          <w:p>
            <w:pPr>
              <w:keepNext w:val="0"/>
              <w:keepLines w:val="0"/>
              <w:pageBreakBefore w:val="0"/>
              <w:kinsoku/>
              <w:wordWrap/>
              <w:overflowPunct/>
              <w:topLinePunct w:val="0"/>
              <w:bidi w:val="0"/>
              <w:spacing w:line="240" w:lineRule="auto"/>
              <w:ind w:firstLine="0" w:firstLine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专用合同条款</w:t>
            </w:r>
          </w:p>
          <w:p>
            <w:pPr>
              <w:keepNext w:val="0"/>
              <w:keepLines w:val="0"/>
              <w:pageBreakBefore w:val="0"/>
              <w:kinsoku/>
              <w:wordWrap/>
              <w:overflowPunct/>
              <w:topLinePunct w:val="0"/>
              <w:bidi w:val="0"/>
              <w:spacing w:line="240" w:lineRule="auto"/>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4.承包人</w:t>
            </w:r>
          </w:p>
          <w:p>
            <w:pPr>
              <w:keepNext w:val="0"/>
              <w:keepLines w:val="0"/>
              <w:pageBreakBefore w:val="0"/>
              <w:kinsoku/>
              <w:wordWrap/>
              <w:overflowPunct/>
              <w:topLinePunct w:val="0"/>
              <w:bidi w:val="0"/>
              <w:spacing w:line="240" w:lineRule="auto"/>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4.1款</w:t>
            </w:r>
          </w:p>
        </w:tc>
        <w:tc>
          <w:tcPr>
            <w:tcW w:w="5760" w:type="dxa"/>
            <w:noWrap w:val="0"/>
            <w:vAlign w:val="center"/>
          </w:tcPr>
          <w:p>
            <w:pPr>
              <w:pStyle w:val="6"/>
              <w:keepNext w:val="0"/>
              <w:keepLines w:val="0"/>
              <w:pageBreakBefore w:val="0"/>
              <w:kinsoku/>
              <w:wordWrap/>
              <w:overflowPunct/>
              <w:topLinePunct w:val="0"/>
              <w:bidi w:val="0"/>
              <w:spacing w:after="0" w:line="240" w:lineRule="auto"/>
              <w:ind w:left="0" w:leftChars="0"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（18）其他：[</w:t>
            </w:r>
            <w:permStart w:id="34" w:edGrp="everyone"/>
            <w:r>
              <w:rPr>
                <w:rFonts w:hint="eastAsia" w:ascii="宋体" w:hAnsi="宋体" w:eastAsia="宋体" w:cs="宋体"/>
                <w:b w:val="0"/>
                <w:bCs/>
                <w:color w:val="auto"/>
                <w:sz w:val="21"/>
                <w:szCs w:val="21"/>
                <w:highlight w:val="none"/>
                <w:u w:val="single"/>
              </w:rPr>
              <w:t xml:space="preserve">     </w:t>
            </w:r>
            <w:permEnd w:id="34"/>
            <w:r>
              <w:rPr>
                <w:rFonts w:hint="eastAsia" w:ascii="宋体" w:hAnsi="宋体" w:eastAsia="宋体" w:cs="宋体"/>
                <w:b w:val="0"/>
                <w:bCs/>
                <w:color w:val="auto"/>
                <w:sz w:val="21"/>
                <w:szCs w:val="21"/>
                <w:highlight w:val="none"/>
              </w:rPr>
              <w:t>]</w:t>
            </w:r>
          </w:p>
          <w:p>
            <w:pPr>
              <w:keepNext w:val="0"/>
              <w:keepLines w:val="0"/>
              <w:pageBreakBefore w:val="0"/>
              <w:kinsoku/>
              <w:wordWrap/>
              <w:overflowPunct/>
              <w:topLinePunct w:val="0"/>
              <w:autoSpaceDE w:val="0"/>
              <w:autoSpaceDN w:val="0"/>
              <w:bidi w:val="0"/>
              <w:adjustRightInd w:val="0"/>
              <w:snapToGrid w:val="0"/>
              <w:spacing w:line="240" w:lineRule="auto"/>
              <w:ind w:firstLine="0" w:firstLineChars="0"/>
              <w:jc w:val="center"/>
              <w:textAlignment w:val="auto"/>
              <w:rPr>
                <w:rFonts w:hint="eastAsia" w:ascii="宋体" w:hAnsi="宋体" w:eastAsia="宋体" w:cs="宋体"/>
                <w:color w:val="auto"/>
                <w:sz w:val="21"/>
                <w:szCs w:val="21"/>
                <w:highlight w:val="none"/>
              </w:rPr>
            </w:pPr>
          </w:p>
        </w:tc>
        <w:tc>
          <w:tcPr>
            <w:tcW w:w="5800" w:type="dxa"/>
            <w:noWrap w:val="0"/>
            <w:vAlign w:val="center"/>
          </w:tcPr>
          <w:p>
            <w:pPr>
              <w:pStyle w:val="16"/>
              <w:keepNext w:val="0"/>
              <w:keepLines w:val="0"/>
              <w:pageBreakBefore w:val="0"/>
              <w:kinsoku/>
              <w:wordWrap/>
              <w:overflowPunct/>
              <w:topLinePunct w:val="0"/>
              <w:bidi w:val="0"/>
              <w:spacing w:after="0" w:line="240" w:lineRule="auto"/>
              <w:ind w:left="0" w:leftChars="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（18）其他：</w:t>
            </w:r>
          </w:p>
          <w:p>
            <w:pPr>
              <w:pStyle w:val="16"/>
              <w:keepNext w:val="0"/>
              <w:keepLines w:val="0"/>
              <w:pageBreakBefore w:val="0"/>
              <w:kinsoku/>
              <w:wordWrap/>
              <w:overflowPunct/>
              <w:topLinePunct w:val="0"/>
              <w:bidi w:val="0"/>
              <w:spacing w:after="0" w:line="240" w:lineRule="auto"/>
              <w:ind w:left="0" w:leftChars="0" w:firstLine="0" w:firstLineChars="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w:t>
            </w:r>
            <w:r>
              <w:rPr>
                <w:rFonts w:hint="eastAsia" w:ascii="宋体" w:hAnsi="宋体" w:eastAsia="宋体" w:cs="宋体"/>
                <w:b w:val="0"/>
                <w:bCs/>
                <w:color w:val="auto"/>
                <w:sz w:val="21"/>
                <w:szCs w:val="21"/>
                <w:highlight w:val="none"/>
                <w:lang w:eastAsia="zh-CN"/>
              </w:rPr>
              <w:t>承包人</w:t>
            </w:r>
            <w:r>
              <w:rPr>
                <w:rFonts w:hint="eastAsia" w:ascii="宋体" w:hAnsi="宋体" w:eastAsia="宋体" w:cs="宋体"/>
                <w:b w:val="0"/>
                <w:bCs/>
                <w:color w:val="auto"/>
                <w:sz w:val="21"/>
                <w:szCs w:val="21"/>
                <w:highlight w:val="none"/>
              </w:rPr>
              <w:t>自行调查设备、材料、机具等市场情况，并自行承担相应的市场风险责任；</w:t>
            </w:r>
          </w:p>
          <w:p>
            <w:pPr>
              <w:pStyle w:val="16"/>
              <w:keepNext w:val="0"/>
              <w:keepLines w:val="0"/>
              <w:pageBreakBefore w:val="0"/>
              <w:kinsoku/>
              <w:wordWrap/>
              <w:overflowPunct/>
              <w:topLinePunct w:val="0"/>
              <w:bidi w:val="0"/>
              <w:spacing w:after="0" w:line="240" w:lineRule="auto"/>
              <w:ind w:left="0" w:leftChars="0" w:firstLine="0" w:firstLineChars="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2）按南网项目管理和质量实体样板要求所需相应的措施费；</w:t>
            </w:r>
          </w:p>
          <w:p>
            <w:pPr>
              <w:pStyle w:val="16"/>
              <w:keepNext w:val="0"/>
              <w:keepLines w:val="0"/>
              <w:pageBreakBefore w:val="0"/>
              <w:kinsoku/>
              <w:wordWrap/>
              <w:overflowPunct/>
              <w:topLinePunct w:val="0"/>
              <w:bidi w:val="0"/>
              <w:spacing w:after="0" w:line="240" w:lineRule="auto"/>
              <w:ind w:left="0" w:leftChars="0" w:firstLine="0" w:firstLineChars="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3）全面开展标准建设工作；</w:t>
            </w:r>
          </w:p>
          <w:p>
            <w:pPr>
              <w:pStyle w:val="16"/>
              <w:keepNext w:val="0"/>
              <w:keepLines w:val="0"/>
              <w:pageBreakBefore w:val="0"/>
              <w:kinsoku/>
              <w:wordWrap/>
              <w:overflowPunct/>
              <w:topLinePunct w:val="0"/>
              <w:bidi w:val="0"/>
              <w:spacing w:after="0" w:line="240" w:lineRule="auto"/>
              <w:ind w:left="0" w:leftChars="0" w:firstLine="0" w:firstLineChars="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4）道路通行及维护、场地移交、场地物资堆放及二次倒运等工作；</w:t>
            </w:r>
          </w:p>
          <w:p>
            <w:pPr>
              <w:pStyle w:val="16"/>
              <w:keepNext w:val="0"/>
              <w:keepLines w:val="0"/>
              <w:pageBreakBefore w:val="0"/>
              <w:kinsoku/>
              <w:wordWrap/>
              <w:overflowPunct/>
              <w:topLinePunct w:val="0"/>
              <w:bidi w:val="0"/>
              <w:spacing w:after="0" w:line="240" w:lineRule="auto"/>
              <w:ind w:left="0" w:leftChars="0" w:firstLine="0" w:firstLineChars="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5）施工期间国家政策调整（含行业计价标准调整）和物价指数变化的影响；</w:t>
            </w:r>
          </w:p>
          <w:p>
            <w:pPr>
              <w:pStyle w:val="16"/>
              <w:keepNext w:val="0"/>
              <w:keepLines w:val="0"/>
              <w:pageBreakBefore w:val="0"/>
              <w:kinsoku/>
              <w:wordWrap/>
              <w:overflowPunct/>
              <w:topLinePunct w:val="0"/>
              <w:bidi w:val="0"/>
              <w:spacing w:after="0" w:line="240" w:lineRule="auto"/>
              <w:ind w:left="0" w:leftChars="0" w:firstLine="0" w:firstLineChars="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6）施工期间做好水土保持工作，负责施工废弃物、噪音及扬尘污染、道路通行及损毁修补、强夯、爆破等对周边居民生产生活及建构筑物的影响处理，负责协调和处理此类施工问题造成的纠纷、阻工等，及因此产生的费用（含地方政府向承包人收取的相关费用）。</w:t>
            </w:r>
          </w:p>
          <w:p>
            <w:pPr>
              <w:pStyle w:val="16"/>
              <w:keepNext w:val="0"/>
              <w:keepLines w:val="0"/>
              <w:pageBreakBefore w:val="0"/>
              <w:kinsoku/>
              <w:wordWrap/>
              <w:overflowPunct/>
              <w:topLinePunct w:val="0"/>
              <w:bidi w:val="0"/>
              <w:spacing w:after="0" w:line="240" w:lineRule="auto"/>
              <w:ind w:left="0" w:leftChars="0" w:firstLine="0" w:firstLineChars="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7）施工现场照明，采用节能照明灯具的比率大于80％；</w:t>
            </w:r>
          </w:p>
          <w:p>
            <w:pPr>
              <w:pStyle w:val="16"/>
              <w:keepNext w:val="0"/>
              <w:keepLines w:val="0"/>
              <w:pageBreakBefore w:val="0"/>
              <w:kinsoku/>
              <w:wordWrap/>
              <w:overflowPunct/>
              <w:topLinePunct w:val="0"/>
              <w:bidi w:val="0"/>
              <w:spacing w:after="0" w:line="240" w:lineRule="auto"/>
              <w:ind w:left="0" w:leftChars="0" w:firstLine="0" w:firstLineChars="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8）现场办公临建建设，承包人支付有关的用水、用电、通信、排污等费用，并负责维护工作，并在建设单位要求时负责拆除、及恢复场地；</w:t>
            </w:r>
          </w:p>
          <w:p>
            <w:pPr>
              <w:pStyle w:val="16"/>
              <w:keepNext w:val="0"/>
              <w:keepLines w:val="0"/>
              <w:pageBreakBefore w:val="0"/>
              <w:kinsoku/>
              <w:wordWrap/>
              <w:overflowPunct/>
              <w:topLinePunct w:val="0"/>
              <w:bidi w:val="0"/>
              <w:spacing w:after="0" w:line="240" w:lineRule="auto"/>
              <w:ind w:left="0" w:leftChars="0" w:firstLine="0" w:firstLineChars="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9）负责投产或移交前工程实体等相关维护工作；</w:t>
            </w:r>
          </w:p>
          <w:p>
            <w:pPr>
              <w:pStyle w:val="16"/>
              <w:keepNext w:val="0"/>
              <w:keepLines w:val="0"/>
              <w:pageBreakBefore w:val="0"/>
              <w:kinsoku/>
              <w:wordWrap/>
              <w:overflowPunct/>
              <w:topLinePunct w:val="0"/>
              <w:bidi w:val="0"/>
              <w:spacing w:after="0" w:line="240" w:lineRule="auto"/>
              <w:ind w:left="0" w:leftChars="0" w:firstLine="0" w:firstLineChars="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10）配合建设单位各类检查、检测、监测、验收、评审、协调、评优、安风体系建设等工作； </w:t>
            </w:r>
          </w:p>
          <w:p>
            <w:pPr>
              <w:pStyle w:val="16"/>
              <w:keepNext w:val="0"/>
              <w:keepLines w:val="0"/>
              <w:pageBreakBefore w:val="0"/>
              <w:kinsoku/>
              <w:wordWrap/>
              <w:overflowPunct/>
              <w:topLinePunct w:val="0"/>
              <w:bidi w:val="0"/>
              <w:spacing w:after="0" w:line="240" w:lineRule="auto"/>
              <w:ind w:left="0" w:leftChars="0" w:firstLine="0" w:firstLineChars="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11）竣工验收前办理并提供相关行政主管部门出具的无欠薪证明、无重大安全事故证明等材料；</w:t>
            </w:r>
          </w:p>
          <w:p>
            <w:pPr>
              <w:pStyle w:val="16"/>
              <w:keepNext w:val="0"/>
              <w:keepLines w:val="0"/>
              <w:pageBreakBefore w:val="0"/>
              <w:kinsoku/>
              <w:wordWrap/>
              <w:overflowPunct/>
              <w:topLinePunct w:val="0"/>
              <w:bidi w:val="0"/>
              <w:spacing w:after="0" w:line="240" w:lineRule="auto"/>
              <w:ind w:left="0" w:leftChars="0" w:firstLine="0" w:firstLineChars="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12）自行考虑冬、雨季施工措施费用和影响；</w:t>
            </w:r>
          </w:p>
          <w:p>
            <w:pPr>
              <w:pStyle w:val="16"/>
              <w:keepNext w:val="0"/>
              <w:keepLines w:val="0"/>
              <w:pageBreakBefore w:val="0"/>
              <w:kinsoku/>
              <w:wordWrap/>
              <w:overflowPunct/>
              <w:topLinePunct w:val="0"/>
              <w:bidi w:val="0"/>
              <w:spacing w:after="0" w:line="240" w:lineRule="auto"/>
              <w:ind w:left="0" w:leftChars="0" w:firstLine="0" w:firstLineChars="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13）及时应用和填报南网基建一体化信息系统；</w:t>
            </w:r>
          </w:p>
          <w:p>
            <w:pPr>
              <w:pStyle w:val="16"/>
              <w:keepNext w:val="0"/>
              <w:keepLines w:val="0"/>
              <w:pageBreakBefore w:val="0"/>
              <w:kinsoku/>
              <w:wordWrap/>
              <w:overflowPunct/>
              <w:topLinePunct w:val="0"/>
              <w:bidi w:val="0"/>
              <w:spacing w:after="0" w:line="240" w:lineRule="auto"/>
              <w:ind w:left="0" w:leftChars="0" w:firstLine="0" w:firstLineChars="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14）其他图纸未列项或描述，但根据招标文件和合同要求应由</w:t>
            </w:r>
            <w:r>
              <w:rPr>
                <w:rFonts w:hint="eastAsia" w:ascii="宋体" w:hAnsi="宋体" w:eastAsia="宋体" w:cs="宋体"/>
                <w:b w:val="0"/>
                <w:bCs/>
                <w:color w:val="auto"/>
                <w:sz w:val="21"/>
                <w:szCs w:val="21"/>
                <w:highlight w:val="none"/>
                <w:lang w:eastAsia="zh-CN"/>
              </w:rPr>
              <w:t>承包人</w:t>
            </w:r>
            <w:r>
              <w:rPr>
                <w:rFonts w:hint="eastAsia" w:ascii="宋体" w:hAnsi="宋体" w:eastAsia="宋体" w:cs="宋体"/>
                <w:b w:val="0"/>
                <w:bCs/>
                <w:color w:val="auto"/>
                <w:sz w:val="21"/>
                <w:szCs w:val="21"/>
                <w:highlight w:val="none"/>
              </w:rPr>
              <w:t>负责的工作。</w:t>
            </w:r>
          </w:p>
          <w:p>
            <w:pPr>
              <w:pStyle w:val="16"/>
              <w:keepNext w:val="0"/>
              <w:keepLines w:val="0"/>
              <w:pageBreakBefore w:val="0"/>
              <w:kinsoku/>
              <w:wordWrap/>
              <w:overflowPunct/>
              <w:topLinePunct w:val="0"/>
              <w:bidi w:val="0"/>
              <w:spacing w:after="0" w:line="240" w:lineRule="auto"/>
              <w:ind w:left="0" w:leftChars="0" w:firstLine="0" w:firstLineChars="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15）按照《保障农民工工资支付条例》要求及国家、当地政府或建设单位最新的农民工工资最新管理要求，足额支付农民工工资。</w:t>
            </w:r>
          </w:p>
          <w:p>
            <w:pPr>
              <w:pStyle w:val="16"/>
              <w:keepNext w:val="0"/>
              <w:keepLines w:val="0"/>
              <w:pageBreakBefore w:val="0"/>
              <w:kinsoku/>
              <w:wordWrap/>
              <w:overflowPunct/>
              <w:topLinePunct w:val="0"/>
              <w:bidi w:val="0"/>
              <w:spacing w:after="0" w:line="240" w:lineRule="auto"/>
              <w:ind w:left="0" w:leftChars="0" w:firstLine="0" w:firstLineChars="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16）承包人的人员需按照建设工程实名制要求进行实名制登记，未登记人员不得进入项目现场施工。</w:t>
            </w:r>
          </w:p>
          <w:p>
            <w:pPr>
              <w:pStyle w:val="16"/>
              <w:keepNext w:val="0"/>
              <w:keepLines w:val="0"/>
              <w:pageBreakBefore w:val="0"/>
              <w:kinsoku/>
              <w:wordWrap/>
              <w:overflowPunct/>
              <w:topLinePunct w:val="0"/>
              <w:bidi w:val="0"/>
              <w:spacing w:after="0" w:line="240" w:lineRule="auto"/>
              <w:ind w:left="0" w:leftChars="0" w:firstLine="0" w:firstLineChars="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17）承包人应在</w:t>
            </w:r>
            <w:r>
              <w:rPr>
                <w:rFonts w:hint="eastAsia" w:ascii="宋体" w:hAnsi="宋体" w:eastAsia="宋体" w:cs="宋体"/>
                <w:color w:val="auto"/>
                <w:sz w:val="21"/>
                <w:szCs w:val="21"/>
                <w:highlight w:val="none"/>
                <w:u w:val="none"/>
                <w:lang w:val="en-US" w:eastAsia="zh-CN"/>
              </w:rPr>
              <w:t>合同签订后</w:t>
            </w:r>
            <w:r>
              <w:rPr>
                <w:rFonts w:hint="eastAsia" w:ascii="宋体" w:hAnsi="宋体" w:eastAsia="宋体" w:cs="宋体"/>
                <w:b w:val="0"/>
                <w:bCs/>
                <w:color w:val="auto"/>
                <w:sz w:val="21"/>
                <w:szCs w:val="21"/>
                <w:highlight w:val="none"/>
              </w:rPr>
              <w:t>设立农民工工资专用账户，账户报监理工程师、业主项目部备案。</w:t>
            </w:r>
          </w:p>
          <w:p>
            <w:pPr>
              <w:pStyle w:val="16"/>
              <w:keepNext w:val="0"/>
              <w:keepLines w:val="0"/>
              <w:pageBreakBefore w:val="0"/>
              <w:kinsoku/>
              <w:wordWrap/>
              <w:overflowPunct/>
              <w:topLinePunct w:val="0"/>
              <w:bidi w:val="0"/>
              <w:spacing w:after="0" w:line="240" w:lineRule="auto"/>
              <w:ind w:left="0" w:leftChars="0" w:firstLine="0" w:firstLineChars="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18）承包人应采取工资支付公示签字或其他确认方式，向农民工公示工资支付情况并双方确认。</w:t>
            </w:r>
          </w:p>
          <w:p>
            <w:pPr>
              <w:pStyle w:val="16"/>
              <w:keepNext w:val="0"/>
              <w:keepLines w:val="0"/>
              <w:pageBreakBefore w:val="0"/>
              <w:kinsoku/>
              <w:wordWrap/>
              <w:overflowPunct/>
              <w:topLinePunct w:val="0"/>
              <w:bidi w:val="0"/>
              <w:spacing w:after="0" w:line="240" w:lineRule="auto"/>
              <w:ind w:left="0" w:leftChars="0" w:firstLine="0" w:firstLineChars="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19）承包人应在工程竣工后，进行结清务工人员工资公示，公示结果报监理工程师、业主项目部备案。</w:t>
            </w:r>
          </w:p>
          <w:p>
            <w:pPr>
              <w:pStyle w:val="16"/>
              <w:keepNext w:val="0"/>
              <w:keepLines w:val="0"/>
              <w:pageBreakBefore w:val="0"/>
              <w:kinsoku/>
              <w:wordWrap/>
              <w:overflowPunct/>
              <w:topLinePunct w:val="0"/>
              <w:bidi w:val="0"/>
              <w:spacing w:after="0" w:line="240" w:lineRule="auto"/>
              <w:ind w:left="0" w:leftChars="0" w:firstLine="0" w:firstLineChars="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2</w:t>
            </w:r>
            <w:r>
              <w:rPr>
                <w:rFonts w:hint="eastAsia" w:ascii="宋体" w:hAnsi="宋体" w:eastAsia="宋体" w:cs="宋体"/>
                <w:b w:val="0"/>
                <w:bCs/>
                <w:color w:val="auto"/>
                <w:sz w:val="21"/>
                <w:szCs w:val="21"/>
                <w:highlight w:val="none"/>
                <w:lang w:val="en-US" w:eastAsia="zh-CN"/>
              </w:rPr>
              <w:t>0</w:t>
            </w:r>
            <w:r>
              <w:rPr>
                <w:rFonts w:hint="eastAsia" w:ascii="宋体" w:hAnsi="宋体" w:eastAsia="宋体" w:cs="宋体"/>
                <w:b w:val="0"/>
                <w:bCs/>
                <w:color w:val="auto"/>
                <w:sz w:val="21"/>
                <w:szCs w:val="21"/>
                <w:highlight w:val="none"/>
              </w:rPr>
              <w:t>）承包人施工现场安全文明施工</w:t>
            </w:r>
            <w:r>
              <w:rPr>
                <w:rFonts w:hint="eastAsia" w:ascii="宋体" w:hAnsi="宋体" w:eastAsia="宋体" w:cs="宋体"/>
                <w:b w:val="0"/>
                <w:bCs/>
                <w:color w:val="auto"/>
                <w:sz w:val="21"/>
                <w:szCs w:val="21"/>
                <w:highlight w:val="none"/>
                <w:lang w:val="en-US" w:eastAsia="zh-CN"/>
              </w:rPr>
              <w:t>实施及其费用</w:t>
            </w:r>
            <w:r>
              <w:rPr>
                <w:rFonts w:hint="eastAsia" w:ascii="宋体" w:hAnsi="宋体" w:eastAsia="宋体" w:cs="宋体"/>
                <w:b w:val="0"/>
                <w:bCs/>
                <w:color w:val="auto"/>
                <w:sz w:val="21"/>
                <w:szCs w:val="21"/>
                <w:highlight w:val="none"/>
              </w:rPr>
              <w:t>执行《广东电网有限责任公司基建工程安全文明施工管理业务指导书》</w:t>
            </w:r>
            <w:r>
              <w:rPr>
                <w:rFonts w:hint="eastAsia" w:ascii="宋体" w:hAnsi="宋体" w:eastAsia="宋体" w:cs="宋体"/>
                <w:b w:val="0"/>
                <w:bCs/>
                <w:color w:val="auto"/>
                <w:sz w:val="21"/>
                <w:szCs w:val="21"/>
                <w:highlight w:val="none"/>
                <w:lang w:val="en-US" w:eastAsia="zh-CN"/>
              </w:rPr>
              <w:t>、《电力总额总站关于调整安全文明施工费的通知（定额[2023]9号）》</w:t>
            </w:r>
            <w:r>
              <w:rPr>
                <w:rFonts w:hint="eastAsia" w:ascii="宋体" w:hAnsi="宋体" w:eastAsia="宋体" w:cs="宋体"/>
                <w:b w:val="0"/>
                <w:bCs/>
                <w:color w:val="auto"/>
                <w:sz w:val="21"/>
                <w:szCs w:val="21"/>
                <w:highlight w:val="none"/>
              </w:rPr>
              <w:t>的相关要求。</w:t>
            </w:r>
          </w:p>
          <w:p>
            <w:pPr>
              <w:pStyle w:val="16"/>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both"/>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21</w:t>
            </w:r>
            <w:r>
              <w:rPr>
                <w:rFonts w:hint="eastAsia" w:ascii="宋体" w:hAnsi="宋体" w:eastAsia="宋体" w:cs="宋体"/>
                <w:b w:val="0"/>
                <w:bCs w:val="0"/>
                <w:color w:val="auto"/>
                <w:sz w:val="21"/>
                <w:szCs w:val="21"/>
                <w:highlight w:val="none"/>
              </w:rPr>
              <w:t>）施工专项补助费</w:t>
            </w:r>
            <w:r>
              <w:rPr>
                <w:rFonts w:hint="eastAsia" w:ascii="宋体" w:hAnsi="宋体" w:eastAsia="宋体" w:cs="宋体"/>
                <w:b w:val="0"/>
                <w:bCs w:val="0"/>
                <w:color w:val="auto"/>
                <w:sz w:val="21"/>
                <w:szCs w:val="21"/>
                <w:highlight w:val="none"/>
                <w:lang w:val="en-US" w:eastAsia="zh-CN"/>
              </w:rPr>
              <w:t>按</w:t>
            </w:r>
            <w:r>
              <w:rPr>
                <w:rFonts w:hint="eastAsia" w:ascii="宋体" w:hAnsi="宋体" w:eastAsia="宋体" w:cs="宋体"/>
                <w:b w:val="0"/>
                <w:bCs w:val="0"/>
                <w:color w:val="auto"/>
                <w:sz w:val="21"/>
                <w:szCs w:val="21"/>
                <w:highlight w:val="none"/>
              </w:rPr>
              <w:t>《关于落实35kV及以上变电改扩建项目施工专项补助费列支有关工作的通知（基建部20230035）》的要求</w:t>
            </w:r>
            <w:r>
              <w:rPr>
                <w:rFonts w:hint="eastAsia" w:ascii="宋体" w:hAnsi="宋体" w:eastAsia="宋体" w:cs="宋体"/>
                <w:b w:val="0"/>
                <w:bCs w:val="0"/>
                <w:color w:val="auto"/>
                <w:sz w:val="21"/>
                <w:szCs w:val="21"/>
                <w:highlight w:val="none"/>
                <w:lang w:val="en-US" w:eastAsia="zh-CN"/>
              </w:rPr>
              <w:t>执行。</w:t>
            </w:r>
            <w:r>
              <w:rPr>
                <w:rFonts w:hint="eastAsia" w:ascii="宋体" w:hAnsi="宋体" w:eastAsia="宋体" w:cs="宋体"/>
                <w:b w:val="0"/>
                <w:bCs w:val="0"/>
                <w:color w:val="auto"/>
                <w:sz w:val="21"/>
                <w:szCs w:val="21"/>
                <w:highlight w:val="none"/>
              </w:rPr>
              <w:t>结算时以项目施工专项情况考评结果作为结算依据，考评结果若为优秀，则按正式合同价中的专项补助费(正式合同价中的专项补助费=最高限价的专项补助费×中标费率)全额支付；考评结果若为合格，扣除部分施工专项补助费，扣除费用为最高限价中的专项补助费×20%；考评结果若为不合格，扣除最高限价中的全部施工专项补助费。</w:t>
            </w:r>
          </w:p>
          <w:p>
            <w:pPr>
              <w:pStyle w:val="16"/>
              <w:keepNext w:val="0"/>
              <w:keepLines w:val="0"/>
              <w:pageBreakBefore w:val="0"/>
              <w:kinsoku/>
              <w:wordWrap/>
              <w:overflowPunct/>
              <w:topLinePunct w:val="0"/>
              <w:bidi w:val="0"/>
              <w:spacing w:after="0" w:line="240" w:lineRule="auto"/>
              <w:ind w:left="0" w:leftChars="0" w:firstLine="0" w:firstLineChars="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22）承包人无正当理由拒绝配合建设单位开展各类检查、检测、监测、验收、评审、协调、评优、增资、安风体系建设等工作，经三次书面警告仍未履行的，发包人有权向承包人提出经济索赔，每次扣减1000元人民币。</w:t>
            </w:r>
          </w:p>
          <w:p>
            <w:pPr>
              <w:pStyle w:val="16"/>
              <w:keepNext w:val="0"/>
              <w:keepLines w:val="0"/>
              <w:pageBreakBefore w:val="0"/>
              <w:kinsoku/>
              <w:wordWrap/>
              <w:overflowPunct/>
              <w:topLinePunct w:val="0"/>
              <w:bidi w:val="0"/>
              <w:spacing w:after="0" w:line="240" w:lineRule="auto"/>
              <w:ind w:left="0" w:leftChars="0" w:firstLine="0" w:firstLineChars="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23）承包人因在收到开工日期通知后尽快做好开工准备，并于开工日期前提交开工报告，由监理工程师审核后报项目建设单位批准。若因承包人原因（包括但不限于施工现场临建未完成、施工许可证所需材料提交不及时、项目人员未到位、未开设农民工工资专用账户）导致项目开工日期延误，每延误一天按该工程合同总额0.2%扣减，累计最多可扣除合同总额5%。</w:t>
            </w:r>
          </w:p>
          <w:p>
            <w:pPr>
              <w:pStyle w:val="16"/>
              <w:keepNext w:val="0"/>
              <w:keepLines w:val="0"/>
              <w:pageBreakBefore w:val="0"/>
              <w:kinsoku/>
              <w:wordWrap/>
              <w:overflowPunct/>
              <w:topLinePunct w:val="0"/>
              <w:bidi w:val="0"/>
              <w:spacing w:after="0" w:line="240" w:lineRule="auto"/>
              <w:ind w:left="0" w:leftChars="0" w:firstLine="0" w:firstLineChars="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24）承包人无条件协助发包人办理施工许可手续。</w:t>
            </w:r>
          </w:p>
          <w:p>
            <w:pPr>
              <w:pStyle w:val="16"/>
              <w:keepNext w:val="0"/>
              <w:keepLines w:val="0"/>
              <w:pageBreakBefore w:val="0"/>
              <w:kinsoku/>
              <w:wordWrap/>
              <w:overflowPunct/>
              <w:topLinePunct w:val="0"/>
              <w:bidi w:val="0"/>
              <w:spacing w:after="0" w:line="240" w:lineRule="auto"/>
              <w:ind w:left="0" w:leftChars="0" w:firstLine="0" w:firstLineChars="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val="0"/>
                <w:color w:val="auto"/>
                <w:sz w:val="21"/>
                <w:szCs w:val="21"/>
                <w:highlight w:val="none"/>
                <w:lang w:val="en-US" w:eastAsia="zh-CN"/>
              </w:rPr>
              <w:t>25)</w:t>
            </w:r>
            <w:r>
              <w:rPr>
                <w:rFonts w:hint="eastAsia" w:ascii="宋体" w:hAnsi="宋体" w:eastAsia="宋体" w:cs="宋体"/>
                <w:b w:val="0"/>
                <w:bCs/>
                <w:color w:val="auto"/>
                <w:sz w:val="21"/>
                <w:szCs w:val="21"/>
                <w:highlight w:val="none"/>
              </w:rPr>
              <w:t>承包人负责在工程竣工投产后7天内，上报结算资料；参与总结算报告的编制工作。</w:t>
            </w:r>
          </w:p>
          <w:p>
            <w:pPr>
              <w:pStyle w:val="16"/>
              <w:keepNext w:val="0"/>
              <w:keepLines w:val="0"/>
              <w:pageBreakBefore w:val="0"/>
              <w:kinsoku/>
              <w:wordWrap/>
              <w:overflowPunct/>
              <w:topLinePunct w:val="0"/>
              <w:bidi w:val="0"/>
              <w:spacing w:after="0" w:line="240" w:lineRule="auto"/>
              <w:ind w:left="0" w:leftChars="0" w:firstLine="0" w:firstLineChars="0"/>
              <w:textAlignment w:val="auto"/>
              <w:rPr>
                <w:rFonts w:hint="eastAsia" w:ascii="宋体" w:hAnsi="宋体" w:eastAsia="宋体" w:cs="宋体"/>
                <w:b w:val="0"/>
                <w:bCs/>
                <w:color w:val="auto"/>
                <w:sz w:val="21"/>
                <w:szCs w:val="21"/>
                <w:highlight w:val="none"/>
              </w:rPr>
            </w:pPr>
            <w:r>
              <w:rPr>
                <w:rFonts w:hint="eastAsia" w:ascii="宋体" w:cs="宋体"/>
                <w:b w:val="0"/>
                <w:bCs w:val="0"/>
                <w:color w:val="auto"/>
                <w:sz w:val="21"/>
                <w:szCs w:val="21"/>
                <w:highlight w:val="none"/>
                <w:lang w:val="en-US" w:eastAsia="zh-CN"/>
              </w:rPr>
              <w:t>26）</w:t>
            </w:r>
            <w:r>
              <w:rPr>
                <w:rFonts w:hint="eastAsia" w:ascii="宋体" w:hAnsi="宋体" w:eastAsia="宋体" w:cs="宋体"/>
                <w:b w:val="0"/>
                <w:bCs/>
                <w:color w:val="auto"/>
                <w:sz w:val="21"/>
                <w:szCs w:val="21"/>
                <w:highlight w:val="none"/>
              </w:rPr>
              <w:t>现场工作负责人及安全监护人应由总包单位或专业分包单位自有人员担任，自有人员仅指：与施工企业直接签订劳动合同（含项目制用工形式）并由本企业依法缴纳社会保险的人员。</w:t>
            </w:r>
          </w:p>
          <w:p>
            <w:pPr>
              <w:pStyle w:val="16"/>
              <w:keepNext w:val="0"/>
              <w:keepLines w:val="0"/>
              <w:pageBreakBefore w:val="0"/>
              <w:kinsoku/>
              <w:wordWrap/>
              <w:overflowPunct/>
              <w:topLinePunct w:val="0"/>
              <w:bidi w:val="0"/>
              <w:spacing w:after="0" w:line="240" w:lineRule="auto"/>
              <w:ind w:left="0" w:leftChars="0" w:firstLine="0" w:firstLineChars="0"/>
              <w:textAlignment w:val="auto"/>
              <w:rPr>
                <w:rFonts w:hint="eastAsia" w:ascii="宋体" w:hAnsi="宋体" w:eastAsia="宋体" w:cs="宋体"/>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w:t>
            </w:r>
          </w:p>
        </w:tc>
        <w:tc>
          <w:tcPr>
            <w:tcW w:w="687" w:type="dxa"/>
            <w:noWrap w:val="0"/>
            <w:vAlign w:val="center"/>
          </w:tcPr>
          <w:p>
            <w:pPr>
              <w:keepNext w:val="0"/>
              <w:keepLines w:val="0"/>
              <w:pageBreakBefore w:val="0"/>
              <w:widowControl/>
              <w:kinsoku/>
              <w:wordWrap/>
              <w:overflowPunct/>
              <w:topLinePunct w:val="0"/>
              <w:bidi w:val="0"/>
              <w:spacing w:line="240" w:lineRule="auto"/>
              <w:ind w:firstLine="0" w:firstLineChars="0"/>
              <w:jc w:val="left"/>
              <w:textAlignment w:val="auto"/>
              <w:rPr>
                <w:rFonts w:hint="eastAsia" w:ascii="宋体" w:hAnsi="宋体" w:eastAsia="宋体" w:cs="宋体"/>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82" w:type="dxa"/>
            <w:noWrap w:val="0"/>
            <w:vAlign w:val="center"/>
          </w:tcPr>
          <w:p>
            <w:pPr>
              <w:pStyle w:val="15"/>
              <w:keepNext w:val="0"/>
              <w:keepLines w:val="0"/>
              <w:pageBreakBefore w:val="0"/>
              <w:widowControl w:val="0"/>
              <w:numPr>
                <w:ilvl w:val="0"/>
                <w:numId w:val="1"/>
              </w:numPr>
              <w:kinsoku/>
              <w:wordWrap/>
              <w:overflowPunct/>
              <w:topLinePunct w:val="0"/>
              <w:autoSpaceDE/>
              <w:autoSpaceDN/>
              <w:bidi w:val="0"/>
              <w:adjustRightInd w:val="0"/>
              <w:snapToGrid w:val="0"/>
              <w:spacing w:line="240" w:lineRule="auto"/>
              <w:ind w:left="0" w:firstLine="0" w:firstLineChars="0"/>
              <w:jc w:val="center"/>
              <w:textAlignment w:val="auto"/>
              <w:rPr>
                <w:rFonts w:hint="eastAsia" w:ascii="宋体" w:hAnsi="宋体" w:eastAsia="宋体" w:cs="宋体"/>
                <w:color w:val="auto"/>
                <w:kern w:val="0"/>
                <w:sz w:val="21"/>
                <w:szCs w:val="21"/>
                <w:highlight w:val="none"/>
              </w:rPr>
            </w:pPr>
          </w:p>
        </w:tc>
        <w:tc>
          <w:tcPr>
            <w:tcW w:w="1108" w:type="dxa"/>
            <w:noWrap w:val="0"/>
            <w:vAlign w:val="center"/>
          </w:tcPr>
          <w:p>
            <w:pPr>
              <w:pStyle w:val="15"/>
              <w:keepNext w:val="0"/>
              <w:keepLines w:val="0"/>
              <w:pageBreakBefore w:val="0"/>
              <w:numPr>
                <w:ilvl w:val="0"/>
                <w:numId w:val="0"/>
              </w:numPr>
              <w:kinsoku/>
              <w:wordWrap/>
              <w:overflowPunct/>
              <w:topLinePunct w:val="0"/>
              <w:bidi w:val="0"/>
              <w:spacing w:line="240" w:lineRule="auto"/>
              <w:ind w:left="0" w:leftChars="0" w:firstLine="0" w:firstLineChars="0"/>
              <w:textAlignment w:val="auto"/>
              <w:rPr>
                <w:rFonts w:hint="eastAsia" w:ascii="宋体" w:hAnsi="宋体" w:eastAsia="宋体" w:cs="宋体"/>
                <w:color w:val="auto"/>
                <w:kern w:val="0"/>
                <w:sz w:val="21"/>
                <w:szCs w:val="21"/>
                <w:highlight w:val="none"/>
                <w:lang w:val="en-US" w:eastAsia="zh-CN"/>
              </w:rPr>
            </w:pPr>
            <w:r>
              <w:rPr>
                <w:rFonts w:hint="eastAsia" w:ascii="宋体" w:hAnsi="宋体" w:cs="宋体"/>
                <w:color w:val="auto"/>
                <w:kern w:val="0"/>
                <w:sz w:val="21"/>
                <w:szCs w:val="21"/>
                <w:highlight w:val="none"/>
                <w:lang w:val="en-US" w:eastAsia="zh-CN"/>
              </w:rPr>
              <w:t>新增</w:t>
            </w:r>
          </w:p>
        </w:tc>
        <w:tc>
          <w:tcPr>
            <w:tcW w:w="1262" w:type="dxa"/>
            <w:noWrap w:val="0"/>
            <w:vAlign w:val="center"/>
          </w:tcPr>
          <w:p>
            <w:pPr>
              <w:keepNext w:val="0"/>
              <w:keepLines w:val="0"/>
              <w:pageBreakBefore w:val="0"/>
              <w:kinsoku/>
              <w:wordWrap/>
              <w:overflowPunct/>
              <w:topLinePunct w:val="0"/>
              <w:bidi w:val="0"/>
              <w:spacing w:line="240" w:lineRule="auto"/>
              <w:ind w:firstLine="0" w:firstLine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专用合同条款</w:t>
            </w:r>
          </w:p>
          <w:p>
            <w:pPr>
              <w:keepNext w:val="0"/>
              <w:keepLines w:val="0"/>
              <w:pageBreakBefore w:val="0"/>
              <w:kinsoku/>
              <w:wordWrap/>
              <w:overflowPunct/>
              <w:topLinePunct w:val="0"/>
              <w:bidi w:val="0"/>
              <w:spacing w:line="240" w:lineRule="auto"/>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4.承包人</w:t>
            </w:r>
          </w:p>
          <w:p>
            <w:pPr>
              <w:keepNext w:val="0"/>
              <w:keepLines w:val="0"/>
              <w:pageBreakBefore w:val="0"/>
              <w:kinsoku/>
              <w:wordWrap/>
              <w:overflowPunct/>
              <w:topLinePunct w:val="0"/>
              <w:bidi w:val="0"/>
              <w:spacing w:line="240" w:lineRule="auto"/>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4.2款</w:t>
            </w:r>
          </w:p>
        </w:tc>
        <w:tc>
          <w:tcPr>
            <w:tcW w:w="5760" w:type="dxa"/>
            <w:noWrap w:val="0"/>
            <w:vAlign w:val="center"/>
          </w:tcPr>
          <w:p>
            <w:pPr>
              <w:keepNext w:val="0"/>
              <w:keepLines w:val="0"/>
              <w:pageBreakBefore w:val="0"/>
              <w:kinsoku/>
              <w:wordWrap/>
              <w:overflowPunct/>
              <w:topLinePunct w:val="0"/>
              <w:autoSpaceDE w:val="0"/>
              <w:autoSpaceDN w:val="0"/>
              <w:bidi w:val="0"/>
              <w:adjustRightInd w:val="0"/>
              <w:snapToGrid w:val="0"/>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无</w:t>
            </w:r>
          </w:p>
        </w:tc>
        <w:tc>
          <w:tcPr>
            <w:tcW w:w="5800" w:type="dxa"/>
            <w:noWrap w:val="0"/>
            <w:vAlign w:val="center"/>
          </w:tcPr>
          <w:p>
            <w:pPr>
              <w:keepNext w:val="0"/>
              <w:keepLines w:val="0"/>
              <w:pageBreakBefore w:val="0"/>
              <w:numPr>
                <w:ilvl w:val="0"/>
                <w:numId w:val="0"/>
              </w:numPr>
              <w:kinsoku/>
              <w:wordWrap/>
              <w:overflowPunct/>
              <w:topLinePunct w:val="0"/>
              <w:bidi w:val="0"/>
              <w:spacing w:line="240" w:lineRule="auto"/>
              <w:ind w:firstLine="0" w:firstLineChars="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kern w:val="2"/>
                <w:sz w:val="21"/>
                <w:szCs w:val="21"/>
                <w:highlight w:val="none"/>
                <w:lang w:val="en-US" w:eastAsia="zh-CN" w:bidi="ar-SA"/>
              </w:rPr>
              <w:t>（d）履约担保</w:t>
            </w:r>
            <w:r>
              <w:rPr>
                <w:rFonts w:hint="eastAsia" w:ascii="宋体" w:hAnsi="宋体" w:cs="宋体"/>
                <w:color w:val="auto"/>
                <w:kern w:val="2"/>
                <w:sz w:val="21"/>
                <w:szCs w:val="21"/>
                <w:highlight w:val="none"/>
                <w:lang w:val="en-US" w:eastAsia="zh-CN" w:bidi="ar-SA"/>
              </w:rPr>
              <w:t>采用</w:t>
            </w:r>
            <w:r>
              <w:rPr>
                <w:rFonts w:hint="eastAsia" w:ascii="宋体" w:hAnsi="宋体" w:eastAsia="宋体" w:cs="宋体"/>
                <w:color w:val="auto"/>
                <w:kern w:val="2"/>
                <w:sz w:val="21"/>
                <w:szCs w:val="21"/>
                <w:highlight w:val="none"/>
                <w:lang w:val="en-US" w:eastAsia="zh-CN" w:bidi="ar-SA"/>
              </w:rPr>
              <w:t>见索即付</w:t>
            </w:r>
            <w:r>
              <w:rPr>
                <w:rFonts w:hint="eastAsia" w:ascii="宋体" w:hAnsi="宋体" w:cs="宋体"/>
                <w:color w:val="auto"/>
                <w:kern w:val="2"/>
                <w:sz w:val="21"/>
                <w:szCs w:val="21"/>
                <w:highlight w:val="none"/>
                <w:lang w:val="en-US" w:eastAsia="zh-CN" w:bidi="ar-SA"/>
              </w:rPr>
              <w:t>保函，保函格式、开立银行、有效期等应符合国家相关规定及发包人要求</w:t>
            </w:r>
            <w:r>
              <w:rPr>
                <w:rFonts w:hint="eastAsia" w:ascii="宋体" w:hAnsi="宋体" w:eastAsia="宋体" w:cs="宋体"/>
                <w:color w:val="auto"/>
                <w:kern w:val="2"/>
                <w:sz w:val="21"/>
                <w:szCs w:val="21"/>
                <w:highlight w:val="none"/>
                <w:lang w:val="en-US" w:eastAsia="zh-CN" w:bidi="ar-SA"/>
              </w:rPr>
              <w:t>。</w:t>
            </w:r>
          </w:p>
        </w:tc>
        <w:tc>
          <w:tcPr>
            <w:tcW w:w="687" w:type="dxa"/>
            <w:noWrap w:val="0"/>
            <w:vAlign w:val="center"/>
          </w:tcPr>
          <w:p>
            <w:pPr>
              <w:keepNext w:val="0"/>
              <w:keepLines w:val="0"/>
              <w:pageBreakBefore w:val="0"/>
              <w:widowControl/>
              <w:kinsoku/>
              <w:wordWrap/>
              <w:overflowPunct/>
              <w:topLinePunct w:val="0"/>
              <w:bidi w:val="0"/>
              <w:spacing w:line="240" w:lineRule="auto"/>
              <w:ind w:firstLine="0" w:firstLineChars="0"/>
              <w:jc w:val="left"/>
              <w:textAlignment w:val="auto"/>
              <w:rPr>
                <w:rFonts w:hint="eastAsia" w:ascii="宋体" w:hAnsi="宋体" w:eastAsia="宋体" w:cs="宋体"/>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82" w:type="dxa"/>
            <w:noWrap w:val="0"/>
            <w:vAlign w:val="center"/>
          </w:tcPr>
          <w:p>
            <w:pPr>
              <w:pStyle w:val="15"/>
              <w:keepNext w:val="0"/>
              <w:keepLines w:val="0"/>
              <w:pageBreakBefore w:val="0"/>
              <w:widowControl w:val="0"/>
              <w:numPr>
                <w:ilvl w:val="0"/>
                <w:numId w:val="1"/>
              </w:numPr>
              <w:kinsoku/>
              <w:wordWrap/>
              <w:overflowPunct/>
              <w:topLinePunct w:val="0"/>
              <w:autoSpaceDE/>
              <w:autoSpaceDN/>
              <w:bidi w:val="0"/>
              <w:adjustRightInd w:val="0"/>
              <w:snapToGrid w:val="0"/>
              <w:spacing w:line="240" w:lineRule="auto"/>
              <w:ind w:left="0" w:firstLine="0" w:firstLineChars="0"/>
              <w:jc w:val="center"/>
              <w:textAlignment w:val="auto"/>
              <w:rPr>
                <w:rFonts w:hint="eastAsia" w:ascii="宋体" w:hAnsi="宋体" w:eastAsia="宋体" w:cs="宋体"/>
                <w:color w:val="auto"/>
                <w:kern w:val="0"/>
                <w:sz w:val="21"/>
                <w:szCs w:val="21"/>
                <w:highlight w:val="none"/>
              </w:rPr>
            </w:pPr>
          </w:p>
        </w:tc>
        <w:tc>
          <w:tcPr>
            <w:tcW w:w="1108" w:type="dxa"/>
            <w:noWrap w:val="0"/>
            <w:vAlign w:val="center"/>
          </w:tcPr>
          <w:p>
            <w:pPr>
              <w:pStyle w:val="15"/>
              <w:keepNext w:val="0"/>
              <w:keepLines w:val="0"/>
              <w:pageBreakBefore w:val="0"/>
              <w:widowControl w:val="0"/>
              <w:numPr>
                <w:ilvl w:val="0"/>
                <w:numId w:val="0"/>
              </w:numPr>
              <w:kinsoku/>
              <w:wordWrap/>
              <w:overflowPunct/>
              <w:topLinePunct w:val="0"/>
              <w:bidi w:val="0"/>
              <w:spacing w:line="240" w:lineRule="auto"/>
              <w:ind w:left="0" w:leftChars="0" w:firstLine="0" w:firstLineChars="0"/>
              <w:textAlignment w:val="auto"/>
              <w:rPr>
                <w:rFonts w:hint="eastAsia" w:ascii="宋体" w:hAnsi="宋体" w:eastAsia="宋体" w:cs="宋体"/>
                <w:color w:val="auto"/>
                <w:kern w:val="0"/>
                <w:sz w:val="21"/>
                <w:szCs w:val="21"/>
                <w:highlight w:val="none"/>
                <w:lang w:val="en-US" w:eastAsia="zh-CN"/>
              </w:rPr>
            </w:pPr>
            <w:r>
              <w:rPr>
                <w:rFonts w:hint="eastAsia" w:ascii="宋体" w:hAnsi="宋体" w:cs="宋体"/>
                <w:color w:val="auto"/>
                <w:kern w:val="0"/>
                <w:sz w:val="21"/>
                <w:szCs w:val="21"/>
                <w:highlight w:val="none"/>
                <w:lang w:val="en-US" w:eastAsia="zh-CN"/>
              </w:rPr>
              <w:t>修改</w:t>
            </w:r>
          </w:p>
        </w:tc>
        <w:tc>
          <w:tcPr>
            <w:tcW w:w="1262" w:type="dxa"/>
            <w:noWrap w:val="0"/>
            <w:vAlign w:val="center"/>
          </w:tcPr>
          <w:p>
            <w:pPr>
              <w:keepNext w:val="0"/>
              <w:keepLines w:val="0"/>
              <w:pageBreakBefore w:val="0"/>
              <w:widowControl w:val="0"/>
              <w:kinsoku/>
              <w:wordWrap/>
              <w:overflowPunct/>
              <w:topLinePunct w:val="0"/>
              <w:bidi w:val="0"/>
              <w:spacing w:line="240" w:lineRule="auto"/>
              <w:ind w:firstLine="0" w:firstLine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专用合同条款</w:t>
            </w:r>
          </w:p>
          <w:p>
            <w:pPr>
              <w:keepNext w:val="0"/>
              <w:keepLines w:val="0"/>
              <w:pageBreakBefore w:val="0"/>
              <w:widowControl w:val="0"/>
              <w:kinsoku/>
              <w:wordWrap/>
              <w:overflowPunct/>
              <w:topLinePunct w:val="0"/>
              <w:bidi w:val="0"/>
              <w:spacing w:line="240" w:lineRule="auto"/>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4.承包人</w:t>
            </w:r>
          </w:p>
          <w:p>
            <w:pPr>
              <w:keepNext w:val="0"/>
              <w:keepLines w:val="0"/>
              <w:pageBreakBefore w:val="0"/>
              <w:widowControl w:val="0"/>
              <w:kinsoku/>
              <w:wordWrap/>
              <w:overflowPunct/>
              <w:topLinePunct w:val="0"/>
              <w:bidi w:val="0"/>
              <w:spacing w:line="240" w:lineRule="auto"/>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款</w:t>
            </w:r>
          </w:p>
        </w:tc>
        <w:tc>
          <w:tcPr>
            <w:tcW w:w="5760" w:type="dxa"/>
            <w:noWrap w:val="0"/>
            <w:vAlign w:val="center"/>
          </w:tcPr>
          <w:p>
            <w:pPr>
              <w:pStyle w:val="6"/>
              <w:keepNext w:val="0"/>
              <w:keepLines w:val="0"/>
              <w:pageBreakBefore w:val="0"/>
              <w:widowControl w:val="0"/>
              <w:kinsoku/>
              <w:wordWrap/>
              <w:overflowPunct/>
              <w:topLinePunct w:val="0"/>
              <w:bidi w:val="0"/>
              <w:spacing w:after="0" w:line="24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承包人项目管理人员的更换规定：</w:t>
            </w:r>
          </w:p>
          <w:p>
            <w:pPr>
              <w:pStyle w:val="6"/>
              <w:keepNext w:val="0"/>
              <w:keepLines w:val="0"/>
              <w:pageBreakBefore w:val="0"/>
              <w:widowControl w:val="0"/>
              <w:kinsoku/>
              <w:wordWrap/>
              <w:overflowPunct/>
              <w:topLinePunct w:val="0"/>
              <w:bidi w:val="0"/>
              <w:spacing w:after="0" w:line="240" w:lineRule="auto"/>
              <w:ind w:left="0" w:leftChars="0" w:firstLine="420" w:firstLineChars="200"/>
              <w:textAlignment w:val="auto"/>
              <w:rPr>
                <w:rFonts w:hint="eastAsia" w:ascii="宋体" w:hAnsi="宋体" w:eastAsia="宋体" w:cs="宋体"/>
                <w:color w:val="auto"/>
                <w:sz w:val="21"/>
                <w:szCs w:val="21"/>
                <w:highlight w:val="none"/>
                <w:u w:val="single"/>
              </w:rPr>
            </w:pPr>
            <w:permStart w:id="35" w:edGrp="everyone"/>
            <w:r>
              <w:rPr>
                <w:rFonts w:hint="eastAsia" w:ascii="宋体" w:hAnsi="宋体" w:eastAsia="宋体" w:cs="宋体"/>
                <w:color w:val="auto"/>
                <w:sz w:val="21"/>
                <w:szCs w:val="21"/>
                <w:highlight w:val="none"/>
                <w:u w:val="single"/>
              </w:rPr>
              <w:t>承包人应按合同约定指派项目经理，并在约定的期限内到职。承包人更换项目经理应事先征得发包人同意，并应在更换14 天前通知发包人和监理人。承包人项目经理短期</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不超过</w:t>
            </w:r>
            <w:r>
              <w:rPr>
                <w:rFonts w:hint="eastAsia" w:ascii="宋体" w:hAnsi="宋体" w:eastAsia="宋体" w:cs="宋体"/>
                <w:color w:val="auto"/>
                <w:sz w:val="21"/>
                <w:szCs w:val="21"/>
                <w:highlight w:val="none"/>
                <w:u w:val="single"/>
                <w:lang w:val="en-US"/>
              </w:rPr>
              <w:t xml:space="preserve">    </w:t>
            </w:r>
            <w:r>
              <w:rPr>
                <w:rFonts w:hint="eastAsia" w:ascii="宋体" w:hAnsi="宋体" w:eastAsia="宋体" w:cs="宋体"/>
                <w:color w:val="auto"/>
                <w:sz w:val="21"/>
                <w:szCs w:val="21"/>
                <w:highlight w:val="none"/>
                <w:u w:val="single"/>
                <w:lang w:val="en-US" w:eastAsia="zh-CN"/>
              </w:rPr>
              <w:t>日）</w:t>
            </w:r>
            <w:r>
              <w:rPr>
                <w:rFonts w:hint="eastAsia" w:ascii="宋体" w:hAnsi="宋体" w:eastAsia="宋体" w:cs="宋体"/>
                <w:color w:val="auto"/>
                <w:sz w:val="21"/>
                <w:szCs w:val="21"/>
                <w:highlight w:val="none"/>
                <w:u w:val="single"/>
              </w:rPr>
              <w:t>离开施工场地，应事先征得监理人同意，并委派代表代行其职责。</w:t>
            </w:r>
          </w:p>
          <w:p>
            <w:pPr>
              <w:pStyle w:val="6"/>
              <w:keepNext w:val="0"/>
              <w:keepLines w:val="0"/>
              <w:pageBreakBefore w:val="0"/>
              <w:widowControl w:val="0"/>
              <w:kinsoku/>
              <w:wordWrap/>
              <w:overflowPunct/>
              <w:topLinePunct w:val="0"/>
              <w:bidi w:val="0"/>
              <w:spacing w:after="0" w:line="240" w:lineRule="auto"/>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承包人更换项目经理，须经发包人批准同意。项目经理如需更换，首次更换扣罚10万，第二次更换扣罚20万，第三次更换扣罚40万，以此类推。</w:t>
            </w:r>
          </w:p>
          <w:p>
            <w:pPr>
              <w:pStyle w:val="6"/>
              <w:keepNext w:val="0"/>
              <w:keepLines w:val="0"/>
              <w:pageBreakBefore w:val="0"/>
              <w:widowControl w:val="0"/>
              <w:kinsoku/>
              <w:wordWrap/>
              <w:overflowPunct/>
              <w:topLinePunct w:val="0"/>
              <w:bidi w:val="0"/>
              <w:spacing w:after="0" w:line="24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承包人更换项目总工（技术负责人）, 须经发包人批准同意。项目总工（技术负责人）如需更换，首次更换扣罚5万，第二次更换扣罚10万，第三次更换扣罚20万，以此类推。</w:t>
            </w:r>
            <w:permEnd w:id="35"/>
          </w:p>
          <w:p>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p>
        </w:tc>
        <w:tc>
          <w:tcPr>
            <w:tcW w:w="5800" w:type="dxa"/>
            <w:noWrap w:val="0"/>
            <w:vAlign w:val="center"/>
          </w:tcPr>
          <w:p>
            <w:pPr>
              <w:pStyle w:val="6"/>
              <w:keepNext w:val="0"/>
              <w:keepLines w:val="0"/>
              <w:pageBreakBefore w:val="0"/>
              <w:widowControl w:val="0"/>
              <w:kinsoku/>
              <w:wordWrap/>
              <w:overflowPunct/>
              <w:topLinePunct w:val="0"/>
              <w:bidi w:val="0"/>
              <w:spacing w:after="0" w:line="24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承包人项目管理人员的更换规定：</w:t>
            </w:r>
          </w:p>
          <w:p>
            <w:pPr>
              <w:pStyle w:val="6"/>
              <w:keepNext w:val="0"/>
              <w:keepLines w:val="0"/>
              <w:pageBreakBefore w:val="0"/>
              <w:widowControl w:val="0"/>
              <w:kinsoku/>
              <w:wordWrap/>
              <w:overflowPunct/>
              <w:topLinePunct w:val="0"/>
              <w:bidi w:val="0"/>
              <w:spacing w:after="0" w:line="240" w:lineRule="auto"/>
              <w:ind w:left="0" w:leftChars="0" w:firstLine="420" w:firstLineChars="200"/>
              <w:textAlignment w:val="auto"/>
              <w:rPr>
                <w:rFonts w:hint="eastAsia" w:ascii="宋体" w:hAnsi="宋体" w:eastAsia="宋体" w:cs="宋体"/>
                <w:color w:val="auto"/>
                <w:sz w:val="21"/>
                <w:szCs w:val="21"/>
                <w:highlight w:val="none"/>
                <w:u w:val="single"/>
              </w:rPr>
            </w:pPr>
            <w:permStart w:id="36" w:edGrp="everyone"/>
            <w:r>
              <w:rPr>
                <w:rFonts w:hint="eastAsia" w:ascii="宋体" w:hAnsi="宋体" w:eastAsia="宋体" w:cs="宋体"/>
                <w:color w:val="auto"/>
                <w:sz w:val="21"/>
                <w:szCs w:val="21"/>
                <w:highlight w:val="none"/>
                <w:u w:val="single"/>
              </w:rPr>
              <w:t>承包人应按合同约定指派项目经理，并在约定的期限内到职。承包人更换项目经理应事先征得发包人同意，并应在更换14 天前通知发包人和监理人。承包人项目经理短期</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不超过</w:t>
            </w:r>
            <w:r>
              <w:rPr>
                <w:rFonts w:hint="eastAsia" w:ascii="宋体" w:hAnsi="宋体" w:eastAsia="宋体" w:cs="宋体"/>
                <w:color w:val="auto"/>
                <w:sz w:val="21"/>
                <w:szCs w:val="21"/>
                <w:highlight w:val="none"/>
                <w:u w:val="single"/>
                <w:lang w:val="en-US"/>
              </w:rPr>
              <w:t xml:space="preserve">    </w:t>
            </w:r>
            <w:r>
              <w:rPr>
                <w:rFonts w:hint="eastAsia" w:ascii="宋体" w:hAnsi="宋体" w:eastAsia="宋体" w:cs="宋体"/>
                <w:color w:val="auto"/>
                <w:sz w:val="21"/>
                <w:szCs w:val="21"/>
                <w:highlight w:val="none"/>
                <w:u w:val="single"/>
                <w:lang w:val="en-US" w:eastAsia="zh-CN"/>
              </w:rPr>
              <w:t>日）</w:t>
            </w:r>
            <w:r>
              <w:rPr>
                <w:rFonts w:hint="eastAsia" w:ascii="宋体" w:hAnsi="宋体" w:eastAsia="宋体" w:cs="宋体"/>
                <w:color w:val="auto"/>
                <w:sz w:val="21"/>
                <w:szCs w:val="21"/>
                <w:highlight w:val="none"/>
                <w:u w:val="single"/>
              </w:rPr>
              <w:t>离开施工场地，应事先征得监理人同意，并委派代表代行其职责。</w:t>
            </w:r>
          </w:p>
          <w:p>
            <w:pPr>
              <w:pStyle w:val="6"/>
              <w:keepNext w:val="0"/>
              <w:keepLines w:val="0"/>
              <w:pageBreakBefore w:val="0"/>
              <w:widowControl w:val="0"/>
              <w:kinsoku/>
              <w:wordWrap/>
              <w:overflowPunct/>
              <w:topLinePunct w:val="0"/>
              <w:bidi w:val="0"/>
              <w:spacing w:after="0" w:line="240" w:lineRule="auto"/>
              <w:ind w:left="0" w:leftChars="0" w:firstLine="420" w:firstLineChars="200"/>
              <w:textAlignment w:val="auto"/>
              <w:rPr>
                <w:rFonts w:hint="default" w:ascii="宋体" w:hAnsi="宋体" w:eastAsia="宋体" w:cs="宋体"/>
                <w:color w:val="auto"/>
                <w:sz w:val="21"/>
                <w:szCs w:val="21"/>
                <w:highlight w:val="none"/>
                <w:u w:val="single"/>
                <w:lang w:val="en-US"/>
              </w:rPr>
            </w:pPr>
            <w:r>
              <w:rPr>
                <w:rFonts w:hint="eastAsia" w:ascii="宋体" w:hAnsi="宋体" w:eastAsia="宋体" w:cs="宋体"/>
                <w:color w:val="auto"/>
                <w:sz w:val="21"/>
                <w:szCs w:val="21"/>
                <w:highlight w:val="none"/>
                <w:u w:val="single"/>
              </w:rPr>
              <w:t>承包人更换项目经理，须经发包人批准同意</w:t>
            </w:r>
            <w:r>
              <w:rPr>
                <w:rFonts w:hint="eastAsia" w:ascii="宋体" w:hAnsi="宋体" w:cs="宋体"/>
                <w:color w:val="auto"/>
                <w:sz w:val="21"/>
                <w:szCs w:val="21"/>
                <w:highlight w:val="none"/>
                <w:u w:val="single"/>
                <w:lang w:eastAsia="zh-CN"/>
              </w:rPr>
              <w:t>，</w:t>
            </w:r>
            <w:r>
              <w:rPr>
                <w:rFonts w:hint="eastAsia" w:ascii="宋体" w:hAnsi="宋体" w:cs="宋体"/>
                <w:color w:val="auto"/>
                <w:sz w:val="21"/>
                <w:szCs w:val="21"/>
                <w:highlight w:val="none"/>
                <w:u w:val="single"/>
                <w:lang w:val="en-US" w:eastAsia="zh-CN"/>
              </w:rPr>
              <w:t>并</w:t>
            </w:r>
            <w:r>
              <w:rPr>
                <w:rFonts w:hint="eastAsia" w:ascii="宋体" w:hAnsi="宋体" w:eastAsia="宋体" w:cs="宋体"/>
                <w:b w:val="0"/>
                <w:bCs w:val="0"/>
                <w:color w:val="auto"/>
                <w:sz w:val="21"/>
                <w:szCs w:val="21"/>
                <w:highlight w:val="none"/>
                <w:u w:val="single"/>
                <w:lang w:eastAsia="zh-CN"/>
              </w:rPr>
              <w:t>执行第</w:t>
            </w:r>
            <w:r>
              <w:rPr>
                <w:rFonts w:hint="eastAsia" w:ascii="宋体" w:hAnsi="宋体" w:eastAsia="宋体" w:cs="宋体"/>
                <w:b w:val="0"/>
                <w:bCs w:val="0"/>
                <w:color w:val="auto"/>
                <w:sz w:val="21"/>
                <w:szCs w:val="21"/>
                <w:highlight w:val="none"/>
                <w:u w:val="single"/>
                <w:lang w:val="en-US" w:eastAsia="zh-CN"/>
              </w:rPr>
              <w:t>2.6.1.7</w:t>
            </w:r>
            <w:r>
              <w:rPr>
                <w:rFonts w:hint="eastAsia" w:ascii="宋体" w:hAnsi="宋体" w:eastAsia="宋体" w:cs="宋体"/>
                <w:b w:val="0"/>
                <w:bCs w:val="0"/>
                <w:color w:val="auto"/>
                <w:sz w:val="21"/>
                <w:szCs w:val="21"/>
                <w:highlight w:val="none"/>
                <w:u w:val="single"/>
                <w:lang w:eastAsia="zh-CN"/>
              </w:rPr>
              <w:t>款【综合管理】的规定</w:t>
            </w:r>
            <w:r>
              <w:rPr>
                <w:rFonts w:hint="eastAsia" w:ascii="宋体" w:hAnsi="宋体" w:eastAsia="宋体" w:cs="宋体"/>
                <w:b/>
                <w:bCs/>
                <w:color w:val="auto"/>
                <w:sz w:val="21"/>
                <w:szCs w:val="21"/>
                <w:highlight w:val="none"/>
                <w:u w:val="single"/>
                <w:lang w:val="en-US" w:eastAsia="zh-CN"/>
              </w:rPr>
              <w:t>。</w:t>
            </w:r>
            <w:permEnd w:id="36"/>
          </w:p>
          <w:p>
            <w:pPr>
              <w:pStyle w:val="16"/>
              <w:keepNext w:val="0"/>
              <w:keepLines w:val="0"/>
              <w:pageBreakBefore w:val="0"/>
              <w:widowControl w:val="0"/>
              <w:kinsoku/>
              <w:wordWrap/>
              <w:overflowPunct/>
              <w:topLinePunct w:val="0"/>
              <w:bidi w:val="0"/>
              <w:spacing w:after="0" w:line="240" w:lineRule="auto"/>
              <w:ind w:left="0" w:leftChars="0" w:firstLine="0" w:firstLineChars="0"/>
              <w:textAlignment w:val="auto"/>
              <w:rPr>
                <w:rFonts w:hint="eastAsia" w:ascii="宋体" w:hAnsi="宋体" w:eastAsia="宋体" w:cs="宋体"/>
                <w:color w:val="auto"/>
                <w:kern w:val="2"/>
                <w:sz w:val="21"/>
                <w:szCs w:val="21"/>
                <w:highlight w:val="none"/>
                <w:lang w:val="en-US" w:eastAsia="zh-CN" w:bidi="ar-SA"/>
              </w:rPr>
            </w:pPr>
          </w:p>
        </w:tc>
        <w:tc>
          <w:tcPr>
            <w:tcW w:w="687" w:type="dxa"/>
            <w:noWrap w:val="0"/>
            <w:vAlign w:val="center"/>
          </w:tcPr>
          <w:p>
            <w:pPr>
              <w:keepNext w:val="0"/>
              <w:keepLines w:val="0"/>
              <w:pageBreakBefore w:val="0"/>
              <w:widowControl/>
              <w:kinsoku/>
              <w:wordWrap/>
              <w:overflowPunct/>
              <w:topLinePunct w:val="0"/>
              <w:bidi w:val="0"/>
              <w:spacing w:line="240" w:lineRule="auto"/>
              <w:ind w:firstLine="0" w:firstLineChars="0"/>
              <w:jc w:val="left"/>
              <w:textAlignment w:val="auto"/>
              <w:rPr>
                <w:rFonts w:hint="eastAsia" w:ascii="宋体" w:hAnsi="宋体" w:eastAsia="宋体" w:cs="宋体"/>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82" w:type="dxa"/>
            <w:noWrap w:val="0"/>
            <w:vAlign w:val="center"/>
          </w:tcPr>
          <w:p>
            <w:pPr>
              <w:pStyle w:val="15"/>
              <w:keepNext w:val="0"/>
              <w:keepLines w:val="0"/>
              <w:pageBreakBefore w:val="0"/>
              <w:widowControl w:val="0"/>
              <w:numPr>
                <w:ilvl w:val="0"/>
                <w:numId w:val="1"/>
              </w:numPr>
              <w:kinsoku/>
              <w:wordWrap/>
              <w:overflowPunct/>
              <w:topLinePunct w:val="0"/>
              <w:autoSpaceDE/>
              <w:autoSpaceDN/>
              <w:bidi w:val="0"/>
              <w:adjustRightInd w:val="0"/>
              <w:snapToGrid w:val="0"/>
              <w:spacing w:line="240" w:lineRule="auto"/>
              <w:ind w:left="0" w:firstLine="0" w:firstLineChars="0"/>
              <w:jc w:val="center"/>
              <w:textAlignment w:val="auto"/>
              <w:rPr>
                <w:rFonts w:hint="eastAsia" w:ascii="宋体" w:hAnsi="宋体" w:eastAsia="宋体" w:cs="宋体"/>
                <w:color w:val="auto"/>
                <w:kern w:val="0"/>
                <w:sz w:val="21"/>
                <w:szCs w:val="21"/>
                <w:highlight w:val="none"/>
              </w:rPr>
            </w:pPr>
          </w:p>
        </w:tc>
        <w:tc>
          <w:tcPr>
            <w:tcW w:w="1108" w:type="dxa"/>
            <w:noWrap w:val="0"/>
            <w:vAlign w:val="center"/>
          </w:tcPr>
          <w:p>
            <w:pPr>
              <w:pStyle w:val="15"/>
              <w:keepNext w:val="0"/>
              <w:keepLines w:val="0"/>
              <w:pageBreakBefore w:val="0"/>
              <w:numPr>
                <w:ilvl w:val="0"/>
                <w:numId w:val="0"/>
              </w:numPr>
              <w:kinsoku/>
              <w:wordWrap/>
              <w:overflowPunct/>
              <w:topLinePunct w:val="0"/>
              <w:bidi w:val="0"/>
              <w:spacing w:line="240" w:lineRule="auto"/>
              <w:ind w:left="0" w:leftChars="0" w:firstLine="0" w:firstLineChars="0"/>
              <w:textAlignment w:val="auto"/>
              <w:rPr>
                <w:rFonts w:hint="eastAsia" w:ascii="宋体" w:hAnsi="宋体" w:eastAsia="宋体" w:cs="宋体"/>
                <w:color w:val="auto"/>
                <w:kern w:val="0"/>
                <w:sz w:val="21"/>
                <w:szCs w:val="21"/>
                <w:highlight w:val="none"/>
                <w:lang w:val="en-US" w:eastAsia="zh-CN"/>
              </w:rPr>
            </w:pPr>
            <w:r>
              <w:rPr>
                <w:rFonts w:hint="eastAsia" w:ascii="宋体" w:hAnsi="宋体" w:cs="宋体"/>
                <w:color w:val="auto"/>
                <w:kern w:val="0"/>
                <w:sz w:val="21"/>
                <w:szCs w:val="21"/>
                <w:highlight w:val="none"/>
                <w:lang w:val="en-US" w:eastAsia="zh-CN"/>
              </w:rPr>
              <w:t>修改</w:t>
            </w:r>
          </w:p>
        </w:tc>
        <w:tc>
          <w:tcPr>
            <w:tcW w:w="1262" w:type="dxa"/>
            <w:noWrap w:val="0"/>
            <w:vAlign w:val="center"/>
          </w:tcPr>
          <w:p>
            <w:pPr>
              <w:keepNext w:val="0"/>
              <w:keepLines w:val="0"/>
              <w:pageBreakBefore w:val="0"/>
              <w:kinsoku/>
              <w:wordWrap/>
              <w:overflowPunct/>
              <w:topLinePunct w:val="0"/>
              <w:bidi w:val="0"/>
              <w:spacing w:line="240" w:lineRule="auto"/>
              <w:ind w:firstLine="0" w:firstLine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专用合同条款</w:t>
            </w:r>
          </w:p>
          <w:p>
            <w:pPr>
              <w:keepNext w:val="0"/>
              <w:keepLines w:val="0"/>
              <w:pageBreakBefore w:val="0"/>
              <w:kinsoku/>
              <w:wordWrap/>
              <w:overflowPunct/>
              <w:topLinePunct w:val="0"/>
              <w:bidi w:val="0"/>
              <w:spacing w:line="240" w:lineRule="auto"/>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4.承包人</w:t>
            </w:r>
          </w:p>
          <w:p>
            <w:pPr>
              <w:keepNext w:val="0"/>
              <w:keepLines w:val="0"/>
              <w:pageBreakBefore w:val="0"/>
              <w:kinsoku/>
              <w:wordWrap/>
              <w:overflowPunct/>
              <w:topLinePunct w:val="0"/>
              <w:bidi w:val="0"/>
              <w:spacing w:line="240" w:lineRule="auto"/>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4.4.3款</w:t>
            </w:r>
          </w:p>
        </w:tc>
        <w:tc>
          <w:tcPr>
            <w:tcW w:w="5760" w:type="dxa"/>
            <w:noWrap w:val="0"/>
            <w:vAlign w:val="center"/>
          </w:tcPr>
          <w:p>
            <w:pPr>
              <w:pStyle w:val="16"/>
              <w:keepNext w:val="0"/>
              <w:keepLines w:val="0"/>
              <w:pageBreakBefore w:val="0"/>
              <w:kinsoku/>
              <w:wordWrap/>
              <w:overflowPunct/>
              <w:topLinePunct w:val="0"/>
              <w:bidi w:val="0"/>
              <w:adjustRightInd w:val="0"/>
              <w:snapToGrid w:val="0"/>
              <w:spacing w:after="0" w:line="240" w:lineRule="auto"/>
              <w:ind w:left="0" w:leftChars="0" w:firstLine="0" w:firstLineChars="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4.4.3承包商对所承包工程项目的劳务人员工资支付负总责。分包商对所招用劳务人员的工资支付负直接责任，不得以工程款未到位等为由，克扣或拖欠劳务人员工资，不得将经营风险转嫁给劳务人员。 </w:t>
            </w:r>
          </w:p>
          <w:p>
            <w:pPr>
              <w:pStyle w:val="16"/>
              <w:keepNext w:val="0"/>
              <w:keepLines w:val="0"/>
              <w:pageBreakBefore w:val="0"/>
              <w:kinsoku/>
              <w:wordWrap/>
              <w:overflowPunct/>
              <w:topLinePunct w:val="0"/>
              <w:bidi w:val="0"/>
              <w:adjustRightInd w:val="0"/>
              <w:snapToGrid w:val="0"/>
              <w:spacing w:after="0" w:line="240" w:lineRule="auto"/>
              <w:ind w:left="0" w:leftChars="0" w:firstLine="0" w:firstLineChars="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承包商将工程转包、违法分包致使出现劳务人员工资拖欠的，由总承包单位依法承担清偿责任；分包商由于自身拖欠劳务人员工资的，承包商应以分包单位未结清的工程款为限，先行垫付劳务人员工资。</w:t>
            </w:r>
          </w:p>
          <w:p>
            <w:pPr>
              <w:keepNext w:val="0"/>
              <w:keepLines w:val="0"/>
              <w:pageBreakBefore w:val="0"/>
              <w:kinsoku/>
              <w:wordWrap/>
              <w:overflowPunct/>
              <w:topLinePunct w:val="0"/>
              <w:autoSpaceDE w:val="0"/>
              <w:autoSpaceDN w:val="0"/>
              <w:bidi w:val="0"/>
              <w:adjustRightInd w:val="0"/>
              <w:snapToGrid w:val="0"/>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p>
        </w:tc>
        <w:tc>
          <w:tcPr>
            <w:tcW w:w="5800" w:type="dxa"/>
            <w:noWrap w:val="0"/>
            <w:vAlign w:val="center"/>
          </w:tcPr>
          <w:p>
            <w:pPr>
              <w:pStyle w:val="16"/>
              <w:keepNext w:val="0"/>
              <w:keepLines w:val="0"/>
              <w:pageBreakBefore w:val="0"/>
              <w:kinsoku/>
              <w:wordWrap/>
              <w:overflowPunct/>
              <w:topLinePunct w:val="0"/>
              <w:bidi w:val="0"/>
              <w:adjustRightInd w:val="0"/>
              <w:snapToGrid w:val="0"/>
              <w:spacing w:after="0" w:line="240" w:lineRule="auto"/>
              <w:ind w:left="0" w:leftChars="0" w:firstLine="0" w:firstLineChars="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4.4.3承包商对所承包工程项目的劳务人员工资支付负总责。分包商对所招用劳务人员的工资支付负直接责任，不得以工程款未到位等为由，克扣或拖欠劳务人员工资，不得将经营风险转嫁给劳务人员。 </w:t>
            </w:r>
          </w:p>
          <w:p>
            <w:pPr>
              <w:pStyle w:val="16"/>
              <w:keepNext w:val="0"/>
              <w:keepLines w:val="0"/>
              <w:pageBreakBefore w:val="0"/>
              <w:kinsoku/>
              <w:wordWrap/>
              <w:overflowPunct/>
              <w:topLinePunct w:val="0"/>
              <w:bidi w:val="0"/>
              <w:adjustRightInd w:val="0"/>
              <w:snapToGrid w:val="0"/>
              <w:spacing w:after="0" w:line="240" w:lineRule="auto"/>
              <w:ind w:left="0" w:leftChars="0" w:firstLine="0" w:firstLineChars="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承包商将工程转包、违法分包致使出现劳务人员工资拖欠的，由总承包单位依法承担清偿责任；分包商由于自身拖欠劳务人员工资的，承包商应先行垫付劳务人员工资。</w:t>
            </w:r>
          </w:p>
          <w:p>
            <w:pPr>
              <w:pStyle w:val="16"/>
              <w:keepNext w:val="0"/>
              <w:keepLines w:val="0"/>
              <w:pageBreakBefore w:val="0"/>
              <w:kinsoku/>
              <w:wordWrap/>
              <w:overflowPunct/>
              <w:topLinePunct w:val="0"/>
              <w:bidi w:val="0"/>
              <w:spacing w:after="0" w:line="240" w:lineRule="auto"/>
              <w:ind w:left="0" w:leftChars="0" w:firstLine="0" w:firstLineChars="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推行分包单位农民工工资委托施工总承包单位代发制度。分包单位应当按月考核农民工工作量并编制工资支付表，经农民工本人、分包单位负责人签字盖章确认后，与当月工程进度等情况一并交承包人。</w:t>
            </w:r>
          </w:p>
          <w:p>
            <w:pPr>
              <w:pStyle w:val="16"/>
              <w:keepNext w:val="0"/>
              <w:keepLines w:val="0"/>
              <w:pageBreakBefore w:val="0"/>
              <w:kinsoku/>
              <w:wordWrap/>
              <w:overflowPunct/>
              <w:topLinePunct w:val="0"/>
              <w:bidi w:val="0"/>
              <w:spacing w:after="0" w:line="240" w:lineRule="auto"/>
              <w:ind w:left="0" w:leftChars="0" w:firstLine="0" w:firstLineChars="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color w:val="auto"/>
                <w:sz w:val="21"/>
                <w:szCs w:val="21"/>
                <w:highlight w:val="none"/>
              </w:rPr>
              <w:t>承包人应当在工程项目部配备劳资专管员，对分包单位劳动用工实施监督管理，掌握施工现场用工、考勤、工资支付等情况，审核分包单位编制的农民工工资支付表，分包单位应当予以配合。承包人根据分包单位编制的工资支付表，通过农民工工资专用账户直接将工资支付到农民工本人的银行账户，并向分包单位提供代发工资凭证。用于支付农民工工资的银行账户所绑定的农民工本人社会保障卡或者银行卡，用人单位或者其他人员不得以任何理由扣押或者变相扣押。</w:t>
            </w:r>
          </w:p>
        </w:tc>
        <w:tc>
          <w:tcPr>
            <w:tcW w:w="687" w:type="dxa"/>
            <w:noWrap w:val="0"/>
            <w:vAlign w:val="center"/>
          </w:tcPr>
          <w:p>
            <w:pPr>
              <w:keepNext w:val="0"/>
              <w:keepLines w:val="0"/>
              <w:pageBreakBefore w:val="0"/>
              <w:widowControl/>
              <w:kinsoku/>
              <w:wordWrap/>
              <w:overflowPunct/>
              <w:topLinePunct w:val="0"/>
              <w:bidi w:val="0"/>
              <w:spacing w:line="240" w:lineRule="auto"/>
              <w:ind w:firstLine="0" w:firstLineChars="0"/>
              <w:jc w:val="left"/>
              <w:textAlignment w:val="auto"/>
              <w:rPr>
                <w:rFonts w:hint="eastAsia" w:ascii="宋体" w:hAnsi="宋体" w:eastAsia="宋体" w:cs="宋体"/>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82" w:type="dxa"/>
            <w:noWrap w:val="0"/>
            <w:vAlign w:val="center"/>
          </w:tcPr>
          <w:p>
            <w:pPr>
              <w:pStyle w:val="15"/>
              <w:keepNext w:val="0"/>
              <w:keepLines w:val="0"/>
              <w:pageBreakBefore w:val="0"/>
              <w:widowControl w:val="0"/>
              <w:numPr>
                <w:ilvl w:val="0"/>
                <w:numId w:val="1"/>
              </w:numPr>
              <w:kinsoku/>
              <w:wordWrap/>
              <w:overflowPunct/>
              <w:topLinePunct w:val="0"/>
              <w:autoSpaceDE/>
              <w:autoSpaceDN/>
              <w:bidi w:val="0"/>
              <w:adjustRightInd w:val="0"/>
              <w:snapToGrid w:val="0"/>
              <w:spacing w:line="240" w:lineRule="auto"/>
              <w:ind w:left="0" w:firstLine="0" w:firstLineChars="0"/>
              <w:jc w:val="center"/>
              <w:textAlignment w:val="auto"/>
              <w:rPr>
                <w:rFonts w:hint="eastAsia" w:ascii="宋体" w:hAnsi="宋体" w:eastAsia="宋体" w:cs="宋体"/>
                <w:color w:val="auto"/>
                <w:kern w:val="0"/>
                <w:sz w:val="21"/>
                <w:szCs w:val="21"/>
                <w:highlight w:val="none"/>
              </w:rPr>
            </w:pPr>
          </w:p>
        </w:tc>
        <w:tc>
          <w:tcPr>
            <w:tcW w:w="1108" w:type="dxa"/>
            <w:noWrap w:val="0"/>
            <w:vAlign w:val="center"/>
          </w:tcPr>
          <w:p>
            <w:pPr>
              <w:keepNext w:val="0"/>
              <w:keepLines w:val="0"/>
              <w:pageBreakBefore w:val="0"/>
              <w:numPr>
                <w:ilvl w:val="0"/>
                <w:numId w:val="0"/>
              </w:numPr>
              <w:kinsoku/>
              <w:wordWrap/>
              <w:overflowPunct/>
              <w:topLinePunct w:val="0"/>
              <w:bidi w:val="0"/>
              <w:spacing w:line="240" w:lineRule="auto"/>
              <w:ind w:left="0" w:leftChars="0" w:firstLine="0" w:firstLineChars="0"/>
              <w:textAlignment w:val="auto"/>
              <w:rPr>
                <w:rFonts w:hint="eastAsia" w:ascii="宋体" w:hAnsi="宋体" w:cs="宋体"/>
                <w:color w:val="0000FF"/>
                <w:kern w:val="0"/>
                <w:sz w:val="21"/>
                <w:szCs w:val="21"/>
                <w:highlight w:val="none"/>
                <w:lang w:val="en-US" w:eastAsia="zh-CN"/>
              </w:rPr>
            </w:pPr>
            <w:r>
              <w:rPr>
                <w:rFonts w:hint="eastAsia" w:ascii="宋体" w:hAnsi="宋体" w:eastAsia="宋体" w:cs="宋体"/>
                <w:color w:val="0000FF"/>
                <w:kern w:val="0"/>
                <w:sz w:val="21"/>
                <w:szCs w:val="21"/>
                <w:highlight w:val="none"/>
                <w:lang w:val="en-US" w:eastAsia="zh-CN"/>
              </w:rPr>
              <w:t>新增</w:t>
            </w:r>
          </w:p>
        </w:tc>
        <w:tc>
          <w:tcPr>
            <w:tcW w:w="1262" w:type="dxa"/>
            <w:noWrap w:val="0"/>
            <w:vAlign w:val="center"/>
          </w:tcPr>
          <w:p>
            <w:pPr>
              <w:keepNext w:val="0"/>
              <w:keepLines w:val="0"/>
              <w:pageBreakBefore w:val="0"/>
              <w:widowControl w:val="0"/>
              <w:kinsoku/>
              <w:wordWrap/>
              <w:overflowPunct/>
              <w:topLinePunct w:val="0"/>
              <w:bidi w:val="0"/>
              <w:spacing w:line="240" w:lineRule="auto"/>
              <w:ind w:firstLine="0" w:firstLineChars="0"/>
              <w:textAlignment w:val="auto"/>
              <w:rPr>
                <w:rFonts w:hint="eastAsia" w:ascii="宋体" w:hAnsi="宋体" w:eastAsia="宋体" w:cs="宋体"/>
                <w:color w:val="0000FF"/>
                <w:sz w:val="21"/>
                <w:szCs w:val="21"/>
                <w:highlight w:val="none"/>
                <w:lang w:val="en-US" w:eastAsia="zh-CN"/>
              </w:rPr>
            </w:pPr>
            <w:r>
              <w:rPr>
                <w:rFonts w:hint="eastAsia" w:ascii="宋体" w:hAnsi="宋体" w:eastAsia="宋体" w:cs="宋体"/>
                <w:color w:val="0000FF"/>
                <w:sz w:val="21"/>
                <w:szCs w:val="21"/>
                <w:highlight w:val="none"/>
                <w:lang w:val="en-US" w:eastAsia="zh-CN"/>
              </w:rPr>
              <w:t>专用合同条款</w:t>
            </w:r>
          </w:p>
          <w:p>
            <w:pPr>
              <w:keepNext w:val="0"/>
              <w:keepLines w:val="0"/>
              <w:pageBreakBefore w:val="0"/>
              <w:widowControl w:val="0"/>
              <w:kinsoku/>
              <w:wordWrap/>
              <w:overflowPunct/>
              <w:topLinePunct w:val="0"/>
              <w:bidi w:val="0"/>
              <w:spacing w:line="240" w:lineRule="auto"/>
              <w:ind w:firstLine="0" w:firstLineChars="0"/>
              <w:textAlignment w:val="auto"/>
              <w:rPr>
                <w:rFonts w:hint="eastAsia" w:ascii="宋体" w:hAnsi="宋体" w:eastAsia="宋体" w:cs="宋体"/>
                <w:color w:val="0000FF"/>
                <w:sz w:val="21"/>
                <w:szCs w:val="21"/>
                <w:highlight w:val="none"/>
              </w:rPr>
            </w:pPr>
            <w:r>
              <w:rPr>
                <w:rFonts w:hint="eastAsia" w:ascii="宋体" w:hAnsi="宋体" w:eastAsia="宋体" w:cs="宋体"/>
                <w:color w:val="0000FF"/>
                <w:sz w:val="21"/>
                <w:szCs w:val="21"/>
                <w:highlight w:val="none"/>
              </w:rPr>
              <w:t>4.承包人</w:t>
            </w:r>
          </w:p>
          <w:p>
            <w:pPr>
              <w:keepNext w:val="0"/>
              <w:keepLines w:val="0"/>
              <w:pageBreakBefore w:val="0"/>
              <w:widowControl w:val="0"/>
              <w:kinsoku/>
              <w:wordWrap/>
              <w:overflowPunct/>
              <w:topLinePunct w:val="0"/>
              <w:bidi w:val="0"/>
              <w:spacing w:line="240" w:lineRule="auto"/>
              <w:ind w:firstLine="0" w:firstLineChars="0"/>
              <w:textAlignment w:val="auto"/>
              <w:rPr>
                <w:rFonts w:hint="eastAsia" w:ascii="宋体" w:hAnsi="宋体" w:eastAsia="宋体" w:cs="宋体"/>
                <w:color w:val="0000FF"/>
                <w:sz w:val="21"/>
                <w:szCs w:val="21"/>
                <w:highlight w:val="none"/>
              </w:rPr>
            </w:pPr>
            <w:r>
              <w:rPr>
                <w:rFonts w:hint="eastAsia" w:ascii="宋体" w:hAnsi="宋体" w:eastAsia="宋体" w:cs="宋体"/>
                <w:color w:val="0000FF"/>
                <w:sz w:val="21"/>
                <w:szCs w:val="21"/>
                <w:highlight w:val="none"/>
              </w:rPr>
              <w:t>4.4款</w:t>
            </w:r>
          </w:p>
        </w:tc>
        <w:tc>
          <w:tcPr>
            <w:tcW w:w="576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200"/>
              <w:jc w:val="left"/>
              <w:textAlignment w:val="auto"/>
              <w:rPr>
                <w:rFonts w:hint="eastAsia" w:ascii="宋体" w:hAnsi="宋体" w:eastAsia="宋体" w:cs="宋体"/>
                <w:color w:val="0000FF"/>
                <w:sz w:val="21"/>
                <w:szCs w:val="21"/>
                <w:highlight w:val="none"/>
                <w:lang w:val="en-US" w:eastAsia="zh-CN"/>
              </w:rPr>
            </w:pPr>
            <w:r>
              <w:rPr>
                <w:rFonts w:hint="eastAsia" w:ascii="宋体" w:hAnsi="宋体" w:eastAsia="宋体" w:cs="宋体"/>
                <w:color w:val="0000FF"/>
                <w:sz w:val="21"/>
                <w:szCs w:val="21"/>
                <w:highlight w:val="none"/>
                <w:lang w:val="en-US" w:eastAsia="zh-CN"/>
              </w:rPr>
              <w:t>无</w:t>
            </w:r>
          </w:p>
        </w:tc>
        <w:tc>
          <w:tcPr>
            <w:tcW w:w="5800" w:type="dxa"/>
            <w:noWrap w:val="0"/>
            <w:vAlign w:val="center"/>
          </w:tcPr>
          <w:p>
            <w:pPr>
              <w:pStyle w:val="16"/>
              <w:keepNext w:val="0"/>
              <w:keepLines w:val="0"/>
              <w:pageBreakBefore w:val="0"/>
              <w:widowControl w:val="0"/>
              <w:kinsoku/>
              <w:wordWrap/>
              <w:overflowPunct/>
              <w:topLinePunct w:val="0"/>
              <w:autoSpaceDE/>
              <w:autoSpaceDN/>
              <w:bidi w:val="0"/>
              <w:adjustRightInd w:val="0"/>
              <w:snapToGrid w:val="0"/>
              <w:spacing w:after="0" w:line="240" w:lineRule="auto"/>
              <w:ind w:left="0" w:leftChars="0" w:firstLine="422" w:firstLineChars="200"/>
              <w:textAlignment w:val="auto"/>
              <w:rPr>
                <w:rFonts w:hint="eastAsia" w:ascii="宋体" w:hAnsi="宋体" w:eastAsia="宋体" w:cs="宋体"/>
                <w:b w:val="0"/>
                <w:bCs/>
                <w:color w:val="0000FF"/>
                <w:sz w:val="21"/>
                <w:szCs w:val="21"/>
                <w:highlight w:val="none"/>
              </w:rPr>
            </w:pPr>
            <w:r>
              <w:rPr>
                <w:rFonts w:hint="eastAsia" w:ascii="宋体" w:hAnsi="宋体" w:eastAsia="宋体" w:cs="宋体"/>
                <w:color w:val="0000FF"/>
                <w:sz w:val="21"/>
                <w:szCs w:val="21"/>
                <w:highlight w:val="none"/>
              </w:rPr>
              <w:t>4.4.</w:t>
            </w:r>
            <w:r>
              <w:rPr>
                <w:rFonts w:hint="eastAsia" w:ascii="宋体" w:hAnsi="宋体" w:eastAsia="宋体" w:cs="宋体"/>
                <w:color w:val="0000FF"/>
                <w:sz w:val="21"/>
                <w:szCs w:val="21"/>
                <w:highlight w:val="none"/>
                <w:lang w:val="en-US" w:eastAsia="zh-CN"/>
              </w:rPr>
              <w:t xml:space="preserve">5 </w:t>
            </w:r>
            <w:r>
              <w:rPr>
                <w:rFonts w:hint="eastAsia" w:ascii="宋体" w:hAnsi="宋体" w:eastAsia="宋体" w:cs="宋体"/>
                <w:b w:val="0"/>
                <w:bCs/>
                <w:color w:val="0000FF"/>
                <w:sz w:val="21"/>
                <w:szCs w:val="21"/>
                <w:highlight w:val="none"/>
              </w:rPr>
              <w:t>推行分包单位农民工工资委托施工总承包单位代发制度。分包单位应当按月考核农民工工作量并编制工资支付表，经农民工本人、分包单位负责人签字盖章确认后，与当月工程进度等情况一并交承包人。</w:t>
            </w:r>
          </w:p>
          <w:p>
            <w:pPr>
              <w:pStyle w:val="16"/>
              <w:keepNext w:val="0"/>
              <w:keepLines w:val="0"/>
              <w:pageBreakBefore w:val="0"/>
              <w:widowControl w:val="0"/>
              <w:kinsoku/>
              <w:wordWrap/>
              <w:overflowPunct/>
              <w:topLinePunct w:val="0"/>
              <w:autoSpaceDE/>
              <w:autoSpaceDN/>
              <w:bidi w:val="0"/>
              <w:adjustRightInd w:val="0"/>
              <w:snapToGrid w:val="0"/>
              <w:spacing w:after="0" w:line="240" w:lineRule="auto"/>
              <w:ind w:left="0" w:leftChars="0" w:firstLine="420" w:firstLineChars="200"/>
              <w:textAlignment w:val="auto"/>
              <w:rPr>
                <w:rFonts w:hint="eastAsia" w:ascii="宋体" w:hAnsi="宋体" w:eastAsia="宋体" w:cs="宋体"/>
                <w:b w:val="0"/>
                <w:bCs/>
                <w:color w:val="0000FF"/>
                <w:sz w:val="21"/>
                <w:szCs w:val="21"/>
                <w:highlight w:val="none"/>
              </w:rPr>
            </w:pPr>
            <w:r>
              <w:rPr>
                <w:rFonts w:hint="eastAsia" w:ascii="宋体" w:hAnsi="宋体" w:eastAsia="宋体" w:cs="宋体"/>
                <w:b w:val="0"/>
                <w:bCs/>
                <w:color w:val="0000FF"/>
                <w:sz w:val="21"/>
                <w:szCs w:val="21"/>
                <w:highlight w:val="none"/>
              </w:rPr>
              <w:t>承包人应当在工程项目部配备劳资专管员，对分包单位劳动用工实施监督管理，掌握施工现场用工、考勤、工资支付等情况，审核分包单位编制的农民工工资支付表，分包单位应当予以配合。承包人根据分包单位编制的工资支付表，通过农民工工资专用账户直接将工资支付到农民工本人的银行账户，并向分包单位提供代发工资凭证。用于支付农民工工资的银行账户所绑定的农民工本人社会保障卡或者银行卡，用人单位或者其他人员不得以任何理由扣押或者变相扣押。</w:t>
            </w:r>
          </w:p>
        </w:tc>
        <w:tc>
          <w:tcPr>
            <w:tcW w:w="687" w:type="dxa"/>
            <w:noWrap w:val="0"/>
            <w:vAlign w:val="center"/>
          </w:tcPr>
          <w:p>
            <w:pPr>
              <w:keepNext w:val="0"/>
              <w:keepLines w:val="0"/>
              <w:pageBreakBefore w:val="0"/>
              <w:widowControl/>
              <w:kinsoku/>
              <w:wordWrap/>
              <w:overflowPunct/>
              <w:topLinePunct w:val="0"/>
              <w:bidi w:val="0"/>
              <w:spacing w:line="240" w:lineRule="auto"/>
              <w:ind w:firstLine="0" w:firstLineChars="0"/>
              <w:jc w:val="left"/>
              <w:textAlignment w:val="auto"/>
              <w:rPr>
                <w:rFonts w:hint="eastAsia" w:ascii="宋体" w:hAnsi="宋体" w:eastAsia="宋体" w:cs="宋体"/>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82" w:type="dxa"/>
            <w:noWrap w:val="0"/>
            <w:vAlign w:val="center"/>
          </w:tcPr>
          <w:p>
            <w:pPr>
              <w:pStyle w:val="15"/>
              <w:keepNext w:val="0"/>
              <w:keepLines w:val="0"/>
              <w:pageBreakBefore w:val="0"/>
              <w:widowControl w:val="0"/>
              <w:numPr>
                <w:ilvl w:val="0"/>
                <w:numId w:val="1"/>
              </w:numPr>
              <w:kinsoku/>
              <w:wordWrap/>
              <w:overflowPunct/>
              <w:topLinePunct w:val="0"/>
              <w:autoSpaceDE/>
              <w:autoSpaceDN/>
              <w:bidi w:val="0"/>
              <w:adjustRightInd w:val="0"/>
              <w:snapToGrid w:val="0"/>
              <w:spacing w:line="240" w:lineRule="auto"/>
              <w:ind w:left="0" w:firstLine="0" w:firstLineChars="0"/>
              <w:jc w:val="center"/>
              <w:textAlignment w:val="auto"/>
              <w:rPr>
                <w:rFonts w:hint="eastAsia" w:ascii="宋体" w:hAnsi="宋体" w:eastAsia="宋体" w:cs="宋体"/>
                <w:color w:val="auto"/>
                <w:kern w:val="0"/>
                <w:sz w:val="21"/>
                <w:szCs w:val="21"/>
                <w:highlight w:val="none"/>
              </w:rPr>
            </w:pPr>
          </w:p>
        </w:tc>
        <w:tc>
          <w:tcPr>
            <w:tcW w:w="1108" w:type="dxa"/>
            <w:noWrap w:val="0"/>
            <w:vAlign w:val="center"/>
          </w:tcPr>
          <w:p>
            <w:pPr>
              <w:pStyle w:val="15"/>
              <w:keepNext w:val="0"/>
              <w:keepLines w:val="0"/>
              <w:pageBreakBefore w:val="0"/>
              <w:numPr>
                <w:ilvl w:val="0"/>
                <w:numId w:val="0"/>
              </w:numPr>
              <w:kinsoku/>
              <w:wordWrap/>
              <w:overflowPunct/>
              <w:topLinePunct w:val="0"/>
              <w:bidi w:val="0"/>
              <w:spacing w:line="240" w:lineRule="auto"/>
              <w:ind w:left="0" w:leftChars="0" w:firstLine="0" w:firstLineChars="0"/>
              <w:textAlignment w:val="auto"/>
              <w:rPr>
                <w:rFonts w:hint="eastAsia" w:ascii="宋体" w:hAnsi="宋体" w:eastAsia="宋体" w:cs="宋体"/>
                <w:color w:val="auto"/>
                <w:kern w:val="0"/>
                <w:sz w:val="21"/>
                <w:szCs w:val="21"/>
                <w:highlight w:val="none"/>
                <w:lang w:val="en-US" w:eastAsia="zh-CN"/>
              </w:rPr>
            </w:pPr>
            <w:r>
              <w:rPr>
                <w:rFonts w:hint="eastAsia" w:ascii="宋体" w:hAnsi="宋体" w:cs="宋体"/>
                <w:color w:val="auto"/>
                <w:kern w:val="0"/>
                <w:sz w:val="21"/>
                <w:szCs w:val="21"/>
                <w:highlight w:val="none"/>
                <w:lang w:val="en-US" w:eastAsia="zh-CN"/>
              </w:rPr>
              <w:t>新增</w:t>
            </w:r>
          </w:p>
        </w:tc>
        <w:tc>
          <w:tcPr>
            <w:tcW w:w="1262" w:type="dxa"/>
            <w:noWrap w:val="0"/>
            <w:vAlign w:val="center"/>
          </w:tcPr>
          <w:p>
            <w:pPr>
              <w:keepNext w:val="0"/>
              <w:keepLines w:val="0"/>
              <w:pageBreakBefore w:val="0"/>
              <w:kinsoku/>
              <w:wordWrap/>
              <w:overflowPunct/>
              <w:topLinePunct w:val="0"/>
              <w:bidi w:val="0"/>
              <w:spacing w:line="240" w:lineRule="auto"/>
              <w:ind w:firstLine="0" w:firstLine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专用合同条款</w:t>
            </w:r>
          </w:p>
          <w:p>
            <w:pPr>
              <w:keepNext w:val="0"/>
              <w:keepLines w:val="0"/>
              <w:pageBreakBefore w:val="0"/>
              <w:kinsoku/>
              <w:wordWrap/>
              <w:overflowPunct/>
              <w:topLinePunct w:val="0"/>
              <w:bidi w:val="0"/>
              <w:spacing w:line="240" w:lineRule="auto"/>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4.承包人</w:t>
            </w:r>
          </w:p>
          <w:p>
            <w:pPr>
              <w:keepNext w:val="0"/>
              <w:keepLines w:val="0"/>
              <w:pageBreakBefore w:val="0"/>
              <w:kinsoku/>
              <w:wordWrap/>
              <w:overflowPunct/>
              <w:topLinePunct w:val="0"/>
              <w:bidi w:val="0"/>
              <w:spacing w:line="240" w:lineRule="auto"/>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款</w:t>
            </w:r>
          </w:p>
        </w:tc>
        <w:tc>
          <w:tcPr>
            <w:tcW w:w="5760" w:type="dxa"/>
            <w:noWrap w:val="0"/>
            <w:vAlign w:val="center"/>
          </w:tcPr>
          <w:p>
            <w:pPr>
              <w:keepNext w:val="0"/>
              <w:keepLines w:val="0"/>
              <w:pageBreakBefore w:val="0"/>
              <w:kinsoku/>
              <w:wordWrap/>
              <w:overflowPunct/>
              <w:topLinePunct w:val="0"/>
              <w:autoSpaceDE w:val="0"/>
              <w:autoSpaceDN w:val="0"/>
              <w:bidi w:val="0"/>
              <w:adjustRightInd w:val="0"/>
              <w:snapToGrid w:val="0"/>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无</w:t>
            </w:r>
          </w:p>
        </w:tc>
        <w:tc>
          <w:tcPr>
            <w:tcW w:w="5800" w:type="dxa"/>
            <w:noWrap w:val="0"/>
            <w:vAlign w:val="center"/>
          </w:tcPr>
          <w:p>
            <w:pPr>
              <w:pStyle w:val="16"/>
              <w:keepNext w:val="0"/>
              <w:keepLines w:val="0"/>
              <w:pageBreakBefore w:val="0"/>
              <w:kinsoku/>
              <w:wordWrap/>
              <w:overflowPunct/>
              <w:topLinePunct w:val="0"/>
              <w:bidi w:val="0"/>
              <w:spacing w:after="0" w:line="240" w:lineRule="auto"/>
              <w:ind w:left="0" w:leftChars="0" w:firstLine="420" w:firstLineChars="200"/>
              <w:textAlignment w:val="auto"/>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线路工程：</w:t>
            </w:r>
          </w:p>
          <w:p>
            <w:pPr>
              <w:pStyle w:val="16"/>
              <w:keepNext w:val="0"/>
              <w:keepLines w:val="0"/>
              <w:pageBreakBefore w:val="0"/>
              <w:kinsoku/>
              <w:wordWrap/>
              <w:overflowPunct/>
              <w:topLinePunct w:val="0"/>
              <w:bidi w:val="0"/>
              <w:spacing w:after="0" w:line="240" w:lineRule="auto"/>
              <w:ind w:left="0" w:leftChars="0" w:firstLine="420" w:firstLineChars="20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eastAsia="zh-CN"/>
              </w:rPr>
              <w:t>（</w:t>
            </w:r>
            <w:r>
              <w:rPr>
                <w:rFonts w:hint="eastAsia" w:ascii="宋体" w:hAnsi="宋体" w:eastAsia="宋体" w:cs="宋体"/>
                <w:b w:val="0"/>
                <w:bCs/>
                <w:color w:val="auto"/>
                <w:sz w:val="21"/>
                <w:szCs w:val="21"/>
                <w:highlight w:val="none"/>
                <w:lang w:val="en-US" w:eastAsia="zh-CN"/>
              </w:rPr>
              <w:t>5</w:t>
            </w:r>
            <w:r>
              <w:rPr>
                <w:rFonts w:hint="eastAsia" w:ascii="宋体" w:hAnsi="宋体" w:eastAsia="宋体" w:cs="宋体"/>
                <w:b w:val="0"/>
                <w:bCs/>
                <w:color w:val="auto"/>
                <w:sz w:val="21"/>
                <w:szCs w:val="21"/>
                <w:highlight w:val="none"/>
                <w:lang w:eastAsia="zh-CN"/>
              </w:rPr>
              <w:t>）承包人施工作业和施工方法应满足</w:t>
            </w:r>
            <w:r>
              <w:rPr>
                <w:rFonts w:hint="eastAsia" w:ascii="宋体" w:hAnsi="宋体" w:eastAsia="宋体" w:cs="宋体"/>
                <w:b w:val="0"/>
                <w:bCs/>
                <w:color w:val="auto"/>
                <w:sz w:val="21"/>
                <w:szCs w:val="21"/>
                <w:highlight w:val="none"/>
                <w:lang w:val="en-US" w:eastAsia="zh-CN"/>
              </w:rPr>
              <w:t>南方电网</w:t>
            </w:r>
            <w:r>
              <w:rPr>
                <w:rFonts w:hint="eastAsia" w:ascii="宋体" w:hAnsi="宋体" w:eastAsia="宋体" w:cs="宋体"/>
                <w:b w:val="0"/>
                <w:bCs/>
                <w:color w:val="auto"/>
                <w:sz w:val="21"/>
                <w:szCs w:val="21"/>
                <w:highlight w:val="none"/>
                <w:lang w:eastAsia="zh-CN"/>
              </w:rPr>
              <w:t>有限公司机械化施工要求</w:t>
            </w:r>
            <w:r>
              <w:rPr>
                <w:rFonts w:hint="eastAsia" w:ascii="宋体" w:hAnsi="宋体" w:eastAsia="宋体" w:cs="宋体"/>
                <w:b w:val="0"/>
                <w:bCs/>
                <w:color w:val="auto"/>
                <w:sz w:val="21"/>
                <w:szCs w:val="21"/>
                <w:highlight w:val="none"/>
                <w:lang w:val="en-US" w:eastAsia="zh-CN"/>
              </w:rPr>
              <w:t>，达到本项目机械化施工目标</w:t>
            </w:r>
            <w:r>
              <w:rPr>
                <w:rFonts w:hint="eastAsia" w:ascii="宋体" w:hAnsi="宋体" w:eastAsia="宋体" w:cs="宋体"/>
                <w:b w:val="0"/>
                <w:bCs/>
                <w:color w:val="auto"/>
                <w:sz w:val="21"/>
                <w:szCs w:val="21"/>
                <w:highlight w:val="none"/>
                <w:lang w:eastAsia="zh-CN"/>
              </w:rPr>
              <w:t>。</w:t>
            </w:r>
            <w:r>
              <w:rPr>
                <w:rFonts w:hint="eastAsia" w:ascii="宋体" w:hAnsi="宋体" w:eastAsia="宋体" w:cs="宋体"/>
                <w:b w:val="0"/>
                <w:bCs/>
                <w:color w:val="auto"/>
                <w:sz w:val="21"/>
                <w:szCs w:val="21"/>
                <w:highlight w:val="none"/>
                <w:lang w:val="en-US" w:eastAsia="zh-CN"/>
              </w:rPr>
              <w:t>配合建设单位开展</w:t>
            </w:r>
            <w:r>
              <w:rPr>
                <w:rFonts w:hint="eastAsia" w:ascii="宋体" w:hAnsi="宋体" w:eastAsia="宋体" w:cs="宋体"/>
                <w:b w:val="0"/>
                <w:bCs/>
                <w:color w:val="auto"/>
                <w:sz w:val="21"/>
                <w:szCs w:val="21"/>
                <w:highlight w:val="none"/>
                <w:lang w:eastAsia="zh-CN"/>
              </w:rPr>
              <w:t>机械化施工</w:t>
            </w:r>
            <w:r>
              <w:rPr>
                <w:rFonts w:hint="eastAsia" w:ascii="宋体" w:hAnsi="宋体" w:eastAsia="宋体" w:cs="宋体"/>
                <w:b w:val="0"/>
                <w:bCs/>
                <w:color w:val="auto"/>
                <w:sz w:val="21"/>
                <w:szCs w:val="21"/>
                <w:highlight w:val="none"/>
                <w:lang w:val="en-US" w:eastAsia="zh-CN"/>
              </w:rPr>
              <w:t>能力水平量化评价</w:t>
            </w:r>
            <w:r>
              <w:rPr>
                <w:rFonts w:hint="eastAsia" w:ascii="宋体" w:hAnsi="宋体" w:eastAsia="宋体" w:cs="宋体"/>
                <w:b w:val="0"/>
                <w:bCs/>
                <w:color w:val="auto"/>
                <w:sz w:val="21"/>
                <w:szCs w:val="21"/>
                <w:highlight w:val="none"/>
                <w:lang w:eastAsia="zh-CN"/>
              </w:rPr>
              <w:t>，</w:t>
            </w:r>
            <w:r>
              <w:rPr>
                <w:rFonts w:hint="eastAsia" w:ascii="宋体" w:hAnsi="宋体" w:eastAsia="宋体" w:cs="宋体"/>
                <w:b w:val="0"/>
                <w:bCs/>
                <w:color w:val="auto"/>
                <w:sz w:val="21"/>
                <w:szCs w:val="21"/>
                <w:highlight w:val="none"/>
                <w:lang w:val="en-US" w:eastAsia="zh-CN"/>
              </w:rPr>
              <w:t>并同意发包人按机械化施工能力评价结果开展合同考核</w:t>
            </w:r>
            <w:r>
              <w:rPr>
                <w:rFonts w:hint="eastAsia" w:ascii="宋体" w:hAnsi="宋体" w:eastAsia="宋体" w:cs="宋体"/>
                <w:b w:val="0"/>
                <w:bCs/>
                <w:color w:val="auto"/>
                <w:sz w:val="21"/>
                <w:szCs w:val="21"/>
                <w:highlight w:val="none"/>
                <w:lang w:eastAsia="zh-CN"/>
              </w:rPr>
              <w:t>。</w:t>
            </w:r>
          </w:p>
        </w:tc>
        <w:tc>
          <w:tcPr>
            <w:tcW w:w="687" w:type="dxa"/>
            <w:noWrap w:val="0"/>
            <w:vAlign w:val="center"/>
          </w:tcPr>
          <w:p>
            <w:pPr>
              <w:keepNext w:val="0"/>
              <w:keepLines w:val="0"/>
              <w:pageBreakBefore w:val="0"/>
              <w:widowControl/>
              <w:kinsoku/>
              <w:wordWrap/>
              <w:overflowPunct/>
              <w:topLinePunct w:val="0"/>
              <w:bidi w:val="0"/>
              <w:spacing w:line="240" w:lineRule="auto"/>
              <w:ind w:firstLine="0" w:firstLineChars="0"/>
              <w:jc w:val="left"/>
              <w:textAlignment w:val="auto"/>
              <w:rPr>
                <w:rFonts w:hint="eastAsia" w:ascii="宋体" w:hAnsi="宋体" w:eastAsia="宋体" w:cs="宋体"/>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82" w:type="dxa"/>
            <w:noWrap w:val="0"/>
            <w:vAlign w:val="center"/>
          </w:tcPr>
          <w:p>
            <w:pPr>
              <w:pStyle w:val="15"/>
              <w:keepNext w:val="0"/>
              <w:keepLines w:val="0"/>
              <w:pageBreakBefore w:val="0"/>
              <w:widowControl w:val="0"/>
              <w:numPr>
                <w:ilvl w:val="0"/>
                <w:numId w:val="1"/>
              </w:numPr>
              <w:kinsoku/>
              <w:wordWrap/>
              <w:overflowPunct/>
              <w:topLinePunct w:val="0"/>
              <w:autoSpaceDE/>
              <w:autoSpaceDN/>
              <w:bidi w:val="0"/>
              <w:adjustRightInd w:val="0"/>
              <w:snapToGrid w:val="0"/>
              <w:spacing w:line="240" w:lineRule="auto"/>
              <w:ind w:left="0" w:firstLine="0" w:firstLineChars="0"/>
              <w:jc w:val="center"/>
              <w:textAlignment w:val="auto"/>
              <w:rPr>
                <w:rFonts w:hint="eastAsia" w:ascii="宋体" w:hAnsi="宋体" w:eastAsia="宋体" w:cs="宋体"/>
                <w:color w:val="auto"/>
                <w:kern w:val="0"/>
                <w:sz w:val="21"/>
                <w:szCs w:val="21"/>
                <w:highlight w:val="none"/>
              </w:rPr>
            </w:pPr>
          </w:p>
        </w:tc>
        <w:tc>
          <w:tcPr>
            <w:tcW w:w="1108" w:type="dxa"/>
            <w:noWrap w:val="0"/>
            <w:vAlign w:val="center"/>
          </w:tcPr>
          <w:p>
            <w:pPr>
              <w:pStyle w:val="15"/>
              <w:keepNext w:val="0"/>
              <w:keepLines w:val="0"/>
              <w:pageBreakBefore w:val="0"/>
              <w:numPr>
                <w:ilvl w:val="0"/>
                <w:numId w:val="0"/>
              </w:numPr>
              <w:kinsoku/>
              <w:wordWrap/>
              <w:overflowPunct/>
              <w:topLinePunct w:val="0"/>
              <w:bidi w:val="0"/>
              <w:spacing w:line="240" w:lineRule="auto"/>
              <w:ind w:left="0" w:leftChars="0" w:firstLine="0" w:firstLineChars="0"/>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修改</w:t>
            </w:r>
          </w:p>
        </w:tc>
        <w:tc>
          <w:tcPr>
            <w:tcW w:w="1262" w:type="dxa"/>
            <w:noWrap w:val="0"/>
            <w:vAlign w:val="center"/>
          </w:tcPr>
          <w:p>
            <w:pPr>
              <w:keepNext w:val="0"/>
              <w:keepLines w:val="0"/>
              <w:pageBreakBefore w:val="0"/>
              <w:kinsoku/>
              <w:wordWrap/>
              <w:overflowPunct/>
              <w:topLinePunct w:val="0"/>
              <w:bidi w:val="0"/>
              <w:spacing w:line="240" w:lineRule="auto"/>
              <w:ind w:firstLine="0" w:firstLine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专用合同条款</w:t>
            </w:r>
          </w:p>
          <w:p>
            <w:pPr>
              <w:keepNext w:val="0"/>
              <w:keepLines w:val="0"/>
              <w:pageBreakBefore w:val="0"/>
              <w:kinsoku/>
              <w:wordWrap/>
              <w:overflowPunct/>
              <w:topLinePunct w:val="0"/>
              <w:bidi w:val="0"/>
              <w:spacing w:line="240" w:lineRule="auto"/>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永久设备、材料和工艺</w:t>
            </w:r>
          </w:p>
        </w:tc>
        <w:tc>
          <w:tcPr>
            <w:tcW w:w="5760" w:type="dxa"/>
            <w:noWrap w:val="0"/>
            <w:vAlign w:val="center"/>
          </w:tcPr>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增加以下内容到第7.9款：</w:t>
            </w:r>
          </w:p>
          <w:p>
            <w:pPr>
              <w:pStyle w:val="6"/>
              <w:keepNext w:val="0"/>
              <w:keepLines w:val="0"/>
              <w:pageBreakBefore w:val="0"/>
              <w:kinsoku/>
              <w:wordWrap/>
              <w:overflowPunct/>
              <w:topLinePunct w:val="0"/>
              <w:bidi w:val="0"/>
              <w:spacing w:after="0" w:line="240" w:lineRule="auto"/>
              <w:ind w:left="0" w:leftChars="0" w:firstLine="420" w:firstLineChars="200"/>
              <w:textAlignment w:val="auto"/>
              <w:outlineLvl w:val="3"/>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7.9 发包人供应材料与工程设备</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发包人提供的材料和工程设备包括：</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宋体" w:hAnsi="宋体" w:eastAsia="宋体" w:cs="宋体"/>
                <w:iCs/>
                <w:color w:val="auto"/>
                <w:sz w:val="21"/>
                <w:szCs w:val="21"/>
                <w:highlight w:val="none"/>
                <w:u w:val="single"/>
              </w:rPr>
            </w:pPr>
            <w:permStart w:id="37" w:edGrp="everyone"/>
            <w:r>
              <w:rPr>
                <w:rFonts w:hint="eastAsia" w:ascii="宋体" w:hAnsi="宋体" w:eastAsia="宋体" w:cs="宋体"/>
                <w:iCs/>
                <w:color w:val="auto"/>
                <w:sz w:val="21"/>
                <w:szCs w:val="21"/>
                <w:highlight w:val="none"/>
                <w:u w:val="single"/>
              </w:rPr>
              <w:t>电气一、二次设备(含端子箱、照明配电箱、户内动力配电箱、户内检修电源箱、户外检修电源箱、户外动力箱、发电车开关箱)、全站电缆(不含消防电缆、通信机房接入调度室线缆)、电缆支架、电缆桥架、电缆沟盖板（包括混凝土盖板和复合盖板）、变电站内高压导线和变电站内低压线缆（含照明电缆、动力线缆，不含照明电线、视频监控、消防等设备中已集成采购的线缆）、门类（不含进站大门、户内主变室大门、GIS设备室吊装大门）和窗类、10kV及以上电缆头、支柱绝缘子、管形母线及管母金具、10kV绝缘铜管母线、软母线绝缘子、穿墙套管、封闭母线桥、型钢（钢管）构支架、型钢（钢管）横梁、爬梯、避雷针。</w:t>
            </w:r>
          </w:p>
          <w:permEnd w:id="37"/>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材料和工程设备的规格、数量、价格、交货方式、交货地点和计划交货日期：</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宋体" w:hAnsi="宋体" w:eastAsia="宋体" w:cs="宋体"/>
                <w:color w:val="auto"/>
                <w:sz w:val="21"/>
                <w:szCs w:val="21"/>
                <w:highlight w:val="none"/>
                <w:u w:val="single"/>
              </w:rPr>
            </w:pPr>
            <w:permStart w:id="38" w:edGrp="everyone"/>
            <w:r>
              <w:rPr>
                <w:rFonts w:hint="eastAsia" w:ascii="宋体" w:hAnsi="宋体" w:eastAsia="宋体" w:cs="宋体"/>
                <w:color w:val="auto"/>
                <w:sz w:val="21"/>
                <w:szCs w:val="21"/>
                <w:highlight w:val="none"/>
                <w:u w:val="single"/>
              </w:rPr>
              <w:t xml:space="preserve">                                                                       </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由项目发包人提供的设备、材料的交货地点在临时仓库。承包人必须设置相应的临时仓库，所设的临时仓库应具备汽车送达、吊车作业的条件。承包人负责进行卸车、到货验收（到货验收包括清点数量、验品种、型号、规格等常规验收以及配合质量验收）。临时仓库的设置和管理需满足中国南方电网有限责任公司相关规定和要求。</w:t>
            </w:r>
          </w:p>
          <w:permEnd w:id="38"/>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除发包人提供的材料和工程设备外，其余均由承包人提供。</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供应的材料和工程设备，承包人清点后由承包人妥善保管，保管费用由发包人承担，但已标价工程量清单或预算书已经列支或专用合同条款另有约定除外。因承包人原因发生丢失毁损的，由承包人负责赔偿；工程师未通知承包人清点的，承包人不负责材料和工程设备的保管，由此导致丢失毁损的由发包人负责。</w:t>
            </w:r>
          </w:p>
          <w:p>
            <w:pPr>
              <w:keepNext w:val="0"/>
              <w:keepLines w:val="0"/>
              <w:pageBreakBefore w:val="0"/>
              <w:kinsoku/>
              <w:wordWrap/>
              <w:overflowPunct/>
              <w:topLinePunct w:val="0"/>
              <w:autoSpaceDE w:val="0"/>
              <w:autoSpaceDN w:val="0"/>
              <w:bidi w:val="0"/>
              <w:adjustRightInd w:val="0"/>
              <w:snapToGrid w:val="0"/>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发包人供应的材料和工程设备使用前，由承包人负责检验，检验费用由发包人承担，不合格的不得使用。</w:t>
            </w:r>
          </w:p>
        </w:tc>
        <w:tc>
          <w:tcPr>
            <w:tcW w:w="5800" w:type="dxa"/>
            <w:noWrap w:val="0"/>
            <w:vAlign w:val="center"/>
          </w:tcPr>
          <w:p>
            <w:pPr>
              <w:pStyle w:val="16"/>
              <w:keepNext w:val="0"/>
              <w:keepLines w:val="0"/>
              <w:pageBreakBefore w:val="0"/>
              <w:kinsoku/>
              <w:wordWrap/>
              <w:overflowPunct/>
              <w:topLinePunct w:val="0"/>
              <w:bidi w:val="0"/>
              <w:spacing w:line="240" w:lineRule="auto"/>
              <w:ind w:firstLine="0" w:firstLineChars="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增加以下内容到第7.9款：</w:t>
            </w:r>
          </w:p>
          <w:p>
            <w:pPr>
              <w:pStyle w:val="16"/>
              <w:keepNext w:val="0"/>
              <w:keepLines w:val="0"/>
              <w:pageBreakBefore w:val="0"/>
              <w:kinsoku/>
              <w:wordWrap/>
              <w:overflowPunct/>
              <w:topLinePunct w:val="0"/>
              <w:bidi w:val="0"/>
              <w:spacing w:after="0" w:line="240" w:lineRule="auto"/>
              <w:ind w:left="0" w:leftChars="0" w:firstLine="420" w:firstLineChars="20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发包人提供的材料和工程设备包括：【详见合同附件</w:t>
            </w:r>
            <w:r>
              <w:rPr>
                <w:rFonts w:hint="eastAsia" w:ascii="宋体" w:hAnsi="宋体" w:eastAsia="宋体" w:cs="宋体"/>
                <w:b w:val="0"/>
                <w:bCs/>
                <w:color w:val="auto"/>
                <w:sz w:val="21"/>
                <w:szCs w:val="21"/>
                <w:highlight w:val="none"/>
                <w:lang w:eastAsia="zh-CN"/>
              </w:rPr>
              <w:t>九</w:t>
            </w:r>
            <w:r>
              <w:rPr>
                <w:rFonts w:hint="eastAsia" w:ascii="宋体" w:hAnsi="宋体" w:eastAsia="宋体" w:cs="宋体"/>
                <w:b w:val="0"/>
                <w:bCs/>
                <w:color w:val="auto"/>
                <w:sz w:val="21"/>
                <w:szCs w:val="21"/>
                <w:highlight w:val="none"/>
              </w:rPr>
              <w:t>】</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材料和工程设备的规格、数量、价格、交货方式、交货地点和计划交货日期：</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宋体" w:hAnsi="宋体" w:eastAsia="宋体" w:cs="宋体"/>
                <w:color w:val="auto"/>
                <w:sz w:val="21"/>
                <w:szCs w:val="21"/>
                <w:highlight w:val="none"/>
                <w:u w:val="single"/>
              </w:rPr>
            </w:pPr>
            <w:permStart w:id="39" w:edGrp="everyone"/>
            <w:r>
              <w:rPr>
                <w:rFonts w:hint="eastAsia" w:ascii="宋体" w:hAnsi="宋体" w:eastAsia="宋体" w:cs="宋体"/>
                <w:color w:val="auto"/>
                <w:sz w:val="21"/>
                <w:szCs w:val="21"/>
                <w:highlight w:val="none"/>
                <w:u w:val="single"/>
              </w:rPr>
              <w:t xml:space="preserve">                                                                       </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由项目发包人提供的设备、材料的交货地点在临时仓库。承包人必须设置相应的临时仓库，所设的临时仓库应具备汽车送达、吊车作业的条件。承包人负责进行卸车、到货验收（到货验收包括清点数量、验品种、型号、规格等常规验收以及配合质量验收）。临时仓库的设置和管理需满足中国南方电网有限责任公司相关规定和要求。</w:t>
            </w:r>
          </w:p>
          <w:permEnd w:id="39"/>
          <w:p>
            <w:pPr>
              <w:pStyle w:val="16"/>
              <w:keepNext w:val="0"/>
              <w:keepLines w:val="0"/>
              <w:pageBreakBefore w:val="0"/>
              <w:kinsoku/>
              <w:wordWrap/>
              <w:overflowPunct/>
              <w:topLinePunct w:val="0"/>
              <w:bidi w:val="0"/>
              <w:spacing w:after="0" w:line="240" w:lineRule="auto"/>
              <w:ind w:left="0" w:leftChars="0" w:firstLine="420" w:firstLineChars="20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除发包人提供的材料和工程设备外，其余均由承包人提供。</w:t>
            </w:r>
          </w:p>
          <w:p>
            <w:pPr>
              <w:pStyle w:val="16"/>
              <w:keepNext w:val="0"/>
              <w:keepLines w:val="0"/>
              <w:pageBreakBefore w:val="0"/>
              <w:kinsoku/>
              <w:wordWrap/>
              <w:overflowPunct/>
              <w:topLinePunct w:val="0"/>
              <w:bidi w:val="0"/>
              <w:spacing w:after="0" w:line="240" w:lineRule="auto"/>
              <w:ind w:left="0" w:leftChars="0" w:firstLine="420" w:firstLineChars="20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发包人供应的材料和工程设备，承包人清点后由承包人妥善保管，保管费用由发包人承担，但已标价工程量清单或预算书已经列支或专用合同条款另有约定除外。因承包人原因发生丢失毁损的，由承包人负责赔偿；工程师未通知承包人清点的，承包人不负责材料和工程设备的保管，由此导致丢失毁损的由发包人负责。</w:t>
            </w:r>
          </w:p>
          <w:p>
            <w:pPr>
              <w:pStyle w:val="16"/>
              <w:keepNext w:val="0"/>
              <w:keepLines w:val="0"/>
              <w:pageBreakBefore w:val="0"/>
              <w:kinsoku/>
              <w:wordWrap/>
              <w:overflowPunct/>
              <w:topLinePunct w:val="0"/>
              <w:bidi w:val="0"/>
              <w:spacing w:after="0" w:line="240" w:lineRule="auto"/>
              <w:ind w:left="0" w:leftChars="0" w:firstLine="420" w:firstLineChars="20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发包人供应的材料和工程设备使用前，由承包人负责检验，检验费用由发包人承担，不合格的不得使用。</w:t>
            </w:r>
          </w:p>
          <w:p>
            <w:pPr>
              <w:pStyle w:val="16"/>
              <w:keepNext w:val="0"/>
              <w:keepLines w:val="0"/>
              <w:pageBreakBefore w:val="0"/>
              <w:kinsoku/>
              <w:wordWrap/>
              <w:overflowPunct/>
              <w:topLinePunct w:val="0"/>
              <w:bidi w:val="0"/>
              <w:spacing w:after="0" w:line="240" w:lineRule="auto"/>
              <w:ind w:left="0" w:leftChars="0" w:firstLine="0" w:firstLineChars="0"/>
              <w:textAlignment w:val="auto"/>
              <w:rPr>
                <w:rFonts w:hint="eastAsia" w:ascii="宋体" w:hAnsi="宋体" w:eastAsia="宋体" w:cs="宋体"/>
                <w:b w:val="0"/>
                <w:bCs/>
                <w:color w:val="auto"/>
                <w:sz w:val="21"/>
                <w:szCs w:val="21"/>
                <w:highlight w:val="none"/>
              </w:rPr>
            </w:pPr>
          </w:p>
        </w:tc>
        <w:tc>
          <w:tcPr>
            <w:tcW w:w="687" w:type="dxa"/>
            <w:noWrap w:val="0"/>
            <w:vAlign w:val="center"/>
          </w:tcPr>
          <w:p>
            <w:pPr>
              <w:keepNext w:val="0"/>
              <w:keepLines w:val="0"/>
              <w:pageBreakBefore w:val="0"/>
              <w:widowControl/>
              <w:kinsoku/>
              <w:wordWrap/>
              <w:overflowPunct/>
              <w:topLinePunct w:val="0"/>
              <w:bidi w:val="0"/>
              <w:spacing w:line="240" w:lineRule="auto"/>
              <w:ind w:firstLine="0" w:firstLineChars="0"/>
              <w:jc w:val="left"/>
              <w:textAlignment w:val="auto"/>
              <w:rPr>
                <w:rFonts w:hint="eastAsia" w:ascii="宋体" w:hAnsi="宋体" w:eastAsia="宋体" w:cs="宋体"/>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82" w:type="dxa"/>
            <w:noWrap w:val="0"/>
            <w:vAlign w:val="center"/>
          </w:tcPr>
          <w:p>
            <w:pPr>
              <w:pStyle w:val="15"/>
              <w:keepNext w:val="0"/>
              <w:keepLines w:val="0"/>
              <w:pageBreakBefore w:val="0"/>
              <w:widowControl w:val="0"/>
              <w:numPr>
                <w:ilvl w:val="0"/>
                <w:numId w:val="1"/>
              </w:numPr>
              <w:kinsoku/>
              <w:wordWrap/>
              <w:overflowPunct/>
              <w:topLinePunct w:val="0"/>
              <w:autoSpaceDE/>
              <w:autoSpaceDN/>
              <w:bidi w:val="0"/>
              <w:adjustRightInd w:val="0"/>
              <w:snapToGrid w:val="0"/>
              <w:spacing w:line="240" w:lineRule="auto"/>
              <w:ind w:left="0" w:firstLine="0" w:firstLineChars="0"/>
              <w:jc w:val="center"/>
              <w:textAlignment w:val="auto"/>
              <w:rPr>
                <w:rFonts w:hint="eastAsia" w:ascii="宋体" w:hAnsi="宋体" w:eastAsia="宋体" w:cs="宋体"/>
                <w:color w:val="auto"/>
                <w:kern w:val="0"/>
                <w:sz w:val="21"/>
                <w:szCs w:val="21"/>
                <w:highlight w:val="none"/>
              </w:rPr>
            </w:pPr>
          </w:p>
        </w:tc>
        <w:tc>
          <w:tcPr>
            <w:tcW w:w="1108" w:type="dxa"/>
            <w:noWrap w:val="0"/>
            <w:vAlign w:val="center"/>
          </w:tcPr>
          <w:p>
            <w:pPr>
              <w:pStyle w:val="15"/>
              <w:keepNext w:val="0"/>
              <w:keepLines w:val="0"/>
              <w:pageBreakBefore w:val="0"/>
              <w:numPr>
                <w:ilvl w:val="0"/>
                <w:numId w:val="0"/>
              </w:numPr>
              <w:kinsoku/>
              <w:wordWrap/>
              <w:overflowPunct/>
              <w:topLinePunct w:val="0"/>
              <w:bidi w:val="0"/>
              <w:spacing w:line="240" w:lineRule="auto"/>
              <w:ind w:left="0" w:leftChars="0" w:firstLine="0" w:firstLineChars="0"/>
              <w:textAlignment w:val="auto"/>
              <w:rPr>
                <w:rFonts w:hint="eastAsia" w:ascii="宋体" w:hAnsi="宋体" w:eastAsia="宋体" w:cs="宋体"/>
                <w:color w:val="auto"/>
                <w:kern w:val="0"/>
                <w:sz w:val="21"/>
                <w:szCs w:val="21"/>
                <w:highlight w:val="none"/>
                <w:lang w:val="en-US" w:eastAsia="zh-CN"/>
              </w:rPr>
            </w:pPr>
            <w:r>
              <w:rPr>
                <w:rFonts w:hint="eastAsia" w:ascii="宋体" w:hAnsi="宋体" w:cs="宋体"/>
                <w:color w:val="auto"/>
                <w:kern w:val="0"/>
                <w:sz w:val="21"/>
                <w:szCs w:val="21"/>
                <w:highlight w:val="none"/>
                <w:lang w:val="en-US" w:eastAsia="zh-CN"/>
              </w:rPr>
              <w:t>新增</w:t>
            </w:r>
          </w:p>
        </w:tc>
        <w:tc>
          <w:tcPr>
            <w:tcW w:w="1262" w:type="dxa"/>
            <w:noWrap w:val="0"/>
            <w:vAlign w:val="center"/>
          </w:tcPr>
          <w:p>
            <w:pPr>
              <w:keepNext w:val="0"/>
              <w:keepLines w:val="0"/>
              <w:pageBreakBefore w:val="0"/>
              <w:kinsoku/>
              <w:wordWrap/>
              <w:overflowPunct/>
              <w:topLinePunct w:val="0"/>
              <w:bidi w:val="0"/>
              <w:spacing w:line="240" w:lineRule="auto"/>
              <w:ind w:firstLine="0" w:firstLine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专用合同条款</w:t>
            </w:r>
          </w:p>
          <w:p>
            <w:pPr>
              <w:keepNext w:val="0"/>
              <w:keepLines w:val="0"/>
              <w:pageBreakBefore w:val="0"/>
              <w:kinsoku/>
              <w:wordWrap/>
              <w:overflowPunct/>
              <w:topLinePunct w:val="0"/>
              <w:bidi w:val="0"/>
              <w:spacing w:line="240" w:lineRule="auto"/>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永久设备、材料和工艺</w:t>
            </w:r>
          </w:p>
        </w:tc>
        <w:tc>
          <w:tcPr>
            <w:tcW w:w="5760" w:type="dxa"/>
            <w:noWrap w:val="0"/>
            <w:vAlign w:val="center"/>
          </w:tcPr>
          <w:p>
            <w:pPr>
              <w:keepNext w:val="0"/>
              <w:keepLines w:val="0"/>
              <w:pageBreakBefore w:val="0"/>
              <w:kinsoku/>
              <w:wordWrap/>
              <w:overflowPunct/>
              <w:topLinePunct w:val="0"/>
              <w:autoSpaceDE w:val="0"/>
              <w:autoSpaceDN w:val="0"/>
              <w:bidi w:val="0"/>
              <w:adjustRightInd w:val="0"/>
              <w:snapToGrid w:val="0"/>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无</w:t>
            </w:r>
          </w:p>
        </w:tc>
        <w:tc>
          <w:tcPr>
            <w:tcW w:w="5800" w:type="dxa"/>
            <w:noWrap w:val="0"/>
            <w:vAlign w:val="center"/>
          </w:tcPr>
          <w:p>
            <w:pPr>
              <w:pStyle w:val="16"/>
              <w:keepNext w:val="0"/>
              <w:keepLines w:val="0"/>
              <w:pageBreakBefore w:val="0"/>
              <w:kinsoku/>
              <w:wordWrap/>
              <w:overflowPunct/>
              <w:topLinePunct w:val="0"/>
              <w:bidi w:val="0"/>
              <w:spacing w:after="0" w:line="240" w:lineRule="auto"/>
              <w:ind w:left="0" w:leftChars="0" w:firstLine="420" w:firstLineChars="20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7.10在交通运输条件满足的情况下，优先选择流动式起重机、落地双平臂抱杆（含智能平衡臂抱杆）、落地单动臂抱杆等安全性能强、机械化程度高的组塔施工方法。</w:t>
            </w:r>
          </w:p>
        </w:tc>
        <w:tc>
          <w:tcPr>
            <w:tcW w:w="687" w:type="dxa"/>
            <w:noWrap w:val="0"/>
            <w:vAlign w:val="center"/>
          </w:tcPr>
          <w:p>
            <w:pPr>
              <w:keepNext w:val="0"/>
              <w:keepLines w:val="0"/>
              <w:pageBreakBefore w:val="0"/>
              <w:widowControl/>
              <w:kinsoku/>
              <w:wordWrap/>
              <w:overflowPunct/>
              <w:topLinePunct w:val="0"/>
              <w:bidi w:val="0"/>
              <w:spacing w:line="240" w:lineRule="auto"/>
              <w:ind w:firstLine="0" w:firstLineChars="0"/>
              <w:jc w:val="left"/>
              <w:textAlignment w:val="auto"/>
              <w:rPr>
                <w:rFonts w:hint="eastAsia" w:ascii="宋体" w:hAnsi="宋体" w:eastAsia="宋体" w:cs="宋体"/>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82" w:type="dxa"/>
            <w:noWrap w:val="0"/>
            <w:vAlign w:val="center"/>
          </w:tcPr>
          <w:p>
            <w:pPr>
              <w:pStyle w:val="15"/>
              <w:keepNext w:val="0"/>
              <w:keepLines w:val="0"/>
              <w:pageBreakBefore w:val="0"/>
              <w:widowControl w:val="0"/>
              <w:numPr>
                <w:ilvl w:val="0"/>
                <w:numId w:val="1"/>
              </w:numPr>
              <w:kinsoku/>
              <w:wordWrap/>
              <w:overflowPunct/>
              <w:topLinePunct w:val="0"/>
              <w:autoSpaceDE/>
              <w:autoSpaceDN/>
              <w:bidi w:val="0"/>
              <w:adjustRightInd w:val="0"/>
              <w:snapToGrid w:val="0"/>
              <w:spacing w:line="240" w:lineRule="auto"/>
              <w:ind w:left="0" w:firstLine="0" w:firstLineChars="0"/>
              <w:jc w:val="center"/>
              <w:textAlignment w:val="auto"/>
              <w:rPr>
                <w:rFonts w:hint="eastAsia" w:ascii="宋体" w:hAnsi="宋体" w:eastAsia="宋体" w:cs="宋体"/>
                <w:color w:val="auto"/>
                <w:kern w:val="0"/>
                <w:sz w:val="21"/>
                <w:szCs w:val="21"/>
                <w:highlight w:val="none"/>
              </w:rPr>
            </w:pPr>
          </w:p>
        </w:tc>
        <w:tc>
          <w:tcPr>
            <w:tcW w:w="1108" w:type="dxa"/>
            <w:noWrap w:val="0"/>
            <w:vAlign w:val="center"/>
          </w:tcPr>
          <w:p>
            <w:pPr>
              <w:pStyle w:val="15"/>
              <w:keepNext w:val="0"/>
              <w:keepLines w:val="0"/>
              <w:pageBreakBefore w:val="0"/>
              <w:numPr>
                <w:ilvl w:val="0"/>
                <w:numId w:val="0"/>
              </w:numPr>
              <w:kinsoku/>
              <w:wordWrap/>
              <w:overflowPunct/>
              <w:topLinePunct w:val="0"/>
              <w:bidi w:val="0"/>
              <w:spacing w:line="240" w:lineRule="auto"/>
              <w:ind w:left="0" w:leftChars="0" w:firstLine="0" w:firstLineChars="0"/>
              <w:textAlignment w:val="auto"/>
              <w:rPr>
                <w:rFonts w:hint="eastAsia" w:ascii="宋体" w:hAnsi="宋体" w:eastAsia="宋体" w:cs="宋体"/>
                <w:color w:val="auto"/>
                <w:kern w:val="0"/>
                <w:sz w:val="21"/>
                <w:szCs w:val="21"/>
                <w:highlight w:val="none"/>
                <w:lang w:val="en-US" w:eastAsia="zh-CN"/>
              </w:rPr>
            </w:pPr>
            <w:r>
              <w:rPr>
                <w:rFonts w:hint="eastAsia" w:ascii="宋体" w:hAnsi="宋体" w:cs="宋体"/>
                <w:color w:val="auto"/>
                <w:kern w:val="0"/>
                <w:sz w:val="21"/>
                <w:szCs w:val="21"/>
                <w:highlight w:val="none"/>
                <w:lang w:val="en-US" w:eastAsia="zh-CN"/>
              </w:rPr>
              <w:t>修改</w:t>
            </w:r>
          </w:p>
        </w:tc>
        <w:tc>
          <w:tcPr>
            <w:tcW w:w="1262" w:type="dxa"/>
            <w:noWrap w:val="0"/>
            <w:vAlign w:val="center"/>
          </w:tcPr>
          <w:p>
            <w:pPr>
              <w:keepNext w:val="0"/>
              <w:keepLines w:val="0"/>
              <w:pageBreakBefore w:val="0"/>
              <w:kinsoku/>
              <w:wordWrap/>
              <w:overflowPunct/>
              <w:topLinePunct w:val="0"/>
              <w:bidi w:val="0"/>
              <w:spacing w:line="240" w:lineRule="auto"/>
              <w:ind w:firstLine="0" w:firstLine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专用合同条款</w:t>
            </w:r>
          </w:p>
          <w:p>
            <w:pPr>
              <w:keepNext w:val="0"/>
              <w:keepLines w:val="0"/>
              <w:pageBreakBefore w:val="0"/>
              <w:kinsoku/>
              <w:wordWrap/>
              <w:overflowPunct/>
              <w:topLinePunct w:val="0"/>
              <w:bidi w:val="0"/>
              <w:spacing w:line="240" w:lineRule="auto"/>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 变更程序 </w:t>
            </w:r>
          </w:p>
        </w:tc>
        <w:tc>
          <w:tcPr>
            <w:tcW w:w="5760" w:type="dxa"/>
            <w:noWrap w:val="0"/>
            <w:vAlign w:val="center"/>
          </w:tcPr>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13.3.1 变更估价的原则 </w:t>
            </w:r>
          </w:p>
          <w:p>
            <w:pPr>
              <w:pStyle w:val="6"/>
              <w:keepNext w:val="0"/>
              <w:keepLines w:val="0"/>
              <w:pageBreakBefore w:val="0"/>
              <w:kinsoku/>
              <w:wordWrap/>
              <w:overflowPunct/>
              <w:topLinePunct w:val="0"/>
              <w:bidi w:val="0"/>
              <w:spacing w:after="0" w:line="240" w:lineRule="auto"/>
              <w:ind w:left="0" w:leftChars="0" w:firstLine="422" w:firstLineChars="200"/>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（一）清单计价模式：</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（1）一般规定</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以下事项（但不限于）发生，发承包双方应当按合同约定调整合同价款：</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 法律法规变化。</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（b）工程变更。</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（c）项目特征描述不符。</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（d）工程量清单缺项。</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（e）工程量偏差。</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（f）发承包双方约定的其他调整事项。</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（2）如发包人与承包人对合同价款调整不能达成一致</w:t>
            </w:r>
            <w:r>
              <w:rPr>
                <w:rFonts w:hint="eastAsia" w:ascii="宋体" w:hAnsi="宋体" w:eastAsia="宋体" w:cs="宋体"/>
                <w:color w:val="auto"/>
                <w:sz w:val="21"/>
                <w:szCs w:val="21"/>
                <w:highlight w:val="none"/>
                <w:lang w:val="en-US" w:eastAsia="zh-CN"/>
              </w:rPr>
              <w:t>意见</w:t>
            </w:r>
            <w:r>
              <w:rPr>
                <w:rFonts w:hint="eastAsia" w:ascii="宋体" w:hAnsi="宋体" w:eastAsia="宋体" w:cs="宋体"/>
                <w:color w:val="auto"/>
                <w:sz w:val="21"/>
                <w:szCs w:val="21"/>
                <w:highlight w:val="none"/>
              </w:rPr>
              <w:t>的，只要不实质影响发承包双方履约的，双方应继续履行合同义务，直到其按照合同约定的争议解决方式得到处理。</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（3）经发承包双方确认调整的合同价款，作为追加（减)合同价款，与工程进度款或结算款同期支付。</w:t>
            </w:r>
          </w:p>
          <w:p>
            <w:pPr>
              <w:keepNext w:val="0"/>
              <w:keepLines w:val="0"/>
              <w:pageBreakBefore w:val="0"/>
              <w:kinsoku/>
              <w:wordWrap/>
              <w:overflowPunct/>
              <w:topLinePunct w:val="0"/>
              <w:autoSpaceDE w:val="0"/>
              <w:autoSpaceDN w:val="0"/>
              <w:bidi w:val="0"/>
              <w:adjustRightInd w:val="0"/>
              <w:snapToGrid w:val="0"/>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（4）本次中标合同价款中总价包干部分，一般不予调整；中标合同价款中的错项（含漏项、多项）结算时视为已包括在其他工程子项的报价中，不予调整。</w:t>
            </w:r>
          </w:p>
        </w:tc>
        <w:tc>
          <w:tcPr>
            <w:tcW w:w="5800" w:type="dxa"/>
            <w:noWrap w:val="0"/>
            <w:vAlign w:val="center"/>
          </w:tcPr>
          <w:p>
            <w:pPr>
              <w:pStyle w:val="6"/>
              <w:keepNext w:val="0"/>
              <w:keepLines w:val="0"/>
              <w:pageBreakBefore w:val="0"/>
              <w:kinsoku/>
              <w:wordWrap/>
              <w:overflowPunct/>
              <w:topLinePunct w:val="0"/>
              <w:bidi w:val="0"/>
              <w:spacing w:after="0" w:line="240" w:lineRule="auto"/>
              <w:ind w:left="0" w:leftChars="0" w:firstLine="0" w:firstLineChars="0"/>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13.3.1 变更估价的原则 </w:t>
            </w:r>
          </w:p>
          <w:p>
            <w:pPr>
              <w:pStyle w:val="6"/>
              <w:keepNext w:val="0"/>
              <w:keepLines w:val="0"/>
              <w:pageBreakBefore w:val="0"/>
              <w:kinsoku/>
              <w:wordWrap/>
              <w:overflowPunct/>
              <w:topLinePunct w:val="0"/>
              <w:bidi w:val="0"/>
              <w:spacing w:after="0" w:line="240" w:lineRule="auto"/>
              <w:ind w:left="0" w:leftChars="0" w:firstLine="422" w:firstLineChars="200"/>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（一）清单计价模式：</w:t>
            </w:r>
          </w:p>
          <w:p>
            <w:pPr>
              <w:pStyle w:val="6"/>
              <w:keepNext w:val="0"/>
              <w:keepLines w:val="0"/>
              <w:pageBreakBefore w:val="0"/>
              <w:kinsoku/>
              <w:wordWrap/>
              <w:overflowPunct/>
              <w:topLinePunct w:val="0"/>
              <w:bidi w:val="0"/>
              <w:spacing w:after="0" w:line="240" w:lineRule="auto"/>
              <w:ind w:left="0" w:leftChars="0" w:firstLine="420" w:firstLineChars="200"/>
              <w:textAlignment w:val="auto"/>
              <w:outlineLvl w:val="9"/>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 xml:space="preserve">（1）一般规定 </w:t>
            </w:r>
          </w:p>
          <w:p>
            <w:pPr>
              <w:pStyle w:val="6"/>
              <w:keepNext w:val="0"/>
              <w:keepLines w:val="0"/>
              <w:pageBreakBefore w:val="0"/>
              <w:kinsoku/>
              <w:wordWrap/>
              <w:overflowPunct/>
              <w:topLinePunct w:val="0"/>
              <w:bidi w:val="0"/>
              <w:spacing w:after="0" w:line="240" w:lineRule="auto"/>
              <w:ind w:left="0" w:leftChars="0" w:firstLine="420" w:firstLineChars="200"/>
              <w:textAlignment w:val="auto"/>
              <w:outlineLvl w:val="9"/>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 xml:space="preserve">以下事项（但不限于）发生，发承包双方应当按合同约定调整合同价款： </w:t>
            </w:r>
          </w:p>
          <w:p>
            <w:pPr>
              <w:pStyle w:val="6"/>
              <w:keepNext w:val="0"/>
              <w:keepLines w:val="0"/>
              <w:pageBreakBefore w:val="0"/>
              <w:kinsoku/>
              <w:wordWrap/>
              <w:overflowPunct/>
              <w:topLinePunct w:val="0"/>
              <w:bidi w:val="0"/>
              <w:spacing w:after="0" w:line="240" w:lineRule="auto"/>
              <w:ind w:left="0" w:leftChars="0" w:firstLine="420" w:firstLineChars="200"/>
              <w:textAlignment w:val="auto"/>
              <w:outlineLvl w:val="9"/>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（a） 法律法规变化。</w:t>
            </w:r>
          </w:p>
          <w:p>
            <w:pPr>
              <w:pStyle w:val="6"/>
              <w:keepNext w:val="0"/>
              <w:keepLines w:val="0"/>
              <w:pageBreakBefore w:val="0"/>
              <w:kinsoku/>
              <w:wordWrap/>
              <w:overflowPunct/>
              <w:topLinePunct w:val="0"/>
              <w:bidi w:val="0"/>
              <w:spacing w:after="0" w:line="240" w:lineRule="auto"/>
              <w:ind w:left="0" w:leftChars="0" w:firstLine="420" w:firstLineChars="200"/>
              <w:textAlignment w:val="auto"/>
              <w:outlineLvl w:val="9"/>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（b）工程变更。</w:t>
            </w:r>
          </w:p>
          <w:p>
            <w:pPr>
              <w:pStyle w:val="6"/>
              <w:keepNext w:val="0"/>
              <w:keepLines w:val="0"/>
              <w:pageBreakBefore w:val="0"/>
              <w:kinsoku/>
              <w:wordWrap/>
              <w:overflowPunct/>
              <w:topLinePunct w:val="0"/>
              <w:bidi w:val="0"/>
              <w:spacing w:after="0" w:line="240" w:lineRule="auto"/>
              <w:ind w:left="0" w:leftChars="0" w:firstLine="420" w:firstLineChars="200"/>
              <w:textAlignment w:val="auto"/>
              <w:outlineLvl w:val="9"/>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（c）项目特征描述不符。</w:t>
            </w:r>
          </w:p>
          <w:p>
            <w:pPr>
              <w:pStyle w:val="6"/>
              <w:keepNext w:val="0"/>
              <w:keepLines w:val="0"/>
              <w:pageBreakBefore w:val="0"/>
              <w:kinsoku/>
              <w:wordWrap/>
              <w:overflowPunct/>
              <w:topLinePunct w:val="0"/>
              <w:bidi w:val="0"/>
              <w:spacing w:after="0" w:line="240" w:lineRule="auto"/>
              <w:ind w:left="0" w:leftChars="0" w:firstLine="420" w:firstLineChars="200"/>
              <w:textAlignment w:val="auto"/>
              <w:outlineLvl w:val="9"/>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（d）工程量清单缺项。</w:t>
            </w:r>
          </w:p>
          <w:p>
            <w:pPr>
              <w:pStyle w:val="6"/>
              <w:keepNext w:val="0"/>
              <w:keepLines w:val="0"/>
              <w:pageBreakBefore w:val="0"/>
              <w:kinsoku/>
              <w:wordWrap/>
              <w:overflowPunct/>
              <w:topLinePunct w:val="0"/>
              <w:bidi w:val="0"/>
              <w:spacing w:after="0" w:line="240" w:lineRule="auto"/>
              <w:ind w:left="0" w:leftChars="0" w:firstLine="420" w:firstLineChars="200"/>
              <w:textAlignment w:val="auto"/>
              <w:outlineLvl w:val="9"/>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（e）工程量偏差。</w:t>
            </w:r>
          </w:p>
          <w:p>
            <w:pPr>
              <w:pStyle w:val="6"/>
              <w:keepNext w:val="0"/>
              <w:keepLines w:val="0"/>
              <w:pageBreakBefore w:val="0"/>
              <w:kinsoku/>
              <w:wordWrap/>
              <w:overflowPunct/>
              <w:topLinePunct w:val="0"/>
              <w:bidi w:val="0"/>
              <w:spacing w:after="0" w:line="240" w:lineRule="auto"/>
              <w:ind w:left="0" w:leftChars="0" w:firstLine="420" w:firstLineChars="200"/>
              <w:textAlignment w:val="auto"/>
              <w:outlineLvl w:val="9"/>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（f）发承包双方约定的其他调整事项。</w:t>
            </w:r>
          </w:p>
          <w:p>
            <w:pPr>
              <w:pStyle w:val="6"/>
              <w:keepNext w:val="0"/>
              <w:keepLines w:val="0"/>
              <w:pageBreakBefore w:val="0"/>
              <w:kinsoku/>
              <w:wordWrap/>
              <w:overflowPunct/>
              <w:topLinePunct w:val="0"/>
              <w:bidi w:val="0"/>
              <w:spacing w:after="0" w:line="240" w:lineRule="auto"/>
              <w:ind w:left="0" w:leftChars="0" w:firstLine="420" w:firstLineChars="200"/>
              <w:textAlignment w:val="auto"/>
              <w:outlineLvl w:val="9"/>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（2）如发包人与承包人对合同价款调整的不同意见不能达成一致的，只要不实质影响发承包双方履约的，双方应继续履行合同义务，直到其按照合同约定的争议解决方式得到处理。</w:t>
            </w:r>
          </w:p>
          <w:p>
            <w:pPr>
              <w:pStyle w:val="6"/>
              <w:keepNext w:val="0"/>
              <w:keepLines w:val="0"/>
              <w:pageBreakBefore w:val="0"/>
              <w:kinsoku/>
              <w:wordWrap/>
              <w:overflowPunct/>
              <w:topLinePunct w:val="0"/>
              <w:bidi w:val="0"/>
              <w:spacing w:after="0" w:line="240" w:lineRule="auto"/>
              <w:ind w:left="0" w:leftChars="0" w:firstLine="420" w:firstLineChars="200"/>
              <w:textAlignment w:val="auto"/>
              <w:outlineLvl w:val="9"/>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（3）经发承包双方确认调整的合同价款，作为追加（减)合同价款，与工程进度款或结算款同期支付。</w:t>
            </w:r>
          </w:p>
          <w:p>
            <w:pPr>
              <w:pStyle w:val="6"/>
              <w:keepNext w:val="0"/>
              <w:keepLines w:val="0"/>
              <w:pageBreakBefore w:val="0"/>
              <w:kinsoku/>
              <w:wordWrap/>
              <w:overflowPunct/>
              <w:topLinePunct w:val="0"/>
              <w:bidi w:val="0"/>
              <w:spacing w:after="0" w:line="240" w:lineRule="auto"/>
              <w:ind w:left="0" w:leftChars="0" w:firstLine="420" w:firstLineChars="200"/>
              <w:textAlignment w:val="auto"/>
              <w:outlineLvl w:val="9"/>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（4）本次中标合同价款中总价包干部分，一般不予调整；中标合同价款中的漏项、错项结算时视为已包括在其他工程子项的报价中，不予调整；除非是以下情况：</w:t>
            </w:r>
          </w:p>
          <w:p>
            <w:pPr>
              <w:pStyle w:val="6"/>
              <w:keepNext w:val="0"/>
              <w:keepLines w:val="0"/>
              <w:pageBreakBefore w:val="0"/>
              <w:kinsoku/>
              <w:wordWrap/>
              <w:overflowPunct/>
              <w:topLinePunct w:val="0"/>
              <w:bidi w:val="0"/>
              <w:spacing w:after="0" w:line="240" w:lineRule="auto"/>
              <w:ind w:left="0" w:leftChars="0" w:firstLine="420" w:firstLineChars="200"/>
              <w:textAlignment w:val="auto"/>
              <w:outlineLvl w:val="9"/>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（a）合同约定可调整的；</w:t>
            </w:r>
          </w:p>
          <w:p>
            <w:pPr>
              <w:pStyle w:val="6"/>
              <w:keepNext w:val="0"/>
              <w:keepLines w:val="0"/>
              <w:pageBreakBefore w:val="0"/>
              <w:kinsoku/>
              <w:wordWrap/>
              <w:overflowPunct/>
              <w:topLinePunct w:val="0"/>
              <w:bidi w:val="0"/>
              <w:spacing w:after="0" w:line="240" w:lineRule="auto"/>
              <w:ind w:left="0" w:leftChars="0" w:firstLine="420" w:firstLineChars="200"/>
              <w:textAlignment w:val="auto"/>
              <w:outlineLvl w:val="9"/>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（b）如有超出或减少正常承包范围时，超出或减少部分按照本款第（5）点确定原则计算。</w:t>
            </w:r>
          </w:p>
          <w:p>
            <w:pPr>
              <w:pStyle w:val="6"/>
              <w:keepNext w:val="0"/>
              <w:keepLines w:val="0"/>
              <w:pageBreakBefore w:val="0"/>
              <w:kinsoku/>
              <w:wordWrap/>
              <w:overflowPunct/>
              <w:topLinePunct w:val="0"/>
              <w:bidi w:val="0"/>
              <w:spacing w:after="0" w:line="240" w:lineRule="auto"/>
              <w:ind w:left="0" w:leftChars="0" w:firstLine="420" w:firstLineChars="200"/>
              <w:textAlignment w:val="auto"/>
              <w:outlineLvl w:val="9"/>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 xml:space="preserve">（5）本次中标合同价款中综合单价计价部分，综合单价确定原则： </w:t>
            </w:r>
          </w:p>
          <w:p>
            <w:pPr>
              <w:pStyle w:val="6"/>
              <w:keepNext w:val="0"/>
              <w:keepLines w:val="0"/>
              <w:pageBreakBefore w:val="0"/>
              <w:kinsoku/>
              <w:wordWrap/>
              <w:overflowPunct/>
              <w:topLinePunct w:val="0"/>
              <w:bidi w:val="0"/>
              <w:spacing w:after="0" w:line="240" w:lineRule="auto"/>
              <w:ind w:left="0" w:leftChars="0" w:firstLine="420" w:firstLineChars="200"/>
              <w:textAlignment w:val="auto"/>
              <w:outlineLvl w:val="9"/>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（a）已标价工程量清单或预算书有相同项目的，工程量偏差在±15%内时，按照相同项目单价认定；</w:t>
            </w:r>
          </w:p>
          <w:p>
            <w:pPr>
              <w:pStyle w:val="6"/>
              <w:keepNext w:val="0"/>
              <w:keepLines w:val="0"/>
              <w:pageBreakBefore w:val="0"/>
              <w:kinsoku/>
              <w:wordWrap/>
              <w:overflowPunct/>
              <w:topLinePunct w:val="0"/>
              <w:bidi w:val="0"/>
              <w:spacing w:after="0" w:line="240" w:lineRule="auto"/>
              <w:ind w:left="0" w:leftChars="0" w:firstLine="420" w:firstLineChars="200"/>
              <w:textAlignment w:val="auto"/>
              <w:outlineLvl w:val="9"/>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（b）已标价工程量清单或预算书中无相同项目，但有类似项目的，参照类似项目的单价认定（中标单价偏离市场价（市场价格及现行定额水平）20%时，重新组价）；</w:t>
            </w:r>
          </w:p>
          <w:p>
            <w:pPr>
              <w:pStyle w:val="6"/>
              <w:keepNext w:val="0"/>
              <w:keepLines w:val="0"/>
              <w:pageBreakBefore w:val="0"/>
              <w:kinsoku/>
              <w:wordWrap/>
              <w:overflowPunct/>
              <w:topLinePunct w:val="0"/>
              <w:bidi w:val="0"/>
              <w:spacing w:after="0" w:line="240" w:lineRule="auto"/>
              <w:ind w:left="0" w:leftChars="0" w:firstLine="420" w:firstLineChars="200"/>
              <w:textAlignment w:val="auto"/>
              <w:outlineLvl w:val="9"/>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c）实际完成工程量对比招标工程量清单偏差超过±15%时，对增加部分的工程量，按投标报价和市场价格（市场价格及现行定额水平）乘中标下浮率，取两者中较低价进行计算；对减少部分的工程量，按投标报价和市场价格（市场价格及现行定额水平）乘中标下浮率，按两者中较高价进行扣除。</w:t>
            </w:r>
          </w:p>
          <w:p>
            <w:pPr>
              <w:pStyle w:val="6"/>
              <w:keepNext w:val="0"/>
              <w:keepLines w:val="0"/>
              <w:pageBreakBefore w:val="0"/>
              <w:kinsoku/>
              <w:wordWrap/>
              <w:overflowPunct/>
              <w:topLinePunct w:val="0"/>
              <w:bidi w:val="0"/>
              <w:spacing w:after="0" w:line="240" w:lineRule="auto"/>
              <w:ind w:left="0" w:leftChars="0" w:firstLine="420" w:firstLineChars="200"/>
              <w:textAlignment w:val="auto"/>
              <w:outlineLvl w:val="9"/>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d）施工图施工工艺与招标工程量清单或招标技术规范书描述的施工工艺发生重大变化，造成合同单价组价项目特征发生较大变化。由此引起综合单价依据统一原则（招标文件约定的计价依据）进行前后测算之差(不以合同单价为对比数，以计价依据重新组价）变化超过±30%的，双方协商双向调整变化超过±30%部分的单价。</w:t>
            </w:r>
          </w:p>
          <w:p>
            <w:pPr>
              <w:pStyle w:val="6"/>
              <w:keepNext w:val="0"/>
              <w:keepLines w:val="0"/>
              <w:pageBreakBefore w:val="0"/>
              <w:kinsoku/>
              <w:wordWrap/>
              <w:overflowPunct/>
              <w:topLinePunct w:val="0"/>
              <w:bidi w:val="0"/>
              <w:spacing w:after="0" w:line="240" w:lineRule="auto"/>
              <w:ind w:left="0" w:leftChars="0" w:firstLine="420" w:firstLineChars="200"/>
              <w:textAlignment w:val="auto"/>
              <w:outlineLvl w:val="9"/>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e）招标工程量清单中没有适用也没有类似于变更工程项目的，由承包人根据变更工程资料、计量规则和计价办法、工程造价管理机构发布的信息价格和承包人报价浮动率提出变更工程项目的综合单价，报发包人确认后调整。承包人报价浮动率可按下列公式计算。</w:t>
            </w:r>
          </w:p>
          <w:p>
            <w:pPr>
              <w:pStyle w:val="6"/>
              <w:keepNext w:val="0"/>
              <w:keepLines w:val="0"/>
              <w:pageBreakBefore w:val="0"/>
              <w:kinsoku/>
              <w:wordWrap/>
              <w:overflowPunct/>
              <w:topLinePunct w:val="0"/>
              <w:bidi w:val="0"/>
              <w:spacing w:after="0" w:line="240" w:lineRule="auto"/>
              <w:ind w:left="0" w:leftChars="0" w:firstLine="420" w:firstLineChars="200"/>
              <w:textAlignment w:val="auto"/>
              <w:outlineLvl w:val="9"/>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招标工程：承包人报价浮动率L=（1-中标价/招标控制价)×100%;</w:t>
            </w:r>
          </w:p>
          <w:p>
            <w:pPr>
              <w:pStyle w:val="6"/>
              <w:keepNext w:val="0"/>
              <w:keepLines w:val="0"/>
              <w:pageBreakBefore w:val="0"/>
              <w:kinsoku/>
              <w:wordWrap/>
              <w:overflowPunct/>
              <w:topLinePunct w:val="0"/>
              <w:bidi w:val="0"/>
              <w:spacing w:after="0" w:line="240" w:lineRule="auto"/>
              <w:ind w:left="0" w:leftChars="0" w:firstLine="420" w:firstLineChars="200"/>
              <w:textAlignment w:val="auto"/>
              <w:outlineLvl w:val="9"/>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非招标工程：承包人报价浮动率L=（1-报价值/施工图预算)×100%;</w:t>
            </w:r>
          </w:p>
          <w:p>
            <w:pPr>
              <w:pStyle w:val="6"/>
              <w:keepNext w:val="0"/>
              <w:keepLines w:val="0"/>
              <w:pageBreakBefore w:val="0"/>
              <w:kinsoku/>
              <w:wordWrap/>
              <w:overflowPunct/>
              <w:topLinePunct w:val="0"/>
              <w:bidi w:val="0"/>
              <w:spacing w:after="0" w:line="240" w:lineRule="auto"/>
              <w:ind w:left="0" w:leftChars="0" w:firstLine="420" w:firstLineChars="200"/>
              <w:textAlignment w:val="auto"/>
              <w:outlineLvl w:val="9"/>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 xml:space="preserve"> 招标工程量清单中没有适用也没有类似于变更工程项目，且工程造价管理机构发布的信息价格缺价的，由承包人根据变更工程资料、计量规则、计价办法和通过市场调整等取得有合法依据的市场价格提出变更工程项目的综合单价，报发包人确认后调整。</w:t>
            </w:r>
          </w:p>
          <w:p>
            <w:pPr>
              <w:pStyle w:val="6"/>
              <w:keepNext w:val="0"/>
              <w:keepLines w:val="0"/>
              <w:pageBreakBefore w:val="0"/>
              <w:kinsoku/>
              <w:wordWrap/>
              <w:overflowPunct/>
              <w:topLinePunct w:val="0"/>
              <w:bidi w:val="0"/>
              <w:spacing w:after="0" w:line="240" w:lineRule="auto"/>
              <w:ind w:left="0" w:leftChars="0" w:firstLine="420" w:firstLineChars="200"/>
              <w:textAlignment w:val="auto"/>
              <w:outlineLvl w:val="9"/>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（6）甲供材料及设备的卸车费、保管费为固定包干价，结算时不予任何调整。</w:t>
            </w:r>
          </w:p>
          <w:p>
            <w:pPr>
              <w:pStyle w:val="6"/>
              <w:keepNext w:val="0"/>
              <w:keepLines w:val="0"/>
              <w:pageBreakBefore w:val="0"/>
              <w:kinsoku/>
              <w:wordWrap/>
              <w:overflowPunct/>
              <w:topLinePunct w:val="0"/>
              <w:bidi w:val="0"/>
              <w:spacing w:after="0" w:line="240" w:lineRule="auto"/>
              <w:ind w:left="0" w:leftChars="0" w:firstLine="420" w:firstLineChars="200"/>
              <w:textAlignment w:val="auto"/>
              <w:outlineLvl w:val="9"/>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（7）工程量核查处理：</w:t>
            </w:r>
          </w:p>
          <w:p>
            <w:pPr>
              <w:pStyle w:val="6"/>
              <w:keepNext w:val="0"/>
              <w:keepLines w:val="0"/>
              <w:pageBreakBefore w:val="0"/>
              <w:kinsoku/>
              <w:wordWrap/>
              <w:overflowPunct/>
              <w:topLinePunct w:val="0"/>
              <w:bidi w:val="0"/>
              <w:spacing w:after="0" w:line="240" w:lineRule="auto"/>
              <w:ind w:left="0" w:leftChars="0" w:firstLine="420" w:firstLineChars="200"/>
              <w:textAlignment w:val="auto"/>
              <w:outlineLvl w:val="9"/>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（a） 施工单位未按图施工，造成现场实物工程量与设计量出现偏差时，建设管理单位组织相关单位对现场工程实体复核验证；影响工程性能时，应履行设计变更与现场签证等手续，要求施工单位及时返工，返工工程量不纳入结算。</w:t>
            </w:r>
          </w:p>
          <w:p>
            <w:pPr>
              <w:pStyle w:val="6"/>
              <w:keepNext w:val="0"/>
              <w:keepLines w:val="0"/>
              <w:pageBreakBefore w:val="0"/>
              <w:kinsoku/>
              <w:wordWrap/>
              <w:overflowPunct/>
              <w:topLinePunct w:val="0"/>
              <w:bidi w:val="0"/>
              <w:spacing w:after="0" w:line="240" w:lineRule="auto"/>
              <w:ind w:left="0" w:leftChars="0" w:firstLine="420" w:firstLineChars="200"/>
              <w:textAlignment w:val="auto"/>
              <w:outlineLvl w:val="9"/>
              <w:rPr>
                <w:rFonts w:hint="eastAsia" w:ascii="宋体" w:hAnsi="宋体" w:eastAsia="宋体" w:cs="宋体"/>
                <w:b w:val="0"/>
                <w:bCs/>
                <w:color w:val="auto"/>
                <w:sz w:val="21"/>
                <w:szCs w:val="21"/>
                <w:highlight w:val="none"/>
              </w:rPr>
            </w:pPr>
            <w:r>
              <w:rPr>
                <w:rFonts w:hint="eastAsia" w:ascii="宋体" w:hAnsi="宋体" w:eastAsia="宋体" w:cs="宋体"/>
                <w:color w:val="auto"/>
                <w:sz w:val="21"/>
                <w:szCs w:val="21"/>
                <w:highlight w:val="none"/>
                <w:shd w:val="clear" w:color="auto" w:fill="auto"/>
                <w:lang w:val="en-US" w:eastAsia="zh-CN"/>
              </w:rPr>
              <w:t xml:space="preserve">（b）如发生设计变更工程量需要以现场签证形式确认时，现场签证工程量大于设计量时，以设计量进行结算，超出部分不纳入结算；现场签证工程量小于设计量，以现场实物工程量进行结算。 </w:t>
            </w:r>
          </w:p>
        </w:tc>
        <w:tc>
          <w:tcPr>
            <w:tcW w:w="687" w:type="dxa"/>
            <w:noWrap w:val="0"/>
            <w:vAlign w:val="center"/>
          </w:tcPr>
          <w:p>
            <w:pPr>
              <w:keepNext w:val="0"/>
              <w:keepLines w:val="0"/>
              <w:pageBreakBefore w:val="0"/>
              <w:widowControl/>
              <w:kinsoku/>
              <w:wordWrap/>
              <w:overflowPunct/>
              <w:topLinePunct w:val="0"/>
              <w:bidi w:val="0"/>
              <w:spacing w:line="240" w:lineRule="auto"/>
              <w:ind w:firstLine="0" w:firstLineChars="0"/>
              <w:jc w:val="left"/>
              <w:textAlignment w:val="auto"/>
              <w:rPr>
                <w:rFonts w:hint="eastAsia" w:ascii="宋体" w:hAnsi="宋体" w:eastAsia="宋体" w:cs="宋体"/>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82" w:type="dxa"/>
            <w:noWrap w:val="0"/>
            <w:vAlign w:val="center"/>
          </w:tcPr>
          <w:p>
            <w:pPr>
              <w:pStyle w:val="15"/>
              <w:keepNext w:val="0"/>
              <w:keepLines w:val="0"/>
              <w:pageBreakBefore w:val="0"/>
              <w:widowControl w:val="0"/>
              <w:numPr>
                <w:ilvl w:val="0"/>
                <w:numId w:val="1"/>
              </w:numPr>
              <w:kinsoku/>
              <w:wordWrap/>
              <w:overflowPunct/>
              <w:topLinePunct w:val="0"/>
              <w:autoSpaceDE/>
              <w:autoSpaceDN/>
              <w:bidi w:val="0"/>
              <w:adjustRightInd w:val="0"/>
              <w:snapToGrid w:val="0"/>
              <w:spacing w:line="240" w:lineRule="auto"/>
              <w:ind w:left="0" w:firstLine="0" w:firstLineChars="0"/>
              <w:jc w:val="center"/>
              <w:textAlignment w:val="auto"/>
              <w:rPr>
                <w:rFonts w:hint="eastAsia" w:ascii="宋体" w:hAnsi="宋体" w:eastAsia="宋体" w:cs="宋体"/>
                <w:color w:val="auto"/>
                <w:kern w:val="0"/>
                <w:sz w:val="21"/>
                <w:szCs w:val="21"/>
                <w:highlight w:val="none"/>
              </w:rPr>
            </w:pPr>
          </w:p>
        </w:tc>
        <w:tc>
          <w:tcPr>
            <w:tcW w:w="1108" w:type="dxa"/>
            <w:noWrap w:val="0"/>
            <w:vAlign w:val="center"/>
          </w:tcPr>
          <w:p>
            <w:pPr>
              <w:pStyle w:val="15"/>
              <w:keepNext w:val="0"/>
              <w:keepLines w:val="0"/>
              <w:pageBreakBefore w:val="0"/>
              <w:numPr>
                <w:ilvl w:val="0"/>
                <w:numId w:val="0"/>
              </w:numPr>
              <w:kinsoku/>
              <w:wordWrap/>
              <w:overflowPunct/>
              <w:topLinePunct w:val="0"/>
              <w:bidi w:val="0"/>
              <w:spacing w:line="240" w:lineRule="auto"/>
              <w:ind w:left="0" w:leftChars="0" w:firstLine="0" w:firstLineChars="0"/>
              <w:textAlignment w:val="auto"/>
              <w:rPr>
                <w:rFonts w:hint="eastAsia" w:ascii="宋体" w:hAnsi="宋体" w:eastAsia="宋体" w:cs="宋体"/>
                <w:color w:val="auto"/>
                <w:kern w:val="0"/>
                <w:sz w:val="21"/>
                <w:szCs w:val="21"/>
                <w:highlight w:val="none"/>
                <w:lang w:val="en-US" w:eastAsia="zh-CN"/>
              </w:rPr>
            </w:pPr>
            <w:r>
              <w:rPr>
                <w:rFonts w:hint="eastAsia" w:ascii="宋体" w:hAnsi="宋体" w:cs="宋体"/>
                <w:color w:val="auto"/>
                <w:kern w:val="0"/>
                <w:sz w:val="21"/>
                <w:szCs w:val="21"/>
                <w:highlight w:val="none"/>
                <w:lang w:val="en-US" w:eastAsia="zh-CN"/>
              </w:rPr>
              <w:t>修改</w:t>
            </w:r>
          </w:p>
        </w:tc>
        <w:tc>
          <w:tcPr>
            <w:tcW w:w="1262" w:type="dxa"/>
            <w:noWrap w:val="0"/>
            <w:vAlign w:val="center"/>
          </w:tcPr>
          <w:p>
            <w:pPr>
              <w:keepNext w:val="0"/>
              <w:keepLines w:val="0"/>
              <w:pageBreakBefore w:val="0"/>
              <w:kinsoku/>
              <w:wordWrap/>
              <w:overflowPunct/>
              <w:topLinePunct w:val="0"/>
              <w:bidi w:val="0"/>
              <w:spacing w:line="240" w:lineRule="auto"/>
              <w:ind w:firstLine="0" w:firstLine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专用合同条款</w:t>
            </w:r>
          </w:p>
          <w:p>
            <w:pPr>
              <w:keepNext w:val="0"/>
              <w:keepLines w:val="0"/>
              <w:pageBreakBefore w:val="0"/>
              <w:kinsoku/>
              <w:wordWrap/>
              <w:overflowPunct/>
              <w:topLinePunct w:val="0"/>
              <w:bidi w:val="0"/>
              <w:spacing w:line="240" w:lineRule="auto"/>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13.8 费用变化引起的调整  </w:t>
            </w:r>
          </w:p>
        </w:tc>
        <w:tc>
          <w:tcPr>
            <w:tcW w:w="5760" w:type="dxa"/>
            <w:noWrap w:val="0"/>
            <w:vAlign w:val="center"/>
          </w:tcPr>
          <w:p>
            <w:pPr>
              <w:pStyle w:val="6"/>
              <w:keepNext w:val="0"/>
              <w:keepLines w:val="0"/>
              <w:pageBreakBefore w:val="0"/>
              <w:kinsoku/>
              <w:wordWrap/>
              <w:overflowPunct/>
              <w:topLinePunct w:val="0"/>
              <w:bidi w:val="0"/>
              <w:spacing w:after="0" w:line="240" w:lineRule="auto"/>
              <w:ind w:left="0" w:leftChars="0" w:firstLine="420" w:firstLineChars="200"/>
              <w:textAlignment w:val="auto"/>
              <w:outlineLvl w:val="3"/>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13.8 费用变化引起的调整 </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以下内容替换到第13.8款：</w:t>
            </w:r>
          </w:p>
          <w:p>
            <w:pPr>
              <w:pStyle w:val="6"/>
              <w:keepNext w:val="0"/>
              <w:keepLines w:val="0"/>
              <w:pageBreakBefore w:val="0"/>
              <w:kinsoku/>
              <w:wordWrap/>
              <w:overflowPunct/>
              <w:topLinePunct w:val="0"/>
              <w:bidi w:val="0"/>
              <w:spacing w:after="0" w:line="240" w:lineRule="auto"/>
              <w:ind w:left="0" w:leftChars="0" w:firstLine="422" w:firstLineChars="200"/>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（一）清单计价模式的约定：</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中，因建设需要取消的单项工程，按中标合同价款中的相应费用减少合同价款；因建设需要，发包人委托承包人开展属于本工程的相关建设内容但在本次承包报价范围以外的建设费用，依据以下估价原则增加合同价款： </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（1）已标价工程量清单或预算书有相同项目的，按照相同项目单价认定；</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（2）已标价工程量清单或预算书中无相同项目，但有类似项目的，参照类似项目的单价认定；</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变更导致实际完成的变更工程量与已标价工程量清单或预算书中列明的该项目工程量的变化幅度超过15%的，或已标价工程量清单或预算书中无相同项目及类似项目单价的，按照合理的成本与利润构成的原则，由合同当事人按照第</w:t>
            </w:r>
            <w:r>
              <w:rPr>
                <w:rFonts w:hint="eastAsia" w:ascii="宋体" w:hAnsi="宋体" w:eastAsia="宋体" w:cs="宋体"/>
                <w:color w:val="auto"/>
                <w:sz w:val="21"/>
                <w:szCs w:val="21"/>
                <w:highlight w:val="none"/>
                <w:lang w:val="en-US" w:eastAsia="zh-CN"/>
              </w:rPr>
              <w:t>13.8.4条的规定</w:t>
            </w:r>
            <w:r>
              <w:rPr>
                <w:rFonts w:hint="eastAsia" w:ascii="宋体" w:hAnsi="宋体" w:eastAsia="宋体" w:cs="宋体"/>
                <w:color w:val="auto"/>
                <w:sz w:val="21"/>
                <w:szCs w:val="21"/>
                <w:highlight w:val="none"/>
              </w:rPr>
              <w:t>确定变更工作的单价。</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13.8.1工程变更</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（1）工程变更引起招标工程量清单项目或其工程量发生变化，应按照下列规定调整</w:t>
            </w:r>
            <w:r>
              <w:rPr>
                <w:rFonts w:hint="eastAsia" w:ascii="宋体" w:hAnsi="宋体" w:eastAsia="宋体" w:cs="宋体"/>
                <w:color w:val="auto"/>
                <w:sz w:val="21"/>
                <w:szCs w:val="21"/>
                <w:highlight w:val="none"/>
                <w:lang w:eastAsia="zh-CN"/>
              </w:rPr>
              <w:t>：</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 招标工程量清单中有适用于变更工程项目的，采用该项目的综合单价</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但当工程变更导致该清单项目的工程量发生变化，且工程偏差超过15%，此时，该项目综合单价应按照13.8.4条的规定调整。</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（b） 招标工程量清单中没有适用、但有类似于变更工程项目的，可在合理范围内参照类似项目的综合单价。</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c）招标工程量清单中没有适用也没有类似于变更工程项目的，由承包人根据变更工程资料、计量规则和计价办法、工程造价管理机构发布的信息价格和承包人报价浮动率提出变更工程项目的综合单价，报发包人确认后调整。承包人报价浮动率可按下列公式计算。</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招标工程：承包人报价浮动率L=（1-中标价/招标控制价)×100%;</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非招标工程：承包人报价浮动率L=（1-报价值/施工图预算)×100%;</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（d） 招标工程量清单中没有适用也没有类似于变更工程项目，且工程造价管理机构发布的信息价格缺价的，由承包人根据变更工程资料、计量规则、计价办法和通过市场调整等取得有合法依据的市场价格提出变更工程项目的综合单价，报发包人确认后调整。</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（2）工程变更引起施工方案改变，并使措施项目发生变化的，承包人提出调整措施项目费的，应事先将拟实施的方案提交发包人确认，并详细说明与原方案措施项目相比的变化情况。 拟实施的方案经发承包双方确认后执行。并应按照下列规定调整措施项目费：</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 安全文明施工费按照实际发生变化的措施项目依据行业费用计算标准的规定计算，如按照系数计算的安全文明施工费，则按变化后的施工费乘以行业规定系数调整计算，且不考虑投标下浮。</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（b） 采用综合单价计算的措施项目费，按照实际发生变化的措施项目按</w:t>
            </w:r>
            <w:r>
              <w:rPr>
                <w:rFonts w:hint="eastAsia" w:ascii="宋体" w:hAnsi="宋体" w:eastAsia="宋体" w:cs="宋体"/>
                <w:color w:val="auto"/>
                <w:sz w:val="21"/>
                <w:szCs w:val="21"/>
                <w:highlight w:val="none"/>
                <w:lang w:val="en-US" w:eastAsia="zh-CN"/>
              </w:rPr>
              <w:t>13.8.4</w:t>
            </w:r>
            <w:r>
              <w:rPr>
                <w:rFonts w:hint="eastAsia" w:ascii="宋体" w:hAnsi="宋体" w:eastAsia="宋体" w:cs="宋体"/>
                <w:color w:val="auto"/>
                <w:sz w:val="21"/>
                <w:szCs w:val="21"/>
                <w:highlight w:val="none"/>
              </w:rPr>
              <w:t>条的规定确定综合单价。</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（c） 按总价（或系数）计算的措施项目费，按照实际发生变化的措施项目调整，但应考虑承包人报价浮动因素，即调整金额按照实际调整金额乘以</w:t>
            </w:r>
            <w:r>
              <w:rPr>
                <w:rFonts w:hint="eastAsia" w:ascii="宋体" w:hAnsi="宋体" w:eastAsia="宋体" w:cs="宋体"/>
                <w:color w:val="auto"/>
                <w:sz w:val="21"/>
                <w:szCs w:val="21"/>
                <w:highlight w:val="none"/>
                <w:lang w:val="en-US" w:eastAsia="zh-CN"/>
              </w:rPr>
              <w:t>13.8.4</w:t>
            </w:r>
            <w:r>
              <w:rPr>
                <w:rFonts w:hint="eastAsia" w:ascii="宋体" w:hAnsi="宋体" w:eastAsia="宋体" w:cs="宋体"/>
                <w:color w:val="auto"/>
                <w:sz w:val="21"/>
                <w:szCs w:val="21"/>
                <w:highlight w:val="none"/>
              </w:rPr>
              <w:t>条规定的承包人报价浮动率计算。</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如果承包人未事先将拟实施的方案提交给发包人确认，则视为工程变更不引起措施项目费的调整或承包人放弃调整措施项目费的权利。</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当发包人提出的工程变更因非承包人原因删减了合同中的某项原定工作或工程，致使承包人发生的费用或（和）得到的收益不能被包括在其他已支付或应支付的项目中，也未被包括含在任何替代的工作或工程中，承包人有权提出并得到合理的利润补偿。</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（4）因承包人原因造成工程质量达不到规范要求出现报废或返工增加的费用，不予调整合同价款。</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13.8.2 特征描述不符</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发包人在招标工程量清单中对项目特征的描述，应被认为是准确的和全面的，并且与实际施工要求相符合。承包人应按照发包人提供的招标工程量清单，根据其项目特征描述的内容及有关要求实施合同工程，直到项目被改变为止。</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承包人应按照发包人提供的设计图纸实施合同工程，若在合同履行期间，出现设计图纸（含设计变更）与招标工程量清单任一项目的特征描述不符，且该变化引起该项目的工程造价增减变化的，按照实际施工的项目特征按工程变更相关条款的规定重新确定相应工程量清单项目的综合单价，调整合同价款。</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13.8.3工程量清单缺项</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发包人在招标工程量清单，应被认为是准确的和全面的，并且与实际施工要求相符合。如承包人发现招标工程量清单与招标图纸存在差异，应在投标阶段提出答疑，否则不予调整，承包人应按照发包人提供的招标工程量清单，根据其项目特征描述的内容及有关要求实施合同工程，直到项目被改变为止。</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（2）合同履行期间，如出现设计图纸（含设计变更）与招标工程量清单不符或缺项的，新增分部分项工程量清单项目的，应按照第13.8.1条的规定规定确定综合单价，调整合同价款。</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（3）新增分部分项工程量清单后，引起措施项目发生变化的，应按照第13.8.1条的规定，在承包人提交的实施方案被发包人批准后，计算调整合同价款。</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13.8.4 工程量偏差</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 合同履行期间，若实际工程量与招标工程量清单出现偏差，且符合本</w:t>
            </w:r>
            <w:r>
              <w:rPr>
                <w:rFonts w:hint="eastAsia" w:ascii="宋体" w:hAnsi="宋体" w:eastAsia="宋体" w:cs="宋体"/>
                <w:color w:val="auto"/>
                <w:sz w:val="21"/>
                <w:szCs w:val="21"/>
                <w:highlight w:val="none"/>
                <w:lang w:val="en-US" w:eastAsia="zh-CN"/>
              </w:rPr>
              <w:t>条</w:t>
            </w:r>
            <w:r>
              <w:rPr>
                <w:rFonts w:hint="eastAsia" w:ascii="宋体" w:hAnsi="宋体" w:eastAsia="宋体" w:cs="宋体"/>
                <w:color w:val="auto"/>
                <w:sz w:val="21"/>
                <w:szCs w:val="21"/>
                <w:highlight w:val="none"/>
              </w:rPr>
              <w:t>13.8.4(2)、13.8.4(3)</w:t>
            </w:r>
            <w:r>
              <w:rPr>
                <w:rFonts w:hint="eastAsia" w:ascii="宋体" w:hAnsi="宋体" w:eastAsia="宋体" w:cs="宋体"/>
                <w:color w:val="auto"/>
                <w:sz w:val="21"/>
                <w:szCs w:val="21"/>
                <w:highlight w:val="none"/>
                <w:lang w:val="en-US" w:eastAsia="zh-CN"/>
              </w:rPr>
              <w:t>款</w:t>
            </w:r>
            <w:r>
              <w:rPr>
                <w:rFonts w:hint="eastAsia" w:ascii="宋体" w:hAnsi="宋体" w:eastAsia="宋体" w:cs="宋体"/>
                <w:color w:val="auto"/>
                <w:sz w:val="21"/>
                <w:szCs w:val="21"/>
                <w:highlight w:val="none"/>
              </w:rPr>
              <w:t>规定的，发承包双方应调整合同价款。</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 对于任一招标工程量清单项目，如果因本条规定的工程量偏差、工程变更等原因导致工程量偏差超过1 5 % ，调整的原则为: 当工程量增加15% 以上时，其增加超出15%部分的工程量的综合单价应予调低; 当工程量减少15% 以上时，减少后剩余部分的工程量的综合单价应予调高。此时，按下列公式调整结算分部分项工程费:</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 当Q1&gt;1.15×Q0 时，S=1.15×Q0×P0+( Q1-1.15×Q0)×P0×0.9</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（b） 当Q1&lt;0.85×Q0 时，S= Q1×P0×1.1</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式中:S 表示调整后的某一分部分项工程费结算价；Q1表示最终完成的工程量；Q0表示招标工程量清单中列出的工程量；P0表示承包人在工程量清单中填报的综合单价。</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 如果工程量出现本</w:t>
            </w:r>
            <w:r>
              <w:rPr>
                <w:rFonts w:hint="eastAsia" w:ascii="宋体" w:hAnsi="宋体" w:eastAsia="宋体" w:cs="宋体"/>
                <w:color w:val="auto"/>
                <w:sz w:val="21"/>
                <w:szCs w:val="21"/>
                <w:highlight w:val="none"/>
                <w:lang w:val="en-US" w:eastAsia="zh-CN"/>
              </w:rPr>
              <w:t>条</w:t>
            </w:r>
            <w:r>
              <w:rPr>
                <w:rFonts w:hint="eastAsia" w:ascii="宋体" w:hAnsi="宋体" w:eastAsia="宋体" w:cs="宋体"/>
                <w:color w:val="auto"/>
                <w:sz w:val="21"/>
                <w:szCs w:val="21"/>
                <w:highlight w:val="none"/>
              </w:rPr>
              <w:t>第13.8.4(2)条的变化，且该变化引起相关措施项目相应发生变化， 如按总价项目(或系数〉计价的，工程量增加的措施项目费调增，工程量减少的措施项目费调减。</w:t>
            </w:r>
          </w:p>
          <w:p>
            <w:pPr>
              <w:pStyle w:val="6"/>
              <w:keepNext w:val="0"/>
              <w:keepLines w:val="0"/>
              <w:pageBreakBefore w:val="0"/>
              <w:kinsoku/>
              <w:wordWrap/>
              <w:overflowPunct/>
              <w:topLinePunct w:val="0"/>
              <w:bidi w:val="0"/>
              <w:spacing w:after="0" w:line="240" w:lineRule="auto"/>
              <w:ind w:left="0" w:leftChars="0" w:firstLine="422" w:firstLineChars="200"/>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（二）定额计价模式的约定：</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本次中标合同价款中为包干价的，一般不予调整；中标合同价款中的错项（含漏项、多项）结算时不予调整；因承包人原因造成工程质量达不到规范要求出现报废或返工增加的费用，不予调整。除非是以下情况：</w:t>
            </w:r>
          </w:p>
          <w:p>
            <w:pPr>
              <w:pStyle w:val="6"/>
              <w:keepNext w:val="0"/>
              <w:keepLines w:val="0"/>
              <w:pageBreakBefore w:val="0"/>
              <w:numPr>
                <w:ilvl w:val="0"/>
                <w:numId w:val="3"/>
              </w:numPr>
              <w:kinsoku/>
              <w:wordWrap/>
              <w:overflowPunct/>
              <w:topLinePunct w:val="0"/>
              <w:bidi w:val="0"/>
              <w:spacing w:after="0" w:line="24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经项目发包人和监理工程师确认的现场签证或一项工程【（</w:t>
            </w:r>
            <w:permStart w:id="40" w:edGrp="everyone"/>
            <w:r>
              <w:rPr>
                <w:rFonts w:hint="eastAsia" w:ascii="宋体" w:hAnsi="宋体" w:eastAsia="宋体" w:cs="宋体"/>
                <w:color w:val="auto"/>
                <w:sz w:val="21"/>
                <w:szCs w:val="21"/>
                <w:highlight w:val="none"/>
              </w:rPr>
              <w:t>指招标文件投标格式的表二（甲、乙、丙、丁）的最末一级）</w:t>
            </w:r>
            <w:permEnd w:id="40"/>
            <w:r>
              <w:rPr>
                <w:rFonts w:hint="eastAsia" w:ascii="宋体" w:hAnsi="宋体" w:eastAsia="宋体" w:cs="宋体"/>
                <w:color w:val="auto"/>
                <w:sz w:val="21"/>
                <w:szCs w:val="21"/>
                <w:highlight w:val="none"/>
              </w:rPr>
              <w:t>】的工程量发生变更，依据第13.3款的原则估价后，经济数额超过H万元及以上时，此时调整原则为双向互调，但只针对该项工程超出H万元部分进行增减调整，与其他项工程无关。否则不予调整。</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上述H值可下表查得 [H值按下表第【</w:t>
            </w:r>
            <w:permStart w:id="41" w:edGrp="everyone"/>
            <w:r>
              <w:rPr>
                <w:rFonts w:hint="eastAsia" w:ascii="宋体" w:hAnsi="宋体" w:eastAsia="宋体" w:cs="宋体"/>
                <w:color w:val="auto"/>
                <w:sz w:val="21"/>
                <w:szCs w:val="21"/>
                <w:highlight w:val="none"/>
                <w:u w:val="single"/>
              </w:rPr>
              <w:t xml:space="preserve">    </w:t>
            </w:r>
            <w:permEnd w:id="41"/>
            <w:r>
              <w:rPr>
                <w:rFonts w:hint="eastAsia" w:ascii="宋体" w:hAnsi="宋体" w:eastAsia="宋体" w:cs="宋体"/>
                <w:color w:val="auto"/>
                <w:sz w:val="21"/>
                <w:szCs w:val="21"/>
                <w:highlight w:val="none"/>
              </w:rPr>
              <w:t>】确定]</w:t>
            </w:r>
          </w:p>
          <w:tbl>
            <w:tblPr>
              <w:tblStyle w:val="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9"/>
              <w:gridCol w:w="1273"/>
              <w:gridCol w:w="941"/>
              <w:gridCol w:w="854"/>
              <w:gridCol w:w="942"/>
              <w:gridCol w:w="6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11" w:hRule="atLeast"/>
                <w:jc w:val="center"/>
              </w:trPr>
              <w:tc>
                <w:tcPr>
                  <w:tcW w:w="1962" w:type="dxa"/>
                  <w:gridSpan w:val="2"/>
                  <w:noWrap w:val="0"/>
                  <w:vAlign w:val="center"/>
                </w:tcPr>
                <w:p>
                  <w:pPr>
                    <w:pStyle w:val="7"/>
                    <w:keepNext w:val="0"/>
                    <w:keepLines w:val="0"/>
                    <w:pageBreakBefore w:val="0"/>
                    <w:suppressLineNumbers w:val="0"/>
                    <w:kinsoku/>
                    <w:wordWrap/>
                    <w:overflowPunct/>
                    <w:topLinePunct w:val="0"/>
                    <w:bidi w:val="0"/>
                    <w:spacing w:before="0" w:beforeAutospacing="0" w:after="0" w:afterAutospacing="0" w:line="240" w:lineRule="auto"/>
                    <w:ind w:left="0" w:right="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合同一项工程中标价B（万元）</w:t>
                  </w:r>
                </w:p>
              </w:tc>
              <w:tc>
                <w:tcPr>
                  <w:tcW w:w="941" w:type="dxa"/>
                  <w:noWrap w:val="0"/>
                  <w:vAlign w:val="center"/>
                </w:tcPr>
                <w:p>
                  <w:pPr>
                    <w:pStyle w:val="7"/>
                    <w:keepNext w:val="0"/>
                    <w:keepLines w:val="0"/>
                    <w:pageBreakBefore w:val="0"/>
                    <w:suppressLineNumbers w:val="0"/>
                    <w:kinsoku/>
                    <w:wordWrap/>
                    <w:overflowPunct/>
                    <w:topLinePunct w:val="0"/>
                    <w:bidi w:val="0"/>
                    <w:spacing w:before="0" w:beforeAutospacing="0" w:after="0" w:afterAutospacing="0" w:line="240" w:lineRule="auto"/>
                    <w:ind w:left="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0&lt;B&lt;10</w:t>
                  </w:r>
                </w:p>
              </w:tc>
              <w:tc>
                <w:tcPr>
                  <w:tcW w:w="854" w:type="dxa"/>
                  <w:noWrap w:val="0"/>
                  <w:vAlign w:val="center"/>
                </w:tcPr>
                <w:p>
                  <w:pPr>
                    <w:pStyle w:val="7"/>
                    <w:keepNext w:val="0"/>
                    <w:keepLines w:val="0"/>
                    <w:pageBreakBefore w:val="0"/>
                    <w:suppressLineNumbers w:val="0"/>
                    <w:kinsoku/>
                    <w:wordWrap/>
                    <w:overflowPunct/>
                    <w:topLinePunct w:val="0"/>
                    <w:bidi w:val="0"/>
                    <w:spacing w:before="0" w:beforeAutospacing="0" w:after="0" w:afterAutospacing="0" w:line="240" w:lineRule="auto"/>
                    <w:ind w:left="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10≦B&lt;50</w:t>
                  </w:r>
                </w:p>
              </w:tc>
              <w:tc>
                <w:tcPr>
                  <w:tcW w:w="942" w:type="dxa"/>
                  <w:noWrap w:val="0"/>
                  <w:vAlign w:val="center"/>
                </w:tcPr>
                <w:p>
                  <w:pPr>
                    <w:pStyle w:val="7"/>
                    <w:keepNext w:val="0"/>
                    <w:keepLines w:val="0"/>
                    <w:pageBreakBefore w:val="0"/>
                    <w:suppressLineNumbers w:val="0"/>
                    <w:kinsoku/>
                    <w:wordWrap/>
                    <w:overflowPunct/>
                    <w:topLinePunct w:val="0"/>
                    <w:bidi w:val="0"/>
                    <w:spacing w:before="0" w:beforeAutospacing="0" w:after="0" w:afterAutospacing="0" w:line="240" w:lineRule="auto"/>
                    <w:ind w:left="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50≦B&lt;100</w:t>
                  </w:r>
                </w:p>
              </w:tc>
              <w:tc>
                <w:tcPr>
                  <w:tcW w:w="658" w:type="dxa"/>
                  <w:noWrap w:val="0"/>
                  <w:vAlign w:val="center"/>
                </w:tcPr>
                <w:p>
                  <w:pPr>
                    <w:pStyle w:val="7"/>
                    <w:keepNext w:val="0"/>
                    <w:keepLines w:val="0"/>
                    <w:pageBreakBefore w:val="0"/>
                    <w:suppressLineNumbers w:val="0"/>
                    <w:kinsoku/>
                    <w:wordWrap/>
                    <w:overflowPunct/>
                    <w:topLinePunct w:val="0"/>
                    <w:bidi w:val="0"/>
                    <w:spacing w:before="0" w:beforeAutospacing="0" w:after="0" w:afterAutospacing="0" w:line="240" w:lineRule="auto"/>
                    <w:ind w:left="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B≧100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689" w:type="dxa"/>
                  <w:noWrap w:val="0"/>
                  <w:vAlign w:val="center"/>
                </w:tcPr>
                <w:p>
                  <w:pPr>
                    <w:pStyle w:val="7"/>
                    <w:keepNext w:val="0"/>
                    <w:keepLines w:val="0"/>
                    <w:pageBreakBefore w:val="0"/>
                    <w:suppressLineNumbers w:val="0"/>
                    <w:kinsoku/>
                    <w:wordWrap/>
                    <w:overflowPunct/>
                    <w:topLinePunct w:val="0"/>
                    <w:bidi w:val="0"/>
                    <w:spacing w:before="0" w:beforeAutospacing="0" w:after="0" w:afterAutospacing="0" w:line="240" w:lineRule="auto"/>
                    <w:ind w:left="0" w:right="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273" w:type="dxa"/>
                  <w:noWrap w:val="0"/>
                  <w:vAlign w:val="center"/>
                </w:tcPr>
                <w:p>
                  <w:pPr>
                    <w:pStyle w:val="7"/>
                    <w:keepNext w:val="0"/>
                    <w:keepLines w:val="0"/>
                    <w:pageBreakBefore w:val="0"/>
                    <w:suppressLineNumbers w:val="0"/>
                    <w:kinsoku/>
                    <w:wordWrap/>
                    <w:overflowPunct/>
                    <w:topLinePunct w:val="0"/>
                    <w:bidi w:val="0"/>
                    <w:spacing w:before="0" w:beforeAutospacing="0" w:after="0" w:afterAutospacing="0" w:line="240" w:lineRule="auto"/>
                    <w:ind w:left="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H（万元）</w:t>
                  </w:r>
                </w:p>
              </w:tc>
              <w:tc>
                <w:tcPr>
                  <w:tcW w:w="941" w:type="dxa"/>
                  <w:noWrap w:val="0"/>
                  <w:vAlign w:val="center"/>
                </w:tcPr>
                <w:p>
                  <w:pPr>
                    <w:pStyle w:val="7"/>
                    <w:keepNext w:val="0"/>
                    <w:keepLines w:val="0"/>
                    <w:pageBreakBefore w:val="0"/>
                    <w:suppressLineNumbers w:val="0"/>
                    <w:kinsoku/>
                    <w:wordWrap/>
                    <w:overflowPunct/>
                    <w:topLinePunct w:val="0"/>
                    <w:bidi w:val="0"/>
                    <w:spacing w:before="0" w:beforeAutospacing="0" w:after="0" w:afterAutospacing="0" w:line="240" w:lineRule="auto"/>
                    <w:ind w:left="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854" w:type="dxa"/>
                  <w:noWrap w:val="0"/>
                  <w:vAlign w:val="center"/>
                </w:tcPr>
                <w:p>
                  <w:pPr>
                    <w:pStyle w:val="7"/>
                    <w:keepNext w:val="0"/>
                    <w:keepLines w:val="0"/>
                    <w:pageBreakBefore w:val="0"/>
                    <w:suppressLineNumbers w:val="0"/>
                    <w:kinsoku/>
                    <w:wordWrap/>
                    <w:overflowPunct/>
                    <w:topLinePunct w:val="0"/>
                    <w:bidi w:val="0"/>
                    <w:spacing w:before="0" w:beforeAutospacing="0" w:after="0" w:afterAutospacing="0" w:line="240" w:lineRule="auto"/>
                    <w:ind w:left="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942" w:type="dxa"/>
                  <w:noWrap w:val="0"/>
                  <w:vAlign w:val="center"/>
                </w:tcPr>
                <w:p>
                  <w:pPr>
                    <w:pStyle w:val="7"/>
                    <w:keepNext w:val="0"/>
                    <w:keepLines w:val="0"/>
                    <w:pageBreakBefore w:val="0"/>
                    <w:suppressLineNumbers w:val="0"/>
                    <w:kinsoku/>
                    <w:wordWrap/>
                    <w:overflowPunct/>
                    <w:topLinePunct w:val="0"/>
                    <w:bidi w:val="0"/>
                    <w:spacing w:before="0" w:beforeAutospacing="0" w:after="0" w:afterAutospacing="0" w:line="240" w:lineRule="auto"/>
                    <w:ind w:left="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658" w:type="dxa"/>
                  <w:noWrap w:val="0"/>
                  <w:vAlign w:val="center"/>
                </w:tcPr>
                <w:p>
                  <w:pPr>
                    <w:pStyle w:val="7"/>
                    <w:keepNext w:val="0"/>
                    <w:keepLines w:val="0"/>
                    <w:pageBreakBefore w:val="0"/>
                    <w:suppressLineNumbers w:val="0"/>
                    <w:kinsoku/>
                    <w:wordWrap/>
                    <w:overflowPunct/>
                    <w:topLinePunct w:val="0"/>
                    <w:bidi w:val="0"/>
                    <w:spacing w:before="0" w:beforeAutospacing="0" w:after="0" w:afterAutospacing="0" w:line="240" w:lineRule="auto"/>
                    <w:ind w:left="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689" w:type="dxa"/>
                  <w:noWrap w:val="0"/>
                  <w:vAlign w:val="center"/>
                </w:tcPr>
                <w:p>
                  <w:pPr>
                    <w:pStyle w:val="7"/>
                    <w:keepNext w:val="0"/>
                    <w:keepLines w:val="0"/>
                    <w:pageBreakBefore w:val="0"/>
                    <w:suppressLineNumbers w:val="0"/>
                    <w:kinsoku/>
                    <w:wordWrap/>
                    <w:overflowPunct/>
                    <w:topLinePunct w:val="0"/>
                    <w:bidi w:val="0"/>
                    <w:spacing w:before="0" w:beforeAutospacing="0" w:after="0" w:afterAutospacing="0" w:line="240" w:lineRule="auto"/>
                    <w:ind w:left="0" w:right="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1273" w:type="dxa"/>
                  <w:noWrap w:val="0"/>
                  <w:vAlign w:val="center"/>
                </w:tcPr>
                <w:p>
                  <w:pPr>
                    <w:pStyle w:val="7"/>
                    <w:keepNext w:val="0"/>
                    <w:keepLines w:val="0"/>
                    <w:pageBreakBefore w:val="0"/>
                    <w:suppressLineNumbers w:val="0"/>
                    <w:kinsoku/>
                    <w:wordWrap/>
                    <w:overflowPunct/>
                    <w:topLinePunct w:val="0"/>
                    <w:bidi w:val="0"/>
                    <w:spacing w:before="0" w:beforeAutospacing="0" w:after="0" w:afterAutospacing="0" w:line="240" w:lineRule="auto"/>
                    <w:ind w:left="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H为B的（%）</w:t>
                  </w:r>
                </w:p>
              </w:tc>
              <w:tc>
                <w:tcPr>
                  <w:tcW w:w="941" w:type="dxa"/>
                  <w:noWrap w:val="0"/>
                  <w:vAlign w:val="center"/>
                </w:tcPr>
                <w:p>
                  <w:pPr>
                    <w:pStyle w:val="7"/>
                    <w:keepNext w:val="0"/>
                    <w:keepLines w:val="0"/>
                    <w:pageBreakBefore w:val="0"/>
                    <w:suppressLineNumbers w:val="0"/>
                    <w:kinsoku/>
                    <w:wordWrap/>
                    <w:overflowPunct/>
                    <w:topLinePunct w:val="0"/>
                    <w:bidi w:val="0"/>
                    <w:spacing w:before="0" w:beforeAutospacing="0" w:after="0" w:afterAutospacing="0" w:line="240" w:lineRule="auto"/>
                    <w:ind w:left="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5～10</w:t>
                  </w:r>
                </w:p>
              </w:tc>
              <w:tc>
                <w:tcPr>
                  <w:tcW w:w="854" w:type="dxa"/>
                  <w:noWrap w:val="0"/>
                  <w:vAlign w:val="center"/>
                </w:tcPr>
                <w:p>
                  <w:pPr>
                    <w:pStyle w:val="7"/>
                    <w:keepNext w:val="0"/>
                    <w:keepLines w:val="0"/>
                    <w:pageBreakBefore w:val="0"/>
                    <w:suppressLineNumbers w:val="0"/>
                    <w:kinsoku/>
                    <w:wordWrap/>
                    <w:overflowPunct/>
                    <w:topLinePunct w:val="0"/>
                    <w:bidi w:val="0"/>
                    <w:spacing w:before="0" w:beforeAutospacing="0" w:after="0" w:afterAutospacing="0" w:line="240" w:lineRule="auto"/>
                    <w:ind w:left="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5～10</w:t>
                  </w:r>
                </w:p>
              </w:tc>
              <w:tc>
                <w:tcPr>
                  <w:tcW w:w="942" w:type="dxa"/>
                  <w:noWrap w:val="0"/>
                  <w:vAlign w:val="center"/>
                </w:tcPr>
                <w:p>
                  <w:pPr>
                    <w:pStyle w:val="7"/>
                    <w:keepNext w:val="0"/>
                    <w:keepLines w:val="0"/>
                    <w:pageBreakBefore w:val="0"/>
                    <w:suppressLineNumbers w:val="0"/>
                    <w:kinsoku/>
                    <w:wordWrap/>
                    <w:overflowPunct/>
                    <w:topLinePunct w:val="0"/>
                    <w:bidi w:val="0"/>
                    <w:spacing w:before="0" w:beforeAutospacing="0" w:after="0" w:afterAutospacing="0" w:line="240" w:lineRule="auto"/>
                    <w:ind w:left="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5～10</w:t>
                  </w:r>
                </w:p>
              </w:tc>
              <w:tc>
                <w:tcPr>
                  <w:tcW w:w="658" w:type="dxa"/>
                  <w:noWrap w:val="0"/>
                  <w:vAlign w:val="center"/>
                </w:tcPr>
                <w:p>
                  <w:pPr>
                    <w:pStyle w:val="7"/>
                    <w:keepNext w:val="0"/>
                    <w:keepLines w:val="0"/>
                    <w:pageBreakBefore w:val="0"/>
                    <w:suppressLineNumbers w:val="0"/>
                    <w:kinsoku/>
                    <w:wordWrap/>
                    <w:overflowPunct/>
                    <w:topLinePunct w:val="0"/>
                    <w:bidi w:val="0"/>
                    <w:spacing w:before="0" w:beforeAutospacing="0" w:after="0" w:afterAutospacing="0" w:line="240" w:lineRule="auto"/>
                    <w:ind w:left="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689" w:type="dxa"/>
                  <w:noWrap w:val="0"/>
                  <w:vAlign w:val="center"/>
                </w:tcPr>
                <w:p>
                  <w:pPr>
                    <w:pStyle w:val="7"/>
                    <w:keepNext w:val="0"/>
                    <w:keepLines w:val="0"/>
                    <w:pageBreakBefore w:val="0"/>
                    <w:suppressLineNumbers w:val="0"/>
                    <w:kinsoku/>
                    <w:wordWrap/>
                    <w:overflowPunct/>
                    <w:topLinePunct w:val="0"/>
                    <w:bidi w:val="0"/>
                    <w:spacing w:before="0" w:beforeAutospacing="0" w:after="0" w:afterAutospacing="0" w:line="240" w:lineRule="auto"/>
                    <w:ind w:left="0" w:right="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1273" w:type="dxa"/>
                  <w:noWrap w:val="0"/>
                  <w:vAlign w:val="center"/>
                </w:tcPr>
                <w:p>
                  <w:pPr>
                    <w:pStyle w:val="7"/>
                    <w:keepNext w:val="0"/>
                    <w:keepLines w:val="0"/>
                    <w:pageBreakBefore w:val="0"/>
                    <w:suppressLineNumbers w:val="0"/>
                    <w:kinsoku/>
                    <w:wordWrap/>
                    <w:overflowPunct/>
                    <w:topLinePunct w:val="0"/>
                    <w:bidi w:val="0"/>
                    <w:spacing w:before="0" w:beforeAutospacing="0" w:after="0" w:afterAutospacing="0" w:line="240" w:lineRule="auto"/>
                    <w:ind w:left="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H</w:t>
                  </w:r>
                </w:p>
              </w:tc>
              <w:tc>
                <w:tcPr>
                  <w:tcW w:w="941" w:type="dxa"/>
                  <w:noWrap w:val="0"/>
                  <w:vAlign w:val="center"/>
                </w:tcPr>
                <w:p>
                  <w:pPr>
                    <w:pStyle w:val="7"/>
                    <w:keepNext w:val="0"/>
                    <w:keepLines w:val="0"/>
                    <w:pageBreakBefore w:val="0"/>
                    <w:suppressLineNumbers w:val="0"/>
                    <w:kinsoku/>
                    <w:wordWrap/>
                    <w:overflowPunct/>
                    <w:topLinePunct w:val="0"/>
                    <w:bidi w:val="0"/>
                    <w:spacing w:before="0" w:beforeAutospacing="0" w:after="0" w:afterAutospacing="0" w:line="240" w:lineRule="auto"/>
                    <w:ind w:left="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0</w:t>
                  </w:r>
                </w:p>
              </w:tc>
              <w:tc>
                <w:tcPr>
                  <w:tcW w:w="854" w:type="dxa"/>
                  <w:noWrap w:val="0"/>
                  <w:vAlign w:val="center"/>
                </w:tcPr>
                <w:p>
                  <w:pPr>
                    <w:pStyle w:val="7"/>
                    <w:keepNext w:val="0"/>
                    <w:keepLines w:val="0"/>
                    <w:pageBreakBefore w:val="0"/>
                    <w:suppressLineNumbers w:val="0"/>
                    <w:kinsoku/>
                    <w:wordWrap/>
                    <w:overflowPunct/>
                    <w:topLinePunct w:val="0"/>
                    <w:bidi w:val="0"/>
                    <w:spacing w:before="0" w:beforeAutospacing="0" w:after="0" w:afterAutospacing="0" w:line="240" w:lineRule="auto"/>
                    <w:ind w:left="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0</w:t>
                  </w:r>
                </w:p>
              </w:tc>
              <w:tc>
                <w:tcPr>
                  <w:tcW w:w="942" w:type="dxa"/>
                  <w:noWrap w:val="0"/>
                  <w:vAlign w:val="center"/>
                </w:tcPr>
                <w:p>
                  <w:pPr>
                    <w:pStyle w:val="7"/>
                    <w:keepNext w:val="0"/>
                    <w:keepLines w:val="0"/>
                    <w:pageBreakBefore w:val="0"/>
                    <w:suppressLineNumbers w:val="0"/>
                    <w:kinsoku/>
                    <w:wordWrap/>
                    <w:overflowPunct/>
                    <w:topLinePunct w:val="0"/>
                    <w:bidi w:val="0"/>
                    <w:spacing w:before="0" w:beforeAutospacing="0" w:after="0" w:afterAutospacing="0" w:line="240" w:lineRule="auto"/>
                    <w:ind w:left="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0</w:t>
                  </w:r>
                </w:p>
              </w:tc>
              <w:tc>
                <w:tcPr>
                  <w:tcW w:w="658" w:type="dxa"/>
                  <w:noWrap w:val="0"/>
                  <w:vAlign w:val="center"/>
                </w:tcPr>
                <w:p>
                  <w:pPr>
                    <w:pStyle w:val="7"/>
                    <w:keepNext w:val="0"/>
                    <w:keepLines w:val="0"/>
                    <w:pageBreakBefore w:val="0"/>
                    <w:suppressLineNumbers w:val="0"/>
                    <w:kinsoku/>
                    <w:wordWrap/>
                    <w:overflowPunct/>
                    <w:topLinePunct w:val="0"/>
                    <w:bidi w:val="0"/>
                    <w:spacing w:before="0" w:beforeAutospacing="0" w:after="0" w:afterAutospacing="0" w:line="240" w:lineRule="auto"/>
                    <w:ind w:left="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0</w:t>
                  </w:r>
                </w:p>
              </w:tc>
            </w:tr>
          </w:tbl>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注：多个单项工程时，按每单项单独计算。对于单项工程的取消，该单项价款即行核减。</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（b）【</w:t>
            </w:r>
            <w:permStart w:id="42" w:edGrp="everyone"/>
            <w:r>
              <w:rPr>
                <w:rFonts w:hint="eastAsia" w:ascii="宋体" w:hAnsi="宋体" w:eastAsia="宋体" w:cs="宋体"/>
                <w:color w:val="auto"/>
                <w:sz w:val="21"/>
                <w:szCs w:val="21"/>
                <w:highlight w:val="none"/>
                <w:u w:val="single"/>
              </w:rPr>
              <w:t xml:space="preserve">        </w:t>
            </w:r>
            <w:permEnd w:id="42"/>
            <w:r>
              <w:rPr>
                <w:rFonts w:hint="eastAsia" w:ascii="宋体" w:hAnsi="宋体" w:eastAsia="宋体" w:cs="宋体"/>
                <w:color w:val="auto"/>
                <w:sz w:val="21"/>
                <w:szCs w:val="21"/>
                <w:highlight w:val="none"/>
              </w:rPr>
              <w:t>】按实际完成的工程量，以投标报价的原则结算。</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（c）设计变更管理执行中国南方电网有限责任公司基建工程设计管理规定。</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一项工程变更工程量变化金额在H万元以下的，在工程竣工结算时，</w:t>
            </w:r>
            <w:r>
              <w:rPr>
                <w:rFonts w:hint="eastAsia" w:ascii="宋体" w:hAnsi="宋体" w:eastAsia="宋体" w:cs="宋体"/>
                <w:color w:val="auto"/>
                <w:sz w:val="21"/>
                <w:szCs w:val="21"/>
                <w:highlight w:val="none"/>
                <w:lang w:val="en-US" w:eastAsia="zh-CN"/>
              </w:rPr>
              <w:t>已</w:t>
            </w:r>
            <w:r>
              <w:rPr>
                <w:rFonts w:hint="eastAsia" w:ascii="宋体" w:hAnsi="宋体" w:eastAsia="宋体" w:cs="宋体"/>
                <w:color w:val="auto"/>
                <w:sz w:val="21"/>
                <w:szCs w:val="21"/>
                <w:highlight w:val="none"/>
              </w:rPr>
              <w:t>作的成本记录计算仅作为考核设计质量之用，不调整合同价款。</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（d）本合同中，因建设需要取消的单项工程，按中标合同价款中的相应费用减少合同价款。</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（e）其他：</w:t>
            </w:r>
            <w:sdt>
              <w:sdtPr>
                <w:rPr>
                  <w:rFonts w:hint="eastAsia" w:ascii="宋体" w:hAnsi="宋体" w:eastAsia="宋体" w:cs="宋体"/>
                  <w:color w:val="auto"/>
                  <w:kern w:val="2"/>
                  <w:sz w:val="21"/>
                  <w:szCs w:val="21"/>
                  <w:highlight w:val="none"/>
                  <w:u w:val="none"/>
                  <w:lang w:val="en-US" w:eastAsia="zh-CN" w:bidi="ar-SA"/>
                </w:rPr>
                <w:alias w:val="不填其他的，请划“/”"/>
                <w:id w:val="611183239"/>
                <w:placeholder>
                  <w:docPart w:val="{0924105c-7da5-4697-aede-ded892ae41ed}"/>
                </w:placeholder>
                <w:text w:multiLine="1"/>
              </w:sdtPr>
              <w:sdtEndPr>
                <w:rPr>
                  <w:rFonts w:hint="eastAsia" w:ascii="宋体" w:hAnsi="宋体" w:eastAsia="宋体" w:cs="宋体"/>
                  <w:color w:val="auto"/>
                  <w:kern w:val="2"/>
                  <w:sz w:val="21"/>
                  <w:szCs w:val="21"/>
                  <w:highlight w:val="none"/>
                  <w:u w:val="single"/>
                  <w:lang w:val="en-US" w:eastAsia="zh-CN" w:bidi="ar-SA"/>
                </w:rPr>
              </w:sdtEndPr>
              <w:sdtContent>
                <w:permStart w:id="43" w:edGrp="everyone"/>
                <w:r>
                  <w:rPr>
                    <w:rFonts w:hint="eastAsia" w:ascii="宋体" w:hAnsi="宋体" w:eastAsia="宋体" w:cs="宋体"/>
                    <w:color w:val="auto"/>
                    <w:sz w:val="21"/>
                    <w:szCs w:val="21"/>
                    <w:highlight w:val="none"/>
                    <w:u w:val="single"/>
                    <w:lang w:val="en-US" w:eastAsia="zh-CN"/>
                  </w:rPr>
                  <w:t xml:space="preserve">     </w:t>
                </w:r>
                <w:permEnd w:id="43"/>
              </w:sdtContent>
            </w:sdt>
          </w:p>
          <w:p>
            <w:pPr>
              <w:keepNext w:val="0"/>
              <w:keepLines w:val="0"/>
              <w:pageBreakBefore w:val="0"/>
              <w:kinsoku/>
              <w:wordWrap/>
              <w:overflowPunct/>
              <w:topLinePunct w:val="0"/>
              <w:autoSpaceDE w:val="0"/>
              <w:autoSpaceDN w:val="0"/>
              <w:bidi w:val="0"/>
              <w:adjustRightInd w:val="0"/>
              <w:snapToGrid w:val="0"/>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p>
        </w:tc>
        <w:tc>
          <w:tcPr>
            <w:tcW w:w="5800" w:type="dxa"/>
            <w:noWrap w:val="0"/>
            <w:vAlign w:val="center"/>
          </w:tcPr>
          <w:p>
            <w:pPr>
              <w:pStyle w:val="6"/>
              <w:keepNext w:val="0"/>
              <w:keepLines w:val="0"/>
              <w:pageBreakBefore w:val="0"/>
              <w:kinsoku/>
              <w:wordWrap/>
              <w:overflowPunct/>
              <w:topLinePunct w:val="0"/>
              <w:bidi w:val="0"/>
              <w:spacing w:after="0" w:line="240" w:lineRule="auto"/>
              <w:ind w:left="0" w:leftChars="0" w:firstLine="420" w:firstLineChars="200"/>
              <w:textAlignment w:val="auto"/>
              <w:outlineLvl w:val="3"/>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13.8 费用变化引起的调整 </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以下内容替换到第13.8款：</w:t>
            </w:r>
          </w:p>
          <w:p>
            <w:pPr>
              <w:pStyle w:val="6"/>
              <w:keepNext w:val="0"/>
              <w:keepLines w:val="0"/>
              <w:pageBreakBefore w:val="0"/>
              <w:kinsoku/>
              <w:wordWrap/>
              <w:overflowPunct/>
              <w:topLinePunct w:val="0"/>
              <w:bidi w:val="0"/>
              <w:spacing w:after="0" w:line="240" w:lineRule="auto"/>
              <w:ind w:left="0" w:leftChars="0" w:firstLine="422" w:firstLineChars="200"/>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（一）清单计价模式的约定：</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本合同中，因建设需要取消的单项工程，按中标合同价款中的相应费用减少合同价款；因建设需要，发包人委托承包人开展属于本工程的相关建设内容但在本次承包报价范围以外的建设费用，依据以下估价原则增减合同价款：</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13.8.1工程变更</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（1）工程变更引起招标工程量清单项目或其工程量发生变化，</w:t>
            </w:r>
            <w:r>
              <w:rPr>
                <w:rFonts w:hint="eastAsia" w:ascii="宋体" w:hAnsi="宋体" w:eastAsia="宋体" w:cs="宋体"/>
                <w:color w:val="auto"/>
                <w:sz w:val="21"/>
                <w:szCs w:val="21"/>
                <w:highlight w:val="none"/>
                <w:lang w:val="en-US" w:eastAsia="zh-CN"/>
              </w:rPr>
              <w:t>执行专用条款13.3.1条调整原则；</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（2）工程变更引起施工方案改变，并使措施项目发生变化的，承包人提出调整措施项目费的，应事先将拟实施的方案提交发包人确认，并详细说明与原方案措施项目相比的变化情况。 拟实施的方案经发承包双方确认后执行。并应按照下列规定调整措施项目费：</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 安全文明施工费按照实际发生变化的措施项目依据电力行业费用计算标准的规定计算。</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（b） 采用综合单价计算的措施项目费，按照实际发生变化的措施项目</w:t>
            </w:r>
            <w:r>
              <w:rPr>
                <w:rFonts w:hint="eastAsia" w:ascii="宋体" w:hAnsi="宋体" w:eastAsia="宋体" w:cs="宋体"/>
                <w:color w:val="auto"/>
                <w:sz w:val="21"/>
                <w:szCs w:val="21"/>
                <w:highlight w:val="none"/>
                <w:lang w:val="en-US" w:eastAsia="zh-CN"/>
              </w:rPr>
              <w:t>执行专用条款13.3.1条</w:t>
            </w:r>
            <w:r>
              <w:rPr>
                <w:rFonts w:hint="eastAsia" w:ascii="宋体" w:hAnsi="宋体" w:eastAsia="宋体" w:cs="宋体"/>
                <w:color w:val="auto"/>
                <w:sz w:val="21"/>
                <w:szCs w:val="21"/>
                <w:highlight w:val="none"/>
              </w:rPr>
              <w:t>的规定确定综合单价。</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（c） 按总价（或系数）计算的措施项目费，按照实际发生变化的措施项目调整，但应考虑承包人报价浮动因素，即调整金额按照实际调整金额乘以</w:t>
            </w:r>
            <w:r>
              <w:rPr>
                <w:rFonts w:hint="eastAsia" w:ascii="宋体" w:hAnsi="宋体" w:eastAsia="宋体" w:cs="宋体"/>
                <w:color w:val="auto"/>
                <w:sz w:val="21"/>
                <w:szCs w:val="21"/>
                <w:highlight w:val="none"/>
                <w:lang w:val="en-US" w:eastAsia="zh-CN"/>
              </w:rPr>
              <w:t>专用条款13.3.1条</w:t>
            </w:r>
            <w:r>
              <w:rPr>
                <w:rFonts w:hint="eastAsia" w:ascii="宋体" w:hAnsi="宋体" w:eastAsia="宋体" w:cs="宋体"/>
                <w:color w:val="auto"/>
                <w:sz w:val="21"/>
                <w:szCs w:val="21"/>
                <w:highlight w:val="none"/>
              </w:rPr>
              <w:t>规定的承包人报价浮动率计算。</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如果承包人未事先将拟实施的方案提交给发包人确认，则视为工程变更不引起措施项目费的调整或承包人放弃调整措施项目费的权利。</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）因承包人原因造成工程质量达不到规范要求出现报废或返工增加的费用，不予调整合同价款。</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13.8.2 特征描述不符</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发包人在招标工程量清单中对项目特征的描述，应被认为是准确的和全面的，并且与实际施工要求相符合。承包人应按照发包人提供的招标工程量清单，根据其项目特征描述的内容及有关要求实施合同工程，直到项目被改变为止。</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承包人应按照发包人提供的设计图纸实施合同工程，若在合同履行期间，出现设计图纸（含设计变更）与招标工程量清单任一项目的特征描述不符，且该变化引起该项目的工程造价增减变化的，按照实际施工的项目特征按工程变更相关条款的规定重新确定相应工程量清单项目的综合单价，调整合同价款。</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13.8.3工程量清单缺项</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（1）合同履行期间，由于招标工程量清单中缺项，新增分部分项工程量清单项目的，应按照</w:t>
            </w:r>
            <w:r>
              <w:rPr>
                <w:rFonts w:hint="eastAsia" w:ascii="宋体" w:hAnsi="宋体" w:eastAsia="宋体" w:cs="宋体"/>
                <w:color w:val="auto"/>
                <w:sz w:val="21"/>
                <w:szCs w:val="21"/>
                <w:highlight w:val="none"/>
                <w:lang w:val="en-US" w:eastAsia="zh-CN"/>
              </w:rPr>
              <w:t>专用条款13.3.1条</w:t>
            </w:r>
            <w:r>
              <w:rPr>
                <w:rFonts w:hint="eastAsia" w:ascii="宋体" w:hAnsi="宋体" w:eastAsia="宋体" w:cs="宋体"/>
                <w:color w:val="auto"/>
                <w:sz w:val="21"/>
                <w:szCs w:val="21"/>
                <w:highlight w:val="none"/>
              </w:rPr>
              <w:t>的规定确定综合单价，调整合同价款。</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（2）新增分部分项工程量清单后，引起措施项目发生变化的，应按</w:t>
            </w:r>
            <w:r>
              <w:rPr>
                <w:rFonts w:hint="eastAsia" w:ascii="宋体" w:hAnsi="宋体" w:eastAsia="宋体" w:cs="宋体"/>
                <w:color w:val="auto"/>
                <w:sz w:val="21"/>
                <w:szCs w:val="21"/>
                <w:highlight w:val="none"/>
                <w:lang w:val="en-US" w:eastAsia="zh-CN"/>
              </w:rPr>
              <w:t>专用条款13.3.1条</w:t>
            </w:r>
            <w:r>
              <w:rPr>
                <w:rFonts w:hint="eastAsia" w:ascii="宋体" w:hAnsi="宋体" w:eastAsia="宋体" w:cs="宋体"/>
                <w:color w:val="auto"/>
                <w:sz w:val="21"/>
                <w:szCs w:val="21"/>
                <w:highlight w:val="none"/>
              </w:rPr>
              <w:t>的规定，在承包人提交的实施方案被发包人批准后，计算调整合同价款。</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（3）由于招标工程量清单中措施项目缺项，承包人应将新增措施项目实施方案提交发包人批准后，</w:t>
            </w:r>
            <w:r>
              <w:rPr>
                <w:rFonts w:hint="eastAsia" w:ascii="宋体" w:hAnsi="宋体" w:eastAsia="宋体" w:cs="宋体"/>
                <w:color w:val="auto"/>
                <w:sz w:val="21"/>
                <w:szCs w:val="21"/>
                <w:highlight w:val="none"/>
                <w:lang w:val="en-US" w:eastAsia="zh-CN"/>
              </w:rPr>
              <w:t>专用条款13.3.1条</w:t>
            </w:r>
            <w:r>
              <w:rPr>
                <w:rFonts w:hint="eastAsia" w:ascii="宋体" w:hAnsi="宋体" w:eastAsia="宋体" w:cs="宋体"/>
                <w:color w:val="auto"/>
                <w:sz w:val="21"/>
                <w:szCs w:val="21"/>
                <w:highlight w:val="none"/>
              </w:rPr>
              <w:t>的规定计算调整合同价款。</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13.8.4 工程量偏差</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合同履行期间，若实际工程量与招标工程量清单出现偏差</w:t>
            </w:r>
            <w:r>
              <w:rPr>
                <w:rFonts w:hint="eastAsia" w:ascii="宋体" w:hAnsi="宋体" w:eastAsia="宋体" w:cs="宋体"/>
                <w:color w:val="auto"/>
                <w:sz w:val="21"/>
                <w:szCs w:val="21"/>
                <w:highlight w:val="none"/>
                <w:lang w:val="en-US" w:eastAsia="zh-CN"/>
              </w:rPr>
              <w:t>时，执行专用条款13.3.1条确定结算单价。</w:t>
            </w:r>
          </w:p>
          <w:p>
            <w:pPr>
              <w:pStyle w:val="6"/>
              <w:keepNext w:val="0"/>
              <w:keepLines w:val="0"/>
              <w:pageBreakBefore w:val="0"/>
              <w:kinsoku/>
              <w:wordWrap/>
              <w:overflowPunct/>
              <w:topLinePunct w:val="0"/>
              <w:bidi w:val="0"/>
              <w:spacing w:after="0" w:line="240" w:lineRule="auto"/>
              <w:ind w:left="0" w:leftChars="0" w:firstLine="422" w:firstLineChars="200"/>
              <w:textAlignment w:val="auto"/>
              <w:outlineLvl w:val="9"/>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t>（二）定额计价模式的约定：</w:t>
            </w:r>
          </w:p>
          <w:p>
            <w:pPr>
              <w:pStyle w:val="6"/>
              <w:keepNext w:val="0"/>
              <w:keepLines w:val="0"/>
              <w:pageBreakBefore w:val="0"/>
              <w:kinsoku/>
              <w:wordWrap/>
              <w:overflowPunct/>
              <w:topLinePunct w:val="0"/>
              <w:bidi w:val="0"/>
              <w:spacing w:after="0" w:line="240" w:lineRule="auto"/>
              <w:ind w:left="0" w:leftChars="0" w:firstLine="420" w:firstLineChars="200"/>
              <w:textAlignment w:val="auto"/>
              <w:outlineLvl w:val="9"/>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本次中标合同价款中为包干价的，一般不予调整；中标合同价款中的错项（含漏项、多项）结算时不予调整；因承包人原因造成工程质量达不到规范要求出现报废或返工增加的费用，不予调整。除非是以下情况：</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(a)</w:t>
            </w:r>
            <w:r>
              <w:rPr>
                <w:rFonts w:hint="eastAsia" w:ascii="宋体" w:hAnsi="宋体" w:eastAsia="宋体" w:cs="宋体"/>
                <w:color w:val="auto"/>
                <w:sz w:val="21"/>
                <w:szCs w:val="21"/>
                <w:highlight w:val="none"/>
              </w:rPr>
              <w:t>经项目发包人和监理工程师确认的现场签证或一项工程【（指招标文件投标格式的表二（甲、乙、丙、丁）的最末一级）】的工程量发生变更，依据第13.3款的原则估价后，经济数额（含编制年价差）超过H万元及以上时，此时调整原则为双向互调，但只针对该项工程超出H万元部分进行增减调整，与其他项工程无关。否则不予调整。</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上述H值可下表查得 [H值按下表第【</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】确定]</w:t>
            </w:r>
          </w:p>
          <w:tbl>
            <w:tblPr>
              <w:tblStyle w:val="10"/>
              <w:tblpPr w:leftFromText="180" w:rightFromText="180" w:vertAnchor="text" w:horzAnchor="page" w:tblpX="207" w:tblpY="13"/>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9"/>
              <w:gridCol w:w="1351"/>
              <w:gridCol w:w="924"/>
              <w:gridCol w:w="839"/>
              <w:gridCol w:w="924"/>
              <w:gridCol w:w="6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2080" w:type="dxa"/>
                  <w:gridSpan w:val="2"/>
                  <w:noWrap w:val="0"/>
                  <w:vAlign w:val="center"/>
                </w:tcPr>
                <w:p>
                  <w:pPr>
                    <w:pStyle w:val="7"/>
                    <w:keepNext w:val="0"/>
                    <w:keepLines w:val="0"/>
                    <w:pageBreakBefore w:val="0"/>
                    <w:kinsoku/>
                    <w:wordWrap/>
                    <w:overflowPunct/>
                    <w:topLinePunct w:val="0"/>
                    <w:bidi w:val="0"/>
                    <w:spacing w:line="240" w:lineRule="auto"/>
                    <w:textAlignment w:val="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合同一项工程中标价B（万元）</w:t>
                  </w:r>
                </w:p>
              </w:tc>
              <w:tc>
                <w:tcPr>
                  <w:tcW w:w="924" w:type="dxa"/>
                  <w:noWrap w:val="0"/>
                  <w:vAlign w:val="center"/>
                </w:tcPr>
                <w:p>
                  <w:pPr>
                    <w:pStyle w:val="7"/>
                    <w:keepNext w:val="0"/>
                    <w:keepLines w:val="0"/>
                    <w:pageBreakBefore w:val="0"/>
                    <w:kinsoku/>
                    <w:wordWrap/>
                    <w:overflowPunct/>
                    <w:topLinePunct w:val="0"/>
                    <w:bidi w:val="0"/>
                    <w:spacing w:line="240" w:lineRule="auto"/>
                    <w:jc w:val="center"/>
                    <w:textAlignment w:val="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0&lt;B&lt;10</w:t>
                  </w:r>
                </w:p>
              </w:tc>
              <w:tc>
                <w:tcPr>
                  <w:tcW w:w="839" w:type="dxa"/>
                  <w:noWrap w:val="0"/>
                  <w:vAlign w:val="center"/>
                </w:tcPr>
                <w:p>
                  <w:pPr>
                    <w:pStyle w:val="7"/>
                    <w:keepNext w:val="0"/>
                    <w:keepLines w:val="0"/>
                    <w:pageBreakBefore w:val="0"/>
                    <w:kinsoku/>
                    <w:wordWrap/>
                    <w:overflowPunct/>
                    <w:topLinePunct w:val="0"/>
                    <w:bidi w:val="0"/>
                    <w:spacing w:line="240" w:lineRule="auto"/>
                    <w:jc w:val="center"/>
                    <w:textAlignment w:val="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10≦B&lt;50</w:t>
                  </w:r>
                </w:p>
              </w:tc>
              <w:tc>
                <w:tcPr>
                  <w:tcW w:w="924" w:type="dxa"/>
                  <w:noWrap w:val="0"/>
                  <w:vAlign w:val="center"/>
                </w:tcPr>
                <w:p>
                  <w:pPr>
                    <w:pStyle w:val="7"/>
                    <w:keepNext w:val="0"/>
                    <w:keepLines w:val="0"/>
                    <w:pageBreakBefore w:val="0"/>
                    <w:kinsoku/>
                    <w:wordWrap/>
                    <w:overflowPunct/>
                    <w:topLinePunct w:val="0"/>
                    <w:bidi w:val="0"/>
                    <w:spacing w:line="240" w:lineRule="auto"/>
                    <w:jc w:val="center"/>
                    <w:textAlignment w:val="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50≦B&lt;100</w:t>
                  </w:r>
                </w:p>
              </w:tc>
              <w:tc>
                <w:tcPr>
                  <w:tcW w:w="646" w:type="dxa"/>
                  <w:noWrap w:val="0"/>
                  <w:vAlign w:val="center"/>
                </w:tcPr>
                <w:p>
                  <w:pPr>
                    <w:pStyle w:val="7"/>
                    <w:keepNext w:val="0"/>
                    <w:keepLines w:val="0"/>
                    <w:pageBreakBefore w:val="0"/>
                    <w:kinsoku/>
                    <w:wordWrap/>
                    <w:overflowPunct/>
                    <w:topLinePunct w:val="0"/>
                    <w:bidi w:val="0"/>
                    <w:spacing w:line="240" w:lineRule="auto"/>
                    <w:jc w:val="center"/>
                    <w:textAlignment w:val="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B≧100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729" w:type="dxa"/>
                  <w:noWrap w:val="0"/>
                  <w:vAlign w:val="center"/>
                </w:tcPr>
                <w:p>
                  <w:pPr>
                    <w:pStyle w:val="7"/>
                    <w:keepNext w:val="0"/>
                    <w:keepLines w:val="0"/>
                    <w:pageBreakBefore w:val="0"/>
                    <w:kinsoku/>
                    <w:wordWrap/>
                    <w:overflowPunct/>
                    <w:topLinePunct w:val="0"/>
                    <w:bidi w:val="0"/>
                    <w:spacing w:line="240" w:lineRule="auto"/>
                    <w:textAlignment w:val="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w:t>
                  </w:r>
                </w:p>
              </w:tc>
              <w:tc>
                <w:tcPr>
                  <w:tcW w:w="1351" w:type="dxa"/>
                  <w:noWrap w:val="0"/>
                  <w:vAlign w:val="center"/>
                </w:tcPr>
                <w:p>
                  <w:pPr>
                    <w:pStyle w:val="7"/>
                    <w:keepNext w:val="0"/>
                    <w:keepLines w:val="0"/>
                    <w:pageBreakBefore w:val="0"/>
                    <w:kinsoku/>
                    <w:wordWrap/>
                    <w:overflowPunct/>
                    <w:topLinePunct w:val="0"/>
                    <w:bidi w:val="0"/>
                    <w:spacing w:line="240" w:lineRule="auto"/>
                    <w:jc w:val="center"/>
                    <w:textAlignment w:val="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H（万元）</w:t>
                  </w:r>
                </w:p>
              </w:tc>
              <w:tc>
                <w:tcPr>
                  <w:tcW w:w="924" w:type="dxa"/>
                  <w:noWrap w:val="0"/>
                  <w:vAlign w:val="center"/>
                </w:tcPr>
                <w:p>
                  <w:pPr>
                    <w:pStyle w:val="7"/>
                    <w:keepNext w:val="0"/>
                    <w:keepLines w:val="0"/>
                    <w:pageBreakBefore w:val="0"/>
                    <w:kinsoku/>
                    <w:wordWrap/>
                    <w:overflowPunct/>
                    <w:topLinePunct w:val="0"/>
                    <w:bidi w:val="0"/>
                    <w:spacing w:line="240" w:lineRule="auto"/>
                    <w:jc w:val="center"/>
                    <w:textAlignment w:val="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w:t>
                  </w:r>
                </w:p>
              </w:tc>
              <w:tc>
                <w:tcPr>
                  <w:tcW w:w="839" w:type="dxa"/>
                  <w:noWrap w:val="0"/>
                  <w:vAlign w:val="center"/>
                </w:tcPr>
                <w:p>
                  <w:pPr>
                    <w:pStyle w:val="7"/>
                    <w:keepNext w:val="0"/>
                    <w:keepLines w:val="0"/>
                    <w:pageBreakBefore w:val="0"/>
                    <w:kinsoku/>
                    <w:wordWrap/>
                    <w:overflowPunct/>
                    <w:topLinePunct w:val="0"/>
                    <w:bidi w:val="0"/>
                    <w:spacing w:line="240" w:lineRule="auto"/>
                    <w:jc w:val="center"/>
                    <w:textAlignment w:val="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2</w:t>
                  </w:r>
                </w:p>
              </w:tc>
              <w:tc>
                <w:tcPr>
                  <w:tcW w:w="924" w:type="dxa"/>
                  <w:noWrap w:val="0"/>
                  <w:vAlign w:val="center"/>
                </w:tcPr>
                <w:p>
                  <w:pPr>
                    <w:pStyle w:val="7"/>
                    <w:keepNext w:val="0"/>
                    <w:keepLines w:val="0"/>
                    <w:pageBreakBefore w:val="0"/>
                    <w:kinsoku/>
                    <w:wordWrap/>
                    <w:overflowPunct/>
                    <w:topLinePunct w:val="0"/>
                    <w:bidi w:val="0"/>
                    <w:spacing w:line="240" w:lineRule="auto"/>
                    <w:jc w:val="center"/>
                    <w:textAlignment w:val="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3</w:t>
                  </w:r>
                </w:p>
              </w:tc>
              <w:tc>
                <w:tcPr>
                  <w:tcW w:w="646" w:type="dxa"/>
                  <w:noWrap w:val="0"/>
                  <w:vAlign w:val="center"/>
                </w:tcPr>
                <w:p>
                  <w:pPr>
                    <w:pStyle w:val="7"/>
                    <w:keepNext w:val="0"/>
                    <w:keepLines w:val="0"/>
                    <w:pageBreakBefore w:val="0"/>
                    <w:kinsoku/>
                    <w:wordWrap/>
                    <w:overflowPunct/>
                    <w:topLinePunct w:val="0"/>
                    <w:bidi w:val="0"/>
                    <w:spacing w:line="240" w:lineRule="auto"/>
                    <w:jc w:val="center"/>
                    <w:textAlignment w:val="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729" w:type="dxa"/>
                  <w:noWrap w:val="0"/>
                  <w:vAlign w:val="center"/>
                </w:tcPr>
                <w:p>
                  <w:pPr>
                    <w:pStyle w:val="7"/>
                    <w:keepNext w:val="0"/>
                    <w:keepLines w:val="0"/>
                    <w:pageBreakBefore w:val="0"/>
                    <w:kinsoku/>
                    <w:wordWrap/>
                    <w:overflowPunct/>
                    <w:topLinePunct w:val="0"/>
                    <w:bidi w:val="0"/>
                    <w:spacing w:line="240" w:lineRule="auto"/>
                    <w:textAlignment w:val="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（2）</w:t>
                  </w:r>
                </w:p>
              </w:tc>
              <w:tc>
                <w:tcPr>
                  <w:tcW w:w="1351" w:type="dxa"/>
                  <w:noWrap w:val="0"/>
                  <w:vAlign w:val="center"/>
                </w:tcPr>
                <w:p>
                  <w:pPr>
                    <w:pStyle w:val="7"/>
                    <w:keepNext w:val="0"/>
                    <w:keepLines w:val="0"/>
                    <w:pageBreakBefore w:val="0"/>
                    <w:kinsoku/>
                    <w:wordWrap/>
                    <w:overflowPunct/>
                    <w:topLinePunct w:val="0"/>
                    <w:bidi w:val="0"/>
                    <w:spacing w:line="240" w:lineRule="auto"/>
                    <w:jc w:val="center"/>
                    <w:textAlignment w:val="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H为B的（%）</w:t>
                  </w:r>
                </w:p>
              </w:tc>
              <w:tc>
                <w:tcPr>
                  <w:tcW w:w="924" w:type="dxa"/>
                  <w:noWrap w:val="0"/>
                  <w:vAlign w:val="center"/>
                </w:tcPr>
                <w:p>
                  <w:pPr>
                    <w:pStyle w:val="7"/>
                    <w:keepNext w:val="0"/>
                    <w:keepLines w:val="0"/>
                    <w:pageBreakBefore w:val="0"/>
                    <w:kinsoku/>
                    <w:wordWrap/>
                    <w:overflowPunct/>
                    <w:topLinePunct w:val="0"/>
                    <w:bidi w:val="0"/>
                    <w:spacing w:line="240" w:lineRule="auto"/>
                    <w:jc w:val="center"/>
                    <w:textAlignment w:val="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5～10</w:t>
                  </w:r>
                </w:p>
              </w:tc>
              <w:tc>
                <w:tcPr>
                  <w:tcW w:w="839" w:type="dxa"/>
                  <w:noWrap w:val="0"/>
                  <w:vAlign w:val="center"/>
                </w:tcPr>
                <w:p>
                  <w:pPr>
                    <w:pStyle w:val="7"/>
                    <w:keepNext w:val="0"/>
                    <w:keepLines w:val="0"/>
                    <w:pageBreakBefore w:val="0"/>
                    <w:kinsoku/>
                    <w:wordWrap/>
                    <w:overflowPunct/>
                    <w:topLinePunct w:val="0"/>
                    <w:bidi w:val="0"/>
                    <w:spacing w:line="240" w:lineRule="auto"/>
                    <w:jc w:val="center"/>
                    <w:textAlignment w:val="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5～10</w:t>
                  </w:r>
                </w:p>
              </w:tc>
              <w:tc>
                <w:tcPr>
                  <w:tcW w:w="924" w:type="dxa"/>
                  <w:noWrap w:val="0"/>
                  <w:vAlign w:val="center"/>
                </w:tcPr>
                <w:p>
                  <w:pPr>
                    <w:pStyle w:val="7"/>
                    <w:keepNext w:val="0"/>
                    <w:keepLines w:val="0"/>
                    <w:pageBreakBefore w:val="0"/>
                    <w:kinsoku/>
                    <w:wordWrap/>
                    <w:overflowPunct/>
                    <w:topLinePunct w:val="0"/>
                    <w:bidi w:val="0"/>
                    <w:spacing w:line="240" w:lineRule="auto"/>
                    <w:jc w:val="center"/>
                    <w:textAlignment w:val="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5～10</w:t>
                  </w:r>
                </w:p>
              </w:tc>
              <w:tc>
                <w:tcPr>
                  <w:tcW w:w="646" w:type="dxa"/>
                  <w:noWrap w:val="0"/>
                  <w:vAlign w:val="center"/>
                </w:tcPr>
                <w:p>
                  <w:pPr>
                    <w:pStyle w:val="7"/>
                    <w:keepNext w:val="0"/>
                    <w:keepLines w:val="0"/>
                    <w:pageBreakBefore w:val="0"/>
                    <w:kinsoku/>
                    <w:wordWrap/>
                    <w:overflowPunct/>
                    <w:topLinePunct w:val="0"/>
                    <w:bidi w:val="0"/>
                    <w:spacing w:line="240" w:lineRule="auto"/>
                    <w:jc w:val="center"/>
                    <w:textAlignment w:val="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5～10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729" w:type="dxa"/>
                  <w:noWrap w:val="0"/>
                  <w:vAlign w:val="center"/>
                </w:tcPr>
                <w:p>
                  <w:pPr>
                    <w:pStyle w:val="7"/>
                    <w:keepNext w:val="0"/>
                    <w:keepLines w:val="0"/>
                    <w:pageBreakBefore w:val="0"/>
                    <w:kinsoku/>
                    <w:wordWrap/>
                    <w:overflowPunct/>
                    <w:topLinePunct w:val="0"/>
                    <w:bidi w:val="0"/>
                    <w:spacing w:line="240" w:lineRule="auto"/>
                    <w:textAlignment w:val="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（3）</w:t>
                  </w:r>
                </w:p>
              </w:tc>
              <w:tc>
                <w:tcPr>
                  <w:tcW w:w="1351" w:type="dxa"/>
                  <w:noWrap w:val="0"/>
                  <w:vAlign w:val="center"/>
                </w:tcPr>
                <w:p>
                  <w:pPr>
                    <w:pStyle w:val="7"/>
                    <w:keepNext w:val="0"/>
                    <w:keepLines w:val="0"/>
                    <w:pageBreakBefore w:val="0"/>
                    <w:kinsoku/>
                    <w:wordWrap/>
                    <w:overflowPunct/>
                    <w:topLinePunct w:val="0"/>
                    <w:bidi w:val="0"/>
                    <w:spacing w:line="240" w:lineRule="auto"/>
                    <w:jc w:val="center"/>
                    <w:textAlignment w:val="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H</w:t>
                  </w:r>
                </w:p>
              </w:tc>
              <w:tc>
                <w:tcPr>
                  <w:tcW w:w="924" w:type="dxa"/>
                  <w:noWrap w:val="0"/>
                  <w:vAlign w:val="center"/>
                </w:tcPr>
                <w:p>
                  <w:pPr>
                    <w:pStyle w:val="7"/>
                    <w:keepNext w:val="0"/>
                    <w:keepLines w:val="0"/>
                    <w:pageBreakBefore w:val="0"/>
                    <w:kinsoku/>
                    <w:wordWrap/>
                    <w:overflowPunct/>
                    <w:topLinePunct w:val="0"/>
                    <w:bidi w:val="0"/>
                    <w:spacing w:line="240" w:lineRule="auto"/>
                    <w:jc w:val="center"/>
                    <w:textAlignment w:val="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0</w:t>
                  </w:r>
                </w:p>
              </w:tc>
              <w:tc>
                <w:tcPr>
                  <w:tcW w:w="839" w:type="dxa"/>
                  <w:noWrap w:val="0"/>
                  <w:vAlign w:val="center"/>
                </w:tcPr>
                <w:p>
                  <w:pPr>
                    <w:pStyle w:val="7"/>
                    <w:keepNext w:val="0"/>
                    <w:keepLines w:val="0"/>
                    <w:pageBreakBefore w:val="0"/>
                    <w:kinsoku/>
                    <w:wordWrap/>
                    <w:overflowPunct/>
                    <w:topLinePunct w:val="0"/>
                    <w:bidi w:val="0"/>
                    <w:spacing w:line="240" w:lineRule="auto"/>
                    <w:jc w:val="center"/>
                    <w:textAlignment w:val="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0</w:t>
                  </w:r>
                </w:p>
              </w:tc>
              <w:tc>
                <w:tcPr>
                  <w:tcW w:w="924" w:type="dxa"/>
                  <w:noWrap w:val="0"/>
                  <w:vAlign w:val="center"/>
                </w:tcPr>
                <w:p>
                  <w:pPr>
                    <w:pStyle w:val="7"/>
                    <w:keepNext w:val="0"/>
                    <w:keepLines w:val="0"/>
                    <w:pageBreakBefore w:val="0"/>
                    <w:kinsoku/>
                    <w:wordWrap/>
                    <w:overflowPunct/>
                    <w:topLinePunct w:val="0"/>
                    <w:bidi w:val="0"/>
                    <w:spacing w:line="240" w:lineRule="auto"/>
                    <w:jc w:val="center"/>
                    <w:textAlignment w:val="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0</w:t>
                  </w:r>
                </w:p>
              </w:tc>
              <w:tc>
                <w:tcPr>
                  <w:tcW w:w="646" w:type="dxa"/>
                  <w:noWrap w:val="0"/>
                  <w:vAlign w:val="center"/>
                </w:tcPr>
                <w:p>
                  <w:pPr>
                    <w:pStyle w:val="7"/>
                    <w:keepNext w:val="0"/>
                    <w:keepLines w:val="0"/>
                    <w:pageBreakBefore w:val="0"/>
                    <w:kinsoku/>
                    <w:wordWrap/>
                    <w:overflowPunct/>
                    <w:topLinePunct w:val="0"/>
                    <w:bidi w:val="0"/>
                    <w:spacing w:line="240" w:lineRule="auto"/>
                    <w:jc w:val="center"/>
                    <w:textAlignment w:val="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0</w:t>
                  </w:r>
                </w:p>
              </w:tc>
            </w:tr>
          </w:tbl>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注：多个单项工程时，按每单项单独计算。对于单项工程的取消，该单项价款即行核减。</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（b）【</w:t>
            </w:r>
            <w:r>
              <w:rPr>
                <w:rFonts w:hint="eastAsia" w:ascii="宋体" w:hAnsi="宋体" w:eastAsia="宋体" w:cs="宋体"/>
                <w:color w:val="auto"/>
                <w:sz w:val="21"/>
                <w:szCs w:val="21"/>
                <w:highlight w:val="none"/>
                <w:u w:val="single"/>
                <w:shd w:val="clear" w:color="auto" w:fill="auto"/>
              </w:rPr>
              <w:t xml:space="preserve">    </w:t>
            </w:r>
            <w:r>
              <w:rPr>
                <w:rFonts w:hint="eastAsia" w:ascii="宋体" w:hAnsi="宋体" w:eastAsia="宋体" w:cs="宋体"/>
                <w:color w:val="auto"/>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u w:val="single"/>
                <w:shd w:val="clear" w:color="auto" w:fill="auto"/>
              </w:rPr>
              <w:t xml:space="preserve">    </w:t>
            </w:r>
            <w:r>
              <w:rPr>
                <w:rFonts w:hint="eastAsia" w:ascii="宋体" w:hAnsi="宋体" w:eastAsia="宋体" w:cs="宋体"/>
                <w:color w:val="auto"/>
                <w:sz w:val="21"/>
                <w:szCs w:val="21"/>
                <w:highlight w:val="none"/>
                <w:shd w:val="clear" w:color="auto" w:fill="auto"/>
              </w:rPr>
              <w:t>】按实际完成的工程量，以</w:t>
            </w:r>
            <w:r>
              <w:rPr>
                <w:rFonts w:hint="eastAsia" w:ascii="宋体" w:hAnsi="宋体" w:eastAsia="宋体" w:cs="宋体"/>
                <w:color w:val="auto"/>
                <w:sz w:val="21"/>
                <w:szCs w:val="21"/>
                <w:highlight w:val="none"/>
                <w:shd w:val="clear" w:color="auto" w:fill="auto"/>
                <w:lang w:val="en-US" w:eastAsia="zh-CN"/>
              </w:rPr>
              <w:t>招标文件中</w:t>
            </w:r>
            <w:r>
              <w:rPr>
                <w:rFonts w:hint="eastAsia" w:ascii="宋体" w:hAnsi="宋体" w:eastAsia="宋体" w:cs="宋体"/>
                <w:color w:val="auto"/>
                <w:sz w:val="21"/>
                <w:szCs w:val="21"/>
                <w:highlight w:val="none"/>
                <w:shd w:val="clear" w:color="auto" w:fill="auto"/>
              </w:rPr>
              <w:t>投标报价</w:t>
            </w:r>
            <w:r>
              <w:rPr>
                <w:rFonts w:hint="eastAsia" w:ascii="宋体" w:hAnsi="宋体" w:eastAsia="宋体" w:cs="宋体"/>
                <w:color w:val="auto"/>
                <w:sz w:val="21"/>
                <w:szCs w:val="21"/>
                <w:highlight w:val="none"/>
                <w:shd w:val="clear" w:color="auto" w:fill="auto"/>
                <w:lang w:val="en-US" w:eastAsia="zh-CN"/>
              </w:rPr>
              <w:t>原则</w:t>
            </w:r>
            <w:r>
              <w:rPr>
                <w:rFonts w:hint="eastAsia" w:ascii="宋体" w:hAnsi="宋体" w:eastAsia="宋体" w:cs="宋体"/>
                <w:color w:val="auto"/>
                <w:kern w:val="2"/>
                <w:sz w:val="21"/>
                <w:szCs w:val="21"/>
                <w:highlight w:val="none"/>
                <w:shd w:val="clear" w:color="auto" w:fill="auto"/>
              </w:rPr>
              <w:t>进行结算</w:t>
            </w:r>
            <w:r>
              <w:rPr>
                <w:rFonts w:hint="eastAsia" w:ascii="宋体" w:hAnsi="宋体" w:eastAsia="宋体" w:cs="宋体"/>
                <w:color w:val="auto"/>
                <w:kern w:val="2"/>
                <w:sz w:val="21"/>
                <w:szCs w:val="21"/>
                <w:highlight w:val="none"/>
                <w:shd w:val="clear" w:color="auto" w:fill="auto"/>
                <w:lang w:eastAsia="zh-CN"/>
              </w:rPr>
              <w:t>。</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（c）设计变更管理执行中国南方电网有限责任公司基建工程设计管理规定。</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一项工程变更工程量变化金额在H万元以下的，在工程竣工结算时，而作的成本记录计算仅作为考核设计质量之用，不调整合同价款。</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（d）本合同中，因建设需要取消的单项工程，按中标合同价款中的相应费用减少合同价款。</w:t>
            </w:r>
          </w:p>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shd w:val="clear" w:color="auto" w:fill="auto"/>
              </w:rPr>
              <w:t>（e）其他：</w:t>
            </w:r>
            <w:r>
              <w:rPr>
                <w:rFonts w:hint="eastAsia" w:ascii="宋体" w:hAnsi="宋体" w:eastAsia="宋体" w:cs="宋体"/>
                <w:color w:val="auto"/>
                <w:sz w:val="21"/>
                <w:szCs w:val="21"/>
                <w:highlight w:val="none"/>
                <w:u w:val="single"/>
                <w:shd w:val="clear" w:color="auto" w:fill="auto"/>
              </w:rPr>
              <w:t xml:space="preserve">    </w:t>
            </w:r>
            <w:r>
              <w:rPr>
                <w:rFonts w:hint="eastAsia" w:ascii="宋体" w:hAnsi="宋体" w:eastAsia="宋体" w:cs="宋体"/>
                <w:color w:val="auto"/>
                <w:sz w:val="21"/>
                <w:szCs w:val="21"/>
                <w:highlight w:val="none"/>
                <w:u w:val="single"/>
                <w:shd w:val="clear" w:color="auto" w:fill="auto"/>
                <w:lang w:val="en-US" w:eastAsia="zh-CN"/>
              </w:rPr>
              <w:t>/</w:t>
            </w:r>
            <w:r>
              <w:rPr>
                <w:rFonts w:hint="eastAsia" w:ascii="宋体" w:hAnsi="宋体" w:eastAsia="宋体" w:cs="宋体"/>
                <w:color w:val="auto"/>
                <w:sz w:val="21"/>
                <w:szCs w:val="21"/>
                <w:highlight w:val="none"/>
                <w:u w:val="single"/>
                <w:shd w:val="clear" w:color="auto" w:fill="auto"/>
              </w:rPr>
              <w:t xml:space="preserve">     。</w:t>
            </w:r>
          </w:p>
          <w:p>
            <w:pPr>
              <w:pStyle w:val="16"/>
              <w:keepNext w:val="0"/>
              <w:keepLines w:val="0"/>
              <w:pageBreakBefore w:val="0"/>
              <w:kinsoku/>
              <w:wordWrap/>
              <w:overflowPunct/>
              <w:topLinePunct w:val="0"/>
              <w:bidi w:val="0"/>
              <w:spacing w:after="0" w:line="240" w:lineRule="auto"/>
              <w:ind w:left="0" w:leftChars="0" w:firstLine="422" w:firstLineChars="200"/>
              <w:textAlignment w:val="auto"/>
              <w:rPr>
                <w:rFonts w:hint="eastAsia" w:ascii="宋体" w:hAnsi="宋体" w:eastAsia="宋体" w:cs="宋体"/>
                <w:color w:val="auto"/>
                <w:sz w:val="21"/>
                <w:szCs w:val="21"/>
                <w:highlight w:val="none"/>
                <w:lang w:eastAsia="zh-CN"/>
              </w:rPr>
            </w:pPr>
          </w:p>
          <w:p>
            <w:pPr>
              <w:pStyle w:val="16"/>
              <w:keepNext w:val="0"/>
              <w:keepLines w:val="0"/>
              <w:pageBreakBefore w:val="0"/>
              <w:kinsoku/>
              <w:wordWrap/>
              <w:overflowPunct/>
              <w:topLinePunct w:val="0"/>
              <w:bidi w:val="0"/>
              <w:spacing w:after="0" w:line="240" w:lineRule="auto"/>
              <w:ind w:left="0" w:leftChars="0" w:firstLine="0" w:firstLineChars="0"/>
              <w:textAlignment w:val="auto"/>
              <w:rPr>
                <w:rFonts w:hint="eastAsia" w:ascii="宋体" w:hAnsi="宋体" w:eastAsia="宋体" w:cs="宋体"/>
                <w:b w:val="0"/>
                <w:bCs/>
                <w:color w:val="auto"/>
                <w:sz w:val="21"/>
                <w:szCs w:val="21"/>
                <w:highlight w:val="none"/>
              </w:rPr>
            </w:pPr>
          </w:p>
        </w:tc>
        <w:tc>
          <w:tcPr>
            <w:tcW w:w="687" w:type="dxa"/>
            <w:noWrap w:val="0"/>
            <w:vAlign w:val="center"/>
          </w:tcPr>
          <w:p>
            <w:pPr>
              <w:keepNext w:val="0"/>
              <w:keepLines w:val="0"/>
              <w:pageBreakBefore w:val="0"/>
              <w:widowControl/>
              <w:kinsoku/>
              <w:wordWrap/>
              <w:overflowPunct/>
              <w:topLinePunct w:val="0"/>
              <w:bidi w:val="0"/>
              <w:spacing w:line="240" w:lineRule="auto"/>
              <w:ind w:firstLine="0" w:firstLineChars="0"/>
              <w:jc w:val="left"/>
              <w:textAlignment w:val="auto"/>
              <w:rPr>
                <w:rFonts w:hint="eastAsia" w:ascii="宋体" w:hAnsi="宋体" w:eastAsia="宋体" w:cs="宋体"/>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82" w:type="dxa"/>
            <w:noWrap w:val="0"/>
            <w:vAlign w:val="center"/>
          </w:tcPr>
          <w:p>
            <w:pPr>
              <w:pStyle w:val="15"/>
              <w:keepNext w:val="0"/>
              <w:keepLines w:val="0"/>
              <w:pageBreakBefore w:val="0"/>
              <w:widowControl w:val="0"/>
              <w:numPr>
                <w:ilvl w:val="0"/>
                <w:numId w:val="1"/>
              </w:numPr>
              <w:kinsoku/>
              <w:wordWrap/>
              <w:overflowPunct/>
              <w:topLinePunct w:val="0"/>
              <w:autoSpaceDE/>
              <w:autoSpaceDN/>
              <w:bidi w:val="0"/>
              <w:adjustRightInd w:val="0"/>
              <w:snapToGrid w:val="0"/>
              <w:spacing w:line="240" w:lineRule="auto"/>
              <w:ind w:left="0" w:firstLine="0" w:firstLineChars="0"/>
              <w:jc w:val="center"/>
              <w:textAlignment w:val="auto"/>
              <w:rPr>
                <w:rFonts w:hint="eastAsia" w:ascii="宋体" w:hAnsi="宋体" w:eastAsia="宋体" w:cs="宋体"/>
                <w:color w:val="auto"/>
                <w:kern w:val="0"/>
                <w:sz w:val="21"/>
                <w:szCs w:val="21"/>
                <w:highlight w:val="none"/>
              </w:rPr>
            </w:pPr>
          </w:p>
        </w:tc>
        <w:tc>
          <w:tcPr>
            <w:tcW w:w="1108" w:type="dxa"/>
            <w:noWrap w:val="0"/>
            <w:vAlign w:val="center"/>
          </w:tcPr>
          <w:p>
            <w:pPr>
              <w:pStyle w:val="15"/>
              <w:keepNext w:val="0"/>
              <w:keepLines w:val="0"/>
              <w:pageBreakBefore w:val="0"/>
              <w:numPr>
                <w:ilvl w:val="0"/>
                <w:numId w:val="0"/>
              </w:numPr>
              <w:kinsoku/>
              <w:wordWrap/>
              <w:overflowPunct/>
              <w:topLinePunct w:val="0"/>
              <w:bidi w:val="0"/>
              <w:spacing w:line="240" w:lineRule="auto"/>
              <w:ind w:left="0" w:leftChars="0" w:firstLine="0" w:firstLineChars="0"/>
              <w:textAlignment w:val="auto"/>
              <w:rPr>
                <w:rFonts w:hint="default" w:ascii="宋体" w:hAnsi="宋体" w:eastAsia="宋体" w:cs="宋体"/>
                <w:color w:val="auto"/>
                <w:kern w:val="0"/>
                <w:sz w:val="21"/>
                <w:szCs w:val="21"/>
                <w:highlight w:val="none"/>
                <w:lang w:val="en-US" w:eastAsia="zh-CN"/>
              </w:rPr>
            </w:pPr>
            <w:r>
              <w:rPr>
                <w:rFonts w:hint="eastAsia" w:ascii="宋体" w:hAnsi="宋体" w:cs="宋体"/>
                <w:color w:val="auto"/>
                <w:kern w:val="0"/>
                <w:sz w:val="21"/>
                <w:szCs w:val="21"/>
                <w:highlight w:val="none"/>
                <w:lang w:val="en-US" w:eastAsia="zh-CN"/>
              </w:rPr>
              <w:t>修改</w:t>
            </w:r>
          </w:p>
        </w:tc>
        <w:tc>
          <w:tcPr>
            <w:tcW w:w="1262" w:type="dxa"/>
            <w:noWrap w:val="0"/>
            <w:vAlign w:val="center"/>
          </w:tcPr>
          <w:p>
            <w:pPr>
              <w:keepNext w:val="0"/>
              <w:keepLines w:val="0"/>
              <w:pageBreakBefore w:val="0"/>
              <w:kinsoku/>
              <w:wordWrap/>
              <w:overflowPunct/>
              <w:topLinePunct w:val="0"/>
              <w:bidi w:val="0"/>
              <w:spacing w:line="240" w:lineRule="auto"/>
              <w:ind w:firstLine="0" w:firstLine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专用合同条款</w:t>
            </w:r>
          </w:p>
          <w:p>
            <w:pPr>
              <w:keepNext w:val="0"/>
              <w:keepLines w:val="0"/>
              <w:pageBreakBefore w:val="0"/>
              <w:kinsoku/>
              <w:wordWrap/>
              <w:overflowPunct/>
              <w:topLinePunct w:val="0"/>
              <w:bidi w:val="0"/>
              <w:spacing w:line="240" w:lineRule="auto"/>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13.9 物价波动引起的价格调整</w:t>
            </w:r>
          </w:p>
        </w:tc>
        <w:tc>
          <w:tcPr>
            <w:tcW w:w="5760" w:type="dxa"/>
            <w:noWrap w:val="0"/>
            <w:vAlign w:val="center"/>
          </w:tcPr>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13.9 </w:t>
            </w:r>
            <w:r>
              <w:rPr>
                <w:rFonts w:hint="eastAsia" w:ascii="宋体" w:hAnsi="宋体" w:eastAsia="宋体" w:cs="宋体"/>
                <w:color w:val="auto"/>
                <w:kern w:val="0"/>
                <w:sz w:val="21"/>
                <w:szCs w:val="21"/>
                <w:highlight w:val="none"/>
              </w:rPr>
              <w:t>物价波动引起的价格调整</w:t>
            </w:r>
          </w:p>
          <w:p>
            <w:pPr>
              <w:pStyle w:val="16"/>
              <w:keepNext w:val="0"/>
              <w:keepLines w:val="0"/>
              <w:pageBreakBefore w:val="0"/>
              <w:kinsoku/>
              <w:wordWrap/>
              <w:overflowPunct/>
              <w:topLinePunct w:val="0"/>
              <w:bidi w:val="0"/>
              <w:spacing w:after="0" w:line="240" w:lineRule="auto"/>
              <w:ind w:left="0" w:leftChars="0" w:firstLine="422"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由于承包人原因造成延期的项目单价均不予调整。</w:t>
            </w:r>
          </w:p>
          <w:p>
            <w:pPr>
              <w:pStyle w:val="16"/>
              <w:keepNext w:val="0"/>
              <w:keepLines w:val="0"/>
              <w:pageBreakBefore w:val="0"/>
              <w:kinsoku/>
              <w:wordWrap/>
              <w:overflowPunct/>
              <w:topLinePunct w:val="0"/>
              <w:bidi w:val="0"/>
              <w:spacing w:after="0" w:line="240" w:lineRule="auto"/>
              <w:ind w:left="0" w:leftChars="0" w:firstLine="420" w:firstLineChars="20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kern w:val="0"/>
                <w:sz w:val="21"/>
                <w:szCs w:val="21"/>
                <w:highlight w:val="none"/>
              </w:rPr>
              <w:t>物价波动引起的价格调整，增加以下选项，具体调整内容各单位自行确定：</w:t>
            </w:r>
          </w:p>
          <w:p>
            <w:pPr>
              <w:pStyle w:val="16"/>
              <w:keepNext w:val="0"/>
              <w:keepLines w:val="0"/>
              <w:pageBreakBefore w:val="0"/>
              <w:kinsoku/>
              <w:wordWrap/>
              <w:overflowPunct/>
              <w:topLinePunct w:val="0"/>
              <w:bidi w:val="0"/>
              <w:spacing w:after="0" w:line="240" w:lineRule="auto"/>
              <w:ind w:left="0" w:leftChars="0" w:firstLine="420" w:firstLineChars="200"/>
              <w:textAlignment w:val="auto"/>
              <w:rPr>
                <w:rFonts w:hint="eastAsia" w:ascii="宋体" w:hAnsi="宋体" w:eastAsia="宋体" w:cs="宋体"/>
                <w:b w:val="0"/>
                <w:color w:val="auto"/>
                <w:sz w:val="21"/>
                <w:szCs w:val="21"/>
                <w:highlight w:val="none"/>
              </w:rPr>
            </w:pPr>
            <w:permStart w:id="44" w:edGrp="everyone"/>
            <w:r>
              <w:rPr>
                <w:rFonts w:hint="eastAsia" w:ascii="宋体" w:hAnsi="宋体" w:eastAsia="宋体" w:cs="宋体"/>
                <w:b w:val="0"/>
                <w:color w:val="auto"/>
                <w:sz w:val="21"/>
                <w:szCs w:val="21"/>
                <w:highlight w:val="none"/>
              </w:rPr>
              <w:t>13.9.1人工单价可调整的情况：</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 w:val="0"/>
                <w:color w:val="auto"/>
                <w:sz w:val="21"/>
                <w:szCs w:val="21"/>
                <w:highlight w:val="none"/>
                <w:u w:val="single"/>
              </w:rPr>
              <w:t xml:space="preserve"> 。</w:t>
            </w:r>
          </w:p>
          <w:p>
            <w:pPr>
              <w:pStyle w:val="16"/>
              <w:keepNext w:val="0"/>
              <w:keepLines w:val="0"/>
              <w:pageBreakBefore w:val="0"/>
              <w:kinsoku/>
              <w:wordWrap/>
              <w:overflowPunct/>
              <w:topLinePunct w:val="0"/>
              <w:bidi w:val="0"/>
              <w:spacing w:after="0" w:line="240" w:lineRule="auto"/>
              <w:ind w:left="0" w:leftChars="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b w:val="0"/>
                <w:bCs/>
                <w:color w:val="auto"/>
                <w:sz w:val="21"/>
                <w:szCs w:val="21"/>
                <w:highlight w:val="none"/>
              </w:rPr>
              <w:t xml:space="preserve">13.9.2 材料波动引起价格调整： </w:t>
            </w:r>
            <w:r>
              <w:rPr>
                <w:rFonts w:hint="eastAsia" w:ascii="宋体" w:hAnsi="宋体" w:eastAsia="宋体" w:cs="宋体"/>
                <w:b w:val="0"/>
                <w:bCs/>
                <w:color w:val="auto"/>
                <w:sz w:val="21"/>
                <w:szCs w:val="21"/>
                <w:highlight w:val="none"/>
                <w:u w:val="single"/>
              </w:rPr>
              <w:t xml:space="preserve">                           </w:t>
            </w:r>
            <w:r>
              <w:rPr>
                <w:rFonts w:hint="eastAsia" w:ascii="宋体" w:hAnsi="宋体" w:eastAsia="宋体" w:cs="宋体"/>
                <w:b w:val="0"/>
                <w:bCs/>
                <w:color w:val="auto"/>
                <w:sz w:val="21"/>
                <w:szCs w:val="21"/>
                <w:highlight w:val="none"/>
                <w:u w:val="single"/>
                <w:lang w:val="en-US" w:eastAsia="zh-CN"/>
              </w:rPr>
              <w:t xml:space="preserve">   </w:t>
            </w:r>
            <w:r>
              <w:rPr>
                <w:rFonts w:hint="eastAsia" w:ascii="宋体" w:hAnsi="宋体" w:eastAsia="宋体" w:cs="宋体"/>
                <w:b w:val="0"/>
                <w:bCs/>
                <w:color w:val="auto"/>
                <w:sz w:val="21"/>
                <w:szCs w:val="21"/>
                <w:highlight w:val="none"/>
                <w:u w:val="single"/>
              </w:rPr>
              <w:t xml:space="preserve">      。</w:t>
            </w:r>
            <w:permEnd w:id="44"/>
          </w:p>
        </w:tc>
        <w:tc>
          <w:tcPr>
            <w:tcW w:w="5800" w:type="dxa"/>
            <w:noWrap w:val="0"/>
            <w:vAlign w:val="center"/>
          </w:tcPr>
          <w:p>
            <w:pPr>
              <w:pStyle w:val="6"/>
              <w:keepNext w:val="0"/>
              <w:keepLines w:val="0"/>
              <w:pageBreakBefore w:val="0"/>
              <w:kinsoku/>
              <w:wordWrap/>
              <w:overflowPunct/>
              <w:topLinePunct w:val="0"/>
              <w:bidi w:val="0"/>
              <w:spacing w:after="0" w:line="240" w:lineRule="auto"/>
              <w:ind w:left="0" w:leftChars="0" w:firstLine="420" w:firstLineChars="200"/>
              <w:textAlignment w:val="auto"/>
              <w:rPr>
                <w:rFonts w:hint="eastAsia" w:ascii="宋体" w:hAnsi="宋体" w:eastAsia="宋体" w:cs="宋体"/>
                <w:b w:val="0"/>
                <w:bCs/>
                <w:color w:val="auto"/>
                <w:sz w:val="21"/>
                <w:szCs w:val="21"/>
                <w:highlight w:val="none"/>
              </w:rPr>
            </w:pPr>
            <w:r>
              <w:rPr>
                <w:rFonts w:hint="eastAsia" w:ascii="宋体" w:hAnsi="宋体" w:eastAsia="宋体" w:cs="宋体"/>
                <w:color w:val="auto"/>
                <w:sz w:val="21"/>
                <w:szCs w:val="21"/>
                <w:highlight w:val="none"/>
              </w:rPr>
              <w:t xml:space="preserve">13.9 </w:t>
            </w:r>
            <w:r>
              <w:rPr>
                <w:rFonts w:hint="eastAsia" w:ascii="宋体" w:hAnsi="宋体" w:eastAsia="宋体" w:cs="宋体"/>
                <w:color w:val="auto"/>
                <w:kern w:val="0"/>
                <w:sz w:val="21"/>
                <w:szCs w:val="21"/>
                <w:highlight w:val="none"/>
              </w:rPr>
              <w:t>物价波动引起的价格调整</w:t>
            </w:r>
          </w:p>
          <w:p>
            <w:pPr>
              <w:pStyle w:val="16"/>
              <w:keepNext w:val="0"/>
              <w:keepLines w:val="0"/>
              <w:pageBreakBefore w:val="0"/>
              <w:kinsoku/>
              <w:wordWrap/>
              <w:overflowPunct/>
              <w:topLinePunct w:val="0"/>
              <w:bidi w:val="0"/>
              <w:spacing w:after="0" w:line="240" w:lineRule="auto"/>
              <w:ind w:left="0" w:leftChars="0" w:firstLine="420" w:firstLineChars="20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13.9.1由于承包人原因造成延期的项目单价均不予调整。</w:t>
            </w:r>
          </w:p>
          <w:p>
            <w:pPr>
              <w:pStyle w:val="16"/>
              <w:keepNext w:val="0"/>
              <w:keepLines w:val="0"/>
              <w:pageBreakBefore w:val="0"/>
              <w:kinsoku/>
              <w:wordWrap/>
              <w:overflowPunct/>
              <w:topLinePunct w:val="0"/>
              <w:bidi w:val="0"/>
              <w:spacing w:after="0" w:line="240" w:lineRule="auto"/>
              <w:ind w:left="0" w:leftChars="0" w:firstLine="422" w:firstLineChars="200"/>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13.9.2</w:t>
            </w:r>
            <w:r>
              <w:rPr>
                <w:rFonts w:hint="eastAsia" w:ascii="宋体" w:hAnsi="宋体" w:eastAsia="宋体" w:cs="宋体"/>
                <w:b/>
                <w:bCs/>
                <w:color w:val="auto"/>
                <w:sz w:val="21"/>
                <w:szCs w:val="21"/>
                <w:highlight w:val="none"/>
                <w:lang w:val="en-US" w:eastAsia="zh-CN"/>
              </w:rPr>
              <w:t xml:space="preserve"> 人工单价按以下约定调整</w:t>
            </w:r>
          </w:p>
          <w:p>
            <w:pPr>
              <w:pStyle w:val="16"/>
              <w:keepNext w:val="0"/>
              <w:keepLines w:val="0"/>
              <w:pageBreakBefore w:val="0"/>
              <w:kinsoku/>
              <w:wordWrap/>
              <w:overflowPunct/>
              <w:topLinePunct w:val="0"/>
              <w:bidi w:val="0"/>
              <w:spacing w:after="0" w:line="240" w:lineRule="auto"/>
              <w:ind w:left="0" w:leftChars="0" w:firstLine="422" w:firstLineChars="200"/>
              <w:textAlignment w:val="auto"/>
              <w:rPr>
                <w:rFonts w:hint="eastAsia" w:ascii="宋体" w:hAnsi="宋体" w:eastAsia="宋体" w:cs="宋体"/>
                <w:b w:val="0"/>
                <w:color w:val="auto"/>
                <w:sz w:val="21"/>
                <w:szCs w:val="21"/>
                <w:highlight w:val="none"/>
                <w:lang w:val="en-US" w:eastAsia="zh-CN"/>
              </w:rPr>
            </w:pPr>
            <w:r>
              <w:rPr>
                <w:rFonts w:hint="eastAsia" w:ascii="宋体" w:hAnsi="宋体" w:eastAsia="宋体" w:cs="宋体"/>
                <w:color w:val="auto"/>
                <w:sz w:val="21"/>
                <w:szCs w:val="21"/>
                <w:highlight w:val="none"/>
              </w:rPr>
              <w:t>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p>
          <w:p>
            <w:pPr>
              <w:pStyle w:val="16"/>
              <w:keepNext w:val="0"/>
              <w:keepLines w:val="0"/>
              <w:pageBreakBefore w:val="0"/>
              <w:kinsoku/>
              <w:wordWrap/>
              <w:overflowPunct/>
              <w:topLinePunct w:val="0"/>
              <w:bidi w:val="0"/>
              <w:spacing w:after="0" w:line="240" w:lineRule="auto"/>
              <w:ind w:left="0" w:leftChars="0" w:firstLine="420" w:firstLineChars="200"/>
              <w:textAlignment w:val="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lang w:val="en-US" w:eastAsia="zh-CN"/>
              </w:rPr>
              <w:t xml:space="preserve">13.9.2.1 </w:t>
            </w:r>
            <w:r>
              <w:rPr>
                <w:rFonts w:hint="eastAsia" w:ascii="宋体" w:hAnsi="宋体" w:eastAsia="宋体" w:cs="宋体"/>
                <w:b w:val="0"/>
                <w:color w:val="auto"/>
                <w:sz w:val="21"/>
                <w:szCs w:val="21"/>
                <w:highlight w:val="none"/>
              </w:rPr>
              <w:t>人工单价可调整的情况分为：</w:t>
            </w:r>
          </w:p>
          <w:p>
            <w:pPr>
              <w:pStyle w:val="16"/>
              <w:keepNext w:val="0"/>
              <w:keepLines w:val="0"/>
              <w:pageBreakBefore w:val="0"/>
              <w:kinsoku/>
              <w:wordWrap/>
              <w:overflowPunct/>
              <w:topLinePunct w:val="0"/>
              <w:bidi w:val="0"/>
              <w:spacing w:after="0" w:line="240" w:lineRule="auto"/>
              <w:ind w:left="0" w:leftChars="0" w:firstLine="420" w:firstLineChars="200"/>
              <w:textAlignment w:val="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①开工时调整单价</w:t>
            </w:r>
          </w:p>
          <w:p>
            <w:pPr>
              <w:pStyle w:val="16"/>
              <w:keepNext w:val="0"/>
              <w:keepLines w:val="0"/>
              <w:pageBreakBefore w:val="0"/>
              <w:kinsoku/>
              <w:wordWrap/>
              <w:overflowPunct/>
              <w:topLinePunct w:val="0"/>
              <w:bidi w:val="0"/>
              <w:spacing w:after="0" w:line="240" w:lineRule="auto"/>
              <w:ind w:left="0" w:leftChars="0" w:firstLine="420" w:firstLineChars="200"/>
              <w:textAlignment w:val="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实际开工日期S2-计划开工日期S1＞3个月时，在实际开工时调整。</w:t>
            </w:r>
          </w:p>
          <w:p>
            <w:pPr>
              <w:pStyle w:val="16"/>
              <w:keepNext w:val="0"/>
              <w:keepLines w:val="0"/>
              <w:pageBreakBefore w:val="0"/>
              <w:kinsoku/>
              <w:wordWrap/>
              <w:overflowPunct/>
              <w:topLinePunct w:val="0"/>
              <w:bidi w:val="0"/>
              <w:spacing w:after="0" w:line="240" w:lineRule="auto"/>
              <w:ind w:left="0" w:leftChars="0" w:firstLine="420" w:firstLineChars="200"/>
              <w:textAlignment w:val="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②过程中调整单价</w:t>
            </w:r>
          </w:p>
          <w:p>
            <w:pPr>
              <w:pStyle w:val="16"/>
              <w:keepNext w:val="0"/>
              <w:keepLines w:val="0"/>
              <w:pageBreakBefore w:val="0"/>
              <w:kinsoku/>
              <w:wordWrap/>
              <w:overflowPunct/>
              <w:topLinePunct w:val="0"/>
              <w:bidi w:val="0"/>
              <w:spacing w:after="0" w:line="240" w:lineRule="auto"/>
              <w:ind w:left="0" w:leftChars="0" w:firstLine="420" w:firstLineChars="200"/>
              <w:textAlignment w:val="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实际竣工日期F2-实际开工日期S2＞计划工期T1（天）,对超过计划工期的施工时间部分调整。</w:t>
            </w:r>
          </w:p>
          <w:p>
            <w:pPr>
              <w:pStyle w:val="16"/>
              <w:keepNext w:val="0"/>
              <w:keepLines w:val="0"/>
              <w:pageBreakBefore w:val="0"/>
              <w:kinsoku/>
              <w:wordWrap/>
              <w:overflowPunct/>
              <w:topLinePunct w:val="0"/>
              <w:bidi w:val="0"/>
              <w:spacing w:after="0" w:line="240" w:lineRule="auto"/>
              <w:ind w:left="0" w:leftChars="0" w:firstLine="420" w:firstLineChars="200"/>
              <w:textAlignment w:val="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计划开工日期S1:是指招标文件中规定的计划开工日期。</w:t>
            </w:r>
          </w:p>
          <w:p>
            <w:pPr>
              <w:pStyle w:val="16"/>
              <w:keepNext w:val="0"/>
              <w:keepLines w:val="0"/>
              <w:pageBreakBefore w:val="0"/>
              <w:kinsoku/>
              <w:wordWrap/>
              <w:overflowPunct/>
              <w:topLinePunct w:val="0"/>
              <w:bidi w:val="0"/>
              <w:spacing w:after="0" w:line="240" w:lineRule="auto"/>
              <w:ind w:left="0" w:leftChars="0" w:firstLine="420" w:firstLineChars="200"/>
              <w:textAlignment w:val="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实际开工日期S2:是指开工报告签署完毕的日期。</w:t>
            </w:r>
          </w:p>
          <w:p>
            <w:pPr>
              <w:pStyle w:val="16"/>
              <w:keepNext w:val="0"/>
              <w:keepLines w:val="0"/>
              <w:pageBreakBefore w:val="0"/>
              <w:kinsoku/>
              <w:wordWrap/>
              <w:overflowPunct/>
              <w:topLinePunct w:val="0"/>
              <w:bidi w:val="0"/>
              <w:spacing w:after="0" w:line="240" w:lineRule="auto"/>
              <w:ind w:left="0" w:leftChars="0" w:firstLine="420" w:firstLineChars="200"/>
              <w:textAlignment w:val="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实际竣工日期F2:是指竣工报告签署完毕的日期。</w:t>
            </w:r>
          </w:p>
          <w:p>
            <w:pPr>
              <w:pStyle w:val="16"/>
              <w:keepNext w:val="0"/>
              <w:keepLines w:val="0"/>
              <w:pageBreakBefore w:val="0"/>
              <w:kinsoku/>
              <w:wordWrap/>
              <w:overflowPunct/>
              <w:topLinePunct w:val="0"/>
              <w:bidi w:val="0"/>
              <w:spacing w:after="0" w:line="240" w:lineRule="auto"/>
              <w:ind w:left="0" w:leftChars="0" w:firstLine="420" w:firstLineChars="200"/>
              <w:textAlignment w:val="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计划工期T1:是指招标文件中规定计划工期。</w:t>
            </w:r>
          </w:p>
          <w:p>
            <w:pPr>
              <w:pStyle w:val="16"/>
              <w:keepNext w:val="0"/>
              <w:keepLines w:val="0"/>
              <w:pageBreakBefore w:val="0"/>
              <w:kinsoku/>
              <w:wordWrap/>
              <w:overflowPunct/>
              <w:topLinePunct w:val="0"/>
              <w:bidi w:val="0"/>
              <w:spacing w:after="0" w:line="240" w:lineRule="auto"/>
              <w:ind w:left="0" w:leftChars="0" w:firstLine="422" w:firstLineChars="200"/>
              <w:textAlignment w:val="auto"/>
              <w:rPr>
                <w:rFonts w:hint="eastAsia" w:ascii="宋体" w:hAnsi="宋体" w:eastAsia="宋体" w:cs="宋体"/>
                <w:b w:val="0"/>
                <w:color w:val="auto"/>
                <w:sz w:val="21"/>
                <w:szCs w:val="21"/>
                <w:highlight w:val="none"/>
              </w:rPr>
            </w:pPr>
            <w:r>
              <w:rPr>
                <w:rFonts w:hint="eastAsia" w:ascii="宋体" w:hAnsi="宋体" w:eastAsia="宋体" w:cs="宋体"/>
                <w:color w:val="auto"/>
                <w:kern w:val="0"/>
                <w:sz w:val="21"/>
                <w:szCs w:val="21"/>
                <w:highlight w:val="none"/>
              </w:rPr>
              <w:t>13.9.</w:t>
            </w:r>
            <w:r>
              <w:rPr>
                <w:rFonts w:hint="eastAsia" w:ascii="宋体" w:hAnsi="宋体" w:eastAsia="宋体" w:cs="宋体"/>
                <w:color w:val="auto"/>
                <w:kern w:val="0"/>
                <w:sz w:val="21"/>
                <w:szCs w:val="21"/>
                <w:highlight w:val="none"/>
                <w:lang w:val="en-US" w:eastAsia="zh-CN"/>
              </w:rPr>
              <w:t xml:space="preserve">2.2 </w:t>
            </w:r>
            <w:r>
              <w:rPr>
                <w:rFonts w:hint="eastAsia" w:ascii="宋体" w:hAnsi="宋体" w:eastAsia="宋体" w:cs="宋体"/>
                <w:b w:val="0"/>
                <w:color w:val="auto"/>
                <w:sz w:val="21"/>
                <w:szCs w:val="21"/>
                <w:highlight w:val="none"/>
              </w:rPr>
              <w:t>符合13.9.2</w:t>
            </w:r>
            <w:r>
              <w:rPr>
                <w:rFonts w:hint="eastAsia" w:ascii="宋体" w:hAnsi="宋体" w:eastAsia="宋体" w:cs="宋体"/>
                <w:b w:val="0"/>
                <w:color w:val="auto"/>
                <w:sz w:val="21"/>
                <w:szCs w:val="21"/>
                <w:highlight w:val="none"/>
                <w:lang w:val="en-US" w:eastAsia="zh-CN"/>
              </w:rPr>
              <w:t>.1</w:t>
            </w:r>
            <w:r>
              <w:rPr>
                <w:rFonts w:hint="eastAsia" w:ascii="宋体" w:hAnsi="宋体" w:eastAsia="宋体" w:cs="宋体"/>
                <w:b w:val="0"/>
                <w:color w:val="auto"/>
                <w:sz w:val="21"/>
                <w:szCs w:val="21"/>
                <w:highlight w:val="none"/>
              </w:rPr>
              <w:t>条款时，人工单价调整方式执行以下第</w:t>
            </w:r>
            <w:r>
              <w:rPr>
                <w:rFonts w:hint="eastAsia" w:ascii="宋体" w:hAnsi="宋体" w:eastAsia="宋体" w:cs="宋体"/>
                <w:b w:val="0"/>
                <w:color w:val="auto"/>
                <w:sz w:val="21"/>
                <w:szCs w:val="21"/>
                <w:highlight w:val="none"/>
                <w:u w:val="single"/>
              </w:rPr>
              <w:t xml:space="preserve">    </w:t>
            </w:r>
            <w:r>
              <w:rPr>
                <w:rFonts w:hint="eastAsia" w:ascii="宋体" w:hAnsi="宋体" w:eastAsia="宋体" w:cs="宋体"/>
                <w:b w:val="0"/>
                <w:color w:val="auto"/>
                <w:sz w:val="21"/>
                <w:szCs w:val="21"/>
                <w:highlight w:val="none"/>
              </w:rPr>
              <w:t>条，调整时效按通用条款第20款。</w:t>
            </w:r>
          </w:p>
          <w:p>
            <w:pPr>
              <w:pStyle w:val="16"/>
              <w:keepNext w:val="0"/>
              <w:keepLines w:val="0"/>
              <w:pageBreakBefore w:val="0"/>
              <w:kinsoku/>
              <w:wordWrap/>
              <w:overflowPunct/>
              <w:topLinePunct w:val="0"/>
              <w:bidi w:val="0"/>
              <w:spacing w:after="0" w:line="240" w:lineRule="auto"/>
              <w:ind w:left="0" w:leftChars="0" w:firstLine="420" w:firstLineChars="200"/>
              <w:textAlignment w:val="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1、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调整时效按通用条款第20款。 </w:t>
            </w:r>
          </w:p>
          <w:p>
            <w:pPr>
              <w:pStyle w:val="16"/>
              <w:keepNext w:val="0"/>
              <w:keepLines w:val="0"/>
              <w:pageBreakBefore w:val="0"/>
              <w:kinsoku/>
              <w:wordWrap/>
              <w:overflowPunct/>
              <w:topLinePunct w:val="0"/>
              <w:bidi w:val="0"/>
              <w:spacing w:after="0" w:line="240" w:lineRule="auto"/>
              <w:ind w:left="0" w:leftChars="0" w:firstLine="420" w:firstLineChars="200"/>
              <w:textAlignment w:val="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2、不调整。 </w:t>
            </w:r>
          </w:p>
          <w:p>
            <w:pPr>
              <w:pStyle w:val="16"/>
              <w:keepNext w:val="0"/>
              <w:keepLines w:val="0"/>
              <w:pageBreakBefore w:val="0"/>
              <w:kinsoku/>
              <w:wordWrap/>
              <w:overflowPunct/>
              <w:topLinePunct w:val="0"/>
              <w:bidi w:val="0"/>
              <w:spacing w:after="0" w:line="240" w:lineRule="auto"/>
              <w:ind w:left="0" w:leftChars="0" w:firstLine="420" w:firstLineChars="200"/>
              <w:textAlignment w:val="auto"/>
              <w:rPr>
                <w:rFonts w:hint="eastAsia" w:ascii="宋体" w:hAnsi="宋体" w:eastAsia="宋体" w:cs="宋体"/>
                <w:b w:val="0"/>
                <w:color w:val="auto"/>
                <w:sz w:val="21"/>
                <w:szCs w:val="21"/>
                <w:highlight w:val="none"/>
                <w:u w:val="single"/>
              </w:rPr>
            </w:pPr>
            <w:r>
              <w:rPr>
                <w:rFonts w:hint="eastAsia" w:ascii="宋体" w:hAnsi="宋体" w:eastAsia="宋体" w:cs="宋体"/>
                <w:b w:val="0"/>
                <w:color w:val="auto"/>
                <w:sz w:val="21"/>
                <w:szCs w:val="21"/>
                <w:highlight w:val="none"/>
              </w:rPr>
              <w:t xml:space="preserve">3、其他： </w:t>
            </w:r>
            <w:r>
              <w:rPr>
                <w:rFonts w:hint="eastAsia" w:ascii="宋体" w:hAnsi="宋体" w:eastAsia="宋体" w:cs="宋体"/>
                <w:b w:val="0"/>
                <w:color w:val="auto"/>
                <w:sz w:val="21"/>
                <w:szCs w:val="21"/>
                <w:highlight w:val="none"/>
                <w:u w:val="single"/>
              </w:rPr>
              <w:t xml:space="preserve">         </w:t>
            </w:r>
          </w:p>
          <w:p>
            <w:pPr>
              <w:keepNext w:val="0"/>
              <w:keepLines w:val="0"/>
              <w:pageBreakBefore w:val="0"/>
              <w:tabs>
                <w:tab w:val="left" w:pos="0"/>
              </w:tabs>
              <w:kinsoku/>
              <w:wordWrap/>
              <w:overflowPunct/>
              <w:topLinePunct w:val="0"/>
              <w:bidi w:val="0"/>
              <w:spacing w:after="120" w:line="240" w:lineRule="auto"/>
              <w:ind w:left="420" w:leftChars="200"/>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13.9.</w:t>
            </w:r>
            <w:r>
              <w:rPr>
                <w:rFonts w:hint="eastAsia" w:ascii="宋体" w:hAnsi="宋体" w:eastAsia="宋体" w:cs="宋体"/>
                <w:b/>
                <w:color w:val="auto"/>
                <w:sz w:val="21"/>
                <w:szCs w:val="21"/>
                <w:highlight w:val="none"/>
                <w:lang w:val="en-US" w:eastAsia="zh-CN"/>
              </w:rPr>
              <w:t>3</w:t>
            </w:r>
            <w:r>
              <w:rPr>
                <w:rFonts w:hint="eastAsia" w:ascii="宋体" w:hAnsi="宋体" w:eastAsia="宋体" w:cs="宋体"/>
                <w:b/>
                <w:color w:val="auto"/>
                <w:sz w:val="21"/>
                <w:szCs w:val="21"/>
                <w:highlight w:val="none"/>
              </w:rPr>
              <w:t xml:space="preserve"> 主要材料单价调整方式执行以下第【    】条，调整时效按通用条款第20款执行。</w:t>
            </w:r>
          </w:p>
          <w:p>
            <w:pPr>
              <w:keepNext w:val="0"/>
              <w:keepLines w:val="0"/>
              <w:pageBreakBefore w:val="0"/>
              <w:kinsoku/>
              <w:wordWrap/>
              <w:overflowPunct/>
              <w:topLinePunct w:val="0"/>
              <w:autoSpaceDE w:val="0"/>
              <w:autoSpaceDN w:val="0"/>
              <w:bidi w:val="0"/>
              <w:spacing w:line="240" w:lineRule="auto"/>
              <w:ind w:firstLine="420" w:firstLineChars="20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w:t>
            </w:r>
            <w:r>
              <w:rPr>
                <w:rFonts w:hint="eastAsia" w:ascii="宋体" w:hAnsi="宋体" w:eastAsia="宋体" w:cs="宋体"/>
                <w:b w:val="0"/>
                <w:bCs/>
                <w:color w:val="auto"/>
                <w:sz w:val="21"/>
                <w:szCs w:val="21"/>
                <w:highlight w:val="none"/>
                <w:lang w:val="en-US" w:eastAsia="zh-CN"/>
              </w:rPr>
              <w:t>承</w:t>
            </w:r>
            <w:r>
              <w:rPr>
                <w:rFonts w:hint="eastAsia" w:ascii="宋体" w:hAnsi="宋体" w:eastAsia="宋体" w:cs="宋体"/>
                <w:color w:val="auto"/>
                <w:sz w:val="21"/>
                <w:szCs w:val="21"/>
                <w:highlight w:val="none"/>
              </w:rPr>
              <w:t>包人（或发包人）认为会影响合同价且需要调整时，应在采购材料前将采购的数量（形象进度可作为附件）和新的单价（或采购时间）报发包人（或承包人）核对，发包人（或承包人）应确认材料的数量和单价（或采购时间）。未在调整时效内履行以上程序时，合同价不予调整。承包人提供的主要材料价格变化的价款调整按照发包人提供的基准价格，按以下风险范围规定执行</w:t>
            </w:r>
            <w:r>
              <w:rPr>
                <w:rFonts w:hint="eastAsia" w:ascii="宋体" w:hAnsi="宋体" w:eastAsia="宋体" w:cs="宋体"/>
                <w:color w:val="auto"/>
                <w:sz w:val="21"/>
                <w:szCs w:val="21"/>
                <w:highlight w:val="none"/>
                <w:lang w:eastAsia="zh-CN"/>
              </w:rPr>
              <w:t>：</w:t>
            </w:r>
          </w:p>
          <w:p>
            <w:pPr>
              <w:keepNext w:val="0"/>
              <w:keepLines w:val="0"/>
              <w:pageBreakBefore w:val="0"/>
              <w:kinsoku/>
              <w:wordWrap/>
              <w:overflowPunct/>
              <w:topLinePunct w:val="0"/>
              <w:autoSpaceDE w:val="0"/>
              <w:autoSpaceDN w:val="0"/>
              <w:bidi w:val="0"/>
              <w:spacing w:line="240" w:lineRule="auto"/>
              <w:ind w:firstLine="422"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①</w:t>
            </w:r>
            <w:r>
              <w:rPr>
                <w:rFonts w:hint="eastAsia" w:ascii="宋体" w:hAnsi="宋体" w:eastAsia="宋体" w:cs="宋体"/>
                <w:color w:val="auto"/>
                <w:sz w:val="21"/>
                <w:szCs w:val="21"/>
                <w:highlight w:val="none"/>
              </w:rPr>
              <w:t>合同材料单价(B)低于基准价格(A)的：合同履行期间材料单价（C）涨幅（或跌幅）以基准价格(A)为基础超过10%时，合同材料单价按公式调整。</w:t>
            </w:r>
          </w:p>
          <w:p>
            <w:pPr>
              <w:keepNext w:val="0"/>
              <w:keepLines w:val="0"/>
              <w:pageBreakBefore w:val="0"/>
              <w:kinsoku/>
              <w:wordWrap/>
              <w:overflowPunct/>
              <w:topLinePunct w:val="0"/>
              <w:autoSpaceDE w:val="0"/>
              <w:autoSpaceDN w:val="0"/>
              <w:bidi w:val="0"/>
              <w:spacing w:line="24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涨时调整单价=C-A</w:t>
            </w:r>
          </w:p>
          <w:p>
            <w:pPr>
              <w:keepNext w:val="0"/>
              <w:keepLines w:val="0"/>
              <w:pageBreakBefore w:val="0"/>
              <w:kinsoku/>
              <w:wordWrap/>
              <w:overflowPunct/>
              <w:topLinePunct w:val="0"/>
              <w:autoSpaceDE w:val="0"/>
              <w:autoSpaceDN w:val="0"/>
              <w:bidi w:val="0"/>
              <w:spacing w:line="24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跌时调整单价：如C≥B时，不予调整；如C＜B时，调整单价=C-B</w:t>
            </w:r>
          </w:p>
          <w:p>
            <w:pPr>
              <w:keepNext w:val="0"/>
              <w:keepLines w:val="0"/>
              <w:pageBreakBefore w:val="0"/>
              <w:kinsoku/>
              <w:wordWrap/>
              <w:overflowPunct/>
              <w:topLinePunct w:val="0"/>
              <w:autoSpaceDE w:val="0"/>
              <w:autoSpaceDN w:val="0"/>
              <w:bidi w:val="0"/>
              <w:spacing w:line="24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②合同材料单价(B)高于基准价格(A)的：合同履行期间材料单价（C）涨幅（或跌幅）以基准价格(A)为基础超过10%时，合同材料单价按公式调整。</w:t>
            </w:r>
          </w:p>
          <w:p>
            <w:pPr>
              <w:keepNext w:val="0"/>
              <w:keepLines w:val="0"/>
              <w:pageBreakBefore w:val="0"/>
              <w:kinsoku/>
              <w:wordWrap/>
              <w:overflowPunct/>
              <w:topLinePunct w:val="0"/>
              <w:autoSpaceDE w:val="0"/>
              <w:autoSpaceDN w:val="0"/>
              <w:bidi w:val="0"/>
              <w:spacing w:line="24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涨时调整单价：如C≤B时，不予调整；如C＞B时，调整单价=C-B</w:t>
            </w:r>
          </w:p>
          <w:p>
            <w:pPr>
              <w:keepNext w:val="0"/>
              <w:keepLines w:val="0"/>
              <w:pageBreakBefore w:val="0"/>
              <w:kinsoku/>
              <w:wordWrap/>
              <w:overflowPunct/>
              <w:topLinePunct w:val="0"/>
              <w:autoSpaceDE w:val="0"/>
              <w:autoSpaceDN w:val="0"/>
              <w:bidi w:val="0"/>
              <w:spacing w:line="24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跌时调整单价=C-A</w:t>
            </w:r>
          </w:p>
          <w:p>
            <w:pPr>
              <w:keepNext w:val="0"/>
              <w:keepLines w:val="0"/>
              <w:pageBreakBefore w:val="0"/>
              <w:kinsoku/>
              <w:wordWrap/>
              <w:overflowPunct/>
              <w:topLinePunct w:val="0"/>
              <w:autoSpaceDE w:val="0"/>
              <w:autoSpaceDN w:val="0"/>
              <w:bidi w:val="0"/>
              <w:spacing w:line="24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③合同材料单价(B)等于基准价格(A)的：合同履行期间材料单价（C）涨幅（或跌幅）以基准价格(A)为基础超过10%时，合同材料单价按公式调整。</w:t>
            </w:r>
          </w:p>
          <w:p>
            <w:pPr>
              <w:keepNext w:val="0"/>
              <w:keepLines w:val="0"/>
              <w:pageBreakBefore w:val="0"/>
              <w:kinsoku/>
              <w:wordWrap/>
              <w:overflowPunct/>
              <w:topLinePunct w:val="0"/>
              <w:autoSpaceDE w:val="0"/>
              <w:autoSpaceDN w:val="0"/>
              <w:bidi w:val="0"/>
              <w:spacing w:line="24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涨或跌时调整单价=C-A</w:t>
            </w:r>
          </w:p>
          <w:p>
            <w:pPr>
              <w:keepNext w:val="0"/>
              <w:keepLines w:val="0"/>
              <w:pageBreakBefore w:val="0"/>
              <w:kinsoku/>
              <w:wordWrap/>
              <w:overflowPunct/>
              <w:topLinePunct w:val="0"/>
              <w:autoSpaceDE w:val="0"/>
              <w:autoSpaceDN w:val="0"/>
              <w:bidi w:val="0"/>
              <w:spacing w:line="240" w:lineRule="auto"/>
              <w:ind w:firstLine="422" w:firstLineChars="200"/>
              <w:jc w:val="left"/>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基准价格(A):是指</w:t>
            </w:r>
            <w:r>
              <w:rPr>
                <w:rFonts w:hint="eastAsia" w:ascii="宋体" w:hAnsi="宋体" w:eastAsia="宋体" w:cs="宋体"/>
                <w:b/>
                <w:color w:val="auto"/>
                <w:sz w:val="21"/>
                <w:szCs w:val="21"/>
                <w:highlight w:val="none"/>
                <w:lang w:val="en-US" w:eastAsia="zh-CN"/>
              </w:rPr>
              <w:t>招标文件（或招标工程量清单）中约定的</w:t>
            </w:r>
            <w:r>
              <w:rPr>
                <w:rFonts w:hint="eastAsia" w:ascii="宋体" w:hAnsi="宋体" w:eastAsia="宋体" w:cs="宋体"/>
                <w:b/>
                <w:color w:val="auto"/>
                <w:sz w:val="21"/>
                <w:szCs w:val="21"/>
                <w:highlight w:val="none"/>
              </w:rPr>
              <w:t>信息价；</w:t>
            </w:r>
          </w:p>
          <w:p>
            <w:pPr>
              <w:keepNext w:val="0"/>
              <w:keepLines w:val="0"/>
              <w:pageBreakBefore w:val="0"/>
              <w:kinsoku/>
              <w:wordWrap/>
              <w:overflowPunct/>
              <w:topLinePunct w:val="0"/>
              <w:autoSpaceDE w:val="0"/>
              <w:autoSpaceDN w:val="0"/>
              <w:bidi w:val="0"/>
              <w:spacing w:line="240" w:lineRule="auto"/>
              <w:ind w:firstLine="422" w:firstLineChars="200"/>
              <w:jc w:val="left"/>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合同材料单价(B):是指承包人投标书中的材料单价（如投标书中相同材料有不同的单价时，取价高者）；</w:t>
            </w:r>
          </w:p>
          <w:p>
            <w:pPr>
              <w:keepNext w:val="0"/>
              <w:keepLines w:val="0"/>
              <w:pageBreakBefore w:val="0"/>
              <w:kinsoku/>
              <w:wordWrap/>
              <w:overflowPunct/>
              <w:topLinePunct w:val="0"/>
              <w:autoSpaceDE w:val="0"/>
              <w:autoSpaceDN w:val="0"/>
              <w:bidi w:val="0"/>
              <w:spacing w:line="240" w:lineRule="auto"/>
              <w:ind w:firstLine="422" w:firstLineChars="200"/>
              <w:jc w:val="left"/>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合同履行期间材料单价（C）:是指合同履行期间省级或行业建设主管部门或其授权的工程造价管理机构发布的信息价；</w:t>
            </w:r>
          </w:p>
          <w:p>
            <w:pPr>
              <w:keepNext w:val="0"/>
              <w:keepLines w:val="0"/>
              <w:pageBreakBefore w:val="0"/>
              <w:kinsoku/>
              <w:wordWrap/>
              <w:overflowPunct/>
              <w:topLinePunct w:val="0"/>
              <w:autoSpaceDE w:val="0"/>
              <w:autoSpaceDN w:val="0"/>
              <w:bidi w:val="0"/>
              <w:spacing w:line="240" w:lineRule="auto"/>
              <w:ind w:firstLine="422" w:firstLineChars="200"/>
              <w:jc w:val="left"/>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主要材料是指</w:t>
            </w:r>
            <w:r>
              <w:rPr>
                <w:rFonts w:hint="eastAsia" w:ascii="宋体" w:hAnsi="宋体" w:eastAsia="宋体" w:cs="宋体"/>
                <w:b/>
                <w:color w:val="auto"/>
                <w:sz w:val="21"/>
                <w:szCs w:val="21"/>
                <w:highlight w:val="none"/>
                <w:u w:val="single"/>
              </w:rPr>
              <w:t>钢材、铜材、商品混凝土、混凝土预制品、砖、水泥、砂、碎石、块石（毛石）、石粉（石屑）、电缆、电缆桥（支）架及电缆保护管材</w:t>
            </w:r>
            <w:r>
              <w:rPr>
                <w:rFonts w:hint="eastAsia" w:ascii="宋体" w:hAnsi="宋体" w:eastAsia="宋体" w:cs="宋体"/>
                <w:b/>
                <w:color w:val="auto"/>
                <w:sz w:val="21"/>
                <w:szCs w:val="21"/>
                <w:highlight w:val="none"/>
              </w:rPr>
              <w:t xml:space="preserve">。    </w:t>
            </w:r>
          </w:p>
          <w:p>
            <w:pPr>
              <w:keepNext w:val="0"/>
              <w:keepLines w:val="0"/>
              <w:pageBreakBefore w:val="0"/>
              <w:kinsoku/>
              <w:wordWrap/>
              <w:overflowPunct/>
              <w:topLinePunct w:val="0"/>
              <w:autoSpaceDE w:val="0"/>
              <w:autoSpaceDN w:val="0"/>
              <w:bidi w:val="0"/>
              <w:spacing w:line="240" w:lineRule="auto"/>
              <w:ind w:left="46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(2)不调整。 </w:t>
            </w:r>
          </w:p>
          <w:p>
            <w:pPr>
              <w:pStyle w:val="16"/>
              <w:keepNext w:val="0"/>
              <w:keepLines w:val="0"/>
              <w:pageBreakBefore w:val="0"/>
              <w:kinsoku/>
              <w:wordWrap/>
              <w:overflowPunct/>
              <w:topLinePunct w:val="0"/>
              <w:bidi w:val="0"/>
              <w:spacing w:after="0" w:line="240" w:lineRule="auto"/>
              <w:ind w:left="0" w:leftChars="0" w:firstLine="420" w:firstLineChars="20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color w:val="auto"/>
                <w:kern w:val="2"/>
                <w:sz w:val="21"/>
                <w:szCs w:val="21"/>
                <w:highlight w:val="none"/>
                <w:lang w:val="en-US" w:eastAsia="zh-CN" w:bidi="ar-SA"/>
              </w:rPr>
              <w:t>(3)其他：【    】</w:t>
            </w:r>
          </w:p>
        </w:tc>
        <w:tc>
          <w:tcPr>
            <w:tcW w:w="687" w:type="dxa"/>
            <w:noWrap w:val="0"/>
            <w:vAlign w:val="center"/>
          </w:tcPr>
          <w:p>
            <w:pPr>
              <w:keepNext w:val="0"/>
              <w:keepLines w:val="0"/>
              <w:pageBreakBefore w:val="0"/>
              <w:widowControl/>
              <w:kinsoku/>
              <w:wordWrap/>
              <w:overflowPunct/>
              <w:topLinePunct w:val="0"/>
              <w:bidi w:val="0"/>
              <w:spacing w:line="240" w:lineRule="auto"/>
              <w:ind w:firstLine="0" w:firstLineChars="0"/>
              <w:jc w:val="left"/>
              <w:textAlignment w:val="auto"/>
              <w:rPr>
                <w:rFonts w:hint="eastAsia" w:ascii="宋体" w:hAnsi="宋体" w:eastAsia="宋体" w:cs="宋体"/>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82" w:type="dxa"/>
            <w:noWrap w:val="0"/>
            <w:vAlign w:val="center"/>
          </w:tcPr>
          <w:p>
            <w:pPr>
              <w:pStyle w:val="15"/>
              <w:keepNext w:val="0"/>
              <w:keepLines w:val="0"/>
              <w:pageBreakBefore w:val="0"/>
              <w:widowControl w:val="0"/>
              <w:numPr>
                <w:ilvl w:val="0"/>
                <w:numId w:val="1"/>
              </w:numPr>
              <w:kinsoku/>
              <w:wordWrap/>
              <w:overflowPunct/>
              <w:topLinePunct w:val="0"/>
              <w:autoSpaceDE/>
              <w:autoSpaceDN/>
              <w:bidi w:val="0"/>
              <w:adjustRightInd w:val="0"/>
              <w:snapToGrid w:val="0"/>
              <w:spacing w:line="240" w:lineRule="auto"/>
              <w:ind w:left="0" w:firstLine="0" w:firstLineChars="0"/>
              <w:jc w:val="center"/>
              <w:textAlignment w:val="auto"/>
              <w:rPr>
                <w:rFonts w:hint="eastAsia" w:ascii="宋体" w:hAnsi="宋体" w:eastAsia="宋体" w:cs="宋体"/>
                <w:color w:val="auto"/>
                <w:kern w:val="0"/>
                <w:sz w:val="21"/>
                <w:szCs w:val="21"/>
                <w:highlight w:val="none"/>
              </w:rPr>
            </w:pPr>
          </w:p>
        </w:tc>
        <w:tc>
          <w:tcPr>
            <w:tcW w:w="1108" w:type="dxa"/>
            <w:noWrap w:val="0"/>
            <w:vAlign w:val="center"/>
          </w:tcPr>
          <w:p>
            <w:pPr>
              <w:pStyle w:val="15"/>
              <w:keepNext w:val="0"/>
              <w:keepLines w:val="0"/>
              <w:pageBreakBefore w:val="0"/>
              <w:numPr>
                <w:ilvl w:val="0"/>
                <w:numId w:val="0"/>
              </w:numPr>
              <w:kinsoku/>
              <w:wordWrap/>
              <w:overflowPunct/>
              <w:topLinePunct w:val="0"/>
              <w:bidi w:val="0"/>
              <w:spacing w:line="240" w:lineRule="auto"/>
              <w:ind w:left="0" w:leftChars="0" w:firstLine="0" w:firstLineChars="0"/>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修改</w:t>
            </w:r>
          </w:p>
        </w:tc>
        <w:tc>
          <w:tcPr>
            <w:tcW w:w="1262" w:type="dxa"/>
            <w:noWrap w:val="0"/>
            <w:vAlign w:val="center"/>
          </w:tcPr>
          <w:p>
            <w:pPr>
              <w:keepNext w:val="0"/>
              <w:keepLines w:val="0"/>
              <w:pageBreakBefore w:val="0"/>
              <w:kinsoku/>
              <w:wordWrap/>
              <w:overflowPunct/>
              <w:topLinePunct w:val="0"/>
              <w:bidi w:val="0"/>
              <w:spacing w:line="240" w:lineRule="auto"/>
              <w:ind w:firstLine="0" w:firstLine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专用合同条款</w:t>
            </w:r>
          </w:p>
          <w:p>
            <w:pPr>
              <w:keepNext w:val="0"/>
              <w:keepLines w:val="0"/>
              <w:pageBreakBefore w:val="0"/>
              <w:kinsoku/>
              <w:wordWrap/>
              <w:overflowPunct/>
              <w:topLinePunct w:val="0"/>
              <w:bidi w:val="0"/>
              <w:spacing w:line="240" w:lineRule="auto"/>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14.合同价格和支付</w:t>
            </w:r>
          </w:p>
        </w:tc>
        <w:tc>
          <w:tcPr>
            <w:tcW w:w="5760" w:type="dxa"/>
            <w:noWrap w:val="0"/>
            <w:vAlign w:val="center"/>
          </w:tcPr>
          <w:p>
            <w:pPr>
              <w:pStyle w:val="6"/>
              <w:keepNext w:val="0"/>
              <w:keepLines w:val="0"/>
              <w:pageBreakBefore w:val="0"/>
              <w:kinsoku/>
              <w:wordWrap/>
              <w:overflowPunct/>
              <w:topLinePunct w:val="0"/>
              <w:bidi w:val="0"/>
              <w:spacing w:after="0" w:line="240" w:lineRule="auto"/>
              <w:ind w:left="0" w:leftChars="0"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增加以下内容到第14.1款</w:t>
            </w:r>
          </w:p>
          <w:p>
            <w:pPr>
              <w:pStyle w:val="6"/>
              <w:keepNext w:val="0"/>
              <w:keepLines w:val="0"/>
              <w:pageBreakBefore w:val="0"/>
              <w:kinsoku/>
              <w:wordWrap/>
              <w:overflowPunct/>
              <w:topLinePunct w:val="0"/>
              <w:bidi w:val="0"/>
              <w:spacing w:after="0" w:line="240" w:lineRule="auto"/>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合同协议书中，发包人和承包人选择下列一种合同价格形式：</w:t>
            </w:r>
            <w:permStart w:id="45" w:edGrp="everyone"/>
            <w:r>
              <w:rPr>
                <w:rFonts w:hint="eastAsia" w:ascii="宋体" w:hAnsi="宋体" w:eastAsia="宋体" w:cs="宋体"/>
                <w:color w:val="auto"/>
                <w:sz w:val="21"/>
                <w:szCs w:val="21"/>
                <w:highlight w:val="none"/>
              </w:rPr>
              <w:t>______（单价\总价）</w:t>
            </w:r>
            <w:permEnd w:id="45"/>
            <w:r>
              <w:rPr>
                <w:rFonts w:hint="eastAsia" w:ascii="宋体" w:hAnsi="宋体" w:eastAsia="宋体" w:cs="宋体"/>
                <w:color w:val="auto"/>
                <w:sz w:val="21"/>
                <w:szCs w:val="21"/>
                <w:highlight w:val="none"/>
              </w:rPr>
              <w:t xml:space="preserve">合同。 </w:t>
            </w:r>
          </w:p>
          <w:p>
            <w:pPr>
              <w:pStyle w:val="16"/>
              <w:keepNext w:val="0"/>
              <w:keepLines w:val="0"/>
              <w:pageBreakBefore w:val="0"/>
              <w:kinsoku/>
              <w:wordWrap/>
              <w:overflowPunct/>
              <w:topLinePunct w:val="0"/>
              <w:bidi w:val="0"/>
              <w:spacing w:after="0" w:line="240" w:lineRule="auto"/>
              <w:ind w:left="0" w:leftChars="0" w:firstLine="420" w:firstLineChars="200"/>
              <w:textAlignment w:val="auto"/>
              <w:rPr>
                <w:rFonts w:hint="eastAsia" w:ascii="宋体" w:hAnsi="宋体" w:eastAsia="宋体" w:cs="宋体"/>
                <w:b w:val="0"/>
                <w:bCs/>
                <w:color w:val="auto"/>
                <w:sz w:val="21"/>
                <w:szCs w:val="21"/>
                <w:highlight w:val="none"/>
              </w:rPr>
            </w:pPr>
          </w:p>
        </w:tc>
        <w:tc>
          <w:tcPr>
            <w:tcW w:w="5800" w:type="dxa"/>
            <w:noWrap w:val="0"/>
            <w:vAlign w:val="center"/>
          </w:tcPr>
          <w:p>
            <w:pPr>
              <w:pStyle w:val="6"/>
              <w:keepNext w:val="0"/>
              <w:keepLines w:val="0"/>
              <w:pageBreakBefore w:val="0"/>
              <w:kinsoku/>
              <w:wordWrap/>
              <w:overflowPunct/>
              <w:topLinePunct w:val="0"/>
              <w:bidi w:val="0"/>
              <w:spacing w:after="0" w:line="240" w:lineRule="auto"/>
              <w:ind w:left="0" w:leftChars="0"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增加以下内容到第14.1款</w:t>
            </w:r>
          </w:p>
          <w:p>
            <w:pPr>
              <w:pStyle w:val="6"/>
              <w:keepNext w:val="0"/>
              <w:keepLines w:val="0"/>
              <w:pageBreakBefore w:val="0"/>
              <w:kinsoku/>
              <w:wordWrap/>
              <w:overflowPunct/>
              <w:topLinePunct w:val="0"/>
              <w:bidi w:val="0"/>
              <w:spacing w:after="0" w:line="240" w:lineRule="auto"/>
              <w:ind w:left="0" w:leftChars="0" w:firstLine="420" w:firstLineChars="200"/>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合同协议书中，发包人和承包人选择下列一种合同价格形式：</w:t>
            </w:r>
            <w:permStart w:id="46" w:edGrp="everyone"/>
            <w:r>
              <w:rPr>
                <w:rFonts w:hint="eastAsia" w:ascii="宋体" w:hAnsi="宋体" w:eastAsia="宋体" w:cs="宋体"/>
                <w:color w:val="auto"/>
                <w:sz w:val="21"/>
                <w:szCs w:val="21"/>
                <w:highlight w:val="none"/>
              </w:rPr>
              <w:t>______（单价\总价）</w:t>
            </w:r>
            <w:permEnd w:id="46"/>
            <w:r>
              <w:rPr>
                <w:rFonts w:hint="eastAsia" w:ascii="宋体" w:hAnsi="宋体" w:eastAsia="宋体" w:cs="宋体"/>
                <w:color w:val="auto"/>
                <w:sz w:val="21"/>
                <w:szCs w:val="21"/>
                <w:highlight w:val="none"/>
              </w:rPr>
              <w:t>合同</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其中支付至农民工工资专用账户金额不少于合同总额15%</w:t>
            </w:r>
            <w:r>
              <w:rPr>
                <w:rFonts w:hint="eastAsia" w:ascii="宋体" w:hAnsi="宋体" w:eastAsia="宋体" w:cs="宋体"/>
                <w:color w:val="auto"/>
                <w:sz w:val="21"/>
                <w:szCs w:val="21"/>
                <w:highlight w:val="none"/>
              </w:rPr>
              <w:t xml:space="preserve">。 </w:t>
            </w:r>
          </w:p>
        </w:tc>
        <w:tc>
          <w:tcPr>
            <w:tcW w:w="687" w:type="dxa"/>
            <w:noWrap w:val="0"/>
            <w:vAlign w:val="center"/>
          </w:tcPr>
          <w:p>
            <w:pPr>
              <w:keepNext w:val="0"/>
              <w:keepLines w:val="0"/>
              <w:pageBreakBefore w:val="0"/>
              <w:widowControl/>
              <w:kinsoku/>
              <w:wordWrap/>
              <w:overflowPunct/>
              <w:topLinePunct w:val="0"/>
              <w:bidi w:val="0"/>
              <w:spacing w:line="240" w:lineRule="auto"/>
              <w:ind w:firstLine="0" w:firstLineChars="0"/>
              <w:jc w:val="left"/>
              <w:textAlignment w:val="auto"/>
              <w:rPr>
                <w:rFonts w:hint="eastAsia" w:ascii="宋体" w:hAnsi="宋体" w:eastAsia="宋体" w:cs="宋体"/>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82" w:type="dxa"/>
            <w:noWrap w:val="0"/>
            <w:vAlign w:val="center"/>
          </w:tcPr>
          <w:p>
            <w:pPr>
              <w:pStyle w:val="15"/>
              <w:keepNext w:val="0"/>
              <w:keepLines w:val="0"/>
              <w:pageBreakBefore w:val="0"/>
              <w:widowControl w:val="0"/>
              <w:numPr>
                <w:ilvl w:val="0"/>
                <w:numId w:val="1"/>
              </w:numPr>
              <w:kinsoku/>
              <w:wordWrap/>
              <w:overflowPunct/>
              <w:topLinePunct w:val="0"/>
              <w:autoSpaceDE/>
              <w:autoSpaceDN/>
              <w:bidi w:val="0"/>
              <w:adjustRightInd w:val="0"/>
              <w:snapToGrid w:val="0"/>
              <w:spacing w:line="240" w:lineRule="auto"/>
              <w:ind w:left="0" w:firstLine="0" w:firstLineChars="0"/>
              <w:jc w:val="center"/>
              <w:textAlignment w:val="auto"/>
              <w:rPr>
                <w:rFonts w:hint="eastAsia" w:ascii="宋体" w:hAnsi="宋体" w:eastAsia="宋体" w:cs="宋体"/>
                <w:color w:val="auto"/>
                <w:kern w:val="0"/>
                <w:sz w:val="21"/>
                <w:szCs w:val="21"/>
                <w:highlight w:val="none"/>
              </w:rPr>
            </w:pPr>
          </w:p>
        </w:tc>
        <w:tc>
          <w:tcPr>
            <w:tcW w:w="1108" w:type="dxa"/>
            <w:noWrap w:val="0"/>
            <w:vAlign w:val="center"/>
          </w:tcPr>
          <w:p>
            <w:pPr>
              <w:pStyle w:val="15"/>
              <w:keepNext w:val="0"/>
              <w:keepLines w:val="0"/>
              <w:pageBreakBefore w:val="0"/>
              <w:numPr>
                <w:ilvl w:val="0"/>
                <w:numId w:val="0"/>
              </w:numPr>
              <w:kinsoku/>
              <w:wordWrap/>
              <w:overflowPunct/>
              <w:topLinePunct w:val="0"/>
              <w:bidi w:val="0"/>
              <w:spacing w:line="240" w:lineRule="auto"/>
              <w:ind w:left="0" w:leftChars="0" w:firstLine="0" w:firstLineChars="0"/>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修改</w:t>
            </w:r>
          </w:p>
        </w:tc>
        <w:tc>
          <w:tcPr>
            <w:tcW w:w="1262" w:type="dxa"/>
            <w:noWrap w:val="0"/>
            <w:vAlign w:val="center"/>
          </w:tcPr>
          <w:p>
            <w:pPr>
              <w:keepNext w:val="0"/>
              <w:keepLines w:val="0"/>
              <w:pageBreakBefore w:val="0"/>
              <w:kinsoku/>
              <w:wordWrap/>
              <w:overflowPunct/>
              <w:topLinePunct w:val="0"/>
              <w:bidi w:val="0"/>
              <w:spacing w:line="240" w:lineRule="auto"/>
              <w:ind w:firstLine="0" w:firstLine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专用合同条款</w:t>
            </w:r>
          </w:p>
          <w:p>
            <w:pPr>
              <w:keepNext w:val="0"/>
              <w:keepLines w:val="0"/>
              <w:pageBreakBefore w:val="0"/>
              <w:kinsoku/>
              <w:wordWrap/>
              <w:overflowPunct/>
              <w:topLinePunct w:val="0"/>
              <w:bidi w:val="0"/>
              <w:spacing w:line="240" w:lineRule="auto"/>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14.合同价格和支付</w:t>
            </w:r>
          </w:p>
        </w:tc>
        <w:tc>
          <w:tcPr>
            <w:tcW w:w="5760" w:type="dxa"/>
            <w:noWrap w:val="0"/>
            <w:vAlign w:val="center"/>
          </w:tcPr>
          <w:p>
            <w:pPr>
              <w:pStyle w:val="6"/>
              <w:keepNext w:val="0"/>
              <w:keepLines w:val="0"/>
              <w:pageBreakBefore w:val="0"/>
              <w:widowControl w:val="0"/>
              <w:kinsoku/>
              <w:wordWrap/>
              <w:overflowPunct/>
              <w:topLinePunct w:val="0"/>
              <w:autoSpaceDE/>
              <w:autoSpaceDN/>
              <w:bidi w:val="0"/>
              <w:adjustRightInd/>
              <w:snapToGrid/>
              <w:spacing w:after="0" w:line="240" w:lineRule="auto"/>
              <w:ind w:left="0" w:leftChars="0" w:firstLine="420" w:firstLineChars="200"/>
              <w:textAlignment w:val="auto"/>
              <w:outlineLvl w:val="3"/>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14.2 </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预付款</w:t>
            </w:r>
          </w:p>
          <w:p>
            <w:pPr>
              <w:pStyle w:val="6"/>
              <w:keepNext w:val="0"/>
              <w:keepLines w:val="0"/>
              <w:pageBreakBefore w:val="0"/>
              <w:widowControl w:val="0"/>
              <w:kinsoku/>
              <w:wordWrap/>
              <w:overflowPunct/>
              <w:topLinePunct w:val="0"/>
              <w:autoSpaceDE/>
              <w:autoSpaceDN/>
              <w:bidi w:val="0"/>
              <w:adjustRightInd/>
              <w:snapToGrid/>
              <w:spacing w:after="0" w:line="240" w:lineRule="auto"/>
              <w:ind w:left="0" w:leftChars="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14.2.1</w:t>
            </w:r>
            <w:r>
              <w:rPr>
                <w:rFonts w:hint="eastAsia" w:ascii="宋体" w:hAnsi="宋体" w:eastAsia="宋体" w:cs="宋体"/>
                <w:color w:val="auto"/>
                <w:sz w:val="21"/>
                <w:szCs w:val="21"/>
                <w:highlight w:val="none"/>
              </w:rPr>
              <w:t>预付款扣回</w:t>
            </w:r>
          </w:p>
          <w:p>
            <w:pPr>
              <w:pStyle w:val="6"/>
              <w:keepNext w:val="0"/>
              <w:keepLines w:val="0"/>
              <w:pageBreakBefore w:val="0"/>
              <w:widowControl w:val="0"/>
              <w:kinsoku/>
              <w:wordWrap/>
              <w:overflowPunct/>
              <w:topLinePunct w:val="0"/>
              <w:autoSpaceDE/>
              <w:autoSpaceDN/>
              <w:bidi w:val="0"/>
              <w:adjustRightInd/>
              <w:snapToGrid/>
              <w:spacing w:after="0" w:line="240" w:lineRule="auto"/>
              <w:ind w:left="0" w:leftChars="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开工准备工作已开始</w:t>
            </w:r>
            <w:r>
              <w:rPr>
                <w:rFonts w:hint="eastAsia" w:ascii="宋体" w:hAnsi="宋体" w:eastAsia="宋体" w:cs="宋体"/>
                <w:color w:val="auto"/>
                <w:sz w:val="21"/>
                <w:szCs w:val="21"/>
                <w:highlight w:val="none"/>
                <w:lang w:val="en-US" w:eastAsia="zh-CN"/>
              </w:rPr>
              <w:t>。</w:t>
            </w:r>
          </w:p>
          <w:p>
            <w:pPr>
              <w:pStyle w:val="6"/>
              <w:keepNext w:val="0"/>
              <w:keepLines w:val="0"/>
              <w:pageBreakBefore w:val="0"/>
              <w:widowControl w:val="0"/>
              <w:kinsoku/>
              <w:wordWrap/>
              <w:overflowPunct/>
              <w:topLinePunct w:val="0"/>
              <w:autoSpaceDE/>
              <w:autoSpaceDN/>
              <w:bidi w:val="0"/>
              <w:adjustRightInd/>
              <w:snapToGrid/>
              <w:spacing w:after="0" w:line="24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预付款扣回的方式：在完成合同价款的</w:t>
            </w:r>
            <w:permStart w:id="47" w:edGrp="everyone"/>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u w:val="single"/>
              </w:rPr>
              <w:t>50％</w:t>
            </w:r>
            <w:permEnd w:id="47"/>
            <w:r>
              <w:rPr>
                <w:rFonts w:hint="eastAsia" w:ascii="宋体" w:hAnsi="宋体" w:eastAsia="宋体" w:cs="宋体"/>
                <w:color w:val="auto"/>
                <w:sz w:val="21"/>
                <w:szCs w:val="21"/>
                <w:highlight w:val="none"/>
              </w:rPr>
              <w:t>后开始扣回，扣完为止。分两次扣回，每次抵扣预付款的50%，累计支付到合同价80%前扣完。</w:t>
            </w:r>
          </w:p>
          <w:p>
            <w:pPr>
              <w:pStyle w:val="6"/>
              <w:keepNext w:val="0"/>
              <w:keepLines w:val="0"/>
              <w:pageBreakBefore w:val="0"/>
              <w:widowControl w:val="0"/>
              <w:kinsoku/>
              <w:wordWrap/>
              <w:overflowPunct/>
              <w:topLinePunct w:val="0"/>
              <w:autoSpaceDE/>
              <w:autoSpaceDN/>
              <w:bidi w:val="0"/>
              <w:adjustRightInd/>
              <w:snapToGrid/>
              <w:spacing w:after="0" w:line="240" w:lineRule="auto"/>
              <w:ind w:left="0" w:leftChars="0" w:firstLine="420" w:firstLineChars="200"/>
              <w:textAlignment w:val="auto"/>
              <w:outlineLvl w:val="3"/>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14.2.2安全文明施工费预付款</w:t>
            </w:r>
          </w:p>
          <w:p>
            <w:pPr>
              <w:pStyle w:val="6"/>
              <w:keepNext w:val="0"/>
              <w:keepLines w:val="0"/>
              <w:pageBreakBefore w:val="0"/>
              <w:widowControl w:val="0"/>
              <w:kinsoku/>
              <w:wordWrap/>
              <w:overflowPunct/>
              <w:topLinePunct w:val="0"/>
              <w:autoSpaceDE/>
              <w:autoSpaceDN/>
              <w:bidi w:val="0"/>
              <w:adjustRightInd/>
              <w:snapToGrid/>
              <w:spacing w:after="0" w:line="240" w:lineRule="auto"/>
              <w:ind w:left="0" w:leftChars="0" w:firstLine="420" w:firstLineChars="200"/>
              <w:textAlignment w:val="auto"/>
              <w:outlineLvl w:val="3"/>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安全文明施工费预付款比例或金额：安全文明施工费合同价的</w:t>
            </w:r>
            <w:permStart w:id="48" w:edGrp="everyone"/>
            <w:r>
              <w:rPr>
                <w:rFonts w:hint="eastAsia" w:ascii="宋体" w:hAnsi="宋体" w:eastAsia="宋体" w:cs="宋体"/>
                <w:color w:val="auto"/>
                <w:sz w:val="21"/>
                <w:szCs w:val="21"/>
                <w:highlight w:val="none"/>
              </w:rPr>
              <w:t xml:space="preserve">   </w:t>
            </w:r>
            <w:permEnd w:id="48"/>
            <w:r>
              <w:rPr>
                <w:rFonts w:hint="eastAsia" w:ascii="宋体" w:hAnsi="宋体" w:eastAsia="宋体" w:cs="宋体"/>
                <w:color w:val="auto"/>
                <w:sz w:val="21"/>
                <w:szCs w:val="21"/>
                <w:highlight w:val="none"/>
              </w:rPr>
              <w:t>%。</w:t>
            </w:r>
          </w:p>
          <w:p>
            <w:pPr>
              <w:pStyle w:val="6"/>
              <w:keepNext w:val="0"/>
              <w:keepLines w:val="0"/>
              <w:pageBreakBefore w:val="0"/>
              <w:widowControl w:val="0"/>
              <w:kinsoku/>
              <w:wordWrap/>
              <w:overflowPunct/>
              <w:topLinePunct w:val="0"/>
              <w:autoSpaceDE/>
              <w:autoSpaceDN/>
              <w:bidi w:val="0"/>
              <w:adjustRightInd/>
              <w:snapToGrid/>
              <w:spacing w:after="0" w:line="240" w:lineRule="auto"/>
              <w:ind w:left="0" w:leftChars="0" w:firstLine="420" w:firstLineChars="200"/>
              <w:textAlignment w:val="auto"/>
              <w:outlineLvl w:val="3"/>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安全文明施工费预付款在承包人递交预付款支付证书后，随预付款同步支付，或单独申请支付。</w:t>
            </w:r>
          </w:p>
          <w:p>
            <w:pPr>
              <w:pStyle w:val="6"/>
              <w:keepNext w:val="0"/>
              <w:keepLines w:val="0"/>
              <w:pageBreakBefore w:val="0"/>
              <w:widowControl w:val="0"/>
              <w:kinsoku/>
              <w:wordWrap/>
              <w:overflowPunct/>
              <w:topLinePunct w:val="0"/>
              <w:autoSpaceDE/>
              <w:autoSpaceDN/>
              <w:bidi w:val="0"/>
              <w:adjustRightInd/>
              <w:snapToGrid/>
              <w:spacing w:after="0" w:line="240" w:lineRule="auto"/>
              <w:ind w:left="0" w:leftChars="0" w:firstLine="420" w:firstLineChars="200"/>
              <w:textAlignment w:val="auto"/>
              <w:outlineLvl w:val="3"/>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14.2.3发包人在预付款支付时同时向承包人提供工程款支付担保，工程款支付担保比例或金额：合同价的</w:t>
            </w:r>
            <w:permStart w:id="49" w:edGrp="everyone"/>
            <w:r>
              <w:rPr>
                <w:rFonts w:hint="eastAsia" w:ascii="宋体" w:hAnsi="宋体" w:eastAsia="宋体" w:cs="宋体"/>
                <w:color w:val="auto"/>
                <w:sz w:val="21"/>
                <w:szCs w:val="21"/>
                <w:highlight w:val="none"/>
              </w:rPr>
              <w:t xml:space="preserve">   </w:t>
            </w:r>
            <w:permEnd w:id="49"/>
            <w:r>
              <w:rPr>
                <w:rFonts w:hint="eastAsia" w:ascii="宋体" w:hAnsi="宋体" w:eastAsia="宋体" w:cs="宋体"/>
                <w:color w:val="auto"/>
                <w:sz w:val="21"/>
                <w:szCs w:val="21"/>
                <w:highlight w:val="none"/>
              </w:rPr>
              <w:t>%。（合同金额50万元及以下，不需要提供担保。）</w:t>
            </w:r>
          </w:p>
          <w:p>
            <w:pPr>
              <w:pStyle w:val="6"/>
              <w:keepNext w:val="0"/>
              <w:keepLines w:val="0"/>
              <w:pageBreakBefore w:val="0"/>
              <w:widowControl w:val="0"/>
              <w:kinsoku/>
              <w:wordWrap/>
              <w:overflowPunct/>
              <w:topLinePunct w:val="0"/>
              <w:autoSpaceDE/>
              <w:autoSpaceDN/>
              <w:bidi w:val="0"/>
              <w:adjustRightInd/>
              <w:snapToGrid/>
              <w:spacing w:after="0" w:line="240" w:lineRule="auto"/>
              <w:ind w:left="0" w:leftChars="0" w:firstLine="420" w:firstLineChars="200"/>
              <w:textAlignment w:val="auto"/>
              <w:outlineLvl w:val="3"/>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工程款支付担保的有效期为：自发包人与承包人签订的合同生效之日起至发包人签发工程接收证书之日止。</w:t>
            </w:r>
          </w:p>
          <w:p>
            <w:pPr>
              <w:pStyle w:val="6"/>
              <w:keepNext w:val="0"/>
              <w:keepLines w:val="0"/>
              <w:pageBreakBefore w:val="0"/>
              <w:widowControl w:val="0"/>
              <w:kinsoku/>
              <w:wordWrap/>
              <w:overflowPunct/>
              <w:topLinePunct w:val="0"/>
              <w:autoSpaceDE/>
              <w:autoSpaceDN/>
              <w:bidi w:val="0"/>
              <w:adjustRightInd/>
              <w:snapToGrid/>
              <w:spacing w:after="0" w:line="240" w:lineRule="auto"/>
              <w:ind w:left="0" w:leftChars="0" w:firstLine="420" w:firstLineChars="200"/>
              <w:textAlignment w:val="auto"/>
              <w:outlineLvl w:val="3"/>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工程款支付担保方式：银行保函、保证保险。</w:t>
            </w:r>
          </w:p>
          <w:p>
            <w:pPr>
              <w:pStyle w:val="16"/>
              <w:keepNext w:val="0"/>
              <w:keepLines w:val="0"/>
              <w:pageBreakBefore w:val="0"/>
              <w:widowControl w:val="0"/>
              <w:kinsoku/>
              <w:wordWrap/>
              <w:overflowPunct/>
              <w:topLinePunct w:val="0"/>
              <w:autoSpaceDE/>
              <w:autoSpaceDN/>
              <w:bidi w:val="0"/>
              <w:adjustRightInd/>
              <w:snapToGrid/>
              <w:spacing w:after="0" w:line="240" w:lineRule="auto"/>
              <w:ind w:left="0" w:leftChars="0" w:firstLine="420" w:firstLineChars="200"/>
              <w:textAlignment w:val="auto"/>
              <w:rPr>
                <w:rFonts w:hint="eastAsia" w:ascii="宋体" w:hAnsi="宋体" w:eastAsia="宋体" w:cs="宋体"/>
                <w:b w:val="0"/>
                <w:bCs/>
                <w:color w:val="auto"/>
                <w:sz w:val="21"/>
                <w:szCs w:val="21"/>
                <w:highlight w:val="none"/>
              </w:rPr>
            </w:pPr>
          </w:p>
        </w:tc>
        <w:tc>
          <w:tcPr>
            <w:tcW w:w="5800" w:type="dxa"/>
            <w:noWrap w:val="0"/>
            <w:vAlign w:val="center"/>
          </w:tcPr>
          <w:p>
            <w:pPr>
              <w:pStyle w:val="6"/>
              <w:keepNext w:val="0"/>
              <w:keepLines w:val="0"/>
              <w:pageBreakBefore w:val="0"/>
              <w:widowControl w:val="0"/>
              <w:kinsoku/>
              <w:wordWrap/>
              <w:overflowPunct/>
              <w:topLinePunct w:val="0"/>
              <w:autoSpaceDE/>
              <w:autoSpaceDN/>
              <w:bidi w:val="0"/>
              <w:adjustRightInd/>
              <w:snapToGrid/>
              <w:spacing w:after="0" w:line="240" w:lineRule="auto"/>
              <w:ind w:left="0" w:leftChars="0" w:firstLine="420" w:firstLineChars="200"/>
              <w:textAlignment w:val="auto"/>
              <w:outlineLvl w:val="3"/>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14.2 </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预付款</w:t>
            </w:r>
          </w:p>
          <w:p>
            <w:pPr>
              <w:pStyle w:val="16"/>
              <w:keepNext w:val="0"/>
              <w:keepLines w:val="0"/>
              <w:pageBreakBefore w:val="0"/>
              <w:widowControl w:val="0"/>
              <w:kinsoku/>
              <w:wordWrap/>
              <w:overflowPunct/>
              <w:topLinePunct w:val="0"/>
              <w:autoSpaceDE/>
              <w:autoSpaceDN/>
              <w:bidi w:val="0"/>
              <w:adjustRightInd/>
              <w:snapToGrid/>
              <w:spacing w:after="0" w:line="240" w:lineRule="auto"/>
              <w:ind w:left="0" w:leftChars="0" w:firstLine="420" w:firstLineChars="20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14.2.1</w:t>
            </w:r>
            <w:r>
              <w:rPr>
                <w:rFonts w:hint="eastAsia" w:ascii="宋体" w:hAnsi="宋体" w:eastAsia="宋体" w:cs="宋体"/>
                <w:b w:val="0"/>
                <w:bCs/>
                <w:color w:val="auto"/>
                <w:sz w:val="21"/>
                <w:szCs w:val="21"/>
                <w:highlight w:val="none"/>
              </w:rPr>
              <w:t>预付款支付比例或金额：</w:t>
            </w:r>
            <w:r>
              <w:rPr>
                <w:rFonts w:hint="eastAsia" w:ascii="宋体" w:hAnsi="宋体" w:eastAsia="宋体" w:cs="宋体"/>
                <w:b w:val="0"/>
                <w:bCs/>
                <w:color w:val="auto"/>
                <w:sz w:val="21"/>
                <w:szCs w:val="21"/>
                <w:highlight w:val="none"/>
                <w:lang w:eastAsia="zh-CN"/>
              </w:rPr>
              <w:t>（</w:t>
            </w:r>
            <w:r>
              <w:rPr>
                <w:rFonts w:hint="eastAsia" w:ascii="宋体" w:hAnsi="宋体" w:eastAsia="宋体" w:cs="宋体"/>
                <w:b w:val="0"/>
                <w:bCs/>
                <w:color w:val="auto"/>
                <w:sz w:val="21"/>
                <w:szCs w:val="21"/>
                <w:highlight w:val="none"/>
              </w:rPr>
              <w:t>合同价</w:t>
            </w:r>
            <w:r>
              <w:rPr>
                <w:rFonts w:hint="eastAsia" w:ascii="宋体" w:hAnsi="宋体" w:eastAsia="宋体" w:cs="宋体"/>
                <w:b w:val="0"/>
                <w:bCs/>
                <w:color w:val="auto"/>
                <w:sz w:val="21"/>
                <w:szCs w:val="21"/>
                <w:highlight w:val="none"/>
                <w:lang w:val="en-US" w:eastAsia="zh-CN"/>
              </w:rPr>
              <w:t>-安全文明施工费</w:t>
            </w:r>
            <w:r>
              <w:rPr>
                <w:rFonts w:hint="eastAsia" w:ascii="宋体" w:hAnsi="宋体" w:eastAsia="宋体" w:cs="宋体"/>
                <w:b w:val="0"/>
                <w:bCs/>
                <w:color w:val="auto"/>
                <w:sz w:val="21"/>
                <w:szCs w:val="21"/>
                <w:highlight w:val="none"/>
                <w:lang w:eastAsia="zh-CN"/>
              </w:rPr>
              <w:t>）</w:t>
            </w:r>
            <w:r>
              <w:rPr>
                <w:rFonts w:hint="eastAsia" w:ascii="宋体" w:hAnsi="宋体" w:eastAsia="宋体" w:cs="宋体"/>
                <w:b w:val="0"/>
                <w:bCs/>
                <w:color w:val="auto"/>
                <w:sz w:val="21"/>
                <w:szCs w:val="21"/>
                <w:highlight w:val="none"/>
              </w:rPr>
              <w:t>的</w:t>
            </w:r>
            <w:permStart w:id="50" w:edGrp="everyone"/>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b w:val="0"/>
                <w:bCs/>
                <w:color w:val="auto"/>
                <w:sz w:val="21"/>
                <w:szCs w:val="21"/>
                <w:highlight w:val="none"/>
                <w:u w:val="single"/>
              </w:rPr>
              <w:t>[可选项] 10％</w:t>
            </w:r>
            <w:permEnd w:id="50"/>
            <w:r>
              <w:rPr>
                <w:rFonts w:hint="eastAsia" w:ascii="宋体" w:hAnsi="宋体" w:eastAsia="宋体" w:cs="宋体"/>
                <w:b w:val="0"/>
                <w:bCs/>
                <w:color w:val="auto"/>
                <w:sz w:val="21"/>
                <w:szCs w:val="21"/>
                <w:highlight w:val="none"/>
                <w:u w:val="single"/>
                <w:lang w:eastAsia="zh-CN"/>
              </w:rPr>
              <w:t>，</w:t>
            </w:r>
            <w:r>
              <w:rPr>
                <w:rFonts w:hint="eastAsia" w:ascii="宋体" w:hAnsi="宋体" w:eastAsia="宋体" w:cs="宋体"/>
                <w:b w:val="0"/>
                <w:bCs/>
                <w:color w:val="auto"/>
                <w:sz w:val="21"/>
                <w:szCs w:val="21"/>
                <w:highlight w:val="none"/>
                <w:u w:val="none"/>
                <w:lang w:val="en-US" w:eastAsia="zh-CN"/>
              </w:rPr>
              <w:t>其中预付款的30%拨付至农民工工资专用账户。</w:t>
            </w:r>
          </w:p>
          <w:p>
            <w:pPr>
              <w:pStyle w:val="16"/>
              <w:keepNext w:val="0"/>
              <w:keepLines w:val="0"/>
              <w:pageBreakBefore w:val="0"/>
              <w:widowControl w:val="0"/>
              <w:kinsoku/>
              <w:wordWrap/>
              <w:overflowPunct/>
              <w:topLinePunct w:val="0"/>
              <w:autoSpaceDE/>
              <w:autoSpaceDN/>
              <w:bidi w:val="0"/>
              <w:adjustRightInd/>
              <w:snapToGrid/>
              <w:spacing w:after="0" w:line="240" w:lineRule="auto"/>
              <w:ind w:left="0" w:leftChars="0" w:firstLine="420" w:firstLineChars="20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支付期限：在承包人完成以下工作14天内监理工程师向项目发包人发出预付款支付证书（一份复印件送承包人）：</w:t>
            </w:r>
          </w:p>
          <w:p>
            <w:pPr>
              <w:pStyle w:val="16"/>
              <w:keepNext w:val="0"/>
              <w:keepLines w:val="0"/>
              <w:pageBreakBefore w:val="0"/>
              <w:widowControl w:val="0"/>
              <w:kinsoku/>
              <w:wordWrap/>
              <w:overflowPunct/>
              <w:topLinePunct w:val="0"/>
              <w:autoSpaceDE/>
              <w:autoSpaceDN/>
              <w:bidi w:val="0"/>
              <w:adjustRightInd/>
              <w:snapToGrid/>
              <w:spacing w:after="0" w:line="240" w:lineRule="auto"/>
              <w:ind w:left="0" w:leftChars="0" w:firstLine="420" w:firstLineChars="20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w:t>
            </w:r>
            <w:r>
              <w:rPr>
                <w:rFonts w:hint="eastAsia" w:ascii="宋体" w:hAnsi="宋体" w:eastAsia="宋体" w:cs="宋体"/>
                <w:b w:val="0"/>
                <w:bCs/>
                <w:color w:val="auto"/>
                <w:sz w:val="21"/>
                <w:szCs w:val="21"/>
                <w:highlight w:val="none"/>
              </w:rPr>
              <w:tab/>
            </w:r>
            <w:r>
              <w:rPr>
                <w:rFonts w:hint="eastAsia" w:ascii="宋体" w:hAnsi="宋体" w:eastAsia="宋体" w:cs="宋体"/>
                <w:b w:val="0"/>
                <w:bCs/>
                <w:color w:val="auto"/>
                <w:sz w:val="21"/>
                <w:szCs w:val="21"/>
                <w:highlight w:val="none"/>
              </w:rPr>
              <w:t>合同和履约保函已生效；</w:t>
            </w:r>
          </w:p>
          <w:p>
            <w:pPr>
              <w:pStyle w:val="16"/>
              <w:keepNext w:val="0"/>
              <w:keepLines w:val="0"/>
              <w:pageBreakBefore w:val="0"/>
              <w:widowControl w:val="0"/>
              <w:kinsoku/>
              <w:wordWrap/>
              <w:overflowPunct/>
              <w:topLinePunct w:val="0"/>
              <w:autoSpaceDE/>
              <w:autoSpaceDN/>
              <w:bidi w:val="0"/>
              <w:adjustRightInd/>
              <w:snapToGrid/>
              <w:spacing w:after="0" w:line="240" w:lineRule="auto"/>
              <w:ind w:left="0" w:leftChars="0" w:firstLine="420" w:firstLineChars="20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2、</w:t>
            </w:r>
            <w:r>
              <w:rPr>
                <w:rFonts w:hint="eastAsia" w:ascii="宋体" w:hAnsi="宋体" w:eastAsia="宋体" w:cs="宋体"/>
                <w:b w:val="0"/>
                <w:bCs/>
                <w:color w:val="auto"/>
                <w:sz w:val="21"/>
                <w:szCs w:val="21"/>
                <w:highlight w:val="none"/>
              </w:rPr>
              <w:tab/>
            </w:r>
            <w:r>
              <w:rPr>
                <w:rFonts w:hint="eastAsia" w:ascii="宋体" w:hAnsi="宋体" w:eastAsia="宋体" w:cs="宋体"/>
                <w:b w:val="0"/>
                <w:bCs/>
                <w:color w:val="auto"/>
                <w:sz w:val="21"/>
                <w:szCs w:val="21"/>
                <w:highlight w:val="none"/>
              </w:rPr>
              <w:t>开工准备工作已开始。</w:t>
            </w:r>
          </w:p>
          <w:p>
            <w:pPr>
              <w:pStyle w:val="16"/>
              <w:keepNext w:val="0"/>
              <w:keepLines w:val="0"/>
              <w:pageBreakBefore w:val="0"/>
              <w:widowControl w:val="0"/>
              <w:kinsoku/>
              <w:wordWrap/>
              <w:overflowPunct/>
              <w:topLinePunct w:val="0"/>
              <w:autoSpaceDE/>
              <w:autoSpaceDN/>
              <w:bidi w:val="0"/>
              <w:adjustRightInd/>
              <w:snapToGrid/>
              <w:spacing w:after="0" w:line="240" w:lineRule="auto"/>
              <w:ind w:left="0" w:leftChars="0" w:firstLine="420" w:firstLineChars="20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rPr>
              <w:t>预付款扣回的方式：在完成合同价款的</w:t>
            </w:r>
            <w:permStart w:id="51" w:edGrp="everyone"/>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b w:val="0"/>
                <w:bCs/>
                <w:color w:val="auto"/>
                <w:sz w:val="21"/>
                <w:szCs w:val="21"/>
                <w:highlight w:val="none"/>
                <w:u w:val="single"/>
              </w:rPr>
              <w:t>[可选项]</w:t>
            </w:r>
            <w:r>
              <w:rPr>
                <w:rFonts w:hint="eastAsia" w:ascii="宋体" w:hAnsi="宋体" w:eastAsia="宋体" w:cs="宋体"/>
                <w:b w:val="0"/>
                <w:bCs/>
                <w:color w:val="auto"/>
                <w:sz w:val="21"/>
                <w:szCs w:val="21"/>
                <w:highlight w:val="none"/>
                <w:u w:val="single"/>
                <w:lang w:val="en-US" w:eastAsia="zh-CN"/>
              </w:rPr>
              <w:t>5</w:t>
            </w:r>
            <w:r>
              <w:rPr>
                <w:rFonts w:hint="eastAsia" w:ascii="宋体" w:hAnsi="宋体" w:eastAsia="宋体" w:cs="宋体"/>
                <w:b w:val="0"/>
                <w:bCs/>
                <w:color w:val="auto"/>
                <w:sz w:val="21"/>
                <w:szCs w:val="21"/>
                <w:highlight w:val="none"/>
                <w:u w:val="single"/>
              </w:rPr>
              <w:t>0％</w:t>
            </w:r>
            <w:permEnd w:id="51"/>
            <w:r>
              <w:rPr>
                <w:rFonts w:hint="eastAsia" w:ascii="宋体" w:hAnsi="宋体" w:eastAsia="宋体" w:cs="宋体"/>
                <w:b w:val="0"/>
                <w:bCs w:val="0"/>
                <w:color w:val="auto"/>
                <w:sz w:val="21"/>
                <w:szCs w:val="21"/>
                <w:highlight w:val="none"/>
              </w:rPr>
              <w:t>后开始扣回，</w:t>
            </w:r>
            <w:r>
              <w:rPr>
                <w:rFonts w:hint="eastAsia" w:ascii="宋体" w:hAnsi="宋体" w:eastAsia="宋体" w:cs="宋体"/>
                <w:b w:val="0"/>
                <w:bCs w:val="0"/>
                <w:color w:val="auto"/>
                <w:sz w:val="21"/>
                <w:szCs w:val="21"/>
                <w:highlight w:val="none"/>
                <w:lang w:val="en-US" w:eastAsia="zh-CN"/>
              </w:rPr>
              <w:t>分两次扣回，每次抵扣预付款的50%，累计支付到合同价80%前</w:t>
            </w:r>
            <w:r>
              <w:rPr>
                <w:rFonts w:hint="eastAsia" w:ascii="宋体" w:hAnsi="宋体" w:eastAsia="宋体" w:cs="宋体"/>
                <w:b w:val="0"/>
                <w:bCs w:val="0"/>
                <w:color w:val="auto"/>
                <w:sz w:val="21"/>
                <w:szCs w:val="21"/>
                <w:highlight w:val="none"/>
              </w:rPr>
              <w:t>扣完。</w:t>
            </w:r>
          </w:p>
          <w:p>
            <w:pPr>
              <w:pStyle w:val="16"/>
              <w:keepNext w:val="0"/>
              <w:keepLines w:val="0"/>
              <w:pageBreakBefore w:val="0"/>
              <w:widowControl w:val="0"/>
              <w:kinsoku/>
              <w:wordWrap/>
              <w:overflowPunct/>
              <w:topLinePunct w:val="0"/>
              <w:autoSpaceDE/>
              <w:autoSpaceDN/>
              <w:bidi w:val="0"/>
              <w:adjustRightInd/>
              <w:snapToGrid/>
              <w:spacing w:after="0" w:line="240" w:lineRule="auto"/>
              <w:ind w:left="0" w:leftChars="0"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14.2.2安全文明施工费预付款</w:t>
            </w:r>
          </w:p>
          <w:p>
            <w:pPr>
              <w:pStyle w:val="16"/>
              <w:keepNext w:val="0"/>
              <w:keepLines w:val="0"/>
              <w:pageBreakBefore w:val="0"/>
              <w:widowControl w:val="0"/>
              <w:kinsoku/>
              <w:wordWrap/>
              <w:overflowPunct/>
              <w:topLinePunct w:val="0"/>
              <w:autoSpaceDE/>
              <w:autoSpaceDN/>
              <w:bidi w:val="0"/>
              <w:adjustRightInd/>
              <w:snapToGrid/>
              <w:spacing w:after="0" w:line="240" w:lineRule="auto"/>
              <w:ind w:left="0" w:leftChars="0"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安全文明施工费预付款比例或金额：安全文明施工费合同价的</w:t>
            </w:r>
            <w:permStart w:id="52" w:edGrp="everyone"/>
            <w:r>
              <w:rPr>
                <w:rFonts w:hint="eastAsia" w:ascii="宋体" w:hAnsi="宋体" w:eastAsia="宋体" w:cs="宋体"/>
                <w:color w:val="auto"/>
                <w:sz w:val="21"/>
                <w:szCs w:val="21"/>
                <w:highlight w:val="none"/>
              </w:rPr>
              <w:t xml:space="preserve">  </w:t>
            </w:r>
            <w:r>
              <w:rPr>
                <w:rFonts w:hint="eastAsia" w:ascii="宋体" w:hAnsi="宋体" w:eastAsia="宋体" w:cs="宋体"/>
                <w:b w:val="0"/>
                <w:bCs/>
                <w:color w:val="auto"/>
                <w:sz w:val="21"/>
                <w:szCs w:val="21"/>
                <w:highlight w:val="none"/>
                <w:lang w:val="en-US" w:eastAsia="zh-CN"/>
              </w:rPr>
              <w:t>60%</w:t>
            </w:r>
            <w:r>
              <w:rPr>
                <w:rFonts w:hint="eastAsia" w:ascii="宋体" w:hAnsi="宋体" w:eastAsia="宋体" w:cs="宋体"/>
                <w:color w:val="auto"/>
                <w:sz w:val="21"/>
                <w:szCs w:val="21"/>
                <w:highlight w:val="none"/>
              </w:rPr>
              <w:t xml:space="preserve"> </w:t>
            </w:r>
            <w:permEnd w:id="52"/>
            <w:r>
              <w:rPr>
                <w:rFonts w:hint="eastAsia" w:ascii="宋体" w:hAnsi="宋体" w:eastAsia="宋体" w:cs="宋体"/>
                <w:b w:val="0"/>
                <w:bCs/>
                <w:color w:val="auto"/>
                <w:sz w:val="21"/>
                <w:szCs w:val="21"/>
                <w:highlight w:val="none"/>
                <w:lang w:val="en-US" w:eastAsia="zh-CN"/>
              </w:rPr>
              <w:t>。</w:t>
            </w:r>
          </w:p>
          <w:p>
            <w:pPr>
              <w:pStyle w:val="16"/>
              <w:keepNext w:val="0"/>
              <w:keepLines w:val="0"/>
              <w:pageBreakBefore w:val="0"/>
              <w:widowControl w:val="0"/>
              <w:kinsoku/>
              <w:wordWrap/>
              <w:overflowPunct/>
              <w:topLinePunct w:val="0"/>
              <w:autoSpaceDE/>
              <w:autoSpaceDN/>
              <w:bidi w:val="0"/>
              <w:adjustRightInd/>
              <w:snapToGrid/>
              <w:spacing w:after="0" w:line="240" w:lineRule="auto"/>
              <w:ind w:left="0" w:leftChars="0" w:firstLine="420" w:firstLineChars="200"/>
              <w:textAlignment w:val="auto"/>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val="en-US" w:eastAsia="zh-CN"/>
              </w:rPr>
              <w:t>安全文明施工费预付款在承包人递交预付款支付证书后，随预付款同步支付</w:t>
            </w:r>
            <w:r>
              <w:rPr>
                <w:rFonts w:hint="eastAsia" w:ascii="宋体" w:hAnsi="宋体" w:eastAsia="宋体" w:cs="宋体"/>
                <w:b w:val="0"/>
                <w:bCs/>
                <w:color w:val="auto"/>
                <w:sz w:val="21"/>
                <w:szCs w:val="21"/>
                <w:highlight w:val="none"/>
                <w:lang w:eastAsia="zh-CN"/>
              </w:rPr>
              <w:t>。</w:t>
            </w:r>
          </w:p>
          <w:p>
            <w:pPr>
              <w:pStyle w:val="16"/>
              <w:keepNext w:val="0"/>
              <w:keepLines w:val="0"/>
              <w:pageBreakBefore w:val="0"/>
              <w:widowControl w:val="0"/>
              <w:kinsoku/>
              <w:wordWrap/>
              <w:overflowPunct/>
              <w:topLinePunct w:val="0"/>
              <w:autoSpaceDE/>
              <w:autoSpaceDN/>
              <w:bidi w:val="0"/>
              <w:adjustRightInd/>
              <w:snapToGrid/>
              <w:spacing w:after="0" w:line="240" w:lineRule="auto"/>
              <w:ind w:left="0" w:leftChars="0" w:firstLine="420" w:firstLineChars="20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14.2.3</w:t>
            </w:r>
            <w:r>
              <w:rPr>
                <w:rFonts w:hint="eastAsia" w:ascii="宋体" w:hAnsi="宋体" w:eastAsia="宋体" w:cs="宋体"/>
                <w:b w:val="0"/>
                <w:bCs/>
                <w:color w:val="auto"/>
                <w:sz w:val="21"/>
                <w:szCs w:val="21"/>
                <w:highlight w:val="none"/>
              </w:rPr>
              <w:t>发包人在预付款支付时同时向承包人提供工程款支付担保，工程款支付担保比例或金额：合同价的</w:t>
            </w:r>
            <w:permStart w:id="53" w:edGrp="everyone"/>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b w:val="0"/>
                <w:bCs/>
                <w:color w:val="auto"/>
                <w:sz w:val="21"/>
                <w:szCs w:val="21"/>
                <w:highlight w:val="none"/>
                <w:u w:val="single"/>
              </w:rPr>
              <w:t>[可选项] 10％</w:t>
            </w:r>
            <w:permEnd w:id="53"/>
            <w:r>
              <w:rPr>
                <w:rFonts w:hint="eastAsia" w:ascii="宋体" w:hAnsi="宋体" w:eastAsia="宋体" w:cs="宋体"/>
                <w:b w:val="0"/>
                <w:bCs/>
                <w:color w:val="auto"/>
                <w:sz w:val="21"/>
                <w:szCs w:val="21"/>
                <w:highlight w:val="none"/>
              </w:rPr>
              <w:t>。（合同金额50万元及以下，不需要提供担保。）</w:t>
            </w:r>
          </w:p>
          <w:p>
            <w:pPr>
              <w:pStyle w:val="16"/>
              <w:keepNext w:val="0"/>
              <w:keepLines w:val="0"/>
              <w:pageBreakBefore w:val="0"/>
              <w:widowControl w:val="0"/>
              <w:kinsoku/>
              <w:wordWrap/>
              <w:overflowPunct/>
              <w:topLinePunct w:val="0"/>
              <w:autoSpaceDE/>
              <w:autoSpaceDN/>
              <w:bidi w:val="0"/>
              <w:adjustRightInd/>
              <w:snapToGrid/>
              <w:spacing w:after="0" w:line="240" w:lineRule="auto"/>
              <w:ind w:left="0" w:leftChars="0" w:firstLine="420" w:firstLineChars="20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工程款支付担保的有效期为：自发包人与承包人签订的合同生效之日起至发包人签发工程接收证书之日止。</w:t>
            </w:r>
          </w:p>
          <w:p>
            <w:pPr>
              <w:pStyle w:val="16"/>
              <w:keepNext w:val="0"/>
              <w:keepLines w:val="0"/>
              <w:pageBreakBefore w:val="0"/>
              <w:widowControl w:val="0"/>
              <w:kinsoku/>
              <w:wordWrap/>
              <w:overflowPunct/>
              <w:topLinePunct w:val="0"/>
              <w:autoSpaceDE/>
              <w:autoSpaceDN/>
              <w:bidi w:val="0"/>
              <w:adjustRightInd/>
              <w:snapToGrid/>
              <w:spacing w:after="0" w:line="240" w:lineRule="auto"/>
              <w:ind w:left="0" w:leftChars="0" w:firstLine="420" w:firstLineChars="20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工程款支付担保方式：银行保函、保证保险。</w:t>
            </w:r>
          </w:p>
          <w:p>
            <w:pPr>
              <w:pStyle w:val="16"/>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textAlignment w:val="auto"/>
              <w:rPr>
                <w:rFonts w:hint="eastAsia" w:ascii="宋体" w:hAnsi="宋体" w:eastAsia="宋体" w:cs="宋体"/>
                <w:b/>
                <w:color w:val="auto"/>
                <w:sz w:val="21"/>
                <w:szCs w:val="21"/>
                <w:highlight w:val="none"/>
              </w:rPr>
            </w:pPr>
          </w:p>
        </w:tc>
        <w:tc>
          <w:tcPr>
            <w:tcW w:w="687" w:type="dxa"/>
            <w:noWrap w:val="0"/>
            <w:vAlign w:val="center"/>
          </w:tcPr>
          <w:p>
            <w:pPr>
              <w:keepNext w:val="0"/>
              <w:keepLines w:val="0"/>
              <w:pageBreakBefore w:val="0"/>
              <w:widowControl/>
              <w:kinsoku/>
              <w:wordWrap/>
              <w:overflowPunct/>
              <w:topLinePunct w:val="0"/>
              <w:bidi w:val="0"/>
              <w:spacing w:line="240" w:lineRule="auto"/>
              <w:ind w:firstLine="0" w:firstLineChars="0"/>
              <w:jc w:val="left"/>
              <w:textAlignment w:val="auto"/>
              <w:rPr>
                <w:rFonts w:hint="eastAsia" w:ascii="宋体" w:hAnsi="宋体" w:eastAsia="宋体" w:cs="宋体"/>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82" w:type="dxa"/>
            <w:noWrap w:val="0"/>
            <w:vAlign w:val="center"/>
          </w:tcPr>
          <w:p>
            <w:pPr>
              <w:pStyle w:val="15"/>
              <w:keepNext w:val="0"/>
              <w:keepLines w:val="0"/>
              <w:pageBreakBefore w:val="0"/>
              <w:widowControl w:val="0"/>
              <w:numPr>
                <w:ilvl w:val="0"/>
                <w:numId w:val="1"/>
              </w:numPr>
              <w:kinsoku/>
              <w:wordWrap/>
              <w:overflowPunct/>
              <w:topLinePunct w:val="0"/>
              <w:autoSpaceDE/>
              <w:autoSpaceDN/>
              <w:bidi w:val="0"/>
              <w:adjustRightInd w:val="0"/>
              <w:snapToGrid w:val="0"/>
              <w:spacing w:line="240" w:lineRule="auto"/>
              <w:ind w:left="0" w:firstLine="0" w:firstLineChars="0"/>
              <w:jc w:val="center"/>
              <w:textAlignment w:val="auto"/>
              <w:rPr>
                <w:rFonts w:hint="eastAsia" w:ascii="宋体" w:hAnsi="宋体" w:eastAsia="宋体" w:cs="宋体"/>
                <w:color w:val="auto"/>
                <w:kern w:val="0"/>
                <w:sz w:val="21"/>
                <w:szCs w:val="21"/>
                <w:highlight w:val="none"/>
              </w:rPr>
            </w:pPr>
          </w:p>
        </w:tc>
        <w:tc>
          <w:tcPr>
            <w:tcW w:w="1108" w:type="dxa"/>
            <w:noWrap w:val="0"/>
            <w:vAlign w:val="center"/>
          </w:tcPr>
          <w:p>
            <w:pPr>
              <w:pStyle w:val="15"/>
              <w:keepNext w:val="0"/>
              <w:keepLines w:val="0"/>
              <w:pageBreakBefore w:val="0"/>
              <w:numPr>
                <w:ilvl w:val="0"/>
                <w:numId w:val="0"/>
              </w:numPr>
              <w:kinsoku/>
              <w:wordWrap/>
              <w:overflowPunct/>
              <w:topLinePunct w:val="0"/>
              <w:bidi w:val="0"/>
              <w:spacing w:line="240" w:lineRule="auto"/>
              <w:ind w:left="0" w:leftChars="0" w:firstLine="0" w:firstLineChars="0"/>
              <w:textAlignment w:val="auto"/>
              <w:rPr>
                <w:rFonts w:hint="eastAsia" w:ascii="宋体" w:hAnsi="宋体" w:eastAsia="宋体" w:cs="宋体"/>
                <w:color w:val="auto"/>
                <w:kern w:val="0"/>
                <w:sz w:val="21"/>
                <w:szCs w:val="21"/>
                <w:highlight w:val="none"/>
                <w:lang w:val="en-US" w:eastAsia="zh-CN"/>
              </w:rPr>
            </w:pPr>
            <w:r>
              <w:rPr>
                <w:rFonts w:hint="eastAsia" w:ascii="宋体" w:hAnsi="宋体" w:cs="宋体"/>
                <w:color w:val="auto"/>
                <w:kern w:val="0"/>
                <w:sz w:val="21"/>
                <w:szCs w:val="21"/>
                <w:highlight w:val="none"/>
                <w:lang w:val="en-US" w:eastAsia="zh-CN"/>
              </w:rPr>
              <w:t>新增</w:t>
            </w:r>
          </w:p>
        </w:tc>
        <w:tc>
          <w:tcPr>
            <w:tcW w:w="1262" w:type="dxa"/>
            <w:noWrap w:val="0"/>
            <w:vAlign w:val="center"/>
          </w:tcPr>
          <w:p>
            <w:pPr>
              <w:keepNext w:val="0"/>
              <w:keepLines w:val="0"/>
              <w:pageBreakBefore w:val="0"/>
              <w:kinsoku/>
              <w:wordWrap/>
              <w:overflowPunct/>
              <w:topLinePunct w:val="0"/>
              <w:bidi w:val="0"/>
              <w:spacing w:line="240" w:lineRule="auto"/>
              <w:ind w:firstLine="0" w:firstLine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专用合同条款</w:t>
            </w:r>
          </w:p>
          <w:p>
            <w:pPr>
              <w:keepNext w:val="0"/>
              <w:keepLines w:val="0"/>
              <w:pageBreakBefore w:val="0"/>
              <w:numPr>
                <w:ilvl w:val="0"/>
                <w:numId w:val="4"/>
              </w:numPr>
              <w:kinsoku/>
              <w:wordWrap/>
              <w:overflowPunct/>
              <w:topLinePunct w:val="0"/>
              <w:bidi w:val="0"/>
              <w:spacing w:line="240" w:lineRule="auto"/>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合同价格和支付</w:t>
            </w:r>
          </w:p>
          <w:p>
            <w:pPr>
              <w:pStyle w:val="2"/>
              <w:keepNext w:val="0"/>
              <w:keepLines w:val="0"/>
              <w:pageBreakBefore w:val="0"/>
              <w:numPr>
                <w:ilvl w:val="0"/>
                <w:numId w:val="0"/>
              </w:numPr>
              <w:kinsoku/>
              <w:wordWrap/>
              <w:overflowPunct/>
              <w:topLinePunct w:val="0"/>
              <w:bidi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14.7</w:t>
            </w:r>
            <w:r>
              <w:rPr>
                <w:rFonts w:hint="eastAsia" w:ascii="宋体" w:hAnsi="宋体" w:eastAsia="宋体" w:cs="宋体"/>
                <w:color w:val="auto"/>
                <w:sz w:val="21"/>
                <w:szCs w:val="21"/>
                <w:highlight w:val="none"/>
                <w:lang w:val="en-US" w:eastAsia="zh-CN"/>
              </w:rPr>
              <w:t>款</w:t>
            </w:r>
          </w:p>
        </w:tc>
        <w:tc>
          <w:tcPr>
            <w:tcW w:w="5760" w:type="dxa"/>
            <w:noWrap w:val="0"/>
            <w:vAlign w:val="center"/>
          </w:tcPr>
          <w:p>
            <w:pPr>
              <w:pStyle w:val="16"/>
              <w:keepNext w:val="0"/>
              <w:keepLines w:val="0"/>
              <w:pageBreakBefore w:val="0"/>
              <w:widowControl w:val="0"/>
              <w:kinsoku/>
              <w:wordWrap/>
              <w:overflowPunct/>
              <w:topLinePunct w:val="0"/>
              <w:autoSpaceDE/>
              <w:autoSpaceDN/>
              <w:bidi w:val="0"/>
              <w:adjustRightInd/>
              <w:snapToGrid/>
              <w:spacing w:after="0" w:line="240" w:lineRule="auto"/>
              <w:ind w:left="0" w:leftChars="0"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无</w:t>
            </w:r>
          </w:p>
        </w:tc>
        <w:tc>
          <w:tcPr>
            <w:tcW w:w="5800" w:type="dxa"/>
            <w:noWrap w:val="0"/>
            <w:vAlign w:val="center"/>
          </w:tcPr>
          <w:p>
            <w:pPr>
              <w:pStyle w:val="16"/>
              <w:keepNext w:val="0"/>
              <w:keepLines w:val="0"/>
              <w:pageBreakBefore w:val="0"/>
              <w:kinsoku/>
              <w:wordWrap/>
              <w:overflowPunct/>
              <w:topLinePunct w:val="0"/>
              <w:bidi w:val="0"/>
              <w:spacing w:after="0" w:line="240" w:lineRule="auto"/>
              <w:ind w:left="0" w:leftChars="0"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1</w:t>
            </w:r>
            <w:r>
              <w:rPr>
                <w:rFonts w:hint="eastAsia" w:ascii="宋体" w:hAnsi="宋体" w:eastAsia="宋体" w:cs="宋体"/>
                <w:b w:val="0"/>
                <w:bCs/>
                <w:color w:val="auto"/>
                <w:sz w:val="21"/>
                <w:szCs w:val="21"/>
                <w:highlight w:val="none"/>
              </w:rPr>
              <w:t>、本合同（协议）税金费用执行《关于全面推开营业税改征增值税试点的通知》（财税[2016]36号）及国家最新税收政策，采用一般纳税人计税方法计列增值税。承包人须按规定提供采用一般纳税人计税方法计税的建筑业增值税税率的增值税专用发票，若承包人采用简易计税方法计税，结算时调整相应结算金额。</w:t>
            </w:r>
          </w:p>
          <w:p>
            <w:pPr>
              <w:pStyle w:val="16"/>
              <w:keepNext w:val="0"/>
              <w:keepLines w:val="0"/>
              <w:pageBreakBefore w:val="0"/>
              <w:kinsoku/>
              <w:wordWrap/>
              <w:overflowPunct/>
              <w:topLinePunct w:val="0"/>
              <w:bidi w:val="0"/>
              <w:spacing w:after="0" w:line="240" w:lineRule="auto"/>
              <w:ind w:left="0" w:leftChars="0" w:firstLine="420" w:firstLineChars="200"/>
              <w:rPr>
                <w:rFonts w:hint="eastAsia" w:ascii="宋体" w:hAnsi="宋体" w:eastAsia="宋体" w:cs="宋体"/>
                <w:b/>
                <w:color w:val="auto"/>
                <w:sz w:val="21"/>
                <w:szCs w:val="21"/>
                <w:highlight w:val="none"/>
              </w:rPr>
            </w:pPr>
            <w:r>
              <w:rPr>
                <w:rFonts w:hint="eastAsia" w:ascii="宋体" w:hAnsi="宋体" w:eastAsia="宋体" w:cs="宋体"/>
                <w:b w:val="0"/>
                <w:bCs/>
                <w:color w:val="auto"/>
                <w:sz w:val="21"/>
                <w:szCs w:val="21"/>
                <w:highlight w:val="none"/>
                <w:lang w:val="en-US" w:eastAsia="zh-CN"/>
              </w:rPr>
              <w:t>2</w:t>
            </w:r>
            <w:r>
              <w:rPr>
                <w:rFonts w:hint="eastAsia" w:ascii="宋体" w:hAnsi="宋体" w:eastAsia="宋体" w:cs="宋体"/>
                <w:b w:val="0"/>
                <w:bCs/>
                <w:color w:val="auto"/>
                <w:sz w:val="21"/>
                <w:szCs w:val="21"/>
                <w:highlight w:val="none"/>
              </w:rPr>
              <w:t>、本合同（协议）结算支付方式为：电汇、商业汇票或支票以及双方认可的其它方式。如需商业汇票进行支付的，由款项支付方承担资金成本（买方付息贴现）。乙方充分知悉并同意按双方在本合同约定的结算支付方式履行。</w:t>
            </w:r>
          </w:p>
        </w:tc>
        <w:tc>
          <w:tcPr>
            <w:tcW w:w="687" w:type="dxa"/>
            <w:noWrap w:val="0"/>
            <w:vAlign w:val="center"/>
          </w:tcPr>
          <w:p>
            <w:pPr>
              <w:keepNext w:val="0"/>
              <w:keepLines w:val="0"/>
              <w:pageBreakBefore w:val="0"/>
              <w:widowControl/>
              <w:kinsoku/>
              <w:wordWrap/>
              <w:overflowPunct/>
              <w:topLinePunct w:val="0"/>
              <w:bidi w:val="0"/>
              <w:spacing w:line="240" w:lineRule="auto"/>
              <w:ind w:firstLine="0" w:firstLineChars="0"/>
              <w:jc w:val="left"/>
              <w:textAlignment w:val="auto"/>
              <w:rPr>
                <w:rFonts w:hint="eastAsia"/>
              </w:rPr>
            </w:pPr>
          </w:p>
          <w:p>
            <w:pPr>
              <w:pStyle w:val="2"/>
              <w:rPr>
                <w:rFonts w:hint="eastAs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82" w:type="dxa"/>
            <w:noWrap w:val="0"/>
            <w:vAlign w:val="center"/>
          </w:tcPr>
          <w:p>
            <w:pPr>
              <w:pStyle w:val="15"/>
              <w:keepNext w:val="0"/>
              <w:keepLines w:val="0"/>
              <w:pageBreakBefore w:val="0"/>
              <w:widowControl w:val="0"/>
              <w:numPr>
                <w:ilvl w:val="0"/>
                <w:numId w:val="1"/>
              </w:numPr>
              <w:kinsoku/>
              <w:wordWrap/>
              <w:overflowPunct/>
              <w:topLinePunct w:val="0"/>
              <w:autoSpaceDE/>
              <w:autoSpaceDN/>
              <w:bidi w:val="0"/>
              <w:adjustRightInd w:val="0"/>
              <w:snapToGrid w:val="0"/>
              <w:spacing w:line="240" w:lineRule="auto"/>
              <w:ind w:left="0" w:firstLine="0" w:firstLineChars="0"/>
              <w:jc w:val="center"/>
              <w:textAlignment w:val="auto"/>
              <w:rPr>
                <w:rFonts w:hint="eastAsia" w:ascii="宋体" w:hAnsi="宋体" w:eastAsia="宋体" w:cs="宋体"/>
                <w:color w:val="auto"/>
                <w:kern w:val="0"/>
                <w:sz w:val="21"/>
                <w:szCs w:val="21"/>
                <w:highlight w:val="none"/>
              </w:rPr>
            </w:pPr>
          </w:p>
        </w:tc>
        <w:tc>
          <w:tcPr>
            <w:tcW w:w="1108" w:type="dxa"/>
            <w:noWrap w:val="0"/>
            <w:vAlign w:val="center"/>
          </w:tcPr>
          <w:p>
            <w:pPr>
              <w:pStyle w:val="15"/>
              <w:keepNext w:val="0"/>
              <w:keepLines w:val="0"/>
              <w:pageBreakBefore w:val="0"/>
              <w:numPr>
                <w:ilvl w:val="0"/>
                <w:numId w:val="0"/>
              </w:numPr>
              <w:kinsoku/>
              <w:wordWrap/>
              <w:overflowPunct/>
              <w:topLinePunct w:val="0"/>
              <w:bidi w:val="0"/>
              <w:spacing w:line="240" w:lineRule="auto"/>
              <w:ind w:left="0" w:leftChars="0" w:firstLine="0" w:firstLineChars="0"/>
              <w:textAlignment w:val="auto"/>
              <w:rPr>
                <w:rFonts w:hint="default" w:ascii="宋体" w:hAnsi="宋体" w:cs="宋体"/>
                <w:color w:val="auto"/>
                <w:kern w:val="0"/>
                <w:sz w:val="21"/>
                <w:szCs w:val="21"/>
                <w:highlight w:val="none"/>
                <w:lang w:val="en-US" w:eastAsia="zh-CN"/>
              </w:rPr>
            </w:pPr>
            <w:r>
              <w:rPr>
                <w:rFonts w:hint="eastAsia" w:ascii="宋体" w:hAnsi="宋体" w:cs="宋体"/>
                <w:color w:val="auto"/>
                <w:kern w:val="0"/>
                <w:sz w:val="21"/>
                <w:szCs w:val="21"/>
                <w:highlight w:val="none"/>
                <w:lang w:val="en-US" w:eastAsia="zh-CN"/>
              </w:rPr>
              <w:t>修改</w:t>
            </w:r>
          </w:p>
        </w:tc>
        <w:tc>
          <w:tcPr>
            <w:tcW w:w="1262" w:type="dxa"/>
            <w:noWrap w:val="0"/>
            <w:vAlign w:val="center"/>
          </w:tcPr>
          <w:p>
            <w:pPr>
              <w:keepNext w:val="0"/>
              <w:keepLines w:val="0"/>
              <w:pageBreakBefore w:val="0"/>
              <w:kinsoku/>
              <w:wordWrap/>
              <w:overflowPunct/>
              <w:topLinePunct w:val="0"/>
              <w:bidi w:val="0"/>
              <w:spacing w:line="240" w:lineRule="auto"/>
              <w:ind w:firstLine="0" w:firstLine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专用合同条款</w:t>
            </w:r>
          </w:p>
          <w:p>
            <w:pPr>
              <w:keepNext w:val="0"/>
              <w:keepLines w:val="0"/>
              <w:pageBreakBefore w:val="0"/>
              <w:numPr>
                <w:ilvl w:val="0"/>
                <w:numId w:val="5"/>
              </w:numPr>
              <w:kinsoku/>
              <w:wordWrap/>
              <w:overflowPunct/>
              <w:topLinePunct w:val="0"/>
              <w:bidi w:val="0"/>
              <w:spacing w:line="240" w:lineRule="auto"/>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合同价格和支付</w:t>
            </w:r>
          </w:p>
          <w:p>
            <w:pPr>
              <w:pStyle w:val="2"/>
              <w:keepNext w:val="0"/>
              <w:keepLines w:val="0"/>
              <w:pageBreakBefore w:val="0"/>
              <w:numPr>
                <w:ilvl w:val="0"/>
                <w:numId w:val="0"/>
              </w:numPr>
              <w:kinsoku/>
              <w:wordWrap/>
              <w:overflowPunct/>
              <w:topLinePunct w:val="0"/>
              <w:bidi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w:t>
            </w:r>
            <w:r>
              <w:rPr>
                <w:rFonts w:hint="eastAsia" w:ascii="宋体" w:hAnsi="宋体" w:cs="宋体"/>
                <w:color w:val="auto"/>
                <w:sz w:val="21"/>
                <w:szCs w:val="21"/>
                <w:highlight w:val="none"/>
                <w:lang w:val="en-US" w:eastAsia="zh-CN"/>
              </w:rPr>
              <w:t>9</w:t>
            </w:r>
            <w:r>
              <w:rPr>
                <w:rFonts w:hint="eastAsia" w:ascii="宋体" w:hAnsi="宋体" w:eastAsia="宋体" w:cs="宋体"/>
                <w:color w:val="auto"/>
                <w:sz w:val="21"/>
                <w:szCs w:val="21"/>
                <w:highlight w:val="none"/>
                <w:lang w:val="en-US" w:eastAsia="zh-CN"/>
              </w:rPr>
              <w:t>款</w:t>
            </w:r>
          </w:p>
        </w:tc>
        <w:tc>
          <w:tcPr>
            <w:tcW w:w="5760" w:type="dxa"/>
            <w:noWrap w:val="0"/>
            <w:vAlign w:val="center"/>
          </w:tcPr>
          <w:p>
            <w:pPr>
              <w:pStyle w:val="16"/>
              <w:keepNext w:val="0"/>
              <w:keepLines w:val="0"/>
              <w:pageBreakBefore w:val="0"/>
              <w:kinsoku/>
              <w:wordWrap/>
              <w:overflowPunct/>
              <w:topLinePunct w:val="0"/>
              <w:bidi w:val="0"/>
              <w:spacing w:after="0" w:line="240" w:lineRule="auto"/>
              <w:ind w:left="0" w:leftChars="0"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14.9.1 质量保证金预留</w:t>
            </w:r>
          </w:p>
          <w:p>
            <w:pPr>
              <w:pStyle w:val="16"/>
              <w:keepNext w:val="0"/>
              <w:keepLines w:val="0"/>
              <w:pageBreakBefore w:val="0"/>
              <w:kinsoku/>
              <w:wordWrap/>
              <w:overflowPunct/>
              <w:topLinePunct w:val="0"/>
              <w:bidi w:val="0"/>
              <w:spacing w:after="0" w:line="240" w:lineRule="auto"/>
              <w:ind w:left="0" w:leftChars="0"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承包人在办理工程结算款支付申请的同时，提交金额为结算价</w:t>
            </w:r>
            <w:r>
              <w:rPr>
                <w:rFonts w:hint="default" w:ascii="宋体" w:hAnsi="宋体" w:eastAsia="宋体" w:cs="宋体"/>
                <w:b w:val="0"/>
                <w:bCs/>
                <w:color w:val="auto"/>
                <w:sz w:val="21"/>
                <w:szCs w:val="21"/>
                <w:highlight w:val="none"/>
                <w:lang w:val="en-US"/>
              </w:rPr>
              <w:t>3%</w:t>
            </w:r>
            <w:r>
              <w:rPr>
                <w:rFonts w:hint="eastAsia" w:ascii="宋体" w:hAnsi="宋体" w:eastAsia="宋体" w:cs="宋体"/>
                <w:b w:val="0"/>
                <w:bCs/>
                <w:color w:val="auto"/>
                <w:sz w:val="21"/>
                <w:szCs w:val="21"/>
                <w:highlight w:val="none"/>
              </w:rPr>
              <w:t>的质量保证金担保（担保的形式包括银行提供的保函、央企财务公司提供的保函、保险公司提供的国家认可的具有法律效力的保险等，格式自定），保函应确保在工程缺陷责任期内有效，发包人审核无误后全额支付结算尾款。</w:t>
            </w:r>
          </w:p>
          <w:p>
            <w:pPr>
              <w:pStyle w:val="16"/>
              <w:keepNext w:val="0"/>
              <w:keepLines w:val="0"/>
              <w:pageBreakBefore w:val="0"/>
              <w:kinsoku/>
              <w:wordWrap/>
              <w:overflowPunct/>
              <w:topLinePunct w:val="0"/>
              <w:bidi w:val="0"/>
              <w:spacing w:after="0" w:line="240" w:lineRule="auto"/>
              <w:ind w:left="0" w:leftChars="0" w:firstLine="420" w:firstLineChars="200"/>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rPr>
              <w:t>若承包人无法提交质量保证金保函，需在办理结算款支付申请的同时提交书面说明，发包人一次性扣留结算价</w:t>
            </w:r>
            <w:r>
              <w:rPr>
                <w:rFonts w:hint="default" w:ascii="宋体" w:hAnsi="宋体" w:eastAsia="宋体" w:cs="宋体"/>
                <w:b w:val="0"/>
                <w:bCs/>
                <w:color w:val="auto"/>
                <w:sz w:val="21"/>
                <w:szCs w:val="21"/>
                <w:highlight w:val="none"/>
                <w:lang w:val="en-US"/>
              </w:rPr>
              <w:t>3%</w:t>
            </w:r>
            <w:r>
              <w:rPr>
                <w:rFonts w:hint="eastAsia" w:ascii="宋体" w:hAnsi="宋体" w:eastAsia="宋体" w:cs="宋体"/>
                <w:b w:val="0"/>
                <w:bCs/>
                <w:color w:val="auto"/>
                <w:sz w:val="21"/>
                <w:szCs w:val="21"/>
                <w:highlight w:val="none"/>
              </w:rPr>
              <w:t>的工程质量保证金，价款支付到结算价的97%。</w:t>
            </w:r>
          </w:p>
        </w:tc>
        <w:tc>
          <w:tcPr>
            <w:tcW w:w="5800" w:type="dxa"/>
            <w:noWrap w:val="0"/>
            <w:vAlign w:val="center"/>
          </w:tcPr>
          <w:p>
            <w:pPr>
              <w:pStyle w:val="16"/>
              <w:keepNext w:val="0"/>
              <w:keepLines w:val="0"/>
              <w:pageBreakBefore w:val="0"/>
              <w:kinsoku/>
              <w:wordWrap/>
              <w:overflowPunct/>
              <w:topLinePunct w:val="0"/>
              <w:bidi w:val="0"/>
              <w:spacing w:after="0" w:line="240" w:lineRule="auto"/>
              <w:ind w:left="0" w:leftChars="0"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14.9.1 质量保证金预留</w:t>
            </w:r>
          </w:p>
          <w:p>
            <w:pPr>
              <w:pStyle w:val="16"/>
              <w:keepNext w:val="0"/>
              <w:keepLines w:val="0"/>
              <w:pageBreakBefore w:val="0"/>
              <w:kinsoku/>
              <w:wordWrap/>
              <w:overflowPunct/>
              <w:topLinePunct w:val="0"/>
              <w:bidi w:val="0"/>
              <w:spacing w:after="0" w:line="240" w:lineRule="auto"/>
              <w:ind w:left="0" w:leftChars="0"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承包人在办理工程结算款支付申请的同时，提交金额为</w:t>
            </w:r>
            <w:r>
              <w:rPr>
                <w:rFonts w:hint="eastAsia" w:ascii="宋体" w:hAnsi="宋体" w:eastAsia="宋体" w:cs="宋体"/>
                <w:b w:val="0"/>
                <w:bCs/>
                <w:color w:val="auto"/>
                <w:sz w:val="21"/>
                <w:szCs w:val="21"/>
                <w:highlight w:val="none"/>
                <w:lang w:val="en-US" w:eastAsia="zh-CN"/>
              </w:rPr>
              <w:t>不含安全文明施工费的</w:t>
            </w:r>
            <w:r>
              <w:rPr>
                <w:rFonts w:hint="eastAsia" w:ascii="宋体" w:hAnsi="宋体" w:eastAsia="宋体" w:cs="宋体"/>
                <w:b w:val="0"/>
                <w:bCs/>
                <w:color w:val="auto"/>
                <w:sz w:val="21"/>
                <w:szCs w:val="21"/>
                <w:highlight w:val="none"/>
              </w:rPr>
              <w:t>结算价3%的质量保证金担保（担保的形式包括银行提供的保函、央企财务公司提供的保函、保险公司提供的国家认可的具有法律效力的保险等，格式自定），保函应确保在工程缺陷责任期内有效，发包人审核无误后全额支付结算尾款。</w:t>
            </w:r>
          </w:p>
          <w:p>
            <w:pPr>
              <w:pStyle w:val="16"/>
              <w:keepNext w:val="0"/>
              <w:keepLines w:val="0"/>
              <w:pageBreakBefore w:val="0"/>
              <w:kinsoku/>
              <w:wordWrap/>
              <w:overflowPunct/>
              <w:topLinePunct w:val="0"/>
              <w:bidi w:val="0"/>
              <w:spacing w:after="0" w:line="240" w:lineRule="auto"/>
              <w:ind w:left="0" w:leftChars="0" w:firstLine="420" w:firstLineChars="200"/>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rPr>
              <w:t>若承包人无法提交质量保证金保函，需在办理结算款支付申请的同时提交书面说明，发包人一次性扣留</w:t>
            </w:r>
            <w:r>
              <w:rPr>
                <w:rFonts w:hint="eastAsia" w:ascii="宋体" w:hAnsi="宋体" w:eastAsia="宋体" w:cs="宋体"/>
                <w:b w:val="0"/>
                <w:bCs/>
                <w:color w:val="auto"/>
                <w:sz w:val="21"/>
                <w:szCs w:val="21"/>
                <w:highlight w:val="none"/>
                <w:lang w:val="en-US" w:eastAsia="zh-CN"/>
              </w:rPr>
              <w:t>不含安全文明施工费的</w:t>
            </w:r>
            <w:r>
              <w:rPr>
                <w:rFonts w:hint="eastAsia" w:ascii="宋体" w:hAnsi="宋体" w:eastAsia="宋体" w:cs="宋体"/>
                <w:b w:val="0"/>
                <w:bCs/>
                <w:color w:val="auto"/>
                <w:sz w:val="21"/>
                <w:szCs w:val="21"/>
                <w:highlight w:val="none"/>
              </w:rPr>
              <w:t>结算价3%的工程质量保证金，价款支付到结算价的97%。</w:t>
            </w:r>
          </w:p>
        </w:tc>
        <w:tc>
          <w:tcPr>
            <w:tcW w:w="687" w:type="dxa"/>
            <w:noWrap w:val="0"/>
            <w:vAlign w:val="center"/>
          </w:tcPr>
          <w:p>
            <w:pPr>
              <w:pStyle w:val="2"/>
              <w:rPr>
                <w:rFonts w:hint="eastAs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82" w:type="dxa"/>
            <w:noWrap w:val="0"/>
            <w:vAlign w:val="center"/>
          </w:tcPr>
          <w:p>
            <w:pPr>
              <w:pStyle w:val="15"/>
              <w:keepNext w:val="0"/>
              <w:keepLines w:val="0"/>
              <w:pageBreakBefore w:val="0"/>
              <w:widowControl w:val="0"/>
              <w:numPr>
                <w:ilvl w:val="0"/>
                <w:numId w:val="1"/>
              </w:numPr>
              <w:kinsoku/>
              <w:wordWrap/>
              <w:overflowPunct/>
              <w:topLinePunct w:val="0"/>
              <w:autoSpaceDE/>
              <w:autoSpaceDN/>
              <w:bidi w:val="0"/>
              <w:adjustRightInd w:val="0"/>
              <w:snapToGrid w:val="0"/>
              <w:spacing w:line="240" w:lineRule="auto"/>
              <w:ind w:left="0" w:firstLine="0" w:firstLineChars="0"/>
              <w:jc w:val="center"/>
              <w:textAlignment w:val="auto"/>
              <w:rPr>
                <w:rFonts w:hint="eastAsia" w:ascii="宋体" w:hAnsi="宋体" w:eastAsia="宋体" w:cs="宋体"/>
                <w:color w:val="auto"/>
                <w:kern w:val="0"/>
                <w:sz w:val="21"/>
                <w:szCs w:val="21"/>
                <w:highlight w:val="none"/>
              </w:rPr>
            </w:pPr>
          </w:p>
        </w:tc>
        <w:tc>
          <w:tcPr>
            <w:tcW w:w="1108" w:type="dxa"/>
            <w:noWrap w:val="0"/>
            <w:vAlign w:val="center"/>
          </w:tcPr>
          <w:p>
            <w:pPr>
              <w:pStyle w:val="15"/>
              <w:keepNext w:val="0"/>
              <w:keepLines w:val="0"/>
              <w:pageBreakBefore w:val="0"/>
              <w:numPr>
                <w:ilvl w:val="0"/>
                <w:numId w:val="0"/>
              </w:numPr>
              <w:kinsoku/>
              <w:wordWrap/>
              <w:overflowPunct/>
              <w:topLinePunct w:val="0"/>
              <w:bidi w:val="0"/>
              <w:spacing w:line="240" w:lineRule="auto"/>
              <w:ind w:left="0" w:leftChars="0" w:firstLine="0" w:firstLineChars="0"/>
              <w:textAlignment w:val="auto"/>
              <w:rPr>
                <w:rFonts w:hint="eastAsia" w:ascii="宋体" w:hAnsi="宋体" w:cs="宋体"/>
                <w:color w:val="auto"/>
                <w:kern w:val="0"/>
                <w:sz w:val="21"/>
                <w:szCs w:val="21"/>
                <w:highlight w:val="none"/>
                <w:lang w:val="en-US" w:eastAsia="zh-CN"/>
              </w:rPr>
            </w:pPr>
          </w:p>
        </w:tc>
        <w:tc>
          <w:tcPr>
            <w:tcW w:w="1262" w:type="dxa"/>
            <w:noWrap w:val="0"/>
            <w:vAlign w:val="center"/>
          </w:tcPr>
          <w:p>
            <w:pPr>
              <w:keepNext w:val="0"/>
              <w:keepLines w:val="0"/>
              <w:pageBreakBefore w:val="0"/>
              <w:kinsoku/>
              <w:wordWrap/>
              <w:overflowPunct/>
              <w:topLinePunct w:val="0"/>
              <w:bidi w:val="0"/>
              <w:spacing w:line="240" w:lineRule="auto"/>
              <w:ind w:firstLine="0" w:firstLine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专用合同条款</w:t>
            </w:r>
          </w:p>
          <w:p>
            <w:pPr>
              <w:keepNext w:val="0"/>
              <w:keepLines w:val="0"/>
              <w:pageBreakBefore w:val="0"/>
              <w:numPr>
                <w:ilvl w:val="0"/>
                <w:numId w:val="6"/>
              </w:numPr>
              <w:kinsoku/>
              <w:wordWrap/>
              <w:overflowPunct/>
              <w:topLinePunct w:val="0"/>
              <w:bidi w:val="0"/>
              <w:spacing w:line="240" w:lineRule="auto"/>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合同价格和支付</w:t>
            </w:r>
          </w:p>
          <w:p>
            <w:pPr>
              <w:pStyle w:val="2"/>
              <w:keepNext w:val="0"/>
              <w:keepLines w:val="0"/>
              <w:pageBreakBefore w:val="0"/>
              <w:numPr>
                <w:ilvl w:val="0"/>
                <w:numId w:val="0"/>
              </w:numPr>
              <w:kinsoku/>
              <w:wordWrap/>
              <w:overflowPunct/>
              <w:topLinePunct w:val="0"/>
              <w:bidi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w:t>
            </w:r>
            <w:r>
              <w:rPr>
                <w:rFonts w:hint="eastAsia" w:ascii="宋体" w:hAnsi="宋体" w:cs="宋体"/>
                <w:color w:val="auto"/>
                <w:sz w:val="21"/>
                <w:szCs w:val="21"/>
                <w:highlight w:val="none"/>
                <w:lang w:val="en-US" w:eastAsia="zh-CN"/>
              </w:rPr>
              <w:t>10</w:t>
            </w:r>
            <w:r>
              <w:rPr>
                <w:rFonts w:hint="eastAsia" w:ascii="宋体" w:hAnsi="宋体" w:eastAsia="宋体" w:cs="宋体"/>
                <w:color w:val="auto"/>
                <w:sz w:val="21"/>
                <w:szCs w:val="21"/>
                <w:highlight w:val="none"/>
                <w:lang w:val="en-US" w:eastAsia="zh-CN"/>
              </w:rPr>
              <w:t>款</w:t>
            </w:r>
          </w:p>
        </w:tc>
        <w:tc>
          <w:tcPr>
            <w:tcW w:w="5760" w:type="dxa"/>
            <w:noWrap w:val="0"/>
            <w:vAlign w:val="center"/>
          </w:tcPr>
          <w:p>
            <w:pPr>
              <w:pStyle w:val="16"/>
              <w:keepNext w:val="0"/>
              <w:keepLines w:val="0"/>
              <w:pageBreakBefore w:val="0"/>
              <w:kinsoku/>
              <w:wordWrap/>
              <w:overflowPunct/>
              <w:topLinePunct w:val="0"/>
              <w:bidi w:val="0"/>
              <w:spacing w:after="0" w:line="240" w:lineRule="auto"/>
              <w:ind w:left="0" w:leftChars="0"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14.10招标代理费：</w:t>
            </w:r>
            <w:permStart w:id="54" w:edGrp="everyone"/>
          </w:p>
          <w:p>
            <w:pPr>
              <w:pStyle w:val="16"/>
              <w:keepNext w:val="0"/>
              <w:keepLines w:val="0"/>
              <w:pageBreakBefore w:val="0"/>
              <w:kinsoku/>
              <w:wordWrap/>
              <w:overflowPunct/>
              <w:topLinePunct w:val="0"/>
              <w:bidi w:val="0"/>
              <w:spacing w:after="0" w:line="240" w:lineRule="auto"/>
              <w:ind w:left="0" w:leftChars="0"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14.10.</w:t>
            </w:r>
            <w:r>
              <w:rPr>
                <w:rFonts w:hint="eastAsia" w:ascii="宋体" w:hAnsi="宋体" w:eastAsia="宋体" w:cs="宋体"/>
                <w:b w:val="0"/>
                <w:bCs/>
                <w:color w:val="auto"/>
                <w:sz w:val="21"/>
                <w:szCs w:val="21"/>
                <w:highlight w:val="none"/>
              </w:rPr>
              <w:t>1招标代理费结算价=招标代理费不含税价*税率。</w:t>
            </w:r>
          </w:p>
          <w:p>
            <w:pPr>
              <w:pStyle w:val="16"/>
              <w:keepNext w:val="0"/>
              <w:keepLines w:val="0"/>
              <w:pageBreakBefore w:val="0"/>
              <w:kinsoku/>
              <w:wordWrap/>
              <w:overflowPunct/>
              <w:topLinePunct w:val="0"/>
              <w:bidi w:val="0"/>
              <w:spacing w:after="0" w:line="240" w:lineRule="auto"/>
              <w:ind w:left="0" w:leftChars="0"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招标代理费不含税价：招标代理机构开具的招标代理费发票中不含税金额；</w:t>
            </w:r>
          </w:p>
          <w:p>
            <w:pPr>
              <w:pStyle w:val="16"/>
              <w:keepNext w:val="0"/>
              <w:keepLines w:val="0"/>
              <w:pageBreakBefore w:val="0"/>
              <w:kinsoku/>
              <w:wordWrap/>
              <w:overflowPunct/>
              <w:topLinePunct w:val="0"/>
              <w:bidi w:val="0"/>
              <w:spacing w:after="0" w:line="240" w:lineRule="auto"/>
              <w:ind w:left="0" w:leftChars="0"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税率：承包人开具的增值税专用发票上的税率。     </w:t>
            </w:r>
          </w:p>
          <w:p>
            <w:pPr>
              <w:pStyle w:val="16"/>
              <w:keepNext w:val="0"/>
              <w:keepLines w:val="0"/>
              <w:pageBreakBefore w:val="0"/>
              <w:kinsoku/>
              <w:wordWrap/>
              <w:overflowPunct/>
              <w:topLinePunct w:val="0"/>
              <w:bidi w:val="0"/>
              <w:spacing w:after="0" w:line="240" w:lineRule="auto"/>
              <w:ind w:left="0" w:leftChars="0" w:firstLine="420" w:firstLineChars="200"/>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14.10.</w:t>
            </w:r>
            <w:r>
              <w:rPr>
                <w:rFonts w:hint="eastAsia" w:ascii="宋体" w:hAnsi="宋体" w:eastAsia="宋体" w:cs="宋体"/>
                <w:b w:val="0"/>
                <w:bCs/>
                <w:color w:val="auto"/>
                <w:sz w:val="21"/>
                <w:szCs w:val="21"/>
                <w:highlight w:val="none"/>
              </w:rPr>
              <w:t>2合同签订后承包人可以向发包人单独办理招标代理费的结算款，也可以与施工费进度款或结算款一并办理（多标包多标段时，按中标金额比例计算）。</w:t>
            </w:r>
            <w:permEnd w:id="54"/>
          </w:p>
        </w:tc>
        <w:tc>
          <w:tcPr>
            <w:tcW w:w="5800" w:type="dxa"/>
            <w:noWrap w:val="0"/>
            <w:vAlign w:val="center"/>
          </w:tcPr>
          <w:p>
            <w:pPr>
              <w:pStyle w:val="16"/>
              <w:keepNext w:val="0"/>
              <w:keepLines w:val="0"/>
              <w:pageBreakBefore w:val="0"/>
              <w:kinsoku/>
              <w:wordWrap/>
              <w:overflowPunct/>
              <w:topLinePunct w:val="0"/>
              <w:bidi w:val="0"/>
              <w:spacing w:after="0" w:line="240" w:lineRule="auto"/>
              <w:ind w:left="0" w:leftChars="0"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14.10招标代理费：</w:t>
            </w:r>
            <w:permStart w:id="55" w:edGrp="everyone"/>
          </w:p>
          <w:p>
            <w:pPr>
              <w:pStyle w:val="16"/>
              <w:keepNext w:val="0"/>
              <w:keepLines w:val="0"/>
              <w:pageBreakBefore w:val="0"/>
              <w:kinsoku/>
              <w:wordWrap/>
              <w:overflowPunct/>
              <w:topLinePunct w:val="0"/>
              <w:bidi w:val="0"/>
              <w:spacing w:after="0" w:line="240" w:lineRule="auto"/>
              <w:ind w:left="0" w:leftChars="0"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14.10.</w:t>
            </w:r>
            <w:r>
              <w:rPr>
                <w:rFonts w:hint="eastAsia" w:ascii="宋体" w:hAnsi="宋体" w:eastAsia="宋体" w:cs="宋体"/>
                <w:b w:val="0"/>
                <w:bCs/>
                <w:color w:val="auto"/>
                <w:sz w:val="21"/>
                <w:szCs w:val="21"/>
                <w:highlight w:val="none"/>
              </w:rPr>
              <w:t>1招标代理费结算价=本项目的招标代理费实际结算金额。</w:t>
            </w:r>
          </w:p>
          <w:p>
            <w:pPr>
              <w:pStyle w:val="16"/>
              <w:keepNext w:val="0"/>
              <w:keepLines w:val="0"/>
              <w:pageBreakBefore w:val="0"/>
              <w:kinsoku/>
              <w:wordWrap/>
              <w:overflowPunct/>
              <w:topLinePunct w:val="0"/>
              <w:bidi w:val="0"/>
              <w:spacing w:after="0" w:line="240" w:lineRule="auto"/>
              <w:ind w:left="0" w:leftChars="0"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承包人根据招标代理机构开具的招标代理费发票金额列入结算费用，向发包人办理结算请款，在结算招标代理费时，以实际发生费用为基准，按照增值税率9%开具增值税专用发票。</w:t>
            </w:r>
          </w:p>
          <w:p>
            <w:pPr>
              <w:pStyle w:val="16"/>
              <w:keepNext w:val="0"/>
              <w:keepLines w:val="0"/>
              <w:pageBreakBefore w:val="0"/>
              <w:kinsoku/>
              <w:wordWrap/>
              <w:overflowPunct/>
              <w:topLinePunct w:val="0"/>
              <w:bidi w:val="0"/>
              <w:spacing w:after="0" w:line="240" w:lineRule="auto"/>
              <w:ind w:left="0" w:leftChars="0" w:firstLine="420" w:firstLineChars="200"/>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14.10.</w:t>
            </w:r>
            <w:r>
              <w:rPr>
                <w:rFonts w:hint="eastAsia" w:ascii="宋体" w:hAnsi="宋体" w:eastAsia="宋体" w:cs="宋体"/>
                <w:b w:val="0"/>
                <w:bCs/>
                <w:color w:val="auto"/>
                <w:sz w:val="21"/>
                <w:szCs w:val="21"/>
                <w:highlight w:val="none"/>
              </w:rPr>
              <w:t>2合同签订后承包人可以向发包人单独办理招标代理费的结算款，也可以与施工费进度款或结算款一并办理（多标包多标段时，按中标金额比例计算）。</w:t>
            </w:r>
            <w:permEnd w:id="55"/>
          </w:p>
        </w:tc>
        <w:tc>
          <w:tcPr>
            <w:tcW w:w="687" w:type="dxa"/>
            <w:noWrap w:val="0"/>
            <w:vAlign w:val="center"/>
          </w:tcPr>
          <w:p>
            <w:pPr>
              <w:pStyle w:val="2"/>
              <w:rPr>
                <w:rFonts w:hint="eastAs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82" w:type="dxa"/>
            <w:noWrap w:val="0"/>
            <w:vAlign w:val="center"/>
          </w:tcPr>
          <w:p>
            <w:pPr>
              <w:pStyle w:val="15"/>
              <w:keepNext w:val="0"/>
              <w:keepLines w:val="0"/>
              <w:pageBreakBefore w:val="0"/>
              <w:widowControl w:val="0"/>
              <w:numPr>
                <w:ilvl w:val="0"/>
                <w:numId w:val="1"/>
              </w:numPr>
              <w:kinsoku/>
              <w:wordWrap/>
              <w:overflowPunct/>
              <w:topLinePunct w:val="0"/>
              <w:autoSpaceDE/>
              <w:autoSpaceDN/>
              <w:bidi w:val="0"/>
              <w:adjustRightInd w:val="0"/>
              <w:snapToGrid w:val="0"/>
              <w:spacing w:line="240" w:lineRule="auto"/>
              <w:ind w:left="0" w:firstLine="0" w:firstLineChars="0"/>
              <w:jc w:val="center"/>
              <w:textAlignment w:val="auto"/>
              <w:rPr>
                <w:rFonts w:hint="eastAsia" w:ascii="宋体" w:hAnsi="宋体" w:eastAsia="宋体" w:cs="宋体"/>
                <w:color w:val="auto"/>
                <w:kern w:val="0"/>
                <w:sz w:val="21"/>
                <w:szCs w:val="21"/>
                <w:highlight w:val="none"/>
              </w:rPr>
            </w:pPr>
          </w:p>
        </w:tc>
        <w:tc>
          <w:tcPr>
            <w:tcW w:w="1108" w:type="dxa"/>
            <w:noWrap w:val="0"/>
            <w:vAlign w:val="center"/>
          </w:tcPr>
          <w:p>
            <w:pPr>
              <w:pStyle w:val="15"/>
              <w:keepNext w:val="0"/>
              <w:keepLines w:val="0"/>
              <w:pageBreakBefore w:val="0"/>
              <w:numPr>
                <w:ilvl w:val="0"/>
                <w:numId w:val="0"/>
              </w:numPr>
              <w:kinsoku/>
              <w:wordWrap/>
              <w:overflowPunct/>
              <w:topLinePunct w:val="0"/>
              <w:bidi w:val="0"/>
              <w:spacing w:line="240" w:lineRule="auto"/>
              <w:ind w:left="0" w:leftChars="0" w:firstLine="0" w:firstLineChars="0"/>
              <w:textAlignment w:val="auto"/>
              <w:rPr>
                <w:rFonts w:hint="eastAsia" w:ascii="宋体" w:hAnsi="宋体" w:eastAsia="宋体" w:cs="宋体"/>
                <w:color w:val="auto"/>
                <w:kern w:val="0"/>
                <w:sz w:val="21"/>
                <w:szCs w:val="21"/>
                <w:highlight w:val="none"/>
                <w:lang w:val="en-US" w:eastAsia="zh-CN"/>
              </w:rPr>
            </w:pPr>
            <w:r>
              <w:rPr>
                <w:rFonts w:hint="eastAsia" w:ascii="宋体" w:hAnsi="宋体" w:cs="宋体"/>
                <w:color w:val="auto"/>
                <w:kern w:val="0"/>
                <w:sz w:val="21"/>
                <w:szCs w:val="21"/>
                <w:highlight w:val="none"/>
                <w:lang w:val="en-US" w:eastAsia="zh-CN"/>
              </w:rPr>
              <w:t>修改</w:t>
            </w:r>
          </w:p>
        </w:tc>
        <w:tc>
          <w:tcPr>
            <w:tcW w:w="1262" w:type="dxa"/>
            <w:noWrap w:val="0"/>
            <w:vAlign w:val="center"/>
          </w:tcPr>
          <w:p>
            <w:pPr>
              <w:keepNext w:val="0"/>
              <w:keepLines w:val="0"/>
              <w:pageBreakBefore w:val="0"/>
              <w:kinsoku/>
              <w:wordWrap/>
              <w:overflowPunct/>
              <w:topLinePunct w:val="0"/>
              <w:bidi w:val="0"/>
              <w:spacing w:line="240" w:lineRule="auto"/>
              <w:ind w:firstLine="0" w:firstLine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专用合同条款</w:t>
            </w:r>
          </w:p>
          <w:p>
            <w:pPr>
              <w:keepNext w:val="0"/>
              <w:keepLines w:val="0"/>
              <w:pageBreakBefore w:val="0"/>
              <w:numPr>
                <w:ilvl w:val="0"/>
                <w:numId w:val="0"/>
              </w:numPr>
              <w:kinsoku/>
              <w:wordWrap/>
              <w:overflowPunct/>
              <w:topLinePunct w:val="0"/>
              <w:bidi w:val="0"/>
              <w:spacing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14.</w:t>
            </w:r>
            <w:r>
              <w:rPr>
                <w:rFonts w:hint="eastAsia" w:ascii="宋体" w:hAnsi="宋体" w:eastAsia="宋体" w:cs="宋体"/>
                <w:color w:val="auto"/>
                <w:sz w:val="21"/>
                <w:szCs w:val="21"/>
                <w:highlight w:val="none"/>
              </w:rPr>
              <w:t>合同价格和支付</w:t>
            </w:r>
          </w:p>
          <w:p>
            <w:pPr>
              <w:pStyle w:val="2"/>
              <w:keepNext w:val="0"/>
              <w:keepLines w:val="0"/>
              <w:pageBreakBefore w:val="0"/>
              <w:numPr>
                <w:ilvl w:val="0"/>
                <w:numId w:val="0"/>
              </w:numPr>
              <w:kinsoku/>
              <w:wordWrap/>
              <w:overflowPunct/>
              <w:topLinePunct w:val="0"/>
              <w:bidi w:val="0"/>
              <w:spacing w:line="240" w:lineRule="auto"/>
              <w:ind w:left="0" w:leftChars="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w:t>
            </w:r>
            <w:r>
              <w:rPr>
                <w:rFonts w:hint="eastAsia" w:ascii="宋体" w:hAnsi="宋体" w:eastAsia="宋体" w:cs="宋体"/>
                <w:color w:val="auto"/>
                <w:sz w:val="21"/>
                <w:szCs w:val="21"/>
                <w:highlight w:val="none"/>
                <w:lang w:val="en-US" w:eastAsia="zh-CN"/>
              </w:rPr>
              <w:t>11款</w:t>
            </w:r>
          </w:p>
        </w:tc>
        <w:tc>
          <w:tcPr>
            <w:tcW w:w="5760" w:type="dxa"/>
            <w:noWrap w:val="0"/>
            <w:vAlign w:val="center"/>
          </w:tcPr>
          <w:p>
            <w:pPr>
              <w:pStyle w:val="6"/>
              <w:keepNext w:val="0"/>
              <w:keepLines w:val="0"/>
              <w:pageBreakBefore w:val="0"/>
              <w:widowControl w:val="0"/>
              <w:kinsoku/>
              <w:wordWrap/>
              <w:overflowPunct/>
              <w:topLinePunct w:val="0"/>
              <w:autoSpaceDE/>
              <w:autoSpaceDN/>
              <w:bidi w:val="0"/>
              <w:adjustRightInd/>
              <w:snapToGrid/>
              <w:spacing w:after="0" w:line="24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1、承包人超过规定时间未报送竣工结算资料的，发包人有权根据下述原则办理结算：</w:t>
            </w:r>
          </w:p>
          <w:p>
            <w:pPr>
              <w:pStyle w:val="6"/>
              <w:keepNext w:val="0"/>
              <w:keepLines w:val="0"/>
              <w:pageBreakBefore w:val="0"/>
              <w:widowControl w:val="0"/>
              <w:kinsoku/>
              <w:wordWrap/>
              <w:overflowPunct/>
              <w:topLinePunct w:val="0"/>
              <w:autoSpaceDE/>
              <w:autoSpaceDN/>
              <w:bidi w:val="0"/>
              <w:adjustRightInd/>
              <w:snapToGrid/>
              <w:spacing w:after="0" w:line="24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（1）按中标价办理结算；</w:t>
            </w:r>
          </w:p>
          <w:p>
            <w:pPr>
              <w:pStyle w:val="6"/>
              <w:keepNext w:val="0"/>
              <w:keepLines w:val="0"/>
              <w:pageBreakBefore w:val="0"/>
              <w:widowControl w:val="0"/>
              <w:kinsoku/>
              <w:wordWrap/>
              <w:overflowPunct/>
              <w:topLinePunct w:val="0"/>
              <w:autoSpaceDE/>
              <w:autoSpaceDN/>
              <w:bidi w:val="0"/>
              <w:adjustRightInd/>
              <w:snapToGrid/>
              <w:spacing w:after="0" w:line="24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（2）有核减依据时，按中标价扣减相应核减费用办理结算。</w:t>
            </w:r>
          </w:p>
          <w:p>
            <w:pPr>
              <w:pStyle w:val="6"/>
              <w:keepNext w:val="0"/>
              <w:keepLines w:val="0"/>
              <w:pageBreakBefore w:val="0"/>
              <w:widowControl w:val="0"/>
              <w:kinsoku/>
              <w:wordWrap/>
              <w:overflowPunct/>
              <w:topLinePunct w:val="0"/>
              <w:autoSpaceDE/>
              <w:autoSpaceDN/>
              <w:bidi w:val="0"/>
              <w:adjustRightInd/>
              <w:snapToGrid/>
              <w:spacing w:after="0" w:line="24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w:t>
            </w:r>
            <w:permStart w:id="56" w:edGrp="everyone"/>
            <w:r>
              <w:rPr>
                <w:rFonts w:hint="eastAsia" w:asciiTheme="minorEastAsia" w:hAnsiTheme="minorEastAsia" w:eastAsiaTheme="minorEastAsia" w:cstheme="minorEastAsia"/>
                <w:color w:val="auto"/>
                <w:sz w:val="21"/>
                <w:szCs w:val="21"/>
                <w:highlight w:val="none"/>
                <w:u w:val="single"/>
              </w:rPr>
              <w:t>承包人由于自身的原因超过约定的时间未报送竣工结算资料的，从逾期次日起，每日扣罚违约金1000元（承包人提供结算资料的同时需提供发包人工程管理部门签字盖章确认并注明签收日期的工程结算资料签收记录作为计算违约金的依据）。</w:t>
            </w:r>
            <w:permEnd w:id="56"/>
          </w:p>
          <w:p>
            <w:pPr>
              <w:pStyle w:val="6"/>
              <w:keepNext w:val="0"/>
              <w:keepLines w:val="0"/>
              <w:pageBreakBefore w:val="0"/>
              <w:widowControl w:val="0"/>
              <w:kinsoku/>
              <w:wordWrap/>
              <w:overflowPunct/>
              <w:topLinePunct w:val="0"/>
              <w:autoSpaceDE/>
              <w:autoSpaceDN/>
              <w:bidi w:val="0"/>
              <w:adjustRightInd/>
              <w:snapToGrid/>
              <w:spacing w:after="0" w:line="24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2、承包人未提出增加费用，经审定需调增结算费用，此时产生的结算审核费用由承包人承担。</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3、结算费用经发包人委托的中介机构审定，</w:t>
            </w:r>
            <w:permStart w:id="57" w:edGrp="everyone"/>
            <w:r>
              <w:rPr>
                <w:rFonts w:hint="eastAsia" w:asciiTheme="minorEastAsia" w:hAnsiTheme="minorEastAsia" w:eastAsiaTheme="minorEastAsia" w:cstheme="minorEastAsia"/>
                <w:color w:val="auto"/>
                <w:sz w:val="21"/>
                <w:szCs w:val="21"/>
                <w:highlight w:val="none"/>
                <w:u w:val="single"/>
              </w:rPr>
              <w:t>造价咨询服务基本收费部分由发包人支付，效益收费部分由承包人支付的方式，效益收费部分在工程结算款中扣除并由发包人支付给中介机构。</w:t>
            </w:r>
            <w:permEnd w:id="57"/>
          </w:p>
          <w:p>
            <w:pPr>
              <w:pStyle w:val="6"/>
              <w:keepNext w:val="0"/>
              <w:keepLines w:val="0"/>
              <w:pageBreakBefore w:val="0"/>
              <w:widowControl w:val="0"/>
              <w:kinsoku/>
              <w:wordWrap/>
              <w:overflowPunct/>
              <w:topLinePunct w:val="0"/>
              <w:autoSpaceDE/>
              <w:autoSpaceDN/>
              <w:bidi w:val="0"/>
              <w:adjustRightInd/>
              <w:snapToGrid/>
              <w:spacing w:after="0" w:line="24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4、承包人由于自身的原因未能及时、准确、完整地在工程管理系统中录入数据并经书面警告的，工程竣工结算时，最高扣减结算价款10万元。</w:t>
            </w:r>
          </w:p>
          <w:p>
            <w:pPr>
              <w:pStyle w:val="6"/>
              <w:keepNext w:val="0"/>
              <w:keepLines w:val="0"/>
              <w:pageBreakBefore w:val="0"/>
              <w:widowControl w:val="0"/>
              <w:kinsoku/>
              <w:wordWrap/>
              <w:overflowPunct/>
              <w:topLinePunct w:val="0"/>
              <w:autoSpaceDE/>
              <w:autoSpaceDN/>
              <w:bidi w:val="0"/>
              <w:adjustRightInd/>
              <w:snapToGrid/>
              <w:spacing w:after="0" w:line="240" w:lineRule="auto"/>
              <w:ind w:left="0" w:leftChars="0"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5、在内外部审计过程中，承包人应积极配合，当审计中发现并经发包人确认结算中存在错算款项，发包人有权扣回，承包人应在收到财务决算审计审核报告复核通知书后</w:t>
            </w:r>
            <w:permStart w:id="58" w:edGrp="everyone"/>
            <w:r>
              <w:rPr>
                <w:rFonts w:hint="eastAsia" w:asciiTheme="minorEastAsia" w:hAnsiTheme="minorEastAsia" w:eastAsiaTheme="minorEastAsia" w:cstheme="minorEastAsia"/>
                <w:color w:val="auto"/>
                <w:sz w:val="21"/>
                <w:szCs w:val="21"/>
                <w:highlight w:val="none"/>
                <w:u w:val="single"/>
              </w:rPr>
              <w:t xml:space="preserve">    </w:t>
            </w:r>
            <w:permEnd w:id="58"/>
            <w:r>
              <w:rPr>
                <w:rFonts w:hint="eastAsia" w:asciiTheme="minorEastAsia" w:hAnsiTheme="minorEastAsia" w:eastAsiaTheme="minorEastAsia" w:cstheme="minorEastAsia"/>
                <w:color w:val="auto"/>
                <w:sz w:val="21"/>
                <w:szCs w:val="21"/>
                <w:highlight w:val="none"/>
              </w:rPr>
              <w:t>个工作日按发包人要求将错算款项交回发包人。</w:t>
            </w:r>
          </w:p>
        </w:tc>
        <w:tc>
          <w:tcPr>
            <w:tcW w:w="5800" w:type="dxa"/>
            <w:noWrap w:val="0"/>
            <w:vAlign w:val="center"/>
          </w:tcPr>
          <w:p>
            <w:pPr>
              <w:pStyle w:val="6"/>
              <w:keepNext w:val="0"/>
              <w:keepLines w:val="0"/>
              <w:pageBreakBefore w:val="0"/>
              <w:widowControl w:val="0"/>
              <w:kinsoku/>
              <w:wordWrap/>
              <w:overflowPunct/>
              <w:topLinePunct w:val="0"/>
              <w:autoSpaceDE/>
              <w:autoSpaceDN/>
              <w:bidi w:val="0"/>
              <w:adjustRightInd/>
              <w:snapToGrid/>
              <w:spacing w:after="0" w:line="24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1、承包人超过规定时间未报送竣工结算资料的，发包人有权根据下述原则办理结算：</w:t>
            </w:r>
          </w:p>
          <w:p>
            <w:pPr>
              <w:pStyle w:val="6"/>
              <w:keepNext w:val="0"/>
              <w:keepLines w:val="0"/>
              <w:pageBreakBefore w:val="0"/>
              <w:widowControl w:val="0"/>
              <w:kinsoku/>
              <w:wordWrap/>
              <w:overflowPunct/>
              <w:topLinePunct w:val="0"/>
              <w:autoSpaceDE/>
              <w:autoSpaceDN/>
              <w:bidi w:val="0"/>
              <w:adjustRightInd/>
              <w:snapToGrid/>
              <w:spacing w:after="0" w:line="24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（1）按中标价办理结算；</w:t>
            </w:r>
          </w:p>
          <w:p>
            <w:pPr>
              <w:pStyle w:val="6"/>
              <w:keepNext w:val="0"/>
              <w:keepLines w:val="0"/>
              <w:pageBreakBefore w:val="0"/>
              <w:widowControl w:val="0"/>
              <w:kinsoku/>
              <w:wordWrap/>
              <w:overflowPunct/>
              <w:topLinePunct w:val="0"/>
              <w:autoSpaceDE/>
              <w:autoSpaceDN/>
              <w:bidi w:val="0"/>
              <w:adjustRightInd/>
              <w:snapToGrid/>
              <w:spacing w:after="0" w:line="24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（2）有核减依据时，按中标价扣减相应核减费用办理结算。</w:t>
            </w:r>
          </w:p>
          <w:p>
            <w:pPr>
              <w:pStyle w:val="6"/>
              <w:keepNext w:val="0"/>
              <w:keepLines w:val="0"/>
              <w:pageBreakBefore w:val="0"/>
              <w:widowControl w:val="0"/>
              <w:kinsoku/>
              <w:wordWrap/>
              <w:overflowPunct/>
              <w:topLinePunct w:val="0"/>
              <w:autoSpaceDE/>
              <w:autoSpaceDN/>
              <w:bidi w:val="0"/>
              <w:adjustRightInd/>
              <w:snapToGrid/>
              <w:spacing w:after="0" w:line="24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w:t>
            </w:r>
            <w:permStart w:id="59" w:edGrp="everyone"/>
            <w:r>
              <w:rPr>
                <w:rFonts w:hint="eastAsia" w:ascii="宋体" w:hAnsi="宋体" w:eastAsia="宋体" w:cs="宋体"/>
                <w:b w:val="0"/>
                <w:bCs w:val="0"/>
                <w:color w:val="auto"/>
                <w:sz w:val="21"/>
                <w:szCs w:val="21"/>
                <w:highlight w:val="none"/>
                <w:u w:val="single"/>
                <w:lang w:eastAsia="zh-CN"/>
              </w:rPr>
              <w:t>执行第</w:t>
            </w:r>
            <w:r>
              <w:rPr>
                <w:rFonts w:hint="eastAsia" w:ascii="宋体" w:hAnsi="宋体" w:eastAsia="宋体" w:cs="宋体"/>
                <w:b w:val="0"/>
                <w:bCs w:val="0"/>
                <w:color w:val="auto"/>
                <w:sz w:val="21"/>
                <w:szCs w:val="21"/>
                <w:highlight w:val="none"/>
                <w:u w:val="single"/>
                <w:lang w:val="en-US" w:eastAsia="zh-CN"/>
              </w:rPr>
              <w:t>2.6.1.6</w:t>
            </w:r>
            <w:r>
              <w:rPr>
                <w:rFonts w:hint="eastAsia" w:ascii="宋体" w:hAnsi="宋体" w:eastAsia="宋体" w:cs="宋体"/>
                <w:b w:val="0"/>
                <w:bCs w:val="0"/>
                <w:color w:val="auto"/>
                <w:sz w:val="21"/>
                <w:szCs w:val="21"/>
                <w:highlight w:val="none"/>
                <w:u w:val="single"/>
                <w:lang w:eastAsia="zh-CN"/>
              </w:rPr>
              <w:t>款【造价管理】的规定</w:t>
            </w:r>
            <w:r>
              <w:rPr>
                <w:rFonts w:hint="eastAsia" w:asciiTheme="minorEastAsia" w:hAnsiTheme="minorEastAsia" w:eastAsiaTheme="minorEastAsia" w:cstheme="minorEastAsia"/>
                <w:color w:val="auto"/>
                <w:sz w:val="21"/>
                <w:szCs w:val="21"/>
                <w:highlight w:val="none"/>
                <w:u w:val="single"/>
              </w:rPr>
              <w:t>（承包人提供结算资料的同时需提供发包人工程管理部门签字盖章确认并注明签收日期的工程结算资料签收记录作为计算违约金的依据）。</w:t>
            </w:r>
            <w:permEnd w:id="59"/>
          </w:p>
          <w:p>
            <w:pPr>
              <w:pStyle w:val="6"/>
              <w:keepNext w:val="0"/>
              <w:keepLines w:val="0"/>
              <w:pageBreakBefore w:val="0"/>
              <w:widowControl w:val="0"/>
              <w:kinsoku/>
              <w:wordWrap/>
              <w:overflowPunct/>
              <w:topLinePunct w:val="0"/>
              <w:autoSpaceDE/>
              <w:autoSpaceDN/>
              <w:bidi w:val="0"/>
              <w:adjustRightInd/>
              <w:snapToGrid/>
              <w:spacing w:after="0" w:line="24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2、承包人未提出增加费用，经审定需调增结算费用，此时产生的结算审核费用由承包人承担。</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3、结算费用经发包人委托的中介机构审定，</w:t>
            </w:r>
            <w:permStart w:id="60" w:edGrp="everyone"/>
            <w:r>
              <w:rPr>
                <w:rFonts w:hint="eastAsia" w:asciiTheme="minorEastAsia" w:hAnsiTheme="minorEastAsia" w:eastAsiaTheme="minorEastAsia" w:cstheme="minorEastAsia"/>
                <w:color w:val="auto"/>
                <w:sz w:val="21"/>
                <w:szCs w:val="21"/>
                <w:highlight w:val="none"/>
                <w:u w:val="single"/>
              </w:rPr>
              <w:t>造价咨询服务基本收费部分由发包人支付，效益收费部分由承包人支付的方式，效益收费部分在工程结算款中扣除并由发包人支付给中介机构。</w:t>
            </w:r>
            <w:permEnd w:id="60"/>
          </w:p>
          <w:p>
            <w:pPr>
              <w:pStyle w:val="6"/>
              <w:keepNext w:val="0"/>
              <w:keepLines w:val="0"/>
              <w:pageBreakBefore w:val="0"/>
              <w:widowControl w:val="0"/>
              <w:kinsoku/>
              <w:wordWrap/>
              <w:overflowPunct/>
              <w:topLinePunct w:val="0"/>
              <w:autoSpaceDE/>
              <w:autoSpaceDN/>
              <w:bidi w:val="0"/>
              <w:adjustRightInd/>
              <w:snapToGrid/>
              <w:spacing w:after="0" w:line="240" w:lineRule="auto"/>
              <w:ind w:left="0" w:leftChars="0" w:firstLine="420" w:firstLineChars="200"/>
              <w:textAlignment w:val="auto"/>
              <w:rPr>
                <w:rFonts w:hint="eastAsia" w:ascii="宋体" w:hAnsi="宋体" w:eastAsia="宋体" w:cs="宋体"/>
                <w:b w:val="0"/>
                <w:bCs/>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4</w:t>
            </w:r>
            <w:r>
              <w:rPr>
                <w:rFonts w:hint="eastAsia" w:asciiTheme="minorEastAsia" w:hAnsiTheme="minorEastAsia" w:eastAsiaTheme="minorEastAsia" w:cstheme="minorEastAsia"/>
                <w:b w:val="0"/>
                <w:bCs w:val="0"/>
                <w:color w:val="auto"/>
                <w:sz w:val="21"/>
                <w:szCs w:val="21"/>
                <w:highlight w:val="none"/>
              </w:rPr>
              <w:t>、在内外部审计过程中，承包人应积极配合，当审计中发现并经发包人确认结算中存在错算款项，发包人有权扣回，承包人应在收到财务决算审计审核报告复核通知书后</w:t>
            </w:r>
            <w:permStart w:id="61" w:edGrp="everyone"/>
            <w:r>
              <w:rPr>
                <w:rFonts w:hint="eastAsia" w:asciiTheme="minorEastAsia" w:hAnsiTheme="minorEastAsia" w:eastAsiaTheme="minorEastAsia" w:cstheme="minorEastAsia"/>
                <w:b w:val="0"/>
                <w:bCs w:val="0"/>
                <w:color w:val="auto"/>
                <w:sz w:val="21"/>
                <w:szCs w:val="21"/>
                <w:highlight w:val="none"/>
                <w:u w:val="single"/>
              </w:rPr>
              <w:t xml:space="preserve">    </w:t>
            </w:r>
            <w:permEnd w:id="61"/>
            <w:r>
              <w:rPr>
                <w:rFonts w:hint="eastAsia" w:asciiTheme="minorEastAsia" w:hAnsiTheme="minorEastAsia" w:eastAsiaTheme="minorEastAsia" w:cstheme="minorEastAsia"/>
                <w:b w:val="0"/>
                <w:bCs w:val="0"/>
                <w:color w:val="auto"/>
                <w:sz w:val="21"/>
                <w:szCs w:val="21"/>
                <w:highlight w:val="none"/>
              </w:rPr>
              <w:t>个工作日按发包人要求将错算款项交回发包人。</w:t>
            </w:r>
          </w:p>
        </w:tc>
        <w:tc>
          <w:tcPr>
            <w:tcW w:w="687" w:type="dxa"/>
            <w:noWrap w:val="0"/>
            <w:vAlign w:val="center"/>
          </w:tcPr>
          <w:p>
            <w:pPr>
              <w:keepNext w:val="0"/>
              <w:keepLines w:val="0"/>
              <w:pageBreakBefore w:val="0"/>
              <w:widowControl/>
              <w:kinsoku/>
              <w:wordWrap/>
              <w:overflowPunct/>
              <w:topLinePunct w:val="0"/>
              <w:bidi w:val="0"/>
              <w:spacing w:line="240" w:lineRule="auto"/>
              <w:ind w:firstLine="0" w:firstLineChars="0"/>
              <w:jc w:val="left"/>
              <w:textAlignment w:val="auto"/>
              <w:rPr>
                <w:rFonts w:hint="eastAsia" w:ascii="宋体" w:hAnsi="宋体" w:eastAsia="宋体" w:cs="宋体"/>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82" w:type="dxa"/>
            <w:noWrap w:val="0"/>
            <w:vAlign w:val="center"/>
          </w:tcPr>
          <w:p>
            <w:pPr>
              <w:pStyle w:val="15"/>
              <w:keepNext w:val="0"/>
              <w:keepLines w:val="0"/>
              <w:pageBreakBefore w:val="0"/>
              <w:widowControl w:val="0"/>
              <w:numPr>
                <w:ilvl w:val="0"/>
                <w:numId w:val="1"/>
              </w:numPr>
              <w:kinsoku/>
              <w:wordWrap/>
              <w:overflowPunct/>
              <w:topLinePunct w:val="0"/>
              <w:autoSpaceDE/>
              <w:autoSpaceDN/>
              <w:bidi w:val="0"/>
              <w:adjustRightInd w:val="0"/>
              <w:snapToGrid w:val="0"/>
              <w:spacing w:line="240" w:lineRule="auto"/>
              <w:ind w:left="0" w:firstLine="0" w:firstLineChars="0"/>
              <w:jc w:val="center"/>
              <w:textAlignment w:val="auto"/>
              <w:rPr>
                <w:rFonts w:hint="eastAsia" w:ascii="宋体" w:hAnsi="宋体" w:eastAsia="宋体" w:cs="宋体"/>
                <w:color w:val="auto"/>
                <w:kern w:val="0"/>
                <w:sz w:val="21"/>
                <w:szCs w:val="21"/>
                <w:highlight w:val="none"/>
              </w:rPr>
            </w:pPr>
          </w:p>
        </w:tc>
        <w:tc>
          <w:tcPr>
            <w:tcW w:w="1108" w:type="dxa"/>
            <w:noWrap w:val="0"/>
            <w:vAlign w:val="center"/>
          </w:tcPr>
          <w:p>
            <w:pPr>
              <w:keepNext w:val="0"/>
              <w:keepLines w:val="0"/>
              <w:pageBreakBefore w:val="0"/>
              <w:widowControl w:val="0"/>
              <w:numPr>
                <w:ilvl w:val="0"/>
                <w:numId w:val="0"/>
              </w:numPr>
              <w:kinsoku/>
              <w:wordWrap/>
              <w:overflowPunct/>
              <w:topLinePunct w:val="0"/>
              <w:autoSpaceDE/>
              <w:autoSpaceDN/>
              <w:bidi w:val="0"/>
              <w:spacing w:line="240" w:lineRule="auto"/>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新增</w:t>
            </w:r>
          </w:p>
        </w:tc>
        <w:tc>
          <w:tcPr>
            <w:tcW w:w="1262" w:type="dxa"/>
            <w:noWrap w:val="0"/>
            <w:vAlign w:val="center"/>
          </w:tcPr>
          <w:p>
            <w:pPr>
              <w:keepNext w:val="0"/>
              <w:keepLines w:val="0"/>
              <w:pageBreakBefore w:val="0"/>
              <w:widowControl w:val="0"/>
              <w:numPr>
                <w:ilvl w:val="0"/>
                <w:numId w:val="0"/>
              </w:numPr>
              <w:kinsoku/>
              <w:wordWrap/>
              <w:overflowPunct/>
              <w:topLinePunct w:val="0"/>
              <w:autoSpaceDE/>
              <w:autoSpaceDN/>
              <w:bidi w:val="0"/>
              <w:spacing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专用合同条款</w:t>
            </w:r>
          </w:p>
          <w:p>
            <w:pPr>
              <w:keepNext w:val="0"/>
              <w:keepLines w:val="0"/>
              <w:pageBreakBefore w:val="0"/>
              <w:widowControl w:val="0"/>
              <w:numPr>
                <w:ilvl w:val="0"/>
                <w:numId w:val="0"/>
              </w:numPr>
              <w:kinsoku/>
              <w:wordWrap/>
              <w:overflowPunct/>
              <w:topLinePunct w:val="0"/>
              <w:autoSpaceDE/>
              <w:autoSpaceDN/>
              <w:bidi w:val="0"/>
              <w:spacing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 发包人提出终止</w:t>
            </w:r>
          </w:p>
        </w:tc>
        <w:tc>
          <w:tcPr>
            <w:tcW w:w="5760" w:type="dxa"/>
            <w:noWrap w:val="0"/>
            <w:vAlign w:val="center"/>
          </w:tcPr>
          <w:p>
            <w:pPr>
              <w:pStyle w:val="16"/>
              <w:keepNext w:val="0"/>
              <w:keepLines w:val="0"/>
              <w:pageBreakBefore w:val="0"/>
              <w:widowControl w:val="0"/>
              <w:kinsoku/>
              <w:wordWrap/>
              <w:overflowPunct/>
              <w:topLinePunct w:val="0"/>
              <w:autoSpaceDE/>
              <w:autoSpaceDN/>
              <w:bidi w:val="0"/>
              <w:adjustRightInd/>
              <w:snapToGrid/>
              <w:spacing w:after="0" w:line="240" w:lineRule="auto"/>
              <w:ind w:left="0" w:leftChars="0"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无</w:t>
            </w:r>
          </w:p>
        </w:tc>
        <w:tc>
          <w:tcPr>
            <w:tcW w:w="5800" w:type="dxa"/>
            <w:noWrap w:val="0"/>
            <w:vAlign w:val="center"/>
          </w:tcPr>
          <w:p>
            <w:pPr>
              <w:pStyle w:val="16"/>
              <w:keepNext w:val="0"/>
              <w:keepLines w:val="0"/>
              <w:pageBreakBefore w:val="0"/>
              <w:kinsoku/>
              <w:wordWrap/>
              <w:overflowPunct/>
              <w:topLinePunct w:val="0"/>
              <w:bidi w:val="0"/>
              <w:spacing w:after="0" w:line="240" w:lineRule="auto"/>
              <w:ind w:left="0" w:leftChars="0" w:firstLine="420" w:firstLineChars="200"/>
              <w:rPr>
                <w:rFonts w:hint="eastAsia" w:ascii="宋体" w:cs="宋体"/>
                <w:b w:val="0"/>
                <w:bCs/>
                <w:color w:val="auto"/>
                <w:sz w:val="21"/>
                <w:szCs w:val="21"/>
                <w:highlight w:val="none"/>
                <w:lang w:val="en-US" w:eastAsia="zh-CN"/>
              </w:rPr>
            </w:pPr>
            <w:r>
              <w:rPr>
                <w:rFonts w:hint="eastAsia" w:ascii="宋体" w:cs="宋体"/>
                <w:b w:val="0"/>
                <w:bCs/>
                <w:color w:val="auto"/>
                <w:sz w:val="21"/>
                <w:szCs w:val="21"/>
                <w:highlight w:val="none"/>
                <w:lang w:eastAsia="zh-CN"/>
              </w:rPr>
              <w:t>增加以下内容到第</w:t>
            </w:r>
            <w:r>
              <w:rPr>
                <w:rFonts w:hint="eastAsia" w:ascii="宋体" w:cs="宋体"/>
                <w:b w:val="0"/>
                <w:bCs/>
                <w:color w:val="auto"/>
                <w:sz w:val="21"/>
                <w:szCs w:val="21"/>
                <w:highlight w:val="none"/>
                <w:lang w:val="en-US" w:eastAsia="zh-CN"/>
              </w:rPr>
              <w:t>15款</w:t>
            </w:r>
          </w:p>
          <w:p>
            <w:pPr>
              <w:pStyle w:val="16"/>
              <w:keepNext w:val="0"/>
              <w:keepLines w:val="0"/>
              <w:pageBreakBefore w:val="0"/>
              <w:kinsoku/>
              <w:wordWrap/>
              <w:overflowPunct/>
              <w:topLinePunct w:val="0"/>
              <w:bidi w:val="0"/>
              <w:spacing w:after="0" w:line="240" w:lineRule="auto"/>
              <w:ind w:left="0" w:leftChars="0"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15.6 合同解除后的估价、付款和结清：</w:t>
            </w:r>
          </w:p>
          <w:p>
            <w:pPr>
              <w:pStyle w:val="16"/>
              <w:keepNext w:val="0"/>
              <w:keepLines w:val="0"/>
              <w:pageBreakBefore w:val="0"/>
              <w:kinsoku/>
              <w:wordWrap/>
              <w:overflowPunct/>
              <w:topLinePunct w:val="0"/>
              <w:bidi w:val="0"/>
              <w:spacing w:after="0" w:line="240" w:lineRule="auto"/>
              <w:ind w:left="0" w:leftChars="0"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1.合同解除后，发包人、承包人、监理人</w:t>
            </w:r>
            <w:r>
              <w:rPr>
                <w:rFonts w:hint="eastAsia" w:ascii="宋体" w:cs="宋体"/>
                <w:b w:val="0"/>
                <w:bCs/>
                <w:color w:val="auto"/>
                <w:sz w:val="21"/>
                <w:szCs w:val="21"/>
                <w:highlight w:val="none"/>
                <w:lang w:val="en-US" w:eastAsia="zh-CN"/>
              </w:rPr>
              <w:t>应在14日内共同</w:t>
            </w:r>
            <w:r>
              <w:rPr>
                <w:rFonts w:hint="eastAsia" w:ascii="宋体" w:hAnsi="宋体" w:eastAsia="宋体" w:cs="宋体"/>
                <w:b w:val="0"/>
                <w:bCs/>
                <w:color w:val="auto"/>
                <w:sz w:val="21"/>
                <w:szCs w:val="21"/>
                <w:highlight w:val="none"/>
              </w:rPr>
              <w:t>商定实际完成工作的价值，以及承包人已提供的材料、临时工程等的价值</w:t>
            </w:r>
            <w:r>
              <w:rPr>
                <w:rFonts w:hint="eastAsia" w:ascii="宋体" w:cs="宋体"/>
                <w:b w:val="0"/>
                <w:bCs/>
                <w:color w:val="auto"/>
                <w:sz w:val="21"/>
                <w:szCs w:val="21"/>
                <w:highlight w:val="none"/>
                <w:lang w:eastAsia="zh-CN"/>
              </w:rPr>
              <w:t>，</w:t>
            </w:r>
            <w:r>
              <w:rPr>
                <w:rFonts w:hint="eastAsia" w:ascii="宋体" w:cs="宋体"/>
                <w:b w:val="0"/>
                <w:bCs/>
                <w:color w:val="auto"/>
                <w:sz w:val="21"/>
                <w:szCs w:val="21"/>
                <w:highlight w:val="none"/>
                <w:lang w:val="en-US" w:eastAsia="zh-CN"/>
              </w:rPr>
              <w:t>实际完成工作的价值按第13条[变更和调整]和第14条[合同价格和支付]执行</w:t>
            </w:r>
            <w:r>
              <w:rPr>
                <w:rFonts w:hint="eastAsia" w:ascii="宋体" w:hAnsi="宋体" w:eastAsia="宋体" w:cs="宋体"/>
                <w:b w:val="0"/>
                <w:bCs/>
                <w:color w:val="auto"/>
                <w:sz w:val="21"/>
                <w:szCs w:val="21"/>
                <w:highlight w:val="none"/>
              </w:rPr>
              <w:t>。</w:t>
            </w:r>
          </w:p>
          <w:p>
            <w:pPr>
              <w:pStyle w:val="16"/>
              <w:keepNext w:val="0"/>
              <w:keepLines w:val="0"/>
              <w:pageBreakBefore w:val="0"/>
              <w:kinsoku/>
              <w:wordWrap/>
              <w:overflowPunct/>
              <w:topLinePunct w:val="0"/>
              <w:bidi w:val="0"/>
              <w:spacing w:after="0" w:line="240" w:lineRule="auto"/>
              <w:ind w:left="0" w:leftChars="0"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2.合同解除后，发包人暂停对承包人的一切付款，查清各项付款和已扣款金额，包括承包人应支付的违约金。</w:t>
            </w:r>
          </w:p>
          <w:p>
            <w:pPr>
              <w:pStyle w:val="16"/>
              <w:keepNext w:val="0"/>
              <w:keepLines w:val="0"/>
              <w:pageBreakBefore w:val="0"/>
              <w:kinsoku/>
              <w:wordWrap/>
              <w:overflowPunct/>
              <w:topLinePunct w:val="0"/>
              <w:bidi w:val="0"/>
              <w:spacing w:after="0" w:line="240" w:lineRule="auto"/>
              <w:ind w:left="0" w:leftChars="0"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3.发包人依据第20款索赔、争端和仲裁的规定向承包人索赔由于解除合同给发包人造成的损失。</w:t>
            </w:r>
          </w:p>
          <w:p>
            <w:pPr>
              <w:pStyle w:val="16"/>
              <w:keepNext w:val="0"/>
              <w:keepLines w:val="0"/>
              <w:pageBreakBefore w:val="0"/>
              <w:kinsoku/>
              <w:wordWrap/>
              <w:overflowPunct/>
              <w:topLinePunct w:val="0"/>
              <w:bidi w:val="0"/>
              <w:spacing w:after="0" w:line="240" w:lineRule="auto"/>
              <w:ind w:left="0" w:leftChars="0"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4.合同双方确认上述往来款项后，出具最终结清付款证书，结清全部合同款项。</w:t>
            </w:r>
          </w:p>
        </w:tc>
        <w:tc>
          <w:tcPr>
            <w:tcW w:w="687" w:type="dxa"/>
            <w:noWrap w:val="0"/>
            <w:vAlign w:val="center"/>
          </w:tcPr>
          <w:p>
            <w:pPr>
              <w:keepNext w:val="0"/>
              <w:keepLines w:val="0"/>
              <w:pageBreakBefore w:val="0"/>
              <w:widowControl/>
              <w:kinsoku/>
              <w:wordWrap/>
              <w:overflowPunct/>
              <w:topLinePunct w:val="0"/>
              <w:bidi w:val="0"/>
              <w:spacing w:line="240" w:lineRule="auto"/>
              <w:ind w:firstLine="0" w:firstLineChars="0"/>
              <w:jc w:val="left"/>
              <w:textAlignment w:val="auto"/>
              <w:rPr>
                <w:rFonts w:hint="eastAsia" w:ascii="宋体" w:hAnsi="宋体" w:eastAsia="宋体" w:cs="宋体"/>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trPr>
        <w:tc>
          <w:tcPr>
            <w:tcW w:w="482" w:type="dxa"/>
            <w:noWrap w:val="0"/>
            <w:vAlign w:val="center"/>
          </w:tcPr>
          <w:p>
            <w:pPr>
              <w:pStyle w:val="15"/>
              <w:keepNext w:val="0"/>
              <w:keepLines w:val="0"/>
              <w:pageBreakBefore w:val="0"/>
              <w:widowControl w:val="0"/>
              <w:numPr>
                <w:ilvl w:val="0"/>
                <w:numId w:val="1"/>
              </w:numPr>
              <w:kinsoku/>
              <w:wordWrap/>
              <w:overflowPunct/>
              <w:topLinePunct w:val="0"/>
              <w:autoSpaceDE/>
              <w:autoSpaceDN/>
              <w:bidi w:val="0"/>
              <w:adjustRightInd w:val="0"/>
              <w:snapToGrid w:val="0"/>
              <w:spacing w:line="240" w:lineRule="auto"/>
              <w:ind w:left="0" w:firstLine="0" w:firstLineChars="0"/>
              <w:jc w:val="center"/>
              <w:textAlignment w:val="auto"/>
              <w:rPr>
                <w:rFonts w:hint="eastAsia" w:ascii="宋体" w:hAnsi="宋体" w:eastAsia="宋体" w:cs="宋体"/>
                <w:color w:val="auto"/>
                <w:kern w:val="0"/>
                <w:sz w:val="21"/>
                <w:szCs w:val="21"/>
                <w:highlight w:val="none"/>
              </w:rPr>
            </w:pPr>
          </w:p>
        </w:tc>
        <w:tc>
          <w:tcPr>
            <w:tcW w:w="1108" w:type="dxa"/>
            <w:noWrap w:val="0"/>
            <w:vAlign w:val="center"/>
          </w:tcPr>
          <w:p>
            <w:pPr>
              <w:pStyle w:val="15"/>
              <w:keepNext w:val="0"/>
              <w:keepLines w:val="0"/>
              <w:pageBreakBefore w:val="0"/>
              <w:widowControl w:val="0"/>
              <w:numPr>
                <w:ilvl w:val="0"/>
                <w:numId w:val="0"/>
              </w:numPr>
              <w:kinsoku/>
              <w:wordWrap/>
              <w:overflowPunct/>
              <w:topLinePunct w:val="0"/>
              <w:autoSpaceDE/>
              <w:autoSpaceDN/>
              <w:bidi w:val="0"/>
              <w:spacing w:line="240" w:lineRule="auto"/>
              <w:ind w:left="0" w:leftChars="0" w:firstLine="0" w:firstLineChars="0"/>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修改</w:t>
            </w:r>
          </w:p>
        </w:tc>
        <w:tc>
          <w:tcPr>
            <w:tcW w:w="1262" w:type="dxa"/>
            <w:noWrap w:val="0"/>
            <w:vAlign w:val="center"/>
          </w:tcPr>
          <w:p>
            <w:pPr>
              <w:keepNext w:val="0"/>
              <w:keepLines w:val="0"/>
              <w:pageBreakBefore w:val="0"/>
              <w:widowControl w:val="0"/>
              <w:numPr>
                <w:ilvl w:val="0"/>
                <w:numId w:val="0"/>
              </w:numPr>
              <w:kinsoku/>
              <w:wordWrap/>
              <w:overflowPunct/>
              <w:topLinePunct w:val="0"/>
              <w:autoSpaceDE/>
              <w:autoSpaceDN/>
              <w:bidi w:val="0"/>
              <w:spacing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专用合同条款</w:t>
            </w:r>
          </w:p>
          <w:p>
            <w:pPr>
              <w:keepNext w:val="0"/>
              <w:keepLines w:val="0"/>
              <w:pageBreakBefore w:val="0"/>
              <w:widowControl w:val="0"/>
              <w:numPr>
                <w:ilvl w:val="0"/>
                <w:numId w:val="0"/>
              </w:numPr>
              <w:kinsoku/>
              <w:wordWrap/>
              <w:overflowPunct/>
              <w:topLinePunct w:val="0"/>
              <w:autoSpaceDE/>
              <w:autoSpaceDN/>
              <w:bidi w:val="0"/>
              <w:spacing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20.索赔、争端和仲裁</w:t>
            </w:r>
          </w:p>
          <w:p>
            <w:pPr>
              <w:keepNext w:val="0"/>
              <w:keepLines w:val="0"/>
              <w:pageBreakBefore w:val="0"/>
              <w:widowControl w:val="0"/>
              <w:numPr>
                <w:ilvl w:val="0"/>
                <w:numId w:val="0"/>
              </w:numPr>
              <w:kinsoku/>
              <w:wordWrap/>
              <w:overflowPunct/>
              <w:topLinePunct w:val="0"/>
              <w:autoSpaceDE/>
              <w:autoSpaceDN/>
              <w:bidi w:val="0"/>
              <w:spacing w:line="240" w:lineRule="auto"/>
              <w:ind w:left="0" w:leftChars="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w:t>
            </w:r>
            <w:r>
              <w:rPr>
                <w:rFonts w:hint="eastAsia" w:ascii="宋体" w:hAnsi="宋体" w:eastAsia="宋体" w:cs="宋体"/>
                <w:color w:val="auto"/>
                <w:sz w:val="21"/>
                <w:szCs w:val="21"/>
                <w:highlight w:val="none"/>
                <w:lang w:val="en-US" w:eastAsia="zh-CN"/>
              </w:rPr>
              <w:t>5款</w:t>
            </w:r>
          </w:p>
        </w:tc>
        <w:tc>
          <w:tcPr>
            <w:tcW w:w="5760" w:type="dxa"/>
            <w:noWrap w:val="0"/>
            <w:vAlign w:val="center"/>
          </w:tcPr>
          <w:p>
            <w:pPr>
              <w:pStyle w:val="6"/>
              <w:keepNext w:val="0"/>
              <w:keepLines w:val="0"/>
              <w:pageBreakBefore w:val="0"/>
              <w:widowControl w:val="0"/>
              <w:kinsoku/>
              <w:wordWrap/>
              <w:overflowPunct/>
              <w:topLinePunct w:val="0"/>
              <w:autoSpaceDE/>
              <w:autoSpaceDN/>
              <w:bidi w:val="0"/>
              <w:spacing w:after="0" w:line="240" w:lineRule="auto"/>
              <w:ind w:left="0" w:leftChars="0" w:firstLine="420" w:firstLineChars="200"/>
              <w:outlineLvl w:val="3"/>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20.5  友好解决</w:t>
            </w:r>
          </w:p>
          <w:p>
            <w:pPr>
              <w:pStyle w:val="6"/>
              <w:keepNext w:val="0"/>
              <w:keepLines w:val="0"/>
              <w:pageBreakBefore w:val="0"/>
              <w:widowControl w:val="0"/>
              <w:kinsoku/>
              <w:wordWrap/>
              <w:overflowPunct/>
              <w:topLinePunct w:val="0"/>
              <w:autoSpaceDE/>
              <w:autoSpaceDN/>
              <w:bidi w:val="0"/>
              <w:spacing w:after="0" w:line="240" w:lineRule="auto"/>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增加以下内容到第20.5款：</w:t>
            </w:r>
          </w:p>
          <w:p>
            <w:pPr>
              <w:pStyle w:val="6"/>
              <w:keepNext w:val="0"/>
              <w:keepLines w:val="0"/>
              <w:pageBreakBefore w:val="0"/>
              <w:widowControl w:val="0"/>
              <w:kinsoku/>
              <w:wordWrap/>
              <w:overflowPunct/>
              <w:topLinePunct w:val="0"/>
              <w:autoSpaceDE/>
              <w:autoSpaceDN/>
              <w:bidi w:val="0"/>
              <w:spacing w:after="0" w:line="240" w:lineRule="auto"/>
              <w:ind w:left="0" w:leftChars="0" w:firstLine="420" w:firstLineChars="200"/>
              <w:rPr>
                <w:rFonts w:hint="eastAsia" w:ascii="宋体" w:hAnsi="宋体" w:eastAsia="宋体" w:cs="宋体"/>
                <w:b w:val="0"/>
                <w:bCs/>
                <w:color w:val="auto"/>
                <w:sz w:val="21"/>
                <w:szCs w:val="21"/>
                <w:highlight w:val="none"/>
                <w:lang w:val="en-US" w:eastAsia="zh-CN"/>
              </w:rPr>
            </w:pPr>
            <w:r>
              <w:rPr>
                <w:rFonts w:hint="eastAsia" w:ascii="宋体" w:hAnsi="宋体" w:eastAsia="宋体" w:cs="宋体"/>
                <w:color w:val="auto"/>
                <w:sz w:val="21"/>
                <w:szCs w:val="21"/>
                <w:highlight w:val="none"/>
              </w:rPr>
              <w:t>对于任何承包商根据合同书面表达的不满以及合同履行过程中出现的任何争议，双方均应以友好协商的方式来努力解决。如承包人表达不满的通知发出后的56天内，发包人未曾做过友好解决的努力；或双方已无法友好解决争议事件，则应按第20.6条[仲裁]执行。</w:t>
            </w:r>
          </w:p>
        </w:tc>
        <w:tc>
          <w:tcPr>
            <w:tcW w:w="5800" w:type="dxa"/>
            <w:noWrap w:val="0"/>
            <w:vAlign w:val="center"/>
          </w:tcPr>
          <w:p>
            <w:pPr>
              <w:pStyle w:val="6"/>
              <w:keepNext w:val="0"/>
              <w:keepLines w:val="0"/>
              <w:pageBreakBefore w:val="0"/>
              <w:widowControl w:val="0"/>
              <w:kinsoku/>
              <w:wordWrap/>
              <w:overflowPunct/>
              <w:topLinePunct w:val="0"/>
              <w:autoSpaceDE/>
              <w:autoSpaceDN/>
              <w:bidi w:val="0"/>
              <w:spacing w:after="0" w:line="240" w:lineRule="auto"/>
              <w:ind w:left="0" w:leftChars="0" w:firstLine="420" w:firstLineChars="200"/>
              <w:outlineLvl w:val="3"/>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20.5  友好解决</w:t>
            </w:r>
          </w:p>
          <w:p>
            <w:pPr>
              <w:pStyle w:val="6"/>
              <w:keepNext w:val="0"/>
              <w:keepLines w:val="0"/>
              <w:pageBreakBefore w:val="0"/>
              <w:widowControl w:val="0"/>
              <w:kinsoku/>
              <w:wordWrap/>
              <w:overflowPunct/>
              <w:topLinePunct w:val="0"/>
              <w:autoSpaceDE/>
              <w:autoSpaceDN/>
              <w:bidi w:val="0"/>
              <w:spacing w:after="0" w:line="240" w:lineRule="auto"/>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增加以下内容到第20.5款：</w:t>
            </w:r>
          </w:p>
          <w:p>
            <w:pPr>
              <w:pStyle w:val="6"/>
              <w:keepNext w:val="0"/>
              <w:keepLines w:val="0"/>
              <w:pageBreakBefore w:val="0"/>
              <w:widowControl w:val="0"/>
              <w:kinsoku/>
              <w:wordWrap/>
              <w:overflowPunct/>
              <w:topLinePunct w:val="0"/>
              <w:autoSpaceDE/>
              <w:autoSpaceDN/>
              <w:bidi w:val="0"/>
              <w:spacing w:after="0" w:line="240" w:lineRule="auto"/>
              <w:ind w:left="0" w:leftChars="0"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color w:val="auto"/>
                <w:sz w:val="21"/>
                <w:szCs w:val="21"/>
                <w:highlight w:val="none"/>
              </w:rPr>
              <w:t>对于任何</w:t>
            </w:r>
            <w:bookmarkStart w:id="0" w:name="_GoBack"/>
            <w:bookmarkEnd w:id="0"/>
            <w:r>
              <w:rPr>
                <w:rFonts w:hint="eastAsia" w:ascii="宋体" w:hAnsi="宋体" w:eastAsia="宋体" w:cs="宋体"/>
                <w:color w:val="auto"/>
                <w:sz w:val="21"/>
                <w:szCs w:val="21"/>
                <w:highlight w:val="none"/>
              </w:rPr>
              <w:t>承包商根据合同书面表达的不满以及合同履行过程中出现的任何争议，双方均应以友好协商的方式来努力解决。如承包人表达不满的通知发出后的56天内，发包人未曾做过友好解决的努力；或双方已无法友好解决争议事件，则应按第20.6条[</w:t>
            </w:r>
            <w:r>
              <w:rPr>
                <w:rFonts w:hint="eastAsia" w:ascii="宋体" w:hAnsi="宋体" w:eastAsia="宋体" w:cs="宋体"/>
                <w:color w:val="auto"/>
                <w:sz w:val="21"/>
                <w:szCs w:val="21"/>
                <w:highlight w:val="none"/>
                <w:lang w:val="en-US" w:eastAsia="zh-CN"/>
              </w:rPr>
              <w:t>争议解决</w:t>
            </w:r>
            <w:r>
              <w:rPr>
                <w:rFonts w:hint="eastAsia" w:ascii="宋体" w:hAnsi="宋体" w:eastAsia="宋体" w:cs="宋体"/>
                <w:color w:val="auto"/>
                <w:sz w:val="21"/>
                <w:szCs w:val="21"/>
                <w:highlight w:val="none"/>
              </w:rPr>
              <w:t>]执行。</w:t>
            </w:r>
          </w:p>
        </w:tc>
        <w:tc>
          <w:tcPr>
            <w:tcW w:w="687" w:type="dxa"/>
            <w:noWrap w:val="0"/>
            <w:vAlign w:val="center"/>
          </w:tcPr>
          <w:p>
            <w:pPr>
              <w:keepNext w:val="0"/>
              <w:keepLines w:val="0"/>
              <w:pageBreakBefore w:val="0"/>
              <w:widowControl/>
              <w:kinsoku/>
              <w:wordWrap/>
              <w:overflowPunct/>
              <w:topLinePunct w:val="0"/>
              <w:bidi w:val="0"/>
              <w:spacing w:line="240" w:lineRule="auto"/>
              <w:ind w:firstLine="0" w:firstLineChars="0"/>
              <w:jc w:val="left"/>
              <w:textAlignment w:val="auto"/>
              <w:rPr>
                <w:rFonts w:hint="eastAsia" w:ascii="宋体" w:hAnsi="宋体" w:eastAsia="宋体" w:cs="宋体"/>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82" w:type="dxa"/>
            <w:noWrap w:val="0"/>
            <w:vAlign w:val="center"/>
          </w:tcPr>
          <w:p>
            <w:pPr>
              <w:pStyle w:val="15"/>
              <w:keepNext w:val="0"/>
              <w:keepLines w:val="0"/>
              <w:pageBreakBefore w:val="0"/>
              <w:widowControl w:val="0"/>
              <w:numPr>
                <w:ilvl w:val="0"/>
                <w:numId w:val="1"/>
              </w:numPr>
              <w:kinsoku/>
              <w:wordWrap/>
              <w:overflowPunct/>
              <w:topLinePunct w:val="0"/>
              <w:autoSpaceDE/>
              <w:autoSpaceDN/>
              <w:bidi w:val="0"/>
              <w:adjustRightInd w:val="0"/>
              <w:snapToGrid w:val="0"/>
              <w:spacing w:line="240" w:lineRule="auto"/>
              <w:ind w:left="0" w:firstLine="0" w:firstLineChars="0"/>
              <w:jc w:val="center"/>
              <w:textAlignment w:val="auto"/>
              <w:rPr>
                <w:rFonts w:hint="eastAsia" w:ascii="宋体" w:hAnsi="宋体" w:eastAsia="宋体" w:cs="宋体"/>
                <w:color w:val="auto"/>
                <w:kern w:val="0"/>
                <w:sz w:val="21"/>
                <w:szCs w:val="21"/>
                <w:highlight w:val="none"/>
              </w:rPr>
            </w:pPr>
          </w:p>
        </w:tc>
        <w:tc>
          <w:tcPr>
            <w:tcW w:w="1108" w:type="dxa"/>
            <w:noWrap w:val="0"/>
            <w:vAlign w:val="center"/>
          </w:tcPr>
          <w:p>
            <w:pPr>
              <w:pStyle w:val="15"/>
              <w:keepNext w:val="0"/>
              <w:keepLines w:val="0"/>
              <w:pageBreakBefore w:val="0"/>
              <w:numPr>
                <w:ilvl w:val="0"/>
                <w:numId w:val="0"/>
              </w:numPr>
              <w:kinsoku/>
              <w:wordWrap/>
              <w:overflowPunct/>
              <w:topLinePunct w:val="0"/>
              <w:bidi w:val="0"/>
              <w:spacing w:line="240" w:lineRule="auto"/>
              <w:ind w:left="0" w:leftChars="0" w:firstLine="0" w:firstLineChars="0"/>
              <w:textAlignment w:val="auto"/>
              <w:rPr>
                <w:rFonts w:hint="eastAsia" w:ascii="宋体" w:hAnsi="宋体" w:eastAsia="宋体" w:cs="宋体"/>
                <w:color w:val="auto"/>
                <w:kern w:val="0"/>
                <w:sz w:val="21"/>
                <w:szCs w:val="21"/>
                <w:highlight w:val="none"/>
                <w:lang w:val="en-US" w:eastAsia="zh-CN"/>
              </w:rPr>
            </w:pPr>
            <w:r>
              <w:rPr>
                <w:rFonts w:hint="eastAsia" w:ascii="宋体" w:hAnsi="宋体" w:cs="宋体"/>
                <w:color w:val="auto"/>
                <w:kern w:val="0"/>
                <w:sz w:val="21"/>
                <w:szCs w:val="21"/>
                <w:highlight w:val="none"/>
                <w:lang w:val="en-US" w:eastAsia="zh-CN"/>
              </w:rPr>
              <w:t>新增</w:t>
            </w:r>
          </w:p>
        </w:tc>
        <w:tc>
          <w:tcPr>
            <w:tcW w:w="1262" w:type="dxa"/>
            <w:noWrap w:val="0"/>
            <w:vAlign w:val="center"/>
          </w:tcPr>
          <w:p>
            <w:pPr>
              <w:keepNext w:val="0"/>
              <w:keepLines w:val="0"/>
              <w:pageBreakBefore w:val="0"/>
              <w:kinsoku/>
              <w:wordWrap/>
              <w:overflowPunct/>
              <w:topLinePunct w:val="0"/>
              <w:bidi w:val="0"/>
              <w:spacing w:line="240" w:lineRule="auto"/>
              <w:ind w:firstLine="0" w:firstLine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专用合同条款</w:t>
            </w:r>
          </w:p>
          <w:p>
            <w:pPr>
              <w:keepNext w:val="0"/>
              <w:keepLines w:val="0"/>
              <w:pageBreakBefore w:val="0"/>
              <w:kinsoku/>
              <w:wordWrap/>
              <w:overflowPunct/>
              <w:topLinePunct w:val="0"/>
              <w:bidi w:val="0"/>
              <w:spacing w:line="240" w:lineRule="auto"/>
              <w:ind w:firstLine="0" w:firstLine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21.其他</w:t>
            </w:r>
          </w:p>
        </w:tc>
        <w:tc>
          <w:tcPr>
            <w:tcW w:w="5760" w:type="dxa"/>
            <w:noWrap w:val="0"/>
            <w:vAlign w:val="center"/>
          </w:tcPr>
          <w:p>
            <w:pPr>
              <w:pStyle w:val="16"/>
              <w:keepNext w:val="0"/>
              <w:keepLines w:val="0"/>
              <w:pageBreakBefore w:val="0"/>
              <w:widowControl w:val="0"/>
              <w:kinsoku/>
              <w:wordWrap/>
              <w:overflowPunct/>
              <w:topLinePunct w:val="0"/>
              <w:autoSpaceDE/>
              <w:autoSpaceDN/>
              <w:bidi w:val="0"/>
              <w:adjustRightInd/>
              <w:snapToGrid/>
              <w:spacing w:after="0" w:line="240" w:lineRule="auto"/>
              <w:ind w:left="0" w:leftChars="0"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无</w:t>
            </w:r>
          </w:p>
        </w:tc>
        <w:tc>
          <w:tcPr>
            <w:tcW w:w="5800" w:type="dxa"/>
            <w:noWrap w:val="0"/>
            <w:vAlign w:val="center"/>
          </w:tcPr>
          <w:p>
            <w:pPr>
              <w:pStyle w:val="6"/>
              <w:keepNext w:val="0"/>
              <w:keepLines w:val="0"/>
              <w:pageBreakBefore w:val="0"/>
              <w:widowControl w:val="0"/>
              <w:numPr>
                <w:numId w:val="0"/>
              </w:numPr>
              <w:kinsoku/>
              <w:wordWrap/>
              <w:overflowPunct/>
              <w:topLinePunct w:val="0"/>
              <w:autoSpaceDE/>
              <w:autoSpaceDN/>
              <w:bidi w:val="0"/>
              <w:adjustRightInd w:val="0"/>
              <w:snapToGrid w:val="0"/>
              <w:spacing w:after="0" w:line="240" w:lineRule="auto"/>
              <w:ind w:firstLine="420" w:firstLineChars="200"/>
              <w:textAlignment w:val="auto"/>
              <w:rPr>
                <w:rFonts w:hint="eastAsia" w:ascii="宋体" w:hAnsi="宋体" w:cs="宋体"/>
                <w:bCs/>
                <w:color w:val="auto"/>
                <w:sz w:val="21"/>
                <w:szCs w:val="21"/>
                <w:highlight w:val="none"/>
                <w:u w:val="single"/>
                <w:lang w:val="en-US" w:eastAsia="zh-CN"/>
              </w:rPr>
            </w:pPr>
            <w:r>
              <w:rPr>
                <w:rFonts w:hint="eastAsia" w:ascii="宋体" w:hAnsi="宋体" w:cs="宋体"/>
                <w:color w:val="auto"/>
                <w:sz w:val="21"/>
                <w:szCs w:val="21"/>
                <w:highlight w:val="none"/>
                <w:lang w:val="en-US" w:eastAsia="zh-CN"/>
              </w:rPr>
              <w:t>21.</w:t>
            </w:r>
            <w:r>
              <w:rPr>
                <w:rFonts w:hint="eastAsia" w:ascii="宋体" w:hAnsi="宋体" w:eastAsia="宋体" w:cs="宋体"/>
                <w:color w:val="auto"/>
                <w:sz w:val="21"/>
                <w:szCs w:val="21"/>
                <w:highlight w:val="none"/>
                <w:lang w:val="en-US" w:eastAsia="zh-CN"/>
              </w:rPr>
              <w:t>其他</w:t>
            </w:r>
            <w:permStart w:id="62" w:edGrp="everyone"/>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lang w:val="en-US" w:eastAsia="zh-CN"/>
              </w:rPr>
              <w:t xml:space="preserve">21.1 </w:t>
            </w:r>
            <w:r>
              <w:rPr>
                <w:rFonts w:hint="eastAsia" w:ascii="宋体" w:hAnsi="宋体" w:eastAsia="宋体" w:cs="宋体"/>
                <w:bCs/>
                <w:color w:val="auto"/>
                <w:sz w:val="21"/>
                <w:szCs w:val="21"/>
                <w:highlight w:val="none"/>
                <w:u w:val="single"/>
              </w:rPr>
              <w:t>由于承包人及承包人雇佣的劳务人员</w:t>
            </w:r>
            <w:r>
              <w:rPr>
                <w:rFonts w:hint="eastAsia" w:ascii="宋体" w:hAnsi="宋体" w:eastAsia="宋体" w:cs="宋体"/>
                <w:bCs/>
                <w:color w:val="auto"/>
                <w:sz w:val="21"/>
                <w:szCs w:val="21"/>
                <w:highlight w:val="none"/>
                <w:u w:val="single"/>
                <w:lang w:eastAsia="zh-CN"/>
              </w:rPr>
              <w:t>（包括分包人相关人员）</w:t>
            </w:r>
            <w:r>
              <w:rPr>
                <w:rFonts w:hint="eastAsia" w:ascii="宋体" w:hAnsi="宋体" w:eastAsia="宋体" w:cs="宋体"/>
                <w:bCs/>
                <w:color w:val="auto"/>
                <w:sz w:val="21"/>
                <w:szCs w:val="21"/>
                <w:highlight w:val="none"/>
                <w:u w:val="single"/>
              </w:rPr>
              <w:t>的行为导致发包人</w:t>
            </w:r>
            <w:r>
              <w:rPr>
                <w:rFonts w:hint="eastAsia" w:ascii="宋体" w:hAnsi="宋体" w:eastAsia="宋体" w:cs="宋体"/>
                <w:bCs/>
                <w:color w:val="auto"/>
                <w:sz w:val="21"/>
                <w:szCs w:val="21"/>
                <w:highlight w:val="none"/>
                <w:u w:val="single"/>
                <w:lang w:eastAsia="zh-CN"/>
              </w:rPr>
              <w:t>被</w:t>
            </w:r>
            <w:r>
              <w:rPr>
                <w:rFonts w:hint="eastAsia" w:ascii="宋体" w:hAnsi="宋体" w:eastAsia="宋体" w:cs="宋体"/>
                <w:bCs/>
                <w:color w:val="auto"/>
                <w:sz w:val="21"/>
                <w:szCs w:val="21"/>
                <w:highlight w:val="none"/>
                <w:u w:val="single"/>
              </w:rPr>
              <w:t>诉讼或仲裁的，发包人因此发生的一切费用（包括但不限于律师代理费、案件受理费及判决或裁决由甲方承担的其他费用）由承包人承担。</w:t>
            </w:r>
            <w:r>
              <w:rPr>
                <w:rFonts w:hint="eastAsia" w:ascii="宋体" w:hAnsi="宋体" w:cs="宋体"/>
                <w:bCs/>
                <w:color w:val="auto"/>
                <w:sz w:val="21"/>
                <w:szCs w:val="21"/>
                <w:highlight w:val="none"/>
                <w:u w:val="single"/>
                <w:lang w:val="en-US" w:eastAsia="zh-CN"/>
              </w:rPr>
              <w:t xml:space="preserve">  </w:t>
            </w:r>
          </w:p>
          <w:p>
            <w:pPr>
              <w:pStyle w:val="6"/>
              <w:keepNext w:val="0"/>
              <w:keepLines w:val="0"/>
              <w:pageBreakBefore w:val="0"/>
              <w:widowControl w:val="0"/>
              <w:numPr>
                <w:numId w:val="0"/>
              </w:numPr>
              <w:kinsoku/>
              <w:wordWrap/>
              <w:overflowPunct/>
              <w:topLinePunct w:val="0"/>
              <w:autoSpaceDE/>
              <w:autoSpaceDN/>
              <w:bidi w:val="0"/>
              <w:adjustRightInd w:val="0"/>
              <w:snapToGrid w:val="0"/>
              <w:spacing w:after="0" w:line="240" w:lineRule="auto"/>
              <w:ind w:firstLine="420" w:firstLineChars="200"/>
              <w:textAlignment w:val="auto"/>
              <w:rPr>
                <w:rFonts w:hint="eastAsia" w:ascii="宋体" w:hAnsi="宋体" w:eastAsia="宋体" w:cs="宋体"/>
                <w:color w:val="0000FF"/>
                <w:sz w:val="21"/>
                <w:szCs w:val="21"/>
                <w:highlight w:val="none"/>
                <w:u w:val="single"/>
                <w:lang w:val="en-US" w:eastAsia="zh-CN"/>
              </w:rPr>
            </w:pPr>
            <w:r>
              <w:rPr>
                <w:rFonts w:hint="eastAsia" w:ascii="宋体" w:hAnsi="宋体" w:eastAsia="宋体" w:cs="宋体"/>
                <w:color w:val="0000FF"/>
                <w:sz w:val="21"/>
                <w:szCs w:val="21"/>
                <w:highlight w:val="none"/>
                <w:u w:val="single"/>
                <w:lang w:val="en-US" w:eastAsia="zh-CN"/>
              </w:rPr>
              <w:t xml:space="preserve">22.2发包人按照以下条款，对承包商进行管理，对于未能达到相关要求的，将严格按照《中国南方电网有限责任公司承包商管理业务指导书》中条款进行处罚。 </w:t>
            </w:r>
          </w:p>
          <w:p>
            <w:pPr>
              <w:pStyle w:val="6"/>
              <w:keepNext w:val="0"/>
              <w:keepLines w:val="0"/>
              <w:pageBreakBefore w:val="0"/>
              <w:widowControl w:val="0"/>
              <w:numPr>
                <w:ilvl w:val="0"/>
                <w:numId w:val="0"/>
              </w:numPr>
              <w:kinsoku/>
              <w:wordWrap/>
              <w:overflowPunct/>
              <w:topLinePunct w:val="0"/>
              <w:autoSpaceDE/>
              <w:autoSpaceDN/>
              <w:bidi w:val="0"/>
              <w:adjustRightInd w:val="0"/>
              <w:snapToGrid w:val="0"/>
              <w:spacing w:after="0" w:line="240" w:lineRule="auto"/>
              <w:ind w:leftChars="0" w:firstLine="420" w:firstLineChars="200"/>
              <w:textAlignment w:val="auto"/>
              <w:rPr>
                <w:rFonts w:hint="eastAsia" w:ascii="宋体" w:hAnsi="宋体" w:eastAsia="宋体" w:cs="宋体"/>
                <w:color w:val="0000FF"/>
                <w:sz w:val="21"/>
                <w:szCs w:val="21"/>
                <w:highlight w:val="none"/>
                <w:u w:val="single"/>
                <w:lang w:val="en-US" w:eastAsia="zh-CN"/>
              </w:rPr>
            </w:pPr>
            <w:r>
              <w:rPr>
                <w:rFonts w:hint="eastAsia" w:ascii="宋体" w:hAnsi="宋体" w:eastAsia="宋体" w:cs="宋体"/>
                <w:color w:val="0000FF"/>
                <w:sz w:val="21"/>
                <w:szCs w:val="21"/>
                <w:highlight w:val="none"/>
                <w:u w:val="single"/>
                <w:lang w:val="en-US" w:eastAsia="zh-CN"/>
              </w:rPr>
              <w:t>2</w:t>
            </w:r>
            <w:r>
              <w:rPr>
                <w:rFonts w:hint="eastAsia" w:ascii="宋体" w:hAnsi="宋体" w:cs="宋体"/>
                <w:color w:val="0000FF"/>
                <w:sz w:val="21"/>
                <w:szCs w:val="21"/>
                <w:highlight w:val="none"/>
                <w:u w:val="single"/>
                <w:lang w:val="en-US" w:eastAsia="zh-CN"/>
              </w:rPr>
              <w:t>1</w:t>
            </w:r>
            <w:r>
              <w:rPr>
                <w:rFonts w:hint="eastAsia" w:ascii="宋体" w:hAnsi="宋体" w:eastAsia="宋体" w:cs="宋体"/>
                <w:color w:val="0000FF"/>
                <w:sz w:val="21"/>
                <w:szCs w:val="21"/>
                <w:highlight w:val="none"/>
                <w:u w:val="single"/>
                <w:lang w:val="en-US" w:eastAsia="zh-CN"/>
              </w:rPr>
              <w:t xml:space="preserve">.2.1落实危大工程专项施工方案编制前现场勘察工作要求，充分辨识作业风险，尤其是邻近交通干道、运行线路和人口密集等敏感域区域场景作业风险，制定相应的应急救援预案、现场处置方案，规范危大工程专项施工方案编制、审核、批准和报审批手续。 </w:t>
            </w:r>
          </w:p>
          <w:p>
            <w:pPr>
              <w:pStyle w:val="6"/>
              <w:keepNext w:val="0"/>
              <w:keepLines w:val="0"/>
              <w:pageBreakBefore w:val="0"/>
              <w:widowControl w:val="0"/>
              <w:numPr>
                <w:ilvl w:val="0"/>
                <w:numId w:val="0"/>
              </w:numPr>
              <w:kinsoku/>
              <w:wordWrap/>
              <w:overflowPunct/>
              <w:topLinePunct w:val="0"/>
              <w:autoSpaceDE/>
              <w:autoSpaceDN/>
              <w:bidi w:val="0"/>
              <w:adjustRightInd w:val="0"/>
              <w:snapToGrid w:val="0"/>
              <w:spacing w:after="0" w:line="240" w:lineRule="auto"/>
              <w:ind w:leftChars="0" w:firstLine="420" w:firstLineChars="200"/>
              <w:textAlignment w:val="auto"/>
              <w:rPr>
                <w:rFonts w:hint="eastAsia" w:ascii="宋体" w:hAnsi="宋体" w:eastAsia="宋体" w:cs="宋体"/>
                <w:color w:val="0000FF"/>
                <w:sz w:val="21"/>
                <w:szCs w:val="21"/>
                <w:highlight w:val="none"/>
                <w:u w:val="single"/>
                <w:lang w:val="en-US" w:eastAsia="zh-CN"/>
              </w:rPr>
            </w:pPr>
            <w:r>
              <w:rPr>
                <w:rFonts w:hint="eastAsia" w:ascii="宋体" w:hAnsi="宋体" w:eastAsia="宋体" w:cs="宋体"/>
                <w:color w:val="0000FF"/>
                <w:sz w:val="21"/>
                <w:szCs w:val="21"/>
                <w:highlight w:val="none"/>
                <w:u w:val="single"/>
                <w:lang w:val="en-US" w:eastAsia="zh-CN"/>
              </w:rPr>
              <w:t>2</w:t>
            </w:r>
            <w:r>
              <w:rPr>
                <w:rFonts w:hint="eastAsia" w:ascii="宋体" w:hAnsi="宋体" w:cs="宋体"/>
                <w:color w:val="0000FF"/>
                <w:sz w:val="21"/>
                <w:szCs w:val="21"/>
                <w:highlight w:val="none"/>
                <w:u w:val="single"/>
                <w:lang w:val="en-US" w:eastAsia="zh-CN"/>
              </w:rPr>
              <w:t>1</w:t>
            </w:r>
            <w:r>
              <w:rPr>
                <w:rFonts w:hint="eastAsia" w:ascii="宋体" w:hAnsi="宋体" w:eastAsia="宋体" w:cs="宋体"/>
                <w:color w:val="0000FF"/>
                <w:sz w:val="21"/>
                <w:szCs w:val="21"/>
                <w:highlight w:val="none"/>
                <w:u w:val="single"/>
                <w:lang w:val="en-US" w:eastAsia="zh-CN"/>
              </w:rPr>
              <w:t>.2.2杜绝“无计划作业”，将全部施工任务按照网省公司要求录入信息系统进行全过程管控，所有作业计划必须经发包人审批同意后方可执行，严禁承包商、分包商自主安排作业。</w:t>
            </w:r>
          </w:p>
          <w:p>
            <w:pPr>
              <w:pStyle w:val="6"/>
              <w:keepNext w:val="0"/>
              <w:keepLines w:val="0"/>
              <w:pageBreakBefore w:val="0"/>
              <w:widowControl w:val="0"/>
              <w:numPr>
                <w:ilvl w:val="0"/>
                <w:numId w:val="0"/>
              </w:numPr>
              <w:kinsoku/>
              <w:wordWrap/>
              <w:overflowPunct/>
              <w:topLinePunct w:val="0"/>
              <w:autoSpaceDE/>
              <w:autoSpaceDN/>
              <w:bidi w:val="0"/>
              <w:adjustRightInd w:val="0"/>
              <w:snapToGrid w:val="0"/>
              <w:spacing w:after="0" w:line="240" w:lineRule="auto"/>
              <w:ind w:leftChars="0" w:firstLine="420" w:firstLineChars="200"/>
              <w:textAlignment w:val="auto"/>
              <w:rPr>
                <w:rFonts w:hint="eastAsia" w:ascii="宋体" w:hAnsi="宋体" w:eastAsia="宋体" w:cs="宋体"/>
                <w:b w:val="0"/>
                <w:bCs/>
                <w:color w:val="auto"/>
                <w:sz w:val="21"/>
                <w:szCs w:val="21"/>
                <w:highlight w:val="none"/>
              </w:rPr>
            </w:pPr>
            <w:r>
              <w:rPr>
                <w:rFonts w:hint="eastAsia" w:ascii="宋体" w:hAnsi="宋体" w:eastAsia="宋体" w:cs="宋体"/>
                <w:color w:val="0000FF"/>
                <w:sz w:val="21"/>
                <w:szCs w:val="21"/>
                <w:highlight w:val="none"/>
                <w:u w:val="single"/>
                <w:lang w:val="en-US" w:eastAsia="zh-CN"/>
              </w:rPr>
              <w:t>2</w:t>
            </w:r>
            <w:r>
              <w:rPr>
                <w:rFonts w:hint="eastAsia" w:ascii="宋体" w:hAnsi="宋体" w:cs="宋体"/>
                <w:color w:val="0000FF"/>
                <w:sz w:val="21"/>
                <w:szCs w:val="21"/>
                <w:highlight w:val="none"/>
                <w:u w:val="single"/>
                <w:lang w:val="en-US" w:eastAsia="zh-CN"/>
              </w:rPr>
              <w:t>1</w:t>
            </w:r>
            <w:r>
              <w:rPr>
                <w:rFonts w:hint="eastAsia" w:ascii="宋体" w:hAnsi="宋体" w:eastAsia="宋体" w:cs="宋体"/>
                <w:color w:val="0000FF"/>
                <w:sz w:val="21"/>
                <w:szCs w:val="21"/>
                <w:highlight w:val="none"/>
                <w:u w:val="single"/>
                <w:lang w:val="en-US" w:eastAsia="zh-CN"/>
              </w:rPr>
              <w:t>.2.3及时将网省公司关于安全管理的相关要求传达至施工项目部及现场作业人员，严格落实施工现场安全措施，包括但不限于订阅关注项目所在地区的水文、气象、地震等环境灾害预警信息，规范开展现场作业，杜绝“三违”（违章指挥、违章作业和违反劳动纪律）行为。</w:t>
            </w:r>
            <w:r>
              <w:rPr>
                <w:rFonts w:hint="eastAsia" w:ascii="宋体" w:hAnsi="宋体" w:eastAsia="宋体" w:cs="宋体"/>
                <w:color w:val="auto"/>
                <w:sz w:val="21"/>
                <w:szCs w:val="21"/>
                <w:highlight w:val="none"/>
                <w:u w:val="single"/>
                <w:lang w:val="en-US" w:eastAsia="zh-CN"/>
              </w:rPr>
              <w:t xml:space="preserve"> </w:t>
            </w:r>
            <w:permEnd w:id="62"/>
          </w:p>
        </w:tc>
        <w:tc>
          <w:tcPr>
            <w:tcW w:w="687" w:type="dxa"/>
            <w:noWrap w:val="0"/>
            <w:vAlign w:val="center"/>
          </w:tcPr>
          <w:p>
            <w:pPr>
              <w:keepNext w:val="0"/>
              <w:keepLines w:val="0"/>
              <w:pageBreakBefore w:val="0"/>
              <w:widowControl/>
              <w:kinsoku/>
              <w:wordWrap/>
              <w:overflowPunct/>
              <w:topLinePunct w:val="0"/>
              <w:bidi w:val="0"/>
              <w:spacing w:line="240" w:lineRule="auto"/>
              <w:ind w:firstLine="0" w:firstLineChars="0"/>
              <w:jc w:val="left"/>
              <w:textAlignment w:val="auto"/>
              <w:rPr>
                <w:rFonts w:hint="eastAsia" w:ascii="宋体" w:hAnsi="宋体" w:eastAsia="宋体" w:cs="宋体"/>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82" w:type="dxa"/>
            <w:noWrap w:val="0"/>
            <w:vAlign w:val="center"/>
          </w:tcPr>
          <w:p>
            <w:pPr>
              <w:pStyle w:val="15"/>
              <w:keepNext w:val="0"/>
              <w:keepLines w:val="0"/>
              <w:pageBreakBefore w:val="0"/>
              <w:widowControl w:val="0"/>
              <w:numPr>
                <w:ilvl w:val="0"/>
                <w:numId w:val="1"/>
              </w:numPr>
              <w:kinsoku/>
              <w:wordWrap/>
              <w:overflowPunct/>
              <w:topLinePunct w:val="0"/>
              <w:autoSpaceDE/>
              <w:autoSpaceDN/>
              <w:bidi w:val="0"/>
              <w:adjustRightInd w:val="0"/>
              <w:snapToGrid w:val="0"/>
              <w:spacing w:line="240" w:lineRule="auto"/>
              <w:ind w:left="0" w:firstLine="0" w:firstLineChars="0"/>
              <w:jc w:val="center"/>
              <w:textAlignment w:val="auto"/>
              <w:rPr>
                <w:rFonts w:hint="eastAsia" w:ascii="宋体" w:hAnsi="宋体" w:eastAsia="宋体" w:cs="宋体"/>
                <w:color w:val="auto"/>
                <w:kern w:val="0"/>
                <w:sz w:val="21"/>
                <w:szCs w:val="21"/>
                <w:highlight w:val="none"/>
              </w:rPr>
            </w:pPr>
          </w:p>
        </w:tc>
        <w:tc>
          <w:tcPr>
            <w:tcW w:w="1108" w:type="dxa"/>
            <w:noWrap w:val="0"/>
            <w:vAlign w:val="center"/>
          </w:tcPr>
          <w:p>
            <w:pPr>
              <w:pStyle w:val="15"/>
              <w:keepNext w:val="0"/>
              <w:keepLines w:val="0"/>
              <w:pageBreakBefore w:val="0"/>
              <w:numPr>
                <w:ilvl w:val="0"/>
                <w:numId w:val="0"/>
              </w:numPr>
              <w:kinsoku/>
              <w:wordWrap/>
              <w:overflowPunct/>
              <w:topLinePunct w:val="0"/>
              <w:bidi w:val="0"/>
              <w:spacing w:line="240" w:lineRule="auto"/>
              <w:ind w:left="0" w:leftChars="0" w:firstLine="0" w:firstLineChars="0"/>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修改</w:t>
            </w:r>
          </w:p>
        </w:tc>
        <w:tc>
          <w:tcPr>
            <w:tcW w:w="1262" w:type="dxa"/>
            <w:noWrap w:val="0"/>
            <w:vAlign w:val="center"/>
          </w:tcPr>
          <w:p>
            <w:pPr>
              <w:pStyle w:val="6"/>
              <w:keepNext w:val="0"/>
              <w:keepLines w:val="0"/>
              <w:pageBreakBefore w:val="0"/>
              <w:kinsoku/>
              <w:wordWrap/>
              <w:overflowPunct/>
              <w:topLinePunct w:val="0"/>
              <w:bidi w:val="0"/>
              <w:spacing w:after="0" w:line="240" w:lineRule="auto"/>
              <w:ind w:left="0" w:leftChars="0" w:firstLine="0" w:firstLineChars="0"/>
              <w:jc w:val="left"/>
              <w:rPr>
                <w:rFonts w:hint="eastAsia" w:ascii="宋体" w:hAnsi="宋体" w:eastAsia="宋体" w:cs="宋体"/>
                <w:b/>
                <w:bCs/>
                <w:color w:val="auto"/>
                <w:sz w:val="21"/>
                <w:szCs w:val="21"/>
                <w:highlight w:val="none"/>
              </w:rPr>
            </w:pPr>
            <w:r>
              <w:rPr>
                <w:rFonts w:hint="eastAsia" w:ascii="宋体" w:hAnsi="宋体" w:eastAsia="宋体" w:cs="宋体"/>
                <w:color w:val="auto"/>
                <w:kern w:val="2"/>
                <w:sz w:val="21"/>
                <w:szCs w:val="21"/>
                <w:highlight w:val="none"/>
                <w:lang w:val="en-US" w:eastAsia="zh-CN" w:bidi="ar-SA"/>
              </w:rPr>
              <w:t>附件三 安全文明施工协议书</w:t>
            </w:r>
          </w:p>
          <w:p>
            <w:pPr>
              <w:keepNext w:val="0"/>
              <w:keepLines w:val="0"/>
              <w:pageBreakBefore w:val="0"/>
              <w:kinsoku/>
              <w:wordWrap/>
              <w:overflowPunct/>
              <w:topLinePunct w:val="0"/>
              <w:bidi w:val="0"/>
              <w:spacing w:line="240" w:lineRule="auto"/>
              <w:ind w:firstLine="0" w:firstLineChars="0"/>
              <w:textAlignment w:val="auto"/>
              <w:rPr>
                <w:rFonts w:hint="eastAsia" w:ascii="宋体" w:hAnsi="宋体" w:eastAsia="宋体" w:cs="宋体"/>
                <w:color w:val="auto"/>
                <w:sz w:val="21"/>
                <w:szCs w:val="21"/>
                <w:highlight w:val="none"/>
                <w:lang w:val="en-US" w:eastAsia="zh-CN"/>
              </w:rPr>
            </w:pPr>
          </w:p>
        </w:tc>
        <w:tc>
          <w:tcPr>
            <w:tcW w:w="5760" w:type="dxa"/>
            <w:noWrap w:val="0"/>
            <w:vAlign w:val="center"/>
          </w:tcPr>
          <w:p>
            <w:pPr>
              <w:keepNext w:val="0"/>
              <w:keepLines w:val="0"/>
              <w:pageBreakBefore w:val="0"/>
              <w:kinsoku/>
              <w:wordWrap/>
              <w:overflowPunct/>
              <w:topLinePunct w:val="0"/>
              <w:bidi w:val="0"/>
              <w:spacing w:line="240" w:lineRule="auto"/>
              <w:ind w:firstLine="413" w:firstLineChars="196"/>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三、严格执行本安全协议</w:t>
            </w:r>
          </w:p>
          <w:p>
            <w:pPr>
              <w:keepNext w:val="0"/>
              <w:keepLines w:val="0"/>
              <w:pageBreakBefore w:val="0"/>
              <w:kinsoku/>
              <w:wordWrap/>
              <w:overflowPunct/>
              <w:topLinePunct w:val="0"/>
              <w:bidi w:val="0"/>
              <w:spacing w:line="240" w:lineRule="auto"/>
              <w:ind w:firstLine="6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如其中一方不遵守本协议中规定的安全责任造成人身、电网、设备事故及其一切损失，均由违反的一方负责，并按中国南方电网有限责任公司《安全管理规定》等相关的规定进行处罚。如乙方违反本协议，甲方将按照履约担保的程序进行索赔。</w:t>
            </w:r>
          </w:p>
          <w:p>
            <w:pPr>
              <w:pStyle w:val="16"/>
              <w:keepNext w:val="0"/>
              <w:keepLines w:val="0"/>
              <w:pageBreakBefore w:val="0"/>
              <w:widowControl w:val="0"/>
              <w:kinsoku/>
              <w:wordWrap/>
              <w:overflowPunct/>
              <w:topLinePunct w:val="0"/>
              <w:autoSpaceDE/>
              <w:autoSpaceDN/>
              <w:bidi w:val="0"/>
              <w:adjustRightInd/>
              <w:snapToGrid/>
              <w:spacing w:after="0" w:line="240" w:lineRule="auto"/>
              <w:ind w:left="0" w:leftChars="0" w:firstLine="420" w:firstLineChars="200"/>
              <w:textAlignment w:val="auto"/>
              <w:rPr>
                <w:rFonts w:hint="eastAsia" w:ascii="宋体" w:hAnsi="宋体" w:eastAsia="宋体" w:cs="宋体"/>
                <w:b w:val="0"/>
                <w:bCs/>
                <w:color w:val="auto"/>
                <w:sz w:val="21"/>
                <w:szCs w:val="21"/>
                <w:highlight w:val="none"/>
                <w:lang w:val="en-US" w:eastAsia="zh-CN"/>
              </w:rPr>
            </w:pPr>
          </w:p>
        </w:tc>
        <w:tc>
          <w:tcPr>
            <w:tcW w:w="5800" w:type="dxa"/>
            <w:noWrap w:val="0"/>
            <w:vAlign w:val="center"/>
          </w:tcPr>
          <w:p>
            <w:pPr>
              <w:pStyle w:val="6"/>
              <w:keepNext w:val="0"/>
              <w:keepLines w:val="0"/>
              <w:pageBreakBefore w:val="0"/>
              <w:kinsoku/>
              <w:wordWrap/>
              <w:overflowPunct/>
              <w:topLinePunct w:val="0"/>
              <w:bidi w:val="0"/>
              <w:spacing w:after="0" w:line="240" w:lineRule="auto"/>
              <w:ind w:left="0" w:leftChars="0" w:firstLine="422" w:firstLineChars="200"/>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三、严格执行本安全协议</w:t>
            </w:r>
          </w:p>
          <w:p>
            <w:pPr>
              <w:pStyle w:val="6"/>
              <w:keepNext w:val="0"/>
              <w:keepLines w:val="0"/>
              <w:pageBreakBefore w:val="0"/>
              <w:kinsoku/>
              <w:wordWrap/>
              <w:overflowPunct/>
              <w:topLinePunct w:val="0"/>
              <w:bidi w:val="0"/>
              <w:spacing w:after="0" w:line="240" w:lineRule="auto"/>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1.如其中一方不遵守本协议中规定的安全责任造成人身、电网、设备事故及其一切损失，均由违反的一方负责，并按</w:t>
            </w:r>
            <w:r>
              <w:rPr>
                <w:rFonts w:hint="eastAsia" w:ascii="宋体" w:hAnsi="宋体" w:cs="宋体"/>
                <w:color w:val="auto"/>
                <w:sz w:val="21"/>
                <w:szCs w:val="21"/>
                <w:highlight w:val="none"/>
                <w:lang w:val="en-US" w:eastAsia="zh-CN"/>
              </w:rPr>
              <w:t>本合同</w:t>
            </w:r>
            <w:r>
              <w:rPr>
                <w:rFonts w:hint="eastAsia" w:ascii="宋体" w:hAnsi="宋体" w:eastAsia="宋体" w:cs="宋体"/>
                <w:color w:val="auto"/>
                <w:sz w:val="21"/>
                <w:szCs w:val="21"/>
                <w:highlight w:val="none"/>
              </w:rPr>
              <w:t>相关的规定进行处罚。如乙方违反本协议，甲方将按照履约担保的程序进行索赔。</w:t>
            </w:r>
          </w:p>
          <w:p>
            <w:pPr>
              <w:pStyle w:val="6"/>
              <w:keepNext w:val="0"/>
              <w:keepLines w:val="0"/>
              <w:pageBreakBefore w:val="0"/>
              <w:kinsoku/>
              <w:wordWrap/>
              <w:overflowPunct/>
              <w:topLinePunct w:val="0"/>
              <w:bidi w:val="0"/>
              <w:spacing w:after="0" w:line="240" w:lineRule="auto"/>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公司对出现未提供作业现场视频或弄虚作假、故意逃避视频监督等严禁和违章类问题及出现作业信息填报不正确、不规范等规范类问题的承包商，依据《中国南方电网有限责任公司基建项目承包商管理业务指导书》等相关承包商管理制度对其进行扣分处罚，本工程因此项原因扣分达到6分的，甲方有权扣除合同总额的2%作为违约金。</w:t>
            </w:r>
          </w:p>
          <w:p>
            <w:pPr>
              <w:pStyle w:val="6"/>
              <w:keepNext w:val="0"/>
              <w:keepLines w:val="0"/>
              <w:pageBreakBefore w:val="0"/>
              <w:kinsoku/>
              <w:wordWrap/>
              <w:overflowPunct/>
              <w:topLinePunct w:val="0"/>
              <w:bidi w:val="0"/>
              <w:spacing w:after="0" w:line="240" w:lineRule="auto"/>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3.违反《广东电网有限责任公司安全生产督查业务指导书》的承包商人员，根据发布的处罚结果进行处罚。</w:t>
            </w:r>
          </w:p>
          <w:p>
            <w:pPr>
              <w:pStyle w:val="6"/>
              <w:keepNext w:val="0"/>
              <w:keepLines w:val="0"/>
              <w:pageBreakBefore w:val="0"/>
              <w:kinsoku/>
              <w:wordWrap/>
              <w:overflowPunct/>
              <w:topLinePunct w:val="0"/>
              <w:bidi w:val="0"/>
              <w:spacing w:after="0" w:line="240" w:lineRule="auto"/>
              <w:ind w:left="0" w:leftChars="0"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执行《广东电网有限责任公司基建工程安全文明施工管理业务指导书》相关要求。</w:t>
            </w:r>
          </w:p>
        </w:tc>
        <w:tc>
          <w:tcPr>
            <w:tcW w:w="687" w:type="dxa"/>
            <w:noWrap w:val="0"/>
            <w:vAlign w:val="center"/>
          </w:tcPr>
          <w:p>
            <w:pPr>
              <w:keepNext w:val="0"/>
              <w:keepLines w:val="0"/>
              <w:pageBreakBefore w:val="0"/>
              <w:widowControl/>
              <w:kinsoku/>
              <w:wordWrap/>
              <w:overflowPunct/>
              <w:topLinePunct w:val="0"/>
              <w:bidi w:val="0"/>
              <w:spacing w:line="240" w:lineRule="auto"/>
              <w:ind w:firstLine="0" w:firstLineChars="0"/>
              <w:jc w:val="left"/>
              <w:textAlignment w:val="auto"/>
              <w:rPr>
                <w:rFonts w:hint="eastAsia" w:ascii="宋体" w:hAnsi="宋体" w:eastAsia="宋体" w:cs="宋体"/>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82" w:type="dxa"/>
            <w:noWrap w:val="0"/>
            <w:vAlign w:val="center"/>
          </w:tcPr>
          <w:p>
            <w:pPr>
              <w:pStyle w:val="15"/>
              <w:keepNext w:val="0"/>
              <w:keepLines w:val="0"/>
              <w:pageBreakBefore w:val="0"/>
              <w:widowControl w:val="0"/>
              <w:numPr>
                <w:ilvl w:val="0"/>
                <w:numId w:val="1"/>
              </w:numPr>
              <w:kinsoku/>
              <w:wordWrap/>
              <w:overflowPunct/>
              <w:topLinePunct w:val="0"/>
              <w:autoSpaceDE/>
              <w:autoSpaceDN/>
              <w:bidi w:val="0"/>
              <w:adjustRightInd w:val="0"/>
              <w:snapToGrid w:val="0"/>
              <w:spacing w:line="240" w:lineRule="auto"/>
              <w:ind w:left="0" w:firstLine="0" w:firstLineChars="0"/>
              <w:jc w:val="center"/>
              <w:textAlignment w:val="auto"/>
              <w:rPr>
                <w:rFonts w:hint="eastAsia" w:ascii="宋体" w:hAnsi="宋体" w:eastAsia="宋体" w:cs="宋体"/>
                <w:color w:val="auto"/>
                <w:kern w:val="0"/>
                <w:sz w:val="21"/>
                <w:szCs w:val="21"/>
                <w:highlight w:val="none"/>
              </w:rPr>
            </w:pPr>
          </w:p>
        </w:tc>
        <w:tc>
          <w:tcPr>
            <w:tcW w:w="1108" w:type="dxa"/>
            <w:noWrap w:val="0"/>
            <w:vAlign w:val="center"/>
          </w:tcPr>
          <w:p>
            <w:pPr>
              <w:pStyle w:val="15"/>
              <w:keepNext w:val="0"/>
              <w:keepLines w:val="0"/>
              <w:pageBreakBefore w:val="0"/>
              <w:numPr>
                <w:ilvl w:val="0"/>
                <w:numId w:val="0"/>
              </w:numPr>
              <w:kinsoku/>
              <w:wordWrap/>
              <w:overflowPunct/>
              <w:topLinePunct w:val="0"/>
              <w:bidi w:val="0"/>
              <w:spacing w:line="240" w:lineRule="auto"/>
              <w:ind w:left="0" w:leftChars="0" w:firstLine="0" w:firstLineChars="0"/>
              <w:textAlignment w:val="auto"/>
              <w:rPr>
                <w:rFonts w:hint="eastAsia" w:ascii="宋体" w:hAnsi="宋体" w:eastAsia="宋体" w:cs="宋体"/>
                <w:color w:val="auto"/>
                <w:kern w:val="0"/>
                <w:sz w:val="21"/>
                <w:szCs w:val="21"/>
                <w:highlight w:val="none"/>
                <w:lang w:val="en-US" w:eastAsia="zh-CN"/>
              </w:rPr>
            </w:pPr>
            <w:r>
              <w:rPr>
                <w:rFonts w:hint="eastAsia" w:ascii="宋体" w:hAnsi="宋体" w:cs="宋体"/>
                <w:color w:val="auto"/>
                <w:kern w:val="0"/>
                <w:sz w:val="21"/>
                <w:szCs w:val="21"/>
                <w:highlight w:val="none"/>
                <w:lang w:val="en-US" w:eastAsia="zh-CN"/>
              </w:rPr>
              <w:t>新增</w:t>
            </w:r>
          </w:p>
        </w:tc>
        <w:tc>
          <w:tcPr>
            <w:tcW w:w="1262" w:type="dxa"/>
            <w:noWrap w:val="0"/>
            <w:vAlign w:val="center"/>
          </w:tcPr>
          <w:p>
            <w:pPr>
              <w:keepNext w:val="0"/>
              <w:keepLines w:val="0"/>
              <w:pageBreakBefore w:val="0"/>
              <w:kinsoku/>
              <w:wordWrap/>
              <w:overflowPunct/>
              <w:topLinePunct w:val="0"/>
              <w:bidi w:val="0"/>
              <w:spacing w:line="240" w:lineRule="auto"/>
              <w:outlineLvl w:val="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附件十 分包管理</w:t>
            </w:r>
          </w:p>
        </w:tc>
        <w:tc>
          <w:tcPr>
            <w:tcW w:w="5760" w:type="dxa"/>
            <w:noWrap w:val="0"/>
            <w:vAlign w:val="center"/>
          </w:tcPr>
          <w:p>
            <w:pPr>
              <w:pStyle w:val="16"/>
              <w:keepNext w:val="0"/>
              <w:keepLines w:val="0"/>
              <w:pageBreakBefore w:val="0"/>
              <w:widowControl w:val="0"/>
              <w:kinsoku/>
              <w:wordWrap/>
              <w:overflowPunct/>
              <w:topLinePunct w:val="0"/>
              <w:autoSpaceDE/>
              <w:autoSpaceDN/>
              <w:bidi w:val="0"/>
              <w:adjustRightInd/>
              <w:snapToGrid/>
              <w:spacing w:after="0" w:line="240" w:lineRule="auto"/>
              <w:ind w:left="0" w:leftChars="0"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无</w:t>
            </w:r>
          </w:p>
        </w:tc>
        <w:tc>
          <w:tcPr>
            <w:tcW w:w="5800" w:type="dxa"/>
            <w:noWrap w:val="0"/>
            <w:vAlign w:val="center"/>
          </w:tcPr>
          <w:p>
            <w:pPr>
              <w:keepNext w:val="0"/>
              <w:keepLines w:val="0"/>
              <w:pageBreakBefore w:val="0"/>
              <w:kinsoku/>
              <w:wordWrap/>
              <w:overflowPunct/>
              <w:topLinePunct w:val="0"/>
              <w:autoSpaceDE w:val="0"/>
              <w:autoSpaceDN w:val="0"/>
              <w:bidi w:val="0"/>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经发包人书面同意，可分包的内容和类型如下：</w:t>
            </w:r>
          </w:p>
          <w:p>
            <w:pPr>
              <w:keepNext w:val="0"/>
              <w:keepLines w:val="0"/>
              <w:pageBreakBefore w:val="0"/>
              <w:kinsoku/>
              <w:wordWrap/>
              <w:overflowPunct/>
              <w:topLinePunct w:val="0"/>
              <w:bidi w:val="0"/>
              <w:spacing w:line="240" w:lineRule="auto"/>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电网建设工程施工允许分包范围</w:t>
            </w:r>
          </w:p>
          <w:p>
            <w:pPr>
              <w:keepNext w:val="0"/>
              <w:keepLines w:val="0"/>
              <w:pageBreakBefore w:val="0"/>
              <w:kinsoku/>
              <w:wordWrap/>
              <w:overflowPunct/>
              <w:topLinePunct w:val="0"/>
              <w:bidi w:val="0"/>
              <w:spacing w:line="240" w:lineRule="auto"/>
              <w:rPr>
                <w:rFonts w:hint="eastAsia" w:ascii="宋体" w:hAnsi="宋体" w:eastAsia="宋体" w:cs="宋体"/>
                <w:color w:val="auto"/>
                <w:sz w:val="21"/>
                <w:szCs w:val="21"/>
                <w:highlight w:val="none"/>
              </w:rPr>
            </w:pPr>
          </w:p>
          <w:tbl>
            <w:tblPr>
              <w:tblStyle w:val="10"/>
              <w:tblW w:w="54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3"/>
              <w:gridCol w:w="896"/>
              <w:gridCol w:w="1164"/>
              <w:gridCol w:w="733"/>
              <w:gridCol w:w="756"/>
              <w:gridCol w:w="12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blHeader/>
                <w:jc w:val="center"/>
                <w:hidden/>
              </w:trPr>
              <w:tc>
                <w:tcPr>
                  <w:tcW w:w="703" w:type="dxa"/>
                  <w:noWrap w:val="0"/>
                  <w:vAlign w:val="center"/>
                </w:tcPr>
                <w:p>
                  <w:pPr>
                    <w:keepNext w:val="0"/>
                    <w:keepLines w:val="0"/>
                    <w:pageBreakBefore w:val="0"/>
                    <w:kinsoku/>
                    <w:wordWrap/>
                    <w:overflowPunct/>
                    <w:topLinePunct w:val="0"/>
                    <w:autoSpaceDE/>
                    <w:autoSpaceDN/>
                    <w:bidi w:val="0"/>
                    <w:adjustRightInd/>
                    <w:snapToGrid w:val="0"/>
                    <w:spacing w:line="240" w:lineRule="auto"/>
                    <w:ind w:left="0" w:leftChars="0" w:firstLine="0" w:firstLineChars="0"/>
                    <w:jc w:val="center"/>
                    <w:textAlignment w:val="auto"/>
                    <w:outlineLvl w:val="9"/>
                    <w:rPr>
                      <w:rFonts w:hint="eastAsia" w:ascii="宋体" w:hAnsi="宋体" w:eastAsia="宋体" w:cs="宋体"/>
                      <w:b/>
                      <w:bCs/>
                      <w:vanish w:val="0"/>
                      <w:color w:val="auto"/>
                      <w:kern w:val="2"/>
                      <w:sz w:val="21"/>
                      <w:szCs w:val="21"/>
                      <w:highlight w:val="none"/>
                      <w:lang w:val="en-US" w:eastAsia="zh-CN" w:bidi="ar-SA"/>
                    </w:rPr>
                  </w:pPr>
                  <w:r>
                    <w:rPr>
                      <w:rFonts w:hint="eastAsia" w:ascii="宋体" w:hAnsi="宋体" w:eastAsia="宋体" w:cs="宋体"/>
                      <w:b/>
                      <w:bCs/>
                      <w:vanish w:val="0"/>
                      <w:color w:val="auto"/>
                      <w:sz w:val="21"/>
                      <w:szCs w:val="21"/>
                      <w:highlight w:val="none"/>
                    </w:rPr>
                    <w:t>序号</w:t>
                  </w:r>
                </w:p>
              </w:tc>
              <w:tc>
                <w:tcPr>
                  <w:tcW w:w="896" w:type="dxa"/>
                  <w:noWrap w:val="0"/>
                  <w:vAlign w:val="center"/>
                </w:tcPr>
                <w:p>
                  <w:pPr>
                    <w:keepNext w:val="0"/>
                    <w:keepLines w:val="0"/>
                    <w:pageBreakBefore w:val="0"/>
                    <w:kinsoku/>
                    <w:wordWrap/>
                    <w:overflowPunct/>
                    <w:topLinePunct w:val="0"/>
                    <w:autoSpaceDE/>
                    <w:autoSpaceDN/>
                    <w:bidi w:val="0"/>
                    <w:adjustRightInd/>
                    <w:snapToGrid w:val="0"/>
                    <w:spacing w:line="240" w:lineRule="auto"/>
                    <w:ind w:left="0" w:leftChars="0" w:firstLine="0" w:firstLineChars="0"/>
                    <w:jc w:val="center"/>
                    <w:textAlignment w:val="auto"/>
                    <w:outlineLvl w:val="9"/>
                    <w:rPr>
                      <w:rFonts w:hint="eastAsia" w:ascii="宋体" w:hAnsi="宋体" w:eastAsia="宋体" w:cs="宋体"/>
                      <w:b/>
                      <w:bCs/>
                      <w:vanish w:val="0"/>
                      <w:color w:val="auto"/>
                      <w:kern w:val="2"/>
                      <w:sz w:val="21"/>
                      <w:szCs w:val="21"/>
                      <w:highlight w:val="none"/>
                      <w:lang w:val="en-US" w:eastAsia="zh-CN" w:bidi="ar-SA"/>
                    </w:rPr>
                  </w:pPr>
                  <w:r>
                    <w:rPr>
                      <w:rFonts w:hint="eastAsia" w:ascii="宋体" w:hAnsi="宋体" w:eastAsia="宋体" w:cs="宋体"/>
                      <w:b/>
                      <w:bCs/>
                      <w:vanish w:val="0"/>
                      <w:color w:val="auto"/>
                      <w:sz w:val="21"/>
                      <w:szCs w:val="21"/>
                      <w:highlight w:val="none"/>
                    </w:rPr>
                    <w:t>项目类型</w:t>
                  </w:r>
                </w:p>
              </w:tc>
              <w:tc>
                <w:tcPr>
                  <w:tcW w:w="1164" w:type="dxa"/>
                  <w:noWrap w:val="0"/>
                  <w:vAlign w:val="center"/>
                </w:tcPr>
                <w:p>
                  <w:pPr>
                    <w:keepNext w:val="0"/>
                    <w:keepLines w:val="0"/>
                    <w:pageBreakBefore w:val="0"/>
                    <w:kinsoku/>
                    <w:wordWrap/>
                    <w:overflowPunct/>
                    <w:topLinePunct w:val="0"/>
                    <w:autoSpaceDE/>
                    <w:autoSpaceDN/>
                    <w:bidi w:val="0"/>
                    <w:adjustRightInd/>
                    <w:snapToGrid w:val="0"/>
                    <w:spacing w:line="240" w:lineRule="auto"/>
                    <w:ind w:left="0" w:leftChars="0" w:firstLine="0" w:firstLineChars="0"/>
                    <w:jc w:val="center"/>
                    <w:textAlignment w:val="auto"/>
                    <w:outlineLvl w:val="9"/>
                    <w:rPr>
                      <w:rFonts w:hint="eastAsia" w:ascii="宋体" w:hAnsi="宋体" w:eastAsia="宋体" w:cs="宋体"/>
                      <w:b/>
                      <w:bCs/>
                      <w:vanish w:val="0"/>
                      <w:color w:val="auto"/>
                      <w:kern w:val="2"/>
                      <w:sz w:val="21"/>
                      <w:szCs w:val="21"/>
                      <w:highlight w:val="none"/>
                      <w:lang w:val="en-US" w:eastAsia="zh-CN" w:bidi="ar-SA"/>
                    </w:rPr>
                  </w:pPr>
                  <w:r>
                    <w:rPr>
                      <w:rFonts w:hint="eastAsia" w:ascii="宋体" w:hAnsi="宋体" w:eastAsia="宋体" w:cs="宋体"/>
                      <w:b/>
                      <w:bCs/>
                      <w:vanish w:val="0"/>
                      <w:color w:val="auto"/>
                      <w:sz w:val="21"/>
                      <w:szCs w:val="21"/>
                      <w:highlight w:val="none"/>
                    </w:rPr>
                    <w:t>工程内容</w:t>
                  </w:r>
                </w:p>
              </w:tc>
              <w:tc>
                <w:tcPr>
                  <w:tcW w:w="733" w:type="dxa"/>
                  <w:noWrap w:val="0"/>
                  <w:vAlign w:val="center"/>
                </w:tcPr>
                <w:p>
                  <w:pPr>
                    <w:keepNext w:val="0"/>
                    <w:keepLines w:val="0"/>
                    <w:pageBreakBefore w:val="0"/>
                    <w:kinsoku/>
                    <w:wordWrap/>
                    <w:overflowPunct/>
                    <w:topLinePunct w:val="0"/>
                    <w:autoSpaceDE/>
                    <w:autoSpaceDN/>
                    <w:bidi w:val="0"/>
                    <w:adjustRightInd/>
                    <w:snapToGrid w:val="0"/>
                    <w:spacing w:line="240" w:lineRule="auto"/>
                    <w:ind w:left="0" w:leftChars="0" w:firstLine="0" w:firstLineChars="0"/>
                    <w:jc w:val="center"/>
                    <w:textAlignment w:val="auto"/>
                    <w:outlineLvl w:val="9"/>
                    <w:rPr>
                      <w:rFonts w:hint="eastAsia" w:ascii="宋体" w:hAnsi="宋体" w:eastAsia="宋体" w:cs="宋体"/>
                      <w:b/>
                      <w:bCs/>
                      <w:vanish w:val="0"/>
                      <w:color w:val="auto"/>
                      <w:kern w:val="2"/>
                      <w:sz w:val="21"/>
                      <w:szCs w:val="21"/>
                      <w:highlight w:val="none"/>
                      <w:lang w:val="en-US" w:eastAsia="zh-CN" w:bidi="ar-SA"/>
                    </w:rPr>
                  </w:pPr>
                  <w:r>
                    <w:rPr>
                      <w:rFonts w:hint="eastAsia" w:ascii="宋体" w:hAnsi="宋体" w:eastAsia="宋体" w:cs="宋体"/>
                      <w:b/>
                      <w:bCs/>
                      <w:vanish w:val="0"/>
                      <w:color w:val="auto"/>
                      <w:sz w:val="21"/>
                      <w:szCs w:val="21"/>
                      <w:highlight w:val="none"/>
                      <w:lang w:val="en-US" w:eastAsia="zh-CN"/>
                    </w:rPr>
                    <w:t>允许</w:t>
                  </w:r>
                  <w:r>
                    <w:rPr>
                      <w:rFonts w:hint="eastAsia" w:ascii="宋体" w:hAnsi="宋体" w:eastAsia="宋体" w:cs="宋体"/>
                      <w:b/>
                      <w:bCs/>
                      <w:vanish w:val="0"/>
                      <w:color w:val="auto"/>
                      <w:sz w:val="21"/>
                      <w:szCs w:val="21"/>
                      <w:highlight w:val="none"/>
                    </w:rPr>
                    <w:t>分包</w:t>
                  </w:r>
                  <w:r>
                    <w:rPr>
                      <w:rFonts w:hint="eastAsia" w:ascii="宋体" w:hAnsi="宋体" w:eastAsia="宋体" w:cs="宋体"/>
                      <w:b/>
                      <w:bCs/>
                      <w:vanish w:val="0"/>
                      <w:color w:val="auto"/>
                      <w:sz w:val="21"/>
                      <w:szCs w:val="21"/>
                      <w:highlight w:val="none"/>
                      <w:lang w:val="en-US" w:eastAsia="zh-CN"/>
                    </w:rPr>
                    <w:t>方式</w:t>
                  </w:r>
                </w:p>
              </w:tc>
              <w:tc>
                <w:tcPr>
                  <w:tcW w:w="756" w:type="dxa"/>
                  <w:noWrap w:val="0"/>
                  <w:vAlign w:val="center"/>
                </w:tcPr>
                <w:p>
                  <w:pPr>
                    <w:keepNext w:val="0"/>
                    <w:keepLines w:val="0"/>
                    <w:pageBreakBefore w:val="0"/>
                    <w:kinsoku/>
                    <w:wordWrap/>
                    <w:overflowPunct/>
                    <w:topLinePunct w:val="0"/>
                    <w:autoSpaceDE/>
                    <w:autoSpaceDN/>
                    <w:bidi w:val="0"/>
                    <w:adjustRightInd/>
                    <w:snapToGrid w:val="0"/>
                    <w:spacing w:line="240" w:lineRule="auto"/>
                    <w:ind w:left="0" w:leftChars="0" w:firstLine="0" w:firstLineChars="0"/>
                    <w:jc w:val="center"/>
                    <w:textAlignment w:val="auto"/>
                    <w:outlineLvl w:val="9"/>
                    <w:rPr>
                      <w:rFonts w:hint="eastAsia" w:ascii="宋体" w:hAnsi="宋体" w:eastAsia="宋体" w:cs="宋体"/>
                      <w:b/>
                      <w:bCs/>
                      <w:vanish w:val="0"/>
                      <w:color w:val="auto"/>
                      <w:kern w:val="2"/>
                      <w:sz w:val="21"/>
                      <w:szCs w:val="21"/>
                      <w:highlight w:val="none"/>
                      <w:lang w:val="en-US" w:eastAsia="zh-CN" w:bidi="ar-SA"/>
                    </w:rPr>
                  </w:pPr>
                  <w:r>
                    <w:rPr>
                      <w:rFonts w:hint="eastAsia" w:ascii="宋体" w:hAnsi="宋体" w:eastAsia="宋体" w:cs="宋体"/>
                      <w:b/>
                      <w:bCs/>
                      <w:vanish w:val="0"/>
                      <w:color w:val="auto"/>
                      <w:sz w:val="21"/>
                      <w:szCs w:val="21"/>
                      <w:highlight w:val="none"/>
                      <w:lang w:val="en-US" w:eastAsia="zh-CN"/>
                    </w:rPr>
                    <w:t>允许</w:t>
                  </w:r>
                  <w:r>
                    <w:rPr>
                      <w:rFonts w:hint="eastAsia" w:ascii="宋体" w:hAnsi="宋体" w:eastAsia="宋体" w:cs="宋体"/>
                      <w:b/>
                      <w:bCs/>
                      <w:vanish w:val="0"/>
                      <w:color w:val="auto"/>
                      <w:sz w:val="21"/>
                      <w:szCs w:val="21"/>
                      <w:highlight w:val="none"/>
                    </w:rPr>
                    <w:t>再分包</w:t>
                  </w:r>
                  <w:r>
                    <w:rPr>
                      <w:rFonts w:hint="eastAsia" w:ascii="宋体" w:hAnsi="宋体" w:eastAsia="宋体" w:cs="宋体"/>
                      <w:b/>
                      <w:bCs/>
                      <w:vanish w:val="0"/>
                      <w:color w:val="auto"/>
                      <w:sz w:val="21"/>
                      <w:szCs w:val="21"/>
                      <w:highlight w:val="none"/>
                      <w:lang w:val="en-US" w:eastAsia="zh-CN"/>
                    </w:rPr>
                    <w:t>方式</w:t>
                  </w:r>
                </w:p>
              </w:tc>
              <w:tc>
                <w:tcPr>
                  <w:tcW w:w="1226" w:type="dxa"/>
                  <w:noWrap w:val="0"/>
                  <w:vAlign w:val="center"/>
                </w:tcPr>
                <w:p>
                  <w:pPr>
                    <w:keepNext w:val="0"/>
                    <w:keepLines w:val="0"/>
                    <w:pageBreakBefore w:val="0"/>
                    <w:kinsoku/>
                    <w:wordWrap/>
                    <w:overflowPunct/>
                    <w:topLinePunct w:val="0"/>
                    <w:autoSpaceDE/>
                    <w:autoSpaceDN/>
                    <w:bidi w:val="0"/>
                    <w:adjustRightInd/>
                    <w:snapToGrid w:val="0"/>
                    <w:spacing w:line="240" w:lineRule="auto"/>
                    <w:ind w:left="0" w:leftChars="0" w:firstLine="0" w:firstLineChars="0"/>
                    <w:jc w:val="center"/>
                    <w:textAlignment w:val="auto"/>
                    <w:outlineLvl w:val="9"/>
                    <w:rPr>
                      <w:rFonts w:hint="eastAsia" w:ascii="宋体" w:hAnsi="宋体" w:eastAsia="宋体" w:cs="宋体"/>
                      <w:b/>
                      <w:bCs/>
                      <w:vanish w:val="0"/>
                      <w:color w:val="auto"/>
                      <w:kern w:val="2"/>
                      <w:sz w:val="21"/>
                      <w:szCs w:val="21"/>
                      <w:highlight w:val="none"/>
                      <w:lang w:val="en-US" w:eastAsia="zh-CN" w:bidi="ar-SA"/>
                    </w:rPr>
                  </w:pPr>
                  <w:r>
                    <w:rPr>
                      <w:rFonts w:hint="eastAsia" w:ascii="宋体" w:hAnsi="宋体" w:eastAsia="宋体" w:cs="宋体"/>
                      <w:b/>
                      <w:bCs/>
                      <w:vanish w:val="0"/>
                      <w:color w:val="auto"/>
                      <w:sz w:val="21"/>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703"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w:t>
                  </w:r>
                </w:p>
              </w:tc>
              <w:tc>
                <w:tcPr>
                  <w:tcW w:w="896"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输变电工程</w:t>
                  </w:r>
                </w:p>
              </w:tc>
              <w:tc>
                <w:tcPr>
                  <w:tcW w:w="1164"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c>
                <w:tcPr>
                  <w:tcW w:w="733"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c>
                <w:tcPr>
                  <w:tcW w:w="756"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c>
                <w:tcPr>
                  <w:tcW w:w="1226"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703"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1.1</w:t>
                  </w:r>
                </w:p>
              </w:tc>
              <w:tc>
                <w:tcPr>
                  <w:tcW w:w="896"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主体工程</w:t>
                  </w:r>
                </w:p>
              </w:tc>
              <w:tc>
                <w:tcPr>
                  <w:tcW w:w="1164" w:type="dxa"/>
                  <w:noWrap w:val="0"/>
                  <w:vAlign w:val="center"/>
                </w:tcPr>
                <w:p>
                  <w:pPr>
                    <w:keepNext w:val="0"/>
                    <w:keepLines w:val="0"/>
                    <w:pageBreakBefore w:val="0"/>
                    <w:kinsoku/>
                    <w:wordWrap/>
                    <w:overflowPunct/>
                    <w:topLinePunct w:val="0"/>
                    <w:bidi w:val="0"/>
                    <w:snapToGrid/>
                    <w:spacing w:line="240" w:lineRule="auto"/>
                    <w:ind w:left="0" w:leftChars="0" w:firstLine="0" w:firstLineChars="0"/>
                    <w:jc w:val="both"/>
                    <w:rPr>
                      <w:rFonts w:hint="eastAsia" w:ascii="宋体" w:hAnsi="宋体" w:eastAsia="宋体" w:cs="宋体"/>
                      <w:color w:val="auto"/>
                      <w:kern w:val="2"/>
                      <w:sz w:val="21"/>
                      <w:szCs w:val="21"/>
                      <w:highlight w:val="none"/>
                      <w:lang w:val="en-US" w:eastAsia="zh-CN" w:bidi="ar-SA"/>
                    </w:rPr>
                  </w:pPr>
                </w:p>
              </w:tc>
              <w:tc>
                <w:tcPr>
                  <w:tcW w:w="733" w:type="dxa"/>
                  <w:noWrap w:val="0"/>
                  <w:vAlign w:val="center"/>
                </w:tcPr>
                <w:p>
                  <w:pPr>
                    <w:keepNext w:val="0"/>
                    <w:keepLines w:val="0"/>
                    <w:pageBreakBefore w:val="0"/>
                    <w:kinsoku/>
                    <w:wordWrap/>
                    <w:overflowPunct/>
                    <w:topLinePunct w:val="0"/>
                    <w:autoSpaceDE/>
                    <w:autoSpaceDN/>
                    <w:bidi w:val="0"/>
                    <w:adjustRightInd/>
                    <w:snapToGrid w:val="0"/>
                    <w:spacing w:line="240" w:lineRule="auto"/>
                    <w:ind w:left="0" w:leftChars="0" w:firstLine="0" w:firstLineChars="0"/>
                    <w:jc w:val="both"/>
                    <w:textAlignment w:val="auto"/>
                    <w:outlineLvl w:val="9"/>
                    <w:rPr>
                      <w:rFonts w:hint="eastAsia" w:ascii="宋体" w:hAnsi="宋体" w:eastAsia="宋体" w:cs="宋体"/>
                      <w:color w:val="auto"/>
                      <w:kern w:val="2"/>
                      <w:sz w:val="21"/>
                      <w:szCs w:val="21"/>
                      <w:highlight w:val="none"/>
                      <w:lang w:val="en-US" w:eastAsia="zh-CN" w:bidi="ar-SA"/>
                    </w:rPr>
                  </w:pPr>
                </w:p>
              </w:tc>
              <w:tc>
                <w:tcPr>
                  <w:tcW w:w="756" w:type="dxa"/>
                  <w:noWrap w:val="0"/>
                  <w:vAlign w:val="center"/>
                </w:tcPr>
                <w:p>
                  <w:pPr>
                    <w:keepNext w:val="0"/>
                    <w:keepLines w:val="0"/>
                    <w:pageBreakBefore w:val="0"/>
                    <w:kinsoku/>
                    <w:wordWrap/>
                    <w:overflowPunct/>
                    <w:topLinePunct w:val="0"/>
                    <w:bidi w:val="0"/>
                    <w:snapToGrid/>
                    <w:spacing w:line="240" w:lineRule="auto"/>
                    <w:ind w:left="0" w:leftChars="0" w:firstLine="0" w:firstLineChars="0"/>
                    <w:jc w:val="both"/>
                    <w:rPr>
                      <w:rFonts w:hint="eastAsia" w:ascii="宋体" w:hAnsi="宋体" w:eastAsia="宋体" w:cs="宋体"/>
                      <w:color w:val="auto"/>
                      <w:kern w:val="2"/>
                      <w:sz w:val="21"/>
                      <w:szCs w:val="21"/>
                      <w:highlight w:val="none"/>
                      <w:lang w:val="en-US" w:eastAsia="zh-CN" w:bidi="ar-SA"/>
                    </w:rPr>
                  </w:pPr>
                </w:p>
              </w:tc>
              <w:tc>
                <w:tcPr>
                  <w:tcW w:w="1226"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703" w:type="dxa"/>
                  <w:vMerge w:val="restart"/>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w:t>
                  </w:r>
                </w:p>
              </w:tc>
              <w:tc>
                <w:tcPr>
                  <w:tcW w:w="896" w:type="dxa"/>
                  <w:vMerge w:val="restart"/>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变电站工程</w:t>
                  </w:r>
                </w:p>
              </w:tc>
              <w:tc>
                <w:tcPr>
                  <w:tcW w:w="1164"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电气一次设备安装</w:t>
                  </w:r>
                </w:p>
              </w:tc>
              <w:tc>
                <w:tcPr>
                  <w:tcW w:w="733" w:type="dxa"/>
                  <w:noWrap w:val="0"/>
                  <w:vAlign w:val="center"/>
                </w:tcPr>
                <w:p>
                  <w:pPr>
                    <w:keepNext w:val="0"/>
                    <w:keepLines w:val="0"/>
                    <w:pageBreakBefore w:val="0"/>
                    <w:kinsoku/>
                    <w:wordWrap/>
                    <w:overflowPunct/>
                    <w:topLinePunct w:val="0"/>
                    <w:autoSpaceDE/>
                    <w:autoSpaceDN/>
                    <w:bidi w:val="0"/>
                    <w:adjustRightInd/>
                    <w:snapToGrid w:val="0"/>
                    <w:spacing w:line="240" w:lineRule="auto"/>
                    <w:ind w:firstLine="0" w:firstLineChars="0"/>
                    <w:jc w:val="center"/>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劳务</w:t>
                  </w:r>
                </w:p>
              </w:tc>
              <w:tc>
                <w:tcPr>
                  <w:tcW w:w="756"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无</w:t>
                  </w:r>
                </w:p>
              </w:tc>
              <w:tc>
                <w:tcPr>
                  <w:tcW w:w="1226"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703" w:type="dxa"/>
                  <w:vMerge w:val="continue"/>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c>
                <w:tcPr>
                  <w:tcW w:w="896" w:type="dxa"/>
                  <w:vMerge w:val="continue"/>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c>
                <w:tcPr>
                  <w:tcW w:w="1164"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电气二次设备安装</w:t>
                  </w:r>
                </w:p>
              </w:tc>
              <w:tc>
                <w:tcPr>
                  <w:tcW w:w="733"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劳务</w:t>
                  </w:r>
                </w:p>
              </w:tc>
              <w:tc>
                <w:tcPr>
                  <w:tcW w:w="756"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无</w:t>
                  </w:r>
                </w:p>
              </w:tc>
              <w:tc>
                <w:tcPr>
                  <w:tcW w:w="1226"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703" w:type="dxa"/>
                  <w:vMerge w:val="continue"/>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c>
                <w:tcPr>
                  <w:tcW w:w="896" w:type="dxa"/>
                  <w:vMerge w:val="continue"/>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c>
                <w:tcPr>
                  <w:tcW w:w="1164"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分系统及整套启动试运</w:t>
                  </w:r>
                </w:p>
              </w:tc>
              <w:tc>
                <w:tcPr>
                  <w:tcW w:w="733"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劳务</w:t>
                  </w:r>
                </w:p>
              </w:tc>
              <w:tc>
                <w:tcPr>
                  <w:tcW w:w="756"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无</w:t>
                  </w:r>
                </w:p>
              </w:tc>
              <w:tc>
                <w:tcPr>
                  <w:tcW w:w="1226"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703" w:type="dxa"/>
                  <w:vMerge w:val="restart"/>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w:t>
                  </w:r>
                </w:p>
              </w:tc>
              <w:tc>
                <w:tcPr>
                  <w:tcW w:w="896" w:type="dxa"/>
                  <w:vMerge w:val="restart"/>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线路工程</w:t>
                  </w:r>
                </w:p>
              </w:tc>
              <w:tc>
                <w:tcPr>
                  <w:tcW w:w="1164"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杆塔组立</w:t>
                  </w:r>
                </w:p>
              </w:tc>
              <w:tc>
                <w:tcPr>
                  <w:tcW w:w="733"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劳务</w:t>
                  </w:r>
                </w:p>
              </w:tc>
              <w:tc>
                <w:tcPr>
                  <w:tcW w:w="756"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w:t>
                  </w:r>
                </w:p>
              </w:tc>
              <w:tc>
                <w:tcPr>
                  <w:tcW w:w="1226"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703" w:type="dxa"/>
                  <w:vMerge w:val="continue"/>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c>
                <w:tcPr>
                  <w:tcW w:w="896" w:type="dxa"/>
                  <w:vMerge w:val="continue"/>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c>
                <w:tcPr>
                  <w:tcW w:w="1164"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架线</w:t>
                  </w:r>
                </w:p>
              </w:tc>
              <w:tc>
                <w:tcPr>
                  <w:tcW w:w="733"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劳务</w:t>
                  </w:r>
                </w:p>
              </w:tc>
              <w:tc>
                <w:tcPr>
                  <w:tcW w:w="756"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w:t>
                  </w:r>
                </w:p>
              </w:tc>
              <w:tc>
                <w:tcPr>
                  <w:tcW w:w="1226"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703" w:type="dxa"/>
                  <w:vMerge w:val="continue"/>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c>
                <w:tcPr>
                  <w:tcW w:w="896" w:type="dxa"/>
                  <w:vMerge w:val="continue"/>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c>
                <w:tcPr>
                  <w:tcW w:w="1164"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附件安装</w:t>
                  </w:r>
                </w:p>
              </w:tc>
              <w:tc>
                <w:tcPr>
                  <w:tcW w:w="733"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劳务</w:t>
                  </w:r>
                </w:p>
              </w:tc>
              <w:tc>
                <w:tcPr>
                  <w:tcW w:w="756"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w:t>
                  </w:r>
                </w:p>
              </w:tc>
              <w:tc>
                <w:tcPr>
                  <w:tcW w:w="1226"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703" w:type="dxa"/>
                  <w:vMerge w:val="restart"/>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1.1.3</w:t>
                  </w:r>
                </w:p>
              </w:tc>
              <w:tc>
                <w:tcPr>
                  <w:tcW w:w="896" w:type="dxa"/>
                  <w:vMerge w:val="restart"/>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电缆工程</w:t>
                  </w:r>
                </w:p>
              </w:tc>
              <w:tc>
                <w:tcPr>
                  <w:tcW w:w="1164"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电缆敷设</w:t>
                  </w:r>
                </w:p>
              </w:tc>
              <w:tc>
                <w:tcPr>
                  <w:tcW w:w="733"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劳务</w:t>
                  </w:r>
                </w:p>
              </w:tc>
              <w:tc>
                <w:tcPr>
                  <w:tcW w:w="756"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w:t>
                  </w:r>
                </w:p>
              </w:tc>
              <w:tc>
                <w:tcPr>
                  <w:tcW w:w="1226"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703" w:type="dxa"/>
                  <w:vMerge w:val="continue"/>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c>
                <w:tcPr>
                  <w:tcW w:w="896" w:type="dxa"/>
                  <w:vMerge w:val="continue"/>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c>
                <w:tcPr>
                  <w:tcW w:w="1164"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电缆头制作安装</w:t>
                  </w:r>
                </w:p>
              </w:tc>
              <w:tc>
                <w:tcPr>
                  <w:tcW w:w="733"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劳务</w:t>
                  </w:r>
                </w:p>
              </w:tc>
              <w:tc>
                <w:tcPr>
                  <w:tcW w:w="756"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w:t>
                  </w:r>
                </w:p>
              </w:tc>
              <w:tc>
                <w:tcPr>
                  <w:tcW w:w="1226"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703" w:type="dxa"/>
                  <w:vMerge w:val="continue"/>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c>
                <w:tcPr>
                  <w:tcW w:w="896" w:type="dxa"/>
                  <w:vMerge w:val="continue"/>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c>
                <w:tcPr>
                  <w:tcW w:w="1164"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避雷器及接地工程</w:t>
                  </w:r>
                </w:p>
              </w:tc>
              <w:tc>
                <w:tcPr>
                  <w:tcW w:w="733"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劳务</w:t>
                  </w:r>
                </w:p>
              </w:tc>
              <w:tc>
                <w:tcPr>
                  <w:tcW w:w="756"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w:t>
                  </w:r>
                </w:p>
              </w:tc>
              <w:tc>
                <w:tcPr>
                  <w:tcW w:w="1226"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703" w:type="dxa"/>
                  <w:vMerge w:val="continue"/>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c>
                <w:tcPr>
                  <w:tcW w:w="896" w:type="dxa"/>
                  <w:vMerge w:val="continue"/>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c>
                <w:tcPr>
                  <w:tcW w:w="1164"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两端工程</w:t>
                  </w:r>
                </w:p>
              </w:tc>
              <w:tc>
                <w:tcPr>
                  <w:tcW w:w="733"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劳务</w:t>
                  </w:r>
                </w:p>
              </w:tc>
              <w:tc>
                <w:tcPr>
                  <w:tcW w:w="756"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w:t>
                  </w:r>
                </w:p>
              </w:tc>
              <w:tc>
                <w:tcPr>
                  <w:tcW w:w="1226"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703" w:type="dxa"/>
                  <w:vMerge w:val="continue"/>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c>
                <w:tcPr>
                  <w:tcW w:w="896" w:type="dxa"/>
                  <w:vMerge w:val="continue"/>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c>
                <w:tcPr>
                  <w:tcW w:w="1164"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电缆常规试验</w:t>
                  </w:r>
                </w:p>
              </w:tc>
              <w:tc>
                <w:tcPr>
                  <w:tcW w:w="733"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劳务</w:t>
                  </w:r>
                </w:p>
              </w:tc>
              <w:tc>
                <w:tcPr>
                  <w:tcW w:w="756"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w:t>
                  </w:r>
                </w:p>
              </w:tc>
              <w:tc>
                <w:tcPr>
                  <w:tcW w:w="1226"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703"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1.2</w:t>
                  </w:r>
                </w:p>
              </w:tc>
              <w:tc>
                <w:tcPr>
                  <w:tcW w:w="896"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非主体工程</w:t>
                  </w:r>
                </w:p>
              </w:tc>
              <w:tc>
                <w:tcPr>
                  <w:tcW w:w="1164"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c>
                <w:tcPr>
                  <w:tcW w:w="733"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c>
                <w:tcPr>
                  <w:tcW w:w="756"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c>
                <w:tcPr>
                  <w:tcW w:w="1226"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703" w:type="dxa"/>
                  <w:vMerge w:val="restart"/>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1.2.1</w:t>
                  </w:r>
                </w:p>
              </w:tc>
              <w:tc>
                <w:tcPr>
                  <w:tcW w:w="896" w:type="dxa"/>
                  <w:vMerge w:val="restart"/>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变电站工程</w:t>
                  </w:r>
                </w:p>
              </w:tc>
              <w:tc>
                <w:tcPr>
                  <w:tcW w:w="1164"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特殊调试</w:t>
                  </w:r>
                </w:p>
              </w:tc>
              <w:tc>
                <w:tcPr>
                  <w:tcW w:w="733"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专业</w:t>
                  </w:r>
                </w:p>
              </w:tc>
              <w:tc>
                <w:tcPr>
                  <w:tcW w:w="756"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w:t>
                  </w:r>
                </w:p>
              </w:tc>
              <w:tc>
                <w:tcPr>
                  <w:tcW w:w="1226"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703" w:type="dxa"/>
                  <w:vMerge w:val="continue"/>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c>
                <w:tcPr>
                  <w:tcW w:w="896" w:type="dxa"/>
                  <w:vMerge w:val="continue"/>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c>
                <w:tcPr>
                  <w:tcW w:w="1164"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土建</w:t>
                  </w:r>
                </w:p>
              </w:tc>
              <w:tc>
                <w:tcPr>
                  <w:tcW w:w="733"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专业</w:t>
                  </w:r>
                </w:p>
              </w:tc>
              <w:tc>
                <w:tcPr>
                  <w:tcW w:w="756"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劳务</w:t>
                  </w:r>
                </w:p>
              </w:tc>
              <w:tc>
                <w:tcPr>
                  <w:tcW w:w="1226"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含基础施工、防火封堵、进站道路、顶管等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703" w:type="dxa"/>
                  <w:vMerge w:val="continue"/>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c>
                <w:tcPr>
                  <w:tcW w:w="896" w:type="dxa"/>
                  <w:vMerge w:val="continue"/>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c>
                <w:tcPr>
                  <w:tcW w:w="1164"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构支架组立</w:t>
                  </w:r>
                </w:p>
              </w:tc>
              <w:tc>
                <w:tcPr>
                  <w:tcW w:w="733"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专业</w:t>
                  </w:r>
                </w:p>
              </w:tc>
              <w:tc>
                <w:tcPr>
                  <w:tcW w:w="756"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劳务</w:t>
                  </w:r>
                </w:p>
              </w:tc>
              <w:tc>
                <w:tcPr>
                  <w:tcW w:w="1226"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703" w:type="dxa"/>
                  <w:vMerge w:val="continue"/>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c>
                <w:tcPr>
                  <w:tcW w:w="896" w:type="dxa"/>
                  <w:vMerge w:val="continue"/>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c>
                <w:tcPr>
                  <w:tcW w:w="1164"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特种设备安装</w:t>
                  </w:r>
                </w:p>
              </w:tc>
              <w:tc>
                <w:tcPr>
                  <w:tcW w:w="733"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专业</w:t>
                  </w:r>
                </w:p>
              </w:tc>
              <w:tc>
                <w:tcPr>
                  <w:tcW w:w="756"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劳务</w:t>
                  </w:r>
                </w:p>
              </w:tc>
              <w:tc>
                <w:tcPr>
                  <w:tcW w:w="1226"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含电梯、天车等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703" w:type="dxa"/>
                  <w:vMerge w:val="continue"/>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c>
                <w:tcPr>
                  <w:tcW w:w="896" w:type="dxa"/>
                  <w:vMerge w:val="continue"/>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c>
                <w:tcPr>
                  <w:tcW w:w="1164"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消防</w:t>
                  </w:r>
                </w:p>
              </w:tc>
              <w:tc>
                <w:tcPr>
                  <w:tcW w:w="733"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专业</w:t>
                  </w:r>
                </w:p>
              </w:tc>
              <w:tc>
                <w:tcPr>
                  <w:tcW w:w="756"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劳务</w:t>
                  </w:r>
                </w:p>
              </w:tc>
              <w:tc>
                <w:tcPr>
                  <w:tcW w:w="1226"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703" w:type="dxa"/>
                  <w:vMerge w:val="continue"/>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c>
                <w:tcPr>
                  <w:tcW w:w="896" w:type="dxa"/>
                  <w:vMerge w:val="continue"/>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c>
                <w:tcPr>
                  <w:tcW w:w="1164"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绿化</w:t>
                  </w:r>
                </w:p>
              </w:tc>
              <w:tc>
                <w:tcPr>
                  <w:tcW w:w="733"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专业</w:t>
                  </w:r>
                </w:p>
              </w:tc>
              <w:tc>
                <w:tcPr>
                  <w:tcW w:w="756"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劳务</w:t>
                  </w:r>
                </w:p>
              </w:tc>
              <w:tc>
                <w:tcPr>
                  <w:tcW w:w="1226"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703" w:type="dxa"/>
                  <w:vMerge w:val="continue"/>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c>
                <w:tcPr>
                  <w:tcW w:w="896" w:type="dxa"/>
                  <w:vMerge w:val="continue"/>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c>
                <w:tcPr>
                  <w:tcW w:w="1164"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给排水</w:t>
                  </w:r>
                </w:p>
              </w:tc>
              <w:tc>
                <w:tcPr>
                  <w:tcW w:w="733"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专业</w:t>
                  </w:r>
                </w:p>
              </w:tc>
              <w:tc>
                <w:tcPr>
                  <w:tcW w:w="756"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劳务</w:t>
                  </w:r>
                </w:p>
              </w:tc>
              <w:tc>
                <w:tcPr>
                  <w:tcW w:w="1226"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703" w:type="dxa"/>
                  <w:vMerge w:val="restart"/>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1.2.2</w:t>
                  </w:r>
                </w:p>
              </w:tc>
              <w:tc>
                <w:tcPr>
                  <w:tcW w:w="896" w:type="dxa"/>
                  <w:vMerge w:val="restart"/>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线路工程</w:t>
                  </w:r>
                </w:p>
              </w:tc>
              <w:tc>
                <w:tcPr>
                  <w:tcW w:w="1164"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核相、线路参数测试</w:t>
                  </w:r>
                </w:p>
              </w:tc>
              <w:tc>
                <w:tcPr>
                  <w:tcW w:w="733"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专业</w:t>
                  </w:r>
                </w:p>
              </w:tc>
              <w:tc>
                <w:tcPr>
                  <w:tcW w:w="756"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无</w:t>
                  </w:r>
                </w:p>
              </w:tc>
              <w:tc>
                <w:tcPr>
                  <w:tcW w:w="1226"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703" w:type="dxa"/>
                  <w:vMerge w:val="continue"/>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c>
                <w:tcPr>
                  <w:tcW w:w="896" w:type="dxa"/>
                  <w:vMerge w:val="continue"/>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c>
                <w:tcPr>
                  <w:tcW w:w="1164"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土石方工程</w:t>
                  </w:r>
                </w:p>
              </w:tc>
              <w:tc>
                <w:tcPr>
                  <w:tcW w:w="733"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专业</w:t>
                  </w:r>
                </w:p>
              </w:tc>
              <w:tc>
                <w:tcPr>
                  <w:tcW w:w="756"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劳务</w:t>
                  </w:r>
                </w:p>
              </w:tc>
              <w:tc>
                <w:tcPr>
                  <w:tcW w:w="1226" w:type="dxa"/>
                  <w:vMerge w:val="restart"/>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含工地运输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703" w:type="dxa"/>
                  <w:vMerge w:val="continue"/>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c>
                <w:tcPr>
                  <w:tcW w:w="896" w:type="dxa"/>
                  <w:vMerge w:val="continue"/>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c>
                <w:tcPr>
                  <w:tcW w:w="1164"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基础工程</w:t>
                  </w:r>
                </w:p>
              </w:tc>
              <w:tc>
                <w:tcPr>
                  <w:tcW w:w="733"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专业</w:t>
                  </w:r>
                </w:p>
              </w:tc>
              <w:tc>
                <w:tcPr>
                  <w:tcW w:w="756"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劳务</w:t>
                  </w:r>
                </w:p>
              </w:tc>
              <w:tc>
                <w:tcPr>
                  <w:tcW w:w="1226" w:type="dxa"/>
                  <w:vMerge w:val="continue"/>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703" w:type="dxa"/>
                  <w:vMerge w:val="continue"/>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c>
                <w:tcPr>
                  <w:tcW w:w="896" w:type="dxa"/>
                  <w:vMerge w:val="continue"/>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c>
                <w:tcPr>
                  <w:tcW w:w="1164"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防水防腐保温工程</w:t>
                  </w:r>
                </w:p>
              </w:tc>
              <w:tc>
                <w:tcPr>
                  <w:tcW w:w="733"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专业</w:t>
                  </w:r>
                </w:p>
              </w:tc>
              <w:tc>
                <w:tcPr>
                  <w:tcW w:w="756"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劳务</w:t>
                  </w:r>
                </w:p>
              </w:tc>
              <w:tc>
                <w:tcPr>
                  <w:tcW w:w="1226"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703" w:type="dxa"/>
                  <w:vMerge w:val="restart"/>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1.2.3</w:t>
                  </w:r>
                </w:p>
              </w:tc>
              <w:tc>
                <w:tcPr>
                  <w:tcW w:w="896" w:type="dxa"/>
                  <w:vMerge w:val="restart"/>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电缆工程</w:t>
                  </w:r>
                </w:p>
              </w:tc>
              <w:tc>
                <w:tcPr>
                  <w:tcW w:w="1164"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电缆特殊试验</w:t>
                  </w:r>
                </w:p>
              </w:tc>
              <w:tc>
                <w:tcPr>
                  <w:tcW w:w="733"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专业</w:t>
                  </w:r>
                </w:p>
              </w:tc>
              <w:tc>
                <w:tcPr>
                  <w:tcW w:w="756"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w:t>
                  </w:r>
                </w:p>
              </w:tc>
              <w:tc>
                <w:tcPr>
                  <w:tcW w:w="1226"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703" w:type="dxa"/>
                  <w:vMerge w:val="continue"/>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c>
                <w:tcPr>
                  <w:tcW w:w="896" w:type="dxa"/>
                  <w:vMerge w:val="continue"/>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c>
                <w:tcPr>
                  <w:tcW w:w="1164"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电缆沟、井、隧道及保护管工程</w:t>
                  </w:r>
                </w:p>
              </w:tc>
              <w:tc>
                <w:tcPr>
                  <w:tcW w:w="733"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专业</w:t>
                  </w:r>
                </w:p>
              </w:tc>
              <w:tc>
                <w:tcPr>
                  <w:tcW w:w="756"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劳务</w:t>
                  </w:r>
                </w:p>
              </w:tc>
              <w:tc>
                <w:tcPr>
                  <w:tcW w:w="1226"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含防火封堵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703" w:type="dxa"/>
                  <w:vMerge w:val="continue"/>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c>
                <w:tcPr>
                  <w:tcW w:w="896" w:type="dxa"/>
                  <w:vMerge w:val="continue"/>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c>
                <w:tcPr>
                  <w:tcW w:w="1164"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电缆支架、桥架及托架工程</w:t>
                  </w:r>
                </w:p>
              </w:tc>
              <w:tc>
                <w:tcPr>
                  <w:tcW w:w="733"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专业</w:t>
                  </w:r>
                </w:p>
              </w:tc>
              <w:tc>
                <w:tcPr>
                  <w:tcW w:w="756"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劳务</w:t>
                  </w:r>
                </w:p>
              </w:tc>
              <w:tc>
                <w:tcPr>
                  <w:tcW w:w="1226"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703" w:type="dxa"/>
                  <w:vMerge w:val="continue"/>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c>
                <w:tcPr>
                  <w:tcW w:w="896" w:type="dxa"/>
                  <w:vMerge w:val="continue"/>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c>
                <w:tcPr>
                  <w:tcW w:w="1164"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路面处理</w:t>
                  </w:r>
                </w:p>
              </w:tc>
              <w:tc>
                <w:tcPr>
                  <w:tcW w:w="733"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专业</w:t>
                  </w:r>
                </w:p>
              </w:tc>
              <w:tc>
                <w:tcPr>
                  <w:tcW w:w="756"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劳务</w:t>
                  </w:r>
                </w:p>
              </w:tc>
              <w:tc>
                <w:tcPr>
                  <w:tcW w:w="1226"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703" w:type="dxa"/>
                  <w:vMerge w:val="restart"/>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1.2.4</w:t>
                  </w:r>
                </w:p>
              </w:tc>
              <w:tc>
                <w:tcPr>
                  <w:tcW w:w="896" w:type="dxa"/>
                  <w:vMerge w:val="restart"/>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通信工程</w:t>
                  </w:r>
                </w:p>
              </w:tc>
              <w:tc>
                <w:tcPr>
                  <w:tcW w:w="1164"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土建</w:t>
                  </w:r>
                </w:p>
              </w:tc>
              <w:tc>
                <w:tcPr>
                  <w:tcW w:w="733"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专业</w:t>
                  </w:r>
                </w:p>
              </w:tc>
              <w:tc>
                <w:tcPr>
                  <w:tcW w:w="756"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劳务</w:t>
                  </w:r>
                </w:p>
              </w:tc>
              <w:tc>
                <w:tcPr>
                  <w:tcW w:w="1226"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703" w:type="dxa"/>
                  <w:vMerge w:val="continue"/>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c>
                <w:tcPr>
                  <w:tcW w:w="896" w:type="dxa"/>
                  <w:vMerge w:val="continue"/>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c>
                <w:tcPr>
                  <w:tcW w:w="1164"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工地运输</w:t>
                  </w:r>
                </w:p>
              </w:tc>
              <w:tc>
                <w:tcPr>
                  <w:tcW w:w="733"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专业</w:t>
                  </w:r>
                </w:p>
              </w:tc>
              <w:tc>
                <w:tcPr>
                  <w:tcW w:w="756"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劳务</w:t>
                  </w:r>
                </w:p>
              </w:tc>
              <w:tc>
                <w:tcPr>
                  <w:tcW w:w="1226"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703" w:type="dxa"/>
                  <w:vMerge w:val="continue"/>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c>
                <w:tcPr>
                  <w:tcW w:w="896" w:type="dxa"/>
                  <w:vMerge w:val="continue"/>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c>
                <w:tcPr>
                  <w:tcW w:w="1164"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光设备安装与调试</w:t>
                  </w:r>
                </w:p>
              </w:tc>
              <w:tc>
                <w:tcPr>
                  <w:tcW w:w="733"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专业</w:t>
                  </w:r>
                </w:p>
              </w:tc>
              <w:tc>
                <w:tcPr>
                  <w:tcW w:w="756"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劳务</w:t>
                  </w:r>
                </w:p>
              </w:tc>
              <w:tc>
                <w:tcPr>
                  <w:tcW w:w="1226"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703" w:type="dxa"/>
                  <w:vMerge w:val="continue"/>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c>
                <w:tcPr>
                  <w:tcW w:w="896" w:type="dxa"/>
                  <w:vMerge w:val="continue"/>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c>
                <w:tcPr>
                  <w:tcW w:w="1164"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配电设备安装与调试</w:t>
                  </w:r>
                </w:p>
              </w:tc>
              <w:tc>
                <w:tcPr>
                  <w:tcW w:w="733"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专业</w:t>
                  </w:r>
                </w:p>
              </w:tc>
              <w:tc>
                <w:tcPr>
                  <w:tcW w:w="756"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劳务</w:t>
                  </w:r>
                </w:p>
              </w:tc>
              <w:tc>
                <w:tcPr>
                  <w:tcW w:w="1226"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703" w:type="dxa"/>
                  <w:vMerge w:val="continue"/>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c>
                <w:tcPr>
                  <w:tcW w:w="896" w:type="dxa"/>
                  <w:vMerge w:val="continue"/>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c>
                <w:tcPr>
                  <w:tcW w:w="1164"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电缆及接地</w:t>
                  </w:r>
                </w:p>
              </w:tc>
              <w:tc>
                <w:tcPr>
                  <w:tcW w:w="733"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专业</w:t>
                  </w:r>
                </w:p>
              </w:tc>
              <w:tc>
                <w:tcPr>
                  <w:tcW w:w="756"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劳务</w:t>
                  </w:r>
                </w:p>
              </w:tc>
              <w:tc>
                <w:tcPr>
                  <w:tcW w:w="1226"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703" w:type="dxa"/>
                  <w:vMerge w:val="continue"/>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c>
                <w:tcPr>
                  <w:tcW w:w="896" w:type="dxa"/>
                  <w:vMerge w:val="continue"/>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c>
                <w:tcPr>
                  <w:tcW w:w="1164"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光缆敷设与架设</w:t>
                  </w:r>
                </w:p>
              </w:tc>
              <w:tc>
                <w:tcPr>
                  <w:tcW w:w="733"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专业</w:t>
                  </w:r>
                </w:p>
              </w:tc>
              <w:tc>
                <w:tcPr>
                  <w:tcW w:w="756"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劳务</w:t>
                  </w:r>
                </w:p>
              </w:tc>
              <w:tc>
                <w:tcPr>
                  <w:tcW w:w="1226"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703" w:type="dxa"/>
                  <w:vMerge w:val="continue"/>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c>
                <w:tcPr>
                  <w:tcW w:w="896" w:type="dxa"/>
                  <w:vMerge w:val="continue"/>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c>
                <w:tcPr>
                  <w:tcW w:w="1164"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光缆头制作与安装</w:t>
                  </w:r>
                </w:p>
              </w:tc>
              <w:tc>
                <w:tcPr>
                  <w:tcW w:w="733"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专业</w:t>
                  </w:r>
                </w:p>
              </w:tc>
              <w:tc>
                <w:tcPr>
                  <w:tcW w:w="756"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劳务</w:t>
                  </w:r>
                </w:p>
              </w:tc>
              <w:tc>
                <w:tcPr>
                  <w:tcW w:w="1226"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703" w:type="dxa"/>
                  <w:vMerge w:val="continue"/>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c>
                <w:tcPr>
                  <w:tcW w:w="896" w:type="dxa"/>
                  <w:vMerge w:val="continue"/>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c>
                <w:tcPr>
                  <w:tcW w:w="1164"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光缆测试</w:t>
                  </w:r>
                </w:p>
              </w:tc>
              <w:tc>
                <w:tcPr>
                  <w:tcW w:w="733"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专业</w:t>
                  </w:r>
                </w:p>
              </w:tc>
              <w:tc>
                <w:tcPr>
                  <w:tcW w:w="756"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劳务</w:t>
                  </w:r>
                </w:p>
              </w:tc>
              <w:tc>
                <w:tcPr>
                  <w:tcW w:w="1226"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703"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w:t>
                  </w:r>
                </w:p>
              </w:tc>
              <w:tc>
                <w:tcPr>
                  <w:tcW w:w="896"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配网工程</w:t>
                  </w:r>
                </w:p>
              </w:tc>
              <w:tc>
                <w:tcPr>
                  <w:tcW w:w="1164"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c>
                <w:tcPr>
                  <w:tcW w:w="733"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c>
                <w:tcPr>
                  <w:tcW w:w="756"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c>
                <w:tcPr>
                  <w:tcW w:w="1226"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703"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2.1</w:t>
                  </w:r>
                </w:p>
              </w:tc>
              <w:tc>
                <w:tcPr>
                  <w:tcW w:w="896"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主体工程</w:t>
                  </w:r>
                </w:p>
              </w:tc>
              <w:tc>
                <w:tcPr>
                  <w:tcW w:w="1164"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c>
                <w:tcPr>
                  <w:tcW w:w="733"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c>
                <w:tcPr>
                  <w:tcW w:w="756"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c>
                <w:tcPr>
                  <w:tcW w:w="1226"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jc w:val="center"/>
              </w:trPr>
              <w:tc>
                <w:tcPr>
                  <w:tcW w:w="703"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2.1.1</w:t>
                  </w:r>
                </w:p>
              </w:tc>
              <w:tc>
                <w:tcPr>
                  <w:tcW w:w="896"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配电站（开关站）工程</w:t>
                  </w:r>
                </w:p>
              </w:tc>
              <w:tc>
                <w:tcPr>
                  <w:tcW w:w="1164"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配电装置安装及调试</w:t>
                  </w:r>
                </w:p>
              </w:tc>
              <w:tc>
                <w:tcPr>
                  <w:tcW w:w="733"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劳务</w:t>
                  </w:r>
                </w:p>
              </w:tc>
              <w:tc>
                <w:tcPr>
                  <w:tcW w:w="756"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w:t>
                  </w:r>
                </w:p>
              </w:tc>
              <w:tc>
                <w:tcPr>
                  <w:tcW w:w="1226"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jc w:val="center"/>
              </w:trPr>
              <w:tc>
                <w:tcPr>
                  <w:tcW w:w="703" w:type="dxa"/>
                  <w:vMerge w:val="restart"/>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2.1.2</w:t>
                  </w:r>
                </w:p>
              </w:tc>
              <w:tc>
                <w:tcPr>
                  <w:tcW w:w="896" w:type="dxa"/>
                  <w:vMerge w:val="restart"/>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架空线路工程</w:t>
                  </w:r>
                </w:p>
              </w:tc>
              <w:tc>
                <w:tcPr>
                  <w:tcW w:w="1164"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杆塔工程</w:t>
                  </w:r>
                </w:p>
              </w:tc>
              <w:tc>
                <w:tcPr>
                  <w:tcW w:w="733"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劳务</w:t>
                  </w:r>
                </w:p>
              </w:tc>
              <w:tc>
                <w:tcPr>
                  <w:tcW w:w="756"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w:t>
                  </w:r>
                </w:p>
              </w:tc>
              <w:tc>
                <w:tcPr>
                  <w:tcW w:w="1226"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jc w:val="center"/>
              </w:trPr>
              <w:tc>
                <w:tcPr>
                  <w:tcW w:w="703" w:type="dxa"/>
                  <w:vMerge w:val="continue"/>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c>
                <w:tcPr>
                  <w:tcW w:w="896" w:type="dxa"/>
                  <w:vMerge w:val="continue"/>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c>
                <w:tcPr>
                  <w:tcW w:w="1164"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架线工程</w:t>
                  </w:r>
                </w:p>
              </w:tc>
              <w:tc>
                <w:tcPr>
                  <w:tcW w:w="733"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劳务</w:t>
                  </w:r>
                </w:p>
              </w:tc>
              <w:tc>
                <w:tcPr>
                  <w:tcW w:w="756"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w:t>
                  </w:r>
                </w:p>
              </w:tc>
              <w:tc>
                <w:tcPr>
                  <w:tcW w:w="1226"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jc w:val="center"/>
              </w:trPr>
              <w:tc>
                <w:tcPr>
                  <w:tcW w:w="703" w:type="dxa"/>
                  <w:vMerge w:val="continue"/>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c>
                <w:tcPr>
                  <w:tcW w:w="896" w:type="dxa"/>
                  <w:vMerge w:val="continue"/>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c>
                <w:tcPr>
                  <w:tcW w:w="1164"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杆上变配电装置安装及调试</w:t>
                  </w:r>
                </w:p>
              </w:tc>
              <w:tc>
                <w:tcPr>
                  <w:tcW w:w="733"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劳务</w:t>
                  </w:r>
                </w:p>
              </w:tc>
              <w:tc>
                <w:tcPr>
                  <w:tcW w:w="756"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w:t>
                  </w:r>
                </w:p>
              </w:tc>
              <w:tc>
                <w:tcPr>
                  <w:tcW w:w="1226"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jc w:val="center"/>
              </w:trPr>
              <w:tc>
                <w:tcPr>
                  <w:tcW w:w="703" w:type="dxa"/>
                  <w:vMerge w:val="restart"/>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2.1.3</w:t>
                  </w:r>
                </w:p>
              </w:tc>
              <w:tc>
                <w:tcPr>
                  <w:tcW w:w="896" w:type="dxa"/>
                  <w:vMerge w:val="restart"/>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电缆线路工程</w:t>
                  </w:r>
                </w:p>
              </w:tc>
              <w:tc>
                <w:tcPr>
                  <w:tcW w:w="1164"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电缆敷设</w:t>
                  </w:r>
                </w:p>
              </w:tc>
              <w:tc>
                <w:tcPr>
                  <w:tcW w:w="733"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劳务</w:t>
                  </w:r>
                </w:p>
              </w:tc>
              <w:tc>
                <w:tcPr>
                  <w:tcW w:w="756"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w:t>
                  </w:r>
                </w:p>
              </w:tc>
              <w:tc>
                <w:tcPr>
                  <w:tcW w:w="1226"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jc w:val="center"/>
              </w:trPr>
              <w:tc>
                <w:tcPr>
                  <w:tcW w:w="703" w:type="dxa"/>
                  <w:vMerge w:val="continue"/>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c>
                <w:tcPr>
                  <w:tcW w:w="896" w:type="dxa"/>
                  <w:vMerge w:val="continue"/>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c>
                <w:tcPr>
                  <w:tcW w:w="1164"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电缆防火</w:t>
                  </w:r>
                </w:p>
              </w:tc>
              <w:tc>
                <w:tcPr>
                  <w:tcW w:w="733"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劳务</w:t>
                  </w:r>
                </w:p>
              </w:tc>
              <w:tc>
                <w:tcPr>
                  <w:tcW w:w="756"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w:t>
                  </w:r>
                </w:p>
              </w:tc>
              <w:tc>
                <w:tcPr>
                  <w:tcW w:w="1226"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jc w:val="center"/>
              </w:trPr>
              <w:tc>
                <w:tcPr>
                  <w:tcW w:w="703" w:type="dxa"/>
                  <w:vMerge w:val="continue"/>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c>
                <w:tcPr>
                  <w:tcW w:w="896" w:type="dxa"/>
                  <w:vMerge w:val="continue"/>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c>
                <w:tcPr>
                  <w:tcW w:w="1164"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避雷及接地</w:t>
                  </w:r>
                </w:p>
              </w:tc>
              <w:tc>
                <w:tcPr>
                  <w:tcW w:w="733"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劳务</w:t>
                  </w:r>
                </w:p>
              </w:tc>
              <w:tc>
                <w:tcPr>
                  <w:tcW w:w="756"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w:t>
                  </w:r>
                </w:p>
              </w:tc>
              <w:tc>
                <w:tcPr>
                  <w:tcW w:w="1226"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jc w:val="center"/>
              </w:trPr>
              <w:tc>
                <w:tcPr>
                  <w:tcW w:w="703" w:type="dxa"/>
                  <w:vMerge w:val="continue"/>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c>
                <w:tcPr>
                  <w:tcW w:w="896" w:type="dxa"/>
                  <w:vMerge w:val="continue"/>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c>
                <w:tcPr>
                  <w:tcW w:w="1164"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电缆常规试验</w:t>
                  </w:r>
                </w:p>
              </w:tc>
              <w:tc>
                <w:tcPr>
                  <w:tcW w:w="733"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劳务</w:t>
                  </w:r>
                </w:p>
              </w:tc>
              <w:tc>
                <w:tcPr>
                  <w:tcW w:w="756"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w:t>
                  </w:r>
                </w:p>
              </w:tc>
              <w:tc>
                <w:tcPr>
                  <w:tcW w:w="1226"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jc w:val="center"/>
              </w:trPr>
              <w:tc>
                <w:tcPr>
                  <w:tcW w:w="703"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2.2</w:t>
                  </w:r>
                </w:p>
              </w:tc>
              <w:tc>
                <w:tcPr>
                  <w:tcW w:w="896"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非主体工程</w:t>
                  </w:r>
                </w:p>
              </w:tc>
              <w:tc>
                <w:tcPr>
                  <w:tcW w:w="1164"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c>
                <w:tcPr>
                  <w:tcW w:w="733"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c>
                <w:tcPr>
                  <w:tcW w:w="756"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c>
                <w:tcPr>
                  <w:tcW w:w="1226"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703" w:type="dxa"/>
                  <w:vMerge w:val="restart"/>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2.2.1</w:t>
                  </w:r>
                </w:p>
              </w:tc>
              <w:tc>
                <w:tcPr>
                  <w:tcW w:w="896" w:type="dxa"/>
                  <w:vMerge w:val="restart"/>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配电站（开关站）</w:t>
                  </w:r>
                </w:p>
              </w:tc>
              <w:tc>
                <w:tcPr>
                  <w:tcW w:w="1164"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土建</w:t>
                  </w:r>
                </w:p>
              </w:tc>
              <w:tc>
                <w:tcPr>
                  <w:tcW w:w="733"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专业</w:t>
                  </w:r>
                </w:p>
              </w:tc>
              <w:tc>
                <w:tcPr>
                  <w:tcW w:w="756"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劳务</w:t>
                  </w:r>
                </w:p>
              </w:tc>
              <w:tc>
                <w:tcPr>
                  <w:tcW w:w="1226"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含进站道路、排水等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703" w:type="dxa"/>
                  <w:vMerge w:val="continue"/>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c>
                <w:tcPr>
                  <w:tcW w:w="896" w:type="dxa"/>
                  <w:vMerge w:val="continue"/>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c>
                <w:tcPr>
                  <w:tcW w:w="1164"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消防</w:t>
                  </w:r>
                </w:p>
              </w:tc>
              <w:tc>
                <w:tcPr>
                  <w:tcW w:w="733"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专业</w:t>
                  </w:r>
                </w:p>
              </w:tc>
              <w:tc>
                <w:tcPr>
                  <w:tcW w:w="756"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劳务</w:t>
                  </w:r>
                </w:p>
              </w:tc>
              <w:tc>
                <w:tcPr>
                  <w:tcW w:w="1226"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703" w:type="dxa"/>
                  <w:vMerge w:val="continue"/>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c>
                <w:tcPr>
                  <w:tcW w:w="896" w:type="dxa"/>
                  <w:vMerge w:val="continue"/>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c>
                <w:tcPr>
                  <w:tcW w:w="1164"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绿化</w:t>
                  </w:r>
                </w:p>
              </w:tc>
              <w:tc>
                <w:tcPr>
                  <w:tcW w:w="733"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专业</w:t>
                  </w:r>
                </w:p>
              </w:tc>
              <w:tc>
                <w:tcPr>
                  <w:tcW w:w="756"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劳务</w:t>
                  </w:r>
                </w:p>
              </w:tc>
              <w:tc>
                <w:tcPr>
                  <w:tcW w:w="1226"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703" w:type="dxa"/>
                  <w:vMerge w:val="restart"/>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2.2.2</w:t>
                  </w:r>
                </w:p>
              </w:tc>
              <w:tc>
                <w:tcPr>
                  <w:tcW w:w="896" w:type="dxa"/>
                  <w:vMerge w:val="restart"/>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架空线路工程</w:t>
                  </w:r>
                </w:p>
              </w:tc>
              <w:tc>
                <w:tcPr>
                  <w:tcW w:w="1164"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带电作业</w:t>
                  </w:r>
                </w:p>
              </w:tc>
              <w:tc>
                <w:tcPr>
                  <w:tcW w:w="733"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专业</w:t>
                  </w:r>
                </w:p>
              </w:tc>
              <w:tc>
                <w:tcPr>
                  <w:tcW w:w="756"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劳务</w:t>
                  </w:r>
                </w:p>
              </w:tc>
              <w:tc>
                <w:tcPr>
                  <w:tcW w:w="1226"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703" w:type="dxa"/>
                  <w:vMerge w:val="continue"/>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c>
                <w:tcPr>
                  <w:tcW w:w="896" w:type="dxa"/>
                  <w:vMerge w:val="continue"/>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c>
                <w:tcPr>
                  <w:tcW w:w="1164"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土石方工程</w:t>
                  </w:r>
                </w:p>
              </w:tc>
              <w:tc>
                <w:tcPr>
                  <w:tcW w:w="733"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专业</w:t>
                  </w:r>
                </w:p>
              </w:tc>
              <w:tc>
                <w:tcPr>
                  <w:tcW w:w="756"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劳务</w:t>
                  </w:r>
                </w:p>
              </w:tc>
              <w:tc>
                <w:tcPr>
                  <w:tcW w:w="1226"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703" w:type="dxa"/>
                  <w:vMerge w:val="continue"/>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c>
                <w:tcPr>
                  <w:tcW w:w="896" w:type="dxa"/>
                  <w:vMerge w:val="continue"/>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c>
                <w:tcPr>
                  <w:tcW w:w="1164"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基础工程</w:t>
                  </w:r>
                </w:p>
              </w:tc>
              <w:tc>
                <w:tcPr>
                  <w:tcW w:w="733"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专业</w:t>
                  </w:r>
                </w:p>
              </w:tc>
              <w:tc>
                <w:tcPr>
                  <w:tcW w:w="756"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劳务</w:t>
                  </w:r>
                </w:p>
              </w:tc>
              <w:tc>
                <w:tcPr>
                  <w:tcW w:w="1226"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jc w:val="center"/>
              </w:trPr>
              <w:tc>
                <w:tcPr>
                  <w:tcW w:w="703" w:type="dxa"/>
                  <w:vMerge w:val="continue"/>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c>
                <w:tcPr>
                  <w:tcW w:w="896" w:type="dxa"/>
                  <w:vMerge w:val="continue"/>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c>
                <w:tcPr>
                  <w:tcW w:w="1164"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护坡、挡土墙及防洪沟</w:t>
                  </w:r>
                </w:p>
              </w:tc>
              <w:tc>
                <w:tcPr>
                  <w:tcW w:w="733"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专业</w:t>
                  </w:r>
                </w:p>
              </w:tc>
              <w:tc>
                <w:tcPr>
                  <w:tcW w:w="756"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劳务</w:t>
                  </w:r>
                </w:p>
              </w:tc>
              <w:tc>
                <w:tcPr>
                  <w:tcW w:w="1226"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703" w:type="dxa"/>
                  <w:vMerge w:val="restart"/>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2.2.3</w:t>
                  </w:r>
                </w:p>
              </w:tc>
              <w:tc>
                <w:tcPr>
                  <w:tcW w:w="896" w:type="dxa"/>
                  <w:vMerge w:val="restart"/>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电缆线路工程</w:t>
                  </w:r>
                </w:p>
              </w:tc>
              <w:tc>
                <w:tcPr>
                  <w:tcW w:w="1164"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电缆沟工程</w:t>
                  </w:r>
                </w:p>
              </w:tc>
              <w:tc>
                <w:tcPr>
                  <w:tcW w:w="733"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专业</w:t>
                  </w:r>
                </w:p>
              </w:tc>
              <w:tc>
                <w:tcPr>
                  <w:tcW w:w="756"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劳务</w:t>
                  </w:r>
                </w:p>
              </w:tc>
              <w:tc>
                <w:tcPr>
                  <w:tcW w:w="1226"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703" w:type="dxa"/>
                  <w:vMerge w:val="continue"/>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c>
                <w:tcPr>
                  <w:tcW w:w="896" w:type="dxa"/>
                  <w:vMerge w:val="continue"/>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c>
                <w:tcPr>
                  <w:tcW w:w="1164"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电缆隧道工程</w:t>
                  </w:r>
                </w:p>
              </w:tc>
              <w:tc>
                <w:tcPr>
                  <w:tcW w:w="733"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专业</w:t>
                  </w:r>
                </w:p>
              </w:tc>
              <w:tc>
                <w:tcPr>
                  <w:tcW w:w="756"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劳务</w:t>
                  </w:r>
                </w:p>
              </w:tc>
              <w:tc>
                <w:tcPr>
                  <w:tcW w:w="1226"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703" w:type="dxa"/>
                  <w:vMerge w:val="continue"/>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c>
                <w:tcPr>
                  <w:tcW w:w="896" w:type="dxa"/>
                  <w:vMerge w:val="continue"/>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c>
                <w:tcPr>
                  <w:tcW w:w="1164"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电缆排管工程</w:t>
                  </w:r>
                </w:p>
              </w:tc>
              <w:tc>
                <w:tcPr>
                  <w:tcW w:w="733"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专业</w:t>
                  </w:r>
                </w:p>
              </w:tc>
              <w:tc>
                <w:tcPr>
                  <w:tcW w:w="756"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劳务</w:t>
                  </w:r>
                </w:p>
              </w:tc>
              <w:tc>
                <w:tcPr>
                  <w:tcW w:w="1226"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703" w:type="dxa"/>
                  <w:vMerge w:val="continue"/>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c>
                <w:tcPr>
                  <w:tcW w:w="896" w:type="dxa"/>
                  <w:vMerge w:val="continue"/>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c>
                <w:tcPr>
                  <w:tcW w:w="1164"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电缆顶管</w:t>
                  </w:r>
                </w:p>
              </w:tc>
              <w:tc>
                <w:tcPr>
                  <w:tcW w:w="733"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专业</w:t>
                  </w:r>
                </w:p>
              </w:tc>
              <w:tc>
                <w:tcPr>
                  <w:tcW w:w="756"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劳务</w:t>
                  </w:r>
                </w:p>
              </w:tc>
              <w:tc>
                <w:tcPr>
                  <w:tcW w:w="1226"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703" w:type="dxa"/>
                  <w:vMerge w:val="continue"/>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c>
                <w:tcPr>
                  <w:tcW w:w="896" w:type="dxa"/>
                  <w:vMerge w:val="continue"/>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c>
                <w:tcPr>
                  <w:tcW w:w="1164"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电缆线路特殊试验</w:t>
                  </w:r>
                </w:p>
              </w:tc>
              <w:tc>
                <w:tcPr>
                  <w:tcW w:w="733"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专业</w:t>
                  </w:r>
                </w:p>
              </w:tc>
              <w:tc>
                <w:tcPr>
                  <w:tcW w:w="756"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无</w:t>
                  </w:r>
                </w:p>
              </w:tc>
              <w:tc>
                <w:tcPr>
                  <w:tcW w:w="1226"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703" w:type="dxa"/>
                  <w:vMerge w:val="restart"/>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2.2.4</w:t>
                  </w:r>
                </w:p>
              </w:tc>
              <w:tc>
                <w:tcPr>
                  <w:tcW w:w="896" w:type="dxa"/>
                  <w:vMerge w:val="restart"/>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通信及配网自动化</w:t>
                  </w:r>
                </w:p>
              </w:tc>
              <w:tc>
                <w:tcPr>
                  <w:tcW w:w="1164"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通信系统</w:t>
                  </w:r>
                </w:p>
              </w:tc>
              <w:tc>
                <w:tcPr>
                  <w:tcW w:w="733"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专业</w:t>
                  </w:r>
                </w:p>
              </w:tc>
              <w:tc>
                <w:tcPr>
                  <w:tcW w:w="756"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劳务</w:t>
                  </w:r>
                </w:p>
              </w:tc>
              <w:tc>
                <w:tcPr>
                  <w:tcW w:w="1226"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703" w:type="dxa"/>
                  <w:vMerge w:val="continue"/>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c>
                <w:tcPr>
                  <w:tcW w:w="896" w:type="dxa"/>
                  <w:vMerge w:val="continue"/>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c>
                <w:tcPr>
                  <w:tcW w:w="1164"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调度自动化</w:t>
                  </w:r>
                </w:p>
              </w:tc>
              <w:tc>
                <w:tcPr>
                  <w:tcW w:w="733"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专业</w:t>
                  </w:r>
                </w:p>
              </w:tc>
              <w:tc>
                <w:tcPr>
                  <w:tcW w:w="756"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劳务</w:t>
                  </w:r>
                </w:p>
              </w:tc>
              <w:tc>
                <w:tcPr>
                  <w:tcW w:w="1226"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703" w:type="dxa"/>
                  <w:vMerge w:val="continue"/>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c>
                <w:tcPr>
                  <w:tcW w:w="896" w:type="dxa"/>
                  <w:vMerge w:val="continue"/>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c>
                <w:tcPr>
                  <w:tcW w:w="1164"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集中抄表系统</w:t>
                  </w:r>
                </w:p>
              </w:tc>
              <w:tc>
                <w:tcPr>
                  <w:tcW w:w="733"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专业</w:t>
                  </w:r>
                </w:p>
              </w:tc>
              <w:tc>
                <w:tcPr>
                  <w:tcW w:w="756"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劳务</w:t>
                  </w:r>
                </w:p>
              </w:tc>
              <w:tc>
                <w:tcPr>
                  <w:tcW w:w="1226"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宋体" w:hAnsi="宋体" w:eastAsia="宋体" w:cs="宋体"/>
                      <w:color w:val="auto"/>
                      <w:sz w:val="21"/>
                      <w:szCs w:val="21"/>
                      <w:highlight w:val="none"/>
                    </w:rPr>
                  </w:pPr>
                </w:p>
              </w:tc>
            </w:tr>
          </w:tbl>
          <w:p>
            <w:pPr>
              <w:keepNext w:val="0"/>
              <w:keepLines w:val="0"/>
              <w:pageBreakBefore w:val="0"/>
              <w:kinsoku/>
              <w:wordWrap/>
              <w:overflowPunct/>
              <w:topLinePunct w:val="0"/>
              <w:bidi w:val="0"/>
              <w:spacing w:line="240" w:lineRule="auto"/>
              <w:jc w:val="left"/>
              <w:rPr>
                <w:rFonts w:hint="eastAsia" w:ascii="宋体" w:hAnsi="宋体" w:eastAsia="宋体" w:cs="宋体"/>
                <w:color w:val="auto"/>
                <w:sz w:val="21"/>
                <w:szCs w:val="21"/>
                <w:highlight w:val="none"/>
              </w:rPr>
            </w:pPr>
          </w:p>
          <w:p>
            <w:pPr>
              <w:keepNext w:val="0"/>
              <w:keepLines w:val="0"/>
              <w:pageBreakBefore w:val="0"/>
              <w:kinsoku/>
              <w:wordWrap/>
              <w:overflowPunct/>
              <w:topLinePunct w:val="0"/>
              <w:bidi w:val="0"/>
              <w:snapToGrid w:val="0"/>
              <w:spacing w:line="240" w:lineRule="auto"/>
              <w:ind w:firstLine="527" w:firstLineChars="250"/>
              <w:rPr>
                <w:rFonts w:hint="eastAsia" w:ascii="宋体" w:hAnsi="宋体" w:eastAsia="宋体" w:cs="宋体"/>
                <w:b/>
                <w:color w:val="auto"/>
                <w:sz w:val="21"/>
                <w:szCs w:val="21"/>
                <w:highlight w:val="none"/>
              </w:rPr>
            </w:pPr>
            <w:r>
              <w:rPr>
                <w:rFonts w:hint="eastAsia" w:ascii="宋体" w:hAnsi="宋体" w:eastAsia="宋体" w:cs="宋体"/>
                <w:b/>
                <w:i w:val="0"/>
                <w:iCs/>
                <w:color w:val="auto"/>
                <w:kern w:val="0"/>
                <w:sz w:val="21"/>
                <w:szCs w:val="21"/>
                <w:highlight w:val="none"/>
                <w:shd w:val="clear" w:color="auto" w:fill="auto"/>
                <w:lang w:val="en-US" w:eastAsia="zh-CN" w:bidi="ar-SA"/>
              </w:rPr>
              <w:br w:type="page"/>
            </w:r>
          </w:p>
        </w:tc>
        <w:tc>
          <w:tcPr>
            <w:tcW w:w="687" w:type="dxa"/>
            <w:noWrap w:val="0"/>
            <w:vAlign w:val="center"/>
          </w:tcPr>
          <w:p>
            <w:pPr>
              <w:keepNext w:val="0"/>
              <w:keepLines w:val="0"/>
              <w:pageBreakBefore w:val="0"/>
              <w:widowControl/>
              <w:kinsoku/>
              <w:wordWrap/>
              <w:overflowPunct/>
              <w:topLinePunct w:val="0"/>
              <w:bidi w:val="0"/>
              <w:spacing w:line="240" w:lineRule="auto"/>
              <w:ind w:firstLine="0" w:firstLineChars="0"/>
              <w:jc w:val="left"/>
              <w:textAlignment w:val="auto"/>
              <w:rPr>
                <w:rFonts w:hint="eastAsia" w:ascii="宋体" w:hAnsi="宋体" w:eastAsia="宋体" w:cs="宋体"/>
                <w:color w:val="auto"/>
                <w:kern w:val="0"/>
                <w:sz w:val="21"/>
                <w:szCs w:val="21"/>
                <w:highlight w:val="none"/>
              </w:rPr>
            </w:pPr>
          </w:p>
        </w:tc>
      </w:tr>
    </w:tbl>
    <w:p>
      <w:pPr>
        <w:pStyle w:val="2"/>
        <w:rPr>
          <w:color w:val="auto"/>
          <w:highlight w:val="none"/>
        </w:rPr>
      </w:pP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AEF8765"/>
    <w:multiLevelType w:val="singleLevel"/>
    <w:tmpl w:val="BAEF8765"/>
    <w:lvl w:ilvl="0" w:tentative="0">
      <w:start w:val="14"/>
      <w:numFmt w:val="decimal"/>
      <w:lvlText w:val="%1."/>
      <w:lvlJc w:val="left"/>
      <w:pPr>
        <w:tabs>
          <w:tab w:val="left" w:pos="312"/>
        </w:tabs>
      </w:pPr>
    </w:lvl>
  </w:abstractNum>
  <w:abstractNum w:abstractNumId="1">
    <w:nsid w:val="BCEE27E2"/>
    <w:multiLevelType w:val="singleLevel"/>
    <w:tmpl w:val="BCEE27E2"/>
    <w:lvl w:ilvl="0" w:tentative="0">
      <w:start w:val="2"/>
      <w:numFmt w:val="decimal"/>
      <w:suff w:val="nothing"/>
      <w:lvlText w:val="（%1）"/>
      <w:lvlJc w:val="left"/>
    </w:lvl>
  </w:abstractNum>
  <w:abstractNum w:abstractNumId="2">
    <w:nsid w:val="235B293B"/>
    <w:multiLevelType w:val="singleLevel"/>
    <w:tmpl w:val="235B293B"/>
    <w:lvl w:ilvl="0" w:tentative="0">
      <w:start w:val="14"/>
      <w:numFmt w:val="decimal"/>
      <w:lvlText w:val="%1."/>
      <w:lvlJc w:val="left"/>
      <w:pPr>
        <w:tabs>
          <w:tab w:val="left" w:pos="312"/>
        </w:tabs>
      </w:pPr>
    </w:lvl>
  </w:abstractNum>
  <w:abstractNum w:abstractNumId="3">
    <w:nsid w:val="5A97BCAD"/>
    <w:multiLevelType w:val="singleLevel"/>
    <w:tmpl w:val="5A97BCAD"/>
    <w:lvl w:ilvl="0" w:tentative="0">
      <w:start w:val="1"/>
      <w:numFmt w:val="lowerLetter"/>
      <w:suff w:val="nothing"/>
      <w:lvlText w:val="（%1）"/>
      <w:lvlJc w:val="left"/>
    </w:lvl>
  </w:abstractNum>
  <w:abstractNum w:abstractNumId="4">
    <w:nsid w:val="682228C0"/>
    <w:multiLevelType w:val="multilevel"/>
    <w:tmpl w:val="682228C0"/>
    <w:lvl w:ilvl="0" w:tentative="0">
      <w:start w:val="1"/>
      <w:numFmt w:val="decimal"/>
      <w:lvlText w:val="%1"/>
      <w:lvlJc w:val="left"/>
      <w:pPr>
        <w:ind w:left="988" w:hanging="420"/>
      </w:pPr>
      <w:rPr>
        <w:rFonts w:hint="eastAsia"/>
        <w:b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7027EAC5"/>
    <w:multiLevelType w:val="singleLevel"/>
    <w:tmpl w:val="7027EAC5"/>
    <w:lvl w:ilvl="0" w:tentative="0">
      <w:start w:val="14"/>
      <w:numFmt w:val="decimal"/>
      <w:lvlText w:val="%1."/>
      <w:lvlJc w:val="left"/>
      <w:pPr>
        <w:tabs>
          <w:tab w:val="left" w:pos="312"/>
        </w:tabs>
      </w:pPr>
    </w:lvl>
  </w:abstractNum>
  <w:num w:numId="1">
    <w:abstractNumId w:val="4"/>
  </w:num>
  <w:num w:numId="2">
    <w:abstractNumId w:val="1"/>
  </w:num>
  <w:num w:numId="3">
    <w:abstractNumId w:val="3"/>
  </w:num>
  <w:num w:numId="4">
    <w:abstractNumId w:val="2"/>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B616306"/>
    <w:rsid w:val="00265147"/>
    <w:rsid w:val="0039112A"/>
    <w:rsid w:val="00990C3C"/>
    <w:rsid w:val="00C77BAC"/>
    <w:rsid w:val="01152C4A"/>
    <w:rsid w:val="01CA71B1"/>
    <w:rsid w:val="01DF16E1"/>
    <w:rsid w:val="01E754AB"/>
    <w:rsid w:val="02210EF9"/>
    <w:rsid w:val="02324746"/>
    <w:rsid w:val="02447CA7"/>
    <w:rsid w:val="024C16C9"/>
    <w:rsid w:val="026139BE"/>
    <w:rsid w:val="02876226"/>
    <w:rsid w:val="02CB27EE"/>
    <w:rsid w:val="030E6796"/>
    <w:rsid w:val="034816E2"/>
    <w:rsid w:val="036440E9"/>
    <w:rsid w:val="03A86B10"/>
    <w:rsid w:val="042F7C87"/>
    <w:rsid w:val="043064B8"/>
    <w:rsid w:val="05132FA0"/>
    <w:rsid w:val="051E3CB5"/>
    <w:rsid w:val="05262DD2"/>
    <w:rsid w:val="05347593"/>
    <w:rsid w:val="053D7D22"/>
    <w:rsid w:val="056C2951"/>
    <w:rsid w:val="05933E20"/>
    <w:rsid w:val="059347D1"/>
    <w:rsid w:val="05D16997"/>
    <w:rsid w:val="05DC3046"/>
    <w:rsid w:val="05DD0010"/>
    <w:rsid w:val="05E41DA0"/>
    <w:rsid w:val="060D5307"/>
    <w:rsid w:val="06287B3D"/>
    <w:rsid w:val="06326E7F"/>
    <w:rsid w:val="06595601"/>
    <w:rsid w:val="06620C24"/>
    <w:rsid w:val="06A14D9A"/>
    <w:rsid w:val="06A17343"/>
    <w:rsid w:val="06EB001A"/>
    <w:rsid w:val="07170073"/>
    <w:rsid w:val="072675AF"/>
    <w:rsid w:val="075D73B0"/>
    <w:rsid w:val="076A0A40"/>
    <w:rsid w:val="079C0D59"/>
    <w:rsid w:val="084607EB"/>
    <w:rsid w:val="08704724"/>
    <w:rsid w:val="08DA4715"/>
    <w:rsid w:val="090C3778"/>
    <w:rsid w:val="09146E85"/>
    <w:rsid w:val="09264A1E"/>
    <w:rsid w:val="09286B94"/>
    <w:rsid w:val="09360865"/>
    <w:rsid w:val="094C017C"/>
    <w:rsid w:val="096F5581"/>
    <w:rsid w:val="097C718E"/>
    <w:rsid w:val="099E263E"/>
    <w:rsid w:val="09DB01EF"/>
    <w:rsid w:val="09ED1E38"/>
    <w:rsid w:val="09F210CD"/>
    <w:rsid w:val="0A000348"/>
    <w:rsid w:val="0A027958"/>
    <w:rsid w:val="0A082F00"/>
    <w:rsid w:val="0A0B1D7C"/>
    <w:rsid w:val="0A1D0867"/>
    <w:rsid w:val="0A7C3F02"/>
    <w:rsid w:val="0AE151A9"/>
    <w:rsid w:val="0B012FEF"/>
    <w:rsid w:val="0B092638"/>
    <w:rsid w:val="0B2A72BE"/>
    <w:rsid w:val="0B616306"/>
    <w:rsid w:val="0B6E0728"/>
    <w:rsid w:val="0BC872E5"/>
    <w:rsid w:val="0BDC490D"/>
    <w:rsid w:val="0BE03593"/>
    <w:rsid w:val="0BFA02D6"/>
    <w:rsid w:val="0C113060"/>
    <w:rsid w:val="0C5D73C0"/>
    <w:rsid w:val="0C82001A"/>
    <w:rsid w:val="0C8B1229"/>
    <w:rsid w:val="0D61236B"/>
    <w:rsid w:val="0D8753B1"/>
    <w:rsid w:val="0D8B55C6"/>
    <w:rsid w:val="0DC92B4D"/>
    <w:rsid w:val="0DCE6D1B"/>
    <w:rsid w:val="0DF5514F"/>
    <w:rsid w:val="0E27477B"/>
    <w:rsid w:val="0E4F49BC"/>
    <w:rsid w:val="0E670E97"/>
    <w:rsid w:val="0EA661E4"/>
    <w:rsid w:val="0F291870"/>
    <w:rsid w:val="0F8F1193"/>
    <w:rsid w:val="0FA238F5"/>
    <w:rsid w:val="0FD12509"/>
    <w:rsid w:val="10452FAA"/>
    <w:rsid w:val="10704395"/>
    <w:rsid w:val="107B62A4"/>
    <w:rsid w:val="10D20F68"/>
    <w:rsid w:val="10D92CC8"/>
    <w:rsid w:val="10E61524"/>
    <w:rsid w:val="10F21F2F"/>
    <w:rsid w:val="11247F96"/>
    <w:rsid w:val="1141026D"/>
    <w:rsid w:val="116A43E5"/>
    <w:rsid w:val="117401B5"/>
    <w:rsid w:val="118C3977"/>
    <w:rsid w:val="119A2E29"/>
    <w:rsid w:val="11B252E0"/>
    <w:rsid w:val="11FB0391"/>
    <w:rsid w:val="11FE7812"/>
    <w:rsid w:val="124D47E8"/>
    <w:rsid w:val="12666CEB"/>
    <w:rsid w:val="12845AE3"/>
    <w:rsid w:val="12A05DEB"/>
    <w:rsid w:val="12A66348"/>
    <w:rsid w:val="12E21032"/>
    <w:rsid w:val="12E90CA7"/>
    <w:rsid w:val="13261D7C"/>
    <w:rsid w:val="134B31C7"/>
    <w:rsid w:val="13B46F03"/>
    <w:rsid w:val="13BF0D7A"/>
    <w:rsid w:val="13D0176C"/>
    <w:rsid w:val="13D03314"/>
    <w:rsid w:val="13F12972"/>
    <w:rsid w:val="13F66448"/>
    <w:rsid w:val="13FD4D29"/>
    <w:rsid w:val="14166552"/>
    <w:rsid w:val="14A92ACE"/>
    <w:rsid w:val="14AB68F2"/>
    <w:rsid w:val="14B100F0"/>
    <w:rsid w:val="14BB4332"/>
    <w:rsid w:val="14D91E2C"/>
    <w:rsid w:val="158C380A"/>
    <w:rsid w:val="159B73E4"/>
    <w:rsid w:val="15A92C98"/>
    <w:rsid w:val="15A96D62"/>
    <w:rsid w:val="15F707F9"/>
    <w:rsid w:val="160C3114"/>
    <w:rsid w:val="16507BD3"/>
    <w:rsid w:val="16562966"/>
    <w:rsid w:val="165E5FE0"/>
    <w:rsid w:val="1660159D"/>
    <w:rsid w:val="168B6FA3"/>
    <w:rsid w:val="168C4500"/>
    <w:rsid w:val="16AD5F44"/>
    <w:rsid w:val="16B27361"/>
    <w:rsid w:val="16E05FB0"/>
    <w:rsid w:val="17030EEA"/>
    <w:rsid w:val="173D0EE2"/>
    <w:rsid w:val="17727B63"/>
    <w:rsid w:val="179F5F2E"/>
    <w:rsid w:val="17A34616"/>
    <w:rsid w:val="17CD6DAF"/>
    <w:rsid w:val="17DB4705"/>
    <w:rsid w:val="18003B3B"/>
    <w:rsid w:val="180573F0"/>
    <w:rsid w:val="18180739"/>
    <w:rsid w:val="18883052"/>
    <w:rsid w:val="18C40B5C"/>
    <w:rsid w:val="18C95191"/>
    <w:rsid w:val="18DA7404"/>
    <w:rsid w:val="191011EA"/>
    <w:rsid w:val="19202629"/>
    <w:rsid w:val="19945AC3"/>
    <w:rsid w:val="19CB580D"/>
    <w:rsid w:val="1A3C5B08"/>
    <w:rsid w:val="1A7E3D92"/>
    <w:rsid w:val="1ABA4B90"/>
    <w:rsid w:val="1ACB01CD"/>
    <w:rsid w:val="1AEA797F"/>
    <w:rsid w:val="1AF76AA5"/>
    <w:rsid w:val="1B114B50"/>
    <w:rsid w:val="1B646DB7"/>
    <w:rsid w:val="1B95450C"/>
    <w:rsid w:val="1B9E37A5"/>
    <w:rsid w:val="1BC1001F"/>
    <w:rsid w:val="1C1A3C2C"/>
    <w:rsid w:val="1CB808F1"/>
    <w:rsid w:val="1CBF72CE"/>
    <w:rsid w:val="1CF20AF5"/>
    <w:rsid w:val="1CFF6FB5"/>
    <w:rsid w:val="1D563609"/>
    <w:rsid w:val="1D733309"/>
    <w:rsid w:val="1D7B4EDF"/>
    <w:rsid w:val="1D96333F"/>
    <w:rsid w:val="1DDA3BEC"/>
    <w:rsid w:val="1E3A1CD2"/>
    <w:rsid w:val="1E441A5B"/>
    <w:rsid w:val="1E65173D"/>
    <w:rsid w:val="1E9C0B14"/>
    <w:rsid w:val="1EBD7621"/>
    <w:rsid w:val="1F2A65A6"/>
    <w:rsid w:val="1F604B51"/>
    <w:rsid w:val="1FA25A1A"/>
    <w:rsid w:val="1FB260EC"/>
    <w:rsid w:val="1FCB3DF3"/>
    <w:rsid w:val="1FF7753C"/>
    <w:rsid w:val="20042EA9"/>
    <w:rsid w:val="200A6604"/>
    <w:rsid w:val="20234F3A"/>
    <w:rsid w:val="202E7F5C"/>
    <w:rsid w:val="206F06BF"/>
    <w:rsid w:val="206F742C"/>
    <w:rsid w:val="207E1F54"/>
    <w:rsid w:val="209A3C32"/>
    <w:rsid w:val="20A53498"/>
    <w:rsid w:val="20B735CE"/>
    <w:rsid w:val="20ED36F2"/>
    <w:rsid w:val="211868C3"/>
    <w:rsid w:val="21204DD7"/>
    <w:rsid w:val="212B34FD"/>
    <w:rsid w:val="218D4460"/>
    <w:rsid w:val="2208453C"/>
    <w:rsid w:val="220A0784"/>
    <w:rsid w:val="22240AFD"/>
    <w:rsid w:val="224F5607"/>
    <w:rsid w:val="22627342"/>
    <w:rsid w:val="22697E83"/>
    <w:rsid w:val="229E6606"/>
    <w:rsid w:val="22CF412A"/>
    <w:rsid w:val="22E8054C"/>
    <w:rsid w:val="2318155F"/>
    <w:rsid w:val="23346339"/>
    <w:rsid w:val="236129E2"/>
    <w:rsid w:val="238A409A"/>
    <w:rsid w:val="238B10CF"/>
    <w:rsid w:val="23AA1B19"/>
    <w:rsid w:val="23CC18DE"/>
    <w:rsid w:val="24182D8D"/>
    <w:rsid w:val="243B6D45"/>
    <w:rsid w:val="246D5F24"/>
    <w:rsid w:val="249905F1"/>
    <w:rsid w:val="24EC7F1D"/>
    <w:rsid w:val="24F139F4"/>
    <w:rsid w:val="250A129E"/>
    <w:rsid w:val="256949FA"/>
    <w:rsid w:val="259D04D6"/>
    <w:rsid w:val="25C36710"/>
    <w:rsid w:val="25E63043"/>
    <w:rsid w:val="25EA311A"/>
    <w:rsid w:val="25FD03AB"/>
    <w:rsid w:val="26075585"/>
    <w:rsid w:val="261E02C9"/>
    <w:rsid w:val="261E4B10"/>
    <w:rsid w:val="26AB0E39"/>
    <w:rsid w:val="26CE67B8"/>
    <w:rsid w:val="270264F8"/>
    <w:rsid w:val="274704B9"/>
    <w:rsid w:val="274A59C2"/>
    <w:rsid w:val="27903AF3"/>
    <w:rsid w:val="27C67A4B"/>
    <w:rsid w:val="28084A63"/>
    <w:rsid w:val="28165319"/>
    <w:rsid w:val="28170417"/>
    <w:rsid w:val="282E4596"/>
    <w:rsid w:val="287341BB"/>
    <w:rsid w:val="287E7F9C"/>
    <w:rsid w:val="2891691A"/>
    <w:rsid w:val="289F66BD"/>
    <w:rsid w:val="28D75C21"/>
    <w:rsid w:val="291C1815"/>
    <w:rsid w:val="29B14120"/>
    <w:rsid w:val="29C61E2A"/>
    <w:rsid w:val="29CA3579"/>
    <w:rsid w:val="2A404130"/>
    <w:rsid w:val="2A524C97"/>
    <w:rsid w:val="2A52728B"/>
    <w:rsid w:val="2A82036E"/>
    <w:rsid w:val="2AD1486E"/>
    <w:rsid w:val="2AF42B56"/>
    <w:rsid w:val="2B142C84"/>
    <w:rsid w:val="2B705680"/>
    <w:rsid w:val="2B815418"/>
    <w:rsid w:val="2BC53552"/>
    <w:rsid w:val="2BD77BEA"/>
    <w:rsid w:val="2C2417A4"/>
    <w:rsid w:val="2C427C59"/>
    <w:rsid w:val="2C753BF3"/>
    <w:rsid w:val="2C7A2008"/>
    <w:rsid w:val="2CA05F65"/>
    <w:rsid w:val="2CB34598"/>
    <w:rsid w:val="2D981419"/>
    <w:rsid w:val="2DF70401"/>
    <w:rsid w:val="2E2F7BF4"/>
    <w:rsid w:val="2E6B4A97"/>
    <w:rsid w:val="2E746E20"/>
    <w:rsid w:val="2E993706"/>
    <w:rsid w:val="2EAA202C"/>
    <w:rsid w:val="2EBC0874"/>
    <w:rsid w:val="2EBE0EC4"/>
    <w:rsid w:val="2EDF02A1"/>
    <w:rsid w:val="2EE1626C"/>
    <w:rsid w:val="2EF74A8B"/>
    <w:rsid w:val="2F08610A"/>
    <w:rsid w:val="2F1750A1"/>
    <w:rsid w:val="2F3B1DE8"/>
    <w:rsid w:val="2FA201C6"/>
    <w:rsid w:val="2FA74F12"/>
    <w:rsid w:val="2FC332F2"/>
    <w:rsid w:val="2FE552A1"/>
    <w:rsid w:val="2FE71836"/>
    <w:rsid w:val="3017610D"/>
    <w:rsid w:val="301F59EC"/>
    <w:rsid w:val="307205AC"/>
    <w:rsid w:val="30765695"/>
    <w:rsid w:val="30BC3AF6"/>
    <w:rsid w:val="30C30216"/>
    <w:rsid w:val="30CA219A"/>
    <w:rsid w:val="31011A71"/>
    <w:rsid w:val="31122076"/>
    <w:rsid w:val="31131BBE"/>
    <w:rsid w:val="315B4B8D"/>
    <w:rsid w:val="31626155"/>
    <w:rsid w:val="317C5280"/>
    <w:rsid w:val="31AA4225"/>
    <w:rsid w:val="31BA2574"/>
    <w:rsid w:val="31BD1746"/>
    <w:rsid w:val="31CB1BD1"/>
    <w:rsid w:val="32262FC7"/>
    <w:rsid w:val="322F2FD3"/>
    <w:rsid w:val="326B2239"/>
    <w:rsid w:val="32D27CF3"/>
    <w:rsid w:val="32DF4D6C"/>
    <w:rsid w:val="32E45C7F"/>
    <w:rsid w:val="331953EF"/>
    <w:rsid w:val="33552A47"/>
    <w:rsid w:val="33727C48"/>
    <w:rsid w:val="337E44A0"/>
    <w:rsid w:val="3391440C"/>
    <w:rsid w:val="33963C22"/>
    <w:rsid w:val="33C30E21"/>
    <w:rsid w:val="33C56DA5"/>
    <w:rsid w:val="33E50C78"/>
    <w:rsid w:val="34447DB9"/>
    <w:rsid w:val="346D2FB2"/>
    <w:rsid w:val="346E63AD"/>
    <w:rsid w:val="347177B6"/>
    <w:rsid w:val="349F68A9"/>
    <w:rsid w:val="34D639A6"/>
    <w:rsid w:val="34E02397"/>
    <w:rsid w:val="34F16062"/>
    <w:rsid w:val="350B00EC"/>
    <w:rsid w:val="3518614A"/>
    <w:rsid w:val="351F5BFE"/>
    <w:rsid w:val="35282AF9"/>
    <w:rsid w:val="354D7D79"/>
    <w:rsid w:val="3559101B"/>
    <w:rsid w:val="35B106D2"/>
    <w:rsid w:val="35C177A2"/>
    <w:rsid w:val="35FA4C84"/>
    <w:rsid w:val="364A735B"/>
    <w:rsid w:val="36832C79"/>
    <w:rsid w:val="36CE4098"/>
    <w:rsid w:val="36D65954"/>
    <w:rsid w:val="36FF5C1D"/>
    <w:rsid w:val="3705614C"/>
    <w:rsid w:val="372A5BF5"/>
    <w:rsid w:val="372E4B8B"/>
    <w:rsid w:val="373F0763"/>
    <w:rsid w:val="37D64205"/>
    <w:rsid w:val="387C318A"/>
    <w:rsid w:val="387D1EBD"/>
    <w:rsid w:val="389F50F7"/>
    <w:rsid w:val="38B97681"/>
    <w:rsid w:val="38D60D14"/>
    <w:rsid w:val="39096D87"/>
    <w:rsid w:val="394666E3"/>
    <w:rsid w:val="39563A9B"/>
    <w:rsid w:val="39591609"/>
    <w:rsid w:val="395B1166"/>
    <w:rsid w:val="39A10806"/>
    <w:rsid w:val="39C70DFC"/>
    <w:rsid w:val="3A04247D"/>
    <w:rsid w:val="3A065B95"/>
    <w:rsid w:val="3A203BE8"/>
    <w:rsid w:val="3A464023"/>
    <w:rsid w:val="3A526711"/>
    <w:rsid w:val="3A6956FF"/>
    <w:rsid w:val="3A7E75A4"/>
    <w:rsid w:val="3A8D5330"/>
    <w:rsid w:val="3A934BEE"/>
    <w:rsid w:val="3AA558F3"/>
    <w:rsid w:val="3AA645A6"/>
    <w:rsid w:val="3ABF3E94"/>
    <w:rsid w:val="3ACC32DC"/>
    <w:rsid w:val="3ADF5019"/>
    <w:rsid w:val="3B1F67B8"/>
    <w:rsid w:val="3B4F45F4"/>
    <w:rsid w:val="3B634127"/>
    <w:rsid w:val="3B713025"/>
    <w:rsid w:val="3B7A0AB0"/>
    <w:rsid w:val="3B7F6A83"/>
    <w:rsid w:val="3B8260E7"/>
    <w:rsid w:val="3B867209"/>
    <w:rsid w:val="3BB52981"/>
    <w:rsid w:val="3C0C58D0"/>
    <w:rsid w:val="3C17413C"/>
    <w:rsid w:val="3C330BD6"/>
    <w:rsid w:val="3C522DD5"/>
    <w:rsid w:val="3CB175ED"/>
    <w:rsid w:val="3D135DA1"/>
    <w:rsid w:val="3D57541A"/>
    <w:rsid w:val="3D906DB7"/>
    <w:rsid w:val="3DAB66F0"/>
    <w:rsid w:val="3DE67DED"/>
    <w:rsid w:val="3DFF1244"/>
    <w:rsid w:val="3E0625D5"/>
    <w:rsid w:val="3E45785B"/>
    <w:rsid w:val="3E476BBD"/>
    <w:rsid w:val="3E4D3592"/>
    <w:rsid w:val="3E5B472F"/>
    <w:rsid w:val="3E8F3B09"/>
    <w:rsid w:val="3E932400"/>
    <w:rsid w:val="3EC2544D"/>
    <w:rsid w:val="3ECA38DF"/>
    <w:rsid w:val="3F100A0A"/>
    <w:rsid w:val="3F5339EB"/>
    <w:rsid w:val="3F537840"/>
    <w:rsid w:val="3FC05574"/>
    <w:rsid w:val="3FCB26D8"/>
    <w:rsid w:val="3FDB5BAC"/>
    <w:rsid w:val="402C6AEE"/>
    <w:rsid w:val="408E10C7"/>
    <w:rsid w:val="4098727E"/>
    <w:rsid w:val="40A01EC8"/>
    <w:rsid w:val="40DB7960"/>
    <w:rsid w:val="4152616E"/>
    <w:rsid w:val="41543519"/>
    <w:rsid w:val="415A7C88"/>
    <w:rsid w:val="41CD5003"/>
    <w:rsid w:val="41F40556"/>
    <w:rsid w:val="42150A9D"/>
    <w:rsid w:val="421822CD"/>
    <w:rsid w:val="425D0FAB"/>
    <w:rsid w:val="42632910"/>
    <w:rsid w:val="42705624"/>
    <w:rsid w:val="428943DC"/>
    <w:rsid w:val="428C1381"/>
    <w:rsid w:val="42D20ABE"/>
    <w:rsid w:val="430E211C"/>
    <w:rsid w:val="432A3936"/>
    <w:rsid w:val="4337285D"/>
    <w:rsid w:val="43525A4F"/>
    <w:rsid w:val="43761416"/>
    <w:rsid w:val="43907243"/>
    <w:rsid w:val="43AA77E8"/>
    <w:rsid w:val="43FB7BC0"/>
    <w:rsid w:val="443D2969"/>
    <w:rsid w:val="4487752C"/>
    <w:rsid w:val="449A3913"/>
    <w:rsid w:val="44CC0FDF"/>
    <w:rsid w:val="44DB3EAF"/>
    <w:rsid w:val="451D3C07"/>
    <w:rsid w:val="451F53CC"/>
    <w:rsid w:val="453023D3"/>
    <w:rsid w:val="45681E11"/>
    <w:rsid w:val="45BE2DE3"/>
    <w:rsid w:val="46275B9C"/>
    <w:rsid w:val="463211CD"/>
    <w:rsid w:val="46432EDD"/>
    <w:rsid w:val="4649143D"/>
    <w:rsid w:val="46792B4D"/>
    <w:rsid w:val="467C69E8"/>
    <w:rsid w:val="468E7801"/>
    <w:rsid w:val="46AD6D73"/>
    <w:rsid w:val="46BF499B"/>
    <w:rsid w:val="46E66425"/>
    <w:rsid w:val="46EB4FB1"/>
    <w:rsid w:val="470531A7"/>
    <w:rsid w:val="47843C3D"/>
    <w:rsid w:val="47A46984"/>
    <w:rsid w:val="47C67600"/>
    <w:rsid w:val="47F97A0E"/>
    <w:rsid w:val="4804790A"/>
    <w:rsid w:val="48133603"/>
    <w:rsid w:val="48417BC7"/>
    <w:rsid w:val="4859116B"/>
    <w:rsid w:val="48AD638B"/>
    <w:rsid w:val="48B7536B"/>
    <w:rsid w:val="490556E8"/>
    <w:rsid w:val="4914677C"/>
    <w:rsid w:val="4974379B"/>
    <w:rsid w:val="498F460E"/>
    <w:rsid w:val="4A056B6D"/>
    <w:rsid w:val="4A085A6E"/>
    <w:rsid w:val="4A3070D6"/>
    <w:rsid w:val="4A3B6846"/>
    <w:rsid w:val="4A4C4ACB"/>
    <w:rsid w:val="4ABC5052"/>
    <w:rsid w:val="4B763463"/>
    <w:rsid w:val="4B80156B"/>
    <w:rsid w:val="4BC41505"/>
    <w:rsid w:val="4BDC4EC9"/>
    <w:rsid w:val="4C2367D3"/>
    <w:rsid w:val="4C2B4E70"/>
    <w:rsid w:val="4C406BBA"/>
    <w:rsid w:val="4C673B96"/>
    <w:rsid w:val="4C780F76"/>
    <w:rsid w:val="4C8333BC"/>
    <w:rsid w:val="4C8D2582"/>
    <w:rsid w:val="4CF030C5"/>
    <w:rsid w:val="4D064C7F"/>
    <w:rsid w:val="4D95308A"/>
    <w:rsid w:val="4DB11E8E"/>
    <w:rsid w:val="4DC80B76"/>
    <w:rsid w:val="4DFE4A27"/>
    <w:rsid w:val="4E180632"/>
    <w:rsid w:val="4E520954"/>
    <w:rsid w:val="4E6B00F1"/>
    <w:rsid w:val="4E7365B6"/>
    <w:rsid w:val="4E9550DC"/>
    <w:rsid w:val="4E9C0A48"/>
    <w:rsid w:val="4F28064D"/>
    <w:rsid w:val="4F4007D6"/>
    <w:rsid w:val="4F5657B3"/>
    <w:rsid w:val="4F7A099E"/>
    <w:rsid w:val="4FD14A2A"/>
    <w:rsid w:val="4FE07793"/>
    <w:rsid w:val="500C590F"/>
    <w:rsid w:val="50364B15"/>
    <w:rsid w:val="50ED62FC"/>
    <w:rsid w:val="51010C15"/>
    <w:rsid w:val="51193215"/>
    <w:rsid w:val="514400DA"/>
    <w:rsid w:val="5153522E"/>
    <w:rsid w:val="51A85338"/>
    <w:rsid w:val="521E7BC5"/>
    <w:rsid w:val="526E2B1F"/>
    <w:rsid w:val="52AE650B"/>
    <w:rsid w:val="52BE41AA"/>
    <w:rsid w:val="52DB1618"/>
    <w:rsid w:val="52DE0FA1"/>
    <w:rsid w:val="52EE099D"/>
    <w:rsid w:val="53263E44"/>
    <w:rsid w:val="5335409D"/>
    <w:rsid w:val="533D25E6"/>
    <w:rsid w:val="537C363E"/>
    <w:rsid w:val="538843BE"/>
    <w:rsid w:val="53926A16"/>
    <w:rsid w:val="53E13870"/>
    <w:rsid w:val="53F26546"/>
    <w:rsid w:val="54044563"/>
    <w:rsid w:val="54055868"/>
    <w:rsid w:val="544E4147"/>
    <w:rsid w:val="5453116E"/>
    <w:rsid w:val="54831C43"/>
    <w:rsid w:val="54C22A15"/>
    <w:rsid w:val="54C26508"/>
    <w:rsid w:val="54C77A1B"/>
    <w:rsid w:val="54C90A63"/>
    <w:rsid w:val="54F0727C"/>
    <w:rsid w:val="54FD0A6F"/>
    <w:rsid w:val="5513270A"/>
    <w:rsid w:val="5514295F"/>
    <w:rsid w:val="553919B6"/>
    <w:rsid w:val="55755E06"/>
    <w:rsid w:val="55D80C5F"/>
    <w:rsid w:val="55E07B71"/>
    <w:rsid w:val="55F35B2B"/>
    <w:rsid w:val="561F7ADB"/>
    <w:rsid w:val="567364BF"/>
    <w:rsid w:val="56B236A9"/>
    <w:rsid w:val="56E24843"/>
    <w:rsid w:val="56E41D71"/>
    <w:rsid w:val="5758047F"/>
    <w:rsid w:val="575B6D77"/>
    <w:rsid w:val="57601720"/>
    <w:rsid w:val="576F7656"/>
    <w:rsid w:val="57A65511"/>
    <w:rsid w:val="57C049C4"/>
    <w:rsid w:val="57CE6FF5"/>
    <w:rsid w:val="57D741F6"/>
    <w:rsid w:val="58504AEC"/>
    <w:rsid w:val="5851449C"/>
    <w:rsid w:val="585C4726"/>
    <w:rsid w:val="58962A54"/>
    <w:rsid w:val="58A0747E"/>
    <w:rsid w:val="58DB23F7"/>
    <w:rsid w:val="58E34FB0"/>
    <w:rsid w:val="58F07C4A"/>
    <w:rsid w:val="59310AFA"/>
    <w:rsid w:val="594475EF"/>
    <w:rsid w:val="597F38B7"/>
    <w:rsid w:val="59A64472"/>
    <w:rsid w:val="5A263F23"/>
    <w:rsid w:val="5A380AF7"/>
    <w:rsid w:val="5A404E55"/>
    <w:rsid w:val="5A552573"/>
    <w:rsid w:val="5A772F32"/>
    <w:rsid w:val="5B2A2AF2"/>
    <w:rsid w:val="5B4E67FA"/>
    <w:rsid w:val="5BB51980"/>
    <w:rsid w:val="5BBF52E8"/>
    <w:rsid w:val="5BD54B16"/>
    <w:rsid w:val="5BE42493"/>
    <w:rsid w:val="5BE64E7E"/>
    <w:rsid w:val="5BEC6B84"/>
    <w:rsid w:val="5C274B2B"/>
    <w:rsid w:val="5C537A06"/>
    <w:rsid w:val="5C8632AB"/>
    <w:rsid w:val="5C9C3EF5"/>
    <w:rsid w:val="5CC17C01"/>
    <w:rsid w:val="5D1665A3"/>
    <w:rsid w:val="5D6F666A"/>
    <w:rsid w:val="5D7669BC"/>
    <w:rsid w:val="5D81342F"/>
    <w:rsid w:val="5DE331CE"/>
    <w:rsid w:val="5DE85400"/>
    <w:rsid w:val="5E3277C9"/>
    <w:rsid w:val="5E822EBB"/>
    <w:rsid w:val="5E971C86"/>
    <w:rsid w:val="5EC10DD7"/>
    <w:rsid w:val="5EC63E03"/>
    <w:rsid w:val="5ED50A06"/>
    <w:rsid w:val="5EDD581D"/>
    <w:rsid w:val="5EE6419E"/>
    <w:rsid w:val="5EEF34E5"/>
    <w:rsid w:val="5F0A61BD"/>
    <w:rsid w:val="5F224F99"/>
    <w:rsid w:val="5F23075F"/>
    <w:rsid w:val="5F334799"/>
    <w:rsid w:val="5FBB7804"/>
    <w:rsid w:val="5FCC1AEA"/>
    <w:rsid w:val="5FE85F1A"/>
    <w:rsid w:val="5FEC32C4"/>
    <w:rsid w:val="60307101"/>
    <w:rsid w:val="60336543"/>
    <w:rsid w:val="603968F4"/>
    <w:rsid w:val="6065603F"/>
    <w:rsid w:val="60685C2E"/>
    <w:rsid w:val="6108352D"/>
    <w:rsid w:val="61363D91"/>
    <w:rsid w:val="61654B78"/>
    <w:rsid w:val="616E1A80"/>
    <w:rsid w:val="618814BA"/>
    <w:rsid w:val="618E17E4"/>
    <w:rsid w:val="61B07719"/>
    <w:rsid w:val="61B20787"/>
    <w:rsid w:val="61BA0490"/>
    <w:rsid w:val="6206100A"/>
    <w:rsid w:val="62275326"/>
    <w:rsid w:val="622E14E0"/>
    <w:rsid w:val="623E0374"/>
    <w:rsid w:val="626B17B7"/>
    <w:rsid w:val="62D154A5"/>
    <w:rsid w:val="63150A55"/>
    <w:rsid w:val="63226ECA"/>
    <w:rsid w:val="632D61C4"/>
    <w:rsid w:val="636A7A52"/>
    <w:rsid w:val="640B79BF"/>
    <w:rsid w:val="642639B4"/>
    <w:rsid w:val="6479411F"/>
    <w:rsid w:val="649E4CEE"/>
    <w:rsid w:val="64B63BF9"/>
    <w:rsid w:val="64BE7ECF"/>
    <w:rsid w:val="64CE0503"/>
    <w:rsid w:val="64EA5A09"/>
    <w:rsid w:val="64FC3EB5"/>
    <w:rsid w:val="651E51F6"/>
    <w:rsid w:val="652222F1"/>
    <w:rsid w:val="652B4046"/>
    <w:rsid w:val="65B43127"/>
    <w:rsid w:val="661E03DB"/>
    <w:rsid w:val="666B53C9"/>
    <w:rsid w:val="667A786E"/>
    <w:rsid w:val="66A61302"/>
    <w:rsid w:val="66CC6AFD"/>
    <w:rsid w:val="66DC6D4D"/>
    <w:rsid w:val="66F0465C"/>
    <w:rsid w:val="66F63E0D"/>
    <w:rsid w:val="6715167D"/>
    <w:rsid w:val="67574833"/>
    <w:rsid w:val="67665EAE"/>
    <w:rsid w:val="67821EBF"/>
    <w:rsid w:val="67A47AA9"/>
    <w:rsid w:val="67CA3034"/>
    <w:rsid w:val="67CE125C"/>
    <w:rsid w:val="67DC75F1"/>
    <w:rsid w:val="6807255B"/>
    <w:rsid w:val="6813438E"/>
    <w:rsid w:val="68487C4C"/>
    <w:rsid w:val="686820EC"/>
    <w:rsid w:val="688D3717"/>
    <w:rsid w:val="689E2786"/>
    <w:rsid w:val="689F354A"/>
    <w:rsid w:val="68AE199B"/>
    <w:rsid w:val="68E16845"/>
    <w:rsid w:val="68F33F80"/>
    <w:rsid w:val="69B23B9D"/>
    <w:rsid w:val="6A322921"/>
    <w:rsid w:val="6A417CBB"/>
    <w:rsid w:val="6A5D6857"/>
    <w:rsid w:val="6A7B3102"/>
    <w:rsid w:val="6A945BD5"/>
    <w:rsid w:val="6AC14E85"/>
    <w:rsid w:val="6AD974B6"/>
    <w:rsid w:val="6B3617B7"/>
    <w:rsid w:val="6B7F5551"/>
    <w:rsid w:val="6B8075E7"/>
    <w:rsid w:val="6BA709D1"/>
    <w:rsid w:val="6BC00600"/>
    <w:rsid w:val="6BC64AE7"/>
    <w:rsid w:val="6C086C54"/>
    <w:rsid w:val="6C981153"/>
    <w:rsid w:val="6CA83D48"/>
    <w:rsid w:val="6CCD3B2B"/>
    <w:rsid w:val="6CD56E30"/>
    <w:rsid w:val="6CE76D65"/>
    <w:rsid w:val="6D016351"/>
    <w:rsid w:val="6D2158C4"/>
    <w:rsid w:val="6D5B2BF2"/>
    <w:rsid w:val="6D7B35D1"/>
    <w:rsid w:val="6DA932DB"/>
    <w:rsid w:val="6DE65234"/>
    <w:rsid w:val="6E7420DB"/>
    <w:rsid w:val="6E9C2616"/>
    <w:rsid w:val="6E9F49A3"/>
    <w:rsid w:val="6EC51A80"/>
    <w:rsid w:val="6ED067A3"/>
    <w:rsid w:val="6F025710"/>
    <w:rsid w:val="6F037C54"/>
    <w:rsid w:val="6F223EE4"/>
    <w:rsid w:val="6F8E110E"/>
    <w:rsid w:val="6FE25031"/>
    <w:rsid w:val="6FFA2505"/>
    <w:rsid w:val="701C52F0"/>
    <w:rsid w:val="704E1207"/>
    <w:rsid w:val="71502A56"/>
    <w:rsid w:val="71571979"/>
    <w:rsid w:val="719A08B5"/>
    <w:rsid w:val="71BE7EAF"/>
    <w:rsid w:val="71C37688"/>
    <w:rsid w:val="71DE1327"/>
    <w:rsid w:val="720F238A"/>
    <w:rsid w:val="72152DA6"/>
    <w:rsid w:val="725D1793"/>
    <w:rsid w:val="728163C8"/>
    <w:rsid w:val="72C473C9"/>
    <w:rsid w:val="72ED2340"/>
    <w:rsid w:val="72F50F47"/>
    <w:rsid w:val="73164F2D"/>
    <w:rsid w:val="732B3A35"/>
    <w:rsid w:val="733306C0"/>
    <w:rsid w:val="73570FFE"/>
    <w:rsid w:val="739847B9"/>
    <w:rsid w:val="73BF2A3A"/>
    <w:rsid w:val="73CD5FD4"/>
    <w:rsid w:val="73D47918"/>
    <w:rsid w:val="73E942F8"/>
    <w:rsid w:val="73EC56F9"/>
    <w:rsid w:val="742B36F9"/>
    <w:rsid w:val="74315898"/>
    <w:rsid w:val="74B329BD"/>
    <w:rsid w:val="75651427"/>
    <w:rsid w:val="75AB3C9B"/>
    <w:rsid w:val="75E53583"/>
    <w:rsid w:val="76176C6B"/>
    <w:rsid w:val="76190917"/>
    <w:rsid w:val="76343AEC"/>
    <w:rsid w:val="76367AA8"/>
    <w:rsid w:val="763F1CD4"/>
    <w:rsid w:val="764C0E04"/>
    <w:rsid w:val="76625921"/>
    <w:rsid w:val="767473A2"/>
    <w:rsid w:val="7677175D"/>
    <w:rsid w:val="76AA56B8"/>
    <w:rsid w:val="76F31A2A"/>
    <w:rsid w:val="76F35CE5"/>
    <w:rsid w:val="77331205"/>
    <w:rsid w:val="77576430"/>
    <w:rsid w:val="77D41E80"/>
    <w:rsid w:val="781D63B4"/>
    <w:rsid w:val="78893EA0"/>
    <w:rsid w:val="789C7D4C"/>
    <w:rsid w:val="78AD623F"/>
    <w:rsid w:val="78B867A5"/>
    <w:rsid w:val="78BA21C7"/>
    <w:rsid w:val="78F0505E"/>
    <w:rsid w:val="798209DB"/>
    <w:rsid w:val="79F02541"/>
    <w:rsid w:val="79FA1B62"/>
    <w:rsid w:val="7A2C0894"/>
    <w:rsid w:val="7A2D47D1"/>
    <w:rsid w:val="7A4360B3"/>
    <w:rsid w:val="7A68010E"/>
    <w:rsid w:val="7A701841"/>
    <w:rsid w:val="7A731127"/>
    <w:rsid w:val="7AA97026"/>
    <w:rsid w:val="7AAA1FE1"/>
    <w:rsid w:val="7B1D0D47"/>
    <w:rsid w:val="7B531C3C"/>
    <w:rsid w:val="7B933845"/>
    <w:rsid w:val="7BDC7BC2"/>
    <w:rsid w:val="7BF85756"/>
    <w:rsid w:val="7C3E4757"/>
    <w:rsid w:val="7C5B4EAE"/>
    <w:rsid w:val="7C692E8C"/>
    <w:rsid w:val="7C6F232B"/>
    <w:rsid w:val="7CA17822"/>
    <w:rsid w:val="7CC71DC5"/>
    <w:rsid w:val="7CEF42F5"/>
    <w:rsid w:val="7CF159F5"/>
    <w:rsid w:val="7D1B31E5"/>
    <w:rsid w:val="7D50221D"/>
    <w:rsid w:val="7D790D87"/>
    <w:rsid w:val="7DC943C9"/>
    <w:rsid w:val="7DD03572"/>
    <w:rsid w:val="7DDE00D8"/>
    <w:rsid w:val="7DEF7261"/>
    <w:rsid w:val="7E047503"/>
    <w:rsid w:val="7E110B11"/>
    <w:rsid w:val="7E2B2264"/>
    <w:rsid w:val="7E2C28DA"/>
    <w:rsid w:val="7E5C6F3C"/>
    <w:rsid w:val="7ECD67C4"/>
    <w:rsid w:val="7ED55E93"/>
    <w:rsid w:val="7EDB6E4F"/>
    <w:rsid w:val="7EEE3496"/>
    <w:rsid w:val="7EF768FE"/>
    <w:rsid w:val="7EFA57C5"/>
    <w:rsid w:val="7F7F277F"/>
    <w:rsid w:val="C5FD871F"/>
    <w:rsid w:val="F77F0BC9"/>
    <w:rsid w:val="FDEFA28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semiHidden="0" w:name="footnote text"/>
    <w:lsdException w:qFormat="1"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4">
    <w:name w:val="heading 2"/>
    <w:basedOn w:val="1"/>
    <w:next w:val="1"/>
    <w:unhideWhenUsed/>
    <w:qFormat/>
    <w:uiPriority w:val="99"/>
    <w:pPr>
      <w:widowControl w:val="0"/>
      <w:autoSpaceDE w:val="0"/>
      <w:autoSpaceDN w:val="0"/>
      <w:adjustRightInd w:val="0"/>
      <w:spacing w:beforeLines="0" w:afterLines="0"/>
    </w:pPr>
    <w:rPr>
      <w:rFonts w:hint="default" w:ascii="Arial" w:hAnsi="Arial" w:eastAsia="宋体" w:cs="Times New Roman"/>
      <w:b/>
      <w:i/>
      <w:color w:val="000000"/>
      <w:sz w:val="28"/>
    </w:rPr>
  </w:style>
  <w:style w:type="character" w:default="1" w:styleId="12">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Body Text"/>
    <w:basedOn w:val="1"/>
    <w:next w:val="3"/>
    <w:unhideWhenUsed/>
    <w:qFormat/>
    <w:uiPriority w:val="99"/>
    <w:pPr>
      <w:spacing w:after="120"/>
    </w:pPr>
    <w:rPr>
      <w:szCs w:val="20"/>
    </w:rPr>
  </w:style>
  <w:style w:type="paragraph" w:styleId="3">
    <w:name w:val="Title"/>
    <w:basedOn w:val="1"/>
    <w:next w:val="1"/>
    <w:qFormat/>
    <w:uiPriority w:val="10"/>
    <w:pPr>
      <w:adjustRightInd w:val="0"/>
      <w:spacing w:before="240" w:after="60" w:line="420" w:lineRule="atLeast"/>
      <w:jc w:val="center"/>
      <w:textAlignment w:val="baseline"/>
      <w:outlineLvl w:val="0"/>
    </w:pPr>
    <w:rPr>
      <w:rFonts w:ascii="Arial" w:hAnsi="Arial"/>
      <w:b/>
      <w:kern w:val="0"/>
      <w:sz w:val="32"/>
      <w:szCs w:val="20"/>
    </w:rPr>
  </w:style>
  <w:style w:type="paragraph" w:styleId="5">
    <w:name w:val="annotation text"/>
    <w:basedOn w:val="1"/>
    <w:qFormat/>
    <w:uiPriority w:val="0"/>
    <w:pPr>
      <w:jc w:val="left"/>
    </w:pPr>
  </w:style>
  <w:style w:type="paragraph" w:styleId="6">
    <w:name w:val="Body Text Indent"/>
    <w:basedOn w:val="1"/>
    <w:qFormat/>
    <w:uiPriority w:val="0"/>
    <w:pPr>
      <w:spacing w:after="120"/>
      <w:ind w:left="420" w:leftChars="200"/>
    </w:pPr>
  </w:style>
  <w:style w:type="paragraph" w:styleId="7">
    <w:name w:val="Plain Text"/>
    <w:basedOn w:val="1"/>
    <w:qFormat/>
    <w:uiPriority w:val="0"/>
    <w:rPr>
      <w:rFonts w:ascii="宋体" w:hAnsi="Courier New"/>
    </w:rPr>
  </w:style>
  <w:style w:type="paragraph" w:styleId="8">
    <w:name w:val="footer"/>
    <w:basedOn w:val="1"/>
    <w:qFormat/>
    <w:uiPriority w:val="99"/>
    <w:pPr>
      <w:tabs>
        <w:tab w:val="center" w:pos="4153"/>
        <w:tab w:val="right" w:pos="8306"/>
      </w:tabs>
      <w:snapToGrid w:val="0"/>
      <w:jc w:val="left"/>
    </w:pPr>
    <w:rPr>
      <w:rFonts w:ascii="Calibri" w:hAnsi="Calibri"/>
      <w:kern w:val="0"/>
      <w:sz w:val="18"/>
      <w:szCs w:val="18"/>
    </w:rPr>
  </w:style>
  <w:style w:type="paragraph" w:styleId="9">
    <w:name w:val="footnote text"/>
    <w:basedOn w:val="1"/>
    <w:qFormat/>
    <w:uiPriority w:val="0"/>
    <w:pPr>
      <w:snapToGrid w:val="0"/>
      <w:jc w:val="left"/>
    </w:pPr>
    <w:rPr>
      <w:sz w:val="18"/>
    </w:rPr>
  </w:style>
  <w:style w:type="table" w:styleId="11">
    <w:name w:val="Table Grid"/>
    <w:basedOn w:val="10"/>
    <w:qFormat/>
    <w:uiPriority w:val="59"/>
    <w:rPr>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footnote reference"/>
    <w:basedOn w:val="12"/>
    <w:qFormat/>
    <w:uiPriority w:val="0"/>
    <w:rPr>
      <w:vertAlign w:val="superscript"/>
    </w:rPr>
  </w:style>
  <w:style w:type="character" w:customStyle="1" w:styleId="14">
    <w:name w:val="NormalCharacter"/>
    <w:unhideWhenUsed/>
    <w:qFormat/>
    <w:uiPriority w:val="0"/>
    <w:rPr>
      <w:rFonts w:hint="default"/>
      <w:sz w:val="24"/>
    </w:rPr>
  </w:style>
  <w:style w:type="paragraph" w:customStyle="1" w:styleId="15">
    <w:name w:val="列出段落2"/>
    <w:basedOn w:val="1"/>
    <w:qFormat/>
    <w:uiPriority w:val="0"/>
    <w:pPr>
      <w:ind w:firstLine="420" w:firstLineChars="200"/>
    </w:pPr>
    <w:rPr>
      <w:szCs w:val="20"/>
    </w:rPr>
  </w:style>
  <w:style w:type="paragraph" w:customStyle="1" w:styleId="16">
    <w:name w:val="11"/>
    <w:basedOn w:val="6"/>
    <w:qFormat/>
    <w:uiPriority w:val="0"/>
    <w:pPr>
      <w:spacing w:line="360" w:lineRule="auto"/>
    </w:pPr>
    <w:rPr>
      <w:rFonts w:hAnsi="宋体"/>
      <w:b/>
      <w:szCs w:val="21"/>
    </w:rPr>
  </w:style>
  <w:style w:type="paragraph" w:customStyle="1" w:styleId="17">
    <w:name w:val="正文首行缩进1"/>
    <w:basedOn w:val="1"/>
    <w:qFormat/>
    <w:uiPriority w:val="0"/>
    <w:pPr>
      <w:spacing w:line="360" w:lineRule="auto"/>
      <w:ind w:firstLine="200" w:firstLineChars="200"/>
    </w:pPr>
    <w:rPr>
      <w:kern w:val="2"/>
      <w:sz w:val="24"/>
      <w:szCs w:val="24"/>
    </w:rPr>
  </w:style>
</w:styles>
</file>

<file path=word/_rels/document.xml.rels><?xml version="1.0" encoding="UTF-8" standalone="yes"?>
<Relationships xmlns="http://schemas.openxmlformats.org/package/2006/relationships"><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533cbf3f-df39-4bb6-aa29-3a08867e0a49}"/>
        <w:style w:val=""/>
        <w:category>
          <w:name w:val="常规"/>
          <w:gallery w:val="placeholder"/>
        </w:category>
        <w:types>
          <w:type w:val="bbPlcHdr"/>
        </w:types>
        <w:behaviors>
          <w:behavior w:val="content"/>
        </w:behaviors>
        <w:description w:val=""/>
        <w:guid w:val="{533cbf3f-df39-4bb6-aa29-3a08867e0a49}"/>
      </w:docPartPr>
      <w:docPartBody>
        <w:p>
          <w:r>
            <w:rPr>
              <w:color w:val="808080"/>
            </w:rPr>
            <w:t>单击此处输入文字。</w:t>
          </w:r>
        </w:p>
      </w:docPartBody>
    </w:docPart>
    <w:docPart>
      <w:docPartPr>
        <w:name w:val="{56211416-3887-48ef-870a-44a8fe3b3415}"/>
        <w:style w:val=""/>
        <w:category>
          <w:name w:val="常规"/>
          <w:gallery w:val="placeholder"/>
        </w:category>
        <w:types>
          <w:type w:val="bbPlcHdr"/>
        </w:types>
        <w:behaviors>
          <w:behavior w:val="content"/>
        </w:behaviors>
        <w:description w:val=""/>
        <w:guid w:val="{56211416-3887-48ef-870a-44a8fe3b3415}"/>
      </w:docPartPr>
      <w:docPartBody>
        <w:p>
          <w:r>
            <w:rPr>
              <w:color w:val="808080"/>
            </w:rPr>
            <w:t>单击此处输入文字。</w:t>
          </w:r>
        </w:p>
      </w:docPartBody>
    </w:docPart>
    <w:docPart>
      <w:docPartPr>
        <w:name w:val="{7555f478-a283-4796-a621-18ba55bfb02c}"/>
        <w:style w:val=""/>
        <w:category>
          <w:name w:val="常规"/>
          <w:gallery w:val="placeholder"/>
        </w:category>
        <w:types>
          <w:type w:val="bbPlcHdr"/>
        </w:types>
        <w:behaviors>
          <w:behavior w:val="content"/>
        </w:behaviors>
        <w:description w:val=""/>
        <w:guid w:val="{7555f478-a283-4796-a621-18ba55bfb02c}"/>
      </w:docPartPr>
      <w:docPartBody>
        <w:p>
          <w:r>
            <w:rPr>
              <w:color w:val="808080"/>
            </w:rPr>
            <w:t>单击此处输入文字。</w:t>
          </w:r>
        </w:p>
      </w:docPartBody>
    </w:docPart>
    <w:docPart>
      <w:docPartPr>
        <w:name w:val="{b34834c5-7e4c-45bc-bd78-82eef6b41d2c}"/>
        <w:style w:val=""/>
        <w:category>
          <w:name w:val="常规"/>
          <w:gallery w:val="placeholder"/>
        </w:category>
        <w:types>
          <w:type w:val="bbPlcHdr"/>
        </w:types>
        <w:behaviors>
          <w:behavior w:val="content"/>
        </w:behaviors>
        <w:description w:val=""/>
        <w:guid w:val="{b34834c5-7e4c-45bc-bd78-82eef6b41d2c}"/>
      </w:docPartPr>
      <w:docPartBody>
        <w:p>
          <w:r>
            <w:rPr>
              <w:color w:val="808080"/>
            </w:rPr>
            <w:t>单击此处输入文字。</w:t>
          </w:r>
        </w:p>
      </w:docPartBody>
    </w:docPart>
    <w:docPart>
      <w:docPartPr>
        <w:name w:val="{fb94bfb1-3a9a-4fc6-b6b7-dd865f5202f7}"/>
        <w:style w:val=""/>
        <w:category>
          <w:name w:val="常规"/>
          <w:gallery w:val="placeholder"/>
        </w:category>
        <w:types>
          <w:type w:val="bbPlcHdr"/>
        </w:types>
        <w:behaviors>
          <w:behavior w:val="content"/>
        </w:behaviors>
        <w:description w:val=""/>
        <w:guid w:val="{fb94bfb1-3a9a-4fc6-b6b7-dd865f5202f7}"/>
      </w:docPartPr>
      <w:docPartBody>
        <w:p>
          <w:r>
            <w:rPr>
              <w:color w:val="808080"/>
            </w:rPr>
            <w:t>单击此处输入文字。</w:t>
          </w:r>
        </w:p>
      </w:docPartBody>
    </w:docPart>
    <w:docPart>
      <w:docPartPr>
        <w:name w:val="{0924105c-7da5-4697-aede-ded892ae41ed}"/>
        <w:style w:val=""/>
        <w:category>
          <w:name w:val="常规"/>
          <w:gallery w:val="placeholder"/>
        </w:category>
        <w:types>
          <w:type w:val="bbPlcHdr"/>
        </w:types>
        <w:behaviors>
          <w:behavior w:val="content"/>
        </w:behaviors>
        <w:description w:val=""/>
        <w:guid w:val="{0924105c-7da5-4697-aede-ded892ae41ed}"/>
      </w:docPartPr>
      <w:docPartBody>
        <w:p>
          <w:r>
            <w:rPr>
              <w:color w:val="808080"/>
            </w:rPr>
            <w:t>单击此处输入文字。</w:t>
          </w:r>
        </w:p>
      </w:docPartBody>
    </w:docPart>
    <w:docPart>
      <w:docPartPr>
        <w:name w:val="{871760d0-d992-4d8d-a8b4-000953b0d240}"/>
        <w:style w:val=""/>
        <w:category>
          <w:name w:val="常规"/>
          <w:gallery w:val="placeholder"/>
        </w:category>
        <w:types>
          <w:type w:val="bbPlcHdr"/>
        </w:types>
        <w:behaviors>
          <w:behavior w:val="content"/>
        </w:behaviors>
        <w:description w:val=""/>
        <w:guid w:val="{871760d0-d992-4d8d-a8b4-000953b0d240}"/>
      </w:docPartPr>
      <w:docPartBody>
        <w:p>
          <w:r>
            <w:rPr>
              <w:color w:val="808080"/>
            </w:rPr>
            <w:t>单击此处输入日期。</w:t>
          </w:r>
        </w:p>
      </w:docPartBody>
    </w:docPart>
    <w:docPart>
      <w:docPartPr>
        <w:name w:val="{fbc9d5b3-feb9-4dde-af76-3585b36059f8}"/>
        <w:style w:val=""/>
        <w:category>
          <w:name w:val="常规"/>
          <w:gallery w:val="placeholder"/>
        </w:category>
        <w:types>
          <w:type w:val="bbPlcHdr"/>
        </w:types>
        <w:behaviors>
          <w:behavior w:val="content"/>
        </w:behaviors>
        <w:description w:val=""/>
        <w:guid w:val="{fbc9d5b3-feb9-4dde-af76-3585b36059f8}"/>
      </w:docPartPr>
      <w:docPartBody>
        <w:p>
          <w:r>
            <w:rPr>
              <w:color w:val="808080"/>
            </w:rPr>
            <w:t>单击此处输入日期。</w:t>
          </w:r>
        </w:p>
      </w:docPartBody>
    </w:docPart>
    <w:docPart>
      <w:docPartPr>
        <w:name w:val="{ae39d401-0f7b-4376-bf93-4ddbb5b1b817}"/>
        <w:style w:val=""/>
        <w:category>
          <w:name w:val="常规"/>
          <w:gallery w:val="placeholder"/>
        </w:category>
        <w:types>
          <w:type w:val="bbPlcHdr"/>
        </w:types>
        <w:behaviors>
          <w:behavior w:val="content"/>
        </w:behaviors>
        <w:description w:val=""/>
        <w:guid w:val="{ae39d401-0f7b-4376-bf93-4ddbb5b1b817}"/>
      </w:docPartPr>
      <w:docPartBody>
        <w:p>
          <w:r>
            <w:rPr>
              <w:color w:val="808080"/>
            </w:rPr>
            <w:t>单击此处输入日期。</w:t>
          </w:r>
        </w:p>
      </w:docPartBody>
    </w:docPart>
    <w:docPart>
      <w:docPartPr>
        <w:name w:val="{25ff9568-4196-4de4-8941-a4985b4ade2e}"/>
        <w:style w:val=""/>
        <w:category>
          <w:name w:val="常规"/>
          <w:gallery w:val="placeholder"/>
        </w:category>
        <w:types>
          <w:type w:val="bbPlcHdr"/>
        </w:types>
        <w:behaviors>
          <w:behavior w:val="content"/>
        </w:behaviors>
        <w:description w:val=""/>
        <w:guid w:val="{25ff9568-4196-4de4-8941-a4985b4ade2e}"/>
      </w:docPartPr>
      <w:docPartBody>
        <w:p>
          <w:r>
            <w:rPr>
              <w:color w:val="808080"/>
            </w:rPr>
            <w:t>单击此处输入文字。</w:t>
          </w:r>
        </w:p>
      </w:docPartBody>
    </w:docPart>
    <w:docPart>
      <w:docPartPr>
        <w:name w:val="{513011ff-186c-4f9c-b353-41e961401698}"/>
        <w:style w:val=""/>
        <w:category>
          <w:name w:val="常规"/>
          <w:gallery w:val="placeholder"/>
        </w:category>
        <w:types>
          <w:type w:val="bbPlcHdr"/>
        </w:types>
        <w:behaviors>
          <w:behavior w:val="content"/>
        </w:behaviors>
        <w:description w:val=""/>
        <w:guid w:val="{513011ff-186c-4f9c-b353-41e961401698}"/>
      </w:docPartPr>
      <w:docPartBody>
        <w:p>
          <w:r>
            <w:rPr>
              <w:color w:val="808080"/>
            </w:rPr>
            <w:t>单击此处输入文字。</w:t>
          </w:r>
        </w:p>
      </w:docPartBody>
    </w:docPart>
    <w:docPart>
      <w:docPartPr>
        <w:name w:val="{99342e3d-0fa7-4e40-b308-1f3bfa5dd507}"/>
        <w:style w:val=""/>
        <w:category>
          <w:name w:val="常规"/>
          <w:gallery w:val="placeholder"/>
        </w:category>
        <w:types>
          <w:type w:val="bbPlcHdr"/>
        </w:types>
        <w:behaviors>
          <w:behavior w:val="content"/>
        </w:behaviors>
        <w:description w:val=""/>
        <w:guid w:val="{99342e3d-0fa7-4e40-b308-1f3bfa5dd507}"/>
      </w:docPartPr>
      <w:docPartBody>
        <w:p>
          <w:r>
            <w:rPr>
              <w:color w:val="808080"/>
            </w:rPr>
            <w:t>单击此处输入文字。</w:t>
          </w:r>
        </w:p>
      </w:docPartBody>
    </w:docPart>
    <w:docPart>
      <w:docPartPr>
        <w:name w:val="{0fa671e3-dabb-4c43-a6a5-c7f1c1bea88f}"/>
        <w:style w:val=""/>
        <w:category>
          <w:name w:val="常规"/>
          <w:gallery w:val="placeholder"/>
        </w:category>
        <w:types>
          <w:type w:val="bbPlcHdr"/>
        </w:types>
        <w:behaviors>
          <w:behavior w:val="content"/>
        </w:behaviors>
        <w:description w:val=""/>
        <w:guid w:val="{0fa671e3-dabb-4c43-a6a5-c7f1c1bea88f}"/>
      </w:docPartPr>
      <w:docPartBody>
        <w:p>
          <w:r>
            <w:rPr>
              <w:color w:val="808080"/>
            </w:rPr>
            <w:t>单击此处输入文字。</w:t>
          </w:r>
        </w:p>
      </w:docPartBody>
    </w:docPart>
    <w:docPart>
      <w:docPartPr>
        <w:name w:val="{4bd1da2f-527f-4c0f-9a30-8f1eed7c80f8}"/>
        <w:style w:val=""/>
        <w:category>
          <w:name w:val="常规"/>
          <w:gallery w:val="placeholder"/>
        </w:category>
        <w:types>
          <w:type w:val="bbPlcHdr"/>
        </w:types>
        <w:behaviors>
          <w:behavior w:val="content"/>
        </w:behaviors>
        <w:description w:val=""/>
        <w:guid w:val="{4bd1da2f-527f-4c0f-9a30-8f1eed7c80f8}"/>
      </w:docPartPr>
      <w:docPartBody>
        <w:p>
          <w:r>
            <w:rPr>
              <w:color w:val="808080"/>
            </w:rPr>
            <w:t>单击此处输入文字。</w:t>
          </w:r>
        </w:p>
      </w:docPartBody>
    </w:docPart>
    <w:docPart>
      <w:docPartPr>
        <w:name w:val="{30ad7cf8-f46d-479c-88d1-739316edc8db}"/>
        <w:style w:val=""/>
        <w:category>
          <w:name w:val="常规"/>
          <w:gallery w:val="placeholder"/>
        </w:category>
        <w:types>
          <w:type w:val="bbPlcHdr"/>
        </w:types>
        <w:behaviors>
          <w:behavior w:val="content"/>
        </w:behaviors>
        <w:description w:val=""/>
        <w:guid w:val="{30ad7cf8-f46d-479c-88d1-739316edc8db}"/>
      </w:docPartPr>
      <w:docPartBody>
        <w:p>
          <w:r>
            <w:rPr>
              <w:color w:val="808080"/>
            </w:rPr>
            <w:t>单击此处输入文字。</w:t>
          </w:r>
        </w:p>
      </w:docPartBody>
    </w:docPart>
    <w:docPart>
      <w:docPartPr>
        <w:name w:val="{189d426f-9201-489b-8b4b-85953a000da2}"/>
        <w:style w:val=""/>
        <w:category>
          <w:name w:val="常规"/>
          <w:gallery w:val="placeholder"/>
        </w:category>
        <w:types>
          <w:type w:val="bbPlcHdr"/>
        </w:types>
        <w:behaviors>
          <w:behavior w:val="content"/>
        </w:behaviors>
        <w:description w:val=""/>
        <w:guid w:val="{189d426f-9201-489b-8b4b-85953a000da2}"/>
      </w:docPartPr>
      <w:docPartBody>
        <w:p>
          <w:r>
            <w:rPr>
              <w:color w:val="808080"/>
            </w:rPr>
            <w:t>单击此处输入文字。</w:t>
          </w:r>
        </w:p>
      </w:docPartBody>
    </w:docPart>
    <w:docPart>
      <w:docPartPr>
        <w:name w:val="{0ef5c741-d1a5-4264-90a1-8820ee272a8e}"/>
        <w:style w:val=""/>
        <w:category>
          <w:name w:val="常规"/>
          <w:gallery w:val="placeholder"/>
        </w:category>
        <w:types>
          <w:type w:val="bbPlcHdr"/>
        </w:types>
        <w:behaviors>
          <w:behavior w:val="content"/>
        </w:behaviors>
        <w:description w:val=""/>
        <w:guid w:val="{0ef5c741-d1a5-4264-90a1-8820ee272a8e}"/>
      </w:docPartPr>
      <w:docPartBody>
        <w:p>
          <w:r>
            <w:rPr>
              <w:color w:val="808080"/>
            </w:rPr>
            <w:t>单击此处输入文字。</w:t>
          </w:r>
        </w:p>
      </w:docPartBody>
    </w:docPart>
    <w:docPart>
      <w:docPartPr>
        <w:name w:val="{5688ee38-01de-4121-8319-32b36a2e20df}"/>
        <w:style w:val=""/>
        <w:category>
          <w:name w:val="常规"/>
          <w:gallery w:val="placeholder"/>
        </w:category>
        <w:types>
          <w:type w:val="bbPlcHdr"/>
        </w:types>
        <w:behaviors>
          <w:behavior w:val="content"/>
        </w:behaviors>
        <w:description w:val=""/>
        <w:guid w:val="{5688ee38-01de-4121-8319-32b36a2e20df}"/>
      </w:docPartPr>
      <w:docPartBody>
        <w:p>
          <w:r>
            <w:rPr>
              <w:color w:val="808080"/>
            </w:rPr>
            <w:t>单击此处输入文字。</w:t>
          </w:r>
        </w:p>
      </w:docPartBody>
    </w:docPart>
    <w:docPart>
      <w:docPartPr>
        <w:name w:val="{6977ee3f-ba47-4b90-b901-2c0416e90387}"/>
        <w:style w:val=""/>
        <w:category>
          <w:name w:val="常规"/>
          <w:gallery w:val="placeholder"/>
        </w:category>
        <w:types>
          <w:type w:val="bbPlcHdr"/>
        </w:types>
        <w:behaviors>
          <w:behavior w:val="content"/>
        </w:behaviors>
        <w:description w:val=""/>
        <w:guid w:val="{6977ee3f-ba47-4b90-b901-2c0416e90387}"/>
      </w:docPartPr>
      <w:docPartBody>
        <w:p>
          <w:r>
            <w:rPr>
              <w:color w:val="808080"/>
            </w:rPr>
            <w:t>单击此处输入文字。</w:t>
          </w:r>
        </w:p>
      </w:docPartBody>
    </w:docPart>
    <w:docPart>
      <w:docPartPr>
        <w:name w:val="{fa0eacd5-924d-4d03-ba87-4c36602019de}"/>
        <w:style w:val=""/>
        <w:category>
          <w:name w:val="常规"/>
          <w:gallery w:val="placeholder"/>
        </w:category>
        <w:types>
          <w:type w:val="bbPlcHdr"/>
        </w:types>
        <w:behaviors>
          <w:behavior w:val="content"/>
        </w:behaviors>
        <w:description w:val=""/>
        <w:guid w:val="{fa0eacd5-924d-4d03-ba87-4c36602019de}"/>
      </w:docPartPr>
      <w:docPartBody>
        <w:p>
          <w:r>
            <w:rPr>
              <w:color w:val="808080"/>
            </w:rPr>
            <w:t>单击此处输入文字。</w:t>
          </w:r>
        </w:p>
      </w:docPartBody>
    </w:docPart>
    <w:docPart>
      <w:docPartPr>
        <w:name w:val="{8001e842-ae4c-4e60-9152-0464bc3dce8b}"/>
        <w:style w:val=""/>
        <w:category>
          <w:name w:val="常规"/>
          <w:gallery w:val="placeholder"/>
        </w:category>
        <w:types>
          <w:type w:val="bbPlcHdr"/>
        </w:types>
        <w:behaviors>
          <w:behavior w:val="content"/>
        </w:behaviors>
        <w:description w:val=""/>
        <w:guid w:val="{8001e842-ae4c-4e60-9152-0464bc3dce8b}"/>
      </w:docPartPr>
      <w:docPartBody>
        <w:p>
          <w:r>
            <w:rPr>
              <w:color w:val="808080"/>
            </w:rPr>
            <w:t>单击此处输入文字。</w:t>
          </w:r>
        </w:p>
      </w:docPartBody>
    </w:docPart>
    <w:docPart>
      <w:docPartPr>
        <w:name w:val="{2b574b18-759c-4d1c-ac0d-bf5d60f34fa7}"/>
        <w:style w:val=""/>
        <w:category>
          <w:name w:val="常规"/>
          <w:gallery w:val="placeholder"/>
        </w:category>
        <w:types>
          <w:type w:val="bbPlcHdr"/>
        </w:types>
        <w:behaviors>
          <w:behavior w:val="content"/>
        </w:behaviors>
        <w:description w:val=""/>
        <w:guid w:val="{2b574b18-759c-4d1c-ac0d-bf5d60f34fa7}"/>
      </w:docPartPr>
      <w:docPartBody>
        <w:p>
          <w:r>
            <w:rPr>
              <w:color w:val="808080"/>
            </w:rPr>
            <w:t>单击此处输入文字。</w:t>
          </w:r>
        </w:p>
      </w:docPartBody>
    </w:docPart>
    <w:docPart>
      <w:docPartPr>
        <w:name w:val="{af4fc75b-d332-470d-bf70-1285583b22fb}"/>
        <w:style w:val=""/>
        <w:category>
          <w:name w:val="常规"/>
          <w:gallery w:val="placeholder"/>
        </w:category>
        <w:types>
          <w:type w:val="bbPlcHdr"/>
        </w:types>
        <w:behaviors>
          <w:behavior w:val="content"/>
        </w:behaviors>
        <w:description w:val=""/>
        <w:guid w:val="{af4fc75b-d332-470d-bf70-1285583b22fb}"/>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50</Pages>
  <Words>11464</Words>
  <Characters>11996</Characters>
  <Lines>0</Lines>
  <Paragraphs>0</Paragraphs>
  <TotalTime>7</TotalTime>
  <ScaleCrop>false</ScaleCrop>
  <LinksUpToDate>false</LinksUpToDate>
  <CharactersWithSpaces>12335</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2026-01-16T14:45:00Z</dcterms:created>
  <dc:creator>B90BBC264D8A4D679F4C3A5818AC6CA3</dc:creator>
  <cp:lastModifiedBy>B90BBC264D8A4D679F4C3A5818AC6CA3</cp:lastModifiedBy>
  <dcterms:modified xsi:type="dcterms:W3CDTF">2026-04-28T03:07:19Z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3D6E48F60F8F497187FBFEC4445EAE56_13</vt:lpwstr>
  </property>
  <property fmtid="{D5CDD505-2E9C-101B-9397-08002B2CF9AE}" pid="4" name="KSOTemplateDocerSaveRecord">
    <vt:lpwstr>eyJoZGlkIjoiZWZlNzc4MzgyNWVjNTVlYzY3NWE0NTMzYjcyZTRiZWMiLCJ1c2VySWQiOiIzMDg4NzAwNTEifQ==</vt:lpwstr>
  </property>
</Properties>
</file>