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800" w:lineRule="atLeast"/>
        <w:jc w:val="center"/>
        <w:rPr>
          <w:rFonts w:eastAsia="黑体"/>
          <w:color w:val="000000"/>
          <w:sz w:val="40"/>
          <w:szCs w:val="40"/>
          <w:highlight w:val="none"/>
        </w:rPr>
      </w:pPr>
      <w:r>
        <w:rPr>
          <w:rFonts w:hint="eastAsia" w:ascii="黑体" w:hAnsi="黑体" w:eastAsia="黑体" w:cs="黑体"/>
          <w:sz w:val="52"/>
          <w:szCs w:val="52"/>
        </w:rPr>
        <w:drawing>
          <wp:anchor distT="0" distB="0" distL="114300" distR="114300" simplePos="0" relativeHeight="251659264" behindDoc="1" locked="0" layoutInCell="1" allowOverlap="1">
            <wp:simplePos x="0" y="0"/>
            <wp:positionH relativeFrom="column">
              <wp:posOffset>-720090</wp:posOffset>
            </wp:positionH>
            <wp:positionV relativeFrom="paragraph">
              <wp:posOffset>-1056640</wp:posOffset>
            </wp:positionV>
            <wp:extent cx="7876540" cy="2736850"/>
            <wp:effectExtent l="0" t="0" r="10160" b="6350"/>
            <wp:wrapTight wrapText="bothSides">
              <wp:wrapPolygon>
                <wp:start x="0" y="0"/>
                <wp:lineTo x="0" y="21500"/>
                <wp:lineTo x="21523" y="21500"/>
                <wp:lineTo x="21523" y="0"/>
                <wp:lineTo x="0" y="0"/>
              </wp:wrapPolygon>
            </wp:wrapTight>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14"/>
                    <a:srcRect l="1337" t="2971"/>
                    <a:stretch>
                      <a:fillRect/>
                    </a:stretch>
                  </pic:blipFill>
                  <pic:spPr>
                    <a:xfrm>
                      <a:off x="0" y="0"/>
                      <a:ext cx="7876540" cy="2736850"/>
                    </a:xfrm>
                    <a:prstGeom prst="rect">
                      <a:avLst/>
                    </a:prstGeom>
                    <a:noFill/>
                    <a:ln>
                      <a:noFill/>
                    </a:ln>
                  </pic:spPr>
                </pic:pic>
              </a:graphicData>
            </a:graphic>
          </wp:anchor>
        </w:drawing>
      </w:r>
      <w:r>
        <w:rPr>
          <w:rFonts w:hint="eastAsia" w:eastAsia="黑体"/>
          <w:color w:val="000000"/>
          <w:sz w:val="40"/>
          <w:szCs w:val="40"/>
          <w:highlight w:val="none"/>
        </w:rPr>
        <w:t>来宾供电局2026年生产材料费用项目</w:t>
      </w:r>
      <w:r>
        <w:rPr>
          <w:rFonts w:hint="eastAsia" w:eastAsia="黑体"/>
          <w:color w:val="000000"/>
          <w:sz w:val="40"/>
          <w:szCs w:val="40"/>
          <w:highlight w:val="none"/>
          <w:lang w:eastAsia="zh-CN"/>
        </w:rPr>
        <w:t>电源转换开关招标技术规范书</w:t>
      </w:r>
    </w:p>
    <w:p>
      <w:pPr>
        <w:spacing w:before="624" w:beforeLines="200"/>
        <w:ind w:firstLine="400"/>
        <w:jc w:val="center"/>
        <w:rPr>
          <w:rFonts w:hint="eastAsia" w:ascii="微软雅黑" w:hAnsi="微软雅黑" w:eastAsia="微软雅黑"/>
          <w:b/>
          <w:sz w:val="20"/>
          <w:szCs w:val="21"/>
          <w:highlight w:val="none"/>
        </w:rPr>
      </w:pPr>
    </w:p>
    <w:p>
      <w:pPr>
        <w:ind w:firstLine="640"/>
        <w:jc w:val="center"/>
        <w:rPr>
          <w:rFonts w:hint="eastAsia" w:ascii="黑体" w:hAnsi="黑体" w:eastAsia="黑体" w:cs="黑体"/>
          <w:sz w:val="32"/>
          <w:szCs w:val="32"/>
          <w:highlight w:val="none"/>
        </w:rPr>
      </w:pPr>
    </w:p>
    <w:p>
      <w:pPr>
        <w:ind w:firstLine="640"/>
        <w:jc w:val="center"/>
        <w:rPr>
          <w:rFonts w:hint="eastAsia" w:ascii="黑体" w:hAnsi="黑体" w:eastAsia="黑体" w:cs="黑体"/>
          <w:sz w:val="32"/>
          <w:szCs w:val="32"/>
          <w:highlight w:val="none"/>
        </w:rPr>
      </w:pPr>
    </w:p>
    <w:p>
      <w:pPr>
        <w:ind w:firstLine="640"/>
        <w:jc w:val="center"/>
        <w:rPr>
          <w:rFonts w:hint="eastAsia" w:ascii="黑体" w:hAnsi="黑体" w:eastAsia="黑体" w:cs="黑体"/>
          <w:sz w:val="32"/>
          <w:szCs w:val="32"/>
          <w:highlight w:val="none"/>
        </w:rPr>
      </w:pPr>
    </w:p>
    <w:p>
      <w:pPr>
        <w:ind w:firstLine="640"/>
        <w:jc w:val="center"/>
        <w:rPr>
          <w:rFonts w:hint="eastAsia" w:ascii="黑体" w:hAnsi="黑体" w:eastAsia="黑体" w:cs="黑体"/>
          <w:sz w:val="32"/>
          <w:szCs w:val="32"/>
          <w:highlight w:val="none"/>
        </w:rPr>
      </w:pPr>
    </w:p>
    <w:p>
      <w:pPr>
        <w:ind w:firstLine="640"/>
        <w:jc w:val="center"/>
        <w:rPr>
          <w:rFonts w:hint="eastAsia" w:ascii="黑体" w:hAnsi="黑体" w:eastAsia="黑体" w:cs="黑体"/>
          <w:sz w:val="32"/>
          <w:szCs w:val="32"/>
          <w:highlight w:val="none"/>
        </w:rPr>
      </w:pPr>
    </w:p>
    <w:p>
      <w:pPr>
        <w:ind w:firstLine="640"/>
        <w:jc w:val="center"/>
        <w:rPr>
          <w:rFonts w:hint="eastAsia" w:ascii="黑体" w:hAnsi="黑体" w:eastAsia="黑体" w:cs="黑体"/>
          <w:sz w:val="32"/>
          <w:szCs w:val="32"/>
          <w:highlight w:val="none"/>
        </w:rPr>
      </w:pPr>
    </w:p>
    <w:p>
      <w:pPr>
        <w:ind w:firstLine="640"/>
        <w:jc w:val="center"/>
        <w:rPr>
          <w:rFonts w:hint="eastAsia" w:ascii="黑体" w:hAnsi="黑体" w:eastAsia="黑体" w:cs="黑体"/>
          <w:sz w:val="32"/>
          <w:szCs w:val="32"/>
          <w:highlight w:val="none"/>
        </w:rPr>
      </w:pPr>
    </w:p>
    <w:p>
      <w:pPr>
        <w:ind w:firstLine="640"/>
        <w:jc w:val="center"/>
        <w:rPr>
          <w:rFonts w:hint="eastAsia" w:ascii="黑体" w:hAnsi="黑体" w:eastAsia="黑体" w:cs="黑体"/>
          <w:sz w:val="32"/>
          <w:szCs w:val="32"/>
          <w:highlight w:val="none"/>
        </w:rPr>
      </w:pPr>
    </w:p>
    <w:p>
      <w:pPr>
        <w:ind w:firstLine="640"/>
        <w:jc w:val="center"/>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广西</w:t>
      </w:r>
      <w:r>
        <w:rPr>
          <w:rFonts w:hint="eastAsia" w:ascii="黑体" w:hAnsi="黑体" w:eastAsia="黑体" w:cs="黑体"/>
          <w:sz w:val="32"/>
          <w:szCs w:val="32"/>
          <w:highlight w:val="none"/>
        </w:rPr>
        <w:t>电网有限责任公司</w:t>
      </w:r>
      <w:r>
        <w:rPr>
          <w:rFonts w:hint="eastAsia" w:ascii="黑体" w:hAnsi="黑体" w:eastAsia="黑体" w:cs="黑体"/>
          <w:sz w:val="32"/>
          <w:szCs w:val="32"/>
          <w:highlight w:val="none"/>
          <w:lang w:eastAsia="zh-CN"/>
        </w:rPr>
        <w:t>来宾供电局</w:t>
      </w:r>
    </w:p>
    <w:p>
      <w:pPr>
        <w:ind w:firstLine="640"/>
        <w:jc w:val="center"/>
        <w:rPr>
          <w:rFonts w:ascii="黑体" w:hAnsi="黑体" w:eastAsia="黑体" w:cs="黑体"/>
          <w:sz w:val="32"/>
          <w:szCs w:val="32"/>
          <w:highlight w:val="none"/>
        </w:rPr>
      </w:pPr>
      <w:r>
        <w:rPr>
          <w:rFonts w:hint="eastAsia" w:ascii="黑体" w:hAnsi="黑体" w:eastAsia="黑体" w:cs="黑体"/>
          <w:sz w:val="32"/>
          <w:szCs w:val="32"/>
          <w:highlight w:val="none"/>
        </w:rPr>
        <w:t>202</w:t>
      </w:r>
      <w:r>
        <w:rPr>
          <w:rFonts w:hint="eastAsia" w:ascii="黑体" w:hAnsi="黑体" w:eastAsia="黑体" w:cs="黑体"/>
          <w:sz w:val="32"/>
          <w:szCs w:val="32"/>
          <w:highlight w:val="none"/>
          <w:lang w:val="en-US" w:eastAsia="zh-CN"/>
        </w:rPr>
        <w:t>6</w:t>
      </w:r>
      <w:r>
        <w:rPr>
          <w:rFonts w:hint="eastAsia" w:ascii="黑体" w:hAnsi="黑体" w:eastAsia="黑体" w:cs="黑体"/>
          <w:sz w:val="32"/>
          <w:szCs w:val="32"/>
          <w:highlight w:val="none"/>
        </w:rPr>
        <w:t>年</w:t>
      </w:r>
      <w:r>
        <w:rPr>
          <w:rFonts w:hint="eastAsia" w:ascii="黑体" w:hAnsi="黑体" w:eastAsia="黑体" w:cs="黑体"/>
          <w:sz w:val="32"/>
          <w:szCs w:val="32"/>
          <w:highlight w:val="none"/>
          <w:lang w:val="en-US" w:eastAsia="zh-CN"/>
        </w:rPr>
        <w:t>2</w:t>
      </w:r>
      <w:r>
        <w:rPr>
          <w:rFonts w:hint="eastAsia" w:ascii="黑体" w:hAnsi="黑体" w:eastAsia="黑体" w:cs="黑体"/>
          <w:sz w:val="32"/>
          <w:szCs w:val="32"/>
          <w:highlight w:val="none"/>
        </w:rPr>
        <w:t>月</w:t>
      </w:r>
    </w:p>
    <w:p>
      <w:pPr>
        <w:ind w:left="0" w:leftChars="0" w:firstLine="0" w:firstLineChars="0"/>
        <w:jc w:val="both"/>
      </w:pPr>
      <w:r>
        <w:rPr>
          <w:rFonts w:ascii="仿宋_GB2312" w:eastAsia="仿宋_GB2312"/>
        </w:rPr>
        <w:br w:type="page"/>
      </w:r>
      <w:r>
        <w:rPr>
          <w:rFonts w:hint="eastAsia" w:ascii="黑体" w:eastAsia="黑体"/>
          <w:sz w:val="32"/>
          <w:szCs w:val="32"/>
        </w:rPr>
        <w:t>目  录</w:t>
      </w:r>
    </w:p>
    <w:p>
      <w:pPr>
        <w:pStyle w:val="9"/>
        <w:tabs>
          <w:tab w:val="right" w:leader="dot" w:pos="9354"/>
          <w:tab w:val="clear" w:pos="8705"/>
        </w:tabs>
      </w:pPr>
      <w:r>
        <w:rPr>
          <w:lang w:eastAsia="zh-CN"/>
        </w:rPr>
        <w:fldChar w:fldCharType="begin"/>
      </w:r>
      <w:r>
        <w:rPr>
          <w:lang w:eastAsia="zh-CN"/>
        </w:rPr>
        <w:instrText xml:space="preserve"> TOC \o "1-3" \h \z \u </w:instrText>
      </w:r>
      <w:r>
        <w:rPr>
          <w:lang w:eastAsia="zh-CN"/>
        </w:rPr>
        <w:fldChar w:fldCharType="separate"/>
      </w:r>
      <w:r>
        <w:rPr>
          <w:lang w:eastAsia="zh-CN"/>
        </w:rPr>
        <w:fldChar w:fldCharType="begin"/>
      </w:r>
      <w:r>
        <w:rPr>
          <w:lang w:eastAsia="zh-CN"/>
        </w:rPr>
        <w:instrText xml:space="preserve"> HYPERLINK \l _Toc16419 </w:instrText>
      </w:r>
      <w:r>
        <w:rPr>
          <w:lang w:eastAsia="zh-CN"/>
        </w:rPr>
        <w:fldChar w:fldCharType="separate"/>
      </w:r>
      <w:r>
        <w:rPr>
          <w:rFonts w:hint="eastAsia" w:eastAsia="黑体"/>
          <w:szCs w:val="28"/>
        </w:rPr>
        <w:t xml:space="preserve">1 </w:t>
      </w:r>
      <w:r>
        <w:rPr>
          <w:rFonts w:hint="eastAsia"/>
        </w:rPr>
        <w:t>总则</w:t>
      </w:r>
      <w:r>
        <w:tab/>
      </w:r>
      <w:r>
        <w:fldChar w:fldCharType="begin"/>
      </w:r>
      <w:r>
        <w:instrText xml:space="preserve"> PAGEREF _Toc16419 \h </w:instrText>
      </w:r>
      <w:r>
        <w:fldChar w:fldCharType="separate"/>
      </w:r>
      <w:r>
        <w:t>1</w:t>
      </w:r>
      <w:r>
        <w:fldChar w:fldCharType="end"/>
      </w:r>
      <w:r>
        <w:rPr>
          <w:lang w:eastAsia="zh-CN"/>
        </w:rPr>
        <w:fldChar w:fldCharType="end"/>
      </w:r>
    </w:p>
    <w:p>
      <w:pPr>
        <w:pStyle w:val="9"/>
        <w:tabs>
          <w:tab w:val="right" w:leader="dot" w:pos="9354"/>
          <w:tab w:val="clear" w:pos="8705"/>
        </w:tabs>
      </w:pPr>
      <w:r>
        <w:fldChar w:fldCharType="begin"/>
      </w:r>
      <w:r>
        <w:instrText xml:space="preserve"> HYPERLINK \l _Toc18971 </w:instrText>
      </w:r>
      <w:r>
        <w:fldChar w:fldCharType="separate"/>
      </w:r>
      <w:r>
        <w:rPr>
          <w:rFonts w:hint="eastAsia" w:eastAsia="黑体"/>
          <w:szCs w:val="28"/>
        </w:rPr>
        <w:t xml:space="preserve">2 </w:t>
      </w:r>
      <w:r>
        <w:rPr>
          <w:rFonts w:hint="eastAsia"/>
        </w:rPr>
        <w:t>工作范围</w:t>
      </w:r>
      <w:r>
        <w:tab/>
      </w:r>
      <w:r>
        <w:fldChar w:fldCharType="begin"/>
      </w:r>
      <w:r>
        <w:instrText xml:space="preserve"> PAGEREF _Toc18971 \h </w:instrText>
      </w:r>
      <w:r>
        <w:fldChar w:fldCharType="separate"/>
      </w:r>
      <w:r>
        <w:t>1</w:t>
      </w:r>
      <w:r>
        <w:fldChar w:fldCharType="end"/>
      </w:r>
      <w:r>
        <w:fldChar w:fldCharType="end"/>
      </w:r>
    </w:p>
    <w:p>
      <w:pPr>
        <w:pStyle w:val="10"/>
        <w:tabs>
          <w:tab w:val="right" w:leader="dot" w:pos="9354"/>
          <w:tab w:val="clear" w:pos="8705"/>
        </w:tabs>
      </w:pPr>
      <w:r>
        <w:fldChar w:fldCharType="begin"/>
      </w:r>
      <w:r>
        <w:instrText xml:space="preserve"> HYPERLINK \l _Toc27841 </w:instrText>
      </w:r>
      <w:r>
        <w:fldChar w:fldCharType="separate"/>
      </w:r>
      <w:r>
        <w:rPr>
          <w:rFonts w:hint="eastAsia"/>
          <w:szCs w:val="24"/>
        </w:rPr>
        <w:t xml:space="preserve">2.1 </w:t>
      </w:r>
      <w:r>
        <w:rPr>
          <w:rFonts w:hint="eastAsia"/>
        </w:rPr>
        <w:t>工程概况</w:t>
      </w:r>
      <w:r>
        <w:tab/>
      </w:r>
      <w:r>
        <w:fldChar w:fldCharType="begin"/>
      </w:r>
      <w:r>
        <w:instrText xml:space="preserve"> PAGEREF _Toc27841 \h </w:instrText>
      </w:r>
      <w:r>
        <w:fldChar w:fldCharType="separate"/>
      </w:r>
      <w:r>
        <w:t>1</w:t>
      </w:r>
      <w:r>
        <w:fldChar w:fldCharType="end"/>
      </w:r>
      <w:r>
        <w:fldChar w:fldCharType="end"/>
      </w:r>
    </w:p>
    <w:p>
      <w:pPr>
        <w:pStyle w:val="10"/>
        <w:tabs>
          <w:tab w:val="right" w:leader="dot" w:pos="9354"/>
          <w:tab w:val="clear" w:pos="8705"/>
        </w:tabs>
      </w:pPr>
      <w:r>
        <w:fldChar w:fldCharType="begin"/>
      </w:r>
      <w:r>
        <w:instrText xml:space="preserve"> HYPERLINK \l _Toc16147 </w:instrText>
      </w:r>
      <w:r>
        <w:fldChar w:fldCharType="separate"/>
      </w:r>
      <w:r>
        <w:rPr>
          <w:rFonts w:hint="eastAsia"/>
          <w:szCs w:val="24"/>
        </w:rPr>
        <w:t xml:space="preserve">2.2 </w:t>
      </w:r>
      <w:r>
        <w:rPr>
          <w:rFonts w:hint="eastAsia"/>
        </w:rPr>
        <w:t>范围和界限</w:t>
      </w:r>
      <w:r>
        <w:tab/>
      </w:r>
      <w:r>
        <w:fldChar w:fldCharType="begin"/>
      </w:r>
      <w:r>
        <w:instrText xml:space="preserve"> PAGEREF _Toc16147 \h </w:instrText>
      </w:r>
      <w:r>
        <w:fldChar w:fldCharType="separate"/>
      </w:r>
      <w:r>
        <w:t>1</w:t>
      </w:r>
      <w:r>
        <w:fldChar w:fldCharType="end"/>
      </w:r>
      <w:r>
        <w:fldChar w:fldCharType="end"/>
      </w:r>
    </w:p>
    <w:p>
      <w:pPr>
        <w:pStyle w:val="10"/>
        <w:tabs>
          <w:tab w:val="right" w:leader="dot" w:pos="9354"/>
          <w:tab w:val="clear" w:pos="8705"/>
        </w:tabs>
      </w:pPr>
      <w:r>
        <w:fldChar w:fldCharType="begin"/>
      </w:r>
      <w:r>
        <w:instrText xml:space="preserve"> HYPERLINK \l _Toc25980 </w:instrText>
      </w:r>
      <w:r>
        <w:fldChar w:fldCharType="separate"/>
      </w:r>
      <w:r>
        <w:rPr>
          <w:rFonts w:hint="eastAsia"/>
          <w:szCs w:val="24"/>
        </w:rPr>
        <w:t xml:space="preserve">2.3 </w:t>
      </w:r>
      <w:r>
        <w:rPr>
          <w:rFonts w:hint="eastAsia"/>
        </w:rPr>
        <w:t>招标方与投标方职责</w:t>
      </w:r>
      <w:r>
        <w:tab/>
      </w:r>
      <w:r>
        <w:fldChar w:fldCharType="begin"/>
      </w:r>
      <w:r>
        <w:instrText xml:space="preserve"> PAGEREF _Toc25980 \h </w:instrText>
      </w:r>
      <w:r>
        <w:fldChar w:fldCharType="separate"/>
      </w:r>
      <w:r>
        <w:t>1</w:t>
      </w:r>
      <w:r>
        <w:fldChar w:fldCharType="end"/>
      </w:r>
      <w:r>
        <w:fldChar w:fldCharType="end"/>
      </w:r>
    </w:p>
    <w:p>
      <w:pPr>
        <w:pStyle w:val="10"/>
        <w:tabs>
          <w:tab w:val="right" w:leader="dot" w:pos="9354"/>
          <w:tab w:val="clear" w:pos="8705"/>
        </w:tabs>
      </w:pPr>
      <w:r>
        <w:fldChar w:fldCharType="begin"/>
      </w:r>
      <w:r>
        <w:instrText xml:space="preserve"> HYPERLINK \l _Toc30096 </w:instrText>
      </w:r>
      <w:r>
        <w:fldChar w:fldCharType="separate"/>
      </w:r>
      <w:r>
        <w:rPr>
          <w:rFonts w:hint="eastAsia"/>
          <w:szCs w:val="24"/>
        </w:rPr>
        <w:t xml:space="preserve">2.4 </w:t>
      </w:r>
      <w:r>
        <w:rPr>
          <w:rFonts w:hint="eastAsia"/>
        </w:rPr>
        <w:t>技术规范书点对点应答要求</w:t>
      </w:r>
      <w:r>
        <w:tab/>
      </w:r>
      <w:r>
        <w:fldChar w:fldCharType="begin"/>
      </w:r>
      <w:r>
        <w:instrText xml:space="preserve"> PAGEREF _Toc30096 \h </w:instrText>
      </w:r>
      <w:r>
        <w:fldChar w:fldCharType="separate"/>
      </w:r>
      <w:r>
        <w:t>2</w:t>
      </w:r>
      <w:r>
        <w:fldChar w:fldCharType="end"/>
      </w:r>
      <w:r>
        <w:fldChar w:fldCharType="end"/>
      </w:r>
    </w:p>
    <w:p>
      <w:pPr>
        <w:pStyle w:val="9"/>
        <w:tabs>
          <w:tab w:val="right" w:leader="dot" w:pos="9354"/>
          <w:tab w:val="clear" w:pos="8705"/>
        </w:tabs>
      </w:pPr>
      <w:r>
        <w:fldChar w:fldCharType="begin"/>
      </w:r>
      <w:r>
        <w:instrText xml:space="preserve"> HYPERLINK \l _Toc26902 </w:instrText>
      </w:r>
      <w:r>
        <w:fldChar w:fldCharType="separate"/>
      </w:r>
      <w:r>
        <w:rPr>
          <w:rFonts w:hint="eastAsia" w:eastAsia="黑体"/>
          <w:szCs w:val="28"/>
        </w:rPr>
        <w:t xml:space="preserve">3 </w:t>
      </w:r>
      <w:r>
        <w:rPr>
          <w:rFonts w:hint="eastAsia"/>
        </w:rPr>
        <w:t>应遵循的主要标准</w:t>
      </w:r>
      <w:r>
        <w:tab/>
      </w:r>
      <w:r>
        <w:fldChar w:fldCharType="begin"/>
      </w:r>
      <w:r>
        <w:instrText xml:space="preserve"> PAGEREF _Toc26902 \h </w:instrText>
      </w:r>
      <w:r>
        <w:fldChar w:fldCharType="separate"/>
      </w:r>
      <w:r>
        <w:t>3</w:t>
      </w:r>
      <w:r>
        <w:fldChar w:fldCharType="end"/>
      </w:r>
      <w:r>
        <w:fldChar w:fldCharType="end"/>
      </w:r>
    </w:p>
    <w:p>
      <w:pPr>
        <w:pStyle w:val="9"/>
        <w:tabs>
          <w:tab w:val="right" w:leader="dot" w:pos="9354"/>
          <w:tab w:val="clear" w:pos="8705"/>
        </w:tabs>
      </w:pPr>
      <w:r>
        <w:fldChar w:fldCharType="begin"/>
      </w:r>
      <w:r>
        <w:instrText xml:space="preserve"> HYPERLINK \l _Toc23089 </w:instrText>
      </w:r>
      <w:r>
        <w:fldChar w:fldCharType="separate"/>
      </w:r>
      <w:r>
        <w:rPr>
          <w:rFonts w:hint="eastAsia" w:eastAsia="黑体"/>
          <w:szCs w:val="28"/>
        </w:rPr>
        <w:t xml:space="preserve">4 </w:t>
      </w:r>
      <w:r>
        <w:rPr>
          <w:rFonts w:hint="eastAsia"/>
        </w:rPr>
        <w:t>使用条件</w:t>
      </w:r>
      <w:r>
        <w:tab/>
      </w:r>
      <w:r>
        <w:fldChar w:fldCharType="begin"/>
      </w:r>
      <w:r>
        <w:instrText xml:space="preserve"> PAGEREF _Toc23089 \h </w:instrText>
      </w:r>
      <w:r>
        <w:fldChar w:fldCharType="separate"/>
      </w:r>
      <w:r>
        <w:t>4</w:t>
      </w:r>
      <w:r>
        <w:fldChar w:fldCharType="end"/>
      </w:r>
      <w:r>
        <w:fldChar w:fldCharType="end"/>
      </w:r>
    </w:p>
    <w:p>
      <w:pPr>
        <w:pStyle w:val="9"/>
        <w:tabs>
          <w:tab w:val="right" w:leader="dot" w:pos="9354"/>
          <w:tab w:val="clear" w:pos="8705"/>
        </w:tabs>
      </w:pPr>
      <w:r>
        <w:fldChar w:fldCharType="begin"/>
      </w:r>
      <w:r>
        <w:instrText xml:space="preserve"> HYPERLINK \l _Toc16137 </w:instrText>
      </w:r>
      <w:r>
        <w:fldChar w:fldCharType="separate"/>
      </w:r>
      <w:r>
        <w:rPr>
          <w:rFonts w:hint="eastAsia" w:eastAsia="黑体"/>
          <w:szCs w:val="28"/>
        </w:rPr>
        <w:t xml:space="preserve">5 </w:t>
      </w:r>
      <w:r>
        <w:rPr>
          <w:rFonts w:hint="eastAsia"/>
          <w:lang w:eastAsia="zh-CN"/>
        </w:rPr>
        <w:t>供货范围</w:t>
      </w:r>
      <w:r>
        <w:tab/>
      </w:r>
      <w:r>
        <w:fldChar w:fldCharType="begin"/>
      </w:r>
      <w:r>
        <w:instrText xml:space="preserve"> PAGEREF _Toc16137 \h </w:instrText>
      </w:r>
      <w:r>
        <w:fldChar w:fldCharType="separate"/>
      </w:r>
      <w:r>
        <w:t>4</w:t>
      </w:r>
      <w:r>
        <w:fldChar w:fldCharType="end"/>
      </w:r>
      <w:r>
        <w:fldChar w:fldCharType="end"/>
      </w:r>
    </w:p>
    <w:p>
      <w:pPr>
        <w:pStyle w:val="9"/>
        <w:tabs>
          <w:tab w:val="right" w:leader="dot" w:pos="9354"/>
          <w:tab w:val="clear" w:pos="8705"/>
        </w:tabs>
      </w:pPr>
      <w:r>
        <w:fldChar w:fldCharType="begin"/>
      </w:r>
      <w:r>
        <w:instrText xml:space="preserve"> HYPERLINK \l _Toc22134 </w:instrText>
      </w:r>
      <w:r>
        <w:fldChar w:fldCharType="separate"/>
      </w:r>
      <w:r>
        <w:rPr>
          <w:rFonts w:hint="eastAsia" w:eastAsia="黑体"/>
          <w:szCs w:val="28"/>
        </w:rPr>
        <w:t xml:space="preserve">6 </w:t>
      </w:r>
      <w:r>
        <w:rPr>
          <w:rFonts w:hint="eastAsia"/>
        </w:rPr>
        <w:t>技术要求</w:t>
      </w:r>
      <w:r>
        <w:tab/>
      </w:r>
      <w:r>
        <w:fldChar w:fldCharType="begin"/>
      </w:r>
      <w:r>
        <w:instrText xml:space="preserve"> PAGEREF _Toc22134 \h </w:instrText>
      </w:r>
      <w:r>
        <w:fldChar w:fldCharType="separate"/>
      </w:r>
      <w:r>
        <w:t>4</w:t>
      </w:r>
      <w:r>
        <w:fldChar w:fldCharType="end"/>
      </w:r>
      <w:r>
        <w:fldChar w:fldCharType="end"/>
      </w:r>
    </w:p>
    <w:p>
      <w:pPr>
        <w:pStyle w:val="10"/>
        <w:tabs>
          <w:tab w:val="right" w:leader="dot" w:pos="9354"/>
          <w:tab w:val="clear" w:pos="8705"/>
        </w:tabs>
      </w:pPr>
      <w:r>
        <w:fldChar w:fldCharType="begin"/>
      </w:r>
      <w:r>
        <w:instrText xml:space="preserve"> HYPERLINK \l _Toc13056 </w:instrText>
      </w:r>
      <w:r>
        <w:fldChar w:fldCharType="separate"/>
      </w:r>
      <w:r>
        <w:rPr>
          <w:rFonts w:hint="eastAsia"/>
          <w:szCs w:val="24"/>
        </w:rPr>
        <w:t xml:space="preserve">6.1 </w:t>
      </w:r>
      <w:r>
        <w:rPr>
          <w:rFonts w:hint="eastAsia"/>
          <w:lang w:eastAsia="zh-CN"/>
        </w:rPr>
        <w:t>电源转换开关</w:t>
      </w:r>
      <w:r>
        <w:rPr>
          <w:rFonts w:hint="eastAsia"/>
        </w:rPr>
        <w:t>技术要求</w:t>
      </w:r>
      <w:r>
        <w:tab/>
      </w:r>
      <w:r>
        <w:fldChar w:fldCharType="begin"/>
      </w:r>
      <w:r>
        <w:instrText xml:space="preserve"> PAGEREF _Toc13056 \h </w:instrText>
      </w:r>
      <w:r>
        <w:fldChar w:fldCharType="separate"/>
      </w:r>
      <w:r>
        <w:t>4</w:t>
      </w:r>
      <w:r>
        <w:fldChar w:fldCharType="end"/>
      </w:r>
      <w:r>
        <w:fldChar w:fldCharType="end"/>
      </w:r>
    </w:p>
    <w:p>
      <w:pPr>
        <w:pStyle w:val="6"/>
        <w:tabs>
          <w:tab w:val="right" w:leader="dot" w:pos="9354"/>
        </w:tabs>
      </w:pPr>
      <w:r>
        <w:fldChar w:fldCharType="begin"/>
      </w:r>
      <w:r>
        <w:instrText xml:space="preserve"> HYPERLINK \l _Toc5859 </w:instrText>
      </w:r>
      <w:r>
        <w:fldChar w:fldCharType="separate"/>
      </w:r>
      <w:r>
        <w:rPr>
          <w:rFonts w:hint="eastAsia"/>
          <w:szCs w:val="21"/>
        </w:rPr>
        <w:t xml:space="preserve">6.1.1 </w:t>
      </w:r>
      <w:r>
        <w:rPr>
          <w:rFonts w:hint="eastAsia" w:ascii="Times New Roman" w:hAnsi="Times New Roman"/>
          <w:szCs w:val="21"/>
          <w:lang w:val="en-US" w:eastAsia="zh-CN"/>
        </w:rPr>
        <w:t>32A  STS转换开关</w:t>
      </w:r>
      <w:r>
        <w:rPr>
          <w:rFonts w:hint="eastAsia"/>
        </w:rPr>
        <w:t>参数要求</w:t>
      </w:r>
      <w:r>
        <w:tab/>
      </w:r>
      <w:r>
        <w:fldChar w:fldCharType="begin"/>
      </w:r>
      <w:r>
        <w:instrText xml:space="preserve"> PAGEREF _Toc5859 \h </w:instrText>
      </w:r>
      <w:r>
        <w:fldChar w:fldCharType="separate"/>
      </w:r>
      <w:r>
        <w:t>4</w:t>
      </w:r>
      <w:r>
        <w:fldChar w:fldCharType="end"/>
      </w:r>
      <w:r>
        <w:fldChar w:fldCharType="end"/>
      </w:r>
    </w:p>
    <w:p>
      <w:pPr>
        <w:pStyle w:val="9"/>
        <w:tabs>
          <w:tab w:val="right" w:leader="dot" w:pos="9354"/>
          <w:tab w:val="clear" w:pos="8705"/>
        </w:tabs>
      </w:pPr>
      <w:r>
        <w:fldChar w:fldCharType="begin"/>
      </w:r>
      <w:r>
        <w:instrText xml:space="preserve"> HYPERLINK \l _Toc6376 </w:instrText>
      </w:r>
      <w:r>
        <w:fldChar w:fldCharType="separate"/>
      </w:r>
      <w:r>
        <w:rPr>
          <w:rFonts w:hint="eastAsia" w:eastAsia="黑体"/>
          <w:szCs w:val="28"/>
        </w:rPr>
        <w:t xml:space="preserve">7 </w:t>
      </w:r>
      <w:r>
        <w:rPr>
          <w:rFonts w:hint="eastAsia"/>
        </w:rPr>
        <w:t>试验及</w:t>
      </w:r>
      <w:r>
        <w:t>验收</w:t>
      </w:r>
      <w:r>
        <w:tab/>
      </w:r>
      <w:r>
        <w:fldChar w:fldCharType="begin"/>
      </w:r>
      <w:r>
        <w:instrText xml:space="preserve"> PAGEREF _Toc6376 \h </w:instrText>
      </w:r>
      <w:r>
        <w:fldChar w:fldCharType="separate"/>
      </w:r>
      <w:r>
        <w:t>5</w:t>
      </w:r>
      <w:r>
        <w:fldChar w:fldCharType="end"/>
      </w:r>
      <w:r>
        <w:fldChar w:fldCharType="end"/>
      </w:r>
    </w:p>
    <w:p>
      <w:pPr>
        <w:pStyle w:val="10"/>
        <w:tabs>
          <w:tab w:val="right" w:leader="dot" w:pos="9354"/>
          <w:tab w:val="clear" w:pos="8705"/>
        </w:tabs>
      </w:pPr>
      <w:r>
        <w:fldChar w:fldCharType="begin"/>
      </w:r>
      <w:r>
        <w:instrText xml:space="preserve"> HYPERLINK \l _Toc31553 </w:instrText>
      </w:r>
      <w:r>
        <w:fldChar w:fldCharType="separate"/>
      </w:r>
      <w:r>
        <w:rPr>
          <w:rFonts w:hint="eastAsia"/>
          <w:bCs w:val="0"/>
          <w:szCs w:val="24"/>
        </w:rPr>
        <w:t xml:space="preserve">7.1 </w:t>
      </w:r>
      <w:r>
        <w:rPr>
          <w:rFonts w:hint="eastAsia"/>
          <w:bCs w:val="0"/>
        </w:rPr>
        <w:t>工厂</w:t>
      </w:r>
      <w:r>
        <w:rPr>
          <w:bCs w:val="0"/>
        </w:rPr>
        <w:t>验收</w:t>
      </w:r>
      <w:r>
        <w:tab/>
      </w:r>
      <w:r>
        <w:fldChar w:fldCharType="begin"/>
      </w:r>
      <w:r>
        <w:instrText xml:space="preserve"> PAGEREF _Toc31553 \h </w:instrText>
      </w:r>
      <w:r>
        <w:fldChar w:fldCharType="separate"/>
      </w:r>
      <w:r>
        <w:t>5</w:t>
      </w:r>
      <w:r>
        <w:fldChar w:fldCharType="end"/>
      </w:r>
      <w:r>
        <w:fldChar w:fldCharType="end"/>
      </w:r>
    </w:p>
    <w:p>
      <w:pPr>
        <w:pStyle w:val="10"/>
        <w:tabs>
          <w:tab w:val="right" w:leader="dot" w:pos="9354"/>
          <w:tab w:val="clear" w:pos="8705"/>
        </w:tabs>
      </w:pPr>
      <w:r>
        <w:fldChar w:fldCharType="begin"/>
      </w:r>
      <w:r>
        <w:instrText xml:space="preserve"> HYPERLINK \l _Toc1712 </w:instrText>
      </w:r>
      <w:r>
        <w:fldChar w:fldCharType="separate"/>
      </w:r>
      <w:r>
        <w:rPr>
          <w:rFonts w:hint="eastAsia"/>
          <w:szCs w:val="24"/>
        </w:rPr>
        <w:t xml:space="preserve">7.2 </w:t>
      </w:r>
      <w:r>
        <w:rPr>
          <w:rFonts w:hint="eastAsia"/>
        </w:rPr>
        <w:t>随</w:t>
      </w:r>
      <w:r>
        <w:t>工验收</w:t>
      </w:r>
      <w:r>
        <w:tab/>
      </w:r>
      <w:r>
        <w:fldChar w:fldCharType="begin"/>
      </w:r>
      <w:r>
        <w:instrText xml:space="preserve"> PAGEREF _Toc1712 \h </w:instrText>
      </w:r>
      <w:r>
        <w:fldChar w:fldCharType="separate"/>
      </w:r>
      <w:r>
        <w:t>5</w:t>
      </w:r>
      <w:r>
        <w:fldChar w:fldCharType="end"/>
      </w:r>
      <w:r>
        <w:fldChar w:fldCharType="end"/>
      </w:r>
    </w:p>
    <w:p>
      <w:pPr>
        <w:pStyle w:val="10"/>
        <w:tabs>
          <w:tab w:val="right" w:leader="dot" w:pos="9354"/>
          <w:tab w:val="clear" w:pos="8705"/>
        </w:tabs>
      </w:pPr>
      <w:r>
        <w:fldChar w:fldCharType="begin"/>
      </w:r>
      <w:r>
        <w:instrText xml:space="preserve"> HYPERLINK \l _Toc18914 </w:instrText>
      </w:r>
      <w:r>
        <w:fldChar w:fldCharType="separate"/>
      </w:r>
      <w:r>
        <w:rPr>
          <w:rFonts w:hint="eastAsia"/>
          <w:szCs w:val="24"/>
        </w:rPr>
        <w:t xml:space="preserve">7.3 </w:t>
      </w:r>
      <w:r>
        <w:rPr>
          <w:rFonts w:hint="eastAsia"/>
        </w:rPr>
        <w:t>阶段</w:t>
      </w:r>
      <w:r>
        <w:t>性</w:t>
      </w:r>
      <w:r>
        <w:rPr>
          <w:rFonts w:hint="eastAsia"/>
        </w:rPr>
        <w:t>（预）验收</w:t>
      </w:r>
      <w:r>
        <w:tab/>
      </w:r>
      <w:r>
        <w:fldChar w:fldCharType="begin"/>
      </w:r>
      <w:r>
        <w:instrText xml:space="preserve"> PAGEREF _Toc18914 \h </w:instrText>
      </w:r>
      <w:r>
        <w:fldChar w:fldCharType="separate"/>
      </w:r>
      <w:r>
        <w:t>6</w:t>
      </w:r>
      <w:r>
        <w:fldChar w:fldCharType="end"/>
      </w:r>
      <w:r>
        <w:fldChar w:fldCharType="end"/>
      </w:r>
    </w:p>
    <w:p>
      <w:pPr>
        <w:pStyle w:val="10"/>
        <w:tabs>
          <w:tab w:val="right" w:leader="dot" w:pos="9354"/>
          <w:tab w:val="clear" w:pos="8705"/>
        </w:tabs>
      </w:pPr>
      <w:r>
        <w:fldChar w:fldCharType="begin"/>
      </w:r>
      <w:r>
        <w:instrText xml:space="preserve"> HYPERLINK \l _Toc6394 </w:instrText>
      </w:r>
      <w:r>
        <w:fldChar w:fldCharType="separate"/>
      </w:r>
      <w:r>
        <w:rPr>
          <w:rFonts w:hint="eastAsia"/>
          <w:szCs w:val="24"/>
        </w:rPr>
        <w:t xml:space="preserve">7.4 </w:t>
      </w:r>
      <w:r>
        <w:rPr>
          <w:rFonts w:hint="eastAsia"/>
        </w:rPr>
        <w:t>竣工验收</w:t>
      </w:r>
      <w:r>
        <w:tab/>
      </w:r>
      <w:r>
        <w:fldChar w:fldCharType="begin"/>
      </w:r>
      <w:r>
        <w:instrText xml:space="preserve"> PAGEREF _Toc6394 \h </w:instrText>
      </w:r>
      <w:r>
        <w:fldChar w:fldCharType="separate"/>
      </w:r>
      <w:r>
        <w:t>6</w:t>
      </w:r>
      <w:r>
        <w:fldChar w:fldCharType="end"/>
      </w:r>
      <w:r>
        <w:fldChar w:fldCharType="end"/>
      </w:r>
    </w:p>
    <w:p>
      <w:pPr>
        <w:pStyle w:val="9"/>
        <w:tabs>
          <w:tab w:val="right" w:leader="dot" w:pos="9354"/>
          <w:tab w:val="clear" w:pos="8705"/>
        </w:tabs>
      </w:pPr>
      <w:r>
        <w:fldChar w:fldCharType="begin"/>
      </w:r>
      <w:r>
        <w:instrText xml:space="preserve"> HYPERLINK \l _Toc17944 </w:instrText>
      </w:r>
      <w:r>
        <w:fldChar w:fldCharType="separate"/>
      </w:r>
      <w:r>
        <w:rPr>
          <w:rFonts w:hint="eastAsia" w:eastAsia="黑体"/>
          <w:szCs w:val="28"/>
        </w:rPr>
        <w:t xml:space="preserve">8 </w:t>
      </w:r>
      <w:r>
        <w:rPr>
          <w:rFonts w:hint="eastAsia"/>
        </w:rPr>
        <w:t>产品对环境的影响</w:t>
      </w:r>
      <w:r>
        <w:tab/>
      </w:r>
      <w:r>
        <w:fldChar w:fldCharType="begin"/>
      </w:r>
      <w:r>
        <w:instrText xml:space="preserve"> PAGEREF _Toc17944 \h </w:instrText>
      </w:r>
      <w:r>
        <w:fldChar w:fldCharType="separate"/>
      </w:r>
      <w:r>
        <w:t>6</w:t>
      </w:r>
      <w:r>
        <w:fldChar w:fldCharType="end"/>
      </w:r>
      <w:r>
        <w:fldChar w:fldCharType="end"/>
      </w:r>
    </w:p>
    <w:p>
      <w:pPr>
        <w:pStyle w:val="9"/>
        <w:tabs>
          <w:tab w:val="right" w:leader="dot" w:pos="9354"/>
          <w:tab w:val="clear" w:pos="8705"/>
        </w:tabs>
      </w:pPr>
      <w:r>
        <w:fldChar w:fldCharType="begin"/>
      </w:r>
      <w:r>
        <w:instrText xml:space="preserve"> HYPERLINK \l _Toc575 </w:instrText>
      </w:r>
      <w:r>
        <w:fldChar w:fldCharType="separate"/>
      </w:r>
      <w:r>
        <w:rPr>
          <w:rFonts w:hint="eastAsia" w:eastAsia="黑体"/>
          <w:szCs w:val="28"/>
        </w:rPr>
        <w:t xml:space="preserve">9 </w:t>
      </w:r>
      <w:r>
        <w:rPr>
          <w:rFonts w:hint="eastAsia"/>
        </w:rPr>
        <w:t>技术文件</w:t>
      </w:r>
      <w:r>
        <w:tab/>
      </w:r>
      <w:r>
        <w:fldChar w:fldCharType="begin"/>
      </w:r>
      <w:r>
        <w:instrText xml:space="preserve"> PAGEREF _Toc575 \h </w:instrText>
      </w:r>
      <w:r>
        <w:fldChar w:fldCharType="separate"/>
      </w:r>
      <w:r>
        <w:t>6</w:t>
      </w:r>
      <w:r>
        <w:fldChar w:fldCharType="end"/>
      </w:r>
      <w:r>
        <w:fldChar w:fldCharType="end"/>
      </w:r>
    </w:p>
    <w:p>
      <w:pPr>
        <w:pStyle w:val="10"/>
        <w:tabs>
          <w:tab w:val="right" w:leader="dot" w:pos="9354"/>
          <w:tab w:val="clear" w:pos="8705"/>
        </w:tabs>
      </w:pPr>
      <w:r>
        <w:fldChar w:fldCharType="begin"/>
      </w:r>
      <w:r>
        <w:instrText xml:space="preserve"> HYPERLINK \l _Toc2870 </w:instrText>
      </w:r>
      <w:r>
        <w:fldChar w:fldCharType="separate"/>
      </w:r>
      <w:r>
        <w:rPr>
          <w:rFonts w:hint="eastAsia"/>
          <w:szCs w:val="24"/>
        </w:rPr>
        <w:t xml:space="preserve">9.1 </w:t>
      </w:r>
      <w:r>
        <w:rPr>
          <w:rFonts w:hint="eastAsia"/>
        </w:rPr>
        <w:t>一般要求</w:t>
      </w:r>
      <w:r>
        <w:tab/>
      </w:r>
      <w:r>
        <w:fldChar w:fldCharType="begin"/>
      </w:r>
      <w:r>
        <w:instrText xml:space="preserve"> PAGEREF _Toc2870 \h </w:instrText>
      </w:r>
      <w:r>
        <w:fldChar w:fldCharType="separate"/>
      </w:r>
      <w:r>
        <w:t>6</w:t>
      </w:r>
      <w:r>
        <w:fldChar w:fldCharType="end"/>
      </w:r>
      <w:r>
        <w:fldChar w:fldCharType="end"/>
      </w:r>
    </w:p>
    <w:p>
      <w:pPr>
        <w:pStyle w:val="10"/>
        <w:tabs>
          <w:tab w:val="right" w:leader="dot" w:pos="9354"/>
          <w:tab w:val="clear" w:pos="8705"/>
        </w:tabs>
      </w:pPr>
      <w:r>
        <w:fldChar w:fldCharType="begin"/>
      </w:r>
      <w:r>
        <w:instrText xml:space="preserve"> HYPERLINK \l _Toc24635 </w:instrText>
      </w:r>
      <w:r>
        <w:fldChar w:fldCharType="separate"/>
      </w:r>
      <w:r>
        <w:rPr>
          <w:rFonts w:hint="eastAsia"/>
          <w:szCs w:val="24"/>
        </w:rPr>
        <w:t xml:space="preserve">9.2 </w:t>
      </w:r>
      <w:r>
        <w:rPr>
          <w:rFonts w:hint="eastAsia"/>
        </w:rPr>
        <w:t>技术文件（投标时提供）</w:t>
      </w:r>
      <w:r>
        <w:tab/>
      </w:r>
      <w:r>
        <w:fldChar w:fldCharType="begin"/>
      </w:r>
      <w:r>
        <w:instrText xml:space="preserve"> PAGEREF _Toc24635 \h </w:instrText>
      </w:r>
      <w:r>
        <w:fldChar w:fldCharType="separate"/>
      </w:r>
      <w:r>
        <w:t>6</w:t>
      </w:r>
      <w:r>
        <w:fldChar w:fldCharType="end"/>
      </w:r>
      <w:r>
        <w:fldChar w:fldCharType="end"/>
      </w:r>
    </w:p>
    <w:p>
      <w:pPr>
        <w:pStyle w:val="10"/>
        <w:tabs>
          <w:tab w:val="right" w:leader="dot" w:pos="9354"/>
          <w:tab w:val="clear" w:pos="8705"/>
        </w:tabs>
      </w:pPr>
      <w:r>
        <w:fldChar w:fldCharType="begin"/>
      </w:r>
      <w:r>
        <w:instrText xml:space="preserve"> HYPERLINK \l _Toc22747 </w:instrText>
      </w:r>
      <w:r>
        <w:fldChar w:fldCharType="separate"/>
      </w:r>
      <w:r>
        <w:rPr>
          <w:rFonts w:hint="eastAsia"/>
          <w:szCs w:val="24"/>
        </w:rPr>
        <w:t xml:space="preserve">9.3 </w:t>
      </w:r>
      <w:r>
        <w:rPr>
          <w:rFonts w:hint="eastAsia"/>
        </w:rPr>
        <w:t>技术文件（中标后提供）</w:t>
      </w:r>
      <w:r>
        <w:tab/>
      </w:r>
      <w:r>
        <w:fldChar w:fldCharType="begin"/>
      </w:r>
      <w:r>
        <w:instrText xml:space="preserve"> PAGEREF _Toc22747 \h </w:instrText>
      </w:r>
      <w:r>
        <w:fldChar w:fldCharType="separate"/>
      </w:r>
      <w:r>
        <w:t>8</w:t>
      </w:r>
      <w:r>
        <w:fldChar w:fldCharType="end"/>
      </w:r>
      <w:r>
        <w:fldChar w:fldCharType="end"/>
      </w:r>
    </w:p>
    <w:p>
      <w:pPr>
        <w:pStyle w:val="6"/>
        <w:tabs>
          <w:tab w:val="right" w:leader="dot" w:pos="9354"/>
        </w:tabs>
      </w:pPr>
      <w:r>
        <w:fldChar w:fldCharType="begin"/>
      </w:r>
      <w:r>
        <w:instrText xml:space="preserve"> HYPERLINK \l _Toc29087 </w:instrText>
      </w:r>
      <w:r>
        <w:fldChar w:fldCharType="separate"/>
      </w:r>
      <w:r>
        <w:rPr>
          <w:rFonts w:hint="eastAsia"/>
          <w:szCs w:val="21"/>
        </w:rPr>
        <w:t xml:space="preserve">9.3.1 </w:t>
      </w:r>
      <w:r>
        <w:rPr>
          <w:rFonts w:hint="eastAsia"/>
        </w:rPr>
        <w:t>基本要求</w:t>
      </w:r>
      <w:r>
        <w:tab/>
      </w:r>
      <w:r>
        <w:fldChar w:fldCharType="begin"/>
      </w:r>
      <w:r>
        <w:instrText xml:space="preserve"> PAGEREF _Toc29087 \h </w:instrText>
      </w:r>
      <w:r>
        <w:fldChar w:fldCharType="separate"/>
      </w:r>
      <w:r>
        <w:t>8</w:t>
      </w:r>
      <w:r>
        <w:fldChar w:fldCharType="end"/>
      </w:r>
      <w:r>
        <w:fldChar w:fldCharType="end"/>
      </w:r>
    </w:p>
    <w:p>
      <w:pPr>
        <w:pStyle w:val="6"/>
        <w:tabs>
          <w:tab w:val="right" w:leader="dot" w:pos="9354"/>
        </w:tabs>
      </w:pPr>
      <w:r>
        <w:fldChar w:fldCharType="begin"/>
      </w:r>
      <w:r>
        <w:instrText xml:space="preserve"> HYPERLINK \l _Toc8791 </w:instrText>
      </w:r>
      <w:r>
        <w:fldChar w:fldCharType="separate"/>
      </w:r>
      <w:r>
        <w:rPr>
          <w:rFonts w:hint="eastAsia"/>
          <w:szCs w:val="21"/>
        </w:rPr>
        <w:t xml:space="preserve">9.3.2 </w:t>
      </w:r>
      <w:r>
        <w:rPr>
          <w:rFonts w:hint="eastAsia"/>
        </w:rPr>
        <w:t>主要内容</w:t>
      </w:r>
      <w:r>
        <w:tab/>
      </w:r>
      <w:r>
        <w:fldChar w:fldCharType="begin"/>
      </w:r>
      <w:r>
        <w:instrText xml:space="preserve"> PAGEREF _Toc8791 \h </w:instrText>
      </w:r>
      <w:r>
        <w:fldChar w:fldCharType="separate"/>
      </w:r>
      <w:r>
        <w:t>8</w:t>
      </w:r>
      <w:r>
        <w:fldChar w:fldCharType="end"/>
      </w:r>
      <w:r>
        <w:fldChar w:fldCharType="end"/>
      </w:r>
    </w:p>
    <w:p>
      <w:pPr>
        <w:pStyle w:val="9"/>
        <w:tabs>
          <w:tab w:val="right" w:leader="dot" w:pos="9354"/>
          <w:tab w:val="clear" w:pos="8705"/>
        </w:tabs>
      </w:pPr>
      <w:r>
        <w:fldChar w:fldCharType="begin"/>
      </w:r>
      <w:r>
        <w:instrText xml:space="preserve"> HYPERLINK \l _Toc22099 </w:instrText>
      </w:r>
      <w:r>
        <w:fldChar w:fldCharType="separate"/>
      </w:r>
      <w:r>
        <w:rPr>
          <w:rFonts w:hint="eastAsia" w:eastAsia="黑体"/>
          <w:szCs w:val="28"/>
        </w:rPr>
        <w:t xml:space="preserve">10 </w:t>
      </w:r>
      <w:r>
        <w:rPr>
          <w:rFonts w:hint="eastAsia"/>
        </w:rPr>
        <w:t>包装、储存、运输及质量保证</w:t>
      </w:r>
      <w:r>
        <w:tab/>
      </w:r>
      <w:r>
        <w:fldChar w:fldCharType="begin"/>
      </w:r>
      <w:r>
        <w:instrText xml:space="preserve"> PAGEREF _Toc22099 \h </w:instrText>
      </w:r>
      <w:r>
        <w:fldChar w:fldCharType="separate"/>
      </w:r>
      <w:r>
        <w:t>8</w:t>
      </w:r>
      <w:r>
        <w:fldChar w:fldCharType="end"/>
      </w:r>
      <w:r>
        <w:fldChar w:fldCharType="end"/>
      </w:r>
    </w:p>
    <w:p>
      <w:pPr>
        <w:pStyle w:val="10"/>
        <w:tabs>
          <w:tab w:val="right" w:leader="dot" w:pos="9354"/>
          <w:tab w:val="clear" w:pos="8705"/>
        </w:tabs>
      </w:pPr>
      <w:r>
        <w:fldChar w:fldCharType="begin"/>
      </w:r>
      <w:r>
        <w:instrText xml:space="preserve"> HYPERLINK \l _Toc613 </w:instrText>
      </w:r>
      <w:r>
        <w:fldChar w:fldCharType="separate"/>
      </w:r>
      <w:r>
        <w:rPr>
          <w:rFonts w:hint="eastAsia"/>
          <w:szCs w:val="24"/>
        </w:rPr>
        <w:t xml:space="preserve">10.1 </w:t>
      </w:r>
      <w:r>
        <w:rPr>
          <w:rFonts w:hint="eastAsia"/>
        </w:rPr>
        <w:t>包装</w:t>
      </w:r>
      <w:r>
        <w:t>、</w:t>
      </w:r>
      <w:r>
        <w:rPr>
          <w:rFonts w:hint="eastAsia"/>
        </w:rPr>
        <w:t>储存和运输</w:t>
      </w:r>
      <w:r>
        <w:tab/>
      </w:r>
      <w:r>
        <w:fldChar w:fldCharType="begin"/>
      </w:r>
      <w:r>
        <w:instrText xml:space="preserve"> PAGEREF _Toc613 \h </w:instrText>
      </w:r>
      <w:r>
        <w:fldChar w:fldCharType="separate"/>
      </w:r>
      <w:r>
        <w:t>8</w:t>
      </w:r>
      <w:r>
        <w:fldChar w:fldCharType="end"/>
      </w:r>
      <w:r>
        <w:fldChar w:fldCharType="end"/>
      </w:r>
    </w:p>
    <w:p>
      <w:pPr>
        <w:pStyle w:val="10"/>
        <w:tabs>
          <w:tab w:val="right" w:leader="dot" w:pos="9354"/>
          <w:tab w:val="clear" w:pos="8705"/>
        </w:tabs>
      </w:pPr>
      <w:r>
        <w:fldChar w:fldCharType="begin"/>
      </w:r>
      <w:r>
        <w:instrText xml:space="preserve"> HYPERLINK \l _Toc5842 </w:instrText>
      </w:r>
      <w:r>
        <w:fldChar w:fldCharType="separate"/>
      </w:r>
      <w:r>
        <w:rPr>
          <w:rFonts w:hint="eastAsia"/>
          <w:szCs w:val="24"/>
        </w:rPr>
        <w:t xml:space="preserve">10.2 </w:t>
      </w:r>
      <w:r>
        <w:rPr>
          <w:rFonts w:hint="eastAsia"/>
        </w:rPr>
        <w:t>现场服务</w:t>
      </w:r>
      <w:r>
        <w:tab/>
      </w:r>
      <w:r>
        <w:fldChar w:fldCharType="begin"/>
      </w:r>
      <w:r>
        <w:instrText xml:space="preserve"> PAGEREF _Toc5842 \h </w:instrText>
      </w:r>
      <w:r>
        <w:fldChar w:fldCharType="separate"/>
      </w:r>
      <w:r>
        <w:t>9</w:t>
      </w:r>
      <w:r>
        <w:fldChar w:fldCharType="end"/>
      </w:r>
      <w:r>
        <w:fldChar w:fldCharType="end"/>
      </w:r>
    </w:p>
    <w:p>
      <w:pPr>
        <w:pStyle w:val="10"/>
        <w:tabs>
          <w:tab w:val="right" w:leader="dot" w:pos="9354"/>
          <w:tab w:val="clear" w:pos="8705"/>
        </w:tabs>
      </w:pPr>
      <w:r>
        <w:fldChar w:fldCharType="begin"/>
      </w:r>
      <w:r>
        <w:instrText xml:space="preserve"> HYPERLINK \l _Toc32147 </w:instrText>
      </w:r>
      <w:r>
        <w:fldChar w:fldCharType="separate"/>
      </w:r>
      <w:r>
        <w:rPr>
          <w:rFonts w:hint="eastAsia"/>
          <w:szCs w:val="24"/>
        </w:rPr>
        <w:t xml:space="preserve">10.3 </w:t>
      </w:r>
      <w:r>
        <w:rPr>
          <w:rFonts w:hint="eastAsia"/>
        </w:rPr>
        <w:t>质量</w:t>
      </w:r>
      <w:r>
        <w:t>保证</w:t>
      </w:r>
      <w:r>
        <w:tab/>
      </w:r>
      <w:r>
        <w:fldChar w:fldCharType="begin"/>
      </w:r>
      <w:r>
        <w:instrText xml:space="preserve"> PAGEREF _Toc32147 \h </w:instrText>
      </w:r>
      <w:r>
        <w:fldChar w:fldCharType="separate"/>
      </w:r>
      <w:r>
        <w:t>9</w:t>
      </w:r>
      <w:r>
        <w:fldChar w:fldCharType="end"/>
      </w:r>
      <w:r>
        <w:fldChar w:fldCharType="end"/>
      </w:r>
    </w:p>
    <w:p>
      <w:pPr>
        <w:pStyle w:val="10"/>
        <w:tabs>
          <w:tab w:val="right" w:leader="dot" w:pos="9354"/>
          <w:tab w:val="clear" w:pos="8705"/>
        </w:tabs>
      </w:pPr>
      <w:r>
        <w:fldChar w:fldCharType="begin"/>
      </w:r>
      <w:r>
        <w:instrText xml:space="preserve"> HYPERLINK \l _Toc21352 </w:instrText>
      </w:r>
      <w:r>
        <w:fldChar w:fldCharType="separate"/>
      </w:r>
      <w:r>
        <w:rPr>
          <w:rFonts w:hint="eastAsia"/>
          <w:szCs w:val="24"/>
        </w:rPr>
        <w:t xml:space="preserve">10.4 </w:t>
      </w:r>
      <w:r>
        <w:rPr>
          <w:rFonts w:hint="eastAsia"/>
        </w:rPr>
        <w:t>售后服务</w:t>
      </w:r>
      <w:r>
        <w:tab/>
      </w:r>
      <w:r>
        <w:fldChar w:fldCharType="begin"/>
      </w:r>
      <w:r>
        <w:instrText xml:space="preserve"> PAGEREF _Toc21352 \h </w:instrText>
      </w:r>
      <w:r>
        <w:fldChar w:fldCharType="separate"/>
      </w:r>
      <w:r>
        <w:t>9</w:t>
      </w:r>
      <w:r>
        <w:fldChar w:fldCharType="end"/>
      </w:r>
      <w:r>
        <w:fldChar w:fldCharType="end"/>
      </w:r>
    </w:p>
    <w:p>
      <w:pPr>
        <w:pStyle w:val="6"/>
        <w:tabs>
          <w:tab w:val="right" w:leader="dot" w:pos="9354"/>
        </w:tabs>
      </w:pPr>
      <w:r>
        <w:fldChar w:fldCharType="begin"/>
      </w:r>
      <w:r>
        <w:instrText xml:space="preserve"> HYPERLINK \l _Toc4366 </w:instrText>
      </w:r>
      <w:r>
        <w:fldChar w:fldCharType="separate"/>
      </w:r>
      <w:r>
        <w:rPr>
          <w:rFonts w:hint="eastAsia"/>
          <w:szCs w:val="21"/>
        </w:rPr>
        <w:t xml:space="preserve">10.4.1 </w:t>
      </w:r>
      <w:r>
        <w:rPr>
          <w:rFonts w:hint="eastAsia"/>
        </w:rPr>
        <w:t>质保期内售后服务</w:t>
      </w:r>
      <w:r>
        <w:tab/>
      </w:r>
      <w:r>
        <w:fldChar w:fldCharType="begin"/>
      </w:r>
      <w:r>
        <w:instrText xml:space="preserve"> PAGEREF _Toc4366 \h </w:instrText>
      </w:r>
      <w:r>
        <w:fldChar w:fldCharType="separate"/>
      </w:r>
      <w:r>
        <w:t>9</w:t>
      </w:r>
      <w:r>
        <w:fldChar w:fldCharType="end"/>
      </w:r>
      <w:r>
        <w:fldChar w:fldCharType="end"/>
      </w:r>
    </w:p>
    <w:p>
      <w:pPr>
        <w:pStyle w:val="6"/>
        <w:tabs>
          <w:tab w:val="right" w:leader="dot" w:pos="9354"/>
        </w:tabs>
      </w:pPr>
      <w:r>
        <w:fldChar w:fldCharType="begin"/>
      </w:r>
      <w:r>
        <w:instrText xml:space="preserve"> HYPERLINK \l _Toc16985 </w:instrText>
      </w:r>
      <w:r>
        <w:fldChar w:fldCharType="separate"/>
      </w:r>
      <w:r>
        <w:rPr>
          <w:rFonts w:hint="eastAsia"/>
          <w:szCs w:val="21"/>
        </w:rPr>
        <w:t xml:space="preserve">10.4.2 </w:t>
      </w:r>
      <w:r>
        <w:rPr>
          <w:rFonts w:hint="eastAsia"/>
        </w:rPr>
        <w:t>质保期后售后服务</w:t>
      </w:r>
      <w:r>
        <w:tab/>
      </w:r>
      <w:r>
        <w:fldChar w:fldCharType="begin"/>
      </w:r>
      <w:r>
        <w:instrText xml:space="preserve"> PAGEREF _Toc16985 \h </w:instrText>
      </w:r>
      <w:r>
        <w:fldChar w:fldCharType="separate"/>
      </w:r>
      <w:r>
        <w:t>10</w:t>
      </w:r>
      <w:r>
        <w:fldChar w:fldCharType="end"/>
      </w:r>
      <w:r>
        <w:fldChar w:fldCharType="end"/>
      </w:r>
    </w:p>
    <w:p>
      <w:pPr>
        <w:pStyle w:val="9"/>
        <w:tabs>
          <w:tab w:val="right" w:leader="dot" w:pos="9354"/>
          <w:tab w:val="clear" w:pos="8705"/>
        </w:tabs>
      </w:pPr>
      <w:r>
        <w:fldChar w:fldCharType="begin"/>
      </w:r>
      <w:r>
        <w:instrText xml:space="preserve"> HYPERLINK \l _Toc14511 </w:instrText>
      </w:r>
      <w:r>
        <w:fldChar w:fldCharType="separate"/>
      </w:r>
      <w:r>
        <w:rPr>
          <w:rFonts w:hint="eastAsia" w:eastAsia="黑体"/>
          <w:szCs w:val="28"/>
        </w:rPr>
        <w:t xml:space="preserve">11 </w:t>
      </w:r>
      <w:r>
        <w:rPr>
          <w:rFonts w:hint="eastAsia"/>
        </w:rPr>
        <w:t>设计联络</w:t>
      </w:r>
      <w:r>
        <w:t>会</w:t>
      </w:r>
      <w:r>
        <w:rPr>
          <w:rFonts w:hint="eastAsia"/>
        </w:rPr>
        <w:t>和技术</w:t>
      </w:r>
      <w:r>
        <w:t>培训</w:t>
      </w:r>
      <w:r>
        <w:tab/>
      </w:r>
      <w:r>
        <w:fldChar w:fldCharType="begin"/>
      </w:r>
      <w:r>
        <w:instrText xml:space="preserve"> PAGEREF _Toc14511 \h </w:instrText>
      </w:r>
      <w:r>
        <w:fldChar w:fldCharType="separate"/>
      </w:r>
      <w:r>
        <w:t>10</w:t>
      </w:r>
      <w:r>
        <w:fldChar w:fldCharType="end"/>
      </w:r>
      <w:r>
        <w:fldChar w:fldCharType="end"/>
      </w:r>
    </w:p>
    <w:p>
      <w:pPr>
        <w:pStyle w:val="10"/>
        <w:tabs>
          <w:tab w:val="right" w:leader="dot" w:pos="9354"/>
          <w:tab w:val="clear" w:pos="8705"/>
        </w:tabs>
      </w:pPr>
      <w:r>
        <w:fldChar w:fldCharType="begin"/>
      </w:r>
      <w:r>
        <w:instrText xml:space="preserve"> HYPERLINK \l _Toc7223 </w:instrText>
      </w:r>
      <w:r>
        <w:fldChar w:fldCharType="separate"/>
      </w:r>
      <w:r>
        <w:rPr>
          <w:rFonts w:hint="eastAsia"/>
          <w:szCs w:val="24"/>
        </w:rPr>
        <w:t xml:space="preserve">11.1 </w:t>
      </w:r>
      <w:r>
        <w:rPr>
          <w:rFonts w:hint="eastAsia"/>
        </w:rPr>
        <w:t>设计联络</w:t>
      </w:r>
      <w:r>
        <w:t>会</w:t>
      </w:r>
      <w:r>
        <w:tab/>
      </w:r>
      <w:r>
        <w:fldChar w:fldCharType="begin"/>
      </w:r>
      <w:r>
        <w:instrText xml:space="preserve"> PAGEREF _Toc7223 \h </w:instrText>
      </w:r>
      <w:r>
        <w:fldChar w:fldCharType="separate"/>
      </w:r>
      <w:r>
        <w:t>10</w:t>
      </w:r>
      <w:r>
        <w:fldChar w:fldCharType="end"/>
      </w:r>
      <w:r>
        <w:fldChar w:fldCharType="end"/>
      </w:r>
    </w:p>
    <w:p>
      <w:pPr>
        <w:pStyle w:val="10"/>
        <w:tabs>
          <w:tab w:val="right" w:leader="dot" w:pos="9354"/>
          <w:tab w:val="clear" w:pos="8705"/>
        </w:tabs>
      </w:pPr>
      <w:r>
        <w:fldChar w:fldCharType="begin"/>
      </w:r>
      <w:r>
        <w:instrText xml:space="preserve"> HYPERLINK \l _Toc11892 </w:instrText>
      </w:r>
      <w:r>
        <w:fldChar w:fldCharType="separate"/>
      </w:r>
      <w:r>
        <w:rPr>
          <w:rFonts w:hint="eastAsia"/>
          <w:szCs w:val="24"/>
        </w:rPr>
        <w:t xml:space="preserve">11.2 </w:t>
      </w:r>
      <w:r>
        <w:rPr>
          <w:rFonts w:hint="eastAsia"/>
        </w:rPr>
        <w:t>技术培训</w:t>
      </w:r>
      <w:r>
        <w:tab/>
      </w:r>
      <w:r>
        <w:fldChar w:fldCharType="begin"/>
      </w:r>
      <w:r>
        <w:instrText xml:space="preserve"> PAGEREF _Toc11892 \h </w:instrText>
      </w:r>
      <w:r>
        <w:fldChar w:fldCharType="separate"/>
      </w:r>
      <w:r>
        <w:t>11</w:t>
      </w:r>
      <w:r>
        <w:fldChar w:fldCharType="end"/>
      </w:r>
      <w:r>
        <w:fldChar w:fldCharType="end"/>
      </w:r>
    </w:p>
    <w:p>
      <w:pPr>
        <w:spacing w:line="240" w:lineRule="auto"/>
        <w:ind w:firstLine="420"/>
        <w:sectPr>
          <w:headerReference r:id="rId7" w:type="first"/>
          <w:footerReference r:id="rId10" w:type="first"/>
          <w:headerReference r:id="rId5" w:type="default"/>
          <w:footerReference r:id="rId8" w:type="default"/>
          <w:headerReference r:id="rId6" w:type="even"/>
          <w:footerReference r:id="rId9" w:type="even"/>
          <w:pgSz w:w="11906" w:h="16838"/>
          <w:pgMar w:top="1440" w:right="1418" w:bottom="1440" w:left="1134" w:header="851" w:footer="992" w:gutter="0"/>
          <w:pgNumType w:start="0"/>
          <w:cols w:space="720" w:num="1"/>
          <w:titlePg/>
          <w:docGrid w:type="lines" w:linePitch="312" w:charSpace="0"/>
        </w:sectPr>
      </w:pPr>
      <w:r>
        <w:fldChar w:fldCharType="end"/>
      </w:r>
      <w:bookmarkStart w:id="0" w:name="_Toc241911990"/>
    </w:p>
    <w:p>
      <w:pPr>
        <w:pStyle w:val="3"/>
        <w:spacing w:line="240" w:lineRule="auto"/>
        <w:rPr>
          <w:rFonts w:hint="eastAsia"/>
        </w:rPr>
      </w:pPr>
      <w:bookmarkStart w:id="1" w:name="_Toc384340975"/>
      <w:bookmarkStart w:id="2" w:name="_Toc1050"/>
      <w:bookmarkStart w:id="3" w:name="_Toc16419"/>
      <w:bookmarkStart w:id="4" w:name="_Toc23494"/>
      <w:bookmarkStart w:id="5" w:name="_Toc19159"/>
      <w:r>
        <w:rPr>
          <w:rFonts w:hint="eastAsia"/>
        </w:rPr>
        <w:t>总则</w:t>
      </w:r>
      <w:bookmarkEnd w:id="1"/>
      <w:bookmarkEnd w:id="2"/>
      <w:bookmarkEnd w:id="3"/>
      <w:bookmarkEnd w:id="4"/>
      <w:bookmarkEnd w:id="5"/>
    </w:p>
    <w:p>
      <w:pPr>
        <w:adjustRightInd w:val="0"/>
        <w:snapToGrid w:val="0"/>
        <w:ind w:firstLine="404"/>
        <w:rPr>
          <w:rFonts w:ascii="宋体" w:hAnsi="宋体"/>
          <w:spacing w:val="-4"/>
          <w:szCs w:val="21"/>
        </w:rPr>
      </w:pPr>
      <w:r>
        <w:rPr>
          <w:rFonts w:hint="eastAsia" w:ascii="宋体" w:hAnsi="宋体"/>
          <w:spacing w:val="-4"/>
          <w:szCs w:val="21"/>
        </w:rPr>
        <w:t>1.1 本技术规范书适用于来宾供电局2026年生产材料费用项目供货的结构设计、以及其功能、性能、安装等方面的技术要求。</w:t>
      </w:r>
    </w:p>
    <w:p>
      <w:pPr>
        <w:adjustRightInd w:val="0"/>
        <w:snapToGrid w:val="0"/>
        <w:ind w:firstLine="404"/>
        <w:rPr>
          <w:rFonts w:hint="eastAsia" w:ascii="宋体" w:hAnsi="宋体"/>
          <w:spacing w:val="-4"/>
          <w:szCs w:val="21"/>
        </w:rPr>
      </w:pPr>
      <w:r>
        <w:rPr>
          <w:rFonts w:ascii="宋体" w:hAnsi="宋体"/>
          <w:spacing w:val="-4"/>
          <w:szCs w:val="21"/>
        </w:rPr>
        <w:t xml:space="preserve">1.2 </w:t>
      </w:r>
      <w:r>
        <w:rPr>
          <w:rFonts w:hint="eastAsia" w:ascii="宋体" w:hAnsi="宋体"/>
          <w:spacing w:val="-4"/>
          <w:szCs w:val="21"/>
        </w:rPr>
        <w:t>投标方应根据本规范书所描述的建设规模、网络结构及业务需求等具体要求，提供完整的解决方案。必须保证所投设备组网的兼容性，满足系统整体运行的功能及性能需求。</w:t>
      </w:r>
    </w:p>
    <w:p>
      <w:pPr>
        <w:adjustRightInd w:val="0"/>
        <w:snapToGrid w:val="0"/>
        <w:ind w:firstLine="404"/>
        <w:rPr>
          <w:rFonts w:ascii="宋体" w:hAnsi="宋体"/>
          <w:spacing w:val="-4"/>
          <w:szCs w:val="21"/>
        </w:rPr>
      </w:pPr>
      <w:r>
        <w:rPr>
          <w:rFonts w:hint="eastAsia" w:ascii="宋体" w:hAnsi="宋体"/>
          <w:spacing w:val="-4"/>
          <w:szCs w:val="21"/>
        </w:rPr>
        <w:t>1.3 本技术规范书提出的是最低限度的技术要求。凡本招标技术文件中未规定，但在相关设备的行业标准、国家标准或</w:t>
      </w:r>
      <w:r>
        <w:rPr>
          <w:rFonts w:ascii="宋体" w:hAnsi="宋体"/>
          <w:spacing w:val="-4"/>
          <w:szCs w:val="21"/>
        </w:rPr>
        <w:t>IEC</w:t>
      </w:r>
      <w:r>
        <w:rPr>
          <w:rFonts w:hint="eastAsia" w:ascii="宋体" w:hAnsi="宋体"/>
          <w:spacing w:val="-4"/>
          <w:szCs w:val="21"/>
        </w:rPr>
        <w:t>标准中有规定的规范条文，投标方应按相应标准的条文进行设备设计、制造、试验和安装。对国家有关安全、环保等强制性标准，必须满足其要求。</w:t>
      </w:r>
    </w:p>
    <w:p>
      <w:pPr>
        <w:adjustRightInd w:val="0"/>
        <w:snapToGrid w:val="0"/>
        <w:ind w:firstLine="404"/>
        <w:rPr>
          <w:rFonts w:hint="eastAsia" w:ascii="宋体" w:hAnsi="宋体"/>
          <w:spacing w:val="-4"/>
          <w:szCs w:val="21"/>
        </w:rPr>
      </w:pPr>
      <w:r>
        <w:rPr>
          <w:rFonts w:ascii="宋体" w:hAnsi="宋体"/>
          <w:spacing w:val="-4"/>
          <w:szCs w:val="21"/>
        </w:rPr>
        <w:t>1.</w:t>
      </w:r>
      <w:r>
        <w:rPr>
          <w:rFonts w:hint="eastAsia" w:ascii="宋体" w:hAnsi="宋体"/>
          <w:spacing w:val="-4"/>
          <w:szCs w:val="21"/>
        </w:rPr>
        <w:t>4 本招标技术文件所使用的标准如遇与投标方所执行的标准不一致时，按较高标准执行。</w:t>
      </w:r>
    </w:p>
    <w:p>
      <w:pPr>
        <w:adjustRightInd w:val="0"/>
        <w:snapToGrid w:val="0"/>
        <w:ind w:firstLine="404"/>
        <w:rPr>
          <w:rFonts w:hint="eastAsia" w:ascii="宋体" w:hAnsi="宋体"/>
          <w:spacing w:val="-4"/>
          <w:szCs w:val="21"/>
        </w:rPr>
      </w:pPr>
      <w:r>
        <w:rPr>
          <w:rFonts w:hint="eastAsia" w:ascii="宋体" w:hAnsi="宋体"/>
          <w:spacing w:val="-4"/>
          <w:szCs w:val="21"/>
        </w:rPr>
        <w:t>1.</w:t>
      </w:r>
      <w:r>
        <w:rPr>
          <w:rFonts w:hint="eastAsia" w:ascii="宋体" w:hAnsi="宋体"/>
          <w:spacing w:val="-4"/>
          <w:szCs w:val="21"/>
          <w:lang w:val="en-US" w:eastAsia="zh-CN"/>
        </w:rPr>
        <w:t xml:space="preserve">5 </w:t>
      </w:r>
      <w:r>
        <w:rPr>
          <w:rFonts w:hint="eastAsia" w:ascii="宋体" w:hAnsi="宋体"/>
          <w:spacing w:val="-4"/>
          <w:szCs w:val="21"/>
        </w:rPr>
        <w:t>投标方所投设备与本技术规范书的要求有差异时，应在投标技术规范书“技术偏差表”中加以详细描述。如投标方未在投标技术规范书中提出说明，招标方即认为投标方所投设备可以满足本技术规范书的要求且没有偏差；若在执行合同的过程中，招标方发现投标方提供的产品与其应标技术文件的条文存在差异，招标方有权利要求退货。</w:t>
      </w:r>
    </w:p>
    <w:p>
      <w:pPr>
        <w:adjustRightInd w:val="0"/>
        <w:snapToGrid w:val="0"/>
        <w:ind w:firstLine="404"/>
        <w:rPr>
          <w:rFonts w:hint="eastAsia" w:ascii="宋体" w:hAnsi="宋体"/>
          <w:spacing w:val="-4"/>
          <w:szCs w:val="21"/>
        </w:rPr>
      </w:pPr>
      <w:r>
        <w:rPr>
          <w:rFonts w:ascii="宋体" w:hAnsi="宋体"/>
          <w:spacing w:val="-4"/>
          <w:szCs w:val="21"/>
        </w:rPr>
        <w:t>1.</w:t>
      </w:r>
      <w:r>
        <w:rPr>
          <w:rFonts w:hint="eastAsia" w:ascii="宋体" w:hAnsi="宋体"/>
          <w:spacing w:val="-4"/>
          <w:szCs w:val="21"/>
          <w:lang w:val="en-US" w:eastAsia="zh-CN"/>
        </w:rPr>
        <w:t>6</w:t>
      </w:r>
      <w:r>
        <w:rPr>
          <w:rFonts w:hint="eastAsia" w:ascii="宋体" w:hAnsi="宋体"/>
          <w:spacing w:val="-4"/>
          <w:szCs w:val="21"/>
        </w:rPr>
        <w:t xml:space="preserve"> 本技术规范书应视为保证系统运行所需设备与服务的最低要求，如有遗漏，投标方应予以补充，否则一旦中标将认为投标方认同遗漏部分并免费提供。</w:t>
      </w:r>
    </w:p>
    <w:p>
      <w:pPr>
        <w:adjustRightInd w:val="0"/>
        <w:snapToGrid w:val="0"/>
        <w:ind w:firstLine="404"/>
        <w:rPr>
          <w:rFonts w:hint="eastAsia" w:ascii="宋体" w:hAnsi="宋体"/>
          <w:spacing w:val="-4"/>
          <w:szCs w:val="21"/>
        </w:rPr>
      </w:pPr>
      <w:r>
        <w:rPr>
          <w:rFonts w:ascii="宋体" w:hAnsi="宋体"/>
          <w:spacing w:val="-4"/>
          <w:szCs w:val="21"/>
        </w:rPr>
        <w:t>1.</w:t>
      </w:r>
      <w:r>
        <w:rPr>
          <w:rFonts w:hint="eastAsia" w:ascii="宋体" w:hAnsi="宋体"/>
          <w:spacing w:val="-4"/>
          <w:szCs w:val="21"/>
          <w:lang w:val="en-US" w:eastAsia="zh-CN"/>
        </w:rPr>
        <w:t>7</w:t>
      </w:r>
      <w:r>
        <w:rPr>
          <w:rFonts w:hint="eastAsia" w:ascii="宋体" w:hAnsi="宋体"/>
          <w:spacing w:val="-4"/>
          <w:szCs w:val="21"/>
        </w:rPr>
        <w:t xml:space="preserve"> </w:t>
      </w:r>
      <w:r>
        <w:rPr>
          <w:rFonts w:hint="eastAsia" w:ascii="宋体" w:hAnsi="宋体"/>
          <w:spacing w:val="-4"/>
          <w:szCs w:val="21"/>
          <w:lang w:eastAsia="zh-CN"/>
        </w:rPr>
        <w:t>设备</w:t>
      </w:r>
      <w:r>
        <w:rPr>
          <w:rFonts w:hint="eastAsia" w:ascii="宋体" w:hAnsi="宋体"/>
          <w:spacing w:val="-4"/>
          <w:szCs w:val="21"/>
        </w:rPr>
        <w:t>正式投运后，如果招标方提出对所供</w:t>
      </w:r>
      <w:r>
        <w:rPr>
          <w:rFonts w:hint="eastAsia" w:ascii="宋体" w:hAnsi="宋体"/>
          <w:spacing w:val="-4"/>
          <w:szCs w:val="21"/>
          <w:lang w:eastAsia="zh-CN"/>
        </w:rPr>
        <w:t>设备</w:t>
      </w:r>
      <w:r>
        <w:rPr>
          <w:rFonts w:hint="eastAsia" w:ascii="宋体" w:hAnsi="宋体"/>
          <w:spacing w:val="-4"/>
          <w:szCs w:val="21"/>
        </w:rPr>
        <w:t>进行扩容、升级等工作的要求，投标方应予以协助，对于新购置的设备、板卡及授权，应以不高于合同签定时的单价提供给招标方。</w:t>
      </w:r>
    </w:p>
    <w:p>
      <w:pPr>
        <w:adjustRightInd w:val="0"/>
        <w:snapToGrid w:val="0"/>
        <w:ind w:firstLine="404"/>
        <w:rPr>
          <w:rFonts w:hint="eastAsia" w:ascii="宋体" w:hAnsi="宋体"/>
          <w:spacing w:val="-4"/>
          <w:szCs w:val="21"/>
        </w:rPr>
      </w:pPr>
      <w:r>
        <w:rPr>
          <w:rFonts w:ascii="宋体" w:hAnsi="宋体"/>
          <w:spacing w:val="-4"/>
          <w:szCs w:val="21"/>
        </w:rPr>
        <w:t>1.</w:t>
      </w:r>
      <w:r>
        <w:rPr>
          <w:rFonts w:hint="eastAsia" w:ascii="宋体" w:hAnsi="宋体"/>
          <w:spacing w:val="-4"/>
          <w:szCs w:val="21"/>
          <w:lang w:val="en-US" w:eastAsia="zh-CN"/>
        </w:rPr>
        <w:t>8</w:t>
      </w:r>
      <w:r>
        <w:rPr>
          <w:rFonts w:hint="eastAsia" w:ascii="宋体" w:hAnsi="宋体"/>
          <w:spacing w:val="-4"/>
          <w:szCs w:val="21"/>
        </w:rPr>
        <w:t xml:space="preserve"> 本技术规范书未尽事宜，由招标方和投标方在合同技术谈判时协商确定。</w:t>
      </w:r>
    </w:p>
    <w:p>
      <w:pPr>
        <w:adjustRightInd w:val="0"/>
        <w:snapToGrid w:val="0"/>
        <w:ind w:firstLine="404"/>
        <w:rPr>
          <w:rFonts w:hint="eastAsia" w:ascii="宋体" w:hAnsi="宋体"/>
          <w:color w:val="C00000"/>
          <w:spacing w:val="-4"/>
          <w:szCs w:val="21"/>
        </w:rPr>
      </w:pPr>
      <w:r>
        <w:rPr>
          <w:rFonts w:ascii="宋体" w:hAnsi="宋体"/>
          <w:spacing w:val="-4"/>
          <w:szCs w:val="21"/>
        </w:rPr>
        <w:t>1.</w:t>
      </w:r>
      <w:r>
        <w:rPr>
          <w:rFonts w:hint="eastAsia" w:ascii="宋体" w:hAnsi="宋体"/>
          <w:spacing w:val="-4"/>
          <w:szCs w:val="21"/>
          <w:lang w:val="en-US" w:eastAsia="zh-CN"/>
        </w:rPr>
        <w:t>9</w:t>
      </w:r>
      <w:r>
        <w:rPr>
          <w:rFonts w:hint="eastAsia" w:ascii="宋体" w:hAnsi="宋体"/>
          <w:spacing w:val="-4"/>
          <w:szCs w:val="21"/>
        </w:rPr>
        <w:t xml:space="preserve"> 本技术规范书经招、投标双方确认后作为订货合同的技术附件，与合同正文具有同等法律效力。</w:t>
      </w:r>
      <w:r>
        <w:rPr>
          <w:rFonts w:hint="eastAsia" w:ascii="宋体" w:hAnsi="宋体"/>
          <w:spacing w:val="-4"/>
          <w:szCs w:val="21"/>
        </w:rPr>
        <w:tab/>
      </w:r>
    </w:p>
    <w:bookmarkEnd w:id="0"/>
    <w:p>
      <w:pPr>
        <w:pStyle w:val="3"/>
        <w:rPr>
          <w:rFonts w:hint="eastAsia"/>
        </w:rPr>
      </w:pPr>
      <w:bookmarkStart w:id="6" w:name="_Toc112756677"/>
      <w:bookmarkStart w:id="7" w:name="_Toc384340976"/>
      <w:bookmarkStart w:id="8" w:name="_Toc18971"/>
      <w:bookmarkStart w:id="9" w:name="_Toc279695347"/>
      <w:bookmarkStart w:id="10" w:name="_Toc246216316"/>
      <w:bookmarkStart w:id="11" w:name="_Toc276492358"/>
      <w:bookmarkStart w:id="12" w:name="_Toc10262"/>
      <w:bookmarkStart w:id="13" w:name="_Toc276490890"/>
      <w:bookmarkStart w:id="14" w:name="_Toc271281204"/>
      <w:bookmarkStart w:id="15" w:name="_Toc21409"/>
      <w:bookmarkStart w:id="16" w:name="_Toc21398"/>
      <w:bookmarkStart w:id="17" w:name="_Toc155114607"/>
      <w:bookmarkStart w:id="18" w:name="_Toc241911995"/>
      <w:r>
        <w:rPr>
          <w:rFonts w:hint="eastAsia"/>
        </w:rPr>
        <w:t>工作范围</w:t>
      </w:r>
      <w:bookmarkEnd w:id="6"/>
      <w:bookmarkEnd w:id="7"/>
      <w:bookmarkEnd w:id="8"/>
      <w:bookmarkEnd w:id="9"/>
      <w:bookmarkEnd w:id="10"/>
      <w:bookmarkEnd w:id="11"/>
      <w:bookmarkEnd w:id="12"/>
      <w:bookmarkEnd w:id="13"/>
      <w:bookmarkEnd w:id="14"/>
      <w:bookmarkEnd w:id="15"/>
      <w:bookmarkEnd w:id="16"/>
    </w:p>
    <w:p>
      <w:pPr>
        <w:pStyle w:val="4"/>
        <w:ind w:hanging="992"/>
        <w:rPr>
          <w:rFonts w:hint="eastAsia"/>
        </w:rPr>
      </w:pPr>
      <w:bookmarkStart w:id="19" w:name="_Toc384340977"/>
      <w:r>
        <w:rPr>
          <w:rFonts w:hint="eastAsia"/>
        </w:rPr>
        <w:t xml:space="preserve"> </w:t>
      </w:r>
      <w:bookmarkStart w:id="20" w:name="_Toc29861"/>
      <w:bookmarkStart w:id="21" w:name="_Toc23884"/>
      <w:bookmarkStart w:id="22" w:name="_Toc27841"/>
      <w:bookmarkStart w:id="23" w:name="_Toc21423"/>
      <w:r>
        <w:rPr>
          <w:rFonts w:hint="eastAsia"/>
        </w:rPr>
        <w:t>工程概况</w:t>
      </w:r>
      <w:bookmarkEnd w:id="19"/>
      <w:bookmarkEnd w:id="20"/>
      <w:bookmarkEnd w:id="21"/>
      <w:bookmarkEnd w:id="22"/>
      <w:bookmarkEnd w:id="23"/>
    </w:p>
    <w:p>
      <w:pPr>
        <w:pStyle w:val="15"/>
        <w:spacing w:line="360" w:lineRule="auto"/>
        <w:rPr>
          <w:rFonts w:hint="eastAsia"/>
        </w:rPr>
      </w:pPr>
      <w:r>
        <w:rPr>
          <w:rFonts w:hint="eastAsia" w:ascii="宋体" w:hAnsi="宋体" w:eastAsia="宋体"/>
        </w:rPr>
        <w:t>在</w:t>
      </w:r>
      <w:r>
        <w:rPr>
          <w:rFonts w:hint="eastAsia" w:ascii="宋体" w:hAnsi="宋体" w:eastAsia="宋体"/>
          <w:lang w:eastAsia="zh-CN"/>
        </w:rPr>
        <w:t>来宾</w:t>
      </w:r>
      <w:r>
        <w:rPr>
          <w:rFonts w:hint="eastAsia" w:ascii="宋体" w:hAnsi="宋体" w:eastAsia="宋体"/>
        </w:rPr>
        <w:t>供电局调度大楼</w:t>
      </w:r>
      <w:r>
        <w:rPr>
          <w:rFonts w:hint="eastAsia" w:ascii="宋体" w:hAnsi="宋体" w:eastAsia="宋体"/>
          <w:lang w:val="en-US" w:eastAsia="zh-CN"/>
        </w:rPr>
        <w:t>403</w:t>
      </w:r>
      <w:r>
        <w:rPr>
          <w:rFonts w:hint="eastAsia" w:ascii="宋体" w:hAnsi="宋体" w:eastAsia="宋体"/>
        </w:rPr>
        <w:t>、</w:t>
      </w:r>
      <w:r>
        <w:rPr>
          <w:rFonts w:hint="eastAsia" w:ascii="宋体" w:hAnsi="宋体" w:eastAsia="宋体"/>
          <w:lang w:val="en-US" w:eastAsia="zh-CN"/>
        </w:rPr>
        <w:t>701、1201共3</w:t>
      </w:r>
      <w:r>
        <w:rPr>
          <w:rFonts w:hint="eastAsia" w:ascii="宋体" w:hAnsi="宋体" w:eastAsia="宋体"/>
        </w:rPr>
        <w:t>个会议室各增加</w:t>
      </w:r>
      <w:r>
        <w:rPr>
          <w:rFonts w:hint="eastAsia" w:ascii="宋体" w:hAnsi="宋体" w:eastAsia="宋体"/>
          <w:lang w:eastAsia="zh-CN"/>
        </w:rPr>
        <w:t>两台</w:t>
      </w:r>
      <w:r>
        <w:rPr>
          <w:rFonts w:hint="eastAsia" w:ascii="宋体" w:hAnsi="宋体" w:eastAsia="宋体"/>
        </w:rPr>
        <w:t>电源转换开关，提升</w:t>
      </w:r>
      <w:r>
        <w:rPr>
          <w:rFonts w:hint="eastAsia" w:ascii="宋体" w:hAnsi="宋体" w:eastAsia="宋体"/>
          <w:lang w:eastAsia="zh-CN"/>
        </w:rPr>
        <w:t>视频会议设备</w:t>
      </w:r>
      <w:r>
        <w:rPr>
          <w:rFonts w:hint="eastAsia" w:ascii="宋体" w:hAnsi="宋体" w:eastAsia="宋体"/>
        </w:rPr>
        <w:t>供电保障能力</w:t>
      </w:r>
      <w:r>
        <w:rPr>
          <w:rFonts w:hint="eastAsia" w:hAnsi="宋体" w:eastAsia="宋体"/>
        </w:rPr>
        <w:t>。</w:t>
      </w:r>
    </w:p>
    <w:p>
      <w:pPr>
        <w:pStyle w:val="4"/>
        <w:ind w:hanging="992"/>
        <w:rPr>
          <w:rFonts w:hint="eastAsia"/>
        </w:rPr>
      </w:pPr>
      <w:bookmarkStart w:id="24" w:name="_Toc384340978"/>
      <w:r>
        <w:rPr>
          <w:rFonts w:hint="eastAsia"/>
        </w:rPr>
        <w:t xml:space="preserve"> </w:t>
      </w:r>
      <w:bookmarkStart w:id="25" w:name="_Toc7961"/>
      <w:bookmarkStart w:id="26" w:name="_Toc30040"/>
      <w:bookmarkStart w:id="27" w:name="_Toc28036"/>
      <w:bookmarkStart w:id="28" w:name="_Toc16147"/>
      <w:r>
        <w:rPr>
          <w:rFonts w:hint="eastAsia"/>
        </w:rPr>
        <w:t>范围和界限</w:t>
      </w:r>
      <w:bookmarkEnd w:id="24"/>
      <w:bookmarkEnd w:id="25"/>
      <w:bookmarkEnd w:id="26"/>
      <w:bookmarkEnd w:id="27"/>
      <w:bookmarkEnd w:id="28"/>
    </w:p>
    <w:p>
      <w:pPr>
        <w:adjustRightInd w:val="0"/>
        <w:snapToGrid w:val="0"/>
        <w:ind w:firstLine="420"/>
        <w:rPr>
          <w:rFonts w:hint="eastAsia"/>
        </w:rPr>
      </w:pPr>
      <w:r>
        <w:rPr>
          <w:rFonts w:ascii="宋体" w:hAnsi="宋体"/>
        </w:rPr>
        <w:t>本规范书适应</w:t>
      </w:r>
      <w:r>
        <w:rPr>
          <w:rFonts w:hint="eastAsia"/>
        </w:rPr>
        <w:t>于</w:t>
      </w:r>
      <w:r>
        <w:rPr>
          <w:rFonts w:hint="eastAsia" w:ascii="宋体" w:hAnsi="宋体"/>
          <w:spacing w:val="-4"/>
          <w:szCs w:val="21"/>
        </w:rPr>
        <w:t>来宾供电局2026年生产材料费用项目</w:t>
      </w:r>
      <w:r>
        <w:rPr>
          <w:rFonts w:hint="eastAsia"/>
        </w:rPr>
        <w:t>供货</w:t>
      </w:r>
      <w:r>
        <w:rPr>
          <w:rFonts w:ascii="宋体" w:hAnsi="宋体"/>
        </w:rPr>
        <w:t>的设计</w:t>
      </w:r>
      <w:r>
        <w:rPr>
          <w:rFonts w:hint="eastAsia" w:ascii="宋体" w:hAnsi="宋体"/>
        </w:rPr>
        <w:t>、</w:t>
      </w:r>
      <w:r>
        <w:rPr>
          <w:rFonts w:ascii="宋体" w:hAnsi="宋体"/>
        </w:rPr>
        <w:t>制造</w:t>
      </w:r>
      <w:r>
        <w:rPr>
          <w:rFonts w:hint="eastAsia" w:ascii="宋体" w:hAnsi="宋体"/>
        </w:rPr>
        <w:t>、</w:t>
      </w:r>
      <w:r>
        <w:rPr>
          <w:rFonts w:ascii="宋体" w:hAnsi="宋体"/>
        </w:rPr>
        <w:t>装配</w:t>
      </w:r>
      <w:r>
        <w:rPr>
          <w:rFonts w:hint="eastAsia" w:ascii="宋体" w:hAnsi="宋体"/>
        </w:rPr>
        <w:t>、</w:t>
      </w:r>
      <w:r>
        <w:rPr>
          <w:rFonts w:ascii="宋体" w:hAnsi="宋体"/>
        </w:rPr>
        <w:t>工厂试验</w:t>
      </w:r>
      <w:r>
        <w:rPr>
          <w:rFonts w:hint="eastAsia" w:ascii="宋体" w:hAnsi="宋体"/>
        </w:rPr>
        <w:t>、</w:t>
      </w:r>
      <w:r>
        <w:rPr>
          <w:rFonts w:ascii="宋体" w:hAnsi="宋体"/>
        </w:rPr>
        <w:t>交付</w:t>
      </w:r>
      <w:r>
        <w:rPr>
          <w:rFonts w:hint="eastAsia" w:ascii="宋体" w:hAnsi="宋体"/>
        </w:rPr>
        <w:t>、</w:t>
      </w:r>
      <w:r>
        <w:rPr>
          <w:rFonts w:ascii="宋体" w:hAnsi="宋体"/>
        </w:rPr>
        <w:t>现场安装和试验的指导、监督以及试运行工作。</w:t>
      </w:r>
    </w:p>
    <w:p>
      <w:pPr>
        <w:pStyle w:val="4"/>
        <w:ind w:hanging="992"/>
        <w:rPr>
          <w:rFonts w:hint="eastAsia"/>
        </w:rPr>
      </w:pPr>
      <w:bookmarkStart w:id="29" w:name="_Toc25980"/>
      <w:bookmarkStart w:id="30" w:name="_Toc1268"/>
      <w:bookmarkStart w:id="31" w:name="_Toc24783"/>
      <w:bookmarkStart w:id="32" w:name="_Toc9877"/>
      <w:r>
        <w:rPr>
          <w:rFonts w:hint="eastAsia"/>
        </w:rPr>
        <w:t>招标方与投标方职责</w:t>
      </w:r>
      <w:bookmarkEnd w:id="29"/>
      <w:bookmarkEnd w:id="30"/>
      <w:bookmarkEnd w:id="31"/>
      <w:bookmarkEnd w:id="32"/>
    </w:p>
    <w:p>
      <w:pPr>
        <w:adjustRightInd w:val="0"/>
        <w:snapToGrid w:val="0"/>
        <w:ind w:firstLine="420"/>
        <w:rPr>
          <w:rFonts w:hint="eastAsia"/>
        </w:rPr>
      </w:pPr>
      <w:r>
        <w:rPr>
          <w:rFonts w:hint="eastAsia"/>
        </w:rPr>
        <w:t>招标方职责：</w:t>
      </w:r>
    </w:p>
    <w:p>
      <w:pPr>
        <w:numPr>
          <w:ilvl w:val="0"/>
          <w:numId w:val="2"/>
        </w:numPr>
        <w:adjustRightInd w:val="0"/>
        <w:snapToGrid w:val="0"/>
        <w:ind w:left="0" w:firstLine="420"/>
        <w:rPr>
          <w:rFonts w:hint="eastAsia"/>
        </w:rPr>
      </w:pPr>
      <w:r>
        <w:rPr>
          <w:rFonts w:hint="eastAsia"/>
        </w:rPr>
        <w:t>提供投标方进行方案建议和设备配置过程中所需的信息。</w:t>
      </w:r>
    </w:p>
    <w:p>
      <w:pPr>
        <w:numPr>
          <w:ilvl w:val="0"/>
          <w:numId w:val="2"/>
        </w:numPr>
        <w:adjustRightInd w:val="0"/>
        <w:snapToGrid w:val="0"/>
        <w:ind w:left="0" w:firstLine="420"/>
        <w:rPr>
          <w:rFonts w:hint="eastAsia"/>
        </w:rPr>
      </w:pPr>
      <w:r>
        <w:rPr>
          <w:rFonts w:hint="eastAsia"/>
        </w:rPr>
        <w:t>审查投标方提供的技术文件和图纸，审议并确认项目进度、设计联络会议、试验及验收计划等。</w:t>
      </w:r>
    </w:p>
    <w:p>
      <w:pPr>
        <w:numPr>
          <w:ilvl w:val="0"/>
          <w:numId w:val="2"/>
        </w:numPr>
        <w:adjustRightInd w:val="0"/>
        <w:snapToGrid w:val="0"/>
        <w:ind w:left="0" w:firstLine="420"/>
        <w:rPr>
          <w:rFonts w:hint="eastAsia"/>
        </w:rPr>
      </w:pPr>
      <w:r>
        <w:rPr>
          <w:rFonts w:hint="eastAsia"/>
        </w:rPr>
        <w:t>提供与其他设备互联的要求。</w:t>
      </w:r>
    </w:p>
    <w:p>
      <w:pPr>
        <w:numPr>
          <w:ilvl w:val="0"/>
          <w:numId w:val="2"/>
        </w:numPr>
        <w:adjustRightInd w:val="0"/>
        <w:snapToGrid w:val="0"/>
        <w:ind w:left="0" w:firstLine="420"/>
        <w:rPr>
          <w:rFonts w:hint="eastAsia"/>
        </w:rPr>
      </w:pPr>
      <w:r>
        <w:rPr>
          <w:rFonts w:hint="eastAsia"/>
        </w:rPr>
        <w:t>负责组织设备安装现场的布置，并提供设备供电电源。</w:t>
      </w:r>
    </w:p>
    <w:p>
      <w:pPr>
        <w:numPr>
          <w:ilvl w:val="0"/>
          <w:numId w:val="2"/>
        </w:numPr>
        <w:adjustRightInd w:val="0"/>
        <w:snapToGrid w:val="0"/>
        <w:ind w:left="0" w:firstLine="420"/>
        <w:rPr>
          <w:rFonts w:hint="eastAsia"/>
        </w:rPr>
      </w:pPr>
      <w:r>
        <w:rPr>
          <w:rFonts w:hint="eastAsia"/>
        </w:rPr>
        <w:t>负责组织设备现场安装，参加设备和系统的调试，组织现场验收试验（SAT）。</w:t>
      </w:r>
    </w:p>
    <w:p>
      <w:pPr>
        <w:numPr>
          <w:ilvl w:val="0"/>
          <w:numId w:val="2"/>
        </w:numPr>
        <w:adjustRightInd w:val="0"/>
        <w:snapToGrid w:val="0"/>
        <w:ind w:left="0" w:firstLine="420"/>
        <w:rPr>
          <w:rFonts w:hint="eastAsia"/>
        </w:rPr>
      </w:pPr>
      <w:r>
        <w:rPr>
          <w:rFonts w:hint="eastAsia"/>
        </w:rPr>
        <w:t>提供投标方所派人员在现场工作时的必要帮助。</w:t>
      </w:r>
    </w:p>
    <w:p>
      <w:pPr>
        <w:adjustRightInd w:val="0"/>
        <w:snapToGrid w:val="0"/>
        <w:ind w:firstLine="420"/>
        <w:rPr>
          <w:rFonts w:hint="eastAsia"/>
        </w:rPr>
      </w:pPr>
      <w:r>
        <w:rPr>
          <w:rFonts w:hint="eastAsia"/>
        </w:rPr>
        <w:t>投标方职责：</w:t>
      </w:r>
    </w:p>
    <w:p>
      <w:pPr>
        <w:numPr>
          <w:ilvl w:val="0"/>
          <w:numId w:val="3"/>
        </w:numPr>
        <w:adjustRightInd w:val="0"/>
        <w:snapToGrid w:val="0"/>
        <w:ind w:left="0" w:firstLine="420"/>
        <w:rPr>
          <w:rFonts w:hint="eastAsia"/>
        </w:rPr>
      </w:pPr>
      <w:r>
        <w:rPr>
          <w:rFonts w:hint="eastAsia"/>
        </w:rPr>
        <w:t>投标方应基于本技术规范书所述的建设方案，提供详细的技术建议书，协助招标方编制项目实施方案及业务割接方案等。</w:t>
      </w:r>
      <w:r>
        <w:t>由于方案不合理而造成系统功能无法实现或不能完全实现，投标方应负全责。</w:t>
      </w:r>
    </w:p>
    <w:p>
      <w:pPr>
        <w:numPr>
          <w:ilvl w:val="0"/>
          <w:numId w:val="3"/>
        </w:numPr>
        <w:adjustRightInd w:val="0"/>
        <w:snapToGrid w:val="0"/>
        <w:ind w:left="0" w:firstLine="420"/>
        <w:rPr>
          <w:rFonts w:hint="eastAsia"/>
        </w:rPr>
      </w:pPr>
      <w:r>
        <w:rPr>
          <w:rFonts w:hint="eastAsia"/>
        </w:rPr>
        <w:t>保证投标所提供的设备与材料是崭新、原产、完整和可用的，系统设备能够安全、可靠地运行。若发现由于投标方提供的设备材料不完整，从而导致系统功能无法实现或不能完全实现，投标方应免费提供。</w:t>
      </w:r>
    </w:p>
    <w:p>
      <w:pPr>
        <w:numPr>
          <w:ilvl w:val="0"/>
          <w:numId w:val="3"/>
        </w:numPr>
        <w:adjustRightInd w:val="0"/>
        <w:snapToGrid w:val="0"/>
        <w:ind w:left="0" w:firstLine="420"/>
        <w:rPr>
          <w:rFonts w:hint="eastAsia"/>
        </w:rPr>
      </w:pPr>
      <w:r>
        <w:rPr>
          <w:rFonts w:hint="eastAsia"/>
        </w:rPr>
        <w:t>负责提供符合本技术规范书要求的设备，提供设备安装调试和现场技术督导服务。</w:t>
      </w:r>
    </w:p>
    <w:p>
      <w:pPr>
        <w:numPr>
          <w:ilvl w:val="0"/>
          <w:numId w:val="3"/>
        </w:numPr>
        <w:adjustRightInd w:val="0"/>
        <w:snapToGrid w:val="0"/>
        <w:ind w:left="0" w:firstLine="420"/>
        <w:rPr>
          <w:rFonts w:hint="eastAsia"/>
        </w:rPr>
      </w:pPr>
      <w:r>
        <w:rPr>
          <w:rFonts w:hint="eastAsia"/>
        </w:rPr>
        <w:t>负责供货范围内所有设备的包装及运输至</w:t>
      </w:r>
      <w:r>
        <w:t>交货地点。</w:t>
      </w:r>
    </w:p>
    <w:p>
      <w:pPr>
        <w:numPr>
          <w:ilvl w:val="0"/>
          <w:numId w:val="3"/>
        </w:numPr>
        <w:adjustRightInd w:val="0"/>
        <w:snapToGrid w:val="0"/>
        <w:ind w:left="0" w:firstLine="420"/>
        <w:rPr>
          <w:rFonts w:hint="eastAsia"/>
        </w:rPr>
      </w:pPr>
      <w:r>
        <w:rPr>
          <w:rFonts w:hint="eastAsia"/>
        </w:rPr>
        <w:t>提供合同范围内的所有设备的连接线缆（包括配件）、专用电缆及其插头插座等。</w:t>
      </w:r>
    </w:p>
    <w:p>
      <w:pPr>
        <w:adjustRightInd w:val="0"/>
        <w:snapToGrid w:val="0"/>
        <w:ind w:firstLine="420"/>
        <w:rPr>
          <w:rFonts w:hint="eastAsia"/>
        </w:rPr>
      </w:pPr>
      <w:r>
        <w:rPr>
          <w:rFonts w:hint="eastAsia"/>
        </w:rPr>
        <w:t>5)</w:t>
      </w:r>
      <w:r>
        <w:rPr>
          <w:rFonts w:hint="eastAsia"/>
        </w:rPr>
        <w:tab/>
      </w:r>
      <w:r>
        <w:t>负责承办设计联络会议。</w:t>
      </w:r>
    </w:p>
    <w:p>
      <w:pPr>
        <w:numPr>
          <w:ilvl w:val="0"/>
          <w:numId w:val="3"/>
        </w:numPr>
        <w:adjustRightInd w:val="0"/>
        <w:snapToGrid w:val="0"/>
        <w:ind w:left="0" w:firstLine="420"/>
        <w:rPr>
          <w:rFonts w:hint="eastAsia"/>
        </w:rPr>
      </w:pPr>
      <w:r>
        <w:rPr>
          <w:rFonts w:hint="eastAsia"/>
        </w:rPr>
        <w:t>负责对招标方的技术培训，</w:t>
      </w:r>
      <w:r>
        <w:t>包括硬件培训、软件培训、系统操作和维护培训。</w:t>
      </w:r>
    </w:p>
    <w:p>
      <w:pPr>
        <w:numPr>
          <w:ilvl w:val="0"/>
          <w:numId w:val="3"/>
        </w:numPr>
        <w:adjustRightInd w:val="0"/>
        <w:snapToGrid w:val="0"/>
        <w:ind w:left="0" w:firstLine="420"/>
        <w:rPr>
          <w:rFonts w:hint="eastAsia"/>
        </w:rPr>
      </w:pPr>
      <w:r>
        <w:rPr>
          <w:rFonts w:hint="eastAsia"/>
        </w:rPr>
        <w:t>负责视频会议系统设备的安装、调试，并负责整套系统的联调。</w:t>
      </w:r>
    </w:p>
    <w:p>
      <w:pPr>
        <w:numPr>
          <w:ilvl w:val="0"/>
          <w:numId w:val="3"/>
        </w:numPr>
        <w:adjustRightInd w:val="0"/>
        <w:snapToGrid w:val="0"/>
        <w:ind w:left="0" w:firstLine="420"/>
        <w:rPr>
          <w:rFonts w:hint="eastAsia"/>
        </w:rPr>
      </w:pPr>
      <w:r>
        <w:rPr>
          <w:rFonts w:hint="eastAsia"/>
        </w:rPr>
        <w:t>负责与原有系统的调试、互联配合和正常使用，保证新旧系统平滑过渡。</w:t>
      </w:r>
    </w:p>
    <w:p>
      <w:pPr>
        <w:numPr>
          <w:ilvl w:val="0"/>
          <w:numId w:val="3"/>
        </w:numPr>
        <w:adjustRightInd w:val="0"/>
        <w:snapToGrid w:val="0"/>
        <w:ind w:left="0" w:firstLine="420"/>
        <w:rPr>
          <w:rFonts w:hint="eastAsia"/>
        </w:rPr>
      </w:pPr>
      <w:r>
        <w:t>负责工厂检验（FAT）、现场验收（SAT）</w:t>
      </w:r>
      <w:r>
        <w:rPr>
          <w:rFonts w:hint="eastAsia"/>
        </w:rPr>
        <w:t>试验，协助竣工</w:t>
      </w:r>
      <w:r>
        <w:t>验收。</w:t>
      </w:r>
    </w:p>
    <w:p>
      <w:pPr>
        <w:numPr>
          <w:ilvl w:val="0"/>
          <w:numId w:val="3"/>
        </w:numPr>
        <w:adjustRightInd w:val="0"/>
        <w:snapToGrid w:val="0"/>
        <w:ind w:left="0" w:firstLine="420"/>
        <w:rPr>
          <w:rFonts w:hint="eastAsia"/>
        </w:rPr>
      </w:pPr>
      <w:r>
        <w:t>提供给招标方系统设备完整的安装、接线等施工图纸、说明手册、安装维护手册、文件、图纸及参考资料</w:t>
      </w:r>
      <w:r>
        <w:rPr>
          <w:rFonts w:hint="eastAsia"/>
        </w:rPr>
        <w:t>，并对所提供的全部技术资料的准确性负责，资料和图纸应提供电子版及书面材料。</w:t>
      </w:r>
    </w:p>
    <w:p>
      <w:pPr>
        <w:numPr>
          <w:ilvl w:val="0"/>
          <w:numId w:val="3"/>
        </w:numPr>
        <w:adjustRightInd w:val="0"/>
        <w:snapToGrid w:val="0"/>
        <w:ind w:left="0" w:firstLine="420"/>
        <w:rPr>
          <w:rFonts w:hint="eastAsia"/>
        </w:rPr>
      </w:pPr>
      <w:r>
        <w:rPr>
          <w:rFonts w:hint="eastAsia"/>
        </w:rPr>
        <w:t>负责及时向招标方通告软件的升级更新，服务期内免费提供升级和调试。</w:t>
      </w:r>
    </w:p>
    <w:p>
      <w:pPr>
        <w:numPr>
          <w:ilvl w:val="0"/>
          <w:numId w:val="3"/>
        </w:numPr>
        <w:adjustRightInd w:val="0"/>
        <w:snapToGrid w:val="0"/>
        <w:ind w:left="0" w:firstLine="420"/>
        <w:rPr>
          <w:rFonts w:hint="eastAsia"/>
        </w:rPr>
      </w:pPr>
      <w:r>
        <w:t>负责远程呈现会议室所有装修、照明、家具、设备、材料等整套解决方案的采购、施工、调试工作，负责会议室整体效果。</w:t>
      </w:r>
    </w:p>
    <w:p>
      <w:pPr>
        <w:numPr>
          <w:ilvl w:val="0"/>
          <w:numId w:val="3"/>
        </w:numPr>
        <w:adjustRightInd w:val="0"/>
        <w:snapToGrid w:val="0"/>
        <w:ind w:left="0" w:firstLine="420"/>
        <w:rPr>
          <w:rFonts w:hint="eastAsia"/>
        </w:rPr>
      </w:pPr>
      <w:r>
        <w:rPr>
          <w:rFonts w:hint="eastAsia"/>
        </w:rPr>
        <w:t>负责提供系统调试和验收所需专用工具和仪器仪表。</w:t>
      </w:r>
    </w:p>
    <w:p>
      <w:pPr>
        <w:numPr>
          <w:ilvl w:val="0"/>
          <w:numId w:val="3"/>
        </w:numPr>
        <w:adjustRightInd w:val="0"/>
        <w:snapToGrid w:val="0"/>
        <w:ind w:left="0" w:firstLine="420"/>
        <w:rPr>
          <w:rFonts w:hint="eastAsia"/>
        </w:rPr>
      </w:pPr>
      <w:r>
        <w:rPr>
          <w:rFonts w:hint="eastAsia"/>
        </w:rPr>
        <w:t>应及时提出并解决对系统开通、安全运行有影响的隐患。</w:t>
      </w:r>
    </w:p>
    <w:p>
      <w:pPr>
        <w:numPr>
          <w:ilvl w:val="0"/>
          <w:numId w:val="3"/>
        </w:numPr>
        <w:adjustRightInd w:val="0"/>
        <w:snapToGrid w:val="0"/>
        <w:ind w:left="0" w:firstLine="420"/>
        <w:rPr>
          <w:rFonts w:hint="eastAsia"/>
        </w:rPr>
      </w:pPr>
      <w:r>
        <w:rPr>
          <w:rFonts w:hint="eastAsia"/>
        </w:rPr>
        <w:t>负责供货范围内设备在试验、试运行、验收投运和质保期内的故障排除。</w:t>
      </w:r>
    </w:p>
    <w:p>
      <w:pPr>
        <w:numPr>
          <w:ilvl w:val="0"/>
          <w:numId w:val="3"/>
        </w:numPr>
        <w:adjustRightInd w:val="0"/>
        <w:snapToGrid w:val="0"/>
        <w:ind w:left="0" w:firstLine="420"/>
        <w:rPr>
          <w:rFonts w:hint="eastAsia"/>
        </w:rPr>
      </w:pPr>
      <w:r>
        <w:rPr>
          <w:rFonts w:hint="eastAsia"/>
        </w:rPr>
        <w:t>指定专人负责协调投标方在项目全过程的各项工作。</w:t>
      </w:r>
    </w:p>
    <w:p>
      <w:pPr>
        <w:pStyle w:val="4"/>
        <w:ind w:hanging="992"/>
        <w:rPr>
          <w:rFonts w:hint="eastAsia"/>
        </w:rPr>
      </w:pPr>
      <w:bookmarkStart w:id="33" w:name="_Toc30096"/>
      <w:bookmarkStart w:id="34" w:name="_Toc11367"/>
      <w:bookmarkStart w:id="35" w:name="_Toc19269"/>
      <w:bookmarkStart w:id="36" w:name="_Toc8043"/>
      <w:r>
        <w:rPr>
          <w:rFonts w:hint="eastAsia"/>
        </w:rPr>
        <w:t>技术规范书点对点应答要求</w:t>
      </w:r>
      <w:bookmarkEnd w:id="33"/>
      <w:bookmarkEnd w:id="34"/>
      <w:bookmarkEnd w:id="35"/>
      <w:bookmarkEnd w:id="36"/>
    </w:p>
    <w:p>
      <w:pPr>
        <w:numPr>
          <w:ilvl w:val="0"/>
          <w:numId w:val="4"/>
        </w:numPr>
        <w:adjustRightInd w:val="0"/>
        <w:snapToGrid w:val="0"/>
        <w:ind w:left="0" w:firstLine="420"/>
        <w:rPr>
          <w:rFonts w:hint="eastAsia"/>
        </w:rPr>
      </w:pPr>
      <w:r>
        <w:rPr>
          <w:rFonts w:hint="eastAsia"/>
        </w:rPr>
        <w:t>投标方的投标技术规范书中，应说明投标方对本技术规范书的各章节的理解程度。</w:t>
      </w:r>
    </w:p>
    <w:p>
      <w:pPr>
        <w:numPr>
          <w:ilvl w:val="0"/>
          <w:numId w:val="4"/>
        </w:numPr>
        <w:adjustRightInd w:val="0"/>
        <w:snapToGrid w:val="0"/>
        <w:ind w:left="0" w:firstLine="420"/>
        <w:rPr>
          <w:rFonts w:hint="eastAsia"/>
        </w:rPr>
      </w:pPr>
      <w:r>
        <w:rPr>
          <w:rFonts w:hint="eastAsia"/>
        </w:rPr>
        <w:t>投标方的投标技术规范书中，要求对本技术规范书所提出的各章节进行逐条逐项答复、说明和解释，首先对实现或满足程度明确作出“满足”、“部分满足”、“不满足”等应答，然后根据所提供的产品特点作出具体、详细的说明，并附加详细的技术资料。如投标方对某些部分不能满足、部分满足本规范书要求时,需详细说明原因,明确满足规范书要求的时限，并承诺今后免费提供该设备或功能。若投标方认为有更合理的方案，可以提出建议。</w:t>
      </w:r>
    </w:p>
    <w:p>
      <w:pPr>
        <w:numPr>
          <w:ilvl w:val="0"/>
          <w:numId w:val="4"/>
        </w:numPr>
        <w:adjustRightInd w:val="0"/>
        <w:snapToGrid w:val="0"/>
        <w:ind w:left="0" w:firstLine="420"/>
        <w:rPr>
          <w:rFonts w:hint="eastAsia"/>
        </w:rPr>
      </w:pPr>
      <w:r>
        <w:rPr>
          <w:rFonts w:hint="eastAsia"/>
        </w:rPr>
        <w:t>凡在“点对点应答”中答复为“满足”的，双方均视其为无条件满足。若有附加条件的，双方均视其为“部分满足”。如答复为规定格式之外其它内容的，均视为“不满足”。</w:t>
      </w:r>
    </w:p>
    <w:p>
      <w:pPr>
        <w:numPr>
          <w:ilvl w:val="0"/>
          <w:numId w:val="4"/>
        </w:numPr>
        <w:adjustRightInd w:val="0"/>
        <w:snapToGrid w:val="0"/>
        <w:ind w:left="0" w:firstLine="420"/>
        <w:rPr>
          <w:rFonts w:hint="eastAsia"/>
        </w:rPr>
      </w:pPr>
      <w:r>
        <w:rPr>
          <w:rFonts w:hint="eastAsia"/>
        </w:rPr>
        <w:t>凡“点对点应答”的答复与投标技术规范书的其他部分有出入的，以“点对点应答”的答复为准，由此产生的一切后果，由投标方负责。</w:t>
      </w:r>
    </w:p>
    <w:p>
      <w:pPr>
        <w:numPr>
          <w:ilvl w:val="0"/>
          <w:numId w:val="4"/>
        </w:numPr>
        <w:adjustRightInd w:val="0"/>
        <w:snapToGrid w:val="0"/>
        <w:ind w:left="0" w:firstLine="420"/>
        <w:rPr>
          <w:rFonts w:hint="eastAsia"/>
        </w:rPr>
      </w:pPr>
      <w:r>
        <w:rPr>
          <w:rFonts w:hint="eastAsia"/>
        </w:rPr>
        <w:t>凡本技术规范书中要求给出具体参数或说明的条款，不能仅答复“满足”、“参见……”，而应按要求给予具体答复。</w:t>
      </w:r>
    </w:p>
    <w:p>
      <w:pPr>
        <w:numPr>
          <w:ilvl w:val="0"/>
          <w:numId w:val="4"/>
        </w:numPr>
        <w:adjustRightInd w:val="0"/>
        <w:snapToGrid w:val="0"/>
        <w:ind w:left="0" w:firstLine="420"/>
        <w:rPr>
          <w:rFonts w:hint="eastAsia"/>
        </w:rPr>
      </w:pPr>
      <w:r>
        <w:rPr>
          <w:rFonts w:hint="eastAsia"/>
        </w:rPr>
        <w:t>对于本技术规范书中未能提出的系统性能指标等内容，投标方应在投标技术规范书中加以补充和说明，并提供有关资料。</w:t>
      </w:r>
    </w:p>
    <w:p>
      <w:pPr>
        <w:numPr>
          <w:ilvl w:val="0"/>
          <w:numId w:val="4"/>
        </w:numPr>
        <w:adjustRightInd w:val="0"/>
        <w:snapToGrid w:val="0"/>
        <w:ind w:left="0" w:firstLine="420"/>
        <w:rPr>
          <w:rFonts w:hint="eastAsia"/>
        </w:rPr>
      </w:pPr>
      <w:r>
        <w:rPr>
          <w:rFonts w:hint="eastAsia"/>
        </w:rPr>
        <w:t>投标方在对本技术规范书作完整答复的前提下，应将答复为部分满足、不满足的有关条款及其解释单独列出，并在技术偏差表详细说明。</w:t>
      </w:r>
    </w:p>
    <w:p>
      <w:pPr>
        <w:numPr>
          <w:ilvl w:val="0"/>
          <w:numId w:val="4"/>
        </w:numPr>
        <w:adjustRightInd w:val="0"/>
        <w:snapToGrid w:val="0"/>
        <w:ind w:left="0" w:firstLine="420"/>
        <w:rPr>
          <w:rFonts w:hint="eastAsia"/>
        </w:rPr>
      </w:pPr>
      <w:r>
        <w:rPr>
          <w:rFonts w:hint="eastAsia"/>
        </w:rPr>
        <w:t>本技术规范书作为项目所遵循的技术规范，以及测试和验收的依据。投标方在应答书中应慎重回答“满足”，对于规范书中的任意项目投标方回答“满足”，实际却不能满足，招标方有权拒绝向投标方付款，并且有权向投标方提出索赔。</w:t>
      </w:r>
    </w:p>
    <w:p>
      <w:pPr>
        <w:numPr>
          <w:ilvl w:val="0"/>
          <w:numId w:val="4"/>
        </w:numPr>
        <w:adjustRightInd w:val="0"/>
        <w:snapToGrid w:val="0"/>
        <w:ind w:left="0" w:firstLine="420"/>
        <w:rPr>
          <w:rFonts w:hint="eastAsia"/>
        </w:rPr>
      </w:pPr>
      <w:r>
        <w:rPr>
          <w:rFonts w:hint="eastAsia"/>
        </w:rPr>
        <w:t>投标方提供的所有配置清单中均须采用明确的中文说明和标识。</w:t>
      </w:r>
    </w:p>
    <w:p>
      <w:pPr>
        <w:numPr>
          <w:ilvl w:val="0"/>
          <w:numId w:val="4"/>
        </w:numPr>
        <w:adjustRightInd w:val="0"/>
        <w:snapToGrid w:val="0"/>
        <w:ind w:left="0" w:firstLine="420"/>
        <w:rPr>
          <w:rFonts w:hint="eastAsia"/>
        </w:rPr>
      </w:pPr>
      <w:r>
        <w:rPr>
          <w:szCs w:val="21"/>
        </w:rPr>
        <w:t>设备技术响应表（</w:t>
      </w:r>
      <w:r>
        <w:rPr>
          <w:rFonts w:hint="eastAsia"/>
          <w:szCs w:val="21"/>
        </w:rPr>
        <w:t>“技术规范书专用部分”2.3标准技术特性参数响应表</w:t>
      </w:r>
      <w:r>
        <w:rPr>
          <w:szCs w:val="21"/>
        </w:rPr>
        <w:t>，仅对本项目投标设备进行应答）</w:t>
      </w:r>
      <w:r>
        <w:rPr>
          <w:rFonts w:hint="eastAsia"/>
          <w:szCs w:val="21"/>
        </w:rPr>
        <w:t>。</w:t>
      </w:r>
    </w:p>
    <w:bookmarkEnd w:id="17"/>
    <w:bookmarkEnd w:id="18"/>
    <w:p>
      <w:pPr>
        <w:pStyle w:val="3"/>
        <w:rPr>
          <w:rFonts w:hint="eastAsia"/>
        </w:rPr>
      </w:pPr>
      <w:bookmarkStart w:id="37" w:name="_Toc27331"/>
      <w:bookmarkStart w:id="38" w:name="_Toc26902"/>
      <w:bookmarkStart w:id="39" w:name="_Toc14555"/>
      <w:bookmarkStart w:id="40" w:name="_Toc32084"/>
      <w:bookmarkStart w:id="41" w:name="_Toc384340980"/>
      <w:r>
        <w:rPr>
          <w:rFonts w:hint="eastAsia"/>
        </w:rPr>
        <w:t>应遵循的主要标准</w:t>
      </w:r>
      <w:bookmarkEnd w:id="37"/>
      <w:bookmarkEnd w:id="38"/>
      <w:bookmarkEnd w:id="39"/>
      <w:bookmarkEnd w:id="40"/>
      <w:bookmarkEnd w:id="41"/>
    </w:p>
    <w:p>
      <w:pPr>
        <w:adjustRightInd w:val="0"/>
        <w:snapToGrid w:val="0"/>
        <w:ind w:firstLine="420"/>
        <w:rPr>
          <w:rFonts w:hint="eastAsia"/>
        </w:rPr>
      </w:pPr>
      <w:bookmarkStart w:id="42" w:name="_Toc241912000"/>
      <w:bookmarkStart w:id="43" w:name="_Toc146182538"/>
      <w:bookmarkStart w:id="44" w:name="_Toc155114612"/>
      <w:bookmarkStart w:id="45" w:name="_Toc455373921"/>
      <w:bookmarkStart w:id="46" w:name="_Toc457979127"/>
      <w:bookmarkStart w:id="47" w:name="_Toc457986926"/>
      <w:bookmarkStart w:id="48" w:name="_Toc455543289"/>
      <w:bookmarkStart w:id="49" w:name="_Toc459534976"/>
      <w:bookmarkStart w:id="50" w:name="_Toc448828694"/>
      <w:bookmarkStart w:id="51" w:name="_Toc114253693"/>
      <w:bookmarkStart w:id="52" w:name="_Toc482581219"/>
      <w:r>
        <w:rPr>
          <w:rFonts w:hint="eastAsia" w:ascii="宋体" w:hAnsi="宋体" w:cs="宋体"/>
        </w:rPr>
        <w:t xml:space="preserve">3.1 </w:t>
      </w:r>
      <w:r>
        <w:rPr>
          <w:rFonts w:hint="eastAsia"/>
        </w:rPr>
        <w:t>投标方提供的技术方案必须具有先进性、可靠性，并具有高的性能价格比和可扩展性。技术方案及软、硬件系统配置应符合有关标准（例如ISO建议、IEEE标准、IETF建议等）及我国国家标准、信息产业部部颁标准，投标方若不作说明，则视为符合上述标准。</w:t>
      </w:r>
    </w:p>
    <w:p>
      <w:pPr>
        <w:adjustRightInd w:val="0"/>
        <w:snapToGrid w:val="0"/>
        <w:ind w:firstLine="420"/>
        <w:rPr>
          <w:rFonts w:hint="eastAsia"/>
        </w:rPr>
      </w:pPr>
      <w:r>
        <w:rPr>
          <w:rFonts w:hint="eastAsia" w:ascii="宋体" w:hAnsi="宋体" w:cs="宋体"/>
        </w:rPr>
        <w:t xml:space="preserve">3.2 </w:t>
      </w:r>
      <w:r>
        <w:rPr>
          <w:rFonts w:hint="eastAsia"/>
        </w:rPr>
        <w:t>投标方所投设备应符合最新的、可适用的国际电工委员会（IEC ）、国际电信联盟标准化组织（ITU-T）建议和中国国家标准、信息产业部标准，或经招标方认可的、符合设备产地同类设备工艺要求的国家标准，在后者情况下，用英语复制有关标准或章节随投标文件同时提供。投标方所投外购设备应遵循国家或行业相关规范标准。若投标方所投设备包含有自己专用标准，应在“技术偏差表”中具体说明，并附上相应的详细的技术资料。</w:t>
      </w:r>
    </w:p>
    <w:p>
      <w:pPr>
        <w:adjustRightInd w:val="0"/>
        <w:snapToGrid w:val="0"/>
        <w:ind w:firstLine="420"/>
        <w:rPr>
          <w:rFonts w:hint="eastAsia"/>
        </w:rPr>
      </w:pPr>
      <w:r>
        <w:rPr>
          <w:rFonts w:hint="eastAsia" w:ascii="宋体" w:hAnsi="宋体" w:cs="宋体"/>
        </w:rPr>
        <w:t>3.</w:t>
      </w:r>
      <w:r>
        <w:rPr>
          <w:rFonts w:hint="eastAsia" w:ascii="宋体" w:hAnsi="宋体" w:cs="宋体"/>
          <w:lang w:val="en-US" w:eastAsia="zh-CN"/>
        </w:rPr>
        <w:t>3</w:t>
      </w:r>
      <w:r>
        <w:rPr>
          <w:rFonts w:hint="eastAsia" w:ascii="宋体" w:hAnsi="宋体" w:cs="宋体"/>
        </w:rPr>
        <w:t xml:space="preserve"> </w:t>
      </w:r>
      <w:r>
        <w:rPr>
          <w:rFonts w:hint="eastAsia"/>
        </w:rPr>
        <w:t>本技术规范书所使用的标准如与投标人所执行的标准不一致时，按较高标准执行。投标设备如采用行业标准或投标人自定标准，必须在应答书中明确指出。</w:t>
      </w:r>
    </w:p>
    <w:p>
      <w:pPr>
        <w:adjustRightInd w:val="0"/>
        <w:snapToGrid w:val="0"/>
        <w:ind w:firstLine="420"/>
        <w:rPr>
          <w:rFonts w:hint="eastAsia"/>
        </w:rPr>
      </w:pPr>
      <w:r>
        <w:rPr>
          <w:rFonts w:hint="eastAsia"/>
        </w:rPr>
        <w:t>下列标准所包含的条文，通过在本技术规范书中引用而构成本技术规范书的基本条文。在本技术规范书出版时，所示版本均为有效。所有标准都会被修订，使用本技术规范书的各方应探讨使用下列标准最新版本的可能性。按标准号顺序排列标准，如果各标准要求有所不同，满足更高的标准要求。（凡是注明日期的引用文件，仅注日期的版本适用于本文件。凡未注明日期的引用文件，其最新版本（包括所有的修改单）适用于本文件。）</w:t>
      </w:r>
    </w:p>
    <w:p>
      <w:pPr>
        <w:adjustRightInd w:val="0"/>
        <w:snapToGrid w:val="0"/>
        <w:ind w:firstLine="420"/>
        <w:rPr>
          <w:rFonts w:hint="eastAsia"/>
        </w:rPr>
      </w:pPr>
      <w:r>
        <w:rPr>
          <w:rFonts w:hint="eastAsia"/>
        </w:rPr>
        <w:t>GB 76ll-1987    脉冲编码调制通信系统网路数字接口参数</w:t>
      </w:r>
    </w:p>
    <w:p>
      <w:pPr>
        <w:adjustRightInd w:val="0"/>
        <w:snapToGrid w:val="0"/>
        <w:ind w:firstLine="420"/>
        <w:rPr>
          <w:rFonts w:hint="eastAsia"/>
        </w:rPr>
      </w:pPr>
      <w:r>
        <w:rPr>
          <w:rFonts w:hint="eastAsia"/>
        </w:rPr>
        <w:t>GB/T 21639-2008 基于IP网络的视讯会议系统总技术要求</w:t>
      </w:r>
    </w:p>
    <w:p>
      <w:pPr>
        <w:adjustRightInd w:val="0"/>
        <w:snapToGrid w:val="0"/>
        <w:ind w:firstLine="420"/>
        <w:rPr>
          <w:rFonts w:hint="eastAsia"/>
        </w:rPr>
      </w:pPr>
      <w:r>
        <w:rPr>
          <w:rFonts w:hint="eastAsia"/>
        </w:rPr>
        <w:t>GB/T 21640-2008 基于IP网络的视讯会议系统设备互通技术要求</w:t>
      </w:r>
    </w:p>
    <w:p>
      <w:pPr>
        <w:adjustRightInd w:val="0"/>
        <w:snapToGrid w:val="0"/>
        <w:ind w:firstLine="420"/>
        <w:rPr>
          <w:rFonts w:hint="eastAsia"/>
        </w:rPr>
      </w:pPr>
      <w:r>
        <w:rPr>
          <w:rFonts w:hint="eastAsia"/>
        </w:rPr>
        <w:t>YD/T 1171-2001  IP网络技术要求-网络性能参数与指标</w:t>
      </w:r>
    </w:p>
    <w:p>
      <w:pPr>
        <w:adjustRightInd w:val="0"/>
        <w:snapToGrid w:val="0"/>
        <w:ind w:firstLine="420"/>
        <w:rPr>
          <w:rFonts w:hint="eastAsia"/>
        </w:rPr>
      </w:pPr>
      <w:r>
        <w:rPr>
          <w:rFonts w:hint="eastAsia"/>
        </w:rPr>
        <w:t>YD/T 5032-2005  会议电视系统工程设计规范</w:t>
      </w:r>
    </w:p>
    <w:p>
      <w:pPr>
        <w:adjustRightInd w:val="0"/>
        <w:snapToGrid w:val="0"/>
        <w:ind w:firstLine="420"/>
        <w:rPr>
          <w:rFonts w:hint="eastAsia"/>
        </w:rPr>
      </w:pPr>
      <w:r>
        <w:rPr>
          <w:rFonts w:hint="eastAsia"/>
        </w:rPr>
        <w:t>YD/T 5033-2005  会议电视系统工程验收规范</w:t>
      </w:r>
    </w:p>
    <w:p>
      <w:pPr>
        <w:pStyle w:val="3"/>
      </w:pPr>
      <w:bookmarkStart w:id="53" w:name="_Toc32600"/>
      <w:bookmarkStart w:id="54" w:name="_Toc20606"/>
      <w:bookmarkStart w:id="55" w:name="_Toc23089"/>
      <w:bookmarkStart w:id="56" w:name="_Toc32209"/>
      <w:bookmarkStart w:id="57" w:name="_Toc282993250"/>
      <w:bookmarkStart w:id="58" w:name="_Toc384340981"/>
      <w:bookmarkStart w:id="59" w:name="_Toc282993253"/>
      <w:bookmarkStart w:id="60" w:name="_Toc384340984"/>
      <w:r>
        <w:rPr>
          <w:rFonts w:hint="eastAsia"/>
        </w:rPr>
        <w:t>使用条件</w:t>
      </w:r>
      <w:bookmarkEnd w:id="53"/>
      <w:bookmarkEnd w:id="54"/>
      <w:bookmarkEnd w:id="55"/>
      <w:bookmarkEnd w:id="56"/>
      <w:bookmarkEnd w:id="57"/>
      <w:bookmarkEnd w:id="58"/>
    </w:p>
    <w:p>
      <w:pPr>
        <w:ind w:firstLine="420"/>
        <w:rPr>
          <w:rFonts w:hint="eastAsia"/>
          <w:szCs w:val="21"/>
        </w:rPr>
      </w:pPr>
      <w:r>
        <w:rPr>
          <w:rFonts w:hint="eastAsia"/>
          <w:szCs w:val="21"/>
        </w:rPr>
        <w:t>厂家所提供的设备应可以在这样的环境下保持正常工作，其持续工作时间应满足前述设备不间断工作时间要求。</w:t>
      </w:r>
    </w:p>
    <w:p>
      <w:pPr>
        <w:ind w:firstLine="422"/>
        <w:rPr>
          <w:szCs w:val="21"/>
        </w:rPr>
      </w:pPr>
      <w:bookmarkStart w:id="61" w:name="_Toc85419341"/>
      <w:bookmarkStart w:id="62" w:name="_Toc86331485"/>
      <w:bookmarkStart w:id="63" w:name="_Toc85420047"/>
      <w:r>
        <w:rPr>
          <w:rFonts w:hint="eastAsia"/>
          <w:b/>
          <w:szCs w:val="21"/>
        </w:rPr>
        <w:t>海拔高度</w:t>
      </w:r>
      <w:r>
        <w:rPr>
          <w:rFonts w:hint="eastAsia"/>
          <w:szCs w:val="21"/>
        </w:rPr>
        <w:t>：</w:t>
      </w:r>
      <w:r>
        <w:rPr>
          <w:szCs w:val="21"/>
        </w:rPr>
        <w:t>≤</w:t>
      </w:r>
      <w:r>
        <w:rPr>
          <w:rFonts w:hint="eastAsia"/>
          <w:szCs w:val="21"/>
        </w:rPr>
        <w:t>1</w:t>
      </w:r>
      <w:r>
        <w:rPr>
          <w:szCs w:val="21"/>
        </w:rPr>
        <w:t>000</w:t>
      </w:r>
      <w:r>
        <w:rPr>
          <w:rFonts w:hint="eastAsia"/>
          <w:szCs w:val="21"/>
        </w:rPr>
        <w:t>米。</w:t>
      </w:r>
      <w:bookmarkEnd w:id="61"/>
      <w:bookmarkEnd w:id="62"/>
      <w:bookmarkEnd w:id="63"/>
    </w:p>
    <w:p>
      <w:pPr>
        <w:ind w:firstLine="422"/>
        <w:rPr>
          <w:b/>
          <w:szCs w:val="21"/>
        </w:rPr>
      </w:pPr>
      <w:bookmarkStart w:id="64" w:name="_Toc85419342"/>
      <w:bookmarkStart w:id="65" w:name="_Toc85420048"/>
      <w:bookmarkStart w:id="66" w:name="_Toc86331486"/>
      <w:r>
        <w:rPr>
          <w:rFonts w:hint="eastAsia"/>
          <w:b/>
          <w:szCs w:val="21"/>
        </w:rPr>
        <w:t>耐地震能力</w:t>
      </w:r>
      <w:bookmarkEnd w:id="64"/>
      <w:bookmarkEnd w:id="65"/>
      <w:bookmarkEnd w:id="66"/>
      <w:r>
        <w:rPr>
          <w:rFonts w:hint="eastAsia"/>
          <w:b/>
          <w:szCs w:val="21"/>
        </w:rPr>
        <w:t>：</w:t>
      </w:r>
    </w:p>
    <w:p>
      <w:pPr>
        <w:ind w:firstLine="825" w:firstLineChars="393"/>
        <w:rPr>
          <w:szCs w:val="21"/>
        </w:rPr>
      </w:pPr>
      <w:r>
        <w:rPr>
          <w:rFonts w:hint="eastAsia"/>
          <w:szCs w:val="21"/>
        </w:rPr>
        <w:t>地面水平加速度：</w:t>
      </w:r>
      <w:r>
        <w:rPr>
          <w:szCs w:val="21"/>
        </w:rPr>
        <w:t>0.2g</w:t>
      </w:r>
    </w:p>
    <w:p>
      <w:pPr>
        <w:ind w:firstLine="825" w:firstLineChars="393"/>
        <w:rPr>
          <w:szCs w:val="21"/>
        </w:rPr>
      </w:pPr>
      <w:r>
        <w:rPr>
          <w:rFonts w:hint="eastAsia"/>
          <w:szCs w:val="21"/>
        </w:rPr>
        <w:t>地面垂直加速度：</w:t>
      </w:r>
      <w:r>
        <w:rPr>
          <w:szCs w:val="21"/>
        </w:rPr>
        <w:t>0.15g</w:t>
      </w:r>
    </w:p>
    <w:p>
      <w:pPr>
        <w:ind w:firstLine="825" w:firstLineChars="393"/>
        <w:rPr>
          <w:szCs w:val="21"/>
        </w:rPr>
      </w:pPr>
      <w:r>
        <w:rPr>
          <w:rFonts w:hint="eastAsia"/>
          <w:szCs w:val="21"/>
        </w:rPr>
        <w:t>抗地震：</w:t>
      </w:r>
      <w:r>
        <w:rPr>
          <w:rFonts w:hint="eastAsia"/>
          <w:szCs w:val="21"/>
          <w:lang w:val="en-US" w:eastAsia="zh-CN"/>
        </w:rPr>
        <w:t>里氏</w:t>
      </w:r>
      <w:r>
        <w:rPr>
          <w:szCs w:val="21"/>
        </w:rPr>
        <w:t>7</w:t>
      </w:r>
      <w:r>
        <w:rPr>
          <w:rFonts w:hint="eastAsia"/>
          <w:szCs w:val="21"/>
        </w:rPr>
        <w:t>级</w:t>
      </w:r>
      <w:r>
        <w:rPr>
          <w:szCs w:val="21"/>
        </w:rPr>
        <w:t>(</w:t>
      </w:r>
      <w:r>
        <w:rPr>
          <w:rFonts w:hint="eastAsia"/>
          <w:szCs w:val="21"/>
        </w:rPr>
        <w:t>美式</w:t>
      </w:r>
      <w:r>
        <w:rPr>
          <w:szCs w:val="21"/>
        </w:rPr>
        <w:t>9</w:t>
      </w:r>
      <w:r>
        <w:rPr>
          <w:rFonts w:hint="eastAsia"/>
          <w:szCs w:val="21"/>
        </w:rPr>
        <w:t>级</w:t>
      </w:r>
      <w:r>
        <w:rPr>
          <w:szCs w:val="21"/>
        </w:rPr>
        <w:t>)</w:t>
      </w:r>
    </w:p>
    <w:p>
      <w:pPr>
        <w:ind w:firstLine="422"/>
        <w:rPr>
          <w:b/>
          <w:szCs w:val="21"/>
          <w:shd w:val="pct10" w:color="auto" w:fill="FFFFFF"/>
        </w:rPr>
      </w:pPr>
      <w:bookmarkStart w:id="67" w:name="_Toc86331487"/>
      <w:bookmarkStart w:id="68" w:name="_Toc85420049"/>
      <w:bookmarkStart w:id="69" w:name="_Toc85419343"/>
      <w:r>
        <w:rPr>
          <w:rFonts w:hint="eastAsia"/>
          <w:b/>
          <w:szCs w:val="21"/>
        </w:rPr>
        <w:t>环境温度湿度</w:t>
      </w:r>
      <w:bookmarkEnd w:id="67"/>
      <w:bookmarkEnd w:id="68"/>
      <w:bookmarkEnd w:id="69"/>
      <w:r>
        <w:rPr>
          <w:rFonts w:hint="eastAsia"/>
          <w:b/>
          <w:szCs w:val="21"/>
        </w:rPr>
        <w:t>：</w:t>
      </w:r>
    </w:p>
    <w:p>
      <w:pPr>
        <w:ind w:firstLine="420"/>
        <w:rPr>
          <w:szCs w:val="21"/>
        </w:rPr>
      </w:pPr>
      <w:r>
        <w:rPr>
          <w:rFonts w:hint="eastAsia"/>
          <w:szCs w:val="21"/>
        </w:rPr>
        <w:t>环境温度：</w:t>
      </w:r>
      <w:r>
        <w:rPr>
          <w:szCs w:val="21"/>
        </w:rPr>
        <w:t>5</w:t>
      </w:r>
      <w:r>
        <w:rPr>
          <w:rFonts w:hint="eastAsia" w:ascii="宋体" w:hAnsi="宋体" w:cs="宋体"/>
          <w:szCs w:val="21"/>
        </w:rPr>
        <w:t>℃</w:t>
      </w:r>
      <w:r>
        <w:rPr>
          <w:szCs w:val="21"/>
        </w:rPr>
        <w:t xml:space="preserve"> </w:t>
      </w:r>
      <w:r>
        <w:rPr>
          <w:rFonts w:hint="eastAsia"/>
          <w:szCs w:val="21"/>
        </w:rPr>
        <w:t>～</w:t>
      </w:r>
      <w:r>
        <w:rPr>
          <w:szCs w:val="21"/>
        </w:rPr>
        <w:t xml:space="preserve"> 4</w:t>
      </w:r>
      <w:r>
        <w:rPr>
          <w:rFonts w:hint="eastAsia"/>
          <w:szCs w:val="21"/>
        </w:rPr>
        <w:t>0</w:t>
      </w:r>
      <w:r>
        <w:rPr>
          <w:rFonts w:hint="eastAsia" w:ascii="宋体" w:hAnsi="宋体" w:cs="宋体"/>
          <w:szCs w:val="21"/>
        </w:rPr>
        <w:t>℃</w:t>
      </w:r>
    </w:p>
    <w:p>
      <w:pPr>
        <w:ind w:firstLine="420"/>
        <w:rPr>
          <w:szCs w:val="21"/>
        </w:rPr>
      </w:pPr>
      <w:r>
        <w:rPr>
          <w:rFonts w:hint="eastAsia"/>
          <w:szCs w:val="21"/>
        </w:rPr>
        <w:t>相对湿度：4</w:t>
      </w:r>
      <w:r>
        <w:rPr>
          <w:szCs w:val="21"/>
        </w:rPr>
        <w:t>0</w:t>
      </w:r>
      <w:r>
        <w:rPr>
          <w:rFonts w:hint="eastAsia"/>
          <w:szCs w:val="21"/>
        </w:rPr>
        <w:t>％～</w:t>
      </w:r>
      <w:r>
        <w:rPr>
          <w:szCs w:val="21"/>
        </w:rPr>
        <w:t>8</w:t>
      </w:r>
      <w:r>
        <w:rPr>
          <w:rFonts w:hint="eastAsia"/>
          <w:szCs w:val="21"/>
        </w:rPr>
        <w:t>5％</w:t>
      </w:r>
    </w:p>
    <w:p>
      <w:pPr>
        <w:ind w:firstLine="422"/>
        <w:rPr>
          <w:rFonts w:hint="eastAsia"/>
          <w:szCs w:val="21"/>
        </w:rPr>
      </w:pPr>
      <w:bookmarkStart w:id="70" w:name="_Toc85420050"/>
      <w:bookmarkStart w:id="71" w:name="_Toc85419344"/>
      <w:bookmarkStart w:id="72" w:name="_Toc86331488"/>
      <w:r>
        <w:rPr>
          <w:rFonts w:hint="eastAsia"/>
          <w:b/>
          <w:szCs w:val="21"/>
        </w:rPr>
        <w:t>抗电磁干扰：</w:t>
      </w:r>
      <w:r>
        <w:rPr>
          <w:szCs w:val="21"/>
        </w:rPr>
        <w:t>140βμV/m</w:t>
      </w:r>
      <w:bookmarkEnd w:id="70"/>
      <w:bookmarkEnd w:id="71"/>
      <w:bookmarkEnd w:id="72"/>
      <w:r>
        <w:rPr>
          <w:rFonts w:hint="eastAsia"/>
          <w:szCs w:val="21"/>
        </w:rPr>
        <w:t>（频率范围在</w:t>
      </w:r>
      <w:r>
        <w:rPr>
          <w:szCs w:val="21"/>
        </w:rPr>
        <w:t>0.01~10000MHz</w:t>
      </w:r>
      <w:r>
        <w:rPr>
          <w:rFonts w:hint="eastAsia"/>
          <w:szCs w:val="21"/>
        </w:rPr>
        <w:t>内）</w:t>
      </w:r>
    </w:p>
    <w:p>
      <w:pPr>
        <w:pStyle w:val="3"/>
        <w:rPr>
          <w:rFonts w:hint="eastAsia"/>
        </w:rPr>
      </w:pPr>
      <w:bookmarkStart w:id="73" w:name="_Toc16137"/>
      <w:r>
        <w:rPr>
          <w:rFonts w:hint="eastAsia"/>
          <w:lang w:eastAsia="zh-CN"/>
        </w:rPr>
        <w:t>供货范围</w:t>
      </w:r>
      <w:bookmarkEnd w:id="73"/>
    </w:p>
    <w:p>
      <w:pPr>
        <w:tabs>
          <w:tab w:val="left" w:pos="1440"/>
          <w:tab w:val="left" w:pos="3960"/>
        </w:tabs>
        <w:adjustRightInd w:val="0"/>
        <w:snapToGrid w:val="0"/>
        <w:spacing w:line="480" w:lineRule="atLeast"/>
        <w:ind w:firstLine="480" w:firstLineChars="200"/>
        <w:rPr>
          <w:rFonts w:hint="eastAsia" w:eastAsia="宋体"/>
          <w:color w:val="auto"/>
          <w:sz w:val="24"/>
          <w:highlight w:val="none"/>
          <w:lang w:eastAsia="zh-CN"/>
        </w:rPr>
      </w:pPr>
      <w:r>
        <w:rPr>
          <w:rFonts w:hAnsi="宋体"/>
          <w:color w:val="auto"/>
          <w:sz w:val="24"/>
          <w:highlight w:val="none"/>
        </w:rPr>
        <w:t>中标方应确保供货范围完整，以能满足用户</w:t>
      </w:r>
      <w:r>
        <w:rPr>
          <w:rFonts w:hint="eastAsia" w:hAnsi="宋体"/>
          <w:color w:val="auto"/>
          <w:sz w:val="24"/>
          <w:highlight w:val="none"/>
          <w:lang w:eastAsia="zh-CN"/>
        </w:rPr>
        <w:t>使用</w:t>
      </w:r>
      <w:r>
        <w:rPr>
          <w:rFonts w:hAnsi="宋体"/>
          <w:color w:val="auto"/>
          <w:sz w:val="24"/>
          <w:highlight w:val="none"/>
        </w:rPr>
        <w:t>要求为原则</w:t>
      </w:r>
      <w:r>
        <w:rPr>
          <w:color w:val="auto"/>
          <w:sz w:val="24"/>
          <w:highlight w:val="none"/>
        </w:rPr>
        <w:t xml:space="preserve">, </w:t>
      </w:r>
      <w:r>
        <w:rPr>
          <w:rFonts w:hAnsi="宋体"/>
          <w:color w:val="auto"/>
          <w:sz w:val="24"/>
          <w:highlight w:val="none"/>
        </w:rPr>
        <w:t>在技术规范中涉及的供货要求也作为本供货范围的补充，若在安装、调试、运行中发现缺项</w:t>
      </w:r>
      <w:r>
        <w:rPr>
          <w:color w:val="auto"/>
          <w:sz w:val="24"/>
          <w:highlight w:val="none"/>
        </w:rPr>
        <w:t>(</w:t>
      </w:r>
      <w:r>
        <w:rPr>
          <w:rFonts w:hAnsi="宋体"/>
          <w:color w:val="auto"/>
          <w:sz w:val="24"/>
          <w:highlight w:val="none"/>
        </w:rPr>
        <w:t>属中标方供货范围</w:t>
      </w:r>
      <w:r>
        <w:rPr>
          <w:color w:val="auto"/>
          <w:sz w:val="24"/>
          <w:highlight w:val="none"/>
        </w:rPr>
        <w:t>)</w:t>
      </w:r>
      <w:r>
        <w:rPr>
          <w:rFonts w:hAnsi="宋体"/>
          <w:color w:val="auto"/>
          <w:sz w:val="24"/>
          <w:highlight w:val="none"/>
        </w:rPr>
        <w:t>由中标方补充。</w:t>
      </w:r>
      <w:r>
        <w:rPr>
          <w:rFonts w:hint="eastAsia" w:hAnsi="宋体"/>
          <w:color w:val="auto"/>
          <w:sz w:val="24"/>
          <w:highlight w:val="none"/>
          <w:lang w:eastAsia="zh-CN"/>
        </w:rPr>
        <w:t>在安装调试中使用到的网线、电缆等配线由投标方提供。</w:t>
      </w:r>
    </w:p>
    <w:p>
      <w:pPr>
        <w:tabs>
          <w:tab w:val="left" w:pos="1440"/>
          <w:tab w:val="left" w:pos="3960"/>
        </w:tabs>
        <w:adjustRightInd w:val="0"/>
        <w:snapToGrid w:val="0"/>
        <w:spacing w:line="480" w:lineRule="atLeast"/>
        <w:jc w:val="center"/>
        <w:rPr>
          <w:color w:val="auto"/>
          <w:sz w:val="24"/>
          <w:highlight w:val="none"/>
        </w:rPr>
      </w:pPr>
      <w:r>
        <w:rPr>
          <w:rFonts w:hint="eastAsia" w:hAnsi="宋体"/>
          <w:color w:val="auto"/>
          <w:sz w:val="24"/>
          <w:highlight w:val="none"/>
        </w:rPr>
        <w:t>表</w:t>
      </w:r>
      <w:r>
        <w:rPr>
          <w:rFonts w:hint="eastAsia" w:hAnsi="宋体"/>
          <w:color w:val="auto"/>
          <w:sz w:val="24"/>
          <w:highlight w:val="none"/>
          <w:lang w:val="en-US" w:eastAsia="zh-CN"/>
        </w:rPr>
        <w:t>5</w:t>
      </w:r>
      <w:r>
        <w:rPr>
          <w:rFonts w:hAnsi="宋体"/>
          <w:color w:val="auto"/>
          <w:sz w:val="24"/>
          <w:highlight w:val="none"/>
        </w:rPr>
        <w:t>-</w:t>
      </w:r>
      <w:r>
        <w:rPr>
          <w:rFonts w:hint="eastAsia" w:hAnsi="宋体"/>
          <w:color w:val="auto"/>
          <w:sz w:val="24"/>
          <w:highlight w:val="none"/>
          <w:lang w:val="en-US" w:eastAsia="zh-CN"/>
        </w:rPr>
        <w:t>1</w:t>
      </w:r>
      <w:r>
        <w:rPr>
          <w:rFonts w:hAnsi="宋体"/>
          <w:color w:val="auto"/>
          <w:sz w:val="24"/>
          <w:highlight w:val="none"/>
        </w:rPr>
        <w:t xml:space="preserve"> </w:t>
      </w:r>
      <w:r>
        <w:rPr>
          <w:rFonts w:hint="eastAsia" w:hAnsi="宋体"/>
          <w:color w:val="auto"/>
          <w:sz w:val="24"/>
          <w:highlight w:val="none"/>
        </w:rPr>
        <w:t>主要设备材料清单</w:t>
      </w:r>
    </w:p>
    <w:tbl>
      <w:tblPr>
        <w:tblStyle w:val="11"/>
        <w:tblW w:w="9640" w:type="dxa"/>
        <w:tblInd w:w="93" w:type="dxa"/>
        <w:tblLayout w:type="fixed"/>
        <w:tblCellMar>
          <w:top w:w="0" w:type="dxa"/>
          <w:left w:w="108" w:type="dxa"/>
          <w:bottom w:w="0" w:type="dxa"/>
          <w:right w:w="108" w:type="dxa"/>
        </w:tblCellMar>
      </w:tblPr>
      <w:tblGrid>
        <w:gridCol w:w="1080"/>
        <w:gridCol w:w="2380"/>
        <w:gridCol w:w="2380"/>
        <w:gridCol w:w="1080"/>
        <w:gridCol w:w="1080"/>
        <w:gridCol w:w="1640"/>
      </w:tblGrid>
      <w:tr>
        <w:tblPrEx>
          <w:tblCellMar>
            <w:top w:w="0" w:type="dxa"/>
            <w:left w:w="108" w:type="dxa"/>
            <w:bottom w:w="0" w:type="dxa"/>
            <w:right w:w="108" w:type="dxa"/>
          </w:tblCellMar>
        </w:tblPrEx>
        <w:trPr>
          <w:trHeight w:val="270" w:hRule="atLeast"/>
        </w:trPr>
        <w:tc>
          <w:tcPr>
            <w:tcW w:w="1080" w:type="dxa"/>
            <w:tcBorders>
              <w:top w:val="single" w:color="auto" w:sz="4" w:space="0"/>
              <w:left w:val="single" w:color="auto" w:sz="4" w:space="0"/>
              <w:bottom w:val="single" w:color="auto" w:sz="4" w:space="0"/>
              <w:right w:val="single" w:color="auto" w:sz="4" w:space="0"/>
            </w:tcBorders>
            <w:shd w:val="clear" w:color="000000" w:fill="808080"/>
            <w:noWrap w:val="0"/>
            <w:vAlign w:val="center"/>
          </w:tcPr>
          <w:p>
            <w:pPr>
              <w:widowControl/>
              <w:spacing w:before="120" w:after="120"/>
              <w:ind w:left="0" w:leftChars="0" w:firstLine="0" w:firstLineChars="0"/>
              <w:rPr>
                <w:rFonts w:ascii="宋体" w:hAnsi="宋体" w:cs="宋体"/>
                <w:color w:val="auto"/>
                <w:kern w:val="0"/>
                <w:sz w:val="22"/>
                <w:szCs w:val="22"/>
                <w:highlight w:val="none"/>
              </w:rPr>
            </w:pPr>
            <w:r>
              <w:rPr>
                <w:rFonts w:hint="eastAsia" w:ascii="宋体" w:hAnsi="宋体" w:cs="宋体"/>
                <w:color w:val="auto"/>
                <w:kern w:val="0"/>
                <w:sz w:val="22"/>
                <w:szCs w:val="22"/>
                <w:highlight w:val="none"/>
              </w:rPr>
              <w:t>序号</w:t>
            </w:r>
          </w:p>
        </w:tc>
        <w:tc>
          <w:tcPr>
            <w:tcW w:w="2380" w:type="dxa"/>
            <w:tcBorders>
              <w:top w:val="single" w:color="auto" w:sz="4" w:space="0"/>
              <w:left w:val="nil"/>
              <w:bottom w:val="single" w:color="auto" w:sz="4" w:space="0"/>
              <w:right w:val="single" w:color="auto" w:sz="4" w:space="0"/>
            </w:tcBorders>
            <w:shd w:val="clear" w:color="000000" w:fill="808080"/>
            <w:noWrap w:val="0"/>
            <w:vAlign w:val="center"/>
          </w:tcPr>
          <w:p>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设备名称</w:t>
            </w:r>
          </w:p>
        </w:tc>
        <w:tc>
          <w:tcPr>
            <w:tcW w:w="2380" w:type="dxa"/>
            <w:tcBorders>
              <w:top w:val="single" w:color="auto" w:sz="4" w:space="0"/>
              <w:left w:val="nil"/>
              <w:bottom w:val="single" w:color="auto" w:sz="4" w:space="0"/>
              <w:right w:val="single" w:color="auto" w:sz="4" w:space="0"/>
            </w:tcBorders>
            <w:shd w:val="clear" w:color="000000" w:fill="808080"/>
            <w:noWrap w:val="0"/>
            <w:vAlign w:val="center"/>
          </w:tcPr>
          <w:p>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规格型号</w:t>
            </w:r>
          </w:p>
        </w:tc>
        <w:tc>
          <w:tcPr>
            <w:tcW w:w="1080" w:type="dxa"/>
            <w:tcBorders>
              <w:top w:val="single" w:color="auto" w:sz="4" w:space="0"/>
              <w:left w:val="nil"/>
              <w:bottom w:val="single" w:color="auto" w:sz="4" w:space="0"/>
              <w:right w:val="single" w:color="auto" w:sz="4" w:space="0"/>
            </w:tcBorders>
            <w:shd w:val="clear" w:color="000000" w:fill="808080"/>
            <w:noWrap w:val="0"/>
            <w:vAlign w:val="center"/>
          </w:tcPr>
          <w:p>
            <w:pPr>
              <w:widowControl/>
              <w:ind w:left="0" w:leftChars="0" w:firstLine="0" w:firstLineChars="0"/>
              <w:jc w:val="both"/>
              <w:rPr>
                <w:rFonts w:ascii="宋体" w:hAnsi="宋体" w:cs="宋体"/>
                <w:color w:val="auto"/>
                <w:kern w:val="0"/>
                <w:sz w:val="22"/>
                <w:szCs w:val="22"/>
                <w:highlight w:val="none"/>
              </w:rPr>
            </w:pPr>
            <w:r>
              <w:rPr>
                <w:rFonts w:hint="eastAsia" w:ascii="宋体" w:hAnsi="宋体" w:cs="宋体"/>
                <w:color w:val="auto"/>
                <w:kern w:val="0"/>
                <w:sz w:val="22"/>
                <w:szCs w:val="22"/>
                <w:highlight w:val="none"/>
              </w:rPr>
              <w:t>单位</w:t>
            </w:r>
          </w:p>
        </w:tc>
        <w:tc>
          <w:tcPr>
            <w:tcW w:w="1080" w:type="dxa"/>
            <w:tcBorders>
              <w:top w:val="single" w:color="auto" w:sz="4" w:space="0"/>
              <w:left w:val="nil"/>
              <w:bottom w:val="single" w:color="auto" w:sz="4" w:space="0"/>
              <w:right w:val="single" w:color="auto" w:sz="4" w:space="0"/>
            </w:tcBorders>
            <w:shd w:val="clear" w:color="000000" w:fill="808080"/>
            <w:noWrap w:val="0"/>
            <w:vAlign w:val="center"/>
          </w:tcPr>
          <w:p>
            <w:pPr>
              <w:widowControl/>
              <w:ind w:left="0" w:leftChars="0" w:firstLine="0" w:firstLineChars="0"/>
              <w:jc w:val="both"/>
              <w:rPr>
                <w:rFonts w:ascii="宋体" w:hAnsi="宋体" w:cs="宋体"/>
                <w:color w:val="auto"/>
                <w:kern w:val="0"/>
                <w:sz w:val="22"/>
                <w:szCs w:val="22"/>
                <w:highlight w:val="none"/>
              </w:rPr>
            </w:pPr>
            <w:r>
              <w:rPr>
                <w:rFonts w:hint="eastAsia" w:ascii="宋体" w:hAnsi="宋体" w:cs="宋体"/>
                <w:color w:val="auto"/>
                <w:kern w:val="0"/>
                <w:sz w:val="22"/>
                <w:szCs w:val="22"/>
                <w:highlight w:val="none"/>
              </w:rPr>
              <w:t>数量</w:t>
            </w:r>
          </w:p>
        </w:tc>
        <w:tc>
          <w:tcPr>
            <w:tcW w:w="1640" w:type="dxa"/>
            <w:tcBorders>
              <w:top w:val="single" w:color="auto" w:sz="4" w:space="0"/>
              <w:left w:val="nil"/>
              <w:bottom w:val="single" w:color="auto" w:sz="4" w:space="0"/>
              <w:right w:val="single" w:color="auto" w:sz="4" w:space="0"/>
            </w:tcBorders>
            <w:shd w:val="clear" w:color="000000" w:fill="808080"/>
            <w:noWrap w:val="0"/>
            <w:vAlign w:val="center"/>
          </w:tcPr>
          <w:p>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备注</w:t>
            </w:r>
          </w:p>
        </w:tc>
      </w:tr>
      <w:tr>
        <w:tblPrEx>
          <w:tblCellMar>
            <w:top w:w="0" w:type="dxa"/>
            <w:left w:w="108" w:type="dxa"/>
            <w:bottom w:w="0" w:type="dxa"/>
            <w:right w:w="108" w:type="dxa"/>
          </w:tblCellMar>
        </w:tblPrEx>
        <w:trPr>
          <w:trHeight w:val="270" w:hRule="atLeast"/>
        </w:trPr>
        <w:tc>
          <w:tcPr>
            <w:tcW w:w="1080" w:type="dxa"/>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1</w:t>
            </w:r>
          </w:p>
        </w:tc>
        <w:tc>
          <w:tcPr>
            <w:tcW w:w="238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color w:val="auto"/>
                <w:kern w:val="0"/>
                <w:sz w:val="22"/>
                <w:szCs w:val="22"/>
                <w:highlight w:val="none"/>
                <w:lang w:eastAsia="zh-CN"/>
              </w:rPr>
            </w:pPr>
            <w:r>
              <w:rPr>
                <w:rFonts w:hint="eastAsia" w:ascii="宋体" w:hAnsi="宋体" w:cs="宋体"/>
                <w:color w:val="auto"/>
                <w:kern w:val="0"/>
                <w:sz w:val="22"/>
                <w:szCs w:val="22"/>
                <w:highlight w:val="none"/>
                <w:lang w:eastAsia="zh-CN"/>
              </w:rPr>
              <w:t>电源转换开关</w:t>
            </w:r>
          </w:p>
        </w:tc>
        <w:tc>
          <w:tcPr>
            <w:tcW w:w="2380" w:type="dxa"/>
            <w:tcBorders>
              <w:top w:val="nil"/>
              <w:left w:val="nil"/>
              <w:bottom w:val="single" w:color="auto" w:sz="4" w:space="0"/>
              <w:right w:val="single" w:color="auto" w:sz="4" w:space="0"/>
            </w:tcBorders>
            <w:noWrap w:val="0"/>
            <w:vAlign w:val="center"/>
          </w:tcPr>
          <w:p>
            <w:pPr>
              <w:widowControl/>
              <w:ind w:left="0" w:leftChars="0" w:firstLine="0" w:firstLineChars="0"/>
              <w:jc w:val="both"/>
              <w:rPr>
                <w:rFonts w:hint="default" w:ascii="宋体" w:hAnsi="宋体" w:eastAsia="宋体" w:cs="宋体"/>
                <w:color w:val="auto"/>
                <w:kern w:val="0"/>
                <w:sz w:val="22"/>
                <w:szCs w:val="22"/>
                <w:highlight w:val="none"/>
                <w:lang w:val="en-US" w:eastAsia="zh-CN"/>
              </w:rPr>
            </w:pPr>
            <w:r>
              <w:rPr>
                <w:rFonts w:hint="eastAsia" w:ascii="Times New Roman" w:hAnsi="Times New Roman"/>
                <w:szCs w:val="21"/>
                <w:lang w:val="en-US" w:eastAsia="zh-CN"/>
              </w:rPr>
              <w:t xml:space="preserve"> 32A  STS转换开关 </w:t>
            </w:r>
          </w:p>
        </w:tc>
        <w:tc>
          <w:tcPr>
            <w:tcW w:w="1080" w:type="dxa"/>
            <w:tcBorders>
              <w:top w:val="nil"/>
              <w:left w:val="nil"/>
              <w:bottom w:val="single" w:color="auto" w:sz="4" w:space="0"/>
              <w:right w:val="single" w:color="auto" w:sz="4" w:space="0"/>
            </w:tcBorders>
            <w:noWrap w:val="0"/>
            <w:vAlign w:val="center"/>
          </w:tcPr>
          <w:p>
            <w:pPr>
              <w:widowControl/>
              <w:jc w:val="center"/>
              <w:rPr>
                <w:rFonts w:hint="eastAsia" w:ascii="宋体" w:hAnsi="宋体" w:eastAsia="宋体" w:cs="宋体"/>
                <w:color w:val="auto"/>
                <w:kern w:val="0"/>
                <w:sz w:val="22"/>
                <w:szCs w:val="22"/>
                <w:highlight w:val="none"/>
                <w:lang w:eastAsia="zh-CN"/>
              </w:rPr>
            </w:pPr>
            <w:r>
              <w:rPr>
                <w:rFonts w:hint="eastAsia" w:ascii="宋体" w:hAnsi="宋体" w:cs="宋体"/>
                <w:color w:val="auto"/>
                <w:kern w:val="0"/>
                <w:sz w:val="22"/>
                <w:szCs w:val="22"/>
                <w:highlight w:val="none"/>
                <w:lang w:eastAsia="zh-CN"/>
              </w:rPr>
              <w:t>个</w:t>
            </w:r>
            <w:bookmarkStart w:id="298" w:name="_GoBack"/>
            <w:bookmarkEnd w:id="298"/>
          </w:p>
        </w:tc>
        <w:tc>
          <w:tcPr>
            <w:tcW w:w="1080" w:type="dxa"/>
            <w:tcBorders>
              <w:top w:val="nil"/>
              <w:left w:val="nil"/>
              <w:bottom w:val="single" w:color="auto" w:sz="4" w:space="0"/>
              <w:right w:val="single" w:color="auto" w:sz="4" w:space="0"/>
            </w:tcBorders>
            <w:noWrap w:val="0"/>
            <w:vAlign w:val="center"/>
          </w:tcPr>
          <w:p>
            <w:pPr>
              <w:widowControl/>
              <w:jc w:val="center"/>
              <w:rPr>
                <w:rFonts w:hint="default"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6</w:t>
            </w:r>
          </w:p>
        </w:tc>
        <w:tc>
          <w:tcPr>
            <w:tcW w:w="1640" w:type="dxa"/>
            <w:tcBorders>
              <w:top w:val="nil"/>
              <w:left w:val="nil"/>
              <w:bottom w:val="single" w:color="auto" w:sz="4" w:space="0"/>
              <w:right w:val="single" w:color="auto" w:sz="4" w:space="0"/>
            </w:tcBorders>
            <w:noWrap w:val="0"/>
            <w:vAlign w:val="center"/>
          </w:tcPr>
          <w:p>
            <w:pPr>
              <w:widowControl/>
              <w:jc w:val="center"/>
              <w:rPr>
                <w:rFonts w:hint="default" w:ascii="宋体" w:hAnsi="宋体" w:cs="宋体"/>
                <w:color w:val="auto"/>
                <w:kern w:val="0"/>
                <w:sz w:val="22"/>
                <w:szCs w:val="22"/>
                <w:highlight w:val="none"/>
                <w:lang w:val="en-US"/>
              </w:rPr>
            </w:pPr>
          </w:p>
        </w:tc>
      </w:tr>
    </w:tbl>
    <w:p>
      <w:pPr>
        <w:ind w:firstLine="422"/>
        <w:rPr>
          <w:rFonts w:hint="eastAsia"/>
          <w:szCs w:val="21"/>
        </w:rPr>
      </w:pPr>
      <w:r>
        <w:rPr>
          <w:rFonts w:hint="eastAsia"/>
          <w:color w:val="auto"/>
          <w:sz w:val="24"/>
          <w:highlight w:val="none"/>
        </w:rPr>
        <w:t xml:space="preserve">    中标方应提供投标设备的各种技术文件和必要的设备手册、说明书</w:t>
      </w:r>
      <w:r>
        <w:rPr>
          <w:color w:val="auto"/>
          <w:sz w:val="24"/>
          <w:highlight w:val="none"/>
        </w:rPr>
        <w:t>(</w:t>
      </w:r>
      <w:r>
        <w:rPr>
          <w:rFonts w:hint="eastAsia"/>
          <w:color w:val="auto"/>
          <w:sz w:val="24"/>
          <w:highlight w:val="none"/>
        </w:rPr>
        <w:t>中文</w:t>
      </w:r>
      <w:r>
        <w:rPr>
          <w:color w:val="auto"/>
          <w:sz w:val="24"/>
          <w:highlight w:val="none"/>
        </w:rPr>
        <w:t>)以及符合南网要求的“一书三册”</w:t>
      </w:r>
      <w:r>
        <w:rPr>
          <w:rFonts w:hint="eastAsia"/>
          <w:color w:val="auto"/>
          <w:sz w:val="24"/>
          <w:highlight w:val="none"/>
        </w:rPr>
        <w:t>，随投标文件提供电子版</w:t>
      </w:r>
      <w:r>
        <w:rPr>
          <w:color w:val="auto"/>
          <w:sz w:val="24"/>
          <w:highlight w:val="none"/>
        </w:rPr>
        <w:t>(</w:t>
      </w:r>
      <w:r>
        <w:rPr>
          <w:rFonts w:hint="eastAsia"/>
          <w:color w:val="auto"/>
          <w:sz w:val="24"/>
          <w:highlight w:val="none"/>
        </w:rPr>
        <w:t>光盘</w:t>
      </w:r>
      <w:r>
        <w:rPr>
          <w:color w:val="auto"/>
          <w:sz w:val="24"/>
          <w:highlight w:val="none"/>
        </w:rPr>
        <w:t>2</w:t>
      </w:r>
      <w:r>
        <w:rPr>
          <w:rFonts w:hint="eastAsia"/>
          <w:color w:val="auto"/>
          <w:sz w:val="24"/>
          <w:highlight w:val="none"/>
        </w:rPr>
        <w:t>份</w:t>
      </w:r>
      <w:r>
        <w:rPr>
          <w:color w:val="auto"/>
          <w:sz w:val="24"/>
          <w:highlight w:val="none"/>
        </w:rPr>
        <w:t>)</w:t>
      </w:r>
      <w:r>
        <w:rPr>
          <w:rFonts w:hint="eastAsia"/>
          <w:color w:val="auto"/>
          <w:sz w:val="24"/>
          <w:highlight w:val="none"/>
        </w:rPr>
        <w:t>。</w:t>
      </w:r>
    </w:p>
    <w:p>
      <w:pPr>
        <w:pStyle w:val="3"/>
        <w:rPr>
          <w:rFonts w:hint="eastAsia"/>
        </w:rPr>
      </w:pPr>
      <w:bookmarkStart w:id="74" w:name="_Toc4926"/>
      <w:bookmarkStart w:id="75" w:name="_Toc31067"/>
      <w:bookmarkStart w:id="76" w:name="_Toc22134"/>
      <w:bookmarkStart w:id="77" w:name="_Toc17009"/>
      <w:r>
        <w:rPr>
          <w:rFonts w:hint="eastAsia"/>
        </w:rPr>
        <w:t>技术要求</w:t>
      </w:r>
      <w:bookmarkEnd w:id="59"/>
      <w:bookmarkEnd w:id="60"/>
      <w:bookmarkEnd w:id="74"/>
      <w:bookmarkEnd w:id="75"/>
      <w:bookmarkEnd w:id="76"/>
      <w:bookmarkEnd w:id="77"/>
    </w:p>
    <w:p>
      <w:pPr>
        <w:pStyle w:val="4"/>
        <w:ind w:left="0" w:firstLine="0"/>
        <w:rPr>
          <w:rFonts w:hint="eastAsia"/>
        </w:rPr>
      </w:pPr>
      <w:bookmarkStart w:id="78" w:name="_Toc992"/>
      <w:bookmarkStart w:id="79" w:name="_Toc10936"/>
      <w:bookmarkStart w:id="80" w:name="_Toc13056"/>
      <w:bookmarkStart w:id="81" w:name="_Toc30287"/>
      <w:r>
        <w:rPr>
          <w:rFonts w:hint="eastAsia"/>
          <w:lang w:eastAsia="zh-CN"/>
        </w:rPr>
        <w:t>电源转换开关</w:t>
      </w:r>
      <w:r>
        <w:rPr>
          <w:rFonts w:hint="eastAsia"/>
        </w:rPr>
        <w:t>技术要求</w:t>
      </w:r>
      <w:bookmarkEnd w:id="78"/>
      <w:bookmarkEnd w:id="79"/>
      <w:bookmarkEnd w:id="80"/>
      <w:bookmarkEnd w:id="81"/>
    </w:p>
    <w:p>
      <w:pPr>
        <w:pStyle w:val="5"/>
        <w:ind w:left="987" w:leftChars="0" w:firstLineChars="0"/>
        <w:rPr>
          <w:rFonts w:hint="eastAsia"/>
        </w:rPr>
      </w:pPr>
      <w:r>
        <w:rPr>
          <w:rFonts w:hint="eastAsia"/>
        </w:rPr>
        <w:t xml:space="preserve"> </w:t>
      </w:r>
      <w:bookmarkStart w:id="82" w:name="_Toc5859"/>
      <w:bookmarkStart w:id="83" w:name="_Toc28114"/>
      <w:bookmarkStart w:id="84" w:name="_Toc10126"/>
      <w:bookmarkStart w:id="85" w:name="_Toc19132"/>
      <w:bookmarkStart w:id="86" w:name="_Toc6294"/>
      <w:r>
        <w:rPr>
          <w:rFonts w:hint="eastAsia" w:ascii="Times New Roman" w:hAnsi="Times New Roman"/>
          <w:szCs w:val="21"/>
          <w:lang w:val="en-US" w:eastAsia="zh-CN"/>
        </w:rPr>
        <w:t>32A  STS转换开关</w:t>
      </w:r>
      <w:r>
        <w:rPr>
          <w:rFonts w:hint="eastAsia"/>
        </w:rPr>
        <w:t>参数要求</w:t>
      </w:r>
      <w:bookmarkEnd w:id="82"/>
      <w:bookmarkEnd w:id="83"/>
      <w:bookmarkEnd w:id="84"/>
      <w:bookmarkEnd w:id="85"/>
      <w:bookmarkEnd w:id="86"/>
    </w:p>
    <w:p>
      <w:pPr>
        <w:rPr>
          <w:rFonts w:hint="eastAsia"/>
          <w:lang w:val="en-US" w:eastAsia="zh-CN"/>
        </w:rPr>
      </w:pPr>
      <w:r>
        <w:rPr>
          <w:rFonts w:hint="eastAsia"/>
          <w:lang w:eastAsia="zh-CN"/>
        </w:rPr>
        <w:t>工作温度：</w:t>
      </w:r>
      <w:r>
        <w:rPr>
          <w:rFonts w:hint="eastAsia"/>
          <w:lang w:val="en-US" w:eastAsia="zh-CN"/>
        </w:rPr>
        <w:t>0~40℃</w:t>
      </w:r>
    </w:p>
    <w:p>
      <w:pPr>
        <w:pStyle w:val="2"/>
        <w:rPr>
          <w:rFonts w:hint="eastAsia"/>
          <w:lang w:val="en-US" w:eastAsia="zh-CN"/>
        </w:rPr>
      </w:pPr>
      <w:r>
        <w:rPr>
          <w:rFonts w:hint="eastAsia"/>
          <w:lang w:val="en-US" w:eastAsia="zh-CN"/>
        </w:rPr>
        <w:t>存储温度：-40~70℃</w:t>
      </w:r>
    </w:p>
    <w:p>
      <w:pPr>
        <w:pStyle w:val="2"/>
        <w:rPr>
          <w:rFonts w:hint="eastAsia"/>
          <w:lang w:val="en-US" w:eastAsia="zh-CN"/>
        </w:rPr>
      </w:pPr>
      <w:r>
        <w:rPr>
          <w:rFonts w:hint="eastAsia"/>
          <w:lang w:val="en-US" w:eastAsia="zh-CN"/>
        </w:rPr>
        <w:t>相对湿度：5~95%,无冷凝</w:t>
      </w:r>
    </w:p>
    <w:p>
      <w:pPr>
        <w:pStyle w:val="2"/>
        <w:rPr>
          <w:rFonts w:hint="eastAsia"/>
          <w:lang w:val="en-US" w:eastAsia="zh-CN"/>
        </w:rPr>
      </w:pPr>
      <w:r>
        <w:rPr>
          <w:rFonts w:hint="eastAsia"/>
          <w:lang w:val="en-US" w:eastAsia="zh-CN"/>
        </w:rPr>
        <w:t>海拔高度：3000m</w:t>
      </w:r>
    </w:p>
    <w:p>
      <w:pPr>
        <w:pStyle w:val="2"/>
        <w:rPr>
          <w:rFonts w:hint="default"/>
          <w:lang w:val="en-US" w:eastAsia="zh-CN"/>
        </w:rPr>
      </w:pPr>
      <w:r>
        <w:rPr>
          <w:rFonts w:hint="eastAsia"/>
          <w:lang w:val="en-US" w:eastAsia="zh-CN"/>
        </w:rPr>
        <w:t>外形尺寸：可安装于24寸标准机柜</w:t>
      </w:r>
    </w:p>
    <w:p>
      <w:pPr>
        <w:rPr>
          <w:rFonts w:hint="eastAsia"/>
        </w:rPr>
      </w:pPr>
    </w:p>
    <w:p>
      <w:pPr>
        <w:ind w:firstLine="420"/>
        <w:rPr>
          <w:rFonts w:hint="eastAsia"/>
        </w:rPr>
      </w:pPr>
      <w:r>
        <w:rPr>
          <w:rFonts w:hint="eastAsia"/>
        </w:rPr>
        <w:t>技术参数如下表：</w:t>
      </w:r>
    </w:p>
    <w:tbl>
      <w:tblPr>
        <w:tblStyle w:val="11"/>
        <w:tblW w:w="7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
        <w:gridCol w:w="1772"/>
        <w:gridCol w:w="2802"/>
        <w:gridCol w:w="28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22" w:type="dxa"/>
            <w:gridSpan w:val="2"/>
            <w:noWrap w:val="0"/>
            <w:vAlign w:val="center"/>
          </w:tcPr>
          <w:p>
            <w:pPr>
              <w:spacing w:line="240" w:lineRule="auto"/>
              <w:ind w:firstLine="33" w:firstLineChars="16"/>
              <w:jc w:val="center"/>
              <w:rPr>
                <w:rFonts w:hint="eastAsia" w:ascii="Times New Roman" w:hAnsi="Times New Roman"/>
                <w:szCs w:val="21"/>
                <w:lang w:eastAsia="zh-CN"/>
              </w:rPr>
            </w:pPr>
            <w:r>
              <w:rPr>
                <w:rFonts w:hint="eastAsia" w:ascii="Times New Roman" w:hAnsi="Times New Roman"/>
                <w:szCs w:val="21"/>
                <w:lang w:eastAsia="zh-CN"/>
              </w:rPr>
              <w:t>项目</w:t>
            </w:r>
          </w:p>
        </w:tc>
        <w:tc>
          <w:tcPr>
            <w:tcW w:w="5605" w:type="dxa"/>
            <w:gridSpan w:val="2"/>
            <w:noWrap w:val="0"/>
            <w:vAlign w:val="center"/>
          </w:tcPr>
          <w:p>
            <w:pPr>
              <w:spacing w:line="240" w:lineRule="auto"/>
              <w:ind w:firstLine="33" w:firstLineChars="16"/>
              <w:jc w:val="center"/>
              <w:rPr>
                <w:rFonts w:ascii="Times New Roman" w:hAnsi="Times New Roman"/>
                <w:szCs w:val="21"/>
              </w:rPr>
            </w:pPr>
            <w:r>
              <w:rPr>
                <w:rFonts w:hint="eastAsia" w:ascii="Times New Roman" w:hAnsi="Times New Roman"/>
                <w:szCs w:val="21"/>
                <w:lang w:val="en-US" w:eastAsia="zh-CN"/>
              </w:rPr>
              <w:t>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dxa"/>
            <w:vMerge w:val="restart"/>
            <w:noWrap w:val="0"/>
            <w:vAlign w:val="center"/>
          </w:tcPr>
          <w:p>
            <w:pPr>
              <w:spacing w:line="240" w:lineRule="auto"/>
              <w:ind w:firstLine="33" w:firstLineChars="16"/>
              <w:jc w:val="center"/>
              <w:rPr>
                <w:rFonts w:hint="eastAsia" w:ascii="Times New Roman" w:hAnsi="Times New Roman"/>
                <w:szCs w:val="21"/>
                <w:lang w:eastAsia="zh-CN"/>
              </w:rPr>
            </w:pPr>
            <w:r>
              <w:rPr>
                <w:rFonts w:hint="eastAsia" w:ascii="Times New Roman" w:hAnsi="Times New Roman"/>
                <w:szCs w:val="21"/>
                <w:lang w:eastAsia="zh-CN"/>
              </w:rPr>
              <w:t>输入</w:t>
            </w:r>
          </w:p>
          <w:p>
            <w:pPr>
              <w:spacing w:line="240" w:lineRule="auto"/>
              <w:ind w:firstLine="33" w:firstLineChars="16"/>
              <w:jc w:val="center"/>
              <w:rPr>
                <w:rFonts w:ascii="Times New Roman" w:hAnsi="Times New Roman"/>
                <w:szCs w:val="21"/>
              </w:rPr>
            </w:pPr>
          </w:p>
        </w:tc>
        <w:tc>
          <w:tcPr>
            <w:tcW w:w="1772" w:type="dxa"/>
            <w:noWrap w:val="0"/>
            <w:vAlign w:val="center"/>
          </w:tcPr>
          <w:p>
            <w:pPr>
              <w:spacing w:line="240" w:lineRule="auto"/>
              <w:ind w:firstLine="33" w:firstLineChars="16"/>
              <w:jc w:val="center"/>
              <w:rPr>
                <w:rFonts w:hint="eastAsia" w:ascii="Times New Roman" w:hAnsi="Times New Roman"/>
                <w:szCs w:val="21"/>
                <w:lang w:eastAsia="zh-CN"/>
              </w:rPr>
            </w:pPr>
            <w:r>
              <w:rPr>
                <w:rFonts w:hint="eastAsia" w:ascii="Times New Roman" w:hAnsi="Times New Roman"/>
                <w:szCs w:val="21"/>
                <w:lang w:eastAsia="zh-CN"/>
              </w:rPr>
              <w:t>输入源</w:t>
            </w:r>
          </w:p>
        </w:tc>
        <w:tc>
          <w:tcPr>
            <w:tcW w:w="5605" w:type="dxa"/>
            <w:gridSpan w:val="2"/>
            <w:noWrap w:val="0"/>
            <w:vAlign w:val="center"/>
          </w:tcPr>
          <w:p>
            <w:pPr>
              <w:spacing w:line="240" w:lineRule="auto"/>
              <w:ind w:firstLine="33" w:firstLineChars="16"/>
              <w:jc w:val="center"/>
              <w:rPr>
                <w:rFonts w:hint="eastAsia" w:ascii="Times New Roman" w:hAnsi="Times New Roman" w:eastAsia="宋体"/>
                <w:szCs w:val="21"/>
                <w:lang w:eastAsia="zh-CN"/>
              </w:rPr>
            </w:pPr>
            <w:r>
              <w:rPr>
                <w:rFonts w:hint="eastAsia" w:ascii="Times New Roman" w:hAnsi="Times New Roman" w:eastAsia="宋体"/>
                <w:szCs w:val="21"/>
                <w:lang w:eastAsia="zh-CN"/>
              </w:rPr>
              <w:t>两路市电交流输入源，输入为端子连接（配置输入电缆</w:t>
            </w:r>
            <w:r>
              <w:rPr>
                <w:rFonts w:hint="eastAsia" w:ascii="宋体" w:hAnsi="宋体"/>
                <w:color w:val="auto"/>
                <w:lang w:val="en-US" w:eastAsia="zh-CN"/>
              </w:rPr>
              <w:t>≥3米</w:t>
            </w:r>
            <w:r>
              <w:rPr>
                <w:rFonts w:hint="eastAsia" w:ascii="Times New Roman" w:hAnsi="Times New Roman" w:eastAsia="宋体"/>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dxa"/>
            <w:vMerge w:val="continue"/>
            <w:noWrap w:val="0"/>
            <w:vAlign w:val="center"/>
          </w:tcPr>
          <w:p>
            <w:pPr>
              <w:spacing w:line="240" w:lineRule="auto"/>
              <w:ind w:firstLine="33" w:firstLineChars="16"/>
              <w:jc w:val="center"/>
              <w:rPr>
                <w:rFonts w:ascii="Times New Roman" w:hAnsi="Times New Roman"/>
                <w:szCs w:val="21"/>
              </w:rPr>
            </w:pPr>
          </w:p>
        </w:tc>
        <w:tc>
          <w:tcPr>
            <w:tcW w:w="1772" w:type="dxa"/>
            <w:noWrap w:val="0"/>
            <w:vAlign w:val="center"/>
          </w:tcPr>
          <w:p>
            <w:pPr>
              <w:spacing w:line="240" w:lineRule="auto"/>
              <w:ind w:firstLine="33" w:firstLineChars="16"/>
              <w:jc w:val="center"/>
              <w:rPr>
                <w:rFonts w:hint="eastAsia" w:ascii="Times New Roman" w:hAnsi="Times New Roman" w:eastAsia="宋体"/>
                <w:szCs w:val="21"/>
                <w:lang w:eastAsia="zh-CN"/>
              </w:rPr>
            </w:pPr>
            <w:r>
              <w:rPr>
                <w:rFonts w:hint="eastAsia" w:ascii="Times New Roman" w:hAnsi="Times New Roman"/>
                <w:szCs w:val="21"/>
                <w:lang w:eastAsia="zh-CN"/>
              </w:rPr>
              <w:t>输入方式</w:t>
            </w:r>
          </w:p>
        </w:tc>
        <w:tc>
          <w:tcPr>
            <w:tcW w:w="5605" w:type="dxa"/>
            <w:gridSpan w:val="2"/>
            <w:noWrap w:val="0"/>
            <w:vAlign w:val="center"/>
          </w:tcPr>
          <w:p>
            <w:pPr>
              <w:spacing w:line="240" w:lineRule="auto"/>
              <w:ind w:firstLine="33" w:firstLineChars="16"/>
              <w:jc w:val="center"/>
              <w:rPr>
                <w:rFonts w:hint="default" w:ascii="Times New Roman" w:hAnsi="Times New Roman" w:eastAsia="宋体"/>
                <w:szCs w:val="21"/>
                <w:lang w:val="en-US" w:eastAsia="zh-CN"/>
              </w:rPr>
            </w:pPr>
            <w:r>
              <w:rPr>
                <w:rFonts w:hint="eastAsia" w:ascii="Times New Roman" w:hAnsi="Times New Roman"/>
                <w:szCs w:val="21"/>
                <w:lang w:val="en-US" w:eastAsia="zh-CN"/>
              </w:rPr>
              <w:t>1φ+N+PE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dxa"/>
            <w:vMerge w:val="continue"/>
            <w:noWrap w:val="0"/>
            <w:vAlign w:val="center"/>
          </w:tcPr>
          <w:p>
            <w:pPr>
              <w:spacing w:line="240" w:lineRule="auto"/>
              <w:ind w:firstLine="33" w:firstLineChars="16"/>
              <w:jc w:val="center"/>
              <w:rPr>
                <w:rFonts w:ascii="Times New Roman" w:hAnsi="Times New Roman"/>
                <w:szCs w:val="21"/>
              </w:rPr>
            </w:pPr>
          </w:p>
        </w:tc>
        <w:tc>
          <w:tcPr>
            <w:tcW w:w="1772" w:type="dxa"/>
            <w:noWrap w:val="0"/>
            <w:vAlign w:val="center"/>
          </w:tcPr>
          <w:p>
            <w:pPr>
              <w:spacing w:line="240" w:lineRule="auto"/>
              <w:ind w:firstLine="33" w:firstLineChars="16"/>
              <w:jc w:val="center"/>
              <w:rPr>
                <w:rFonts w:hint="eastAsia" w:ascii="Times New Roman" w:hAnsi="Times New Roman" w:eastAsia="宋体"/>
                <w:szCs w:val="21"/>
                <w:lang w:eastAsia="zh-CN"/>
              </w:rPr>
            </w:pPr>
            <w:r>
              <w:rPr>
                <w:rFonts w:hint="eastAsia" w:ascii="Times New Roman" w:hAnsi="Times New Roman"/>
                <w:szCs w:val="21"/>
                <w:lang w:eastAsia="zh-CN"/>
              </w:rPr>
              <w:t>额定电压</w:t>
            </w:r>
          </w:p>
        </w:tc>
        <w:tc>
          <w:tcPr>
            <w:tcW w:w="5605" w:type="dxa"/>
            <w:gridSpan w:val="2"/>
            <w:noWrap w:val="0"/>
            <w:vAlign w:val="center"/>
          </w:tcPr>
          <w:p>
            <w:pPr>
              <w:spacing w:line="240" w:lineRule="auto"/>
              <w:ind w:firstLine="33" w:firstLineChars="16"/>
              <w:jc w:val="center"/>
              <w:rPr>
                <w:rFonts w:hint="default" w:ascii="Times New Roman" w:hAnsi="Times New Roman" w:eastAsia="宋体"/>
                <w:szCs w:val="21"/>
                <w:lang w:val="en-US" w:eastAsia="zh-CN"/>
              </w:rPr>
            </w:pPr>
            <w:r>
              <w:rPr>
                <w:rFonts w:hint="eastAsia" w:ascii="Times New Roman" w:hAnsi="Times New Roman"/>
                <w:szCs w:val="21"/>
                <w:lang w:val="en-US" w:eastAsia="zh-CN"/>
              </w:rPr>
              <w:t>220/230Vac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dxa"/>
            <w:vMerge w:val="continue"/>
            <w:noWrap w:val="0"/>
            <w:vAlign w:val="center"/>
          </w:tcPr>
          <w:p>
            <w:pPr>
              <w:spacing w:line="240" w:lineRule="auto"/>
              <w:ind w:firstLine="33" w:firstLineChars="16"/>
              <w:jc w:val="center"/>
              <w:rPr>
                <w:rFonts w:ascii="Times New Roman" w:hAnsi="Times New Roman"/>
                <w:szCs w:val="21"/>
              </w:rPr>
            </w:pPr>
          </w:p>
        </w:tc>
        <w:tc>
          <w:tcPr>
            <w:tcW w:w="1772" w:type="dxa"/>
            <w:noWrap w:val="0"/>
            <w:vAlign w:val="center"/>
          </w:tcPr>
          <w:p>
            <w:pPr>
              <w:spacing w:line="240" w:lineRule="auto"/>
              <w:ind w:firstLine="33" w:firstLineChars="16"/>
              <w:jc w:val="center"/>
              <w:rPr>
                <w:rFonts w:hint="eastAsia" w:ascii="Times New Roman" w:hAnsi="Times New Roman" w:eastAsia="宋体"/>
                <w:szCs w:val="21"/>
                <w:lang w:val="en-US" w:eastAsia="zh-CN"/>
              </w:rPr>
            </w:pPr>
            <w:r>
              <w:rPr>
                <w:rFonts w:hint="eastAsia" w:ascii="Times New Roman" w:hAnsi="Times New Roman"/>
                <w:szCs w:val="21"/>
                <w:lang w:val="en-US" w:eastAsia="zh-CN"/>
              </w:rPr>
              <w:t>额定频率</w:t>
            </w:r>
          </w:p>
        </w:tc>
        <w:tc>
          <w:tcPr>
            <w:tcW w:w="5605" w:type="dxa"/>
            <w:gridSpan w:val="2"/>
            <w:noWrap w:val="0"/>
            <w:vAlign w:val="center"/>
          </w:tcPr>
          <w:p>
            <w:pPr>
              <w:spacing w:line="240" w:lineRule="auto"/>
              <w:ind w:firstLine="33" w:firstLineChars="16"/>
              <w:jc w:val="center"/>
              <w:rPr>
                <w:rFonts w:hint="default" w:ascii="Times New Roman" w:hAnsi="Times New Roman" w:eastAsia="宋体"/>
                <w:szCs w:val="21"/>
                <w:lang w:val="en-US" w:eastAsia="zh-CN"/>
              </w:rPr>
            </w:pPr>
            <w:r>
              <w:rPr>
                <w:rFonts w:hint="eastAsia" w:ascii="Times New Roman" w:hAnsi="Times New Roman"/>
                <w:szCs w:val="21"/>
                <w:lang w:val="en-US" w:eastAsia="zh-CN"/>
              </w:rPr>
              <w:t>50/60Hz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dxa"/>
            <w:vMerge w:val="continue"/>
            <w:noWrap w:val="0"/>
            <w:vAlign w:val="center"/>
          </w:tcPr>
          <w:p>
            <w:pPr>
              <w:spacing w:line="240" w:lineRule="auto"/>
              <w:ind w:firstLine="33" w:firstLineChars="16"/>
              <w:jc w:val="center"/>
              <w:rPr>
                <w:rFonts w:ascii="Times New Roman" w:hAnsi="Times New Roman"/>
                <w:szCs w:val="21"/>
              </w:rPr>
            </w:pPr>
          </w:p>
        </w:tc>
        <w:tc>
          <w:tcPr>
            <w:tcW w:w="1772" w:type="dxa"/>
            <w:noWrap w:val="0"/>
            <w:vAlign w:val="center"/>
          </w:tcPr>
          <w:p>
            <w:pPr>
              <w:spacing w:line="240" w:lineRule="auto"/>
              <w:ind w:firstLine="33" w:firstLineChars="16"/>
              <w:jc w:val="center"/>
              <w:rPr>
                <w:rFonts w:hint="default" w:ascii="Times New Roman" w:hAnsi="Times New Roman" w:eastAsia="宋体"/>
                <w:szCs w:val="21"/>
                <w:lang w:val="en-US" w:eastAsia="zh-CN"/>
              </w:rPr>
            </w:pPr>
            <w:r>
              <w:rPr>
                <w:rFonts w:hint="eastAsia" w:ascii="Times New Roman" w:hAnsi="Times New Roman"/>
                <w:szCs w:val="21"/>
                <w:lang w:val="en-US" w:eastAsia="zh-CN"/>
              </w:rPr>
              <w:t>电压范围</w:t>
            </w:r>
          </w:p>
        </w:tc>
        <w:tc>
          <w:tcPr>
            <w:tcW w:w="5605" w:type="dxa"/>
            <w:gridSpan w:val="2"/>
            <w:noWrap w:val="0"/>
            <w:vAlign w:val="center"/>
          </w:tcPr>
          <w:p>
            <w:pPr>
              <w:spacing w:line="240" w:lineRule="auto"/>
              <w:ind w:firstLine="33" w:firstLineChars="16"/>
              <w:jc w:val="center"/>
              <w:rPr>
                <w:rFonts w:hint="default" w:ascii="Times New Roman" w:hAnsi="Times New Roman" w:eastAsia="宋体"/>
                <w:szCs w:val="21"/>
                <w:lang w:val="en-US" w:eastAsia="zh-CN"/>
              </w:rPr>
            </w:pPr>
            <w:r>
              <w:rPr>
                <w:rFonts w:hint="eastAsia" w:ascii="Times New Roman" w:hAnsi="Times New Roman"/>
                <w:szCs w:val="21"/>
                <w:lang w:val="en-US" w:eastAsia="zh-CN"/>
              </w:rPr>
              <w:t>150~300Vac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dxa"/>
            <w:vMerge w:val="continue"/>
            <w:noWrap w:val="0"/>
            <w:vAlign w:val="center"/>
          </w:tcPr>
          <w:p>
            <w:pPr>
              <w:spacing w:line="240" w:lineRule="auto"/>
              <w:ind w:firstLine="33" w:firstLineChars="16"/>
              <w:jc w:val="center"/>
              <w:rPr>
                <w:rFonts w:ascii="Times New Roman" w:hAnsi="Times New Roman"/>
                <w:szCs w:val="21"/>
              </w:rPr>
            </w:pPr>
          </w:p>
        </w:tc>
        <w:tc>
          <w:tcPr>
            <w:tcW w:w="1772" w:type="dxa"/>
            <w:noWrap w:val="0"/>
            <w:vAlign w:val="center"/>
          </w:tcPr>
          <w:p>
            <w:pPr>
              <w:spacing w:line="240" w:lineRule="auto"/>
              <w:ind w:firstLine="33" w:firstLineChars="16"/>
              <w:jc w:val="center"/>
              <w:rPr>
                <w:rFonts w:hint="eastAsia" w:ascii="Times New Roman" w:hAnsi="Times New Roman"/>
                <w:szCs w:val="21"/>
                <w:lang w:val="en-US" w:eastAsia="zh-CN"/>
              </w:rPr>
            </w:pPr>
            <w:r>
              <w:rPr>
                <w:rFonts w:hint="eastAsia" w:ascii="Times New Roman" w:hAnsi="Times New Roman"/>
                <w:szCs w:val="21"/>
                <w:lang w:val="en-US" w:eastAsia="zh-CN"/>
              </w:rPr>
              <w:t>频率范围</w:t>
            </w:r>
          </w:p>
        </w:tc>
        <w:tc>
          <w:tcPr>
            <w:tcW w:w="5605" w:type="dxa"/>
            <w:gridSpan w:val="2"/>
            <w:noWrap w:val="0"/>
            <w:vAlign w:val="center"/>
          </w:tcPr>
          <w:p>
            <w:pPr>
              <w:spacing w:line="240" w:lineRule="auto"/>
              <w:ind w:firstLine="33" w:firstLineChars="16"/>
              <w:jc w:val="center"/>
              <w:rPr>
                <w:rFonts w:hint="default" w:ascii="Times New Roman" w:hAnsi="Times New Roman"/>
                <w:szCs w:val="21"/>
                <w:lang w:val="en-US" w:eastAsia="zh-CN"/>
              </w:rPr>
            </w:pPr>
            <w:r>
              <w:rPr>
                <w:rFonts w:hint="eastAsia" w:ascii="Times New Roman" w:hAnsi="Times New Roman"/>
                <w:szCs w:val="21"/>
                <w:lang w:val="en-US" w:eastAsia="zh-CN"/>
              </w:rPr>
              <w:t>额定频率±5Hz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dxa"/>
            <w:vMerge w:val="restart"/>
            <w:noWrap w:val="0"/>
            <w:vAlign w:val="center"/>
          </w:tcPr>
          <w:p>
            <w:pPr>
              <w:spacing w:line="240" w:lineRule="auto"/>
              <w:ind w:firstLine="33" w:firstLineChars="16"/>
              <w:jc w:val="center"/>
              <w:rPr>
                <w:rFonts w:hint="eastAsia" w:ascii="Times New Roman" w:hAnsi="Times New Roman" w:eastAsia="宋体"/>
                <w:szCs w:val="21"/>
                <w:lang w:eastAsia="zh-CN"/>
              </w:rPr>
            </w:pPr>
            <w:r>
              <w:rPr>
                <w:rFonts w:hint="eastAsia" w:ascii="Times New Roman" w:hAnsi="Times New Roman"/>
                <w:szCs w:val="21"/>
                <w:lang w:eastAsia="zh-CN"/>
              </w:rPr>
              <w:t>输出</w:t>
            </w:r>
          </w:p>
        </w:tc>
        <w:tc>
          <w:tcPr>
            <w:tcW w:w="1772" w:type="dxa"/>
            <w:noWrap w:val="0"/>
            <w:vAlign w:val="center"/>
          </w:tcPr>
          <w:p>
            <w:pPr>
              <w:spacing w:line="240" w:lineRule="auto"/>
              <w:ind w:firstLine="33" w:firstLineChars="16"/>
              <w:jc w:val="center"/>
              <w:rPr>
                <w:rFonts w:hint="eastAsia" w:ascii="Times New Roman" w:hAnsi="Times New Roman"/>
                <w:szCs w:val="21"/>
                <w:lang w:val="en-US" w:eastAsia="zh-CN"/>
              </w:rPr>
            </w:pPr>
            <w:r>
              <w:rPr>
                <w:rFonts w:hint="eastAsia" w:ascii="Times New Roman" w:hAnsi="Times New Roman"/>
                <w:szCs w:val="21"/>
                <w:lang w:val="en-US" w:eastAsia="zh-CN"/>
              </w:rPr>
              <w:t>电压失真度</w:t>
            </w:r>
          </w:p>
        </w:tc>
        <w:tc>
          <w:tcPr>
            <w:tcW w:w="5605" w:type="dxa"/>
            <w:gridSpan w:val="2"/>
            <w:noWrap w:val="0"/>
            <w:vAlign w:val="center"/>
          </w:tcPr>
          <w:p>
            <w:pPr>
              <w:spacing w:line="240" w:lineRule="auto"/>
              <w:ind w:firstLine="33" w:firstLineChars="16"/>
              <w:jc w:val="center"/>
              <w:rPr>
                <w:rFonts w:hint="default" w:ascii="Times New Roman" w:hAnsi="Times New Roman"/>
                <w:szCs w:val="21"/>
                <w:lang w:val="en-US" w:eastAsia="zh-CN"/>
              </w:rPr>
            </w:pPr>
            <w:r>
              <w:rPr>
                <w:rFonts w:hint="eastAsia" w:ascii="Times New Roman" w:hAnsi="Times New Roman"/>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dxa"/>
            <w:vMerge w:val="continue"/>
            <w:noWrap w:val="0"/>
            <w:vAlign w:val="center"/>
          </w:tcPr>
          <w:p>
            <w:pPr>
              <w:spacing w:line="240" w:lineRule="auto"/>
              <w:ind w:firstLine="33" w:firstLineChars="16"/>
              <w:jc w:val="center"/>
              <w:rPr>
                <w:rFonts w:ascii="Times New Roman" w:hAnsi="Times New Roman"/>
                <w:szCs w:val="21"/>
              </w:rPr>
            </w:pPr>
          </w:p>
        </w:tc>
        <w:tc>
          <w:tcPr>
            <w:tcW w:w="1772" w:type="dxa"/>
            <w:noWrap w:val="0"/>
            <w:vAlign w:val="center"/>
          </w:tcPr>
          <w:p>
            <w:pPr>
              <w:spacing w:line="240" w:lineRule="auto"/>
              <w:ind w:firstLine="33" w:firstLineChars="16"/>
              <w:jc w:val="center"/>
              <w:rPr>
                <w:rFonts w:hint="default" w:ascii="Times New Roman" w:hAnsi="Times New Roman"/>
                <w:szCs w:val="21"/>
                <w:lang w:val="en-US" w:eastAsia="zh-CN"/>
              </w:rPr>
            </w:pPr>
            <w:r>
              <w:rPr>
                <w:rFonts w:hint="eastAsia" w:ascii="Times New Roman" w:hAnsi="Times New Roman"/>
                <w:szCs w:val="21"/>
                <w:lang w:val="en-US" w:eastAsia="zh-CN"/>
              </w:rPr>
              <w:t>功率因数</w:t>
            </w:r>
          </w:p>
        </w:tc>
        <w:tc>
          <w:tcPr>
            <w:tcW w:w="2802" w:type="dxa"/>
            <w:noWrap w:val="0"/>
            <w:vAlign w:val="center"/>
          </w:tcPr>
          <w:p>
            <w:pPr>
              <w:spacing w:line="240" w:lineRule="auto"/>
              <w:ind w:firstLine="33" w:firstLineChars="16"/>
              <w:jc w:val="center"/>
              <w:rPr>
                <w:rFonts w:hint="default" w:ascii="Times New Roman" w:hAnsi="Times New Roman"/>
                <w:szCs w:val="21"/>
                <w:lang w:val="en-US" w:eastAsia="zh-CN"/>
              </w:rPr>
            </w:pPr>
            <w:r>
              <w:rPr>
                <w:rFonts w:hint="eastAsia" w:ascii="Times New Roman" w:hAnsi="Times New Roman"/>
                <w:szCs w:val="21"/>
                <w:lang w:val="en-US" w:eastAsia="zh-CN"/>
              </w:rPr>
              <w:t>0.75~1.0超前或滞后</w:t>
            </w:r>
          </w:p>
        </w:tc>
        <w:tc>
          <w:tcPr>
            <w:tcW w:w="2803" w:type="dxa"/>
            <w:noWrap w:val="0"/>
            <w:vAlign w:val="center"/>
          </w:tcPr>
          <w:p>
            <w:pPr>
              <w:spacing w:line="240" w:lineRule="auto"/>
              <w:ind w:firstLine="33" w:firstLineChars="16"/>
              <w:jc w:val="center"/>
              <w:rPr>
                <w:rFonts w:hint="default" w:ascii="Times New Roman" w:hAnsi="Times New Roman"/>
                <w:szCs w:val="21"/>
                <w:lang w:val="en-US" w:eastAsia="zh-CN"/>
              </w:rPr>
            </w:pPr>
            <w:r>
              <w:rPr>
                <w:rFonts w:hint="eastAsia" w:ascii="Times New Roman" w:hAnsi="Times New Roman"/>
                <w:szCs w:val="21"/>
                <w:lang w:val="en-US" w:eastAsia="zh-CN"/>
              </w:rPr>
              <w:t>0.8~1.0超前或滞后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dxa"/>
            <w:vMerge w:val="continue"/>
            <w:noWrap w:val="0"/>
            <w:vAlign w:val="center"/>
          </w:tcPr>
          <w:p>
            <w:pPr>
              <w:spacing w:line="240" w:lineRule="auto"/>
              <w:ind w:firstLine="33" w:firstLineChars="16"/>
              <w:jc w:val="center"/>
              <w:rPr>
                <w:rFonts w:ascii="Times New Roman" w:hAnsi="Times New Roman"/>
                <w:szCs w:val="21"/>
              </w:rPr>
            </w:pPr>
          </w:p>
        </w:tc>
        <w:tc>
          <w:tcPr>
            <w:tcW w:w="1772" w:type="dxa"/>
            <w:noWrap w:val="0"/>
            <w:vAlign w:val="center"/>
          </w:tcPr>
          <w:p>
            <w:pPr>
              <w:spacing w:line="240" w:lineRule="auto"/>
              <w:ind w:firstLine="33" w:firstLineChars="16"/>
              <w:jc w:val="center"/>
              <w:rPr>
                <w:rFonts w:hint="eastAsia" w:ascii="Times New Roman" w:hAnsi="Times New Roman" w:eastAsia="宋体"/>
                <w:szCs w:val="21"/>
                <w:lang w:eastAsia="zh-CN"/>
              </w:rPr>
            </w:pPr>
            <w:r>
              <w:rPr>
                <w:rFonts w:hint="eastAsia" w:ascii="Times New Roman" w:hAnsi="Times New Roman"/>
                <w:szCs w:val="21"/>
                <w:lang w:eastAsia="zh-CN"/>
              </w:rPr>
              <w:t>过载能力</w:t>
            </w:r>
          </w:p>
        </w:tc>
        <w:tc>
          <w:tcPr>
            <w:tcW w:w="5605" w:type="dxa"/>
            <w:gridSpan w:val="2"/>
            <w:noWrap w:val="0"/>
            <w:vAlign w:val="center"/>
          </w:tcPr>
          <w:p>
            <w:pPr>
              <w:spacing w:line="240" w:lineRule="auto"/>
              <w:ind w:firstLine="33" w:firstLineChars="16"/>
              <w:jc w:val="center"/>
              <w:rPr>
                <w:rFonts w:hint="default" w:ascii="Times New Roman" w:hAnsi="Times New Roman" w:eastAsia="宋体"/>
                <w:szCs w:val="21"/>
                <w:lang w:val="en-US" w:eastAsia="zh-CN"/>
              </w:rPr>
            </w:pPr>
            <w:r>
              <w:rPr>
                <w:rFonts w:hint="eastAsia" w:ascii="宋体" w:hAnsi="宋体"/>
                <w:color w:val="auto"/>
                <w:lang w:val="en-US" w:eastAsia="zh-CN"/>
              </w:rPr>
              <w:t>125%，30min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dxa"/>
            <w:vMerge w:val="continue"/>
            <w:noWrap w:val="0"/>
            <w:vAlign w:val="center"/>
          </w:tcPr>
          <w:p>
            <w:pPr>
              <w:spacing w:line="240" w:lineRule="auto"/>
              <w:ind w:firstLine="33" w:firstLineChars="16"/>
              <w:jc w:val="center"/>
              <w:rPr>
                <w:rFonts w:ascii="Times New Roman" w:hAnsi="Times New Roman"/>
                <w:szCs w:val="21"/>
              </w:rPr>
            </w:pPr>
          </w:p>
        </w:tc>
        <w:tc>
          <w:tcPr>
            <w:tcW w:w="1772" w:type="dxa"/>
            <w:noWrap w:val="0"/>
            <w:vAlign w:val="center"/>
          </w:tcPr>
          <w:p>
            <w:pPr>
              <w:spacing w:line="240" w:lineRule="auto"/>
              <w:ind w:firstLine="33" w:firstLineChars="16"/>
              <w:jc w:val="center"/>
              <w:rPr>
                <w:rFonts w:hint="eastAsia" w:ascii="Times New Roman" w:hAnsi="Times New Roman" w:eastAsia="宋体"/>
                <w:szCs w:val="21"/>
                <w:lang w:eastAsia="zh-CN"/>
              </w:rPr>
            </w:pPr>
            <w:r>
              <w:rPr>
                <w:rFonts w:hint="eastAsia" w:ascii="Times New Roman" w:hAnsi="Times New Roman"/>
                <w:szCs w:val="21"/>
                <w:lang w:eastAsia="zh-CN"/>
              </w:rPr>
              <w:t>效率（</w:t>
            </w:r>
            <w:r>
              <w:rPr>
                <w:rFonts w:hint="eastAsia" w:ascii="Times New Roman" w:hAnsi="Times New Roman"/>
                <w:szCs w:val="21"/>
                <w:lang w:val="en-US" w:eastAsia="zh-CN"/>
              </w:rPr>
              <w:t>100%线性负载</w:t>
            </w:r>
            <w:r>
              <w:rPr>
                <w:rFonts w:hint="eastAsia" w:ascii="Times New Roman" w:hAnsi="Times New Roman"/>
                <w:szCs w:val="21"/>
                <w:lang w:eastAsia="zh-CN"/>
              </w:rPr>
              <w:t>）</w:t>
            </w:r>
          </w:p>
        </w:tc>
        <w:tc>
          <w:tcPr>
            <w:tcW w:w="2802" w:type="dxa"/>
            <w:noWrap w:val="0"/>
            <w:vAlign w:val="center"/>
          </w:tcPr>
          <w:p>
            <w:pPr>
              <w:spacing w:line="240" w:lineRule="auto"/>
              <w:ind w:firstLine="33" w:firstLineChars="16"/>
              <w:jc w:val="center"/>
              <w:rPr>
                <w:rFonts w:hint="default" w:ascii="宋体" w:hAnsi="宋体" w:eastAsia="宋体"/>
                <w:color w:val="auto"/>
                <w:lang w:val="en-US" w:eastAsia="zh-CN"/>
              </w:rPr>
            </w:pPr>
            <w:r>
              <w:rPr>
                <w:rFonts w:hint="eastAsia" w:ascii="宋体" w:hAnsi="宋体"/>
                <w:color w:val="auto"/>
                <w:lang w:val="en-US" w:eastAsia="zh-CN"/>
              </w:rPr>
              <w:t>99%</w:t>
            </w:r>
          </w:p>
        </w:tc>
        <w:tc>
          <w:tcPr>
            <w:tcW w:w="2803" w:type="dxa"/>
            <w:noWrap w:val="0"/>
            <w:vAlign w:val="center"/>
          </w:tcPr>
          <w:p>
            <w:pPr>
              <w:spacing w:line="240" w:lineRule="auto"/>
              <w:ind w:firstLine="33" w:firstLineChars="16"/>
              <w:jc w:val="center"/>
              <w:rPr>
                <w:rFonts w:hint="eastAsia" w:ascii="宋体" w:hAnsi="宋体"/>
                <w:color w:val="auto"/>
              </w:rPr>
            </w:pPr>
            <w:r>
              <w:rPr>
                <w:rFonts w:hint="eastAsia" w:ascii="宋体" w:hAnsi="宋体"/>
                <w:color w:val="auto"/>
                <w:lang w:val="en-US" w:eastAsia="zh-CN"/>
              </w:rPr>
              <w:t>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dxa"/>
            <w:vMerge w:val="continue"/>
            <w:noWrap w:val="0"/>
            <w:vAlign w:val="center"/>
          </w:tcPr>
          <w:p>
            <w:pPr>
              <w:spacing w:line="240" w:lineRule="auto"/>
              <w:ind w:firstLine="33" w:firstLineChars="16"/>
              <w:jc w:val="center"/>
              <w:rPr>
                <w:rFonts w:ascii="Times New Roman" w:hAnsi="Times New Roman"/>
                <w:szCs w:val="21"/>
              </w:rPr>
            </w:pPr>
          </w:p>
        </w:tc>
        <w:tc>
          <w:tcPr>
            <w:tcW w:w="1772" w:type="dxa"/>
            <w:noWrap w:val="0"/>
            <w:vAlign w:val="center"/>
          </w:tcPr>
          <w:p>
            <w:pPr>
              <w:spacing w:line="240" w:lineRule="auto"/>
              <w:ind w:firstLine="33" w:firstLineChars="16"/>
              <w:jc w:val="both"/>
              <w:rPr>
                <w:rFonts w:hint="eastAsia" w:ascii="Times New Roman" w:hAnsi="Times New Roman" w:eastAsia="宋体"/>
                <w:szCs w:val="21"/>
                <w:lang w:eastAsia="zh-CN"/>
              </w:rPr>
            </w:pPr>
            <w:r>
              <w:rPr>
                <w:rFonts w:hint="eastAsia" w:ascii="Times New Roman" w:hAnsi="Times New Roman"/>
                <w:szCs w:val="21"/>
                <w:lang w:eastAsia="zh-CN"/>
              </w:rPr>
              <w:t>极数</w:t>
            </w:r>
          </w:p>
        </w:tc>
        <w:tc>
          <w:tcPr>
            <w:tcW w:w="5605" w:type="dxa"/>
            <w:gridSpan w:val="2"/>
            <w:noWrap w:val="0"/>
            <w:vAlign w:val="center"/>
          </w:tcPr>
          <w:p>
            <w:pPr>
              <w:spacing w:line="240" w:lineRule="auto"/>
              <w:ind w:firstLine="33" w:firstLineChars="16"/>
              <w:jc w:val="center"/>
              <w:rPr>
                <w:rFonts w:hint="eastAsia" w:ascii="宋体" w:hAnsi="宋体" w:eastAsia="宋体"/>
                <w:color w:val="auto"/>
                <w:lang w:val="en-US" w:eastAsia="zh-CN"/>
              </w:rPr>
            </w:pPr>
            <w:r>
              <w:rPr>
                <w:rFonts w:hint="eastAsia" w:ascii="宋体" w:hAnsi="宋体"/>
                <w:color w:val="auto"/>
                <w:lang w:val="en-US" w:eastAsia="zh-CN"/>
              </w:rPr>
              <w:t>2极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dxa"/>
            <w:noWrap w:val="0"/>
            <w:vAlign w:val="center"/>
          </w:tcPr>
          <w:p>
            <w:pPr>
              <w:spacing w:line="240" w:lineRule="auto"/>
              <w:ind w:firstLine="33" w:firstLineChars="16"/>
              <w:jc w:val="center"/>
              <w:rPr>
                <w:rFonts w:ascii="Times New Roman" w:hAnsi="Times New Roman"/>
                <w:szCs w:val="21"/>
              </w:rPr>
            </w:pPr>
          </w:p>
        </w:tc>
        <w:tc>
          <w:tcPr>
            <w:tcW w:w="1772" w:type="dxa"/>
            <w:noWrap w:val="0"/>
            <w:vAlign w:val="center"/>
          </w:tcPr>
          <w:p>
            <w:pPr>
              <w:spacing w:line="240" w:lineRule="auto"/>
              <w:ind w:firstLine="33" w:firstLineChars="16"/>
              <w:jc w:val="both"/>
              <w:rPr>
                <w:rFonts w:hint="eastAsia" w:ascii="Times New Roman" w:hAnsi="Times New Roman"/>
                <w:szCs w:val="21"/>
                <w:lang w:eastAsia="zh-CN"/>
              </w:rPr>
            </w:pPr>
            <w:r>
              <w:rPr>
                <w:rFonts w:hint="eastAsia" w:ascii="Times New Roman" w:hAnsi="Times New Roman"/>
                <w:szCs w:val="21"/>
                <w:lang w:eastAsia="zh-CN"/>
              </w:rPr>
              <w:t>接口</w:t>
            </w:r>
          </w:p>
        </w:tc>
        <w:tc>
          <w:tcPr>
            <w:tcW w:w="5605" w:type="dxa"/>
            <w:gridSpan w:val="2"/>
            <w:noWrap w:val="0"/>
            <w:vAlign w:val="center"/>
          </w:tcPr>
          <w:p>
            <w:pPr>
              <w:spacing w:line="240" w:lineRule="auto"/>
              <w:ind w:firstLine="33" w:firstLineChars="16"/>
              <w:jc w:val="center"/>
              <w:rPr>
                <w:rFonts w:hint="default" w:ascii="宋体" w:hAnsi="宋体"/>
                <w:color w:val="auto"/>
                <w:lang w:val="en-US" w:eastAsia="zh-CN"/>
              </w:rPr>
            </w:pPr>
            <w:r>
              <w:rPr>
                <w:rFonts w:hint="eastAsia" w:ascii="宋体" w:hAnsi="宋体"/>
                <w:color w:val="auto"/>
                <w:lang w:val="en-US" w:eastAsia="zh-CN"/>
              </w:rPr>
              <w:t>16A输出插座≥4个（配置控制开关），10A输出插座≥4个（配置控制开关），输出连接器≥1个（配置输出电缆≥3米，线径≥4mm²）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dxa"/>
            <w:noWrap w:val="0"/>
            <w:vAlign w:val="center"/>
          </w:tcPr>
          <w:p>
            <w:pPr>
              <w:spacing w:line="240" w:lineRule="auto"/>
              <w:ind w:firstLine="33" w:firstLineChars="16"/>
              <w:jc w:val="center"/>
              <w:rPr>
                <w:rFonts w:hint="eastAsia" w:ascii="Times New Roman" w:hAnsi="Times New Roman" w:eastAsia="宋体"/>
                <w:szCs w:val="21"/>
                <w:lang w:eastAsia="zh-CN"/>
              </w:rPr>
            </w:pPr>
            <w:r>
              <w:rPr>
                <w:rFonts w:hint="eastAsia" w:ascii="Times New Roman" w:hAnsi="Times New Roman"/>
                <w:szCs w:val="21"/>
                <w:lang w:eastAsia="zh-CN"/>
              </w:rPr>
              <w:t>切换</w:t>
            </w:r>
          </w:p>
        </w:tc>
        <w:tc>
          <w:tcPr>
            <w:tcW w:w="1772" w:type="dxa"/>
            <w:noWrap w:val="0"/>
            <w:vAlign w:val="center"/>
          </w:tcPr>
          <w:p>
            <w:pPr>
              <w:spacing w:line="240" w:lineRule="auto"/>
              <w:ind w:firstLine="33" w:firstLineChars="16"/>
              <w:jc w:val="center"/>
              <w:rPr>
                <w:rFonts w:hint="eastAsia" w:ascii="Times New Roman" w:hAnsi="Times New Roman" w:eastAsia="宋体"/>
                <w:szCs w:val="21"/>
                <w:lang w:eastAsia="zh-CN"/>
              </w:rPr>
            </w:pPr>
            <w:r>
              <w:rPr>
                <w:rFonts w:hint="eastAsia" w:ascii="Times New Roman" w:hAnsi="Times New Roman"/>
                <w:szCs w:val="21"/>
                <w:lang w:eastAsia="zh-CN"/>
              </w:rPr>
              <w:t>自动切换间断时间</w:t>
            </w:r>
          </w:p>
        </w:tc>
        <w:tc>
          <w:tcPr>
            <w:tcW w:w="5605" w:type="dxa"/>
            <w:gridSpan w:val="2"/>
            <w:noWrap w:val="0"/>
            <w:vAlign w:val="center"/>
          </w:tcPr>
          <w:p>
            <w:pPr>
              <w:spacing w:line="240" w:lineRule="auto"/>
              <w:ind w:firstLine="33" w:firstLineChars="16"/>
              <w:jc w:val="center"/>
              <w:rPr>
                <w:rFonts w:hint="default" w:ascii="宋体" w:hAnsi="宋体" w:eastAsia="宋体"/>
                <w:color w:val="auto"/>
                <w:lang w:val="en-US" w:eastAsia="zh-CN"/>
              </w:rPr>
            </w:pPr>
            <w:r>
              <w:rPr>
                <w:rFonts w:hint="eastAsia" w:ascii="宋体" w:hAnsi="宋体"/>
                <w:color w:val="auto"/>
                <w:lang w:val="en-US" w:eastAsia="zh-CN"/>
              </w:rPr>
              <w:t>6ms（典型值），11ms（最大值）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dxa"/>
            <w:vMerge w:val="restart"/>
            <w:noWrap w:val="0"/>
            <w:vAlign w:val="center"/>
          </w:tcPr>
          <w:p>
            <w:pPr>
              <w:spacing w:line="240" w:lineRule="auto"/>
              <w:ind w:firstLine="33" w:firstLineChars="16"/>
              <w:jc w:val="center"/>
              <w:rPr>
                <w:rFonts w:hint="eastAsia" w:ascii="Times New Roman" w:hAnsi="Times New Roman"/>
                <w:szCs w:val="21"/>
                <w:lang w:eastAsia="zh-CN"/>
              </w:rPr>
            </w:pPr>
            <w:r>
              <w:rPr>
                <w:rFonts w:hint="eastAsia" w:ascii="Times New Roman" w:hAnsi="Times New Roman"/>
                <w:szCs w:val="21"/>
                <w:lang w:eastAsia="zh-CN"/>
              </w:rPr>
              <w:t>面板</w:t>
            </w:r>
          </w:p>
        </w:tc>
        <w:tc>
          <w:tcPr>
            <w:tcW w:w="1772" w:type="dxa"/>
            <w:noWrap w:val="0"/>
            <w:vAlign w:val="center"/>
          </w:tcPr>
          <w:p>
            <w:pPr>
              <w:spacing w:line="240" w:lineRule="auto"/>
              <w:ind w:firstLine="33" w:firstLineChars="16"/>
              <w:jc w:val="center"/>
              <w:rPr>
                <w:rFonts w:hint="eastAsia" w:ascii="Times New Roman" w:hAnsi="Times New Roman"/>
                <w:szCs w:val="21"/>
                <w:lang w:eastAsia="zh-CN"/>
              </w:rPr>
            </w:pPr>
            <w:r>
              <w:rPr>
                <w:rFonts w:hint="eastAsia" w:ascii="Times New Roman" w:hAnsi="Times New Roman"/>
                <w:szCs w:val="21"/>
                <w:lang w:eastAsia="zh-CN"/>
              </w:rPr>
              <w:t>显示</w:t>
            </w:r>
          </w:p>
        </w:tc>
        <w:tc>
          <w:tcPr>
            <w:tcW w:w="5605" w:type="dxa"/>
            <w:gridSpan w:val="2"/>
            <w:noWrap w:val="0"/>
            <w:vAlign w:val="center"/>
          </w:tcPr>
          <w:p>
            <w:pPr>
              <w:spacing w:line="240" w:lineRule="auto"/>
              <w:ind w:firstLine="33" w:firstLineChars="16"/>
              <w:jc w:val="center"/>
              <w:rPr>
                <w:rFonts w:hint="eastAsia" w:ascii="宋体" w:hAnsi="宋体"/>
                <w:color w:val="auto"/>
                <w:lang w:val="en-US" w:eastAsia="zh-CN"/>
              </w:rPr>
            </w:pPr>
            <w:r>
              <w:rPr>
                <w:rFonts w:hint="eastAsia" w:ascii="宋体" w:hAnsi="宋体"/>
                <w:color w:val="auto"/>
                <w:lang w:val="en-US" w:eastAsia="zh-CN"/>
              </w:rPr>
              <w:t>输入、输出电源状态显示，故障状态声光显示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dxa"/>
            <w:vMerge w:val="continue"/>
            <w:noWrap w:val="0"/>
            <w:vAlign w:val="center"/>
          </w:tcPr>
          <w:p>
            <w:pPr>
              <w:spacing w:line="240" w:lineRule="auto"/>
              <w:ind w:firstLine="33" w:firstLineChars="16"/>
              <w:jc w:val="center"/>
              <w:rPr>
                <w:rFonts w:hint="eastAsia" w:ascii="Times New Roman" w:hAnsi="Times New Roman"/>
                <w:szCs w:val="21"/>
                <w:lang w:eastAsia="zh-CN"/>
              </w:rPr>
            </w:pPr>
          </w:p>
        </w:tc>
        <w:tc>
          <w:tcPr>
            <w:tcW w:w="1772" w:type="dxa"/>
            <w:noWrap w:val="0"/>
            <w:vAlign w:val="center"/>
          </w:tcPr>
          <w:p>
            <w:pPr>
              <w:spacing w:line="240" w:lineRule="auto"/>
              <w:ind w:firstLine="33" w:firstLineChars="16"/>
              <w:jc w:val="center"/>
              <w:rPr>
                <w:rFonts w:hint="eastAsia" w:ascii="Times New Roman" w:hAnsi="Times New Roman"/>
                <w:szCs w:val="21"/>
                <w:lang w:eastAsia="zh-CN"/>
              </w:rPr>
            </w:pPr>
            <w:r>
              <w:rPr>
                <w:rFonts w:hint="eastAsia" w:ascii="Times New Roman" w:hAnsi="Times New Roman"/>
                <w:szCs w:val="21"/>
                <w:lang w:eastAsia="zh-CN"/>
              </w:rPr>
              <w:t>控制</w:t>
            </w:r>
          </w:p>
        </w:tc>
        <w:tc>
          <w:tcPr>
            <w:tcW w:w="5605" w:type="dxa"/>
            <w:gridSpan w:val="2"/>
            <w:noWrap w:val="0"/>
            <w:vAlign w:val="center"/>
          </w:tcPr>
          <w:p>
            <w:pPr>
              <w:spacing w:line="240" w:lineRule="auto"/>
              <w:ind w:firstLine="33" w:firstLineChars="16"/>
              <w:jc w:val="center"/>
              <w:rPr>
                <w:rFonts w:hint="eastAsia" w:ascii="宋体" w:hAnsi="宋体"/>
                <w:color w:val="auto"/>
                <w:lang w:val="en-US" w:eastAsia="zh-CN"/>
              </w:rPr>
            </w:pPr>
            <w:r>
              <w:rPr>
                <w:rFonts w:hint="eastAsia" w:ascii="宋体" w:hAnsi="宋体"/>
                <w:color w:val="auto"/>
                <w:lang w:val="en-US" w:eastAsia="zh-CN"/>
              </w:rPr>
              <w:t>手动切换按钮，故障告警消音按钮</w:t>
            </w:r>
          </w:p>
        </w:tc>
      </w:tr>
    </w:tbl>
    <w:p>
      <w:pPr>
        <w:ind w:firstLine="0" w:firstLineChars="0"/>
        <w:rPr>
          <w:rFonts w:hint="default" w:eastAsia="宋体"/>
          <w:color w:val="FF0000"/>
          <w:lang w:val="en-US" w:eastAsia="zh-CN"/>
        </w:rPr>
      </w:pPr>
      <w:r>
        <w:rPr>
          <w:rFonts w:hint="eastAsia"/>
          <w:color w:val="FF0000"/>
          <w:lang w:val="en-US" w:eastAsia="zh-CN"/>
        </w:rPr>
        <w:t xml:space="preserve">    </w:t>
      </w:r>
    </w:p>
    <w:bookmarkEnd w:id="42"/>
    <w:bookmarkEnd w:id="43"/>
    <w:bookmarkEnd w:id="44"/>
    <w:bookmarkEnd w:id="45"/>
    <w:bookmarkEnd w:id="46"/>
    <w:bookmarkEnd w:id="47"/>
    <w:bookmarkEnd w:id="48"/>
    <w:bookmarkEnd w:id="49"/>
    <w:bookmarkEnd w:id="50"/>
    <w:bookmarkEnd w:id="51"/>
    <w:bookmarkEnd w:id="52"/>
    <w:p>
      <w:pPr>
        <w:pStyle w:val="3"/>
        <w:rPr>
          <w:rFonts w:hint="eastAsia"/>
        </w:rPr>
      </w:pPr>
      <w:bookmarkStart w:id="87" w:name="_Toc384341010"/>
      <w:bookmarkEnd w:id="87"/>
      <w:bookmarkStart w:id="88" w:name="_Toc384340988"/>
      <w:bookmarkEnd w:id="88"/>
      <w:bookmarkStart w:id="89" w:name="_Toc384340915"/>
      <w:bookmarkEnd w:id="89"/>
      <w:bookmarkStart w:id="90" w:name="_Toc384341006"/>
      <w:bookmarkEnd w:id="90"/>
      <w:bookmarkStart w:id="91" w:name="_Toc384340997"/>
      <w:bookmarkEnd w:id="91"/>
      <w:bookmarkStart w:id="92" w:name="_Toc384340934"/>
      <w:bookmarkEnd w:id="92"/>
      <w:bookmarkStart w:id="93" w:name="_Toc384340998"/>
      <w:bookmarkEnd w:id="93"/>
      <w:bookmarkStart w:id="94" w:name="_Toc384340936"/>
      <w:bookmarkEnd w:id="94"/>
      <w:bookmarkStart w:id="95" w:name="_Toc384340938"/>
      <w:bookmarkEnd w:id="95"/>
      <w:bookmarkStart w:id="96" w:name="_Toc384340935"/>
      <w:bookmarkEnd w:id="96"/>
      <w:bookmarkStart w:id="97" w:name="_Toc384341007"/>
      <w:bookmarkEnd w:id="97"/>
      <w:bookmarkStart w:id="98" w:name="_Toc384341011"/>
      <w:bookmarkEnd w:id="98"/>
      <w:bookmarkStart w:id="99" w:name="_Toc384341002"/>
      <w:bookmarkEnd w:id="99"/>
      <w:bookmarkStart w:id="100" w:name="_Toc384341015"/>
      <w:bookmarkEnd w:id="100"/>
      <w:bookmarkStart w:id="101" w:name="_Toc384340921"/>
      <w:bookmarkEnd w:id="101"/>
      <w:bookmarkStart w:id="102" w:name="_Toc384340993"/>
      <w:bookmarkEnd w:id="102"/>
      <w:bookmarkStart w:id="103" w:name="_Toc384340995"/>
      <w:bookmarkEnd w:id="103"/>
      <w:bookmarkStart w:id="104" w:name="_Toc384340939"/>
      <w:bookmarkEnd w:id="104"/>
      <w:bookmarkStart w:id="105" w:name="_Toc384340928"/>
      <w:bookmarkEnd w:id="105"/>
      <w:bookmarkStart w:id="106" w:name="_Toc384341014"/>
      <w:bookmarkEnd w:id="106"/>
      <w:bookmarkStart w:id="107" w:name="_Toc384340996"/>
      <w:bookmarkEnd w:id="107"/>
      <w:bookmarkStart w:id="108" w:name="_Toc384341012"/>
      <w:bookmarkEnd w:id="108"/>
      <w:bookmarkStart w:id="109" w:name="_Toc384340937"/>
      <w:bookmarkEnd w:id="109"/>
      <w:bookmarkStart w:id="110" w:name="_Toc384340911"/>
      <w:bookmarkEnd w:id="110"/>
      <w:bookmarkStart w:id="111" w:name="_Toc384340917"/>
      <w:bookmarkEnd w:id="111"/>
      <w:bookmarkStart w:id="112" w:name="_Toc384340999"/>
      <w:bookmarkEnd w:id="112"/>
      <w:bookmarkStart w:id="113" w:name="_Toc384340923"/>
      <w:bookmarkEnd w:id="113"/>
      <w:bookmarkStart w:id="114" w:name="_Toc384340918"/>
      <w:bookmarkEnd w:id="114"/>
      <w:bookmarkStart w:id="115" w:name="_Toc384340929"/>
      <w:bookmarkEnd w:id="115"/>
      <w:bookmarkStart w:id="116" w:name="_Toc384341000"/>
      <w:bookmarkEnd w:id="116"/>
      <w:bookmarkStart w:id="117" w:name="_Toc384341008"/>
      <w:bookmarkEnd w:id="117"/>
      <w:bookmarkStart w:id="118" w:name="_Toc384340926"/>
      <w:bookmarkEnd w:id="118"/>
      <w:bookmarkStart w:id="119" w:name="_Toc384340987"/>
      <w:bookmarkEnd w:id="119"/>
      <w:bookmarkStart w:id="120" w:name="_Toc384340927"/>
      <w:bookmarkEnd w:id="120"/>
      <w:bookmarkStart w:id="121" w:name="_Toc384341004"/>
      <w:bookmarkEnd w:id="121"/>
      <w:bookmarkStart w:id="122" w:name="_Toc384341005"/>
      <w:bookmarkEnd w:id="122"/>
      <w:bookmarkStart w:id="123" w:name="_Toc384340919"/>
      <w:bookmarkEnd w:id="123"/>
      <w:bookmarkStart w:id="124" w:name="_Toc384340930"/>
      <w:bookmarkEnd w:id="124"/>
      <w:bookmarkStart w:id="125" w:name="_Toc384340925"/>
      <w:bookmarkEnd w:id="125"/>
      <w:bookmarkStart w:id="126" w:name="_Toc384340990"/>
      <w:bookmarkEnd w:id="126"/>
      <w:bookmarkStart w:id="127" w:name="_Toc384341009"/>
      <w:bookmarkEnd w:id="127"/>
      <w:bookmarkStart w:id="128" w:name="_Toc384340924"/>
      <w:bookmarkEnd w:id="128"/>
      <w:bookmarkStart w:id="129" w:name="_Toc384340994"/>
      <w:bookmarkEnd w:id="129"/>
      <w:bookmarkStart w:id="130" w:name="_Toc384340922"/>
      <w:bookmarkEnd w:id="130"/>
      <w:bookmarkStart w:id="131" w:name="_Toc384341013"/>
      <w:bookmarkEnd w:id="131"/>
      <w:bookmarkStart w:id="132" w:name="_Toc384340913"/>
      <w:bookmarkEnd w:id="132"/>
      <w:bookmarkStart w:id="133" w:name="_Toc384340932"/>
      <w:bookmarkEnd w:id="133"/>
      <w:bookmarkStart w:id="134" w:name="_Toc384340991"/>
      <w:bookmarkEnd w:id="134"/>
      <w:bookmarkStart w:id="135" w:name="_Toc384341001"/>
      <w:bookmarkEnd w:id="135"/>
      <w:bookmarkStart w:id="136" w:name="_Toc384340920"/>
      <w:bookmarkEnd w:id="136"/>
      <w:bookmarkStart w:id="137" w:name="_Toc384340989"/>
      <w:bookmarkEnd w:id="137"/>
      <w:bookmarkStart w:id="138" w:name="_Toc384340914"/>
      <w:bookmarkEnd w:id="138"/>
      <w:bookmarkStart w:id="139" w:name="_Toc384341003"/>
      <w:bookmarkEnd w:id="139"/>
      <w:bookmarkStart w:id="140" w:name="_Toc384340912"/>
      <w:bookmarkEnd w:id="140"/>
      <w:bookmarkStart w:id="141" w:name="_Toc384340933"/>
      <w:bookmarkEnd w:id="141"/>
      <w:bookmarkStart w:id="142" w:name="_Toc384340931"/>
      <w:bookmarkEnd w:id="142"/>
      <w:bookmarkStart w:id="143" w:name="_Toc282993301"/>
      <w:bookmarkStart w:id="144" w:name="_Toc276492417"/>
      <w:bookmarkStart w:id="145" w:name="_Toc384341016"/>
      <w:bookmarkStart w:id="146" w:name="_Toc276490905"/>
      <w:bookmarkStart w:id="147" w:name="_Toc271281212"/>
      <w:bookmarkStart w:id="148" w:name="_Toc388022579"/>
      <w:bookmarkStart w:id="149" w:name="_Toc279695721"/>
      <w:bookmarkStart w:id="150" w:name="_Toc12200"/>
      <w:bookmarkStart w:id="151" w:name="_Toc25651"/>
      <w:bookmarkStart w:id="152" w:name="_Toc26561"/>
      <w:bookmarkStart w:id="153" w:name="_Toc6376"/>
      <w:r>
        <w:rPr>
          <w:rFonts w:hint="eastAsia"/>
        </w:rPr>
        <w:t>试验</w:t>
      </w:r>
      <w:bookmarkEnd w:id="143"/>
      <w:bookmarkEnd w:id="144"/>
      <w:bookmarkEnd w:id="145"/>
      <w:bookmarkEnd w:id="146"/>
      <w:bookmarkEnd w:id="147"/>
      <w:bookmarkEnd w:id="148"/>
      <w:bookmarkEnd w:id="149"/>
      <w:r>
        <w:rPr>
          <w:rFonts w:hint="eastAsia"/>
        </w:rPr>
        <w:t>及</w:t>
      </w:r>
      <w:r>
        <w:t>验收</w:t>
      </w:r>
      <w:bookmarkEnd w:id="150"/>
      <w:bookmarkEnd w:id="151"/>
      <w:bookmarkEnd w:id="152"/>
      <w:bookmarkEnd w:id="153"/>
    </w:p>
    <w:p>
      <w:pPr>
        <w:adjustRightInd w:val="0"/>
        <w:snapToGrid w:val="0"/>
        <w:ind w:firstLine="420"/>
        <w:rPr>
          <w:rFonts w:hint="eastAsia"/>
        </w:rPr>
      </w:pPr>
      <w:r>
        <w:rPr>
          <w:rFonts w:hint="eastAsia"/>
        </w:rPr>
        <w:t>投标方应提供所投设备的型式试验报告。设备验收分为工厂验收、随工验收、阶段性（预）验收、竣工验收四个阶段，须完全通过验收测试后，方能认为本项目的设备验收合格。</w:t>
      </w:r>
    </w:p>
    <w:p>
      <w:pPr>
        <w:pStyle w:val="4"/>
        <w:ind w:hanging="992"/>
        <w:rPr>
          <w:rFonts w:hint="eastAsia"/>
          <w:b w:val="0"/>
          <w:bCs w:val="0"/>
        </w:rPr>
      </w:pPr>
      <w:bookmarkStart w:id="154" w:name="_Toc31553"/>
      <w:bookmarkStart w:id="155" w:name="_Toc279695722"/>
      <w:bookmarkStart w:id="156" w:name="_Toc32000"/>
      <w:bookmarkStart w:id="157" w:name="_Toc23378"/>
      <w:bookmarkStart w:id="158" w:name="_Toc384341017"/>
      <w:bookmarkStart w:id="159" w:name="_Toc279494181"/>
      <w:bookmarkStart w:id="160" w:name="_Toc282993302"/>
      <w:bookmarkStart w:id="161" w:name="_Toc28968"/>
      <w:r>
        <w:rPr>
          <w:rFonts w:hint="eastAsia"/>
          <w:b w:val="0"/>
          <w:bCs w:val="0"/>
        </w:rPr>
        <w:t>工厂</w:t>
      </w:r>
      <w:r>
        <w:rPr>
          <w:b w:val="0"/>
          <w:bCs w:val="0"/>
        </w:rPr>
        <w:t>验收</w:t>
      </w:r>
      <w:bookmarkEnd w:id="154"/>
      <w:bookmarkEnd w:id="155"/>
      <w:bookmarkEnd w:id="156"/>
      <w:bookmarkEnd w:id="157"/>
      <w:bookmarkEnd w:id="158"/>
      <w:bookmarkEnd w:id="159"/>
      <w:bookmarkEnd w:id="160"/>
      <w:bookmarkEnd w:id="161"/>
    </w:p>
    <w:p>
      <w:pPr>
        <w:adjustRightInd w:val="0"/>
        <w:snapToGrid w:val="0"/>
        <w:ind w:firstLine="420"/>
        <w:rPr>
          <w:rFonts w:hint="eastAsia"/>
        </w:rPr>
      </w:pPr>
      <w:r>
        <w:rPr>
          <w:rFonts w:hint="eastAsia"/>
        </w:rPr>
        <w:t>视频会议设备在发货前，应根据工程项目进度及要求安排工厂验收。工厂验收项目由厂家提供出厂测试报告。其技术指标应满足相关的国家标准、行业标准，系统功能应满足项目设计要求。</w:t>
      </w:r>
    </w:p>
    <w:p>
      <w:pPr>
        <w:pStyle w:val="4"/>
        <w:ind w:hanging="992"/>
        <w:rPr>
          <w:rFonts w:hint="eastAsia"/>
        </w:rPr>
      </w:pPr>
      <w:bookmarkStart w:id="162" w:name="_Toc279695723"/>
      <w:bookmarkEnd w:id="162"/>
      <w:bookmarkStart w:id="163" w:name="_Toc18238"/>
      <w:bookmarkStart w:id="164" w:name="_Toc1712"/>
      <w:bookmarkStart w:id="165" w:name="_Toc12435"/>
      <w:bookmarkStart w:id="166" w:name="_Toc384341018"/>
      <w:bookmarkStart w:id="167" w:name="_Toc279695724"/>
      <w:bookmarkStart w:id="168" w:name="_Toc282993303"/>
      <w:bookmarkStart w:id="169" w:name="_Toc16761"/>
      <w:r>
        <w:rPr>
          <w:rFonts w:hint="eastAsia"/>
        </w:rPr>
        <w:t>随</w:t>
      </w:r>
      <w:r>
        <w:t>工验收</w:t>
      </w:r>
      <w:bookmarkEnd w:id="163"/>
      <w:bookmarkEnd w:id="164"/>
      <w:bookmarkEnd w:id="165"/>
      <w:bookmarkEnd w:id="166"/>
      <w:bookmarkEnd w:id="167"/>
      <w:bookmarkEnd w:id="168"/>
      <w:bookmarkEnd w:id="169"/>
    </w:p>
    <w:p>
      <w:pPr>
        <w:adjustRightInd w:val="0"/>
        <w:snapToGrid w:val="0"/>
        <w:ind w:firstLine="420"/>
        <w:rPr>
          <w:rFonts w:hint="eastAsia"/>
        </w:rPr>
      </w:pPr>
      <w:r>
        <w:rPr>
          <w:rFonts w:hint="eastAsia"/>
        </w:rPr>
        <w:t>随工验收包括：设备开箱检查、设备安装质量检查、单机技术指标测试。</w:t>
      </w:r>
      <w:r>
        <w:t>在设备安装、调试过程中的随工验收内容，可作为系统初验的一个组成部分</w:t>
      </w:r>
    </w:p>
    <w:p>
      <w:pPr>
        <w:pStyle w:val="4"/>
        <w:ind w:hanging="992"/>
        <w:rPr>
          <w:rFonts w:hint="eastAsia"/>
        </w:rPr>
      </w:pPr>
      <w:bookmarkStart w:id="170" w:name="_Toc279695740"/>
      <w:bookmarkEnd w:id="170"/>
      <w:bookmarkStart w:id="171" w:name="_Toc282993304"/>
      <w:bookmarkStart w:id="172" w:name="_Toc384341019"/>
      <w:bookmarkStart w:id="173" w:name="_Toc279695741"/>
      <w:bookmarkStart w:id="174" w:name="_Toc28866"/>
      <w:bookmarkStart w:id="175" w:name="_Toc11621"/>
      <w:bookmarkStart w:id="176" w:name="_Toc12449"/>
      <w:bookmarkStart w:id="177" w:name="_Toc18914"/>
      <w:r>
        <w:rPr>
          <w:rFonts w:hint="eastAsia"/>
        </w:rPr>
        <w:t>阶段</w:t>
      </w:r>
      <w:r>
        <w:t>性</w:t>
      </w:r>
      <w:r>
        <w:rPr>
          <w:rFonts w:hint="eastAsia"/>
        </w:rPr>
        <w:t>（预）验</w:t>
      </w:r>
      <w:bookmarkEnd w:id="171"/>
      <w:bookmarkEnd w:id="172"/>
      <w:bookmarkEnd w:id="173"/>
      <w:r>
        <w:rPr>
          <w:rFonts w:hint="eastAsia"/>
        </w:rPr>
        <w:t>收</w:t>
      </w:r>
      <w:bookmarkEnd w:id="174"/>
      <w:bookmarkEnd w:id="175"/>
      <w:bookmarkEnd w:id="176"/>
      <w:bookmarkEnd w:id="177"/>
    </w:p>
    <w:p>
      <w:pPr>
        <w:adjustRightInd w:val="0"/>
        <w:snapToGrid w:val="0"/>
        <w:ind w:firstLine="420"/>
        <w:rPr>
          <w:rFonts w:hint="eastAsia"/>
        </w:rPr>
      </w:pPr>
      <w:r>
        <w:rPr>
          <w:rFonts w:hint="eastAsia"/>
        </w:rPr>
        <w:t>阶段性（预）验收包括：系统功能检查、系统技术指标测试、检查工程文件的完整性和准确性。</w:t>
      </w:r>
    </w:p>
    <w:p>
      <w:pPr>
        <w:pStyle w:val="4"/>
        <w:ind w:hanging="992"/>
        <w:rPr>
          <w:rFonts w:hint="eastAsia"/>
        </w:rPr>
      </w:pPr>
      <w:bookmarkStart w:id="178" w:name="_Toc384341021"/>
      <w:bookmarkEnd w:id="178"/>
      <w:bookmarkStart w:id="179" w:name="_Toc384341020"/>
      <w:bookmarkEnd w:id="179"/>
      <w:bookmarkStart w:id="180" w:name="_Toc384340944"/>
      <w:bookmarkEnd w:id="180"/>
      <w:bookmarkStart w:id="181" w:name="_Toc384340945"/>
      <w:bookmarkEnd w:id="181"/>
      <w:bookmarkStart w:id="182" w:name="_Toc279695757"/>
      <w:bookmarkEnd w:id="182"/>
      <w:bookmarkStart w:id="183" w:name="_Toc384341022"/>
      <w:bookmarkStart w:id="184" w:name="_Toc279695758"/>
      <w:bookmarkStart w:id="185" w:name="_Toc282993305"/>
      <w:bookmarkStart w:id="186" w:name="_Toc388022584"/>
      <w:bookmarkStart w:id="187" w:name="_Toc9752"/>
      <w:bookmarkStart w:id="188" w:name="_Toc23363"/>
      <w:bookmarkStart w:id="189" w:name="_Toc25077"/>
      <w:bookmarkStart w:id="190" w:name="_Toc6394"/>
      <w:r>
        <w:rPr>
          <w:rFonts w:hint="eastAsia"/>
        </w:rPr>
        <w:t>竣工验</w:t>
      </w:r>
      <w:bookmarkEnd w:id="183"/>
      <w:bookmarkEnd w:id="184"/>
      <w:bookmarkEnd w:id="185"/>
      <w:bookmarkEnd w:id="186"/>
      <w:r>
        <w:rPr>
          <w:rFonts w:hint="eastAsia"/>
        </w:rPr>
        <w:t>收</w:t>
      </w:r>
      <w:bookmarkEnd w:id="187"/>
      <w:bookmarkEnd w:id="188"/>
      <w:bookmarkEnd w:id="189"/>
      <w:bookmarkEnd w:id="190"/>
    </w:p>
    <w:p>
      <w:pPr>
        <w:adjustRightInd w:val="0"/>
        <w:snapToGrid w:val="0"/>
        <w:ind w:firstLine="420"/>
        <w:rPr>
          <w:rFonts w:hint="eastAsia"/>
        </w:rPr>
      </w:pPr>
      <w:bookmarkStart w:id="191" w:name="_Toc278728930"/>
      <w:bookmarkEnd w:id="191"/>
      <w:bookmarkStart w:id="192" w:name="_Toc279695899"/>
      <w:bookmarkEnd w:id="192"/>
      <w:r>
        <w:rPr>
          <w:rFonts w:hint="eastAsia"/>
        </w:rPr>
        <w:t>竣工验收包括：系统主要功能抽查、重要技术指标抽测（复核）、工程文件移交。</w:t>
      </w:r>
    </w:p>
    <w:p>
      <w:pPr>
        <w:pStyle w:val="3"/>
        <w:rPr>
          <w:rFonts w:hint="eastAsia"/>
        </w:rPr>
      </w:pPr>
      <w:bookmarkStart w:id="193" w:name="_Toc17201"/>
      <w:bookmarkStart w:id="194" w:name="_Toc25567"/>
      <w:bookmarkStart w:id="195" w:name="_Toc279696001"/>
      <w:bookmarkStart w:id="196" w:name="_Toc282993354"/>
      <w:bookmarkStart w:id="197" w:name="_Toc13358"/>
      <w:bookmarkStart w:id="198" w:name="_Toc384341024"/>
      <w:bookmarkStart w:id="199" w:name="_Toc276492422"/>
      <w:bookmarkStart w:id="200" w:name="_Toc276490910"/>
      <w:bookmarkStart w:id="201" w:name="_Toc17944"/>
      <w:r>
        <w:rPr>
          <w:rFonts w:hint="eastAsia"/>
        </w:rPr>
        <w:t>产品对环境的影响</w:t>
      </w:r>
      <w:bookmarkEnd w:id="193"/>
      <w:bookmarkEnd w:id="194"/>
      <w:bookmarkEnd w:id="195"/>
      <w:bookmarkEnd w:id="196"/>
      <w:bookmarkEnd w:id="197"/>
      <w:bookmarkEnd w:id="198"/>
      <w:bookmarkEnd w:id="199"/>
      <w:bookmarkEnd w:id="200"/>
      <w:bookmarkEnd w:id="201"/>
    </w:p>
    <w:p>
      <w:pPr>
        <w:adjustRightInd w:val="0"/>
        <w:snapToGrid w:val="0"/>
        <w:ind w:firstLine="420"/>
        <w:rPr>
          <w:rFonts w:hint="eastAsia"/>
        </w:rPr>
      </w:pPr>
      <w:r>
        <w:rPr>
          <w:rFonts w:hint="eastAsia"/>
        </w:rPr>
        <w:t>1）坚持以资源节约型和环境友好型的原则，同时应考虑降低投资成本和提高运行经济性。</w:t>
      </w:r>
    </w:p>
    <w:p>
      <w:pPr>
        <w:adjustRightInd w:val="0"/>
        <w:snapToGrid w:val="0"/>
        <w:ind w:firstLine="420"/>
        <w:rPr>
          <w:rFonts w:hint="eastAsia"/>
        </w:rPr>
      </w:pPr>
      <w:r>
        <w:rPr>
          <w:rFonts w:hint="eastAsia"/>
        </w:rPr>
        <w:t>2）应对噪声、工频电场和磁场、高频电磁波、通信干扰等方面采取必要的防治措施，并满足国家相关标准的要求。</w:t>
      </w:r>
    </w:p>
    <w:p>
      <w:pPr>
        <w:adjustRightInd w:val="0"/>
        <w:snapToGrid w:val="0"/>
        <w:ind w:firstLine="420"/>
        <w:rPr>
          <w:rFonts w:hint="eastAsia"/>
        </w:rPr>
      </w:pPr>
      <w:r>
        <w:rPr>
          <w:rFonts w:hint="eastAsia"/>
        </w:rPr>
        <w:t>3）推广采用高可靠性、小型化和节能型设备。</w:t>
      </w:r>
    </w:p>
    <w:p>
      <w:pPr>
        <w:adjustRightInd w:val="0"/>
        <w:snapToGrid w:val="0"/>
        <w:ind w:firstLine="420"/>
        <w:rPr>
          <w:rFonts w:hint="eastAsia"/>
        </w:rPr>
      </w:pPr>
      <w:r>
        <w:rPr>
          <w:rFonts w:hint="eastAsia"/>
        </w:rPr>
        <w:t>4）优先选用损耗低的产品。</w:t>
      </w:r>
    </w:p>
    <w:p>
      <w:pPr>
        <w:pStyle w:val="3"/>
      </w:pPr>
      <w:bookmarkStart w:id="202" w:name="_Toc25063"/>
      <w:bookmarkStart w:id="203" w:name="_Toc18276"/>
      <w:bookmarkStart w:id="204" w:name="_Toc30605"/>
      <w:bookmarkStart w:id="205" w:name="_Toc575"/>
      <w:bookmarkStart w:id="206" w:name="_Toc279695207"/>
      <w:bookmarkStart w:id="207" w:name="_Toc282433758"/>
      <w:bookmarkStart w:id="208" w:name="_Toc384341033"/>
      <w:bookmarkStart w:id="209" w:name="_Toc276492435"/>
      <w:bookmarkStart w:id="210" w:name="_Toc276490917"/>
      <w:bookmarkStart w:id="211" w:name="_Toc282993359"/>
      <w:r>
        <w:rPr>
          <w:rFonts w:hint="eastAsia"/>
        </w:rPr>
        <w:t>技术文件</w:t>
      </w:r>
      <w:bookmarkEnd w:id="202"/>
      <w:bookmarkEnd w:id="203"/>
      <w:bookmarkEnd w:id="204"/>
      <w:bookmarkEnd w:id="205"/>
    </w:p>
    <w:p>
      <w:pPr>
        <w:pStyle w:val="4"/>
        <w:ind w:hanging="992"/>
        <w:rPr>
          <w:rFonts w:hint="eastAsia"/>
        </w:rPr>
      </w:pPr>
      <w:bookmarkStart w:id="212" w:name="_Toc485155788"/>
      <w:bookmarkStart w:id="213" w:name="_Toc24866"/>
      <w:bookmarkStart w:id="214" w:name="_Toc12363"/>
      <w:bookmarkStart w:id="215" w:name="_Toc2870"/>
      <w:bookmarkStart w:id="216" w:name="_Toc4434"/>
      <w:r>
        <w:rPr>
          <w:rFonts w:hint="eastAsia"/>
        </w:rPr>
        <w:t>一般要求</w:t>
      </w:r>
      <w:bookmarkEnd w:id="212"/>
      <w:bookmarkEnd w:id="213"/>
      <w:bookmarkEnd w:id="214"/>
      <w:bookmarkEnd w:id="215"/>
      <w:bookmarkEnd w:id="216"/>
    </w:p>
    <w:p>
      <w:pPr>
        <w:numPr>
          <w:ilvl w:val="0"/>
          <w:numId w:val="5"/>
        </w:numPr>
        <w:adjustRightInd w:val="0"/>
        <w:snapToGrid w:val="0"/>
        <w:ind w:firstLineChars="0"/>
        <w:rPr>
          <w:rFonts w:hint="eastAsia"/>
        </w:rPr>
      </w:pPr>
      <w:r>
        <w:rPr>
          <w:rFonts w:hint="eastAsia"/>
        </w:rPr>
        <w:t>投标方必须仔细阅读规范书中全部条款，提供设备材料的技术规范和服务内容要符合本规范书的要求。投标方也可以推荐符合本规范书规定的类似的或性能更好的成熟产品，但是必须详细提出与本规范书有差异之处。</w:t>
      </w:r>
    </w:p>
    <w:p>
      <w:pPr>
        <w:numPr>
          <w:ilvl w:val="0"/>
          <w:numId w:val="5"/>
        </w:numPr>
        <w:adjustRightInd w:val="0"/>
        <w:snapToGrid w:val="0"/>
        <w:ind w:firstLineChars="0"/>
        <w:rPr>
          <w:rFonts w:hint="eastAsia"/>
        </w:rPr>
      </w:pPr>
      <w:r>
        <w:rPr>
          <w:rFonts w:hint="eastAsia"/>
        </w:rPr>
        <w:t>投标方的投标文件应以中文简体编写(原厂商的资料可为英文)，所有的计算、说明和图纸等均应采用国际单位。投标方应保证对本次招标的所有技术说明文件保密，在招标前和招标后不得向其他单位公布招标项目单位的有关材料。</w:t>
      </w:r>
    </w:p>
    <w:p>
      <w:pPr>
        <w:numPr>
          <w:ilvl w:val="0"/>
          <w:numId w:val="5"/>
        </w:numPr>
        <w:adjustRightInd w:val="0"/>
        <w:snapToGrid w:val="0"/>
        <w:ind w:firstLineChars="0"/>
        <w:rPr>
          <w:rFonts w:hint="eastAsia"/>
        </w:rPr>
      </w:pPr>
      <w:r>
        <w:rPr>
          <w:rFonts w:hint="eastAsia"/>
        </w:rPr>
        <w:t>投标文件资料的组织结构清晰、逻辑性强。资料内容要正确、准确、一致、清晰完整，满足工程要求。</w:t>
      </w:r>
    </w:p>
    <w:p>
      <w:pPr>
        <w:numPr>
          <w:ilvl w:val="0"/>
          <w:numId w:val="5"/>
        </w:numPr>
        <w:adjustRightInd w:val="0"/>
        <w:snapToGrid w:val="0"/>
        <w:ind w:firstLineChars="0"/>
        <w:rPr>
          <w:rFonts w:hint="eastAsia"/>
        </w:rPr>
      </w:pPr>
      <w:r>
        <w:rPr>
          <w:rFonts w:hint="eastAsia"/>
        </w:rPr>
        <w:t>投标人资料的提交应及时充分，满足工程进度要求。</w:t>
      </w:r>
    </w:p>
    <w:p>
      <w:pPr>
        <w:numPr>
          <w:ilvl w:val="0"/>
          <w:numId w:val="5"/>
        </w:numPr>
        <w:adjustRightInd w:val="0"/>
        <w:snapToGrid w:val="0"/>
        <w:ind w:firstLineChars="0"/>
        <w:rPr>
          <w:rFonts w:hint="eastAsia"/>
        </w:rPr>
      </w:pPr>
      <w:r>
        <w:rPr>
          <w:rFonts w:hint="eastAsia"/>
        </w:rPr>
        <w:t>对于其它没有列入合同技术资料清单，却是工程所必需的文件和资料，一经发现，投标人也应及时免费提供。</w:t>
      </w:r>
    </w:p>
    <w:p>
      <w:pPr>
        <w:numPr>
          <w:ilvl w:val="0"/>
          <w:numId w:val="5"/>
        </w:numPr>
        <w:adjustRightInd w:val="0"/>
        <w:snapToGrid w:val="0"/>
        <w:ind w:firstLineChars="0"/>
        <w:rPr>
          <w:rFonts w:hint="eastAsia"/>
        </w:rPr>
      </w:pPr>
      <w:r>
        <w:rPr>
          <w:rFonts w:hint="eastAsia"/>
        </w:rPr>
        <w:t>所有图纸必须标明为本工程专用并加盖公章。</w:t>
      </w:r>
    </w:p>
    <w:p>
      <w:pPr>
        <w:pStyle w:val="4"/>
        <w:ind w:hanging="992"/>
        <w:rPr>
          <w:rFonts w:hint="eastAsia"/>
        </w:rPr>
      </w:pPr>
      <w:bookmarkStart w:id="217" w:name="_Toc485155789"/>
      <w:bookmarkStart w:id="218" w:name="_Toc10038"/>
      <w:bookmarkStart w:id="219" w:name="_Toc13966"/>
      <w:bookmarkStart w:id="220" w:name="_Toc31096"/>
      <w:bookmarkStart w:id="221" w:name="_Toc24635"/>
      <w:r>
        <w:rPr>
          <w:rFonts w:hint="eastAsia"/>
        </w:rPr>
        <w:t>技术文件（投标时提供）</w:t>
      </w:r>
      <w:bookmarkEnd w:id="217"/>
      <w:bookmarkEnd w:id="218"/>
      <w:bookmarkEnd w:id="219"/>
      <w:bookmarkEnd w:id="220"/>
      <w:bookmarkEnd w:id="221"/>
    </w:p>
    <w:p>
      <w:pPr>
        <w:adjustRightInd w:val="0"/>
        <w:snapToGrid w:val="0"/>
        <w:ind w:firstLine="420"/>
        <w:rPr>
          <w:rFonts w:hint="eastAsia"/>
        </w:rPr>
      </w:pPr>
      <w:r>
        <w:rPr>
          <w:rFonts w:hint="eastAsia"/>
        </w:rPr>
        <w:t>在对本技术规范书逐条逐项答复以外，投标方应根据招标的实际需求，提出独立的《技术方案建议书》。</w:t>
      </w:r>
    </w:p>
    <w:p>
      <w:pPr>
        <w:adjustRightInd w:val="0"/>
        <w:snapToGrid w:val="0"/>
        <w:ind w:firstLine="420"/>
        <w:rPr>
          <w:rFonts w:hint="eastAsia"/>
        </w:rPr>
      </w:pPr>
      <w:r>
        <w:rPr>
          <w:rFonts w:hint="eastAsia"/>
        </w:rPr>
        <w:t>《技术方案建议书》应至少包含以下内容（投标人可在满足系统功能要求的前提下，补充、细化所需要的技术资料）。</w:t>
      </w:r>
    </w:p>
    <w:p>
      <w:pPr>
        <w:adjustRightInd w:val="0"/>
        <w:snapToGrid w:val="0"/>
        <w:ind w:firstLine="420"/>
        <w:rPr>
          <w:rFonts w:hint="eastAsia" w:ascii="宋体" w:hAnsi="宋体"/>
          <w:szCs w:val="21"/>
        </w:rPr>
      </w:pPr>
      <w:r>
        <w:rPr>
          <w:rFonts w:hint="eastAsia" w:ascii="宋体" w:hAnsi="宋体"/>
          <w:szCs w:val="21"/>
        </w:rPr>
        <w:t>一、系统设备、软件配置清单及说明</w:t>
      </w:r>
    </w:p>
    <w:p>
      <w:pPr>
        <w:numPr>
          <w:ilvl w:val="0"/>
          <w:numId w:val="6"/>
        </w:numPr>
        <w:adjustRightInd w:val="0"/>
        <w:snapToGrid w:val="0"/>
        <w:ind w:firstLineChars="0"/>
        <w:rPr>
          <w:rFonts w:hint="eastAsia"/>
          <w:szCs w:val="21"/>
        </w:rPr>
      </w:pPr>
      <w:r>
        <w:rPr>
          <w:rFonts w:hint="eastAsia"/>
          <w:szCs w:val="21"/>
        </w:rPr>
        <w:t>设备、软件配置清单应按板件、模块逐项列出详细清单。</w:t>
      </w:r>
    </w:p>
    <w:p>
      <w:pPr>
        <w:numPr>
          <w:ilvl w:val="0"/>
          <w:numId w:val="6"/>
        </w:numPr>
        <w:adjustRightInd w:val="0"/>
        <w:snapToGrid w:val="0"/>
        <w:ind w:firstLineChars="0"/>
        <w:rPr>
          <w:rFonts w:hint="eastAsia"/>
          <w:szCs w:val="21"/>
        </w:rPr>
      </w:pPr>
      <w:r>
        <w:rPr>
          <w:rFonts w:hint="eastAsia"/>
          <w:szCs w:val="21"/>
        </w:rPr>
        <w:t>设备硬件应说明型号、软件应说明版本号。</w:t>
      </w:r>
    </w:p>
    <w:p>
      <w:pPr>
        <w:numPr>
          <w:ilvl w:val="0"/>
          <w:numId w:val="6"/>
        </w:numPr>
        <w:adjustRightInd w:val="0"/>
        <w:snapToGrid w:val="0"/>
        <w:ind w:firstLineChars="0"/>
        <w:rPr>
          <w:rFonts w:hint="eastAsia"/>
          <w:szCs w:val="21"/>
        </w:rPr>
      </w:pPr>
      <w:r>
        <w:rPr>
          <w:rFonts w:hint="eastAsia"/>
          <w:szCs w:val="21"/>
        </w:rPr>
        <w:t>必须的备品备件、专用工具及安装材料清单。</w:t>
      </w:r>
    </w:p>
    <w:p>
      <w:pPr>
        <w:numPr>
          <w:ilvl w:val="0"/>
          <w:numId w:val="6"/>
        </w:numPr>
        <w:adjustRightInd w:val="0"/>
        <w:snapToGrid w:val="0"/>
        <w:ind w:firstLineChars="0"/>
        <w:rPr>
          <w:rFonts w:hint="eastAsia"/>
          <w:szCs w:val="21"/>
        </w:rPr>
      </w:pPr>
      <w:r>
        <w:rPr>
          <w:rFonts w:hint="eastAsia"/>
          <w:szCs w:val="21"/>
        </w:rPr>
        <w:t>系统可选配的其他功能模块清单。</w:t>
      </w:r>
    </w:p>
    <w:p>
      <w:pPr>
        <w:adjustRightInd w:val="0"/>
        <w:snapToGrid w:val="0"/>
        <w:ind w:firstLine="420"/>
        <w:rPr>
          <w:rFonts w:hint="eastAsia" w:ascii="宋体" w:hAnsi="宋体"/>
          <w:szCs w:val="21"/>
        </w:rPr>
      </w:pPr>
      <w:r>
        <w:rPr>
          <w:rFonts w:hint="eastAsia" w:ascii="宋体" w:hAnsi="宋体"/>
          <w:szCs w:val="21"/>
        </w:rPr>
        <w:t>二、总体技术方案建议</w:t>
      </w:r>
    </w:p>
    <w:p>
      <w:pPr>
        <w:adjustRightInd w:val="0"/>
        <w:snapToGrid w:val="0"/>
        <w:ind w:firstLine="420"/>
        <w:rPr>
          <w:rFonts w:hint="eastAsia"/>
          <w:szCs w:val="21"/>
        </w:rPr>
      </w:pPr>
      <w:r>
        <w:rPr>
          <w:rFonts w:hint="eastAsia"/>
          <w:szCs w:val="21"/>
        </w:rPr>
        <w:t>本技术规范书对系统的软硬件设备、功能提出基本要求，投标方可结合投标产品的特点提出系统配置建议并提供产品性能的详细资料。</w:t>
      </w:r>
    </w:p>
    <w:p>
      <w:pPr>
        <w:adjustRightInd w:val="0"/>
        <w:snapToGrid w:val="0"/>
        <w:ind w:firstLine="420"/>
        <w:rPr>
          <w:rFonts w:hint="eastAsia"/>
          <w:szCs w:val="21"/>
        </w:rPr>
      </w:pPr>
      <w:r>
        <w:rPr>
          <w:rFonts w:hint="eastAsia"/>
          <w:szCs w:val="21"/>
        </w:rPr>
        <w:t>投标方若对本文件中的部分要求不能满足或者有不同于本文件相关要求的其他建议，均应在建议书中详细说明。</w:t>
      </w:r>
    </w:p>
    <w:p>
      <w:pPr>
        <w:adjustRightInd w:val="0"/>
        <w:snapToGrid w:val="0"/>
        <w:ind w:firstLine="420"/>
        <w:rPr>
          <w:rFonts w:hint="eastAsia"/>
          <w:szCs w:val="21"/>
        </w:rPr>
      </w:pPr>
      <w:r>
        <w:rPr>
          <w:rFonts w:hint="eastAsia"/>
          <w:szCs w:val="21"/>
        </w:rPr>
        <w:t xml:space="preserve">总体技术方案应详细地针对本项目所建设的系统进行响应、设计。 </w:t>
      </w:r>
    </w:p>
    <w:p>
      <w:pPr>
        <w:adjustRightInd w:val="0"/>
        <w:snapToGrid w:val="0"/>
        <w:ind w:firstLine="420"/>
        <w:rPr>
          <w:rFonts w:hint="eastAsia" w:ascii="宋体" w:hAnsi="宋体"/>
          <w:szCs w:val="21"/>
        </w:rPr>
      </w:pPr>
      <w:r>
        <w:rPr>
          <w:rFonts w:hint="eastAsia" w:ascii="宋体" w:hAnsi="宋体"/>
          <w:szCs w:val="21"/>
        </w:rPr>
        <w:t>三、所提供设备、软件情况及有关技术资料</w:t>
      </w:r>
    </w:p>
    <w:p>
      <w:pPr>
        <w:adjustRightInd w:val="0"/>
        <w:snapToGrid w:val="0"/>
        <w:ind w:firstLine="420"/>
        <w:rPr>
          <w:rFonts w:hint="eastAsia" w:ascii="宋体" w:hAnsi="宋体"/>
          <w:bCs/>
          <w:szCs w:val="21"/>
        </w:rPr>
      </w:pPr>
      <w:r>
        <w:rPr>
          <w:rFonts w:hint="eastAsia" w:ascii="宋体" w:hAnsi="宋体"/>
          <w:bCs/>
          <w:szCs w:val="21"/>
        </w:rPr>
        <w:t>设备及软件详细资料，包括：功能性能说明、体系结构，硬件设备内部体系结构、各种接口特性、设备面板配置图、安装方式及物理尺寸、供电方式、设备功耗、设备或机架接地要求、重量、温湿度等环境要求。</w:t>
      </w:r>
    </w:p>
    <w:p>
      <w:pPr>
        <w:adjustRightInd w:val="0"/>
        <w:snapToGrid w:val="0"/>
        <w:ind w:firstLine="420"/>
        <w:rPr>
          <w:rFonts w:hint="eastAsia" w:ascii="宋体" w:hAnsi="宋体"/>
          <w:bCs/>
          <w:szCs w:val="21"/>
        </w:rPr>
      </w:pPr>
      <w:r>
        <w:rPr>
          <w:rFonts w:hint="eastAsia" w:ascii="宋体" w:hAnsi="宋体"/>
          <w:bCs/>
          <w:szCs w:val="21"/>
        </w:rPr>
        <w:t>有关技术资料，还应包括：系统结构、系统功能和系统特性、系统控制功能及软件功能、操作与维护等内容。</w:t>
      </w:r>
    </w:p>
    <w:p>
      <w:pPr>
        <w:adjustRightInd w:val="0"/>
        <w:snapToGrid w:val="0"/>
        <w:ind w:firstLine="420"/>
        <w:rPr>
          <w:rFonts w:hint="eastAsia" w:ascii="宋体" w:hAnsi="宋体"/>
          <w:szCs w:val="21"/>
        </w:rPr>
      </w:pPr>
      <w:r>
        <w:rPr>
          <w:rFonts w:hint="eastAsia" w:ascii="宋体" w:hAnsi="宋体"/>
          <w:szCs w:val="21"/>
        </w:rPr>
        <w:t>四、场地及环境准备要求</w:t>
      </w:r>
    </w:p>
    <w:p>
      <w:pPr>
        <w:adjustRightInd w:val="0"/>
        <w:snapToGrid w:val="0"/>
        <w:ind w:firstLine="420"/>
        <w:rPr>
          <w:rFonts w:hint="eastAsia"/>
          <w:szCs w:val="21"/>
        </w:rPr>
      </w:pPr>
      <w:r>
        <w:rPr>
          <w:rFonts w:hint="eastAsia"/>
          <w:szCs w:val="21"/>
        </w:rPr>
        <w:t>投标方对于场地和环境准备工作的安排。</w:t>
      </w:r>
    </w:p>
    <w:p>
      <w:pPr>
        <w:adjustRightInd w:val="0"/>
        <w:snapToGrid w:val="0"/>
        <w:ind w:firstLine="420"/>
        <w:rPr>
          <w:rFonts w:hint="eastAsia" w:ascii="宋体" w:hAnsi="宋体"/>
          <w:szCs w:val="21"/>
        </w:rPr>
      </w:pPr>
      <w:r>
        <w:rPr>
          <w:rFonts w:hint="eastAsia" w:ascii="宋体" w:hAnsi="宋体"/>
          <w:szCs w:val="21"/>
        </w:rPr>
        <w:t>五、工程实施安排</w:t>
      </w:r>
    </w:p>
    <w:p>
      <w:pPr>
        <w:adjustRightInd w:val="0"/>
        <w:snapToGrid w:val="0"/>
        <w:ind w:firstLine="420"/>
        <w:rPr>
          <w:rFonts w:hint="eastAsia"/>
          <w:szCs w:val="21"/>
        </w:rPr>
      </w:pPr>
      <w:r>
        <w:rPr>
          <w:rFonts w:hint="eastAsia"/>
          <w:szCs w:val="21"/>
        </w:rPr>
        <w:t>投标方对于工程实施的详细进度安排、组织机构和人员情况安排。</w:t>
      </w:r>
    </w:p>
    <w:p>
      <w:pPr>
        <w:adjustRightInd w:val="0"/>
        <w:snapToGrid w:val="0"/>
        <w:ind w:firstLine="420"/>
        <w:rPr>
          <w:rFonts w:hint="eastAsia" w:ascii="宋体" w:hAnsi="宋体"/>
          <w:szCs w:val="21"/>
        </w:rPr>
      </w:pPr>
      <w:r>
        <w:rPr>
          <w:rFonts w:hint="eastAsia" w:ascii="宋体" w:hAnsi="宋体"/>
          <w:szCs w:val="21"/>
        </w:rPr>
        <w:t>六、项目质量控制</w:t>
      </w:r>
    </w:p>
    <w:p>
      <w:pPr>
        <w:adjustRightInd w:val="0"/>
        <w:snapToGrid w:val="0"/>
        <w:ind w:firstLine="420"/>
        <w:rPr>
          <w:rFonts w:hint="eastAsia"/>
          <w:szCs w:val="21"/>
        </w:rPr>
      </w:pPr>
      <w:r>
        <w:rPr>
          <w:rFonts w:hint="eastAsia"/>
          <w:szCs w:val="21"/>
        </w:rPr>
        <w:t>投标方对于工程实施的详细项目质量控制方案。</w:t>
      </w:r>
    </w:p>
    <w:p>
      <w:pPr>
        <w:adjustRightInd w:val="0"/>
        <w:snapToGrid w:val="0"/>
        <w:ind w:firstLine="420"/>
        <w:rPr>
          <w:rFonts w:hint="eastAsia" w:ascii="宋体" w:hAnsi="宋体"/>
          <w:szCs w:val="21"/>
        </w:rPr>
      </w:pPr>
      <w:r>
        <w:rPr>
          <w:rFonts w:hint="eastAsia" w:ascii="宋体" w:hAnsi="宋体"/>
          <w:szCs w:val="21"/>
        </w:rPr>
        <w:t>七、设计联络会</w:t>
      </w:r>
    </w:p>
    <w:p>
      <w:pPr>
        <w:adjustRightInd w:val="0"/>
        <w:snapToGrid w:val="0"/>
        <w:ind w:firstLine="420"/>
        <w:rPr>
          <w:rFonts w:hint="eastAsia"/>
          <w:szCs w:val="21"/>
        </w:rPr>
      </w:pPr>
      <w:r>
        <w:rPr>
          <w:rFonts w:hint="eastAsia"/>
          <w:szCs w:val="21"/>
        </w:rPr>
        <w:t>投标方对于设计联络会的安排。</w:t>
      </w:r>
    </w:p>
    <w:p>
      <w:pPr>
        <w:adjustRightInd w:val="0"/>
        <w:snapToGrid w:val="0"/>
        <w:ind w:firstLine="420"/>
        <w:rPr>
          <w:rFonts w:hint="eastAsia" w:ascii="宋体" w:hAnsi="宋体"/>
          <w:szCs w:val="21"/>
        </w:rPr>
      </w:pPr>
      <w:r>
        <w:rPr>
          <w:rFonts w:hint="eastAsia" w:ascii="宋体" w:hAnsi="宋体"/>
          <w:szCs w:val="21"/>
        </w:rPr>
        <w:t>八、测试及验收</w:t>
      </w:r>
    </w:p>
    <w:p>
      <w:pPr>
        <w:adjustRightInd w:val="0"/>
        <w:snapToGrid w:val="0"/>
        <w:ind w:firstLine="420"/>
        <w:rPr>
          <w:rFonts w:hint="eastAsia"/>
          <w:szCs w:val="21"/>
        </w:rPr>
      </w:pPr>
      <w:r>
        <w:rPr>
          <w:rFonts w:hint="eastAsia"/>
          <w:szCs w:val="21"/>
        </w:rPr>
        <w:t>系统验收流程、测试内容、测试方法及相关测试手册等。</w:t>
      </w:r>
    </w:p>
    <w:p>
      <w:pPr>
        <w:adjustRightInd w:val="0"/>
        <w:snapToGrid w:val="0"/>
        <w:ind w:firstLine="420"/>
        <w:rPr>
          <w:rFonts w:hint="eastAsia" w:ascii="宋体" w:hAnsi="宋体"/>
          <w:szCs w:val="21"/>
        </w:rPr>
      </w:pPr>
      <w:r>
        <w:rPr>
          <w:rFonts w:hint="eastAsia" w:ascii="宋体" w:hAnsi="宋体"/>
          <w:szCs w:val="21"/>
        </w:rPr>
        <w:t>九、培训计划</w:t>
      </w:r>
    </w:p>
    <w:p>
      <w:pPr>
        <w:adjustRightInd w:val="0"/>
        <w:snapToGrid w:val="0"/>
        <w:ind w:firstLine="420"/>
        <w:rPr>
          <w:rFonts w:hint="eastAsia"/>
          <w:szCs w:val="21"/>
        </w:rPr>
      </w:pPr>
      <w:r>
        <w:rPr>
          <w:rFonts w:hint="eastAsia"/>
          <w:szCs w:val="21"/>
        </w:rPr>
        <w:t>包含培训内容、等级、对象、课程安排及相关描述、人员数量、地点等。</w:t>
      </w:r>
    </w:p>
    <w:p>
      <w:pPr>
        <w:adjustRightInd w:val="0"/>
        <w:snapToGrid w:val="0"/>
        <w:ind w:firstLine="420"/>
        <w:rPr>
          <w:rFonts w:hint="eastAsia" w:ascii="宋体" w:hAnsi="宋体"/>
          <w:szCs w:val="21"/>
        </w:rPr>
      </w:pPr>
      <w:r>
        <w:rPr>
          <w:rFonts w:hint="eastAsia" w:ascii="宋体" w:hAnsi="宋体"/>
          <w:szCs w:val="21"/>
        </w:rPr>
        <w:t>十、技术服务、支持、保修</w:t>
      </w:r>
    </w:p>
    <w:p>
      <w:pPr>
        <w:adjustRightInd w:val="0"/>
        <w:snapToGrid w:val="0"/>
        <w:ind w:firstLine="420"/>
        <w:rPr>
          <w:rFonts w:hint="eastAsia"/>
          <w:szCs w:val="21"/>
        </w:rPr>
      </w:pPr>
      <w:r>
        <w:rPr>
          <w:rFonts w:hint="eastAsia"/>
          <w:szCs w:val="21"/>
        </w:rPr>
        <w:t>投标方应明确提出为本项目提供的售后服务内容、等级、相关服务指标、售后服务组织机构及人员安排情况等。</w:t>
      </w:r>
    </w:p>
    <w:p>
      <w:pPr>
        <w:adjustRightInd w:val="0"/>
        <w:snapToGrid w:val="0"/>
        <w:ind w:firstLine="420"/>
        <w:rPr>
          <w:rFonts w:hint="eastAsia" w:ascii="宋体" w:hAnsi="宋体"/>
          <w:szCs w:val="21"/>
        </w:rPr>
      </w:pPr>
      <w:r>
        <w:rPr>
          <w:rFonts w:hint="eastAsia" w:ascii="宋体" w:hAnsi="宋体"/>
          <w:szCs w:val="21"/>
        </w:rPr>
        <w:t>十一、其他内容</w:t>
      </w:r>
    </w:p>
    <w:p>
      <w:pPr>
        <w:numPr>
          <w:ilvl w:val="0"/>
          <w:numId w:val="7"/>
        </w:numPr>
        <w:adjustRightInd w:val="0"/>
        <w:snapToGrid w:val="0"/>
        <w:ind w:firstLineChars="0"/>
        <w:rPr>
          <w:rFonts w:hint="eastAsia"/>
          <w:szCs w:val="21"/>
        </w:rPr>
      </w:pPr>
      <w:r>
        <w:rPr>
          <w:rFonts w:hint="eastAsia"/>
          <w:szCs w:val="21"/>
        </w:rPr>
        <w:t>说明对本项目业务功能、系统架构等方面的建议；</w:t>
      </w:r>
    </w:p>
    <w:p>
      <w:pPr>
        <w:numPr>
          <w:ilvl w:val="0"/>
          <w:numId w:val="7"/>
        </w:numPr>
        <w:adjustRightInd w:val="0"/>
        <w:snapToGrid w:val="0"/>
        <w:ind w:firstLineChars="0"/>
        <w:rPr>
          <w:rFonts w:hint="eastAsia"/>
          <w:szCs w:val="21"/>
        </w:rPr>
      </w:pPr>
      <w:r>
        <w:rPr>
          <w:rFonts w:hint="eastAsia"/>
          <w:szCs w:val="21"/>
        </w:rPr>
        <w:t>投标方应提供必备的备品备件、安装和检修所需的专用软、硬件工具及安装材料等，并提供详细供货清单；</w:t>
      </w:r>
    </w:p>
    <w:p>
      <w:pPr>
        <w:numPr>
          <w:ilvl w:val="0"/>
          <w:numId w:val="7"/>
        </w:numPr>
        <w:adjustRightInd w:val="0"/>
        <w:snapToGrid w:val="0"/>
        <w:ind w:firstLineChars="0"/>
        <w:rPr>
          <w:rFonts w:hint="eastAsia"/>
          <w:szCs w:val="21"/>
        </w:rPr>
      </w:pPr>
      <w:r>
        <w:rPr>
          <w:rFonts w:hint="eastAsia"/>
          <w:szCs w:val="21"/>
        </w:rPr>
        <w:t>投标方需明确软、硬件的质保期。第三方软件授权证书；</w:t>
      </w:r>
    </w:p>
    <w:p>
      <w:pPr>
        <w:numPr>
          <w:ilvl w:val="0"/>
          <w:numId w:val="7"/>
        </w:numPr>
        <w:adjustRightInd w:val="0"/>
        <w:snapToGrid w:val="0"/>
        <w:ind w:firstLineChars="0"/>
        <w:rPr>
          <w:rFonts w:hint="eastAsia"/>
          <w:szCs w:val="21"/>
        </w:rPr>
      </w:pPr>
      <w:r>
        <w:rPr>
          <w:rFonts w:hint="eastAsia"/>
          <w:szCs w:val="21"/>
        </w:rPr>
        <w:t>风险与对策：若投标方认为实现本文件的相关内容存在技术类或其它类风险，请详细说明，并提供相应的对策；</w:t>
      </w:r>
    </w:p>
    <w:p>
      <w:pPr>
        <w:numPr>
          <w:ilvl w:val="0"/>
          <w:numId w:val="7"/>
        </w:numPr>
        <w:adjustRightInd w:val="0"/>
        <w:snapToGrid w:val="0"/>
        <w:ind w:firstLineChars="0"/>
        <w:rPr>
          <w:rFonts w:hint="eastAsia"/>
          <w:szCs w:val="21"/>
        </w:rPr>
      </w:pPr>
      <w:r>
        <w:rPr>
          <w:rFonts w:hint="eastAsia"/>
          <w:szCs w:val="21"/>
        </w:rPr>
        <w:t>投标方认为需要为本项目提供的其它任何资料信息。</w:t>
      </w:r>
    </w:p>
    <w:p>
      <w:pPr>
        <w:pStyle w:val="4"/>
        <w:ind w:hanging="992"/>
        <w:rPr>
          <w:rFonts w:hint="eastAsia"/>
        </w:rPr>
      </w:pPr>
      <w:bookmarkStart w:id="222" w:name="_Toc27372"/>
      <w:bookmarkStart w:id="223" w:name="_Toc485155790"/>
      <w:bookmarkStart w:id="224" w:name="_Toc22747"/>
      <w:bookmarkStart w:id="225" w:name="_Toc24632"/>
      <w:bookmarkStart w:id="226" w:name="_Toc30168"/>
      <w:r>
        <w:rPr>
          <w:rFonts w:hint="eastAsia"/>
        </w:rPr>
        <w:t>技术文件（中标后提供）</w:t>
      </w:r>
      <w:bookmarkEnd w:id="222"/>
      <w:bookmarkEnd w:id="223"/>
      <w:bookmarkEnd w:id="224"/>
      <w:bookmarkEnd w:id="225"/>
      <w:bookmarkEnd w:id="226"/>
    </w:p>
    <w:p>
      <w:pPr>
        <w:pStyle w:val="5"/>
        <w:ind w:left="987" w:leftChars="0" w:firstLineChars="0"/>
        <w:rPr>
          <w:rFonts w:hint="eastAsia"/>
          <w:sz w:val="24"/>
          <w:szCs w:val="24"/>
        </w:rPr>
      </w:pPr>
      <w:bookmarkStart w:id="227" w:name="_Toc485155791"/>
      <w:bookmarkStart w:id="228" w:name="_Toc17064"/>
      <w:bookmarkStart w:id="229" w:name="_Toc28622"/>
      <w:bookmarkStart w:id="230" w:name="_Toc1708"/>
      <w:bookmarkStart w:id="231" w:name="_Toc23092"/>
      <w:bookmarkStart w:id="232" w:name="_Toc29087"/>
      <w:r>
        <w:rPr>
          <w:rFonts w:hint="eastAsia"/>
        </w:rPr>
        <w:t>基本要求</w:t>
      </w:r>
      <w:bookmarkEnd w:id="227"/>
      <w:bookmarkEnd w:id="228"/>
      <w:bookmarkEnd w:id="229"/>
      <w:bookmarkEnd w:id="230"/>
      <w:bookmarkEnd w:id="231"/>
      <w:bookmarkEnd w:id="232"/>
    </w:p>
    <w:p>
      <w:pPr>
        <w:numPr>
          <w:ilvl w:val="0"/>
          <w:numId w:val="8"/>
        </w:numPr>
        <w:adjustRightInd w:val="0"/>
        <w:snapToGrid w:val="0"/>
        <w:ind w:firstLineChars="0"/>
        <w:rPr>
          <w:rFonts w:hint="eastAsia"/>
          <w:szCs w:val="21"/>
        </w:rPr>
      </w:pPr>
      <w:r>
        <w:rPr>
          <w:rFonts w:hint="eastAsia"/>
          <w:szCs w:val="21"/>
        </w:rPr>
        <w:t>投标方应能提供本系统的全套技术文件。技术文件应包括计划文件、系统文件、硬件设备技术文件、软件系统技术文件、安装和测试文件、操作和维护文件及与本系统有关的招标方认为必要的其他技术文件。在提供印刷文件的同时应提供相对应的电子文件。</w:t>
      </w:r>
    </w:p>
    <w:p>
      <w:pPr>
        <w:numPr>
          <w:ilvl w:val="0"/>
          <w:numId w:val="8"/>
        </w:numPr>
        <w:adjustRightInd w:val="0"/>
        <w:snapToGrid w:val="0"/>
        <w:ind w:firstLineChars="0"/>
        <w:rPr>
          <w:rFonts w:hint="eastAsia"/>
          <w:szCs w:val="21"/>
        </w:rPr>
      </w:pPr>
      <w:r>
        <w:rPr>
          <w:rFonts w:hint="eastAsia"/>
          <w:szCs w:val="21"/>
        </w:rPr>
        <w:t>投标方应提供一份包括全套技术文件在内的文件清单，所有文件均应有简洁明了的名称和编号。各种文件的文字说明应通俗易懂，所有图纸的图幅及图形符号等均应规范化。</w:t>
      </w:r>
    </w:p>
    <w:p>
      <w:pPr>
        <w:numPr>
          <w:ilvl w:val="0"/>
          <w:numId w:val="8"/>
        </w:numPr>
        <w:adjustRightInd w:val="0"/>
        <w:snapToGrid w:val="0"/>
        <w:ind w:firstLineChars="0"/>
        <w:rPr>
          <w:rFonts w:hint="eastAsia"/>
          <w:szCs w:val="21"/>
        </w:rPr>
      </w:pPr>
      <w:r>
        <w:rPr>
          <w:rFonts w:hint="eastAsia"/>
          <w:szCs w:val="21"/>
        </w:rPr>
        <w:t>所提供的技术文件，其内容必须与所供设备一致，在双方商定的某一时期内由于软件硬件的修改而导致文件的任何修改，投标方均应提供修改更正或补充的印刷文件、电子文件，其内容应包括：1) 修改的内容；2) 修改理由；3) 设备可能受到的影响。软件每作一次修改或升级，都应向招标方说明原因。</w:t>
      </w:r>
    </w:p>
    <w:p>
      <w:pPr>
        <w:numPr>
          <w:ilvl w:val="0"/>
          <w:numId w:val="8"/>
        </w:numPr>
        <w:adjustRightInd w:val="0"/>
        <w:snapToGrid w:val="0"/>
        <w:ind w:firstLineChars="0"/>
        <w:rPr>
          <w:rFonts w:hint="eastAsia"/>
          <w:szCs w:val="21"/>
        </w:rPr>
      </w:pPr>
      <w:r>
        <w:rPr>
          <w:rFonts w:hint="eastAsia"/>
          <w:szCs w:val="21"/>
        </w:rPr>
        <w:t>在设备出厂时，投标方应免费提供双方商定数量的印刷本文件。招标方有权复制投标方提供的资料，作为设备的维护管理使用。</w:t>
      </w:r>
    </w:p>
    <w:p>
      <w:pPr>
        <w:pStyle w:val="5"/>
        <w:ind w:left="987" w:leftChars="0" w:firstLineChars="0"/>
        <w:rPr>
          <w:rFonts w:hint="eastAsia"/>
        </w:rPr>
      </w:pPr>
      <w:bookmarkStart w:id="233" w:name="_Toc8791"/>
      <w:bookmarkStart w:id="234" w:name="_Toc15643"/>
      <w:bookmarkStart w:id="235" w:name="_Toc20798"/>
      <w:bookmarkStart w:id="236" w:name="_Toc25808"/>
      <w:bookmarkStart w:id="237" w:name="_Toc20536"/>
      <w:bookmarkStart w:id="238" w:name="_Toc485155792"/>
      <w:r>
        <w:rPr>
          <w:rFonts w:hint="eastAsia"/>
        </w:rPr>
        <w:t>主要内容</w:t>
      </w:r>
      <w:bookmarkEnd w:id="233"/>
      <w:bookmarkEnd w:id="234"/>
      <w:bookmarkEnd w:id="235"/>
      <w:bookmarkEnd w:id="236"/>
      <w:bookmarkEnd w:id="237"/>
      <w:bookmarkEnd w:id="238"/>
    </w:p>
    <w:p>
      <w:pPr>
        <w:numPr>
          <w:ilvl w:val="0"/>
          <w:numId w:val="9"/>
        </w:numPr>
        <w:adjustRightInd w:val="0"/>
        <w:snapToGrid w:val="0"/>
        <w:ind w:firstLineChars="0"/>
        <w:rPr>
          <w:rFonts w:hint="eastAsia"/>
          <w:szCs w:val="21"/>
        </w:rPr>
      </w:pPr>
      <w:r>
        <w:rPr>
          <w:rFonts w:hint="eastAsia"/>
          <w:szCs w:val="21"/>
        </w:rPr>
        <w:t>系统文件：系统整体设计图纸及相关资料；</w:t>
      </w:r>
    </w:p>
    <w:p>
      <w:pPr>
        <w:numPr>
          <w:ilvl w:val="0"/>
          <w:numId w:val="9"/>
        </w:numPr>
        <w:adjustRightInd w:val="0"/>
        <w:snapToGrid w:val="0"/>
        <w:ind w:firstLineChars="0"/>
        <w:rPr>
          <w:rFonts w:hint="eastAsia"/>
          <w:szCs w:val="21"/>
        </w:rPr>
      </w:pPr>
      <w:r>
        <w:rPr>
          <w:rFonts w:hint="eastAsia"/>
          <w:szCs w:val="21"/>
        </w:rPr>
        <w:t>硬件设备技术文件：各部分硬件设备的技术说明和使用说明，其内容应包括：设备的主要功能、设备构成、设备原理说明、设备工作流程、本设备与其他设备接口说明及其他需要说明的问题；设备安装、接线详细说明；各种机架、机柜及设备的位置图、平面布置图及相应的使用、维护说明资料。</w:t>
      </w:r>
    </w:p>
    <w:p>
      <w:pPr>
        <w:numPr>
          <w:ilvl w:val="0"/>
          <w:numId w:val="9"/>
        </w:numPr>
        <w:adjustRightInd w:val="0"/>
        <w:snapToGrid w:val="0"/>
        <w:ind w:firstLineChars="0"/>
        <w:rPr>
          <w:rFonts w:hint="eastAsia"/>
          <w:szCs w:val="21"/>
        </w:rPr>
      </w:pPr>
      <w:r>
        <w:rPr>
          <w:rFonts w:hint="eastAsia"/>
          <w:szCs w:val="21"/>
        </w:rPr>
        <w:t>软件系统技术文件：软件系统总体结构、功能说明；软件系统详细操作手册；各软件备份光盘及U盘；软件测试和验收说明；软件系统运行、维护说明。</w:t>
      </w:r>
    </w:p>
    <w:p>
      <w:pPr>
        <w:widowControl/>
        <w:ind w:firstLine="422"/>
        <w:jc w:val="left"/>
        <w:rPr>
          <w:rFonts w:hint="eastAsia" w:ascii="宋体" w:hAnsi="宋体"/>
          <w:b/>
          <w:bCs/>
          <w:kern w:val="44"/>
          <w:szCs w:val="21"/>
        </w:rPr>
      </w:pPr>
    </w:p>
    <w:p>
      <w:pPr>
        <w:pStyle w:val="3"/>
        <w:rPr>
          <w:rFonts w:hint="eastAsia"/>
        </w:rPr>
      </w:pPr>
      <w:bookmarkStart w:id="239" w:name="_Toc3185"/>
      <w:bookmarkStart w:id="240" w:name="_Toc6792"/>
      <w:bookmarkStart w:id="241" w:name="_Toc22099"/>
      <w:bookmarkStart w:id="242" w:name="_Toc20261"/>
      <w:r>
        <w:rPr>
          <w:rFonts w:hint="eastAsia"/>
        </w:rPr>
        <w:t>包装、储存、运输及质量保证</w:t>
      </w:r>
      <w:bookmarkEnd w:id="239"/>
      <w:bookmarkEnd w:id="240"/>
      <w:bookmarkEnd w:id="241"/>
      <w:bookmarkEnd w:id="242"/>
    </w:p>
    <w:p>
      <w:pPr>
        <w:pStyle w:val="4"/>
        <w:ind w:hanging="992"/>
        <w:rPr>
          <w:rFonts w:hint="eastAsia"/>
        </w:rPr>
      </w:pPr>
      <w:bookmarkStart w:id="243" w:name="_Toc26807"/>
      <w:bookmarkStart w:id="244" w:name="_Toc613"/>
      <w:bookmarkStart w:id="245" w:name="_Toc3249"/>
      <w:bookmarkStart w:id="246" w:name="_Toc23369"/>
      <w:bookmarkStart w:id="247" w:name="_Toc472997247"/>
      <w:bookmarkStart w:id="248" w:name="_Toc471528253"/>
      <w:bookmarkStart w:id="249" w:name="_Toc200531202"/>
      <w:bookmarkStart w:id="250" w:name="_Toc53672785"/>
      <w:r>
        <w:rPr>
          <w:rFonts w:hint="eastAsia"/>
        </w:rPr>
        <w:t>包装</w:t>
      </w:r>
      <w:r>
        <w:t>、</w:t>
      </w:r>
      <w:r>
        <w:rPr>
          <w:rFonts w:hint="eastAsia"/>
        </w:rPr>
        <w:t>储存和运输</w:t>
      </w:r>
      <w:bookmarkEnd w:id="243"/>
      <w:bookmarkEnd w:id="244"/>
      <w:bookmarkEnd w:id="245"/>
      <w:bookmarkEnd w:id="246"/>
    </w:p>
    <w:p>
      <w:pPr>
        <w:numPr>
          <w:ilvl w:val="0"/>
          <w:numId w:val="10"/>
        </w:numPr>
        <w:adjustRightInd w:val="0"/>
        <w:snapToGrid w:val="0"/>
        <w:ind w:left="0" w:firstLine="420"/>
      </w:pPr>
      <w:bookmarkStart w:id="251" w:name="_Toc276492436"/>
      <w:bookmarkStart w:id="252" w:name="_Toc279695209"/>
      <w:bookmarkStart w:id="253" w:name="_Toc282993364"/>
      <w:bookmarkStart w:id="254" w:name="_Toc276490918"/>
      <w:bookmarkStart w:id="255" w:name="_Toc282433760"/>
      <w:bookmarkStart w:id="256" w:name="_Toc276301528"/>
      <w:r>
        <w:rPr>
          <w:rFonts w:hint="eastAsia"/>
        </w:rPr>
        <w:t>设备制造完成并通过试验后应及时包装，否则应得到切实的保护, 确保其不受污损。所有部件经妥善包装或装箱后, 在运输过程中应采取其它防护措施, 以免散失损坏或被盗。</w:t>
      </w:r>
    </w:p>
    <w:p>
      <w:pPr>
        <w:numPr>
          <w:ilvl w:val="0"/>
          <w:numId w:val="10"/>
        </w:numPr>
        <w:adjustRightInd w:val="0"/>
        <w:snapToGrid w:val="0"/>
        <w:ind w:left="0" w:firstLine="420"/>
      </w:pPr>
      <w:r>
        <w:rPr>
          <w:rFonts w:hint="eastAsia"/>
        </w:rPr>
        <w:t>在包装箱外应标明需方的订货号、发货号。</w:t>
      </w:r>
    </w:p>
    <w:p>
      <w:pPr>
        <w:numPr>
          <w:ilvl w:val="0"/>
          <w:numId w:val="10"/>
        </w:numPr>
        <w:adjustRightInd w:val="0"/>
        <w:snapToGrid w:val="0"/>
        <w:ind w:left="0" w:firstLine="420"/>
      </w:pPr>
      <w:r>
        <w:rPr>
          <w:rFonts w:hint="eastAsia"/>
        </w:rPr>
        <w:t>各种包装应能确保各零部件在运输过程中不致遭到损坏、丢失、变形、受潮和腐蚀。</w:t>
      </w:r>
    </w:p>
    <w:p>
      <w:pPr>
        <w:numPr>
          <w:ilvl w:val="0"/>
          <w:numId w:val="10"/>
        </w:numPr>
        <w:adjustRightInd w:val="0"/>
        <w:snapToGrid w:val="0"/>
        <w:ind w:left="0" w:firstLine="420"/>
      </w:pPr>
      <w:r>
        <w:rPr>
          <w:rFonts w:hint="eastAsia"/>
        </w:rPr>
        <w:t>包装箱上应有明显的包装储运图示标志（按GB191）。</w:t>
      </w:r>
    </w:p>
    <w:p>
      <w:pPr>
        <w:numPr>
          <w:ilvl w:val="0"/>
          <w:numId w:val="10"/>
        </w:numPr>
        <w:adjustRightInd w:val="0"/>
        <w:snapToGrid w:val="0"/>
        <w:ind w:left="0" w:firstLine="420"/>
      </w:pPr>
      <w:r>
        <w:rPr>
          <w:rFonts w:hint="eastAsia"/>
        </w:rPr>
        <w:t>整体产品或分别运输的部件都要适合运输和装载的要求。</w:t>
      </w:r>
    </w:p>
    <w:p>
      <w:pPr>
        <w:numPr>
          <w:ilvl w:val="0"/>
          <w:numId w:val="10"/>
        </w:numPr>
        <w:adjustRightInd w:val="0"/>
        <w:snapToGrid w:val="0"/>
        <w:ind w:left="0" w:firstLine="420"/>
      </w:pPr>
      <w:r>
        <w:rPr>
          <w:rFonts w:hint="eastAsia"/>
        </w:rPr>
        <w:t>随产品提供的技术资料应完整无缺，提供份额符合GB11032的要求。</w:t>
      </w:r>
    </w:p>
    <w:p>
      <w:pPr>
        <w:numPr>
          <w:ilvl w:val="0"/>
          <w:numId w:val="10"/>
        </w:numPr>
        <w:adjustRightInd w:val="0"/>
        <w:snapToGrid w:val="0"/>
        <w:ind w:left="0" w:firstLine="420"/>
        <w:rPr>
          <w:rFonts w:hint="eastAsia"/>
        </w:rPr>
      </w:pPr>
      <w:r>
        <w:rPr>
          <w:rFonts w:hint="eastAsia"/>
        </w:rPr>
        <w:t>包装、运输和贮存均由投标方负责，运输的目的地为安装地点或招标方指定地点，设备抵达目的地后，投标方组织开箱验收。如果发现任一设备有偏差、损坏、损失、遗漏或数量、质量、技术规范因投标方的责任与合同不符，招标方有权向投标方提出索赔。</w:t>
      </w:r>
    </w:p>
    <w:p>
      <w:pPr>
        <w:numPr>
          <w:ilvl w:val="0"/>
          <w:numId w:val="10"/>
        </w:numPr>
        <w:adjustRightInd w:val="0"/>
        <w:snapToGrid w:val="0"/>
        <w:ind w:left="0" w:firstLine="420"/>
      </w:pPr>
      <w:r>
        <w:rPr>
          <w:rFonts w:hint="eastAsia"/>
        </w:rPr>
        <w:t>订购的新产品除应满足本规范书外，投标方还应提供产品的合格证书。</w:t>
      </w:r>
    </w:p>
    <w:p>
      <w:pPr>
        <w:numPr>
          <w:ilvl w:val="0"/>
          <w:numId w:val="10"/>
        </w:numPr>
        <w:adjustRightInd w:val="0"/>
        <w:snapToGrid w:val="0"/>
        <w:ind w:left="0" w:firstLine="420"/>
        <w:rPr>
          <w:rFonts w:hint="eastAsia"/>
        </w:rPr>
      </w:pPr>
      <w:r>
        <w:rPr>
          <w:rFonts w:hint="eastAsia"/>
        </w:rPr>
        <w:t>投标方应保证制造过程中的所有工艺、材料等（包括投标方的外构件在内）均应符合规范书的规定。若招标方根据运行经验指定投标方提供某种外购零部件，投标方应积极配合。</w:t>
      </w:r>
    </w:p>
    <w:p>
      <w:pPr>
        <w:numPr>
          <w:ilvl w:val="0"/>
          <w:numId w:val="10"/>
        </w:numPr>
        <w:adjustRightInd w:val="0"/>
        <w:snapToGrid w:val="0"/>
        <w:ind w:left="0" w:firstLine="420"/>
        <w:rPr>
          <w:rFonts w:hint="eastAsia"/>
        </w:rPr>
      </w:pPr>
      <w:r>
        <w:rPr>
          <w:rFonts w:hint="eastAsia"/>
        </w:rPr>
        <w:t>投标方应遵守本条件书中各条款和工作项目的ISO9000  GB/T1900 质量保证体系，该质量保证体系经过国家认证和正常运转。</w:t>
      </w:r>
    </w:p>
    <w:p>
      <w:pPr>
        <w:pStyle w:val="4"/>
      </w:pPr>
      <w:bookmarkStart w:id="257" w:name="_Toc27931"/>
      <w:bookmarkStart w:id="258" w:name="_Toc569"/>
      <w:bookmarkStart w:id="259" w:name="_Toc5842"/>
      <w:bookmarkStart w:id="260" w:name="_Toc21206"/>
      <w:r>
        <w:rPr>
          <w:rFonts w:hint="eastAsia"/>
        </w:rPr>
        <w:t>现场服务</w:t>
      </w:r>
      <w:bookmarkEnd w:id="257"/>
      <w:bookmarkEnd w:id="258"/>
      <w:bookmarkEnd w:id="259"/>
      <w:bookmarkEnd w:id="260"/>
    </w:p>
    <w:p>
      <w:pPr>
        <w:numPr>
          <w:ilvl w:val="0"/>
          <w:numId w:val="11"/>
        </w:numPr>
        <w:adjustRightInd w:val="0"/>
        <w:snapToGrid w:val="0"/>
        <w:ind w:left="0" w:firstLine="420"/>
        <w:rPr>
          <w:rFonts w:hint="eastAsia"/>
        </w:rPr>
      </w:pPr>
      <w:r>
        <w:rPr>
          <w:rFonts w:hint="eastAsia"/>
        </w:rPr>
        <w:t>投标方负责本次招标所供设备的现场安装指导、系统调试督导，设备与现网互联、割接的调试督导，配合进行业务开通、投运和最终验收，并提供调试、割接、业务开通的技术建议。</w:t>
      </w:r>
    </w:p>
    <w:p>
      <w:pPr>
        <w:numPr>
          <w:ilvl w:val="0"/>
          <w:numId w:val="11"/>
        </w:numPr>
        <w:adjustRightInd w:val="0"/>
        <w:snapToGrid w:val="0"/>
        <w:ind w:left="0" w:firstLine="420"/>
        <w:rPr>
          <w:rFonts w:hint="eastAsia"/>
        </w:rPr>
      </w:pPr>
      <w:r>
        <w:rPr>
          <w:rFonts w:hint="eastAsia"/>
        </w:rPr>
        <w:t>招标方选派技术人员参加调试，投标方有责任对招标方技术人员提出的问题做出解答。</w:t>
      </w:r>
    </w:p>
    <w:p>
      <w:pPr>
        <w:numPr>
          <w:ilvl w:val="0"/>
          <w:numId w:val="11"/>
        </w:numPr>
        <w:adjustRightInd w:val="0"/>
        <w:snapToGrid w:val="0"/>
        <w:ind w:left="0" w:firstLine="420"/>
        <w:rPr>
          <w:rFonts w:hint="eastAsia"/>
        </w:rPr>
      </w:pPr>
      <w:r>
        <w:rPr>
          <w:rFonts w:hint="eastAsia"/>
        </w:rPr>
        <w:t>调试应进行详细记录，并由双方技术人员签字确认。</w:t>
      </w:r>
    </w:p>
    <w:p>
      <w:pPr>
        <w:numPr>
          <w:ilvl w:val="0"/>
          <w:numId w:val="11"/>
        </w:numPr>
        <w:adjustRightInd w:val="0"/>
        <w:snapToGrid w:val="0"/>
        <w:ind w:left="0" w:firstLine="420"/>
        <w:rPr>
          <w:rFonts w:hint="eastAsia"/>
        </w:rPr>
      </w:pPr>
      <w:r>
        <w:rPr>
          <w:rFonts w:hint="eastAsia"/>
        </w:rPr>
        <w:t>投标方对招标方维护人员提供现场培训。</w:t>
      </w:r>
    </w:p>
    <w:bookmarkEnd w:id="247"/>
    <w:bookmarkEnd w:id="248"/>
    <w:bookmarkEnd w:id="249"/>
    <w:bookmarkEnd w:id="250"/>
    <w:bookmarkEnd w:id="251"/>
    <w:bookmarkEnd w:id="252"/>
    <w:bookmarkEnd w:id="253"/>
    <w:bookmarkEnd w:id="254"/>
    <w:bookmarkEnd w:id="255"/>
    <w:bookmarkEnd w:id="256"/>
    <w:p>
      <w:pPr>
        <w:pStyle w:val="4"/>
        <w:rPr>
          <w:rFonts w:hint="eastAsia"/>
        </w:rPr>
      </w:pPr>
      <w:bookmarkStart w:id="261" w:name="_Toc27669"/>
      <w:bookmarkStart w:id="262" w:name="_Toc20401"/>
      <w:bookmarkStart w:id="263" w:name="_Toc27581"/>
      <w:bookmarkStart w:id="264" w:name="_Toc32147"/>
      <w:r>
        <w:rPr>
          <w:rFonts w:hint="eastAsia"/>
        </w:rPr>
        <w:t>质量</w:t>
      </w:r>
      <w:r>
        <w:t>保证</w:t>
      </w:r>
      <w:bookmarkEnd w:id="261"/>
      <w:bookmarkEnd w:id="262"/>
      <w:bookmarkEnd w:id="263"/>
      <w:bookmarkEnd w:id="264"/>
    </w:p>
    <w:p>
      <w:pPr>
        <w:numPr>
          <w:ilvl w:val="0"/>
          <w:numId w:val="12"/>
        </w:numPr>
        <w:adjustRightInd w:val="0"/>
        <w:snapToGrid w:val="0"/>
        <w:ind w:left="0" w:firstLine="420"/>
      </w:pPr>
      <w:r>
        <w:rPr>
          <w:rFonts w:hint="eastAsia"/>
        </w:rPr>
        <w:t>投标方应保证所提供的所有设备都是全新的，未使用过的，且应按最佳方式进行设计和制造。采用的是优质材料和先进工艺，并在各方面符合合同规定的质量、规格和性能要求。</w:t>
      </w:r>
    </w:p>
    <w:p>
      <w:pPr>
        <w:numPr>
          <w:ilvl w:val="0"/>
          <w:numId w:val="12"/>
        </w:numPr>
        <w:adjustRightInd w:val="0"/>
        <w:snapToGrid w:val="0"/>
        <w:ind w:left="0" w:firstLine="420"/>
      </w:pPr>
      <w:r>
        <w:rPr>
          <w:rFonts w:hint="eastAsia"/>
        </w:rPr>
        <w:t>投标方应保证所供设备经过正确安装、正常操作和保养，在其寿命期内运行良好。</w:t>
      </w:r>
    </w:p>
    <w:p>
      <w:pPr>
        <w:numPr>
          <w:ilvl w:val="0"/>
          <w:numId w:val="12"/>
        </w:numPr>
        <w:adjustRightInd w:val="0"/>
        <w:snapToGrid w:val="0"/>
        <w:ind w:left="0" w:firstLine="420"/>
        <w:rPr>
          <w:rFonts w:hint="eastAsia"/>
        </w:rPr>
      </w:pPr>
      <w:r>
        <w:rPr>
          <w:rFonts w:hint="eastAsia"/>
        </w:rPr>
        <w:t>投标方提供的所有设备都应具有质量保证书、合格证书、检查证书和投标方签字的测试报告，其中包括第三方的设备。</w:t>
      </w:r>
    </w:p>
    <w:p>
      <w:pPr>
        <w:numPr>
          <w:ilvl w:val="0"/>
          <w:numId w:val="12"/>
        </w:numPr>
        <w:adjustRightInd w:val="0"/>
        <w:snapToGrid w:val="0"/>
        <w:ind w:left="0" w:firstLine="420"/>
      </w:pPr>
      <w:r>
        <w:rPr>
          <w:rFonts w:hint="eastAsia"/>
        </w:rPr>
        <w:t>投标方提供的软件应能满足本技术规范的要求，任何性能的偏差均应得到招标方的认可。</w:t>
      </w:r>
    </w:p>
    <w:p>
      <w:pPr>
        <w:numPr>
          <w:ilvl w:val="0"/>
          <w:numId w:val="12"/>
        </w:numPr>
        <w:adjustRightInd w:val="0"/>
        <w:snapToGrid w:val="0"/>
        <w:ind w:left="0" w:firstLine="420"/>
      </w:pPr>
      <w:r>
        <w:rPr>
          <w:rFonts w:hint="eastAsia"/>
        </w:rPr>
        <w:t>所有被投标方支持的软件在设计、制造、测试和验收上均应符合</w:t>
      </w:r>
      <w:r>
        <w:t>ISO9001</w:t>
      </w:r>
      <w:r>
        <w:rPr>
          <w:rFonts w:hint="eastAsia"/>
        </w:rPr>
        <w:t>系列质量认证要求。</w:t>
      </w:r>
    </w:p>
    <w:p>
      <w:pPr>
        <w:pStyle w:val="4"/>
        <w:rPr>
          <w:rFonts w:hint="eastAsia"/>
        </w:rPr>
      </w:pPr>
      <w:bookmarkStart w:id="265" w:name="_Toc15308"/>
      <w:bookmarkStart w:id="266" w:name="_Toc2569"/>
      <w:bookmarkStart w:id="267" w:name="_Toc21352"/>
      <w:bookmarkStart w:id="268" w:name="_Toc3177"/>
      <w:bookmarkStart w:id="269" w:name="_Toc485155785"/>
      <w:r>
        <w:rPr>
          <w:rFonts w:hint="eastAsia"/>
        </w:rPr>
        <w:t>售后服务</w:t>
      </w:r>
      <w:bookmarkEnd w:id="265"/>
      <w:bookmarkEnd w:id="266"/>
      <w:bookmarkEnd w:id="267"/>
      <w:bookmarkEnd w:id="268"/>
    </w:p>
    <w:p>
      <w:pPr>
        <w:pStyle w:val="5"/>
        <w:ind w:left="987" w:leftChars="0" w:firstLineChars="0"/>
      </w:pPr>
      <w:bookmarkStart w:id="270" w:name="_Toc8758"/>
      <w:bookmarkStart w:id="271" w:name="_Toc20119"/>
      <w:bookmarkStart w:id="272" w:name="_Toc26600"/>
      <w:bookmarkStart w:id="273" w:name="_Toc4366"/>
      <w:bookmarkStart w:id="274" w:name="_Toc13063"/>
      <w:r>
        <w:rPr>
          <w:rFonts w:hint="eastAsia"/>
        </w:rPr>
        <w:t>质保期内售后服务</w:t>
      </w:r>
      <w:bookmarkEnd w:id="269"/>
      <w:bookmarkEnd w:id="270"/>
      <w:bookmarkEnd w:id="271"/>
      <w:bookmarkEnd w:id="272"/>
      <w:bookmarkEnd w:id="273"/>
      <w:bookmarkEnd w:id="274"/>
    </w:p>
    <w:p>
      <w:pPr>
        <w:numPr>
          <w:ilvl w:val="0"/>
          <w:numId w:val="13"/>
        </w:numPr>
        <w:adjustRightInd w:val="0"/>
        <w:snapToGrid w:val="0"/>
        <w:ind w:left="0" w:firstLine="420"/>
        <w:rPr>
          <w:rFonts w:hint="eastAsia"/>
        </w:rPr>
      </w:pPr>
      <w:r>
        <w:rPr>
          <w:rFonts w:hint="eastAsia"/>
        </w:rPr>
        <w:t>所有硬件、软件设备的质保期不低于</w:t>
      </w:r>
      <w:r>
        <w:t>3</w:t>
      </w:r>
      <w:r>
        <w:rPr>
          <w:rFonts w:hint="eastAsia"/>
        </w:rPr>
        <w:t>年</w:t>
      </w:r>
      <w:r>
        <w:t>7</w:t>
      </w:r>
      <w:r>
        <w:rPr>
          <w:rFonts w:hint="eastAsia"/>
        </w:rPr>
        <w:t>×</w:t>
      </w:r>
      <w:r>
        <w:t>24</w:t>
      </w:r>
      <w:r>
        <w:rPr>
          <w:rFonts w:hint="eastAsia"/>
        </w:rPr>
        <w:t>小时原厂保修服务；</w:t>
      </w:r>
      <w:r>
        <w:t xml:space="preserve"> </w:t>
      </w:r>
    </w:p>
    <w:p>
      <w:pPr>
        <w:numPr>
          <w:ilvl w:val="0"/>
          <w:numId w:val="13"/>
        </w:numPr>
        <w:adjustRightInd w:val="0"/>
        <w:snapToGrid w:val="0"/>
        <w:ind w:left="0" w:firstLine="420"/>
      </w:pPr>
      <w:r>
        <w:rPr>
          <w:rFonts w:hint="eastAsia"/>
        </w:rPr>
        <w:t>投标方应提出在正常条件下保证系统正常稳定运行的维护计划，包括系统维护、故障诊断、板件更换、故障处理等。</w:t>
      </w:r>
    </w:p>
    <w:p>
      <w:pPr>
        <w:numPr>
          <w:ilvl w:val="0"/>
          <w:numId w:val="13"/>
        </w:numPr>
        <w:adjustRightInd w:val="0"/>
        <w:snapToGrid w:val="0"/>
        <w:ind w:left="0" w:firstLine="420"/>
      </w:pPr>
      <w:r>
        <w:rPr>
          <w:rFonts w:hint="eastAsia"/>
        </w:rPr>
        <w:t>质保期内，如果系统出现故障，投标人应提供服务，负责查找故障原因并将系统恢复到正常运行。在系统或设备本身发生故障的情况下，一切费用由投标人负担。系统维护的方式、费用、联系方法、响应时间、人员要求如下：</w:t>
      </w:r>
    </w:p>
    <w:p>
      <w:pPr>
        <w:widowControl/>
        <w:numPr>
          <w:ilvl w:val="1"/>
          <w:numId w:val="14"/>
        </w:numPr>
        <w:tabs>
          <w:tab w:val="left" w:pos="1134"/>
        </w:tabs>
        <w:ind w:firstLineChars="0"/>
        <w:rPr>
          <w:szCs w:val="21"/>
        </w:rPr>
      </w:pPr>
      <w:r>
        <w:rPr>
          <w:rFonts w:hint="eastAsia"/>
          <w:szCs w:val="21"/>
        </w:rPr>
        <w:t>维护方式为热线技术支持电话和现场服务；</w:t>
      </w:r>
    </w:p>
    <w:p>
      <w:pPr>
        <w:widowControl/>
        <w:numPr>
          <w:ilvl w:val="1"/>
          <w:numId w:val="14"/>
        </w:numPr>
        <w:tabs>
          <w:tab w:val="left" w:pos="1134"/>
        </w:tabs>
        <w:ind w:firstLineChars="0"/>
        <w:rPr>
          <w:szCs w:val="21"/>
        </w:rPr>
      </w:pPr>
      <w:r>
        <w:rPr>
          <w:rFonts w:hint="eastAsia"/>
          <w:szCs w:val="21"/>
        </w:rPr>
        <w:t>质保期内所有维护费用均为免费；</w:t>
      </w:r>
    </w:p>
    <w:p>
      <w:pPr>
        <w:widowControl/>
        <w:numPr>
          <w:ilvl w:val="1"/>
          <w:numId w:val="14"/>
        </w:numPr>
        <w:tabs>
          <w:tab w:val="left" w:pos="1134"/>
        </w:tabs>
        <w:ind w:firstLineChars="0"/>
        <w:rPr>
          <w:szCs w:val="21"/>
        </w:rPr>
      </w:pPr>
      <w:r>
        <w:rPr>
          <w:rFonts w:hint="eastAsia"/>
          <w:szCs w:val="21"/>
        </w:rPr>
        <w:t>质保期内免费提供软件升级版本及服务；</w:t>
      </w:r>
    </w:p>
    <w:p>
      <w:pPr>
        <w:widowControl/>
        <w:numPr>
          <w:ilvl w:val="1"/>
          <w:numId w:val="14"/>
        </w:numPr>
        <w:tabs>
          <w:tab w:val="left" w:pos="1134"/>
        </w:tabs>
        <w:ind w:firstLineChars="0"/>
        <w:rPr>
          <w:szCs w:val="21"/>
        </w:rPr>
      </w:pPr>
      <w:r>
        <w:rPr>
          <w:rFonts w:hint="eastAsia"/>
          <w:szCs w:val="21"/>
        </w:rPr>
        <w:t>投标人在投标文件中应提供参与本项目售后服务的详细人员配备情况。</w:t>
      </w:r>
    </w:p>
    <w:p>
      <w:pPr>
        <w:numPr>
          <w:ilvl w:val="0"/>
          <w:numId w:val="13"/>
        </w:numPr>
        <w:adjustRightInd w:val="0"/>
        <w:snapToGrid w:val="0"/>
        <w:ind w:left="0" w:firstLine="420"/>
      </w:pPr>
      <w:r>
        <w:rPr>
          <w:rFonts w:hint="eastAsia"/>
        </w:rPr>
        <w:t>投标人提供的售后服务还应包括：技术咨询及交流，根据招标人的需求，通过各种形式（如电子邮件、电话、座谈会、研讨会等）就系统运行遇到的问题和解决方法进行技术交流。</w:t>
      </w:r>
    </w:p>
    <w:p>
      <w:pPr>
        <w:numPr>
          <w:ilvl w:val="0"/>
          <w:numId w:val="13"/>
        </w:numPr>
        <w:adjustRightInd w:val="0"/>
        <w:snapToGrid w:val="0"/>
        <w:ind w:left="0" w:firstLine="420"/>
      </w:pPr>
      <w:r>
        <w:rPr>
          <w:rFonts w:hint="eastAsia"/>
        </w:rPr>
        <w:t>投标人应最大限度地提供技术指导及技术支持范围和程度，包括可提供的系统支援设备的详情。在系统设备运行期间根据需要，投标人有责任派专业技术人员到现场指导维护工作。</w:t>
      </w:r>
    </w:p>
    <w:p>
      <w:pPr>
        <w:pStyle w:val="5"/>
        <w:ind w:left="987" w:leftChars="0" w:firstLineChars="0"/>
      </w:pPr>
      <w:bookmarkStart w:id="275" w:name="_Toc6246"/>
      <w:bookmarkStart w:id="276" w:name="_Toc485155786"/>
      <w:bookmarkStart w:id="277" w:name="_Toc28093"/>
      <w:bookmarkStart w:id="278" w:name="_Toc2300"/>
      <w:bookmarkStart w:id="279" w:name="_Toc12059"/>
      <w:bookmarkStart w:id="280" w:name="_Toc16985"/>
      <w:r>
        <w:rPr>
          <w:rFonts w:hint="eastAsia"/>
        </w:rPr>
        <w:t>质保期后售后服务</w:t>
      </w:r>
      <w:bookmarkEnd w:id="275"/>
      <w:bookmarkEnd w:id="276"/>
      <w:bookmarkEnd w:id="277"/>
      <w:bookmarkEnd w:id="278"/>
      <w:bookmarkEnd w:id="279"/>
      <w:bookmarkEnd w:id="280"/>
    </w:p>
    <w:p>
      <w:pPr>
        <w:numPr>
          <w:ilvl w:val="0"/>
          <w:numId w:val="15"/>
        </w:numPr>
        <w:adjustRightInd w:val="0"/>
        <w:snapToGrid w:val="0"/>
        <w:ind w:left="0" w:firstLine="420"/>
        <w:rPr>
          <w:rFonts w:hint="eastAsia"/>
        </w:rPr>
      </w:pPr>
      <w:r>
        <w:rPr>
          <w:rFonts w:hint="eastAsia"/>
        </w:rPr>
        <w:t>质保期后，投标人仍应根据合同要求向招标人提供系统在寿命期内的技术支持和维护服务，并以合理价格提供招标人需要的备品备件和由于原理性故障而导致的系统改进。</w:t>
      </w:r>
    </w:p>
    <w:p>
      <w:pPr>
        <w:numPr>
          <w:ilvl w:val="0"/>
          <w:numId w:val="15"/>
        </w:numPr>
        <w:adjustRightInd w:val="0"/>
        <w:snapToGrid w:val="0"/>
        <w:ind w:left="0" w:firstLine="420"/>
      </w:pPr>
      <w:r>
        <w:rPr>
          <w:rFonts w:hint="eastAsia"/>
        </w:rPr>
        <w:t>在系统达到最终规模时，投标人应保证系统的功能和指标满足本技术规范书的要求，如不能满足要求，投标人应承担系统能力扩展带来的费用。</w:t>
      </w:r>
    </w:p>
    <w:p>
      <w:pPr>
        <w:numPr>
          <w:ilvl w:val="0"/>
          <w:numId w:val="15"/>
        </w:numPr>
        <w:adjustRightInd w:val="0"/>
        <w:snapToGrid w:val="0"/>
        <w:ind w:left="0" w:firstLine="420"/>
      </w:pPr>
      <w:r>
        <w:rPr>
          <w:rFonts w:hint="eastAsia"/>
        </w:rPr>
        <w:t>质保期后至此系统生命终结，如招标人有新的功能要求，投标人应积极配合，以合理价格进行硬软件升级或改造。对于招标人提出的硬软件缺陷和错误，投标人不应以推出新版本解决为由，而推迟解决时间，应针对招标人提出的问题及时免费予以修正。如不能在原版本上解决问题，应免费提供软件版本的更新。</w:t>
      </w:r>
    </w:p>
    <w:p>
      <w:pPr>
        <w:numPr>
          <w:ilvl w:val="0"/>
          <w:numId w:val="15"/>
        </w:numPr>
        <w:adjustRightInd w:val="0"/>
        <w:snapToGrid w:val="0"/>
        <w:ind w:left="0" w:firstLine="420"/>
      </w:pPr>
      <w:r>
        <w:rPr>
          <w:rFonts w:hint="eastAsia"/>
        </w:rPr>
        <w:t>质保期结束后，投标人有责任进行定期维护和修理。投标人应提出质保期后的收费维修、维护内容</w:t>
      </w:r>
      <w:r>
        <w:t>(</w:t>
      </w:r>
      <w:r>
        <w:rPr>
          <w:rFonts w:hint="eastAsia"/>
        </w:rPr>
        <w:t>包括日常维护和预防性维护</w:t>
      </w:r>
      <w:r>
        <w:t>)</w:t>
      </w:r>
      <w:r>
        <w:rPr>
          <w:rFonts w:hint="eastAsia"/>
        </w:rPr>
        <w:t>，费用和服务方式、范围（产品技术、板件），供招标人参考，其费用不计入投标总价。投标人在投标文件中必须明确说明，招标人将予以评估。</w:t>
      </w:r>
    </w:p>
    <w:p>
      <w:pPr>
        <w:numPr>
          <w:ilvl w:val="0"/>
          <w:numId w:val="15"/>
        </w:numPr>
        <w:adjustRightInd w:val="0"/>
        <w:snapToGrid w:val="0"/>
        <w:ind w:left="0" w:firstLine="420"/>
        <w:rPr>
          <w:rFonts w:hint="eastAsia"/>
        </w:rPr>
      </w:pPr>
      <w:r>
        <w:rPr>
          <w:rFonts w:hint="eastAsia"/>
        </w:rPr>
        <w:t>质保期后</w:t>
      </w:r>
      <w:r>
        <w:t>3</w:t>
      </w:r>
      <w:r>
        <w:rPr>
          <w:rFonts w:hint="eastAsia"/>
        </w:rPr>
        <w:t>年内备品备件价格不得高于本次中标价格。</w:t>
      </w:r>
    </w:p>
    <w:p>
      <w:pPr>
        <w:pStyle w:val="3"/>
        <w:rPr>
          <w:rFonts w:hint="eastAsia"/>
        </w:rPr>
      </w:pPr>
      <w:bookmarkStart w:id="281" w:name="_Toc3494"/>
      <w:bookmarkStart w:id="282" w:name="_Toc4476"/>
      <w:bookmarkStart w:id="283" w:name="_Toc12710"/>
      <w:bookmarkStart w:id="284" w:name="_Toc14511"/>
      <w:r>
        <w:rPr>
          <w:rFonts w:hint="eastAsia"/>
        </w:rPr>
        <w:t>设计联络</w:t>
      </w:r>
      <w:r>
        <w:t>会</w:t>
      </w:r>
      <w:r>
        <w:rPr>
          <w:rFonts w:hint="eastAsia"/>
        </w:rPr>
        <w:t>和技术</w:t>
      </w:r>
      <w:r>
        <w:t>培训</w:t>
      </w:r>
      <w:bookmarkEnd w:id="281"/>
      <w:bookmarkEnd w:id="282"/>
      <w:bookmarkEnd w:id="283"/>
      <w:bookmarkEnd w:id="284"/>
    </w:p>
    <w:p>
      <w:pPr>
        <w:pStyle w:val="4"/>
        <w:rPr>
          <w:rFonts w:hint="eastAsia"/>
        </w:rPr>
      </w:pPr>
      <w:bookmarkStart w:id="285" w:name="_Toc4574"/>
      <w:bookmarkStart w:id="286" w:name="_Toc19084"/>
      <w:bookmarkStart w:id="287" w:name="_Toc7223"/>
      <w:bookmarkStart w:id="288" w:name="_Toc24819"/>
      <w:bookmarkStart w:id="289" w:name="_Toc384341040"/>
      <w:r>
        <w:rPr>
          <w:rFonts w:hint="eastAsia"/>
        </w:rPr>
        <w:t>设计联络</w:t>
      </w:r>
      <w:r>
        <w:t>会</w:t>
      </w:r>
      <w:bookmarkEnd w:id="285"/>
      <w:bookmarkEnd w:id="286"/>
      <w:bookmarkEnd w:id="287"/>
      <w:bookmarkEnd w:id="288"/>
    </w:p>
    <w:bookmarkEnd w:id="289"/>
    <w:p>
      <w:pPr>
        <w:numPr>
          <w:ilvl w:val="0"/>
          <w:numId w:val="16"/>
        </w:numPr>
        <w:adjustRightInd w:val="0"/>
        <w:snapToGrid w:val="0"/>
        <w:ind w:left="0" w:firstLine="420"/>
      </w:pPr>
      <w:r>
        <w:rPr>
          <w:rFonts w:hint="eastAsia"/>
        </w:rPr>
        <w:t>为审查和确认投标方的系统设计方案和设备配置方案，协调有关设计接口工作，招标方与投标方应召开设计联络会，设计联络会的具体时间、地点、会议内容将在合同谈判中由双方商定。</w:t>
      </w:r>
    </w:p>
    <w:p>
      <w:pPr>
        <w:numPr>
          <w:ilvl w:val="0"/>
          <w:numId w:val="16"/>
        </w:numPr>
        <w:adjustRightInd w:val="0"/>
        <w:snapToGrid w:val="0"/>
        <w:ind w:left="0" w:firstLine="420"/>
      </w:pPr>
      <w:r>
        <w:rPr>
          <w:rFonts w:hint="eastAsia"/>
        </w:rPr>
        <w:t>除了合同规定的设计联络会外，在合同执行期间如遇重要事宜需双方研究和讨论，经双方同意可另召开联络会议解决。</w:t>
      </w:r>
    </w:p>
    <w:p>
      <w:pPr>
        <w:numPr>
          <w:ilvl w:val="0"/>
          <w:numId w:val="16"/>
        </w:numPr>
        <w:adjustRightInd w:val="0"/>
        <w:snapToGrid w:val="0"/>
        <w:ind w:left="0" w:firstLine="420"/>
      </w:pPr>
      <w:r>
        <w:rPr>
          <w:rFonts w:hint="eastAsia"/>
        </w:rPr>
        <w:t>每次设计联络会双方均应签署会议纪要。</w:t>
      </w:r>
    </w:p>
    <w:p>
      <w:pPr>
        <w:numPr>
          <w:ilvl w:val="0"/>
          <w:numId w:val="16"/>
        </w:numPr>
        <w:adjustRightInd w:val="0"/>
        <w:snapToGrid w:val="0"/>
        <w:ind w:left="0" w:firstLine="420"/>
      </w:pPr>
      <w:r>
        <w:rPr>
          <w:rFonts w:hint="eastAsia"/>
        </w:rPr>
        <w:t>必须说明，招标方对投标方的设计确认并不减轻投标方对项目应付的责任。</w:t>
      </w:r>
    </w:p>
    <w:p>
      <w:pPr>
        <w:numPr>
          <w:ilvl w:val="0"/>
          <w:numId w:val="16"/>
        </w:numPr>
        <w:adjustRightInd w:val="0"/>
        <w:snapToGrid w:val="0"/>
        <w:ind w:left="0" w:firstLine="420"/>
        <w:rPr>
          <w:rFonts w:hint="eastAsia"/>
        </w:rPr>
      </w:pPr>
      <w:r>
        <w:rPr>
          <w:rFonts w:hint="eastAsia"/>
        </w:rPr>
        <w:t>投标方负责设计联络会议所有费用（不含招标方、设计方往返交通、住宿费用），应作单项单独列出，并作为总投标价的一部分。</w:t>
      </w:r>
    </w:p>
    <w:p>
      <w:pPr>
        <w:pStyle w:val="4"/>
        <w:rPr>
          <w:rFonts w:hint="eastAsia"/>
        </w:rPr>
      </w:pPr>
      <w:bookmarkStart w:id="290" w:name="_Toc29461"/>
      <w:bookmarkStart w:id="291" w:name="_Toc7457"/>
      <w:bookmarkStart w:id="292" w:name="_Toc14311"/>
      <w:bookmarkStart w:id="293" w:name="_Toc11892"/>
      <w:bookmarkStart w:id="294" w:name="_Toc282433716"/>
      <w:bookmarkStart w:id="295" w:name="_Toc283011668"/>
      <w:bookmarkStart w:id="296" w:name="_Toc283142590"/>
      <w:bookmarkStart w:id="297" w:name="_Toc384341043"/>
      <w:r>
        <w:rPr>
          <w:rFonts w:hint="eastAsia"/>
        </w:rPr>
        <w:t>技术培训</w:t>
      </w:r>
      <w:bookmarkEnd w:id="290"/>
      <w:bookmarkEnd w:id="291"/>
      <w:bookmarkEnd w:id="292"/>
      <w:bookmarkEnd w:id="293"/>
    </w:p>
    <w:p>
      <w:pPr>
        <w:adjustRightInd w:val="0"/>
        <w:snapToGrid w:val="0"/>
        <w:ind w:firstLine="420"/>
        <w:rPr>
          <w:rFonts w:hint="eastAsia"/>
          <w:szCs w:val="21"/>
        </w:rPr>
      </w:pPr>
      <w:r>
        <w:rPr>
          <w:rFonts w:hint="eastAsia"/>
          <w:szCs w:val="21"/>
        </w:rPr>
        <w:t>为使设备采购单位维护人员能够独立进行视频会议设备的安装、测试、维护和管理，要求投标方负责对招标方的维护人员、操作使用人员等进行培训工作，可采取厂内培训和现场培训两种方式。</w:t>
      </w:r>
    </w:p>
    <w:p>
      <w:pPr>
        <w:adjustRightInd w:val="0"/>
        <w:snapToGrid w:val="0"/>
        <w:ind w:firstLine="420"/>
        <w:rPr>
          <w:rFonts w:hint="eastAsia"/>
          <w:szCs w:val="21"/>
        </w:rPr>
      </w:pPr>
      <w:r>
        <w:rPr>
          <w:rFonts w:hint="eastAsia"/>
          <w:szCs w:val="21"/>
        </w:rPr>
        <w:t>厂内培训按招标方的需求，在专用部分中提出。技术培训的地点和时间等按需求由投标方在其投标书中提出建议，技术培训费用单独报价，列入投标设备的总价中。</w:t>
      </w:r>
    </w:p>
    <w:p>
      <w:pPr>
        <w:adjustRightInd w:val="0"/>
        <w:snapToGrid w:val="0"/>
        <w:ind w:firstLine="420"/>
        <w:rPr>
          <w:rFonts w:hint="eastAsia"/>
          <w:szCs w:val="21"/>
        </w:rPr>
      </w:pPr>
      <w:r>
        <w:rPr>
          <w:rFonts w:hint="eastAsia"/>
          <w:szCs w:val="21"/>
        </w:rPr>
        <w:t>现场培训可在安装调测阶段及移交后进行，也可安排在安装调试前进行，时间和次数由双方商定。现场培训包含在现场督导内容中，不另列费用。</w:t>
      </w:r>
      <w:bookmarkEnd w:id="294"/>
      <w:bookmarkEnd w:id="295"/>
      <w:bookmarkEnd w:id="296"/>
      <w:bookmarkEnd w:id="297"/>
    </w:p>
    <w:p>
      <w:pPr>
        <w:widowControl/>
        <w:ind w:firstLine="420"/>
        <w:jc w:val="left"/>
        <w:rPr>
          <w:rFonts w:hint="eastAsia" w:ascii="宋体" w:hAnsi="宋体"/>
          <w:kern w:val="0"/>
          <w:szCs w:val="21"/>
        </w:rPr>
      </w:pPr>
    </w:p>
    <w:bookmarkEnd w:id="206"/>
    <w:bookmarkEnd w:id="207"/>
    <w:bookmarkEnd w:id="208"/>
    <w:bookmarkEnd w:id="209"/>
    <w:bookmarkEnd w:id="210"/>
    <w:bookmarkEnd w:id="211"/>
    <w:p>
      <w:pPr>
        <w:widowControl/>
        <w:ind w:firstLine="0" w:firstLineChars="0"/>
        <w:jc w:val="left"/>
        <w:rPr>
          <w:rFonts w:hint="eastAsia"/>
          <w:szCs w:val="21"/>
        </w:rPr>
      </w:pPr>
    </w:p>
    <w:p/>
    <w:sectPr>
      <w:headerReference r:id="rId11" w:type="default"/>
      <w:footerReference r:id="rId12" w:type="default"/>
      <w:pgSz w:w="11907" w:h="16839"/>
      <w:pgMar w:top="1440" w:right="1701" w:bottom="1440" w:left="1701" w:header="964" w:footer="737" w:gutter="0"/>
      <w:pgNumType w:fmt="decimal"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right" w:y="1"/>
      <w:ind w:firstLine="360"/>
      <w:rPr>
        <w:rStyle w:val="13"/>
      </w:rPr>
    </w:pPr>
    <w:r>
      <w:fldChar w:fldCharType="begin"/>
    </w:r>
    <w:r>
      <w:rPr>
        <w:rStyle w:val="13"/>
      </w:rPr>
      <w:instrText xml:space="preserve">PAGE  </w:instrText>
    </w:r>
    <w:r>
      <w:fldChar w:fldCharType="separate"/>
    </w:r>
    <w:r>
      <w:fldChar w:fldCharType="end"/>
    </w:r>
  </w:p>
  <w:p>
    <w:pPr>
      <w:pStyle w:val="7"/>
      <w:ind w:right="360" w:firstLine="360"/>
      <w:jc w:val="center"/>
    </w:pPr>
    <w:r>
      <w:rPr>
        <w:kern w:val="0"/>
        <w:szCs w:val="21"/>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jc w:val="center"/>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7"/>
                            <w:ind w:firstLine="360"/>
                            <w:jc w:val="center"/>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pPr>
                      <w:pStyle w:val="7"/>
                      <w:ind w:firstLine="360"/>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hint="eastAsia"/>
      </w:rPr>
    </w:pPr>
    <w:r>
      <w:rPr>
        <w:rFonts w:hint="eastAsia"/>
      </w:rPr>
      <w:t>来宾供电局2026年生产材料费用项目</w:t>
    </w:r>
    <w:r>
      <w:rPr>
        <w:rFonts w:hint="eastAsia"/>
        <w:lang w:eastAsia="zh-CN"/>
      </w:rPr>
      <w:t>电源转换开关招标技术规范书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rFonts w:hint="eastAsia"/>
      </w:rPr>
      <w:t>来宾供电局2026年生产材料费用项目</w:t>
    </w:r>
    <w:r>
      <w:rPr>
        <w:rFonts w:hint="eastAsia"/>
        <w:lang w:eastAsia="zh-CN"/>
      </w:rPr>
      <w:t>电源转换开关招标技术规范书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417483"/>
    <w:multiLevelType w:val="multilevel"/>
    <w:tmpl w:val="07417483"/>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0B125A67"/>
    <w:multiLevelType w:val="singleLevel"/>
    <w:tmpl w:val="0B125A67"/>
    <w:lvl w:ilvl="0" w:tentative="0">
      <w:start w:val="1"/>
      <w:numFmt w:val="decimal"/>
      <w:lvlText w:val="%1)"/>
      <w:lvlJc w:val="left"/>
      <w:pPr>
        <w:ind w:left="425" w:hanging="425"/>
      </w:pPr>
      <w:rPr>
        <w:rFonts w:hint="default"/>
      </w:rPr>
    </w:lvl>
  </w:abstractNum>
  <w:abstractNum w:abstractNumId="2">
    <w:nsid w:val="36BD3486"/>
    <w:multiLevelType w:val="multilevel"/>
    <w:tmpl w:val="36BD3486"/>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43AD05EA"/>
    <w:multiLevelType w:val="multilevel"/>
    <w:tmpl w:val="43AD05EA"/>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45144590"/>
    <w:multiLevelType w:val="multilevel"/>
    <w:tmpl w:val="45144590"/>
    <w:lvl w:ilvl="0" w:tentative="0">
      <w:start w:val="1"/>
      <w:numFmt w:val="decimal"/>
      <w:pStyle w:val="3"/>
      <w:lvlText w:val="%1"/>
      <w:lvlJc w:val="left"/>
      <w:pPr>
        <w:ind w:left="425" w:hanging="425"/>
      </w:pPr>
      <w:rPr>
        <w:rFonts w:hint="eastAsia" w:eastAsia="黑体"/>
        <w:sz w:val="28"/>
        <w:szCs w:val="28"/>
      </w:rPr>
    </w:lvl>
    <w:lvl w:ilvl="1" w:tentative="0">
      <w:start w:val="1"/>
      <w:numFmt w:val="decimal"/>
      <w:pStyle w:val="4"/>
      <w:lvlText w:val="%1.%2"/>
      <w:lvlJc w:val="left"/>
      <w:pPr>
        <w:ind w:left="992" w:hanging="567"/>
      </w:pPr>
      <w:rPr>
        <w:rFonts w:hint="eastAsia"/>
        <w:sz w:val="24"/>
        <w:szCs w:val="24"/>
      </w:rPr>
    </w:lvl>
    <w:lvl w:ilvl="2" w:tentative="0">
      <w:start w:val="1"/>
      <w:numFmt w:val="decimal"/>
      <w:pStyle w:val="5"/>
      <w:lvlText w:val="%1.%2.%3"/>
      <w:lvlJc w:val="left"/>
      <w:pPr>
        <w:ind w:left="987" w:hanging="567"/>
      </w:pPr>
      <w:rPr>
        <w:rFonts w:hint="eastAsia"/>
        <w:sz w:val="21"/>
        <w:szCs w:val="21"/>
      </w:rPr>
    </w:lvl>
    <w:lvl w:ilvl="3" w:tentative="0">
      <w:start w:val="1"/>
      <w:numFmt w:val="decimal"/>
      <w:lvlText w:val="%1.%2.%3.%4"/>
      <w:lvlJc w:val="left"/>
      <w:pPr>
        <w:ind w:left="1984" w:hanging="708"/>
      </w:pPr>
      <w:rPr>
        <w:rFonts w:hint="eastAsia" w:ascii="宋体" w:hAnsi="宋体" w:eastAsia="宋体"/>
        <w:b/>
        <w:sz w:val="21"/>
        <w:szCs w:val="21"/>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
    <w:nsid w:val="4BAE233C"/>
    <w:multiLevelType w:val="multilevel"/>
    <w:tmpl w:val="4BAE233C"/>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4EDF1350"/>
    <w:multiLevelType w:val="multilevel"/>
    <w:tmpl w:val="4EDF1350"/>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56D61265"/>
    <w:multiLevelType w:val="multilevel"/>
    <w:tmpl w:val="56D61265"/>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59AE74C9"/>
    <w:multiLevelType w:val="singleLevel"/>
    <w:tmpl w:val="59AE74C9"/>
    <w:lvl w:ilvl="0" w:tentative="0">
      <w:start w:val="1"/>
      <w:numFmt w:val="decimal"/>
      <w:lvlText w:val="%1)"/>
      <w:lvlJc w:val="left"/>
      <w:pPr>
        <w:ind w:left="425" w:hanging="425"/>
      </w:pPr>
      <w:rPr>
        <w:rFonts w:hint="default"/>
      </w:rPr>
    </w:lvl>
  </w:abstractNum>
  <w:abstractNum w:abstractNumId="9">
    <w:nsid w:val="5B4E7AF4"/>
    <w:multiLevelType w:val="multilevel"/>
    <w:tmpl w:val="5B4E7AF4"/>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5BB20090"/>
    <w:multiLevelType w:val="singleLevel"/>
    <w:tmpl w:val="5BB20090"/>
    <w:lvl w:ilvl="0" w:tentative="0">
      <w:start w:val="1"/>
      <w:numFmt w:val="decimal"/>
      <w:lvlText w:val="%1)"/>
      <w:lvlJc w:val="left"/>
      <w:pPr>
        <w:ind w:left="425" w:hanging="425"/>
      </w:pPr>
      <w:rPr>
        <w:rFonts w:hint="default"/>
      </w:rPr>
    </w:lvl>
  </w:abstractNum>
  <w:abstractNum w:abstractNumId="11">
    <w:nsid w:val="5D233FAC"/>
    <w:multiLevelType w:val="multilevel"/>
    <w:tmpl w:val="5D233FAC"/>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
    <w:nsid w:val="6E086D5D"/>
    <w:multiLevelType w:val="multilevel"/>
    <w:tmpl w:val="6E086D5D"/>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3">
    <w:nsid w:val="75A62FDD"/>
    <w:multiLevelType w:val="multilevel"/>
    <w:tmpl w:val="75A62FDD"/>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4">
    <w:nsid w:val="7BF531CA"/>
    <w:multiLevelType w:val="multilevel"/>
    <w:tmpl w:val="7BF531CA"/>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5">
    <w:nsid w:val="7FC32EAD"/>
    <w:multiLevelType w:val="multilevel"/>
    <w:tmpl w:val="7FC32EAD"/>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4"/>
  </w:num>
  <w:num w:numId="2">
    <w:abstractNumId w:val="8"/>
  </w:num>
  <w:num w:numId="3">
    <w:abstractNumId w:val="10"/>
  </w:num>
  <w:num w:numId="4">
    <w:abstractNumId w:val="1"/>
  </w:num>
  <w:num w:numId="5">
    <w:abstractNumId w:val="14"/>
  </w:num>
  <w:num w:numId="6">
    <w:abstractNumId w:val="13"/>
  </w:num>
  <w:num w:numId="7">
    <w:abstractNumId w:val="5"/>
  </w:num>
  <w:num w:numId="8">
    <w:abstractNumId w:val="0"/>
  </w:num>
  <w:num w:numId="9">
    <w:abstractNumId w:val="2"/>
  </w:num>
  <w:num w:numId="10">
    <w:abstractNumId w:val="11"/>
  </w:num>
  <w:num w:numId="11">
    <w:abstractNumId w:val="6"/>
  </w:num>
  <w:num w:numId="12">
    <w:abstractNumId w:val="15"/>
  </w:num>
  <w:num w:numId="13">
    <w:abstractNumId w:val="12"/>
  </w:num>
  <w:num w:numId="14">
    <w:abstractNumId w:val="3"/>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1C2D5C"/>
    <w:rsid w:val="003F35CF"/>
    <w:rsid w:val="0042298F"/>
    <w:rsid w:val="00B87B71"/>
    <w:rsid w:val="00E56E5B"/>
    <w:rsid w:val="00F82CBA"/>
    <w:rsid w:val="010A55EB"/>
    <w:rsid w:val="010C444B"/>
    <w:rsid w:val="010E5E14"/>
    <w:rsid w:val="012E1CC8"/>
    <w:rsid w:val="013A6848"/>
    <w:rsid w:val="01594519"/>
    <w:rsid w:val="01C63F1C"/>
    <w:rsid w:val="01CA4DDC"/>
    <w:rsid w:val="01FF2FF4"/>
    <w:rsid w:val="020C5CE5"/>
    <w:rsid w:val="02150E10"/>
    <w:rsid w:val="027315D4"/>
    <w:rsid w:val="02880751"/>
    <w:rsid w:val="02C56B25"/>
    <w:rsid w:val="02CE6D1F"/>
    <w:rsid w:val="03181C2E"/>
    <w:rsid w:val="033D0BE0"/>
    <w:rsid w:val="034F2912"/>
    <w:rsid w:val="035548BD"/>
    <w:rsid w:val="035E0C32"/>
    <w:rsid w:val="037A3E35"/>
    <w:rsid w:val="037E3856"/>
    <w:rsid w:val="039C760B"/>
    <w:rsid w:val="04046CD1"/>
    <w:rsid w:val="04144691"/>
    <w:rsid w:val="046304CD"/>
    <w:rsid w:val="04CE74D9"/>
    <w:rsid w:val="04EC3E91"/>
    <w:rsid w:val="04F00DF5"/>
    <w:rsid w:val="04F84ACF"/>
    <w:rsid w:val="05125C4D"/>
    <w:rsid w:val="05576A5D"/>
    <w:rsid w:val="0562347A"/>
    <w:rsid w:val="05BD001A"/>
    <w:rsid w:val="05DB0DCD"/>
    <w:rsid w:val="05F7691B"/>
    <w:rsid w:val="06023EE3"/>
    <w:rsid w:val="060A661B"/>
    <w:rsid w:val="0615563F"/>
    <w:rsid w:val="061B7037"/>
    <w:rsid w:val="06640112"/>
    <w:rsid w:val="066B5A96"/>
    <w:rsid w:val="06A93BE1"/>
    <w:rsid w:val="06CB19CD"/>
    <w:rsid w:val="06D70A2A"/>
    <w:rsid w:val="07131662"/>
    <w:rsid w:val="074718D9"/>
    <w:rsid w:val="075E5DFB"/>
    <w:rsid w:val="0782685E"/>
    <w:rsid w:val="07935759"/>
    <w:rsid w:val="08346431"/>
    <w:rsid w:val="08362196"/>
    <w:rsid w:val="08440357"/>
    <w:rsid w:val="087913D6"/>
    <w:rsid w:val="0892569F"/>
    <w:rsid w:val="08A31FB7"/>
    <w:rsid w:val="08AB44CE"/>
    <w:rsid w:val="08B30E23"/>
    <w:rsid w:val="08B91D1E"/>
    <w:rsid w:val="08BC0971"/>
    <w:rsid w:val="08CE40C9"/>
    <w:rsid w:val="08D31E27"/>
    <w:rsid w:val="08E13B96"/>
    <w:rsid w:val="08EB50FF"/>
    <w:rsid w:val="090A6792"/>
    <w:rsid w:val="0912476C"/>
    <w:rsid w:val="09186EC3"/>
    <w:rsid w:val="097A63E0"/>
    <w:rsid w:val="09AE763F"/>
    <w:rsid w:val="09B65A13"/>
    <w:rsid w:val="09C073D7"/>
    <w:rsid w:val="09D97F4D"/>
    <w:rsid w:val="09F06A23"/>
    <w:rsid w:val="0A1C2D5C"/>
    <w:rsid w:val="0A5706F8"/>
    <w:rsid w:val="0A622DF0"/>
    <w:rsid w:val="0A9644F5"/>
    <w:rsid w:val="0AEC5D26"/>
    <w:rsid w:val="0B3B3ECD"/>
    <w:rsid w:val="0B870CA4"/>
    <w:rsid w:val="0BA26A0A"/>
    <w:rsid w:val="0BA755B2"/>
    <w:rsid w:val="0BAD2F06"/>
    <w:rsid w:val="0C09161B"/>
    <w:rsid w:val="0C2C7B97"/>
    <w:rsid w:val="0C4164B2"/>
    <w:rsid w:val="0C4C5DD2"/>
    <w:rsid w:val="0C4E2225"/>
    <w:rsid w:val="0C5912E4"/>
    <w:rsid w:val="0C7E47A6"/>
    <w:rsid w:val="0C7E559F"/>
    <w:rsid w:val="0CB04081"/>
    <w:rsid w:val="0CB84611"/>
    <w:rsid w:val="0CFB6B33"/>
    <w:rsid w:val="0D045563"/>
    <w:rsid w:val="0D236932"/>
    <w:rsid w:val="0D5B61DE"/>
    <w:rsid w:val="0D626AA4"/>
    <w:rsid w:val="0DB96A56"/>
    <w:rsid w:val="0DDB44BB"/>
    <w:rsid w:val="0DEA21FE"/>
    <w:rsid w:val="0DFD6D02"/>
    <w:rsid w:val="0DFF41F2"/>
    <w:rsid w:val="0E2B1B2E"/>
    <w:rsid w:val="0E376183"/>
    <w:rsid w:val="0E467983"/>
    <w:rsid w:val="0E772CDA"/>
    <w:rsid w:val="0E8E00AA"/>
    <w:rsid w:val="0EBB4417"/>
    <w:rsid w:val="0EEB33A2"/>
    <w:rsid w:val="0F0A1F21"/>
    <w:rsid w:val="0F2519C5"/>
    <w:rsid w:val="0F517E30"/>
    <w:rsid w:val="0F7275A0"/>
    <w:rsid w:val="0F956CC8"/>
    <w:rsid w:val="0FCD756A"/>
    <w:rsid w:val="0FDB3408"/>
    <w:rsid w:val="0FED58C6"/>
    <w:rsid w:val="0FF86A12"/>
    <w:rsid w:val="10B350DD"/>
    <w:rsid w:val="10B97FE9"/>
    <w:rsid w:val="10F123ED"/>
    <w:rsid w:val="110519DE"/>
    <w:rsid w:val="11396E72"/>
    <w:rsid w:val="1144260F"/>
    <w:rsid w:val="114B26D8"/>
    <w:rsid w:val="11580D4B"/>
    <w:rsid w:val="11683A45"/>
    <w:rsid w:val="12193458"/>
    <w:rsid w:val="121E480E"/>
    <w:rsid w:val="12606259"/>
    <w:rsid w:val="12AC5F8C"/>
    <w:rsid w:val="12D22514"/>
    <w:rsid w:val="13182740"/>
    <w:rsid w:val="131D3DBD"/>
    <w:rsid w:val="132E5E35"/>
    <w:rsid w:val="134674A8"/>
    <w:rsid w:val="1348311D"/>
    <w:rsid w:val="13520B6A"/>
    <w:rsid w:val="135A6876"/>
    <w:rsid w:val="13812F5B"/>
    <w:rsid w:val="13841E8E"/>
    <w:rsid w:val="139E3EE0"/>
    <w:rsid w:val="13A94CFC"/>
    <w:rsid w:val="13B04D0A"/>
    <w:rsid w:val="13BD1FD2"/>
    <w:rsid w:val="13CA682B"/>
    <w:rsid w:val="14057328"/>
    <w:rsid w:val="14293396"/>
    <w:rsid w:val="14314C5B"/>
    <w:rsid w:val="14543CD5"/>
    <w:rsid w:val="147613B7"/>
    <w:rsid w:val="1481047C"/>
    <w:rsid w:val="148179B4"/>
    <w:rsid w:val="14933E9B"/>
    <w:rsid w:val="14A05A6E"/>
    <w:rsid w:val="14D331FF"/>
    <w:rsid w:val="14F711A5"/>
    <w:rsid w:val="150823AC"/>
    <w:rsid w:val="15250F7A"/>
    <w:rsid w:val="152C0C61"/>
    <w:rsid w:val="15523DE6"/>
    <w:rsid w:val="155E502A"/>
    <w:rsid w:val="156C6563"/>
    <w:rsid w:val="15833B14"/>
    <w:rsid w:val="15A65597"/>
    <w:rsid w:val="15B8619E"/>
    <w:rsid w:val="15DE1058"/>
    <w:rsid w:val="15F342E4"/>
    <w:rsid w:val="1613478D"/>
    <w:rsid w:val="16633AC4"/>
    <w:rsid w:val="16B84096"/>
    <w:rsid w:val="16C027BB"/>
    <w:rsid w:val="16C543E3"/>
    <w:rsid w:val="16C76DA0"/>
    <w:rsid w:val="16EC1006"/>
    <w:rsid w:val="17157AC0"/>
    <w:rsid w:val="17540AC2"/>
    <w:rsid w:val="17855155"/>
    <w:rsid w:val="17974AB6"/>
    <w:rsid w:val="17A87FE0"/>
    <w:rsid w:val="17C27321"/>
    <w:rsid w:val="17CA06AB"/>
    <w:rsid w:val="180C601C"/>
    <w:rsid w:val="181209A7"/>
    <w:rsid w:val="181F1858"/>
    <w:rsid w:val="18377F38"/>
    <w:rsid w:val="18A84BEB"/>
    <w:rsid w:val="190D6DED"/>
    <w:rsid w:val="19202B87"/>
    <w:rsid w:val="194D2D88"/>
    <w:rsid w:val="19CA7FA9"/>
    <w:rsid w:val="19CB2779"/>
    <w:rsid w:val="19DE6C3E"/>
    <w:rsid w:val="19EE3F0E"/>
    <w:rsid w:val="1A087D36"/>
    <w:rsid w:val="1A3E1BCB"/>
    <w:rsid w:val="1A713C62"/>
    <w:rsid w:val="1A7515ED"/>
    <w:rsid w:val="1A7B5388"/>
    <w:rsid w:val="1B045B8D"/>
    <w:rsid w:val="1B1326DC"/>
    <w:rsid w:val="1B6752FF"/>
    <w:rsid w:val="1B686100"/>
    <w:rsid w:val="1B6A47D0"/>
    <w:rsid w:val="1B7E1159"/>
    <w:rsid w:val="1BA1063F"/>
    <w:rsid w:val="1BD302E4"/>
    <w:rsid w:val="1BDC4361"/>
    <w:rsid w:val="1C094CE8"/>
    <w:rsid w:val="1C0E321A"/>
    <w:rsid w:val="1C201A98"/>
    <w:rsid w:val="1C394700"/>
    <w:rsid w:val="1C7A4C49"/>
    <w:rsid w:val="1CA7223F"/>
    <w:rsid w:val="1CC6565A"/>
    <w:rsid w:val="1D136646"/>
    <w:rsid w:val="1D1E43BF"/>
    <w:rsid w:val="1D2F2023"/>
    <w:rsid w:val="1D34182F"/>
    <w:rsid w:val="1D8A2310"/>
    <w:rsid w:val="1D9C41D0"/>
    <w:rsid w:val="1DAD3875"/>
    <w:rsid w:val="1DCB4CCE"/>
    <w:rsid w:val="1DD873EF"/>
    <w:rsid w:val="1DE374E6"/>
    <w:rsid w:val="1DE60F43"/>
    <w:rsid w:val="1DF87810"/>
    <w:rsid w:val="1E0F5365"/>
    <w:rsid w:val="1E2B0AB1"/>
    <w:rsid w:val="1E527CDD"/>
    <w:rsid w:val="1E5443EA"/>
    <w:rsid w:val="1E84710C"/>
    <w:rsid w:val="1EC87EC7"/>
    <w:rsid w:val="1EDE2B45"/>
    <w:rsid w:val="1EF972E2"/>
    <w:rsid w:val="1EFA7FFC"/>
    <w:rsid w:val="1F256783"/>
    <w:rsid w:val="1F2B462E"/>
    <w:rsid w:val="1F444BEF"/>
    <w:rsid w:val="1FEA6105"/>
    <w:rsid w:val="20197CB0"/>
    <w:rsid w:val="201B6A77"/>
    <w:rsid w:val="20412EC2"/>
    <w:rsid w:val="204B716F"/>
    <w:rsid w:val="20BE0FB4"/>
    <w:rsid w:val="20F41F81"/>
    <w:rsid w:val="21163468"/>
    <w:rsid w:val="21415F76"/>
    <w:rsid w:val="214D3895"/>
    <w:rsid w:val="218A15BF"/>
    <w:rsid w:val="21951321"/>
    <w:rsid w:val="21961204"/>
    <w:rsid w:val="219F43E8"/>
    <w:rsid w:val="21A26F25"/>
    <w:rsid w:val="21A77BA8"/>
    <w:rsid w:val="21B2025D"/>
    <w:rsid w:val="21C33BC0"/>
    <w:rsid w:val="223D5FF5"/>
    <w:rsid w:val="22721569"/>
    <w:rsid w:val="22A76FEA"/>
    <w:rsid w:val="22CC10EE"/>
    <w:rsid w:val="22ED6795"/>
    <w:rsid w:val="23026998"/>
    <w:rsid w:val="231436E0"/>
    <w:rsid w:val="2326598D"/>
    <w:rsid w:val="23AD10E1"/>
    <w:rsid w:val="23D37706"/>
    <w:rsid w:val="23E1501D"/>
    <w:rsid w:val="23E5080D"/>
    <w:rsid w:val="23EE685A"/>
    <w:rsid w:val="24124B4B"/>
    <w:rsid w:val="2449531F"/>
    <w:rsid w:val="24B4111D"/>
    <w:rsid w:val="24C0242A"/>
    <w:rsid w:val="24D31458"/>
    <w:rsid w:val="252161CB"/>
    <w:rsid w:val="25233653"/>
    <w:rsid w:val="25502A0E"/>
    <w:rsid w:val="255448EC"/>
    <w:rsid w:val="25706BC5"/>
    <w:rsid w:val="257C1EA6"/>
    <w:rsid w:val="25934CBA"/>
    <w:rsid w:val="25C869EB"/>
    <w:rsid w:val="260169D6"/>
    <w:rsid w:val="261F5CCF"/>
    <w:rsid w:val="26552959"/>
    <w:rsid w:val="26EA299D"/>
    <w:rsid w:val="270602B3"/>
    <w:rsid w:val="272F4525"/>
    <w:rsid w:val="274913B5"/>
    <w:rsid w:val="275709F0"/>
    <w:rsid w:val="27951C89"/>
    <w:rsid w:val="27CC7C17"/>
    <w:rsid w:val="27DD4C5C"/>
    <w:rsid w:val="27F2545A"/>
    <w:rsid w:val="2862396F"/>
    <w:rsid w:val="287952F1"/>
    <w:rsid w:val="287D4CDD"/>
    <w:rsid w:val="28867069"/>
    <w:rsid w:val="28BD520B"/>
    <w:rsid w:val="28C35D42"/>
    <w:rsid w:val="29030A32"/>
    <w:rsid w:val="2949435A"/>
    <w:rsid w:val="295145E3"/>
    <w:rsid w:val="29642C20"/>
    <w:rsid w:val="29743CAE"/>
    <w:rsid w:val="29775924"/>
    <w:rsid w:val="29BC729A"/>
    <w:rsid w:val="2A41627E"/>
    <w:rsid w:val="2A5E43CB"/>
    <w:rsid w:val="2A9123D5"/>
    <w:rsid w:val="2AAE69F8"/>
    <w:rsid w:val="2ABF6C07"/>
    <w:rsid w:val="2ACF5A7F"/>
    <w:rsid w:val="2B0D34F1"/>
    <w:rsid w:val="2B4C5EB3"/>
    <w:rsid w:val="2B567A06"/>
    <w:rsid w:val="2C1C1B17"/>
    <w:rsid w:val="2C296009"/>
    <w:rsid w:val="2C364003"/>
    <w:rsid w:val="2C3B12C0"/>
    <w:rsid w:val="2C424EAF"/>
    <w:rsid w:val="2C5245BF"/>
    <w:rsid w:val="2C844EA9"/>
    <w:rsid w:val="2CD825F7"/>
    <w:rsid w:val="2D1B1C28"/>
    <w:rsid w:val="2D4F69BB"/>
    <w:rsid w:val="2D5D41BF"/>
    <w:rsid w:val="2D764050"/>
    <w:rsid w:val="2D931C2E"/>
    <w:rsid w:val="2DB11785"/>
    <w:rsid w:val="2DBE4605"/>
    <w:rsid w:val="2DBF2C54"/>
    <w:rsid w:val="2DD3341D"/>
    <w:rsid w:val="2DD43F65"/>
    <w:rsid w:val="2DFC1036"/>
    <w:rsid w:val="2E215193"/>
    <w:rsid w:val="2E311780"/>
    <w:rsid w:val="2E352D88"/>
    <w:rsid w:val="2E4D4194"/>
    <w:rsid w:val="2E5B1D78"/>
    <w:rsid w:val="2E62070A"/>
    <w:rsid w:val="2EC25015"/>
    <w:rsid w:val="2ECD54AF"/>
    <w:rsid w:val="2EF971FC"/>
    <w:rsid w:val="2F1B401D"/>
    <w:rsid w:val="2F2F4D3D"/>
    <w:rsid w:val="2F422AFA"/>
    <w:rsid w:val="2F4D60CD"/>
    <w:rsid w:val="2F7E58E8"/>
    <w:rsid w:val="2FCF3869"/>
    <w:rsid w:val="2FEA2CB0"/>
    <w:rsid w:val="30311C3E"/>
    <w:rsid w:val="30563D9D"/>
    <w:rsid w:val="306223D2"/>
    <w:rsid w:val="307C0414"/>
    <w:rsid w:val="30C266BB"/>
    <w:rsid w:val="30C97A84"/>
    <w:rsid w:val="30DF6D82"/>
    <w:rsid w:val="30E419CD"/>
    <w:rsid w:val="312D101E"/>
    <w:rsid w:val="313939C2"/>
    <w:rsid w:val="313B150E"/>
    <w:rsid w:val="317E52A6"/>
    <w:rsid w:val="31863D5A"/>
    <w:rsid w:val="31D03025"/>
    <w:rsid w:val="320A6354"/>
    <w:rsid w:val="321E6244"/>
    <w:rsid w:val="32652343"/>
    <w:rsid w:val="32656F6B"/>
    <w:rsid w:val="32BC05AA"/>
    <w:rsid w:val="3303793A"/>
    <w:rsid w:val="330454DD"/>
    <w:rsid w:val="336F7C9C"/>
    <w:rsid w:val="33804DC1"/>
    <w:rsid w:val="33B11650"/>
    <w:rsid w:val="33B82B2F"/>
    <w:rsid w:val="33C474B8"/>
    <w:rsid w:val="341F66BE"/>
    <w:rsid w:val="342E320C"/>
    <w:rsid w:val="34CD1888"/>
    <w:rsid w:val="34E0174F"/>
    <w:rsid w:val="34EB3835"/>
    <w:rsid w:val="34FE6DED"/>
    <w:rsid w:val="35153697"/>
    <w:rsid w:val="35230AD7"/>
    <w:rsid w:val="3546168A"/>
    <w:rsid w:val="35664D52"/>
    <w:rsid w:val="35E57535"/>
    <w:rsid w:val="3616337B"/>
    <w:rsid w:val="362F0309"/>
    <w:rsid w:val="365055EC"/>
    <w:rsid w:val="366B4D06"/>
    <w:rsid w:val="36773697"/>
    <w:rsid w:val="368B67EE"/>
    <w:rsid w:val="36DF329F"/>
    <w:rsid w:val="36E959ED"/>
    <w:rsid w:val="37246116"/>
    <w:rsid w:val="37522824"/>
    <w:rsid w:val="377558C9"/>
    <w:rsid w:val="378A1C37"/>
    <w:rsid w:val="38162A2D"/>
    <w:rsid w:val="38166B45"/>
    <w:rsid w:val="38317650"/>
    <w:rsid w:val="3840118D"/>
    <w:rsid w:val="38685DB1"/>
    <w:rsid w:val="387A3E5C"/>
    <w:rsid w:val="38C94231"/>
    <w:rsid w:val="390907E7"/>
    <w:rsid w:val="39175581"/>
    <w:rsid w:val="392B0F5B"/>
    <w:rsid w:val="3953297D"/>
    <w:rsid w:val="39607B00"/>
    <w:rsid w:val="39825AEE"/>
    <w:rsid w:val="39A00D74"/>
    <w:rsid w:val="39A76260"/>
    <w:rsid w:val="39B77490"/>
    <w:rsid w:val="39CD29EA"/>
    <w:rsid w:val="39DD6780"/>
    <w:rsid w:val="3A416590"/>
    <w:rsid w:val="3A7637AE"/>
    <w:rsid w:val="3A7F2D22"/>
    <w:rsid w:val="3A920395"/>
    <w:rsid w:val="3AAB7C55"/>
    <w:rsid w:val="3AD8488F"/>
    <w:rsid w:val="3ADF53F8"/>
    <w:rsid w:val="3AEF2B1D"/>
    <w:rsid w:val="3AF10319"/>
    <w:rsid w:val="3AF75C56"/>
    <w:rsid w:val="3B191A64"/>
    <w:rsid w:val="3B1C1E5C"/>
    <w:rsid w:val="3B3B5E22"/>
    <w:rsid w:val="3B404A8A"/>
    <w:rsid w:val="3BAA1672"/>
    <w:rsid w:val="3BC1371C"/>
    <w:rsid w:val="3BC77384"/>
    <w:rsid w:val="3BD558AE"/>
    <w:rsid w:val="3BE12191"/>
    <w:rsid w:val="3C082205"/>
    <w:rsid w:val="3C440C41"/>
    <w:rsid w:val="3C4803BF"/>
    <w:rsid w:val="3C490734"/>
    <w:rsid w:val="3C501C2E"/>
    <w:rsid w:val="3C56500B"/>
    <w:rsid w:val="3C5A0885"/>
    <w:rsid w:val="3C8B00A0"/>
    <w:rsid w:val="3CC06269"/>
    <w:rsid w:val="3CC63C60"/>
    <w:rsid w:val="3CD150F4"/>
    <w:rsid w:val="3CFA651E"/>
    <w:rsid w:val="3D0D4D31"/>
    <w:rsid w:val="3D3E4A29"/>
    <w:rsid w:val="3D7E7125"/>
    <w:rsid w:val="3D822EED"/>
    <w:rsid w:val="3D996973"/>
    <w:rsid w:val="3DE066EE"/>
    <w:rsid w:val="3DE2305B"/>
    <w:rsid w:val="3DEE1FE7"/>
    <w:rsid w:val="3E1D41C0"/>
    <w:rsid w:val="3E243739"/>
    <w:rsid w:val="3E6D0504"/>
    <w:rsid w:val="3E707CF5"/>
    <w:rsid w:val="3E7745A0"/>
    <w:rsid w:val="3E7918AC"/>
    <w:rsid w:val="3E7D0906"/>
    <w:rsid w:val="3E8F49D7"/>
    <w:rsid w:val="3E9B7FA6"/>
    <w:rsid w:val="3EEB46AE"/>
    <w:rsid w:val="3EF0056A"/>
    <w:rsid w:val="3EF66330"/>
    <w:rsid w:val="3EF66BCB"/>
    <w:rsid w:val="3F612B20"/>
    <w:rsid w:val="3F8A6023"/>
    <w:rsid w:val="3FA676E9"/>
    <w:rsid w:val="3FBB609A"/>
    <w:rsid w:val="3FE05864"/>
    <w:rsid w:val="3FF772DC"/>
    <w:rsid w:val="400A1976"/>
    <w:rsid w:val="408601AF"/>
    <w:rsid w:val="409C31AF"/>
    <w:rsid w:val="40B15D6A"/>
    <w:rsid w:val="40B256A6"/>
    <w:rsid w:val="40C5389A"/>
    <w:rsid w:val="40C53E73"/>
    <w:rsid w:val="40DB40B0"/>
    <w:rsid w:val="40E04B4C"/>
    <w:rsid w:val="40EA6803"/>
    <w:rsid w:val="40F31A7B"/>
    <w:rsid w:val="41373CD6"/>
    <w:rsid w:val="417A67D2"/>
    <w:rsid w:val="418423BA"/>
    <w:rsid w:val="41900A19"/>
    <w:rsid w:val="41904232"/>
    <w:rsid w:val="41E014BE"/>
    <w:rsid w:val="41F36462"/>
    <w:rsid w:val="421B6A91"/>
    <w:rsid w:val="4241117E"/>
    <w:rsid w:val="426873F2"/>
    <w:rsid w:val="426B6BA0"/>
    <w:rsid w:val="42A143D8"/>
    <w:rsid w:val="42AE7C98"/>
    <w:rsid w:val="42B3127B"/>
    <w:rsid w:val="42DD53EC"/>
    <w:rsid w:val="42E33750"/>
    <w:rsid w:val="42E80B71"/>
    <w:rsid w:val="431E7EB3"/>
    <w:rsid w:val="4322345D"/>
    <w:rsid w:val="433A65C6"/>
    <w:rsid w:val="434D18B3"/>
    <w:rsid w:val="43526071"/>
    <w:rsid w:val="43635A8C"/>
    <w:rsid w:val="43BC1D5C"/>
    <w:rsid w:val="43CD4EB0"/>
    <w:rsid w:val="43D21209"/>
    <w:rsid w:val="43DC0F7A"/>
    <w:rsid w:val="44020DA4"/>
    <w:rsid w:val="446A710A"/>
    <w:rsid w:val="448C13FD"/>
    <w:rsid w:val="44C11F12"/>
    <w:rsid w:val="44DD263A"/>
    <w:rsid w:val="44E22E9D"/>
    <w:rsid w:val="450565E9"/>
    <w:rsid w:val="458D127A"/>
    <w:rsid w:val="45D91658"/>
    <w:rsid w:val="45D9586E"/>
    <w:rsid w:val="460B2DA5"/>
    <w:rsid w:val="462315CB"/>
    <w:rsid w:val="463927B0"/>
    <w:rsid w:val="46405296"/>
    <w:rsid w:val="46745892"/>
    <w:rsid w:val="46800CD4"/>
    <w:rsid w:val="469C70FC"/>
    <w:rsid w:val="46A529B8"/>
    <w:rsid w:val="46A5463A"/>
    <w:rsid w:val="46AC0A6C"/>
    <w:rsid w:val="46F26AB6"/>
    <w:rsid w:val="47121FB6"/>
    <w:rsid w:val="471237B9"/>
    <w:rsid w:val="472F3272"/>
    <w:rsid w:val="47A820EF"/>
    <w:rsid w:val="47B27346"/>
    <w:rsid w:val="47B70B38"/>
    <w:rsid w:val="47D87D36"/>
    <w:rsid w:val="47F7637C"/>
    <w:rsid w:val="47FA615B"/>
    <w:rsid w:val="482C2301"/>
    <w:rsid w:val="487501F8"/>
    <w:rsid w:val="4878202C"/>
    <w:rsid w:val="48B9405A"/>
    <w:rsid w:val="48EB4F9C"/>
    <w:rsid w:val="4926446F"/>
    <w:rsid w:val="493F183F"/>
    <w:rsid w:val="49534511"/>
    <w:rsid w:val="49575048"/>
    <w:rsid w:val="495C5500"/>
    <w:rsid w:val="49772EA2"/>
    <w:rsid w:val="497C70AA"/>
    <w:rsid w:val="49B07453"/>
    <w:rsid w:val="49B163BA"/>
    <w:rsid w:val="49DF5796"/>
    <w:rsid w:val="49E71EB1"/>
    <w:rsid w:val="4A0C5E41"/>
    <w:rsid w:val="4A1031EB"/>
    <w:rsid w:val="4A2A2095"/>
    <w:rsid w:val="4A6225F7"/>
    <w:rsid w:val="4A8D665C"/>
    <w:rsid w:val="4A9E0B3B"/>
    <w:rsid w:val="4AB64878"/>
    <w:rsid w:val="4ABF57D6"/>
    <w:rsid w:val="4AE767AE"/>
    <w:rsid w:val="4B05283A"/>
    <w:rsid w:val="4B0858A6"/>
    <w:rsid w:val="4B0A06E0"/>
    <w:rsid w:val="4B4215B2"/>
    <w:rsid w:val="4B6C1F26"/>
    <w:rsid w:val="4B7A2A82"/>
    <w:rsid w:val="4BBA71B7"/>
    <w:rsid w:val="4BD33F41"/>
    <w:rsid w:val="4BD6739D"/>
    <w:rsid w:val="4BD8779C"/>
    <w:rsid w:val="4BF60473"/>
    <w:rsid w:val="4C083E10"/>
    <w:rsid w:val="4C344977"/>
    <w:rsid w:val="4C36077E"/>
    <w:rsid w:val="4C5921F7"/>
    <w:rsid w:val="4C6B15E0"/>
    <w:rsid w:val="4C9747DB"/>
    <w:rsid w:val="4CF47F31"/>
    <w:rsid w:val="4D384FB0"/>
    <w:rsid w:val="4D4A13E0"/>
    <w:rsid w:val="4D54581D"/>
    <w:rsid w:val="4D652813"/>
    <w:rsid w:val="4D672D8A"/>
    <w:rsid w:val="4D825FBD"/>
    <w:rsid w:val="4DA86C94"/>
    <w:rsid w:val="4DBB2FEF"/>
    <w:rsid w:val="4DC02745"/>
    <w:rsid w:val="4DD37AAC"/>
    <w:rsid w:val="4DD9355E"/>
    <w:rsid w:val="4DF12D02"/>
    <w:rsid w:val="4E1E05A0"/>
    <w:rsid w:val="4E2506EC"/>
    <w:rsid w:val="4E5A2934"/>
    <w:rsid w:val="4E6B7169"/>
    <w:rsid w:val="4EAC010E"/>
    <w:rsid w:val="4EBB3E01"/>
    <w:rsid w:val="4EC84BA6"/>
    <w:rsid w:val="4F375DB9"/>
    <w:rsid w:val="4F3768D2"/>
    <w:rsid w:val="4F3D1920"/>
    <w:rsid w:val="4F850CE2"/>
    <w:rsid w:val="4FD00CB0"/>
    <w:rsid w:val="4FE40570"/>
    <w:rsid w:val="4FED0C8F"/>
    <w:rsid w:val="501F257E"/>
    <w:rsid w:val="50317E11"/>
    <w:rsid w:val="503C4117"/>
    <w:rsid w:val="50D26AFE"/>
    <w:rsid w:val="51004B08"/>
    <w:rsid w:val="5118041A"/>
    <w:rsid w:val="513349B4"/>
    <w:rsid w:val="513D6E26"/>
    <w:rsid w:val="515F269B"/>
    <w:rsid w:val="51670F91"/>
    <w:rsid w:val="517127A7"/>
    <w:rsid w:val="517B7B28"/>
    <w:rsid w:val="517C3627"/>
    <w:rsid w:val="51832525"/>
    <w:rsid w:val="51C27B92"/>
    <w:rsid w:val="521A4F57"/>
    <w:rsid w:val="526E0EA6"/>
    <w:rsid w:val="52734D4B"/>
    <w:rsid w:val="527F4963"/>
    <w:rsid w:val="529F7717"/>
    <w:rsid w:val="52B44B1E"/>
    <w:rsid w:val="52DE5C9C"/>
    <w:rsid w:val="52EC2B1B"/>
    <w:rsid w:val="53673D79"/>
    <w:rsid w:val="53716B51"/>
    <w:rsid w:val="53F455CA"/>
    <w:rsid w:val="54711A91"/>
    <w:rsid w:val="54C277EB"/>
    <w:rsid w:val="54C92276"/>
    <w:rsid w:val="54F5533D"/>
    <w:rsid w:val="54F82FB9"/>
    <w:rsid w:val="55136F43"/>
    <w:rsid w:val="551D57A2"/>
    <w:rsid w:val="55203EC0"/>
    <w:rsid w:val="5551007E"/>
    <w:rsid w:val="55683A67"/>
    <w:rsid w:val="557F5CD6"/>
    <w:rsid w:val="558A536F"/>
    <w:rsid w:val="55960241"/>
    <w:rsid w:val="55962146"/>
    <w:rsid w:val="55A45EE2"/>
    <w:rsid w:val="56235B25"/>
    <w:rsid w:val="56473A07"/>
    <w:rsid w:val="56AC204F"/>
    <w:rsid w:val="57675181"/>
    <w:rsid w:val="57726D6F"/>
    <w:rsid w:val="57AB191B"/>
    <w:rsid w:val="57DD5BD5"/>
    <w:rsid w:val="57FB1492"/>
    <w:rsid w:val="58036A37"/>
    <w:rsid w:val="58082C47"/>
    <w:rsid w:val="5836346F"/>
    <w:rsid w:val="585E3F24"/>
    <w:rsid w:val="58794DE8"/>
    <w:rsid w:val="58E833BE"/>
    <w:rsid w:val="58F809B6"/>
    <w:rsid w:val="591C18C3"/>
    <w:rsid w:val="591D108A"/>
    <w:rsid w:val="5948227B"/>
    <w:rsid w:val="594F7FE0"/>
    <w:rsid w:val="59827AD0"/>
    <w:rsid w:val="599A4C3A"/>
    <w:rsid w:val="59BA7225"/>
    <w:rsid w:val="59C77977"/>
    <w:rsid w:val="59FC1A4B"/>
    <w:rsid w:val="59FE4E2A"/>
    <w:rsid w:val="5A29173F"/>
    <w:rsid w:val="5A447AC1"/>
    <w:rsid w:val="5A4E5922"/>
    <w:rsid w:val="5A537A7B"/>
    <w:rsid w:val="5A5C1CEB"/>
    <w:rsid w:val="5A5E410F"/>
    <w:rsid w:val="5A71591F"/>
    <w:rsid w:val="5A8D018E"/>
    <w:rsid w:val="5A9C2DF4"/>
    <w:rsid w:val="5AA0589E"/>
    <w:rsid w:val="5AAA3A9F"/>
    <w:rsid w:val="5AB97D08"/>
    <w:rsid w:val="5ABC24FA"/>
    <w:rsid w:val="5ACB638B"/>
    <w:rsid w:val="5B04111F"/>
    <w:rsid w:val="5B49585F"/>
    <w:rsid w:val="5B705320"/>
    <w:rsid w:val="5BAF2C55"/>
    <w:rsid w:val="5BD00203"/>
    <w:rsid w:val="5BF81A8F"/>
    <w:rsid w:val="5C58324E"/>
    <w:rsid w:val="5C6A6927"/>
    <w:rsid w:val="5C812199"/>
    <w:rsid w:val="5C8D3571"/>
    <w:rsid w:val="5CA46F28"/>
    <w:rsid w:val="5CC316D8"/>
    <w:rsid w:val="5CC66E6C"/>
    <w:rsid w:val="5CCC1248"/>
    <w:rsid w:val="5CD43FE9"/>
    <w:rsid w:val="5CFC34BD"/>
    <w:rsid w:val="5D046F59"/>
    <w:rsid w:val="5D240F7E"/>
    <w:rsid w:val="5D2930AE"/>
    <w:rsid w:val="5D330FB2"/>
    <w:rsid w:val="5D353376"/>
    <w:rsid w:val="5D504CD4"/>
    <w:rsid w:val="5D650BB0"/>
    <w:rsid w:val="5D8247FB"/>
    <w:rsid w:val="5D937CD3"/>
    <w:rsid w:val="5DC44B44"/>
    <w:rsid w:val="5DE80DFB"/>
    <w:rsid w:val="5DED1174"/>
    <w:rsid w:val="5E117346"/>
    <w:rsid w:val="5E7B4CC9"/>
    <w:rsid w:val="5E890A43"/>
    <w:rsid w:val="5EEB36EA"/>
    <w:rsid w:val="5EFA14F1"/>
    <w:rsid w:val="5F180053"/>
    <w:rsid w:val="5F597912"/>
    <w:rsid w:val="5F71196C"/>
    <w:rsid w:val="5FB92139"/>
    <w:rsid w:val="5FC97140"/>
    <w:rsid w:val="5FDE3BB6"/>
    <w:rsid w:val="5FEA1C20"/>
    <w:rsid w:val="5FFA60A6"/>
    <w:rsid w:val="60033198"/>
    <w:rsid w:val="60100EA2"/>
    <w:rsid w:val="60695387"/>
    <w:rsid w:val="60813FC7"/>
    <w:rsid w:val="60897D6A"/>
    <w:rsid w:val="608C38F9"/>
    <w:rsid w:val="611B5C05"/>
    <w:rsid w:val="614C4165"/>
    <w:rsid w:val="61784F5B"/>
    <w:rsid w:val="61A351D5"/>
    <w:rsid w:val="61B345BD"/>
    <w:rsid w:val="620C1C38"/>
    <w:rsid w:val="625D6FE8"/>
    <w:rsid w:val="62AF5213"/>
    <w:rsid w:val="62D70A5A"/>
    <w:rsid w:val="632D7807"/>
    <w:rsid w:val="635C0458"/>
    <w:rsid w:val="639342AD"/>
    <w:rsid w:val="639B1506"/>
    <w:rsid w:val="63C87970"/>
    <w:rsid w:val="63F06FC9"/>
    <w:rsid w:val="63F1054C"/>
    <w:rsid w:val="63F84E83"/>
    <w:rsid w:val="64642A89"/>
    <w:rsid w:val="64676133"/>
    <w:rsid w:val="647E3381"/>
    <w:rsid w:val="64CC3780"/>
    <w:rsid w:val="64FB1CEC"/>
    <w:rsid w:val="64FB413B"/>
    <w:rsid w:val="65107888"/>
    <w:rsid w:val="6551188E"/>
    <w:rsid w:val="6568062C"/>
    <w:rsid w:val="65AA006E"/>
    <w:rsid w:val="65CD099F"/>
    <w:rsid w:val="65E10295"/>
    <w:rsid w:val="65F8464F"/>
    <w:rsid w:val="65FB633F"/>
    <w:rsid w:val="661C1FBF"/>
    <w:rsid w:val="66390058"/>
    <w:rsid w:val="66615878"/>
    <w:rsid w:val="66846704"/>
    <w:rsid w:val="668E3E76"/>
    <w:rsid w:val="66915E67"/>
    <w:rsid w:val="66CA2390"/>
    <w:rsid w:val="66D60238"/>
    <w:rsid w:val="66E535E4"/>
    <w:rsid w:val="670622CB"/>
    <w:rsid w:val="67331F39"/>
    <w:rsid w:val="67FC4BD6"/>
    <w:rsid w:val="682B346F"/>
    <w:rsid w:val="68302170"/>
    <w:rsid w:val="683D4263"/>
    <w:rsid w:val="683F5A2A"/>
    <w:rsid w:val="684A2CB6"/>
    <w:rsid w:val="68A27C17"/>
    <w:rsid w:val="68B36C29"/>
    <w:rsid w:val="68B86A10"/>
    <w:rsid w:val="68C00BEB"/>
    <w:rsid w:val="690B6BD6"/>
    <w:rsid w:val="693A0E44"/>
    <w:rsid w:val="69A30847"/>
    <w:rsid w:val="69CB381F"/>
    <w:rsid w:val="69F82A49"/>
    <w:rsid w:val="6A0F2948"/>
    <w:rsid w:val="6A0F5E10"/>
    <w:rsid w:val="6A2C1764"/>
    <w:rsid w:val="6A387A20"/>
    <w:rsid w:val="6A945B5F"/>
    <w:rsid w:val="6A9C3BEC"/>
    <w:rsid w:val="6AA61D0F"/>
    <w:rsid w:val="6B240700"/>
    <w:rsid w:val="6BAE102C"/>
    <w:rsid w:val="6BB241B1"/>
    <w:rsid w:val="6C6755DC"/>
    <w:rsid w:val="6C7436BB"/>
    <w:rsid w:val="6C7E0DCD"/>
    <w:rsid w:val="6C846850"/>
    <w:rsid w:val="6C9477FD"/>
    <w:rsid w:val="6CD905C8"/>
    <w:rsid w:val="6CE357FB"/>
    <w:rsid w:val="6CF52816"/>
    <w:rsid w:val="6D1E4B13"/>
    <w:rsid w:val="6D333105"/>
    <w:rsid w:val="6D3B0836"/>
    <w:rsid w:val="6D7D1EB5"/>
    <w:rsid w:val="6E1766E8"/>
    <w:rsid w:val="6E1C4FE1"/>
    <w:rsid w:val="6E4F5CBC"/>
    <w:rsid w:val="6E5C3A7B"/>
    <w:rsid w:val="6E660C84"/>
    <w:rsid w:val="6E90507D"/>
    <w:rsid w:val="6EAE25D2"/>
    <w:rsid w:val="6EB27791"/>
    <w:rsid w:val="6EF55DCF"/>
    <w:rsid w:val="6F047E6B"/>
    <w:rsid w:val="6F3269C1"/>
    <w:rsid w:val="6F483626"/>
    <w:rsid w:val="6F5C50F8"/>
    <w:rsid w:val="6F8E7117"/>
    <w:rsid w:val="6F9308D4"/>
    <w:rsid w:val="6F9B4A02"/>
    <w:rsid w:val="6F9C3AFC"/>
    <w:rsid w:val="6FA27238"/>
    <w:rsid w:val="6FBD2B64"/>
    <w:rsid w:val="6FE91D64"/>
    <w:rsid w:val="6FFE4BA4"/>
    <w:rsid w:val="70031404"/>
    <w:rsid w:val="70157C70"/>
    <w:rsid w:val="70396A05"/>
    <w:rsid w:val="70E13A68"/>
    <w:rsid w:val="71125A23"/>
    <w:rsid w:val="7121491E"/>
    <w:rsid w:val="71421384"/>
    <w:rsid w:val="71605D7E"/>
    <w:rsid w:val="71632C3A"/>
    <w:rsid w:val="71A70774"/>
    <w:rsid w:val="71B818DB"/>
    <w:rsid w:val="71B84A82"/>
    <w:rsid w:val="71D111FB"/>
    <w:rsid w:val="71E024AF"/>
    <w:rsid w:val="71E34333"/>
    <w:rsid w:val="71F825C5"/>
    <w:rsid w:val="72174641"/>
    <w:rsid w:val="7238264C"/>
    <w:rsid w:val="727428F6"/>
    <w:rsid w:val="72934033"/>
    <w:rsid w:val="730B76B7"/>
    <w:rsid w:val="7342226C"/>
    <w:rsid w:val="73524A10"/>
    <w:rsid w:val="735631CE"/>
    <w:rsid w:val="73624D8D"/>
    <w:rsid w:val="73A12F16"/>
    <w:rsid w:val="73AE2CF5"/>
    <w:rsid w:val="73BA11DB"/>
    <w:rsid w:val="73DB014B"/>
    <w:rsid w:val="73F429E6"/>
    <w:rsid w:val="742664BE"/>
    <w:rsid w:val="746819EE"/>
    <w:rsid w:val="748A746A"/>
    <w:rsid w:val="749C3802"/>
    <w:rsid w:val="74BD6F82"/>
    <w:rsid w:val="750049A8"/>
    <w:rsid w:val="75047E7B"/>
    <w:rsid w:val="75094649"/>
    <w:rsid w:val="75341092"/>
    <w:rsid w:val="753D24B9"/>
    <w:rsid w:val="75565170"/>
    <w:rsid w:val="756629DA"/>
    <w:rsid w:val="75A9629B"/>
    <w:rsid w:val="75BA4EAD"/>
    <w:rsid w:val="75BF1086"/>
    <w:rsid w:val="75BF2398"/>
    <w:rsid w:val="75FA7F88"/>
    <w:rsid w:val="760F6AB6"/>
    <w:rsid w:val="763E0630"/>
    <w:rsid w:val="76410E96"/>
    <w:rsid w:val="764C64CF"/>
    <w:rsid w:val="76F32C15"/>
    <w:rsid w:val="7728349D"/>
    <w:rsid w:val="773E08DD"/>
    <w:rsid w:val="773F15D2"/>
    <w:rsid w:val="77736460"/>
    <w:rsid w:val="77802F5F"/>
    <w:rsid w:val="778A739A"/>
    <w:rsid w:val="77A56AE3"/>
    <w:rsid w:val="77CB3911"/>
    <w:rsid w:val="77CF25D2"/>
    <w:rsid w:val="783840D9"/>
    <w:rsid w:val="78694EB1"/>
    <w:rsid w:val="787D50A8"/>
    <w:rsid w:val="78D7225E"/>
    <w:rsid w:val="791434F2"/>
    <w:rsid w:val="792811EE"/>
    <w:rsid w:val="79445DC0"/>
    <w:rsid w:val="79590C60"/>
    <w:rsid w:val="79681260"/>
    <w:rsid w:val="79700AD5"/>
    <w:rsid w:val="79733C5C"/>
    <w:rsid w:val="79A85192"/>
    <w:rsid w:val="79AB7D4A"/>
    <w:rsid w:val="7A4F09FA"/>
    <w:rsid w:val="7A515A02"/>
    <w:rsid w:val="7A5F7EC3"/>
    <w:rsid w:val="7A651B4A"/>
    <w:rsid w:val="7A990C6B"/>
    <w:rsid w:val="7ACB0DEA"/>
    <w:rsid w:val="7B117EED"/>
    <w:rsid w:val="7B1B0CAA"/>
    <w:rsid w:val="7B284DE4"/>
    <w:rsid w:val="7B697725"/>
    <w:rsid w:val="7B7323B9"/>
    <w:rsid w:val="7BB47781"/>
    <w:rsid w:val="7BD721B2"/>
    <w:rsid w:val="7BD77A8B"/>
    <w:rsid w:val="7C25651A"/>
    <w:rsid w:val="7C8F256C"/>
    <w:rsid w:val="7CAE2367"/>
    <w:rsid w:val="7CCA74F3"/>
    <w:rsid w:val="7CFD53F8"/>
    <w:rsid w:val="7D297E85"/>
    <w:rsid w:val="7D5B7924"/>
    <w:rsid w:val="7D67739B"/>
    <w:rsid w:val="7D9F2A6A"/>
    <w:rsid w:val="7DB164B1"/>
    <w:rsid w:val="7DE749CA"/>
    <w:rsid w:val="7E56641E"/>
    <w:rsid w:val="7EFE32F2"/>
    <w:rsid w:val="7EFF0B01"/>
    <w:rsid w:val="7F1E2649"/>
    <w:rsid w:val="7F5324AF"/>
    <w:rsid w:val="7F691D67"/>
    <w:rsid w:val="7F9E2E8B"/>
    <w:rsid w:val="7FB84D15"/>
    <w:rsid w:val="7FCD57CC"/>
    <w:rsid w:val="7FF15422"/>
    <w:rsid w:val="7FF4017D"/>
    <w:rsid w:val="7FF6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9"/>
    <w:pPr>
      <w:keepNext/>
      <w:keepLines/>
      <w:numPr>
        <w:ilvl w:val="0"/>
        <w:numId w:val="1"/>
      </w:numPr>
      <w:ind w:firstLineChars="0"/>
      <w:outlineLvl w:val="0"/>
    </w:pPr>
    <w:rPr>
      <w:rFonts w:ascii="黑体" w:hAnsi="黑体" w:eastAsia="黑体"/>
      <w:b/>
      <w:bCs/>
      <w:kern w:val="44"/>
      <w:sz w:val="28"/>
      <w:szCs w:val="28"/>
    </w:rPr>
  </w:style>
  <w:style w:type="paragraph" w:styleId="4">
    <w:name w:val="heading 2"/>
    <w:basedOn w:val="3"/>
    <w:next w:val="1"/>
    <w:qFormat/>
    <w:uiPriority w:val="9"/>
    <w:pPr>
      <w:numPr>
        <w:ilvl w:val="1"/>
        <w:numId w:val="1"/>
      </w:numPr>
      <w:outlineLvl w:val="1"/>
    </w:pPr>
    <w:rPr>
      <w:sz w:val="24"/>
      <w:szCs w:val="24"/>
    </w:rPr>
  </w:style>
  <w:style w:type="paragraph" w:styleId="5">
    <w:name w:val="heading 3"/>
    <w:basedOn w:val="1"/>
    <w:next w:val="1"/>
    <w:qFormat/>
    <w:uiPriority w:val="9"/>
    <w:pPr>
      <w:numPr>
        <w:ilvl w:val="2"/>
        <w:numId w:val="1"/>
      </w:numPr>
      <w:outlineLvl w:val="2"/>
    </w:pPr>
    <w:rPr>
      <w:sz w:val="21"/>
      <w:szCs w:val="21"/>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pPr>
  </w:style>
  <w:style w:type="paragraph" w:styleId="6">
    <w:name w:val="toc 3"/>
    <w:basedOn w:val="1"/>
    <w:next w:val="1"/>
    <w:qFormat/>
    <w:uiPriority w:val="39"/>
    <w:pPr>
      <w:ind w:left="840" w:leftChars="400"/>
    </w:pPr>
  </w:style>
  <w:style w:type="paragraph" w:styleId="7">
    <w:name w:val="footer"/>
    <w:basedOn w:val="1"/>
    <w:qFormat/>
    <w:uiPriority w:val="99"/>
    <w:pPr>
      <w:tabs>
        <w:tab w:val="center" w:pos="4153"/>
        <w:tab w:val="right" w:pos="8306"/>
      </w:tabs>
      <w:snapToGrid w:val="0"/>
      <w:jc w:val="left"/>
    </w:pPr>
    <w:rPr>
      <w:sz w:val="18"/>
      <w:szCs w:val="18"/>
    </w:rPr>
  </w:style>
  <w:style w:type="paragraph" w:styleId="8">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39"/>
    <w:pPr>
      <w:tabs>
        <w:tab w:val="right" w:leader="dot" w:pos="8705"/>
      </w:tabs>
    </w:pPr>
    <w:rPr>
      <w:b/>
    </w:rPr>
  </w:style>
  <w:style w:type="paragraph" w:styleId="10">
    <w:name w:val="toc 2"/>
    <w:basedOn w:val="1"/>
    <w:next w:val="1"/>
    <w:qFormat/>
    <w:uiPriority w:val="39"/>
    <w:pPr>
      <w:tabs>
        <w:tab w:val="right" w:leader="dot" w:pos="8705"/>
      </w:tabs>
      <w:ind w:left="420" w:leftChars="200"/>
    </w:pPr>
  </w:style>
  <w:style w:type="character" w:styleId="13">
    <w:name w:val="page number"/>
    <w:basedOn w:val="12"/>
    <w:qFormat/>
    <w:uiPriority w:val="0"/>
  </w:style>
  <w:style w:type="paragraph" w:customStyle="1" w:styleId="14">
    <w:name w:val="正文文字样式"/>
    <w:basedOn w:val="1"/>
    <w:qFormat/>
    <w:uiPriority w:val="99"/>
    <w:pPr>
      <w:spacing w:line="480" w:lineRule="exact"/>
      <w:ind w:firstLine="480" w:firstLineChars="200"/>
    </w:pPr>
    <w:rPr>
      <w:sz w:val="24"/>
      <w:szCs w:val="24"/>
    </w:rPr>
  </w:style>
  <w:style w:type="paragraph" w:customStyle="1" w:styleId="15">
    <w:name w:val="首行缩进"/>
    <w:basedOn w:val="1"/>
    <w:qFormat/>
    <w:uiPriority w:val="0"/>
    <w:pPr>
      <w:spacing w:line="300" w:lineRule="auto"/>
      <w:ind w:firstLine="420" w:firstLineChars="200"/>
    </w:pPr>
    <w:rPr>
      <w:rFonts w:eastAsia="方正书宋简体" w:cs="宋体"/>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2026-03-20T09:15:00Z</dcterms:created>
  <dc:creator>覃伟宾</dc:creator>
  <cp:lastModifiedBy>覃伟宾</cp:lastModifiedBy>
  <dcterms:modified xsi:type="dcterms:W3CDTF">2026-03-20T09:17:11Z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CBC1A05ACE63403B8538FA70964A302A</vt:lpwstr>
  </property>
</Properties>
</file>