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Theme="minorEastAsia" w:hAnsiTheme="minorEastAsia" w:cstheme="minorEastAsia"/>
          <w:sz w:val="24"/>
        </w:rPr>
      </w:pPr>
      <w:r>
        <w:rPr>
          <w:rFonts w:hint="eastAsia" w:ascii="Times New Roman" w:hAnsi="Times New Roman" w:eastAsia="黑体" w:cs="Times New Roman"/>
          <w:b/>
          <w:sz w:val="52"/>
          <w:szCs w:val="22"/>
        </w:rPr>
        <w:drawing>
          <wp:anchor distT="0" distB="0" distL="114300" distR="114300" simplePos="0" relativeHeight="251659264" behindDoc="1" locked="0" layoutInCell="1" allowOverlap="1">
            <wp:simplePos x="0" y="0"/>
            <wp:positionH relativeFrom="column">
              <wp:posOffset>-1158875</wp:posOffset>
            </wp:positionH>
            <wp:positionV relativeFrom="paragraph">
              <wp:posOffset>-909955</wp:posOffset>
            </wp:positionV>
            <wp:extent cx="7972425" cy="2585720"/>
            <wp:effectExtent l="0" t="0" r="13335" b="5080"/>
            <wp:wrapTight wrapText="bothSides">
              <wp:wrapPolygon>
                <wp:start x="0" y="0"/>
                <wp:lineTo x="0" y="21515"/>
                <wp:lineTo x="21554" y="21515"/>
                <wp:lineTo x="21554" y="0"/>
                <wp:lineTo x="0" y="0"/>
              </wp:wrapPolygon>
            </wp:wrapTight>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4"/>
                    <a:stretch>
                      <a:fillRect/>
                    </a:stretch>
                  </pic:blipFill>
                  <pic:spPr>
                    <a:xfrm>
                      <a:off x="0" y="0"/>
                      <a:ext cx="7972425" cy="2585720"/>
                    </a:xfrm>
                    <a:prstGeom prst="rect">
                      <a:avLst/>
                    </a:prstGeom>
                    <a:noFill/>
                    <a:ln>
                      <a:noFill/>
                    </a:ln>
                  </pic:spPr>
                </pic:pic>
              </a:graphicData>
            </a:graphic>
          </wp:anchor>
        </w:drawing>
      </w:r>
    </w:p>
    <w:p>
      <w:pPr>
        <w:spacing w:line="480" w:lineRule="auto"/>
        <w:jc w:val="center"/>
        <w:rPr>
          <w:rFonts w:ascii="黑体" w:hAnsi="黑体" w:eastAsia="黑体" w:cs="黑体"/>
          <w:sz w:val="48"/>
          <w:szCs w:val="48"/>
        </w:rPr>
      </w:pPr>
      <w:r>
        <w:rPr>
          <w:rFonts w:hint="eastAsia" w:ascii="黑体" w:hAnsi="黑体" w:eastAsia="黑体" w:cs="黑体"/>
          <w:sz w:val="48"/>
          <w:szCs w:val="48"/>
        </w:rPr>
        <w:t>混合式高速双电源转换开关成套装置</w:t>
      </w:r>
    </w:p>
    <w:p>
      <w:pPr>
        <w:spacing w:line="480" w:lineRule="auto"/>
        <w:jc w:val="center"/>
        <w:rPr>
          <w:rFonts w:ascii="黑体" w:hAnsi="黑体" w:eastAsia="黑体" w:cs="黑体"/>
          <w:sz w:val="48"/>
          <w:szCs w:val="48"/>
        </w:rPr>
      </w:pPr>
    </w:p>
    <w:p>
      <w:pPr>
        <w:spacing w:line="480" w:lineRule="auto"/>
        <w:jc w:val="center"/>
        <w:rPr>
          <w:rFonts w:ascii="黑体" w:hAnsi="黑体" w:eastAsia="黑体" w:cs="黑体"/>
          <w:sz w:val="48"/>
          <w:szCs w:val="48"/>
        </w:rPr>
      </w:pPr>
      <w:r>
        <w:rPr>
          <w:rFonts w:hint="eastAsia" w:ascii="黑体" w:hAnsi="黑体" w:eastAsia="黑体" w:cs="黑体"/>
          <w:sz w:val="48"/>
          <w:szCs w:val="48"/>
        </w:rPr>
        <w:t>技术规范书</w:t>
      </w: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jc w:val="center"/>
        <w:rPr>
          <w:rFonts w:ascii="黑体" w:hAnsi="黑体" w:eastAsia="黑体" w:cs="黑体"/>
          <w:sz w:val="36"/>
          <w:szCs w:val="36"/>
        </w:rPr>
      </w:pPr>
      <w:r>
        <w:rPr>
          <w:rFonts w:hint="eastAsia" w:ascii="黑体" w:hAnsi="黑体" w:eastAsia="黑体" w:cs="黑体"/>
          <w:sz w:val="36"/>
          <w:szCs w:val="36"/>
        </w:rPr>
        <w:t>版本号：2026版V1.0</w:t>
      </w:r>
    </w:p>
    <w:p>
      <w:pPr>
        <w:spacing w:line="360" w:lineRule="auto"/>
        <w:jc w:val="center"/>
        <w:rPr>
          <w:rFonts w:ascii="黑体" w:hAnsi="黑体" w:eastAsia="黑体" w:cs="黑体"/>
          <w:sz w:val="36"/>
          <w:szCs w:val="36"/>
        </w:rPr>
      </w:pPr>
      <w:r>
        <w:rPr>
          <w:rFonts w:hint="eastAsia" w:ascii="黑体" w:hAnsi="黑体" w:eastAsia="黑体" w:cs="黑体"/>
          <w:sz w:val="36"/>
          <w:szCs w:val="36"/>
        </w:rPr>
        <w:t>编号：</w:t>
      </w:r>
    </w:p>
    <w:p>
      <w:pPr>
        <w:spacing w:line="360" w:lineRule="auto"/>
        <w:jc w:val="center"/>
        <w:rPr>
          <w:rFonts w:ascii="黑体" w:hAnsi="黑体" w:eastAsia="黑体" w:cs="黑体"/>
          <w:sz w:val="36"/>
          <w:szCs w:val="36"/>
        </w:rPr>
      </w:pPr>
    </w:p>
    <w:p>
      <w:pPr>
        <w:spacing w:line="360" w:lineRule="auto"/>
        <w:jc w:val="center"/>
        <w:rPr>
          <w:rFonts w:ascii="黑体" w:hAnsi="黑体" w:eastAsia="黑体" w:cs="黑体"/>
          <w:sz w:val="36"/>
          <w:szCs w:val="36"/>
        </w:rPr>
      </w:pPr>
    </w:p>
    <w:p>
      <w:pPr>
        <w:spacing w:line="360" w:lineRule="auto"/>
        <w:jc w:val="center"/>
        <w:rPr>
          <w:rFonts w:ascii="黑体" w:hAnsi="黑体" w:eastAsia="黑体" w:cs="黑体"/>
          <w:sz w:val="36"/>
          <w:szCs w:val="36"/>
        </w:rPr>
      </w:pPr>
    </w:p>
    <w:p>
      <w:pPr>
        <w:spacing w:line="360" w:lineRule="auto"/>
        <w:jc w:val="center"/>
        <w:rPr>
          <w:rFonts w:ascii="黑体" w:hAnsi="黑体" w:eastAsia="黑体" w:cs="黑体"/>
          <w:sz w:val="32"/>
          <w:szCs w:val="32"/>
        </w:rPr>
      </w:pPr>
      <w:r>
        <w:rPr>
          <w:rFonts w:hint="eastAsia" w:ascii="黑体" w:hAnsi="黑体" w:eastAsia="黑体" w:cs="黑体"/>
          <w:sz w:val="32"/>
          <w:szCs w:val="32"/>
        </w:rPr>
        <w:t>云南电网有限责任公司</w:t>
      </w:r>
    </w:p>
    <w:p>
      <w:pPr>
        <w:spacing w:line="360" w:lineRule="auto"/>
        <w:jc w:val="center"/>
        <w:rPr>
          <w:rFonts w:ascii="黑体" w:hAnsi="黑体" w:eastAsia="黑体" w:cs="黑体"/>
          <w:sz w:val="32"/>
          <w:szCs w:val="32"/>
        </w:rPr>
      </w:pPr>
      <w:r>
        <w:rPr>
          <w:rFonts w:hint="eastAsia" w:ascii="黑体" w:hAnsi="黑体" w:eastAsia="黑体" w:cs="黑体"/>
          <w:sz w:val="32"/>
          <w:szCs w:val="32"/>
        </w:rPr>
        <w:t>2026年3月</w:t>
      </w: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sdt>
      <w:sdtPr>
        <w:rPr>
          <w:rFonts w:ascii="宋体" w:hAnsi="宋体" w:eastAsia="宋体"/>
        </w:rPr>
        <w:id w:val="147464063"/>
        <w15:color w:val="DBDBDB"/>
        <w:docPartObj>
          <w:docPartGallery w:val="Table of Contents"/>
          <w:docPartUnique/>
        </w:docPartObj>
      </w:sdtPr>
      <w:sdtEndPr>
        <w:rPr>
          <w:rFonts w:hint="eastAsia" w:asciiTheme="minorEastAsia" w:hAnsiTheme="minorEastAsia" w:eastAsiaTheme="minorEastAsia" w:cstheme="minorEastAsia"/>
        </w:rPr>
      </w:sdtEndPr>
      <w:sdtContent>
        <w:p>
          <w:pPr>
            <w:jc w:val="center"/>
            <w:rPr>
              <w:rFonts w:ascii="宋体" w:hAnsi="宋体" w:eastAsia="宋体"/>
            </w:rPr>
          </w:pPr>
          <w:r>
            <w:rPr>
              <w:rFonts w:ascii="宋体" w:hAnsi="宋体" w:eastAsia="宋体"/>
            </w:rPr>
            <w:t>目录</w:t>
          </w:r>
        </w:p>
        <w:p>
          <w:pPr>
            <w:jc w:val="center"/>
            <w:rPr>
              <w:rFonts w:ascii="宋体" w:hAnsi="宋体" w:eastAsia="宋体"/>
            </w:rPr>
          </w:pPr>
        </w:p>
        <w:p>
          <w:pPr>
            <w:pStyle w:val="5"/>
            <w:tabs>
              <w:tab w:val="right" w:leader="dot" w:pos="8306"/>
            </w:tabs>
          </w:pPr>
          <w:r>
            <w:rPr>
              <w:rFonts w:hint="eastAsia" w:asciiTheme="minorEastAsia" w:hAnsiTheme="minorEastAsia" w:cstheme="minorEastAsia"/>
              <w:sz w:val="24"/>
            </w:rPr>
            <w:fldChar w:fldCharType="begin"/>
          </w:r>
          <w:r>
            <w:rPr>
              <w:rFonts w:hint="eastAsia" w:asciiTheme="minorEastAsia" w:hAnsiTheme="minorEastAsia" w:cstheme="minorEastAsia"/>
              <w:sz w:val="24"/>
            </w:rPr>
            <w:instrText xml:space="preserve">TOC \o "1-3" \h \u </w:instrText>
          </w:r>
          <w:r>
            <w:rPr>
              <w:rFonts w:hint="eastAsia" w:asciiTheme="minorEastAsia" w:hAnsiTheme="minorEastAsia" w:cstheme="minorEastAsia"/>
              <w:sz w:val="24"/>
            </w:rPr>
            <w:fldChar w:fldCharType="separate"/>
          </w:r>
          <w:r>
            <w:fldChar w:fldCharType="begin"/>
          </w:r>
          <w:r>
            <w:instrText xml:space="preserve"> HYPERLINK \l "_Toc9429" </w:instrText>
          </w:r>
          <w:r>
            <w:fldChar w:fldCharType="separate"/>
          </w:r>
          <w:r>
            <w:rPr>
              <w:rFonts w:ascii="宋体" w:hAnsi="宋体" w:eastAsia="宋体" w:cs="宋体"/>
              <w:szCs w:val="21"/>
            </w:rPr>
            <w:t>1.</w:t>
          </w:r>
          <w:r>
            <w:rPr>
              <w:rFonts w:hint="eastAsia" w:ascii="宋体" w:hAnsi="宋体" w:eastAsia="宋体" w:cs="宋体"/>
              <w:szCs w:val="21"/>
            </w:rPr>
            <w:t>总则</w:t>
          </w:r>
          <w:r>
            <w:tab/>
          </w:r>
          <w:r>
            <w:fldChar w:fldCharType="begin"/>
          </w:r>
          <w:r>
            <w:instrText xml:space="preserve"> PAGEREF _Toc9429 \h </w:instrText>
          </w:r>
          <w:r>
            <w:fldChar w:fldCharType="separate"/>
          </w:r>
          <w:r>
            <w:t>3</w:t>
          </w:r>
          <w:r>
            <w:fldChar w:fldCharType="end"/>
          </w:r>
          <w:r>
            <w:fldChar w:fldCharType="end"/>
          </w:r>
        </w:p>
        <w:p>
          <w:pPr>
            <w:pStyle w:val="5"/>
            <w:tabs>
              <w:tab w:val="right" w:leader="dot" w:pos="8306"/>
            </w:tabs>
          </w:pPr>
          <w:r>
            <w:fldChar w:fldCharType="begin"/>
          </w:r>
          <w:r>
            <w:instrText xml:space="preserve"> HYPERLINK \l "_Toc19423" </w:instrText>
          </w:r>
          <w:r>
            <w:fldChar w:fldCharType="separate"/>
          </w:r>
          <w:r>
            <w:rPr>
              <w:rFonts w:ascii="宋体" w:hAnsi="宋体" w:eastAsia="宋体" w:cs="宋体"/>
              <w:szCs w:val="21"/>
            </w:rPr>
            <w:t>2.</w:t>
          </w:r>
          <w:r>
            <w:rPr>
              <w:rFonts w:hint="eastAsia" w:ascii="宋体" w:hAnsi="宋体" w:eastAsia="宋体" w:cs="宋体"/>
              <w:szCs w:val="21"/>
            </w:rPr>
            <w:t>使用环境条件</w:t>
          </w:r>
          <w:r>
            <w:tab/>
          </w:r>
          <w:r>
            <w:fldChar w:fldCharType="begin"/>
          </w:r>
          <w:r>
            <w:instrText xml:space="preserve"> PAGEREF _Toc19423 \h </w:instrText>
          </w:r>
          <w:r>
            <w:fldChar w:fldCharType="separate"/>
          </w:r>
          <w:r>
            <w:t>5</w:t>
          </w:r>
          <w:r>
            <w:fldChar w:fldCharType="end"/>
          </w:r>
          <w:r>
            <w:fldChar w:fldCharType="end"/>
          </w:r>
        </w:p>
        <w:p>
          <w:pPr>
            <w:pStyle w:val="5"/>
            <w:tabs>
              <w:tab w:val="right" w:leader="dot" w:pos="8306"/>
            </w:tabs>
          </w:pPr>
          <w:r>
            <w:fldChar w:fldCharType="begin"/>
          </w:r>
          <w:r>
            <w:instrText xml:space="preserve"> HYPERLINK \l "_Toc20374" </w:instrText>
          </w:r>
          <w:r>
            <w:fldChar w:fldCharType="separate"/>
          </w:r>
          <w:r>
            <w:rPr>
              <w:rFonts w:ascii="宋体" w:hAnsi="宋体" w:eastAsia="宋体" w:cs="宋体"/>
              <w:szCs w:val="21"/>
            </w:rPr>
            <w:t>3.</w:t>
          </w:r>
          <w:r>
            <w:rPr>
              <w:rFonts w:hint="eastAsia" w:ascii="宋体" w:hAnsi="宋体" w:eastAsia="宋体" w:cs="宋体"/>
              <w:szCs w:val="21"/>
            </w:rPr>
            <w:t>设备技术参数</w:t>
          </w:r>
          <w:r>
            <w:tab/>
          </w:r>
          <w:r>
            <w:fldChar w:fldCharType="begin"/>
          </w:r>
          <w:r>
            <w:instrText xml:space="preserve"> PAGEREF _Toc20374 \h </w:instrText>
          </w:r>
          <w:r>
            <w:fldChar w:fldCharType="separate"/>
          </w:r>
          <w:r>
            <w:t>5</w:t>
          </w:r>
          <w:r>
            <w:fldChar w:fldCharType="end"/>
          </w:r>
          <w:r>
            <w:fldChar w:fldCharType="end"/>
          </w:r>
        </w:p>
        <w:p>
          <w:pPr>
            <w:pStyle w:val="5"/>
            <w:tabs>
              <w:tab w:val="right" w:leader="dot" w:pos="8306"/>
            </w:tabs>
          </w:pPr>
          <w:r>
            <w:fldChar w:fldCharType="begin"/>
          </w:r>
          <w:r>
            <w:instrText xml:space="preserve"> HYPERLINK \l "_Toc14113" </w:instrText>
          </w:r>
          <w:r>
            <w:fldChar w:fldCharType="separate"/>
          </w:r>
          <w:r>
            <w:rPr>
              <w:rFonts w:ascii="宋体" w:hAnsi="宋体" w:eastAsia="宋体" w:cs="宋体"/>
              <w:szCs w:val="21"/>
            </w:rPr>
            <w:t>4.</w:t>
          </w:r>
          <w:r>
            <w:rPr>
              <w:rFonts w:hint="eastAsia" w:ascii="宋体" w:hAnsi="宋体" w:eastAsia="宋体" w:cs="宋体"/>
              <w:szCs w:val="21"/>
            </w:rPr>
            <w:t>试验</w:t>
          </w:r>
          <w:r>
            <w:tab/>
          </w:r>
          <w:r>
            <w:fldChar w:fldCharType="begin"/>
          </w:r>
          <w:r>
            <w:instrText xml:space="preserve"> PAGEREF _Toc14113 \h </w:instrText>
          </w:r>
          <w:r>
            <w:fldChar w:fldCharType="separate"/>
          </w:r>
          <w:r>
            <w:t>10</w:t>
          </w:r>
          <w:r>
            <w:fldChar w:fldCharType="end"/>
          </w:r>
          <w:r>
            <w:fldChar w:fldCharType="end"/>
          </w:r>
        </w:p>
        <w:p>
          <w:pPr>
            <w:pStyle w:val="5"/>
            <w:tabs>
              <w:tab w:val="right" w:leader="dot" w:pos="8306"/>
            </w:tabs>
          </w:pPr>
          <w:r>
            <w:fldChar w:fldCharType="begin"/>
          </w:r>
          <w:r>
            <w:instrText xml:space="preserve"> HYPERLINK \l "_Toc20706" </w:instrText>
          </w:r>
          <w:r>
            <w:fldChar w:fldCharType="separate"/>
          </w:r>
          <w:r>
            <w:rPr>
              <w:rFonts w:ascii="宋体" w:hAnsi="宋体" w:eastAsia="宋体" w:cs="宋体"/>
              <w:szCs w:val="21"/>
            </w:rPr>
            <w:t>5.</w:t>
          </w:r>
          <w:r>
            <w:rPr>
              <w:rFonts w:hint="eastAsia" w:ascii="宋体" w:hAnsi="宋体" w:eastAsia="宋体" w:cs="宋体"/>
              <w:szCs w:val="21"/>
            </w:rPr>
            <w:t>质量保证及管理</w:t>
          </w:r>
          <w:r>
            <w:tab/>
          </w:r>
          <w:r>
            <w:fldChar w:fldCharType="begin"/>
          </w:r>
          <w:r>
            <w:instrText xml:space="preserve"> PAGEREF _Toc20706 \h </w:instrText>
          </w:r>
          <w:r>
            <w:fldChar w:fldCharType="separate"/>
          </w:r>
          <w:r>
            <w:t>12</w:t>
          </w:r>
          <w:r>
            <w:fldChar w:fldCharType="end"/>
          </w:r>
          <w:r>
            <w:fldChar w:fldCharType="end"/>
          </w:r>
        </w:p>
        <w:p>
          <w:pPr>
            <w:spacing w:line="360" w:lineRule="auto"/>
            <w:rPr>
              <w:rFonts w:asciiTheme="minorEastAsia" w:hAnsiTheme="minorEastAsia" w:cstheme="minorEastAsia"/>
            </w:rPr>
          </w:pPr>
          <w:r>
            <w:rPr>
              <w:rFonts w:hint="eastAsia" w:asciiTheme="minorEastAsia" w:hAnsiTheme="minorEastAsia" w:cstheme="minorEastAsia"/>
            </w:rPr>
            <w:fldChar w:fldCharType="end"/>
          </w:r>
        </w:p>
      </w:sdtContent>
    </w:sdt>
    <w:p>
      <w:pPr>
        <w:spacing w:line="360" w:lineRule="auto"/>
        <w:rPr>
          <w:rFonts w:asciiTheme="minorEastAsia" w:hAnsiTheme="minorEastAsia" w:cstheme="minorEastAsia"/>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p>
      <w:pPr>
        <w:pStyle w:val="2"/>
        <w:numPr>
          <w:ilvl w:val="0"/>
          <w:numId w:val="1"/>
        </w:numPr>
        <w:rPr>
          <w:rFonts w:ascii="宋体" w:hAnsi="宋体" w:eastAsia="宋体" w:cs="宋体"/>
          <w:sz w:val="21"/>
          <w:szCs w:val="21"/>
        </w:rPr>
      </w:pPr>
      <w:bookmarkStart w:id="0" w:name="_Toc9429"/>
      <w:r>
        <w:rPr>
          <w:rFonts w:hint="eastAsia" w:ascii="宋体" w:hAnsi="宋体" w:eastAsia="宋体" w:cs="宋体"/>
          <w:sz w:val="21"/>
          <w:szCs w:val="21"/>
        </w:rPr>
        <w:t>总则</w:t>
      </w:r>
      <w:bookmarkEnd w:id="0"/>
    </w:p>
    <w:p>
      <w:pPr>
        <w:spacing w:line="360" w:lineRule="auto"/>
        <w:ind w:firstLine="420" w:firstLineChars="200"/>
        <w:rPr>
          <w:rFonts w:ascii="宋体" w:hAnsi="宋体" w:eastAsia="宋体" w:cs="宋体"/>
          <w:szCs w:val="21"/>
        </w:rPr>
      </w:pPr>
      <w:r>
        <w:rPr>
          <w:rFonts w:hint="eastAsia" w:ascii="宋体" w:hAnsi="宋体" w:eastAsia="宋体" w:cs="宋体"/>
          <w:szCs w:val="21"/>
        </w:rPr>
        <w:t>1.1本技术规范书主要用于云南电网有限责任公司630A混合式高速双电源转换开关成套装置（以下简称“高速转换开关装置”）的</w:t>
      </w:r>
      <w:r>
        <w:rPr>
          <w:rFonts w:hint="eastAsia" w:ascii="宋体" w:hAnsi="宋体" w:eastAsia="宋体" w:cs="宋体"/>
          <w:szCs w:val="21"/>
          <w:lang w:val="en-US" w:eastAsia="zh-CN"/>
        </w:rPr>
        <w:t>项目</w:t>
      </w:r>
      <w:r>
        <w:rPr>
          <w:rFonts w:hint="eastAsia" w:ascii="宋体" w:hAnsi="宋体" w:eastAsia="宋体" w:cs="宋体"/>
          <w:szCs w:val="21"/>
          <w:highlight w:val="none"/>
        </w:rPr>
        <w:t>招标谈判，</w:t>
      </w:r>
      <w:r>
        <w:rPr>
          <w:rFonts w:hint="eastAsia" w:ascii="宋体" w:hAnsi="宋体" w:eastAsia="宋体" w:cs="宋体"/>
          <w:szCs w:val="21"/>
        </w:rPr>
        <w:t>本技术规范书提出了产品通用及专项技术要求，具体交货期、交货目的地以商务合同为准。</w:t>
      </w:r>
    </w:p>
    <w:p>
      <w:pPr>
        <w:spacing w:line="360" w:lineRule="auto"/>
        <w:ind w:firstLine="420" w:firstLineChars="200"/>
        <w:rPr>
          <w:rFonts w:ascii="宋体" w:hAnsi="宋体" w:eastAsia="宋体" w:cs="宋体"/>
          <w:szCs w:val="21"/>
        </w:rPr>
      </w:pPr>
      <w:r>
        <w:rPr>
          <w:rFonts w:hint="eastAsia" w:ascii="宋体" w:hAnsi="宋体" w:eastAsia="宋体" w:cs="宋体"/>
          <w:szCs w:val="21"/>
        </w:rPr>
        <w:t>1.2报价方应按云南电网有限责任公司混合式高速双电源转换开关成套装置项目相关技术要求进行报价，报价应为单价，并对报价适用范围进行明确说明。报价方中标后，采购方有权根据具体项目需要对局部技术要求提出更改，若不涉及主要技术参数的修改，供货方不得对中标单价提出更改。</w:t>
      </w:r>
    </w:p>
    <w:p>
      <w:pPr>
        <w:spacing w:line="360" w:lineRule="auto"/>
        <w:ind w:firstLine="420" w:firstLineChars="200"/>
        <w:rPr>
          <w:rFonts w:ascii="宋体" w:hAnsi="宋体" w:eastAsia="宋体" w:cs="宋体"/>
          <w:szCs w:val="21"/>
        </w:rPr>
      </w:pPr>
      <w:r>
        <w:rPr>
          <w:rFonts w:hint="eastAsia" w:ascii="宋体" w:hAnsi="宋体" w:eastAsia="宋体" w:cs="宋体"/>
          <w:szCs w:val="21"/>
        </w:rPr>
        <w:t>1.3本技术规范书提出的是最低限度的技术要求，并未对一切技术细节作出规定，也未充分引述有关标准和规范的条文，供货方应提供符合本规范书和现行国家标准、行业标准的优质全新产品。</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1.4投标技术文件中应对投标产品的技术性能进行详细描述，提供不低于所供产品技术要求的全部</w:t>
      </w:r>
      <w:r>
        <w:rPr>
          <w:rFonts w:hint="eastAsia" w:ascii="宋体" w:hAnsi="宋体" w:eastAsia="宋体" w:cs="宋体"/>
          <w:szCs w:val="21"/>
          <w:highlight w:val="none"/>
          <w:lang w:val="en-US" w:eastAsia="zh-CN"/>
        </w:rPr>
        <w:t>第三方国家权威检测机构的产品实验</w:t>
      </w:r>
      <w:r>
        <w:rPr>
          <w:rFonts w:hint="eastAsia" w:ascii="宋体" w:hAnsi="宋体" w:eastAsia="宋体" w:cs="宋体"/>
          <w:szCs w:val="21"/>
          <w:highlight w:val="none"/>
        </w:rPr>
        <w:t>报告，并提供对应本招标技术规范书的技术偏差表；偏差表中未提及的条款，视同完全同意本技术规范书的全部要求。</w:t>
      </w:r>
    </w:p>
    <w:p>
      <w:pPr>
        <w:spacing w:line="360" w:lineRule="auto"/>
        <w:ind w:firstLine="420" w:firstLineChars="200"/>
        <w:rPr>
          <w:rFonts w:ascii="宋体" w:hAnsi="宋体" w:eastAsia="宋体" w:cs="宋体"/>
          <w:szCs w:val="21"/>
        </w:rPr>
      </w:pPr>
      <w:r>
        <w:rPr>
          <w:rFonts w:hint="eastAsia" w:ascii="宋体" w:hAnsi="宋体" w:eastAsia="宋体" w:cs="宋体"/>
          <w:szCs w:val="21"/>
        </w:rPr>
        <w:t>1.5投标方必须在投标技术文件中提供投标产品的实物彩照、结构原理图、核心元器件清单，资料不全视为废标。</w:t>
      </w:r>
    </w:p>
    <w:p>
      <w:pPr>
        <w:spacing w:line="360" w:lineRule="auto"/>
        <w:ind w:firstLine="420" w:firstLineChars="200"/>
        <w:rPr>
          <w:rFonts w:ascii="宋体" w:hAnsi="宋体" w:eastAsia="宋体" w:cs="宋体"/>
          <w:szCs w:val="21"/>
        </w:rPr>
      </w:pPr>
      <w:r>
        <w:rPr>
          <w:rFonts w:hint="eastAsia" w:ascii="宋体" w:hAnsi="宋体" w:eastAsia="宋体" w:cs="宋体"/>
          <w:szCs w:val="21"/>
        </w:rPr>
        <w:t>1.6本规范书所使用的标准如遇与供货方所执行的标准不一致时，按较高标准执行。</w:t>
      </w:r>
    </w:p>
    <w:p>
      <w:pPr>
        <w:spacing w:line="360" w:lineRule="auto"/>
        <w:ind w:firstLine="420" w:firstLineChars="200"/>
        <w:rPr>
          <w:rFonts w:ascii="宋体" w:hAnsi="宋体" w:eastAsia="宋体" w:cs="宋体"/>
          <w:szCs w:val="21"/>
        </w:rPr>
      </w:pPr>
      <w:r>
        <w:rPr>
          <w:rFonts w:hint="eastAsia" w:ascii="宋体" w:hAnsi="宋体" w:eastAsia="宋体" w:cs="宋体"/>
          <w:szCs w:val="21"/>
        </w:rPr>
        <w:t>1.7本规范书经采购方和供货方双方确认后，作为合同附件，与合同正文具有同等法律效力。</w:t>
      </w:r>
    </w:p>
    <w:p>
      <w:pPr>
        <w:spacing w:line="360" w:lineRule="auto"/>
        <w:ind w:firstLine="420" w:firstLineChars="200"/>
        <w:rPr>
          <w:rFonts w:ascii="宋体" w:hAnsi="宋体" w:eastAsia="宋体" w:cs="宋体"/>
          <w:szCs w:val="21"/>
        </w:rPr>
      </w:pPr>
      <w:r>
        <w:rPr>
          <w:rFonts w:hint="eastAsia" w:ascii="宋体" w:hAnsi="宋体" w:eastAsia="宋体" w:cs="宋体"/>
          <w:szCs w:val="21"/>
        </w:rPr>
        <w:t>1.8本规范书中涉及商务方面的内容，如与谈判文件的《商务部分》有矛盾时，以《商务部分》为准。</w:t>
      </w:r>
    </w:p>
    <w:p>
      <w:pPr>
        <w:spacing w:line="360" w:lineRule="auto"/>
        <w:ind w:firstLine="420" w:firstLineChars="200"/>
        <w:rPr>
          <w:rFonts w:ascii="宋体" w:hAnsi="宋体" w:eastAsia="宋体" w:cs="宋体"/>
          <w:szCs w:val="21"/>
        </w:rPr>
      </w:pPr>
      <w:r>
        <w:rPr>
          <w:rFonts w:hint="eastAsia" w:ascii="宋体" w:hAnsi="宋体" w:eastAsia="宋体" w:cs="宋体"/>
          <w:szCs w:val="21"/>
        </w:rPr>
        <w:t>1.9本规范书未尽事宜，由采购方和报价人在合同技术谈判时双方协商确定。</w:t>
      </w:r>
    </w:p>
    <w:p>
      <w:pPr>
        <w:spacing w:line="360" w:lineRule="auto"/>
        <w:ind w:firstLine="420" w:firstLineChars="200"/>
        <w:rPr>
          <w:rFonts w:ascii="宋体" w:hAnsi="宋体" w:eastAsia="宋体" w:cs="宋体"/>
          <w:szCs w:val="21"/>
        </w:rPr>
      </w:pPr>
      <w:r>
        <w:rPr>
          <w:rFonts w:hint="eastAsia" w:ascii="宋体" w:hAnsi="宋体" w:eastAsia="宋体" w:cs="宋体"/>
          <w:szCs w:val="21"/>
        </w:rPr>
        <w:t>1.10合同签订后，供货方应在2周内，向采购方提出详尽的供货计划书。</w:t>
      </w:r>
    </w:p>
    <w:p>
      <w:pPr>
        <w:spacing w:line="360" w:lineRule="auto"/>
        <w:ind w:firstLine="420" w:firstLineChars="200"/>
        <w:rPr>
          <w:rFonts w:ascii="宋体" w:hAnsi="宋体" w:eastAsia="宋体" w:cs="宋体"/>
          <w:szCs w:val="21"/>
        </w:rPr>
      </w:pPr>
      <w:r>
        <w:rPr>
          <w:rFonts w:hint="eastAsia" w:ascii="宋体" w:hAnsi="宋体" w:eastAsia="宋体" w:cs="宋体"/>
          <w:szCs w:val="21"/>
        </w:rPr>
        <w:t>1.11如有交货延误，供货方应及时将延误交货的原因、后果及采取的补救措施，向采购方书面说明。</w:t>
      </w:r>
    </w:p>
    <w:p>
      <w:pPr>
        <w:spacing w:line="360" w:lineRule="auto"/>
        <w:ind w:firstLine="420" w:firstLineChars="200"/>
        <w:rPr>
          <w:rFonts w:ascii="宋体" w:hAnsi="宋体" w:eastAsia="宋体" w:cs="宋体"/>
          <w:szCs w:val="21"/>
        </w:rPr>
      </w:pPr>
      <w:r>
        <w:rPr>
          <w:rFonts w:hint="eastAsia" w:ascii="宋体" w:hAnsi="宋体" w:eastAsia="宋体" w:cs="宋体"/>
          <w:szCs w:val="21"/>
        </w:rPr>
        <w:t>1.12供货方应在交货时向采购方提供1套如下表所列设备相关资料：</w:t>
      </w:r>
    </w:p>
    <w:p>
      <w:pPr>
        <w:spacing w:line="360" w:lineRule="auto"/>
        <w:jc w:val="center"/>
        <w:rPr>
          <w:rFonts w:ascii="宋体" w:hAnsi="宋体" w:eastAsia="宋体" w:cs="宋体"/>
          <w:szCs w:val="21"/>
        </w:rPr>
      </w:pPr>
      <w:r>
        <w:rPr>
          <w:rFonts w:hint="eastAsia" w:ascii="宋体" w:hAnsi="宋体" w:eastAsia="宋体" w:cs="宋体"/>
          <w:szCs w:val="21"/>
        </w:rPr>
        <w:t>表1供货方交货时需提供资料</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75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jc w:val="center"/>
              <w:rPr>
                <w:rFonts w:ascii="宋体" w:hAnsi="宋体" w:eastAsia="宋体" w:cs="宋体"/>
                <w:szCs w:val="21"/>
              </w:rPr>
            </w:pPr>
            <w:r>
              <w:rPr>
                <w:rFonts w:hint="eastAsia" w:ascii="宋体" w:hAnsi="宋体" w:eastAsia="宋体" w:cs="宋体"/>
                <w:szCs w:val="21"/>
              </w:rPr>
              <w:t>序号</w:t>
            </w:r>
          </w:p>
        </w:tc>
        <w:tc>
          <w:tcPr>
            <w:tcW w:w="7577" w:type="dxa"/>
          </w:tcPr>
          <w:p>
            <w:pPr>
              <w:spacing w:line="360" w:lineRule="auto"/>
              <w:jc w:val="center"/>
              <w:rPr>
                <w:rFonts w:ascii="宋体" w:hAnsi="宋体" w:eastAsia="宋体" w:cs="宋体"/>
                <w:szCs w:val="21"/>
              </w:rPr>
            </w:pPr>
            <w:r>
              <w:rPr>
                <w:rFonts w:hint="eastAsia" w:ascii="宋体" w:hAnsi="宋体" w:eastAsia="宋体" w:cs="宋体"/>
                <w:szCs w:val="21"/>
              </w:rPr>
              <w:t>资料内容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7577" w:type="dxa"/>
          </w:tcPr>
          <w:p>
            <w:pPr>
              <w:spacing w:line="360" w:lineRule="auto"/>
              <w:rPr>
                <w:rFonts w:ascii="宋体" w:hAnsi="宋体" w:eastAsia="宋体" w:cs="宋体"/>
                <w:szCs w:val="21"/>
              </w:rPr>
            </w:pPr>
            <w:r>
              <w:rPr>
                <w:rFonts w:hint="eastAsia" w:ascii="宋体" w:hAnsi="宋体" w:eastAsia="宋体" w:cs="宋体"/>
                <w:szCs w:val="21"/>
              </w:rPr>
              <w:t>产品合格证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jc w:val="center"/>
              <w:rPr>
                <w:rFonts w:ascii="宋体" w:hAnsi="宋体" w:eastAsia="宋体" w:cs="宋体"/>
                <w:szCs w:val="21"/>
              </w:rPr>
            </w:pPr>
            <w:r>
              <w:rPr>
                <w:rFonts w:hint="eastAsia" w:ascii="宋体" w:hAnsi="宋体" w:eastAsia="宋体" w:cs="宋体"/>
                <w:szCs w:val="21"/>
              </w:rPr>
              <w:t>2</w:t>
            </w:r>
          </w:p>
        </w:tc>
        <w:tc>
          <w:tcPr>
            <w:tcW w:w="7577" w:type="dxa"/>
          </w:tcPr>
          <w:p>
            <w:pPr>
              <w:spacing w:line="360" w:lineRule="auto"/>
              <w:rPr>
                <w:rFonts w:ascii="宋体" w:hAnsi="宋体" w:eastAsia="宋体" w:cs="宋体"/>
                <w:szCs w:val="21"/>
              </w:rPr>
            </w:pPr>
            <w:r>
              <w:rPr>
                <w:rFonts w:hint="eastAsia" w:ascii="宋体" w:hAnsi="宋体" w:eastAsia="宋体" w:cs="宋体"/>
                <w:szCs w:val="21"/>
              </w:rPr>
              <w:t>产品主要参数、使用维护中文说明书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spacing w:line="360" w:lineRule="auto"/>
              <w:jc w:val="center"/>
              <w:rPr>
                <w:rFonts w:ascii="宋体" w:hAnsi="宋体" w:eastAsia="宋体" w:cs="宋体"/>
                <w:szCs w:val="21"/>
              </w:rPr>
            </w:pPr>
            <w:r>
              <w:rPr>
                <w:rFonts w:hint="eastAsia" w:ascii="宋体" w:hAnsi="宋体" w:eastAsia="宋体" w:cs="宋体"/>
                <w:szCs w:val="21"/>
              </w:rPr>
              <w:t>3</w:t>
            </w:r>
          </w:p>
        </w:tc>
        <w:tc>
          <w:tcPr>
            <w:tcW w:w="7577" w:type="dxa"/>
          </w:tcPr>
          <w:p>
            <w:pPr>
              <w:spacing w:line="360" w:lineRule="auto"/>
              <w:rPr>
                <w:rFonts w:ascii="宋体" w:hAnsi="宋体" w:eastAsia="宋体" w:cs="宋体"/>
                <w:szCs w:val="21"/>
              </w:rPr>
            </w:pPr>
            <w:r>
              <w:rPr>
                <w:rFonts w:hint="eastAsia" w:ascii="宋体" w:hAnsi="宋体" w:eastAsia="宋体" w:cs="宋体"/>
                <w:szCs w:val="21"/>
              </w:rPr>
              <w:t>试验报告</w:t>
            </w:r>
          </w:p>
        </w:tc>
      </w:tr>
    </w:tbl>
    <w:p>
      <w:pPr>
        <w:spacing w:line="360" w:lineRule="auto"/>
        <w:ind w:firstLine="420" w:firstLineChars="200"/>
        <w:rPr>
          <w:rFonts w:ascii="宋体" w:hAnsi="宋体" w:eastAsia="宋体" w:cs="宋体"/>
          <w:szCs w:val="21"/>
        </w:rPr>
      </w:pPr>
      <w:r>
        <w:rPr>
          <w:rFonts w:hint="eastAsia" w:ascii="宋体" w:hAnsi="宋体" w:eastAsia="宋体" w:cs="宋体"/>
          <w:szCs w:val="21"/>
        </w:rPr>
        <w:t>1.13标准和规范</w:t>
      </w:r>
    </w:p>
    <w:p>
      <w:pPr>
        <w:spacing w:line="360" w:lineRule="auto"/>
        <w:ind w:firstLine="420" w:firstLineChars="200"/>
        <w:rPr>
          <w:rFonts w:ascii="宋体" w:hAnsi="宋体" w:eastAsia="宋体" w:cs="宋体"/>
          <w:szCs w:val="21"/>
        </w:rPr>
      </w:pPr>
      <w:r>
        <w:rPr>
          <w:rFonts w:hint="eastAsia" w:ascii="宋体" w:hAnsi="宋体" w:eastAsia="宋体" w:cs="宋体"/>
          <w:szCs w:val="21"/>
        </w:rPr>
        <w:t>1.13.1</w:t>
      </w:r>
      <w:r>
        <w:rPr>
          <w:rFonts w:hint="eastAsia" w:ascii="宋体" w:hAnsi="宋体" w:eastAsia="宋体" w:cs="宋体"/>
        </w:rPr>
        <w:t>合同设备包括供货方向其他厂商购买的所有附件和设备，而且供货方应明确申明并对外购产品质量负责，同时提供外购产品的出厂检验合格报告；如果是核心部件，还必须提供与国家和行业标准有关的质量证明文件。这些附件和设备应符合相应的标准规范或法规的最新版本或其修正本的要求，除非另有特别说明，将包括在生产期内有效的任何修正和补充。</w:t>
      </w:r>
    </w:p>
    <w:p>
      <w:pPr>
        <w:spacing w:line="360" w:lineRule="auto"/>
        <w:ind w:firstLine="420" w:firstLineChars="200"/>
        <w:rPr>
          <w:rFonts w:ascii="宋体" w:hAnsi="宋体" w:eastAsia="宋体" w:cs="宋体"/>
          <w:szCs w:val="21"/>
        </w:rPr>
      </w:pPr>
      <w:r>
        <w:rPr>
          <w:rFonts w:hint="eastAsia" w:ascii="宋体" w:hAnsi="宋体" w:eastAsia="宋体" w:cs="宋体"/>
          <w:szCs w:val="21"/>
        </w:rPr>
        <w:t>1.13.2</w:t>
      </w:r>
      <w:r>
        <w:rPr>
          <w:rFonts w:hint="eastAsia" w:ascii="宋体" w:hAnsi="宋体" w:eastAsia="宋体" w:cs="宋体"/>
        </w:rPr>
        <w:t>除非合同另有规定，均须遵守最新的国家标准(GB)以及国际电工委员会(IEC)标准以及国际单位制(SI)标准。</w:t>
      </w:r>
    </w:p>
    <w:p>
      <w:pPr>
        <w:spacing w:line="360" w:lineRule="auto"/>
        <w:ind w:firstLine="420" w:firstLineChars="200"/>
        <w:rPr>
          <w:rFonts w:ascii="宋体" w:hAnsi="宋体" w:eastAsia="宋体" w:cs="宋体"/>
          <w:szCs w:val="21"/>
        </w:rPr>
      </w:pPr>
      <w:r>
        <w:rPr>
          <w:rFonts w:hint="eastAsia" w:ascii="宋体" w:hAnsi="宋体" w:eastAsia="宋体" w:cs="宋体"/>
          <w:szCs w:val="21"/>
        </w:rPr>
        <w:t>1.13.3供货方提供的设备和配套件需符合以下标准但不局限于以下标准：</w:t>
      </w:r>
    </w:p>
    <w:p>
      <w:pPr>
        <w:spacing w:line="360" w:lineRule="auto"/>
        <w:jc w:val="center"/>
        <w:rPr>
          <w:rFonts w:ascii="宋体" w:hAnsi="宋体" w:eastAsia="宋体" w:cs="宋体"/>
        </w:rPr>
      </w:pPr>
      <w:r>
        <w:rPr>
          <w:rFonts w:hint="eastAsia" w:ascii="宋体" w:hAnsi="宋体" w:eastAsia="宋体" w:cs="宋体"/>
        </w:rPr>
        <w:t>表2</w:t>
      </w:r>
      <w:r>
        <w:rPr>
          <w:rFonts w:ascii="宋体" w:hAnsi="宋体" w:eastAsia="宋体" w:cs="宋体"/>
        </w:rPr>
        <w:t>投标方提供的设备和附件需要满足的主要标准</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1"/>
        <w:gridCol w:w="61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1" w:type="dxa"/>
            <w:vAlign w:val="center"/>
          </w:tcPr>
          <w:p>
            <w:pPr>
              <w:spacing w:line="360" w:lineRule="auto"/>
              <w:jc w:val="center"/>
              <w:rPr>
                <w:rFonts w:ascii="宋体" w:hAnsi="宋体" w:eastAsia="宋体" w:cs="宋体"/>
                <w:szCs w:val="21"/>
              </w:rPr>
            </w:pPr>
            <w:r>
              <w:rPr>
                <w:rFonts w:hint="eastAsia" w:ascii="宋体" w:hAnsi="宋体" w:eastAsia="宋体" w:cs="宋体"/>
                <w:szCs w:val="21"/>
              </w:rPr>
              <w:t>标准号</w:t>
            </w:r>
          </w:p>
        </w:tc>
        <w:tc>
          <w:tcPr>
            <w:tcW w:w="6161" w:type="dxa"/>
            <w:vAlign w:val="center"/>
          </w:tcPr>
          <w:p>
            <w:pPr>
              <w:spacing w:line="360" w:lineRule="auto"/>
              <w:jc w:val="center"/>
              <w:rPr>
                <w:rFonts w:ascii="宋体" w:hAnsi="宋体" w:eastAsia="宋体" w:cs="宋体"/>
                <w:szCs w:val="21"/>
              </w:rPr>
            </w:pPr>
            <w:r>
              <w:rPr>
                <w:rFonts w:hint="eastAsia" w:ascii="宋体" w:hAnsi="宋体" w:eastAsia="宋体" w:cs="宋体"/>
                <w:szCs w:val="21"/>
              </w:rPr>
              <w:t>标准名称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1" w:type="dxa"/>
            <w:vAlign w:val="center"/>
          </w:tcPr>
          <w:p>
            <w:pPr>
              <w:spacing w:line="360" w:lineRule="auto"/>
              <w:rPr>
                <w:rFonts w:ascii="宋体" w:hAnsi="宋体" w:eastAsia="宋体" w:cs="宋体"/>
                <w:szCs w:val="21"/>
              </w:rPr>
            </w:pPr>
            <w:r>
              <w:rPr>
                <w:rFonts w:hint="eastAsia" w:ascii="宋体" w:hAnsi="宋体" w:eastAsia="宋体" w:cs="宋体"/>
                <w:szCs w:val="21"/>
              </w:rPr>
              <w:t>GB/T1.1-2020</w:t>
            </w:r>
          </w:p>
        </w:tc>
        <w:tc>
          <w:tcPr>
            <w:tcW w:w="6161" w:type="dxa"/>
            <w:vAlign w:val="center"/>
          </w:tcPr>
          <w:p>
            <w:pPr>
              <w:spacing w:line="360" w:lineRule="auto"/>
              <w:rPr>
                <w:rFonts w:ascii="宋体" w:hAnsi="宋体" w:eastAsia="宋体" w:cs="宋体"/>
                <w:szCs w:val="21"/>
              </w:rPr>
            </w:pPr>
            <w:r>
              <w:rPr>
                <w:rFonts w:hint="eastAsia" w:ascii="宋体" w:hAnsi="宋体" w:eastAsia="宋体" w:cs="宋体"/>
                <w:szCs w:val="21"/>
              </w:rPr>
              <w:t>标准化工作导则第1部分：标准化文件的结构和起草规则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1" w:type="dxa"/>
            <w:vAlign w:val="center"/>
          </w:tcPr>
          <w:p>
            <w:pPr>
              <w:spacing w:line="360" w:lineRule="auto"/>
              <w:rPr>
                <w:rFonts w:ascii="宋体" w:hAnsi="宋体" w:eastAsia="宋体" w:cs="宋体"/>
                <w:szCs w:val="21"/>
              </w:rPr>
            </w:pPr>
            <w:r>
              <w:rPr>
                <w:rFonts w:hint="eastAsia" w:ascii="宋体" w:hAnsi="宋体" w:eastAsia="宋体" w:cs="宋体"/>
                <w:szCs w:val="21"/>
              </w:rPr>
              <w:t>GB/T14048.1-2020</w:t>
            </w:r>
          </w:p>
        </w:tc>
        <w:tc>
          <w:tcPr>
            <w:tcW w:w="6161" w:type="dxa"/>
            <w:vAlign w:val="center"/>
          </w:tcPr>
          <w:p>
            <w:pPr>
              <w:spacing w:line="360" w:lineRule="auto"/>
              <w:rPr>
                <w:rFonts w:ascii="宋体" w:hAnsi="宋体" w:eastAsia="宋体" w:cs="宋体"/>
                <w:szCs w:val="21"/>
              </w:rPr>
            </w:pPr>
            <w:r>
              <w:rPr>
                <w:rFonts w:hint="eastAsia" w:ascii="宋体" w:hAnsi="宋体" w:eastAsia="宋体" w:cs="宋体"/>
                <w:szCs w:val="21"/>
              </w:rPr>
              <w:t>低压开关设备和控制设备第1部分：总则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1" w:type="dxa"/>
            <w:vAlign w:val="center"/>
          </w:tcPr>
          <w:p>
            <w:pPr>
              <w:spacing w:line="360" w:lineRule="auto"/>
              <w:rPr>
                <w:rFonts w:ascii="宋体" w:hAnsi="宋体" w:eastAsia="宋体" w:cs="宋体"/>
                <w:szCs w:val="21"/>
              </w:rPr>
            </w:pPr>
            <w:r>
              <w:rPr>
                <w:rFonts w:hint="eastAsia" w:ascii="宋体" w:hAnsi="宋体" w:eastAsia="宋体" w:cs="宋体"/>
                <w:szCs w:val="21"/>
              </w:rPr>
              <w:t>GB/T14048.2-2020</w:t>
            </w:r>
          </w:p>
        </w:tc>
        <w:tc>
          <w:tcPr>
            <w:tcW w:w="6161" w:type="dxa"/>
            <w:vAlign w:val="center"/>
          </w:tcPr>
          <w:p>
            <w:pPr>
              <w:spacing w:line="360" w:lineRule="auto"/>
              <w:rPr>
                <w:rFonts w:ascii="宋体" w:hAnsi="宋体" w:eastAsia="宋体" w:cs="宋体"/>
                <w:szCs w:val="21"/>
              </w:rPr>
            </w:pPr>
            <w:r>
              <w:rPr>
                <w:rFonts w:hint="eastAsia" w:ascii="宋体" w:hAnsi="宋体" w:eastAsia="宋体" w:cs="宋体"/>
                <w:szCs w:val="21"/>
              </w:rPr>
              <w:t>低压开关设备和控制设备第2部分：断路器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1" w:type="dxa"/>
            <w:vAlign w:val="center"/>
          </w:tcPr>
          <w:p>
            <w:pPr>
              <w:spacing w:line="360" w:lineRule="auto"/>
              <w:rPr>
                <w:rFonts w:ascii="宋体" w:hAnsi="宋体" w:eastAsia="宋体" w:cs="宋体"/>
                <w:szCs w:val="21"/>
              </w:rPr>
            </w:pPr>
            <w:r>
              <w:rPr>
                <w:rFonts w:hint="eastAsia" w:ascii="宋体" w:hAnsi="宋体" w:eastAsia="宋体" w:cs="宋体"/>
                <w:szCs w:val="21"/>
              </w:rPr>
              <w:t>GB/T14048.11-2016</w:t>
            </w:r>
          </w:p>
        </w:tc>
        <w:tc>
          <w:tcPr>
            <w:tcW w:w="6161" w:type="dxa"/>
            <w:vAlign w:val="center"/>
          </w:tcPr>
          <w:p>
            <w:pPr>
              <w:spacing w:line="360" w:lineRule="auto"/>
              <w:rPr>
                <w:rFonts w:ascii="宋体" w:hAnsi="宋体" w:eastAsia="宋体" w:cs="宋体"/>
                <w:szCs w:val="21"/>
              </w:rPr>
            </w:pPr>
            <w:r>
              <w:rPr>
                <w:rFonts w:hint="eastAsia" w:ascii="宋体" w:hAnsi="宋体" w:eastAsia="宋体" w:cs="宋体"/>
                <w:szCs w:val="21"/>
              </w:rPr>
              <w:t>低压开关设备和控制设备第6-1部分：多功能电器自动转换开关电器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1" w:type="dxa"/>
            <w:vAlign w:val="center"/>
          </w:tcPr>
          <w:p>
            <w:pPr>
              <w:spacing w:line="360" w:lineRule="auto"/>
              <w:rPr>
                <w:rFonts w:ascii="宋体" w:hAnsi="宋体" w:eastAsia="宋体" w:cs="宋体"/>
                <w:szCs w:val="21"/>
              </w:rPr>
            </w:pPr>
            <w:r>
              <w:rPr>
                <w:rFonts w:hint="eastAsia" w:ascii="宋体" w:hAnsi="宋体" w:eastAsia="宋体" w:cs="宋体"/>
                <w:szCs w:val="21"/>
              </w:rPr>
              <w:t>GB/T3859.1-2013</w:t>
            </w:r>
          </w:p>
        </w:tc>
        <w:tc>
          <w:tcPr>
            <w:tcW w:w="6161" w:type="dxa"/>
            <w:vAlign w:val="center"/>
          </w:tcPr>
          <w:p>
            <w:pPr>
              <w:spacing w:line="360" w:lineRule="auto"/>
              <w:rPr>
                <w:rFonts w:ascii="宋体" w:hAnsi="宋体" w:eastAsia="宋体" w:cs="宋体"/>
                <w:szCs w:val="21"/>
              </w:rPr>
            </w:pPr>
            <w:r>
              <w:rPr>
                <w:rFonts w:hint="eastAsia" w:ascii="宋体" w:hAnsi="宋体" w:eastAsia="宋体" w:cs="宋体"/>
                <w:szCs w:val="21"/>
              </w:rPr>
              <w:t>半导体变流器基本要求的规定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1" w:type="dxa"/>
            <w:vAlign w:val="center"/>
          </w:tcPr>
          <w:p>
            <w:pPr>
              <w:spacing w:line="360" w:lineRule="auto"/>
              <w:rPr>
                <w:rFonts w:ascii="宋体" w:hAnsi="宋体" w:eastAsia="宋体" w:cs="宋体"/>
                <w:szCs w:val="21"/>
              </w:rPr>
            </w:pPr>
            <w:r>
              <w:rPr>
                <w:rFonts w:hint="eastAsia" w:ascii="宋体" w:hAnsi="宋体" w:eastAsia="宋体" w:cs="宋体"/>
                <w:szCs w:val="21"/>
              </w:rPr>
              <w:t>GB/T3859.2-2013</w:t>
            </w:r>
          </w:p>
        </w:tc>
        <w:tc>
          <w:tcPr>
            <w:tcW w:w="6161" w:type="dxa"/>
            <w:vAlign w:val="center"/>
          </w:tcPr>
          <w:p>
            <w:pPr>
              <w:spacing w:line="360" w:lineRule="auto"/>
              <w:rPr>
                <w:rFonts w:ascii="宋体" w:hAnsi="宋体" w:eastAsia="宋体" w:cs="宋体"/>
                <w:szCs w:val="21"/>
              </w:rPr>
            </w:pPr>
            <w:r>
              <w:rPr>
                <w:rFonts w:hint="eastAsia" w:ascii="宋体" w:hAnsi="宋体" w:eastAsia="宋体" w:cs="宋体"/>
                <w:szCs w:val="21"/>
              </w:rPr>
              <w:t>半导体变流器应用导则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1" w:type="dxa"/>
            <w:vAlign w:val="center"/>
          </w:tcPr>
          <w:p>
            <w:pPr>
              <w:spacing w:line="360" w:lineRule="auto"/>
              <w:rPr>
                <w:rFonts w:ascii="宋体" w:hAnsi="宋体" w:eastAsia="宋体" w:cs="宋体"/>
                <w:szCs w:val="21"/>
              </w:rPr>
            </w:pPr>
            <w:r>
              <w:rPr>
                <w:rFonts w:hint="eastAsia" w:ascii="宋体" w:hAnsi="宋体" w:eastAsia="宋体" w:cs="宋体"/>
                <w:szCs w:val="21"/>
              </w:rPr>
              <w:t>GB/T16935.1-2008</w:t>
            </w:r>
          </w:p>
        </w:tc>
        <w:tc>
          <w:tcPr>
            <w:tcW w:w="6161" w:type="dxa"/>
            <w:vAlign w:val="center"/>
          </w:tcPr>
          <w:p>
            <w:pPr>
              <w:spacing w:line="360" w:lineRule="auto"/>
              <w:rPr>
                <w:rFonts w:ascii="宋体" w:hAnsi="宋体" w:eastAsia="宋体" w:cs="宋体"/>
                <w:szCs w:val="21"/>
              </w:rPr>
            </w:pPr>
            <w:r>
              <w:rPr>
                <w:rFonts w:hint="eastAsia" w:ascii="宋体" w:hAnsi="宋体" w:eastAsia="宋体" w:cs="宋体"/>
                <w:szCs w:val="21"/>
              </w:rPr>
              <w:t>低压系统内设备的绝缘配合第1部分：原理、要求和试验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1" w:type="dxa"/>
            <w:vAlign w:val="center"/>
          </w:tcPr>
          <w:p>
            <w:pPr>
              <w:spacing w:line="360" w:lineRule="auto"/>
              <w:rPr>
                <w:rFonts w:ascii="宋体" w:hAnsi="宋体" w:eastAsia="宋体" w:cs="宋体"/>
                <w:szCs w:val="21"/>
              </w:rPr>
            </w:pPr>
            <w:r>
              <w:rPr>
                <w:rFonts w:hint="eastAsia" w:ascii="宋体" w:hAnsi="宋体" w:eastAsia="宋体" w:cs="宋体"/>
                <w:szCs w:val="21"/>
              </w:rPr>
              <w:t>GB/T17626.2-2018</w:t>
            </w:r>
          </w:p>
        </w:tc>
        <w:tc>
          <w:tcPr>
            <w:tcW w:w="6161" w:type="dxa"/>
            <w:vAlign w:val="center"/>
          </w:tcPr>
          <w:p>
            <w:pPr>
              <w:spacing w:line="360" w:lineRule="auto"/>
              <w:rPr>
                <w:rFonts w:ascii="宋体" w:hAnsi="宋体" w:eastAsia="宋体" w:cs="宋体"/>
                <w:szCs w:val="21"/>
              </w:rPr>
            </w:pPr>
            <w:r>
              <w:rPr>
                <w:rFonts w:hint="eastAsia" w:ascii="宋体" w:hAnsi="宋体" w:eastAsia="宋体" w:cs="宋体"/>
                <w:szCs w:val="21"/>
              </w:rPr>
              <w:t>电磁兼容试验和测量技术静电放电抗扰度试验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1" w:type="dxa"/>
            <w:vAlign w:val="center"/>
          </w:tcPr>
          <w:p>
            <w:pPr>
              <w:spacing w:line="360" w:lineRule="auto"/>
              <w:rPr>
                <w:rFonts w:ascii="宋体" w:hAnsi="宋体" w:eastAsia="宋体" w:cs="宋体"/>
                <w:szCs w:val="21"/>
              </w:rPr>
            </w:pPr>
            <w:r>
              <w:rPr>
                <w:rFonts w:hint="eastAsia" w:ascii="宋体" w:hAnsi="宋体" w:eastAsia="宋体" w:cs="宋体"/>
                <w:szCs w:val="21"/>
              </w:rPr>
              <w:t>GB/T17626.4-2018</w:t>
            </w:r>
          </w:p>
        </w:tc>
        <w:tc>
          <w:tcPr>
            <w:tcW w:w="6161" w:type="dxa"/>
            <w:vAlign w:val="center"/>
          </w:tcPr>
          <w:p>
            <w:pPr>
              <w:spacing w:line="360" w:lineRule="auto"/>
              <w:rPr>
                <w:rFonts w:ascii="宋体" w:hAnsi="宋体" w:eastAsia="宋体" w:cs="宋体"/>
                <w:szCs w:val="21"/>
              </w:rPr>
            </w:pPr>
            <w:r>
              <w:rPr>
                <w:rFonts w:hint="eastAsia" w:ascii="宋体" w:hAnsi="宋体" w:eastAsia="宋体" w:cs="宋体"/>
                <w:szCs w:val="21"/>
              </w:rPr>
              <w:t>电磁兼容试验和测量技术电快速瞬变脉冲群抗扰度试验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1" w:type="dxa"/>
            <w:vAlign w:val="center"/>
          </w:tcPr>
          <w:p>
            <w:pPr>
              <w:spacing w:line="360" w:lineRule="auto"/>
              <w:rPr>
                <w:rFonts w:ascii="宋体" w:hAnsi="宋体" w:eastAsia="宋体" w:cs="宋体"/>
                <w:szCs w:val="21"/>
              </w:rPr>
            </w:pPr>
            <w:r>
              <w:rPr>
                <w:rFonts w:hint="eastAsia" w:ascii="宋体" w:hAnsi="宋体" w:eastAsia="宋体" w:cs="宋体"/>
                <w:szCs w:val="21"/>
              </w:rPr>
              <w:t>GB/T17626.5-2019</w:t>
            </w:r>
          </w:p>
        </w:tc>
        <w:tc>
          <w:tcPr>
            <w:tcW w:w="6161" w:type="dxa"/>
            <w:vAlign w:val="center"/>
          </w:tcPr>
          <w:p>
            <w:pPr>
              <w:spacing w:line="360" w:lineRule="auto"/>
              <w:rPr>
                <w:rFonts w:ascii="宋体" w:hAnsi="宋体" w:eastAsia="宋体" w:cs="宋体"/>
                <w:szCs w:val="21"/>
              </w:rPr>
            </w:pPr>
            <w:r>
              <w:rPr>
                <w:rFonts w:hint="eastAsia" w:ascii="宋体" w:hAnsi="宋体" w:eastAsia="宋体" w:cs="宋体"/>
                <w:szCs w:val="21"/>
              </w:rPr>
              <w:t>电磁兼容试验和测量技术浪涌（冲击）抗扰度试验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1" w:type="dxa"/>
            <w:vAlign w:val="center"/>
          </w:tcPr>
          <w:p>
            <w:pPr>
              <w:spacing w:line="360" w:lineRule="auto"/>
              <w:rPr>
                <w:rFonts w:ascii="宋体" w:hAnsi="宋体" w:eastAsia="宋体" w:cs="宋体"/>
                <w:szCs w:val="21"/>
              </w:rPr>
            </w:pPr>
            <w:r>
              <w:rPr>
                <w:rFonts w:hint="eastAsia" w:ascii="宋体" w:hAnsi="宋体" w:eastAsia="宋体" w:cs="宋体"/>
                <w:szCs w:val="21"/>
              </w:rPr>
              <w:t>GB/T17626.11-2016</w:t>
            </w:r>
          </w:p>
        </w:tc>
        <w:tc>
          <w:tcPr>
            <w:tcW w:w="6161" w:type="dxa"/>
            <w:vAlign w:val="center"/>
          </w:tcPr>
          <w:p>
            <w:pPr>
              <w:spacing w:line="360" w:lineRule="auto"/>
              <w:rPr>
                <w:rFonts w:ascii="宋体" w:hAnsi="宋体" w:eastAsia="宋体" w:cs="宋体"/>
                <w:szCs w:val="21"/>
              </w:rPr>
            </w:pPr>
            <w:r>
              <w:rPr>
                <w:rFonts w:hint="eastAsia" w:ascii="宋体" w:hAnsi="宋体" w:eastAsia="宋体" w:cs="宋体"/>
                <w:szCs w:val="21"/>
              </w:rPr>
              <w:t>电磁兼容试验和测量技术电压暂降、短时中断和电压变化的抗扰度试验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1" w:type="dxa"/>
            <w:vAlign w:val="center"/>
          </w:tcPr>
          <w:p>
            <w:pPr>
              <w:spacing w:line="360" w:lineRule="auto"/>
              <w:rPr>
                <w:rFonts w:ascii="宋体" w:hAnsi="宋体" w:eastAsia="宋体" w:cs="宋体"/>
                <w:szCs w:val="21"/>
              </w:rPr>
            </w:pPr>
            <w:r>
              <w:rPr>
                <w:rFonts w:hint="eastAsia" w:ascii="宋体" w:hAnsi="宋体" w:eastAsia="宋体" w:cs="宋体"/>
                <w:szCs w:val="21"/>
              </w:rPr>
              <w:t>GB/T2423.1-2008</w:t>
            </w:r>
          </w:p>
        </w:tc>
        <w:tc>
          <w:tcPr>
            <w:tcW w:w="6161" w:type="dxa"/>
            <w:vAlign w:val="center"/>
          </w:tcPr>
          <w:p>
            <w:pPr>
              <w:spacing w:line="360" w:lineRule="auto"/>
              <w:rPr>
                <w:rFonts w:ascii="宋体" w:hAnsi="宋体" w:eastAsia="宋体" w:cs="宋体"/>
                <w:szCs w:val="21"/>
              </w:rPr>
            </w:pPr>
            <w:r>
              <w:rPr>
                <w:rFonts w:hint="eastAsia" w:ascii="宋体" w:hAnsi="宋体" w:eastAsia="宋体" w:cs="宋体"/>
                <w:szCs w:val="21"/>
              </w:rPr>
              <w:t>电工电子产品环境试验第2部分：试验方法试验A：低温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1" w:type="dxa"/>
            <w:vAlign w:val="center"/>
          </w:tcPr>
          <w:p>
            <w:pPr>
              <w:spacing w:line="360" w:lineRule="auto"/>
              <w:rPr>
                <w:rFonts w:ascii="宋体" w:hAnsi="宋体" w:eastAsia="宋体" w:cs="宋体"/>
                <w:szCs w:val="21"/>
              </w:rPr>
            </w:pPr>
            <w:r>
              <w:rPr>
                <w:rFonts w:hint="eastAsia" w:ascii="宋体" w:hAnsi="宋体" w:eastAsia="宋体" w:cs="宋体"/>
                <w:szCs w:val="21"/>
              </w:rPr>
              <w:t>GB/T2423.2-2008</w:t>
            </w:r>
          </w:p>
        </w:tc>
        <w:tc>
          <w:tcPr>
            <w:tcW w:w="6161" w:type="dxa"/>
            <w:vAlign w:val="center"/>
          </w:tcPr>
          <w:p>
            <w:pPr>
              <w:spacing w:line="360" w:lineRule="auto"/>
              <w:rPr>
                <w:rFonts w:ascii="宋体" w:hAnsi="宋体" w:eastAsia="宋体" w:cs="宋体"/>
                <w:szCs w:val="21"/>
              </w:rPr>
            </w:pPr>
            <w:r>
              <w:rPr>
                <w:rFonts w:hint="eastAsia" w:ascii="宋体" w:hAnsi="宋体" w:eastAsia="宋体" w:cs="宋体"/>
                <w:szCs w:val="21"/>
              </w:rPr>
              <w:t>电工电子产品环境试验第2部分：试验方法试验B：高温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1" w:type="dxa"/>
            <w:vAlign w:val="center"/>
          </w:tcPr>
          <w:p>
            <w:pPr>
              <w:spacing w:line="360" w:lineRule="auto"/>
              <w:rPr>
                <w:rFonts w:ascii="宋体" w:hAnsi="宋体" w:eastAsia="宋体" w:cs="宋体"/>
                <w:szCs w:val="21"/>
              </w:rPr>
            </w:pPr>
            <w:r>
              <w:rPr>
                <w:rFonts w:hint="eastAsia" w:ascii="宋体" w:hAnsi="宋体" w:eastAsia="宋体" w:cs="宋体"/>
                <w:szCs w:val="21"/>
              </w:rPr>
              <w:t>GB/T2423.3-2006</w:t>
            </w:r>
          </w:p>
        </w:tc>
        <w:tc>
          <w:tcPr>
            <w:tcW w:w="6161" w:type="dxa"/>
            <w:vAlign w:val="center"/>
          </w:tcPr>
          <w:p>
            <w:pPr>
              <w:spacing w:line="360" w:lineRule="auto"/>
              <w:rPr>
                <w:rFonts w:ascii="宋体" w:hAnsi="宋体" w:eastAsia="宋体" w:cs="宋体"/>
                <w:szCs w:val="21"/>
              </w:rPr>
            </w:pPr>
            <w:r>
              <w:rPr>
                <w:rFonts w:hint="eastAsia" w:ascii="宋体" w:hAnsi="宋体" w:eastAsia="宋体" w:cs="宋体"/>
                <w:szCs w:val="21"/>
              </w:rPr>
              <w:t>电工电子产品环境试验第2部分：试验方法试验Cab：恒定湿热试验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1" w:type="dxa"/>
            <w:vAlign w:val="center"/>
          </w:tcPr>
          <w:p>
            <w:pPr>
              <w:spacing w:line="360" w:lineRule="auto"/>
              <w:rPr>
                <w:rFonts w:ascii="宋体" w:hAnsi="宋体" w:eastAsia="宋体" w:cs="宋体"/>
                <w:szCs w:val="21"/>
              </w:rPr>
            </w:pPr>
            <w:r>
              <w:rPr>
                <w:rFonts w:hint="eastAsia" w:ascii="宋体" w:hAnsi="宋体" w:eastAsia="宋体" w:cs="宋体"/>
                <w:szCs w:val="21"/>
              </w:rPr>
              <w:t>GB/T2423.10-2008</w:t>
            </w:r>
          </w:p>
        </w:tc>
        <w:tc>
          <w:tcPr>
            <w:tcW w:w="6161" w:type="dxa"/>
            <w:vAlign w:val="center"/>
          </w:tcPr>
          <w:p>
            <w:pPr>
              <w:spacing w:line="360" w:lineRule="auto"/>
              <w:rPr>
                <w:rFonts w:ascii="宋体" w:hAnsi="宋体" w:eastAsia="宋体" w:cs="宋体"/>
                <w:szCs w:val="21"/>
              </w:rPr>
            </w:pPr>
            <w:r>
              <w:rPr>
                <w:rFonts w:hint="eastAsia" w:ascii="宋体" w:hAnsi="宋体" w:eastAsia="宋体" w:cs="宋体"/>
                <w:szCs w:val="21"/>
              </w:rPr>
              <w:t>电工电子产品环境试验第2部分：试验方法试验Fc：振动(正弦)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1" w:type="dxa"/>
            <w:vAlign w:val="center"/>
          </w:tcPr>
          <w:p>
            <w:pPr>
              <w:spacing w:line="360" w:lineRule="auto"/>
              <w:rPr>
                <w:rFonts w:ascii="宋体" w:hAnsi="宋体" w:eastAsia="宋体" w:cs="宋体"/>
                <w:szCs w:val="21"/>
              </w:rPr>
            </w:pPr>
            <w:r>
              <w:rPr>
                <w:rFonts w:hint="eastAsia" w:ascii="宋体" w:hAnsi="宋体" w:eastAsia="宋体" w:cs="宋体"/>
                <w:szCs w:val="21"/>
              </w:rPr>
              <w:t>GB4208-2017</w:t>
            </w:r>
          </w:p>
        </w:tc>
        <w:tc>
          <w:tcPr>
            <w:tcW w:w="6161" w:type="dxa"/>
            <w:vAlign w:val="center"/>
          </w:tcPr>
          <w:p>
            <w:pPr>
              <w:spacing w:line="360" w:lineRule="auto"/>
              <w:rPr>
                <w:rFonts w:ascii="宋体" w:hAnsi="宋体" w:eastAsia="宋体" w:cs="宋体"/>
                <w:szCs w:val="21"/>
              </w:rPr>
            </w:pPr>
            <w:r>
              <w:rPr>
                <w:rFonts w:hint="eastAsia" w:ascii="宋体" w:hAnsi="宋体" w:eastAsia="宋体" w:cs="宋体"/>
                <w:szCs w:val="21"/>
              </w:rPr>
              <w:t>外壳防护等级(IP代码)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1" w:type="dxa"/>
            <w:vAlign w:val="center"/>
          </w:tcPr>
          <w:p>
            <w:pPr>
              <w:spacing w:line="360" w:lineRule="auto"/>
              <w:rPr>
                <w:rFonts w:ascii="宋体" w:hAnsi="宋体" w:eastAsia="宋体" w:cs="宋体"/>
                <w:szCs w:val="21"/>
              </w:rPr>
            </w:pPr>
            <w:r>
              <w:rPr>
                <w:rFonts w:hint="eastAsia" w:ascii="宋体" w:hAnsi="宋体" w:eastAsia="宋体" w:cs="宋体"/>
                <w:szCs w:val="21"/>
              </w:rPr>
              <w:t>GB/T191-2008</w:t>
            </w:r>
          </w:p>
        </w:tc>
        <w:tc>
          <w:tcPr>
            <w:tcW w:w="6161" w:type="dxa"/>
            <w:vAlign w:val="center"/>
          </w:tcPr>
          <w:p>
            <w:pPr>
              <w:spacing w:line="360" w:lineRule="auto"/>
              <w:rPr>
                <w:rFonts w:ascii="宋体" w:hAnsi="宋体" w:eastAsia="宋体" w:cs="宋体"/>
                <w:szCs w:val="21"/>
              </w:rPr>
            </w:pPr>
            <w:r>
              <w:rPr>
                <w:rFonts w:hint="eastAsia" w:ascii="宋体" w:hAnsi="宋体" w:eastAsia="宋体" w:cs="宋体"/>
                <w:szCs w:val="21"/>
              </w:rPr>
              <w:t>包装储运图示标志</w:t>
            </w:r>
          </w:p>
        </w:tc>
      </w:tr>
    </w:tbl>
    <w:p>
      <w:pPr>
        <w:spacing w:line="360" w:lineRule="auto"/>
        <w:ind w:firstLine="420" w:firstLineChars="200"/>
        <w:rPr>
          <w:rFonts w:ascii="宋体" w:hAnsi="宋体" w:eastAsia="宋体" w:cs="宋体"/>
          <w:szCs w:val="21"/>
        </w:rPr>
      </w:pPr>
      <w:r>
        <w:rPr>
          <w:rFonts w:hint="eastAsia" w:ascii="宋体" w:hAnsi="宋体" w:eastAsia="宋体" w:cs="宋体"/>
        </w:rPr>
        <w:t>这些法则和标准提出了最基本要求，如果根据供货方的意见并经用户接受，使用优于或更为经济的设计或材料，并能使供货方设备良好的、连续的在本规范所规定的条件下运行时，则这些标准也可以由供货方超越。</w:t>
      </w:r>
    </w:p>
    <w:p>
      <w:pPr>
        <w:spacing w:line="360" w:lineRule="auto"/>
        <w:ind w:firstLine="420" w:firstLineChars="200"/>
        <w:rPr>
          <w:rFonts w:ascii="宋体" w:hAnsi="宋体" w:eastAsia="宋体" w:cs="宋体"/>
          <w:szCs w:val="21"/>
        </w:rPr>
      </w:pPr>
      <w:r>
        <w:rPr>
          <w:rFonts w:hint="eastAsia" w:ascii="宋体" w:hAnsi="宋体" w:eastAsia="宋体" w:cs="宋体"/>
          <w:szCs w:val="21"/>
        </w:rPr>
        <w:t>1.15投标方应具备的试验报告</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投标人应提供具有国家认可的第三方检测机构出具的产品</w:t>
      </w:r>
      <w:r>
        <w:rPr>
          <w:rFonts w:hint="eastAsia" w:ascii="宋体" w:hAnsi="宋体" w:eastAsia="宋体" w:cs="宋体"/>
          <w:szCs w:val="21"/>
          <w:highlight w:val="none"/>
          <w:lang w:val="en-US" w:eastAsia="zh-CN"/>
        </w:rPr>
        <w:t>性能检测试验</w:t>
      </w:r>
      <w:r>
        <w:rPr>
          <w:rFonts w:hint="eastAsia" w:ascii="宋体" w:hAnsi="宋体" w:eastAsia="宋体" w:cs="宋体"/>
          <w:szCs w:val="21"/>
          <w:highlight w:val="none"/>
        </w:rPr>
        <w:t>报告，</w:t>
      </w:r>
      <w:r>
        <w:rPr>
          <w:rFonts w:hint="eastAsia" w:ascii="宋体" w:hAnsi="宋体" w:eastAsia="宋体" w:cs="宋体"/>
          <w:szCs w:val="21"/>
          <w:highlight w:val="none"/>
          <w:lang w:val="en-US" w:eastAsia="zh-CN"/>
        </w:rPr>
        <w:t>报告中的</w:t>
      </w:r>
      <w:r>
        <w:rPr>
          <w:rFonts w:hint="eastAsia" w:ascii="宋体" w:hAnsi="宋体" w:eastAsia="宋体" w:cs="宋体"/>
          <w:szCs w:val="21"/>
          <w:highlight w:val="none"/>
        </w:rPr>
        <w:t>转换时间、短路分断能力为关键技术条件，如不能满足以下要求视为废标：</w:t>
      </w:r>
    </w:p>
    <w:p>
      <w:pPr>
        <w:spacing w:line="360" w:lineRule="auto"/>
        <w:ind w:firstLine="420" w:firstLineChars="200"/>
        <w:rPr>
          <w:rFonts w:ascii="宋体" w:hAnsi="宋体" w:eastAsia="宋体" w:cs="宋体"/>
          <w:szCs w:val="21"/>
          <w:highlight w:val="none"/>
        </w:rPr>
      </w:pPr>
      <w:r>
        <w:rPr>
          <w:rFonts w:hint="eastAsia" w:ascii="微软雅黑" w:hAnsi="微软雅黑" w:eastAsia="微软雅黑" w:cs="微软雅黑"/>
          <w:szCs w:val="21"/>
          <w:highlight w:val="none"/>
        </w:rPr>
        <w:t>★</w:t>
      </w:r>
      <w:r>
        <w:rPr>
          <w:rFonts w:hint="eastAsia" w:ascii="宋体" w:hAnsi="宋体" w:eastAsia="宋体" w:cs="宋体"/>
          <w:szCs w:val="21"/>
          <w:highlight w:val="none"/>
        </w:rPr>
        <w:t>最小转换时间≤3ms，指从主供电源电压有效值超过预设阈值开始，至电源转换至备供电源为止的时间。包括电压检测判据、控制指令发出、开关动作完成的全部时间；</w:t>
      </w:r>
    </w:p>
    <w:p>
      <w:pPr>
        <w:spacing w:line="360" w:lineRule="auto"/>
        <w:ind w:firstLine="420" w:firstLineChars="200"/>
        <w:rPr>
          <w:rFonts w:ascii="宋体" w:hAnsi="宋体" w:eastAsia="宋体" w:cs="宋体"/>
          <w:szCs w:val="21"/>
          <w:highlight w:val="none"/>
        </w:rPr>
      </w:pPr>
      <w:r>
        <w:rPr>
          <w:rFonts w:hint="eastAsia" w:ascii="微软雅黑" w:hAnsi="微软雅黑" w:eastAsia="微软雅黑" w:cs="微软雅黑"/>
          <w:szCs w:val="21"/>
          <w:highlight w:val="none"/>
        </w:rPr>
        <w:t>★</w:t>
      </w:r>
      <w:r>
        <w:rPr>
          <w:rFonts w:hint="eastAsia" w:ascii="宋体" w:hAnsi="宋体" w:eastAsia="宋体" w:cs="宋体"/>
          <w:szCs w:val="21"/>
          <w:highlight w:val="none"/>
        </w:rPr>
        <w:t>短路分断能力≥25kA，指在开关机械单元正常供电时，负载侧发生了不小于25kA的短路故障，仅依靠双电源转换开关的机械单元即可正常分断短路，且不发生损坏，分断后双电源转换开关的两侧机械单元均处于分闸位置，电子单元可靠闭锁。</w:t>
      </w:r>
    </w:p>
    <w:p>
      <w:pPr>
        <w:pStyle w:val="2"/>
        <w:numPr>
          <w:ilvl w:val="0"/>
          <w:numId w:val="1"/>
        </w:numPr>
        <w:rPr>
          <w:rFonts w:ascii="宋体" w:hAnsi="宋体" w:eastAsia="宋体" w:cs="宋体"/>
          <w:sz w:val="21"/>
          <w:szCs w:val="21"/>
        </w:rPr>
      </w:pPr>
      <w:bookmarkStart w:id="1" w:name="_Toc19423"/>
      <w:r>
        <w:rPr>
          <w:rFonts w:hint="eastAsia" w:ascii="宋体" w:hAnsi="宋体" w:eastAsia="宋体" w:cs="宋体"/>
          <w:sz w:val="21"/>
          <w:szCs w:val="21"/>
        </w:rPr>
        <w:t>使用环境条件</w:t>
      </w:r>
      <w:bookmarkEnd w:id="1"/>
    </w:p>
    <w:p>
      <w:pPr>
        <w:spacing w:line="360" w:lineRule="auto"/>
        <w:jc w:val="center"/>
        <w:rPr>
          <w:rFonts w:ascii="宋体" w:hAnsi="宋体" w:eastAsia="宋体" w:cs="宋体"/>
          <w:szCs w:val="21"/>
        </w:rPr>
      </w:pPr>
      <w:r>
        <w:rPr>
          <w:rFonts w:hint="eastAsia" w:ascii="宋体" w:hAnsi="宋体" w:eastAsia="宋体" w:cs="宋体"/>
          <w:szCs w:val="21"/>
        </w:rPr>
        <w:t>表3使用环境条件表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1640"/>
        <w:gridCol w:w="6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8" w:type="dxa"/>
            <w:vAlign w:val="center"/>
          </w:tcPr>
          <w:p>
            <w:pPr>
              <w:spacing w:line="360" w:lineRule="auto"/>
              <w:jc w:val="center"/>
              <w:rPr>
                <w:rFonts w:ascii="宋体" w:hAnsi="宋体" w:eastAsia="宋体" w:cs="宋体"/>
                <w:szCs w:val="21"/>
              </w:rPr>
            </w:pPr>
            <w:r>
              <w:rPr>
                <w:rFonts w:hint="eastAsia" w:ascii="宋体" w:hAnsi="宋体" w:eastAsia="宋体" w:cs="宋体"/>
                <w:szCs w:val="21"/>
              </w:rPr>
              <w:t>序号</w:t>
            </w:r>
          </w:p>
        </w:tc>
        <w:tc>
          <w:tcPr>
            <w:tcW w:w="1640" w:type="dxa"/>
            <w:vAlign w:val="center"/>
          </w:tcPr>
          <w:p>
            <w:pPr>
              <w:spacing w:line="360" w:lineRule="auto"/>
              <w:jc w:val="center"/>
              <w:rPr>
                <w:rFonts w:ascii="宋体" w:hAnsi="宋体" w:eastAsia="宋体" w:cs="宋体"/>
                <w:szCs w:val="21"/>
              </w:rPr>
            </w:pPr>
            <w:r>
              <w:rPr>
                <w:rFonts w:hint="eastAsia" w:ascii="宋体" w:hAnsi="宋体" w:eastAsia="宋体" w:cs="宋体"/>
                <w:szCs w:val="21"/>
              </w:rPr>
              <w:t>项目</w:t>
            </w:r>
          </w:p>
        </w:tc>
        <w:tc>
          <w:tcPr>
            <w:tcW w:w="6084" w:type="dxa"/>
            <w:vAlign w:val="center"/>
          </w:tcPr>
          <w:p>
            <w:pPr>
              <w:spacing w:line="360" w:lineRule="auto"/>
              <w:jc w:val="center"/>
              <w:rPr>
                <w:rFonts w:ascii="宋体" w:hAnsi="宋体" w:eastAsia="宋体" w:cs="宋体"/>
                <w:szCs w:val="21"/>
              </w:rPr>
            </w:pPr>
            <w:r>
              <w:rPr>
                <w:rFonts w:hint="eastAsia" w:ascii="宋体" w:hAnsi="宋体" w:eastAsia="宋体" w:cs="宋体"/>
                <w:szCs w:val="21"/>
              </w:rPr>
              <w:t>现场条件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8" w:type="dxa"/>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1640" w:type="dxa"/>
            <w:vAlign w:val="center"/>
          </w:tcPr>
          <w:p>
            <w:pPr>
              <w:spacing w:line="360" w:lineRule="auto"/>
              <w:rPr>
                <w:rFonts w:ascii="宋体" w:hAnsi="宋体" w:eastAsia="宋体" w:cs="宋体"/>
                <w:szCs w:val="21"/>
              </w:rPr>
            </w:pPr>
            <w:r>
              <w:rPr>
                <w:rFonts w:hint="eastAsia" w:ascii="宋体" w:hAnsi="宋体" w:eastAsia="宋体" w:cs="宋体"/>
                <w:szCs w:val="21"/>
              </w:rPr>
              <w:t>工作环境温度</w:t>
            </w:r>
          </w:p>
        </w:tc>
        <w:tc>
          <w:tcPr>
            <w:tcW w:w="6084" w:type="dxa"/>
            <w:vAlign w:val="center"/>
          </w:tcPr>
          <w:p>
            <w:pPr>
              <w:spacing w:line="360" w:lineRule="auto"/>
              <w:rPr>
                <w:rFonts w:ascii="宋体" w:hAnsi="宋体" w:eastAsia="宋体" w:cs="宋体"/>
                <w:szCs w:val="21"/>
              </w:rPr>
            </w:pPr>
            <w:r>
              <w:rPr>
                <w:rFonts w:hint="eastAsia" w:ascii="宋体" w:hAnsi="宋体" w:eastAsia="宋体" w:cs="宋体"/>
                <w:szCs w:val="21"/>
              </w:rPr>
              <w:t>-25℃~+40℃，24h平均温度不超过+35℃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8" w:type="dxa"/>
            <w:vAlign w:val="center"/>
          </w:tcPr>
          <w:p>
            <w:pPr>
              <w:spacing w:line="360" w:lineRule="auto"/>
              <w:jc w:val="center"/>
              <w:rPr>
                <w:rFonts w:ascii="宋体" w:hAnsi="宋体" w:eastAsia="宋体" w:cs="宋体"/>
                <w:szCs w:val="21"/>
              </w:rPr>
            </w:pPr>
            <w:r>
              <w:rPr>
                <w:rFonts w:hint="eastAsia" w:ascii="宋体" w:hAnsi="宋体" w:eastAsia="宋体" w:cs="宋体"/>
                <w:szCs w:val="21"/>
              </w:rPr>
              <w:t>2</w:t>
            </w:r>
          </w:p>
        </w:tc>
        <w:tc>
          <w:tcPr>
            <w:tcW w:w="1640" w:type="dxa"/>
            <w:vAlign w:val="center"/>
          </w:tcPr>
          <w:p>
            <w:pPr>
              <w:spacing w:line="360" w:lineRule="auto"/>
              <w:rPr>
                <w:rFonts w:ascii="宋体" w:hAnsi="宋体" w:eastAsia="宋体" w:cs="宋体"/>
                <w:szCs w:val="21"/>
              </w:rPr>
            </w:pPr>
            <w:r>
              <w:rPr>
                <w:rFonts w:hint="eastAsia" w:ascii="宋体" w:hAnsi="宋体" w:eastAsia="宋体" w:cs="宋体"/>
                <w:szCs w:val="21"/>
              </w:rPr>
              <w:t>存储</w:t>
            </w:r>
            <w:r>
              <w:rPr>
                <w:rFonts w:hint="eastAsia" w:ascii="宋体" w:hAnsi="宋体" w:eastAsia="宋体" w:cs="宋体"/>
                <w:szCs w:val="21"/>
                <w:lang w:val="en-US" w:eastAsia="zh-CN"/>
              </w:rPr>
              <w:t>环境</w:t>
            </w:r>
            <w:r>
              <w:rPr>
                <w:rFonts w:hint="eastAsia" w:ascii="宋体" w:hAnsi="宋体" w:eastAsia="宋体" w:cs="宋体"/>
                <w:szCs w:val="21"/>
              </w:rPr>
              <w:t>温度</w:t>
            </w:r>
          </w:p>
        </w:tc>
        <w:tc>
          <w:tcPr>
            <w:tcW w:w="6084" w:type="dxa"/>
            <w:vAlign w:val="center"/>
          </w:tcPr>
          <w:p>
            <w:pPr>
              <w:spacing w:line="360" w:lineRule="auto"/>
              <w:rPr>
                <w:rFonts w:ascii="宋体" w:hAnsi="宋体" w:eastAsia="宋体" w:cs="宋体"/>
                <w:szCs w:val="21"/>
              </w:rPr>
            </w:pPr>
            <w:r>
              <w:rPr>
                <w:rFonts w:hint="eastAsia" w:ascii="宋体" w:hAnsi="宋体" w:eastAsia="宋体" w:cs="宋体"/>
                <w:szCs w:val="21"/>
              </w:rPr>
              <w:t>-40℃~+65℃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8" w:type="dxa"/>
            <w:vAlign w:val="center"/>
          </w:tcPr>
          <w:p>
            <w:pPr>
              <w:spacing w:line="360" w:lineRule="auto"/>
              <w:jc w:val="center"/>
              <w:rPr>
                <w:rFonts w:ascii="宋体" w:hAnsi="宋体" w:eastAsia="宋体" w:cs="宋体"/>
                <w:szCs w:val="21"/>
              </w:rPr>
            </w:pPr>
            <w:r>
              <w:rPr>
                <w:rFonts w:hint="eastAsia" w:ascii="宋体" w:hAnsi="宋体" w:eastAsia="宋体" w:cs="宋体"/>
                <w:szCs w:val="21"/>
              </w:rPr>
              <w:t>3</w:t>
            </w:r>
          </w:p>
        </w:tc>
        <w:tc>
          <w:tcPr>
            <w:tcW w:w="1640" w:type="dxa"/>
            <w:vAlign w:val="center"/>
          </w:tcPr>
          <w:p>
            <w:pPr>
              <w:spacing w:line="360" w:lineRule="auto"/>
              <w:rPr>
                <w:rFonts w:ascii="宋体" w:hAnsi="宋体" w:eastAsia="宋体" w:cs="宋体"/>
                <w:szCs w:val="21"/>
              </w:rPr>
            </w:pPr>
            <w:r>
              <w:rPr>
                <w:rFonts w:hint="eastAsia" w:ascii="宋体" w:hAnsi="宋体" w:eastAsia="宋体" w:cs="宋体"/>
                <w:szCs w:val="21"/>
              </w:rPr>
              <w:t>工作环境湿度</w:t>
            </w:r>
          </w:p>
        </w:tc>
        <w:tc>
          <w:tcPr>
            <w:tcW w:w="6084" w:type="dxa"/>
            <w:vAlign w:val="center"/>
          </w:tcPr>
          <w:p>
            <w:pPr>
              <w:spacing w:line="360" w:lineRule="auto"/>
              <w:rPr>
                <w:rFonts w:ascii="宋体" w:hAnsi="宋体" w:eastAsia="宋体" w:cs="宋体"/>
                <w:szCs w:val="21"/>
              </w:rPr>
            </w:pPr>
            <w:r>
              <w:rPr>
                <w:rFonts w:hint="eastAsia" w:ascii="宋体" w:hAnsi="宋体" w:eastAsia="宋体" w:cs="宋体"/>
                <w:szCs w:val="21"/>
              </w:rPr>
              <w:t>最高湿度：+40℃时，相对湿度不超过50%；最湿月平均最大相对湿度不超过90%，同时该月平均最低温度不超过+25℃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8" w:type="dxa"/>
            <w:vAlign w:val="center"/>
          </w:tcPr>
          <w:p>
            <w:pPr>
              <w:spacing w:line="360" w:lineRule="auto"/>
              <w:jc w:val="center"/>
              <w:rPr>
                <w:rFonts w:ascii="宋体" w:hAnsi="宋体" w:eastAsia="宋体" w:cs="宋体"/>
                <w:szCs w:val="21"/>
              </w:rPr>
            </w:pPr>
            <w:r>
              <w:rPr>
                <w:rFonts w:hint="eastAsia" w:ascii="宋体" w:hAnsi="宋体" w:eastAsia="宋体" w:cs="宋体"/>
                <w:szCs w:val="21"/>
              </w:rPr>
              <w:t>4</w:t>
            </w:r>
          </w:p>
        </w:tc>
        <w:tc>
          <w:tcPr>
            <w:tcW w:w="1640" w:type="dxa"/>
            <w:vAlign w:val="center"/>
          </w:tcPr>
          <w:p>
            <w:pPr>
              <w:spacing w:line="360" w:lineRule="auto"/>
              <w:rPr>
                <w:rFonts w:ascii="宋体" w:hAnsi="宋体" w:eastAsia="宋体" w:cs="宋体"/>
                <w:szCs w:val="21"/>
              </w:rPr>
            </w:pPr>
            <w:r>
              <w:rPr>
                <w:rFonts w:hint="eastAsia" w:ascii="宋体" w:hAnsi="宋体" w:eastAsia="宋体" w:cs="宋体"/>
                <w:szCs w:val="21"/>
              </w:rPr>
              <w:t>工作环境海拔</w:t>
            </w:r>
          </w:p>
        </w:tc>
        <w:tc>
          <w:tcPr>
            <w:tcW w:w="6084" w:type="dxa"/>
            <w:vAlign w:val="center"/>
          </w:tcPr>
          <w:p>
            <w:pPr>
              <w:spacing w:line="360" w:lineRule="auto"/>
              <w:rPr>
                <w:rFonts w:ascii="宋体" w:hAnsi="宋体" w:eastAsia="宋体" w:cs="宋体"/>
                <w:szCs w:val="21"/>
              </w:rPr>
            </w:pPr>
            <w:r>
              <w:rPr>
                <w:rFonts w:hint="eastAsia" w:ascii="宋体" w:hAnsi="宋体" w:eastAsia="宋体" w:cs="宋体"/>
                <w:szCs w:val="21"/>
              </w:rPr>
              <w:t>≤2000m；海拔超过2000m的产品，需按国标要求进行绝缘耐压修正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8" w:type="dxa"/>
            <w:vAlign w:val="center"/>
          </w:tcPr>
          <w:p>
            <w:pPr>
              <w:spacing w:line="360" w:lineRule="auto"/>
              <w:jc w:val="center"/>
              <w:rPr>
                <w:rFonts w:ascii="宋体" w:hAnsi="宋体" w:eastAsia="宋体" w:cs="宋体"/>
                <w:szCs w:val="21"/>
              </w:rPr>
            </w:pPr>
            <w:r>
              <w:rPr>
                <w:rFonts w:hint="eastAsia" w:ascii="宋体" w:hAnsi="宋体" w:eastAsia="宋体" w:cs="宋体"/>
                <w:szCs w:val="21"/>
              </w:rPr>
              <w:t>5</w:t>
            </w:r>
          </w:p>
        </w:tc>
        <w:tc>
          <w:tcPr>
            <w:tcW w:w="1640"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污染等级</w:t>
            </w:r>
          </w:p>
        </w:tc>
        <w:tc>
          <w:tcPr>
            <w:tcW w:w="6084"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常规产品污染等级3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8" w:type="dxa"/>
            <w:vAlign w:val="center"/>
          </w:tcPr>
          <w:p>
            <w:pPr>
              <w:spacing w:line="360" w:lineRule="auto"/>
              <w:jc w:val="center"/>
              <w:rPr>
                <w:rFonts w:ascii="宋体" w:hAnsi="宋体" w:eastAsia="宋体" w:cs="宋体"/>
                <w:szCs w:val="21"/>
              </w:rPr>
            </w:pPr>
            <w:r>
              <w:rPr>
                <w:rFonts w:hint="eastAsia" w:ascii="宋体" w:hAnsi="宋体" w:eastAsia="宋体" w:cs="宋体"/>
                <w:szCs w:val="21"/>
              </w:rPr>
              <w:t>6</w:t>
            </w:r>
          </w:p>
        </w:tc>
        <w:tc>
          <w:tcPr>
            <w:tcW w:w="1640" w:type="dxa"/>
            <w:vAlign w:val="center"/>
          </w:tcPr>
          <w:p>
            <w:pPr>
              <w:spacing w:line="360" w:lineRule="auto"/>
              <w:rPr>
                <w:rFonts w:ascii="宋体" w:hAnsi="宋体" w:eastAsia="宋体" w:cs="宋体"/>
                <w:szCs w:val="21"/>
              </w:rPr>
            </w:pPr>
            <w:r>
              <w:rPr>
                <w:rFonts w:hint="eastAsia" w:ascii="宋体" w:hAnsi="宋体" w:eastAsia="宋体" w:cs="宋体"/>
                <w:szCs w:val="21"/>
              </w:rPr>
              <w:t>振动要求</w:t>
            </w:r>
          </w:p>
        </w:tc>
        <w:tc>
          <w:tcPr>
            <w:tcW w:w="6084" w:type="dxa"/>
            <w:vAlign w:val="center"/>
          </w:tcPr>
          <w:p>
            <w:pPr>
              <w:spacing w:line="360" w:lineRule="auto"/>
              <w:rPr>
                <w:rFonts w:ascii="宋体" w:hAnsi="宋体" w:eastAsia="宋体" w:cs="宋体"/>
                <w:szCs w:val="21"/>
              </w:rPr>
            </w:pPr>
            <w:r>
              <w:rPr>
                <w:rFonts w:hint="eastAsia" w:ascii="宋体" w:hAnsi="宋体" w:eastAsia="宋体" w:cs="宋体"/>
                <w:szCs w:val="21"/>
              </w:rPr>
              <w:t>振动频率≤150Hz，振动加速度≤5m/s²，无剧烈冲击</w:t>
            </w:r>
          </w:p>
        </w:tc>
      </w:tr>
    </w:tbl>
    <w:p>
      <w:pPr>
        <w:pStyle w:val="2"/>
        <w:numPr>
          <w:ilvl w:val="0"/>
          <w:numId w:val="1"/>
        </w:numPr>
        <w:rPr>
          <w:rFonts w:ascii="宋体" w:hAnsi="宋体" w:eastAsia="宋体" w:cs="宋体"/>
          <w:sz w:val="21"/>
          <w:szCs w:val="21"/>
        </w:rPr>
      </w:pPr>
      <w:bookmarkStart w:id="2" w:name="_Toc20374"/>
      <w:r>
        <w:rPr>
          <w:rFonts w:hint="eastAsia" w:ascii="宋体" w:hAnsi="宋体" w:eastAsia="宋体" w:cs="宋体"/>
          <w:sz w:val="21"/>
          <w:szCs w:val="21"/>
        </w:rPr>
        <w:t>设备技术参数</w:t>
      </w:r>
      <w:bookmarkEnd w:id="2"/>
    </w:p>
    <w:p>
      <w:pPr>
        <w:spacing w:line="360" w:lineRule="auto"/>
        <w:ind w:firstLine="420" w:firstLineChars="200"/>
        <w:rPr>
          <w:rFonts w:ascii="宋体" w:hAnsi="宋体" w:eastAsia="宋体" w:cs="宋体"/>
          <w:szCs w:val="21"/>
        </w:rPr>
      </w:pPr>
      <w:r>
        <w:rPr>
          <w:rFonts w:hint="eastAsia" w:ascii="宋体" w:hAnsi="宋体" w:eastAsia="宋体" w:cs="宋体"/>
          <w:szCs w:val="21"/>
        </w:rPr>
        <w:t>3.1电气技术参数</w:t>
      </w:r>
    </w:p>
    <w:p>
      <w:pPr>
        <w:spacing w:line="360" w:lineRule="auto"/>
        <w:jc w:val="center"/>
        <w:rPr>
          <w:rFonts w:ascii="宋体" w:hAnsi="宋体" w:eastAsia="宋体" w:cs="宋体"/>
          <w:szCs w:val="21"/>
        </w:rPr>
      </w:pPr>
      <w:r>
        <w:rPr>
          <w:rFonts w:hint="eastAsia" w:ascii="宋体" w:hAnsi="宋体" w:eastAsia="宋体" w:cs="宋体"/>
          <w:szCs w:val="21"/>
        </w:rPr>
        <w:t>表4核心电气参数表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3640"/>
        <w:gridCol w:w="4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序号</w:t>
            </w:r>
          </w:p>
        </w:tc>
        <w:tc>
          <w:tcPr>
            <w:tcW w:w="3640" w:type="dxa"/>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项目</w:t>
            </w:r>
          </w:p>
        </w:tc>
        <w:tc>
          <w:tcPr>
            <w:tcW w:w="4188" w:type="dxa"/>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技术参数要求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1</w:t>
            </w:r>
          </w:p>
        </w:tc>
        <w:tc>
          <w:tcPr>
            <w:tcW w:w="3640"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额定工作电压(Ue)</w:t>
            </w:r>
          </w:p>
        </w:tc>
        <w:tc>
          <w:tcPr>
            <w:tcW w:w="4188"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AC380V±10%三相四线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2</w:t>
            </w:r>
          </w:p>
        </w:tc>
        <w:tc>
          <w:tcPr>
            <w:tcW w:w="3640"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额定频率(fe)</w:t>
            </w:r>
          </w:p>
        </w:tc>
        <w:tc>
          <w:tcPr>
            <w:tcW w:w="4188"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50Hz±0.5Hz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3</w:t>
            </w:r>
          </w:p>
        </w:tc>
        <w:tc>
          <w:tcPr>
            <w:tcW w:w="3640"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额定电流（Ie）</w:t>
            </w:r>
          </w:p>
        </w:tc>
        <w:tc>
          <w:tcPr>
            <w:tcW w:w="4188"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630A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4</w:t>
            </w:r>
          </w:p>
        </w:tc>
        <w:tc>
          <w:tcPr>
            <w:tcW w:w="3640"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进出线方式及出线开关容量</w:t>
            </w:r>
          </w:p>
        </w:tc>
        <w:tc>
          <w:tcPr>
            <w:tcW w:w="4188"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双路电源进、</w:t>
            </w:r>
            <w:r>
              <w:rPr>
                <w:rFonts w:hint="eastAsia" w:ascii="宋体" w:hAnsi="宋体" w:eastAsia="宋体" w:cs="宋体"/>
                <w:szCs w:val="21"/>
                <w:highlight w:val="none"/>
                <w:lang w:val="en-US" w:eastAsia="zh-CN"/>
              </w:rPr>
              <w:t>1路出线，带</w:t>
            </w:r>
            <w:r>
              <w:rPr>
                <w:rFonts w:hint="eastAsia" w:ascii="宋体" w:hAnsi="宋体" w:eastAsia="宋体" w:cs="宋体"/>
                <w:szCs w:val="21"/>
                <w:highlight w:val="none"/>
              </w:rPr>
              <w:t>四路630A出线开关，进出线电缆均为下进下出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5</w:t>
            </w:r>
          </w:p>
        </w:tc>
        <w:tc>
          <w:tcPr>
            <w:tcW w:w="3640"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额定绝缘电压(Ui)</w:t>
            </w:r>
          </w:p>
        </w:tc>
        <w:tc>
          <w:tcPr>
            <w:tcW w:w="4188"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主回路≥1000V，控制回路≥600V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6</w:t>
            </w:r>
          </w:p>
        </w:tc>
        <w:tc>
          <w:tcPr>
            <w:tcW w:w="3640"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额定冲击耐受电压(Uimp)</w:t>
            </w:r>
          </w:p>
        </w:tc>
        <w:tc>
          <w:tcPr>
            <w:tcW w:w="4188"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主回路≥8kV，控制回路≥5kV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vAlign w:val="center"/>
          </w:tcPr>
          <w:p>
            <w:pPr>
              <w:spacing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7</w:t>
            </w:r>
          </w:p>
        </w:tc>
        <w:tc>
          <w:tcPr>
            <w:tcW w:w="3640"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最小双电源转换时间（指从主供电源电压有效值超过预设阈值开始，至电源转换至备供电源为止的全部转换时间。包括电压检测判据、控制指令发出、开关动作完成的全部时间）</w:t>
            </w:r>
          </w:p>
        </w:tc>
        <w:tc>
          <w:tcPr>
            <w:tcW w:w="4188"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≤3ms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vAlign w:val="center"/>
          </w:tcPr>
          <w:p>
            <w:pPr>
              <w:spacing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8</w:t>
            </w:r>
          </w:p>
        </w:tc>
        <w:tc>
          <w:tcPr>
            <w:tcW w:w="3640"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机械单元接通与分断能力</w:t>
            </w:r>
          </w:p>
        </w:tc>
        <w:tc>
          <w:tcPr>
            <w:tcW w:w="4188"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符合GB/T14048.2对应断路器等级要求，短路分断能力不低于25kA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vAlign w:val="center"/>
          </w:tcPr>
          <w:p>
            <w:pPr>
              <w:spacing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9</w:t>
            </w:r>
          </w:p>
        </w:tc>
        <w:tc>
          <w:tcPr>
            <w:tcW w:w="3640"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机械单元短路耐受能力</w:t>
            </w:r>
          </w:p>
        </w:tc>
        <w:tc>
          <w:tcPr>
            <w:tcW w:w="4188"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额定运行短路耐受能力(Ics)不低于额定极限短路分断能力(Icu)的75%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vAlign w:val="center"/>
          </w:tcPr>
          <w:p>
            <w:pPr>
              <w:spacing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rPr>
              <w:t>1</w:t>
            </w:r>
            <w:r>
              <w:rPr>
                <w:rFonts w:hint="eastAsia" w:ascii="宋体" w:hAnsi="宋体" w:eastAsia="宋体" w:cs="宋体"/>
                <w:szCs w:val="21"/>
                <w:highlight w:val="none"/>
                <w:lang w:val="en-US" w:eastAsia="zh-CN"/>
              </w:rPr>
              <w:t>0</w:t>
            </w:r>
          </w:p>
        </w:tc>
        <w:tc>
          <w:tcPr>
            <w:tcW w:w="3640"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电子单元短路保护能力</w:t>
            </w:r>
          </w:p>
        </w:tc>
        <w:tc>
          <w:tcPr>
            <w:tcW w:w="4188"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必须设置短路闭锁保护功能，短路故障时立即闭锁所有</w:t>
            </w:r>
            <w:r>
              <w:rPr>
                <w:rFonts w:hint="eastAsia" w:ascii="宋体" w:hAnsi="宋体" w:eastAsia="宋体" w:cs="宋体"/>
                <w:szCs w:val="21"/>
                <w:highlight w:val="none"/>
                <w:lang w:val="en-US" w:eastAsia="zh-CN"/>
              </w:rPr>
              <w:t>电子</w:t>
            </w:r>
            <w:r>
              <w:rPr>
                <w:rFonts w:hint="eastAsia" w:ascii="宋体" w:hAnsi="宋体" w:eastAsia="宋体" w:cs="宋体"/>
                <w:szCs w:val="21"/>
                <w:highlight w:val="none"/>
              </w:rPr>
              <w:t>单元，由机械单元完成短路分断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vAlign w:val="center"/>
          </w:tcPr>
          <w:p>
            <w:pPr>
              <w:spacing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rPr>
              <w:t>1</w:t>
            </w:r>
            <w:r>
              <w:rPr>
                <w:rFonts w:hint="eastAsia" w:ascii="宋体" w:hAnsi="宋体" w:eastAsia="宋体" w:cs="宋体"/>
                <w:szCs w:val="21"/>
                <w:highlight w:val="none"/>
                <w:lang w:val="en-US" w:eastAsia="zh-CN"/>
              </w:rPr>
              <w:t>1</w:t>
            </w:r>
          </w:p>
        </w:tc>
        <w:tc>
          <w:tcPr>
            <w:tcW w:w="3640"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稳态温升要求</w:t>
            </w:r>
          </w:p>
        </w:tc>
        <w:tc>
          <w:tcPr>
            <w:tcW w:w="4188"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额定工作电流下长期运行，主回路接线端子温升≤70K，主触头温升≤80K，可接触外壳温升≤25K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vAlign w:val="center"/>
          </w:tcPr>
          <w:p>
            <w:pPr>
              <w:spacing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rPr>
              <w:t>1</w:t>
            </w:r>
            <w:r>
              <w:rPr>
                <w:rFonts w:hint="eastAsia" w:ascii="宋体" w:hAnsi="宋体" w:eastAsia="宋体" w:cs="宋体"/>
                <w:szCs w:val="21"/>
                <w:highlight w:val="none"/>
                <w:lang w:val="en-US" w:eastAsia="zh-CN"/>
              </w:rPr>
              <w:t>2</w:t>
            </w:r>
          </w:p>
        </w:tc>
        <w:tc>
          <w:tcPr>
            <w:tcW w:w="3640"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机械单元电气寿命</w:t>
            </w:r>
          </w:p>
        </w:tc>
        <w:tc>
          <w:tcPr>
            <w:tcW w:w="4188"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AC-33iA使用类别下，≥6000次（≤630A）、≥3000次（＞630A）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dxa"/>
            <w:vAlign w:val="center"/>
          </w:tcPr>
          <w:p>
            <w:pPr>
              <w:spacing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rPr>
              <w:t>1</w:t>
            </w:r>
            <w:r>
              <w:rPr>
                <w:rFonts w:hint="eastAsia" w:ascii="宋体" w:hAnsi="宋体" w:eastAsia="宋体" w:cs="宋体"/>
                <w:szCs w:val="21"/>
                <w:highlight w:val="none"/>
                <w:lang w:val="en-US" w:eastAsia="zh-CN"/>
              </w:rPr>
              <w:t>3</w:t>
            </w:r>
          </w:p>
        </w:tc>
        <w:tc>
          <w:tcPr>
            <w:tcW w:w="3640"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电子单元电气寿命</w:t>
            </w:r>
          </w:p>
        </w:tc>
        <w:tc>
          <w:tcPr>
            <w:tcW w:w="4188" w:type="dxa"/>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额定工况下≥100000次</w:t>
            </w:r>
          </w:p>
        </w:tc>
      </w:tr>
    </w:tbl>
    <w:p>
      <w:pPr>
        <w:spacing w:line="360" w:lineRule="auto"/>
        <w:ind w:firstLine="420" w:firstLineChars="200"/>
        <w:rPr>
          <w:rFonts w:ascii="宋体" w:hAnsi="宋体" w:eastAsia="宋体" w:cs="宋体"/>
          <w:szCs w:val="21"/>
        </w:rPr>
      </w:pPr>
      <w:r>
        <w:rPr>
          <w:rFonts w:hint="eastAsia" w:ascii="宋体" w:hAnsi="宋体" w:eastAsia="宋体" w:cs="宋体"/>
          <w:szCs w:val="21"/>
        </w:rPr>
        <w:t>3.2核心架构与联锁安全要求</w:t>
      </w:r>
    </w:p>
    <w:p>
      <w:pPr>
        <w:spacing w:line="360" w:lineRule="auto"/>
        <w:ind w:firstLine="420" w:firstLineChars="200"/>
        <w:rPr>
          <w:rFonts w:ascii="宋体" w:hAnsi="宋体" w:eastAsia="宋体" w:cs="宋体"/>
          <w:szCs w:val="21"/>
        </w:rPr>
      </w:pPr>
      <w:r>
        <w:rPr>
          <w:rFonts w:hint="eastAsia" w:ascii="宋体" w:hAnsi="宋体" w:eastAsia="宋体" w:cs="宋体"/>
          <w:szCs w:val="21"/>
        </w:rPr>
        <w:t>3.2.1基本架构要求</w:t>
      </w:r>
    </w:p>
    <w:p>
      <w:pPr>
        <w:spacing w:line="360" w:lineRule="auto"/>
        <w:ind w:firstLine="420" w:firstLineChars="200"/>
        <w:rPr>
          <w:rFonts w:ascii="宋体" w:hAnsi="宋体" w:eastAsia="宋体" w:cs="宋体"/>
          <w:szCs w:val="21"/>
        </w:rPr>
      </w:pPr>
      <w:r>
        <w:rPr>
          <w:rFonts w:hint="eastAsia" w:ascii="宋体" w:hAnsi="宋体" w:eastAsia="宋体" w:cs="宋体"/>
          <w:szCs w:val="21"/>
        </w:rPr>
        <w:t>产品必须采用电子暂态切换+机械稳态运行的主回路拓扑，电子单元与机械单元对应路主触头并联连接，两路电源的电子单元、机械单元均为独立对称设计，具备独立应急运行能力。</w:t>
      </w:r>
    </w:p>
    <w:p>
      <w:pPr>
        <w:spacing w:line="360" w:lineRule="auto"/>
        <w:ind w:firstLine="420" w:firstLineChars="200"/>
        <w:rPr>
          <w:rFonts w:ascii="宋体" w:hAnsi="宋体" w:eastAsia="宋体" w:cs="宋体"/>
          <w:szCs w:val="21"/>
        </w:rPr>
      </w:pPr>
      <w:r>
        <w:rPr>
          <w:rFonts w:hint="eastAsia" w:ascii="宋体" w:hAnsi="宋体" w:eastAsia="宋体" w:cs="宋体"/>
          <w:szCs w:val="21"/>
        </w:rPr>
        <w:t>3.2.2三重联锁强制要求</w:t>
      </w:r>
    </w:p>
    <w:p>
      <w:pPr>
        <w:spacing w:line="360" w:lineRule="auto"/>
        <w:ind w:firstLine="420" w:firstLineChars="200"/>
        <w:rPr>
          <w:rFonts w:ascii="宋体" w:hAnsi="宋体" w:eastAsia="宋体" w:cs="宋体"/>
          <w:szCs w:val="21"/>
        </w:rPr>
      </w:pPr>
      <w:r>
        <w:rPr>
          <w:rFonts w:hint="eastAsia" w:ascii="宋体" w:hAnsi="宋体" w:eastAsia="宋体" w:cs="宋体"/>
          <w:szCs w:val="21"/>
        </w:rPr>
        <w:t>产品必须具备机械+硬件电气+电力电子逻辑三重联锁保护，联锁优先级固定为机械联锁＞硬件电气联锁＞电力电子逻辑联锁，满足以下要求：</w:t>
      </w:r>
    </w:p>
    <w:p>
      <w:pPr>
        <w:spacing w:line="360" w:lineRule="auto"/>
        <w:ind w:firstLine="420" w:firstLineChars="200"/>
        <w:rPr>
          <w:rFonts w:ascii="宋体" w:hAnsi="宋体" w:eastAsia="宋体" w:cs="宋体"/>
          <w:szCs w:val="21"/>
        </w:rPr>
      </w:pPr>
      <w:r>
        <w:rPr>
          <w:rFonts w:hint="eastAsia" w:ascii="宋体" w:hAnsi="宋体" w:eastAsia="宋体" w:cs="宋体"/>
          <w:szCs w:val="21"/>
        </w:rPr>
        <w:t>机械联锁：</w:t>
      </w:r>
      <w:r>
        <w:rPr>
          <w:rFonts w:hint="eastAsia" w:ascii="宋体" w:hAnsi="宋体" w:eastAsia="宋体" w:cs="宋体"/>
          <w:szCs w:val="21"/>
          <w:lang w:val="en-US" w:eastAsia="zh-CN"/>
        </w:rPr>
        <w:t>机械单元</w:t>
      </w:r>
      <w:r>
        <w:rPr>
          <w:rFonts w:hint="eastAsia" w:ascii="宋体" w:hAnsi="宋体" w:eastAsia="宋体" w:cs="宋体"/>
          <w:szCs w:val="21"/>
        </w:rPr>
        <w:t>两路主触头必须具备强制机械互锁结构，任何情况下均无法同时闭合；</w:t>
      </w:r>
    </w:p>
    <w:p>
      <w:pPr>
        <w:spacing w:line="360" w:lineRule="auto"/>
        <w:ind w:firstLine="420" w:firstLineChars="200"/>
        <w:rPr>
          <w:rFonts w:ascii="宋体" w:hAnsi="宋体" w:eastAsia="宋体" w:cs="宋体"/>
          <w:szCs w:val="21"/>
        </w:rPr>
      </w:pPr>
      <w:r>
        <w:rPr>
          <w:rFonts w:hint="eastAsia" w:ascii="宋体" w:hAnsi="宋体" w:eastAsia="宋体" w:cs="宋体"/>
          <w:szCs w:val="21"/>
        </w:rPr>
        <w:t>硬件电气联锁：机械单元与电子单元之间必须设置硬件电气互锁，机械主触头完全闭合后，电子单元必须强制闭锁，无法触发导通；</w:t>
      </w:r>
    </w:p>
    <w:p>
      <w:pPr>
        <w:spacing w:line="360" w:lineRule="auto"/>
        <w:ind w:firstLine="420" w:firstLineChars="200"/>
        <w:rPr>
          <w:rFonts w:ascii="宋体" w:hAnsi="宋体" w:eastAsia="宋体" w:cs="宋体"/>
          <w:szCs w:val="21"/>
        </w:rPr>
      </w:pPr>
      <w:r>
        <w:rPr>
          <w:rFonts w:hint="eastAsia" w:ascii="宋体" w:hAnsi="宋体" w:eastAsia="宋体" w:cs="宋体"/>
          <w:szCs w:val="21"/>
        </w:rPr>
        <w:t>电力电子逻辑联锁：两路电子单元必须设置“硬件互锁电路+软件互锁逻辑”双重保护，两路晶闸管绝对禁止同时导通，硬件互锁响应时间≤1μs，单一软件故障不得导致互锁失效；</w:t>
      </w:r>
    </w:p>
    <w:p>
      <w:pPr>
        <w:spacing w:line="360" w:lineRule="auto"/>
        <w:ind w:firstLine="420" w:firstLineChars="200"/>
        <w:rPr>
          <w:rFonts w:ascii="宋体" w:hAnsi="宋体" w:eastAsia="宋体" w:cs="宋体"/>
          <w:szCs w:val="21"/>
        </w:rPr>
      </w:pPr>
      <w:r>
        <w:rPr>
          <w:rFonts w:hint="eastAsia" w:ascii="宋体" w:hAnsi="宋体" w:eastAsia="宋体" w:cs="宋体"/>
          <w:szCs w:val="21"/>
        </w:rPr>
        <w:t>联锁失效保护：当检测到联锁异常时，控制器必须立即闭锁所有电子单元，同时禁止机械单元电动操作，发出声光报警，仅允许手动应急操作。</w:t>
      </w:r>
    </w:p>
    <w:p>
      <w:pPr>
        <w:spacing w:line="360" w:lineRule="auto"/>
        <w:ind w:firstLine="420" w:firstLineChars="200"/>
        <w:rPr>
          <w:rFonts w:ascii="宋体" w:hAnsi="宋体" w:eastAsia="宋体" w:cs="宋体"/>
          <w:szCs w:val="21"/>
        </w:rPr>
      </w:pPr>
      <w:r>
        <w:rPr>
          <w:rFonts w:hint="eastAsia" w:ascii="宋体" w:hAnsi="宋体" w:eastAsia="宋体" w:cs="宋体"/>
          <w:szCs w:val="21"/>
        </w:rPr>
        <w:t>3.2.3冗余设计要求</w:t>
      </w:r>
    </w:p>
    <w:p>
      <w:pPr>
        <w:spacing w:line="360" w:lineRule="auto"/>
        <w:ind w:firstLine="420" w:firstLineChars="200"/>
        <w:rPr>
          <w:rFonts w:ascii="宋体" w:hAnsi="宋体" w:eastAsia="宋体" w:cs="宋体"/>
          <w:szCs w:val="21"/>
        </w:rPr>
      </w:pPr>
      <w:r>
        <w:rPr>
          <w:rFonts w:hint="eastAsia" w:ascii="宋体" w:hAnsi="宋体" w:eastAsia="宋体" w:cs="宋体"/>
          <w:szCs w:val="21"/>
        </w:rPr>
        <w:t>控制器必须采用双路电源供电，两路输入电源分别取自常用、备用电源侧，任意一路电源正常即可稳定工作；</w:t>
      </w:r>
    </w:p>
    <w:p>
      <w:pPr>
        <w:spacing w:line="360" w:lineRule="auto"/>
        <w:ind w:firstLine="420" w:firstLineChars="200"/>
        <w:rPr>
          <w:rFonts w:ascii="宋体" w:hAnsi="宋体" w:eastAsia="宋体" w:cs="宋体"/>
          <w:szCs w:val="21"/>
        </w:rPr>
      </w:pPr>
      <w:r>
        <w:rPr>
          <w:rFonts w:hint="eastAsia" w:ascii="宋体" w:hAnsi="宋体" w:eastAsia="宋体" w:cs="宋体"/>
          <w:szCs w:val="21"/>
        </w:rPr>
        <w:t>产品必须设置手动应急旁路机构，电子与机械单元同时故障时，可通过手动旁路实现应急供电，旁路机构具备清晰的状态标识与防误操作设计。</w:t>
      </w:r>
    </w:p>
    <w:p>
      <w:pPr>
        <w:spacing w:line="360" w:lineRule="auto"/>
        <w:ind w:firstLine="420" w:firstLineChars="200"/>
        <w:rPr>
          <w:rFonts w:ascii="宋体" w:hAnsi="宋体" w:eastAsia="宋体" w:cs="宋体"/>
          <w:szCs w:val="21"/>
        </w:rPr>
      </w:pPr>
      <w:r>
        <w:rPr>
          <w:rFonts w:hint="eastAsia" w:ascii="宋体" w:hAnsi="宋体" w:eastAsia="宋体" w:cs="宋体"/>
          <w:szCs w:val="21"/>
        </w:rPr>
        <w:t>3.3结构与机械性能要求</w:t>
      </w:r>
    </w:p>
    <w:p>
      <w:pPr>
        <w:spacing w:line="360" w:lineRule="auto"/>
        <w:ind w:firstLine="420" w:firstLineChars="200"/>
        <w:rPr>
          <w:rFonts w:ascii="宋体" w:hAnsi="宋体" w:eastAsia="宋体" w:cs="宋体"/>
          <w:szCs w:val="21"/>
        </w:rPr>
      </w:pPr>
      <w:r>
        <w:rPr>
          <w:rFonts w:hint="eastAsia" w:ascii="宋体" w:hAnsi="宋体" w:eastAsia="宋体" w:cs="宋体"/>
          <w:szCs w:val="21"/>
        </w:rPr>
        <w:t>机械单元的结构、材料、操作性能符合GB/T14048.11要求，主回路触头采用银基合金材料，具备抗熔焊、耐磨损、低接触电阻特性；</w:t>
      </w:r>
    </w:p>
    <w:p>
      <w:pPr>
        <w:spacing w:line="360" w:lineRule="auto"/>
        <w:ind w:firstLine="420" w:firstLineChars="200"/>
        <w:rPr>
          <w:rFonts w:ascii="宋体" w:hAnsi="宋体" w:eastAsia="宋体" w:cs="宋体"/>
          <w:szCs w:val="21"/>
        </w:rPr>
      </w:pPr>
      <w:r>
        <w:rPr>
          <w:rFonts w:hint="eastAsia" w:ascii="宋体" w:hAnsi="宋体" w:eastAsia="宋体" w:cs="宋体"/>
          <w:szCs w:val="21"/>
        </w:rPr>
        <w:t>电子单元必须采用模块化设计，具备良好的散热结构，自然散热/强制散热设计需满足额定工况下器件结温不超过额定值的80%；电力电子模块应具备防振、防潮、防尘设计，接线端子具备防松、防电弧设计；产品结构应具备静电防护设计，电力电子模块应设置ESD保护电路，外壳应具备可靠接地端子；</w:t>
      </w:r>
    </w:p>
    <w:p>
      <w:pPr>
        <w:spacing w:line="360" w:lineRule="auto"/>
        <w:ind w:firstLine="420" w:firstLineChars="200"/>
        <w:rPr>
          <w:rFonts w:ascii="宋体" w:hAnsi="宋体" w:eastAsia="宋体" w:cs="宋体"/>
          <w:szCs w:val="21"/>
        </w:rPr>
      </w:pPr>
      <w:r>
        <w:rPr>
          <w:rFonts w:hint="eastAsia" w:ascii="宋体" w:hAnsi="宋体" w:eastAsia="宋体" w:cs="宋体"/>
          <w:szCs w:val="21"/>
        </w:rPr>
        <w:t>3.4控制与保护功能要求</w:t>
      </w:r>
    </w:p>
    <w:p>
      <w:pPr>
        <w:spacing w:line="360" w:lineRule="auto"/>
        <w:ind w:firstLine="420" w:firstLineChars="200"/>
        <w:rPr>
          <w:rFonts w:ascii="宋体" w:hAnsi="宋体" w:eastAsia="宋体" w:cs="宋体"/>
          <w:szCs w:val="21"/>
        </w:rPr>
      </w:pPr>
      <w:r>
        <w:rPr>
          <w:rFonts w:hint="eastAsia" w:ascii="宋体" w:hAnsi="宋体" w:eastAsia="宋体" w:cs="宋体"/>
          <w:szCs w:val="21"/>
        </w:rPr>
        <w:t>3.4.1高速监测功能</w:t>
      </w:r>
    </w:p>
    <w:p>
      <w:pPr>
        <w:spacing w:line="360" w:lineRule="auto"/>
        <w:ind w:firstLine="420" w:firstLineChars="200"/>
        <w:rPr>
          <w:rFonts w:ascii="宋体" w:hAnsi="宋体" w:eastAsia="宋体" w:cs="宋体"/>
          <w:szCs w:val="21"/>
        </w:rPr>
      </w:pPr>
      <w:r>
        <w:rPr>
          <w:rFonts w:hint="eastAsia" w:ascii="宋体" w:hAnsi="宋体" w:eastAsia="宋体" w:cs="宋体"/>
          <w:szCs w:val="21"/>
        </w:rPr>
        <w:t>控制器应具备两路电源的电压、频率、相位、电流实时高速监测功能，采样频率≥10kHz，电压、频率监测精度不低于±1%，相位监测精度不低于±0.5°。</w:t>
      </w:r>
    </w:p>
    <w:p>
      <w:pPr>
        <w:spacing w:line="360" w:lineRule="auto"/>
        <w:ind w:firstLine="420" w:firstLineChars="200"/>
        <w:rPr>
          <w:rFonts w:ascii="宋体" w:hAnsi="宋体" w:eastAsia="宋体" w:cs="宋体"/>
          <w:szCs w:val="21"/>
        </w:rPr>
      </w:pPr>
      <w:r>
        <w:rPr>
          <w:rFonts w:hint="eastAsia" w:ascii="宋体" w:hAnsi="宋体" w:eastAsia="宋体" w:cs="宋体"/>
          <w:szCs w:val="21"/>
        </w:rPr>
        <w:t>3.4.2基础电源保护功能</w:t>
      </w:r>
    </w:p>
    <w:p>
      <w:pPr>
        <w:spacing w:line="360" w:lineRule="auto"/>
        <w:ind w:firstLine="420" w:firstLineChars="200"/>
        <w:rPr>
          <w:rFonts w:ascii="宋体" w:hAnsi="宋体" w:eastAsia="宋体" w:cs="宋体"/>
          <w:szCs w:val="21"/>
        </w:rPr>
      </w:pPr>
      <w:r>
        <w:rPr>
          <w:rFonts w:hint="eastAsia" w:ascii="宋体" w:hAnsi="宋体" w:eastAsia="宋体" w:cs="宋体"/>
          <w:szCs w:val="21"/>
        </w:rPr>
        <w:t>过压保护：动作阈值可调范围110%~130%额定电压，动作精度±1%，返回系数0.95~0.98；</w:t>
      </w:r>
    </w:p>
    <w:p>
      <w:pPr>
        <w:spacing w:line="360" w:lineRule="auto"/>
        <w:ind w:firstLine="420" w:firstLineChars="200"/>
        <w:rPr>
          <w:rFonts w:ascii="宋体" w:hAnsi="宋体" w:eastAsia="宋体" w:cs="宋体"/>
          <w:szCs w:val="21"/>
        </w:rPr>
      </w:pPr>
      <w:r>
        <w:rPr>
          <w:rFonts w:hint="eastAsia" w:ascii="宋体" w:hAnsi="宋体" w:eastAsia="宋体" w:cs="宋体"/>
          <w:szCs w:val="21"/>
        </w:rPr>
        <w:t>欠压保护：动作阈值可调范围70%~90%额定电压，动作精度±1%，返回系数1.02~1.05；</w:t>
      </w:r>
    </w:p>
    <w:p>
      <w:pPr>
        <w:spacing w:line="360" w:lineRule="auto"/>
        <w:rPr>
          <w:rFonts w:ascii="宋体" w:hAnsi="宋体" w:eastAsia="宋体" w:cs="宋体"/>
          <w:szCs w:val="21"/>
        </w:rPr>
      </w:pPr>
      <w:r>
        <w:rPr>
          <w:rFonts w:hint="eastAsia" w:ascii="宋体" w:hAnsi="宋体" w:eastAsia="宋体" w:cs="宋体"/>
          <w:szCs w:val="21"/>
        </w:rPr>
        <w:t>缺相/断相保护：三相电源任意一相电压低于额定值的60%时，50μs内触发电子单元暂态转换；</w:t>
      </w:r>
    </w:p>
    <w:p>
      <w:pPr>
        <w:spacing w:line="360" w:lineRule="auto"/>
        <w:ind w:firstLine="420" w:firstLineChars="200"/>
        <w:rPr>
          <w:rFonts w:ascii="宋体" w:hAnsi="宋体" w:eastAsia="宋体" w:cs="宋体"/>
          <w:szCs w:val="21"/>
        </w:rPr>
      </w:pPr>
      <w:r>
        <w:rPr>
          <w:rFonts w:hint="eastAsia" w:ascii="宋体" w:hAnsi="宋体" w:eastAsia="宋体" w:cs="宋体"/>
          <w:szCs w:val="21"/>
        </w:rPr>
        <w:t>过频/欠频保护：动作阈值可调范围45Hz~55Hz，动作精度±0.1Hz；</w:t>
      </w:r>
    </w:p>
    <w:p>
      <w:pPr>
        <w:spacing w:line="360" w:lineRule="auto"/>
        <w:ind w:firstLine="420" w:firstLineChars="200"/>
        <w:rPr>
          <w:rFonts w:hint="eastAsia" w:ascii="宋体" w:hAnsi="宋体" w:eastAsia="宋体" w:cs="宋体"/>
          <w:szCs w:val="21"/>
          <w:lang w:eastAsia="zh-CN"/>
        </w:rPr>
      </w:pPr>
      <w:r>
        <w:rPr>
          <w:rFonts w:hint="eastAsia" w:ascii="宋体" w:hAnsi="宋体" w:eastAsia="宋体" w:cs="宋体"/>
          <w:szCs w:val="21"/>
        </w:rPr>
        <w:t>电压不平衡保护：三相电压不平衡度超过</w:t>
      </w:r>
      <w:r>
        <w:rPr>
          <w:rFonts w:hint="eastAsia" w:ascii="宋体" w:hAnsi="宋体" w:eastAsia="宋体" w:cs="宋体"/>
          <w:szCs w:val="21"/>
          <w:lang w:val="en-US" w:eastAsia="zh-CN"/>
        </w:rPr>
        <w:t>一定值</w:t>
      </w:r>
      <w:r>
        <w:rPr>
          <w:rFonts w:hint="eastAsia" w:ascii="宋体" w:hAnsi="宋体" w:eastAsia="宋体" w:cs="宋体"/>
          <w:szCs w:val="21"/>
        </w:rPr>
        <w:t>时，</w:t>
      </w:r>
      <w:r>
        <w:rPr>
          <w:rFonts w:hint="eastAsia" w:ascii="宋体" w:hAnsi="宋体" w:eastAsia="宋体" w:cs="宋体"/>
          <w:szCs w:val="21"/>
          <w:lang w:val="en-US" w:eastAsia="zh-CN"/>
        </w:rPr>
        <w:t>在设定时间内</w:t>
      </w:r>
      <w:r>
        <w:rPr>
          <w:rFonts w:hint="eastAsia" w:ascii="宋体" w:hAnsi="宋体" w:eastAsia="宋体" w:cs="宋体"/>
          <w:szCs w:val="21"/>
        </w:rPr>
        <w:t>触发转换保护</w:t>
      </w:r>
      <w:r>
        <w:rPr>
          <w:rFonts w:hint="eastAsia" w:ascii="宋体" w:hAnsi="宋体" w:eastAsia="宋体" w:cs="宋体"/>
          <w:szCs w:val="21"/>
          <w:lang w:eastAsia="zh-CN"/>
        </w:rPr>
        <w:t>，</w:t>
      </w:r>
      <w:r>
        <w:rPr>
          <w:rFonts w:hint="eastAsia" w:ascii="宋体" w:hAnsi="宋体" w:eastAsia="宋体" w:cs="宋体"/>
          <w:szCs w:val="21"/>
          <w:lang w:val="en-US" w:eastAsia="zh-CN"/>
        </w:rPr>
        <w:t>触发时间及</w:t>
      </w:r>
      <w:r>
        <w:rPr>
          <w:rFonts w:hint="eastAsia" w:ascii="宋体" w:hAnsi="宋体" w:eastAsia="宋体" w:cs="宋体"/>
          <w:szCs w:val="21"/>
        </w:rPr>
        <w:t>三相电压不平衡度</w:t>
      </w:r>
      <w:r>
        <w:rPr>
          <w:rFonts w:hint="eastAsia" w:ascii="宋体" w:hAnsi="宋体" w:eastAsia="宋体" w:cs="宋体"/>
          <w:szCs w:val="21"/>
          <w:lang w:val="en-US" w:eastAsia="zh-CN"/>
        </w:rPr>
        <w:t>可自行设置</w:t>
      </w:r>
      <w:r>
        <w:rPr>
          <w:rFonts w:hint="eastAsia" w:ascii="宋体" w:hAnsi="宋体" w:eastAsia="宋体" w:cs="宋体"/>
          <w:szCs w:val="21"/>
        </w:rPr>
        <w:t>。</w:t>
      </w:r>
    </w:p>
    <w:p>
      <w:pPr>
        <w:spacing w:line="360" w:lineRule="auto"/>
        <w:ind w:firstLine="420" w:firstLineChars="200"/>
        <w:rPr>
          <w:rFonts w:ascii="宋体" w:hAnsi="宋体" w:eastAsia="宋体" w:cs="宋体"/>
          <w:szCs w:val="21"/>
        </w:rPr>
      </w:pPr>
      <w:r>
        <w:rPr>
          <w:rFonts w:hint="eastAsia" w:ascii="宋体" w:hAnsi="宋体" w:eastAsia="宋体" w:cs="宋体"/>
          <w:szCs w:val="21"/>
        </w:rPr>
        <w:t>3.4.3协同转换控制逻辑</w:t>
      </w:r>
    </w:p>
    <w:p>
      <w:pPr>
        <w:spacing w:line="360" w:lineRule="auto"/>
        <w:ind w:firstLine="420" w:firstLineChars="200"/>
        <w:rPr>
          <w:rFonts w:ascii="宋体" w:hAnsi="宋体" w:eastAsia="宋体" w:cs="宋体"/>
          <w:szCs w:val="21"/>
        </w:rPr>
      </w:pPr>
      <w:r>
        <w:rPr>
          <w:rFonts w:hint="eastAsia" w:ascii="宋体" w:hAnsi="宋体" w:eastAsia="宋体" w:cs="宋体"/>
          <w:szCs w:val="21"/>
        </w:rPr>
        <w:t>控制器必须实现以下标准化协同转换逻辑，逻辑优先级：手动操作＞消防联动＞自动控制：</w:t>
      </w:r>
    </w:p>
    <w:p>
      <w:pPr>
        <w:spacing w:line="360" w:lineRule="auto"/>
        <w:ind w:firstLine="420" w:firstLineChars="200"/>
        <w:rPr>
          <w:rFonts w:ascii="宋体" w:hAnsi="宋体" w:eastAsia="宋体" w:cs="宋体"/>
          <w:szCs w:val="21"/>
        </w:rPr>
      </w:pPr>
      <w:r>
        <w:rPr>
          <w:rFonts w:hint="eastAsia" w:ascii="宋体" w:hAnsi="宋体" w:eastAsia="宋体" w:cs="宋体"/>
          <w:szCs w:val="21"/>
        </w:rPr>
        <w:t>正常供电：常用电源正常，常用路机械单元主触头闭合，常用路与备用路电子单元均处于闭锁截止状态，负载由常用路机械稳态供电；</w:t>
      </w:r>
    </w:p>
    <w:p>
      <w:pPr>
        <w:spacing w:line="360" w:lineRule="auto"/>
        <w:ind w:firstLine="420" w:firstLineChars="200"/>
        <w:rPr>
          <w:rFonts w:ascii="宋体" w:hAnsi="宋体" w:eastAsia="宋体" w:cs="宋体"/>
          <w:szCs w:val="21"/>
        </w:rPr>
      </w:pPr>
      <w:r>
        <w:rPr>
          <w:rFonts w:hint="eastAsia" w:ascii="宋体" w:hAnsi="宋体" w:eastAsia="宋体" w:cs="宋体"/>
          <w:szCs w:val="21"/>
        </w:rPr>
        <w:t>常用电源故障：控制器识别故障后，立即导通常用路</w:t>
      </w:r>
      <w:r>
        <w:rPr>
          <w:rFonts w:hint="eastAsia" w:ascii="宋体" w:hAnsi="宋体" w:eastAsia="宋体" w:cs="宋体"/>
          <w:szCs w:val="21"/>
          <w:lang w:val="en-US" w:eastAsia="zh-CN"/>
        </w:rPr>
        <w:t>电子</w:t>
      </w:r>
      <w:r>
        <w:rPr>
          <w:rFonts w:hint="eastAsia" w:ascii="宋体" w:hAnsi="宋体" w:eastAsia="宋体" w:cs="宋体"/>
          <w:szCs w:val="21"/>
        </w:rPr>
        <w:t>单元，同步触发备用路电子单元导通，完成暂态无缝切换；同时驱动常用路机械单元分闸、备用路机械单元合闸，备用路机械主触头完全闭合后，立即闭锁备用路电子单元，完成暂态到稳态的切换，负载由备用路机械单元稳态供电；</w:t>
      </w:r>
    </w:p>
    <w:p>
      <w:pPr>
        <w:spacing w:line="360" w:lineRule="auto"/>
        <w:ind w:firstLine="420" w:firstLineChars="200"/>
        <w:rPr>
          <w:rFonts w:ascii="宋体" w:hAnsi="宋体" w:eastAsia="宋体" w:cs="宋体"/>
          <w:szCs w:val="21"/>
        </w:rPr>
      </w:pPr>
      <w:r>
        <w:rPr>
          <w:rFonts w:hint="eastAsia" w:ascii="宋体" w:hAnsi="宋体" w:eastAsia="宋体" w:cs="宋体"/>
          <w:szCs w:val="21"/>
        </w:rPr>
        <w:t>常用电源恢复：控制器检测到常用电源恢复正常且稳定后，按设定的自投自复/自投不自复模式执行：自投自复模式先触发常用路电子单元同步导通，闭锁备用路电子单元，随后驱动备用路机械单元分闸、常用路机械单元合闸，常用路机械单元闭合后闭锁常用路电子单元，恢复正常供电；自投不自复模式保持备用路机械单元稳态供电，需人工/远程指令才能转换回常用电源；</w:t>
      </w:r>
    </w:p>
    <w:p>
      <w:pPr>
        <w:spacing w:line="360" w:lineRule="auto"/>
        <w:ind w:firstLine="420" w:firstLineChars="200"/>
        <w:rPr>
          <w:rFonts w:ascii="宋体" w:hAnsi="宋体" w:eastAsia="宋体" w:cs="宋体"/>
          <w:szCs w:val="21"/>
        </w:rPr>
      </w:pPr>
      <w:r>
        <w:rPr>
          <w:rFonts w:hint="eastAsia" w:ascii="宋体" w:hAnsi="宋体" w:eastAsia="宋体" w:cs="宋体"/>
          <w:szCs w:val="21"/>
        </w:rPr>
        <w:t>两路电源故障：两路电源均故障时，控制器闭锁所有电子单元，机械单元保持当前状态，发出声光报警；电源恢复后，按设定逻辑执行转换。</w:t>
      </w:r>
    </w:p>
    <w:p>
      <w:pPr>
        <w:spacing w:line="360" w:lineRule="auto"/>
        <w:ind w:firstLine="420" w:firstLineChars="200"/>
        <w:rPr>
          <w:rFonts w:ascii="宋体" w:hAnsi="宋体" w:eastAsia="宋体" w:cs="宋体"/>
          <w:szCs w:val="21"/>
        </w:rPr>
      </w:pPr>
      <w:r>
        <w:rPr>
          <w:rFonts w:hint="eastAsia" w:ascii="宋体" w:hAnsi="宋体" w:eastAsia="宋体" w:cs="宋体"/>
          <w:szCs w:val="21"/>
        </w:rPr>
        <w:t>3.4.4专项保护功能</w:t>
      </w:r>
    </w:p>
    <w:p>
      <w:pPr>
        <w:spacing w:line="360" w:lineRule="auto"/>
        <w:ind w:firstLine="420" w:firstLineChars="200"/>
        <w:rPr>
          <w:rFonts w:ascii="宋体" w:hAnsi="宋体" w:eastAsia="宋体" w:cs="宋体"/>
          <w:szCs w:val="21"/>
        </w:rPr>
      </w:pPr>
      <w:r>
        <w:rPr>
          <w:rFonts w:hint="eastAsia" w:ascii="宋体" w:hAnsi="宋体" w:eastAsia="宋体" w:cs="宋体"/>
          <w:szCs w:val="21"/>
        </w:rPr>
        <w:t>电子单元保护：具备过流保护、过热保护、晶闸管击穿检测、驱动故障保护、环流闭锁保护，故障时立即闭锁对应单元，发出报警；</w:t>
      </w:r>
    </w:p>
    <w:p>
      <w:pPr>
        <w:spacing w:line="360" w:lineRule="auto"/>
        <w:ind w:firstLine="420" w:firstLineChars="200"/>
        <w:rPr>
          <w:rFonts w:ascii="宋体" w:hAnsi="宋体" w:eastAsia="宋体" w:cs="宋体"/>
          <w:szCs w:val="21"/>
        </w:rPr>
      </w:pPr>
      <w:r>
        <w:rPr>
          <w:rFonts w:hint="eastAsia" w:ascii="宋体" w:hAnsi="宋体" w:eastAsia="宋体" w:cs="宋体"/>
          <w:szCs w:val="21"/>
        </w:rPr>
        <w:t>机械单元保护：具备位置反馈故障保护、操作超时保护、联锁异常保护，故障时禁止电动操作，发出报警；</w:t>
      </w:r>
    </w:p>
    <w:p>
      <w:pPr>
        <w:spacing w:line="360" w:lineRule="auto"/>
        <w:ind w:firstLine="420" w:firstLineChars="200"/>
        <w:rPr>
          <w:rFonts w:ascii="宋体" w:hAnsi="宋体" w:eastAsia="宋体" w:cs="宋体"/>
          <w:szCs w:val="21"/>
        </w:rPr>
      </w:pPr>
      <w:r>
        <w:rPr>
          <w:rFonts w:hint="eastAsia" w:ascii="宋体" w:hAnsi="宋体" w:eastAsia="宋体" w:cs="宋体"/>
          <w:szCs w:val="21"/>
        </w:rPr>
        <w:t>控制器保护：具备电源欠压保护、看门狗复位功能、程序跑飞保护、存储故障保护，确保控制器异常时不发生误动、拒动。</w:t>
      </w:r>
    </w:p>
    <w:p>
      <w:pPr>
        <w:spacing w:line="360" w:lineRule="auto"/>
        <w:ind w:firstLine="420" w:firstLineChars="200"/>
        <w:rPr>
          <w:rFonts w:ascii="宋体" w:hAnsi="宋体" w:eastAsia="宋体" w:cs="宋体"/>
          <w:szCs w:val="21"/>
        </w:rPr>
      </w:pPr>
      <w:r>
        <w:rPr>
          <w:rFonts w:hint="eastAsia" w:ascii="宋体" w:hAnsi="宋体" w:eastAsia="宋体" w:cs="宋体"/>
          <w:szCs w:val="21"/>
        </w:rPr>
        <w:t>3.4.5控制模式功能</w:t>
      </w:r>
    </w:p>
    <w:p>
      <w:pPr>
        <w:spacing w:line="360" w:lineRule="auto"/>
        <w:ind w:firstLine="420" w:firstLineChars="200"/>
        <w:rPr>
          <w:rFonts w:ascii="宋体" w:hAnsi="宋体" w:eastAsia="宋体" w:cs="宋体"/>
          <w:szCs w:val="21"/>
        </w:rPr>
      </w:pPr>
      <w:r>
        <w:rPr>
          <w:rFonts w:hint="eastAsia" w:ascii="宋体" w:hAnsi="宋体" w:eastAsia="宋体" w:cs="宋体"/>
          <w:szCs w:val="21"/>
        </w:rPr>
        <w:t>自动模式：按设定的保护阈值与协同转换逻辑，自动完成电源转换；</w:t>
      </w:r>
    </w:p>
    <w:p>
      <w:pPr>
        <w:spacing w:line="360" w:lineRule="auto"/>
        <w:ind w:firstLine="420" w:firstLineChars="200"/>
        <w:rPr>
          <w:rFonts w:ascii="宋体" w:hAnsi="宋体" w:eastAsia="宋体" w:cs="宋体"/>
          <w:szCs w:val="21"/>
        </w:rPr>
      </w:pPr>
      <w:r>
        <w:rPr>
          <w:rFonts w:hint="eastAsia" w:ascii="宋体" w:hAnsi="宋体" w:eastAsia="宋体" w:cs="宋体"/>
          <w:szCs w:val="21"/>
        </w:rPr>
        <w:t>手动模式：通过面板按键/旋钮完成手动切换，手动模式下自动控制功能闭锁，手动操作优先级最高；</w:t>
      </w:r>
    </w:p>
    <w:p>
      <w:pPr>
        <w:spacing w:line="360" w:lineRule="auto"/>
        <w:ind w:firstLine="420" w:firstLineChars="200"/>
        <w:rPr>
          <w:rFonts w:ascii="宋体" w:hAnsi="宋体" w:eastAsia="宋体" w:cs="宋体"/>
          <w:szCs w:val="21"/>
        </w:rPr>
      </w:pPr>
      <w:r>
        <w:rPr>
          <w:rFonts w:hint="eastAsia" w:ascii="宋体" w:hAnsi="宋体" w:eastAsia="宋体" w:cs="宋体"/>
          <w:szCs w:val="21"/>
        </w:rPr>
        <w:t>检修模式：进入检修模式后，所有电动操作、自动转换功能闭锁，仅允许手动操作，同时发出声光提示；</w:t>
      </w:r>
    </w:p>
    <w:p>
      <w:pPr>
        <w:spacing w:line="360" w:lineRule="auto"/>
        <w:ind w:firstLine="420" w:firstLineChars="200"/>
        <w:rPr>
          <w:rFonts w:ascii="宋体" w:hAnsi="宋体" w:eastAsia="宋体" w:cs="宋体"/>
          <w:szCs w:val="21"/>
        </w:rPr>
      </w:pPr>
      <w:r>
        <w:rPr>
          <w:rFonts w:hint="eastAsia" w:ascii="宋体" w:hAnsi="宋体" w:eastAsia="宋体" w:cs="宋体"/>
          <w:szCs w:val="21"/>
        </w:rPr>
        <w:t>应急旁路模式：手动闭合应急旁路开关，直接由指定电源给负载供电，电子单元与机械单元均退出运行，用于设备检修、故障应急场景；</w:t>
      </w:r>
    </w:p>
    <w:p>
      <w:pPr>
        <w:spacing w:line="360" w:lineRule="auto"/>
        <w:ind w:firstLine="420" w:firstLineChars="200"/>
        <w:rPr>
          <w:rFonts w:ascii="宋体" w:hAnsi="宋体" w:eastAsia="宋体" w:cs="宋体"/>
          <w:szCs w:val="21"/>
        </w:rPr>
      </w:pPr>
      <w:r>
        <w:rPr>
          <w:rFonts w:hint="eastAsia" w:ascii="宋体" w:hAnsi="宋体" w:eastAsia="宋体" w:cs="宋体"/>
          <w:szCs w:val="21"/>
        </w:rPr>
        <w:t>远程控制功能：支持RS485/MODBUS-RTU、以太网、4G等通讯方式，可远程监测电源状态、设备运行状态、故障信息，远程下发转换指令、参数配置指令。</w:t>
      </w:r>
    </w:p>
    <w:p>
      <w:pPr>
        <w:spacing w:line="360" w:lineRule="auto"/>
        <w:ind w:firstLine="420" w:firstLineChars="200"/>
        <w:rPr>
          <w:rFonts w:ascii="宋体" w:hAnsi="宋体" w:eastAsia="宋体" w:cs="宋体"/>
          <w:szCs w:val="21"/>
        </w:rPr>
      </w:pPr>
      <w:r>
        <w:rPr>
          <w:rFonts w:hint="eastAsia" w:ascii="宋体" w:hAnsi="宋体" w:eastAsia="宋体" w:cs="宋体"/>
          <w:szCs w:val="21"/>
        </w:rPr>
        <w:t>3.4.6控制电源要求</w:t>
      </w:r>
    </w:p>
    <w:p>
      <w:pPr>
        <w:spacing w:line="360" w:lineRule="auto"/>
        <w:ind w:firstLine="420" w:firstLineChars="200"/>
        <w:rPr>
          <w:rFonts w:ascii="宋体" w:hAnsi="宋体" w:eastAsia="宋体" w:cs="宋体"/>
          <w:szCs w:val="21"/>
        </w:rPr>
      </w:pPr>
      <w:r>
        <w:rPr>
          <w:rFonts w:hint="eastAsia" w:ascii="宋体" w:hAnsi="宋体" w:eastAsia="宋体" w:cs="宋体"/>
          <w:szCs w:val="21"/>
        </w:rPr>
        <w:t>控制器工作电源：AC85V~265V宽电压输入，兼容DC110V/220V，双路电源冗余供电，任意一路电源正常即可稳定工作；</w:t>
      </w:r>
    </w:p>
    <w:p>
      <w:pPr>
        <w:spacing w:line="360" w:lineRule="auto"/>
        <w:ind w:firstLine="420" w:firstLineChars="200"/>
        <w:rPr>
          <w:rFonts w:ascii="宋体" w:hAnsi="宋体" w:eastAsia="宋体" w:cs="宋体"/>
          <w:szCs w:val="21"/>
        </w:rPr>
      </w:pPr>
      <w:r>
        <w:rPr>
          <w:rFonts w:hint="eastAsia" w:ascii="宋体" w:hAnsi="宋体" w:eastAsia="宋体" w:cs="宋体"/>
          <w:szCs w:val="21"/>
        </w:rPr>
        <w:t>控制回路静态功耗≤15VA，动作峰值功耗≤60VA；</w:t>
      </w:r>
    </w:p>
    <w:p>
      <w:pPr>
        <w:spacing w:line="360" w:lineRule="auto"/>
        <w:ind w:firstLine="420" w:firstLineChars="200"/>
        <w:rPr>
          <w:rFonts w:ascii="宋体" w:hAnsi="宋体" w:eastAsia="宋体" w:cs="宋体"/>
          <w:szCs w:val="21"/>
        </w:rPr>
      </w:pPr>
      <w:r>
        <w:rPr>
          <w:rFonts w:hint="eastAsia" w:ascii="宋体" w:hAnsi="宋体" w:eastAsia="宋体" w:cs="宋体"/>
          <w:szCs w:val="21"/>
        </w:rPr>
        <w:t>掉电保持功能：控制器参数、故障记录、事件记录掉电保持时间≥10年，无需电池供电。</w:t>
      </w:r>
    </w:p>
    <w:p>
      <w:pPr>
        <w:spacing w:line="360" w:lineRule="auto"/>
        <w:ind w:firstLine="420" w:firstLineChars="200"/>
        <w:rPr>
          <w:rFonts w:ascii="宋体" w:hAnsi="宋体" w:eastAsia="宋体" w:cs="宋体"/>
          <w:szCs w:val="21"/>
        </w:rPr>
      </w:pPr>
      <w:r>
        <w:rPr>
          <w:rFonts w:hint="eastAsia" w:ascii="宋体" w:hAnsi="宋体" w:eastAsia="宋体" w:cs="宋体"/>
          <w:szCs w:val="21"/>
        </w:rPr>
        <w:t>3.5安全性能要求</w:t>
      </w:r>
    </w:p>
    <w:p>
      <w:pPr>
        <w:spacing w:line="360" w:lineRule="auto"/>
        <w:ind w:firstLine="420" w:firstLineChars="200"/>
        <w:rPr>
          <w:rFonts w:ascii="宋体" w:hAnsi="宋体" w:eastAsia="宋体" w:cs="宋体"/>
          <w:szCs w:val="21"/>
        </w:rPr>
      </w:pPr>
      <w:r>
        <w:rPr>
          <w:rFonts w:hint="eastAsia" w:ascii="宋体" w:hAnsi="宋体" w:eastAsia="宋体" w:cs="宋体"/>
          <w:szCs w:val="21"/>
        </w:rPr>
        <w:t>电气间隙与爬电距离：主回路、电子单元的电气间隙与爬电距离符合GB/T16935.1、GB/T3859.1要求，额定绝缘电压1000V时，电气间隙≥8mm，爬电距离≥14mm；控制回路与主回路之间的电气间隙≥12mm，爬电距离≥20mm；</w:t>
      </w:r>
    </w:p>
    <w:p>
      <w:pPr>
        <w:spacing w:line="360" w:lineRule="auto"/>
        <w:ind w:firstLine="420" w:firstLineChars="200"/>
        <w:rPr>
          <w:rFonts w:ascii="宋体" w:hAnsi="宋体" w:eastAsia="宋体" w:cs="宋体"/>
          <w:szCs w:val="21"/>
        </w:rPr>
      </w:pPr>
      <w:r>
        <w:rPr>
          <w:rFonts w:hint="eastAsia" w:ascii="宋体" w:hAnsi="宋体" w:eastAsia="宋体" w:cs="宋体"/>
          <w:szCs w:val="21"/>
        </w:rPr>
        <w:t>绝缘电阻：主回路相间、相对地、常开触头之间绝缘电阻≥10MΩ（</w:t>
      </w:r>
      <w:r>
        <w:rPr>
          <w:rFonts w:hint="eastAsia" w:ascii="宋体" w:hAnsi="宋体" w:eastAsia="宋体" w:cs="宋体"/>
          <w:szCs w:val="21"/>
          <w:highlight w:val="yellow"/>
        </w:rPr>
        <w:t>DC1000V</w:t>
      </w:r>
      <w:r>
        <w:rPr>
          <w:rFonts w:hint="eastAsia" w:ascii="宋体" w:hAnsi="宋体" w:eastAsia="宋体" w:cs="宋体"/>
          <w:szCs w:val="21"/>
        </w:rPr>
        <w:t>兆欧表）；电力电子回路与控制回路之间绝缘电阻≥20MΩ（</w:t>
      </w:r>
      <w:r>
        <w:rPr>
          <w:rFonts w:hint="eastAsia" w:ascii="宋体" w:hAnsi="宋体" w:eastAsia="宋体" w:cs="宋体"/>
          <w:szCs w:val="21"/>
          <w:highlight w:val="yellow"/>
        </w:rPr>
        <w:t>DC1000V</w:t>
      </w:r>
      <w:r>
        <w:rPr>
          <w:rFonts w:hint="eastAsia" w:ascii="宋体" w:hAnsi="宋体" w:eastAsia="宋体" w:cs="宋体"/>
          <w:szCs w:val="21"/>
        </w:rPr>
        <w:t>兆欧表）；控制回路对地绝缘电阻≥2MΩ（</w:t>
      </w:r>
      <w:r>
        <w:rPr>
          <w:rFonts w:hint="eastAsia" w:ascii="宋体" w:hAnsi="宋体" w:eastAsia="宋体" w:cs="宋体"/>
          <w:szCs w:val="21"/>
          <w:highlight w:val="yellow"/>
        </w:rPr>
        <w:t>DC1000V</w:t>
      </w:r>
      <w:r>
        <w:rPr>
          <w:rFonts w:hint="eastAsia" w:ascii="宋体" w:hAnsi="宋体" w:eastAsia="宋体" w:cs="宋体"/>
          <w:szCs w:val="21"/>
        </w:rPr>
        <w:t>兆欧表）；</w:t>
      </w:r>
    </w:p>
    <w:p>
      <w:pPr>
        <w:spacing w:line="360" w:lineRule="auto"/>
        <w:ind w:firstLine="420" w:firstLineChars="200"/>
        <w:rPr>
          <w:rFonts w:ascii="宋体" w:hAnsi="宋体" w:eastAsia="宋体" w:cs="宋体"/>
          <w:szCs w:val="21"/>
        </w:rPr>
      </w:pPr>
      <w:r>
        <w:rPr>
          <w:rFonts w:hint="eastAsia" w:ascii="宋体" w:hAnsi="宋体" w:eastAsia="宋体" w:cs="宋体"/>
          <w:szCs w:val="21"/>
        </w:rPr>
        <w:t>介电性能：主回路工频耐受电压AC2500V，1min，无击穿、无闪络；控制回路工频耐受电压AC2000V，1min，无击穿、无闪络；主回路与控制回路之间工频耐受电压AC3000V，1min，无击穿、无闪络；冲击耐受电压主回路8kV（1.2/50μs），正负极性各5次，无击穿、无闪络；</w:t>
      </w:r>
    </w:p>
    <w:p>
      <w:pPr>
        <w:spacing w:line="360" w:lineRule="auto"/>
        <w:ind w:firstLine="420" w:firstLineChars="200"/>
        <w:rPr>
          <w:rFonts w:ascii="宋体" w:hAnsi="宋体" w:eastAsia="宋体" w:cs="宋体"/>
          <w:szCs w:val="21"/>
        </w:rPr>
      </w:pPr>
      <w:r>
        <w:rPr>
          <w:rFonts w:hint="eastAsia" w:ascii="宋体" w:hAnsi="宋体" w:eastAsia="宋体" w:cs="宋体"/>
          <w:szCs w:val="21"/>
        </w:rPr>
        <w:t>接地要求：产品必须设置专用保护接地端子，接地端子截面积不小于主回路接线端子截面积，接地</w:t>
      </w:r>
      <w:r>
        <w:rPr>
          <w:rFonts w:hint="eastAsia" w:ascii="宋体" w:hAnsi="宋体" w:eastAsia="宋体" w:cs="宋体"/>
          <w:szCs w:val="21"/>
          <w:lang w:val="en-US" w:eastAsia="zh-CN"/>
        </w:rPr>
        <w:t>回路导通</w:t>
      </w:r>
      <w:r>
        <w:rPr>
          <w:rFonts w:hint="eastAsia" w:ascii="宋体" w:hAnsi="宋体" w:eastAsia="宋体" w:cs="宋体"/>
          <w:szCs w:val="21"/>
        </w:rPr>
        <w:t>电阻≤0.1Ω，外壳、金属框架、散热器均需可靠接地，接地标识清晰耐久；</w:t>
      </w:r>
    </w:p>
    <w:p>
      <w:pPr>
        <w:spacing w:line="360" w:lineRule="auto"/>
        <w:ind w:firstLine="420" w:firstLineChars="200"/>
        <w:rPr>
          <w:rFonts w:ascii="宋体" w:hAnsi="宋体" w:eastAsia="宋体" w:cs="宋体"/>
          <w:szCs w:val="21"/>
        </w:rPr>
      </w:pPr>
      <w:r>
        <w:rPr>
          <w:rFonts w:hint="eastAsia" w:ascii="宋体" w:hAnsi="宋体" w:eastAsia="宋体" w:cs="宋体"/>
          <w:szCs w:val="21"/>
        </w:rPr>
        <w:t>防护等级：产品防护等级符合GB4208-2017要求，出厂基础型产品防护等级不低于IP20，定制产品按设计要求执行。</w:t>
      </w:r>
    </w:p>
    <w:p>
      <w:pPr>
        <w:spacing w:line="360" w:lineRule="auto"/>
        <w:ind w:firstLine="420" w:firstLineChars="200"/>
        <w:rPr>
          <w:rFonts w:ascii="宋体" w:hAnsi="宋体" w:eastAsia="宋体" w:cs="宋体"/>
          <w:szCs w:val="21"/>
        </w:rPr>
      </w:pPr>
      <w:r>
        <w:rPr>
          <w:rFonts w:hint="eastAsia" w:ascii="宋体" w:hAnsi="宋体" w:eastAsia="宋体" w:cs="宋体"/>
          <w:szCs w:val="21"/>
        </w:rPr>
        <w:t>3.6电磁兼容（EMC）要求</w:t>
      </w:r>
    </w:p>
    <w:p>
      <w:pPr>
        <w:spacing w:line="360" w:lineRule="auto"/>
        <w:ind w:firstLine="420" w:firstLineChars="200"/>
        <w:rPr>
          <w:rFonts w:ascii="宋体" w:hAnsi="宋体" w:eastAsia="宋体" w:cs="宋体"/>
          <w:szCs w:val="21"/>
        </w:rPr>
      </w:pPr>
      <w:r>
        <w:rPr>
          <w:rFonts w:hint="eastAsia" w:ascii="宋体" w:hAnsi="宋体" w:eastAsia="宋体" w:cs="宋体"/>
          <w:szCs w:val="21"/>
        </w:rPr>
        <w:t>抗扰度性能：产品抗扰度符合GB/T17626系列要求，性能等级不低于3级，试验过程中产品无误动、无拒动、无死机，试验后功能正常。具体要求：接触放电±8kV，空气放电±15kV；电源回路电快速瞬变脉冲群±4kV，信号回路±2kV；电源回路浪涌±2kV（线-线）、±4kV（线-地）；0%Ue电压暂降持续1s，功能正常；射频电磁场辐射10V/m，80MHz~2GHz；</w:t>
      </w:r>
    </w:p>
    <w:p>
      <w:pPr>
        <w:spacing w:line="360" w:lineRule="auto"/>
        <w:ind w:firstLine="420" w:firstLineChars="200"/>
        <w:rPr>
          <w:rFonts w:ascii="宋体" w:hAnsi="宋体" w:eastAsia="宋体" w:cs="宋体"/>
          <w:szCs w:val="21"/>
        </w:rPr>
      </w:pPr>
      <w:r>
        <w:rPr>
          <w:rFonts w:hint="eastAsia" w:ascii="宋体" w:hAnsi="宋体" w:eastAsia="宋体" w:cs="宋体"/>
          <w:szCs w:val="21"/>
        </w:rPr>
        <w:t>电磁发射限值：产品射频传导发射、辐射发射符合GB/T17625系列ClassB限值要求，满足敏感场景的电磁环境要求。</w:t>
      </w:r>
    </w:p>
    <w:p>
      <w:pPr>
        <w:spacing w:line="360" w:lineRule="auto"/>
        <w:ind w:firstLine="420" w:firstLineChars="200"/>
        <w:rPr>
          <w:rFonts w:ascii="宋体" w:hAnsi="宋体" w:eastAsia="宋体" w:cs="宋体"/>
          <w:szCs w:val="21"/>
        </w:rPr>
      </w:pPr>
      <w:r>
        <w:rPr>
          <w:rFonts w:hint="eastAsia" w:ascii="宋体" w:hAnsi="宋体" w:eastAsia="宋体" w:cs="宋体"/>
          <w:szCs w:val="21"/>
        </w:rPr>
        <w:t>3.7环境适应性要求</w:t>
      </w:r>
    </w:p>
    <w:p>
      <w:pPr>
        <w:spacing w:line="360" w:lineRule="auto"/>
        <w:ind w:firstLine="420" w:firstLineChars="200"/>
        <w:rPr>
          <w:rFonts w:ascii="宋体" w:hAnsi="宋体" w:eastAsia="宋体" w:cs="宋体"/>
          <w:szCs w:val="21"/>
        </w:rPr>
      </w:pPr>
      <w:r>
        <w:rPr>
          <w:rFonts w:hint="eastAsia" w:ascii="宋体" w:hAnsi="宋体" w:eastAsia="宋体" w:cs="宋体"/>
          <w:szCs w:val="21"/>
        </w:rPr>
        <w:t>低温性能：按GB/T2423.1进行低温试验，-10℃（常规产品）/-25℃（宽温产品）持续2h，产品可正常完成协同转换操作，功能无异常，转换时间符合要求；</w:t>
      </w:r>
    </w:p>
    <w:p>
      <w:pPr>
        <w:spacing w:line="360" w:lineRule="auto"/>
        <w:ind w:firstLine="420" w:firstLineChars="200"/>
        <w:rPr>
          <w:rFonts w:ascii="宋体" w:hAnsi="宋体" w:eastAsia="宋体" w:cs="宋体"/>
          <w:szCs w:val="21"/>
        </w:rPr>
      </w:pPr>
      <w:r>
        <w:rPr>
          <w:rFonts w:hint="eastAsia" w:ascii="宋体" w:hAnsi="宋体" w:eastAsia="宋体" w:cs="宋体"/>
          <w:szCs w:val="21"/>
        </w:rPr>
        <w:t>高温性能：按GB/T2423.2进行高温试验，+40℃（常规产品）/+55℃（宽温产品）持续2h，产品可正常完成协同转换操作，温升符合要求，无过热保护误动作；</w:t>
      </w:r>
    </w:p>
    <w:p>
      <w:pPr>
        <w:spacing w:line="360" w:lineRule="auto"/>
        <w:ind w:firstLine="420" w:firstLineChars="200"/>
        <w:rPr>
          <w:rFonts w:ascii="宋体" w:hAnsi="宋体" w:eastAsia="宋体" w:cs="宋体"/>
          <w:szCs w:val="21"/>
        </w:rPr>
      </w:pPr>
      <w:r>
        <w:rPr>
          <w:rFonts w:hint="eastAsia" w:ascii="宋体" w:hAnsi="宋体" w:eastAsia="宋体" w:cs="宋体"/>
          <w:szCs w:val="21"/>
        </w:rPr>
        <w:t>湿热性能：按GB/T2423.3进行恒定湿热试验，温度+40℃，相对湿度90%~95%，持续48h，试验后绝缘电阻、介电性能符合要求，功能无异常；</w:t>
      </w:r>
    </w:p>
    <w:p>
      <w:pPr>
        <w:spacing w:line="360" w:lineRule="auto"/>
        <w:ind w:firstLine="420" w:firstLineChars="200"/>
        <w:rPr>
          <w:rFonts w:ascii="宋体" w:hAnsi="宋体" w:eastAsia="宋体" w:cs="宋体"/>
          <w:szCs w:val="21"/>
        </w:rPr>
      </w:pPr>
      <w:r>
        <w:rPr>
          <w:rFonts w:hint="eastAsia" w:ascii="宋体" w:hAnsi="宋体" w:eastAsia="宋体" w:cs="宋体"/>
          <w:szCs w:val="21"/>
        </w:rPr>
        <w:t>振动性能：按GB/T2423.10进行正弦振动试验，频率10Hz~150Hz，加速度5m/s²，持续2h，试验后产品结构无松动、无损坏，功能正常，转换性能符合要求。</w:t>
      </w:r>
    </w:p>
    <w:p>
      <w:pPr>
        <w:pStyle w:val="2"/>
        <w:numPr>
          <w:ilvl w:val="0"/>
          <w:numId w:val="1"/>
        </w:numPr>
        <w:rPr>
          <w:rFonts w:ascii="宋体" w:hAnsi="宋体" w:eastAsia="宋体" w:cs="宋体"/>
          <w:sz w:val="21"/>
          <w:szCs w:val="21"/>
        </w:rPr>
      </w:pPr>
      <w:bookmarkStart w:id="3" w:name="_Toc14113"/>
      <w:r>
        <w:rPr>
          <w:rFonts w:hint="eastAsia" w:ascii="宋体" w:hAnsi="宋体" w:eastAsia="宋体" w:cs="宋体"/>
          <w:sz w:val="21"/>
          <w:szCs w:val="21"/>
        </w:rPr>
        <w:t>试验</w:t>
      </w:r>
      <w:bookmarkEnd w:id="3"/>
    </w:p>
    <w:p>
      <w:pPr>
        <w:spacing w:line="360" w:lineRule="auto"/>
        <w:ind w:firstLine="420" w:firstLineChars="200"/>
        <w:rPr>
          <w:rFonts w:ascii="宋体" w:hAnsi="宋体" w:eastAsia="宋体" w:cs="宋体"/>
          <w:szCs w:val="21"/>
        </w:rPr>
      </w:pPr>
      <w:r>
        <w:rPr>
          <w:rFonts w:hint="eastAsia" w:ascii="宋体" w:hAnsi="宋体" w:eastAsia="宋体" w:cs="宋体"/>
          <w:szCs w:val="21"/>
        </w:rPr>
        <w:t>4.1试验通用要求</w:t>
      </w:r>
    </w:p>
    <w:p>
      <w:pPr>
        <w:spacing w:line="360" w:lineRule="auto"/>
        <w:ind w:firstLine="420" w:firstLineChars="200"/>
        <w:rPr>
          <w:rFonts w:ascii="宋体" w:hAnsi="宋体" w:eastAsia="宋体" w:cs="宋体"/>
          <w:szCs w:val="21"/>
        </w:rPr>
      </w:pPr>
      <w:r>
        <w:rPr>
          <w:rFonts w:hint="eastAsia" w:ascii="宋体" w:hAnsi="宋体" w:eastAsia="宋体" w:cs="宋体"/>
          <w:szCs w:val="21"/>
        </w:rPr>
        <w:t>4.1.1除特殊环境试验外，所有试验均在以下环境条件下进行：环境温度+15℃~+35℃，相对湿度45%~75%，大气压力</w:t>
      </w:r>
      <w:r>
        <w:rPr>
          <w:rFonts w:hint="eastAsia" w:ascii="宋体" w:hAnsi="宋体" w:eastAsia="宋体" w:cs="宋体"/>
          <w:szCs w:val="21"/>
          <w:lang w:val="en-US" w:eastAsia="zh-CN"/>
        </w:rPr>
        <w:t>80</w:t>
      </w:r>
      <w:r>
        <w:rPr>
          <w:rFonts w:hint="eastAsia" w:ascii="宋体" w:hAnsi="宋体" w:eastAsia="宋体" w:cs="宋体"/>
          <w:szCs w:val="21"/>
        </w:rPr>
        <w:t>kPa~106kPa，无强电磁干扰、无腐蚀性气体、无剧烈振动的环境。</w:t>
      </w:r>
    </w:p>
    <w:p>
      <w:pPr>
        <w:spacing w:line="360" w:lineRule="auto"/>
        <w:ind w:firstLine="420" w:firstLineChars="200"/>
        <w:rPr>
          <w:rFonts w:ascii="宋体" w:hAnsi="宋体" w:eastAsia="宋体" w:cs="宋体"/>
          <w:szCs w:val="21"/>
        </w:rPr>
      </w:pPr>
      <w:r>
        <w:rPr>
          <w:rFonts w:hint="eastAsia" w:ascii="宋体" w:hAnsi="宋体" w:eastAsia="宋体" w:cs="宋体"/>
          <w:szCs w:val="21"/>
        </w:rPr>
        <w:t>4.1.2测试仪器精度要求：电气参数测试仪器精度不低于0.2级，时间测试仪器采样率≥1GS/s、带宽≥100MHz，温度测试仪器精度±0.5℃。</w:t>
      </w:r>
    </w:p>
    <w:p>
      <w:pPr>
        <w:spacing w:line="360" w:lineRule="auto"/>
        <w:ind w:firstLine="420" w:firstLineChars="200"/>
        <w:rPr>
          <w:rFonts w:ascii="宋体" w:hAnsi="宋体" w:eastAsia="宋体" w:cs="宋体"/>
          <w:szCs w:val="21"/>
        </w:rPr>
      </w:pPr>
      <w:r>
        <w:rPr>
          <w:rFonts w:hint="eastAsia" w:ascii="宋体" w:hAnsi="宋体" w:eastAsia="宋体" w:cs="宋体"/>
          <w:szCs w:val="21"/>
        </w:rPr>
        <w:t>4.1.3投标方应提供具有国家认可资质的第三方检测机构出具的</w:t>
      </w:r>
      <w:r>
        <w:rPr>
          <w:rFonts w:hint="eastAsia" w:ascii="宋体" w:hAnsi="宋体" w:eastAsia="宋体" w:cs="宋体"/>
          <w:szCs w:val="21"/>
          <w:lang w:val="en-US" w:eastAsia="zh-CN"/>
        </w:rPr>
        <w:t>产品性能检测试验</w:t>
      </w:r>
      <w:r>
        <w:rPr>
          <w:rFonts w:hint="eastAsia" w:ascii="宋体" w:hAnsi="宋体" w:eastAsia="宋体" w:cs="宋体"/>
          <w:szCs w:val="21"/>
        </w:rPr>
        <w:t>报告，所有试验项目必须符合本规范书及相关国标要求。</w:t>
      </w:r>
    </w:p>
    <w:p>
      <w:pPr>
        <w:spacing w:line="360" w:lineRule="auto"/>
        <w:ind w:firstLine="420" w:firstLineChars="200"/>
        <w:rPr>
          <w:rFonts w:ascii="宋体" w:hAnsi="宋体" w:eastAsia="宋体" w:cs="宋体"/>
          <w:szCs w:val="21"/>
        </w:rPr>
      </w:pPr>
      <w:r>
        <w:rPr>
          <w:rFonts w:hint="eastAsia" w:ascii="宋体" w:hAnsi="宋体" w:eastAsia="宋体" w:cs="宋体"/>
          <w:szCs w:val="21"/>
        </w:rPr>
        <w:t>4.2</w:t>
      </w:r>
      <w:r>
        <w:rPr>
          <w:rFonts w:hint="eastAsia" w:ascii="宋体" w:hAnsi="宋体" w:eastAsia="宋体" w:cs="宋体"/>
          <w:szCs w:val="21"/>
          <w:lang w:val="en-US" w:eastAsia="zh-CN"/>
        </w:rPr>
        <w:t>产品性能检测</w:t>
      </w:r>
      <w:r>
        <w:rPr>
          <w:rFonts w:hint="eastAsia" w:ascii="宋体" w:hAnsi="宋体" w:eastAsia="宋体" w:cs="宋体"/>
          <w:szCs w:val="21"/>
        </w:rPr>
        <w:t>试验</w:t>
      </w:r>
    </w:p>
    <w:p>
      <w:pPr>
        <w:spacing w:line="360" w:lineRule="auto"/>
        <w:ind w:firstLine="420" w:firstLineChars="200"/>
        <w:rPr>
          <w:rStyle w:val="11"/>
          <w:rFonts w:ascii="宋体" w:hAnsi="宋体" w:eastAsia="宋体" w:cs="宋体"/>
          <w:color w:val="000000"/>
        </w:rPr>
      </w:pPr>
      <w:r>
        <w:rPr>
          <w:rStyle w:val="11"/>
          <w:rFonts w:hint="eastAsia" w:ascii="宋体" w:hAnsi="宋体" w:eastAsia="宋体" w:cs="宋体"/>
          <w:color w:val="000000"/>
        </w:rPr>
        <w:t>投标方应提供有相应资质的第三方检测机构出具的</w:t>
      </w:r>
      <w:r>
        <w:rPr>
          <w:rFonts w:hint="eastAsia" w:ascii="宋体" w:hAnsi="宋体" w:eastAsia="宋体" w:cs="宋体"/>
          <w:szCs w:val="21"/>
          <w:lang w:val="en-US" w:eastAsia="zh-CN"/>
        </w:rPr>
        <w:t>产品性能检测试验</w:t>
      </w:r>
      <w:r>
        <w:rPr>
          <w:rFonts w:hint="eastAsia" w:ascii="宋体" w:hAnsi="宋体" w:eastAsia="宋体" w:cs="宋体"/>
          <w:szCs w:val="21"/>
        </w:rPr>
        <w:t>报告</w:t>
      </w:r>
      <w:r>
        <w:rPr>
          <w:rStyle w:val="11"/>
          <w:rFonts w:hint="eastAsia" w:ascii="宋体" w:hAnsi="宋体" w:eastAsia="宋体" w:cs="宋体"/>
          <w:color w:val="000000"/>
        </w:rPr>
        <w:t>，试验的项目内容如下：</w:t>
      </w:r>
    </w:p>
    <w:p>
      <w:pPr>
        <w:spacing w:line="360" w:lineRule="auto"/>
        <w:ind w:firstLine="420" w:firstLineChars="200"/>
        <w:rPr>
          <w:rStyle w:val="11"/>
          <w:rFonts w:ascii="宋体" w:hAnsi="宋体" w:eastAsia="宋体" w:cs="宋体"/>
          <w:color w:val="000000"/>
        </w:rPr>
      </w:pPr>
      <w:r>
        <w:rPr>
          <w:rStyle w:val="11"/>
          <w:rFonts w:hint="eastAsia" w:ascii="宋体" w:hAnsi="宋体" w:cs="宋体"/>
          <w:color w:val="000000"/>
        </w:rPr>
        <w:t>4.2.1</w:t>
      </w:r>
      <w:r>
        <w:rPr>
          <w:rStyle w:val="11"/>
          <w:rFonts w:hint="eastAsia" w:ascii="宋体" w:hAnsi="宋体" w:eastAsia="宋体" w:cs="宋体"/>
          <w:color w:val="000000"/>
        </w:rPr>
        <w:t>结构及外观检查：目测。</w:t>
      </w:r>
    </w:p>
    <w:p>
      <w:pPr>
        <w:spacing w:line="360" w:lineRule="auto"/>
        <w:ind w:firstLine="420" w:firstLineChars="200"/>
        <w:rPr>
          <w:rStyle w:val="11"/>
          <w:rFonts w:ascii="宋体" w:hAnsi="宋体" w:eastAsia="宋体" w:cs="宋体"/>
          <w:color w:val="000000"/>
        </w:rPr>
      </w:pPr>
      <w:r>
        <w:rPr>
          <w:rStyle w:val="11"/>
          <w:rFonts w:hint="eastAsia" w:ascii="宋体" w:hAnsi="宋体" w:eastAsia="宋体" w:cs="宋体"/>
          <w:color w:val="000000"/>
        </w:rPr>
        <w:t>4.2.2通电检查：按检验规程通电后测试参数和性能。</w:t>
      </w:r>
    </w:p>
    <w:p>
      <w:pPr>
        <w:spacing w:line="360" w:lineRule="auto"/>
        <w:ind w:firstLine="420" w:firstLineChars="200"/>
        <w:rPr>
          <w:rStyle w:val="11"/>
          <w:rFonts w:ascii="宋体" w:hAnsi="宋体" w:eastAsia="宋体" w:cs="宋体"/>
          <w:color w:val="000000"/>
        </w:rPr>
      </w:pPr>
      <w:r>
        <w:rPr>
          <w:rStyle w:val="11"/>
          <w:rFonts w:hint="eastAsia" w:ascii="宋体" w:hAnsi="宋体" w:eastAsia="宋体" w:cs="宋体"/>
          <w:color w:val="000000"/>
        </w:rPr>
        <w:t>4.2.3电气间隙和爬电距离验证:按GB7251.1-2005标准验证。</w:t>
      </w:r>
    </w:p>
    <w:p>
      <w:pPr>
        <w:spacing w:line="360" w:lineRule="auto"/>
        <w:ind w:firstLine="420" w:firstLineChars="200"/>
        <w:rPr>
          <w:rStyle w:val="11"/>
          <w:rFonts w:ascii="宋体" w:hAnsi="宋体" w:eastAsia="宋体" w:cs="宋体"/>
          <w:color w:val="000000"/>
        </w:rPr>
      </w:pPr>
      <w:r>
        <w:rPr>
          <w:rStyle w:val="11"/>
          <w:rFonts w:hint="eastAsia" w:ascii="宋体" w:hAnsi="宋体" w:eastAsia="宋体" w:cs="宋体"/>
          <w:color w:val="000000"/>
        </w:rPr>
        <w:t>4.2.4电磁兼容检验:GB/T17626.2-2018电磁兼容试验和测量技术静电放电抗扰度试验。</w:t>
      </w:r>
    </w:p>
    <w:p>
      <w:pPr>
        <w:spacing w:line="360" w:lineRule="auto"/>
        <w:ind w:firstLine="420" w:firstLineChars="200"/>
        <w:rPr>
          <w:rStyle w:val="11"/>
          <w:rFonts w:ascii="宋体" w:hAnsi="宋体" w:eastAsia="宋体" w:cs="宋体"/>
          <w:color w:val="000000"/>
        </w:rPr>
      </w:pPr>
      <w:r>
        <w:rPr>
          <w:rStyle w:val="11"/>
          <w:rFonts w:hint="eastAsia" w:ascii="宋体" w:hAnsi="宋体" w:eastAsia="宋体" w:cs="宋体"/>
          <w:color w:val="000000"/>
        </w:rPr>
        <w:t>4.2.5绝缘性能检验：GB/T17626.8-2018电磁兼容试验和测量技术工频磁场抗扰度试验</w:t>
      </w:r>
    </w:p>
    <w:p>
      <w:pPr>
        <w:spacing w:line="360" w:lineRule="auto"/>
        <w:ind w:firstLine="420" w:firstLineChars="200"/>
        <w:rPr>
          <w:rFonts w:ascii="宋体" w:hAnsi="宋体" w:eastAsia="宋体" w:cs="宋体"/>
          <w:szCs w:val="21"/>
        </w:rPr>
      </w:pPr>
      <w:r>
        <w:rPr>
          <w:rStyle w:val="11"/>
          <w:rFonts w:hint="eastAsia" w:ascii="宋体" w:hAnsi="宋体" w:eastAsia="宋体" w:cs="宋体"/>
          <w:color w:val="000000"/>
        </w:rPr>
        <w:t>4.2.6机械性能检验:按</w:t>
      </w:r>
      <w:r>
        <w:rPr>
          <w:rFonts w:hint="eastAsia" w:ascii="宋体" w:hAnsi="宋体" w:eastAsia="宋体" w:cs="宋体"/>
          <w:szCs w:val="21"/>
        </w:rPr>
        <w:t>GB/T14048.11</w:t>
      </w:r>
      <w:r>
        <w:rPr>
          <w:rStyle w:val="11"/>
          <w:rFonts w:hint="eastAsia" w:ascii="宋体" w:hAnsi="宋体" w:eastAsia="宋体" w:cs="宋体"/>
          <w:color w:val="000000"/>
        </w:rPr>
        <w:t>标准试验。</w:t>
      </w:r>
    </w:p>
    <w:p>
      <w:pPr>
        <w:spacing w:line="360" w:lineRule="auto"/>
        <w:ind w:firstLine="420" w:firstLineChars="200"/>
        <w:rPr>
          <w:rFonts w:ascii="宋体" w:hAnsi="宋体" w:eastAsia="宋体" w:cs="宋体"/>
          <w:szCs w:val="21"/>
        </w:rPr>
      </w:pPr>
      <w:r>
        <w:rPr>
          <w:rFonts w:hint="eastAsia" w:ascii="宋体" w:hAnsi="宋体" w:eastAsia="宋体" w:cs="宋体"/>
          <w:szCs w:val="21"/>
        </w:rPr>
        <w:t>4.3出厂试验</w:t>
      </w:r>
    </w:p>
    <w:p>
      <w:pPr>
        <w:spacing w:line="360" w:lineRule="auto"/>
        <w:ind w:firstLine="420" w:firstLineChars="200"/>
        <w:rPr>
          <w:rFonts w:ascii="宋体" w:hAnsi="宋体" w:eastAsia="宋体" w:cs="宋体"/>
          <w:szCs w:val="21"/>
        </w:rPr>
      </w:pPr>
      <w:r>
        <w:rPr>
          <w:rFonts w:hint="eastAsia" w:ascii="宋体" w:hAnsi="宋体" w:eastAsia="宋体" w:cs="宋体"/>
          <w:szCs w:val="21"/>
        </w:rPr>
        <w:t>每台产品必须经制造厂质量检验部门逐台检验合格，附带产品合格证后方可出厂，出厂检验项目全部合格判定为合格品；任意一项不合格，允许返修后复检，复检仍不合格，判定为不合格品，严禁出厂。</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出厂试验项目如下：</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外观与结构检查；</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三重联锁性能试验；</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手动/电动操作性能试验；</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协同转换逻辑与基本功能验证；</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暂态转换功能测试；</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绝缘电阻测量；</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工频介电性能试验；</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标志检查。</w:t>
      </w:r>
    </w:p>
    <w:p>
      <w:pPr>
        <w:spacing w:line="360" w:lineRule="auto"/>
        <w:ind w:firstLine="420" w:firstLineChars="200"/>
        <w:rPr>
          <w:rFonts w:ascii="宋体" w:hAnsi="宋体" w:eastAsia="宋体" w:cs="宋体"/>
          <w:szCs w:val="21"/>
        </w:rPr>
      </w:pPr>
      <w:r>
        <w:rPr>
          <w:rFonts w:hint="eastAsia" w:ascii="宋体" w:hAnsi="宋体" w:eastAsia="宋体" w:cs="宋体"/>
          <w:szCs w:val="21"/>
        </w:rPr>
        <w:t>4.4交货（现场交接）试验</w:t>
      </w:r>
    </w:p>
    <w:p>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合同设备交付采购方后，应按照本规范书及相关标准进行现场交接试验，试验由供需双方共同参与见证。</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现场交接试验</w:t>
      </w:r>
      <w:r>
        <w:rPr>
          <w:rFonts w:hint="eastAsia" w:ascii="宋体" w:hAnsi="宋体" w:eastAsia="宋体" w:cs="宋体"/>
          <w:szCs w:val="21"/>
          <w:highlight w:val="none"/>
          <w:lang w:eastAsia="zh-CN"/>
        </w:rPr>
        <w:t>：</w:t>
      </w:r>
      <w:r>
        <w:rPr>
          <w:rFonts w:hint="eastAsia" w:ascii="宋体" w:hAnsi="宋体" w:eastAsia="宋体" w:cs="宋体"/>
          <w:szCs w:val="21"/>
          <w:highlight w:val="none"/>
        </w:rPr>
        <w:t>结构及外观检查、通电操作检查、转换功能测试、绝缘</w:t>
      </w:r>
      <w:r>
        <w:rPr>
          <w:rFonts w:hint="eastAsia" w:ascii="宋体" w:hAnsi="宋体" w:eastAsia="宋体" w:cs="宋体"/>
          <w:szCs w:val="21"/>
          <w:highlight w:val="none"/>
          <w:lang w:val="en-US" w:eastAsia="zh-CN"/>
        </w:rPr>
        <w:t>电阻测试、工频介电性能试验</w:t>
      </w:r>
      <w:r>
        <w:rPr>
          <w:rFonts w:hint="eastAsia" w:ascii="宋体" w:hAnsi="宋体" w:eastAsia="宋体" w:cs="宋体"/>
          <w:szCs w:val="21"/>
          <w:highlight w:val="none"/>
        </w:rPr>
        <w:t>；</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现场交接试验不合格者，</w:t>
      </w:r>
      <w:r>
        <w:rPr>
          <w:rFonts w:hint="eastAsia" w:ascii="宋体" w:hAnsi="宋体" w:eastAsia="宋体" w:cs="宋体"/>
          <w:szCs w:val="21"/>
          <w:highlight w:val="none"/>
          <w:lang w:eastAsia="zh-CN"/>
        </w:rPr>
        <w:t>准许供货方返厂整改，</w:t>
      </w:r>
      <w:r>
        <w:rPr>
          <w:rFonts w:hint="eastAsia" w:ascii="宋体" w:hAnsi="宋体" w:eastAsia="宋体" w:cs="宋体"/>
          <w:color w:val="auto"/>
          <w:kern w:val="0"/>
          <w:szCs w:val="21"/>
          <w:highlight w:val="none"/>
        </w:rPr>
        <w:t>三次</w:t>
      </w:r>
      <w:r>
        <w:rPr>
          <w:rFonts w:hint="eastAsia" w:ascii="宋体" w:hAnsi="宋体" w:eastAsia="宋体" w:cs="宋体"/>
          <w:color w:val="auto"/>
          <w:kern w:val="0"/>
          <w:szCs w:val="21"/>
          <w:highlight w:val="none"/>
          <w:lang w:eastAsia="zh-CN"/>
        </w:rPr>
        <w:t>试验</w:t>
      </w:r>
      <w:r>
        <w:rPr>
          <w:rFonts w:hint="eastAsia" w:ascii="宋体" w:hAnsi="宋体" w:eastAsia="宋体" w:cs="宋体"/>
          <w:color w:val="auto"/>
          <w:kern w:val="0"/>
          <w:szCs w:val="21"/>
          <w:highlight w:val="none"/>
        </w:rPr>
        <w:t>均未能达到合同约定的技术性能考核指标，则买卖双方应就合同的后续履行进行协商，协商不成的，买方有权解除合同</w:t>
      </w:r>
      <w:r>
        <w:rPr>
          <w:rFonts w:hint="eastAsia" w:ascii="宋体" w:hAnsi="宋体" w:eastAsia="宋体" w:cs="宋体"/>
          <w:szCs w:val="21"/>
          <w:highlight w:val="none"/>
        </w:rPr>
        <w:t>；</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采购方可根据现场运行需求，将到货产品送至权威检验机构抽检相关性能，对性能无法满足技术要求及响应值的设备，</w:t>
      </w:r>
      <w:r>
        <w:rPr>
          <w:rFonts w:hint="eastAsia" w:ascii="宋体" w:hAnsi="宋体" w:eastAsia="宋体" w:cs="宋体"/>
          <w:szCs w:val="21"/>
          <w:highlight w:val="none"/>
          <w:lang w:val="en-US" w:eastAsia="zh-CN"/>
        </w:rPr>
        <w:t>返厂整改后</w:t>
      </w:r>
      <w:bookmarkStart w:id="5" w:name="_GoBack"/>
      <w:bookmarkEnd w:id="5"/>
      <w:r>
        <w:rPr>
          <w:rFonts w:hint="eastAsia" w:ascii="宋体" w:hAnsi="宋体" w:eastAsia="宋体" w:cs="宋体"/>
          <w:szCs w:val="21"/>
          <w:highlight w:val="none"/>
          <w:lang w:val="en-US" w:eastAsia="zh-CN"/>
        </w:rPr>
        <w:t>继续检测，对于三次仍无法满足技术要求</w:t>
      </w:r>
      <w:r>
        <w:rPr>
          <w:rFonts w:hint="eastAsia" w:ascii="宋体" w:hAnsi="宋体" w:eastAsia="宋体" w:cs="宋体"/>
          <w:color w:val="auto"/>
          <w:kern w:val="0"/>
          <w:szCs w:val="21"/>
          <w:highlight w:val="none"/>
        </w:rPr>
        <w:t>，则买卖双方应就合同的后续履行进行协商，协商不成的，买方有权解除合同。</w:t>
      </w:r>
    </w:p>
    <w:p>
      <w:pPr>
        <w:pStyle w:val="2"/>
        <w:numPr>
          <w:ilvl w:val="0"/>
          <w:numId w:val="1"/>
        </w:numPr>
        <w:rPr>
          <w:rFonts w:ascii="宋体" w:hAnsi="宋体" w:eastAsia="宋体" w:cs="宋体"/>
          <w:sz w:val="21"/>
          <w:szCs w:val="21"/>
        </w:rPr>
      </w:pPr>
      <w:bookmarkStart w:id="4" w:name="_Toc20706"/>
      <w:r>
        <w:rPr>
          <w:rFonts w:hint="eastAsia" w:ascii="宋体" w:hAnsi="宋体" w:eastAsia="宋体" w:cs="宋体"/>
          <w:sz w:val="21"/>
          <w:szCs w:val="21"/>
        </w:rPr>
        <w:t>质量保证及管理</w:t>
      </w:r>
      <w:bookmarkEnd w:id="4"/>
    </w:p>
    <w:p>
      <w:pPr>
        <w:spacing w:line="360" w:lineRule="auto"/>
        <w:ind w:firstLine="420" w:firstLineChars="200"/>
        <w:rPr>
          <w:rStyle w:val="11"/>
          <w:rFonts w:ascii="宋体" w:hAnsi="宋体" w:eastAsia="宋体" w:cs="宋体"/>
          <w:color w:val="000000"/>
        </w:rPr>
      </w:pPr>
      <w:r>
        <w:rPr>
          <w:rStyle w:val="11"/>
          <w:rFonts w:hint="eastAsia" w:ascii="宋体" w:hAnsi="宋体" w:eastAsia="宋体" w:cs="宋体"/>
          <w:color w:val="000000"/>
        </w:rPr>
        <w:t>5.1供货方应保证其提供的产品及其附件是全新的，未使用过的，采用的是优质材料和先进工艺。供货方应保证在质保期内，由于供货方设计、材料或工艺的原因所造成的缺陷或故障，供货方应立即免费负责修理或更换有缺陷的零部件或整机。</w:t>
      </w:r>
    </w:p>
    <w:p>
      <w:pPr>
        <w:spacing w:line="360" w:lineRule="auto"/>
        <w:ind w:firstLine="420" w:firstLineChars="200"/>
        <w:rPr>
          <w:rStyle w:val="11"/>
          <w:rFonts w:ascii="宋体" w:hAnsi="宋体" w:eastAsia="宋体" w:cs="宋体"/>
          <w:color w:val="000000"/>
        </w:rPr>
      </w:pPr>
      <w:r>
        <w:rPr>
          <w:rStyle w:val="11"/>
          <w:rFonts w:hint="eastAsia" w:ascii="宋体" w:hAnsi="宋体" w:eastAsia="宋体" w:cs="宋体"/>
          <w:color w:val="000000"/>
        </w:rPr>
        <w:t>5.2承诺提供的设备必须是全新且功能满足技术规范书要求，应满足作为一套完整产品所能满足的全部要求，并提供试验报告和产品合格证。</w:t>
      </w:r>
    </w:p>
    <w:p>
      <w:pPr>
        <w:spacing w:line="360" w:lineRule="auto"/>
        <w:ind w:firstLine="420" w:firstLineChars="200"/>
        <w:rPr>
          <w:rStyle w:val="11"/>
          <w:rFonts w:ascii="宋体" w:hAnsi="宋体" w:eastAsia="宋体" w:cs="宋体"/>
          <w:color w:val="000000"/>
        </w:rPr>
      </w:pPr>
      <w:r>
        <w:rPr>
          <w:rStyle w:val="11"/>
          <w:rFonts w:hint="eastAsia" w:ascii="宋体" w:hAnsi="宋体" w:eastAsia="宋体" w:cs="宋体"/>
          <w:color w:val="000000"/>
        </w:rPr>
        <w:t>5.3承诺对提供的设备在到货后</w:t>
      </w:r>
      <w:r>
        <w:rPr>
          <w:rStyle w:val="11"/>
          <w:rFonts w:hint="eastAsia" w:ascii="宋体" w:hAnsi="宋体" w:eastAsia="宋体" w:cs="宋体"/>
        </w:rPr>
        <w:t>质保3年，维修响应48小时（偏远地区72小时）</w:t>
      </w:r>
      <w:r>
        <w:rPr>
          <w:rStyle w:val="11"/>
          <w:rFonts w:hint="eastAsia" w:ascii="宋体" w:hAnsi="宋体" w:eastAsia="宋体" w:cs="宋体"/>
          <w:color w:val="000000"/>
        </w:rPr>
        <w:t>。</w:t>
      </w:r>
    </w:p>
    <w:p>
      <w:pPr>
        <w:spacing w:line="360" w:lineRule="auto"/>
        <w:ind w:firstLine="420" w:firstLineChars="200"/>
        <w:rPr>
          <w:rStyle w:val="11"/>
          <w:rFonts w:ascii="宋体" w:hAnsi="宋体" w:eastAsia="宋体" w:cs="宋体"/>
          <w:color w:val="000000"/>
        </w:rPr>
      </w:pPr>
      <w:r>
        <w:rPr>
          <w:rStyle w:val="11"/>
          <w:rFonts w:hint="eastAsia" w:ascii="宋体" w:hAnsi="宋体" w:eastAsia="宋体" w:cs="宋体"/>
          <w:color w:val="000000"/>
        </w:rPr>
        <w:t>5.4在质保期内，凡属设备质量问题造成零部件及原器件损坏的，均由投标方负责免费维修，对于不能修复的设备，由投标方负责更换，质保期内的任何费用均包含在投标总价中，不再另计。</w:t>
      </w:r>
    </w:p>
    <w:p>
      <w:pPr>
        <w:spacing w:line="360" w:lineRule="auto"/>
        <w:ind w:firstLine="420" w:firstLineChars="200"/>
        <w:rPr>
          <w:rStyle w:val="11"/>
          <w:rFonts w:ascii="宋体" w:hAnsi="宋体" w:eastAsia="宋体" w:cs="宋体"/>
          <w:color w:val="000000"/>
        </w:rPr>
      </w:pPr>
      <w:r>
        <w:rPr>
          <w:rStyle w:val="11"/>
          <w:rFonts w:hint="eastAsia" w:ascii="宋体" w:hAnsi="宋体" w:eastAsia="宋体" w:cs="宋体"/>
          <w:color w:val="000000"/>
        </w:rPr>
        <w:t>5.5若提供的设备任何一部分出现故障，承诺自接到电话2小时内给予电话答复，48小时内赶到设备所在地对设备进行维修，提供及时周到的服务。由于供货方设计、材料或工艺的原因所造成的缺陷或故障，供货方应在保修期内免费负责修理或更换有缺陷的零部件或整机。</w:t>
      </w:r>
    </w:p>
    <w:p>
      <w:pPr>
        <w:tabs>
          <w:tab w:val="left" w:pos="720"/>
        </w:tabs>
        <w:spacing w:line="360" w:lineRule="auto"/>
        <w:ind w:firstLine="420" w:firstLineChars="200"/>
        <w:jc w:val="left"/>
        <w:rPr>
          <w:rStyle w:val="11"/>
          <w:rFonts w:ascii="宋体" w:hAnsi="宋体" w:eastAsia="宋体" w:cs="宋体"/>
        </w:rPr>
      </w:pPr>
      <w:r>
        <w:rPr>
          <w:rStyle w:val="11"/>
          <w:rFonts w:hint="eastAsia" w:ascii="宋体" w:hAnsi="宋体" w:eastAsia="宋体" w:cs="宋体"/>
          <w:color w:val="000000"/>
        </w:rPr>
        <w:t>5.6现场培训：承诺提供至少</w:t>
      </w:r>
      <w:r>
        <w:rPr>
          <w:rStyle w:val="11"/>
          <w:rFonts w:hint="eastAsia" w:ascii="宋体" w:hAnsi="宋体" w:eastAsia="宋体" w:cs="宋体"/>
          <w:color w:val="000000"/>
          <w:lang w:val="en-US" w:eastAsia="zh-CN"/>
        </w:rPr>
        <w:t>3</w:t>
      </w:r>
      <w:r>
        <w:rPr>
          <w:rStyle w:val="11"/>
          <w:rFonts w:hint="eastAsia" w:ascii="宋体" w:hAnsi="宋体" w:eastAsia="宋体" w:cs="宋体"/>
          <w:color w:val="000000"/>
        </w:rPr>
        <w:t>次，每次不少于4小时的现场培训。</w:t>
      </w:r>
    </w:p>
    <w:p>
      <w:pPr>
        <w:spacing w:line="360" w:lineRule="auto"/>
        <w:ind w:firstLine="420" w:firstLineChars="200"/>
        <w:rPr>
          <w:rFonts w:ascii="宋体" w:hAnsi="宋体" w:eastAsia="宋体" w:cs="宋体"/>
          <w:szCs w:val="21"/>
        </w:rPr>
      </w:pPr>
      <w:r>
        <w:rPr>
          <w:rStyle w:val="11"/>
          <w:rFonts w:hint="eastAsia" w:ascii="宋体" w:hAnsi="宋体" w:eastAsia="宋体" w:cs="宋体"/>
          <w:color w:val="000000"/>
        </w:rPr>
        <w:t>5.7投标方承诺的供货周期（自然日）应在合同签订60天内。</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EU-F1">
    <w:altName w:val="黑体"/>
    <w:panose1 w:val="00000000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F5C8073"/>
    <w:multiLevelType w:val="multilevel"/>
    <w:tmpl w:val="7F5C8073"/>
    <w:lvl w:ilvl="0" w:tentative="0">
      <w:start w:val="1"/>
      <w:numFmt w:val="decimal"/>
      <w:lvlText w:val="%1."/>
      <w:lvlJc w:val="left"/>
      <w:pPr>
        <w:ind w:left="425" w:hanging="425"/>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E17"/>
    <w:rsid w:val="001E51AC"/>
    <w:rsid w:val="00311E17"/>
    <w:rsid w:val="009613E4"/>
    <w:rsid w:val="00B95EE8"/>
    <w:rsid w:val="00BB78F4"/>
    <w:rsid w:val="045A724E"/>
    <w:rsid w:val="0ADB7E86"/>
    <w:rsid w:val="0BDC0F27"/>
    <w:rsid w:val="10873A68"/>
    <w:rsid w:val="12F77991"/>
    <w:rsid w:val="1E872414"/>
    <w:rsid w:val="2F261FA1"/>
    <w:rsid w:val="36BF3224"/>
    <w:rsid w:val="3B0B5C3A"/>
    <w:rsid w:val="40E52A0C"/>
    <w:rsid w:val="49007E0B"/>
    <w:rsid w:val="4B4649C8"/>
    <w:rsid w:val="4FE80CE1"/>
    <w:rsid w:val="5B535AE2"/>
    <w:rsid w:val="6CF945B2"/>
    <w:rsid w:val="787F3E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3"/>
    <w:qFormat/>
    <w:uiPriority w:val="0"/>
    <w:pPr>
      <w:jc w:val="left"/>
    </w:pPr>
  </w:style>
  <w:style w:type="paragraph" w:styleId="4">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5">
    <w:name w:val="toc 1"/>
    <w:basedOn w:val="1"/>
    <w:next w:val="1"/>
    <w:qFormat/>
    <w:uiPriority w:val="0"/>
  </w:style>
  <w:style w:type="paragraph" w:styleId="6">
    <w:name w:val="annotation subject"/>
    <w:basedOn w:val="3"/>
    <w:next w:val="3"/>
    <w:link w:val="14"/>
    <w:qFormat/>
    <w:uiPriority w:val="0"/>
    <w:rPr>
      <w:b/>
      <w:bCs/>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qFormat/>
    <w:uiPriority w:val="0"/>
    <w:rPr>
      <w:sz w:val="21"/>
      <w:szCs w:val="21"/>
    </w:rPr>
  </w:style>
  <w:style w:type="character" w:customStyle="1" w:styleId="11">
    <w:name w:val="zt Char Char"/>
    <w:link w:val="12"/>
    <w:qFormat/>
    <w:uiPriority w:val="0"/>
    <w:rPr>
      <w:rFonts w:ascii="EU-F1" w:hAnsi="Times New Roman" w:eastAsia="EU-F1" w:cs="Times New Roman"/>
      <w:bCs/>
      <w:szCs w:val="21"/>
    </w:rPr>
  </w:style>
  <w:style w:type="paragraph" w:customStyle="1" w:styleId="12">
    <w:name w:val="zt"/>
    <w:basedOn w:val="1"/>
    <w:link w:val="11"/>
    <w:qFormat/>
    <w:uiPriority w:val="0"/>
    <w:pPr>
      <w:overflowPunct w:val="0"/>
      <w:spacing w:line="312" w:lineRule="exact"/>
    </w:pPr>
    <w:rPr>
      <w:rFonts w:ascii="EU-F1" w:hAnsi="Times New Roman" w:eastAsia="EU-F1" w:cs="Times New Roman"/>
      <w:bCs/>
      <w:szCs w:val="21"/>
    </w:rPr>
  </w:style>
  <w:style w:type="character" w:customStyle="1" w:styleId="13">
    <w:name w:val="批注文字 字符"/>
    <w:basedOn w:val="9"/>
    <w:link w:val="3"/>
    <w:qFormat/>
    <w:uiPriority w:val="0"/>
    <w:rPr>
      <w:kern w:val="2"/>
      <w:sz w:val="21"/>
      <w:szCs w:val="24"/>
    </w:rPr>
  </w:style>
  <w:style w:type="character" w:customStyle="1" w:styleId="14">
    <w:name w:val="批注主题 字符"/>
    <w:basedOn w:val="13"/>
    <w:link w:val="6"/>
    <w:qFormat/>
    <w:uiPriority w:val="0"/>
    <w:rPr>
      <w:b/>
      <w:bCs/>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6644</Words>
  <Characters>7636</Characters>
  <Lines>62</Lines>
  <Paragraphs>17</Paragraphs>
  <TotalTime>36</TotalTime>
  <ScaleCrop>false</ScaleCrop>
  <LinksUpToDate>false</LinksUpToDate>
  <CharactersWithSpaces>7963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2026-03-08T01:43:00Z</dcterms:created>
  <dc:creator>LENOVO</dc:creator>
  <cp:lastModifiedBy>李志军</cp:lastModifiedBy>
  <dcterms:modified xsi:type="dcterms:W3CDTF">2026-04-20T06:41:26Z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eyJoZGlkIjoiOWJhOTFiODNlYTMzMDMzN2VhZGQ4MDIzMjkwZTE0ODEiLCJ1c2VySWQiOiI1NjMzNTY1NDQifQ==</vt:lpwstr>
  </property>
  <property fmtid="{D5CDD505-2E9C-101B-9397-08002B2CF9AE}" pid="4" name="ICV">
    <vt:lpwstr>A3DB6E2F95644404A4809A712A84D915</vt:lpwstr>
  </property>
</Properties>
</file>