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uppressAutoHyphens/>
        <w:bidi w:val="0"/>
        <w:spacing w:before="0" w:after="0"/>
        <w:ind w:firstLine="0" w:firstLineChars="0"/>
        <w:jc w:val="center"/>
        <w:rPr>
          <w:rFonts w:hAnsi="宋体" w:cs="宋体"/>
          <w:color w:val="auto"/>
          <w:sz w:val="44"/>
          <w:szCs w:val="44"/>
          <w:highlight w:val="none"/>
        </w:rPr>
      </w:pPr>
      <w:r>
        <w:rPr>
          <w:rFonts w:ascii="黑体" w:hAnsi="黑体" w:eastAsia="黑体"/>
          <w:b/>
          <w:color w:val="auto"/>
          <w:sz w:val="48"/>
          <w:szCs w:val="48"/>
          <w:highlight w:val="none"/>
        </w:rPr>
        <w:drawing>
          <wp:anchor distT="0" distB="0" distL="114300" distR="114300" simplePos="0" relativeHeight="251659264" behindDoc="0" locked="0" layoutInCell="1" allowOverlap="1">
            <wp:simplePos x="0" y="0"/>
            <wp:positionH relativeFrom="column">
              <wp:posOffset>-1141095</wp:posOffset>
            </wp:positionH>
            <wp:positionV relativeFrom="paragraph">
              <wp:posOffset>-914400</wp:posOffset>
            </wp:positionV>
            <wp:extent cx="7718425" cy="2593340"/>
            <wp:effectExtent l="0" t="0" r="15875" b="16510"/>
            <wp:wrapNone/>
            <wp:docPr id="2" name="图片 7"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descr="模板-3"/>
                    <pic:cNvPicPr>
                      <a:picLocks noChangeAspect="1"/>
                    </pic:cNvPicPr>
                  </pic:nvPicPr>
                  <pic:blipFill>
                    <a:blip r:embed="rId8"/>
                    <a:stretch>
                      <a:fillRect/>
                    </a:stretch>
                  </pic:blipFill>
                  <pic:spPr>
                    <a:xfrm>
                      <a:off x="0" y="0"/>
                      <a:ext cx="7718425" cy="2593340"/>
                    </a:xfrm>
                    <a:prstGeom prst="rect">
                      <a:avLst/>
                    </a:prstGeom>
                    <a:noFill/>
                    <a:ln>
                      <a:noFill/>
                    </a:ln>
                  </pic:spPr>
                </pic:pic>
              </a:graphicData>
            </a:graphic>
          </wp:anchor>
        </w:drawing>
      </w:r>
    </w:p>
    <w:p>
      <w:pPr>
        <w:suppressAutoHyphens/>
        <w:bidi w:val="0"/>
        <w:spacing w:before="0" w:after="0"/>
        <w:ind w:firstLine="0" w:firstLineChars="0"/>
        <w:jc w:val="center"/>
        <w:rPr>
          <w:rFonts w:hAnsi="宋体" w:cs="宋体"/>
          <w:color w:val="auto"/>
          <w:sz w:val="44"/>
          <w:szCs w:val="44"/>
          <w:highlight w:val="none"/>
        </w:rPr>
      </w:pPr>
    </w:p>
    <w:p>
      <w:pPr>
        <w:suppressAutoHyphens/>
        <w:bidi w:val="0"/>
        <w:spacing w:before="0" w:after="0"/>
        <w:ind w:firstLine="0" w:firstLineChars="0"/>
        <w:jc w:val="center"/>
        <w:rPr>
          <w:rFonts w:hAnsi="宋体" w:cs="宋体"/>
          <w:color w:val="auto"/>
          <w:sz w:val="44"/>
          <w:szCs w:val="44"/>
          <w:highlight w:val="none"/>
        </w:rPr>
      </w:pPr>
    </w:p>
    <w:p>
      <w:pPr>
        <w:suppressAutoHyphens/>
        <w:bidi w:val="0"/>
        <w:spacing w:before="0" w:after="0"/>
        <w:ind w:firstLine="0" w:firstLineChars="0"/>
        <w:jc w:val="center"/>
        <w:rPr>
          <w:rFonts w:hAnsi="宋体" w:cs="宋体"/>
          <w:color w:val="auto"/>
          <w:sz w:val="44"/>
          <w:szCs w:val="44"/>
          <w:highlight w:val="none"/>
        </w:rPr>
      </w:pPr>
    </w:p>
    <w:p>
      <w:pPr>
        <w:keepNext w:val="0"/>
        <w:keepLines w:val="0"/>
        <w:pageBreakBefore w:val="0"/>
        <w:widowControl w:val="0"/>
        <w:suppressAutoHyphens/>
        <w:kinsoku/>
        <w:wordWrap/>
        <w:overflowPunct/>
        <w:topLinePunct w:val="0"/>
        <w:autoSpaceDE/>
        <w:autoSpaceDN/>
        <w:bidi w:val="0"/>
        <w:adjustRightInd/>
        <w:snapToGrid/>
        <w:spacing w:before="0" w:after="0"/>
        <w:ind w:firstLine="0" w:firstLineChars="0"/>
        <w:jc w:val="center"/>
        <w:textAlignment w:val="auto"/>
        <w:rPr>
          <w:rFonts w:hint="eastAsia" w:ascii="宋体" w:hAnsi="宋体" w:eastAsia="宋体" w:cs="宋体"/>
          <w:b/>
          <w:color w:val="auto"/>
          <w:sz w:val="44"/>
          <w:szCs w:val="44"/>
          <w:highlight w:val="none"/>
          <w:lang w:val="en-US" w:eastAsia="zh-CN"/>
        </w:rPr>
      </w:pPr>
    </w:p>
    <w:p>
      <w:pPr>
        <w:keepNext w:val="0"/>
        <w:keepLines w:val="0"/>
        <w:pageBreakBefore w:val="0"/>
        <w:widowControl w:val="0"/>
        <w:suppressAutoHyphens/>
        <w:kinsoku/>
        <w:wordWrap/>
        <w:overflowPunct/>
        <w:topLinePunct w:val="0"/>
        <w:autoSpaceDE/>
        <w:autoSpaceDN/>
        <w:bidi w:val="0"/>
        <w:adjustRightInd/>
        <w:snapToGrid/>
        <w:spacing w:before="0" w:after="0"/>
        <w:ind w:firstLine="0" w:firstLineChars="0"/>
        <w:jc w:val="center"/>
        <w:textAlignment w:val="auto"/>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t>桂林培训评价基地（卧佛）2026年UPS电源屏柜购置</w:t>
      </w:r>
      <w:r>
        <w:rPr>
          <w:rFonts w:hint="eastAsia" w:cs="宋体"/>
          <w:b/>
          <w:color w:val="auto"/>
          <w:sz w:val="44"/>
          <w:szCs w:val="44"/>
          <w:highlight w:val="none"/>
          <w:lang w:val="en-US" w:eastAsia="zh-CN"/>
        </w:rPr>
        <w:t>—屏柜</w:t>
      </w:r>
      <w:r>
        <w:rPr>
          <w:rFonts w:hint="eastAsia" w:ascii="宋体" w:hAnsi="宋体" w:eastAsia="宋体" w:cs="宋体"/>
          <w:b/>
          <w:color w:val="auto"/>
          <w:sz w:val="44"/>
          <w:szCs w:val="44"/>
          <w:highlight w:val="none"/>
          <w:lang w:val="en-US" w:eastAsia="zh-CN"/>
        </w:rPr>
        <w:t>技术规范书</w:t>
      </w:r>
    </w:p>
    <w:p>
      <w:pPr>
        <w:keepNext w:val="0"/>
        <w:keepLines w:val="0"/>
        <w:pageBreakBefore w:val="0"/>
        <w:widowControl w:val="0"/>
        <w:suppressAutoHyphens/>
        <w:kinsoku/>
        <w:wordWrap/>
        <w:overflowPunct/>
        <w:topLinePunct w:val="0"/>
        <w:autoSpaceDE/>
        <w:autoSpaceDN/>
        <w:bidi w:val="0"/>
        <w:adjustRightInd/>
        <w:snapToGrid/>
        <w:spacing w:before="0" w:after="0"/>
        <w:ind w:firstLine="0" w:firstLineChars="0"/>
        <w:jc w:val="center"/>
        <w:textAlignment w:val="auto"/>
        <w:rPr>
          <w:rFonts w:hint="eastAsia" w:ascii="宋体" w:hAnsi="宋体" w:eastAsia="宋体" w:cs="宋体"/>
          <w:b/>
          <w:color w:val="auto"/>
          <w:sz w:val="44"/>
          <w:szCs w:val="44"/>
          <w:highlight w:val="none"/>
          <w:lang w:val="en-US" w:eastAsia="zh-CN"/>
        </w:rPr>
      </w:pPr>
    </w:p>
    <w:p>
      <w:pPr>
        <w:keepNext w:val="0"/>
        <w:keepLines w:val="0"/>
        <w:pageBreakBefore w:val="0"/>
        <w:widowControl w:val="0"/>
        <w:suppressAutoHyphens/>
        <w:kinsoku/>
        <w:wordWrap/>
        <w:overflowPunct/>
        <w:topLinePunct w:val="0"/>
        <w:autoSpaceDE/>
        <w:autoSpaceDN/>
        <w:bidi w:val="0"/>
        <w:adjustRightInd/>
        <w:snapToGrid/>
        <w:spacing w:before="0" w:after="0"/>
        <w:ind w:firstLine="0" w:firstLineChars="0"/>
        <w:jc w:val="center"/>
        <w:textAlignment w:val="auto"/>
        <w:rPr>
          <w:rFonts w:hint="eastAsia" w:ascii="宋体" w:hAnsi="宋体" w:eastAsia="宋体" w:cs="宋体"/>
          <w:b/>
          <w:color w:val="auto"/>
          <w:sz w:val="44"/>
          <w:szCs w:val="44"/>
          <w:highlight w:val="none"/>
          <w:lang w:val="en-US" w:eastAsia="zh-CN"/>
        </w:rPr>
      </w:pPr>
    </w:p>
    <w:p>
      <w:pPr>
        <w:keepNext w:val="0"/>
        <w:keepLines w:val="0"/>
        <w:pageBreakBefore w:val="0"/>
        <w:widowControl w:val="0"/>
        <w:suppressAutoHyphens/>
        <w:kinsoku/>
        <w:wordWrap/>
        <w:overflowPunct/>
        <w:topLinePunct w:val="0"/>
        <w:autoSpaceDE/>
        <w:autoSpaceDN/>
        <w:bidi w:val="0"/>
        <w:adjustRightInd/>
        <w:snapToGrid/>
        <w:spacing w:before="0" w:after="0"/>
        <w:ind w:firstLine="0" w:firstLineChars="0"/>
        <w:jc w:val="center"/>
        <w:textAlignment w:val="auto"/>
        <w:rPr>
          <w:rFonts w:hint="eastAsia" w:ascii="宋体" w:hAnsi="宋体" w:eastAsia="宋体" w:cs="宋体"/>
          <w:b/>
          <w:color w:val="auto"/>
          <w:sz w:val="44"/>
          <w:szCs w:val="44"/>
          <w:highlight w:val="none"/>
          <w:lang w:val="en-US" w:eastAsia="zh-CN"/>
        </w:rPr>
      </w:pPr>
    </w:p>
    <w:p>
      <w:pPr>
        <w:keepNext w:val="0"/>
        <w:keepLines w:val="0"/>
        <w:pageBreakBefore w:val="0"/>
        <w:widowControl w:val="0"/>
        <w:suppressAutoHyphens/>
        <w:kinsoku/>
        <w:wordWrap/>
        <w:overflowPunct/>
        <w:topLinePunct w:val="0"/>
        <w:autoSpaceDE/>
        <w:autoSpaceDN/>
        <w:bidi w:val="0"/>
        <w:adjustRightInd/>
        <w:snapToGrid/>
        <w:spacing w:before="0" w:after="0"/>
        <w:ind w:firstLine="0" w:firstLineChars="0"/>
        <w:jc w:val="center"/>
        <w:textAlignment w:val="auto"/>
        <w:rPr>
          <w:rFonts w:hint="eastAsia" w:ascii="宋体" w:hAnsi="宋体" w:eastAsia="宋体" w:cs="宋体"/>
          <w:b/>
          <w:color w:val="auto"/>
          <w:sz w:val="44"/>
          <w:szCs w:val="44"/>
          <w:highlight w:val="none"/>
          <w:lang w:val="en-US" w:eastAsia="zh-CN"/>
        </w:rPr>
      </w:pPr>
    </w:p>
    <w:p>
      <w:pPr>
        <w:keepNext w:val="0"/>
        <w:keepLines w:val="0"/>
        <w:pageBreakBefore w:val="0"/>
        <w:widowControl w:val="0"/>
        <w:suppressAutoHyphens/>
        <w:kinsoku/>
        <w:wordWrap/>
        <w:overflowPunct/>
        <w:topLinePunct w:val="0"/>
        <w:autoSpaceDE/>
        <w:autoSpaceDN/>
        <w:bidi w:val="0"/>
        <w:adjustRightInd/>
        <w:snapToGrid/>
        <w:spacing w:before="0" w:after="0"/>
        <w:ind w:firstLine="0" w:firstLineChars="0"/>
        <w:jc w:val="center"/>
        <w:textAlignment w:val="auto"/>
        <w:rPr>
          <w:rFonts w:hint="eastAsia" w:ascii="宋体" w:hAnsi="宋体" w:eastAsia="宋体" w:cs="宋体"/>
          <w:b/>
          <w:color w:val="auto"/>
          <w:sz w:val="44"/>
          <w:szCs w:val="44"/>
          <w:highlight w:val="none"/>
          <w:lang w:val="en-US" w:eastAsia="zh-CN"/>
        </w:rPr>
      </w:pPr>
    </w:p>
    <w:p>
      <w:pPr>
        <w:keepNext w:val="0"/>
        <w:keepLines w:val="0"/>
        <w:pageBreakBefore w:val="0"/>
        <w:widowControl w:val="0"/>
        <w:suppressAutoHyphens/>
        <w:kinsoku/>
        <w:wordWrap/>
        <w:overflowPunct/>
        <w:topLinePunct w:val="0"/>
        <w:autoSpaceDE/>
        <w:autoSpaceDN/>
        <w:bidi w:val="0"/>
        <w:adjustRightInd/>
        <w:snapToGrid/>
        <w:spacing w:before="0" w:after="0"/>
        <w:ind w:firstLine="0" w:firstLineChars="0"/>
        <w:jc w:val="center"/>
        <w:textAlignment w:val="auto"/>
        <w:rPr>
          <w:rFonts w:hint="eastAsia" w:ascii="宋体" w:hAnsi="宋体" w:eastAsia="宋体" w:cs="宋体"/>
          <w:b/>
          <w:color w:val="auto"/>
          <w:sz w:val="44"/>
          <w:szCs w:val="44"/>
          <w:highlight w:val="none"/>
          <w:lang w:val="en-US" w:eastAsia="zh-CN"/>
        </w:rPr>
      </w:pPr>
    </w:p>
    <w:p>
      <w:pPr>
        <w:keepNext w:val="0"/>
        <w:keepLines w:val="0"/>
        <w:pageBreakBefore w:val="0"/>
        <w:widowControl w:val="0"/>
        <w:suppressAutoHyphens/>
        <w:kinsoku/>
        <w:wordWrap/>
        <w:overflowPunct/>
        <w:topLinePunct w:val="0"/>
        <w:autoSpaceDE/>
        <w:autoSpaceDN/>
        <w:bidi w:val="0"/>
        <w:adjustRightInd/>
        <w:snapToGrid/>
        <w:spacing w:before="0" w:after="0"/>
        <w:ind w:firstLine="0" w:firstLineChars="0"/>
        <w:jc w:val="center"/>
        <w:textAlignment w:val="auto"/>
        <w:rPr>
          <w:rFonts w:hint="eastAsia" w:ascii="宋体" w:hAnsi="宋体" w:eastAsia="宋体" w:cs="宋体"/>
          <w:b/>
          <w:color w:val="auto"/>
          <w:sz w:val="44"/>
          <w:szCs w:val="44"/>
          <w:highlight w:val="none"/>
          <w:lang w:val="en-US" w:eastAsia="zh-CN"/>
        </w:rPr>
      </w:pPr>
    </w:p>
    <w:p>
      <w:pPr>
        <w:keepNext w:val="0"/>
        <w:keepLines w:val="0"/>
        <w:pageBreakBefore w:val="0"/>
        <w:widowControl w:val="0"/>
        <w:suppressAutoHyphens/>
        <w:kinsoku/>
        <w:wordWrap/>
        <w:overflowPunct/>
        <w:topLinePunct w:val="0"/>
        <w:autoSpaceDE/>
        <w:autoSpaceDN/>
        <w:bidi w:val="0"/>
        <w:adjustRightInd/>
        <w:snapToGrid/>
        <w:spacing w:before="0" w:after="0"/>
        <w:ind w:firstLine="0" w:firstLineChars="0"/>
        <w:jc w:val="center"/>
        <w:textAlignment w:val="auto"/>
        <w:rPr>
          <w:rFonts w:hint="eastAsia" w:ascii="宋体" w:hAnsi="宋体" w:eastAsia="宋体" w:cs="宋体"/>
          <w:b/>
          <w:color w:val="auto"/>
          <w:sz w:val="44"/>
          <w:szCs w:val="44"/>
          <w:highlight w:val="none"/>
          <w:lang w:val="en-US" w:eastAsia="zh-CN"/>
        </w:rPr>
      </w:pPr>
    </w:p>
    <w:p>
      <w:pPr>
        <w:pStyle w:val="9"/>
        <w:keepNext w:val="0"/>
        <w:keepLines w:val="0"/>
        <w:pageBreakBefore w:val="0"/>
        <w:widowControl w:val="0"/>
        <w:kinsoku/>
        <w:wordWrap/>
        <w:overflowPunct/>
        <w:topLinePunct w:val="0"/>
        <w:autoSpaceDE/>
        <w:autoSpaceDN/>
        <w:bidi w:val="0"/>
        <w:adjustRightInd/>
        <w:snapToGrid/>
        <w:spacing w:after="0"/>
        <w:jc w:val="center"/>
        <w:textAlignment w:val="auto"/>
        <w:rPr>
          <w:rFonts w:cs="宋体"/>
          <w:color w:val="auto"/>
          <w:sz w:val="44"/>
          <w:szCs w:val="44"/>
          <w:highlight w:val="none"/>
        </w:rPr>
      </w:pPr>
    </w:p>
    <w:p>
      <w:pPr>
        <w:pStyle w:val="9"/>
        <w:keepNext w:val="0"/>
        <w:keepLines w:val="0"/>
        <w:pageBreakBefore w:val="0"/>
        <w:widowControl w:val="0"/>
        <w:kinsoku/>
        <w:wordWrap/>
        <w:overflowPunct/>
        <w:topLinePunct w:val="0"/>
        <w:autoSpaceDE/>
        <w:autoSpaceDN/>
        <w:bidi w:val="0"/>
        <w:adjustRightInd/>
        <w:snapToGrid/>
        <w:spacing w:after="0"/>
        <w:jc w:val="center"/>
        <w:textAlignment w:val="auto"/>
        <w:rPr>
          <w:rFonts w:cs="宋体"/>
          <w:color w:val="auto"/>
          <w:sz w:val="44"/>
          <w:szCs w:val="44"/>
          <w:highlight w:val="none"/>
        </w:rPr>
      </w:pPr>
    </w:p>
    <w:p>
      <w:pPr>
        <w:keepNext w:val="0"/>
        <w:keepLines w:val="0"/>
        <w:pageBreakBefore w:val="0"/>
        <w:widowControl w:val="0"/>
        <w:kinsoku/>
        <w:wordWrap/>
        <w:overflowPunct/>
        <w:topLinePunct w:val="0"/>
        <w:autoSpaceDE/>
        <w:autoSpaceDN/>
        <w:bidi w:val="0"/>
        <w:adjustRightInd/>
        <w:snapToGrid/>
        <w:spacing w:after="0"/>
        <w:jc w:val="center"/>
        <w:textAlignment w:val="auto"/>
        <w:rPr>
          <w:color w:val="auto"/>
          <w:sz w:val="44"/>
          <w:szCs w:val="44"/>
          <w:highlight w:val="none"/>
        </w:rPr>
      </w:pPr>
    </w:p>
    <w:p>
      <w:pPr>
        <w:pStyle w:val="9"/>
        <w:keepNext w:val="0"/>
        <w:keepLines w:val="0"/>
        <w:pageBreakBefore w:val="0"/>
        <w:widowControl w:val="0"/>
        <w:kinsoku/>
        <w:wordWrap/>
        <w:overflowPunct/>
        <w:topLinePunct w:val="0"/>
        <w:autoSpaceDE/>
        <w:autoSpaceDN/>
        <w:bidi w:val="0"/>
        <w:adjustRightInd/>
        <w:snapToGrid/>
        <w:spacing w:after="0"/>
        <w:jc w:val="center"/>
        <w:textAlignment w:val="auto"/>
        <w:rPr>
          <w:color w:val="auto"/>
          <w:sz w:val="44"/>
          <w:szCs w:val="44"/>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auto"/>
          <w:sz w:val="28"/>
          <w:szCs w:val="28"/>
          <w:highlight w:val="none"/>
        </w:rPr>
      </w:pPr>
      <w:r>
        <w:rPr>
          <w:rFonts w:hint="eastAsia" w:hAnsi="宋体" w:cs="宋体"/>
          <w:b/>
          <w:color w:val="auto"/>
          <w:sz w:val="28"/>
          <w:szCs w:val="28"/>
          <w:highlight w:val="none"/>
          <w:lang w:eastAsia="zh-CN"/>
        </w:rPr>
        <w:t>广西电网有限责任公司人才发展中心</w:t>
      </w:r>
      <w:r>
        <w:rPr>
          <w:rFonts w:hint="eastAsia" w:ascii="宋体" w:hAnsi="宋体" w:eastAsia="宋体" w:cs="宋体"/>
          <w:b/>
          <w:color w:val="auto"/>
          <w:sz w:val="28"/>
          <w:szCs w:val="28"/>
          <w:highlight w:val="none"/>
        </w:rPr>
        <w:t>桂林培训评价基地</w:t>
      </w:r>
    </w:p>
    <w:p>
      <w:pPr>
        <w:suppressAutoHyphens/>
        <w:bidi w:val="0"/>
        <w:spacing w:before="0" w:after="0"/>
        <w:ind w:firstLine="0" w:firstLineChars="0"/>
        <w:jc w:val="center"/>
        <w:rPr>
          <w:rFonts w:hint="eastAsia" w:hAnsi="宋体" w:cs="宋体"/>
          <w:b/>
          <w:color w:val="auto"/>
          <w:sz w:val="28"/>
          <w:szCs w:val="32"/>
          <w:highlight w:val="none"/>
          <w:lang w:eastAsia="zh-CN"/>
        </w:rPr>
      </w:pPr>
      <w:r>
        <w:rPr>
          <w:rFonts w:hint="eastAsia" w:hAnsi="宋体" w:cs="宋体"/>
          <w:b/>
          <w:bCs w:val="0"/>
          <w:color w:val="auto"/>
          <w:sz w:val="28"/>
          <w:szCs w:val="32"/>
          <w:highlight w:val="none"/>
          <w:lang w:eastAsia="zh-CN"/>
        </w:rPr>
        <w:t>202</w:t>
      </w:r>
      <w:r>
        <w:rPr>
          <w:rFonts w:hint="eastAsia" w:hAnsi="宋体" w:cs="宋体"/>
          <w:b/>
          <w:bCs w:val="0"/>
          <w:color w:val="auto"/>
          <w:sz w:val="28"/>
          <w:szCs w:val="32"/>
          <w:highlight w:val="none"/>
          <w:lang w:val="en-US" w:eastAsia="zh-CN"/>
        </w:rPr>
        <w:t>6</w:t>
      </w:r>
      <w:r>
        <w:rPr>
          <w:rFonts w:hint="eastAsia" w:hAnsi="宋体" w:cs="宋体"/>
          <w:b/>
          <w:bCs w:val="0"/>
          <w:color w:val="auto"/>
          <w:sz w:val="28"/>
          <w:szCs w:val="32"/>
          <w:highlight w:val="none"/>
          <w:lang w:eastAsia="zh-CN"/>
        </w:rPr>
        <w:t>年</w:t>
      </w:r>
      <w:r>
        <w:rPr>
          <w:rFonts w:hint="eastAsia" w:hAnsi="宋体" w:cs="宋体"/>
          <w:b/>
          <w:bCs w:val="0"/>
          <w:color w:val="auto"/>
          <w:sz w:val="28"/>
          <w:szCs w:val="32"/>
          <w:highlight w:val="none"/>
          <w:lang w:val="en-US" w:eastAsia="zh-CN"/>
        </w:rPr>
        <w:t>0</w:t>
      </w:r>
      <w:r>
        <w:rPr>
          <w:rFonts w:hint="eastAsia" w:cs="宋体"/>
          <w:b/>
          <w:bCs w:val="0"/>
          <w:color w:val="auto"/>
          <w:sz w:val="28"/>
          <w:szCs w:val="32"/>
          <w:highlight w:val="none"/>
          <w:lang w:val="en-US" w:eastAsia="zh-CN"/>
        </w:rPr>
        <w:t>2</w:t>
      </w:r>
      <w:r>
        <w:rPr>
          <w:rFonts w:hint="eastAsia" w:hAnsi="宋体" w:cs="宋体"/>
          <w:b/>
          <w:bCs w:val="0"/>
          <w:color w:val="auto"/>
          <w:sz w:val="28"/>
          <w:szCs w:val="32"/>
          <w:highlight w:val="none"/>
          <w:lang w:eastAsia="zh-CN"/>
        </w:rPr>
        <w:t>月</w:t>
      </w:r>
      <w:r>
        <w:rPr>
          <w:rFonts w:hint="eastAsia" w:hAnsi="宋体" w:cs="宋体"/>
          <w:b/>
          <w:color w:val="auto"/>
          <w:sz w:val="28"/>
          <w:szCs w:val="32"/>
          <w:highlight w:val="none"/>
          <w:lang w:eastAsia="zh-CN"/>
        </w:rPr>
        <w:br w:type="page"/>
      </w:r>
    </w:p>
    <w:sdt>
      <w:sdtPr>
        <w:rPr>
          <w:rFonts w:ascii="宋体" w:hAnsi="宋体" w:eastAsia="宋体" w:cs="Times New Roman"/>
          <w:color w:val="auto"/>
          <w:kern w:val="2"/>
          <w:sz w:val="21"/>
          <w:szCs w:val="24"/>
          <w:highlight w:val="none"/>
          <w:lang w:val="en-US" w:eastAsia="zh-CN" w:bidi="ar-SA"/>
        </w:rPr>
        <w:id w:val="147460779"/>
        <w15:color w:val="DBDBDB"/>
        <w:docPartObj>
          <w:docPartGallery w:val="Table of Contents"/>
          <w:docPartUnique/>
        </w:docPartObj>
      </w:sdtPr>
      <w:sdtEndPr>
        <w:rPr>
          <w:rFonts w:ascii="宋体" w:hAnsi="宋体" w:eastAsia="宋体" w:cs="Times New Roman"/>
          <w:color w:val="auto"/>
          <w:kern w:val="2"/>
          <w:sz w:val="21"/>
          <w:szCs w:val="24"/>
          <w:highlight w:val="none"/>
          <w:lang w:val="en-US" w:eastAsia="zh-CN" w:bidi="ar-SA"/>
        </w:rPr>
      </w:sdtEndPr>
      <w:sdtContent>
        <w:p>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b/>
              <w:bCs/>
              <w:color w:val="auto"/>
              <w:sz w:val="32"/>
              <w:szCs w:val="32"/>
              <w:highlight w:val="none"/>
            </w:rPr>
          </w:pPr>
          <w:bookmarkStart w:id="0" w:name="_Toc4019"/>
          <w:r>
            <w:rPr>
              <w:rFonts w:ascii="宋体" w:hAnsi="宋体" w:eastAsia="宋体"/>
              <w:b/>
              <w:bCs/>
              <w:color w:val="auto"/>
              <w:sz w:val="32"/>
              <w:szCs w:val="32"/>
              <w:highlight w:val="none"/>
            </w:rPr>
            <w:t>目</w:t>
          </w:r>
          <w:r>
            <w:rPr>
              <w:rFonts w:hint="eastAsia" w:ascii="宋体" w:hAnsi="宋体" w:eastAsia="宋体"/>
              <w:b/>
              <w:bCs/>
              <w:color w:val="auto"/>
              <w:sz w:val="32"/>
              <w:szCs w:val="32"/>
              <w:highlight w:val="none"/>
              <w:lang w:eastAsia="zh-CN"/>
            </w:rPr>
            <w:t>　</w:t>
          </w:r>
          <w:r>
            <w:rPr>
              <w:rFonts w:ascii="宋体" w:hAnsi="宋体" w:eastAsia="宋体"/>
              <w:b/>
              <w:bCs/>
              <w:color w:val="auto"/>
              <w:sz w:val="32"/>
              <w:szCs w:val="32"/>
              <w:highlight w:val="none"/>
            </w:rPr>
            <w:t>录</w:t>
          </w:r>
        </w:p>
        <w:p>
          <w:pPr>
            <w:pStyle w:val="38"/>
            <w:keepNext w:val="0"/>
            <w:keepLines w:val="0"/>
            <w:pageBreakBefore w:val="0"/>
            <w:tabs>
              <w:tab w:val="right" w:leader="dot" w:pos="8312"/>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_Toc31669 </w:instrText>
          </w:r>
          <w:r>
            <w:rPr>
              <w:color w:val="auto"/>
              <w:highlight w:val="none"/>
            </w:rPr>
            <w:fldChar w:fldCharType="separate"/>
          </w:r>
          <w:r>
            <w:rPr>
              <w:rFonts w:hint="default" w:ascii="宋体" w:hAnsi="宋体" w:eastAsia="宋体" w:cs="宋体"/>
              <w:i w:val="0"/>
              <w:color w:val="auto"/>
              <w:szCs w:val="24"/>
              <w:highlight w:val="none"/>
              <w:lang w:eastAsia="zh-CN"/>
            </w:rPr>
            <w:t xml:space="preserve">1 </w:t>
          </w:r>
          <w:r>
            <w:rPr>
              <w:rFonts w:hint="eastAsia"/>
              <w:color w:val="auto"/>
              <w:highlight w:val="none"/>
              <w:lang w:eastAsia="zh-CN"/>
            </w:rPr>
            <w:t>总则</w:t>
          </w:r>
          <w:r>
            <w:rPr>
              <w:color w:val="auto"/>
              <w:highlight w:val="none"/>
            </w:rPr>
            <w:tab/>
          </w:r>
          <w:r>
            <w:rPr>
              <w:color w:val="auto"/>
              <w:highlight w:val="none"/>
            </w:rPr>
            <w:fldChar w:fldCharType="begin"/>
          </w:r>
          <w:r>
            <w:rPr>
              <w:color w:val="auto"/>
              <w:highlight w:val="none"/>
            </w:rPr>
            <w:instrText xml:space="preserve"> PAGEREF _Toc31669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38"/>
            <w:keepNext w:val="0"/>
            <w:keepLines w:val="0"/>
            <w:pageBreakBefore w:val="0"/>
            <w:tabs>
              <w:tab w:val="right" w:leader="dot" w:pos="8312"/>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_Toc3003 </w:instrText>
          </w:r>
          <w:r>
            <w:rPr>
              <w:color w:val="auto"/>
              <w:highlight w:val="none"/>
            </w:rPr>
            <w:fldChar w:fldCharType="separate"/>
          </w:r>
          <w:r>
            <w:rPr>
              <w:rFonts w:hint="default" w:ascii="宋体" w:hAnsi="宋体" w:eastAsia="宋体" w:cs="宋体"/>
              <w:i w:val="0"/>
              <w:color w:val="auto"/>
              <w:szCs w:val="24"/>
              <w:highlight w:val="none"/>
            </w:rPr>
            <w:t xml:space="preserve">2 </w:t>
          </w:r>
          <w:r>
            <w:rPr>
              <w:rFonts w:hint="eastAsia"/>
              <w:color w:val="auto"/>
              <w:highlight w:val="none"/>
            </w:rPr>
            <w:t>供货范围及要求</w:t>
          </w:r>
          <w:r>
            <w:rPr>
              <w:color w:val="auto"/>
              <w:highlight w:val="none"/>
            </w:rPr>
            <w:tab/>
          </w:r>
          <w:r>
            <w:rPr>
              <w:color w:val="auto"/>
              <w:highlight w:val="none"/>
            </w:rPr>
            <w:fldChar w:fldCharType="begin"/>
          </w:r>
          <w:r>
            <w:rPr>
              <w:color w:val="auto"/>
              <w:highlight w:val="none"/>
            </w:rPr>
            <w:instrText xml:space="preserve"> PAGEREF _Toc3003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pPr>
            <w:pStyle w:val="38"/>
            <w:keepNext w:val="0"/>
            <w:keepLines w:val="0"/>
            <w:pageBreakBefore w:val="0"/>
            <w:tabs>
              <w:tab w:val="right" w:leader="dot" w:pos="8312"/>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_Toc4925 </w:instrText>
          </w:r>
          <w:r>
            <w:rPr>
              <w:color w:val="auto"/>
              <w:highlight w:val="none"/>
            </w:rPr>
            <w:fldChar w:fldCharType="separate"/>
          </w:r>
          <w:r>
            <w:rPr>
              <w:rFonts w:hint="default" w:ascii="宋体" w:hAnsi="宋体" w:eastAsia="宋体" w:cs="宋体"/>
              <w:i w:val="0"/>
              <w:color w:val="auto"/>
              <w:szCs w:val="24"/>
              <w:highlight w:val="none"/>
            </w:rPr>
            <w:t xml:space="preserve">3 </w:t>
          </w:r>
          <w:r>
            <w:rPr>
              <w:color w:val="auto"/>
              <w:highlight w:val="none"/>
            </w:rPr>
            <w:t>应遵循的主要标准</w:t>
          </w:r>
          <w:r>
            <w:rPr>
              <w:color w:val="auto"/>
              <w:highlight w:val="none"/>
            </w:rPr>
            <w:tab/>
          </w:r>
          <w:r>
            <w:rPr>
              <w:rFonts w:hint="eastAsia"/>
              <w:color w:val="auto"/>
              <w:highlight w:val="none"/>
              <w:lang w:val="en-US" w:eastAsia="zh-CN"/>
            </w:rPr>
            <w:t>6</w:t>
          </w:r>
          <w:r>
            <w:rPr>
              <w:color w:val="auto"/>
              <w:highlight w:val="none"/>
            </w:rPr>
            <w:fldChar w:fldCharType="end"/>
          </w:r>
        </w:p>
        <w:p>
          <w:pPr>
            <w:pStyle w:val="38"/>
            <w:keepNext w:val="0"/>
            <w:keepLines w:val="0"/>
            <w:pageBreakBefore w:val="0"/>
            <w:tabs>
              <w:tab w:val="right" w:leader="dot" w:pos="8312"/>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_Toc8582 </w:instrText>
          </w:r>
          <w:r>
            <w:rPr>
              <w:color w:val="auto"/>
              <w:highlight w:val="none"/>
            </w:rPr>
            <w:fldChar w:fldCharType="separate"/>
          </w:r>
          <w:r>
            <w:rPr>
              <w:rFonts w:hint="eastAsia" w:cs="宋体"/>
              <w:i w:val="0"/>
              <w:color w:val="auto"/>
              <w:szCs w:val="24"/>
              <w:highlight w:val="none"/>
              <w:lang w:val="en-US" w:eastAsia="zh-CN"/>
            </w:rPr>
            <w:t>4</w:t>
          </w:r>
          <w:r>
            <w:rPr>
              <w:rFonts w:hint="default" w:ascii="宋体" w:hAnsi="宋体" w:eastAsia="宋体" w:cs="宋体"/>
              <w:i w:val="0"/>
              <w:color w:val="auto"/>
              <w:szCs w:val="24"/>
              <w:highlight w:val="none"/>
            </w:rPr>
            <w:t xml:space="preserve"> </w:t>
          </w:r>
          <w:r>
            <w:rPr>
              <w:color w:val="auto"/>
              <w:highlight w:val="none"/>
            </w:rPr>
            <w:t>试验及验收</w:t>
          </w:r>
          <w:r>
            <w:rPr>
              <w:color w:val="auto"/>
              <w:highlight w:val="none"/>
            </w:rPr>
            <w:tab/>
          </w:r>
          <w:r>
            <w:rPr>
              <w:rFonts w:hint="eastAsia"/>
              <w:color w:val="auto"/>
              <w:highlight w:val="none"/>
              <w:lang w:val="en-US" w:eastAsia="zh-CN"/>
            </w:rPr>
            <w:t>7</w:t>
          </w:r>
          <w:r>
            <w:rPr>
              <w:color w:val="auto"/>
              <w:highlight w:val="none"/>
            </w:rPr>
            <w:fldChar w:fldCharType="end"/>
          </w:r>
        </w:p>
        <w:p>
          <w:pPr>
            <w:pStyle w:val="38"/>
            <w:keepNext w:val="0"/>
            <w:keepLines w:val="0"/>
            <w:pageBreakBefore w:val="0"/>
            <w:tabs>
              <w:tab w:val="right" w:leader="dot" w:pos="8312"/>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_Toc30433 </w:instrText>
          </w:r>
          <w:r>
            <w:rPr>
              <w:color w:val="auto"/>
              <w:highlight w:val="none"/>
            </w:rPr>
            <w:fldChar w:fldCharType="separate"/>
          </w:r>
          <w:r>
            <w:rPr>
              <w:rFonts w:hint="eastAsia" w:cs="宋体"/>
              <w:i w:val="0"/>
              <w:color w:val="auto"/>
              <w:szCs w:val="24"/>
              <w:highlight w:val="none"/>
              <w:lang w:val="en-US" w:eastAsia="zh-CN"/>
            </w:rPr>
            <w:t>5</w:t>
          </w:r>
          <w:r>
            <w:rPr>
              <w:rFonts w:hint="default" w:ascii="宋体" w:hAnsi="宋体" w:eastAsia="宋体" w:cs="宋体"/>
              <w:i w:val="0"/>
              <w:color w:val="auto"/>
              <w:szCs w:val="24"/>
              <w:highlight w:val="none"/>
            </w:rPr>
            <w:t xml:space="preserve"> </w:t>
          </w:r>
          <w:r>
            <w:rPr>
              <w:color w:val="auto"/>
              <w:highlight w:val="none"/>
            </w:rPr>
            <w:t>监造、包装、运输、安装及质量保证</w:t>
          </w:r>
          <w:r>
            <w:rPr>
              <w:color w:val="auto"/>
              <w:highlight w:val="none"/>
            </w:rPr>
            <w:tab/>
          </w:r>
          <w:r>
            <w:rPr>
              <w:rFonts w:hint="eastAsia"/>
              <w:color w:val="auto"/>
              <w:highlight w:val="none"/>
              <w:lang w:val="en-US" w:eastAsia="zh-CN"/>
            </w:rPr>
            <w:t>7</w:t>
          </w:r>
          <w:r>
            <w:rPr>
              <w:color w:val="auto"/>
              <w:highlight w:val="none"/>
            </w:rPr>
            <w:fldChar w:fldCharType="end"/>
          </w:r>
        </w:p>
        <w:p>
          <w:pPr>
            <w:pStyle w:val="38"/>
            <w:keepNext w:val="0"/>
            <w:keepLines w:val="0"/>
            <w:pageBreakBefore w:val="0"/>
            <w:tabs>
              <w:tab w:val="right" w:leader="dot" w:pos="8312"/>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_Toc18600 </w:instrText>
          </w:r>
          <w:r>
            <w:rPr>
              <w:color w:val="auto"/>
              <w:highlight w:val="none"/>
            </w:rPr>
            <w:fldChar w:fldCharType="separate"/>
          </w:r>
          <w:r>
            <w:rPr>
              <w:rFonts w:hint="eastAsia" w:cs="宋体"/>
              <w:i w:val="0"/>
              <w:color w:val="auto"/>
              <w:szCs w:val="24"/>
              <w:highlight w:val="none"/>
              <w:lang w:val="en-US" w:eastAsia="zh-CN"/>
            </w:rPr>
            <w:t>6</w:t>
          </w:r>
          <w:r>
            <w:rPr>
              <w:color w:val="auto"/>
              <w:highlight w:val="none"/>
            </w:rPr>
            <w:t>双方工作安排</w:t>
          </w:r>
          <w:r>
            <w:rPr>
              <w:color w:val="auto"/>
              <w:highlight w:val="none"/>
            </w:rPr>
            <w:tab/>
          </w:r>
          <w:r>
            <w:rPr>
              <w:rFonts w:hint="eastAsia"/>
              <w:color w:val="auto"/>
              <w:highlight w:val="none"/>
              <w:lang w:val="en-US" w:eastAsia="zh-CN"/>
            </w:rPr>
            <w:t>8</w:t>
          </w:r>
          <w:r>
            <w:rPr>
              <w:color w:val="auto"/>
              <w:highlight w:val="none"/>
            </w:rPr>
            <w:fldChar w:fldCharType="end"/>
          </w:r>
        </w:p>
        <w:p>
          <w:pPr>
            <w:pStyle w:val="38"/>
            <w:keepNext w:val="0"/>
            <w:keepLines w:val="0"/>
            <w:pageBreakBefore w:val="0"/>
            <w:tabs>
              <w:tab w:val="right" w:leader="dot" w:pos="8312"/>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_Toc17792 </w:instrText>
          </w:r>
          <w:r>
            <w:rPr>
              <w:color w:val="auto"/>
              <w:highlight w:val="none"/>
            </w:rPr>
            <w:fldChar w:fldCharType="separate"/>
          </w:r>
          <w:r>
            <w:rPr>
              <w:rFonts w:hint="eastAsia" w:cs="宋体"/>
              <w:i w:val="0"/>
              <w:color w:val="auto"/>
              <w:szCs w:val="24"/>
              <w:highlight w:val="none"/>
              <w:lang w:val="en-US" w:eastAsia="zh-CN"/>
            </w:rPr>
            <w:t>7</w:t>
          </w:r>
          <w:r>
            <w:rPr>
              <w:rFonts w:hint="default" w:ascii="宋体" w:hAnsi="宋体" w:eastAsia="宋体" w:cs="宋体"/>
              <w:i w:val="0"/>
              <w:color w:val="auto"/>
              <w:szCs w:val="24"/>
              <w:highlight w:val="none"/>
            </w:rPr>
            <w:t xml:space="preserve"> </w:t>
          </w:r>
          <w:r>
            <w:rPr>
              <w:color w:val="auto"/>
              <w:highlight w:val="none"/>
            </w:rPr>
            <w:t>备品备件及主要工器具</w:t>
          </w:r>
          <w:r>
            <w:rPr>
              <w:color w:val="auto"/>
              <w:highlight w:val="none"/>
            </w:rPr>
            <w:tab/>
          </w:r>
          <w:r>
            <w:rPr>
              <w:rFonts w:hint="eastAsia"/>
              <w:color w:val="auto"/>
              <w:highlight w:val="none"/>
              <w:lang w:val="en-US" w:eastAsia="zh-CN"/>
            </w:rPr>
            <w:t>9</w:t>
          </w:r>
          <w:r>
            <w:rPr>
              <w:color w:val="auto"/>
              <w:highlight w:val="none"/>
            </w:rPr>
            <w:fldChar w:fldCharType="end"/>
          </w:r>
        </w:p>
        <w:p>
          <w:pPr>
            <w:pStyle w:val="38"/>
            <w:keepNext w:val="0"/>
            <w:keepLines w:val="0"/>
            <w:pageBreakBefore w:val="0"/>
            <w:tabs>
              <w:tab w:val="right" w:leader="dot" w:pos="8312"/>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_Toc353 </w:instrText>
          </w:r>
          <w:r>
            <w:rPr>
              <w:color w:val="auto"/>
              <w:highlight w:val="none"/>
            </w:rPr>
            <w:fldChar w:fldCharType="separate"/>
          </w:r>
          <w:r>
            <w:rPr>
              <w:rFonts w:hint="eastAsia" w:cs="宋体"/>
              <w:i w:val="0"/>
              <w:color w:val="auto"/>
              <w:szCs w:val="24"/>
              <w:highlight w:val="none"/>
              <w:lang w:val="en-US" w:eastAsia="zh-CN"/>
            </w:rPr>
            <w:t>8</w:t>
          </w:r>
          <w:r>
            <w:rPr>
              <w:rFonts w:hint="default" w:ascii="宋体" w:hAnsi="宋体" w:eastAsia="宋体" w:cs="宋体"/>
              <w:i w:val="0"/>
              <w:color w:val="auto"/>
              <w:szCs w:val="24"/>
              <w:highlight w:val="none"/>
            </w:rPr>
            <w:t xml:space="preserve"> </w:t>
          </w:r>
          <w:r>
            <w:rPr>
              <w:color w:val="auto"/>
              <w:highlight w:val="none"/>
            </w:rPr>
            <w:t>技术性能偏差表</w:t>
          </w:r>
          <w:r>
            <w:rPr>
              <w:color w:val="auto"/>
              <w:highlight w:val="none"/>
            </w:rPr>
            <w:tab/>
          </w:r>
          <w:r>
            <w:rPr>
              <w:color w:val="auto"/>
              <w:highlight w:val="none"/>
            </w:rPr>
            <w:fldChar w:fldCharType="begin"/>
          </w:r>
          <w:r>
            <w:rPr>
              <w:color w:val="auto"/>
              <w:highlight w:val="none"/>
            </w:rPr>
            <w:instrText xml:space="preserve"> PAGEREF _Toc353 \h </w:instrText>
          </w:r>
          <w:r>
            <w:rPr>
              <w:color w:val="auto"/>
              <w:highlight w:val="none"/>
            </w:rPr>
            <w:fldChar w:fldCharType="separate"/>
          </w:r>
          <w:r>
            <w:rPr>
              <w:color w:val="auto"/>
              <w:highlight w:val="none"/>
            </w:rPr>
            <w:t>1</w:t>
          </w:r>
          <w:r>
            <w:rPr>
              <w:rFonts w:hint="eastAsia"/>
              <w:color w:val="auto"/>
              <w:highlight w:val="none"/>
              <w:lang w:val="en-US" w:eastAsia="zh-CN"/>
            </w:rPr>
            <w:t>0</w:t>
          </w:r>
          <w:r>
            <w:rPr>
              <w:color w:val="auto"/>
              <w:highlight w:val="none"/>
            </w:rPr>
            <w:fldChar w:fldCharType="end"/>
          </w:r>
          <w:r>
            <w:rPr>
              <w:color w:val="auto"/>
              <w:highlight w:val="none"/>
            </w:rPr>
            <w:fldChar w:fldCharType="end"/>
          </w:r>
        </w:p>
        <w:p>
          <w:pPr>
            <w:pStyle w:val="38"/>
            <w:keepNext w:val="0"/>
            <w:keepLines w:val="0"/>
            <w:pageBreakBefore w:val="0"/>
            <w:tabs>
              <w:tab w:val="right" w:leader="dot" w:pos="8312"/>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_Toc23479 </w:instrText>
          </w:r>
          <w:r>
            <w:rPr>
              <w:color w:val="auto"/>
              <w:highlight w:val="none"/>
            </w:rPr>
            <w:fldChar w:fldCharType="separate"/>
          </w:r>
          <w:r>
            <w:rPr>
              <w:rFonts w:hint="eastAsia" w:cs="宋体"/>
              <w:i w:val="0"/>
              <w:color w:val="auto"/>
              <w:szCs w:val="24"/>
              <w:highlight w:val="none"/>
              <w:lang w:val="en-US" w:eastAsia="zh-CN"/>
            </w:rPr>
            <w:t>9</w:t>
          </w:r>
          <w:r>
            <w:rPr>
              <w:rFonts w:hint="default" w:ascii="宋体" w:hAnsi="宋体" w:eastAsia="宋体" w:cs="宋体"/>
              <w:i w:val="0"/>
              <w:color w:val="auto"/>
              <w:szCs w:val="24"/>
              <w:highlight w:val="none"/>
            </w:rPr>
            <w:t xml:space="preserve"> </w:t>
          </w:r>
          <w:r>
            <w:rPr>
              <w:color w:val="auto"/>
              <w:highlight w:val="none"/>
            </w:rPr>
            <w:t>投标方需要说明的其它问题</w:t>
          </w:r>
          <w:r>
            <w:rPr>
              <w:color w:val="auto"/>
              <w:highlight w:val="none"/>
            </w:rPr>
            <w:tab/>
          </w:r>
          <w:r>
            <w:rPr>
              <w:color w:val="auto"/>
              <w:highlight w:val="none"/>
            </w:rPr>
            <w:fldChar w:fldCharType="begin"/>
          </w:r>
          <w:r>
            <w:rPr>
              <w:color w:val="auto"/>
              <w:highlight w:val="none"/>
            </w:rPr>
            <w:instrText xml:space="preserve"> PAGEREF _Toc23479 \h </w:instrText>
          </w:r>
          <w:r>
            <w:rPr>
              <w:color w:val="auto"/>
              <w:highlight w:val="none"/>
            </w:rPr>
            <w:fldChar w:fldCharType="separate"/>
          </w:r>
          <w:r>
            <w:rPr>
              <w:color w:val="auto"/>
              <w:highlight w:val="none"/>
            </w:rPr>
            <w:t>1</w:t>
          </w:r>
          <w:r>
            <w:rPr>
              <w:rFonts w:hint="eastAsia"/>
              <w:color w:val="auto"/>
              <w:highlight w:val="none"/>
              <w:lang w:val="en-US" w:eastAsia="zh-CN"/>
            </w:rPr>
            <w:t>1</w:t>
          </w:r>
          <w:r>
            <w:rPr>
              <w:color w:val="auto"/>
              <w:highlight w:val="none"/>
            </w:rPr>
            <w:fldChar w:fldCharType="end"/>
          </w:r>
          <w:r>
            <w:rPr>
              <w:color w:val="auto"/>
              <w:highlight w:val="none"/>
            </w:rPr>
            <w:fldChar w:fldCharType="end"/>
          </w:r>
        </w:p>
        <w:p>
          <w:pPr>
            <w:keepNext w:val="0"/>
            <w:keepLines w:val="0"/>
            <w:pageBreakBefore w:val="0"/>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end"/>
          </w:r>
        </w:p>
      </w:sdtContent>
    </w:sdt>
    <w:p>
      <w:pPr>
        <w:pStyle w:val="3"/>
        <w:bidi w:val="0"/>
        <w:ind w:left="0" w:leftChars="0" w:firstLine="0" w:firstLineChars="0"/>
        <w:rPr>
          <w:rFonts w:hint="eastAsia"/>
          <w:color w:val="auto"/>
          <w:highlight w:val="none"/>
          <w:lang w:eastAsia="zh-CN"/>
        </w:rPr>
        <w:sectPr>
          <w:headerReference r:id="rId5" w:type="default"/>
          <w:pgSz w:w="11906" w:h="16838"/>
          <w:pgMar w:top="1440" w:right="1797" w:bottom="1440" w:left="1797" w:header="851" w:footer="992" w:gutter="0"/>
          <w:pgNumType w:fmt="decimal" w:start="1"/>
          <w:cols w:space="720" w:num="1"/>
          <w:formProt w:val="0"/>
          <w:docGrid w:type="lines" w:linePitch="312" w:charSpace="0"/>
        </w:sectPr>
      </w:pPr>
      <w:bookmarkStart w:id="1" w:name="_Toc31669"/>
    </w:p>
    <w:p>
      <w:pPr>
        <w:pStyle w:val="3"/>
        <w:bidi w:val="0"/>
        <w:ind w:left="0" w:leftChars="0" w:firstLine="0" w:firstLineChars="0"/>
        <w:rPr>
          <w:rFonts w:hint="eastAsia"/>
          <w:color w:val="auto"/>
          <w:highlight w:val="none"/>
          <w:lang w:eastAsia="zh-CN"/>
        </w:rPr>
      </w:pPr>
      <w:r>
        <w:rPr>
          <w:rFonts w:hint="eastAsia"/>
          <w:color w:val="auto"/>
          <w:highlight w:val="none"/>
          <w:lang w:eastAsia="zh-CN"/>
        </w:rPr>
        <w:t>总则</w:t>
      </w:r>
      <w:bookmarkEnd w:id="0"/>
      <w:bookmarkEnd w:id="1"/>
    </w:p>
    <w:p>
      <w:pPr>
        <w:pStyle w:val="4"/>
        <w:bidi w:val="0"/>
        <w:ind w:left="0" w:leftChars="0" w:firstLine="0" w:firstLineChars="0"/>
        <w:rPr>
          <w:color w:val="auto"/>
          <w:highlight w:val="none"/>
        </w:rPr>
      </w:pPr>
      <w:bookmarkStart w:id="2" w:name="_Toc245283789"/>
      <w:bookmarkStart w:id="3" w:name="_Toc245434915"/>
      <w:bookmarkStart w:id="4" w:name="_Toc245283687"/>
      <w:r>
        <w:rPr>
          <w:color w:val="auto"/>
          <w:highlight w:val="none"/>
        </w:rPr>
        <w:t>本文件为</w:t>
      </w:r>
      <w:r>
        <w:rPr>
          <w:rFonts w:hint="eastAsia"/>
          <w:b w:val="0"/>
          <w:bCs/>
          <w:color w:val="auto"/>
          <w:highlight w:val="none"/>
          <w:lang w:val="en-US" w:eastAsia="zh-CN"/>
        </w:rPr>
        <w:t>桂林培训评价基地（卧佛）2026年UPS电源屏柜购置—屏柜技术规范书</w:t>
      </w:r>
      <w:r>
        <w:rPr>
          <w:b w:val="0"/>
          <w:bCs/>
          <w:color w:val="auto"/>
          <w:highlight w:val="none"/>
        </w:rPr>
        <w:t>。</w:t>
      </w:r>
      <w:r>
        <w:rPr>
          <w:color w:val="auto"/>
          <w:highlight w:val="none"/>
        </w:rPr>
        <w:t>投标方必须仔细阅读本文件的所有条款，以中文逐条做出明确答复（点对点应答）并给出相关技术指标偏差，提供技术建议书，提交设备配置清单及相关产品详细说明文档等附件资料。</w:t>
      </w:r>
      <w:bookmarkEnd w:id="2"/>
      <w:bookmarkEnd w:id="3"/>
      <w:bookmarkEnd w:id="4"/>
    </w:p>
    <w:p>
      <w:pPr>
        <w:pStyle w:val="4"/>
        <w:bidi w:val="0"/>
        <w:ind w:left="0" w:leftChars="0" w:firstLine="0" w:firstLineChars="0"/>
        <w:rPr>
          <w:color w:val="auto"/>
          <w:highlight w:val="none"/>
        </w:rPr>
      </w:pPr>
      <w:r>
        <w:rPr>
          <w:color w:val="auto"/>
          <w:highlight w:val="none"/>
        </w:rPr>
        <w:t>本技术规范书适用于</w:t>
      </w:r>
      <w:r>
        <w:rPr>
          <w:rFonts w:hint="eastAsia"/>
          <w:color w:val="auto"/>
          <w:highlight w:val="none"/>
          <w:lang w:eastAsia="zh-CN"/>
        </w:rPr>
        <w:t>桂林培训评价基地（卧佛）2026年UPS电源屏柜购置</w:t>
      </w:r>
      <w:r>
        <w:rPr>
          <w:color w:val="auto"/>
          <w:highlight w:val="none"/>
        </w:rPr>
        <w:t>，它包含了所需设备及</w:t>
      </w:r>
      <w:r>
        <w:rPr>
          <w:color w:val="auto"/>
          <w:highlight w:val="none"/>
          <w:lang w:eastAsia="zh-CN"/>
        </w:rPr>
        <w:t>各设备的配套</w:t>
      </w:r>
      <w:r>
        <w:rPr>
          <w:color w:val="auto"/>
          <w:highlight w:val="none"/>
        </w:rPr>
        <w:t>集成，它提出了对</w:t>
      </w:r>
      <w:r>
        <w:rPr>
          <w:rFonts w:hint="eastAsia"/>
          <w:color w:val="auto"/>
          <w:highlight w:val="none"/>
        </w:rPr>
        <w:t>屏柜</w:t>
      </w:r>
      <w:r>
        <w:rPr>
          <w:color w:val="auto"/>
          <w:highlight w:val="none"/>
        </w:rPr>
        <w:t>的各项主要功能、性能、供货、服务等要求，供投标方编写建议书和报价之用（建议书的内容格式符合本规范的要求）</w:t>
      </w:r>
      <w:r>
        <w:rPr>
          <w:rFonts w:hint="eastAsia"/>
          <w:color w:val="auto"/>
          <w:highlight w:val="none"/>
          <w:lang w:eastAsia="zh-CN"/>
        </w:rPr>
        <w:t>。</w:t>
      </w:r>
      <w:r>
        <w:rPr>
          <w:color w:val="auto"/>
          <w:highlight w:val="none"/>
        </w:rPr>
        <w:t>投标方结合自身特点，根据本规范书所描述的</w:t>
      </w:r>
      <w:r>
        <w:rPr>
          <w:color w:val="auto"/>
          <w:highlight w:val="none"/>
          <w:lang w:val="en-US" w:eastAsia="zh-CN"/>
        </w:rPr>
        <w:t>安全设备</w:t>
      </w:r>
      <w:r>
        <w:rPr>
          <w:color w:val="auto"/>
          <w:highlight w:val="none"/>
        </w:rPr>
        <w:t>具体要求，提供符合要求的产品。</w:t>
      </w:r>
    </w:p>
    <w:p>
      <w:pPr>
        <w:pStyle w:val="4"/>
        <w:bidi w:val="0"/>
        <w:ind w:left="0" w:leftChars="0" w:firstLine="0" w:firstLineChars="0"/>
        <w:rPr>
          <w:color w:val="auto"/>
          <w:highlight w:val="none"/>
        </w:rPr>
      </w:pPr>
      <w:bookmarkStart w:id="5" w:name="_Toc245283688"/>
      <w:bookmarkStart w:id="6" w:name="_Toc245434916"/>
      <w:bookmarkStart w:id="7" w:name="_Toc245283790"/>
      <w:r>
        <w:rPr>
          <w:color w:val="auto"/>
          <w:highlight w:val="none"/>
        </w:rPr>
        <w:t>本文件描述了所需</w:t>
      </w:r>
      <w:r>
        <w:rPr>
          <w:color w:val="auto"/>
          <w:highlight w:val="none"/>
          <w:lang w:eastAsia="zh-CN"/>
        </w:rPr>
        <w:t>安全设备</w:t>
      </w:r>
      <w:r>
        <w:rPr>
          <w:color w:val="auto"/>
          <w:highlight w:val="none"/>
          <w:lang w:val="en-US" w:eastAsia="zh-CN"/>
        </w:rPr>
        <w:t>设备</w:t>
      </w:r>
      <w:r>
        <w:rPr>
          <w:color w:val="auto"/>
          <w:highlight w:val="none"/>
        </w:rPr>
        <w:t>的功能、性能、安全性、数量需求及完成上述工程实施所需的辅助设施以及其他方面</w:t>
      </w:r>
      <w:bookmarkEnd w:id="5"/>
      <w:bookmarkEnd w:id="6"/>
      <w:bookmarkEnd w:id="7"/>
      <w:r>
        <w:rPr>
          <w:color w:val="auto"/>
          <w:highlight w:val="none"/>
        </w:rPr>
        <w:t>，对关键指标不满足</w:t>
      </w:r>
      <w:r>
        <w:rPr>
          <w:rFonts w:hint="eastAsia"/>
          <w:color w:val="auto"/>
          <w:highlight w:val="none"/>
        </w:rPr>
        <w:t>将影响评分</w:t>
      </w:r>
      <w:r>
        <w:rPr>
          <w:color w:val="auto"/>
          <w:highlight w:val="none"/>
        </w:rPr>
        <w:t>。</w:t>
      </w:r>
    </w:p>
    <w:p>
      <w:pPr>
        <w:pStyle w:val="4"/>
        <w:bidi w:val="0"/>
        <w:ind w:left="0" w:leftChars="0" w:firstLine="0" w:firstLineChars="0"/>
        <w:rPr>
          <w:color w:val="auto"/>
          <w:highlight w:val="none"/>
        </w:rPr>
      </w:pPr>
      <w:bookmarkStart w:id="8" w:name="_Toc245283791"/>
      <w:bookmarkStart w:id="9" w:name="_Toc245283689"/>
      <w:bookmarkStart w:id="10" w:name="_Toc245434917"/>
      <w:r>
        <w:rPr>
          <w:color w:val="auto"/>
          <w:highlight w:val="none"/>
        </w:rPr>
        <w:t>本文件所描述的各种功能、性能、安全性需求仅供投标方编制投标文件之用。投标方可以提出不同的建议方案，但是建议方案需满足但不限于本</w:t>
      </w:r>
      <w:r>
        <w:rPr>
          <w:rFonts w:hint="eastAsia"/>
          <w:color w:val="auto"/>
          <w:highlight w:val="none"/>
          <w:lang w:eastAsia="zh-CN"/>
        </w:rPr>
        <w:t>技术规范书</w:t>
      </w:r>
      <w:r>
        <w:rPr>
          <w:color w:val="auto"/>
          <w:highlight w:val="none"/>
        </w:rPr>
        <w:t>所阐述的全部技术功能要求。</w:t>
      </w:r>
      <w:bookmarkEnd w:id="8"/>
      <w:bookmarkEnd w:id="9"/>
      <w:bookmarkEnd w:id="10"/>
    </w:p>
    <w:p>
      <w:pPr>
        <w:pStyle w:val="4"/>
        <w:bidi w:val="0"/>
        <w:ind w:left="0" w:leftChars="0" w:firstLine="0" w:firstLineChars="0"/>
        <w:rPr>
          <w:color w:val="auto"/>
          <w:highlight w:val="none"/>
        </w:rPr>
      </w:pPr>
      <w:bookmarkStart w:id="11" w:name="_Toc245283792"/>
      <w:bookmarkStart w:id="12" w:name="_Toc245283690"/>
      <w:bookmarkStart w:id="13" w:name="_Toc245434918"/>
      <w:r>
        <w:rPr>
          <w:color w:val="auto"/>
          <w:highlight w:val="none"/>
        </w:rPr>
        <w:t>投标方在投标文件中，对本</w:t>
      </w:r>
      <w:r>
        <w:rPr>
          <w:rFonts w:hint="eastAsia"/>
          <w:color w:val="auto"/>
          <w:highlight w:val="none"/>
          <w:lang w:eastAsia="zh-CN"/>
        </w:rPr>
        <w:t>技术规范书</w:t>
      </w:r>
      <w:r>
        <w:rPr>
          <w:color w:val="auto"/>
          <w:highlight w:val="none"/>
        </w:rPr>
        <w:t>逐项予以说明和答复，同时根据具体情况提出相关的建议，并附详细资料和说明。</w:t>
      </w:r>
      <w:bookmarkEnd w:id="11"/>
      <w:bookmarkEnd w:id="12"/>
      <w:bookmarkEnd w:id="13"/>
    </w:p>
    <w:p>
      <w:pPr>
        <w:pStyle w:val="4"/>
        <w:bidi w:val="0"/>
        <w:ind w:left="0" w:leftChars="0" w:firstLine="0" w:firstLineChars="0"/>
        <w:rPr>
          <w:color w:val="auto"/>
          <w:highlight w:val="none"/>
        </w:rPr>
      </w:pPr>
      <w:bookmarkStart w:id="14" w:name="_Toc245434919"/>
      <w:bookmarkStart w:id="15" w:name="_Toc245283691"/>
      <w:bookmarkStart w:id="16" w:name="_Toc245283793"/>
      <w:r>
        <w:rPr>
          <w:color w:val="auto"/>
          <w:highlight w:val="none"/>
        </w:rPr>
        <w:t>本</w:t>
      </w:r>
      <w:r>
        <w:rPr>
          <w:rFonts w:hint="eastAsia"/>
          <w:color w:val="auto"/>
          <w:highlight w:val="none"/>
          <w:lang w:eastAsia="zh-CN"/>
        </w:rPr>
        <w:t>技术规范书</w:t>
      </w:r>
      <w:r>
        <w:rPr>
          <w:color w:val="auto"/>
          <w:highlight w:val="none"/>
        </w:rPr>
        <w:t>仅描述基本的技术需求，不保证对一切技术细节做出规定，也不保证已充分引述有关标准和技术条文，投标方根据需求目标提供进一步具体的可满足要求的功能、性能和安全性指标。</w:t>
      </w:r>
      <w:bookmarkEnd w:id="14"/>
      <w:bookmarkEnd w:id="15"/>
      <w:bookmarkEnd w:id="16"/>
    </w:p>
    <w:p>
      <w:pPr>
        <w:pStyle w:val="4"/>
        <w:bidi w:val="0"/>
        <w:ind w:left="0" w:leftChars="0" w:firstLine="0" w:firstLineChars="0"/>
        <w:rPr>
          <w:color w:val="auto"/>
          <w:highlight w:val="none"/>
        </w:rPr>
      </w:pPr>
      <w:bookmarkStart w:id="17" w:name="_Toc205354768"/>
      <w:bookmarkStart w:id="18" w:name="_Toc245283794"/>
      <w:bookmarkStart w:id="19" w:name="_Toc245283692"/>
      <w:bookmarkStart w:id="20" w:name="_Toc245434920"/>
      <w:r>
        <w:rPr>
          <w:color w:val="auto"/>
          <w:highlight w:val="none"/>
        </w:rPr>
        <w:t>投标技术文件要求文字详细、数据准确、表述及图示清晰明确，具有针对性。</w:t>
      </w:r>
      <w:bookmarkEnd w:id="17"/>
      <w:bookmarkEnd w:id="18"/>
      <w:bookmarkEnd w:id="19"/>
      <w:bookmarkEnd w:id="20"/>
    </w:p>
    <w:p>
      <w:pPr>
        <w:pStyle w:val="4"/>
        <w:bidi w:val="0"/>
        <w:ind w:left="0" w:leftChars="0" w:firstLine="0" w:firstLineChars="0"/>
        <w:rPr>
          <w:color w:val="auto"/>
          <w:highlight w:val="none"/>
        </w:rPr>
      </w:pPr>
      <w:bookmarkStart w:id="21" w:name="_Toc245283795"/>
      <w:bookmarkStart w:id="22" w:name="_Toc245283693"/>
      <w:bookmarkStart w:id="23" w:name="_Toc245434921"/>
      <w:r>
        <w:rPr>
          <w:color w:val="auto"/>
          <w:highlight w:val="none"/>
        </w:rPr>
        <w:t>本</w:t>
      </w:r>
      <w:r>
        <w:rPr>
          <w:rFonts w:hint="eastAsia"/>
          <w:color w:val="auto"/>
          <w:highlight w:val="none"/>
          <w:lang w:eastAsia="zh-CN"/>
        </w:rPr>
        <w:t>技术规范书</w:t>
      </w:r>
      <w:r>
        <w:rPr>
          <w:color w:val="auto"/>
          <w:highlight w:val="none"/>
        </w:rPr>
        <w:t>以中文编写，投标方对本</w:t>
      </w:r>
      <w:r>
        <w:rPr>
          <w:rFonts w:hint="eastAsia"/>
          <w:color w:val="auto"/>
          <w:highlight w:val="none"/>
          <w:lang w:eastAsia="zh-CN"/>
        </w:rPr>
        <w:t>技术规范书</w:t>
      </w:r>
      <w:r>
        <w:rPr>
          <w:color w:val="auto"/>
          <w:highlight w:val="none"/>
        </w:rPr>
        <w:t>的答复分为规范书应答书、技术建议书两部分，采用中文书面形式回复，投标方提供所有答复和相关技术资料的电子版（电子版文件无编译或读取权限限制）。</w:t>
      </w:r>
      <w:bookmarkEnd w:id="21"/>
      <w:bookmarkEnd w:id="22"/>
      <w:bookmarkEnd w:id="23"/>
    </w:p>
    <w:p>
      <w:pPr>
        <w:pStyle w:val="4"/>
        <w:keepNext/>
        <w:keepLines w:val="0"/>
        <w:pageBreakBefore w:val="0"/>
        <w:widowControl/>
        <w:tabs>
          <w:tab w:val="left" w:pos="840"/>
        </w:tabs>
        <w:kinsoku/>
        <w:wordWrap/>
        <w:overflowPunct/>
        <w:autoSpaceDE/>
        <w:autoSpaceDN/>
        <w:bidi w:val="0"/>
        <w:adjustRightInd/>
        <w:snapToGrid/>
        <w:ind w:left="0" w:leftChars="0" w:firstLine="0" w:firstLineChars="0"/>
        <w:textAlignment w:val="auto"/>
        <w:rPr>
          <w:rFonts w:hint="eastAsia"/>
          <w:color w:val="auto"/>
          <w:highlight w:val="none"/>
          <w:lang w:val="en-US" w:eastAsia="zh-CN"/>
        </w:rPr>
      </w:pPr>
      <w:r>
        <w:rPr>
          <w:color w:val="auto"/>
          <w:highlight w:val="none"/>
        </w:rPr>
        <w:t>招标方针对投标方所提供的技术服务质量将在中标后的设备供货、工程实施、验收、运行维护支持等阶段工作中进行考核评价，并将会把该考核评价结果计入下一年度的设备招标评价中，投标方确保针对本次招标的服务承诺为真实可信的承诺标准，否则招标方保留进行追责和索赔的权利。</w:t>
      </w:r>
      <w:bookmarkStart w:id="24" w:name="_Toc245283796"/>
      <w:bookmarkStart w:id="25" w:name="_Toc245434922"/>
      <w:bookmarkStart w:id="26" w:name="_Toc245283694"/>
    </w:p>
    <w:p>
      <w:pPr>
        <w:pStyle w:val="4"/>
        <w:keepNext/>
        <w:keepLines w:val="0"/>
        <w:pageBreakBefore w:val="0"/>
        <w:widowControl/>
        <w:tabs>
          <w:tab w:val="left" w:pos="840"/>
        </w:tabs>
        <w:kinsoku/>
        <w:wordWrap/>
        <w:overflowPunct/>
        <w:autoSpaceDE/>
        <w:autoSpaceDN/>
        <w:bidi w:val="0"/>
        <w:adjustRightInd/>
        <w:snapToGrid/>
        <w:ind w:left="0" w:leftChars="0" w:firstLine="0" w:firstLineChars="0"/>
        <w:textAlignment w:val="auto"/>
        <w:rPr>
          <w:color w:val="auto"/>
          <w:highlight w:val="none"/>
        </w:rPr>
      </w:pPr>
      <w:r>
        <w:rPr>
          <w:rFonts w:hint="eastAsia"/>
          <w:color w:val="auto"/>
          <w:highlight w:val="none"/>
          <w:lang w:val="en-US" w:eastAsia="zh-CN"/>
        </w:rPr>
        <w:t>本技术规范书适用于</w:t>
      </w:r>
      <w:r>
        <w:rPr>
          <w:rFonts w:hint="eastAsia"/>
          <w:color w:val="auto"/>
          <w:highlight w:val="none"/>
          <w:lang w:eastAsia="zh-CN"/>
        </w:rPr>
        <w:t>桂林培训评价基地（卧佛）2026年UPS电源屏柜</w:t>
      </w:r>
      <w:r>
        <w:rPr>
          <w:rFonts w:hint="eastAsia"/>
          <w:color w:val="auto"/>
          <w:highlight w:val="none"/>
          <w:lang w:val="en-US" w:eastAsia="zh-CN"/>
        </w:rPr>
        <w:t>设备的采购，它包含了所需</w:t>
      </w:r>
      <w:r>
        <w:rPr>
          <w:rFonts w:hint="eastAsia"/>
          <w:color w:val="auto"/>
          <w:highlight w:val="none"/>
          <w:lang w:eastAsia="zh-CN"/>
        </w:rPr>
        <w:t>UPS电源屏柜</w:t>
      </w:r>
      <w:r>
        <w:rPr>
          <w:rFonts w:hint="eastAsia"/>
          <w:color w:val="auto"/>
          <w:highlight w:val="none"/>
          <w:lang w:val="en-US" w:eastAsia="zh-CN"/>
        </w:rPr>
        <w:t>设备及各设备的系统集成，它提出了对</w:t>
      </w:r>
      <w:r>
        <w:rPr>
          <w:rFonts w:hint="eastAsia"/>
          <w:color w:val="auto"/>
          <w:highlight w:val="none"/>
          <w:lang w:eastAsia="zh-CN"/>
        </w:rPr>
        <w:t>UPS电源屏柜</w:t>
      </w:r>
      <w:r>
        <w:rPr>
          <w:rFonts w:hint="eastAsia"/>
          <w:color w:val="auto"/>
          <w:highlight w:val="none"/>
          <w:lang w:val="en-US" w:eastAsia="zh-CN"/>
        </w:rPr>
        <w:t>设备的各主要技术业务功能要求、供货要求、服务要求，供投标方编写建议书和报价之用（建议书的内容格式符合本规范书的要求）。投标方结合自身特点，根据本条件书所描述的</w:t>
      </w:r>
      <w:r>
        <w:rPr>
          <w:rFonts w:hint="eastAsia"/>
          <w:color w:val="auto"/>
          <w:highlight w:val="none"/>
          <w:lang w:eastAsia="zh-CN"/>
        </w:rPr>
        <w:t>UPS电源屏柜</w:t>
      </w:r>
      <w:r>
        <w:rPr>
          <w:rFonts w:hint="eastAsia"/>
          <w:color w:val="auto"/>
          <w:highlight w:val="none"/>
          <w:lang w:val="en-US" w:eastAsia="zh-CN"/>
        </w:rPr>
        <w:t>设备的具体要求，提供符合要求的产品。</w:t>
      </w:r>
    </w:p>
    <w:bookmarkEnd w:id="24"/>
    <w:bookmarkEnd w:id="25"/>
    <w:bookmarkEnd w:id="26"/>
    <w:p>
      <w:pPr>
        <w:pStyle w:val="4"/>
        <w:bidi w:val="0"/>
        <w:ind w:left="0" w:leftChars="0" w:firstLine="0" w:firstLineChars="0"/>
        <w:rPr>
          <w:color w:val="auto"/>
          <w:highlight w:val="none"/>
        </w:rPr>
      </w:pPr>
      <w:r>
        <w:rPr>
          <w:color w:val="auto"/>
          <w:highlight w:val="none"/>
        </w:rPr>
        <w:t>本</w:t>
      </w:r>
      <w:r>
        <w:rPr>
          <w:rFonts w:hint="eastAsia"/>
          <w:color w:val="auto"/>
          <w:highlight w:val="none"/>
          <w:lang w:eastAsia="zh-CN"/>
        </w:rPr>
        <w:t>技术规范书</w:t>
      </w:r>
      <w:r>
        <w:rPr>
          <w:color w:val="auto"/>
          <w:highlight w:val="none"/>
        </w:rPr>
        <w:t>适应于本次招标设备的设计、制造、装配、工厂试验、交付、现场安装和试验的指导、监督以及试运行工作。</w:t>
      </w:r>
    </w:p>
    <w:p>
      <w:pPr>
        <w:pStyle w:val="4"/>
        <w:bidi w:val="0"/>
        <w:ind w:left="0" w:leftChars="0" w:firstLine="0" w:firstLineChars="0"/>
        <w:rPr>
          <w:color w:val="auto"/>
          <w:highlight w:val="none"/>
        </w:rPr>
      </w:pPr>
      <w:bookmarkStart w:id="27" w:name="_Toc245283695"/>
      <w:bookmarkStart w:id="28" w:name="_Toc245434923"/>
      <w:bookmarkStart w:id="29" w:name="_Toc245283797"/>
      <w:r>
        <w:rPr>
          <w:color w:val="auto"/>
          <w:highlight w:val="none"/>
        </w:rPr>
        <w:t>投标方提供的产品及其实施方案需具有先进性、可靠性，并具有高的性能价格比和可扩展性。</w:t>
      </w:r>
      <w:bookmarkEnd w:id="27"/>
      <w:bookmarkEnd w:id="28"/>
      <w:bookmarkEnd w:id="29"/>
    </w:p>
    <w:p>
      <w:pPr>
        <w:pStyle w:val="4"/>
        <w:bidi w:val="0"/>
        <w:ind w:left="0" w:leftChars="0" w:firstLine="0" w:firstLineChars="0"/>
        <w:rPr>
          <w:color w:val="auto"/>
          <w:highlight w:val="none"/>
        </w:rPr>
      </w:pPr>
      <w:bookmarkStart w:id="30" w:name="_Toc245283798"/>
      <w:bookmarkStart w:id="31" w:name="_Toc245434924"/>
      <w:bookmarkStart w:id="32" w:name="_Toc245283696"/>
      <w:r>
        <w:rPr>
          <w:color w:val="auto"/>
          <w:highlight w:val="none"/>
        </w:rPr>
        <w:t>投标方提供的各项设备和系统的功能、性能和安全性需完全符合招标方指明的标准，并满足或高于招标方提出的要求。</w:t>
      </w:r>
      <w:bookmarkEnd w:id="30"/>
      <w:bookmarkEnd w:id="31"/>
      <w:bookmarkEnd w:id="32"/>
    </w:p>
    <w:p>
      <w:pPr>
        <w:pStyle w:val="4"/>
        <w:bidi w:val="0"/>
        <w:ind w:left="0" w:leftChars="0" w:firstLine="0" w:firstLineChars="0"/>
        <w:rPr>
          <w:b w:val="0"/>
          <w:bCs/>
          <w:color w:val="auto"/>
          <w:highlight w:val="none"/>
        </w:rPr>
      </w:pPr>
      <w:r>
        <w:rPr>
          <w:b w:val="0"/>
          <w:bCs/>
          <w:color w:val="auto"/>
          <w:highlight w:val="none"/>
        </w:rPr>
        <w:t>投标方提供的产品如包含有集成芯片，需满足自主可控要求，需提供本次产品集成部件的芯片，包含但不限于</w:t>
      </w:r>
      <w:r>
        <w:rPr>
          <w:b w:val="0"/>
          <w:bCs/>
          <w:color w:val="auto"/>
          <w:highlight w:val="none"/>
          <w:lang w:eastAsia="zh-CN"/>
        </w:rPr>
        <w:t>CPU、DRAM颗粒</w:t>
      </w:r>
      <w:r>
        <w:rPr>
          <w:b w:val="0"/>
          <w:bCs/>
          <w:color w:val="auto"/>
          <w:highlight w:val="none"/>
        </w:rPr>
        <w:t>、PHY、FLASH、电源、交换转发、通信等芯片的厂家名称、产品系列、规格、关键参数等信息。</w:t>
      </w:r>
    </w:p>
    <w:p>
      <w:pPr>
        <w:pStyle w:val="4"/>
        <w:bidi w:val="0"/>
        <w:ind w:left="0" w:leftChars="0" w:firstLine="0" w:firstLineChars="0"/>
        <w:rPr>
          <w:color w:val="auto"/>
          <w:highlight w:val="none"/>
        </w:rPr>
      </w:pPr>
      <w:bookmarkStart w:id="33" w:name="_Toc245283799"/>
      <w:bookmarkStart w:id="34" w:name="_Toc245283697"/>
      <w:bookmarkStart w:id="35" w:name="_Toc245434925"/>
      <w:r>
        <w:rPr>
          <w:color w:val="auto"/>
          <w:highlight w:val="none"/>
        </w:rPr>
        <w:t>如果投标方提供的设备与本</w:t>
      </w:r>
      <w:r>
        <w:rPr>
          <w:rFonts w:hint="eastAsia"/>
          <w:color w:val="auto"/>
          <w:highlight w:val="none"/>
          <w:lang w:eastAsia="zh-CN"/>
        </w:rPr>
        <w:t>技术规范书</w:t>
      </w:r>
      <w:r>
        <w:rPr>
          <w:color w:val="auto"/>
          <w:highlight w:val="none"/>
        </w:rPr>
        <w:t>的要求有差异，需在</w:t>
      </w:r>
      <w:r>
        <w:rPr>
          <w:rFonts w:hint="eastAsia"/>
          <w:color w:val="auto"/>
          <w:highlight w:val="none"/>
          <w:lang w:eastAsia="zh-CN"/>
        </w:rPr>
        <w:t>投标文件</w:t>
      </w:r>
      <w:r>
        <w:rPr>
          <w:color w:val="auto"/>
          <w:highlight w:val="none"/>
        </w:rPr>
        <w:t>中以“技术偏差”为标题的专门章节中加以详细描述。投标方如不能满足本</w:t>
      </w:r>
      <w:r>
        <w:rPr>
          <w:rFonts w:hint="eastAsia"/>
          <w:color w:val="auto"/>
          <w:highlight w:val="none"/>
          <w:lang w:eastAsia="zh-CN"/>
        </w:rPr>
        <w:t>技术规范书</w:t>
      </w:r>
      <w:r>
        <w:rPr>
          <w:color w:val="auto"/>
          <w:highlight w:val="none"/>
        </w:rPr>
        <w:t>的要求部分，也需在技术建议书中提出说明。</w:t>
      </w:r>
      <w:bookmarkEnd w:id="33"/>
      <w:bookmarkEnd w:id="34"/>
      <w:bookmarkEnd w:id="35"/>
    </w:p>
    <w:p>
      <w:pPr>
        <w:pStyle w:val="4"/>
        <w:bidi w:val="0"/>
        <w:ind w:left="0" w:leftChars="0" w:firstLine="0" w:firstLineChars="0"/>
        <w:rPr>
          <w:color w:val="auto"/>
          <w:highlight w:val="none"/>
        </w:rPr>
      </w:pPr>
      <w:bookmarkStart w:id="36" w:name="_Toc245283800"/>
      <w:bookmarkStart w:id="37" w:name="_Toc245434926"/>
      <w:bookmarkStart w:id="38" w:name="_Toc245283698"/>
      <w:r>
        <w:rPr>
          <w:color w:val="auto"/>
          <w:highlight w:val="none"/>
        </w:rPr>
        <w:t>本次投标的主要设备的原厂商需具有相关</w:t>
      </w:r>
      <w:r>
        <w:rPr>
          <w:color w:val="auto"/>
          <w:highlight w:val="none"/>
          <w:lang w:val="en-US" w:eastAsia="zh-CN"/>
        </w:rPr>
        <w:t>设备的</w:t>
      </w:r>
      <w:r>
        <w:rPr>
          <w:color w:val="auto"/>
          <w:highlight w:val="none"/>
        </w:rPr>
        <w:t>设计、制造经验。</w:t>
      </w:r>
      <w:bookmarkEnd w:id="36"/>
      <w:bookmarkEnd w:id="37"/>
      <w:bookmarkEnd w:id="38"/>
    </w:p>
    <w:p>
      <w:pPr>
        <w:pStyle w:val="4"/>
        <w:bidi w:val="0"/>
        <w:ind w:left="0" w:leftChars="0" w:firstLine="0" w:firstLineChars="0"/>
        <w:rPr>
          <w:color w:val="auto"/>
          <w:highlight w:val="none"/>
        </w:rPr>
      </w:pPr>
      <w:r>
        <w:rPr>
          <w:color w:val="auto"/>
          <w:highlight w:val="none"/>
        </w:rPr>
        <w:t>如设备为OEM第三方产品，</w:t>
      </w:r>
      <w:r>
        <w:rPr>
          <w:color w:val="auto"/>
          <w:highlight w:val="none"/>
          <w:lang w:eastAsia="zh-Hans"/>
        </w:rPr>
        <w:t>投标方</w:t>
      </w:r>
      <w:r>
        <w:rPr>
          <w:color w:val="auto"/>
          <w:highlight w:val="none"/>
        </w:rPr>
        <w:t>说明该产品的原生产厂商。</w:t>
      </w:r>
    </w:p>
    <w:p>
      <w:pPr>
        <w:pStyle w:val="4"/>
        <w:bidi w:val="0"/>
        <w:ind w:left="0" w:leftChars="0" w:firstLine="0" w:firstLineChars="0"/>
        <w:rPr>
          <w:color w:val="auto"/>
          <w:highlight w:val="none"/>
        </w:rPr>
      </w:pPr>
      <w:bookmarkStart w:id="39" w:name="_Toc245283804"/>
      <w:bookmarkStart w:id="40" w:name="_Toc245434930"/>
      <w:bookmarkStart w:id="41" w:name="_Toc245283702"/>
      <w:r>
        <w:rPr>
          <w:color w:val="auto"/>
          <w:highlight w:val="none"/>
        </w:rPr>
        <w:t>投标方需保证投标设备（配件）5年内提供备品备件，在设备停产前3个月通知招标方。</w:t>
      </w:r>
      <w:bookmarkEnd w:id="39"/>
      <w:bookmarkEnd w:id="40"/>
      <w:bookmarkEnd w:id="41"/>
    </w:p>
    <w:p>
      <w:pPr>
        <w:pStyle w:val="4"/>
        <w:bidi w:val="0"/>
        <w:ind w:left="0" w:leftChars="0" w:firstLine="0" w:firstLineChars="0"/>
        <w:rPr>
          <w:color w:val="auto"/>
          <w:highlight w:val="none"/>
        </w:rPr>
      </w:pPr>
      <w:bookmarkStart w:id="42" w:name="_Toc245283703"/>
      <w:bookmarkStart w:id="43" w:name="_Toc245434931"/>
      <w:bookmarkStart w:id="44" w:name="_Toc245283805"/>
      <w:r>
        <w:rPr>
          <w:color w:val="auto"/>
          <w:highlight w:val="none"/>
        </w:rPr>
        <w:t>投标方</w:t>
      </w:r>
      <w:r>
        <w:rPr>
          <w:rFonts w:hint="eastAsia"/>
          <w:color w:val="auto"/>
          <w:highlight w:val="none"/>
          <w:lang w:eastAsia="zh-CN"/>
        </w:rPr>
        <w:t>所提供设备</w:t>
      </w:r>
      <w:r>
        <w:rPr>
          <w:color w:val="auto"/>
          <w:highlight w:val="none"/>
        </w:rPr>
        <w:t>需符合有关标准。若投标方的设备包含有自己专用标准，需在项目建议书中具体说明，并附上相应的详细的技术资料。</w:t>
      </w:r>
      <w:bookmarkEnd w:id="42"/>
      <w:bookmarkEnd w:id="43"/>
      <w:bookmarkEnd w:id="44"/>
    </w:p>
    <w:p>
      <w:pPr>
        <w:pStyle w:val="4"/>
        <w:bidi w:val="0"/>
        <w:ind w:left="0" w:leftChars="0" w:firstLine="0" w:firstLineChars="0"/>
        <w:rPr>
          <w:b w:val="0"/>
          <w:bCs/>
          <w:color w:val="auto"/>
          <w:highlight w:val="none"/>
        </w:rPr>
      </w:pPr>
      <w:bookmarkStart w:id="45" w:name="_Toc245283806"/>
      <w:bookmarkStart w:id="46" w:name="_Toc245283704"/>
      <w:bookmarkStart w:id="47" w:name="_Toc245434932"/>
      <w:r>
        <w:rPr>
          <w:b w:val="0"/>
          <w:bCs/>
          <w:color w:val="auto"/>
          <w:highlight w:val="none"/>
        </w:rPr>
        <w:t>投标方承诺所提供的</w:t>
      </w:r>
      <w:r>
        <w:rPr>
          <w:b w:val="0"/>
          <w:bCs/>
          <w:color w:val="auto"/>
          <w:highlight w:val="none"/>
          <w:lang w:val="en-US" w:eastAsia="zh-CN"/>
        </w:rPr>
        <w:t>设备</w:t>
      </w:r>
      <w:r>
        <w:rPr>
          <w:b w:val="0"/>
          <w:bCs/>
          <w:color w:val="auto"/>
          <w:highlight w:val="none"/>
        </w:rPr>
        <w:t>本身不能有任何安全隐患，任何由设备安全引起的招标方的事故，投标方承担主要责任。</w:t>
      </w:r>
      <w:bookmarkEnd w:id="45"/>
      <w:bookmarkEnd w:id="46"/>
      <w:bookmarkEnd w:id="47"/>
    </w:p>
    <w:p>
      <w:pPr>
        <w:pStyle w:val="4"/>
        <w:bidi w:val="0"/>
        <w:ind w:left="0" w:leftChars="0" w:firstLine="0" w:firstLineChars="0"/>
        <w:rPr>
          <w:b w:val="0"/>
          <w:bCs/>
          <w:color w:val="auto"/>
          <w:highlight w:val="none"/>
        </w:rPr>
      </w:pPr>
      <w:bookmarkStart w:id="48" w:name="_Toc245283807"/>
      <w:bookmarkStart w:id="49" w:name="_Toc245283705"/>
      <w:bookmarkStart w:id="50" w:name="_Toc245434933"/>
      <w:r>
        <w:rPr>
          <w:b w:val="0"/>
          <w:bCs/>
          <w:color w:val="auto"/>
          <w:highlight w:val="none"/>
        </w:rPr>
        <w:t>本</w:t>
      </w:r>
      <w:r>
        <w:rPr>
          <w:rFonts w:hint="eastAsia"/>
          <w:b w:val="0"/>
          <w:bCs/>
          <w:color w:val="auto"/>
          <w:highlight w:val="none"/>
          <w:lang w:eastAsia="zh-CN"/>
        </w:rPr>
        <w:t>技术规范书</w:t>
      </w:r>
      <w:r>
        <w:rPr>
          <w:b w:val="0"/>
          <w:bCs/>
          <w:color w:val="auto"/>
          <w:highlight w:val="none"/>
        </w:rPr>
        <w:t>视为保证安全运行所需设备与服务的最低要求，如有遗漏，投标方予以补充，否则一旦中标将认为投标方认同遗漏部分并免费提供。</w:t>
      </w:r>
      <w:bookmarkEnd w:id="48"/>
      <w:bookmarkEnd w:id="49"/>
      <w:bookmarkEnd w:id="50"/>
    </w:p>
    <w:p>
      <w:pPr>
        <w:pStyle w:val="4"/>
        <w:bidi w:val="0"/>
        <w:ind w:left="0" w:leftChars="0" w:firstLine="0" w:firstLineChars="0"/>
        <w:rPr>
          <w:color w:val="auto"/>
          <w:highlight w:val="none"/>
        </w:rPr>
      </w:pPr>
      <w:bookmarkStart w:id="51" w:name="_Toc245434934"/>
      <w:bookmarkStart w:id="52" w:name="_Toc245283808"/>
      <w:bookmarkStart w:id="53" w:name="_Toc245283706"/>
      <w:r>
        <w:rPr>
          <w:color w:val="auto"/>
          <w:highlight w:val="none"/>
        </w:rPr>
        <w:t>投标方列出包括附件和投标方外购设备在内的定购产品所参照的规范标准和标准号，且这些规范标准和标准号包括任何修改或补充部分的最新版本或修订本，上述内容均编在建议书中。任何与本</w:t>
      </w:r>
      <w:r>
        <w:rPr>
          <w:rFonts w:hint="eastAsia"/>
          <w:color w:val="auto"/>
          <w:highlight w:val="none"/>
          <w:lang w:eastAsia="zh-CN"/>
        </w:rPr>
        <w:t>技术规范书</w:t>
      </w:r>
      <w:r>
        <w:rPr>
          <w:color w:val="auto"/>
          <w:highlight w:val="none"/>
        </w:rPr>
        <w:t>相关条款不同的内容都指出，并详细说明原因。</w:t>
      </w:r>
      <w:bookmarkEnd w:id="51"/>
      <w:bookmarkEnd w:id="52"/>
      <w:bookmarkEnd w:id="53"/>
    </w:p>
    <w:p>
      <w:pPr>
        <w:pStyle w:val="4"/>
        <w:bidi w:val="0"/>
        <w:ind w:left="0" w:leftChars="0" w:firstLine="0" w:firstLineChars="0"/>
        <w:rPr>
          <w:color w:val="auto"/>
          <w:highlight w:val="none"/>
        </w:rPr>
      </w:pPr>
      <w:bookmarkStart w:id="54" w:name="_Toc245283809"/>
      <w:bookmarkStart w:id="55" w:name="_Toc245283707"/>
      <w:bookmarkStart w:id="56" w:name="_Toc245434935"/>
      <w:r>
        <w:rPr>
          <w:color w:val="auto"/>
          <w:highlight w:val="none"/>
        </w:rPr>
        <w:t>投标方提供的设备符合最新的、可适用的标准，但投标方可以提供经招标方认可的符合产地同类工艺国家标准的设备或材料。</w:t>
      </w:r>
      <w:bookmarkEnd w:id="54"/>
      <w:bookmarkEnd w:id="55"/>
      <w:bookmarkEnd w:id="56"/>
    </w:p>
    <w:p>
      <w:pPr>
        <w:pStyle w:val="4"/>
        <w:bidi w:val="0"/>
        <w:ind w:left="0" w:leftChars="0" w:firstLine="0" w:firstLineChars="0"/>
        <w:rPr>
          <w:color w:val="auto"/>
          <w:highlight w:val="none"/>
        </w:rPr>
      </w:pPr>
      <w:bookmarkStart w:id="57" w:name="_Toc245283708"/>
      <w:bookmarkStart w:id="58" w:name="_Toc245434936"/>
      <w:bookmarkStart w:id="59" w:name="_Toc245283810"/>
      <w:r>
        <w:rPr>
          <w:color w:val="auto"/>
          <w:highlight w:val="none"/>
        </w:rPr>
        <w:t>投标方在本规范书中未说明的条款，符合相应的国际标准及建议。若投标方的设备包含自己专用标准，也需在建议书中具体说明，并附上相应的详细技术资料</w:t>
      </w:r>
    </w:p>
    <w:p>
      <w:pPr>
        <w:pStyle w:val="4"/>
        <w:bidi w:val="0"/>
        <w:ind w:left="0" w:leftChars="0" w:firstLine="0" w:firstLineChars="0"/>
        <w:rPr>
          <w:color w:val="auto"/>
          <w:highlight w:val="none"/>
        </w:rPr>
      </w:pPr>
      <w:r>
        <w:rPr>
          <w:rFonts w:hint="eastAsia"/>
          <w:color w:val="auto"/>
          <w:highlight w:val="none"/>
        </w:rPr>
        <w:t>标“</w:t>
      </w:r>
      <w:r>
        <w:rPr>
          <w:rFonts w:hint="eastAsia"/>
          <w:color w:val="auto"/>
          <w:highlight w:val="none"/>
          <w:lang w:eastAsia="zh-CN"/>
        </w:rPr>
        <w:t>（</w:t>
      </w:r>
      <w:r>
        <w:rPr>
          <w:rFonts w:hint="eastAsia"/>
          <w:color w:val="auto"/>
          <w:highlight w:val="none"/>
        </w:rPr>
        <w:t>重要技术参数</w:t>
      </w:r>
      <w:r>
        <w:rPr>
          <w:rFonts w:hint="eastAsia"/>
          <w:color w:val="auto"/>
          <w:highlight w:val="none"/>
          <w:lang w:eastAsia="zh-CN"/>
        </w:rPr>
        <w:t>）</w:t>
      </w:r>
      <w:r>
        <w:rPr>
          <w:rFonts w:hint="eastAsia"/>
          <w:color w:val="auto"/>
          <w:highlight w:val="none"/>
        </w:rPr>
        <w:t>”的技术参数是关键参数，投标设备必须满足指标要求，</w:t>
      </w:r>
      <w:r>
        <w:rPr>
          <w:rFonts w:hint="eastAsia"/>
          <w:color w:val="auto"/>
          <w:highlight w:val="none"/>
          <w:lang w:eastAsia="zh-CN"/>
        </w:rPr>
        <w:t>如不满足则严重影响技术评分。</w:t>
      </w:r>
      <w:r>
        <w:rPr>
          <w:rFonts w:hint="eastAsia"/>
          <w:color w:val="auto"/>
          <w:highlight w:val="none"/>
        </w:rPr>
        <w:t>同时投标方应提供相应的公开宣传资料、产品彩页、网站资料、界面截图、测试报告等进行验证。</w:t>
      </w:r>
    </w:p>
    <w:p>
      <w:pPr>
        <w:pStyle w:val="4"/>
        <w:bidi w:val="0"/>
        <w:ind w:left="0" w:leftChars="0" w:firstLine="0" w:firstLineChars="0"/>
        <w:rPr>
          <w:color w:val="auto"/>
          <w:highlight w:val="none"/>
        </w:rPr>
      </w:pPr>
      <w:r>
        <w:rPr>
          <w:color w:val="auto"/>
          <w:highlight w:val="none"/>
        </w:rPr>
        <w:t>本</w:t>
      </w:r>
      <w:r>
        <w:rPr>
          <w:rFonts w:hint="eastAsia"/>
          <w:color w:val="auto"/>
          <w:highlight w:val="none"/>
          <w:lang w:eastAsia="zh-CN"/>
        </w:rPr>
        <w:t>技术规范书</w:t>
      </w:r>
      <w:r>
        <w:rPr>
          <w:color w:val="auto"/>
          <w:highlight w:val="none"/>
        </w:rPr>
        <w:t>未说明，但又与设计、制造、装配、试验、运输、包装、保管、安装和运行维护有关的技术要求，按条款3所规定的有关标准执行。</w:t>
      </w:r>
    </w:p>
    <w:p>
      <w:pPr>
        <w:pStyle w:val="4"/>
        <w:bidi w:val="0"/>
        <w:ind w:left="0" w:leftChars="0" w:firstLine="0" w:firstLineChars="0"/>
        <w:rPr>
          <w:color w:val="auto"/>
          <w:highlight w:val="none"/>
        </w:rPr>
      </w:pPr>
      <w:r>
        <w:rPr>
          <w:color w:val="auto"/>
          <w:highlight w:val="none"/>
        </w:rPr>
        <w:t>投标方要确保供货范围完整，需满足本技术规范的供货要求及技术、功能、性能等要求，并以能满足用户安装、运行要求为原则。若签订合同后，在安装、调试、运行中发现缺项，则由投标方负责免费补充。</w:t>
      </w:r>
    </w:p>
    <w:bookmarkEnd w:id="57"/>
    <w:bookmarkEnd w:id="58"/>
    <w:bookmarkEnd w:id="59"/>
    <w:p>
      <w:pPr>
        <w:pStyle w:val="4"/>
        <w:bidi w:val="0"/>
        <w:ind w:left="0" w:leftChars="0" w:firstLine="0" w:firstLineChars="0"/>
        <w:rPr>
          <w:color w:val="auto"/>
          <w:highlight w:val="none"/>
        </w:rPr>
      </w:pPr>
      <w:r>
        <w:rPr>
          <w:color w:val="auto"/>
          <w:highlight w:val="none"/>
        </w:rPr>
        <w:t>投标方所提供的组件或附件如需向第三方外购时，投标方应对质量向招标方负责，并提供相应出厂和验收证明。</w:t>
      </w:r>
    </w:p>
    <w:p>
      <w:pPr>
        <w:pStyle w:val="4"/>
        <w:bidi w:val="0"/>
        <w:ind w:left="0" w:leftChars="0" w:firstLine="0" w:firstLineChars="0"/>
        <w:rPr>
          <w:color w:val="auto"/>
          <w:highlight w:val="none"/>
        </w:rPr>
      </w:pPr>
      <w:bookmarkStart w:id="60" w:name="_Toc245283710"/>
      <w:bookmarkStart w:id="61" w:name="_Toc245434938"/>
      <w:bookmarkStart w:id="62" w:name="_Toc245283812"/>
      <w:r>
        <w:rPr>
          <w:color w:val="auto"/>
          <w:highlight w:val="none"/>
        </w:rPr>
        <w:t>投标方未经招标方同意，不得以任何形式向第三方公开本</w:t>
      </w:r>
      <w:r>
        <w:rPr>
          <w:rFonts w:hint="eastAsia"/>
          <w:color w:val="auto"/>
          <w:highlight w:val="none"/>
          <w:lang w:eastAsia="zh-CN"/>
        </w:rPr>
        <w:t>技术规范书</w:t>
      </w:r>
      <w:r>
        <w:rPr>
          <w:color w:val="auto"/>
          <w:highlight w:val="none"/>
        </w:rPr>
        <w:t>。</w:t>
      </w:r>
      <w:bookmarkEnd w:id="60"/>
      <w:bookmarkEnd w:id="61"/>
      <w:bookmarkEnd w:id="62"/>
    </w:p>
    <w:p>
      <w:pPr>
        <w:pStyle w:val="4"/>
        <w:bidi w:val="0"/>
        <w:ind w:left="0" w:leftChars="0" w:firstLine="0" w:firstLineChars="0"/>
        <w:rPr>
          <w:color w:val="auto"/>
          <w:highlight w:val="none"/>
        </w:rPr>
      </w:pPr>
      <w:bookmarkStart w:id="63" w:name="_Toc245283711"/>
      <w:bookmarkStart w:id="64" w:name="_Toc245434939"/>
      <w:bookmarkStart w:id="65" w:name="_Toc245283813"/>
      <w:r>
        <w:rPr>
          <w:color w:val="auto"/>
          <w:highlight w:val="none"/>
        </w:rPr>
        <w:t>本</w:t>
      </w:r>
      <w:r>
        <w:rPr>
          <w:rFonts w:hint="eastAsia"/>
          <w:color w:val="auto"/>
          <w:highlight w:val="none"/>
          <w:lang w:eastAsia="zh-CN"/>
        </w:rPr>
        <w:t>技术规范书</w:t>
      </w:r>
      <w:r>
        <w:rPr>
          <w:color w:val="auto"/>
          <w:highlight w:val="none"/>
        </w:rPr>
        <w:t>未尽事宜，由招标方和投标方在合同技术谈判时协商确定。</w:t>
      </w:r>
      <w:bookmarkEnd w:id="63"/>
      <w:bookmarkEnd w:id="64"/>
      <w:bookmarkEnd w:id="65"/>
    </w:p>
    <w:p>
      <w:pPr>
        <w:pStyle w:val="4"/>
        <w:bidi w:val="0"/>
        <w:ind w:left="0" w:leftChars="0" w:firstLine="0" w:firstLineChars="0"/>
        <w:rPr>
          <w:color w:val="auto"/>
          <w:highlight w:val="none"/>
        </w:rPr>
      </w:pPr>
      <w:bookmarkStart w:id="66" w:name="_Toc245434940"/>
      <w:bookmarkStart w:id="67" w:name="_Toc245283814"/>
      <w:bookmarkStart w:id="68" w:name="_Toc245283712"/>
      <w:r>
        <w:rPr>
          <w:color w:val="auto"/>
          <w:highlight w:val="none"/>
        </w:rPr>
        <w:t>本</w:t>
      </w:r>
      <w:r>
        <w:rPr>
          <w:rFonts w:hint="eastAsia"/>
          <w:color w:val="auto"/>
          <w:highlight w:val="none"/>
          <w:lang w:eastAsia="zh-CN"/>
        </w:rPr>
        <w:t>技术规范书</w:t>
      </w:r>
      <w:r>
        <w:rPr>
          <w:color w:val="auto"/>
          <w:highlight w:val="none"/>
        </w:rPr>
        <w:t>解释权属招标方所有。</w:t>
      </w:r>
      <w:bookmarkEnd w:id="66"/>
      <w:bookmarkEnd w:id="67"/>
      <w:bookmarkEnd w:id="68"/>
    </w:p>
    <w:p>
      <w:pPr>
        <w:pStyle w:val="4"/>
        <w:bidi w:val="0"/>
        <w:ind w:left="0" w:leftChars="0" w:firstLine="0" w:firstLineChars="0"/>
        <w:rPr>
          <w:color w:val="auto"/>
          <w:highlight w:val="none"/>
        </w:rPr>
      </w:pPr>
      <w:r>
        <w:rPr>
          <w:rFonts w:hint="eastAsia"/>
          <w:color w:val="auto"/>
          <w:highlight w:val="none"/>
          <w:lang w:eastAsia="zh-CN"/>
        </w:rPr>
        <w:t>投标方</w:t>
      </w:r>
      <w:r>
        <w:rPr>
          <w:color w:val="auto"/>
          <w:highlight w:val="none"/>
        </w:rPr>
        <w:t>提供的产品若不符合国家相关政策，由</w:t>
      </w:r>
      <w:r>
        <w:rPr>
          <w:rFonts w:hint="eastAsia"/>
          <w:color w:val="auto"/>
          <w:highlight w:val="none"/>
          <w:lang w:eastAsia="zh-CN"/>
        </w:rPr>
        <w:t>投标方</w:t>
      </w:r>
      <w:r>
        <w:rPr>
          <w:color w:val="auto"/>
          <w:highlight w:val="none"/>
        </w:rPr>
        <w:t>免费进行更换。</w:t>
      </w:r>
    </w:p>
    <w:p>
      <w:pPr>
        <w:pStyle w:val="3"/>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color w:val="auto"/>
          <w:highlight w:val="none"/>
        </w:rPr>
      </w:pPr>
      <w:bookmarkStart w:id="69" w:name="_Toc352233454"/>
      <w:bookmarkStart w:id="70" w:name="_Toc31751"/>
      <w:bookmarkStart w:id="71" w:name="_Toc3003"/>
      <w:r>
        <w:rPr>
          <w:rFonts w:hint="eastAsia"/>
          <w:color w:val="auto"/>
          <w:highlight w:val="none"/>
          <w:lang w:eastAsia="zh-CN"/>
        </w:rPr>
        <w:t>供货</w:t>
      </w:r>
      <w:r>
        <w:rPr>
          <w:color w:val="auto"/>
          <w:highlight w:val="none"/>
        </w:rPr>
        <w:t>范围</w:t>
      </w:r>
      <w:bookmarkEnd w:id="69"/>
      <w:bookmarkEnd w:id="70"/>
      <w:bookmarkEnd w:id="71"/>
      <w:r>
        <w:rPr>
          <w:rFonts w:hint="eastAsia"/>
          <w:color w:val="auto"/>
          <w:highlight w:val="none"/>
          <w:lang w:eastAsia="zh-CN"/>
        </w:rPr>
        <w:t>及要求</w:t>
      </w:r>
    </w:p>
    <w:p>
      <w:pPr>
        <w:pStyle w:val="4"/>
        <w:keepNext w:val="0"/>
        <w:keepLines w:val="0"/>
        <w:pageBreakBefore w:val="0"/>
        <w:widowControl w:val="0"/>
        <w:kinsoku/>
        <w:wordWrap/>
        <w:overflowPunct/>
        <w:topLinePunct w:val="0"/>
        <w:autoSpaceDE/>
        <w:autoSpaceDN/>
        <w:bidi w:val="0"/>
        <w:adjustRightInd/>
        <w:ind w:left="0" w:leftChars="0" w:firstLine="0" w:firstLineChars="0"/>
        <w:textAlignment w:val="auto"/>
        <w:rPr>
          <w:color w:val="auto"/>
          <w:highlight w:val="none"/>
        </w:rPr>
      </w:pPr>
      <w:r>
        <w:rPr>
          <w:rFonts w:hint="eastAsia"/>
          <w:color w:val="auto"/>
          <w:highlight w:val="none"/>
          <w:lang w:eastAsia="zh-CN"/>
        </w:rPr>
        <w:t>本项目采购屏柜，</w:t>
      </w:r>
      <w:r>
        <w:rPr>
          <w:rFonts w:hint="eastAsia"/>
          <w:color w:val="auto"/>
          <w:highlight w:val="none"/>
          <w:lang w:val="en-US" w:eastAsia="zh-CN"/>
        </w:rPr>
        <w:t>3台,</w:t>
      </w:r>
      <w:r>
        <w:rPr>
          <w:rFonts w:hint="eastAsia" w:ascii="宋体" w:hAnsi="宋体" w:eastAsia="宋体" w:cs="宋体"/>
          <w:color w:val="auto"/>
          <w:sz w:val="24"/>
          <w:szCs w:val="24"/>
          <w:highlight w:val="none"/>
          <w:lang w:val="en-US" w:eastAsia="zh-CN"/>
        </w:rPr>
        <w:t>（具体物资、规格参数、数量，详见</w:t>
      </w:r>
      <w:r>
        <w:rPr>
          <w:rFonts w:hint="eastAsia" w:cs="宋体"/>
          <w:color w:val="auto"/>
          <w:sz w:val="24"/>
          <w:szCs w:val="24"/>
          <w:highlight w:val="none"/>
          <w:lang w:val="en-US" w:eastAsia="zh-CN"/>
        </w:rPr>
        <w:t>表1</w:t>
      </w:r>
      <w:r>
        <w:rPr>
          <w:rFonts w:hint="eastAsia" w:ascii="宋体" w:hAnsi="宋体" w:eastAsia="宋体" w:cs="宋体"/>
          <w:color w:val="auto"/>
          <w:sz w:val="24"/>
          <w:szCs w:val="24"/>
          <w:highlight w:val="none"/>
          <w:lang w:val="en-US" w:eastAsia="zh-CN"/>
        </w:rPr>
        <w:t>《技术参数及功能要求表》。</w:t>
      </w:r>
      <w:r>
        <w:rPr>
          <w:rFonts w:hint="eastAsia"/>
          <w:color w:val="auto"/>
          <w:highlight w:val="none"/>
          <w:lang w:eastAsia="zh-CN"/>
        </w:rPr>
        <w:t>投标方需要提供产品资料、检验报告及原厂证明等文件，</w:t>
      </w:r>
      <w:r>
        <w:rPr>
          <w:rFonts w:hint="eastAsia"/>
          <w:color w:val="auto"/>
          <w:highlight w:val="none"/>
          <w:lang w:val="en-US" w:eastAsia="zh-CN"/>
        </w:rPr>
        <w:t>投标方应按本技术规范书的要求提供全新的、合格的设备</w:t>
      </w:r>
      <w:r>
        <w:rPr>
          <w:color w:val="auto"/>
          <w:highlight w:val="none"/>
          <w:lang w:eastAsia="zh-CN"/>
        </w:rPr>
        <w:t>，</w:t>
      </w:r>
    </w:p>
    <w:p>
      <w:pPr>
        <w:pStyle w:val="7"/>
        <w:keepNext w:val="0"/>
        <w:keepLines w:val="0"/>
        <w:pageBreakBefore w:val="0"/>
        <w:widowControl w:val="0"/>
        <w:kinsoku/>
        <w:wordWrap/>
        <w:overflowPunct/>
        <w:topLinePunct w:val="0"/>
        <w:autoSpaceDE/>
        <w:autoSpaceDN/>
        <w:bidi w:val="0"/>
        <w:adjustRightInd/>
        <w:textAlignment w:val="auto"/>
        <w:rPr>
          <w:rFonts w:hint="eastAsia" w:eastAsia="宋体"/>
          <w:color w:val="auto"/>
          <w:highlight w:val="none"/>
          <w:lang w:eastAsia="zh-CN"/>
        </w:rPr>
      </w:pPr>
      <w:r>
        <w:rPr>
          <w:color w:val="auto"/>
          <w:highlight w:val="none"/>
        </w:rPr>
        <w:t>表</w:t>
      </w:r>
      <w:r>
        <w:rPr>
          <w:color w:val="auto"/>
          <w:highlight w:val="none"/>
        </w:rPr>
        <w:fldChar w:fldCharType="begin"/>
      </w:r>
      <w:r>
        <w:rPr>
          <w:color w:val="auto"/>
          <w:highlight w:val="none"/>
        </w:rPr>
        <w:instrText xml:space="preserve"> SEQ 表 \* ARABIC </w:instrText>
      </w:r>
      <w:r>
        <w:rPr>
          <w:color w:val="auto"/>
          <w:highlight w:val="none"/>
        </w:rPr>
        <w:fldChar w:fldCharType="separate"/>
      </w:r>
      <w:r>
        <w:rPr>
          <w:color w:val="auto"/>
          <w:highlight w:val="none"/>
        </w:rPr>
        <w:t>1</w:t>
      </w:r>
      <w:r>
        <w:rPr>
          <w:color w:val="auto"/>
          <w:highlight w:val="none"/>
        </w:rPr>
        <w:fldChar w:fldCharType="end"/>
      </w:r>
      <w:r>
        <w:rPr>
          <w:rFonts w:hint="eastAsia"/>
          <w:color w:val="auto"/>
          <w:highlight w:val="none"/>
          <w:lang w:eastAsia="zh-CN"/>
        </w:rPr>
        <w:t>　（</w:t>
      </w:r>
      <w:r>
        <w:rPr>
          <w:rFonts w:hint="eastAsia"/>
          <w:color w:val="auto"/>
          <w:highlight w:val="none"/>
        </w:rPr>
        <w:t>重要技术参数</w:t>
      </w:r>
      <w:r>
        <w:rPr>
          <w:rFonts w:hint="eastAsia"/>
          <w:color w:val="auto"/>
          <w:highlight w:val="none"/>
          <w:lang w:eastAsia="zh-CN"/>
        </w:rPr>
        <w:t>）</w:t>
      </w:r>
      <w:r>
        <w:rPr>
          <w:rFonts w:hint="eastAsia" w:ascii="宋体" w:hAnsi="宋体" w:eastAsia="宋体" w:cs="宋体"/>
          <w:color w:val="auto"/>
          <w:sz w:val="24"/>
          <w:szCs w:val="24"/>
          <w:highlight w:val="none"/>
          <w:lang w:val="en-US" w:eastAsia="zh-CN"/>
        </w:rPr>
        <w:t>技术参数及功能要求表</w:t>
      </w:r>
    </w:p>
    <w:tbl>
      <w:tblPr>
        <w:tblStyle w:val="20"/>
        <w:tblW w:w="8956" w:type="dxa"/>
        <w:jc w:val="center"/>
        <w:tblLayout w:type="fixed"/>
        <w:tblCellMar>
          <w:top w:w="0" w:type="dxa"/>
          <w:left w:w="28" w:type="dxa"/>
          <w:bottom w:w="0" w:type="dxa"/>
          <w:right w:w="28" w:type="dxa"/>
        </w:tblCellMar>
      </w:tblPr>
      <w:tblGrid>
        <w:gridCol w:w="512"/>
        <w:gridCol w:w="910"/>
        <w:gridCol w:w="500"/>
        <w:gridCol w:w="4904"/>
        <w:gridCol w:w="1065"/>
        <w:gridCol w:w="1065"/>
      </w:tblGrid>
      <w:tr>
        <w:tblPrEx>
          <w:tblCellMar>
            <w:top w:w="0" w:type="dxa"/>
            <w:left w:w="28" w:type="dxa"/>
            <w:bottom w:w="0" w:type="dxa"/>
            <w:right w:w="28" w:type="dxa"/>
          </w:tblCellMar>
        </w:tblPrEx>
        <w:trPr>
          <w:trHeight w:val="959" w:hRule="atLeast"/>
          <w:tblHeader/>
          <w:jc w:val="center"/>
        </w:trPr>
        <w:tc>
          <w:tcPr>
            <w:tcW w:w="512" w:type="dxa"/>
            <w:tcBorders>
              <w:top w:val="single" w:color="000000" w:sz="6" w:space="0"/>
              <w:left w:val="single" w:color="000000" w:sz="6" w:space="0"/>
              <w:bottom w:val="single" w:color="000000" w:sz="6" w:space="0"/>
              <w:right w:val="single" w:color="000000" w:sz="6"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pacing w:before="0" w:after="0"/>
              <w:jc w:val="center"/>
              <w:textAlignment w:val="auto"/>
              <w:rPr>
                <w:rFonts w:ascii="宋体" w:hAnsi="宋体" w:eastAsia="宋体" w:cs="宋体"/>
                <w:color w:val="auto"/>
                <w:sz w:val="24"/>
                <w:szCs w:val="24"/>
                <w:highlight w:val="none"/>
              </w:rPr>
            </w:pPr>
            <w:r>
              <w:rPr>
                <w:rFonts w:ascii="宋体" w:hAnsi="宋体" w:cs="宋体"/>
                <w:color w:val="auto"/>
                <w:sz w:val="24"/>
                <w:szCs w:val="24"/>
                <w:highlight w:val="none"/>
              </w:rPr>
              <w:t>序号</w:t>
            </w:r>
          </w:p>
        </w:tc>
        <w:tc>
          <w:tcPr>
            <w:tcW w:w="910" w:type="dxa"/>
            <w:tcBorders>
              <w:top w:val="single" w:color="000000" w:sz="6" w:space="0"/>
              <w:left w:val="single" w:color="000000" w:sz="6" w:space="0"/>
              <w:bottom w:val="single" w:color="000000" w:sz="6" w:space="0"/>
              <w:right w:val="single" w:color="000000" w:sz="6"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pacing w:before="0" w:after="0"/>
              <w:jc w:val="center"/>
              <w:textAlignment w:val="auto"/>
              <w:rPr>
                <w:rFonts w:ascii="宋体" w:hAnsi="宋体" w:eastAsia="宋体" w:cs="宋体"/>
                <w:color w:val="auto"/>
                <w:sz w:val="24"/>
                <w:szCs w:val="24"/>
                <w:highlight w:val="none"/>
              </w:rPr>
            </w:pPr>
            <w:r>
              <w:rPr>
                <w:rStyle w:val="39"/>
                <w:color w:val="auto"/>
                <w:highlight w:val="none"/>
                <w:lang w:bidi="ar"/>
              </w:rPr>
              <w:t>物资名称</w:t>
            </w:r>
          </w:p>
        </w:tc>
        <w:tc>
          <w:tcPr>
            <w:tcW w:w="500" w:type="dxa"/>
            <w:tcBorders>
              <w:top w:val="single" w:color="000000" w:sz="6" w:space="0"/>
              <w:left w:val="single" w:color="000000" w:sz="6" w:space="0"/>
              <w:bottom w:val="single" w:color="000000" w:sz="6" w:space="0"/>
              <w:right w:val="single" w:color="000000" w:sz="6"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pacing w:before="0" w:after="0"/>
              <w:jc w:val="center"/>
              <w:textAlignment w:val="auto"/>
              <w:rPr>
                <w:rFonts w:ascii="宋体" w:hAnsi="宋体" w:eastAsia="宋体" w:cs="宋体"/>
                <w:color w:val="auto"/>
                <w:sz w:val="24"/>
                <w:szCs w:val="24"/>
                <w:highlight w:val="none"/>
              </w:rPr>
            </w:pPr>
            <w:r>
              <w:rPr>
                <w:rFonts w:ascii="宋体" w:hAnsi="宋体" w:cs="宋体"/>
                <w:color w:val="auto"/>
                <w:sz w:val="24"/>
                <w:szCs w:val="24"/>
                <w:highlight w:val="none"/>
              </w:rPr>
              <w:t>单位</w:t>
            </w:r>
          </w:p>
        </w:tc>
        <w:tc>
          <w:tcPr>
            <w:tcW w:w="4904" w:type="dxa"/>
            <w:tcBorders>
              <w:top w:val="single" w:color="000000" w:sz="6" w:space="0"/>
              <w:left w:val="single" w:color="000000" w:sz="6" w:space="0"/>
              <w:bottom w:val="single" w:color="000000" w:sz="6" w:space="0"/>
              <w:right w:val="single" w:color="000000" w:sz="6"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pacing w:before="0" w:after="0"/>
              <w:jc w:val="center"/>
              <w:textAlignment w:val="auto"/>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技术参数要求</w:t>
            </w:r>
          </w:p>
        </w:tc>
        <w:tc>
          <w:tcPr>
            <w:tcW w:w="1065" w:type="dxa"/>
            <w:tcBorders>
              <w:top w:val="single" w:color="000000" w:sz="6" w:space="0"/>
              <w:left w:val="single" w:color="000000" w:sz="6" w:space="0"/>
              <w:right w:val="single" w:color="000000" w:sz="6"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pacing w:before="0" w:after="0"/>
              <w:jc w:val="center"/>
              <w:textAlignment w:val="auto"/>
              <w:rPr>
                <w:rFonts w:ascii="宋体" w:hAnsi="宋体" w:eastAsia="宋体" w:cs="宋体"/>
                <w:color w:val="auto"/>
                <w:sz w:val="24"/>
                <w:szCs w:val="24"/>
                <w:highlight w:val="none"/>
              </w:rPr>
            </w:pPr>
            <w:r>
              <w:rPr>
                <w:rFonts w:ascii="宋体" w:hAnsi="宋体" w:cs="宋体"/>
                <w:color w:val="auto"/>
                <w:sz w:val="24"/>
                <w:szCs w:val="24"/>
                <w:highlight w:val="none"/>
              </w:rPr>
              <w:t>数量</w:t>
            </w:r>
          </w:p>
        </w:tc>
        <w:tc>
          <w:tcPr>
            <w:tcW w:w="1065" w:type="dxa"/>
            <w:tcBorders>
              <w:top w:val="single" w:color="000000" w:sz="6" w:space="0"/>
              <w:left w:val="single" w:color="000000" w:sz="6" w:space="0"/>
              <w:right w:val="single" w:color="000000" w:sz="6"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pacing w:before="0" w:after="0"/>
              <w:jc w:val="center"/>
              <w:textAlignment w:val="auto"/>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备注</w:t>
            </w:r>
          </w:p>
        </w:tc>
      </w:tr>
      <w:tr>
        <w:tblPrEx>
          <w:tblCellMar>
            <w:top w:w="0" w:type="dxa"/>
            <w:left w:w="28" w:type="dxa"/>
            <w:bottom w:w="0" w:type="dxa"/>
            <w:right w:w="28" w:type="dxa"/>
          </w:tblCellMar>
        </w:tblPrEx>
        <w:trPr>
          <w:trHeight w:val="987" w:hRule="atLeast"/>
          <w:jc w:val="center"/>
        </w:trPr>
        <w:tc>
          <w:tcPr>
            <w:tcW w:w="512"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val="0"/>
              <w:suppressAutoHyphens/>
              <w:kinsoku/>
              <w:wordWrap/>
              <w:overflowPunct/>
              <w:topLinePunct w:val="0"/>
              <w:autoSpaceDE/>
              <w:autoSpaceDN/>
              <w:bidi w:val="0"/>
              <w:adjustRightInd/>
              <w:spacing w:before="0" w:after="0"/>
              <w:jc w:val="center"/>
              <w:textAlignment w:val="auto"/>
              <w:rPr>
                <w:rFonts w:ascii="宋体" w:hAnsi="宋体" w:eastAsia="宋体" w:cs="宋体"/>
                <w:color w:val="auto"/>
                <w:sz w:val="24"/>
                <w:szCs w:val="24"/>
                <w:highlight w:val="none"/>
              </w:rPr>
            </w:pPr>
            <w:r>
              <w:rPr>
                <w:rFonts w:cs="宋体"/>
                <w:color w:val="auto"/>
                <w:kern w:val="2"/>
                <w:sz w:val="24"/>
                <w:szCs w:val="24"/>
                <w:highlight w:val="none"/>
                <w:lang w:val="en-US" w:eastAsia="zh-CN" w:bidi="ar-SA"/>
              </w:rPr>
              <w:t>1</w:t>
            </w:r>
          </w:p>
        </w:tc>
        <w:tc>
          <w:tcPr>
            <w:tcW w:w="910"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val="0"/>
              <w:suppressAutoHyphens/>
              <w:kinsoku/>
              <w:wordWrap/>
              <w:overflowPunct/>
              <w:topLinePunct w:val="0"/>
              <w:autoSpaceDE/>
              <w:autoSpaceDN/>
              <w:bidi w:val="0"/>
              <w:adjustRightInd/>
              <w:spacing w:before="0" w:after="0"/>
              <w:jc w:val="center"/>
              <w:textAlignment w:val="auto"/>
              <w:rPr>
                <w:rFonts w:ascii="宋体" w:hAnsi="宋体" w:eastAsia="宋体" w:cs="宋体"/>
                <w:color w:val="auto"/>
                <w:highlight w:val="none"/>
              </w:rPr>
            </w:pPr>
            <w:r>
              <w:rPr>
                <w:rFonts w:hint="eastAsia" w:ascii="宋体" w:hAnsi="宋体" w:cs="宋体"/>
                <w:color w:val="auto"/>
                <w:kern w:val="0"/>
                <w:sz w:val="24"/>
                <w:szCs w:val="24"/>
                <w:highlight w:val="none"/>
                <w:lang w:val="en-US" w:eastAsia="zh-CN" w:bidi="ar-SA"/>
              </w:rPr>
              <w:t>柜</w:t>
            </w:r>
            <w:r>
              <w:rPr>
                <w:rFonts w:hint="eastAsia" w:cs="宋体"/>
                <w:color w:val="auto"/>
                <w:kern w:val="0"/>
                <w:sz w:val="24"/>
                <w:szCs w:val="24"/>
                <w:highlight w:val="none"/>
                <w:lang w:val="en-US" w:eastAsia="zh-CN" w:bidi="ar-SA"/>
              </w:rPr>
              <w:t>体</w:t>
            </w:r>
          </w:p>
        </w:tc>
        <w:tc>
          <w:tcPr>
            <w:tcW w:w="500"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val="0"/>
              <w:suppressAutoHyphens/>
              <w:kinsoku/>
              <w:wordWrap/>
              <w:overflowPunct/>
              <w:topLinePunct w:val="0"/>
              <w:autoSpaceDE/>
              <w:autoSpaceDN/>
              <w:bidi w:val="0"/>
              <w:adjustRightInd/>
              <w:spacing w:before="0" w:after="0"/>
              <w:jc w:val="center"/>
              <w:textAlignment w:val="auto"/>
              <w:rPr>
                <w:rFonts w:ascii="宋体" w:hAnsi="宋体" w:eastAsia="宋体" w:cs="宋体"/>
                <w:color w:val="auto"/>
                <w:sz w:val="24"/>
                <w:szCs w:val="24"/>
                <w:highlight w:val="none"/>
                <w:lang w:val="en-US" w:eastAsia="zh-CN"/>
              </w:rPr>
            </w:pPr>
            <w:r>
              <w:rPr>
                <w:rFonts w:ascii="宋体" w:hAnsi="宋体" w:cs="宋体"/>
                <w:color w:val="auto"/>
                <w:sz w:val="24"/>
                <w:szCs w:val="24"/>
                <w:highlight w:val="none"/>
                <w:lang w:val="en-US" w:eastAsia="zh-CN"/>
              </w:rPr>
              <w:t>台</w:t>
            </w:r>
          </w:p>
        </w:tc>
        <w:tc>
          <w:tcPr>
            <w:tcW w:w="4904"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val="0"/>
              <w:kinsoku/>
              <w:wordWrap/>
              <w:overflowPunct/>
              <w:topLinePunct w:val="0"/>
              <w:autoSpaceDE/>
              <w:autoSpaceDN/>
              <w:bidi w:val="0"/>
              <w:adjustRightInd/>
              <w:jc w:val="left"/>
              <w:textAlignment w:val="auto"/>
            </w:pPr>
            <w:r>
              <w:rPr>
                <w:lang w:eastAsia="zh-CN"/>
              </w:rPr>
              <w:t>1</w:t>
            </w:r>
            <w:r>
              <w:rPr>
                <w:rFonts w:hint="eastAsia"/>
                <w:lang w:eastAsia="zh-CN"/>
              </w:rPr>
              <w:t>．</w:t>
            </w:r>
            <w:r>
              <w:rPr>
                <w:lang w:eastAsia="zh-CN"/>
              </w:rPr>
              <w:t>外尺寸</w:t>
            </w:r>
            <w:r>
              <w:rPr>
                <w:rFonts w:hint="eastAsia"/>
                <w:lang w:eastAsia="zh-CN"/>
              </w:rPr>
              <w:t>：</w:t>
            </w:r>
            <w:r>
              <w:rPr>
                <w:lang w:eastAsia="zh-CN"/>
              </w:rPr>
              <w:t>H*W*D≈2000mm*800mm*1000mm；</w:t>
            </w:r>
          </w:p>
          <w:p>
            <w:pPr>
              <w:keepNext w:val="0"/>
              <w:keepLines w:val="0"/>
              <w:pageBreakBefore w:val="0"/>
              <w:widowControl w:val="0"/>
              <w:kinsoku/>
              <w:wordWrap/>
              <w:overflowPunct/>
              <w:topLinePunct w:val="0"/>
              <w:autoSpaceDE/>
              <w:autoSpaceDN/>
              <w:bidi w:val="0"/>
              <w:adjustRightInd/>
              <w:jc w:val="left"/>
              <w:textAlignment w:val="auto"/>
            </w:pPr>
            <w:r>
              <w:t>2</w:t>
            </w:r>
            <w:r>
              <w:rPr>
                <w:rFonts w:hint="eastAsia"/>
                <w:lang w:eastAsia="zh-CN"/>
              </w:rPr>
              <w:t>．</w:t>
            </w:r>
            <w:r>
              <w:t>内尺寸：H*W*D</w:t>
            </w:r>
            <w:r>
              <w:rPr>
                <w:lang w:eastAsia="zh-CN"/>
              </w:rPr>
              <w:t>≈</w:t>
            </w:r>
            <w:r>
              <w:t>1800mm*750mm*950mm；</w:t>
            </w:r>
          </w:p>
          <w:p>
            <w:pPr>
              <w:keepNext w:val="0"/>
              <w:keepLines w:val="0"/>
              <w:pageBreakBefore w:val="0"/>
              <w:widowControl w:val="0"/>
              <w:kinsoku/>
              <w:wordWrap/>
              <w:overflowPunct/>
              <w:topLinePunct w:val="0"/>
              <w:autoSpaceDE/>
              <w:autoSpaceDN/>
              <w:bidi w:val="0"/>
              <w:adjustRightInd/>
              <w:jc w:val="left"/>
              <w:textAlignment w:val="auto"/>
            </w:pPr>
            <w:r>
              <w:t>3</w:t>
            </w:r>
            <w:r>
              <w:rPr>
                <w:rFonts w:hint="eastAsia"/>
                <w:lang w:eastAsia="zh-CN"/>
              </w:rPr>
              <w:t>．</w:t>
            </w:r>
            <w:r>
              <w:t>柜内布局：1单元1舱、19英寸机架+1块层板+5对L型托条；</w:t>
            </w:r>
          </w:p>
          <w:p>
            <w:pPr>
              <w:keepNext w:val="0"/>
              <w:keepLines w:val="0"/>
              <w:pageBreakBefore w:val="0"/>
              <w:widowControl w:val="0"/>
              <w:kinsoku/>
              <w:wordWrap/>
              <w:overflowPunct/>
              <w:topLinePunct w:val="0"/>
              <w:autoSpaceDE/>
              <w:autoSpaceDN/>
              <w:bidi w:val="0"/>
              <w:adjustRightInd/>
              <w:jc w:val="left"/>
              <w:textAlignment w:val="auto"/>
            </w:pPr>
            <w:r>
              <w:rPr>
                <w:rFonts w:hint="eastAsia"/>
                <w:lang w:val="en-US" w:eastAsia="zh-CN"/>
              </w:rPr>
              <w:t>4.</w:t>
            </w:r>
            <w:r>
              <w:rPr>
                <w:lang w:eastAsia="zh-CN"/>
              </w:rPr>
              <w:t>（承重≥1000公斤，柜内</w:t>
            </w:r>
            <w:bookmarkStart w:id="92" w:name="_GoBack"/>
            <w:bookmarkEnd w:id="92"/>
            <w:r>
              <w:rPr>
                <w:lang w:eastAsia="zh-CN"/>
              </w:rPr>
              <w:t>外防火阻断≥120分钟）</w:t>
            </w:r>
          </w:p>
          <w:p>
            <w:pPr>
              <w:keepNext w:val="0"/>
              <w:keepLines w:val="0"/>
              <w:pageBreakBefore w:val="0"/>
              <w:widowControl w:val="0"/>
              <w:kinsoku/>
              <w:wordWrap/>
              <w:overflowPunct/>
              <w:topLinePunct w:val="0"/>
              <w:autoSpaceDE/>
              <w:autoSpaceDN/>
              <w:bidi w:val="0"/>
              <w:adjustRightInd/>
              <w:jc w:val="left"/>
              <w:textAlignment w:val="auto"/>
            </w:pPr>
            <w:r>
              <w:rPr>
                <w:rFonts w:hint="eastAsia"/>
                <w:lang w:val="en-US" w:eastAsia="zh-CN"/>
              </w:rPr>
              <w:t>5</w:t>
            </w:r>
            <w:r>
              <w:rPr>
                <w:rFonts w:hint="eastAsia"/>
                <w:lang w:eastAsia="zh-CN"/>
              </w:rPr>
              <w:t>．</w:t>
            </w:r>
            <w:r>
              <w:t>设备安装方式：落地式底座固定安装；</w:t>
            </w:r>
          </w:p>
          <w:p>
            <w:pPr>
              <w:keepNext w:val="0"/>
              <w:keepLines w:val="0"/>
              <w:pageBreakBefore w:val="0"/>
              <w:widowControl w:val="0"/>
              <w:kinsoku/>
              <w:wordWrap/>
              <w:overflowPunct/>
              <w:topLinePunct w:val="0"/>
              <w:autoSpaceDE/>
              <w:autoSpaceDN/>
              <w:bidi w:val="0"/>
              <w:adjustRightInd/>
              <w:jc w:val="left"/>
              <w:textAlignment w:val="auto"/>
              <w:rPr>
                <w:lang w:eastAsia="zh-CN"/>
              </w:rPr>
            </w:pPr>
            <w:r>
              <w:rPr>
                <w:rFonts w:hint="eastAsia"/>
                <w:lang w:val="en-US" w:eastAsia="zh-CN"/>
              </w:rPr>
              <w:t>6</w:t>
            </w:r>
            <w:r>
              <w:rPr>
                <w:rFonts w:hint="eastAsia"/>
                <w:lang w:eastAsia="zh-CN"/>
              </w:rPr>
              <w:t>．</w:t>
            </w:r>
            <w:r>
              <w:t>前、后开门，标配户外柜专用锁</w:t>
            </w:r>
            <w:r>
              <w:rPr>
                <w:rFonts w:hint="eastAsia"/>
                <w:lang w:eastAsia="zh-CN"/>
              </w:rPr>
              <w:t>（支持挂锁）</w:t>
            </w:r>
            <w:r>
              <w:t>，</w:t>
            </w:r>
            <w:r>
              <w:rPr>
                <w:lang w:eastAsia="zh-CN"/>
              </w:rPr>
              <w:t>柜门采用双层镀锌板（外板厚度≥1.2mm，内板厚度≥1.0mm）内夹≥20mm厚PEF阻燃隔热棉三明治结构。</w:t>
            </w:r>
          </w:p>
          <w:p>
            <w:pPr>
              <w:pStyle w:val="2"/>
              <w:ind w:left="0" w:leftChars="0" w:firstLine="0" w:firstLineChars="0"/>
            </w:pPr>
            <w:r>
              <w:rPr>
                <w:rFonts w:hint="eastAsia"/>
                <w:lang w:val="en-US" w:eastAsia="zh-CN"/>
              </w:rPr>
              <w:t xml:space="preserve">7.   </w:t>
            </w:r>
            <w:r>
              <w:rPr>
                <w:rFonts w:hint="eastAsia"/>
                <w:lang w:eastAsia="zh-CN"/>
              </w:rPr>
              <w:t>整体结构采用焊接加拼装模式。前后柜门安装工业空调；</w:t>
            </w:r>
          </w:p>
          <w:p>
            <w:pPr>
              <w:keepNext w:val="0"/>
              <w:keepLines w:val="0"/>
              <w:pageBreakBefore w:val="0"/>
              <w:widowControl w:val="0"/>
              <w:kinsoku/>
              <w:wordWrap/>
              <w:overflowPunct/>
              <w:topLinePunct w:val="0"/>
              <w:autoSpaceDE/>
              <w:autoSpaceDN/>
              <w:bidi w:val="0"/>
              <w:adjustRightInd/>
              <w:jc w:val="left"/>
              <w:textAlignment w:val="auto"/>
              <w:rPr>
                <w:rFonts w:hint="eastAsia"/>
                <w:lang w:eastAsia="zh-CN"/>
              </w:rPr>
            </w:pPr>
            <w:r>
              <w:rPr>
                <w:rFonts w:hint="eastAsia"/>
                <w:lang w:val="en-US" w:eastAsia="zh-CN"/>
              </w:rPr>
              <w:t xml:space="preserve">8. </w:t>
            </w:r>
            <w:r>
              <w:rPr>
                <w:rFonts w:hint="eastAsia"/>
                <w:lang w:eastAsia="zh-CN"/>
              </w:rPr>
              <w:t>防护等级</w:t>
            </w:r>
            <w:r>
              <w:rPr>
                <w:rFonts w:hint="eastAsia"/>
              </w:rPr>
              <w:t>≥</w:t>
            </w:r>
            <w:r>
              <w:rPr>
                <w:rFonts w:hint="eastAsia"/>
                <w:lang w:eastAsia="zh-CN"/>
              </w:rPr>
              <w:t>IP55；</w:t>
            </w:r>
          </w:p>
          <w:p>
            <w:pPr>
              <w:rPr>
                <w:rFonts w:hint="eastAsia"/>
                <w:color w:val="auto"/>
                <w:highlight w:val="none"/>
                <w:lang w:eastAsia="zh-CN"/>
              </w:rPr>
            </w:pPr>
            <w:r>
              <w:rPr>
                <w:rFonts w:hint="eastAsia"/>
                <w:color w:val="auto"/>
                <w:highlight w:val="none"/>
                <w:lang w:val="en-US" w:eastAsia="zh-CN"/>
              </w:rPr>
              <w:t>9.</w:t>
            </w:r>
            <w:r>
              <w:rPr>
                <w:rFonts w:hint="eastAsia"/>
                <w:color w:val="auto"/>
                <w:highlight w:val="none"/>
                <w:lang w:eastAsia="zh-CN"/>
              </w:rPr>
              <w:t>相对湿度：5%~95%</w:t>
            </w:r>
          </w:p>
          <w:p>
            <w:pPr>
              <w:rPr>
                <w:rFonts w:hint="eastAsia"/>
                <w:color w:val="auto"/>
                <w:highlight w:val="none"/>
                <w:lang w:eastAsia="zh-CN"/>
              </w:rPr>
            </w:pPr>
            <w:r>
              <w:rPr>
                <w:rFonts w:hint="eastAsia"/>
                <w:color w:val="auto"/>
                <w:highlight w:val="none"/>
                <w:lang w:val="en-US" w:eastAsia="zh-CN"/>
              </w:rPr>
              <w:t>10.</w:t>
            </w:r>
            <w:r>
              <w:rPr>
                <w:rFonts w:hint="eastAsia"/>
                <w:color w:val="auto"/>
                <w:highlight w:val="none"/>
                <w:lang w:eastAsia="zh-CN"/>
              </w:rPr>
              <w:t>大气压力：62kpa～101kpa（近似于海拔0m～5000m）</w:t>
            </w:r>
          </w:p>
          <w:p>
            <w:pPr>
              <w:rPr>
                <w:color w:val="auto"/>
                <w:highlight w:val="none"/>
                <w:lang w:eastAsia="zh-CN"/>
              </w:rPr>
            </w:pPr>
            <w:r>
              <w:rPr>
                <w:rFonts w:hint="eastAsia"/>
                <w:color w:val="auto"/>
                <w:highlight w:val="none"/>
                <w:lang w:val="en-US" w:eastAsia="zh-CN"/>
              </w:rPr>
              <w:t>11.</w:t>
            </w:r>
            <w:r>
              <w:rPr>
                <w:rFonts w:hint="eastAsia"/>
                <w:color w:val="auto"/>
                <w:highlight w:val="none"/>
                <w:lang w:eastAsia="zh-CN"/>
              </w:rPr>
              <w:t>太阳辐射强度：1120×(1±5%)W/m2</w:t>
            </w:r>
          </w:p>
          <w:p>
            <w:pPr>
              <w:pStyle w:val="2"/>
              <w:rPr>
                <w:lang w:eastAsia="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val="0"/>
              <w:suppressAutoHyphens/>
              <w:kinsoku/>
              <w:wordWrap/>
              <w:overflowPunct/>
              <w:topLinePunct w:val="0"/>
              <w:autoSpaceDE/>
              <w:autoSpaceDN/>
              <w:bidi w:val="0"/>
              <w:adjustRightInd/>
              <w:snapToGrid w:val="0"/>
              <w:spacing w:before="120" w:after="0"/>
              <w:jc w:val="center"/>
              <w:textAlignment w:val="auto"/>
              <w:rPr>
                <w:rFonts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3</w:t>
            </w:r>
          </w:p>
        </w:tc>
        <w:tc>
          <w:tcPr>
            <w:tcW w:w="1065"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val="0"/>
              <w:suppressAutoHyphens/>
              <w:kinsoku/>
              <w:wordWrap/>
              <w:overflowPunct/>
              <w:topLinePunct w:val="0"/>
              <w:autoSpaceDE/>
              <w:autoSpaceDN/>
              <w:bidi w:val="0"/>
              <w:adjustRightInd/>
              <w:snapToGrid w:val="0"/>
              <w:spacing w:before="120" w:after="0"/>
              <w:jc w:val="center"/>
              <w:textAlignment w:val="auto"/>
              <w:rPr>
                <w:rFonts w:hint="eastAsia" w:cs="宋体"/>
                <w:color w:val="auto"/>
                <w:sz w:val="24"/>
                <w:szCs w:val="24"/>
                <w:highlight w:val="none"/>
                <w:lang w:val="en-US" w:eastAsia="zh-CN"/>
              </w:rPr>
            </w:pPr>
          </w:p>
        </w:tc>
      </w:tr>
      <w:tr>
        <w:tblPrEx>
          <w:tblCellMar>
            <w:top w:w="0" w:type="dxa"/>
            <w:left w:w="28" w:type="dxa"/>
            <w:bottom w:w="0" w:type="dxa"/>
            <w:right w:w="28" w:type="dxa"/>
          </w:tblCellMar>
        </w:tblPrEx>
        <w:trPr>
          <w:trHeight w:val="987" w:hRule="atLeast"/>
          <w:jc w:val="center"/>
        </w:trPr>
        <w:tc>
          <w:tcPr>
            <w:tcW w:w="512"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val="0"/>
              <w:suppressAutoHyphens/>
              <w:kinsoku/>
              <w:wordWrap/>
              <w:overflowPunct/>
              <w:topLinePunct w:val="0"/>
              <w:autoSpaceDE/>
              <w:autoSpaceDN/>
              <w:bidi w:val="0"/>
              <w:adjustRightInd/>
              <w:spacing w:before="0" w:after="0"/>
              <w:jc w:val="center"/>
              <w:textAlignment w:val="auto"/>
              <w:rPr>
                <w:rFonts w:hint="default" w:cs="宋体"/>
                <w:color w:val="auto"/>
                <w:kern w:val="2"/>
                <w:sz w:val="24"/>
                <w:szCs w:val="24"/>
                <w:highlight w:val="none"/>
                <w:lang w:val="en-US" w:eastAsia="zh-CN" w:bidi="ar-SA"/>
              </w:rPr>
            </w:pPr>
            <w:r>
              <w:rPr>
                <w:rFonts w:hint="eastAsia" w:cs="宋体"/>
                <w:color w:val="auto"/>
                <w:kern w:val="2"/>
                <w:sz w:val="24"/>
                <w:szCs w:val="24"/>
                <w:highlight w:val="none"/>
                <w:lang w:val="en-US" w:eastAsia="zh-CN" w:bidi="ar-SA"/>
              </w:rPr>
              <w:t>2</w:t>
            </w:r>
          </w:p>
        </w:tc>
        <w:tc>
          <w:tcPr>
            <w:tcW w:w="910"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val="0"/>
              <w:suppressAutoHyphens/>
              <w:kinsoku/>
              <w:wordWrap/>
              <w:overflowPunct/>
              <w:topLinePunct w:val="0"/>
              <w:autoSpaceDE/>
              <w:autoSpaceDN/>
              <w:bidi w:val="0"/>
              <w:adjustRightInd/>
              <w:spacing w:before="0" w:after="0"/>
              <w:jc w:val="center"/>
              <w:textAlignment w:val="auto"/>
              <w:rPr>
                <w:rFonts w:hint="eastAsia" w:ascii="宋体" w:hAnsi="宋体" w:cs="宋体"/>
                <w:color w:val="auto"/>
                <w:kern w:val="0"/>
                <w:sz w:val="24"/>
                <w:szCs w:val="24"/>
                <w:highlight w:val="none"/>
                <w:lang w:val="en-US" w:eastAsia="zh-CN" w:bidi="ar-SA"/>
              </w:rPr>
            </w:pPr>
            <w:r>
              <w:rPr>
                <w:rFonts w:hint="eastAsia" w:cs="宋体"/>
                <w:color w:val="auto"/>
                <w:kern w:val="0"/>
                <w:sz w:val="24"/>
                <w:szCs w:val="24"/>
                <w:highlight w:val="none"/>
                <w:lang w:val="en-US" w:eastAsia="zh-CN" w:bidi="ar-SA"/>
              </w:rPr>
              <w:t>工业空调</w:t>
            </w:r>
          </w:p>
        </w:tc>
        <w:tc>
          <w:tcPr>
            <w:tcW w:w="500"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val="0"/>
              <w:suppressAutoHyphens/>
              <w:kinsoku/>
              <w:wordWrap/>
              <w:overflowPunct/>
              <w:topLinePunct w:val="0"/>
              <w:autoSpaceDE/>
              <w:autoSpaceDN/>
              <w:bidi w:val="0"/>
              <w:adjustRightInd/>
              <w:spacing w:before="0" w:after="0"/>
              <w:jc w:val="center"/>
              <w:textAlignment w:val="auto"/>
              <w:rPr>
                <w:rFonts w:ascii="宋体" w:hAnsi="宋体" w:cs="宋体"/>
                <w:color w:val="auto"/>
                <w:sz w:val="24"/>
                <w:szCs w:val="24"/>
                <w:highlight w:val="none"/>
                <w:lang w:val="en-US" w:eastAsia="zh-CN"/>
              </w:rPr>
            </w:pPr>
            <w:r>
              <w:rPr>
                <w:rFonts w:hint="eastAsia" w:cs="宋体"/>
                <w:color w:val="auto"/>
                <w:sz w:val="24"/>
                <w:szCs w:val="24"/>
                <w:highlight w:val="none"/>
                <w:lang w:val="en-US" w:eastAsia="zh-CN"/>
              </w:rPr>
              <w:t>台</w:t>
            </w:r>
          </w:p>
        </w:tc>
        <w:tc>
          <w:tcPr>
            <w:tcW w:w="4904"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val="0"/>
              <w:numPr>
                <w:ilvl w:val="0"/>
                <w:numId w:val="0"/>
              </w:numPr>
              <w:kinsoku/>
              <w:wordWrap/>
              <w:overflowPunct/>
              <w:topLinePunct w:val="0"/>
              <w:autoSpaceDE/>
              <w:autoSpaceDN/>
              <w:bidi w:val="0"/>
              <w:adjustRightInd/>
              <w:jc w:val="left"/>
              <w:textAlignment w:val="auto"/>
              <w:rPr>
                <w:rFonts w:hint="eastAsia" w:eastAsia="宋体"/>
                <w:color w:val="auto"/>
                <w:highlight w:val="none"/>
                <w:lang w:eastAsia="zh-CN"/>
              </w:rPr>
            </w:pPr>
            <w:r>
              <w:rPr>
                <w:rFonts w:hint="eastAsia"/>
                <w:color w:val="auto"/>
                <w:highlight w:val="none"/>
                <w:lang w:val="en-US" w:eastAsia="zh-CN"/>
              </w:rPr>
              <w:t>1.提供</w:t>
            </w:r>
            <w:r>
              <w:rPr>
                <w:rFonts w:hint="eastAsia"/>
                <w:color w:val="auto"/>
                <w:highlight w:val="none"/>
              </w:rPr>
              <w:t>≥0.6匹工业空调（额定制冷量：≥1500W）</w:t>
            </w:r>
            <w:r>
              <w:rPr>
                <w:rFonts w:hint="eastAsia"/>
                <w:color w:val="auto"/>
                <w:highlight w:val="none"/>
                <w:lang w:eastAsia="zh-CN"/>
              </w:rPr>
              <w:t>；</w:t>
            </w:r>
          </w:p>
          <w:p>
            <w:pPr>
              <w:pStyle w:val="2"/>
              <w:numPr>
                <w:ilvl w:val="0"/>
                <w:numId w:val="0"/>
              </w:numPr>
              <w:rPr>
                <w:rFonts w:hint="eastAsia"/>
              </w:rPr>
            </w:pPr>
            <w:r>
              <w:rPr>
                <w:rFonts w:hint="eastAsia"/>
                <w:lang w:val="en-US" w:eastAsia="zh-CN"/>
              </w:rPr>
              <w:t>2.</w:t>
            </w:r>
            <w:r>
              <w:rPr>
                <w:rFonts w:hint="eastAsia"/>
              </w:rPr>
              <w:t>外形尺寸(高*宽*深)746*446*200±5%mm</w:t>
            </w:r>
            <w:r>
              <w:rPr>
                <w:rFonts w:hint="eastAsia"/>
                <w:color w:val="auto"/>
                <w:highlight w:val="none"/>
                <w:lang w:eastAsia="zh-CN"/>
              </w:rPr>
              <w:t>；</w:t>
            </w:r>
          </w:p>
          <w:p>
            <w:pPr>
              <w:pStyle w:val="2"/>
              <w:numPr>
                <w:ilvl w:val="0"/>
                <w:numId w:val="0"/>
              </w:numPr>
              <w:rPr>
                <w:rFonts w:hint="eastAsia"/>
              </w:rPr>
            </w:pPr>
            <w:r>
              <w:rPr>
                <w:rFonts w:hint="eastAsia"/>
                <w:lang w:val="en-US" w:eastAsia="zh-CN"/>
              </w:rPr>
              <w:t>3.</w:t>
            </w:r>
            <w:r>
              <w:rPr>
                <w:rFonts w:hint="eastAsia"/>
              </w:rPr>
              <w:t>含法兰外形尺寸(高*宽*深)784*484*200±5%mm</w:t>
            </w:r>
            <w:r>
              <w:rPr>
                <w:rFonts w:hint="eastAsia"/>
                <w:color w:val="auto"/>
                <w:highlight w:val="none"/>
                <w:lang w:eastAsia="zh-CN"/>
              </w:rPr>
              <w:t>；</w:t>
            </w:r>
          </w:p>
          <w:p>
            <w:pPr>
              <w:pStyle w:val="2"/>
              <w:numPr>
                <w:ilvl w:val="0"/>
                <w:numId w:val="0"/>
              </w:numPr>
              <w:rPr>
                <w:rFonts w:hint="eastAsia"/>
              </w:rPr>
            </w:pPr>
            <w:r>
              <w:rPr>
                <w:rFonts w:hint="eastAsia"/>
                <w:lang w:val="en-US" w:eastAsia="zh-CN"/>
              </w:rPr>
              <w:t>4.</w:t>
            </w:r>
            <w:r>
              <w:rPr>
                <w:rFonts w:hint="eastAsia"/>
              </w:rPr>
              <w:t>重量</w:t>
            </w:r>
            <w:r>
              <w:rPr>
                <w:rFonts w:hint="eastAsia"/>
              </w:rPr>
              <w:tab/>
            </w:r>
            <w:r>
              <w:rPr>
                <w:rFonts w:hint="eastAsia"/>
                <w:color w:val="auto"/>
                <w:highlight w:val="none"/>
              </w:rPr>
              <w:t>≥</w:t>
            </w:r>
            <w:r>
              <w:rPr>
                <w:rFonts w:hint="eastAsia"/>
              </w:rPr>
              <w:tab/>
            </w:r>
            <w:r>
              <w:rPr>
                <w:rFonts w:hint="eastAsia"/>
              </w:rPr>
              <w:t>24kg</w:t>
            </w:r>
            <w:r>
              <w:rPr>
                <w:rFonts w:hint="eastAsia"/>
                <w:color w:val="auto"/>
                <w:highlight w:val="none"/>
                <w:lang w:eastAsia="zh-CN"/>
              </w:rPr>
              <w:t>；</w:t>
            </w:r>
          </w:p>
          <w:p>
            <w:pPr>
              <w:pStyle w:val="2"/>
              <w:numPr>
                <w:ilvl w:val="0"/>
                <w:numId w:val="0"/>
              </w:numPr>
              <w:rPr>
                <w:rFonts w:hint="eastAsia"/>
              </w:rPr>
            </w:pPr>
            <w:r>
              <w:rPr>
                <w:rFonts w:hint="eastAsia"/>
                <w:lang w:val="en-US" w:eastAsia="zh-CN"/>
              </w:rPr>
              <w:t>5.</w:t>
            </w:r>
            <w:r>
              <w:rPr>
                <w:rFonts w:hint="eastAsia"/>
              </w:rPr>
              <w:t>安装方式</w:t>
            </w:r>
            <w:r>
              <w:rPr>
                <w:rFonts w:hint="eastAsia"/>
                <w:lang w:eastAsia="zh-CN"/>
              </w:rPr>
              <w:t>采用</w:t>
            </w:r>
            <w:r>
              <w:rPr>
                <w:rFonts w:hint="eastAsia"/>
              </w:rPr>
              <w:t>嵌入式安装</w:t>
            </w:r>
            <w:r>
              <w:rPr>
                <w:rFonts w:hint="eastAsia"/>
                <w:color w:val="auto"/>
                <w:highlight w:val="none"/>
                <w:lang w:eastAsia="zh-CN"/>
              </w:rPr>
              <w:t>；</w:t>
            </w:r>
          </w:p>
          <w:p>
            <w:pPr>
              <w:pStyle w:val="2"/>
              <w:numPr>
                <w:ilvl w:val="0"/>
                <w:numId w:val="0"/>
              </w:numPr>
              <w:rPr>
                <w:rFonts w:hint="eastAsia"/>
              </w:rPr>
            </w:pPr>
            <w:r>
              <w:rPr>
                <w:rFonts w:hint="eastAsia"/>
                <w:lang w:val="en-US" w:eastAsia="zh-CN"/>
              </w:rPr>
              <w:t>6.</w:t>
            </w:r>
            <w:r>
              <w:rPr>
                <w:rFonts w:hint="eastAsia"/>
              </w:rPr>
              <w:t>安装环境</w:t>
            </w:r>
            <w:r>
              <w:rPr>
                <w:rFonts w:hint="eastAsia"/>
              </w:rPr>
              <w:tab/>
            </w:r>
            <w:r>
              <w:rPr>
                <w:rFonts w:hint="eastAsia"/>
              </w:rPr>
              <w:t>户外</w:t>
            </w:r>
            <w:r>
              <w:rPr>
                <w:rFonts w:hint="eastAsia"/>
                <w:color w:val="auto"/>
                <w:highlight w:val="none"/>
                <w:lang w:eastAsia="zh-CN"/>
              </w:rPr>
              <w:t>；</w:t>
            </w:r>
          </w:p>
          <w:p>
            <w:pPr>
              <w:pStyle w:val="2"/>
              <w:numPr>
                <w:ilvl w:val="0"/>
                <w:numId w:val="0"/>
              </w:numPr>
              <w:rPr>
                <w:rFonts w:hint="eastAsia"/>
              </w:rPr>
            </w:pPr>
            <w:r>
              <w:rPr>
                <w:rFonts w:hint="eastAsia"/>
                <w:lang w:val="en-US" w:eastAsia="zh-CN"/>
              </w:rPr>
              <w:t>7.</w:t>
            </w:r>
            <w:r>
              <w:rPr>
                <w:rFonts w:hint="eastAsia"/>
              </w:rPr>
              <w:t>工作环境温度</w:t>
            </w:r>
            <w:r>
              <w:rPr>
                <w:rFonts w:hint="eastAsia"/>
              </w:rPr>
              <w:tab/>
            </w:r>
            <w:r>
              <w:rPr>
                <w:rFonts w:hint="eastAsia"/>
              </w:rPr>
              <w:t>-40至+55℃</w:t>
            </w:r>
            <w:r>
              <w:rPr>
                <w:rFonts w:hint="eastAsia"/>
                <w:color w:val="auto"/>
                <w:highlight w:val="none"/>
                <w:lang w:eastAsia="zh-CN"/>
              </w:rPr>
              <w:t>；</w:t>
            </w:r>
          </w:p>
          <w:p>
            <w:pPr>
              <w:pStyle w:val="2"/>
              <w:numPr>
                <w:ilvl w:val="0"/>
                <w:numId w:val="0"/>
              </w:numPr>
              <w:rPr>
                <w:rFonts w:hint="eastAsia"/>
              </w:rPr>
            </w:pPr>
            <w:r>
              <w:rPr>
                <w:rFonts w:hint="eastAsia"/>
                <w:lang w:val="en-US" w:eastAsia="zh-CN"/>
              </w:rPr>
              <w:t>8.</w:t>
            </w:r>
            <w:r>
              <w:rPr>
                <w:rFonts w:hint="eastAsia"/>
              </w:rPr>
              <w:t>噪音</w:t>
            </w:r>
            <w:r>
              <w:rPr>
                <w:rFonts w:hint="eastAsia"/>
              </w:rPr>
              <w:tab/>
            </w:r>
            <w:r>
              <w:rPr>
                <w:rFonts w:hint="eastAsia"/>
              </w:rPr>
              <w:t>≤65dB(A)</w:t>
            </w:r>
            <w:r>
              <w:rPr>
                <w:rFonts w:hint="eastAsia"/>
              </w:rPr>
              <w:tab/>
            </w:r>
            <w:r>
              <w:rPr>
                <w:rFonts w:hint="eastAsia"/>
                <w:color w:val="auto"/>
                <w:highlight w:val="none"/>
                <w:lang w:eastAsia="zh-CN"/>
              </w:rPr>
              <w:t>；</w:t>
            </w:r>
          </w:p>
          <w:p>
            <w:pPr>
              <w:pStyle w:val="2"/>
              <w:numPr>
                <w:ilvl w:val="0"/>
                <w:numId w:val="0"/>
              </w:numPr>
              <w:rPr>
                <w:rFonts w:hint="eastAsia"/>
              </w:rPr>
            </w:pPr>
            <w:r>
              <w:rPr>
                <w:rFonts w:hint="eastAsia"/>
                <w:lang w:val="en-US" w:eastAsia="zh-CN"/>
              </w:rPr>
              <w:t>9.</w:t>
            </w:r>
            <w:r>
              <w:rPr>
                <w:rFonts w:hint="eastAsia"/>
              </w:rPr>
              <w:t>寿命</w:t>
            </w:r>
            <w:r>
              <w:rPr>
                <w:rFonts w:hint="eastAsia"/>
              </w:rPr>
              <w:tab/>
            </w:r>
            <w:r>
              <w:rPr>
                <w:rFonts w:hint="eastAsia"/>
              </w:rPr>
              <w:t>&gt;10</w:t>
            </w:r>
            <w:r>
              <w:rPr>
                <w:rFonts w:hint="eastAsia"/>
                <w:lang w:eastAsia="zh-CN"/>
              </w:rPr>
              <w:t>年</w:t>
            </w:r>
            <w:r>
              <w:rPr>
                <w:rFonts w:hint="eastAsia"/>
                <w:color w:val="auto"/>
                <w:highlight w:val="none"/>
                <w:lang w:eastAsia="zh-CN"/>
              </w:rPr>
              <w:t>；</w:t>
            </w:r>
          </w:p>
          <w:p>
            <w:pPr>
              <w:pStyle w:val="2"/>
              <w:numPr>
                <w:ilvl w:val="0"/>
                <w:numId w:val="0"/>
              </w:numPr>
              <w:rPr>
                <w:rFonts w:hint="eastAsia"/>
              </w:rPr>
            </w:pPr>
            <w:r>
              <w:rPr>
                <w:rFonts w:hint="eastAsia"/>
                <w:lang w:val="en-US" w:eastAsia="zh-CN"/>
              </w:rPr>
              <w:t>10.</w:t>
            </w:r>
            <w:r>
              <w:rPr>
                <w:rFonts w:hint="eastAsia"/>
              </w:rPr>
              <w:t>防护等级</w:t>
            </w:r>
            <w:r>
              <w:rPr>
                <w:rFonts w:hint="eastAsia"/>
                <w:color w:val="auto"/>
                <w:highlight w:val="none"/>
              </w:rPr>
              <w:t>≥</w:t>
            </w:r>
            <w:r>
              <w:rPr>
                <w:rFonts w:hint="eastAsia"/>
              </w:rPr>
              <w:tab/>
            </w:r>
            <w:r>
              <w:rPr>
                <w:rFonts w:hint="eastAsia"/>
              </w:rPr>
              <w:t>IP55</w:t>
            </w:r>
            <w:r>
              <w:rPr>
                <w:rFonts w:hint="eastAsia"/>
                <w:color w:val="auto"/>
                <w:highlight w:val="none"/>
                <w:lang w:eastAsia="zh-CN"/>
              </w:rPr>
              <w:t>；</w:t>
            </w:r>
          </w:p>
          <w:p>
            <w:pPr>
              <w:pStyle w:val="2"/>
              <w:numPr>
                <w:ilvl w:val="0"/>
                <w:numId w:val="0"/>
              </w:numPr>
              <w:rPr>
                <w:rFonts w:hint="eastAsia"/>
              </w:rPr>
            </w:pPr>
            <w:r>
              <w:rPr>
                <w:rFonts w:hint="eastAsia"/>
                <w:lang w:val="en-US" w:eastAsia="zh-CN"/>
              </w:rPr>
              <w:t>11.</w:t>
            </w:r>
            <w:r>
              <w:rPr>
                <w:rFonts w:hint="eastAsia"/>
              </w:rPr>
              <w:t>制冷剂</w:t>
            </w:r>
            <w:r>
              <w:rPr>
                <w:rFonts w:hint="eastAsia"/>
              </w:rPr>
              <w:tab/>
            </w:r>
            <w:r>
              <w:rPr>
                <w:rFonts w:hint="eastAsia"/>
              </w:rPr>
              <w:t>R134a</w:t>
            </w:r>
            <w:r>
              <w:rPr>
                <w:rFonts w:hint="eastAsia"/>
                <w:color w:val="auto"/>
                <w:highlight w:val="none"/>
                <w:lang w:eastAsia="zh-CN"/>
              </w:rPr>
              <w:t>；</w:t>
            </w:r>
          </w:p>
          <w:p>
            <w:pPr>
              <w:pStyle w:val="2"/>
              <w:numPr>
                <w:ilvl w:val="0"/>
                <w:numId w:val="0"/>
              </w:numPr>
              <w:rPr>
                <w:rFonts w:hint="eastAsia"/>
              </w:rPr>
            </w:pPr>
            <w:r>
              <w:rPr>
                <w:rFonts w:hint="eastAsia"/>
                <w:lang w:val="en-US" w:eastAsia="zh-CN"/>
              </w:rPr>
              <w:t>12.须有</w:t>
            </w:r>
            <w:r>
              <w:rPr>
                <w:rFonts w:hint="eastAsia"/>
              </w:rPr>
              <w:t>RoHS</w:t>
            </w:r>
            <w:r>
              <w:rPr>
                <w:rFonts w:hint="eastAsia"/>
                <w:lang w:eastAsia="zh-CN"/>
              </w:rPr>
              <w:t>或与之相同或更高</w:t>
            </w:r>
            <w:r>
              <w:rPr>
                <w:rFonts w:hint="eastAsia"/>
              </w:rPr>
              <w:t>认证</w:t>
            </w:r>
            <w:r>
              <w:rPr>
                <w:rFonts w:hint="eastAsia"/>
                <w:color w:val="auto"/>
                <w:highlight w:val="none"/>
                <w:lang w:eastAsia="zh-CN"/>
              </w:rPr>
              <w:t>；</w:t>
            </w:r>
            <w:r>
              <w:rPr>
                <w:rFonts w:hint="eastAsia"/>
              </w:rPr>
              <w:tab/>
            </w:r>
          </w:p>
          <w:p>
            <w:pPr>
              <w:pStyle w:val="2"/>
              <w:numPr>
                <w:ilvl w:val="0"/>
                <w:numId w:val="0"/>
              </w:numPr>
              <w:rPr>
                <w:rFonts w:hint="eastAsia"/>
              </w:rPr>
            </w:pPr>
            <w:r>
              <w:rPr>
                <w:rFonts w:hint="eastAsia"/>
                <w:lang w:val="en-US" w:eastAsia="zh-CN"/>
              </w:rPr>
              <w:t>13.</w:t>
            </w:r>
            <w:r>
              <w:rPr>
                <w:rFonts w:hint="eastAsia"/>
              </w:rPr>
              <w:t>电源范围</w:t>
            </w:r>
            <w:r>
              <w:rPr>
                <w:rFonts w:hint="eastAsia"/>
              </w:rPr>
              <w:tab/>
            </w:r>
            <w:r>
              <w:rPr>
                <w:rFonts w:hint="eastAsia"/>
              </w:rPr>
              <w:t>220±15%VAC~50Hz</w:t>
            </w:r>
            <w:r>
              <w:rPr>
                <w:rFonts w:hint="eastAsia"/>
                <w:color w:val="auto"/>
                <w:highlight w:val="none"/>
                <w:lang w:eastAsia="zh-CN"/>
              </w:rPr>
              <w:t>；</w:t>
            </w:r>
          </w:p>
          <w:p>
            <w:pPr>
              <w:pStyle w:val="2"/>
              <w:numPr>
                <w:ilvl w:val="0"/>
                <w:numId w:val="0"/>
              </w:numPr>
              <w:rPr>
                <w:rFonts w:hint="eastAsia"/>
              </w:rPr>
            </w:pPr>
            <w:r>
              <w:rPr>
                <w:rFonts w:hint="eastAsia"/>
                <w:lang w:val="en-US" w:eastAsia="zh-CN"/>
              </w:rPr>
              <w:t>14.</w:t>
            </w:r>
            <w:r>
              <w:rPr>
                <w:rFonts w:hint="eastAsia"/>
              </w:rPr>
              <w:t>制冷量(L35/L35)</w:t>
            </w:r>
            <w:r>
              <w:rPr>
                <w:rFonts w:hint="eastAsia"/>
              </w:rPr>
              <w:tab/>
            </w:r>
            <w:r>
              <w:rPr>
                <w:rFonts w:hint="eastAsia"/>
              </w:rPr>
              <w:t>≥1500W</w:t>
            </w:r>
            <w:r>
              <w:rPr>
                <w:rFonts w:hint="eastAsia"/>
                <w:color w:val="auto"/>
                <w:highlight w:val="none"/>
                <w:lang w:eastAsia="zh-CN"/>
              </w:rPr>
              <w:t>；</w:t>
            </w:r>
          </w:p>
          <w:p>
            <w:pPr>
              <w:pStyle w:val="2"/>
              <w:numPr>
                <w:ilvl w:val="0"/>
                <w:numId w:val="0"/>
              </w:numPr>
              <w:rPr>
                <w:rFonts w:hint="eastAsia"/>
              </w:rPr>
            </w:pPr>
            <w:r>
              <w:rPr>
                <w:rFonts w:hint="eastAsia"/>
                <w:lang w:val="en-US" w:eastAsia="zh-CN"/>
              </w:rPr>
              <w:t>15.</w:t>
            </w:r>
            <w:r>
              <w:rPr>
                <w:rFonts w:hint="eastAsia"/>
              </w:rPr>
              <w:t>额定功率(L35/L35)≥580W</w:t>
            </w:r>
            <w:r>
              <w:rPr>
                <w:rFonts w:hint="eastAsia"/>
                <w:color w:val="auto"/>
                <w:highlight w:val="none"/>
                <w:lang w:eastAsia="zh-CN"/>
              </w:rPr>
              <w:t>；</w:t>
            </w:r>
          </w:p>
          <w:p>
            <w:pPr>
              <w:pStyle w:val="2"/>
              <w:numPr>
                <w:ilvl w:val="0"/>
                <w:numId w:val="0"/>
              </w:numPr>
              <w:rPr>
                <w:rFonts w:hint="eastAsia"/>
              </w:rPr>
            </w:pPr>
            <w:r>
              <w:rPr>
                <w:rFonts w:hint="eastAsia"/>
                <w:lang w:val="en-US" w:eastAsia="zh-CN"/>
              </w:rPr>
              <w:t>16.</w:t>
            </w:r>
            <w:r>
              <w:rPr>
                <w:rFonts w:hint="eastAsia"/>
              </w:rPr>
              <w:t>额定电流(L35/L35)≥2.6A</w:t>
            </w:r>
            <w:r>
              <w:rPr>
                <w:rFonts w:hint="eastAsia"/>
              </w:rPr>
              <w:tab/>
            </w:r>
            <w:r>
              <w:rPr>
                <w:rFonts w:hint="eastAsia"/>
                <w:color w:val="auto"/>
                <w:highlight w:val="none"/>
                <w:lang w:eastAsia="zh-CN"/>
              </w:rPr>
              <w:t>；</w:t>
            </w:r>
          </w:p>
          <w:p>
            <w:pPr>
              <w:pStyle w:val="2"/>
              <w:numPr>
                <w:ilvl w:val="0"/>
                <w:numId w:val="0"/>
              </w:numPr>
              <w:rPr>
                <w:rFonts w:hint="eastAsia"/>
              </w:rPr>
            </w:pPr>
            <w:r>
              <w:rPr>
                <w:rFonts w:hint="eastAsia"/>
                <w:lang w:val="en-US" w:eastAsia="zh-CN"/>
              </w:rPr>
              <w:t>17.</w:t>
            </w:r>
            <w:r>
              <w:rPr>
                <w:rFonts w:hint="eastAsia"/>
              </w:rPr>
              <w:t>最大工作电流≥4.6A</w:t>
            </w:r>
            <w:r>
              <w:rPr>
                <w:rFonts w:hint="eastAsia"/>
              </w:rPr>
              <w:tab/>
            </w:r>
            <w:r>
              <w:rPr>
                <w:rFonts w:hint="eastAsia"/>
                <w:color w:val="auto"/>
                <w:highlight w:val="none"/>
                <w:lang w:eastAsia="zh-CN"/>
              </w:rPr>
              <w:t>；</w:t>
            </w:r>
          </w:p>
          <w:p>
            <w:pPr>
              <w:pStyle w:val="2"/>
              <w:numPr>
                <w:ilvl w:val="0"/>
                <w:numId w:val="0"/>
              </w:numPr>
            </w:pPr>
            <w:r>
              <w:rPr>
                <w:rFonts w:hint="eastAsia"/>
                <w:lang w:val="en-US" w:eastAsia="zh-CN"/>
              </w:rPr>
              <w:t>18.</w:t>
            </w:r>
            <w:r>
              <w:rPr>
                <w:rFonts w:hint="eastAsia"/>
              </w:rPr>
              <w:t>循环风量≥370m3/h</w:t>
            </w:r>
            <w:r>
              <w:rPr>
                <w:rFonts w:hint="eastAsia"/>
              </w:rPr>
              <w:tab/>
            </w:r>
            <w:r>
              <w:rPr>
                <w:rFonts w:hint="eastAsia"/>
                <w:color w:val="auto"/>
                <w:highlight w:val="none"/>
                <w:lang w:eastAsia="zh-CN"/>
              </w:rPr>
              <w:t>；</w:t>
            </w:r>
          </w:p>
          <w:p>
            <w:pPr>
              <w:keepNext w:val="0"/>
              <w:keepLines w:val="0"/>
              <w:pageBreakBefore w:val="0"/>
              <w:widowControl w:val="0"/>
              <w:kinsoku/>
              <w:wordWrap/>
              <w:overflowPunct/>
              <w:topLinePunct w:val="0"/>
              <w:autoSpaceDE/>
              <w:autoSpaceDN/>
              <w:bidi w:val="0"/>
              <w:adjustRightInd/>
              <w:jc w:val="left"/>
              <w:textAlignment w:val="auto"/>
              <w:rPr>
                <w:rFonts w:hint="default"/>
                <w:color w:val="auto"/>
                <w:highlight w:val="none"/>
                <w:lang w:val="en-US" w:eastAsia="zh-CN"/>
              </w:rPr>
            </w:pPr>
            <w:r>
              <w:rPr>
                <w:rFonts w:hint="eastAsia"/>
                <w:color w:val="auto"/>
                <w:highlight w:val="none"/>
                <w:lang w:val="en-US" w:eastAsia="zh-CN"/>
              </w:rPr>
              <w:t>19.空调需按要求安装于柜体上；</w:t>
            </w:r>
          </w:p>
        </w:tc>
        <w:tc>
          <w:tcPr>
            <w:tcW w:w="1065"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val="0"/>
              <w:suppressAutoHyphens/>
              <w:kinsoku/>
              <w:wordWrap/>
              <w:overflowPunct/>
              <w:topLinePunct w:val="0"/>
              <w:autoSpaceDE/>
              <w:autoSpaceDN/>
              <w:bidi w:val="0"/>
              <w:adjustRightInd/>
              <w:snapToGrid w:val="0"/>
              <w:spacing w:before="120" w:after="0"/>
              <w:jc w:val="center"/>
              <w:textAlignment w:val="auto"/>
              <w:rPr>
                <w:rFonts w:hint="default" w:cs="宋体"/>
                <w:color w:val="auto"/>
                <w:sz w:val="24"/>
                <w:szCs w:val="24"/>
                <w:highlight w:val="none"/>
                <w:lang w:val="en-US" w:eastAsia="zh-CN"/>
              </w:rPr>
            </w:pPr>
            <w:r>
              <w:rPr>
                <w:rFonts w:hint="eastAsia" w:cs="宋体"/>
                <w:color w:val="auto"/>
                <w:sz w:val="24"/>
                <w:szCs w:val="24"/>
                <w:highlight w:val="none"/>
                <w:lang w:val="en-US" w:eastAsia="zh-CN"/>
              </w:rPr>
              <w:t>6</w:t>
            </w:r>
          </w:p>
        </w:tc>
        <w:tc>
          <w:tcPr>
            <w:tcW w:w="1065"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val="0"/>
              <w:suppressAutoHyphens/>
              <w:kinsoku/>
              <w:wordWrap/>
              <w:overflowPunct/>
              <w:topLinePunct w:val="0"/>
              <w:autoSpaceDE/>
              <w:autoSpaceDN/>
              <w:bidi w:val="0"/>
              <w:adjustRightInd/>
              <w:snapToGrid w:val="0"/>
              <w:spacing w:before="120" w:after="0"/>
              <w:jc w:val="center"/>
              <w:textAlignment w:val="auto"/>
              <w:rPr>
                <w:rFonts w:hint="eastAsia" w:cs="宋体"/>
                <w:color w:val="auto"/>
                <w:sz w:val="24"/>
                <w:szCs w:val="24"/>
                <w:highlight w:val="none"/>
                <w:lang w:val="en-US" w:eastAsia="zh-CN"/>
              </w:rPr>
            </w:pP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招标方联系人：黄工 电话0773-7901888</w:t>
      </w:r>
    </w:p>
    <w:p>
      <w:pPr>
        <w:keepNext/>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类似实物</w:t>
      </w:r>
      <w:r>
        <w:rPr>
          <w:rFonts w:hint="eastAsia"/>
          <w:color w:val="auto"/>
          <w:highlight w:val="none"/>
          <w:lang w:eastAsia="zh-CN"/>
        </w:rPr>
        <w:t>参考</w:t>
      </w:r>
      <w:r>
        <w:rPr>
          <w:color w:val="auto"/>
          <w:highlight w:val="none"/>
        </w:rPr>
        <w:t>图</w:t>
      </w:r>
      <w:r>
        <w:rPr>
          <w:rFonts w:hint="eastAsia"/>
          <w:color w:val="auto"/>
          <w:highlight w:val="none"/>
          <w:lang w:eastAsia="zh-CN"/>
        </w:rPr>
        <w:t>（</w:t>
      </w:r>
      <w:r>
        <w:rPr>
          <w:rFonts w:hint="eastAsia"/>
          <w:color w:val="auto"/>
          <w:highlight w:val="none"/>
        </w:rPr>
        <w:t>所附图片仅供参考，不涉及品牌指定，投标人不能直接引用该图片应标</w:t>
      </w:r>
      <w:r>
        <w:rPr>
          <w:rFonts w:hint="eastAsia"/>
          <w:color w:val="auto"/>
          <w:highlight w:val="none"/>
          <w:lang w:eastAsia="zh-CN"/>
        </w:rPr>
        <w:t>）：</w:t>
      </w:r>
    </w:p>
    <w:p>
      <w:pPr>
        <w:keepNext/>
        <w:keepLines w:val="0"/>
        <w:pageBreakBefore w:val="0"/>
        <w:widowControl w:val="0"/>
        <w:kinsoku/>
        <w:wordWrap/>
        <w:overflowPunct/>
        <w:topLinePunct w:val="0"/>
        <w:autoSpaceDE/>
        <w:autoSpaceDN/>
        <w:bidi w:val="0"/>
        <w:adjustRightInd/>
        <w:snapToGrid/>
        <w:jc w:val="center"/>
        <w:textAlignment w:val="auto"/>
        <w:rPr>
          <w:rFonts w:hint="eastAsia" w:eastAsia="宋体"/>
          <w:color w:val="auto"/>
          <w:highlight w:val="none"/>
          <w:lang w:val="en-US" w:eastAsia="zh-CN"/>
        </w:rPr>
      </w:pPr>
      <w:r>
        <w:rPr>
          <w:color w:val="auto"/>
          <w:highlight w:val="none"/>
        </w:rPr>
        <w:drawing>
          <wp:inline distT="0" distB="0" distL="0" distR="0">
            <wp:extent cx="1080135" cy="1440180"/>
            <wp:effectExtent l="0" t="0" r="5715" b="7620"/>
            <wp:docPr id="1" name="图像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像6"/>
                    <pic:cNvPicPr>
                      <a:picLocks noChangeAspect="1" noChangeArrowheads="1"/>
                    </pic:cNvPicPr>
                  </pic:nvPicPr>
                  <pic:blipFill>
                    <a:blip r:embed="rId9"/>
                    <a:srcRect l="-456" t="13456" r="7823" b="2325"/>
                    <a:stretch>
                      <a:fillRect/>
                    </a:stretch>
                  </pic:blipFill>
                  <pic:spPr>
                    <a:xfrm>
                      <a:off x="0" y="0"/>
                      <a:ext cx="1080135" cy="1440180"/>
                    </a:xfrm>
                    <a:prstGeom prst="rect">
                      <a:avLst/>
                    </a:prstGeom>
                    <a:noFill/>
                  </pic:spPr>
                </pic:pic>
              </a:graphicData>
            </a:graphic>
          </wp:inline>
        </w:drawing>
      </w:r>
      <w:r>
        <w:rPr>
          <w:rFonts w:hint="eastAsia"/>
          <w:color w:val="auto"/>
          <w:highlight w:val="none"/>
          <w:lang w:val="en-US" w:eastAsia="zh-CN"/>
        </w:rPr>
        <w:t xml:space="preserve">  </w:t>
      </w:r>
      <w:r>
        <w:rPr>
          <w:color w:val="auto"/>
          <w:highlight w:val="none"/>
        </w:rPr>
        <w:drawing>
          <wp:inline distT="0" distB="0" distL="0" distR="0">
            <wp:extent cx="1080135" cy="1440180"/>
            <wp:effectExtent l="0" t="0" r="5715" b="7620"/>
            <wp:docPr id="5" name="图像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像5"/>
                    <pic:cNvPicPr>
                      <a:picLocks noChangeAspect="1" noChangeArrowheads="1"/>
                    </pic:cNvPicPr>
                  </pic:nvPicPr>
                  <pic:blipFill>
                    <a:blip r:embed="rId10"/>
                    <a:srcRect l="-1" t="-1" r="-1" b="-1"/>
                    <a:stretch>
                      <a:fillRect/>
                    </a:stretch>
                  </pic:blipFill>
                  <pic:spPr>
                    <a:xfrm>
                      <a:off x="0" y="0"/>
                      <a:ext cx="1080135" cy="1440180"/>
                    </a:xfrm>
                    <a:prstGeom prst="rect">
                      <a:avLst/>
                    </a:prstGeom>
                    <a:noFill/>
                  </pic:spPr>
                </pic:pic>
              </a:graphicData>
            </a:graphic>
          </wp:inline>
        </w:drawing>
      </w:r>
      <w:r>
        <w:rPr>
          <w:rFonts w:hint="eastAsia"/>
          <w:color w:val="auto"/>
          <w:highlight w:val="none"/>
          <w:lang w:val="en-US" w:eastAsia="zh-CN"/>
        </w:rPr>
        <w:t xml:space="preserve">  </w:t>
      </w:r>
      <w:r>
        <w:rPr>
          <w:color w:val="auto"/>
          <w:highlight w:val="none"/>
        </w:rPr>
        <w:drawing>
          <wp:inline distT="0" distB="0" distL="0" distR="0">
            <wp:extent cx="1080135" cy="1440180"/>
            <wp:effectExtent l="0" t="0" r="5715" b="7620"/>
            <wp:docPr id="6" name="图像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像7"/>
                    <pic:cNvPicPr>
                      <a:picLocks noChangeAspect="1" noChangeArrowheads="1"/>
                    </pic:cNvPicPr>
                  </pic:nvPicPr>
                  <pic:blipFill>
                    <a:blip r:embed="rId11"/>
                    <a:srcRect l="-15" t="-1" r="-15" b="-1"/>
                    <a:stretch>
                      <a:fillRect/>
                    </a:stretch>
                  </pic:blipFill>
                  <pic:spPr>
                    <a:xfrm>
                      <a:off x="0" y="0"/>
                      <a:ext cx="1080135" cy="1440180"/>
                    </a:xfrm>
                    <a:prstGeom prst="rect">
                      <a:avLst/>
                    </a:prstGeom>
                    <a:noFill/>
                  </pic:spPr>
                </pic:pic>
              </a:graphicData>
            </a:graphic>
          </wp:inline>
        </w:drawing>
      </w:r>
      <w:r>
        <w:rPr>
          <w:rFonts w:hint="eastAsia"/>
          <w:color w:val="auto"/>
          <w:highlight w:val="none"/>
          <w:lang w:val="en-US" w:eastAsia="zh-CN"/>
        </w:rPr>
        <w:t xml:space="preserve">  </w:t>
      </w:r>
      <w:r>
        <w:rPr>
          <w:color w:val="auto"/>
          <w:highlight w:val="none"/>
        </w:rPr>
        <w:drawing>
          <wp:inline distT="0" distB="0" distL="0" distR="0">
            <wp:extent cx="1079500" cy="1440180"/>
            <wp:effectExtent l="0" t="0" r="6350" b="7620"/>
            <wp:docPr id="7" name="图像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像10"/>
                    <pic:cNvPicPr>
                      <a:picLocks noChangeAspect="1" noChangeArrowheads="1"/>
                    </pic:cNvPicPr>
                  </pic:nvPicPr>
                  <pic:blipFill>
                    <a:blip r:embed="rId12"/>
                    <a:srcRect l="-1" t="-1" r="-1" b="-1"/>
                    <a:stretch>
                      <a:fillRect/>
                    </a:stretch>
                  </pic:blipFill>
                  <pic:spPr>
                    <a:xfrm>
                      <a:off x="0" y="0"/>
                      <a:ext cx="1079500" cy="1440180"/>
                    </a:xfrm>
                    <a:prstGeom prst="rect">
                      <a:avLst/>
                    </a:prstGeom>
                    <a:noFill/>
                  </pic:spPr>
                </pic:pic>
              </a:graphicData>
            </a:graphic>
          </wp:inline>
        </w:drawing>
      </w:r>
      <w:r>
        <w:rPr>
          <w:rFonts w:hint="eastAsia"/>
          <w:color w:val="auto"/>
          <w:highlight w:val="none"/>
          <w:lang w:val="en-US" w:eastAsia="zh-CN"/>
        </w:rPr>
        <w:t xml:space="preserve"> </w:t>
      </w:r>
    </w:p>
    <w:p>
      <w:pPr>
        <w:pStyle w:val="2"/>
      </w:pPr>
    </w:p>
    <w:p>
      <w:pPr>
        <w:pStyle w:val="4"/>
        <w:keepNext w:val="0"/>
        <w:keepLines w:val="0"/>
        <w:pageBreakBefore w:val="0"/>
        <w:widowControl w:val="0"/>
        <w:kinsoku/>
        <w:wordWrap/>
        <w:overflowPunct/>
        <w:topLinePunct w:val="0"/>
        <w:autoSpaceDE/>
        <w:autoSpaceDN/>
        <w:bidi w:val="0"/>
        <w:adjustRightInd/>
        <w:ind w:left="0" w:leftChars="0" w:firstLine="0" w:firstLineChars="0"/>
        <w:textAlignment w:val="auto"/>
        <w:rPr>
          <w:color w:val="auto"/>
          <w:highlight w:val="none"/>
        </w:rPr>
      </w:pPr>
      <w:r>
        <w:rPr>
          <w:color w:val="auto"/>
          <w:highlight w:val="none"/>
        </w:rPr>
        <w:t>工厂试验可由投标方在生产厂家内完成。</w:t>
      </w:r>
    </w:p>
    <w:p>
      <w:pPr>
        <w:pStyle w:val="4"/>
        <w:keepNext w:val="0"/>
        <w:keepLines w:val="0"/>
        <w:pageBreakBefore w:val="0"/>
        <w:widowControl w:val="0"/>
        <w:kinsoku/>
        <w:wordWrap/>
        <w:overflowPunct/>
        <w:topLinePunct w:val="0"/>
        <w:autoSpaceDE/>
        <w:autoSpaceDN/>
        <w:bidi w:val="0"/>
        <w:adjustRightInd/>
        <w:ind w:left="0" w:leftChars="0" w:firstLine="0" w:firstLineChars="0"/>
        <w:textAlignment w:val="auto"/>
        <w:rPr>
          <w:color w:val="auto"/>
          <w:highlight w:val="none"/>
        </w:rPr>
      </w:pPr>
      <w:r>
        <w:rPr>
          <w:color w:val="auto"/>
          <w:highlight w:val="none"/>
        </w:rPr>
        <w:t>现场安装和试验由投标方完成，投标方按标准检查安装质量，处理调试投运过程中出现的问题，做好售后服务工作。投标方应选派有</w:t>
      </w:r>
      <w:r>
        <w:rPr>
          <w:rFonts w:hint="eastAsia"/>
          <w:color w:val="auto"/>
          <w:highlight w:val="none"/>
          <w:lang w:eastAsia="zh-CN"/>
        </w:rPr>
        <w:t>相关资质及相关</w:t>
      </w:r>
      <w:r>
        <w:rPr>
          <w:color w:val="auto"/>
          <w:highlight w:val="none"/>
        </w:rPr>
        <w:t>经验的技术人员，对安装和运行人员免费培训。</w:t>
      </w:r>
    </w:p>
    <w:p>
      <w:pPr>
        <w:pStyle w:val="4"/>
        <w:keepNext w:val="0"/>
        <w:keepLines w:val="0"/>
        <w:pageBreakBefore w:val="0"/>
        <w:widowControl w:val="0"/>
        <w:kinsoku/>
        <w:wordWrap/>
        <w:overflowPunct/>
        <w:topLinePunct w:val="0"/>
        <w:autoSpaceDE/>
        <w:autoSpaceDN/>
        <w:bidi w:val="0"/>
        <w:adjustRightInd/>
        <w:ind w:left="0" w:leftChars="0" w:firstLine="0" w:firstLineChars="0"/>
        <w:textAlignment w:val="auto"/>
        <w:rPr>
          <w:color w:val="auto"/>
          <w:highlight w:val="none"/>
        </w:rPr>
      </w:pPr>
      <w:r>
        <w:rPr>
          <w:color w:val="auto"/>
          <w:highlight w:val="none"/>
        </w:rPr>
        <w:t>投标方应协助招标方解决设备运行中出现的问题。</w:t>
      </w:r>
    </w:p>
    <w:p>
      <w:pPr>
        <w:pStyle w:val="4"/>
        <w:keepNext w:val="0"/>
        <w:keepLines w:val="0"/>
        <w:pageBreakBefore w:val="0"/>
        <w:widowControl w:val="0"/>
        <w:kinsoku/>
        <w:wordWrap/>
        <w:overflowPunct/>
        <w:topLinePunct w:val="0"/>
        <w:autoSpaceDE/>
        <w:autoSpaceDN/>
        <w:bidi w:val="0"/>
        <w:adjustRightInd/>
        <w:ind w:left="0" w:leftChars="0" w:firstLine="0" w:firstLineChars="0"/>
        <w:textAlignment w:val="auto"/>
        <w:rPr>
          <w:color w:val="auto"/>
          <w:highlight w:val="none"/>
        </w:rPr>
      </w:pPr>
      <w:r>
        <w:rPr>
          <w:color w:val="auto"/>
          <w:highlight w:val="none"/>
        </w:rPr>
        <w:t>设备安装、调试和性能试验合格后方可投运。</w:t>
      </w:r>
    </w:p>
    <w:p>
      <w:pPr>
        <w:pStyle w:val="4"/>
        <w:keepNext w:val="0"/>
        <w:keepLines w:val="0"/>
        <w:pageBreakBefore w:val="0"/>
        <w:widowControl w:val="0"/>
        <w:kinsoku/>
        <w:wordWrap/>
        <w:overflowPunct/>
        <w:topLinePunct w:val="0"/>
        <w:autoSpaceDE/>
        <w:autoSpaceDN/>
        <w:bidi w:val="0"/>
        <w:adjustRightInd/>
        <w:ind w:left="0" w:leftChars="0" w:firstLine="0" w:firstLineChars="0"/>
        <w:textAlignment w:val="auto"/>
        <w:rPr>
          <w:color w:val="auto"/>
          <w:highlight w:val="none"/>
        </w:rPr>
      </w:pPr>
      <w:r>
        <w:rPr>
          <w:color w:val="auto"/>
          <w:highlight w:val="none"/>
        </w:rPr>
        <w:t>如果安装、调试、性能试验、试运行及质保期内技术指标一项或多项不能满足合同技术部分要求，</w:t>
      </w:r>
      <w:r>
        <w:rPr>
          <w:rFonts w:hint="eastAsia"/>
          <w:color w:val="auto"/>
          <w:highlight w:val="none"/>
          <w:lang w:eastAsia="zh-CN"/>
        </w:rPr>
        <w:t>招投标</w:t>
      </w:r>
      <w:r>
        <w:rPr>
          <w:color w:val="auto"/>
          <w:highlight w:val="none"/>
        </w:rPr>
        <w:t>双方共同分析原因，分清责任，如属制造方面的原因，或涉及索赔部分，按商务部分有关条款执行。</w:t>
      </w:r>
    </w:p>
    <w:p>
      <w:pPr>
        <w:pStyle w:val="3"/>
        <w:keepNext w:val="0"/>
        <w:keepLines w:val="0"/>
        <w:pageBreakBefore w:val="0"/>
        <w:widowControl w:val="0"/>
        <w:kinsoku/>
        <w:wordWrap/>
        <w:overflowPunct/>
        <w:topLinePunct w:val="0"/>
        <w:autoSpaceDE/>
        <w:autoSpaceDN/>
        <w:bidi w:val="0"/>
        <w:adjustRightInd/>
        <w:ind w:left="0" w:leftChars="0" w:firstLine="0" w:firstLineChars="0"/>
        <w:textAlignment w:val="auto"/>
        <w:rPr>
          <w:color w:val="auto"/>
          <w:highlight w:val="none"/>
        </w:rPr>
      </w:pPr>
      <w:bookmarkStart w:id="72" w:name="_Toc4925"/>
      <w:bookmarkStart w:id="73" w:name="_Toc12562"/>
      <w:r>
        <w:rPr>
          <w:color w:val="auto"/>
          <w:highlight w:val="none"/>
        </w:rPr>
        <w:t>应遵循的主要标准</w:t>
      </w:r>
      <w:bookmarkEnd w:id="72"/>
      <w:bookmarkEnd w:id="73"/>
    </w:p>
    <w:p>
      <w:pPr>
        <w:pStyle w:val="4"/>
        <w:keepNext w:val="0"/>
        <w:keepLines w:val="0"/>
        <w:pageBreakBefore w:val="0"/>
        <w:widowControl w:val="0"/>
        <w:kinsoku/>
        <w:wordWrap/>
        <w:overflowPunct/>
        <w:topLinePunct w:val="0"/>
        <w:autoSpaceDE/>
        <w:autoSpaceDN/>
        <w:bidi w:val="0"/>
        <w:adjustRightInd/>
        <w:ind w:left="0" w:leftChars="0" w:firstLine="0" w:firstLineChars="0"/>
        <w:textAlignment w:val="auto"/>
        <w:rPr>
          <w:color w:val="auto"/>
          <w:highlight w:val="none"/>
        </w:rPr>
      </w:pPr>
      <w:r>
        <w:rPr>
          <w:color w:val="auto"/>
          <w:highlight w:val="none"/>
        </w:rPr>
        <w:t>表2所列标准所包含的条文</w:t>
      </w:r>
      <w:r>
        <w:rPr>
          <w:rFonts w:hint="eastAsia"/>
          <w:color w:val="auto"/>
          <w:highlight w:val="none"/>
          <w:lang w:eastAsia="zh-CN"/>
        </w:rPr>
        <w:t>，</w:t>
      </w:r>
      <w:r>
        <w:rPr>
          <w:color w:val="auto"/>
          <w:highlight w:val="none"/>
        </w:rPr>
        <w:t>通过在本招标技术文件中引用而构成本招标技术文件的基本条文。在本招标技术文件出版时</w:t>
      </w:r>
      <w:r>
        <w:rPr>
          <w:rFonts w:hint="eastAsia"/>
          <w:color w:val="auto"/>
          <w:highlight w:val="none"/>
          <w:lang w:eastAsia="zh-CN"/>
        </w:rPr>
        <w:t>，</w:t>
      </w:r>
      <w:r>
        <w:rPr>
          <w:color w:val="auto"/>
          <w:highlight w:val="none"/>
        </w:rPr>
        <w:t>若未指明标准号年份，则使用所列标准的最新版本。如果各标准对同一内容要求有所不同，则需满足最高的标准要求。</w:t>
      </w:r>
    </w:p>
    <w:p>
      <w:pPr>
        <w:pStyle w:val="7"/>
        <w:keepNext w:val="0"/>
        <w:keepLines w:val="0"/>
        <w:pageBreakBefore w:val="0"/>
        <w:widowControl w:val="0"/>
        <w:kinsoku/>
        <w:wordWrap/>
        <w:overflowPunct/>
        <w:topLinePunct w:val="0"/>
        <w:autoSpaceDE/>
        <w:autoSpaceDN/>
        <w:bidi w:val="0"/>
        <w:adjustRightInd/>
        <w:snapToGrid/>
        <w:textAlignment w:val="auto"/>
        <w:rPr>
          <w:rFonts w:hint="eastAsia" w:eastAsia="宋体"/>
          <w:color w:val="auto"/>
          <w:highlight w:val="none"/>
          <w:lang w:eastAsia="zh-CN"/>
        </w:rPr>
      </w:pPr>
      <w:r>
        <w:rPr>
          <w:color w:val="auto"/>
          <w:highlight w:val="none"/>
        </w:rPr>
        <w:t>表</w:t>
      </w:r>
      <w:r>
        <w:rPr>
          <w:color w:val="auto"/>
          <w:highlight w:val="none"/>
        </w:rPr>
        <w:fldChar w:fldCharType="begin"/>
      </w:r>
      <w:r>
        <w:rPr>
          <w:color w:val="auto"/>
          <w:highlight w:val="none"/>
        </w:rPr>
        <w:instrText xml:space="preserve"> SEQ 表 \* ARABIC </w:instrText>
      </w:r>
      <w:r>
        <w:rPr>
          <w:color w:val="auto"/>
          <w:highlight w:val="none"/>
        </w:rPr>
        <w:fldChar w:fldCharType="separate"/>
      </w:r>
      <w:r>
        <w:rPr>
          <w:color w:val="auto"/>
          <w:highlight w:val="none"/>
        </w:rPr>
        <w:t>2</w:t>
      </w:r>
      <w:r>
        <w:rPr>
          <w:color w:val="auto"/>
          <w:highlight w:val="none"/>
        </w:rPr>
        <w:fldChar w:fldCharType="end"/>
      </w:r>
      <w:r>
        <w:rPr>
          <w:rFonts w:hint="eastAsia"/>
          <w:color w:val="auto"/>
          <w:highlight w:val="none"/>
          <w:lang w:eastAsia="zh-CN"/>
        </w:rPr>
        <w:t>　设备应遵循主要标准列表</w:t>
      </w:r>
    </w:p>
    <w:tbl>
      <w:tblPr>
        <w:tblStyle w:val="20"/>
        <w:tblW w:w="8592" w:type="dxa"/>
        <w:jc w:val="center"/>
        <w:tblLayout w:type="fixed"/>
        <w:tblCellMar>
          <w:top w:w="0" w:type="dxa"/>
          <w:left w:w="108" w:type="dxa"/>
          <w:bottom w:w="0" w:type="dxa"/>
          <w:right w:w="108" w:type="dxa"/>
        </w:tblCellMar>
      </w:tblPr>
      <w:tblGrid>
        <w:gridCol w:w="2856"/>
        <w:gridCol w:w="5736"/>
      </w:tblGrid>
      <w:tr>
        <w:tblPrEx>
          <w:tblCellMar>
            <w:top w:w="0" w:type="dxa"/>
            <w:left w:w="108" w:type="dxa"/>
            <w:bottom w:w="0" w:type="dxa"/>
            <w:right w:w="108" w:type="dxa"/>
          </w:tblCellMar>
        </w:tblPrEx>
        <w:trPr>
          <w:trHeight w:val="0" w:hRule="atLeast"/>
          <w:tblHeader/>
          <w:jc w:val="center"/>
        </w:trPr>
        <w:tc>
          <w:tcPr>
            <w:tcW w:w="2856"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napToGrid/>
              <w:spacing w:before="0" w:after="0"/>
              <w:jc w:val="center"/>
              <w:textAlignment w:val="auto"/>
              <w:rPr>
                <w:rFonts w:ascii="宋体" w:hAnsi="宋体" w:eastAsia="宋体" w:cs="宋体"/>
                <w:color w:val="auto"/>
                <w:highlight w:val="none"/>
              </w:rPr>
            </w:pPr>
            <w:r>
              <w:rPr>
                <w:rFonts w:ascii="宋体" w:hAnsi="宋体" w:cs="宋体"/>
                <w:color w:val="auto"/>
                <w:highlight w:val="none"/>
              </w:rPr>
              <w:t>标准号</w:t>
            </w:r>
            <w:r>
              <w:rPr>
                <w:rFonts w:eastAsia="宋体" w:cs="宋体"/>
                <w:color w:val="auto"/>
                <w:highlight w:val="none"/>
              </w:rPr>
              <w:t>-</w:t>
            </w:r>
            <w:r>
              <w:rPr>
                <w:rFonts w:ascii="宋体" w:hAnsi="宋体" w:cs="宋体"/>
                <w:color w:val="auto"/>
                <w:highlight w:val="none"/>
              </w:rPr>
              <w:t>年份</w:t>
            </w:r>
          </w:p>
        </w:tc>
        <w:tc>
          <w:tcPr>
            <w:tcW w:w="5736"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napToGrid/>
              <w:spacing w:before="0" w:after="0"/>
              <w:jc w:val="center"/>
              <w:textAlignment w:val="auto"/>
              <w:rPr>
                <w:rFonts w:ascii="宋体" w:hAnsi="宋体" w:eastAsia="宋体" w:cs="宋体"/>
                <w:color w:val="auto"/>
                <w:highlight w:val="none"/>
              </w:rPr>
            </w:pPr>
            <w:r>
              <w:rPr>
                <w:rFonts w:ascii="宋体" w:hAnsi="宋体" w:cs="宋体"/>
                <w:color w:val="auto"/>
                <w:highlight w:val="none"/>
              </w:rPr>
              <w:t>标准名称</w:t>
            </w:r>
          </w:p>
        </w:tc>
      </w:tr>
      <w:tr>
        <w:tblPrEx>
          <w:tblCellMar>
            <w:top w:w="0" w:type="dxa"/>
            <w:left w:w="108" w:type="dxa"/>
            <w:bottom w:w="0" w:type="dxa"/>
            <w:right w:w="108" w:type="dxa"/>
          </w:tblCellMar>
        </w:tblPrEx>
        <w:trPr>
          <w:trHeight w:val="0" w:hRule="atLeast"/>
          <w:jc w:val="center"/>
        </w:trPr>
        <w:tc>
          <w:tcPr>
            <w:tcW w:w="2856"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r>
              <w:rPr>
                <w:rFonts w:eastAsia="宋体" w:cs="宋体"/>
                <w:color w:val="auto"/>
                <w:highlight w:val="none"/>
              </w:rPr>
              <w:t>Q/CSG2153073-2020</w:t>
            </w:r>
          </w:p>
        </w:tc>
        <w:tc>
          <w:tcPr>
            <w:tcW w:w="5736"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r>
              <w:rPr>
                <w:rFonts w:ascii="宋体" w:hAnsi="宋体" w:cs="宋体"/>
                <w:color w:val="auto"/>
                <w:highlight w:val="none"/>
              </w:rPr>
              <w:t>南方电网公司全域物联网管理业务指导书（试行）</w:t>
            </w:r>
          </w:p>
        </w:tc>
      </w:tr>
      <w:tr>
        <w:tblPrEx>
          <w:tblCellMar>
            <w:top w:w="0" w:type="dxa"/>
            <w:left w:w="108" w:type="dxa"/>
            <w:bottom w:w="0" w:type="dxa"/>
            <w:right w:w="108" w:type="dxa"/>
          </w:tblCellMar>
        </w:tblPrEx>
        <w:trPr>
          <w:trHeight w:val="0" w:hRule="atLeast"/>
          <w:jc w:val="center"/>
        </w:trPr>
        <w:tc>
          <w:tcPr>
            <w:tcW w:w="2856"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r>
              <w:rPr>
                <w:rFonts w:eastAsia="宋体" w:cs="宋体"/>
                <w:color w:val="auto"/>
                <w:highlight w:val="none"/>
              </w:rPr>
              <w:t>Q/CSG118010-2012</w:t>
            </w:r>
          </w:p>
        </w:tc>
        <w:tc>
          <w:tcPr>
            <w:tcW w:w="5736"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r>
              <w:rPr>
                <w:rFonts w:ascii="宋体" w:hAnsi="宋体" w:cs="宋体"/>
                <w:color w:val="auto"/>
                <w:highlight w:val="none"/>
              </w:rPr>
              <w:t>中国南方电网有限责任公司信息安全保障体系</w:t>
            </w:r>
          </w:p>
        </w:tc>
      </w:tr>
      <w:tr>
        <w:tblPrEx>
          <w:tblCellMar>
            <w:top w:w="0" w:type="dxa"/>
            <w:left w:w="108" w:type="dxa"/>
            <w:bottom w:w="0" w:type="dxa"/>
            <w:right w:w="108" w:type="dxa"/>
          </w:tblCellMar>
        </w:tblPrEx>
        <w:trPr>
          <w:trHeight w:val="0" w:hRule="atLeast"/>
          <w:jc w:val="center"/>
        </w:trPr>
        <w:tc>
          <w:tcPr>
            <w:tcW w:w="2856"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r>
              <w:rPr>
                <w:rFonts w:eastAsia="宋体" w:cs="宋体"/>
                <w:color w:val="auto"/>
                <w:highlight w:val="none"/>
              </w:rPr>
              <w:t>Q/CSG218008-2014</w:t>
            </w:r>
          </w:p>
        </w:tc>
        <w:tc>
          <w:tcPr>
            <w:tcW w:w="5736"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r>
              <w:rPr>
                <w:rFonts w:ascii="宋体" w:hAnsi="宋体" w:cs="宋体"/>
                <w:color w:val="auto"/>
                <w:highlight w:val="none"/>
              </w:rPr>
              <w:t>南方电网有限责任公司信息化项目实施管理办法</w:t>
            </w:r>
          </w:p>
        </w:tc>
      </w:tr>
      <w:tr>
        <w:tblPrEx>
          <w:tblCellMar>
            <w:top w:w="0" w:type="dxa"/>
            <w:left w:w="108" w:type="dxa"/>
            <w:bottom w:w="0" w:type="dxa"/>
            <w:right w:w="108" w:type="dxa"/>
          </w:tblCellMar>
        </w:tblPrEx>
        <w:trPr>
          <w:trHeight w:val="0" w:hRule="atLeast"/>
          <w:jc w:val="center"/>
        </w:trPr>
        <w:tc>
          <w:tcPr>
            <w:tcW w:w="2856"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r>
              <w:rPr>
                <w:rFonts w:eastAsia="宋体" w:cs="宋体"/>
                <w:color w:val="auto"/>
                <w:highlight w:val="none"/>
              </w:rPr>
              <w:t>Q/CSG-GXPG218009-2014</w:t>
            </w:r>
          </w:p>
        </w:tc>
        <w:tc>
          <w:tcPr>
            <w:tcW w:w="5736"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r>
              <w:rPr>
                <w:rFonts w:ascii="宋体" w:hAnsi="宋体" w:cs="宋体"/>
                <w:color w:val="auto"/>
                <w:highlight w:val="none"/>
              </w:rPr>
              <w:t>广西电网有限责任公司信息化项目实施管理细则</w:t>
            </w:r>
          </w:p>
        </w:tc>
      </w:tr>
      <w:tr>
        <w:tblPrEx>
          <w:tblCellMar>
            <w:top w:w="0" w:type="dxa"/>
            <w:left w:w="108" w:type="dxa"/>
            <w:bottom w:w="0" w:type="dxa"/>
            <w:right w:w="108" w:type="dxa"/>
          </w:tblCellMar>
        </w:tblPrEx>
        <w:trPr>
          <w:trHeight w:val="0" w:hRule="atLeast"/>
          <w:jc w:val="center"/>
        </w:trPr>
        <w:tc>
          <w:tcPr>
            <w:tcW w:w="2856"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val="0"/>
              <w:suppressAutoHyphens/>
              <w:kinsoku/>
              <w:wordWrap/>
              <w:overflowPunct/>
              <w:topLinePunct w:val="0"/>
              <w:autoSpaceDE/>
              <w:autoSpaceDN/>
              <w:bidi w:val="0"/>
              <w:adjustRightInd/>
              <w:snapToGrid/>
              <w:spacing w:before="0" w:after="0"/>
              <w:jc w:val="left"/>
              <w:textAlignment w:val="auto"/>
              <w:rPr>
                <w:rFonts w:ascii="宋体" w:hAnsi="宋体" w:eastAsia="宋体" w:cs="宋体"/>
                <w:color w:val="auto"/>
                <w:highlight w:val="none"/>
              </w:rPr>
            </w:pPr>
            <w:r>
              <w:rPr>
                <w:rFonts w:eastAsia="宋体" w:cs="宋体"/>
                <w:color w:val="auto"/>
                <w:highlight w:val="none"/>
              </w:rPr>
              <w:t>Q/CSG218011-2014</w:t>
            </w:r>
          </w:p>
        </w:tc>
        <w:tc>
          <w:tcPr>
            <w:tcW w:w="5736"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r>
              <w:rPr>
                <w:rFonts w:ascii="宋体" w:hAnsi="宋体" w:cs="宋体"/>
                <w:color w:val="auto"/>
                <w:highlight w:val="none"/>
              </w:rPr>
              <w:t>南方电网有限责任公司信息化项目进度管理办法</w:t>
            </w:r>
          </w:p>
        </w:tc>
      </w:tr>
      <w:tr>
        <w:tblPrEx>
          <w:tblCellMar>
            <w:top w:w="0" w:type="dxa"/>
            <w:left w:w="108" w:type="dxa"/>
            <w:bottom w:w="0" w:type="dxa"/>
            <w:right w:w="108" w:type="dxa"/>
          </w:tblCellMar>
        </w:tblPrEx>
        <w:trPr>
          <w:trHeight w:val="0" w:hRule="atLeast"/>
          <w:jc w:val="center"/>
        </w:trPr>
        <w:tc>
          <w:tcPr>
            <w:tcW w:w="2856"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r>
              <w:rPr>
                <w:rFonts w:eastAsia="宋体" w:cs="宋体"/>
                <w:color w:val="auto"/>
                <w:highlight w:val="none"/>
              </w:rPr>
              <w:t>Q/CSG-GXPG218004-2014</w:t>
            </w:r>
          </w:p>
        </w:tc>
        <w:tc>
          <w:tcPr>
            <w:tcW w:w="5736"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r>
              <w:rPr>
                <w:rFonts w:ascii="宋体" w:hAnsi="宋体" w:cs="宋体"/>
                <w:color w:val="auto"/>
                <w:highlight w:val="none"/>
              </w:rPr>
              <w:t>广西电网有限责任公司信息化项目进度管理细则</w:t>
            </w:r>
          </w:p>
        </w:tc>
      </w:tr>
      <w:tr>
        <w:tblPrEx>
          <w:tblCellMar>
            <w:top w:w="0" w:type="dxa"/>
            <w:left w:w="108" w:type="dxa"/>
            <w:bottom w:w="0" w:type="dxa"/>
            <w:right w:w="108" w:type="dxa"/>
          </w:tblCellMar>
        </w:tblPrEx>
        <w:trPr>
          <w:trHeight w:val="0" w:hRule="atLeast"/>
          <w:jc w:val="center"/>
        </w:trPr>
        <w:tc>
          <w:tcPr>
            <w:tcW w:w="2856"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r>
              <w:rPr>
                <w:rFonts w:eastAsia="宋体" w:cs="宋体"/>
                <w:color w:val="auto"/>
                <w:highlight w:val="none"/>
              </w:rPr>
              <w:t>Q/CSG218006-2014</w:t>
            </w:r>
          </w:p>
        </w:tc>
        <w:tc>
          <w:tcPr>
            <w:tcW w:w="5736"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r>
              <w:rPr>
                <w:rFonts w:ascii="宋体" w:hAnsi="宋体" w:cs="宋体"/>
                <w:color w:val="auto"/>
                <w:highlight w:val="none"/>
              </w:rPr>
              <w:t>南方电网有限责任公司信息化项目验收管理办法</w:t>
            </w:r>
          </w:p>
        </w:tc>
      </w:tr>
      <w:tr>
        <w:tblPrEx>
          <w:tblCellMar>
            <w:top w:w="0" w:type="dxa"/>
            <w:left w:w="108" w:type="dxa"/>
            <w:bottom w:w="0" w:type="dxa"/>
            <w:right w:w="108" w:type="dxa"/>
          </w:tblCellMar>
        </w:tblPrEx>
        <w:trPr>
          <w:trHeight w:val="0" w:hRule="atLeast"/>
          <w:jc w:val="center"/>
        </w:trPr>
        <w:tc>
          <w:tcPr>
            <w:tcW w:w="2856"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r>
              <w:rPr>
                <w:rFonts w:eastAsia="宋体" w:cs="宋体"/>
                <w:color w:val="auto"/>
                <w:highlight w:val="none"/>
              </w:rPr>
              <w:t>Q/CSG-GXPG218011-2014</w:t>
            </w:r>
          </w:p>
        </w:tc>
        <w:tc>
          <w:tcPr>
            <w:tcW w:w="5736"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r>
              <w:rPr>
                <w:rFonts w:ascii="宋体" w:hAnsi="宋体" w:cs="宋体"/>
                <w:color w:val="auto"/>
                <w:highlight w:val="none"/>
              </w:rPr>
              <w:t>广西电网有限责任公司信息化项目验收管理细则</w:t>
            </w:r>
          </w:p>
        </w:tc>
      </w:tr>
    </w:tbl>
    <w:p>
      <w:pPr>
        <w:pStyle w:val="3"/>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color w:val="auto"/>
          <w:highlight w:val="none"/>
        </w:rPr>
      </w:pPr>
      <w:bookmarkStart w:id="74" w:name="_Toc8582"/>
      <w:bookmarkStart w:id="75" w:name="_Toc21092"/>
      <w:r>
        <w:rPr>
          <w:color w:val="auto"/>
          <w:highlight w:val="none"/>
        </w:rPr>
        <w:t>试验及验收</w:t>
      </w:r>
      <w:bookmarkEnd w:id="74"/>
      <w:bookmarkEnd w:id="75"/>
    </w:p>
    <w:p>
      <w:pPr>
        <w:pStyle w:val="4"/>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color w:val="auto"/>
          <w:highlight w:val="none"/>
        </w:rPr>
      </w:pPr>
      <w:r>
        <w:rPr>
          <w:color w:val="auto"/>
          <w:highlight w:val="none"/>
        </w:rPr>
        <w:t>验收要求</w:t>
      </w:r>
    </w:p>
    <w:p>
      <w:pPr>
        <w:pStyle w:val="5"/>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招标方将负责对现场安装和测试进行指导，投标方的工程师将完成现场试验验收。</w:t>
      </w:r>
    </w:p>
    <w:p>
      <w:pPr>
        <w:pStyle w:val="5"/>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在现场验收完成后，双方的代表将签署设备到货验收清单。</w:t>
      </w:r>
    </w:p>
    <w:p>
      <w:pPr>
        <w:pStyle w:val="5"/>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验收计划由投标方准备，交招标方审查同意。</w:t>
      </w:r>
    </w:p>
    <w:p>
      <w:pPr>
        <w:pStyle w:val="5"/>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为有利于系统的安装、投运和测试，投标方应派出有经验的专家提供技术服务。</w:t>
      </w:r>
    </w:p>
    <w:p>
      <w:pPr>
        <w:pStyle w:val="5"/>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在现场安装、投运及验收过程中，投标方应对损坏的设备负责。</w:t>
      </w:r>
    </w:p>
    <w:p>
      <w:pPr>
        <w:pStyle w:val="5"/>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备品备件、文档资料均作为验收的一部分。</w:t>
      </w:r>
      <w:bookmarkStart w:id="76" w:name="_Toc12055"/>
      <w:bookmarkStart w:id="77" w:name="_Toc30433"/>
    </w:p>
    <w:p>
      <w:pPr>
        <w:pStyle w:val="3"/>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监造、包装、运输、安装及质量保证</w:t>
      </w:r>
      <w:bookmarkEnd w:id="76"/>
      <w:bookmarkEnd w:id="77"/>
    </w:p>
    <w:p>
      <w:pPr>
        <w:pStyle w:val="4"/>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color w:val="auto"/>
          <w:highlight w:val="none"/>
        </w:rPr>
      </w:pPr>
      <w:bookmarkStart w:id="78" w:name="_Toc296359234"/>
      <w:bookmarkStart w:id="79" w:name="_Toc289089107"/>
      <w:bookmarkStart w:id="80" w:name="_Toc240452888"/>
      <w:bookmarkStart w:id="81" w:name="_Toc296359235"/>
      <w:bookmarkStart w:id="82" w:name="_Toc296962416"/>
      <w:bookmarkStart w:id="83" w:name="_Toc296962415"/>
      <w:r>
        <w:rPr>
          <w:color w:val="auto"/>
          <w:highlight w:val="none"/>
        </w:rPr>
        <w:t>设备制造完成并通过试验后应及时包装</w:t>
      </w:r>
      <w:r>
        <w:rPr>
          <w:rFonts w:hint="eastAsia"/>
          <w:color w:val="auto"/>
          <w:highlight w:val="none"/>
          <w:lang w:eastAsia="zh-CN"/>
        </w:rPr>
        <w:t>，</w:t>
      </w:r>
      <w:r>
        <w:rPr>
          <w:color w:val="auto"/>
          <w:highlight w:val="none"/>
        </w:rPr>
        <w:t>否则应得到切实的保护</w:t>
      </w:r>
      <w:r>
        <w:rPr>
          <w:rFonts w:hint="eastAsia"/>
          <w:color w:val="auto"/>
          <w:highlight w:val="none"/>
          <w:lang w:eastAsia="zh-CN"/>
        </w:rPr>
        <w:t>，</w:t>
      </w:r>
      <w:r>
        <w:rPr>
          <w:color w:val="auto"/>
          <w:highlight w:val="none"/>
        </w:rPr>
        <w:t>确保其不受污损。</w:t>
      </w:r>
    </w:p>
    <w:p>
      <w:pPr>
        <w:pStyle w:val="4"/>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color w:val="auto"/>
          <w:highlight w:val="none"/>
        </w:rPr>
      </w:pPr>
      <w:r>
        <w:rPr>
          <w:color w:val="auto"/>
          <w:highlight w:val="none"/>
        </w:rPr>
        <w:t>所有部件经妥善包装或装箱后</w:t>
      </w:r>
      <w:r>
        <w:rPr>
          <w:rFonts w:hint="eastAsia"/>
          <w:color w:val="auto"/>
          <w:highlight w:val="none"/>
          <w:lang w:eastAsia="zh-CN"/>
        </w:rPr>
        <w:t>，</w:t>
      </w:r>
      <w:r>
        <w:rPr>
          <w:color w:val="auto"/>
          <w:highlight w:val="none"/>
        </w:rPr>
        <w:t>在运输过程中尚应采取其它防护措施</w:t>
      </w:r>
      <w:r>
        <w:rPr>
          <w:rFonts w:hint="eastAsia"/>
          <w:color w:val="auto"/>
          <w:highlight w:val="none"/>
          <w:lang w:eastAsia="zh-CN"/>
        </w:rPr>
        <w:t>，</w:t>
      </w:r>
      <w:r>
        <w:rPr>
          <w:color w:val="auto"/>
          <w:highlight w:val="none"/>
        </w:rPr>
        <w:t>以免散失</w:t>
      </w:r>
      <w:r>
        <w:rPr>
          <w:rFonts w:hint="eastAsia"/>
          <w:color w:val="auto"/>
          <w:highlight w:val="none"/>
          <w:lang w:eastAsia="zh-CN"/>
        </w:rPr>
        <w:t>、</w:t>
      </w:r>
      <w:r>
        <w:rPr>
          <w:color w:val="auto"/>
          <w:highlight w:val="none"/>
        </w:rPr>
        <w:t>损坏或被盗。</w:t>
      </w:r>
    </w:p>
    <w:p>
      <w:pPr>
        <w:pStyle w:val="4"/>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color w:val="auto"/>
          <w:highlight w:val="none"/>
        </w:rPr>
      </w:pPr>
      <w:r>
        <w:rPr>
          <w:color w:val="auto"/>
          <w:highlight w:val="none"/>
        </w:rPr>
        <w:t>在包装箱外应标明需方的订货号、发货号。</w:t>
      </w:r>
    </w:p>
    <w:p>
      <w:pPr>
        <w:pStyle w:val="4"/>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color w:val="auto"/>
          <w:highlight w:val="none"/>
        </w:rPr>
      </w:pPr>
      <w:r>
        <w:rPr>
          <w:color w:val="auto"/>
          <w:highlight w:val="none"/>
        </w:rPr>
        <w:t>各种包装应能确保各零部件在运输过程中不致遭到损坏、丢失、变形、受潮和腐蚀。</w:t>
      </w:r>
    </w:p>
    <w:p>
      <w:pPr>
        <w:pStyle w:val="4"/>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color w:val="auto"/>
          <w:highlight w:val="none"/>
        </w:rPr>
      </w:pPr>
      <w:r>
        <w:rPr>
          <w:color w:val="auto"/>
          <w:highlight w:val="none"/>
        </w:rPr>
        <w:t>包装箱上应有明显的包装储运图示标志。</w:t>
      </w:r>
    </w:p>
    <w:p>
      <w:pPr>
        <w:pStyle w:val="4"/>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color w:val="auto"/>
          <w:highlight w:val="none"/>
        </w:rPr>
      </w:pPr>
      <w:r>
        <w:rPr>
          <w:color w:val="auto"/>
          <w:highlight w:val="none"/>
        </w:rPr>
        <w:t>整体产品或分别运输的部件都要适合运输和装载的要求。</w:t>
      </w:r>
    </w:p>
    <w:p>
      <w:pPr>
        <w:pStyle w:val="4"/>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color w:val="auto"/>
          <w:highlight w:val="none"/>
        </w:rPr>
      </w:pPr>
      <w:r>
        <w:rPr>
          <w:color w:val="auto"/>
          <w:highlight w:val="none"/>
        </w:rPr>
        <w:t>随产品提供的技术资料应完整无缺。</w:t>
      </w:r>
    </w:p>
    <w:p>
      <w:pPr>
        <w:pStyle w:val="4"/>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color w:val="auto"/>
          <w:highlight w:val="none"/>
        </w:rPr>
      </w:pPr>
      <w:r>
        <w:rPr>
          <w:color w:val="auto"/>
          <w:highlight w:val="none"/>
        </w:rPr>
        <w:t>订购的新型产品除应满足本招标技术文件外，投标方还应提供产品的鉴定证书。</w:t>
      </w:r>
    </w:p>
    <w:p>
      <w:pPr>
        <w:pStyle w:val="4"/>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color w:val="auto"/>
          <w:highlight w:val="none"/>
        </w:rPr>
      </w:pPr>
      <w:r>
        <w:rPr>
          <w:color w:val="auto"/>
          <w:highlight w:val="none"/>
        </w:rPr>
        <w:t>投标方应保证制造过程中的所有工艺、材料等（包括投标方的外购件在内）均应符合本招标技术文件的规定。若招标方根据运行经验指定投标方提供某种外购零部件，投标方应积极配合。</w:t>
      </w:r>
    </w:p>
    <w:p>
      <w:pPr>
        <w:pStyle w:val="4"/>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color w:val="auto"/>
          <w:highlight w:val="none"/>
        </w:rPr>
      </w:pPr>
      <w:r>
        <w:rPr>
          <w:color w:val="auto"/>
          <w:highlight w:val="none"/>
        </w:rPr>
        <w:t>柜内的各种元件</w:t>
      </w:r>
      <w:r>
        <w:rPr>
          <w:rFonts w:hint="eastAsia"/>
          <w:color w:val="auto"/>
          <w:highlight w:val="none"/>
          <w:lang w:eastAsia="zh-CN"/>
        </w:rPr>
        <w:t>，</w:t>
      </w:r>
      <w:r>
        <w:rPr>
          <w:color w:val="auto"/>
          <w:highlight w:val="none"/>
        </w:rPr>
        <w:t>应选择具有生产许可证的专业制造厂家的产品。</w:t>
      </w:r>
      <w:bookmarkEnd w:id="78"/>
      <w:bookmarkEnd w:id="79"/>
      <w:bookmarkEnd w:id="80"/>
      <w:bookmarkEnd w:id="81"/>
      <w:bookmarkEnd w:id="82"/>
      <w:bookmarkEnd w:id="83"/>
    </w:p>
    <w:p>
      <w:pPr>
        <w:pStyle w:val="3"/>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color w:val="auto"/>
          <w:highlight w:val="none"/>
        </w:rPr>
      </w:pPr>
      <w:bookmarkStart w:id="84" w:name="_Toc19943"/>
      <w:bookmarkStart w:id="85" w:name="_Toc18600"/>
      <w:r>
        <w:rPr>
          <w:rFonts w:hint="eastAsia"/>
          <w:color w:val="auto"/>
          <w:highlight w:val="none"/>
          <w:lang w:eastAsia="zh-CN"/>
        </w:rPr>
        <w:t>现场服务及售后服务</w:t>
      </w:r>
      <w:bookmarkEnd w:id="84"/>
      <w:bookmarkEnd w:id="85"/>
      <w:r>
        <w:rPr>
          <w:rFonts w:hint="eastAsia"/>
          <w:color w:val="auto"/>
          <w:highlight w:val="none"/>
          <w:lang w:val="en-US" w:eastAsia="zh-CN"/>
        </w:rPr>
        <w:t xml:space="preserve">    </w:t>
      </w:r>
    </w:p>
    <w:p>
      <w:pPr>
        <w:pStyle w:val="4"/>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color w:val="auto"/>
          <w:highlight w:val="none"/>
        </w:rPr>
      </w:pPr>
      <w:r>
        <w:rPr>
          <w:rFonts w:hint="eastAsia"/>
          <w:color w:val="auto"/>
          <w:highlight w:val="none"/>
          <w:lang w:eastAsia="zh-CN"/>
        </w:rPr>
        <w:t>现场服务要求</w:t>
      </w:r>
      <w:r>
        <w:rPr>
          <w:color w:val="auto"/>
          <w:highlight w:val="none"/>
        </w:rPr>
        <w:t>。</w:t>
      </w:r>
    </w:p>
    <w:p>
      <w:pPr>
        <w:pStyle w:val="6"/>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现场安装和试验在招标方的指导和监督下由投标方完成</w:t>
      </w:r>
      <w:r>
        <w:rPr>
          <w:rFonts w:hint="eastAsia"/>
          <w:color w:val="auto"/>
          <w:highlight w:val="none"/>
          <w:lang w:eastAsia="zh-CN"/>
        </w:rPr>
        <w:t>。</w:t>
      </w:r>
      <w:r>
        <w:rPr>
          <w:color w:val="auto"/>
          <w:highlight w:val="none"/>
        </w:rPr>
        <w:t>投标方应派人员到现场负责安装、调试、测试、验收、试运行，并负责解决合同设备制造及性能等方面的有关问题，详细解答合同范围内招标方提出的问题。</w:t>
      </w:r>
    </w:p>
    <w:p>
      <w:pPr>
        <w:pStyle w:val="6"/>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在产品质保期内有制造质量的设备，由投标方负责修理或更换。对非投标方责任造成的设备损坏，投标方有优先提供配件和修理的义务。</w:t>
      </w:r>
    </w:p>
    <w:p>
      <w:pPr>
        <w:pStyle w:val="6"/>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对招标方选购的与本合同设备有关的配套设备，投标方有提供技术配合的义务，并不由此而增加任何费用。</w:t>
      </w:r>
    </w:p>
    <w:p>
      <w:pPr>
        <w:pStyle w:val="6"/>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投标方到招标方现场进行设备安装及维修人员必须</w:t>
      </w:r>
      <w:r>
        <w:rPr>
          <w:rFonts w:hint="eastAsia"/>
          <w:color w:val="auto"/>
          <w:highlight w:val="none"/>
          <w:lang w:eastAsia="zh-CN"/>
        </w:rPr>
        <w:t>持有相关资质人员</w:t>
      </w:r>
      <w:r>
        <w:rPr>
          <w:color w:val="auto"/>
          <w:highlight w:val="none"/>
        </w:rPr>
        <w:t>。</w:t>
      </w:r>
    </w:p>
    <w:p>
      <w:pPr>
        <w:pStyle w:val="5"/>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售后服务要求</w:t>
      </w:r>
    </w:p>
    <w:p>
      <w:pPr>
        <w:pStyle w:val="6"/>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在承诺的质量保证期内，投标方应提供7×24小时的技术支持服务，提供固定的技术负责人及联络电话、传真号码、e-mail地址等。</w:t>
      </w:r>
    </w:p>
    <w:p>
      <w:pPr>
        <w:pStyle w:val="6"/>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质保期内硬件故障时，投标方必须在用户提出维护要求的4小时内作出响应，所提供的替代硬件设备的性能应等于和高于原产品的性能，24小时内故障应得以解决。</w:t>
      </w:r>
    </w:p>
    <w:p>
      <w:pPr>
        <w:pStyle w:val="6"/>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在承诺的质量保证期内，投标方应免费提供系统软件升级、培训、设计联络、技术服务，优惠提供有关扩建工程的软件扩容服务。</w:t>
      </w:r>
    </w:p>
    <w:p>
      <w:pPr>
        <w:pStyle w:val="6"/>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在用户发现软件故障时，投标方必须在用户提出维护要求的2小时内作出响应，12小时内提交故障分析报告和解决方案，24小时内故障得以解决。</w:t>
      </w:r>
    </w:p>
    <w:p>
      <w:pPr>
        <w:pStyle w:val="6"/>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对于用户提出的软件性能提高、功能增加等改进要求，如属“招标技术文件”或“合同”的范畴，投标方应在2周内予以解决；如属“招标技术文件”或“合同”以外的功能开发，也应提供优惠服务。</w:t>
      </w:r>
    </w:p>
    <w:p>
      <w:pPr>
        <w:pStyle w:val="6"/>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投标方</w:t>
      </w:r>
      <w:r>
        <w:rPr>
          <w:color w:val="auto"/>
          <w:highlight w:val="none"/>
          <w:lang w:eastAsia="zh-CN"/>
        </w:rPr>
        <w:t>应按招标方要求做好资料收集归档等工作</w:t>
      </w:r>
      <w:r>
        <w:rPr>
          <w:color w:val="auto"/>
          <w:highlight w:val="none"/>
        </w:rPr>
        <w:t>，根据归档范围负责自“项目准备”至“项目验收”阶段的项目文件收集、整理、组卷，并按规定时限向招标方项目负责人移交。</w:t>
      </w:r>
    </w:p>
    <w:p>
      <w:pPr>
        <w:pStyle w:val="3"/>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color w:val="auto"/>
          <w:highlight w:val="none"/>
        </w:rPr>
      </w:pPr>
      <w:bookmarkStart w:id="86" w:name="_Toc16685"/>
      <w:bookmarkStart w:id="87" w:name="_Toc17792"/>
      <w:r>
        <w:rPr>
          <w:color w:val="auto"/>
          <w:highlight w:val="none"/>
        </w:rPr>
        <w:t>备品备件及主要工器具</w:t>
      </w:r>
      <w:bookmarkEnd w:id="86"/>
      <w:bookmarkEnd w:id="87"/>
    </w:p>
    <w:p>
      <w:pPr>
        <w:pStyle w:val="4"/>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color w:val="auto"/>
          <w:highlight w:val="none"/>
        </w:rPr>
      </w:pPr>
      <w:r>
        <w:rPr>
          <w:color w:val="auto"/>
          <w:highlight w:val="none"/>
        </w:rPr>
        <w:t>投标方应根据自身设备的情况，向招标方提供必要的备品备件和安装、运行、检修所需的专用工具，包括专用调试、测试仪表等设备，供招标方选择。</w:t>
      </w:r>
      <w:r>
        <w:rPr>
          <w:rFonts w:hint="eastAsia"/>
          <w:color w:val="auto"/>
          <w:highlight w:val="none"/>
        </w:rPr>
        <w:t>2.1　投标方应按本技术规范书的要求提供全新的、合格的设备及其附属设备、备品备件、专用工具和仪器。</w:t>
      </w:r>
    </w:p>
    <w:p>
      <w:pPr>
        <w:pStyle w:val="4"/>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color w:val="auto"/>
          <w:highlight w:val="none"/>
        </w:rPr>
      </w:pPr>
      <w:r>
        <w:rPr>
          <w:color w:val="auto"/>
          <w:highlight w:val="none"/>
        </w:rPr>
        <w:t>备品备件</w:t>
      </w:r>
    </w:p>
    <w:p>
      <w:pPr>
        <w:pStyle w:val="5"/>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投标方应保证</w:t>
      </w:r>
      <w:r>
        <w:rPr>
          <w:color w:val="auto"/>
          <w:highlight w:val="none"/>
          <w:lang w:eastAsia="zh-CN"/>
        </w:rPr>
        <w:t>设备在保修期内能提供</w:t>
      </w:r>
      <w:r>
        <w:rPr>
          <w:color w:val="auto"/>
          <w:highlight w:val="none"/>
        </w:rPr>
        <w:t>备品备件及与其可兼容的插件替代品。当投标方</w:t>
      </w:r>
      <w:r>
        <w:rPr>
          <w:color w:val="auto"/>
          <w:highlight w:val="none"/>
          <w:lang w:eastAsia="zh-CN"/>
        </w:rPr>
        <w:t>无法提供备品备件</w:t>
      </w:r>
      <w:r>
        <w:rPr>
          <w:color w:val="auto"/>
          <w:highlight w:val="none"/>
        </w:rPr>
        <w:t>时，应预先告知招标方。投标方应在该期限内向招标方提供最优惠的价格，满足招标方购买时的要求。</w:t>
      </w:r>
    </w:p>
    <w:p>
      <w:pPr>
        <w:pStyle w:val="5"/>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投标方应对所提供设备联调及运维所必须的备品备件提出建议和报价。</w:t>
      </w:r>
    </w:p>
    <w:p>
      <w:pPr>
        <w:pStyle w:val="5"/>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投标方应提供有关备品备件的保管储藏资料，如存放期限、所需的干燥器等。</w:t>
      </w:r>
    </w:p>
    <w:p>
      <w:pPr>
        <w:pStyle w:val="5"/>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所有备品备件的一些主要部件</w:t>
      </w:r>
      <w:r>
        <w:rPr>
          <w:rFonts w:hint="eastAsia"/>
          <w:color w:val="auto"/>
          <w:highlight w:val="none"/>
          <w:lang w:eastAsia="zh-CN"/>
        </w:rPr>
        <w:t>（</w:t>
      </w:r>
      <w:r>
        <w:rPr>
          <w:color w:val="auto"/>
          <w:highlight w:val="none"/>
        </w:rPr>
        <w:t>如印刷电路板</w:t>
      </w:r>
      <w:r>
        <w:rPr>
          <w:rFonts w:hint="eastAsia"/>
          <w:color w:val="auto"/>
          <w:highlight w:val="none"/>
          <w:lang w:eastAsia="zh-CN"/>
        </w:rPr>
        <w:t>）</w:t>
      </w:r>
      <w:r>
        <w:rPr>
          <w:color w:val="auto"/>
          <w:highlight w:val="none"/>
        </w:rPr>
        <w:t>在发运前，都应逐一进行测试，以保证在系统中正常运行。</w:t>
      </w:r>
    </w:p>
    <w:p>
      <w:pPr>
        <w:pStyle w:val="5"/>
        <w:keepNext w:val="0"/>
        <w:keepLines w:val="0"/>
        <w:pageBreakBefore w:val="0"/>
        <w:widowControl w:val="0"/>
        <w:kinsoku/>
        <w:wordWrap/>
        <w:overflowPunct/>
        <w:topLinePunct w:val="0"/>
        <w:autoSpaceDE/>
        <w:autoSpaceDN/>
        <w:bidi w:val="0"/>
        <w:adjustRightInd/>
        <w:snapToGrid/>
        <w:textAlignment w:val="auto"/>
        <w:rPr>
          <w:color w:val="auto"/>
          <w:highlight w:val="none"/>
        </w:rPr>
      </w:pPr>
      <w:r>
        <w:rPr>
          <w:color w:val="auto"/>
          <w:highlight w:val="none"/>
        </w:rPr>
        <w:t>备品备件应是新品，与设备同型号、同工艺。</w:t>
      </w:r>
    </w:p>
    <w:p>
      <w:pPr>
        <w:pStyle w:val="4"/>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color w:val="auto"/>
          <w:highlight w:val="none"/>
        </w:rPr>
      </w:pPr>
      <w:r>
        <w:rPr>
          <w:color w:val="auto"/>
          <w:highlight w:val="none"/>
        </w:rPr>
        <w:t>专用工具</w:t>
      </w:r>
    </w:p>
    <w:p>
      <w:pPr>
        <w:pStyle w:val="5"/>
        <w:keepNext w:val="0"/>
        <w:keepLines w:val="0"/>
        <w:pageBreakBefore w:val="0"/>
        <w:widowControl w:val="0"/>
        <w:kinsoku/>
        <w:wordWrap/>
        <w:overflowPunct/>
        <w:topLinePunct w:val="0"/>
        <w:autoSpaceDE/>
        <w:autoSpaceDN/>
        <w:bidi w:val="0"/>
        <w:adjustRightInd/>
        <w:snapToGrid/>
        <w:textAlignment w:val="auto"/>
        <w:rPr>
          <w:rFonts w:hint="eastAsia"/>
          <w:color w:val="auto"/>
          <w:highlight w:val="none"/>
          <w:lang w:eastAsia="zh-CN"/>
        </w:rPr>
      </w:pPr>
      <w:r>
        <w:rPr>
          <w:color w:val="auto"/>
          <w:highlight w:val="none"/>
        </w:rPr>
        <w:t>投标方应推荐用于维修和安装设备的专用工具，此类工具是用户难于从当地市场买到，专用工具至少应包括下列项目</w:t>
      </w:r>
      <w:r>
        <w:rPr>
          <w:rFonts w:hint="eastAsia"/>
          <w:color w:val="auto"/>
          <w:highlight w:val="none"/>
          <w:lang w:eastAsia="zh-CN"/>
        </w:rPr>
        <w:t>：</w:t>
      </w:r>
    </w:p>
    <w:p>
      <w:pPr>
        <w:pStyle w:val="5"/>
        <w:keepNext w:val="0"/>
        <w:keepLines w:val="0"/>
        <w:pageBreakBefore w:val="0"/>
        <w:widowControl w:val="0"/>
        <w:numPr>
          <w:ilvl w:val="2"/>
          <w:numId w:val="0"/>
        </w:numPr>
        <w:kinsoku/>
        <w:wordWrap/>
        <w:overflowPunct/>
        <w:topLinePunct w:val="0"/>
        <w:autoSpaceDE/>
        <w:autoSpaceDN/>
        <w:bidi w:val="0"/>
        <w:adjustRightInd/>
        <w:snapToGrid/>
        <w:ind w:leftChars="0" w:firstLine="480" w:firstLineChars="200"/>
        <w:textAlignment w:val="auto"/>
        <w:rPr>
          <w:color w:val="auto"/>
          <w:highlight w:val="none"/>
        </w:rPr>
      </w:pPr>
      <w:r>
        <w:rPr>
          <w:rFonts w:hint="eastAsia"/>
          <w:color w:val="auto"/>
          <w:highlight w:val="none"/>
          <w:lang w:val="en-US" w:eastAsia="zh-CN"/>
        </w:rPr>
        <w:t>a）</w:t>
      </w:r>
      <w:r>
        <w:rPr>
          <w:color w:val="auto"/>
          <w:highlight w:val="none"/>
        </w:rPr>
        <w:t>专用测试设备、仪器；</w:t>
      </w:r>
    </w:p>
    <w:p>
      <w:pPr>
        <w:pStyle w:val="5"/>
        <w:keepNext w:val="0"/>
        <w:keepLines w:val="0"/>
        <w:pageBreakBefore w:val="0"/>
        <w:widowControl w:val="0"/>
        <w:numPr>
          <w:ilvl w:val="2"/>
          <w:numId w:val="0"/>
        </w:numPr>
        <w:kinsoku/>
        <w:wordWrap/>
        <w:overflowPunct/>
        <w:topLinePunct w:val="0"/>
        <w:autoSpaceDE/>
        <w:autoSpaceDN/>
        <w:bidi w:val="0"/>
        <w:adjustRightInd/>
        <w:snapToGrid/>
        <w:ind w:leftChars="0" w:firstLine="480" w:firstLineChars="200"/>
        <w:textAlignment w:val="auto"/>
        <w:rPr>
          <w:color w:val="auto"/>
          <w:highlight w:val="none"/>
        </w:rPr>
      </w:pPr>
      <w:r>
        <w:rPr>
          <w:rFonts w:hint="eastAsia"/>
          <w:color w:val="auto"/>
          <w:highlight w:val="none"/>
          <w:lang w:val="en-US" w:eastAsia="zh-CN"/>
        </w:rPr>
        <w:t>b</w:t>
      </w:r>
      <w:r>
        <w:rPr>
          <w:rFonts w:hint="eastAsia"/>
          <w:color w:val="auto"/>
          <w:highlight w:val="none"/>
          <w:lang w:eastAsia="zh-CN"/>
        </w:rPr>
        <w:t>）</w:t>
      </w:r>
      <w:r>
        <w:rPr>
          <w:color w:val="auto"/>
          <w:highlight w:val="none"/>
        </w:rPr>
        <w:t>专用工具、夹具、卡具；</w:t>
      </w:r>
    </w:p>
    <w:p>
      <w:pPr>
        <w:pStyle w:val="5"/>
        <w:keepNext w:val="0"/>
        <w:keepLines w:val="0"/>
        <w:pageBreakBefore w:val="0"/>
        <w:widowControl w:val="0"/>
        <w:kinsoku/>
        <w:wordWrap/>
        <w:overflowPunct/>
        <w:topLinePunct w:val="0"/>
        <w:autoSpaceDE/>
        <w:autoSpaceDN/>
        <w:bidi w:val="0"/>
        <w:adjustRightInd/>
        <w:snapToGrid/>
        <w:textAlignment w:val="auto"/>
      </w:pPr>
      <w:r>
        <w:rPr>
          <w:color w:val="auto"/>
          <w:highlight w:val="none"/>
        </w:rPr>
        <w:t>除专用工具外，投标方还应向招标方提供一份推荐的维修测试常用的标准工具清单，格式见表</w:t>
      </w:r>
      <w:r>
        <w:rPr>
          <w:rFonts w:hint="eastAsia"/>
          <w:color w:val="auto"/>
          <w:highlight w:val="none"/>
          <w:lang w:val="en-US" w:eastAsia="zh-CN"/>
        </w:rPr>
        <w:t>5</w:t>
      </w:r>
      <w:r>
        <w:rPr>
          <w:color w:val="auto"/>
          <w:highlight w:val="none"/>
        </w:rPr>
        <w:t>。</w:t>
      </w:r>
    </w:p>
    <w:p>
      <w:pPr>
        <w:pStyle w:val="7"/>
        <w:keepNext w:val="0"/>
        <w:keepLines w:val="0"/>
        <w:pageBreakBefore w:val="0"/>
        <w:widowControl w:val="0"/>
        <w:kinsoku/>
        <w:wordWrap/>
        <w:overflowPunct/>
        <w:topLinePunct w:val="0"/>
        <w:autoSpaceDE/>
        <w:autoSpaceDN/>
        <w:bidi w:val="0"/>
        <w:adjustRightInd/>
        <w:snapToGrid/>
        <w:textAlignment w:val="auto"/>
        <w:rPr>
          <w:rFonts w:hint="eastAsia" w:eastAsia="宋体"/>
          <w:color w:val="auto"/>
          <w:highlight w:val="none"/>
          <w:lang w:eastAsia="zh-CN"/>
        </w:rPr>
      </w:pPr>
      <w:r>
        <w:rPr>
          <w:color w:val="auto"/>
          <w:highlight w:val="none"/>
        </w:rPr>
        <w:t>表</w:t>
      </w:r>
      <w:r>
        <w:rPr>
          <w:color w:val="auto"/>
          <w:highlight w:val="none"/>
        </w:rPr>
        <w:fldChar w:fldCharType="begin"/>
      </w:r>
      <w:r>
        <w:rPr>
          <w:color w:val="auto"/>
          <w:highlight w:val="none"/>
        </w:rPr>
        <w:instrText xml:space="preserve"> SEQ 表 \* ARABIC </w:instrText>
      </w:r>
      <w:r>
        <w:rPr>
          <w:color w:val="auto"/>
          <w:highlight w:val="none"/>
        </w:rPr>
        <w:fldChar w:fldCharType="separate"/>
      </w:r>
      <w:r>
        <w:rPr>
          <w:color w:val="auto"/>
          <w:highlight w:val="none"/>
        </w:rPr>
        <w:t>5</w:t>
      </w:r>
      <w:r>
        <w:rPr>
          <w:color w:val="auto"/>
          <w:highlight w:val="none"/>
        </w:rPr>
        <w:fldChar w:fldCharType="end"/>
      </w:r>
      <w:r>
        <w:rPr>
          <w:rFonts w:hint="eastAsia"/>
          <w:color w:val="auto"/>
          <w:highlight w:val="none"/>
          <w:lang w:eastAsia="zh-CN"/>
        </w:rPr>
        <w:t>　常用标准工具清单</w:t>
      </w:r>
    </w:p>
    <w:tbl>
      <w:tblPr>
        <w:tblStyle w:val="20"/>
        <w:tblW w:w="8181" w:type="dxa"/>
        <w:jc w:val="center"/>
        <w:tblLayout w:type="fixed"/>
        <w:tblCellMar>
          <w:top w:w="0" w:type="dxa"/>
          <w:left w:w="108" w:type="dxa"/>
          <w:bottom w:w="0" w:type="dxa"/>
          <w:right w:w="108" w:type="dxa"/>
        </w:tblCellMar>
      </w:tblPr>
      <w:tblGrid>
        <w:gridCol w:w="561"/>
        <w:gridCol w:w="1340"/>
        <w:gridCol w:w="1406"/>
        <w:gridCol w:w="1320"/>
        <w:gridCol w:w="600"/>
        <w:gridCol w:w="660"/>
        <w:gridCol w:w="1340"/>
        <w:gridCol w:w="954"/>
      </w:tblGrid>
      <w:tr>
        <w:tblPrEx>
          <w:tblCellMar>
            <w:top w:w="0" w:type="dxa"/>
            <w:left w:w="108" w:type="dxa"/>
            <w:bottom w:w="0" w:type="dxa"/>
            <w:right w:w="108" w:type="dxa"/>
          </w:tblCellMar>
        </w:tblPrEx>
        <w:trPr>
          <w:jc w:val="center"/>
        </w:trPr>
        <w:tc>
          <w:tcPr>
            <w:tcW w:w="561"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napToGrid/>
              <w:spacing w:before="0" w:after="0"/>
              <w:jc w:val="distribute"/>
              <w:textAlignment w:val="auto"/>
              <w:rPr>
                <w:rFonts w:ascii="宋体" w:hAnsi="宋体" w:eastAsia="宋体" w:cs="宋体"/>
                <w:b w:val="0"/>
                <w:bCs/>
                <w:color w:val="auto"/>
                <w:sz w:val="24"/>
                <w:highlight w:val="none"/>
              </w:rPr>
            </w:pPr>
            <w:r>
              <w:rPr>
                <w:rFonts w:ascii="宋体" w:hAnsi="宋体" w:cs="宋体"/>
                <w:b w:val="0"/>
                <w:bCs/>
                <w:color w:val="auto"/>
                <w:sz w:val="24"/>
                <w:highlight w:val="none"/>
              </w:rPr>
              <w:t>序号</w:t>
            </w:r>
          </w:p>
        </w:tc>
        <w:tc>
          <w:tcPr>
            <w:tcW w:w="134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napToGrid/>
              <w:spacing w:before="0" w:after="0"/>
              <w:jc w:val="distribute"/>
              <w:textAlignment w:val="auto"/>
              <w:rPr>
                <w:rFonts w:ascii="宋体" w:hAnsi="宋体" w:eastAsia="宋体" w:cs="宋体"/>
                <w:b w:val="0"/>
                <w:bCs/>
                <w:color w:val="auto"/>
                <w:sz w:val="24"/>
                <w:highlight w:val="none"/>
              </w:rPr>
            </w:pPr>
            <w:r>
              <w:rPr>
                <w:rFonts w:ascii="宋体" w:hAnsi="宋体" w:cs="宋体"/>
                <w:b w:val="0"/>
                <w:bCs/>
                <w:color w:val="auto"/>
                <w:sz w:val="24"/>
                <w:highlight w:val="none"/>
              </w:rPr>
              <w:t>设备名称</w:t>
            </w:r>
          </w:p>
        </w:tc>
        <w:tc>
          <w:tcPr>
            <w:tcW w:w="1406"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napToGrid/>
              <w:spacing w:before="0" w:after="0"/>
              <w:jc w:val="distribute"/>
              <w:textAlignment w:val="auto"/>
              <w:rPr>
                <w:rFonts w:ascii="宋体" w:hAnsi="宋体" w:eastAsia="宋体" w:cs="宋体"/>
                <w:b w:val="0"/>
                <w:bCs/>
                <w:color w:val="auto"/>
                <w:sz w:val="24"/>
                <w:highlight w:val="none"/>
              </w:rPr>
            </w:pPr>
            <w:r>
              <w:rPr>
                <w:rFonts w:ascii="宋体" w:hAnsi="宋体" w:cs="宋体"/>
                <w:b w:val="0"/>
                <w:bCs/>
                <w:color w:val="auto"/>
                <w:sz w:val="24"/>
                <w:highlight w:val="none"/>
              </w:rPr>
              <w:t>型号规格</w:t>
            </w:r>
          </w:p>
        </w:tc>
        <w:tc>
          <w:tcPr>
            <w:tcW w:w="132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napToGrid/>
              <w:spacing w:before="0" w:after="0"/>
              <w:jc w:val="distribute"/>
              <w:textAlignment w:val="auto"/>
              <w:rPr>
                <w:rFonts w:ascii="宋体" w:hAnsi="宋体" w:eastAsia="宋体" w:cs="宋体"/>
                <w:b w:val="0"/>
                <w:bCs/>
                <w:color w:val="auto"/>
                <w:sz w:val="24"/>
                <w:highlight w:val="none"/>
              </w:rPr>
            </w:pPr>
            <w:r>
              <w:rPr>
                <w:rFonts w:ascii="宋体" w:hAnsi="宋体" w:cs="宋体"/>
                <w:b w:val="0"/>
                <w:bCs/>
                <w:color w:val="auto"/>
                <w:sz w:val="24"/>
                <w:highlight w:val="none"/>
              </w:rPr>
              <w:t>技术说明</w:t>
            </w:r>
          </w:p>
        </w:tc>
        <w:tc>
          <w:tcPr>
            <w:tcW w:w="60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napToGrid/>
              <w:spacing w:before="0" w:after="0"/>
              <w:jc w:val="distribute"/>
              <w:textAlignment w:val="auto"/>
              <w:rPr>
                <w:rFonts w:ascii="宋体" w:hAnsi="宋体" w:eastAsia="宋体" w:cs="宋体"/>
                <w:b w:val="0"/>
                <w:bCs/>
                <w:color w:val="auto"/>
                <w:sz w:val="24"/>
                <w:highlight w:val="none"/>
              </w:rPr>
            </w:pPr>
            <w:r>
              <w:rPr>
                <w:rFonts w:ascii="宋体" w:hAnsi="宋体" w:cs="宋体"/>
                <w:b w:val="0"/>
                <w:bCs/>
                <w:color w:val="auto"/>
                <w:sz w:val="24"/>
                <w:highlight w:val="none"/>
              </w:rPr>
              <w:t>单位</w:t>
            </w:r>
          </w:p>
        </w:tc>
        <w:tc>
          <w:tcPr>
            <w:tcW w:w="66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napToGrid/>
              <w:spacing w:before="0" w:after="0"/>
              <w:jc w:val="distribute"/>
              <w:textAlignment w:val="auto"/>
              <w:rPr>
                <w:rFonts w:ascii="宋体" w:hAnsi="宋体" w:eastAsia="宋体" w:cs="宋体"/>
                <w:b w:val="0"/>
                <w:bCs/>
                <w:color w:val="auto"/>
                <w:sz w:val="24"/>
                <w:highlight w:val="none"/>
              </w:rPr>
            </w:pPr>
            <w:r>
              <w:rPr>
                <w:rFonts w:ascii="宋体" w:hAnsi="宋体" w:cs="宋体"/>
                <w:b w:val="0"/>
                <w:bCs/>
                <w:color w:val="auto"/>
                <w:sz w:val="24"/>
                <w:highlight w:val="none"/>
              </w:rPr>
              <w:t>数量</w:t>
            </w:r>
          </w:p>
        </w:tc>
        <w:tc>
          <w:tcPr>
            <w:tcW w:w="134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napToGrid/>
              <w:spacing w:before="0" w:after="0"/>
              <w:jc w:val="distribute"/>
              <w:textAlignment w:val="auto"/>
              <w:rPr>
                <w:rFonts w:ascii="宋体" w:hAnsi="宋体" w:eastAsia="宋体" w:cs="宋体"/>
                <w:b w:val="0"/>
                <w:bCs/>
                <w:color w:val="auto"/>
                <w:sz w:val="24"/>
                <w:highlight w:val="none"/>
              </w:rPr>
            </w:pPr>
            <w:r>
              <w:rPr>
                <w:rFonts w:ascii="宋体" w:hAnsi="宋体" w:cs="宋体"/>
                <w:b w:val="0"/>
                <w:bCs/>
                <w:color w:val="auto"/>
                <w:sz w:val="24"/>
                <w:highlight w:val="none"/>
              </w:rPr>
              <w:t>生产厂家</w:t>
            </w:r>
          </w:p>
        </w:tc>
        <w:tc>
          <w:tcPr>
            <w:tcW w:w="954"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napToGrid/>
              <w:spacing w:before="0" w:after="0"/>
              <w:jc w:val="distribute"/>
              <w:textAlignment w:val="auto"/>
              <w:rPr>
                <w:rFonts w:ascii="宋体" w:hAnsi="宋体" w:eastAsia="宋体" w:cs="宋体"/>
                <w:b w:val="0"/>
                <w:bCs/>
                <w:color w:val="auto"/>
                <w:sz w:val="24"/>
                <w:highlight w:val="none"/>
              </w:rPr>
            </w:pPr>
            <w:r>
              <w:rPr>
                <w:rFonts w:ascii="宋体" w:hAnsi="宋体" w:cs="宋体"/>
                <w:b w:val="0"/>
                <w:bCs/>
                <w:color w:val="auto"/>
                <w:sz w:val="24"/>
                <w:highlight w:val="none"/>
              </w:rPr>
              <w:t>是否专用工具</w:t>
            </w:r>
          </w:p>
        </w:tc>
      </w:tr>
      <w:tr>
        <w:tblPrEx>
          <w:tblCellMar>
            <w:top w:w="0" w:type="dxa"/>
            <w:left w:w="108" w:type="dxa"/>
            <w:bottom w:w="0" w:type="dxa"/>
            <w:right w:w="108" w:type="dxa"/>
          </w:tblCellMar>
        </w:tblPrEx>
        <w:trPr>
          <w:jc w:val="center"/>
        </w:trPr>
        <w:tc>
          <w:tcPr>
            <w:tcW w:w="561"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3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40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32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60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66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34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954"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r>
      <w:tr>
        <w:tblPrEx>
          <w:tblCellMar>
            <w:top w:w="0" w:type="dxa"/>
            <w:left w:w="108" w:type="dxa"/>
            <w:bottom w:w="0" w:type="dxa"/>
            <w:right w:w="108" w:type="dxa"/>
          </w:tblCellMar>
        </w:tblPrEx>
        <w:trPr>
          <w:jc w:val="center"/>
        </w:trPr>
        <w:tc>
          <w:tcPr>
            <w:tcW w:w="561"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34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406"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32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60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66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34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954"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r>
      <w:tr>
        <w:trPr>
          <w:jc w:val="center"/>
        </w:trPr>
        <w:tc>
          <w:tcPr>
            <w:tcW w:w="561"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34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406"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32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60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66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34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954"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r>
      <w:tr>
        <w:tblPrEx>
          <w:tblCellMar>
            <w:top w:w="0" w:type="dxa"/>
            <w:left w:w="108" w:type="dxa"/>
            <w:bottom w:w="0" w:type="dxa"/>
            <w:right w:w="108" w:type="dxa"/>
          </w:tblCellMar>
        </w:tblPrEx>
        <w:trPr>
          <w:jc w:val="center"/>
        </w:trPr>
        <w:tc>
          <w:tcPr>
            <w:tcW w:w="561"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34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406"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32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60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66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34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954"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r>
      <w:tr>
        <w:tblPrEx>
          <w:tblCellMar>
            <w:top w:w="0" w:type="dxa"/>
            <w:left w:w="108" w:type="dxa"/>
            <w:bottom w:w="0" w:type="dxa"/>
            <w:right w:w="108" w:type="dxa"/>
          </w:tblCellMar>
        </w:tblPrEx>
        <w:trPr>
          <w:jc w:val="center"/>
        </w:trPr>
        <w:tc>
          <w:tcPr>
            <w:tcW w:w="561"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34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406"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32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60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66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34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954"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r>
      <w:tr>
        <w:tblPrEx>
          <w:tblCellMar>
            <w:top w:w="0" w:type="dxa"/>
            <w:left w:w="108" w:type="dxa"/>
            <w:bottom w:w="0" w:type="dxa"/>
            <w:right w:w="108" w:type="dxa"/>
          </w:tblCellMar>
        </w:tblPrEx>
        <w:trPr>
          <w:jc w:val="center"/>
        </w:trPr>
        <w:tc>
          <w:tcPr>
            <w:tcW w:w="561"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34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406"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32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60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66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134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c>
          <w:tcPr>
            <w:tcW w:w="954"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b w:val="0"/>
                <w:bCs/>
                <w:color w:val="auto"/>
                <w:highlight w:val="none"/>
              </w:rPr>
            </w:pPr>
          </w:p>
        </w:tc>
      </w:tr>
    </w:tbl>
    <w:p>
      <w:pPr>
        <w:pStyle w:val="3"/>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color w:val="auto"/>
          <w:highlight w:val="none"/>
        </w:rPr>
      </w:pPr>
      <w:bookmarkStart w:id="88" w:name="_Toc27882"/>
      <w:bookmarkStart w:id="89" w:name="_Toc353"/>
      <w:r>
        <w:rPr>
          <w:color w:val="auto"/>
          <w:highlight w:val="none"/>
        </w:rPr>
        <w:t>技术性能偏差表</w:t>
      </w:r>
      <w:bookmarkEnd w:id="88"/>
      <w:bookmarkEnd w:id="89"/>
    </w:p>
    <w:p>
      <w:pPr>
        <w:pStyle w:val="7"/>
        <w:keepNext w:val="0"/>
        <w:keepLines w:val="0"/>
        <w:pageBreakBefore w:val="0"/>
        <w:widowControl w:val="0"/>
        <w:kinsoku/>
        <w:wordWrap/>
        <w:overflowPunct/>
        <w:topLinePunct w:val="0"/>
        <w:autoSpaceDE/>
        <w:autoSpaceDN/>
        <w:bidi w:val="0"/>
        <w:adjustRightInd/>
        <w:snapToGrid/>
        <w:textAlignment w:val="auto"/>
        <w:rPr>
          <w:rFonts w:hint="eastAsia" w:eastAsia="宋体"/>
          <w:color w:val="auto"/>
          <w:highlight w:val="none"/>
          <w:lang w:eastAsia="zh-CN"/>
        </w:rPr>
      </w:pPr>
      <w:r>
        <w:rPr>
          <w:color w:val="auto"/>
          <w:highlight w:val="none"/>
        </w:rPr>
        <w:t>表</w:t>
      </w:r>
      <w:r>
        <w:rPr>
          <w:color w:val="auto"/>
          <w:highlight w:val="none"/>
        </w:rPr>
        <w:fldChar w:fldCharType="begin"/>
      </w:r>
      <w:r>
        <w:rPr>
          <w:color w:val="auto"/>
          <w:highlight w:val="none"/>
        </w:rPr>
        <w:instrText xml:space="preserve"> SEQ 表 \* ARABIC </w:instrText>
      </w:r>
      <w:r>
        <w:rPr>
          <w:color w:val="auto"/>
          <w:highlight w:val="none"/>
        </w:rPr>
        <w:fldChar w:fldCharType="separate"/>
      </w:r>
      <w:r>
        <w:rPr>
          <w:color w:val="auto"/>
          <w:highlight w:val="none"/>
        </w:rPr>
        <w:t>6</w:t>
      </w:r>
      <w:r>
        <w:rPr>
          <w:color w:val="auto"/>
          <w:highlight w:val="none"/>
        </w:rPr>
        <w:fldChar w:fldCharType="end"/>
      </w:r>
      <w:r>
        <w:rPr>
          <w:rFonts w:hint="eastAsia"/>
          <w:color w:val="auto"/>
          <w:highlight w:val="none"/>
          <w:lang w:eastAsia="zh-CN"/>
        </w:rPr>
        <w:t>　技术性能偏差表</w:t>
      </w:r>
    </w:p>
    <w:tbl>
      <w:tblPr>
        <w:tblStyle w:val="20"/>
        <w:tblW w:w="8729" w:type="dxa"/>
        <w:jc w:val="center"/>
        <w:tblLayout w:type="fixed"/>
        <w:tblCellMar>
          <w:top w:w="0" w:type="dxa"/>
          <w:left w:w="108" w:type="dxa"/>
          <w:bottom w:w="0" w:type="dxa"/>
          <w:right w:w="108" w:type="dxa"/>
        </w:tblCellMar>
      </w:tblPr>
      <w:tblGrid>
        <w:gridCol w:w="575"/>
        <w:gridCol w:w="1206"/>
        <w:gridCol w:w="2780"/>
        <w:gridCol w:w="1320"/>
        <w:gridCol w:w="2848"/>
      </w:tblGrid>
      <w:tr>
        <w:tblPrEx>
          <w:tblCellMar>
            <w:top w:w="0" w:type="dxa"/>
            <w:left w:w="108" w:type="dxa"/>
            <w:bottom w:w="0" w:type="dxa"/>
            <w:right w:w="108" w:type="dxa"/>
          </w:tblCellMar>
        </w:tblPrEx>
        <w:trPr>
          <w:cantSplit/>
          <w:jc w:val="center"/>
        </w:trPr>
        <w:tc>
          <w:tcPr>
            <w:tcW w:w="575" w:type="dxa"/>
            <w:vMerge w:val="restart"/>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r>
              <w:rPr>
                <w:rFonts w:ascii="宋体" w:hAnsi="宋体" w:cs="宋体"/>
                <w:color w:val="auto"/>
                <w:highlight w:val="none"/>
              </w:rPr>
              <w:t>序号</w:t>
            </w:r>
          </w:p>
        </w:tc>
        <w:tc>
          <w:tcPr>
            <w:tcW w:w="3986"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napToGrid/>
              <w:spacing w:before="0" w:after="0"/>
              <w:jc w:val="center"/>
              <w:textAlignment w:val="auto"/>
              <w:rPr>
                <w:rFonts w:ascii="宋体" w:hAnsi="宋体" w:eastAsia="宋体" w:cs="宋体"/>
                <w:color w:val="auto"/>
                <w:highlight w:val="none"/>
              </w:rPr>
            </w:pPr>
            <w:r>
              <w:rPr>
                <w:rFonts w:hint="eastAsia" w:cs="宋体"/>
                <w:color w:val="auto"/>
                <w:highlight w:val="none"/>
                <w:lang w:eastAsia="zh-CN"/>
              </w:rPr>
              <w:t>招</w:t>
            </w:r>
            <w:r>
              <w:rPr>
                <w:rFonts w:ascii="宋体" w:hAnsi="宋体" w:cs="宋体"/>
                <w:color w:val="auto"/>
                <w:highlight w:val="none"/>
              </w:rPr>
              <w:t>标文件</w:t>
            </w:r>
          </w:p>
        </w:tc>
        <w:tc>
          <w:tcPr>
            <w:tcW w:w="4168" w:type="dxa"/>
            <w:gridSpan w:val="2"/>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napToGrid/>
              <w:spacing w:before="0" w:after="0"/>
              <w:jc w:val="center"/>
              <w:textAlignment w:val="auto"/>
              <w:rPr>
                <w:rFonts w:ascii="宋体" w:hAnsi="宋体" w:eastAsia="宋体" w:cs="宋体"/>
                <w:color w:val="auto"/>
                <w:highlight w:val="none"/>
              </w:rPr>
            </w:pPr>
            <w:r>
              <w:rPr>
                <w:rFonts w:ascii="宋体" w:hAnsi="宋体" w:cs="宋体"/>
                <w:color w:val="auto"/>
                <w:highlight w:val="none"/>
              </w:rPr>
              <w:t>投标文件</w:t>
            </w:r>
          </w:p>
        </w:tc>
      </w:tr>
      <w:tr>
        <w:tblPrEx>
          <w:tblCellMar>
            <w:top w:w="0" w:type="dxa"/>
            <w:left w:w="108" w:type="dxa"/>
            <w:bottom w:w="0" w:type="dxa"/>
            <w:right w:w="108" w:type="dxa"/>
          </w:tblCellMar>
        </w:tblPrEx>
        <w:trPr>
          <w:cantSplit/>
          <w:jc w:val="center"/>
        </w:trPr>
        <w:tc>
          <w:tcPr>
            <w:tcW w:w="575" w:type="dxa"/>
            <w:vMerge w:val="continue"/>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cs="宋体"/>
                <w:color w:val="auto"/>
                <w:highlight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napToGrid/>
              <w:spacing w:before="0" w:after="0"/>
              <w:jc w:val="center"/>
              <w:textAlignment w:val="auto"/>
              <w:rPr>
                <w:rFonts w:cs="宋体"/>
                <w:color w:val="auto"/>
                <w:highlight w:val="none"/>
              </w:rPr>
            </w:pPr>
            <w:r>
              <w:rPr>
                <w:rFonts w:cs="宋体"/>
                <w:color w:val="auto"/>
                <w:highlight w:val="none"/>
              </w:rPr>
              <w:t>条目</w:t>
            </w:r>
          </w:p>
        </w:tc>
        <w:tc>
          <w:tcPr>
            <w:tcW w:w="278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napToGrid/>
              <w:spacing w:before="0" w:after="0"/>
              <w:jc w:val="center"/>
              <w:textAlignment w:val="auto"/>
              <w:rPr>
                <w:rFonts w:cs="宋体"/>
                <w:color w:val="auto"/>
                <w:highlight w:val="none"/>
              </w:rPr>
            </w:pPr>
            <w:r>
              <w:rPr>
                <w:rFonts w:cs="宋体"/>
                <w:color w:val="auto"/>
                <w:highlight w:val="none"/>
              </w:rPr>
              <w:t>简要内容</w:t>
            </w:r>
          </w:p>
        </w:tc>
        <w:tc>
          <w:tcPr>
            <w:tcW w:w="132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napToGrid/>
              <w:spacing w:before="0" w:after="0"/>
              <w:jc w:val="center"/>
              <w:textAlignment w:val="auto"/>
              <w:rPr>
                <w:rFonts w:cs="宋体"/>
                <w:color w:val="auto"/>
                <w:highlight w:val="none"/>
              </w:rPr>
            </w:pPr>
            <w:r>
              <w:rPr>
                <w:rFonts w:cs="宋体"/>
                <w:color w:val="auto"/>
                <w:highlight w:val="none"/>
              </w:rPr>
              <w:t>条目</w:t>
            </w:r>
          </w:p>
        </w:tc>
        <w:tc>
          <w:tcPr>
            <w:tcW w:w="2848"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pageBreakBefore w:val="0"/>
              <w:widowControl w:val="0"/>
              <w:suppressAutoHyphens/>
              <w:kinsoku/>
              <w:wordWrap/>
              <w:overflowPunct/>
              <w:topLinePunct w:val="0"/>
              <w:autoSpaceDE/>
              <w:autoSpaceDN/>
              <w:bidi w:val="0"/>
              <w:adjustRightInd/>
              <w:snapToGrid/>
              <w:spacing w:before="0" w:after="0"/>
              <w:jc w:val="center"/>
              <w:textAlignment w:val="auto"/>
              <w:rPr>
                <w:rFonts w:cs="宋体"/>
                <w:color w:val="auto"/>
                <w:highlight w:val="none"/>
              </w:rPr>
            </w:pPr>
            <w:r>
              <w:rPr>
                <w:rFonts w:cs="宋体"/>
                <w:color w:val="auto"/>
                <w:highlight w:val="none"/>
              </w:rPr>
              <w:t>简要内容</w:t>
            </w:r>
          </w:p>
        </w:tc>
      </w:tr>
      <w:tr>
        <w:tblPrEx>
          <w:tblCellMar>
            <w:top w:w="0" w:type="dxa"/>
            <w:left w:w="108" w:type="dxa"/>
            <w:bottom w:w="0" w:type="dxa"/>
            <w:right w:w="108" w:type="dxa"/>
          </w:tblCellMar>
        </w:tblPrEx>
        <w:trPr>
          <w:jc w:val="center"/>
        </w:trPr>
        <w:tc>
          <w:tcPr>
            <w:tcW w:w="575"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1206"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278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132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2848"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r>
      <w:tr>
        <w:trPr>
          <w:jc w:val="center"/>
        </w:trPr>
        <w:tc>
          <w:tcPr>
            <w:tcW w:w="575"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1206"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278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132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2848"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r>
      <w:tr>
        <w:tblPrEx>
          <w:tblCellMar>
            <w:top w:w="0" w:type="dxa"/>
            <w:left w:w="108" w:type="dxa"/>
            <w:bottom w:w="0" w:type="dxa"/>
            <w:right w:w="108" w:type="dxa"/>
          </w:tblCellMar>
        </w:tblPrEx>
        <w:trPr>
          <w:jc w:val="center"/>
        </w:trPr>
        <w:tc>
          <w:tcPr>
            <w:tcW w:w="575"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1206"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278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132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2848"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r>
      <w:tr>
        <w:tblPrEx>
          <w:tblCellMar>
            <w:top w:w="0" w:type="dxa"/>
            <w:left w:w="108" w:type="dxa"/>
            <w:bottom w:w="0" w:type="dxa"/>
            <w:right w:w="108" w:type="dxa"/>
          </w:tblCellMar>
        </w:tblPrEx>
        <w:trPr>
          <w:jc w:val="center"/>
        </w:trPr>
        <w:tc>
          <w:tcPr>
            <w:tcW w:w="575"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1206"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278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132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2848"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r>
      <w:tr>
        <w:tblPrEx>
          <w:tblCellMar>
            <w:top w:w="0" w:type="dxa"/>
            <w:left w:w="108" w:type="dxa"/>
            <w:bottom w:w="0" w:type="dxa"/>
            <w:right w:w="108" w:type="dxa"/>
          </w:tblCellMar>
        </w:tblPrEx>
        <w:trPr>
          <w:jc w:val="center"/>
        </w:trPr>
        <w:tc>
          <w:tcPr>
            <w:tcW w:w="575"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1206"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278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132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2848"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r>
      <w:tr>
        <w:trPr>
          <w:jc w:val="center"/>
        </w:trPr>
        <w:tc>
          <w:tcPr>
            <w:tcW w:w="575"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1206"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278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132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c>
          <w:tcPr>
            <w:tcW w:w="2848"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r>
    </w:tbl>
    <w:p>
      <w:pPr>
        <w:pStyle w:val="3"/>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color w:val="auto"/>
          <w:highlight w:val="none"/>
        </w:rPr>
      </w:pPr>
      <w:bookmarkStart w:id="90" w:name="_Toc15092"/>
      <w:bookmarkStart w:id="91" w:name="_Toc23479"/>
      <w:r>
        <w:rPr>
          <w:color w:val="auto"/>
          <w:highlight w:val="none"/>
        </w:rPr>
        <w:t>投标方需要说明的其它问题</w:t>
      </w:r>
      <w:bookmarkEnd w:id="90"/>
      <w:bookmarkEnd w:id="91"/>
    </w:p>
    <w:tbl>
      <w:tblPr>
        <w:tblStyle w:val="20"/>
        <w:tblW w:w="8700" w:type="dxa"/>
        <w:tblInd w:w="-75" w:type="dxa"/>
        <w:tblLayout w:type="fixed"/>
        <w:tblCellMar>
          <w:top w:w="0" w:type="dxa"/>
          <w:left w:w="108" w:type="dxa"/>
          <w:bottom w:w="0" w:type="dxa"/>
          <w:right w:w="108" w:type="dxa"/>
        </w:tblCellMar>
      </w:tblPr>
      <w:tblGrid>
        <w:gridCol w:w="8700"/>
      </w:tblGrid>
      <w:tr>
        <w:tblPrEx>
          <w:tblCellMar>
            <w:top w:w="0" w:type="dxa"/>
            <w:left w:w="108" w:type="dxa"/>
            <w:bottom w:w="0" w:type="dxa"/>
            <w:right w:w="108" w:type="dxa"/>
          </w:tblCellMar>
        </w:tblPrEx>
        <w:trPr>
          <w:trHeight w:val="1712" w:hRule="atLeast"/>
        </w:trPr>
        <w:tc>
          <w:tcPr>
            <w:tcW w:w="8700"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p>
            <w:pPr>
              <w:keepNext w:val="0"/>
              <w:keepLines w:val="0"/>
              <w:pageBreakBefore w:val="0"/>
              <w:widowControl w:val="0"/>
              <w:suppressAutoHyphens/>
              <w:kinsoku/>
              <w:wordWrap/>
              <w:overflowPunct/>
              <w:topLinePunct w:val="0"/>
              <w:autoSpaceDE/>
              <w:autoSpaceDN/>
              <w:bidi w:val="0"/>
              <w:adjustRightInd/>
              <w:snapToGrid/>
              <w:spacing w:before="0" w:after="0"/>
              <w:textAlignment w:val="auto"/>
              <w:rPr>
                <w:rFonts w:ascii="宋体" w:hAnsi="宋体" w:eastAsia="宋体" w:cs="宋体"/>
                <w:color w:val="auto"/>
                <w:highlight w:val="none"/>
              </w:rPr>
            </w:pPr>
          </w:p>
        </w:tc>
      </w:tr>
    </w:tbl>
    <w:p>
      <w:pPr>
        <w:keepNext w:val="0"/>
        <w:keepLines w:val="0"/>
        <w:pageBreakBefore w:val="0"/>
        <w:widowControl w:val="0"/>
        <w:kinsoku/>
        <w:wordWrap/>
        <w:overflowPunct/>
        <w:topLinePunct w:val="0"/>
        <w:autoSpaceDE/>
        <w:autoSpaceDN/>
        <w:bidi w:val="0"/>
        <w:adjustRightInd/>
        <w:snapToGrid/>
        <w:textAlignment w:val="auto"/>
        <w:rPr>
          <w:rFonts w:cs="宋体"/>
          <w:color w:val="auto"/>
          <w:highlight w:val="none"/>
        </w:rPr>
      </w:pPr>
    </w:p>
    <w:p>
      <w:pPr>
        <w:keepNext w:val="0"/>
        <w:keepLines w:val="0"/>
        <w:pageBreakBefore w:val="0"/>
        <w:widowControl w:val="0"/>
        <w:kinsoku/>
        <w:wordWrap/>
        <w:overflowPunct/>
        <w:topLinePunct w:val="0"/>
        <w:autoSpaceDE/>
        <w:autoSpaceDN/>
        <w:bidi w:val="0"/>
        <w:adjustRightInd/>
        <w:snapToGrid/>
        <w:textAlignment w:val="auto"/>
        <w:rPr>
          <w:color w:val="auto"/>
          <w:highlight w:val="none"/>
        </w:rPr>
      </w:pPr>
    </w:p>
    <w:sectPr>
      <w:footerReference r:id="rId6" w:type="default"/>
      <w:pgSz w:w="11906" w:h="16838"/>
      <w:pgMar w:top="1440" w:right="1797" w:bottom="1440" w:left="1797" w:header="851" w:footer="992" w:gutter="0"/>
      <w:pgNumType w:fmt="decimal" w:start="1"/>
      <w:cols w:space="720" w:num="1"/>
      <w:formProt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0000000000000000000"/>
    <w:charset w:val="00"/>
    <w:family w:val="auto"/>
    <w:pitch w:val="default"/>
    <w:sig w:usb0="00000000" w:usb1="00000000" w:usb2="00000000" w:usb3="00000000" w:csb0="00000000" w:csb1="00000000"/>
  </w:font>
  <w:font w:name="Liberation Sans">
    <w:altName w:val="宋体"/>
    <w:panose1 w:val="020B0604020202020204"/>
    <w:charset w:val="86"/>
    <w:family w:val="swiss"/>
    <w:pitch w:val="default"/>
    <w:sig w:usb0="00000000" w:usb1="00000000" w:usb2="00000021" w:usb3="00000000" w:csb0="600001BF" w:csb1="DFF70000"/>
  </w:font>
  <w:font w:name="思源黑体 CN">
    <w:altName w:val="宋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6"/>
        <w:tab w:val="left" w:pos="4852"/>
      </w:tabs>
    </w:pPr>
    <w:r>
      <mc:AlternateContent>
        <mc:Choice Requires="wps">
          <w:drawing>
            <wp:anchor distT="0" distB="0" distL="0" distR="0" simplePos="0" relativeHeight="251660288" behindDoc="1" locked="0" layoutInCell="0" allowOverlap="1">
              <wp:simplePos x="0" y="0"/>
              <wp:positionH relativeFrom="margin">
                <wp:align>center</wp:align>
              </wp:positionH>
              <wp:positionV relativeFrom="paragraph">
                <wp:posOffset>635</wp:posOffset>
              </wp:positionV>
              <wp:extent cx="153035" cy="172720"/>
              <wp:effectExtent l="0" t="0" r="0" b="0"/>
              <wp:wrapSquare wrapText="bothSides"/>
              <wp:docPr id="4" name="框架2"/>
              <wp:cNvGraphicFramePr/>
              <a:graphic xmlns:a="http://schemas.openxmlformats.org/drawingml/2006/main">
                <a:graphicData uri="http://schemas.microsoft.com/office/word/2010/wordprocessingShape">
                  <wps:wsp>
                    <wps:cNvSpPr/>
                    <wps:spPr>
                      <a:xfrm>
                        <a:off x="0" y="0"/>
                        <a:ext cx="153000" cy="172800"/>
                      </a:xfrm>
                      <a:prstGeom prst="rect">
                        <a:avLst/>
                      </a:prstGeom>
                      <a:noFill/>
                      <a:ln w="0">
                        <a:noFill/>
                      </a:ln>
                    </wps:spPr>
                    <wps:style>
                      <a:lnRef idx="0">
                        <a:srgbClr val="FFFFFF"/>
                      </a:lnRef>
                      <a:fillRef idx="0">
                        <a:srgbClr val="FFFFFF"/>
                      </a:fillRef>
                      <a:effectRef idx="0">
                        <a:srgbClr val="FFFFFF"/>
                      </a:effectRef>
                      <a:fontRef idx="minor"/>
                    </wps:style>
                    <wps:txbx>
                      <w:txbxContent>
                        <w:p>
                          <w:pPr>
                            <w:rPr>
                              <w:color w:val="000000"/>
                            </w:rPr>
                          </w:pPr>
                          <w:r>
                            <w:rPr>
                              <w:color w:val="000000"/>
                            </w:rPr>
                            <w:fldChar w:fldCharType="begin"/>
                          </w:r>
                          <w:r>
                            <w:rPr>
                              <w:color w:val="000000"/>
                            </w:rPr>
                            <w:instrText xml:space="preserve"> PAGE </w:instrText>
                          </w:r>
                          <w:r>
                            <w:rPr>
                              <w:color w:val="000000"/>
                            </w:rPr>
                            <w:fldChar w:fldCharType="separate"/>
                          </w:r>
                          <w:r>
                            <w:rPr>
                              <w:color w:val="000000"/>
                            </w:rPr>
                            <w:t>2</w:t>
                          </w:r>
                          <w:r>
                            <w:rPr>
                              <w:color w:val="000000"/>
                            </w:rPr>
                            <w:fldChar w:fldCharType="end"/>
                          </w:r>
                        </w:p>
                      </w:txbxContent>
                    </wps:txbx>
                    <wps:bodyPr lIns="0" tIns="0" rIns="0" bIns="0" anchor="t">
                      <a:spAutoFit/>
                    </wps:bodyPr>
                  </wps:wsp>
                </a:graphicData>
              </a:graphic>
            </wp:anchor>
          </w:drawing>
        </mc:Choice>
        <mc:Fallback>
          <w:pict>
            <v:rect id="框架2" o:spid="_x0000_s1026" o:spt="1" style="position:absolute;left:0pt;margin-top:0.05pt;height:13.6pt;width:12.05pt;mso-position-horizontal:center;mso-position-horizontal-relative:margin;mso-wrap-distance-bottom:0pt;mso-wrap-distance-left:0pt;mso-wrap-distance-right:0pt;mso-wrap-distance-top:0pt;z-index:-251656192;mso-width-relative:page;mso-height-relative:page;" filled="f" stroked="f" coordsize="21600,21600" o:allowincell="f" o:gfxdata="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LKC&#10;nE3OAAAAAwEAAA8AAAAAAAAAAQAgAAAAIgAAAGRycy9kb3ducmV2LnhtbFBLAQIUABQAAAAIAIdO&#10;4kAPrJdNuwEAAIIDAAAOAAAAAAAAAAEAIAAAAB0BAABkcnMvZTJvRG9jLnhtbFBLBQYAAAAABgAG&#10;AFkBAABKBQAAAAA=&#10;">
              <v:fill on="f" focussize="0,0"/>
              <v:stroke on="f" weight="0pt"/>
              <v:imagedata o:title=""/>
              <o:lock v:ext="edit" aspectratio="f"/>
              <v:textbox inset="0mm,0mm,0mm,0mm" style="mso-fit-shape-to-text:t;">
                <w:txbxContent>
                  <w:p>
                    <w:pPr>
                      <w:rPr>
                        <w:color w:val="000000"/>
                      </w:rPr>
                    </w:pPr>
                    <w:r>
                      <w:rPr>
                        <w:color w:val="000000"/>
                      </w:rPr>
                      <w:fldChar w:fldCharType="begin"/>
                    </w:r>
                    <w:r>
                      <w:rPr>
                        <w:color w:val="000000"/>
                      </w:rPr>
                      <w:instrText xml:space="preserve"> PAGE </w:instrText>
                    </w:r>
                    <w:r>
                      <w:rPr>
                        <w:color w:val="000000"/>
                      </w:rPr>
                      <w:fldChar w:fldCharType="separate"/>
                    </w:r>
                    <w:r>
                      <w:rPr>
                        <w:color w:val="000000"/>
                      </w:rPr>
                      <w:t>2</w:t>
                    </w:r>
                    <w:r>
                      <w:rPr>
                        <w:color w:val="000000"/>
                      </w:rPr>
                      <w:fldChar w:fldCharType="end"/>
                    </w:r>
                  </w:p>
                </w:txbxContent>
              </v:textbox>
              <w10:wrap type="squar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left"/>
    </w:pPr>
    <w:r>
      <w:drawing>
        <wp:inline distT="0" distB="0" distL="0" distR="0">
          <wp:extent cx="1562100" cy="266700"/>
          <wp:effectExtent l="0" t="0" r="0" b="0"/>
          <wp:docPr id="3"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tttt"/>
                  <pic:cNvPicPr>
                    <a:picLocks noChangeAspect="1" noChangeArrowheads="1"/>
                  </pic:cNvPicPr>
                </pic:nvPicPr>
                <pic:blipFill>
                  <a:blip r:embed="rId1"/>
                  <a:stretch>
                    <a:fillRect/>
                  </a:stretch>
                </pic:blipFill>
                <pic:spPr>
                  <a:xfrm>
                    <a:off x="0" y="0"/>
                    <a:ext cx="1562100" cy="26670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none"/>
      <w:suff w:val="nothing"/>
      <w:lvlText w:val="%1"/>
      <w:lvlJc w:val="left"/>
      <w:pPr>
        <w:tabs>
          <w:tab w:val="left" w:pos="0"/>
        </w:tabs>
        <w:ind w:left="0" w:firstLine="0"/>
      </w:pPr>
      <w:rPr>
        <w:rFonts w:ascii="Times New Roman" w:hAnsi="Times New Roman"/>
        <w:b/>
        <w:i w:val="0"/>
        <w:sz w:val="21"/>
      </w:rPr>
    </w:lvl>
    <w:lvl w:ilvl="1" w:tentative="0">
      <w:start w:val="1"/>
      <w:numFmt w:val="decimal"/>
      <w:suff w:val="nothing"/>
      <w:lvlText w:val="%1%2　"/>
      <w:lvlJc w:val="left"/>
      <w:pPr>
        <w:tabs>
          <w:tab w:val="left" w:pos="0"/>
        </w:tabs>
        <w:ind w:left="0" w:firstLine="0"/>
      </w:pPr>
      <w:rPr>
        <w:rFonts w:ascii="黑体" w:hAnsi="黑体" w:eastAsia="黑体"/>
        <w:b w:val="0"/>
        <w:i w:val="0"/>
        <w:sz w:val="28"/>
        <w:szCs w:val="28"/>
      </w:rPr>
    </w:lvl>
    <w:lvl w:ilvl="2" w:tentative="0">
      <w:start w:val="1"/>
      <w:numFmt w:val="decimal"/>
      <w:pStyle w:val="34"/>
      <w:suff w:val="space"/>
      <w:lvlText w:val="%1%2.%3　"/>
      <w:lvlJc w:val="left"/>
      <w:pPr>
        <w:tabs>
          <w:tab w:val="left" w:pos="0"/>
        </w:tabs>
        <w:ind w:left="1704" w:firstLine="0"/>
      </w:pPr>
      <w:rPr>
        <w:rFonts w:cs="Times New Roman"/>
        <w:bCs w:val="0"/>
        <w:i w:val="0"/>
        <w:iCs w:val="0"/>
        <w:caps w:val="0"/>
        <w:smallCaps w:val="0"/>
        <w:strike w:val="0"/>
        <w:dstrike w:val="0"/>
        <w:vanish w:val="0"/>
        <w:color w:val="000000"/>
        <w:spacing w:val="0"/>
        <w:kern w:val="0"/>
        <w:position w:val="0"/>
        <w:sz w:val="20"/>
        <w:u w:val="none"/>
        <w:vertAlign w:val="baseline"/>
      </w:rPr>
    </w:lvl>
    <w:lvl w:ilvl="3" w:tentative="0">
      <w:start w:val="1"/>
      <w:numFmt w:val="decimal"/>
      <w:suff w:val="nothing"/>
      <w:lvlText w:val="%1%2.%3.%4　"/>
      <w:lvlJc w:val="left"/>
      <w:pPr>
        <w:tabs>
          <w:tab w:val="left" w:pos="0"/>
        </w:tabs>
        <w:ind w:left="0" w:firstLine="0"/>
      </w:pPr>
      <w:rPr>
        <w:rFonts w:ascii="黑体" w:hAnsi="黑体" w:eastAsia="黑体"/>
        <w:b w:val="0"/>
        <w:i w:val="0"/>
        <w:sz w:val="21"/>
      </w:rPr>
    </w:lvl>
    <w:lvl w:ilvl="4" w:tentative="0">
      <w:start w:val="1"/>
      <w:numFmt w:val="decimal"/>
      <w:suff w:val="nothing"/>
      <w:lvlText w:val="%1%2.%3.%4.%5　"/>
      <w:lvlJc w:val="left"/>
      <w:pPr>
        <w:tabs>
          <w:tab w:val="left" w:pos="0"/>
        </w:tabs>
        <w:ind w:left="0" w:firstLine="0"/>
      </w:pPr>
      <w:rPr>
        <w:rFonts w:ascii="黑体" w:hAnsi="黑体" w:eastAsia="黑体"/>
        <w:b w:val="0"/>
        <w:i w:val="0"/>
        <w:sz w:val="21"/>
      </w:rPr>
    </w:lvl>
    <w:lvl w:ilvl="5" w:tentative="0">
      <w:start w:val="1"/>
      <w:numFmt w:val="decimal"/>
      <w:suff w:val="nothing"/>
      <w:lvlText w:val="%1%2.%3.%4.%5.%6　"/>
      <w:lvlJc w:val="left"/>
      <w:pPr>
        <w:tabs>
          <w:tab w:val="left" w:pos="0"/>
        </w:tabs>
        <w:ind w:left="0" w:firstLine="0"/>
      </w:pPr>
      <w:rPr>
        <w:rFonts w:ascii="黑体" w:hAnsi="黑体" w:eastAsia="黑体"/>
        <w:b w:val="0"/>
        <w:i w:val="0"/>
        <w:sz w:val="21"/>
      </w:rPr>
    </w:lvl>
    <w:lvl w:ilvl="6" w:tentative="0">
      <w:start w:val="1"/>
      <w:numFmt w:val="decimal"/>
      <w:suff w:val="nothing"/>
      <w:lvlText w:val="%1%2.%3.%4.%5.%6.%7　"/>
      <w:lvlJc w:val="left"/>
      <w:pPr>
        <w:tabs>
          <w:tab w:val="left" w:pos="0"/>
        </w:tabs>
        <w:ind w:left="0" w:firstLine="0"/>
      </w:pPr>
      <w:rPr>
        <w:rFonts w:ascii="黑体" w:hAnsi="黑体" w:eastAsia="黑体"/>
        <w:b w:val="0"/>
        <w:i w:val="0"/>
        <w:sz w:val="21"/>
      </w:rPr>
    </w:lvl>
    <w:lvl w:ilvl="7" w:tentative="0">
      <w:start w:val="1"/>
      <w:numFmt w:val="decimal"/>
      <w:lvlText w:val="%1%2.%3.%4.%5.%6.%7.%8"/>
      <w:lvlJc w:val="left"/>
      <w:pPr>
        <w:tabs>
          <w:tab w:val="left" w:pos="4351"/>
        </w:tabs>
        <w:ind w:left="3969" w:hanging="1418"/>
      </w:pPr>
    </w:lvl>
    <w:lvl w:ilvl="8" w:tentative="0">
      <w:start w:val="1"/>
      <w:numFmt w:val="decimal"/>
      <w:lvlText w:val="%1%2.%3.%4.%5.%6.%7.%8.%9"/>
      <w:lvlJc w:val="left"/>
      <w:pPr>
        <w:tabs>
          <w:tab w:val="left" w:pos="4777"/>
        </w:tabs>
        <w:ind w:left="4677" w:hanging="1700"/>
      </w:pPr>
    </w:lvl>
  </w:abstractNum>
  <w:abstractNum w:abstractNumId="1">
    <w:nsid w:val="0B61D059"/>
    <w:multiLevelType w:val="multilevel"/>
    <w:tmpl w:val="0B61D059"/>
    <w:lvl w:ilvl="0" w:tentative="0">
      <w:start w:val="1"/>
      <w:numFmt w:val="decimal"/>
      <w:pStyle w:val="3"/>
      <w:suff w:val="nothing"/>
      <w:lvlText w:val="%1　"/>
      <w:lvlJc w:val="left"/>
      <w:pPr>
        <w:tabs>
          <w:tab w:val="left" w:pos="420"/>
        </w:tabs>
        <w:ind w:left="0" w:leftChars="0" w:firstLine="0" w:firstLineChars="0"/>
      </w:pPr>
      <w:rPr>
        <w:rFonts w:hint="default" w:ascii="宋体" w:hAnsi="宋体" w:eastAsia="宋体" w:cs="宋体"/>
        <w:b/>
        <w:i w:val="0"/>
        <w:sz w:val="24"/>
        <w:szCs w:val="24"/>
      </w:rPr>
    </w:lvl>
    <w:lvl w:ilvl="1" w:tentative="0">
      <w:start w:val="1"/>
      <w:numFmt w:val="decimal"/>
      <w:pStyle w:val="4"/>
      <w:suff w:val="nothing"/>
      <w:lvlText w:val="%1.%2　"/>
      <w:lvlJc w:val="left"/>
      <w:pPr>
        <w:tabs>
          <w:tab w:val="left" w:pos="420"/>
        </w:tabs>
        <w:ind w:left="0" w:firstLine="0"/>
      </w:pPr>
      <w:rPr>
        <w:rFonts w:hint="default" w:ascii="宋体" w:hAnsi="宋体" w:eastAsia="宋体" w:cs="宋体"/>
        <w:b w:val="0"/>
        <w:i w:val="0"/>
        <w:sz w:val="24"/>
        <w:szCs w:val="24"/>
      </w:rPr>
    </w:lvl>
    <w:lvl w:ilvl="2" w:tentative="0">
      <w:start w:val="1"/>
      <w:numFmt w:val="decimal"/>
      <w:pStyle w:val="5"/>
      <w:suff w:val="nothing"/>
      <w:lvlText w:val="%1.%2.%3　"/>
      <w:lvlJc w:val="left"/>
      <w:pPr>
        <w:tabs>
          <w:tab w:val="left" w:pos="0"/>
        </w:tabs>
        <w:ind w:left="0" w:leftChars="0" w:firstLine="0" w:firstLineChars="0"/>
      </w:pPr>
      <w:rPr>
        <w:rFonts w:hint="default" w:ascii="宋体" w:hAnsi="宋体" w:eastAsia="宋体" w:cs="宋体"/>
        <w:bCs w:val="0"/>
        <w:i w:val="0"/>
        <w:iCs w:val="0"/>
        <w:caps w:val="0"/>
        <w:smallCaps w:val="0"/>
        <w:strike w:val="0"/>
        <w:dstrike w:val="0"/>
        <w:vanish w:val="0"/>
        <w:color w:val="000000"/>
        <w:spacing w:val="0"/>
        <w:kern w:val="0"/>
        <w:position w:val="0"/>
        <w:sz w:val="24"/>
        <w:szCs w:val="24"/>
        <w:u w:val="none"/>
        <w:vertAlign w:val="baseline"/>
      </w:rPr>
    </w:lvl>
    <w:lvl w:ilvl="3" w:tentative="0">
      <w:start w:val="1"/>
      <w:numFmt w:val="decimal"/>
      <w:pStyle w:val="6"/>
      <w:suff w:val="nothing"/>
      <w:lvlText w:val="%1.%2.%3.%4　"/>
      <w:lvlJc w:val="left"/>
      <w:pPr>
        <w:tabs>
          <w:tab w:val="left" w:pos="0"/>
        </w:tabs>
        <w:ind w:left="0" w:leftChars="0" w:firstLine="0" w:firstLineChars="0"/>
      </w:pPr>
      <w:rPr>
        <w:rFonts w:hint="default" w:ascii="宋体" w:hAnsi="宋体" w:eastAsia="宋体" w:cs="宋体"/>
        <w:b w:val="0"/>
        <w:i w:val="0"/>
        <w:sz w:val="24"/>
        <w:szCs w:val="24"/>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documentProtection w:enforcement="0"/>
  <w:defaultTabStop w:val="420"/>
  <w:autoHyphenation/>
  <w:hyphenationZone w:val="0"/>
  <w:footnotePr>
    <w:footnote w:id="0"/>
    <w:footnote w:id="1"/>
  </w:footnotePr>
  <w:endnotePr>
    <w:endnote w:id="0"/>
    <w:endnote w:id="1"/>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zOTc1ZjEwNWIxNWQxM2E5YTY3ZTRlNGY1OTY2Y2EifQ=="/>
  </w:docVars>
  <w:rsids>
    <w:rsidRoot w:val="00000000"/>
    <w:rsid w:val="0325124E"/>
    <w:rsid w:val="051651C7"/>
    <w:rsid w:val="07AF1308"/>
    <w:rsid w:val="08F17FDE"/>
    <w:rsid w:val="0AEE53FB"/>
    <w:rsid w:val="0B2E3105"/>
    <w:rsid w:val="0D046532"/>
    <w:rsid w:val="0E3F0C97"/>
    <w:rsid w:val="0F626335"/>
    <w:rsid w:val="11F90AC1"/>
    <w:rsid w:val="12DE784D"/>
    <w:rsid w:val="14C93726"/>
    <w:rsid w:val="161C3356"/>
    <w:rsid w:val="16846698"/>
    <w:rsid w:val="169F28FA"/>
    <w:rsid w:val="16FC3692"/>
    <w:rsid w:val="182B30B6"/>
    <w:rsid w:val="193007E0"/>
    <w:rsid w:val="1C7610ED"/>
    <w:rsid w:val="1E34334C"/>
    <w:rsid w:val="206A1C75"/>
    <w:rsid w:val="215757C2"/>
    <w:rsid w:val="21C044F6"/>
    <w:rsid w:val="22B52AF1"/>
    <w:rsid w:val="22E1445F"/>
    <w:rsid w:val="24161C94"/>
    <w:rsid w:val="26D3620D"/>
    <w:rsid w:val="2754511E"/>
    <w:rsid w:val="27712428"/>
    <w:rsid w:val="281A740B"/>
    <w:rsid w:val="2E450764"/>
    <w:rsid w:val="2EA227DA"/>
    <w:rsid w:val="309148BA"/>
    <w:rsid w:val="30EA3BB2"/>
    <w:rsid w:val="34ED315B"/>
    <w:rsid w:val="35CF042F"/>
    <w:rsid w:val="3A157984"/>
    <w:rsid w:val="3C634979"/>
    <w:rsid w:val="3DBA335C"/>
    <w:rsid w:val="3F93388B"/>
    <w:rsid w:val="428E1E1E"/>
    <w:rsid w:val="433E6780"/>
    <w:rsid w:val="44DF1B8D"/>
    <w:rsid w:val="47CF445E"/>
    <w:rsid w:val="486A20DE"/>
    <w:rsid w:val="4C6B23AB"/>
    <w:rsid w:val="529111E7"/>
    <w:rsid w:val="57B96BD4"/>
    <w:rsid w:val="5A9020FB"/>
    <w:rsid w:val="5AD64D2A"/>
    <w:rsid w:val="5CEB6E82"/>
    <w:rsid w:val="5D454EE7"/>
    <w:rsid w:val="5E1058A5"/>
    <w:rsid w:val="5E4717FF"/>
    <w:rsid w:val="5E700146"/>
    <w:rsid w:val="5FCE50EE"/>
    <w:rsid w:val="62CA1F0D"/>
    <w:rsid w:val="633A18AF"/>
    <w:rsid w:val="634C260E"/>
    <w:rsid w:val="67082096"/>
    <w:rsid w:val="69C35317"/>
    <w:rsid w:val="6AD77182"/>
    <w:rsid w:val="6C707A30"/>
    <w:rsid w:val="6EB105AA"/>
    <w:rsid w:val="727A6A6D"/>
    <w:rsid w:val="75E07638"/>
    <w:rsid w:val="763044F2"/>
    <w:rsid w:val="775F34D3"/>
    <w:rsid w:val="77602068"/>
    <w:rsid w:val="77D602EA"/>
    <w:rsid w:val="78470C4E"/>
    <w:rsid w:val="7D25315D"/>
    <w:rsid w:val="7EEE03D8"/>
    <w:rsid w:val="7F5155C3"/>
  </w:rsids>
  <m:mathPr>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bidi w:val="0"/>
      <w:spacing w:before="0" w:after="0" w:line="360" w:lineRule="auto"/>
      <w:ind w:firstLine="0" w:firstLineChars="0"/>
      <w:jc w:val="both"/>
    </w:pPr>
    <w:rPr>
      <w:rFonts w:ascii="宋体" w:hAnsi="宋体" w:eastAsia="宋体" w:cs="Times New Roman"/>
      <w:color w:val="auto"/>
      <w:kern w:val="2"/>
      <w:sz w:val="24"/>
      <w:szCs w:val="24"/>
      <w:lang w:val="en-US" w:eastAsia="zh-CN" w:bidi="ar-SA"/>
    </w:rPr>
  </w:style>
  <w:style w:type="paragraph" w:styleId="3">
    <w:name w:val="heading 1"/>
    <w:basedOn w:val="1"/>
    <w:next w:val="1"/>
    <w:qFormat/>
    <w:uiPriority w:val="0"/>
    <w:pPr>
      <w:keepNext/>
      <w:keepLines/>
      <w:numPr>
        <w:ilvl w:val="0"/>
        <w:numId w:val="1"/>
      </w:numPr>
      <w:tabs>
        <w:tab w:val="left" w:pos="0"/>
        <w:tab w:val="clear" w:pos="420"/>
      </w:tabs>
      <w:spacing w:before="150" w:beforeLines="150" w:after="50" w:afterLines="50"/>
      <w:ind w:left="0" w:leftChars="0" w:right="0" w:rightChars="0"/>
      <w:outlineLvl w:val="0"/>
    </w:pPr>
    <w:rPr>
      <w:rFonts w:ascii="宋体" w:hAnsi="宋体" w:eastAsia="宋体"/>
      <w:b/>
      <w:bCs/>
      <w:szCs w:val="44"/>
    </w:rPr>
  </w:style>
  <w:style w:type="paragraph" w:styleId="4">
    <w:name w:val="heading 2"/>
    <w:basedOn w:val="1"/>
    <w:next w:val="1"/>
    <w:qFormat/>
    <w:uiPriority w:val="0"/>
    <w:pPr>
      <w:keepNext/>
      <w:keepLines/>
      <w:numPr>
        <w:ilvl w:val="1"/>
        <w:numId w:val="1"/>
      </w:numPr>
      <w:tabs>
        <w:tab w:val="left" w:pos="0"/>
        <w:tab w:val="clear" w:pos="420"/>
      </w:tabs>
      <w:spacing w:before="50" w:beforeLines="50"/>
      <w:outlineLvl w:val="1"/>
    </w:pPr>
    <w:rPr>
      <w:bCs/>
      <w:szCs w:val="32"/>
    </w:rPr>
  </w:style>
  <w:style w:type="paragraph" w:styleId="5">
    <w:name w:val="heading 3"/>
    <w:basedOn w:val="1"/>
    <w:next w:val="1"/>
    <w:unhideWhenUsed/>
    <w:qFormat/>
    <w:uiPriority w:val="0"/>
    <w:pPr>
      <w:keepNext/>
      <w:keepLines/>
      <w:numPr>
        <w:ilvl w:val="2"/>
        <w:numId w:val="1"/>
      </w:numPr>
      <w:tabs>
        <w:tab w:val="left" w:pos="1155"/>
        <w:tab w:val="clear" w:pos="0"/>
      </w:tabs>
      <w:spacing w:beforeLines="0" w:beforeAutospacing="0" w:afterLines="0" w:afterAutospacing="0" w:line="360" w:lineRule="auto"/>
      <w:ind w:left="0" w:leftChars="0" w:firstLine="482" w:firstLineChars="100"/>
      <w:outlineLvl w:val="2"/>
    </w:pPr>
    <w:rPr>
      <w:rFonts w:ascii="宋体" w:hAnsi="宋体" w:eastAsia="宋体"/>
    </w:rPr>
  </w:style>
  <w:style w:type="paragraph" w:styleId="6">
    <w:name w:val="heading 4"/>
    <w:basedOn w:val="1"/>
    <w:next w:val="1"/>
    <w:unhideWhenUsed/>
    <w:qFormat/>
    <w:uiPriority w:val="0"/>
    <w:pPr>
      <w:keepNext/>
      <w:keepLines/>
      <w:numPr>
        <w:ilvl w:val="3"/>
        <w:numId w:val="1"/>
      </w:numPr>
      <w:spacing w:beforeLines="0" w:beforeAutospacing="0" w:afterLines="0" w:afterAutospacing="0" w:line="360" w:lineRule="auto"/>
      <w:ind w:left="240" w:leftChars="100" w:firstLine="482" w:firstLineChars="100"/>
      <w:outlineLvl w:val="3"/>
    </w:pPr>
    <w:rPr>
      <w:rFonts w:ascii="宋体" w:hAnsi="宋体" w:eastAsia="宋体" w:cs="宋体"/>
    </w:rPr>
  </w:style>
  <w:style w:type="character" w:default="1" w:styleId="21">
    <w:name w:val="Default Paragraph Font"/>
    <w:unhideWhenUsed/>
    <w:qFormat/>
    <w:uiPriority w:val="1"/>
  </w:style>
  <w:style w:type="table" w:default="1" w:styleId="20">
    <w:name w:val="Normal Table"/>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pPr>
    <w:rPr>
      <w:rFonts w:ascii="Times New Roman" w:hAnsi="Times New Roman" w:eastAsia="宋体"/>
    </w:rPr>
  </w:style>
  <w:style w:type="paragraph" w:styleId="7">
    <w:name w:val="caption"/>
    <w:basedOn w:val="1"/>
    <w:next w:val="1"/>
    <w:qFormat/>
    <w:uiPriority w:val="0"/>
    <w:pPr>
      <w:keepNext/>
      <w:suppressLineNumbers/>
      <w:spacing w:before="120" w:after="120"/>
      <w:jc w:val="center"/>
    </w:pPr>
    <w:rPr>
      <w:rFonts w:cs="Arial"/>
      <w:b/>
      <w:iCs/>
    </w:rPr>
  </w:style>
  <w:style w:type="paragraph" w:styleId="8">
    <w:name w:val="annotation text"/>
    <w:basedOn w:val="1"/>
    <w:unhideWhenUsed/>
    <w:qFormat/>
    <w:uiPriority w:val="99"/>
    <w:pPr>
      <w:jc w:val="left"/>
    </w:pPr>
    <w:rPr>
      <w:kern w:val="0"/>
    </w:rPr>
  </w:style>
  <w:style w:type="paragraph" w:styleId="9">
    <w:name w:val="Body Text"/>
    <w:basedOn w:val="1"/>
    <w:next w:val="1"/>
    <w:qFormat/>
    <w:uiPriority w:val="0"/>
    <w:pPr>
      <w:spacing w:before="0" w:after="120"/>
    </w:pPr>
  </w:style>
  <w:style w:type="paragraph" w:styleId="10">
    <w:name w:val="toc 8"/>
    <w:basedOn w:val="11"/>
    <w:next w:val="1"/>
    <w:qFormat/>
    <w:uiPriority w:val="0"/>
  </w:style>
  <w:style w:type="paragraph" w:customStyle="1" w:styleId="11">
    <w:name w:val="索引"/>
    <w:basedOn w:val="1"/>
    <w:qFormat/>
    <w:uiPriority w:val="0"/>
    <w:pPr>
      <w:suppressLineNumbers/>
    </w:pPr>
    <w:rPr>
      <w:rFonts w:cs="Arial"/>
    </w:rPr>
  </w:style>
  <w:style w:type="paragraph" w:styleId="12">
    <w:name w:val="Balloon Text"/>
    <w:basedOn w:val="1"/>
    <w:link w:val="24"/>
    <w:qFormat/>
    <w:uiPriority w:val="0"/>
    <w:pPr>
      <w:spacing w:line="240" w:lineRule="auto"/>
    </w:pPr>
    <w:rPr>
      <w:sz w:val="18"/>
      <w:szCs w:val="18"/>
    </w:rPr>
  </w:style>
  <w:style w:type="paragraph" w:styleId="13">
    <w:name w:val="footer"/>
    <w:basedOn w:val="1"/>
    <w:link w:val="23"/>
    <w:qFormat/>
    <w:uiPriority w:val="0"/>
    <w:pPr>
      <w:tabs>
        <w:tab w:val="center" w:pos="4153"/>
        <w:tab w:val="right" w:pos="8306"/>
      </w:tabs>
      <w:snapToGrid w:val="0"/>
      <w:spacing w:line="240" w:lineRule="auto"/>
      <w:jc w:val="left"/>
    </w:pPr>
    <w:rPr>
      <w:sz w:val="18"/>
      <w:szCs w:val="18"/>
    </w:rPr>
  </w:style>
  <w:style w:type="paragraph" w:styleId="14">
    <w:name w:val="header"/>
    <w:basedOn w:val="1"/>
    <w:unhideWhenUsed/>
    <w:qFormat/>
    <w:uiPriority w:val="0"/>
    <w:pPr>
      <w:pBdr>
        <w:bottom w:val="single" w:color="000000" w:sz="6" w:space="1"/>
      </w:pBdr>
      <w:tabs>
        <w:tab w:val="center" w:pos="4153"/>
        <w:tab w:val="right" w:pos="8306"/>
      </w:tabs>
      <w:snapToGrid w:val="0"/>
      <w:jc w:val="center"/>
    </w:pPr>
    <w:rPr>
      <w:sz w:val="18"/>
      <w:szCs w:val="18"/>
    </w:rPr>
  </w:style>
  <w:style w:type="paragraph" w:styleId="15">
    <w:name w:val="toc 1"/>
    <w:basedOn w:val="1"/>
    <w:next w:val="1"/>
    <w:qFormat/>
    <w:uiPriority w:val="39"/>
    <w:pPr>
      <w:tabs>
        <w:tab w:val="right" w:leader="dot" w:pos="8296"/>
      </w:tabs>
    </w:pPr>
  </w:style>
  <w:style w:type="paragraph" w:styleId="16">
    <w:name w:val="List"/>
    <w:basedOn w:val="9"/>
    <w:qFormat/>
    <w:uiPriority w:val="0"/>
    <w:rPr>
      <w:rFonts w:cs="Arial"/>
    </w:rPr>
  </w:style>
  <w:style w:type="paragraph" w:styleId="17">
    <w:name w:val="toc 9"/>
    <w:basedOn w:val="11"/>
    <w:next w:val="1"/>
    <w:qFormat/>
    <w:uiPriority w:val="0"/>
  </w:style>
  <w:style w:type="paragraph" w:styleId="18">
    <w:name w:val="index 1"/>
    <w:basedOn w:val="1"/>
    <w:next w:val="1"/>
    <w:unhideWhenUsed/>
    <w:qFormat/>
    <w:uiPriority w:val="99"/>
    <w:rPr>
      <w:szCs w:val="20"/>
    </w:rPr>
  </w:style>
  <w:style w:type="paragraph" w:styleId="19">
    <w:name w:val="Title"/>
    <w:basedOn w:val="1"/>
    <w:next w:val="1"/>
    <w:qFormat/>
    <w:uiPriority w:val="0"/>
    <w:pPr>
      <w:spacing w:before="240" w:after="60"/>
      <w:jc w:val="center"/>
      <w:outlineLvl w:val="0"/>
    </w:pPr>
    <w:rPr>
      <w:rFonts w:ascii="Arial" w:hAnsi="Arial" w:eastAsia="华文中宋" w:cs="Arial"/>
      <w:b/>
      <w:bCs/>
      <w:color w:val="FF0000"/>
      <w:sz w:val="84"/>
      <w:szCs w:val="32"/>
    </w:rPr>
  </w:style>
  <w:style w:type="character" w:styleId="22">
    <w:name w:val="Hyperlink"/>
    <w:qFormat/>
    <w:uiPriority w:val="0"/>
    <w:rPr>
      <w:color w:val="000080"/>
      <w:u w:val="single"/>
    </w:rPr>
  </w:style>
  <w:style w:type="character" w:customStyle="1" w:styleId="23">
    <w:name w:val="页脚 Char"/>
    <w:basedOn w:val="21"/>
    <w:link w:val="13"/>
    <w:qFormat/>
    <w:uiPriority w:val="0"/>
    <w:rPr>
      <w:rFonts w:ascii="宋体" w:hAnsi="宋体"/>
      <w:kern w:val="2"/>
      <w:sz w:val="18"/>
      <w:szCs w:val="18"/>
    </w:rPr>
  </w:style>
  <w:style w:type="character" w:customStyle="1" w:styleId="24">
    <w:name w:val="批注框文本 Char"/>
    <w:basedOn w:val="21"/>
    <w:link w:val="12"/>
    <w:qFormat/>
    <w:uiPriority w:val="0"/>
    <w:rPr>
      <w:rFonts w:ascii="宋体" w:hAnsi="宋体"/>
      <w:kern w:val="2"/>
      <w:sz w:val="18"/>
      <w:szCs w:val="18"/>
    </w:rPr>
  </w:style>
  <w:style w:type="character" w:customStyle="1" w:styleId="25">
    <w:name w:val="索引链接"/>
    <w:qFormat/>
    <w:uiPriority w:val="0"/>
  </w:style>
  <w:style w:type="character" w:customStyle="1" w:styleId="26">
    <w:name w:val="索引链接 (user)"/>
    <w:qFormat/>
    <w:uiPriority w:val="0"/>
  </w:style>
  <w:style w:type="paragraph" w:customStyle="1" w:styleId="27">
    <w:name w:val="标题样式"/>
    <w:basedOn w:val="1"/>
    <w:next w:val="9"/>
    <w:qFormat/>
    <w:uiPriority w:val="0"/>
    <w:pPr>
      <w:keepNext/>
      <w:spacing w:before="240" w:after="120"/>
    </w:pPr>
    <w:rPr>
      <w:rFonts w:ascii="Liberation Sans" w:hAnsi="Liberation Sans" w:eastAsia="思源黑体 CN" w:cs="Arial"/>
      <w:sz w:val="28"/>
      <w:szCs w:val="28"/>
    </w:rPr>
  </w:style>
  <w:style w:type="paragraph" w:customStyle="1" w:styleId="28">
    <w:name w:val="标题样式 (user)"/>
    <w:basedOn w:val="1"/>
    <w:next w:val="9"/>
    <w:qFormat/>
    <w:uiPriority w:val="0"/>
    <w:pPr>
      <w:keepNext/>
      <w:spacing w:before="240" w:after="120"/>
    </w:pPr>
    <w:rPr>
      <w:rFonts w:ascii="Liberation Sans" w:hAnsi="Liberation Sans" w:eastAsia="思源黑体 CN" w:cs="Arial"/>
      <w:sz w:val="28"/>
      <w:szCs w:val="28"/>
    </w:rPr>
  </w:style>
  <w:style w:type="paragraph" w:customStyle="1" w:styleId="29">
    <w:name w:val="索引 (user)"/>
    <w:basedOn w:val="1"/>
    <w:qFormat/>
    <w:uiPriority w:val="0"/>
    <w:pPr>
      <w:suppressLineNumbers/>
    </w:pPr>
    <w:rPr>
      <w:rFonts w:cs="Arial"/>
    </w:rPr>
  </w:style>
  <w:style w:type="paragraph" w:customStyle="1" w:styleId="30">
    <w:name w:val="页眉与页脚"/>
    <w:basedOn w:val="1"/>
    <w:qFormat/>
    <w:uiPriority w:val="0"/>
  </w:style>
  <w:style w:type="paragraph" w:customStyle="1" w:styleId="31">
    <w:name w:val="页眉与页脚 (user)"/>
    <w:basedOn w:val="1"/>
    <w:qFormat/>
    <w:uiPriority w:val="0"/>
  </w:style>
  <w:style w:type="paragraph" w:customStyle="1" w:styleId="32">
    <w:name w:val="List Paragraph"/>
    <w:basedOn w:val="1"/>
    <w:qFormat/>
    <w:uiPriority w:val="34"/>
    <w:pPr>
      <w:widowControl/>
      <w:tabs>
        <w:tab w:val="left" w:pos="-1440"/>
        <w:tab w:val="left" w:pos="-432"/>
        <w:tab w:val="left" w:pos="0"/>
        <w:tab w:val="left" w:pos="360"/>
        <w:tab w:val="left" w:pos="720"/>
        <w:tab w:val="left" w:pos="1368"/>
        <w:tab w:val="left" w:pos="1800"/>
        <w:tab w:val="left" w:pos="2160"/>
        <w:tab w:val="left" w:pos="2808"/>
      </w:tabs>
      <w:suppressAutoHyphens/>
      <w:overflowPunct/>
      <w:spacing w:before="0" w:after="0"/>
      <w:ind w:left="720"/>
      <w:contextualSpacing/>
      <w:jc w:val="left"/>
      <w:textAlignment w:val="baseline"/>
    </w:pPr>
    <w:rPr>
      <w:rFonts w:ascii="Arial" w:hAnsi="Arial" w:eastAsia="Times New Roman" w:cs="Arial"/>
      <w:spacing w:val="-2"/>
      <w:kern w:val="0"/>
      <w:sz w:val="20"/>
      <w:szCs w:val="20"/>
      <w:lang w:eastAsia="en-US"/>
    </w:rPr>
  </w:style>
  <w:style w:type="paragraph" w:customStyle="1" w:styleId="33">
    <w:name w:val="样式1"/>
    <w:basedOn w:val="1"/>
    <w:qFormat/>
    <w:uiPriority w:val="99"/>
  </w:style>
  <w:style w:type="paragraph" w:customStyle="1" w:styleId="34">
    <w:name w:val="一级条标题"/>
    <w:next w:val="35"/>
    <w:qFormat/>
    <w:uiPriority w:val="0"/>
    <w:pPr>
      <w:widowControl/>
      <w:numPr>
        <w:ilvl w:val="2"/>
        <w:numId w:val="2"/>
      </w:numPr>
      <w:suppressAutoHyphens/>
      <w:bidi w:val="0"/>
      <w:snapToGrid w:val="0"/>
      <w:spacing w:before="0" w:after="0" w:line="360" w:lineRule="auto"/>
      <w:jc w:val="left"/>
      <w:outlineLvl w:val="2"/>
    </w:pPr>
    <w:rPr>
      <w:rFonts w:ascii="宋体" w:hAnsi="宋体" w:eastAsia="宋体" w:cs="Times New Roman"/>
      <w:color w:val="auto"/>
      <w:kern w:val="0"/>
      <w:sz w:val="24"/>
      <w:szCs w:val="24"/>
      <w:lang w:val="en-US" w:eastAsia="zh-CN" w:bidi="ar-SA"/>
    </w:rPr>
  </w:style>
  <w:style w:type="paragraph" w:customStyle="1" w:styleId="35">
    <w:name w:val="段"/>
    <w:qFormat/>
    <w:uiPriority w:val="0"/>
    <w:pPr>
      <w:widowControl/>
      <w:suppressAutoHyphens/>
      <w:bidi w:val="0"/>
      <w:spacing w:before="0" w:after="0"/>
      <w:ind w:firstLine="200"/>
      <w:jc w:val="both"/>
    </w:pPr>
    <w:rPr>
      <w:rFonts w:ascii="宋体" w:hAnsi="宋体" w:eastAsia="宋体" w:cs="Times New Roman"/>
      <w:color w:val="auto"/>
      <w:kern w:val="0"/>
      <w:sz w:val="21"/>
      <w:szCs w:val="20"/>
      <w:lang w:val="en-US" w:eastAsia="zh-CN" w:bidi="ar-SA"/>
    </w:rPr>
  </w:style>
  <w:style w:type="paragraph" w:customStyle="1" w:styleId="36">
    <w:name w:val="框架内容"/>
    <w:basedOn w:val="1"/>
    <w:qFormat/>
    <w:uiPriority w:val="0"/>
  </w:style>
  <w:style w:type="paragraph" w:customStyle="1" w:styleId="37">
    <w:name w:val="框架内容 (user)"/>
    <w:basedOn w:val="1"/>
    <w:qFormat/>
    <w:uiPriority w:val="0"/>
  </w:style>
  <w:style w:type="paragraph" w:customStyle="1" w:styleId="38">
    <w:name w:val="WPSOffice手动目录 1"/>
    <w:qFormat/>
    <w:uiPriority w:val="0"/>
    <w:pPr>
      <w:spacing w:line="360" w:lineRule="auto"/>
      <w:ind w:leftChars="0"/>
    </w:pPr>
    <w:rPr>
      <w:rFonts w:ascii="宋体" w:hAnsi="宋体" w:eastAsia="宋体" w:cs="Times New Roman"/>
      <w:sz w:val="24"/>
      <w:szCs w:val="20"/>
    </w:rPr>
  </w:style>
  <w:style w:type="character" w:customStyle="1" w:styleId="39">
    <w:name w:val="font2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113CE4-6046-40D0-ADFC-DEAAC4FFB17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13</Pages>
  <Words>6192</Words>
  <Characters>7123</Characters>
  <Paragraphs>286</Paragraphs>
  <TotalTime>15</TotalTime>
  <ScaleCrop>false</ScaleCrop>
  <LinksUpToDate>false</LinksUpToDate>
  <CharactersWithSpaces>7195</CharactersWithSpaces>
  <Application>WPS Office_11.8.2.11739_F1E327BC-269C-435d-A152-05C5408002CA</Application>
  <DocSecurity>1</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严燕群</cp:lastModifiedBy>
  <dcterms:modified xsi:type="dcterms:W3CDTF">2026-03-27T06:30:46Z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D08CDA73E0B044F4BDA2A7159B816522</vt:lpwstr>
  </property>
  <property fmtid="{D5CDD505-2E9C-101B-9397-08002B2CF9AE}" pid="3" name="KSOProductBuildVer">
    <vt:lpwstr>2052-11.8.2.11739</vt:lpwstr>
  </property>
  <property fmtid="{D5CDD505-2E9C-101B-9397-08002B2CF9AE}" pid="4" name="KSOTemplateDocerSaveRecord">
    <vt:lpwstr>eyJoZGlkIjoiZjI5OWZhMWNmYzVhNjk2YTEwNzU5MDI2YzlhMTkxNmYiLCJ1c2VySWQiOiIyOTExODYwMzYifQ==</vt:lpwstr>
  </property>
</Properties>
</file>