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3BB5C79">
      <w:pPr>
        <w:rPr>
          <w:rFonts w:hint="eastAsia"/>
          <w:color w:val="000000"/>
          <w:highlight w:val="none"/>
        </w:rPr>
      </w:pPr>
      <w:r>
        <w:rPr>
          <w:color w:val="000000"/>
          <w:highlight w:val="none"/>
        </w:rPr>
        <w:drawing>
          <wp:anchor distT="0" distB="0" distL="114300" distR="114300" simplePos="0" relativeHeight="251660288" behindDoc="1" locked="0" layoutInCell="1" allowOverlap="1">
            <wp:simplePos x="0" y="0"/>
            <wp:positionH relativeFrom="column">
              <wp:posOffset>-985520</wp:posOffset>
            </wp:positionH>
            <wp:positionV relativeFrom="paragraph">
              <wp:posOffset>-1095375</wp:posOffset>
            </wp:positionV>
            <wp:extent cx="8915400" cy="2736850"/>
            <wp:effectExtent l="0" t="0" r="0" b="6350"/>
            <wp:wrapTight wrapText="bothSides">
              <wp:wrapPolygon>
                <wp:start x="-23" y="0"/>
                <wp:lineTo x="-23" y="21525"/>
                <wp:lineTo x="21600" y="21525"/>
                <wp:lineTo x="21600" y="0"/>
                <wp:lineTo x="-23" y="0"/>
              </wp:wrapPolygon>
            </wp:wrapTight>
            <wp:docPr id="2058" name="Picture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 name="Picture 2" descr="模板-3"/>
                    <pic:cNvPicPr>
                      <a:picLocks noChangeAspect="1"/>
                    </pic:cNvPicPr>
                  </pic:nvPicPr>
                  <pic:blipFill>
                    <a:blip r:embed="rId14"/>
                    <a:stretch>
                      <a:fillRect/>
                    </a:stretch>
                  </pic:blipFill>
                  <pic:spPr>
                    <a:xfrm>
                      <a:off x="0" y="0"/>
                      <a:ext cx="8915400" cy="2736850"/>
                    </a:xfrm>
                    <a:prstGeom prst="rect">
                      <a:avLst/>
                    </a:prstGeom>
                    <a:noFill/>
                    <a:ln>
                      <a:noFill/>
                    </a:ln>
                  </pic:spPr>
                </pic:pic>
              </a:graphicData>
            </a:graphic>
          </wp:anchor>
        </w:drawing>
      </w:r>
    </w:p>
    <w:p w14:paraId="270B72FB">
      <w:pPr>
        <w:spacing w:before="624" w:beforeLines="200"/>
        <w:jc w:val="center"/>
        <w:rPr>
          <w:rFonts w:hint="eastAsia" w:eastAsia="黑体"/>
          <w:b/>
          <w:color w:val="000000"/>
          <w:sz w:val="52"/>
          <w:highlight w:val="none"/>
          <w:lang w:val="en-US" w:eastAsia="zh-CN"/>
        </w:rPr>
      </w:pPr>
      <w:r>
        <w:rPr>
          <w:rFonts w:hint="eastAsia" w:eastAsia="黑体"/>
          <w:b/>
          <w:color w:val="000000"/>
          <w:sz w:val="52"/>
          <w:highlight w:val="none"/>
          <w:lang w:val="en-US" w:eastAsia="zh-CN"/>
        </w:rPr>
        <w:t>变电站生产</w:t>
      </w:r>
      <w:bookmarkStart w:id="257" w:name="_GoBack"/>
      <w:bookmarkEnd w:id="257"/>
      <w:r>
        <w:rPr>
          <w:rFonts w:hint="eastAsia" w:eastAsia="黑体"/>
          <w:b/>
          <w:color w:val="000000"/>
          <w:sz w:val="52"/>
          <w:highlight w:val="none"/>
          <w:lang w:val="en-US" w:eastAsia="zh-CN"/>
        </w:rPr>
        <w:t>运维材料</w:t>
      </w:r>
    </w:p>
    <w:p w14:paraId="66E48A86">
      <w:pPr>
        <w:spacing w:before="624" w:beforeLines="200"/>
        <w:jc w:val="center"/>
        <w:rPr>
          <w:rFonts w:hint="eastAsia" w:eastAsia="黑体"/>
          <w:b/>
          <w:color w:val="000000"/>
          <w:sz w:val="36"/>
          <w:highlight w:val="none"/>
        </w:rPr>
      </w:pPr>
      <w:r>
        <w:rPr>
          <w:rFonts w:hint="eastAsia" w:eastAsia="黑体"/>
          <w:b/>
          <w:color w:val="000000"/>
          <w:sz w:val="52"/>
          <w:highlight w:val="none"/>
        </w:rPr>
        <w:t>技术规范书</w:t>
      </w:r>
    </w:p>
    <w:p w14:paraId="388655C9">
      <w:pPr>
        <w:spacing w:before="624" w:beforeLines="200"/>
        <w:ind w:firstLine="1771" w:firstLineChars="490"/>
        <w:jc w:val="left"/>
        <w:rPr>
          <w:rFonts w:hint="eastAsia" w:eastAsia="黑体"/>
          <w:b/>
          <w:color w:val="000000"/>
          <w:sz w:val="36"/>
          <w:highlight w:val="none"/>
          <w:lang w:eastAsia="zh-CN"/>
        </w:rPr>
      </w:pPr>
    </w:p>
    <w:p w14:paraId="409D5293">
      <w:pPr>
        <w:pStyle w:val="32"/>
        <w:jc w:val="both"/>
        <w:rPr>
          <w:rFonts w:hint="eastAsia" w:eastAsia="黑体"/>
          <w:b/>
          <w:color w:val="000000"/>
          <w:sz w:val="36"/>
          <w:highlight w:val="none"/>
          <w:lang w:eastAsia="zh-CN"/>
        </w:rPr>
      </w:pPr>
    </w:p>
    <w:p w14:paraId="2D5DFC6B">
      <w:pPr>
        <w:rPr>
          <w:rFonts w:hint="eastAsia" w:eastAsia="黑体"/>
          <w:b/>
          <w:color w:val="000000"/>
          <w:sz w:val="36"/>
          <w:highlight w:val="none"/>
          <w:lang w:eastAsia="zh-CN"/>
        </w:rPr>
      </w:pPr>
    </w:p>
    <w:p w14:paraId="0ADB9B5C">
      <w:pPr>
        <w:spacing w:before="624" w:beforeLines="200"/>
        <w:jc w:val="left"/>
        <w:rPr>
          <w:rFonts w:hint="eastAsia" w:ascii="黑体" w:eastAsia="黑体"/>
          <w:b/>
          <w:color w:val="000000"/>
          <w:spacing w:val="20"/>
          <w:w w:val="135"/>
          <w:sz w:val="30"/>
          <w:highlight w:val="none"/>
          <w:lang w:val="en-US" w:eastAsia="zh-CN"/>
        </w:rPr>
      </w:pPr>
    </w:p>
    <w:p w14:paraId="434FB399">
      <w:pPr>
        <w:spacing w:before="624" w:beforeLines="200"/>
        <w:jc w:val="center"/>
        <w:rPr>
          <w:rFonts w:hint="eastAsia" w:ascii="黑体" w:eastAsia="黑体"/>
          <w:b/>
          <w:color w:val="000000"/>
          <w:spacing w:val="20"/>
          <w:w w:val="135"/>
          <w:sz w:val="30"/>
          <w:highlight w:val="none"/>
        </w:rPr>
      </w:pPr>
      <w:r>
        <w:rPr>
          <w:rFonts w:hint="eastAsia" w:ascii="黑体" w:eastAsia="黑体"/>
          <w:b/>
          <w:color w:val="000000"/>
          <w:spacing w:val="20"/>
          <w:w w:val="135"/>
          <w:sz w:val="30"/>
          <w:highlight w:val="none"/>
          <w:lang w:val="en-US" w:eastAsia="zh-CN"/>
        </w:rPr>
        <w:t>海南电网</w:t>
      </w:r>
      <w:r>
        <w:rPr>
          <w:rFonts w:hint="eastAsia" w:ascii="黑体" w:eastAsia="黑体"/>
          <w:b/>
          <w:color w:val="000000"/>
          <w:spacing w:val="20"/>
          <w:w w:val="135"/>
          <w:sz w:val="30"/>
          <w:highlight w:val="none"/>
        </w:rPr>
        <w:t>有限责任公司</w:t>
      </w:r>
    </w:p>
    <w:p w14:paraId="4EBEDC50">
      <w:pPr>
        <w:spacing w:before="624" w:beforeLines="200"/>
        <w:jc w:val="center"/>
        <w:rPr>
          <w:rFonts w:hint="eastAsia" w:ascii="黑体" w:eastAsia="黑体"/>
          <w:b/>
          <w:color w:val="000000"/>
          <w:spacing w:val="20"/>
          <w:w w:val="135"/>
          <w:sz w:val="30"/>
          <w:highlight w:val="none"/>
        </w:rPr>
      </w:pPr>
      <w:r>
        <w:rPr>
          <w:rFonts w:hint="eastAsia" w:ascii="黑体" w:eastAsia="黑体"/>
          <w:b/>
          <w:color w:val="000000"/>
          <w:spacing w:val="20"/>
          <w:w w:val="135"/>
          <w:sz w:val="30"/>
          <w:highlight w:val="none"/>
        </w:rPr>
        <w:t>20</w:t>
      </w:r>
      <w:r>
        <w:rPr>
          <w:rFonts w:hint="eastAsia" w:ascii="黑体" w:eastAsia="黑体"/>
          <w:b/>
          <w:color w:val="000000"/>
          <w:spacing w:val="20"/>
          <w:w w:val="135"/>
          <w:sz w:val="30"/>
          <w:highlight w:val="none"/>
          <w:lang w:val="en-US" w:eastAsia="zh-CN"/>
        </w:rPr>
        <w:t>26</w:t>
      </w:r>
      <w:r>
        <w:rPr>
          <w:rFonts w:hint="eastAsia" w:ascii="黑体" w:eastAsia="黑体"/>
          <w:b/>
          <w:color w:val="000000"/>
          <w:spacing w:val="20"/>
          <w:w w:val="135"/>
          <w:sz w:val="30"/>
          <w:highlight w:val="none"/>
        </w:rPr>
        <w:t>年</w:t>
      </w:r>
      <w:r>
        <w:rPr>
          <w:rFonts w:hint="eastAsia" w:ascii="黑体" w:eastAsia="黑体"/>
          <w:b/>
          <w:color w:val="000000"/>
          <w:spacing w:val="20"/>
          <w:w w:val="135"/>
          <w:sz w:val="30"/>
          <w:highlight w:val="none"/>
          <w:lang w:val="en-US" w:eastAsia="zh-CN"/>
        </w:rPr>
        <w:t>4</w:t>
      </w:r>
      <w:r>
        <w:rPr>
          <w:rFonts w:hint="eastAsia" w:ascii="黑体" w:eastAsia="黑体"/>
          <w:b/>
          <w:color w:val="000000"/>
          <w:spacing w:val="20"/>
          <w:w w:val="135"/>
          <w:sz w:val="30"/>
          <w:highlight w:val="none"/>
        </w:rPr>
        <w:t>月</w:t>
      </w:r>
    </w:p>
    <w:p w14:paraId="6B2DF607">
      <w:pPr>
        <w:tabs>
          <w:tab w:val="left" w:pos="5850"/>
        </w:tabs>
        <w:jc w:val="left"/>
        <w:rPr>
          <w:rFonts w:hint="eastAsia" w:ascii="宋体" w:hAnsi="宋体"/>
          <w:color w:val="000000"/>
          <w:sz w:val="24"/>
          <w:highlight w:val="none"/>
        </w:rPr>
      </w:pPr>
    </w:p>
    <w:p w14:paraId="36114442">
      <w:pPr>
        <w:pStyle w:val="120"/>
        <w:ind w:firstLine="0" w:firstLineChars="0"/>
        <w:jc w:val="both"/>
        <w:rPr>
          <w:rFonts w:hint="eastAsia" w:ascii="黑体" w:eastAsia="黑体"/>
          <w:color w:val="auto"/>
          <w:sz w:val="36"/>
          <w:highlight w:val="none"/>
        </w:rPr>
        <w:sectPr>
          <w:headerReference r:id="rId4" w:type="first"/>
          <w:footerReference r:id="rId6" w:type="first"/>
          <w:headerReference r:id="rId3" w:type="default"/>
          <w:footerReference r:id="rId5" w:type="default"/>
          <w:pgSz w:w="11906" w:h="16838"/>
          <w:pgMar w:top="1440" w:right="1616" w:bottom="1440" w:left="1575" w:header="851" w:footer="992" w:gutter="0"/>
          <w:pgNumType w:start="0"/>
          <w:cols w:space="720" w:num="1"/>
          <w:titlePg/>
          <w:docGrid w:type="lines" w:linePitch="312" w:charSpace="0"/>
        </w:sectPr>
      </w:pPr>
    </w:p>
    <w:p w14:paraId="274FBD7F">
      <w:pPr>
        <w:pStyle w:val="120"/>
        <w:ind w:left="0" w:leftChars="0" w:firstLine="0" w:firstLineChars="0"/>
        <w:jc w:val="center"/>
        <w:rPr>
          <w:rFonts w:hint="eastAsia" w:ascii="黑体" w:eastAsia="黑体"/>
          <w:color w:val="000000"/>
          <w:sz w:val="36"/>
          <w:highlight w:val="none"/>
        </w:rPr>
      </w:pPr>
      <w:r>
        <w:rPr>
          <w:rFonts w:hint="eastAsia" w:ascii="黑体" w:eastAsia="黑体"/>
          <w:color w:val="000000"/>
          <w:sz w:val="36"/>
          <w:highlight w:val="none"/>
        </w:rPr>
        <w:t>目  录</w:t>
      </w:r>
    </w:p>
    <w:p w14:paraId="67531618">
      <w:pPr>
        <w:pStyle w:val="120"/>
        <w:ind w:firstLine="0" w:firstLineChars="0"/>
        <w:rPr>
          <w:rFonts w:hint="eastAsia"/>
          <w:color w:val="000000"/>
          <w:highlight w:val="none"/>
        </w:rPr>
      </w:pPr>
    </w:p>
    <w:p w14:paraId="4D206C56">
      <w:pPr>
        <w:pStyle w:val="56"/>
        <w:rPr>
          <w:rFonts w:ascii="Calibri" w:hAnsi="Calibri"/>
          <w:b w:val="0"/>
          <w:color w:val="auto"/>
          <w:szCs w:val="22"/>
          <w:highlight w:val="none"/>
          <w:lang w:val="en-US" w:eastAsia="zh-CN"/>
        </w:rPr>
      </w:pPr>
      <w:r>
        <w:rPr>
          <w:color w:val="000000"/>
          <w:highlight w:val="none"/>
        </w:rPr>
        <w:fldChar w:fldCharType="begin"/>
      </w:r>
      <w:r>
        <w:rPr>
          <w:color w:val="000000"/>
          <w:highlight w:val="none"/>
        </w:rPr>
        <w:instrText xml:space="preserve"> TOC \o "1-3" \h \z \u </w:instrText>
      </w:r>
      <w:r>
        <w:rPr>
          <w:color w:val="000000"/>
          <w:highlight w:val="none"/>
        </w:rPr>
        <w:fldChar w:fldCharType="separate"/>
      </w: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"_Toc23190144"</w:instrText>
      </w:r>
      <w:r>
        <w:rPr>
          <w:rStyle w:val="95"/>
          <w:b/>
          <w:color w:val="auto"/>
          <w:highlight w:val="none"/>
        </w:rPr>
        <w:instrText xml:space="preserve"> </w:instrText>
      </w:r>
      <w:r>
        <w:rPr>
          <w:color w:val="auto"/>
          <w:highlight w:val="none"/>
        </w:rPr>
        <w:fldChar w:fldCharType="separate"/>
      </w:r>
      <w:r>
        <w:rPr>
          <w:rStyle w:val="95"/>
          <w:b/>
          <w:color w:val="auto"/>
          <w:highlight w:val="none"/>
        </w:rPr>
        <w:t>1</w:t>
      </w:r>
      <w:r>
        <w:rPr>
          <w:rFonts w:ascii="Calibri" w:hAnsi="Calibri"/>
          <w:b w:val="0"/>
          <w:color w:val="auto"/>
          <w:szCs w:val="22"/>
          <w:highlight w:val="none"/>
          <w:lang w:val="en-US" w:eastAsia="zh-CN"/>
        </w:rPr>
        <w:tab/>
      </w:r>
      <w:r>
        <w:rPr>
          <w:rStyle w:val="95"/>
          <w:rFonts w:hint="eastAsia"/>
          <w:b/>
          <w:color w:val="auto"/>
          <w:highlight w:val="none"/>
        </w:rPr>
        <w:t>总则</w:t>
      </w:r>
      <w:r>
        <w:rPr>
          <w:color w:val="auto"/>
          <w:highlight w:val="none"/>
        </w:rPr>
        <w:tab/>
      </w:r>
      <w:r>
        <w:rPr>
          <w:color w:val="auto"/>
          <w:highlight w:val="none"/>
        </w:rPr>
        <w:fldChar w:fldCharType="begin"/>
      </w:r>
      <w:r>
        <w:rPr>
          <w:color w:val="auto"/>
          <w:highlight w:val="none"/>
        </w:rPr>
        <w:instrText xml:space="preserve"> PAGEREF _Toc23190144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0C1C0A9A">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"_Toc23190145"</w:instrText>
      </w:r>
      <w:r>
        <w:rPr>
          <w:rStyle w:val="95"/>
          <w:b/>
          <w:color w:val="auto"/>
          <w:highlight w:val="none"/>
        </w:rPr>
        <w:instrText xml:space="preserve"> </w:instrText>
      </w:r>
      <w:r>
        <w:rPr>
          <w:color w:val="auto"/>
          <w:highlight w:val="none"/>
        </w:rPr>
        <w:fldChar w:fldCharType="separate"/>
      </w:r>
      <w:r>
        <w:rPr>
          <w:rStyle w:val="95"/>
          <w:b/>
          <w:color w:val="auto"/>
          <w:highlight w:val="none"/>
        </w:rPr>
        <w:t>2</w:t>
      </w:r>
      <w:r>
        <w:rPr>
          <w:rFonts w:ascii="Calibri" w:hAnsi="Calibri"/>
          <w:b w:val="0"/>
          <w:color w:val="auto"/>
          <w:szCs w:val="22"/>
          <w:highlight w:val="none"/>
          <w:lang w:val="en-US" w:eastAsia="zh-CN"/>
        </w:rPr>
        <w:tab/>
      </w:r>
      <w:r>
        <w:rPr>
          <w:rStyle w:val="95"/>
          <w:rFonts w:hint="eastAsia"/>
          <w:b/>
          <w:color w:val="auto"/>
          <w:highlight w:val="none"/>
        </w:rPr>
        <w:t>工作范围</w:t>
      </w:r>
      <w:r>
        <w:rPr>
          <w:color w:val="auto"/>
          <w:highlight w:val="none"/>
        </w:rPr>
        <w:tab/>
      </w:r>
      <w:r>
        <w:rPr>
          <w:color w:val="auto"/>
          <w:highlight w:val="none"/>
        </w:rPr>
        <w:fldChar w:fldCharType="begin"/>
      </w:r>
      <w:r>
        <w:rPr>
          <w:color w:val="auto"/>
          <w:highlight w:val="none"/>
        </w:rPr>
        <w:instrText xml:space="preserve"> PAGEREF _Toc23190145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19175F1E">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"_Toc23190147"</w:instrText>
      </w:r>
      <w:r>
        <w:rPr>
          <w:rStyle w:val="95"/>
          <w:color w:val="auto"/>
          <w:highlight w:val="none"/>
        </w:rPr>
        <w:instrText xml:space="preserve"> </w:instrText>
      </w:r>
      <w:r>
        <w:rPr>
          <w:color w:val="auto"/>
          <w:highlight w:val="none"/>
        </w:rPr>
        <w:fldChar w:fldCharType="separate"/>
      </w:r>
      <w:r>
        <w:rPr>
          <w:rStyle w:val="95"/>
          <w:color w:val="auto"/>
          <w:highlight w:val="none"/>
        </w:rPr>
        <w:t>2.</w:t>
      </w:r>
      <w:r>
        <w:rPr>
          <w:rStyle w:val="95"/>
          <w:rFonts w:hint="eastAsia"/>
          <w:color w:val="auto"/>
          <w:highlight w:val="none"/>
          <w:lang w:val="en-US"/>
        </w:rPr>
        <w:t>1</w:t>
      </w:r>
      <w:r>
        <w:rPr>
          <w:rStyle w:val="95"/>
          <w:color w:val="auto"/>
          <w:highlight w:val="none"/>
        </w:rPr>
        <w:t xml:space="preserve"> </w:t>
      </w:r>
      <w:r>
        <w:rPr>
          <w:rStyle w:val="95"/>
          <w:rFonts w:hint="eastAsia"/>
          <w:color w:val="auto"/>
          <w:highlight w:val="none"/>
        </w:rPr>
        <w:t>范围和界限</w:t>
      </w:r>
      <w:r>
        <w:rPr>
          <w:color w:val="auto"/>
          <w:highlight w:val="none"/>
        </w:rPr>
        <w:tab/>
      </w:r>
      <w:r>
        <w:rPr>
          <w:color w:val="auto"/>
          <w:highlight w:val="none"/>
        </w:rPr>
        <w:fldChar w:fldCharType="begin"/>
      </w:r>
      <w:r>
        <w:rPr>
          <w:color w:val="auto"/>
          <w:highlight w:val="none"/>
        </w:rPr>
        <w:instrText xml:space="preserve"> PAGEREF _Toc23190147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6AB450A0">
      <w:pPr>
        <w:pStyle w:val="70"/>
        <w:rPr>
          <w:rFonts w:ascii="Calibri" w:hAnsi="Calibri"/>
          <w:color w:val="auto"/>
          <w:szCs w:val="22"/>
          <w:highlight w:val="none"/>
          <w:lang w:val="en-US" w:eastAsia="zh-CN"/>
        </w:rPr>
      </w:pPr>
      <w:r>
        <w:rPr>
          <w:rStyle w:val="95"/>
          <w:color w:val="auto"/>
          <w:highlight w:val="none"/>
        </w:rPr>
        <w:t>2.</w:t>
      </w:r>
      <w:r>
        <w:rPr>
          <w:rStyle w:val="95"/>
          <w:rFonts w:hint="eastAsia"/>
          <w:color w:val="auto"/>
          <w:highlight w:val="none"/>
          <w:lang w:val="en-US"/>
        </w:rPr>
        <w:t>2</w:t>
      </w: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"_Toc23190148"</w:instrText>
      </w:r>
      <w:r>
        <w:rPr>
          <w:rStyle w:val="95"/>
          <w:color w:val="auto"/>
          <w:highlight w:val="none"/>
        </w:rPr>
        <w:instrText xml:space="preserve"> </w:instrText>
      </w:r>
      <w:r>
        <w:rPr>
          <w:color w:val="auto"/>
          <w:highlight w:val="none"/>
        </w:rPr>
        <w:fldChar w:fldCharType="separate"/>
      </w:r>
      <w:r>
        <w:rPr>
          <w:rStyle w:val="95"/>
          <w:color w:val="auto"/>
          <w:highlight w:val="none"/>
        </w:rPr>
        <w:t xml:space="preserve"> </w:t>
      </w:r>
      <w:r>
        <w:rPr>
          <w:rStyle w:val="95"/>
          <w:rFonts w:hint="eastAsia"/>
          <w:color w:val="auto"/>
          <w:highlight w:val="none"/>
        </w:rPr>
        <w:t>服务范围</w:t>
      </w:r>
      <w:r>
        <w:rPr>
          <w:color w:val="auto"/>
          <w:highlight w:val="none"/>
        </w:rPr>
        <w:tab/>
      </w:r>
      <w:r>
        <w:rPr>
          <w:rFonts w:hint="eastAsia"/>
          <w:color w:val="auto"/>
          <w:highlight w:val="none"/>
          <w:lang w:val="en-US" w:eastAsia="zh-CN"/>
        </w:rPr>
        <w:t>1</w:t>
      </w:r>
      <w:r>
        <w:rPr>
          <w:color w:val="auto"/>
          <w:highlight w:val="none"/>
        </w:rPr>
        <w:fldChar w:fldCharType="end"/>
      </w:r>
    </w:p>
    <w:p w14:paraId="2BF4E90D">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"_Toc23190149"</w:instrText>
      </w:r>
      <w:r>
        <w:rPr>
          <w:rStyle w:val="95"/>
          <w:b/>
          <w:color w:val="auto"/>
          <w:highlight w:val="none"/>
        </w:rPr>
        <w:instrText xml:space="preserve"> </w:instrText>
      </w:r>
      <w:r>
        <w:rPr>
          <w:color w:val="auto"/>
          <w:highlight w:val="none"/>
        </w:rPr>
        <w:fldChar w:fldCharType="separate"/>
      </w:r>
      <w:r>
        <w:rPr>
          <w:rStyle w:val="95"/>
          <w:b/>
          <w:color w:val="auto"/>
          <w:highlight w:val="none"/>
        </w:rPr>
        <w:t>3</w:t>
      </w:r>
      <w:r>
        <w:rPr>
          <w:rFonts w:ascii="Calibri" w:hAnsi="Calibri"/>
          <w:b w:val="0"/>
          <w:color w:val="auto"/>
          <w:szCs w:val="22"/>
          <w:highlight w:val="none"/>
          <w:lang w:val="en-US" w:eastAsia="zh-CN"/>
        </w:rPr>
        <w:tab/>
      </w:r>
      <w:r>
        <w:rPr>
          <w:rStyle w:val="95"/>
          <w:rFonts w:hint="eastAsia"/>
          <w:b/>
          <w:color w:val="auto"/>
          <w:highlight w:val="none"/>
        </w:rPr>
        <w:t>应遵循的主要标准</w:t>
      </w:r>
      <w:r>
        <w:rPr>
          <w:color w:val="auto"/>
          <w:highlight w:val="none"/>
        </w:rPr>
        <w:tab/>
      </w:r>
      <w:r>
        <w:rPr>
          <w:rFonts w:hint="eastAsia"/>
          <w:color w:val="auto"/>
          <w:highlight w:val="none"/>
          <w:lang w:val="en-US" w:eastAsia="zh-CN"/>
        </w:rPr>
        <w:t>2</w:t>
      </w:r>
      <w:r>
        <w:rPr>
          <w:color w:val="auto"/>
          <w:highlight w:val="none"/>
        </w:rPr>
        <w:fldChar w:fldCharType="end"/>
      </w:r>
    </w:p>
    <w:p w14:paraId="416B6EDB">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"_Toc23190150"</w:instrText>
      </w:r>
      <w:r>
        <w:rPr>
          <w:rStyle w:val="95"/>
          <w:b/>
          <w:color w:val="auto"/>
          <w:highlight w:val="none"/>
        </w:rPr>
        <w:instrText xml:space="preserve"> </w:instrText>
      </w:r>
      <w:r>
        <w:rPr>
          <w:color w:val="auto"/>
          <w:highlight w:val="none"/>
        </w:rPr>
        <w:fldChar w:fldCharType="separate"/>
      </w:r>
      <w:r>
        <w:rPr>
          <w:rStyle w:val="95"/>
          <w:b/>
          <w:color w:val="auto"/>
          <w:highlight w:val="none"/>
        </w:rPr>
        <w:t>4</w:t>
      </w:r>
      <w:r>
        <w:rPr>
          <w:rFonts w:ascii="Calibri" w:hAnsi="Calibri"/>
          <w:b w:val="0"/>
          <w:color w:val="auto"/>
          <w:szCs w:val="22"/>
          <w:highlight w:val="none"/>
          <w:lang w:val="en-US" w:eastAsia="zh-CN"/>
        </w:rPr>
        <w:tab/>
      </w:r>
      <w:r>
        <w:rPr>
          <w:rStyle w:val="95"/>
          <w:rFonts w:hint="eastAsia"/>
          <w:b/>
          <w:color w:val="auto"/>
          <w:highlight w:val="none"/>
        </w:rPr>
        <w:t>使用条件</w:t>
      </w:r>
      <w:r>
        <w:rPr>
          <w:color w:val="auto"/>
          <w:highlight w:val="none"/>
        </w:rPr>
        <w:tab/>
      </w:r>
      <w:r>
        <w:rPr>
          <w:rFonts w:hint="eastAsia"/>
          <w:color w:val="auto"/>
          <w:highlight w:val="none"/>
          <w:lang w:val="en-US" w:eastAsia="zh-CN"/>
        </w:rPr>
        <w:t>3</w:t>
      </w:r>
      <w:r>
        <w:rPr>
          <w:color w:val="auto"/>
          <w:highlight w:val="none"/>
        </w:rPr>
        <w:fldChar w:fldCharType="end"/>
      </w:r>
    </w:p>
    <w:p w14:paraId="2F879FBD">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"_Toc23190151"</w:instrText>
      </w:r>
      <w:r>
        <w:rPr>
          <w:rStyle w:val="95"/>
          <w:color w:val="auto"/>
          <w:highlight w:val="none"/>
        </w:rPr>
        <w:instrText xml:space="preserve"> </w:instrText>
      </w:r>
      <w:r>
        <w:rPr>
          <w:color w:val="auto"/>
          <w:highlight w:val="none"/>
        </w:rPr>
        <w:fldChar w:fldCharType="separate"/>
      </w:r>
      <w:r>
        <w:rPr>
          <w:rStyle w:val="95"/>
          <w:color w:val="auto"/>
          <w:highlight w:val="none"/>
        </w:rPr>
        <w:t>4.1</w:t>
      </w:r>
      <w:r>
        <w:rPr>
          <w:rStyle w:val="95"/>
          <w:rFonts w:ascii="黑体" w:eastAsia="黑体"/>
          <w:color w:val="auto"/>
          <w:highlight w:val="none"/>
        </w:rPr>
        <w:t xml:space="preserve"> </w:t>
      </w:r>
      <w:r>
        <w:rPr>
          <w:rStyle w:val="95"/>
          <w:rFonts w:hint="eastAsia" w:ascii="Times New Roman"/>
          <w:color w:val="auto"/>
          <w:highlight w:val="none"/>
        </w:rPr>
        <w:t>正常使用条件</w:t>
      </w:r>
      <w:r>
        <w:rPr>
          <w:color w:val="auto"/>
          <w:highlight w:val="none"/>
        </w:rPr>
        <w:tab/>
      </w:r>
      <w:r>
        <w:rPr>
          <w:rFonts w:hint="eastAsia"/>
          <w:color w:val="auto"/>
          <w:highlight w:val="none"/>
          <w:lang w:val="en-US" w:eastAsia="zh-CN"/>
        </w:rPr>
        <w:t>4</w:t>
      </w:r>
      <w:r>
        <w:rPr>
          <w:color w:val="auto"/>
          <w:highlight w:val="none"/>
        </w:rPr>
        <w:fldChar w:fldCharType="end"/>
      </w:r>
    </w:p>
    <w:p w14:paraId="351FA59A">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"_Toc23190152"</w:instrText>
      </w:r>
      <w:r>
        <w:rPr>
          <w:rStyle w:val="95"/>
          <w:color w:val="auto"/>
          <w:highlight w:val="none"/>
        </w:rPr>
        <w:instrText xml:space="preserve"> </w:instrText>
      </w:r>
      <w:r>
        <w:rPr>
          <w:color w:val="auto"/>
          <w:highlight w:val="none"/>
        </w:rPr>
        <w:fldChar w:fldCharType="separate"/>
      </w:r>
      <w:r>
        <w:rPr>
          <w:rStyle w:val="95"/>
          <w:color w:val="auto"/>
          <w:highlight w:val="none"/>
        </w:rPr>
        <w:t>4.2</w:t>
      </w:r>
      <w:r>
        <w:rPr>
          <w:rStyle w:val="95"/>
          <w:rFonts w:ascii="黑体" w:eastAsia="黑体"/>
          <w:color w:val="auto"/>
          <w:highlight w:val="none"/>
        </w:rPr>
        <w:t xml:space="preserve"> </w:t>
      </w:r>
      <w:r>
        <w:rPr>
          <w:rStyle w:val="95"/>
          <w:rFonts w:hint="eastAsia" w:ascii="Times New Roman"/>
          <w:color w:val="auto"/>
          <w:highlight w:val="none"/>
        </w:rPr>
        <w:t>特殊使用条件</w:t>
      </w:r>
      <w:r>
        <w:rPr>
          <w:color w:val="auto"/>
          <w:highlight w:val="none"/>
        </w:rPr>
        <w:tab/>
      </w:r>
      <w:r>
        <w:rPr>
          <w:rFonts w:hint="eastAsia"/>
          <w:color w:val="auto"/>
          <w:highlight w:val="none"/>
          <w:lang w:val="en-US" w:eastAsia="zh-CN"/>
        </w:rPr>
        <w:t>4</w:t>
      </w:r>
      <w:r>
        <w:rPr>
          <w:color w:val="auto"/>
          <w:highlight w:val="none"/>
        </w:rPr>
        <w:fldChar w:fldCharType="end"/>
      </w:r>
    </w:p>
    <w:p w14:paraId="346A7A57">
      <w:pPr>
        <w:pStyle w:val="56"/>
        <w:rPr>
          <w:rFonts w:ascii="Calibri" w:hAnsi="Calibri"/>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"_Toc23190153"</w:instrText>
      </w:r>
      <w:r>
        <w:rPr>
          <w:rStyle w:val="95"/>
          <w:b/>
          <w:color w:val="auto"/>
          <w:highlight w:val="none"/>
        </w:rPr>
        <w:instrText xml:space="preserve"> </w:instrText>
      </w:r>
      <w:r>
        <w:rPr>
          <w:color w:val="auto"/>
          <w:highlight w:val="none"/>
        </w:rPr>
        <w:fldChar w:fldCharType="separate"/>
      </w:r>
      <w:r>
        <w:rPr>
          <w:rStyle w:val="95"/>
          <w:b/>
          <w:color w:val="auto"/>
          <w:highlight w:val="none"/>
        </w:rPr>
        <w:t>5</w:t>
      </w:r>
      <w:r>
        <w:rPr>
          <w:rFonts w:ascii="Calibri" w:hAnsi="Calibri"/>
          <w:b w:val="0"/>
          <w:color w:val="auto"/>
          <w:szCs w:val="22"/>
          <w:highlight w:val="none"/>
          <w:lang w:val="en-US" w:eastAsia="zh-CN"/>
        </w:rPr>
        <w:tab/>
      </w:r>
      <w:r>
        <w:rPr>
          <w:rStyle w:val="95"/>
          <w:rFonts w:hint="eastAsia"/>
          <w:b/>
          <w:color w:val="auto"/>
          <w:highlight w:val="none"/>
        </w:rPr>
        <w:t>技术要求</w:t>
      </w:r>
      <w:r>
        <w:rPr>
          <w:color w:val="auto"/>
          <w:highlight w:val="none"/>
        </w:rPr>
        <w:tab/>
      </w:r>
      <w:r>
        <w:rPr>
          <w:rFonts w:hint="eastAsia"/>
          <w:color w:val="auto"/>
          <w:highlight w:val="none"/>
          <w:lang w:val="en-US" w:eastAsia="zh-CN"/>
        </w:rPr>
        <w:t>5</w:t>
      </w:r>
      <w:r>
        <w:rPr>
          <w:color w:val="auto"/>
          <w:highlight w:val="none"/>
        </w:rPr>
        <w:fldChar w:fldCharType="end"/>
      </w:r>
    </w:p>
    <w:p w14:paraId="74E51AD7">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"_Toc23190154"</w:instrText>
      </w:r>
      <w:r>
        <w:rPr>
          <w:rStyle w:val="95"/>
          <w:color w:val="auto"/>
          <w:highlight w:val="none"/>
        </w:rPr>
        <w:instrText xml:space="preserve"> </w:instrText>
      </w:r>
      <w:r>
        <w:rPr>
          <w:color w:val="auto"/>
          <w:highlight w:val="none"/>
        </w:rPr>
        <w:fldChar w:fldCharType="separate"/>
      </w:r>
      <w:r>
        <w:rPr>
          <w:rStyle w:val="95"/>
          <w:color w:val="auto"/>
          <w:highlight w:val="none"/>
        </w:rPr>
        <w:t>5.1</w:t>
      </w:r>
      <w:r>
        <w:rPr>
          <w:rStyle w:val="95"/>
          <w:rFonts w:ascii="Times New Roman"/>
          <w:color w:val="auto"/>
          <w:highlight w:val="none"/>
        </w:rPr>
        <w:t xml:space="preserve"> </w:t>
      </w:r>
      <w:r>
        <w:rPr>
          <w:rStyle w:val="95"/>
          <w:rFonts w:hint="eastAsia"/>
          <w:color w:val="auto"/>
          <w:highlight w:val="none"/>
          <w:lang w:val="en-US"/>
        </w:rPr>
        <w:t>断路器类配件</w:t>
      </w:r>
      <w:r>
        <w:rPr>
          <w:color w:val="auto"/>
          <w:highlight w:val="none"/>
        </w:rPr>
        <w:tab/>
      </w:r>
      <w:r>
        <w:rPr>
          <w:rFonts w:hint="eastAsia"/>
          <w:color w:val="auto"/>
          <w:highlight w:val="none"/>
          <w:lang w:val="en-US" w:eastAsia="zh-CN"/>
        </w:rPr>
        <w:t>5</w:t>
      </w:r>
      <w:r>
        <w:rPr>
          <w:color w:val="auto"/>
          <w:highlight w:val="none"/>
        </w:rPr>
        <w:fldChar w:fldCharType="end"/>
      </w:r>
    </w:p>
    <w:p w14:paraId="44445DEA">
      <w:pPr>
        <w:pStyle w:val="70"/>
        <w:rPr>
          <w:color w:val="auto"/>
          <w:highlight w:val="none"/>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"_Toc23190155"</w:instrText>
      </w:r>
      <w:r>
        <w:rPr>
          <w:rStyle w:val="95"/>
          <w:color w:val="auto"/>
          <w:highlight w:val="none"/>
        </w:rPr>
        <w:instrText xml:space="preserve"> </w:instrText>
      </w:r>
      <w:r>
        <w:rPr>
          <w:color w:val="auto"/>
          <w:highlight w:val="none"/>
        </w:rPr>
        <w:fldChar w:fldCharType="separate"/>
      </w:r>
      <w:r>
        <w:rPr>
          <w:rStyle w:val="95"/>
          <w:color w:val="auto"/>
          <w:highlight w:val="none"/>
        </w:rPr>
        <w:t xml:space="preserve">5.2 </w:t>
      </w:r>
      <w:r>
        <w:rPr>
          <w:rStyle w:val="95"/>
          <w:rFonts w:hint="eastAsia"/>
          <w:color w:val="auto"/>
          <w:highlight w:val="none"/>
          <w:lang w:val="en-US"/>
        </w:rPr>
        <w:t>隔离开关类配件</w:t>
      </w:r>
      <w:r>
        <w:rPr>
          <w:color w:val="auto"/>
          <w:highlight w:val="none"/>
        </w:rPr>
        <w:tab/>
      </w:r>
      <w:r>
        <w:rPr>
          <w:rFonts w:hint="eastAsia"/>
          <w:color w:val="auto"/>
          <w:highlight w:val="none"/>
          <w:lang w:val="en-US" w:eastAsia="zh-CN"/>
        </w:rPr>
        <w:t>6</w:t>
      </w:r>
      <w:r>
        <w:rPr>
          <w:color w:val="auto"/>
          <w:highlight w:val="none"/>
        </w:rPr>
        <w:fldChar w:fldCharType="end"/>
      </w:r>
    </w:p>
    <w:p w14:paraId="0E7C3561">
      <w:pPr>
        <w:pStyle w:val="70"/>
        <w:rPr>
          <w:rFonts w:ascii="Calibri" w:hAnsi="Calibri"/>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"_Toc23190155"</w:instrText>
      </w:r>
      <w:r>
        <w:rPr>
          <w:rStyle w:val="95"/>
          <w:color w:val="auto"/>
          <w:highlight w:val="none"/>
        </w:rPr>
        <w:instrText xml:space="preserve"> </w:instrText>
      </w:r>
      <w:r>
        <w:rPr>
          <w:color w:val="auto"/>
          <w:highlight w:val="none"/>
        </w:rPr>
        <w:fldChar w:fldCharType="separate"/>
      </w:r>
      <w:r>
        <w:rPr>
          <w:rStyle w:val="95"/>
          <w:color w:val="auto"/>
          <w:highlight w:val="none"/>
        </w:rPr>
        <w:t>5.</w:t>
      </w:r>
      <w:r>
        <w:rPr>
          <w:rStyle w:val="95"/>
          <w:rFonts w:hint="eastAsia"/>
          <w:color w:val="auto"/>
          <w:highlight w:val="none"/>
          <w:lang w:val="en-US"/>
        </w:rPr>
        <w:t>3</w:t>
      </w:r>
      <w:r>
        <w:rPr>
          <w:rStyle w:val="95"/>
          <w:color w:val="auto"/>
          <w:highlight w:val="none"/>
        </w:rPr>
        <w:t xml:space="preserve"> </w:t>
      </w:r>
      <w:r>
        <w:rPr>
          <w:rStyle w:val="95"/>
          <w:rFonts w:hint="eastAsia"/>
          <w:color w:val="auto"/>
          <w:highlight w:val="none"/>
          <w:lang w:val="en-US"/>
        </w:rPr>
        <w:t>变压器类配件</w:t>
      </w:r>
      <w:r>
        <w:rPr>
          <w:color w:val="auto"/>
          <w:highlight w:val="none"/>
        </w:rPr>
        <w:tab/>
      </w:r>
      <w:r>
        <w:rPr>
          <w:rFonts w:hint="eastAsia"/>
          <w:color w:val="auto"/>
          <w:highlight w:val="none"/>
          <w:lang w:val="en-US" w:eastAsia="zh-CN"/>
        </w:rPr>
        <w:t>8</w:t>
      </w:r>
      <w:r>
        <w:rPr>
          <w:color w:val="auto"/>
          <w:highlight w:val="none"/>
        </w:rPr>
        <w:fldChar w:fldCharType="end"/>
      </w:r>
    </w:p>
    <w:p w14:paraId="5EC8BE84">
      <w:pPr>
        <w:pStyle w:val="70"/>
        <w:rPr>
          <w:rFonts w:hint="eastAsia" w:ascii="Calibri" w:hAnsi="Calibri" w:eastAsia="宋体"/>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"_Toc23190155"</w:instrText>
      </w:r>
      <w:r>
        <w:rPr>
          <w:rStyle w:val="95"/>
          <w:color w:val="auto"/>
          <w:highlight w:val="none"/>
        </w:rPr>
        <w:instrText xml:space="preserve"> </w:instrText>
      </w:r>
      <w:r>
        <w:rPr>
          <w:color w:val="auto"/>
          <w:highlight w:val="none"/>
        </w:rPr>
        <w:fldChar w:fldCharType="separate"/>
      </w:r>
      <w:r>
        <w:rPr>
          <w:rStyle w:val="95"/>
          <w:color w:val="auto"/>
          <w:highlight w:val="none"/>
        </w:rPr>
        <w:t>5.</w:t>
      </w:r>
      <w:r>
        <w:rPr>
          <w:rStyle w:val="95"/>
          <w:rFonts w:hint="eastAsia"/>
          <w:color w:val="auto"/>
          <w:highlight w:val="none"/>
          <w:lang w:val="en-US"/>
        </w:rPr>
        <w:t>4</w:t>
      </w:r>
      <w:r>
        <w:rPr>
          <w:rStyle w:val="95"/>
          <w:color w:val="auto"/>
          <w:highlight w:val="none"/>
        </w:rPr>
        <w:t xml:space="preserve"> </w:t>
      </w:r>
      <w:r>
        <w:rPr>
          <w:rStyle w:val="95"/>
          <w:rFonts w:hint="eastAsia"/>
          <w:color w:val="auto"/>
          <w:highlight w:val="none"/>
          <w:lang w:val="en-US"/>
        </w:rPr>
        <w:t>其他类配件</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1</w:t>
      </w:r>
    </w:p>
    <w:p w14:paraId="14EA9614">
      <w:pPr>
        <w:pStyle w:val="70"/>
        <w:rPr>
          <w:rFonts w:hint="eastAsia" w:eastAsia="宋体"/>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"_Toc23190155"</w:instrText>
      </w:r>
      <w:r>
        <w:rPr>
          <w:rStyle w:val="95"/>
          <w:color w:val="auto"/>
          <w:highlight w:val="none"/>
        </w:rPr>
        <w:instrText xml:space="preserve"> </w:instrText>
      </w:r>
      <w:r>
        <w:rPr>
          <w:color w:val="auto"/>
          <w:highlight w:val="none"/>
        </w:rPr>
        <w:fldChar w:fldCharType="separate"/>
      </w:r>
      <w:r>
        <w:rPr>
          <w:rStyle w:val="95"/>
          <w:color w:val="auto"/>
          <w:highlight w:val="none"/>
        </w:rPr>
        <w:t>5.</w:t>
      </w:r>
      <w:r>
        <w:rPr>
          <w:rStyle w:val="95"/>
          <w:rFonts w:hint="eastAsia"/>
          <w:color w:val="auto"/>
          <w:highlight w:val="none"/>
          <w:lang w:val="en-US"/>
        </w:rPr>
        <w:t>5</w:t>
      </w:r>
      <w:r>
        <w:rPr>
          <w:rStyle w:val="95"/>
          <w:color w:val="auto"/>
          <w:highlight w:val="none"/>
        </w:rPr>
        <w:t xml:space="preserve"> </w:t>
      </w:r>
      <w:r>
        <w:rPr>
          <w:rStyle w:val="95"/>
          <w:rFonts w:hint="eastAsia"/>
          <w:color w:val="auto"/>
          <w:highlight w:val="none"/>
          <w:lang w:val="en-US"/>
        </w:rPr>
        <w:t>四小器类配件</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3</w:t>
      </w:r>
    </w:p>
    <w:p w14:paraId="33CA7625">
      <w:pPr>
        <w:pStyle w:val="56"/>
        <w:rPr>
          <w:rFonts w:hint="eastAsia" w:ascii="Calibri" w:hAnsi="Calibri" w:eastAsia="宋体"/>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"_Toc23190156"</w:instrText>
      </w:r>
      <w:r>
        <w:rPr>
          <w:rStyle w:val="95"/>
          <w:b/>
          <w:color w:val="auto"/>
          <w:highlight w:val="none"/>
        </w:rPr>
        <w:instrText xml:space="preserve"> </w:instrText>
      </w:r>
      <w:r>
        <w:rPr>
          <w:color w:val="auto"/>
          <w:highlight w:val="none"/>
        </w:rPr>
        <w:fldChar w:fldCharType="separate"/>
      </w:r>
      <w:r>
        <w:rPr>
          <w:rStyle w:val="95"/>
          <w:b/>
          <w:color w:val="auto"/>
          <w:highlight w:val="none"/>
        </w:rPr>
        <w:t>6</w:t>
      </w:r>
      <w:r>
        <w:rPr>
          <w:rFonts w:ascii="Calibri" w:hAnsi="Calibri"/>
          <w:b w:val="0"/>
          <w:color w:val="auto"/>
          <w:szCs w:val="22"/>
          <w:highlight w:val="none"/>
          <w:lang w:val="en-US" w:eastAsia="zh-CN"/>
        </w:rPr>
        <w:tab/>
      </w:r>
      <w:r>
        <w:rPr>
          <w:rStyle w:val="95"/>
          <w:rFonts w:hint="eastAsia"/>
          <w:b/>
          <w:color w:val="auto"/>
          <w:highlight w:val="none"/>
        </w:rPr>
        <w:t>试验</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3</w:t>
      </w:r>
    </w:p>
    <w:p w14:paraId="4AE88C11">
      <w:pPr>
        <w:pStyle w:val="70"/>
        <w:rPr>
          <w:rFonts w:hint="eastAsia" w:ascii="Calibri" w:hAnsi="Calibri" w:eastAsia="宋体"/>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"_Toc23190157"</w:instrText>
      </w:r>
      <w:r>
        <w:rPr>
          <w:rStyle w:val="95"/>
          <w:color w:val="auto"/>
          <w:highlight w:val="none"/>
        </w:rPr>
        <w:instrText xml:space="preserve"> </w:instrText>
      </w:r>
      <w:r>
        <w:rPr>
          <w:color w:val="auto"/>
          <w:highlight w:val="none"/>
        </w:rPr>
        <w:fldChar w:fldCharType="separate"/>
      </w:r>
      <w:r>
        <w:rPr>
          <w:rStyle w:val="95"/>
          <w:color w:val="auto"/>
          <w:highlight w:val="none"/>
        </w:rPr>
        <w:t>6.1</w:t>
      </w:r>
      <w:r>
        <w:rPr>
          <w:rStyle w:val="95"/>
          <w:rFonts w:ascii="Times New Roman"/>
          <w:color w:val="auto"/>
          <w:highlight w:val="none"/>
        </w:rPr>
        <w:t xml:space="preserve"> </w:t>
      </w:r>
      <w:r>
        <w:rPr>
          <w:rStyle w:val="95"/>
          <w:rFonts w:hint="eastAsia" w:ascii="Times New Roman"/>
          <w:color w:val="auto"/>
          <w:highlight w:val="none"/>
        </w:rPr>
        <w:t>型式试验</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3</w:t>
      </w:r>
    </w:p>
    <w:p w14:paraId="14F6467C">
      <w:pPr>
        <w:pStyle w:val="70"/>
        <w:rPr>
          <w:rFonts w:hint="eastAsia" w:ascii="Calibri" w:hAnsi="Calibri" w:eastAsia="宋体"/>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"_Toc23190158"</w:instrText>
      </w:r>
      <w:r>
        <w:rPr>
          <w:rStyle w:val="95"/>
          <w:color w:val="auto"/>
          <w:highlight w:val="none"/>
        </w:rPr>
        <w:instrText xml:space="preserve"> </w:instrText>
      </w:r>
      <w:r>
        <w:rPr>
          <w:color w:val="auto"/>
          <w:highlight w:val="none"/>
        </w:rPr>
        <w:fldChar w:fldCharType="separate"/>
      </w:r>
      <w:r>
        <w:rPr>
          <w:rStyle w:val="95"/>
          <w:color w:val="auto"/>
          <w:highlight w:val="none"/>
        </w:rPr>
        <w:t>6.2</w:t>
      </w:r>
      <w:r>
        <w:rPr>
          <w:rStyle w:val="95"/>
          <w:rFonts w:ascii="Times New Roman"/>
          <w:color w:val="auto"/>
          <w:highlight w:val="none"/>
        </w:rPr>
        <w:t xml:space="preserve"> </w:t>
      </w:r>
      <w:r>
        <w:rPr>
          <w:rStyle w:val="95"/>
          <w:rFonts w:hint="eastAsia" w:ascii="Times New Roman"/>
          <w:color w:val="auto"/>
          <w:highlight w:val="none"/>
        </w:rPr>
        <w:t>出厂试验</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4</w:t>
      </w:r>
    </w:p>
    <w:p w14:paraId="78712B8A">
      <w:pPr>
        <w:pStyle w:val="56"/>
        <w:rPr>
          <w:rFonts w:hint="eastAsia" w:ascii="Calibri" w:hAnsi="Calibri" w:eastAsia="宋体"/>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"_Toc23190160"</w:instrText>
      </w:r>
      <w:r>
        <w:rPr>
          <w:rStyle w:val="95"/>
          <w:b/>
          <w:color w:val="auto"/>
          <w:highlight w:val="none"/>
        </w:rPr>
        <w:instrText xml:space="preserve"> </w:instrText>
      </w:r>
      <w:r>
        <w:rPr>
          <w:color w:val="auto"/>
          <w:highlight w:val="none"/>
        </w:rPr>
        <w:fldChar w:fldCharType="separate"/>
      </w:r>
      <w:r>
        <w:rPr>
          <w:rStyle w:val="95"/>
          <w:rFonts w:hint="eastAsia"/>
          <w:b/>
          <w:color w:val="auto"/>
          <w:highlight w:val="none"/>
          <w:lang w:val="en-US"/>
        </w:rPr>
        <w:t>7</w:t>
      </w:r>
      <w:r>
        <w:rPr>
          <w:rFonts w:ascii="Calibri" w:hAnsi="Calibri"/>
          <w:b w:val="0"/>
          <w:color w:val="auto"/>
          <w:szCs w:val="22"/>
          <w:highlight w:val="none"/>
          <w:lang w:val="en-US" w:eastAsia="zh-CN"/>
        </w:rPr>
        <w:tab/>
      </w:r>
      <w:r>
        <w:rPr>
          <w:rStyle w:val="95"/>
          <w:rFonts w:hint="eastAsia"/>
          <w:b/>
          <w:color w:val="auto"/>
          <w:highlight w:val="none"/>
          <w:lang w:val="en-US" w:eastAsia="zh-CN"/>
        </w:rPr>
        <w:t>技术文件要求</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4</w:t>
      </w:r>
    </w:p>
    <w:p w14:paraId="1A2CD35D">
      <w:pPr>
        <w:pStyle w:val="56"/>
        <w:rPr>
          <w:rFonts w:hint="eastAsia" w:ascii="Calibri" w:hAnsi="Calibri" w:eastAsia="宋体"/>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"_Toc23190166"</w:instrText>
      </w:r>
      <w:r>
        <w:rPr>
          <w:rStyle w:val="95"/>
          <w:b/>
          <w:color w:val="auto"/>
          <w:highlight w:val="none"/>
        </w:rPr>
        <w:instrText xml:space="preserve"> </w:instrText>
      </w:r>
      <w:r>
        <w:rPr>
          <w:color w:val="auto"/>
          <w:highlight w:val="none"/>
        </w:rPr>
        <w:fldChar w:fldCharType="separate"/>
      </w:r>
      <w:r>
        <w:rPr>
          <w:rStyle w:val="95"/>
          <w:rFonts w:hint="eastAsia"/>
          <w:b/>
          <w:color w:val="auto"/>
          <w:highlight w:val="none"/>
          <w:lang w:val="en-US"/>
        </w:rPr>
        <w:t>8</w:t>
      </w:r>
      <w:r>
        <w:rPr>
          <w:rFonts w:ascii="Calibri" w:hAnsi="Calibri"/>
          <w:b w:val="0"/>
          <w:color w:val="auto"/>
          <w:szCs w:val="22"/>
          <w:highlight w:val="none"/>
          <w:lang w:val="en-US" w:eastAsia="zh-CN"/>
        </w:rPr>
        <w:tab/>
      </w:r>
      <w:r>
        <w:rPr>
          <w:rStyle w:val="95"/>
          <w:rFonts w:hint="eastAsia"/>
          <w:b/>
          <w:color w:val="auto"/>
          <w:highlight w:val="none"/>
        </w:rPr>
        <w:t>包装、运输及质量保证</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5</w:t>
      </w:r>
    </w:p>
    <w:p w14:paraId="773D35CF">
      <w:pPr>
        <w:pStyle w:val="70"/>
        <w:rPr>
          <w:rFonts w:hint="eastAsia" w:ascii="Calibri" w:hAnsi="Calibri" w:eastAsia="宋体"/>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"_Toc23190168"</w:instrText>
      </w:r>
      <w:r>
        <w:rPr>
          <w:rStyle w:val="95"/>
          <w:color w:val="auto"/>
          <w:highlight w:val="none"/>
        </w:rPr>
        <w:instrText xml:space="preserve"> </w:instrText>
      </w:r>
      <w:r>
        <w:rPr>
          <w:color w:val="auto"/>
          <w:highlight w:val="none"/>
        </w:rPr>
        <w:fldChar w:fldCharType="separate"/>
      </w:r>
      <w:r>
        <w:rPr>
          <w:rStyle w:val="95"/>
          <w:rFonts w:hint="eastAsia"/>
          <w:color w:val="auto"/>
          <w:highlight w:val="none"/>
          <w:lang w:val="en-US"/>
        </w:rPr>
        <w:t>8.1</w:t>
      </w:r>
      <w:r>
        <w:rPr>
          <w:rStyle w:val="95"/>
          <w:rFonts w:ascii="Times New Roman"/>
          <w:color w:val="auto"/>
          <w:highlight w:val="none"/>
        </w:rPr>
        <w:t xml:space="preserve"> </w:t>
      </w:r>
      <w:r>
        <w:rPr>
          <w:rStyle w:val="95"/>
          <w:rFonts w:hint="eastAsia" w:ascii="Times New Roman"/>
          <w:color w:val="auto"/>
          <w:highlight w:val="none"/>
        </w:rPr>
        <w:t>包装</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5</w:t>
      </w:r>
    </w:p>
    <w:p w14:paraId="293225CF">
      <w:pPr>
        <w:pStyle w:val="70"/>
        <w:rPr>
          <w:rFonts w:hint="eastAsia" w:ascii="Calibri" w:hAnsi="Calibri" w:eastAsia="宋体"/>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"_Toc23190169"</w:instrText>
      </w:r>
      <w:r>
        <w:rPr>
          <w:rStyle w:val="95"/>
          <w:color w:val="auto"/>
          <w:highlight w:val="none"/>
        </w:rPr>
        <w:instrText xml:space="preserve"> </w:instrText>
      </w:r>
      <w:r>
        <w:rPr>
          <w:color w:val="auto"/>
          <w:highlight w:val="none"/>
        </w:rPr>
        <w:fldChar w:fldCharType="separate"/>
      </w:r>
      <w:r>
        <w:rPr>
          <w:rStyle w:val="95"/>
          <w:rFonts w:hint="eastAsia"/>
          <w:color w:val="auto"/>
          <w:highlight w:val="none"/>
          <w:lang w:val="en-US"/>
        </w:rPr>
        <w:t>8.2</w:t>
      </w:r>
      <w:r>
        <w:rPr>
          <w:rStyle w:val="95"/>
          <w:rFonts w:ascii="Times New Roman"/>
          <w:color w:val="auto"/>
          <w:highlight w:val="none"/>
        </w:rPr>
        <w:t xml:space="preserve"> </w:t>
      </w:r>
      <w:r>
        <w:rPr>
          <w:rStyle w:val="95"/>
          <w:rFonts w:hint="eastAsia" w:ascii="Times New Roman"/>
          <w:color w:val="auto"/>
          <w:highlight w:val="none"/>
        </w:rPr>
        <w:t>运输</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5</w:t>
      </w:r>
    </w:p>
    <w:p w14:paraId="51850A5F">
      <w:pPr>
        <w:pStyle w:val="70"/>
        <w:rPr>
          <w:rFonts w:hint="eastAsia" w:ascii="Calibri" w:hAnsi="Calibri" w:eastAsia="宋体"/>
          <w:color w:val="auto"/>
          <w:szCs w:val="22"/>
          <w:highlight w:val="none"/>
          <w:lang w:val="en-US" w:eastAsia="zh-CN"/>
        </w:rPr>
      </w:pPr>
      <w:r>
        <w:rPr>
          <w:color w:val="auto"/>
          <w:highlight w:val="none"/>
        </w:rPr>
        <w:fldChar w:fldCharType="begin"/>
      </w:r>
      <w:r>
        <w:rPr>
          <w:rStyle w:val="95"/>
          <w:color w:val="auto"/>
          <w:highlight w:val="none"/>
        </w:rPr>
        <w:instrText xml:space="preserve"> </w:instrText>
      </w:r>
      <w:r>
        <w:rPr>
          <w:color w:val="auto"/>
          <w:highlight w:val="none"/>
        </w:rPr>
        <w:instrText xml:space="preserve">HYPERLINK \l "_Toc23190171"</w:instrText>
      </w:r>
      <w:r>
        <w:rPr>
          <w:rStyle w:val="95"/>
          <w:color w:val="auto"/>
          <w:highlight w:val="none"/>
        </w:rPr>
        <w:instrText xml:space="preserve"> </w:instrText>
      </w:r>
      <w:r>
        <w:rPr>
          <w:color w:val="auto"/>
          <w:highlight w:val="none"/>
        </w:rPr>
        <w:fldChar w:fldCharType="separate"/>
      </w:r>
      <w:r>
        <w:rPr>
          <w:rStyle w:val="95"/>
          <w:rFonts w:hint="eastAsia"/>
          <w:color w:val="auto"/>
          <w:highlight w:val="none"/>
          <w:lang w:val="en-US"/>
        </w:rPr>
        <w:t>8.3</w:t>
      </w:r>
      <w:r>
        <w:rPr>
          <w:rStyle w:val="95"/>
          <w:rFonts w:ascii="Times New Roman"/>
          <w:color w:val="auto"/>
          <w:highlight w:val="none"/>
        </w:rPr>
        <w:t xml:space="preserve"> </w:t>
      </w:r>
      <w:r>
        <w:rPr>
          <w:rStyle w:val="95"/>
          <w:rFonts w:hint="eastAsia" w:ascii="Times New Roman"/>
          <w:color w:val="auto"/>
          <w:highlight w:val="none"/>
        </w:rPr>
        <w:t>质量保证</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5</w:t>
      </w:r>
    </w:p>
    <w:p w14:paraId="26FAC058">
      <w:pPr>
        <w:pStyle w:val="56"/>
        <w:rPr>
          <w:rFonts w:hint="eastAsia" w:eastAsia="宋体"/>
          <w:color w:val="auto"/>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"_Toc23190172"</w:instrText>
      </w:r>
      <w:r>
        <w:rPr>
          <w:rStyle w:val="95"/>
          <w:b/>
          <w:color w:val="auto"/>
          <w:highlight w:val="none"/>
        </w:rPr>
        <w:instrText xml:space="preserve"> </w:instrText>
      </w:r>
      <w:r>
        <w:rPr>
          <w:color w:val="auto"/>
          <w:highlight w:val="none"/>
        </w:rPr>
        <w:fldChar w:fldCharType="separate"/>
      </w:r>
      <w:r>
        <w:rPr>
          <w:rStyle w:val="95"/>
          <w:rFonts w:hint="eastAsia"/>
          <w:b/>
          <w:color w:val="auto"/>
          <w:highlight w:val="none"/>
          <w:lang w:val="en-US"/>
        </w:rPr>
        <w:t>9</w:t>
      </w:r>
      <w:r>
        <w:rPr>
          <w:rFonts w:ascii="Calibri" w:hAnsi="Calibri"/>
          <w:b w:val="0"/>
          <w:color w:val="auto"/>
          <w:szCs w:val="22"/>
          <w:highlight w:val="none"/>
          <w:lang w:val="en-US" w:eastAsia="zh-CN"/>
        </w:rPr>
        <w:tab/>
      </w:r>
      <w:r>
        <w:rPr>
          <w:rStyle w:val="95"/>
          <w:rFonts w:hint="eastAsia"/>
          <w:b/>
          <w:color w:val="auto"/>
          <w:highlight w:val="none"/>
          <w:lang w:val="en-US" w:eastAsia="zh-CN"/>
        </w:rPr>
        <w:t>技术差异表</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5</w:t>
      </w:r>
    </w:p>
    <w:p w14:paraId="38BDD8DC">
      <w:pPr>
        <w:pStyle w:val="56"/>
        <w:rPr>
          <w:rFonts w:hint="eastAsia" w:ascii="Calibri" w:hAnsi="Calibri" w:eastAsia="宋体"/>
          <w:b w:val="0"/>
          <w:color w:val="auto"/>
          <w:szCs w:val="22"/>
          <w:highlight w:val="none"/>
          <w:lang w:val="en-US" w:eastAsia="zh-CN"/>
        </w:rPr>
      </w:pPr>
      <w:r>
        <w:rPr>
          <w:color w:val="auto"/>
          <w:highlight w:val="none"/>
        </w:rPr>
        <w:fldChar w:fldCharType="begin"/>
      </w:r>
      <w:r>
        <w:rPr>
          <w:rStyle w:val="95"/>
          <w:b/>
          <w:color w:val="auto"/>
          <w:highlight w:val="none"/>
        </w:rPr>
        <w:instrText xml:space="preserve"> </w:instrText>
      </w:r>
      <w:r>
        <w:rPr>
          <w:color w:val="auto"/>
          <w:highlight w:val="none"/>
        </w:rPr>
        <w:instrText xml:space="preserve">HYPERLINK \l "_Toc23190160"</w:instrText>
      </w:r>
      <w:r>
        <w:rPr>
          <w:rStyle w:val="95"/>
          <w:b/>
          <w:color w:val="auto"/>
          <w:highlight w:val="none"/>
        </w:rPr>
        <w:instrText xml:space="preserve"> </w:instrText>
      </w:r>
      <w:r>
        <w:rPr>
          <w:color w:val="auto"/>
          <w:highlight w:val="none"/>
        </w:rPr>
        <w:fldChar w:fldCharType="separate"/>
      </w:r>
      <w:r>
        <w:rPr>
          <w:rStyle w:val="95"/>
          <w:rFonts w:hint="eastAsia"/>
          <w:b/>
          <w:color w:val="auto"/>
          <w:highlight w:val="none"/>
          <w:lang w:val="en-US"/>
        </w:rPr>
        <w:t>10</w:t>
      </w:r>
      <w:r>
        <w:rPr>
          <w:rFonts w:ascii="Calibri" w:hAnsi="Calibri"/>
          <w:b w:val="0"/>
          <w:color w:val="auto"/>
          <w:szCs w:val="22"/>
          <w:highlight w:val="none"/>
          <w:lang w:val="en-US" w:eastAsia="zh-CN"/>
        </w:rPr>
        <w:tab/>
      </w:r>
      <w:r>
        <w:rPr>
          <w:rStyle w:val="95"/>
          <w:rFonts w:hint="eastAsia" w:ascii="宋体" w:hAnsi="宋体" w:eastAsia="宋体" w:cs="Times New Roman"/>
          <w:b/>
          <w:color w:val="auto"/>
          <w:highlight w:val="none"/>
          <w:lang w:val="en-US" w:eastAsia="zh-CN"/>
        </w:rPr>
        <w:t>投标方需说明的其它问题</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6</w:t>
      </w:r>
    </w:p>
    <w:p w14:paraId="429ED0DC">
      <w:pPr>
        <w:rPr>
          <w:lang w:val="en-US" w:eastAsia="zh-CN"/>
        </w:rPr>
      </w:pPr>
    </w:p>
    <w:p w14:paraId="6172F96C">
      <w:pPr>
        <w:rPr>
          <w:color w:val="000000"/>
          <w:highlight w:val="none"/>
        </w:rPr>
      </w:pPr>
      <w:r>
        <w:rPr>
          <w:color w:val="000000"/>
          <w:highlight w:val="none"/>
          <w:lang w:val="zh-CN"/>
        </w:rPr>
        <w:fldChar w:fldCharType="end"/>
      </w:r>
      <w:bookmarkStart w:id="0" w:name="_Toc241911990"/>
    </w:p>
    <w:p w14:paraId="40DA031A">
      <w:pPr>
        <w:rPr>
          <w:color w:val="auto"/>
          <w:highlight w:val="none"/>
        </w:rPr>
      </w:pPr>
    </w:p>
    <w:p w14:paraId="5186F934">
      <w:pPr>
        <w:pStyle w:val="101"/>
        <w:sectPr>
          <w:pgSz w:w="11906" w:h="16838"/>
          <w:pgMar w:top="1440" w:right="1616" w:bottom="1440" w:left="1575" w:header="851" w:footer="992" w:gutter="0"/>
          <w:pgNumType w:start="0"/>
          <w:cols w:space="720" w:num="1"/>
          <w:titlePg/>
          <w:docGrid w:type="lines" w:linePitch="312" w:charSpace="0"/>
        </w:sectPr>
      </w:pPr>
    </w:p>
    <w:p w14:paraId="6E843954">
      <w:pPr>
        <w:pStyle w:val="2"/>
        <w:numPr>
          <w:ilvl w:val="0"/>
          <w:numId w:val="19"/>
        </w:numPr>
        <w:ind w:left="0" w:firstLine="0"/>
        <w:rPr>
          <w:rFonts w:hint="eastAsia"/>
          <w:b/>
          <w:color w:val="000000"/>
          <w:highlight w:val="none"/>
        </w:rPr>
      </w:pPr>
      <w:bookmarkStart w:id="1" w:name="_Toc386154251"/>
      <w:bookmarkStart w:id="2" w:name="_Toc23190144"/>
      <w:bookmarkStart w:id="3" w:name="_Toc18267"/>
      <w:bookmarkStart w:id="4" w:name="_Toc386042755"/>
      <w:bookmarkStart w:id="5" w:name="_Toc386042637"/>
      <w:bookmarkStart w:id="6" w:name="_Toc386156369"/>
      <w:bookmarkStart w:id="7" w:name="_Toc291951551"/>
      <w:r>
        <w:rPr>
          <w:rFonts w:hint="eastAsia"/>
          <w:b/>
          <w:color w:val="000000"/>
          <w:highlight w:val="none"/>
        </w:rPr>
        <w:t>总则</w:t>
      </w:r>
      <w:bookmarkEnd w:id="1"/>
      <w:bookmarkEnd w:id="2"/>
      <w:bookmarkEnd w:id="3"/>
      <w:bookmarkEnd w:id="4"/>
      <w:bookmarkEnd w:id="5"/>
      <w:bookmarkEnd w:id="6"/>
      <w:bookmarkEnd w:id="7"/>
    </w:p>
    <w:p w14:paraId="2DB7A112">
      <w:pPr>
        <w:snapToGrid w:val="0"/>
        <w:spacing w:line="360" w:lineRule="auto"/>
        <w:rPr>
          <w:rFonts w:hint="eastAsia" w:ascii="宋体" w:hAnsi="宋体"/>
          <w:color w:val="000000"/>
          <w:highlight w:val="none"/>
        </w:rPr>
      </w:pPr>
      <w:r>
        <w:rPr>
          <w:rFonts w:hint="eastAsia" w:ascii="宋体" w:hAnsi="宋体"/>
          <w:color w:val="000000"/>
          <w:highlight w:val="none"/>
        </w:rPr>
        <w:t>1.1  本技术规范书适用于中国南方电网有限责任公司电网建设工程项目采购的变电站生产运维材料，它提出了该设备本体及附属设备的功能设计、结构、性能、安装和试验等方面的技术要求。</w:t>
      </w:r>
    </w:p>
    <w:p w14:paraId="510A1369">
      <w:pPr>
        <w:snapToGrid w:val="0"/>
        <w:spacing w:line="360" w:lineRule="auto"/>
        <w:rPr>
          <w:rFonts w:hint="eastAsia" w:ascii="宋体" w:hAnsi="宋体"/>
          <w:color w:val="000000"/>
          <w:highlight w:val="none"/>
        </w:rPr>
      </w:pPr>
      <w:r>
        <w:rPr>
          <w:rFonts w:hint="eastAsia" w:ascii="宋体" w:hAnsi="宋体"/>
          <w:color w:val="000000"/>
          <w:highlight w:val="none"/>
        </w:rPr>
        <w:t>1.2  本设备技术规范书提出的是最低限度的技术要求。凡本技术规范书中未规定，但在相关设备的行业标准、国家标准或IEC标准中有规定的规范条文，投标方应按相应标准的最高技术要求执行。对国家有关安全、环保等强制性标准，必须满足其要求(如压力容器、高电压设备等)。</w:t>
      </w:r>
    </w:p>
    <w:p w14:paraId="260ACB4E">
      <w:pPr>
        <w:snapToGrid w:val="0"/>
        <w:spacing w:line="360" w:lineRule="auto"/>
        <w:rPr>
          <w:rFonts w:hint="eastAsia" w:ascii="宋体" w:hAnsi="宋体"/>
          <w:color w:val="000000"/>
          <w:highlight w:val="none"/>
        </w:rPr>
      </w:pPr>
      <w:r>
        <w:rPr>
          <w:rFonts w:hint="eastAsia" w:ascii="宋体" w:hAnsi="宋体"/>
          <w:color w:val="000000"/>
          <w:highlight w:val="none"/>
        </w:rPr>
        <w:t>1.3  如果投标方没有以书面形式对本技术规范书的条文提出异议，则意味着投标方提供的设备完全符合本技术规范书的要求。如有异议，不管是多么微小，都应在投标文件中以“投标单位技术差异表”为标题的专门章节中加以详细描述。</w:t>
      </w:r>
    </w:p>
    <w:p w14:paraId="6CC0A75D">
      <w:pPr>
        <w:snapToGrid w:val="0"/>
        <w:spacing w:line="360" w:lineRule="auto"/>
        <w:rPr>
          <w:rFonts w:hint="eastAsia" w:ascii="宋体" w:hAnsi="宋体"/>
          <w:color w:val="000000"/>
          <w:highlight w:val="none"/>
        </w:rPr>
      </w:pPr>
      <w:r>
        <w:rPr>
          <w:rFonts w:hint="eastAsia" w:ascii="宋体" w:hAnsi="宋体"/>
          <w:color w:val="000000"/>
          <w:highlight w:val="none"/>
        </w:rPr>
        <w:t>1.4  本技术规范书所使用的标准如遇与投标方所执行的标准不一致时，按技术要求较高的标准执行。</w:t>
      </w:r>
    </w:p>
    <w:p w14:paraId="39C4B34F">
      <w:pPr>
        <w:snapToGrid w:val="0"/>
        <w:spacing w:line="360" w:lineRule="auto"/>
        <w:rPr>
          <w:rFonts w:hint="eastAsia" w:ascii="宋体" w:hAnsi="宋体"/>
          <w:color w:val="000000"/>
          <w:highlight w:val="none"/>
        </w:rPr>
      </w:pPr>
      <w:r>
        <w:rPr>
          <w:rFonts w:hint="eastAsia" w:ascii="宋体" w:hAnsi="宋体"/>
          <w:color w:val="000000"/>
          <w:highlight w:val="none"/>
        </w:rPr>
        <w:t>1.5  本技术规范书经招标、投标双方确认后作为订货合同的技术附件，与合同正文具有同等的法律效力。</w:t>
      </w:r>
    </w:p>
    <w:p w14:paraId="428F3A6A">
      <w:pPr>
        <w:snapToGrid w:val="0"/>
        <w:spacing w:line="360" w:lineRule="auto"/>
        <w:rPr>
          <w:rFonts w:hint="eastAsia" w:ascii="宋体" w:hAnsi="宋体"/>
          <w:color w:val="000000"/>
          <w:highlight w:val="none"/>
        </w:rPr>
      </w:pPr>
      <w:r>
        <w:rPr>
          <w:rFonts w:hint="eastAsia" w:ascii="宋体" w:hAnsi="宋体"/>
          <w:color w:val="000000"/>
          <w:highlight w:val="none"/>
        </w:rPr>
        <w:t>1.6  本技术规范书未尽事宜，由招标、投标双方协商确定。</w:t>
      </w:r>
    </w:p>
    <w:p w14:paraId="6FF7ECC5">
      <w:pPr>
        <w:snapToGrid w:val="0"/>
        <w:spacing w:line="360" w:lineRule="auto"/>
        <w:rPr>
          <w:rFonts w:hint="eastAsia" w:ascii="宋体" w:hAnsi="宋体"/>
          <w:color w:val="000000"/>
          <w:highlight w:val="none"/>
        </w:rPr>
      </w:pPr>
      <w:r>
        <w:rPr>
          <w:rFonts w:hint="eastAsia" w:ascii="宋体" w:hAnsi="宋体"/>
          <w:color w:val="000000"/>
          <w:highlight w:val="none"/>
        </w:rPr>
        <w:t>1.7  投标方在投标技术文件中应如实反映投标产品与本技术规范书的技术差异。如果投标方没有提出技术差异，而在执行合同的过程中，招标方发现投标方提供的产品与其投标技术文件的条文存在差异，招标方有权利要求退货，并追究投标人违约责任。</w:t>
      </w:r>
    </w:p>
    <w:p w14:paraId="101F7119">
      <w:pPr>
        <w:snapToGrid w:val="0"/>
        <w:spacing w:line="360" w:lineRule="auto"/>
        <w:rPr>
          <w:rFonts w:hint="eastAsia" w:ascii="宋体" w:hAnsi="宋体"/>
          <w:color w:val="000000"/>
          <w:highlight w:val="none"/>
        </w:rPr>
      </w:pPr>
      <w:r>
        <w:rPr>
          <w:rFonts w:hint="eastAsia" w:ascii="宋体" w:hAnsi="宋体"/>
          <w:color w:val="000000"/>
          <w:highlight w:val="none"/>
        </w:rPr>
        <w:t>1.8  投标方应在投标技术部分按本技术规范书的要求如实详细的填写专用部分投标方填写部分，并在投标商务部分按此标准配置进行报价，如发现二者有矛盾之处，将按有利于招标人条款执行。</w:t>
      </w:r>
    </w:p>
    <w:p w14:paraId="09467D41">
      <w:pPr>
        <w:snapToGrid w:val="0"/>
        <w:spacing w:line="360" w:lineRule="auto"/>
        <w:rPr>
          <w:rFonts w:hint="eastAsia" w:ascii="宋体" w:hAnsi="宋体"/>
          <w:b/>
          <w:color w:val="000000"/>
          <w:highlight w:val="none"/>
        </w:rPr>
      </w:pPr>
      <w:r>
        <w:rPr>
          <w:rFonts w:hint="eastAsia" w:ascii="宋体" w:hAnsi="宋体"/>
          <w:color w:val="000000"/>
          <w:highlight w:val="none"/>
        </w:rPr>
        <w:t>1.9  投标方应充分理解本技术规范书并按本技术规范书的具体条款、格式要求填写投标的技术文件，如发现投标的技术文件条款、格式不符合本技术规范书的要求，则认为投标不严肃，在评标时将有不同程度的扣分。</w:t>
      </w:r>
    </w:p>
    <w:bookmarkEnd w:id="0"/>
    <w:p w14:paraId="0DCA9516">
      <w:pPr>
        <w:pStyle w:val="2"/>
        <w:numPr>
          <w:ilvl w:val="0"/>
          <w:numId w:val="19"/>
        </w:numPr>
        <w:ind w:left="0" w:firstLine="0"/>
        <w:rPr>
          <w:rFonts w:hint="eastAsia"/>
          <w:b/>
          <w:color w:val="000000"/>
          <w:highlight w:val="none"/>
        </w:rPr>
      </w:pPr>
      <w:bookmarkStart w:id="8" w:name="_Toc386042756"/>
      <w:bookmarkStart w:id="9" w:name="_Toc279695347"/>
      <w:bookmarkStart w:id="10" w:name="_Toc276490890"/>
      <w:bookmarkStart w:id="11" w:name="_Toc386154252"/>
      <w:bookmarkStart w:id="12" w:name="_Toc291951552"/>
      <w:bookmarkStart w:id="13" w:name="_Toc112756677"/>
      <w:bookmarkStart w:id="14" w:name="_Toc23190145"/>
      <w:bookmarkStart w:id="15" w:name="_Toc276492358"/>
      <w:bookmarkStart w:id="16" w:name="_Toc271281204"/>
      <w:bookmarkStart w:id="17" w:name="_Toc386156370"/>
      <w:bookmarkStart w:id="18" w:name="_Toc4888"/>
      <w:bookmarkStart w:id="19" w:name="_Toc386042638"/>
      <w:bookmarkStart w:id="20" w:name="_Toc246216316"/>
      <w:bookmarkStart w:id="21" w:name="_Toc155114607"/>
      <w:bookmarkStart w:id="22" w:name="_Toc241911995"/>
      <w:r>
        <w:rPr>
          <w:rFonts w:hint="eastAsia"/>
          <w:b/>
          <w:color w:val="000000"/>
          <w:highlight w:val="none"/>
        </w:rPr>
        <w:t>工作范围</w:t>
      </w:r>
      <w:bookmarkEnd w:id="8"/>
      <w:bookmarkEnd w:id="9"/>
      <w:bookmarkEnd w:id="10"/>
      <w:bookmarkEnd w:id="11"/>
      <w:bookmarkEnd w:id="12"/>
      <w:bookmarkEnd w:id="13"/>
      <w:bookmarkEnd w:id="14"/>
      <w:bookmarkEnd w:id="15"/>
      <w:bookmarkEnd w:id="16"/>
      <w:bookmarkEnd w:id="17"/>
      <w:bookmarkEnd w:id="18"/>
      <w:bookmarkEnd w:id="19"/>
      <w:bookmarkEnd w:id="20"/>
    </w:p>
    <w:p w14:paraId="6B3D08D0">
      <w:pPr>
        <w:outlineLvl w:val="1"/>
        <w:rPr>
          <w:rFonts w:hint="eastAsia" w:ascii="黑体" w:hAnsi="黑体" w:eastAsia="黑体" w:cs="黑体"/>
          <w:color w:val="000000"/>
          <w:highlight w:val="none"/>
        </w:rPr>
      </w:pPr>
      <w:bookmarkStart w:id="23" w:name="_Toc386156372"/>
      <w:bookmarkStart w:id="24" w:name="_Toc23659"/>
      <w:bookmarkStart w:id="25" w:name="_Toc386042758"/>
      <w:bookmarkStart w:id="26" w:name="_Toc386042640"/>
      <w:bookmarkStart w:id="27" w:name="_Toc386154254"/>
      <w:bookmarkStart w:id="28" w:name="_Toc291951554"/>
      <w:bookmarkStart w:id="29" w:name="_Toc23190147"/>
      <w:r>
        <w:rPr>
          <w:rFonts w:hint="eastAsia" w:ascii="黑体" w:hAnsi="黑体" w:eastAsia="黑体" w:cs="黑体"/>
          <w:color w:val="000000"/>
          <w:highlight w:val="none"/>
        </w:rPr>
        <w:t>2.</w:t>
      </w:r>
      <w:r>
        <w:rPr>
          <w:rFonts w:hint="eastAsia" w:ascii="黑体" w:hAnsi="黑体" w:eastAsia="黑体" w:cs="黑体"/>
          <w:color w:val="000000"/>
          <w:highlight w:val="none"/>
          <w:lang w:val="en-US" w:eastAsia="zh-CN"/>
        </w:rPr>
        <w:t>1</w:t>
      </w:r>
      <w:r>
        <w:rPr>
          <w:rFonts w:hint="eastAsia" w:ascii="黑体" w:hAnsi="黑体" w:eastAsia="黑体" w:cs="黑体"/>
          <w:color w:val="000000"/>
          <w:highlight w:val="none"/>
        </w:rPr>
        <w:t xml:space="preserve">  范围和界限</w:t>
      </w:r>
      <w:bookmarkEnd w:id="23"/>
      <w:bookmarkEnd w:id="24"/>
      <w:bookmarkEnd w:id="25"/>
      <w:bookmarkEnd w:id="26"/>
      <w:bookmarkEnd w:id="27"/>
      <w:bookmarkEnd w:id="28"/>
      <w:bookmarkEnd w:id="29"/>
    </w:p>
    <w:p w14:paraId="64D80BB5">
      <w:pPr>
        <w:snapToGrid w:val="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w:t>
      </w:r>
      <w:r>
        <w:rPr>
          <w:rFonts w:hint="eastAsia" w:ascii="宋体" w:hAnsi="宋体" w:eastAsia="宋体" w:cs="Times New Roman"/>
          <w:color w:val="000000"/>
          <w:highlight w:val="none"/>
          <w:lang w:val="en-US" w:eastAsia="zh-CN"/>
        </w:rPr>
        <w:t>1</w:t>
      </w:r>
      <w:r>
        <w:rPr>
          <w:rFonts w:hint="eastAsia" w:ascii="宋体" w:hAnsi="宋体" w:eastAsia="宋体" w:cs="Times New Roman"/>
          <w:color w:val="000000"/>
          <w:highlight w:val="none"/>
        </w:rPr>
        <w:t>)本技术规范书适用于所供</w:t>
      </w:r>
      <w:r>
        <w:rPr>
          <w:rFonts w:hint="eastAsia" w:ascii="宋体" w:hAnsi="宋体" w:eastAsia="宋体" w:cs="Times New Roman"/>
          <w:color w:val="000000"/>
          <w:highlight w:val="none"/>
          <w:lang w:val="en-US" w:eastAsia="zh-CN"/>
        </w:rPr>
        <w:t>变电站生产运维材料</w:t>
      </w:r>
      <w:r>
        <w:rPr>
          <w:rFonts w:hint="eastAsia" w:ascii="宋体" w:hAnsi="宋体" w:eastAsia="宋体" w:cs="Times New Roman"/>
          <w:color w:val="000000"/>
          <w:highlight w:val="none"/>
        </w:rPr>
        <w:t>的设计、制造、装配、工厂试验、交付、现场安装和试验的指导、监督以及试运行工作。</w:t>
      </w:r>
    </w:p>
    <w:p w14:paraId="688D385F">
      <w:pPr>
        <w:snapToGrid w:val="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(2)现场安装和试验在投标方的技术指导和监督下由招标方完成。</w:t>
      </w:r>
    </w:p>
    <w:p w14:paraId="2D847915">
      <w:pPr>
        <w:snapToGrid w:val="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w:t>
      </w:r>
      <w:r>
        <w:rPr>
          <w:rFonts w:hint="eastAsia" w:ascii="宋体" w:hAnsi="宋体" w:eastAsia="宋体" w:cs="Times New Roman"/>
          <w:color w:val="000000"/>
          <w:highlight w:val="none"/>
          <w:lang w:val="en-US" w:eastAsia="zh-CN"/>
        </w:rPr>
        <w:t>3</w:t>
      </w:r>
      <w:r>
        <w:rPr>
          <w:rFonts w:hint="eastAsia" w:ascii="宋体" w:hAnsi="宋体" w:eastAsia="宋体" w:cs="Times New Roman"/>
          <w:color w:val="000000"/>
          <w:highlight w:val="none"/>
        </w:rPr>
        <w:t>)本技术规范书未说明, 但又与设计、制造、装配、试验、运输、包装、保管、安装和运行维护有关的技术要求,按条款3所规定的有关标准执行。</w:t>
      </w:r>
    </w:p>
    <w:p w14:paraId="6D74907E">
      <w:pPr>
        <w:outlineLvl w:val="1"/>
        <w:rPr>
          <w:rFonts w:hint="eastAsia" w:ascii="黑体" w:hAnsi="黑体" w:eastAsia="黑体" w:cs="黑体"/>
          <w:color w:val="000000"/>
          <w:highlight w:val="none"/>
        </w:rPr>
      </w:pPr>
      <w:bookmarkStart w:id="30" w:name="_Toc291951555"/>
      <w:bookmarkStart w:id="31" w:name="_Toc386156373"/>
      <w:bookmarkStart w:id="32" w:name="_Toc386154255"/>
      <w:bookmarkStart w:id="33" w:name="_Toc386042759"/>
      <w:bookmarkStart w:id="34" w:name="_Toc23190148"/>
      <w:bookmarkStart w:id="35" w:name="_Toc386042641"/>
      <w:bookmarkStart w:id="36" w:name="_Toc25547"/>
      <w:r>
        <w:rPr>
          <w:rFonts w:hint="eastAsia" w:ascii="黑体" w:hAnsi="黑体" w:eastAsia="黑体" w:cs="黑体"/>
          <w:color w:val="000000"/>
          <w:highlight w:val="none"/>
        </w:rPr>
        <w:t>2.</w:t>
      </w:r>
      <w:r>
        <w:rPr>
          <w:rFonts w:hint="eastAsia" w:ascii="黑体" w:hAnsi="黑体" w:eastAsia="黑体" w:cs="黑体"/>
          <w:color w:val="000000"/>
          <w:highlight w:val="none"/>
          <w:lang w:val="en-US" w:eastAsia="zh-CN"/>
        </w:rPr>
        <w:t>2</w:t>
      </w:r>
      <w:r>
        <w:rPr>
          <w:rFonts w:hint="eastAsia" w:ascii="黑体" w:hAnsi="黑体" w:eastAsia="黑体" w:cs="黑体"/>
          <w:color w:val="000000"/>
          <w:highlight w:val="none"/>
        </w:rPr>
        <w:t xml:space="preserve">  服务范围</w:t>
      </w:r>
      <w:bookmarkEnd w:id="30"/>
      <w:bookmarkEnd w:id="31"/>
      <w:bookmarkEnd w:id="32"/>
      <w:bookmarkEnd w:id="33"/>
      <w:bookmarkEnd w:id="34"/>
      <w:bookmarkEnd w:id="35"/>
      <w:bookmarkEnd w:id="36"/>
    </w:p>
    <w:p w14:paraId="5CBCAA4C">
      <w:pPr>
        <w:snapToGrid w:val="0"/>
        <w:spacing w:line="360" w:lineRule="auto"/>
        <w:rPr>
          <w:rFonts w:hint="eastAsia" w:ascii="宋体" w:hAnsi="宋体" w:eastAsia="宋体" w:cs="Times New Roman"/>
          <w:color w:val="000000"/>
          <w:highlight w:val="none"/>
        </w:rPr>
      </w:pPr>
      <w:r>
        <w:rPr>
          <w:rFonts w:ascii="宋体" w:hAnsi="宋体"/>
          <w:color w:val="000000"/>
          <w:highlight w:val="none"/>
        </w:rPr>
        <w:t>(1)</w:t>
      </w:r>
      <w:r>
        <w:rPr>
          <w:rFonts w:hint="eastAsia" w:ascii="宋体" w:hAnsi="宋体" w:eastAsia="宋体" w:cs="Times New Roman"/>
          <w:color w:val="000000"/>
          <w:highlight w:val="none"/>
        </w:rPr>
        <w:t>投标方应按本技术规范书的要求提供全新的、合格的</w:t>
      </w:r>
      <w:r>
        <w:rPr>
          <w:rFonts w:hint="eastAsia" w:ascii="宋体" w:hAnsi="宋体" w:eastAsia="宋体" w:cs="Times New Roman"/>
          <w:color w:val="000000"/>
          <w:highlight w:val="none"/>
          <w:lang w:val="en-US" w:eastAsia="zh-CN"/>
        </w:rPr>
        <w:t>变电站生产运维材料及附属</w:t>
      </w:r>
      <w:r>
        <w:rPr>
          <w:rFonts w:hint="eastAsia" w:ascii="宋体" w:hAnsi="宋体" w:eastAsia="宋体" w:cs="Times New Roman"/>
          <w:color w:val="000000"/>
          <w:highlight w:val="none"/>
          <w:lang w:val="en-US" w:eastAsia="zh-CN"/>
        </w:rPr>
        <w:tab/>
      </w:r>
      <w:r>
        <w:rPr>
          <w:rFonts w:hint="eastAsia" w:ascii="宋体" w:hAnsi="宋体" w:eastAsia="宋体" w:cs="Times New Roman"/>
          <w:color w:val="000000"/>
          <w:highlight w:val="none"/>
        </w:rPr>
        <w:t>设备、备品备件、专用工具和仪器。</w:t>
      </w:r>
    </w:p>
    <w:p w14:paraId="61DA94E9">
      <w:pPr>
        <w:snapToGrid w:val="0"/>
        <w:spacing w:line="360" w:lineRule="auto"/>
        <w:ind w:firstLine="420" w:firstLineChars="200"/>
        <w:rPr>
          <w:rFonts w:hint="eastAsia" w:ascii="宋体" w:hAnsi="宋体" w:eastAsia="宋体" w:cs="Times New Roman"/>
          <w:color w:val="000000"/>
          <w:highlight w:val="none"/>
        </w:rPr>
      </w:pPr>
      <w:r>
        <w:rPr>
          <w:rFonts w:hint="eastAsia" w:ascii="宋体" w:hAnsi="宋体" w:eastAsia="宋体" w:cs="Times New Roman"/>
          <w:color w:val="000000"/>
          <w:highlight w:val="none"/>
        </w:rPr>
        <w:t>投标方所提供的组件或附件如需向第三方外购时，投标方应对质量向招标方负责,并提供相应出厂和验收报告。</w:t>
      </w:r>
    </w:p>
    <w:p w14:paraId="1BD8C1E5">
      <w:pPr>
        <w:pStyle w:val="43"/>
        <w:spacing w:line="360" w:lineRule="auto"/>
        <w:rPr>
          <w:rFonts w:hint="eastAsia"/>
          <w:color w:val="000000"/>
          <w:highlight w:val="none"/>
        </w:rPr>
      </w:pPr>
      <w:r>
        <w:rPr>
          <w:rFonts w:ascii="宋体" w:hAnsi="宋体"/>
          <w:color w:val="000000"/>
          <w:highlight w:val="none"/>
        </w:rPr>
        <w:t>(</w:t>
      </w:r>
      <w:r>
        <w:rPr>
          <w:rFonts w:hint="eastAsia" w:hAnsi="宋体"/>
          <w:color w:val="000000"/>
          <w:highlight w:val="none"/>
          <w:lang w:val="en-US" w:eastAsia="zh-CN"/>
        </w:rPr>
        <w:t>2</w:t>
      </w:r>
      <w:r>
        <w:rPr>
          <w:rFonts w:ascii="宋体" w:hAnsi="宋体"/>
          <w:color w:val="000000"/>
          <w:highlight w:val="none"/>
        </w:rPr>
        <w:t xml:space="preserve">) </w:t>
      </w:r>
      <w:r>
        <w:rPr>
          <w:rFonts w:hint="eastAsia" w:hAnsi="宋体"/>
          <w:color w:val="000000"/>
          <w:highlight w:val="none"/>
        </w:rPr>
        <w:t>供货范围</w:t>
      </w:r>
      <w:bookmarkStart w:id="37" w:name="_Toc282433715"/>
      <w:bookmarkStart w:id="38" w:name="_Toc283142589"/>
      <w:bookmarkStart w:id="39" w:name="_Toc283011667"/>
      <w:r>
        <w:rPr>
          <w:rFonts w:hint="eastAsia"/>
          <w:color w:val="000000"/>
          <w:highlight w:val="none"/>
        </w:rPr>
        <w:t>一览表</w:t>
      </w:r>
      <w:bookmarkEnd w:id="37"/>
      <w:bookmarkEnd w:id="38"/>
      <w:bookmarkEnd w:id="39"/>
    </w:p>
    <w:p w14:paraId="71CC66C1">
      <w:pPr>
        <w:pStyle w:val="43"/>
        <w:spacing w:line="360" w:lineRule="auto"/>
        <w:ind w:firstLine="420" w:firstLineChars="200"/>
        <w:rPr>
          <w:rFonts w:hint="eastAsia" w:hAnsi="宋体"/>
          <w:color w:val="000000"/>
          <w:highlight w:val="none"/>
        </w:rPr>
      </w:pPr>
      <w:r>
        <w:rPr>
          <w:rFonts w:hint="eastAsia" w:hAnsi="宋体"/>
          <w:color w:val="000000"/>
          <w:highlight w:val="none"/>
        </w:rPr>
        <w:t>供货范围及设备技术规格一览表详见</w:t>
      </w:r>
      <w:r>
        <w:rPr>
          <w:rFonts w:hint="eastAsia" w:hAnsi="宋体"/>
          <w:color w:val="000000"/>
          <w:highlight w:val="none"/>
          <w:lang w:val="en-US" w:eastAsia="zh-CN"/>
        </w:rPr>
        <w:t>附表</w:t>
      </w:r>
      <w:r>
        <w:rPr>
          <w:rFonts w:hint="eastAsia" w:hAnsi="宋体"/>
          <w:color w:val="000000"/>
          <w:highlight w:val="none"/>
        </w:rPr>
        <w:t>。供货范围包括：</w:t>
      </w:r>
    </w:p>
    <w:p w14:paraId="4962CB2D">
      <w:pPr>
        <w:pStyle w:val="43"/>
        <w:numPr>
          <w:numId w:val="0"/>
        </w:numPr>
        <w:adjustRightInd w:val="0"/>
        <w:snapToGrid w:val="0"/>
        <w:spacing w:line="360" w:lineRule="auto"/>
        <w:ind w:left="420" w:leftChars="0"/>
        <w:rPr>
          <w:rFonts w:ascii="Times New Roman" w:hAnsi="Times New Roman"/>
          <w:color w:val="000000"/>
          <w:highlight w:val="none"/>
        </w:rPr>
      </w:pPr>
      <w:r>
        <w:rPr>
          <w:rFonts w:hint="eastAsia" w:ascii="Times New Roman" w:hAnsi="Times New Roman"/>
          <w:color w:val="000000"/>
          <w:highlight w:val="none"/>
          <w:lang w:val="en-US" w:eastAsia="zh-CN"/>
        </w:rPr>
        <w:t>a.</w:t>
      </w:r>
      <w:r>
        <w:rPr>
          <w:rFonts w:hint="eastAsia" w:ascii="Times New Roman" w:hAnsi="Times New Roman"/>
          <w:color w:val="000000"/>
          <w:highlight w:val="none"/>
        </w:rPr>
        <w:t>断路器类配件</w:t>
      </w:r>
      <w:r>
        <w:rPr>
          <w:rFonts w:ascii="Times New Roman" w:hAnsi="Times New Roman"/>
          <w:color w:val="000000"/>
          <w:highlight w:val="none"/>
        </w:rPr>
        <w:t>；</w:t>
      </w:r>
    </w:p>
    <w:p w14:paraId="1B605816">
      <w:pPr>
        <w:pStyle w:val="43"/>
        <w:numPr>
          <w:numId w:val="0"/>
        </w:numPr>
        <w:adjustRightInd w:val="0"/>
        <w:snapToGrid w:val="0"/>
        <w:spacing w:line="360" w:lineRule="auto"/>
        <w:ind w:left="420" w:leftChars="0"/>
        <w:rPr>
          <w:rFonts w:ascii="Times New Roman" w:hAnsi="Times New Roman"/>
          <w:color w:val="000000"/>
          <w:highlight w:val="none"/>
        </w:rPr>
      </w:pPr>
      <w:r>
        <w:rPr>
          <w:rFonts w:hint="eastAsia" w:ascii="Times New Roman" w:hAnsi="Times New Roman"/>
          <w:color w:val="000000"/>
          <w:highlight w:val="none"/>
          <w:lang w:val="en-US" w:eastAsia="zh-CN"/>
        </w:rPr>
        <w:t>b.</w:t>
      </w:r>
      <w:r>
        <w:rPr>
          <w:rFonts w:hint="eastAsia" w:ascii="Times New Roman" w:hAnsi="Times New Roman"/>
          <w:color w:val="000000"/>
          <w:highlight w:val="none"/>
        </w:rPr>
        <w:t>隔离开关类配件</w:t>
      </w:r>
      <w:r>
        <w:rPr>
          <w:rFonts w:ascii="Times New Roman" w:hAnsi="Times New Roman"/>
          <w:color w:val="000000"/>
          <w:highlight w:val="none"/>
        </w:rPr>
        <w:t>；</w:t>
      </w:r>
    </w:p>
    <w:p w14:paraId="1AAEA0DD">
      <w:pPr>
        <w:pStyle w:val="43"/>
        <w:numPr>
          <w:numId w:val="0"/>
        </w:numPr>
        <w:adjustRightInd w:val="0"/>
        <w:snapToGrid w:val="0"/>
        <w:spacing w:line="360" w:lineRule="auto"/>
        <w:ind w:left="420" w:leftChars="0"/>
        <w:rPr>
          <w:rFonts w:ascii="Times New Roman" w:hAnsi="Times New Roman"/>
          <w:color w:val="000000"/>
          <w:highlight w:val="none"/>
        </w:rPr>
      </w:pPr>
      <w:r>
        <w:rPr>
          <w:rFonts w:hint="eastAsia" w:ascii="Times New Roman" w:hAnsi="Times New Roman"/>
          <w:color w:val="000000"/>
          <w:highlight w:val="none"/>
          <w:lang w:val="en-US" w:eastAsia="zh-CN"/>
        </w:rPr>
        <w:t>c.</w:t>
      </w:r>
      <w:r>
        <w:rPr>
          <w:rFonts w:hint="eastAsia" w:ascii="Times New Roman" w:hAnsi="Times New Roman"/>
          <w:color w:val="000000"/>
          <w:highlight w:val="none"/>
        </w:rPr>
        <w:t>变压器类配件</w:t>
      </w:r>
      <w:r>
        <w:rPr>
          <w:rFonts w:ascii="Times New Roman" w:hAnsi="Times New Roman"/>
          <w:color w:val="000000"/>
          <w:highlight w:val="none"/>
        </w:rPr>
        <w:t>；</w:t>
      </w:r>
    </w:p>
    <w:p w14:paraId="04259780">
      <w:pPr>
        <w:pStyle w:val="43"/>
        <w:numPr>
          <w:numId w:val="0"/>
        </w:numPr>
        <w:adjustRightInd w:val="0"/>
        <w:snapToGrid w:val="0"/>
        <w:spacing w:line="360" w:lineRule="auto"/>
        <w:ind w:left="420" w:leftChars="0"/>
        <w:rPr>
          <w:rFonts w:ascii="Times New Roman" w:hAnsi="Times New Roman"/>
          <w:color w:val="000000"/>
          <w:highlight w:val="none"/>
        </w:rPr>
      </w:pPr>
      <w:r>
        <w:rPr>
          <w:rFonts w:hint="eastAsia" w:ascii="Times New Roman" w:hAnsi="Times New Roman"/>
          <w:color w:val="000000"/>
          <w:highlight w:val="none"/>
          <w:lang w:val="en-US" w:eastAsia="zh-CN"/>
        </w:rPr>
        <w:t>d.</w:t>
      </w:r>
      <w:r>
        <w:rPr>
          <w:rFonts w:hint="eastAsia" w:ascii="Times New Roman" w:hAnsi="Times New Roman"/>
          <w:color w:val="000000"/>
          <w:highlight w:val="none"/>
        </w:rPr>
        <w:t>其他类配件</w:t>
      </w:r>
      <w:r>
        <w:rPr>
          <w:rFonts w:ascii="Times New Roman" w:hAnsi="Times New Roman"/>
          <w:color w:val="000000"/>
          <w:highlight w:val="none"/>
        </w:rPr>
        <w:t>；</w:t>
      </w:r>
    </w:p>
    <w:p w14:paraId="282D8752">
      <w:pPr>
        <w:pStyle w:val="43"/>
        <w:numPr>
          <w:numId w:val="0"/>
        </w:numPr>
        <w:adjustRightInd w:val="0"/>
        <w:snapToGrid w:val="0"/>
        <w:spacing w:line="360" w:lineRule="auto"/>
        <w:ind w:left="420" w:leftChars="0"/>
        <w:rPr>
          <w:rFonts w:hint="eastAsia" w:hAnsi="宋体"/>
          <w:color w:val="000000"/>
          <w:highlight w:val="none"/>
        </w:rPr>
      </w:pPr>
      <w:r>
        <w:rPr>
          <w:rFonts w:hint="eastAsia" w:ascii="Times New Roman" w:hAnsi="Times New Roman"/>
          <w:color w:val="000000"/>
          <w:highlight w:val="none"/>
          <w:lang w:val="en-US" w:eastAsia="zh-CN"/>
        </w:rPr>
        <w:t>e.</w:t>
      </w:r>
      <w:r>
        <w:rPr>
          <w:rFonts w:hint="eastAsia" w:ascii="Times New Roman" w:hAnsi="Times New Roman"/>
          <w:color w:val="000000"/>
          <w:highlight w:val="none"/>
        </w:rPr>
        <w:t>四小器类配件</w:t>
      </w:r>
      <w:r>
        <w:rPr>
          <w:rFonts w:hint="eastAsia" w:ascii="Times New Roman" w:hAnsi="Times New Roman"/>
          <w:color w:val="000000"/>
          <w:highlight w:val="none"/>
          <w:lang w:eastAsia="zh-CN"/>
        </w:rPr>
        <w:t>。</w:t>
      </w:r>
    </w:p>
    <w:p w14:paraId="3CDDDF38">
      <w:pPr>
        <w:pStyle w:val="133"/>
        <w:spacing w:line="360" w:lineRule="auto"/>
        <w:outlineLvl w:val="9"/>
        <w:rPr>
          <w:rFonts w:hint="eastAsia" w:ascii="宋体" w:hAnsi="宋体" w:eastAsia="宋体"/>
          <w:b w:val="0"/>
          <w:color w:val="000000"/>
          <w:highlight w:val="none"/>
        </w:rPr>
      </w:pPr>
      <w:r>
        <w:rPr>
          <w:rFonts w:hint="eastAsia" w:ascii="宋体" w:hAnsi="宋体" w:eastAsia="宋体"/>
          <w:b w:val="0"/>
          <w:color w:val="000000"/>
          <w:highlight w:val="none"/>
        </w:rPr>
        <w:t>(</w:t>
      </w:r>
      <w:r>
        <w:rPr>
          <w:rFonts w:hint="eastAsia" w:ascii="宋体" w:hAnsi="宋体" w:eastAsia="宋体"/>
          <w:b w:val="0"/>
          <w:color w:val="000000"/>
          <w:highlight w:val="none"/>
          <w:lang w:val="en-US" w:eastAsia="zh-CN"/>
        </w:rPr>
        <w:t>3</w:t>
      </w:r>
      <w:r>
        <w:rPr>
          <w:rFonts w:hint="eastAsia" w:ascii="宋体" w:hAnsi="宋体" w:eastAsia="宋体"/>
          <w:b w:val="0"/>
          <w:color w:val="000000"/>
          <w:highlight w:val="none"/>
        </w:rPr>
        <w:t>) 投标方应协助招标方解决设备运行中出现的问题。</w:t>
      </w:r>
    </w:p>
    <w:bookmarkEnd w:id="21"/>
    <w:bookmarkEnd w:id="22"/>
    <w:p w14:paraId="4D682488">
      <w:pPr>
        <w:pStyle w:val="2"/>
        <w:numPr>
          <w:ilvl w:val="0"/>
          <w:numId w:val="19"/>
        </w:numPr>
        <w:ind w:left="0" w:firstLine="0"/>
        <w:rPr>
          <w:rFonts w:hint="eastAsia"/>
          <w:b/>
          <w:color w:val="000000"/>
          <w:highlight w:val="none"/>
        </w:rPr>
      </w:pPr>
      <w:bookmarkStart w:id="40" w:name="_Toc386154256"/>
      <w:bookmarkStart w:id="41" w:name="_Toc9657"/>
      <w:bookmarkStart w:id="42" w:name="_Toc386042760"/>
      <w:bookmarkStart w:id="43" w:name="_Toc23190149"/>
      <w:bookmarkStart w:id="44" w:name="_Toc386042642"/>
      <w:bookmarkStart w:id="45" w:name="_Toc386156374"/>
      <w:bookmarkStart w:id="46" w:name="_Toc291951556"/>
      <w:r>
        <w:rPr>
          <w:rFonts w:hint="eastAsia"/>
          <w:b/>
          <w:color w:val="000000"/>
          <w:highlight w:val="none"/>
        </w:rPr>
        <w:t>应遵循的主要标准</w:t>
      </w:r>
      <w:bookmarkEnd w:id="40"/>
      <w:bookmarkEnd w:id="41"/>
      <w:bookmarkEnd w:id="42"/>
      <w:bookmarkEnd w:id="43"/>
      <w:bookmarkEnd w:id="44"/>
      <w:bookmarkEnd w:id="45"/>
      <w:bookmarkEnd w:id="46"/>
    </w:p>
    <w:p w14:paraId="7BB3B2CA">
      <w:pPr>
        <w:snapToGrid w:val="0"/>
        <w:spacing w:line="360" w:lineRule="auto"/>
        <w:ind w:firstLine="420" w:firstLineChars="200"/>
        <w:rPr>
          <w:rFonts w:hint="eastAsia" w:ascii="宋体" w:hAnsi="宋体" w:eastAsia="宋体" w:cs="宋体"/>
          <w:szCs w:val="21"/>
        </w:rPr>
      </w:pPr>
      <w:bookmarkStart w:id="47" w:name="_Toc155114612"/>
      <w:bookmarkStart w:id="48" w:name="_Toc482581219"/>
      <w:bookmarkStart w:id="49" w:name="_Toc146182538"/>
      <w:bookmarkStart w:id="50" w:name="_Toc457986926"/>
      <w:bookmarkStart w:id="51" w:name="_Toc114253693"/>
      <w:bookmarkStart w:id="52" w:name="_Toc448828694"/>
      <w:bookmarkStart w:id="53" w:name="_Toc457979127"/>
      <w:bookmarkStart w:id="54" w:name="_Toc241912000"/>
      <w:bookmarkStart w:id="55" w:name="_Toc459534976"/>
      <w:bookmarkStart w:id="56" w:name="_Toc455373921"/>
      <w:bookmarkStart w:id="57" w:name="_Toc455543289"/>
      <w:r>
        <w:rPr>
          <w:rFonts w:hint="eastAsia" w:ascii="宋体" w:hAnsi="宋体" w:eastAsia="宋体" w:cs="Times New Roman"/>
          <w:color w:val="000000"/>
          <w:highlight w:val="none"/>
        </w:rPr>
        <w:t>除本标书特殊规定外, 投标方所提供的设备均按规定的标准和规程的最新版本进行设计、制造、试验和安装。如果这些标准内容有矛盾时, 应按最高标准的条款执行或按双方商定的标准执行。如果投标方选用本标书规定以外的标准时, 则需提交这种替换标准供审查和分析。仅在投标方已证明替换标准相当或优于标书规定的标准, 并从招标方处获得书面的认可才能使用。提交供审查的标准应为中文或英文版本。主要引用标准如下：</w:t>
      </w:r>
    </w:p>
    <w:p w14:paraId="073A57CE">
      <w:pPr>
        <w:snapToGrid w:val="0"/>
        <w:spacing w:line="360" w:lineRule="auto"/>
        <w:ind w:firstLine="420" w:firstLineChars="200"/>
        <w:rPr>
          <w:rFonts w:hint="eastAsia" w:ascii="宋体" w:hAnsi="宋体" w:eastAsia="宋体" w:cs="宋体"/>
        </w:rPr>
      </w:pPr>
      <w:r>
        <w:rPr>
          <w:rFonts w:hint="eastAsia" w:ascii="宋体" w:hAnsi="宋体" w:eastAsia="宋体" w:cs="宋体"/>
        </w:rPr>
        <w:t>GB/T 2314  电力金具通用技术条件</w:t>
      </w:r>
    </w:p>
    <w:p w14:paraId="0DDC50B6">
      <w:pPr>
        <w:snapToGrid w:val="0"/>
        <w:spacing w:line="360" w:lineRule="auto"/>
        <w:ind w:firstLine="420" w:firstLineChars="200"/>
        <w:rPr>
          <w:rFonts w:hint="eastAsia" w:ascii="宋体" w:hAnsi="宋体" w:eastAsia="宋体" w:cs="宋体"/>
        </w:rPr>
      </w:pPr>
      <w:r>
        <w:rPr>
          <w:rFonts w:hint="eastAsia" w:ascii="宋体" w:hAnsi="宋体" w:eastAsia="宋体" w:cs="宋体"/>
        </w:rPr>
        <w:t>GB/T 2317  电力金具试验方法</w:t>
      </w:r>
    </w:p>
    <w:p w14:paraId="188B22F2">
      <w:pPr>
        <w:snapToGrid w:val="0"/>
        <w:spacing w:line="360" w:lineRule="auto"/>
        <w:ind w:firstLine="420" w:firstLineChars="200"/>
        <w:rPr>
          <w:rFonts w:hint="eastAsia" w:ascii="宋体" w:hAnsi="宋体" w:eastAsia="宋体" w:cs="宋体"/>
        </w:rPr>
      </w:pPr>
      <w:r>
        <w:rPr>
          <w:rFonts w:hint="eastAsia" w:ascii="宋体" w:hAnsi="宋体" w:eastAsia="宋体" w:cs="宋体"/>
        </w:rPr>
        <w:t>GB/T 11022-2020 《高压交流开关设备和控制设备标准的共用技术要求》</w:t>
      </w:r>
    </w:p>
    <w:p w14:paraId="095FE5A8">
      <w:pPr>
        <w:snapToGrid w:val="0"/>
        <w:spacing w:line="360" w:lineRule="auto"/>
        <w:ind w:firstLine="420" w:firstLineChars="200"/>
        <w:rPr>
          <w:rFonts w:hint="eastAsia" w:ascii="宋体" w:hAnsi="宋体" w:eastAsia="宋体" w:cs="宋体"/>
        </w:rPr>
      </w:pPr>
      <w:r>
        <w:rPr>
          <w:rFonts w:hint="eastAsia" w:ascii="宋体" w:hAnsi="宋体" w:eastAsia="宋体" w:cs="宋体"/>
        </w:rPr>
        <w:t>GB/T 1985-2023 《高压交流隔离开关和接地开关》</w:t>
      </w:r>
    </w:p>
    <w:p w14:paraId="16997EB4">
      <w:pPr>
        <w:snapToGrid w:val="0"/>
        <w:spacing w:line="360" w:lineRule="auto"/>
        <w:ind w:firstLine="420" w:firstLineChars="200"/>
        <w:rPr>
          <w:rFonts w:hint="eastAsia" w:ascii="宋体" w:hAnsi="宋体" w:eastAsia="宋体" w:cs="宋体"/>
        </w:rPr>
      </w:pPr>
      <w:r>
        <w:rPr>
          <w:rFonts w:hint="eastAsia" w:ascii="宋体" w:hAnsi="宋体" w:eastAsia="宋体" w:cs="宋体"/>
        </w:rPr>
        <w:t>JB/T 9647-2018 《电力变压器用套管》</w:t>
      </w:r>
    </w:p>
    <w:p w14:paraId="4387C7E0">
      <w:pPr>
        <w:snapToGrid w:val="0"/>
        <w:spacing w:line="360" w:lineRule="auto"/>
        <w:ind w:firstLine="420" w:firstLineChars="200"/>
        <w:rPr>
          <w:rFonts w:hint="eastAsia" w:ascii="宋体" w:hAnsi="宋体" w:eastAsia="宋体" w:cs="宋体"/>
        </w:rPr>
      </w:pPr>
      <w:r>
        <w:rPr>
          <w:rFonts w:hint="eastAsia" w:ascii="宋体" w:hAnsi="宋体" w:eastAsia="宋体" w:cs="宋体"/>
        </w:rPr>
        <w:t>GB 1985  高压交流隔离开关和接地开关</w:t>
      </w:r>
    </w:p>
    <w:p w14:paraId="17D5B06C">
      <w:pPr>
        <w:snapToGrid w:val="0"/>
        <w:spacing w:line="360" w:lineRule="auto"/>
        <w:ind w:firstLine="420" w:firstLineChars="200"/>
        <w:rPr>
          <w:rFonts w:hint="eastAsia" w:ascii="宋体" w:hAnsi="宋体" w:eastAsia="宋体" w:cs="宋体"/>
        </w:rPr>
      </w:pPr>
      <w:r>
        <w:rPr>
          <w:rFonts w:hint="eastAsia" w:ascii="宋体" w:hAnsi="宋体" w:eastAsia="宋体" w:cs="宋体"/>
        </w:rPr>
        <w:t>GB/T 11032-2020 《交流无间隙金属氧化物避雷器》</w:t>
      </w:r>
    </w:p>
    <w:p w14:paraId="22E62B35">
      <w:pPr>
        <w:snapToGrid w:val="0"/>
        <w:spacing w:line="360" w:lineRule="auto"/>
        <w:ind w:firstLine="420" w:firstLineChars="200"/>
        <w:rPr>
          <w:rFonts w:hint="eastAsia" w:ascii="宋体" w:hAnsi="宋体" w:eastAsia="宋体" w:cs="宋体"/>
        </w:rPr>
      </w:pPr>
      <w:r>
        <w:rPr>
          <w:rFonts w:hint="eastAsia" w:ascii="宋体" w:hAnsi="宋体" w:eastAsia="宋体" w:cs="宋体"/>
        </w:rPr>
        <w:t>GB 50150 -2016 电气装置安装工程电气设备交接试验标准</w:t>
      </w:r>
    </w:p>
    <w:p w14:paraId="17D4ED21">
      <w:pPr>
        <w:snapToGrid w:val="0"/>
        <w:spacing w:line="360" w:lineRule="auto"/>
        <w:ind w:firstLine="420" w:firstLineChars="200"/>
        <w:rPr>
          <w:rFonts w:hint="eastAsia" w:ascii="宋体" w:hAnsi="宋体" w:eastAsia="宋体" w:cs="宋体"/>
        </w:rPr>
      </w:pPr>
      <w:r>
        <w:rPr>
          <w:rFonts w:hint="eastAsia" w:ascii="宋体" w:hAnsi="宋体" w:eastAsia="宋体" w:cs="宋体"/>
        </w:rPr>
        <w:t>GB/T 31239-2023 《1000kV 变电站金具技术规范》</w:t>
      </w:r>
    </w:p>
    <w:p w14:paraId="18F10900">
      <w:pPr>
        <w:snapToGrid w:val="0"/>
        <w:spacing w:line="360" w:lineRule="auto"/>
        <w:ind w:firstLine="420" w:firstLineChars="200"/>
        <w:rPr>
          <w:rFonts w:hint="eastAsia" w:ascii="宋体" w:hAnsi="宋体" w:eastAsia="宋体" w:cs="宋体"/>
        </w:rPr>
      </w:pPr>
      <w:r>
        <w:rPr>
          <w:rFonts w:hint="eastAsia" w:ascii="宋体" w:hAnsi="宋体" w:eastAsia="宋体" w:cs="宋体"/>
        </w:rPr>
        <w:t>GB/T 2900.20</w:t>
      </w:r>
      <w:r>
        <w:rPr>
          <w:rFonts w:hint="eastAsia" w:ascii="宋体" w:hAnsi="宋体" w:eastAsia="宋体" w:cs="宋体"/>
          <w:lang w:val="en-US" w:eastAsia="zh-CN"/>
        </w:rPr>
        <w:t>-2016</w:t>
      </w:r>
      <w:r>
        <w:rPr>
          <w:rFonts w:hint="eastAsia" w:ascii="宋体" w:hAnsi="宋体" w:eastAsia="宋体" w:cs="宋体"/>
        </w:rPr>
        <w:t xml:space="preserve">  电工术语 高压开关设备</w:t>
      </w:r>
    </w:p>
    <w:p w14:paraId="2CD0E803">
      <w:pPr>
        <w:snapToGrid w:val="0"/>
        <w:spacing w:line="360" w:lineRule="auto"/>
        <w:ind w:firstLine="420" w:firstLineChars="200"/>
        <w:rPr>
          <w:rFonts w:hint="eastAsia" w:ascii="宋体" w:hAnsi="宋体" w:eastAsia="宋体" w:cs="宋体"/>
        </w:rPr>
      </w:pPr>
      <w:r>
        <w:rPr>
          <w:rFonts w:hint="eastAsia" w:ascii="宋体" w:hAnsi="宋体" w:eastAsia="宋体" w:cs="宋体"/>
        </w:rPr>
        <w:t>DL/T 758 接续金具</w:t>
      </w:r>
    </w:p>
    <w:p w14:paraId="6D5568A0">
      <w:pPr>
        <w:snapToGrid w:val="0"/>
        <w:spacing w:line="360" w:lineRule="auto"/>
        <w:ind w:firstLine="420" w:firstLineChars="200"/>
        <w:rPr>
          <w:rFonts w:hint="eastAsia" w:ascii="宋体" w:hAnsi="宋体" w:eastAsia="宋体" w:cs="宋体"/>
        </w:rPr>
      </w:pPr>
      <w:r>
        <w:rPr>
          <w:rFonts w:hint="eastAsia" w:ascii="宋体" w:hAnsi="宋体" w:eastAsia="宋体" w:cs="宋体"/>
          <w:lang w:val="en-US" w:eastAsia="zh-CN"/>
        </w:rPr>
        <w:t>GB 2900.15</w:t>
      </w:r>
      <w:r>
        <w:rPr>
          <w:rFonts w:hint="eastAsia" w:ascii="宋体" w:hAnsi="宋体" w:eastAsia="宋体" w:cs="宋体"/>
        </w:rPr>
        <w:t>电工术语  变压器、互感器、调压器和电抗器</w:t>
      </w:r>
      <w:r>
        <w:rPr>
          <w:rFonts w:hint="eastAsia" w:ascii="宋体" w:hAnsi="宋体" w:eastAsia="宋体" w:cs="宋体"/>
          <w:lang w:val="en-US" w:eastAsia="zh-CN"/>
        </w:rPr>
        <w:t xml:space="preserve"> </w:t>
      </w:r>
    </w:p>
    <w:p w14:paraId="653A3986">
      <w:pPr>
        <w:snapToGrid w:val="0"/>
        <w:spacing w:line="360" w:lineRule="auto"/>
        <w:ind w:firstLine="420" w:firstLineChars="200"/>
        <w:rPr>
          <w:rFonts w:hint="eastAsia" w:ascii="宋体" w:hAnsi="宋体" w:eastAsia="宋体" w:cs="宋体"/>
        </w:rPr>
      </w:pPr>
      <w:r>
        <w:rPr>
          <w:rFonts w:hint="eastAsia" w:ascii="宋体" w:hAnsi="宋体" w:eastAsia="宋体" w:cs="宋体"/>
          <w:lang w:val="en-US" w:eastAsia="zh-CN"/>
        </w:rPr>
        <w:t xml:space="preserve">DL/T 573 </w:t>
      </w:r>
      <w:r>
        <w:rPr>
          <w:rFonts w:hint="eastAsia" w:ascii="宋体" w:hAnsi="宋体" w:eastAsia="宋体" w:cs="宋体"/>
        </w:rPr>
        <w:t>电力变压器检修导则</w:t>
      </w:r>
    </w:p>
    <w:p w14:paraId="25726C6D">
      <w:pPr>
        <w:snapToGrid w:val="0"/>
        <w:spacing w:line="360" w:lineRule="auto"/>
        <w:ind w:firstLine="420" w:firstLineChars="200"/>
        <w:rPr>
          <w:rFonts w:hint="eastAsia" w:ascii="宋体" w:hAnsi="宋体" w:eastAsia="宋体" w:cs="宋体"/>
        </w:rPr>
      </w:pPr>
      <w:r>
        <w:rPr>
          <w:rFonts w:hint="eastAsia" w:ascii="宋体" w:hAnsi="宋体" w:eastAsia="宋体" w:cs="宋体"/>
        </w:rPr>
        <w:t>GB 50148电气装置安装工程电力变压器、油浸电抗器、互感器施工及验收规范</w:t>
      </w:r>
    </w:p>
    <w:p w14:paraId="75DA0D46">
      <w:pPr>
        <w:snapToGrid w:val="0"/>
        <w:spacing w:line="360" w:lineRule="auto"/>
        <w:ind w:firstLine="420" w:firstLineChars="200"/>
        <w:rPr>
          <w:rFonts w:hint="eastAsia" w:ascii="宋体" w:hAnsi="宋体" w:eastAsia="宋体" w:cs="宋体"/>
        </w:rPr>
      </w:pPr>
      <w:r>
        <w:rPr>
          <w:rFonts w:hint="eastAsia" w:ascii="宋体" w:hAnsi="宋体" w:eastAsia="宋体" w:cs="宋体"/>
        </w:rPr>
        <w:t>GB/T 13540-2009  高压开关设备抗地震性能试验</w:t>
      </w:r>
    </w:p>
    <w:p w14:paraId="28FA9F8D">
      <w:pPr>
        <w:snapToGrid w:val="0"/>
        <w:spacing w:line="360" w:lineRule="auto"/>
        <w:ind w:firstLine="420" w:firstLineChars="200"/>
        <w:rPr>
          <w:rFonts w:hint="eastAsia" w:ascii="宋体" w:hAnsi="宋体" w:eastAsia="宋体" w:cs="宋体"/>
        </w:rPr>
      </w:pPr>
      <w:r>
        <w:rPr>
          <w:rFonts w:hint="eastAsia" w:ascii="宋体" w:hAnsi="宋体" w:eastAsia="宋体" w:cs="宋体"/>
        </w:rPr>
        <w:t>GB/T 16935.1-2008  低压系统内设备的绝缘配合 第1部分：原理、要求和试验</w:t>
      </w:r>
    </w:p>
    <w:p w14:paraId="0C6E140B">
      <w:pPr>
        <w:snapToGrid w:val="0"/>
        <w:spacing w:line="360" w:lineRule="auto"/>
        <w:ind w:firstLine="420" w:firstLineChars="200"/>
        <w:rPr>
          <w:rFonts w:hint="eastAsia" w:ascii="宋体" w:hAnsi="宋体" w:eastAsia="宋体" w:cs="宋体"/>
        </w:rPr>
      </w:pPr>
      <w:r>
        <w:rPr>
          <w:rFonts w:hint="eastAsia" w:ascii="宋体" w:hAnsi="宋体" w:eastAsia="宋体" w:cs="宋体"/>
        </w:rPr>
        <w:t>GB/T 17702-2013 《电力电子电容器》</w:t>
      </w:r>
    </w:p>
    <w:p w14:paraId="7C979DBC">
      <w:pPr>
        <w:snapToGrid w:val="0"/>
        <w:spacing w:line="360" w:lineRule="auto"/>
        <w:ind w:firstLine="420" w:firstLineChars="200"/>
        <w:rPr>
          <w:rFonts w:hint="eastAsia" w:ascii="宋体" w:hAnsi="宋体" w:eastAsia="宋体" w:cs="宋体"/>
        </w:rPr>
      </w:pPr>
      <w:r>
        <w:rPr>
          <w:rFonts w:hint="eastAsia" w:ascii="宋体" w:hAnsi="宋体" w:eastAsia="宋体" w:cs="宋体"/>
        </w:rPr>
        <w:t>GB/T 191-2008 《包装储运图示标志》</w:t>
      </w:r>
    </w:p>
    <w:p w14:paraId="564CDA0E">
      <w:pPr>
        <w:snapToGrid w:val="0"/>
        <w:spacing w:line="360" w:lineRule="auto"/>
        <w:ind w:firstLine="420" w:firstLineChars="200"/>
        <w:rPr>
          <w:rFonts w:hint="eastAsia" w:ascii="宋体" w:hAnsi="宋体" w:eastAsia="宋体" w:cs="宋体"/>
        </w:rPr>
      </w:pPr>
      <w:r>
        <w:rPr>
          <w:rFonts w:hint="eastAsia" w:ascii="宋体" w:hAnsi="宋体" w:eastAsia="宋体" w:cs="宋体"/>
        </w:rPr>
        <w:t>DL/T 1071-2014  电力大件运输规范</w:t>
      </w:r>
    </w:p>
    <w:p w14:paraId="7970C457">
      <w:pPr>
        <w:snapToGrid w:val="0"/>
        <w:spacing w:line="360" w:lineRule="auto"/>
        <w:ind w:firstLine="420" w:firstLineChars="200"/>
        <w:rPr>
          <w:rFonts w:hint="eastAsia" w:ascii="宋体" w:hAnsi="宋体" w:eastAsia="宋体" w:cs="宋体"/>
        </w:rPr>
      </w:pPr>
      <w:r>
        <w:rPr>
          <w:rFonts w:hint="eastAsia" w:ascii="宋体" w:hAnsi="宋体" w:eastAsia="宋体" w:cs="宋体"/>
        </w:rPr>
        <w:t>DL/T 5222-2005  导体和电器选择设计技术规定</w:t>
      </w:r>
    </w:p>
    <w:p w14:paraId="40871A88">
      <w:pPr>
        <w:snapToGrid w:val="0"/>
        <w:spacing w:line="360" w:lineRule="auto"/>
        <w:ind w:firstLine="420" w:firstLineChars="200"/>
        <w:rPr>
          <w:rFonts w:hint="eastAsia" w:ascii="宋体" w:hAnsi="宋体" w:eastAsia="宋体" w:cs="宋体"/>
        </w:rPr>
      </w:pPr>
      <w:r>
        <w:rPr>
          <w:rFonts w:hint="eastAsia" w:ascii="宋体" w:hAnsi="宋体" w:eastAsia="宋体" w:cs="宋体"/>
        </w:rPr>
        <w:t>Q/CSG1206007-2017电力设备检修试验规程</w:t>
      </w:r>
    </w:p>
    <w:p w14:paraId="7C8CD5DE">
      <w:pPr>
        <w:snapToGrid w:val="0"/>
        <w:spacing w:line="360" w:lineRule="auto"/>
        <w:ind w:firstLine="420" w:firstLineChars="200"/>
        <w:rPr>
          <w:rFonts w:hint="eastAsia" w:ascii="宋体" w:hAnsi="宋体" w:eastAsia="宋体" w:cs="宋体"/>
        </w:rPr>
      </w:pPr>
      <w:bookmarkStart w:id="58" w:name="_Toc23190150"/>
      <w:bookmarkStart w:id="59" w:name="_Toc282993250"/>
      <w:bookmarkStart w:id="60" w:name="_Toc3378"/>
      <w:bookmarkStart w:id="61" w:name="_Toc386154257"/>
      <w:bookmarkStart w:id="62" w:name="_Toc386042761"/>
      <w:bookmarkStart w:id="63" w:name="_Toc386156375"/>
      <w:bookmarkStart w:id="64" w:name="_Toc386042643"/>
      <w:bookmarkStart w:id="65" w:name="_Toc291951557"/>
      <w:r>
        <w:rPr>
          <w:rFonts w:hint="eastAsia" w:ascii="宋体" w:hAnsi="宋体" w:eastAsia="宋体" w:cs="宋体"/>
        </w:rPr>
        <w:t>GB/T 2900.50电工术语发电、输电及配电通用术语</w:t>
      </w:r>
    </w:p>
    <w:p w14:paraId="68BBDF77">
      <w:pPr>
        <w:snapToGrid w:val="0"/>
        <w:spacing w:line="360" w:lineRule="auto"/>
        <w:ind w:firstLine="420" w:firstLineChars="200"/>
        <w:rPr>
          <w:rFonts w:hint="eastAsia" w:ascii="宋体" w:hAnsi="宋体" w:eastAsia="宋体" w:cs="宋体"/>
        </w:rPr>
      </w:pPr>
      <w:r>
        <w:rPr>
          <w:rFonts w:hint="eastAsia" w:ascii="宋体" w:hAnsi="宋体" w:eastAsia="宋体" w:cs="宋体"/>
        </w:rPr>
        <w:t>GB/T 4208外壳防护等级(IP代码)</w:t>
      </w:r>
    </w:p>
    <w:p w14:paraId="70A38A90">
      <w:pPr>
        <w:snapToGrid w:val="0"/>
        <w:spacing w:line="360" w:lineRule="auto"/>
        <w:ind w:firstLine="420" w:firstLineChars="200"/>
        <w:rPr>
          <w:rFonts w:hint="eastAsia" w:ascii="宋体" w:hAnsi="宋体" w:eastAsia="宋体" w:cs="宋体"/>
        </w:rPr>
      </w:pPr>
      <w:r>
        <w:rPr>
          <w:rFonts w:hint="eastAsia" w:ascii="宋体" w:hAnsi="宋体" w:eastAsia="宋体" w:cs="宋体"/>
        </w:rPr>
        <w:t>GB/T 4857.23包装 运输包装件基本试验</w:t>
      </w:r>
    </w:p>
    <w:p w14:paraId="74A476C7">
      <w:pPr>
        <w:snapToGrid w:val="0"/>
        <w:spacing w:line="360" w:lineRule="auto"/>
        <w:ind w:firstLine="420" w:firstLineChars="200"/>
        <w:rPr>
          <w:rFonts w:hint="eastAsia" w:ascii="宋体" w:hAnsi="宋体" w:eastAsia="宋体" w:cs="宋体"/>
        </w:rPr>
      </w:pPr>
      <w:r>
        <w:rPr>
          <w:rFonts w:hint="eastAsia" w:ascii="宋体" w:hAnsi="宋体" w:eastAsia="宋体" w:cs="宋体"/>
        </w:rPr>
        <w:t>GB/T 13384-2008机电产品包装通用技术条件</w:t>
      </w:r>
    </w:p>
    <w:p w14:paraId="1FB422A6">
      <w:pPr>
        <w:snapToGrid w:val="0"/>
        <w:spacing w:line="360" w:lineRule="auto"/>
        <w:ind w:firstLine="420" w:firstLineChars="200"/>
        <w:rPr>
          <w:rFonts w:hint="eastAsia" w:ascii="宋体" w:hAnsi="宋体" w:eastAsia="宋体" w:cs="宋体"/>
        </w:rPr>
      </w:pPr>
      <w:r>
        <w:rPr>
          <w:rFonts w:hint="eastAsia" w:ascii="宋体" w:hAnsi="宋体" w:eastAsia="宋体" w:cs="宋体"/>
        </w:rPr>
        <w:t>GB/T 26860电力安全工作规程发电厂和变电站电气部分</w:t>
      </w:r>
    </w:p>
    <w:p w14:paraId="39CEFFB3">
      <w:pPr>
        <w:snapToGrid w:val="0"/>
        <w:spacing w:line="360" w:lineRule="auto"/>
        <w:ind w:firstLine="420" w:firstLineChars="200"/>
        <w:rPr>
          <w:rFonts w:hint="eastAsia" w:ascii="宋体" w:hAnsi="宋体" w:eastAsia="宋体" w:cs="宋体"/>
        </w:rPr>
      </w:pPr>
      <w:r>
        <w:rPr>
          <w:rFonts w:hint="eastAsia" w:ascii="宋体" w:hAnsi="宋体" w:eastAsia="宋体" w:cs="宋体"/>
        </w:rPr>
        <w:t>DL/T 486-2010 高压交流刀闸和接地开关</w:t>
      </w:r>
    </w:p>
    <w:p w14:paraId="5B675F53">
      <w:pPr>
        <w:snapToGrid w:val="0"/>
        <w:spacing w:line="360" w:lineRule="auto"/>
        <w:ind w:firstLine="420" w:firstLineChars="200"/>
        <w:rPr>
          <w:rFonts w:hint="eastAsia" w:ascii="宋体" w:hAnsi="宋体" w:eastAsia="宋体" w:cs="宋体"/>
        </w:rPr>
      </w:pPr>
      <w:r>
        <w:rPr>
          <w:rFonts w:hint="eastAsia" w:ascii="宋体" w:hAnsi="宋体" w:eastAsia="宋体" w:cs="宋体"/>
        </w:rPr>
        <w:t>DL/T 593-2016高压开关设备和控制设备标准的共用技术要求</w:t>
      </w:r>
    </w:p>
    <w:p w14:paraId="3F7928A5">
      <w:pPr>
        <w:snapToGrid w:val="0"/>
        <w:spacing w:line="360" w:lineRule="auto"/>
        <w:ind w:firstLine="420" w:firstLineChars="200"/>
        <w:rPr>
          <w:rFonts w:hint="eastAsia" w:ascii="宋体" w:hAnsi="宋体" w:eastAsia="宋体" w:cs="宋体"/>
        </w:rPr>
      </w:pPr>
      <w:r>
        <w:rPr>
          <w:rFonts w:hint="eastAsia" w:ascii="宋体" w:hAnsi="宋体" w:eastAsia="宋体" w:cs="宋体"/>
        </w:rPr>
        <w:t>DL/T 1455电力系统控制类软件安全性及其测评技术要求</w:t>
      </w:r>
    </w:p>
    <w:p w14:paraId="7B648C26">
      <w:pPr>
        <w:snapToGrid w:val="0"/>
        <w:spacing w:line="360" w:lineRule="auto"/>
        <w:ind w:firstLine="420" w:firstLineChars="200"/>
        <w:rPr>
          <w:rFonts w:hint="eastAsia" w:ascii="宋体" w:hAnsi="宋体" w:eastAsia="宋体" w:cs="宋体"/>
        </w:rPr>
      </w:pPr>
      <w:r>
        <w:rPr>
          <w:rFonts w:hint="eastAsia" w:ascii="宋体" w:hAnsi="宋体" w:eastAsia="宋体" w:cs="宋体"/>
        </w:rPr>
        <w:t>DL/T 5009电力建设安全工作规程</w:t>
      </w:r>
    </w:p>
    <w:p w14:paraId="11B2FE0C">
      <w:pPr>
        <w:snapToGrid w:val="0"/>
        <w:spacing w:line="360" w:lineRule="auto"/>
        <w:ind w:firstLine="420" w:firstLineChars="200"/>
        <w:rPr>
          <w:rFonts w:hint="eastAsia" w:ascii="宋体" w:hAnsi="宋体" w:eastAsia="宋体" w:cs="宋体"/>
        </w:rPr>
      </w:pPr>
      <w:r>
        <w:rPr>
          <w:rFonts w:hint="eastAsia" w:ascii="宋体" w:hAnsi="宋体" w:eastAsia="宋体" w:cs="宋体"/>
        </w:rPr>
        <w:t>JB/T 5451-2008微动开关通用技术条件</w:t>
      </w:r>
    </w:p>
    <w:p w14:paraId="5247C16D">
      <w:pPr>
        <w:snapToGrid w:val="0"/>
        <w:spacing w:line="360" w:lineRule="auto"/>
        <w:ind w:firstLine="420" w:firstLineChars="200"/>
        <w:rPr>
          <w:rFonts w:hint="eastAsia" w:ascii="宋体" w:hAnsi="宋体" w:eastAsia="宋体" w:cs="宋体"/>
        </w:rPr>
      </w:pPr>
      <w:r>
        <w:rPr>
          <w:rFonts w:hint="eastAsia" w:ascii="宋体" w:hAnsi="宋体" w:eastAsia="宋体" w:cs="宋体"/>
        </w:rPr>
        <w:t>110kV~500kV交流电力变压器技术规范书（通用部分）2026版</w:t>
      </w:r>
    </w:p>
    <w:p w14:paraId="092C03E1">
      <w:pPr>
        <w:snapToGrid w:val="0"/>
        <w:spacing w:line="360" w:lineRule="auto"/>
        <w:ind w:firstLine="420" w:firstLineChars="200"/>
        <w:rPr>
          <w:rFonts w:hint="eastAsia" w:ascii="宋体" w:hAnsi="宋体" w:eastAsia="宋体" w:cs="宋体"/>
        </w:rPr>
      </w:pPr>
      <w:r>
        <w:rPr>
          <w:rFonts w:hint="eastAsia" w:ascii="宋体" w:hAnsi="宋体" w:eastAsia="宋体" w:cs="宋体"/>
        </w:rPr>
        <w:t>35kV有载调压交流电力变压器（通用部分）2026版</w:t>
      </w:r>
    </w:p>
    <w:p w14:paraId="69949D20">
      <w:pPr>
        <w:snapToGrid w:val="0"/>
        <w:spacing w:line="360" w:lineRule="auto"/>
        <w:ind w:firstLine="420" w:firstLineChars="200"/>
        <w:rPr>
          <w:rFonts w:hint="eastAsia" w:ascii="宋体" w:hAnsi="宋体" w:eastAsia="宋体" w:cs="宋体"/>
        </w:rPr>
      </w:pPr>
      <w:r>
        <w:rPr>
          <w:rFonts w:hint="eastAsia" w:ascii="宋体" w:hAnsi="宋体" w:eastAsia="宋体" w:cs="宋体"/>
        </w:rPr>
        <w:t>35kV及以下干式站用电力变压器技术规范书（通用部分）2026版</w:t>
      </w:r>
    </w:p>
    <w:p w14:paraId="72FE6EDD">
      <w:pPr>
        <w:snapToGrid w:val="0"/>
        <w:spacing w:line="360" w:lineRule="auto"/>
        <w:ind w:firstLine="420" w:firstLineChars="200"/>
        <w:rPr>
          <w:rFonts w:hint="eastAsia" w:ascii="宋体" w:hAnsi="宋体" w:eastAsia="宋体" w:cs="宋体"/>
        </w:rPr>
      </w:pPr>
      <w:r>
        <w:rPr>
          <w:rFonts w:hint="eastAsia" w:ascii="宋体" w:hAnsi="宋体" w:eastAsia="宋体" w:cs="宋体"/>
        </w:rPr>
        <w:t>20kV-35kV交流穿墙套管技术规范书（通用部分）2026版</w:t>
      </w:r>
    </w:p>
    <w:p w14:paraId="4D139A04">
      <w:pPr>
        <w:snapToGrid w:val="0"/>
        <w:spacing w:line="360" w:lineRule="auto"/>
        <w:ind w:firstLine="420" w:firstLineChars="200"/>
        <w:rPr>
          <w:rFonts w:hint="eastAsia" w:ascii="宋体" w:hAnsi="宋体" w:eastAsia="宋体" w:cs="宋体"/>
        </w:rPr>
      </w:pPr>
      <w:r>
        <w:rPr>
          <w:rFonts w:hint="eastAsia" w:ascii="宋体" w:hAnsi="宋体" w:eastAsia="宋体" w:cs="宋体"/>
        </w:rPr>
        <w:t>110kV~500kV油浸及SF6式电流互感器技术规范书（通用部分）2026版</w:t>
      </w:r>
    </w:p>
    <w:p w14:paraId="6BCA9098">
      <w:pPr>
        <w:snapToGrid w:val="0"/>
        <w:spacing w:line="360" w:lineRule="auto"/>
        <w:ind w:firstLine="420" w:firstLineChars="200"/>
        <w:rPr>
          <w:rFonts w:hint="eastAsia" w:ascii="宋体" w:hAnsi="宋体" w:eastAsia="宋体" w:cs="宋体"/>
        </w:rPr>
      </w:pPr>
      <w:r>
        <w:rPr>
          <w:rFonts w:hint="eastAsia" w:ascii="宋体" w:hAnsi="宋体" w:eastAsia="宋体" w:cs="宋体"/>
        </w:rPr>
        <w:t>110kV 干式电流互感器技术规范书（通用部分）2026版</w:t>
      </w:r>
    </w:p>
    <w:p w14:paraId="0EFE3953">
      <w:pPr>
        <w:snapToGrid w:val="0"/>
        <w:spacing w:line="360" w:lineRule="auto"/>
        <w:ind w:firstLine="420" w:firstLineChars="200"/>
        <w:rPr>
          <w:rFonts w:hint="eastAsia" w:ascii="宋体" w:hAnsi="宋体" w:eastAsia="宋体" w:cs="宋体"/>
        </w:rPr>
      </w:pPr>
      <w:r>
        <w:rPr>
          <w:rFonts w:hint="eastAsia" w:ascii="宋体" w:hAnsi="宋体" w:eastAsia="宋体" w:cs="宋体"/>
        </w:rPr>
        <w:t>110kV~500kV油浸电容式电压互感器技术规范书（通用部分）2026版</w:t>
      </w:r>
    </w:p>
    <w:p w14:paraId="443ABAAB">
      <w:pPr>
        <w:snapToGrid w:val="0"/>
        <w:spacing w:line="360" w:lineRule="auto"/>
        <w:ind w:firstLine="420" w:firstLineChars="200"/>
        <w:rPr>
          <w:rFonts w:hint="eastAsia" w:ascii="宋体" w:hAnsi="宋体" w:eastAsia="宋体" w:cs="宋体"/>
        </w:rPr>
      </w:pPr>
      <w:r>
        <w:rPr>
          <w:rFonts w:hint="eastAsia" w:ascii="宋体" w:hAnsi="宋体" w:eastAsia="宋体" w:cs="宋体"/>
        </w:rPr>
        <w:t>35kV电容式电压互感器技术规范书（通用部分）2026版</w:t>
      </w:r>
    </w:p>
    <w:p w14:paraId="72C24EA1">
      <w:pPr>
        <w:snapToGrid w:val="0"/>
        <w:spacing w:line="360" w:lineRule="auto"/>
        <w:ind w:firstLine="420" w:firstLineChars="200"/>
        <w:rPr>
          <w:rFonts w:hint="eastAsia" w:ascii="宋体" w:hAnsi="宋体" w:eastAsia="宋体" w:cs="宋体"/>
        </w:rPr>
      </w:pPr>
      <w:r>
        <w:rPr>
          <w:rFonts w:hint="eastAsia" w:ascii="宋体" w:hAnsi="宋体" w:eastAsia="宋体" w:cs="宋体"/>
        </w:rPr>
        <w:t>35kV-500kV SF6瓷柱式断路器 技术规范书（通用部分）2026版</w:t>
      </w:r>
    </w:p>
    <w:p w14:paraId="10B51133">
      <w:pPr>
        <w:snapToGrid w:val="0"/>
        <w:spacing w:line="360" w:lineRule="auto"/>
        <w:ind w:firstLine="420" w:firstLineChars="200"/>
        <w:rPr>
          <w:rFonts w:hint="eastAsia" w:ascii="宋体" w:hAnsi="宋体" w:eastAsia="宋体" w:cs="宋体"/>
        </w:rPr>
      </w:pPr>
      <w:r>
        <w:rPr>
          <w:rFonts w:hint="eastAsia" w:ascii="宋体" w:hAnsi="宋体" w:eastAsia="宋体" w:cs="宋体"/>
        </w:rPr>
        <w:t>35kV-500kV敞开式高压交流隔离开关和接地开关技术规范书（通用部分）2026版</w:t>
      </w:r>
    </w:p>
    <w:p w14:paraId="0C021534">
      <w:pPr>
        <w:snapToGrid w:val="0"/>
        <w:spacing w:line="360" w:lineRule="auto"/>
        <w:ind w:firstLine="420" w:firstLineChars="200"/>
        <w:rPr>
          <w:rFonts w:hint="eastAsia" w:ascii="宋体" w:hAnsi="宋体" w:eastAsia="宋体" w:cs="宋体"/>
        </w:rPr>
      </w:pPr>
      <w:r>
        <w:rPr>
          <w:rFonts w:hint="eastAsia" w:ascii="宋体" w:hAnsi="宋体" w:eastAsia="宋体" w:cs="宋体"/>
        </w:rPr>
        <w:t>35kV-500kV组合电器（GIS和HGIS）技术规范书（通用部分）2026版</w:t>
      </w:r>
    </w:p>
    <w:p w14:paraId="4FF8C97D">
      <w:pPr>
        <w:snapToGrid w:val="0"/>
        <w:spacing w:line="360" w:lineRule="auto"/>
        <w:ind w:firstLine="420" w:firstLineChars="200"/>
        <w:rPr>
          <w:rFonts w:hint="eastAsia" w:ascii="宋体" w:hAnsi="宋体" w:eastAsia="宋体" w:cs="宋体"/>
        </w:rPr>
      </w:pPr>
      <w:r>
        <w:rPr>
          <w:rFonts w:hint="eastAsia" w:ascii="宋体" w:hAnsi="宋体" w:eastAsia="宋体" w:cs="宋体"/>
        </w:rPr>
        <w:t>10kV移开式开关柜技术规范书（通用部分）2026版</w:t>
      </w:r>
    </w:p>
    <w:p w14:paraId="3679AB3A">
      <w:pPr>
        <w:snapToGrid w:val="0"/>
        <w:spacing w:line="360" w:lineRule="auto"/>
        <w:ind w:firstLine="420" w:firstLineChars="200"/>
        <w:rPr>
          <w:rFonts w:hint="eastAsia" w:ascii="宋体" w:hAnsi="宋体" w:eastAsia="宋体" w:cs="宋体"/>
        </w:rPr>
      </w:pPr>
      <w:r>
        <w:rPr>
          <w:rFonts w:hint="eastAsia" w:ascii="宋体" w:hAnsi="宋体" w:eastAsia="宋体" w:cs="宋体"/>
        </w:rPr>
        <w:t>35kV~500kV瓷绝缘支柱绝缘子技术规范书（通用部分）2026版</w:t>
      </w:r>
    </w:p>
    <w:p w14:paraId="75FDF4DA">
      <w:pPr>
        <w:snapToGrid w:val="0"/>
        <w:spacing w:line="360" w:lineRule="auto"/>
        <w:ind w:firstLine="420" w:firstLineChars="200"/>
        <w:rPr>
          <w:rFonts w:hint="eastAsia" w:ascii="宋体" w:hAnsi="宋体" w:eastAsia="宋体" w:cs="宋体"/>
        </w:rPr>
      </w:pPr>
      <w:r>
        <w:rPr>
          <w:rFonts w:hint="eastAsia" w:ascii="宋体" w:hAnsi="宋体" w:eastAsia="宋体" w:cs="宋体"/>
        </w:rPr>
        <w:t>35kV~500kV交流站用型无间隙金属氧化物避雷器技术规范书（通用部分）2026版</w:t>
      </w:r>
    </w:p>
    <w:p w14:paraId="701DA444">
      <w:pPr>
        <w:pStyle w:val="2"/>
        <w:numPr>
          <w:ilvl w:val="0"/>
          <w:numId w:val="19"/>
        </w:numPr>
        <w:ind w:left="0" w:firstLine="0"/>
        <w:rPr>
          <w:rFonts w:hint="eastAsia"/>
          <w:b/>
          <w:color w:val="000000"/>
          <w:highlight w:val="none"/>
        </w:rPr>
      </w:pPr>
      <w:r>
        <w:rPr>
          <w:rFonts w:hint="eastAsia"/>
          <w:b/>
          <w:color w:val="000000"/>
          <w:highlight w:val="none"/>
        </w:rPr>
        <w:t>使用条件</w:t>
      </w:r>
      <w:bookmarkEnd w:id="58"/>
      <w:bookmarkEnd w:id="59"/>
      <w:bookmarkEnd w:id="60"/>
      <w:bookmarkEnd w:id="61"/>
      <w:bookmarkEnd w:id="62"/>
      <w:bookmarkEnd w:id="63"/>
      <w:bookmarkEnd w:id="64"/>
      <w:bookmarkEnd w:id="65"/>
    </w:p>
    <w:p w14:paraId="45ADAB8A">
      <w:pPr>
        <w:pStyle w:val="171"/>
        <w:adjustRightInd w:val="0"/>
        <w:snapToGrid w:val="0"/>
        <w:spacing w:line="360" w:lineRule="auto"/>
        <w:ind w:left="0" w:leftChars="0" w:firstLine="420" w:firstLineChars="200"/>
        <w:rPr>
          <w:rFonts w:hint="eastAsia" w:hAnsi="宋体"/>
          <w:szCs w:val="21"/>
        </w:rPr>
      </w:pPr>
      <w:r>
        <w:rPr>
          <w:rFonts w:hint="eastAsia" w:eastAsia="宋体" w:cs="Times New Roman"/>
          <w:szCs w:val="21"/>
        </w:rPr>
        <w:t>本标书要采购的</w:t>
      </w:r>
      <w:r>
        <w:rPr>
          <w:rFonts w:hint="eastAsia" w:ascii="宋体" w:hAnsi="宋体" w:eastAsia="宋体"/>
          <w:lang w:val="en-US" w:eastAsia="zh-CN"/>
        </w:rPr>
        <w:t>变电站生产运维材料</w:t>
      </w:r>
      <w:r>
        <w:rPr>
          <w:rFonts w:hint="eastAsia" w:eastAsia="宋体" w:cs="Times New Roman"/>
          <w:szCs w:val="21"/>
        </w:rPr>
        <w:t>，其安装地点的实际外部条件见表4</w:t>
      </w:r>
      <w:r>
        <w:rPr>
          <w:rFonts w:eastAsia="宋体" w:cs="Times New Roman"/>
          <w:szCs w:val="21"/>
        </w:rPr>
        <w:t>-</w:t>
      </w:r>
      <w:r>
        <w:rPr>
          <w:rFonts w:hint="eastAsia" w:eastAsia="宋体" w:cs="Times New Roman"/>
          <w:szCs w:val="21"/>
        </w:rPr>
        <w:t>1：设备外部条件一览表。投标方应对所提供的相关性能参数在工程实际外部条件下进行校验、核对，使所供设备满足实际外部条件要求及全工况运行要求。</w:t>
      </w:r>
    </w:p>
    <w:p w14:paraId="42AFD737">
      <w:pPr>
        <w:pStyle w:val="149"/>
        <w:jc w:val="center"/>
        <w:rPr>
          <w:rFonts w:hint="eastAsia" w:hAnsi="宋体"/>
          <w:szCs w:val="21"/>
          <w:lang w:val="en-US" w:eastAsia="zh-CN"/>
        </w:rPr>
      </w:pPr>
      <w:r>
        <w:rPr>
          <w:rFonts w:hint="eastAsia" w:hAnsi="宋体"/>
          <w:szCs w:val="21"/>
        </w:rPr>
        <w:t>表4</w:t>
      </w:r>
      <w:r>
        <w:rPr>
          <w:rFonts w:hAnsi="宋体"/>
          <w:szCs w:val="21"/>
        </w:rPr>
        <w:t>-</w:t>
      </w:r>
      <w:r>
        <w:rPr>
          <w:rFonts w:hint="eastAsia" w:hAnsi="宋体"/>
          <w:szCs w:val="21"/>
        </w:rPr>
        <w:t xml:space="preserve">1 </w:t>
      </w:r>
      <w:r>
        <w:rPr>
          <w:rFonts w:hAnsi="宋体"/>
          <w:szCs w:val="21"/>
        </w:rPr>
        <w:t xml:space="preserve"> </w:t>
      </w:r>
      <w:r>
        <w:rPr>
          <w:rFonts w:hint="eastAsia" w:hAnsi="宋体"/>
          <w:szCs w:val="21"/>
        </w:rPr>
        <w:t xml:space="preserve">设备外部条件一览表 </w:t>
      </w:r>
      <w:r>
        <w:rPr>
          <w:rFonts w:hint="eastAsia" w:hAnsi="宋体"/>
          <w:szCs w:val="21"/>
          <w:lang w:val="en-US" w:eastAsia="zh-CN"/>
        </w:rPr>
        <w:t>(项目单位填写)</w:t>
      </w:r>
    </w:p>
    <w:tbl>
      <w:tblPr>
        <w:tblStyle w:val="8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26"/>
        <w:gridCol w:w="1511"/>
        <w:gridCol w:w="1334"/>
        <w:gridCol w:w="800"/>
        <w:gridCol w:w="2259"/>
        <w:gridCol w:w="2192"/>
      </w:tblGrid>
      <w:tr w14:paraId="5E1CE4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26" w:type="dxa"/>
            <w:noWrap w:val="0"/>
            <w:vAlign w:val="center"/>
          </w:tcPr>
          <w:p w14:paraId="0C599D50">
            <w:pPr>
              <w:jc w:val="center"/>
              <w:rPr>
                <w:rFonts w:hint="eastAsia"/>
              </w:rPr>
            </w:pPr>
            <w:r>
              <w:rPr>
                <w:rFonts w:hint="eastAsia"/>
              </w:rPr>
              <w:t>序号</w:t>
            </w:r>
          </w:p>
        </w:tc>
        <w:tc>
          <w:tcPr>
            <w:tcW w:w="2845" w:type="dxa"/>
            <w:gridSpan w:val="2"/>
            <w:noWrap w:val="0"/>
            <w:vAlign w:val="center"/>
          </w:tcPr>
          <w:p w14:paraId="020B7353">
            <w:pPr>
              <w:jc w:val="center"/>
              <w:rPr>
                <w:rFonts w:hint="eastAsia"/>
              </w:rPr>
            </w:pPr>
            <w:r>
              <w:rPr>
                <w:rFonts w:hint="eastAsia"/>
              </w:rPr>
              <w:t>名   称</w:t>
            </w:r>
          </w:p>
        </w:tc>
        <w:tc>
          <w:tcPr>
            <w:tcW w:w="800" w:type="dxa"/>
            <w:noWrap w:val="0"/>
            <w:vAlign w:val="center"/>
          </w:tcPr>
          <w:p w14:paraId="10B9A66C">
            <w:pPr>
              <w:jc w:val="center"/>
              <w:rPr>
                <w:rFonts w:hint="eastAsia"/>
              </w:rPr>
            </w:pPr>
            <w:r>
              <w:rPr>
                <w:rFonts w:hint="eastAsia"/>
              </w:rPr>
              <w:t>单位</w:t>
            </w:r>
          </w:p>
        </w:tc>
        <w:tc>
          <w:tcPr>
            <w:tcW w:w="2259" w:type="dxa"/>
            <w:noWrap w:val="0"/>
            <w:vAlign w:val="center"/>
          </w:tcPr>
          <w:p w14:paraId="71FA1626">
            <w:pPr>
              <w:jc w:val="center"/>
              <w:rPr>
                <w:rFonts w:hint="eastAsia"/>
              </w:rPr>
            </w:pPr>
            <w:r>
              <w:rPr>
                <w:rFonts w:hint="eastAsia"/>
              </w:rPr>
              <w:t>数值</w:t>
            </w:r>
          </w:p>
        </w:tc>
        <w:tc>
          <w:tcPr>
            <w:tcW w:w="2192" w:type="dxa"/>
            <w:noWrap w:val="0"/>
            <w:vAlign w:val="top"/>
          </w:tcPr>
          <w:p w14:paraId="1DE8957A">
            <w:pPr>
              <w:jc w:val="center"/>
              <w:rPr>
                <w:rFonts w:hint="eastAsia"/>
              </w:rPr>
            </w:pPr>
            <w:r>
              <w:rPr>
                <w:rFonts w:hint="eastAsia"/>
                <w:kern w:val="0"/>
                <w:sz w:val="20"/>
              </w:rPr>
              <w:t>备注(须说明本工程适用的是正常使用条件或是特殊使用条件)</w:t>
            </w:r>
          </w:p>
        </w:tc>
      </w:tr>
      <w:tr w14:paraId="51CDFF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26" w:type="dxa"/>
            <w:vMerge w:val="restart"/>
            <w:noWrap w:val="0"/>
            <w:vAlign w:val="center"/>
          </w:tcPr>
          <w:p w14:paraId="32ABC2F7">
            <w:pPr>
              <w:jc w:val="center"/>
              <w:rPr>
                <w:rFonts w:hint="eastAsia"/>
              </w:rPr>
            </w:pPr>
            <w:r>
              <w:rPr>
                <w:rFonts w:hint="eastAsia"/>
              </w:rPr>
              <w:t>1</w:t>
            </w:r>
          </w:p>
        </w:tc>
        <w:tc>
          <w:tcPr>
            <w:tcW w:w="1511" w:type="dxa"/>
            <w:vMerge w:val="restart"/>
            <w:noWrap w:val="0"/>
            <w:vAlign w:val="center"/>
          </w:tcPr>
          <w:p w14:paraId="0B0D3D44">
            <w:pPr>
              <w:rPr>
                <w:rFonts w:hint="eastAsia"/>
              </w:rPr>
            </w:pPr>
            <w:r>
              <w:rPr>
                <w:rFonts w:hint="eastAsia"/>
              </w:rPr>
              <w:t>环境温度</w:t>
            </w:r>
          </w:p>
        </w:tc>
        <w:tc>
          <w:tcPr>
            <w:tcW w:w="1334" w:type="dxa"/>
            <w:noWrap w:val="0"/>
            <w:vAlign w:val="top"/>
          </w:tcPr>
          <w:p w14:paraId="3A741C40">
            <w:pPr>
              <w:rPr>
                <w:rFonts w:hint="eastAsia"/>
              </w:rPr>
            </w:pPr>
            <w:r>
              <w:rPr>
                <w:rFonts w:hint="eastAsia"/>
              </w:rPr>
              <w:t>最高日温度</w:t>
            </w:r>
          </w:p>
        </w:tc>
        <w:tc>
          <w:tcPr>
            <w:tcW w:w="800" w:type="dxa"/>
            <w:vMerge w:val="restart"/>
            <w:noWrap w:val="0"/>
            <w:vAlign w:val="center"/>
          </w:tcPr>
          <w:p w14:paraId="0BDD97F3">
            <w:pPr>
              <w:jc w:val="center"/>
              <w:rPr>
                <w:rFonts w:hint="eastAsia"/>
              </w:rPr>
            </w:pPr>
            <w:r>
              <w:rPr>
                <w:rFonts w:hint="eastAsia"/>
              </w:rPr>
              <w:t>℃</w:t>
            </w:r>
          </w:p>
        </w:tc>
        <w:tc>
          <w:tcPr>
            <w:tcW w:w="2259" w:type="dxa"/>
            <w:noWrap w:val="0"/>
            <w:vAlign w:val="top"/>
          </w:tcPr>
          <w:p w14:paraId="45376B65">
            <w:pPr>
              <w:rPr>
                <w:rFonts w:hint="eastAsia" w:hAnsi="宋体"/>
              </w:rPr>
            </w:pPr>
          </w:p>
        </w:tc>
        <w:tc>
          <w:tcPr>
            <w:tcW w:w="2192" w:type="dxa"/>
            <w:noWrap w:val="0"/>
            <w:vAlign w:val="top"/>
          </w:tcPr>
          <w:p w14:paraId="00511225">
            <w:pPr>
              <w:rPr>
                <w:rFonts w:hint="eastAsia" w:hAnsi="宋体"/>
              </w:rPr>
            </w:pPr>
          </w:p>
        </w:tc>
      </w:tr>
      <w:tr w14:paraId="19DB4A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26" w:type="dxa"/>
            <w:vMerge w:val="continue"/>
            <w:noWrap w:val="0"/>
            <w:vAlign w:val="top"/>
          </w:tcPr>
          <w:p w14:paraId="62032ED3">
            <w:pPr>
              <w:jc w:val="center"/>
              <w:rPr>
                <w:rFonts w:hint="eastAsia"/>
              </w:rPr>
            </w:pPr>
          </w:p>
        </w:tc>
        <w:tc>
          <w:tcPr>
            <w:tcW w:w="1511" w:type="dxa"/>
            <w:vMerge w:val="continue"/>
            <w:noWrap w:val="0"/>
            <w:vAlign w:val="top"/>
          </w:tcPr>
          <w:p w14:paraId="4320AE89">
            <w:pPr>
              <w:rPr>
                <w:rFonts w:hint="eastAsia"/>
              </w:rPr>
            </w:pPr>
          </w:p>
        </w:tc>
        <w:tc>
          <w:tcPr>
            <w:tcW w:w="1334" w:type="dxa"/>
            <w:noWrap w:val="0"/>
            <w:vAlign w:val="top"/>
          </w:tcPr>
          <w:p w14:paraId="5942DADD">
            <w:pPr>
              <w:rPr>
                <w:rFonts w:hint="eastAsia"/>
              </w:rPr>
            </w:pPr>
            <w:r>
              <w:rPr>
                <w:rFonts w:hint="eastAsia"/>
              </w:rPr>
              <w:t>最低日温度</w:t>
            </w:r>
          </w:p>
        </w:tc>
        <w:tc>
          <w:tcPr>
            <w:tcW w:w="800" w:type="dxa"/>
            <w:vMerge w:val="continue"/>
            <w:noWrap w:val="0"/>
            <w:vAlign w:val="top"/>
          </w:tcPr>
          <w:p w14:paraId="738823A2">
            <w:pPr>
              <w:rPr>
                <w:rFonts w:hint="eastAsia"/>
              </w:rPr>
            </w:pPr>
          </w:p>
        </w:tc>
        <w:tc>
          <w:tcPr>
            <w:tcW w:w="2259" w:type="dxa"/>
            <w:noWrap w:val="0"/>
            <w:vAlign w:val="top"/>
          </w:tcPr>
          <w:p w14:paraId="6B963FD9">
            <w:pPr>
              <w:rPr>
                <w:rFonts w:hint="eastAsia"/>
              </w:rPr>
            </w:pPr>
          </w:p>
        </w:tc>
        <w:tc>
          <w:tcPr>
            <w:tcW w:w="2192" w:type="dxa"/>
            <w:noWrap w:val="0"/>
            <w:vAlign w:val="top"/>
          </w:tcPr>
          <w:p w14:paraId="609A0437">
            <w:pPr>
              <w:rPr>
                <w:rFonts w:hint="eastAsia"/>
              </w:rPr>
            </w:pPr>
          </w:p>
        </w:tc>
      </w:tr>
      <w:tr w14:paraId="642024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26" w:type="dxa"/>
            <w:vMerge w:val="continue"/>
            <w:noWrap w:val="0"/>
            <w:vAlign w:val="top"/>
          </w:tcPr>
          <w:p w14:paraId="3C0C8447">
            <w:pPr>
              <w:jc w:val="center"/>
              <w:rPr>
                <w:rFonts w:hint="eastAsia"/>
              </w:rPr>
            </w:pPr>
          </w:p>
        </w:tc>
        <w:tc>
          <w:tcPr>
            <w:tcW w:w="1511" w:type="dxa"/>
            <w:vMerge w:val="continue"/>
            <w:noWrap w:val="0"/>
            <w:vAlign w:val="top"/>
          </w:tcPr>
          <w:p w14:paraId="521C62BE">
            <w:pPr>
              <w:rPr>
                <w:rFonts w:hint="eastAsia"/>
              </w:rPr>
            </w:pPr>
          </w:p>
        </w:tc>
        <w:tc>
          <w:tcPr>
            <w:tcW w:w="1334" w:type="dxa"/>
            <w:noWrap w:val="0"/>
            <w:vAlign w:val="top"/>
          </w:tcPr>
          <w:p w14:paraId="61CE3033">
            <w:pPr>
              <w:rPr>
                <w:rFonts w:hint="eastAsia"/>
              </w:rPr>
            </w:pPr>
            <w:r>
              <w:rPr>
                <w:rFonts w:hint="eastAsia"/>
              </w:rPr>
              <w:t>最大日温差</w:t>
            </w:r>
          </w:p>
        </w:tc>
        <w:tc>
          <w:tcPr>
            <w:tcW w:w="800" w:type="dxa"/>
            <w:vMerge w:val="continue"/>
            <w:noWrap w:val="0"/>
            <w:vAlign w:val="top"/>
          </w:tcPr>
          <w:p w14:paraId="7E6411E7">
            <w:pPr>
              <w:rPr>
                <w:rFonts w:hint="eastAsia"/>
              </w:rPr>
            </w:pPr>
          </w:p>
        </w:tc>
        <w:tc>
          <w:tcPr>
            <w:tcW w:w="2259" w:type="dxa"/>
            <w:noWrap w:val="0"/>
            <w:vAlign w:val="top"/>
          </w:tcPr>
          <w:p w14:paraId="07FD3A0C">
            <w:pPr>
              <w:rPr>
                <w:rFonts w:hint="eastAsia"/>
              </w:rPr>
            </w:pPr>
          </w:p>
        </w:tc>
        <w:tc>
          <w:tcPr>
            <w:tcW w:w="2192" w:type="dxa"/>
            <w:noWrap w:val="0"/>
            <w:vAlign w:val="top"/>
          </w:tcPr>
          <w:p w14:paraId="22F22FE7">
            <w:pPr>
              <w:rPr>
                <w:rFonts w:hint="eastAsia"/>
              </w:rPr>
            </w:pPr>
          </w:p>
        </w:tc>
      </w:tr>
      <w:tr w14:paraId="6E00DE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26" w:type="dxa"/>
            <w:noWrap w:val="0"/>
            <w:vAlign w:val="top"/>
          </w:tcPr>
          <w:p w14:paraId="135B5138">
            <w:pPr>
              <w:jc w:val="center"/>
              <w:rPr>
                <w:rFonts w:hint="eastAsia"/>
              </w:rPr>
            </w:pPr>
            <w:r>
              <w:rPr>
                <w:rFonts w:hint="eastAsia"/>
              </w:rPr>
              <w:t>2</w:t>
            </w:r>
          </w:p>
        </w:tc>
        <w:tc>
          <w:tcPr>
            <w:tcW w:w="2845" w:type="dxa"/>
            <w:gridSpan w:val="2"/>
            <w:noWrap w:val="0"/>
            <w:vAlign w:val="top"/>
          </w:tcPr>
          <w:p w14:paraId="189C0836">
            <w:pPr>
              <w:rPr>
                <w:rFonts w:hint="eastAsia"/>
              </w:rPr>
            </w:pPr>
            <w:r>
              <w:rPr>
                <w:rFonts w:hint="eastAsia"/>
              </w:rPr>
              <w:t>海拔</w:t>
            </w:r>
          </w:p>
        </w:tc>
        <w:tc>
          <w:tcPr>
            <w:tcW w:w="800" w:type="dxa"/>
            <w:noWrap w:val="0"/>
            <w:vAlign w:val="top"/>
          </w:tcPr>
          <w:p w14:paraId="34F831BE">
            <w:pPr>
              <w:jc w:val="center"/>
              <w:rPr>
                <w:rFonts w:hint="eastAsia"/>
              </w:rPr>
            </w:pPr>
            <w:r>
              <w:rPr>
                <w:rFonts w:hint="eastAsia"/>
              </w:rPr>
              <w:t>m</w:t>
            </w:r>
          </w:p>
        </w:tc>
        <w:tc>
          <w:tcPr>
            <w:tcW w:w="2259" w:type="dxa"/>
            <w:noWrap w:val="0"/>
            <w:vAlign w:val="top"/>
          </w:tcPr>
          <w:p w14:paraId="6CA2F46A">
            <w:pPr>
              <w:rPr>
                <w:rFonts w:hint="eastAsia"/>
              </w:rPr>
            </w:pPr>
          </w:p>
        </w:tc>
        <w:tc>
          <w:tcPr>
            <w:tcW w:w="2192" w:type="dxa"/>
            <w:noWrap w:val="0"/>
            <w:vAlign w:val="top"/>
          </w:tcPr>
          <w:p w14:paraId="1E2126ED">
            <w:pPr>
              <w:rPr>
                <w:rFonts w:hint="eastAsia"/>
              </w:rPr>
            </w:pPr>
          </w:p>
        </w:tc>
      </w:tr>
      <w:tr w14:paraId="029854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26" w:type="dxa"/>
            <w:noWrap w:val="0"/>
            <w:vAlign w:val="top"/>
          </w:tcPr>
          <w:p w14:paraId="641A690D">
            <w:pPr>
              <w:jc w:val="center"/>
              <w:rPr>
                <w:rFonts w:hint="eastAsia"/>
              </w:rPr>
            </w:pPr>
            <w:r>
              <w:rPr>
                <w:rFonts w:hint="eastAsia"/>
              </w:rPr>
              <w:t>3</w:t>
            </w:r>
          </w:p>
        </w:tc>
        <w:tc>
          <w:tcPr>
            <w:tcW w:w="2845" w:type="dxa"/>
            <w:gridSpan w:val="2"/>
            <w:noWrap w:val="0"/>
            <w:vAlign w:val="top"/>
          </w:tcPr>
          <w:p w14:paraId="47F30B80">
            <w:pPr>
              <w:rPr>
                <w:rFonts w:hint="eastAsia"/>
              </w:rPr>
            </w:pPr>
            <w:r>
              <w:t>污秽等级</w:t>
            </w:r>
          </w:p>
        </w:tc>
        <w:tc>
          <w:tcPr>
            <w:tcW w:w="800" w:type="dxa"/>
            <w:noWrap w:val="0"/>
            <w:vAlign w:val="top"/>
          </w:tcPr>
          <w:p w14:paraId="29935ECD">
            <w:pPr>
              <w:jc w:val="center"/>
              <w:rPr>
                <w:rFonts w:hint="eastAsia"/>
              </w:rPr>
            </w:pPr>
          </w:p>
        </w:tc>
        <w:tc>
          <w:tcPr>
            <w:tcW w:w="2259" w:type="dxa"/>
            <w:noWrap w:val="0"/>
            <w:vAlign w:val="top"/>
          </w:tcPr>
          <w:p w14:paraId="64830E75">
            <w:pPr>
              <w:rPr>
                <w:rFonts w:hint="eastAsia"/>
              </w:rPr>
            </w:pPr>
          </w:p>
        </w:tc>
        <w:tc>
          <w:tcPr>
            <w:tcW w:w="2192" w:type="dxa"/>
            <w:noWrap w:val="0"/>
            <w:vAlign w:val="top"/>
          </w:tcPr>
          <w:p w14:paraId="1E627D84">
            <w:pPr>
              <w:rPr>
                <w:rFonts w:hint="eastAsia"/>
              </w:rPr>
            </w:pPr>
          </w:p>
        </w:tc>
      </w:tr>
      <w:tr w14:paraId="67800D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26" w:type="dxa"/>
            <w:noWrap w:val="0"/>
            <w:vAlign w:val="top"/>
          </w:tcPr>
          <w:p w14:paraId="789E70AD">
            <w:pPr>
              <w:jc w:val="center"/>
              <w:rPr>
                <w:rFonts w:hint="eastAsia"/>
              </w:rPr>
            </w:pPr>
            <w:r>
              <w:rPr>
                <w:rFonts w:hint="eastAsia"/>
              </w:rPr>
              <w:t>4</w:t>
            </w:r>
          </w:p>
        </w:tc>
        <w:tc>
          <w:tcPr>
            <w:tcW w:w="2845" w:type="dxa"/>
            <w:gridSpan w:val="2"/>
            <w:noWrap w:val="0"/>
            <w:vAlign w:val="top"/>
          </w:tcPr>
          <w:p w14:paraId="01366080">
            <w:pPr>
              <w:rPr>
                <w:rFonts w:hint="eastAsia"/>
              </w:rPr>
            </w:pPr>
            <w:r>
              <w:rPr>
                <w:rFonts w:hint="eastAsia"/>
              </w:rPr>
              <w:t>覆冰厚度</w:t>
            </w:r>
          </w:p>
        </w:tc>
        <w:tc>
          <w:tcPr>
            <w:tcW w:w="800" w:type="dxa"/>
            <w:noWrap w:val="0"/>
            <w:vAlign w:val="top"/>
          </w:tcPr>
          <w:p w14:paraId="19F15EAE">
            <w:pPr>
              <w:jc w:val="center"/>
              <w:rPr>
                <w:rFonts w:hint="eastAsia"/>
              </w:rPr>
            </w:pPr>
            <w:r>
              <w:rPr>
                <w:rFonts w:hint="eastAsia"/>
              </w:rPr>
              <w:t>mm</w:t>
            </w:r>
          </w:p>
        </w:tc>
        <w:tc>
          <w:tcPr>
            <w:tcW w:w="2259" w:type="dxa"/>
            <w:noWrap w:val="0"/>
            <w:vAlign w:val="top"/>
          </w:tcPr>
          <w:p w14:paraId="03472B70">
            <w:pPr>
              <w:rPr>
                <w:rFonts w:hint="eastAsia"/>
              </w:rPr>
            </w:pPr>
          </w:p>
        </w:tc>
        <w:tc>
          <w:tcPr>
            <w:tcW w:w="2192" w:type="dxa"/>
            <w:noWrap w:val="0"/>
            <w:vAlign w:val="top"/>
          </w:tcPr>
          <w:p w14:paraId="0EE1CDBF">
            <w:pPr>
              <w:rPr>
                <w:rFonts w:hint="eastAsia"/>
              </w:rPr>
            </w:pPr>
          </w:p>
        </w:tc>
      </w:tr>
      <w:tr w14:paraId="6996F6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26" w:type="dxa"/>
            <w:noWrap w:val="0"/>
            <w:vAlign w:val="top"/>
          </w:tcPr>
          <w:p w14:paraId="71F3E6C4">
            <w:pPr>
              <w:jc w:val="center"/>
              <w:rPr>
                <w:rFonts w:hint="eastAsia"/>
              </w:rPr>
            </w:pPr>
            <w:r>
              <w:rPr>
                <w:rFonts w:hint="eastAsia"/>
              </w:rPr>
              <w:t>5</w:t>
            </w:r>
          </w:p>
        </w:tc>
        <w:tc>
          <w:tcPr>
            <w:tcW w:w="2845" w:type="dxa"/>
            <w:gridSpan w:val="2"/>
            <w:noWrap w:val="0"/>
            <w:vAlign w:val="top"/>
          </w:tcPr>
          <w:p w14:paraId="46E04B98">
            <w:pPr>
              <w:rPr>
                <w:rFonts w:hint="eastAsia"/>
              </w:rPr>
            </w:pPr>
            <w:r>
              <w:rPr>
                <w:rFonts w:hint="eastAsia"/>
              </w:rPr>
              <w:t>基本风速</w:t>
            </w:r>
          </w:p>
        </w:tc>
        <w:tc>
          <w:tcPr>
            <w:tcW w:w="800" w:type="dxa"/>
            <w:noWrap w:val="0"/>
            <w:vAlign w:val="top"/>
          </w:tcPr>
          <w:p w14:paraId="16742337">
            <w:pPr>
              <w:jc w:val="center"/>
              <w:rPr>
                <w:rFonts w:hint="eastAsia"/>
              </w:rPr>
            </w:pPr>
            <w:r>
              <w:rPr>
                <w:rFonts w:hint="eastAsia"/>
              </w:rPr>
              <w:t>m/s</w:t>
            </w:r>
          </w:p>
        </w:tc>
        <w:tc>
          <w:tcPr>
            <w:tcW w:w="2259" w:type="dxa"/>
            <w:noWrap w:val="0"/>
            <w:vAlign w:val="top"/>
          </w:tcPr>
          <w:p w14:paraId="6B4AFAA8">
            <w:pPr>
              <w:rPr>
                <w:rFonts w:hint="eastAsia"/>
              </w:rPr>
            </w:pPr>
          </w:p>
        </w:tc>
        <w:tc>
          <w:tcPr>
            <w:tcW w:w="2192" w:type="dxa"/>
            <w:noWrap w:val="0"/>
            <w:vAlign w:val="top"/>
          </w:tcPr>
          <w:p w14:paraId="28854195">
            <w:pPr>
              <w:rPr>
                <w:rFonts w:hint="eastAsia"/>
              </w:rPr>
            </w:pPr>
          </w:p>
        </w:tc>
      </w:tr>
    </w:tbl>
    <w:p w14:paraId="27DA3ED8">
      <w:pPr>
        <w:adjustRightInd w:val="0"/>
        <w:snapToGrid w:val="0"/>
        <w:spacing w:line="360" w:lineRule="auto"/>
        <w:outlineLvl w:val="1"/>
        <w:rPr>
          <w:rFonts w:hint="eastAsia" w:ascii="黑体" w:eastAsia="黑体"/>
          <w:color w:val="000000"/>
          <w:highlight w:val="none"/>
        </w:rPr>
      </w:pPr>
      <w:bookmarkStart w:id="66" w:name="_Toc386042762"/>
      <w:bookmarkStart w:id="67" w:name="_Toc28330"/>
      <w:bookmarkStart w:id="68" w:name="_Toc23190151"/>
      <w:bookmarkStart w:id="69" w:name="_Toc386042644"/>
      <w:bookmarkStart w:id="70" w:name="_Toc291951558"/>
      <w:bookmarkStart w:id="71" w:name="_Toc386156376"/>
      <w:bookmarkStart w:id="72" w:name="_Toc386154258"/>
      <w:bookmarkStart w:id="73" w:name="_Toc288039078"/>
      <w:bookmarkStart w:id="74" w:name="_Toc282421097"/>
      <w:r>
        <w:rPr>
          <w:rFonts w:hint="eastAsia" w:ascii="黑体" w:eastAsia="黑体"/>
          <w:color w:val="000000"/>
          <w:highlight w:val="none"/>
        </w:rPr>
        <w:t>4.1 正常使用条件</w:t>
      </w:r>
      <w:bookmarkEnd w:id="66"/>
      <w:bookmarkEnd w:id="67"/>
      <w:bookmarkEnd w:id="68"/>
      <w:bookmarkEnd w:id="69"/>
      <w:bookmarkEnd w:id="70"/>
      <w:bookmarkEnd w:id="71"/>
      <w:bookmarkEnd w:id="72"/>
      <w:bookmarkEnd w:id="73"/>
      <w:bookmarkEnd w:id="74"/>
    </w:p>
    <w:p w14:paraId="4A080704">
      <w:pPr>
        <w:snapToGrid w:val="0"/>
        <w:spacing w:line="360" w:lineRule="auto"/>
        <w:outlineLvl w:val="2"/>
        <w:rPr>
          <w:rFonts w:hint="eastAsia" w:ascii="黑体" w:eastAsia="黑体"/>
        </w:rPr>
      </w:pPr>
      <w:bookmarkStart w:id="75" w:name="_Toc282421098"/>
      <w:bookmarkStart w:id="76" w:name="_Toc288039079"/>
      <w:r>
        <w:rPr>
          <w:rFonts w:hint="eastAsia" w:ascii="黑体" w:eastAsia="黑体"/>
        </w:rPr>
        <w:t>4.1.1 环境条件</w:t>
      </w:r>
    </w:p>
    <w:p w14:paraId="372E58BB">
      <w:pPr>
        <w:snapToGrid w:val="0"/>
        <w:spacing w:line="360" w:lineRule="auto"/>
        <w:ind w:firstLine="420" w:firstLineChars="200"/>
        <w:rPr>
          <w:rFonts w:hint="eastAsia" w:ascii="宋体" w:hAnsi="宋体" w:eastAsia="宋体" w:cs="宋体"/>
        </w:rPr>
      </w:pPr>
      <w:r>
        <w:rPr>
          <w:rFonts w:hint="eastAsia" w:ascii="宋体" w:hAnsi="宋体" w:eastAsia="宋体" w:cs="宋体"/>
        </w:rPr>
        <w:t>1)海拔高度：</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&lt;1000m；</w:t>
      </w:r>
    </w:p>
    <w:p w14:paraId="2A8FBC2C">
      <w:pPr>
        <w:snapToGrid w:val="0"/>
        <w:spacing w:line="360" w:lineRule="auto"/>
        <w:ind w:firstLine="420" w:firstLineChars="200"/>
        <w:rPr>
          <w:rFonts w:hint="eastAsia" w:ascii="宋体" w:hAnsi="宋体" w:eastAsia="宋体" w:cs="宋体"/>
        </w:rPr>
      </w:pPr>
      <w:r>
        <w:rPr>
          <w:rFonts w:hint="eastAsia" w:ascii="宋体" w:hAnsi="宋体" w:eastAsia="宋体" w:cs="宋体"/>
        </w:rPr>
        <w:t>2)最高环境温度：</w:t>
      </w:r>
      <w:r>
        <w:rPr>
          <w:rFonts w:hint="eastAsia" w:ascii="宋体" w:hAnsi="宋体" w:eastAsia="宋体" w:cs="宋体"/>
        </w:rPr>
        <w:tab/>
      </w:r>
      <w:r>
        <w:rPr>
          <w:rFonts w:hint="eastAsia" w:ascii="宋体" w:hAnsi="宋体" w:eastAsia="宋体" w:cs="宋体"/>
        </w:rPr>
        <w:t>+45ºC；</w:t>
      </w:r>
    </w:p>
    <w:p w14:paraId="28558C33">
      <w:pPr>
        <w:snapToGrid w:val="0"/>
        <w:spacing w:line="360" w:lineRule="auto"/>
        <w:ind w:firstLine="420" w:firstLineChars="200"/>
        <w:rPr>
          <w:rFonts w:hint="eastAsia" w:ascii="宋体" w:hAnsi="宋体" w:eastAsia="宋体" w:cs="宋体"/>
        </w:rPr>
      </w:pPr>
      <w:r>
        <w:rPr>
          <w:rFonts w:hint="eastAsia" w:ascii="宋体" w:hAnsi="宋体" w:eastAsia="宋体" w:cs="宋体"/>
        </w:rPr>
        <w:t>3)最低环境温度：</w:t>
      </w:r>
      <w:r>
        <w:rPr>
          <w:rFonts w:hint="eastAsia" w:ascii="宋体" w:hAnsi="宋体" w:eastAsia="宋体" w:cs="宋体"/>
        </w:rPr>
        <w:tab/>
      </w:r>
      <w:r>
        <w:rPr>
          <w:rFonts w:hint="eastAsia" w:ascii="宋体" w:hAnsi="宋体" w:eastAsia="宋体" w:cs="宋体"/>
        </w:rPr>
        <w:t>-10ºC；</w:t>
      </w:r>
    </w:p>
    <w:p w14:paraId="084C44F5">
      <w:pPr>
        <w:snapToGrid w:val="0"/>
        <w:spacing w:line="360" w:lineRule="auto"/>
        <w:ind w:firstLine="420" w:firstLineChars="200"/>
        <w:rPr>
          <w:rFonts w:hint="eastAsia" w:ascii="宋体" w:hAnsi="宋体" w:eastAsia="宋体" w:cs="宋体"/>
        </w:rPr>
      </w:pPr>
      <w:r>
        <w:rPr>
          <w:rFonts w:hint="eastAsia" w:ascii="宋体" w:hAnsi="宋体" w:eastAsia="宋体" w:cs="宋体"/>
        </w:rPr>
        <w:t>4)年平均气温：</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20ºC；</w:t>
      </w:r>
    </w:p>
    <w:p w14:paraId="64E57C8D">
      <w:pPr>
        <w:snapToGrid w:val="0"/>
        <w:spacing w:line="360" w:lineRule="auto"/>
        <w:ind w:firstLine="420" w:firstLineChars="200"/>
        <w:rPr>
          <w:rFonts w:hint="eastAsia" w:ascii="宋体" w:hAnsi="宋体" w:eastAsia="宋体" w:cs="宋体"/>
        </w:rPr>
      </w:pPr>
      <w:r>
        <w:rPr>
          <w:rFonts w:hint="eastAsia" w:ascii="宋体" w:hAnsi="宋体" w:eastAsia="宋体" w:cs="宋体"/>
        </w:rPr>
        <w:t>5)最大日温差：</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30ºC；</w:t>
      </w:r>
    </w:p>
    <w:p w14:paraId="21FD0D1A">
      <w:pPr>
        <w:snapToGrid w:val="0"/>
        <w:spacing w:line="360" w:lineRule="auto"/>
        <w:ind w:firstLine="420" w:firstLineChars="200"/>
        <w:rPr>
          <w:rFonts w:hint="eastAsia" w:ascii="宋体" w:hAnsi="宋体" w:eastAsia="宋体" w:cs="宋体"/>
        </w:rPr>
      </w:pPr>
      <w:r>
        <w:rPr>
          <w:rFonts w:hint="eastAsia" w:ascii="宋体" w:hAnsi="宋体" w:eastAsia="宋体" w:cs="宋体"/>
        </w:rPr>
        <w:t>6)日照强度：</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0.1W/cm2(风速0.5m/s，大跨越采用0.6m/s)；</w:t>
      </w:r>
    </w:p>
    <w:p w14:paraId="776E3069">
      <w:pPr>
        <w:snapToGrid w:val="0"/>
        <w:spacing w:line="360" w:lineRule="auto"/>
        <w:ind w:firstLine="420" w:firstLineChars="200"/>
        <w:rPr>
          <w:rFonts w:hint="eastAsia" w:ascii="宋体" w:hAnsi="宋体" w:eastAsia="宋体" w:cs="宋体"/>
        </w:rPr>
      </w:pPr>
      <w:r>
        <w:rPr>
          <w:rFonts w:hint="eastAsia" w:ascii="宋体" w:hAnsi="宋体" w:eastAsia="宋体" w:cs="宋体"/>
        </w:rPr>
        <w:t>7)覆冰厚度：</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0～50mm；</w:t>
      </w:r>
    </w:p>
    <w:p w14:paraId="5076B829">
      <w:pPr>
        <w:snapToGrid w:val="0"/>
        <w:spacing w:line="360" w:lineRule="auto"/>
        <w:ind w:firstLine="420" w:firstLineChars="200"/>
        <w:rPr>
          <w:rFonts w:hint="eastAsia" w:ascii="宋体" w:hAnsi="宋体" w:eastAsia="宋体" w:cs="宋体"/>
        </w:rPr>
      </w:pPr>
      <w:r>
        <w:rPr>
          <w:rFonts w:hint="eastAsia" w:ascii="宋体" w:hAnsi="宋体" w:eastAsia="宋体" w:cs="宋体"/>
        </w:rPr>
        <w:t>8) 基本风速：42.3m/s（离地面10m高处30年一遇、10分钟平均最大值）；</w:t>
      </w:r>
    </w:p>
    <w:p w14:paraId="2F9093D5">
      <w:pPr>
        <w:snapToGrid w:val="0"/>
        <w:spacing w:line="360" w:lineRule="auto"/>
        <w:ind w:firstLine="420" w:firstLineChars="200"/>
        <w:rPr>
          <w:rFonts w:hint="eastAsia" w:ascii="宋体" w:hAnsi="宋体" w:eastAsia="宋体" w:cs="宋体"/>
        </w:rPr>
      </w:pPr>
      <w:r>
        <w:rPr>
          <w:rFonts w:hint="eastAsia" w:ascii="宋体" w:hAnsi="宋体" w:eastAsia="宋体" w:cs="宋体"/>
        </w:rPr>
        <w:t>9)环境相对湿度：</w:t>
      </w:r>
    </w:p>
    <w:p w14:paraId="646D72B1">
      <w:pPr>
        <w:snapToGrid w:val="0"/>
        <w:spacing w:line="360" w:lineRule="auto"/>
        <w:ind w:firstLine="840" w:firstLineChars="400"/>
        <w:rPr>
          <w:rFonts w:hint="eastAsia" w:ascii="宋体" w:hAnsi="宋体" w:eastAsia="宋体" w:cs="宋体"/>
        </w:rPr>
      </w:pPr>
      <w:r>
        <w:rPr>
          <w:rFonts w:hint="eastAsia" w:ascii="宋体" w:hAnsi="宋体" w:eastAsia="宋体" w:cs="宋体"/>
        </w:rPr>
        <w:t>日平均值：</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95%；</w:t>
      </w:r>
    </w:p>
    <w:p w14:paraId="23978B09">
      <w:pPr>
        <w:snapToGrid w:val="0"/>
        <w:spacing w:line="360" w:lineRule="auto"/>
        <w:ind w:firstLine="840" w:firstLineChars="400"/>
        <w:rPr>
          <w:rFonts w:hint="eastAsia" w:ascii="宋体" w:hAnsi="宋体" w:eastAsia="宋体" w:cs="宋体"/>
        </w:rPr>
      </w:pPr>
      <w:r>
        <w:rPr>
          <w:rFonts w:hint="eastAsia" w:ascii="宋体" w:hAnsi="宋体" w:eastAsia="宋体" w:cs="宋体"/>
        </w:rPr>
        <w:t>月平均值：</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90%；</w:t>
      </w:r>
    </w:p>
    <w:p w14:paraId="64DB2D6B">
      <w:pPr>
        <w:snapToGrid w:val="0"/>
        <w:spacing w:line="360" w:lineRule="auto"/>
        <w:ind w:firstLine="420" w:firstLineChars="200"/>
        <w:rPr>
          <w:rFonts w:hint="eastAsia" w:ascii="宋体" w:hAnsi="宋体" w:eastAsia="宋体" w:cs="宋体"/>
        </w:rPr>
      </w:pPr>
      <w:r>
        <w:rPr>
          <w:rFonts w:hint="eastAsia" w:ascii="宋体" w:hAnsi="宋体" w:eastAsia="宋体" w:cs="宋体"/>
        </w:rPr>
        <w:t>10)污秽等级：</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Ⅰ～Ⅳ级；</w:t>
      </w:r>
    </w:p>
    <w:p w14:paraId="2A220040">
      <w:pPr>
        <w:snapToGrid w:val="0"/>
        <w:spacing w:line="360" w:lineRule="auto"/>
        <w:ind w:firstLine="420" w:firstLineChars="200"/>
        <w:rPr>
          <w:rFonts w:hint="eastAsia" w:ascii="宋体" w:hAnsi="宋体" w:eastAsia="宋体" w:cs="宋体"/>
        </w:rPr>
      </w:pPr>
      <w:r>
        <w:rPr>
          <w:rFonts w:hint="eastAsia" w:ascii="宋体" w:hAnsi="宋体" w:eastAsia="宋体" w:cs="宋体"/>
        </w:rPr>
        <w:t>11)最大年降雨量：</w:t>
      </w:r>
      <w:r>
        <w:rPr>
          <w:rFonts w:hint="eastAsia" w:ascii="宋体" w:hAnsi="宋体" w:eastAsia="宋体" w:cs="宋体"/>
        </w:rPr>
        <w:tab/>
      </w:r>
      <w:r>
        <w:rPr>
          <w:rFonts w:hint="eastAsia" w:ascii="宋体" w:hAnsi="宋体" w:eastAsia="宋体" w:cs="宋体"/>
        </w:rPr>
        <w:t>2400mm；</w:t>
      </w:r>
    </w:p>
    <w:p w14:paraId="19231BDE">
      <w:pPr>
        <w:snapToGrid w:val="0"/>
        <w:spacing w:line="360" w:lineRule="auto"/>
        <w:ind w:firstLine="840" w:firstLineChars="400"/>
        <w:rPr>
          <w:rFonts w:hint="eastAsia" w:ascii="宋体" w:hAnsi="宋体" w:eastAsia="宋体" w:cs="宋体"/>
        </w:rPr>
      </w:pPr>
      <w:r>
        <w:rPr>
          <w:rFonts w:hint="eastAsia" w:ascii="宋体" w:hAnsi="宋体" w:eastAsia="宋体" w:cs="宋体"/>
        </w:rPr>
        <w:t>最大日降雨量：</w:t>
      </w:r>
      <w:r>
        <w:rPr>
          <w:rFonts w:hint="eastAsia" w:ascii="宋体" w:hAnsi="宋体" w:eastAsia="宋体" w:cs="宋体"/>
        </w:rPr>
        <w:tab/>
      </w:r>
      <w:r>
        <w:rPr>
          <w:rFonts w:hint="eastAsia" w:ascii="宋体" w:hAnsi="宋体" w:eastAsia="宋体" w:cs="宋体"/>
        </w:rPr>
        <w:t>375mm；</w:t>
      </w:r>
    </w:p>
    <w:p w14:paraId="46B74F65">
      <w:pPr>
        <w:snapToGrid w:val="0"/>
        <w:spacing w:line="360" w:lineRule="auto"/>
        <w:ind w:firstLine="420" w:firstLineChars="200"/>
        <w:rPr>
          <w:rFonts w:hint="eastAsia" w:ascii="宋体" w:hAnsi="宋体" w:eastAsia="宋体" w:cs="宋体"/>
        </w:rPr>
      </w:pPr>
      <w:r>
        <w:rPr>
          <w:rFonts w:hint="eastAsia" w:ascii="宋体" w:hAnsi="宋体" w:eastAsia="宋体" w:cs="宋体"/>
        </w:rPr>
        <w:t>12)最大雷暴日：</w:t>
      </w:r>
      <w:r>
        <w:rPr>
          <w:rFonts w:hint="eastAsia" w:ascii="宋体" w:hAnsi="宋体" w:eastAsia="宋体" w:cs="宋体"/>
        </w:rPr>
        <w:tab/>
      </w:r>
      <w:r>
        <w:rPr>
          <w:rFonts w:hint="eastAsia" w:ascii="宋体" w:hAnsi="宋体" w:eastAsia="宋体" w:cs="宋体"/>
        </w:rPr>
        <w:t>110日/年。</w:t>
      </w:r>
    </w:p>
    <w:p w14:paraId="0FDF4D16">
      <w:pPr>
        <w:adjustRightInd w:val="0"/>
        <w:snapToGrid w:val="0"/>
        <w:spacing w:line="360" w:lineRule="auto"/>
        <w:outlineLvl w:val="1"/>
        <w:rPr>
          <w:rFonts w:hint="eastAsia" w:ascii="黑体" w:eastAsia="黑体"/>
          <w:color w:val="000000"/>
          <w:highlight w:val="none"/>
        </w:rPr>
      </w:pPr>
      <w:bookmarkStart w:id="77" w:name="_Toc386042773"/>
      <w:bookmarkStart w:id="78" w:name="_Toc25481"/>
      <w:bookmarkStart w:id="79" w:name="_Toc23190152"/>
      <w:bookmarkStart w:id="80" w:name="_Toc386154269"/>
      <w:bookmarkStart w:id="81" w:name="_Toc386042655"/>
      <w:bookmarkStart w:id="82" w:name="_Toc386156387"/>
      <w:bookmarkStart w:id="83" w:name="_Toc291951559"/>
      <w:r>
        <w:rPr>
          <w:rFonts w:hint="eastAsia" w:ascii="黑体" w:eastAsia="黑体"/>
          <w:color w:val="000000"/>
          <w:highlight w:val="none"/>
        </w:rPr>
        <w:t>4.2 特殊使用条件</w:t>
      </w:r>
      <w:bookmarkEnd w:id="75"/>
      <w:bookmarkEnd w:id="76"/>
      <w:bookmarkEnd w:id="77"/>
      <w:bookmarkEnd w:id="78"/>
      <w:bookmarkEnd w:id="79"/>
      <w:bookmarkEnd w:id="80"/>
      <w:bookmarkEnd w:id="81"/>
      <w:bookmarkEnd w:id="82"/>
      <w:bookmarkEnd w:id="83"/>
    </w:p>
    <w:p w14:paraId="4EBA7B1D">
      <w:pPr>
        <w:snapToGrid w:val="0"/>
        <w:spacing w:line="360" w:lineRule="auto"/>
        <w:ind w:firstLine="420" w:firstLineChars="200"/>
        <w:rPr>
          <w:rFonts w:hint="eastAsia" w:ascii="宋体" w:hAnsi="宋体" w:eastAsia="宋体" w:cs="宋体"/>
        </w:rPr>
      </w:pPr>
      <w:bookmarkStart w:id="84" w:name="_Toc386042661"/>
      <w:bookmarkStart w:id="85" w:name="_Toc23190153"/>
      <w:bookmarkStart w:id="86" w:name="_Toc386154275"/>
      <w:bookmarkStart w:id="87" w:name="_Toc282993253"/>
      <w:bookmarkStart w:id="88" w:name="_Toc291951560"/>
      <w:bookmarkStart w:id="89" w:name="_Toc386042779"/>
      <w:bookmarkStart w:id="90" w:name="_Toc386156393"/>
      <w:bookmarkStart w:id="91" w:name="_Toc22092"/>
      <w:r>
        <w:rPr>
          <w:rFonts w:hint="eastAsia" w:ascii="宋体" w:hAnsi="宋体" w:eastAsia="宋体" w:cs="宋体"/>
        </w:rPr>
        <w:t>凡不满足4.1条正常使用条件之外的特殊条件，如环境温度、海拔、污秽等级等条件项目单位应在表4.1中明确，且应在招标书的相应技术条款及表</w:t>
      </w:r>
      <w:r>
        <w:rPr>
          <w:rFonts w:hint="eastAsia" w:ascii="宋体" w:hAnsi="宋体" w:eastAsia="宋体" w:cs="宋体"/>
          <w:lang w:val="en-US" w:eastAsia="zh-CN"/>
        </w:rPr>
        <w:t>9</w:t>
      </w:r>
      <w:r>
        <w:rPr>
          <w:rFonts w:hint="eastAsia" w:ascii="宋体" w:hAnsi="宋体" w:eastAsia="宋体" w:cs="宋体"/>
        </w:rPr>
        <w:t>-</w:t>
      </w:r>
      <w:r>
        <w:rPr>
          <w:rFonts w:hint="eastAsia" w:ascii="宋体" w:hAnsi="宋体" w:eastAsia="宋体" w:cs="宋体"/>
          <w:lang w:val="en-US" w:eastAsia="zh-CN"/>
        </w:rPr>
        <w:t>1</w:t>
      </w:r>
      <w:r>
        <w:rPr>
          <w:rFonts w:hint="eastAsia" w:ascii="宋体" w:hAnsi="宋体" w:eastAsia="宋体" w:cs="宋体"/>
        </w:rPr>
        <w:t>中对有关技术参数及要求加以修正、说明，并在提交需求计划及招标书时向物资部门特别明确。要求投标方按实际使用条件供货。</w:t>
      </w:r>
    </w:p>
    <w:p w14:paraId="6304A6E0">
      <w:pPr>
        <w:snapToGrid w:val="0"/>
        <w:spacing w:line="360" w:lineRule="auto"/>
        <w:ind w:firstLine="420" w:firstLineChars="200"/>
        <w:rPr>
          <w:rFonts w:hint="eastAsia" w:ascii="宋体" w:hAnsi="宋体" w:eastAsia="宋体" w:cs="宋体"/>
        </w:rPr>
      </w:pPr>
      <w:r>
        <w:rPr>
          <w:rFonts w:hint="eastAsia" w:ascii="宋体" w:hAnsi="宋体" w:eastAsia="宋体" w:cs="宋体"/>
        </w:rPr>
        <w:t>下列为特殊使用条件：</w:t>
      </w:r>
    </w:p>
    <w:p w14:paraId="1A363155">
      <w:pPr>
        <w:snapToGrid w:val="0"/>
        <w:spacing w:line="360" w:lineRule="auto"/>
        <w:ind w:firstLine="420" w:firstLineChars="200"/>
        <w:rPr>
          <w:rFonts w:hint="eastAsia" w:ascii="宋体" w:hAnsi="宋体" w:eastAsia="宋体" w:cs="宋体"/>
        </w:rPr>
      </w:pPr>
      <w:r>
        <w:rPr>
          <w:rFonts w:hint="eastAsia" w:ascii="宋体" w:hAnsi="宋体" w:eastAsia="宋体" w:cs="宋体"/>
        </w:rPr>
        <w:t>1)海拔高度超过1000m；</w:t>
      </w:r>
    </w:p>
    <w:p w14:paraId="1C25AE7C">
      <w:pPr>
        <w:snapToGrid w:val="0"/>
        <w:spacing w:line="360" w:lineRule="auto"/>
        <w:ind w:firstLine="420" w:firstLineChars="200"/>
        <w:rPr>
          <w:rFonts w:hint="eastAsia" w:ascii="宋体" w:hAnsi="宋体" w:eastAsia="宋体" w:cs="宋体"/>
        </w:rPr>
      </w:pPr>
      <w:r>
        <w:rPr>
          <w:rFonts w:hint="eastAsia" w:ascii="宋体" w:hAnsi="宋体" w:eastAsia="宋体" w:cs="宋体"/>
        </w:rPr>
        <w:t>2)最高环境温度超过45℃；</w:t>
      </w:r>
    </w:p>
    <w:p w14:paraId="0E9E5362">
      <w:pPr>
        <w:snapToGrid w:val="0"/>
        <w:spacing w:line="360" w:lineRule="auto"/>
        <w:ind w:firstLine="420" w:firstLineChars="200"/>
        <w:rPr>
          <w:rFonts w:hint="eastAsia" w:ascii="宋体" w:hAnsi="宋体" w:eastAsia="宋体" w:cs="宋体"/>
        </w:rPr>
      </w:pPr>
      <w:r>
        <w:rPr>
          <w:rFonts w:hint="eastAsia" w:ascii="宋体" w:hAnsi="宋体" w:eastAsia="宋体" w:cs="宋体"/>
        </w:rPr>
        <w:t>3)最大覆冰厚度超过50mm；</w:t>
      </w:r>
    </w:p>
    <w:p w14:paraId="47DE10C0">
      <w:pPr>
        <w:snapToGrid w:val="0"/>
        <w:spacing w:line="360" w:lineRule="auto"/>
        <w:ind w:firstLine="420" w:firstLineChars="200"/>
        <w:rPr>
          <w:rFonts w:hint="eastAsia" w:ascii="宋体" w:hAnsi="宋体" w:eastAsia="宋体" w:cs="宋体"/>
        </w:rPr>
      </w:pPr>
      <w:r>
        <w:rPr>
          <w:rFonts w:hint="eastAsia" w:ascii="宋体" w:hAnsi="宋体" w:eastAsia="宋体" w:cs="宋体"/>
        </w:rPr>
        <w:t>4)可能使金具产生腐蚀的烟气或蒸汽；</w:t>
      </w:r>
    </w:p>
    <w:p w14:paraId="73C9702D">
      <w:pPr>
        <w:snapToGrid w:val="0"/>
        <w:spacing w:line="360" w:lineRule="auto"/>
        <w:ind w:firstLine="420" w:firstLineChars="200"/>
        <w:rPr>
          <w:rFonts w:hint="eastAsia" w:ascii="宋体" w:hAnsi="宋体" w:eastAsia="宋体" w:cs="宋体"/>
        </w:rPr>
      </w:pPr>
      <w:r>
        <w:rPr>
          <w:rFonts w:hint="eastAsia" w:ascii="宋体" w:hAnsi="宋体" w:eastAsia="宋体" w:cs="宋体"/>
        </w:rPr>
        <w:t>5)因烟气、灰尘、盐雾或其它导电物质引起的严重污染；</w:t>
      </w:r>
    </w:p>
    <w:p w14:paraId="2039D1A0">
      <w:pPr>
        <w:snapToGrid w:val="0"/>
        <w:spacing w:line="360" w:lineRule="auto"/>
        <w:ind w:firstLine="420" w:firstLineChars="200"/>
        <w:rPr>
          <w:rFonts w:hint="eastAsia" w:ascii="宋体" w:hAnsi="宋体" w:eastAsia="宋体" w:cs="宋体"/>
        </w:rPr>
      </w:pPr>
      <w:r>
        <w:rPr>
          <w:rFonts w:hint="eastAsia" w:ascii="宋体" w:hAnsi="宋体" w:eastAsia="宋体" w:cs="宋体"/>
        </w:rPr>
        <w:t>6)设备靠近热源；</w:t>
      </w:r>
    </w:p>
    <w:p w14:paraId="0D135FE3">
      <w:pPr>
        <w:snapToGrid w:val="0"/>
        <w:spacing w:line="360" w:lineRule="auto"/>
        <w:ind w:firstLine="420" w:firstLineChars="200"/>
        <w:rPr>
          <w:rFonts w:hint="eastAsia" w:ascii="宋体" w:hAnsi="宋体" w:eastAsia="宋体" w:cs="宋体"/>
        </w:rPr>
      </w:pPr>
      <w:r>
        <w:rPr>
          <w:rFonts w:hint="eastAsia" w:ascii="宋体" w:hAnsi="宋体" w:eastAsia="宋体" w:cs="宋体"/>
        </w:rPr>
        <w:t>7)其它特殊使用条件</w:t>
      </w:r>
    </w:p>
    <w:p w14:paraId="6F18745A">
      <w:pPr>
        <w:snapToGrid w:val="0"/>
        <w:spacing w:line="360" w:lineRule="auto"/>
        <w:ind w:firstLine="420" w:firstLineChars="200"/>
        <w:rPr>
          <w:rFonts w:hint="eastAsia" w:ascii="宋体" w:hAnsi="宋体" w:eastAsia="宋体" w:cs="宋体"/>
        </w:rPr>
      </w:pPr>
      <w:r>
        <w:rPr>
          <w:rFonts w:hint="eastAsia" w:ascii="宋体" w:hAnsi="宋体" w:eastAsia="宋体" w:cs="宋体"/>
        </w:rPr>
        <w:t>设备在其它特殊使用条件下使用时，应参照GB/T 4796、GB/T 4797、GB/T 4798的规定提出其环境参数要求。</w:t>
      </w:r>
    </w:p>
    <w:p w14:paraId="392FB0D1">
      <w:pPr>
        <w:pStyle w:val="2"/>
        <w:numPr>
          <w:ilvl w:val="0"/>
          <w:numId w:val="19"/>
        </w:numPr>
        <w:ind w:left="0" w:firstLine="0"/>
        <w:rPr>
          <w:b/>
          <w:color w:val="000000"/>
          <w:highlight w:val="none"/>
        </w:rPr>
      </w:pPr>
      <w:r>
        <w:rPr>
          <w:rFonts w:hint="eastAsia"/>
          <w:b/>
          <w:color w:val="000000"/>
          <w:highlight w:val="none"/>
        </w:rPr>
        <w:t>技术要求</w:t>
      </w:r>
      <w:bookmarkEnd w:id="84"/>
      <w:bookmarkEnd w:id="85"/>
      <w:bookmarkEnd w:id="86"/>
      <w:bookmarkEnd w:id="87"/>
      <w:bookmarkEnd w:id="88"/>
      <w:bookmarkEnd w:id="89"/>
      <w:bookmarkEnd w:id="90"/>
      <w:bookmarkEnd w:id="91"/>
    </w:p>
    <w:p w14:paraId="4EE6FB8A">
      <w:pPr>
        <w:snapToGrid w:val="0"/>
        <w:spacing w:line="360" w:lineRule="auto"/>
        <w:ind w:firstLine="420" w:firstLineChars="200"/>
        <w:rPr>
          <w:rFonts w:hint="eastAsia" w:ascii="宋体" w:hAnsi="宋体" w:eastAsia="宋体" w:cs="宋体"/>
        </w:rPr>
      </w:pPr>
      <w:r>
        <w:rPr>
          <w:rFonts w:hint="eastAsia" w:ascii="宋体" w:hAnsi="宋体" w:eastAsia="宋体" w:cs="宋体"/>
          <w:lang w:val="en-US" w:eastAsia="zh-CN"/>
        </w:rPr>
        <w:t>变电站生产运维材料中的断路器类配件、隔离开关类配件、变压器类配件、其他类配件及四小器类配件</w:t>
      </w:r>
      <w:r>
        <w:rPr>
          <w:rFonts w:hint="eastAsia" w:ascii="宋体" w:hAnsi="宋体" w:eastAsia="宋体" w:cs="宋体"/>
        </w:rPr>
        <w:t>必须符合相关国家标准、行业标准和南网企业标准的要求。</w:t>
      </w:r>
    </w:p>
    <w:p w14:paraId="22F69331">
      <w:pPr>
        <w:pStyle w:val="133"/>
        <w:numPr>
          <w:ilvl w:val="0"/>
          <w:numId w:val="0"/>
        </w:numPr>
        <w:spacing w:line="360" w:lineRule="auto"/>
        <w:jc w:val="left"/>
        <w:outlineLvl w:val="1"/>
        <w:rPr>
          <w:rFonts w:hint="default" w:eastAsia="黑体"/>
          <w:lang w:val="en-US" w:eastAsia="zh-CN"/>
        </w:rPr>
      </w:pPr>
      <w:r>
        <w:rPr>
          <w:rFonts w:hint="eastAsia" w:ascii="Times New Roman"/>
          <w:b w:val="0"/>
          <w:color w:val="000000"/>
          <w:highlight w:val="none"/>
          <w:lang w:val="en-US" w:eastAsia="zh-CN"/>
        </w:rPr>
        <w:t>5.1断路器类配件</w:t>
      </w:r>
    </w:p>
    <w:p w14:paraId="07AE9469">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5.1.1分、合闸线圈</w:t>
      </w:r>
    </w:p>
    <w:p w14:paraId="13399FD1">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分、合闸线圈的功率应小于500W。</w:t>
      </w:r>
    </w:p>
    <w:p w14:paraId="7DE126C9">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分、合闸线圈动作电流应不小于50mA，以便提供连续的监视。</w:t>
      </w:r>
    </w:p>
    <w:p w14:paraId="2B9A86DD">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分、合闸线圈的通流能力应满足在额定电源电压下或额定电流下通电10次，每次1s，两次通电时间间隔取10s，线圈不烧毁且功能正常，温升不超过40K。</w:t>
      </w:r>
    </w:p>
    <w:p w14:paraId="30279E1A">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分、合闸线圈应在长期通过电流50mA不发生烧坏或误动作。</w:t>
      </w:r>
    </w:p>
    <w:p w14:paraId="1D016F05">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分、合闸线圈外表应标明其电压等级、阻值合格范围、生产厂家等信息。</w:t>
      </w:r>
    </w:p>
    <w:p w14:paraId="3BF85708">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35kV-500kV分、合闸线圈支架及匝间绝缘材料应采用耐热等级不低于E级的绝缘材料；10kV分、合闸线圈应选用全封装结构（树脂浇注封装），且固定底座采用金属材质。</w:t>
      </w:r>
    </w:p>
    <w:p w14:paraId="5AFFFCED">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5.1.2继电器</w:t>
      </w:r>
    </w:p>
    <w:p w14:paraId="6270C4A3">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所有涉及断路器直接分闸的出口中间继电器应采用动作电压在额定直流电压的55%～70%范围内、动作功率不低于5W的中间继电器。</w:t>
      </w:r>
    </w:p>
    <w:p w14:paraId="68525B21">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中间继电器的动作时间应大于10ms，不超过35ms。</w:t>
      </w:r>
    </w:p>
    <w:p w14:paraId="06E64A31">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继电器接点材料不应采用铁质，继电器接线端子应采用铜材质，紧固螺栓和压片采用铜或不锈钢材质，触点的接触电阻不大于0.05Ω，额定接线截面积不小于2.5mm2。</w:t>
      </w:r>
    </w:p>
    <w:p w14:paraId="214F2D14">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时间继电器在其额定控制电源电压Ue的55%～65%范围内能正常的延时动作，启动功率不低于5W。</w:t>
      </w:r>
    </w:p>
    <w:p w14:paraId="1965BCEE">
      <w:pPr>
        <w:snapToGrid w:val="0"/>
        <w:spacing w:line="360" w:lineRule="auto"/>
        <w:ind w:firstLine="420" w:firstLineChars="200"/>
        <w:rPr>
          <w:rFonts w:hint="eastAsia"/>
          <w:color w:val="auto"/>
          <w:highlight w:val="none"/>
        </w:rPr>
      </w:pPr>
      <w:r>
        <w:rPr>
          <w:rFonts w:hint="eastAsia" w:ascii="宋体" w:hAnsi="宋体" w:eastAsia="宋体" w:cs="宋体"/>
          <w:lang w:val="en-US" w:eastAsia="zh-CN"/>
        </w:rPr>
        <w:t>时间继电器不应选用气囊式时间继电器。</w:t>
      </w:r>
    </w:p>
    <w:p w14:paraId="47FCC4EC">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5.1.3 10kV移开式开关动静触头及触头盒</w:t>
      </w:r>
    </w:p>
    <w:p w14:paraId="5F0AB214">
      <w:pPr>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3150A、4000A开关柜的静触头盒需与静触头配套，为五孔型，不应全密封，安装后通孔孔径≤12mm，静触头盒上有对流风道或采用热管传导式散热器，满足温升要求。</w:t>
      </w:r>
    </w:p>
    <w:p w14:paraId="37E79298">
      <w:pPr>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开关柜若采用梅花触头，应满足以下技术要求：</w:t>
      </w:r>
    </w:p>
    <w:p w14:paraId="22910A3D">
      <w:pPr>
        <w:numPr>
          <w:ilvl w:val="0"/>
          <w:numId w:val="20"/>
        </w:numPr>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使用T2紫铜（铜+银含量≥99.90%），表面镀银处理，静触头、触指接触表面镀银层厚度≥12μm，静触头接触表面粗糙度Ra≤3.2。</w:t>
      </w:r>
    </w:p>
    <w:p w14:paraId="2DBFA34D">
      <w:pPr>
        <w:numPr>
          <w:ilvl w:val="0"/>
          <w:numId w:val="20"/>
        </w:numPr>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梅花触头触指数量应满足：1250A≥30片、3150A/4000A≥82片；每片触头片厚度大于等于2.5mm。</w:t>
      </w:r>
    </w:p>
    <w:p w14:paraId="757859EE">
      <w:pPr>
        <w:numPr>
          <w:numId w:val="0"/>
        </w:numPr>
        <w:adjustRightInd w:val="0"/>
        <w:snapToGrid w:val="0"/>
        <w:spacing w:line="360" w:lineRule="auto"/>
        <w:ind w:firstLine="420" w:firstLineChars="200"/>
        <w:rPr>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触头座为内置式，不应凸起，应使用四根触头弹簧压紧触头，弹簧直径不小于6mm，弹簧应为无缝连接的螺纹式固定，采用拉勾时，拉勾不应有开口。弹簧应淬火处理，触头弹簧在正常温升下不发生形变，且弹簧力不应下降。弹簧应为无磁不锈钢材料。</w:t>
      </w:r>
    </w:p>
    <w:p w14:paraId="386C5E1B">
      <w:pPr>
        <w:pStyle w:val="133"/>
        <w:numPr>
          <w:ilvl w:val="0"/>
          <w:numId w:val="0"/>
        </w:numPr>
        <w:spacing w:line="360" w:lineRule="auto"/>
        <w:jc w:val="left"/>
        <w:outlineLvl w:val="1"/>
        <w:rPr>
          <w:rFonts w:hint="default" w:ascii="Times New Roman"/>
          <w:b w:val="0"/>
          <w:color w:val="000000"/>
          <w:highlight w:val="none"/>
          <w:lang w:val="en-US" w:eastAsia="zh-CN"/>
        </w:rPr>
      </w:pPr>
      <w:r>
        <w:rPr>
          <w:rFonts w:hint="eastAsia" w:ascii="Times New Roman"/>
          <w:b w:val="0"/>
          <w:color w:val="000000"/>
          <w:highlight w:val="none"/>
          <w:lang w:val="en-US" w:eastAsia="zh-CN"/>
        </w:rPr>
        <w:t>5.1.4 SF6气体监测设备</w:t>
      </w:r>
    </w:p>
    <w:p w14:paraId="3DC7A09C">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SF6气体监测设备应采用具有密度和压力指示功能合一的气体密度继电器，应具有自动温度补偿功能，在-30℃～+60℃范围内任何温度下指示的压力值是室温（20℃）下的压力值（密度）。压力表（或密度表）的准确度等级应为1.0级，仪表额定压力值最大允许误差、报警点和闭锁点的设定点偏差及切换差、超压报警点的设定点偏差及切换差等要求应符合JJG 1073-2011要求。</w:t>
      </w:r>
    </w:p>
    <w:p w14:paraId="3DE74D45">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气体密度继电器应是防振型优质机械指示式密度继电器（同时适用于数字化SF6密度表的机械部分），应满足GB/T 22065 5.1.4的正常工作环境冲击等级要求（表壳内不充油：不超过30g；表壳内充油：不超过50g），并有数字指示标记及报警、闭锁（只对断路器）区域。数字指示标记范围应包含负0.1到压力表最高压力。</w:t>
      </w:r>
    </w:p>
    <w:p w14:paraId="1D80CCE8">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户外安装的密度继电器应配套相应的防雨措施。</w:t>
      </w:r>
    </w:p>
    <w:p w14:paraId="5114E041">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充气接头应采用H80黄铜或304(L)或316(L)不锈钢，连接管道材质应采用紫铜、304或316L不锈钢，充气阀底座材质应使用6系铝。在高盐雾区域，充气接头应采用H80黄铜，连接管道材质应采用紫铜。</w:t>
      </w:r>
    </w:p>
    <w:p w14:paraId="54430561">
      <w:pPr>
        <w:pStyle w:val="133"/>
        <w:numPr>
          <w:ilvl w:val="0"/>
          <w:numId w:val="0"/>
        </w:numPr>
        <w:spacing w:line="360" w:lineRule="auto"/>
        <w:jc w:val="left"/>
        <w:outlineLvl w:val="1"/>
        <w:rPr>
          <w:rFonts w:hint="default" w:ascii="Times New Roman"/>
          <w:b w:val="0"/>
          <w:color w:val="000000"/>
          <w:highlight w:val="none"/>
          <w:lang w:val="en-US" w:eastAsia="zh-CN"/>
        </w:rPr>
      </w:pPr>
      <w:r>
        <w:rPr>
          <w:rFonts w:hint="eastAsia" w:ascii="Times New Roman"/>
          <w:b w:val="0"/>
          <w:color w:val="000000"/>
          <w:highlight w:val="none"/>
          <w:lang w:val="en-US" w:eastAsia="zh-CN"/>
        </w:rPr>
        <w:t>5.2隔离开关类配件</w:t>
      </w:r>
    </w:p>
    <w:p w14:paraId="02C28371">
      <w:pPr>
        <w:pStyle w:val="133"/>
        <w:numPr>
          <w:ilvl w:val="0"/>
          <w:numId w:val="0"/>
        </w:numPr>
        <w:spacing w:line="360" w:lineRule="auto"/>
        <w:jc w:val="left"/>
        <w:outlineLvl w:val="1"/>
        <w:rPr>
          <w:rFonts w:hint="default" w:ascii="Times New Roman"/>
          <w:b w:val="0"/>
          <w:color w:val="000000"/>
          <w:highlight w:val="none"/>
          <w:lang w:val="en-US" w:eastAsia="zh-CN"/>
        </w:rPr>
      </w:pPr>
      <w:r>
        <w:rPr>
          <w:rFonts w:hint="eastAsia" w:ascii="Times New Roman"/>
          <w:b w:val="0"/>
          <w:color w:val="000000"/>
          <w:highlight w:val="none"/>
          <w:lang w:val="en-US" w:eastAsia="zh-CN"/>
        </w:rPr>
        <w:t>5.2.1 35kV-500kV敞开式隔离开关及接地开关</w:t>
      </w:r>
    </w:p>
    <w:p w14:paraId="4CE869A7">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 xml:space="preserve">1）机械寿命：应为M2级隔离开关和接地开关，不小于10000次；  </w:t>
      </w:r>
    </w:p>
    <w:p w14:paraId="5D20CBB4">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2）使用寿命：敞开式隔离开关的使用寿命应不小于40年，本体A修周期不小于18年，操作机构A修周期不小于18年。</w:t>
      </w:r>
    </w:p>
    <w:p w14:paraId="3EFE936F">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注：A 类检修是指设备需要停电进行的整体检查、维修、更换、试验工作。</w:t>
      </w:r>
    </w:p>
    <w:p w14:paraId="4F28C816">
      <w:pPr>
        <w:snapToGrid w:val="0"/>
        <w:spacing w:line="360" w:lineRule="auto"/>
        <w:ind w:firstLine="420" w:firstLineChars="200"/>
        <w:rPr>
          <w:rFonts w:hint="default" w:ascii="宋体" w:hAnsi="宋体" w:eastAsia="宋体" w:cs="宋体"/>
          <w:lang w:val="en-US" w:eastAsia="zh-CN"/>
        </w:rPr>
      </w:pPr>
      <w:r>
        <w:rPr>
          <w:rFonts w:hint="eastAsia" w:ascii="宋体" w:hAnsi="宋体" w:eastAsia="宋体" w:cs="宋体"/>
          <w:lang w:val="en-US" w:eastAsia="zh-CN"/>
        </w:rPr>
        <w:t>3）温升：温升试验电流应为额定电流（Ir）的1.1倍，且在温升试验规定的条件下，当周围空气温度不超过40℃，开关设备和控制设备任何部分的温升不超过DL/T 593 表3规定的温升极限。</w:t>
      </w:r>
    </w:p>
    <w:p w14:paraId="02C9DDDA">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 xml:space="preserve">5.2.2 </w:t>
      </w:r>
      <w:r>
        <w:rPr>
          <w:rFonts w:hint="eastAsia" w:ascii="Times New Roman"/>
          <w:b w:val="0"/>
          <w:color w:val="000000"/>
          <w:highlight w:val="none"/>
          <w:lang w:val="en-US" w:eastAsia="zh-CN"/>
        </w:rPr>
        <w:t>35kV-500kV敞开式隔离开关</w:t>
      </w:r>
      <w:r>
        <w:rPr>
          <w:rFonts w:hint="eastAsia" w:ascii="Times New Roman"/>
          <w:b w:val="0"/>
          <w:color w:val="000000"/>
          <w:highlight w:val="none"/>
          <w:lang w:val="en-US" w:eastAsia="zh-CN"/>
        </w:rPr>
        <w:t>操动机构</w:t>
      </w:r>
    </w:p>
    <w:p w14:paraId="1353B655">
      <w:pPr>
        <w:pStyle w:val="43"/>
        <w:spacing w:line="360" w:lineRule="auto"/>
        <w:rPr>
          <w:rFonts w:ascii="Times New Roman" w:hAnsi="Times New Roman" w:eastAsia="黑体"/>
        </w:rPr>
      </w:pPr>
      <w:bookmarkStart w:id="92" w:name="_Toc416322721"/>
      <w:bookmarkStart w:id="93" w:name="_Toc213922384"/>
      <w:bookmarkStart w:id="94" w:name="_Toc402240629"/>
      <w:bookmarkStart w:id="95" w:name="_Toc213922211"/>
      <w:bookmarkStart w:id="96" w:name="_Toc402240201"/>
      <w:bookmarkStart w:id="97" w:name="_Toc416323134"/>
      <w:bookmarkStart w:id="98" w:name="_Toc488723305"/>
      <w:r>
        <w:rPr>
          <w:rFonts w:ascii="Times New Roman" w:hAnsi="Times New Roman" w:eastAsia="黑体"/>
        </w:rPr>
        <w:t>5.2.</w:t>
      </w:r>
      <w:r>
        <w:rPr>
          <w:rFonts w:hint="eastAsia" w:ascii="Times New Roman" w:hAnsi="Times New Roman" w:eastAsia="黑体"/>
          <w:lang w:val="en-US" w:eastAsia="zh-CN"/>
        </w:rPr>
        <w:t>2</w:t>
      </w:r>
      <w:r>
        <w:rPr>
          <w:rFonts w:ascii="Times New Roman" w:hAnsi="Times New Roman" w:eastAsia="黑体"/>
        </w:rPr>
        <w:t xml:space="preserve">.1 </w:t>
      </w:r>
      <w:bookmarkEnd w:id="92"/>
      <w:bookmarkEnd w:id="93"/>
      <w:bookmarkEnd w:id="94"/>
      <w:bookmarkEnd w:id="95"/>
      <w:bookmarkEnd w:id="96"/>
      <w:bookmarkEnd w:id="97"/>
      <w:bookmarkEnd w:id="98"/>
      <w:r>
        <w:rPr>
          <w:rFonts w:ascii="Times New Roman" w:hAnsi="Times New Roman" w:eastAsia="黑体"/>
        </w:rPr>
        <w:t>操动方式</w:t>
      </w:r>
    </w:p>
    <w:p w14:paraId="698CCAB4">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隔离开关主刀闸和接地刀闸应具备电动操作功能。</w:t>
      </w:r>
    </w:p>
    <w:p w14:paraId="6A720DBA">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隔离开关主刀闸和接地刀闸如果采用分相式电动操动机构，应具备三相电气联动功能。应设就地操作按钮及手动操动装置，并能就地单相操作。操作机构中应具有“远方/就地”转换开关。</w:t>
      </w:r>
    </w:p>
    <w:p w14:paraId="19A18514">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隔离开关手动/电动操作应互为闭锁，手动操作时不允许电动操作，电动操作时不允许手动操作。</w:t>
      </w:r>
      <w:bookmarkStart w:id="99" w:name="_Toc488723306"/>
      <w:bookmarkStart w:id="100" w:name="_Toc402240202"/>
      <w:bookmarkStart w:id="101" w:name="_Toc416323135"/>
      <w:bookmarkStart w:id="102" w:name="_Toc213922212"/>
      <w:bookmarkStart w:id="103" w:name="_Toc402240630"/>
      <w:bookmarkStart w:id="104" w:name="_Toc416322722"/>
      <w:bookmarkStart w:id="105" w:name="_Toc213922385"/>
    </w:p>
    <w:p w14:paraId="527A74C8">
      <w:pPr>
        <w:pStyle w:val="43"/>
        <w:spacing w:line="360" w:lineRule="auto"/>
        <w:rPr>
          <w:rFonts w:ascii="Times New Roman" w:hAnsi="Times New Roman" w:eastAsia="黑体"/>
        </w:rPr>
      </w:pPr>
      <w:r>
        <w:rPr>
          <w:rFonts w:ascii="Times New Roman" w:hAnsi="Times New Roman" w:eastAsia="黑体"/>
        </w:rPr>
        <w:t>5.2.</w:t>
      </w:r>
      <w:r>
        <w:rPr>
          <w:rFonts w:hint="eastAsia" w:ascii="Times New Roman" w:hAnsi="Times New Roman" w:eastAsia="黑体"/>
          <w:lang w:val="en-US" w:eastAsia="zh-CN"/>
        </w:rPr>
        <w:t>2</w:t>
      </w:r>
      <w:r>
        <w:rPr>
          <w:rFonts w:ascii="Times New Roman" w:hAnsi="Times New Roman" w:eastAsia="黑体"/>
        </w:rPr>
        <w:t xml:space="preserve">.2 </w:t>
      </w:r>
      <w:bookmarkEnd w:id="99"/>
      <w:bookmarkEnd w:id="100"/>
      <w:bookmarkEnd w:id="101"/>
      <w:bookmarkEnd w:id="102"/>
      <w:bookmarkEnd w:id="103"/>
      <w:bookmarkEnd w:id="104"/>
      <w:bookmarkEnd w:id="105"/>
      <w:r>
        <w:rPr>
          <w:rFonts w:ascii="Times New Roman" w:hAnsi="Times New Roman" w:eastAsia="黑体"/>
        </w:rPr>
        <w:t>操作手柄</w:t>
      </w:r>
    </w:p>
    <w:p w14:paraId="20019B08">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机构手动操动的手柄长度不大于1m，离地面的高度约为1.2m左右，操作力矩不大于200N·m。</w:t>
      </w:r>
    </w:p>
    <w:p w14:paraId="7DFF0D30">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每台机构箱内配备一把操作手柄，操作手柄应固定在机构箱门内侧。</w:t>
      </w:r>
    </w:p>
    <w:p w14:paraId="32FA535D">
      <w:pPr>
        <w:pStyle w:val="43"/>
        <w:spacing w:line="360" w:lineRule="auto"/>
        <w:rPr>
          <w:rFonts w:ascii="Times New Roman" w:hAnsi="Times New Roman" w:eastAsia="黑体"/>
        </w:rPr>
      </w:pPr>
      <w:bookmarkStart w:id="106" w:name="_Toc416323136"/>
      <w:bookmarkStart w:id="107" w:name="_Toc213922386"/>
      <w:bookmarkStart w:id="108" w:name="_Toc488723307"/>
      <w:bookmarkStart w:id="109" w:name="_Toc402240203"/>
      <w:bookmarkStart w:id="110" w:name="_Toc402240631"/>
      <w:bookmarkStart w:id="111" w:name="_Toc416322723"/>
      <w:bookmarkStart w:id="112" w:name="_Toc213922213"/>
      <w:r>
        <w:rPr>
          <w:rFonts w:ascii="Times New Roman" w:hAnsi="Times New Roman" w:eastAsia="黑体"/>
        </w:rPr>
        <w:t>5.2.</w:t>
      </w:r>
      <w:r>
        <w:rPr>
          <w:rFonts w:hint="eastAsia" w:ascii="Times New Roman" w:hAnsi="Times New Roman" w:eastAsia="黑体"/>
          <w:lang w:val="en-US" w:eastAsia="zh-CN"/>
        </w:rPr>
        <w:t>2</w:t>
      </w:r>
      <w:r>
        <w:rPr>
          <w:rFonts w:ascii="Times New Roman" w:hAnsi="Times New Roman" w:eastAsia="黑体"/>
        </w:rPr>
        <w:t xml:space="preserve">.3 </w:t>
      </w:r>
      <w:bookmarkEnd w:id="106"/>
      <w:bookmarkEnd w:id="107"/>
      <w:bookmarkEnd w:id="108"/>
      <w:bookmarkEnd w:id="109"/>
      <w:bookmarkEnd w:id="110"/>
      <w:bookmarkEnd w:id="111"/>
      <w:bookmarkEnd w:id="112"/>
      <w:r>
        <w:rPr>
          <w:rFonts w:ascii="Times New Roman" w:hAnsi="Times New Roman" w:eastAsia="黑体"/>
        </w:rPr>
        <w:t>分、合闸操作</w:t>
      </w:r>
    </w:p>
    <w:p w14:paraId="60054EEF">
      <w:pPr>
        <w:spacing w:line="312" w:lineRule="auto"/>
        <w:ind w:firstLine="404"/>
        <w:rPr>
          <w:rFonts w:hint="eastAsia" w:ascii="宋体" w:hAnsi="宋体" w:eastAsia="宋体" w:cs="宋体"/>
        </w:rPr>
      </w:pPr>
      <w:r>
        <w:rPr>
          <w:rFonts w:hint="eastAsia" w:ascii="宋体" w:hAnsi="宋体" w:eastAsia="宋体" w:cs="宋体"/>
        </w:rPr>
        <w:t>动力操动机构，当其电压在下列范围内时，应保证隔离开关或接地开关可靠的分闸和合闸：</w:t>
      </w:r>
    </w:p>
    <w:p w14:paraId="7397EBBC">
      <w:pPr>
        <w:numPr>
          <w:numId w:val="0"/>
        </w:numPr>
        <w:spacing w:line="312" w:lineRule="auto"/>
        <w:ind w:left="404" w:leftChars="0"/>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电动操动机构的电动机接线端子的电压在其额定值的85%～110%范围内时；</w:t>
      </w:r>
    </w:p>
    <w:p w14:paraId="237FBAA7">
      <w:pPr>
        <w:numPr>
          <w:numId w:val="0"/>
        </w:numPr>
        <w:spacing w:line="312" w:lineRule="auto"/>
        <w:ind w:left="404" w:leftChars="0"/>
      </w:pPr>
      <w:r>
        <w:rPr>
          <w:rFonts w:hint="eastAsia" w:ascii="宋体" w:hAnsi="宋体" w:eastAsia="宋体" w:cs="宋体"/>
          <w:lang w:val="en-US" w:eastAsia="zh-CN"/>
        </w:rPr>
        <w:t>2）</w:t>
      </w:r>
      <w:r>
        <w:rPr>
          <w:rFonts w:hint="eastAsia" w:ascii="宋体" w:hAnsi="宋体" w:eastAsia="宋体" w:cs="宋体"/>
        </w:rPr>
        <w:t>二次控制线圈、电磁联锁装置，当其线圈接线端子的电压在其额定值的85%～110%范围内时。</w:t>
      </w:r>
    </w:p>
    <w:p w14:paraId="5FD361D3">
      <w:pPr>
        <w:widowControl/>
        <w:spacing w:line="360" w:lineRule="auto"/>
        <w:jc w:val="left"/>
        <w:rPr>
          <w:rFonts w:eastAsia="黑体"/>
        </w:rPr>
      </w:pPr>
      <w:bookmarkStart w:id="113" w:name="_Toc213922387"/>
      <w:bookmarkStart w:id="114" w:name="_Toc488723308"/>
      <w:bookmarkStart w:id="115" w:name="_Toc213922214"/>
      <w:bookmarkStart w:id="116" w:name="_Toc416323137"/>
      <w:bookmarkStart w:id="117" w:name="_Toc402240632"/>
      <w:bookmarkStart w:id="118" w:name="_Toc416322724"/>
      <w:bookmarkStart w:id="119" w:name="_Toc402240204"/>
      <w:r>
        <w:rPr>
          <w:rFonts w:eastAsia="黑体"/>
        </w:rPr>
        <w:t>5.2.</w:t>
      </w:r>
      <w:r>
        <w:rPr>
          <w:rFonts w:hint="eastAsia" w:eastAsia="黑体"/>
          <w:lang w:val="en-US" w:eastAsia="zh-CN"/>
        </w:rPr>
        <w:t>2</w:t>
      </w:r>
      <w:r>
        <w:rPr>
          <w:rFonts w:eastAsia="黑体"/>
        </w:rPr>
        <w:t xml:space="preserve">.4 </w:t>
      </w:r>
      <w:bookmarkEnd w:id="113"/>
      <w:bookmarkEnd w:id="114"/>
      <w:bookmarkEnd w:id="115"/>
      <w:bookmarkEnd w:id="116"/>
      <w:bookmarkEnd w:id="117"/>
      <w:bookmarkEnd w:id="118"/>
      <w:bookmarkEnd w:id="119"/>
      <w:r>
        <w:rPr>
          <w:rFonts w:hint="eastAsia" w:ascii="Times New Roman"/>
          <w:b w:val="0"/>
          <w:color w:val="000000"/>
          <w:highlight w:val="none"/>
          <w:lang w:val="en-US" w:eastAsia="zh-CN"/>
        </w:rPr>
        <w:t>35kV-500</w:t>
      </w:r>
      <w:r>
        <w:rPr>
          <w:rFonts w:hint="eastAsia" w:ascii="Times New Roman" w:hAnsi="Times New Roman" w:eastAsia="黑体" w:cs="Times New Roman"/>
          <w:b w:val="0"/>
          <w:color w:val="000000"/>
          <w:kern w:val="2"/>
          <w:sz w:val="21"/>
          <w:highlight w:val="none"/>
          <w:lang w:val="en-US" w:eastAsia="zh-CN" w:bidi="ar-SA"/>
        </w:rPr>
        <w:t>kV敞开式隔离开关机构箱</w:t>
      </w:r>
    </w:p>
    <w:p w14:paraId="263B8726">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机构箱的外壳应采用防锈性能不低于304不锈钢材质，厚度不小于2.0mm，离海岸线3km内地区应采用316L不锈钢材质，应采取有效的防腐、防锈措施，确保在使用寿命内不出现涂层剥落、表面锈蚀的现象，并提供材质盐雾试验报告，机构箱外沿的边、角需做圆弧或倒角处理，圆弧或倒角应平滑，无尖角、毛刺。</w:t>
      </w:r>
    </w:p>
    <w:p w14:paraId="12F371AC">
      <w:pPr>
        <w:snapToGrid w:val="0"/>
        <w:spacing w:line="360" w:lineRule="auto"/>
        <w:ind w:firstLine="420" w:firstLineChars="200"/>
        <w:rPr>
          <w:rFonts w:hint="eastAsia" w:ascii="宋体" w:hAnsi="宋体" w:eastAsia="宋体" w:cs="宋体"/>
          <w:kern w:val="21"/>
          <w:lang w:val="en-US" w:eastAsia="zh-CN"/>
        </w:rPr>
      </w:pPr>
      <w:r>
        <w:rPr>
          <w:rFonts w:hint="eastAsia" w:ascii="宋体" w:hAnsi="宋体" w:eastAsia="宋体" w:cs="宋体"/>
          <w:lang w:val="en-US" w:eastAsia="zh-CN"/>
        </w:rPr>
        <w:t>操动机构箱应能防锈、防寒、防小动物、防尘、防潮、防雨，并有密网孔的过滤网防止昆虫进入，各面板采用折弯焊接工艺，防护等级为IP55。箱体框架设计防水槽。箱体框架与门板配合时，确保即使有恶劣天气引起的暴雨，也不会有漏水现象。</w:t>
      </w:r>
    </w:p>
    <w:p w14:paraId="31C335BB">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 xml:space="preserve">5.2.3 </w:t>
      </w:r>
      <w:r>
        <w:rPr>
          <w:rFonts w:hint="eastAsia" w:ascii="Times New Roman"/>
          <w:b w:val="0"/>
          <w:color w:val="000000"/>
          <w:highlight w:val="none"/>
          <w:lang w:val="en-US" w:eastAsia="zh-CN"/>
        </w:rPr>
        <w:t>35kV-500kV敞开式隔离开关</w:t>
      </w:r>
      <w:r>
        <w:rPr>
          <w:rFonts w:hint="eastAsia" w:ascii="Times New Roman"/>
          <w:b w:val="0"/>
          <w:color w:val="000000"/>
          <w:highlight w:val="none"/>
          <w:lang w:val="en-US" w:eastAsia="zh-CN"/>
        </w:rPr>
        <w:t>导电回路装配</w:t>
      </w:r>
    </w:p>
    <w:p w14:paraId="1BD07DA9">
      <w:pPr>
        <w:snapToGrid w:val="0"/>
        <w:spacing w:line="360" w:lineRule="auto"/>
        <w:ind w:firstLine="420" w:firstLineChars="200"/>
        <w:rPr>
          <w:rFonts w:hint="eastAsia" w:ascii="宋体" w:hAnsi="宋体" w:eastAsia="宋体" w:cs="宋体"/>
          <w:lang w:val="en-US" w:eastAsia="zh-CN"/>
        </w:rPr>
      </w:pPr>
      <w:bookmarkStart w:id="120" w:name="_Toc388566257"/>
      <w:bookmarkStart w:id="121" w:name="_Toc386156417"/>
      <w:bookmarkStart w:id="122" w:name="_Toc386042685"/>
      <w:bookmarkStart w:id="123" w:name="_Toc386042803"/>
      <w:bookmarkStart w:id="124" w:name="_Toc386154299"/>
      <w:r>
        <w:rPr>
          <w:rFonts w:hint="eastAsia" w:ascii="宋体" w:hAnsi="宋体" w:eastAsia="宋体" w:cs="宋体"/>
          <w:lang w:val="en-US" w:eastAsia="zh-CN"/>
        </w:rPr>
        <w:t>导电回路采用机电分离措施，除了断口部位其他导电部位均为固定连接。主导电回路每个固定接触面使用100A电流电压法测量接触电阻小于6μΩ。隔离开关导电回路应能耐受1.1倍额定电流而不超过允许温升值。</w:t>
      </w:r>
    </w:p>
    <w:p w14:paraId="5B1B8525">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导电杆（臂）表面应经过阳极氧化处理；</w:t>
      </w:r>
    </w:p>
    <w:p w14:paraId="7FA6158F">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触指压力弹簧材质为奥氏体不锈钢材料。应采用外压式弹簧触头结构，其触头弹簧必须采取可靠的防止弹簧分流的绝缘措施，以保证弹簧的弹性。</w:t>
      </w:r>
      <w:bookmarkEnd w:id="120"/>
      <w:bookmarkEnd w:id="121"/>
      <w:bookmarkEnd w:id="122"/>
      <w:bookmarkEnd w:id="123"/>
      <w:bookmarkEnd w:id="124"/>
    </w:p>
    <w:p w14:paraId="00338CD7">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隔离开关触头应设计成在正常物理形变范围内，其接触压力应满足制造厂要求。制造厂应提供隔离开关触指夹紧力标准、测试报告。</w:t>
      </w:r>
    </w:p>
    <w:p w14:paraId="25113D01">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主导电连接严禁采用铜编织带，应采用T2铜镀锡或纯铝材质叠片式软导电带。软导电带应采用导向设计，外露的软导电带最外层应采用包覆不锈钢片等方式进行防护。导电接触面应镀银或镀锡，镀层厚度≥12µm。</w:t>
      </w:r>
    </w:p>
    <w:p w14:paraId="4028FADF">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触头、触指材料：</w:t>
      </w:r>
    </w:p>
    <w:p w14:paraId="007DA6A2">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1）应采用铜、铬青铜合金或其它高强度、高导电性能材料；采用铜材料时，牌号不应低于T2（纯度＞99.9%),采用铬青铜合金时，应满足GB/T 5231《加工铜及铜合金牌号和和化学成分》的要求；</w:t>
      </w:r>
    </w:p>
    <w:p w14:paraId="151A6E62">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2）触头、触指接触部位采用石墨镀银或常规镀银技术，若采用石墨镀银技术则镀银层厚度≥20µm、硬度应≥80HV。若采用常规镀银技术则镀银层厚度应≥20µm、硬度应≥120HV。</w:t>
      </w:r>
    </w:p>
    <w:p w14:paraId="181E59D4">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3）采用常规镀银技术，镀银层应为银白色，呈无光泽或半光泽，不应为高光高亮镀层，镀层应结晶细致、平滑、均匀、连续；表面无裂纹、起泡、脱落、缺边、掉角、毛刺、针孔、色斑、腐蚀锈斑和划伤、碰伤等缺陷。</w:t>
      </w:r>
    </w:p>
    <w:p w14:paraId="70A703E7">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配钳夹式触头的单臂伸缩式隔离开关上导电管采用全密封结构，防止导电管进水。</w:t>
      </w:r>
    </w:p>
    <w:p w14:paraId="33201CFD">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导电管内的弹簧具备防锈、防腐蚀能力，出厂时每只均应进行强压试验并提供试验报告，同时提供腐蚀试验、疲劳试验抽检报告。</w:t>
      </w:r>
    </w:p>
    <w:p w14:paraId="631D895C">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 xml:space="preserve">5.2.4 </w:t>
      </w:r>
      <w:r>
        <w:rPr>
          <w:rFonts w:hint="eastAsia" w:ascii="Times New Roman"/>
          <w:b w:val="0"/>
          <w:color w:val="000000"/>
          <w:highlight w:val="none"/>
          <w:lang w:val="en-US" w:eastAsia="zh-CN"/>
        </w:rPr>
        <w:t>35kV-500kV敞开式隔离开关</w:t>
      </w:r>
      <w:r>
        <w:rPr>
          <w:rFonts w:hint="eastAsia" w:ascii="Times New Roman"/>
          <w:b w:val="0"/>
          <w:color w:val="000000"/>
          <w:highlight w:val="none"/>
          <w:lang w:val="en-US" w:eastAsia="zh-CN"/>
        </w:rPr>
        <w:t>传动连杆</w:t>
      </w:r>
    </w:p>
    <w:p w14:paraId="44417CEF">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传动连杆应采用装配式连接结构，其材质应是满足机械强度和刚度要求的多棱形钢、不锈钢、热镀锌钢管或铝合金型材，镀锌厚度符合本技术规范表5.1镀锌层要求。不锈钢件的性能符合GB/T1220-2007《不锈钢棒》及GB/T4237-2015《不锈钢热轧钢板和钢带》中规定。</w:t>
      </w:r>
    </w:p>
    <w:p w14:paraId="6B08EFDF">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传动连杆连接应有防蹿动措施，传动连杆中间不允许对接焊。</w:t>
      </w:r>
    </w:p>
    <w:p w14:paraId="59A4A0CC">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隔离开关传动杆应有自锁装置及限位功能，当隔离开关受到短路电动力、风压、重力和地震时，隔离开关不能从合闸位置向分闸位置分开或不能从分闸位置向合闸位置合上。</w:t>
      </w:r>
    </w:p>
    <w:p w14:paraId="4CA15D7A">
      <w:pPr>
        <w:pStyle w:val="133"/>
        <w:numPr>
          <w:ilvl w:val="0"/>
          <w:numId w:val="0"/>
        </w:numPr>
        <w:spacing w:line="360" w:lineRule="auto"/>
        <w:jc w:val="left"/>
        <w:outlineLvl w:val="1"/>
        <w:rPr>
          <w:rFonts w:hint="default" w:eastAsia="黑体"/>
          <w:lang w:val="en-US" w:eastAsia="zh-CN"/>
        </w:rPr>
      </w:pPr>
      <w:r>
        <w:rPr>
          <w:rFonts w:hint="eastAsia" w:ascii="Times New Roman"/>
          <w:b w:val="0"/>
          <w:color w:val="000000"/>
          <w:highlight w:val="none"/>
          <w:lang w:val="en-US" w:eastAsia="zh-CN"/>
        </w:rPr>
        <w:t>5.3变压器类配件</w:t>
      </w:r>
    </w:p>
    <w:p w14:paraId="5B1B0CC4">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5.3.1变压器套管</w:t>
      </w:r>
    </w:p>
    <w:p w14:paraId="4293974C">
      <w:pPr>
        <w:pStyle w:val="171"/>
        <w:adjustRightInd w:val="0"/>
        <w:snapToGrid w:val="0"/>
        <w:spacing w:line="360" w:lineRule="auto"/>
        <w:ind w:left="0" w:leftChars="0" w:firstLine="420" w:firstLineChars="200"/>
        <w:rPr>
          <w:rFonts w:hint="eastAsia" w:ascii="宋体" w:hAnsi="宋体" w:eastAsia="宋体" w:cs="宋体"/>
          <w:color w:val="auto"/>
          <w:lang w:eastAsia="zh-CN"/>
        </w:rPr>
      </w:pPr>
      <w:r>
        <w:rPr>
          <w:rFonts w:hint="eastAsia" w:ascii="宋体" w:hAnsi="宋体" w:eastAsia="宋体" w:cs="宋体"/>
          <w:color w:val="auto"/>
        </w:rPr>
        <w:t>变压器出线方式应采用架空线出线方式；套管型式应采用油浸电容式、胶浸纸干式（以下简称干式）或纯瓷式</w:t>
      </w:r>
      <w:r>
        <w:rPr>
          <w:rFonts w:hint="eastAsia" w:ascii="宋体" w:hAnsi="宋体" w:eastAsia="宋体" w:cs="宋体"/>
          <w:color w:val="auto"/>
          <w:lang w:eastAsia="zh-CN"/>
        </w:rPr>
        <w:t>。</w:t>
      </w:r>
    </w:p>
    <w:p w14:paraId="11735461">
      <w:pPr>
        <w:pStyle w:val="171"/>
        <w:adjustRightInd w:val="0"/>
        <w:snapToGrid w:val="0"/>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rPr>
        <w:t>套管的伞形、伞宽、伞距、弧闪距离，应符合GB/T 4109 《交流电压高于1000V的绝缘套管》的要求，外绝缘须按照所处海拔高度及污秽等级进行相应修正。当套管瓷套分段烧制时，宜采用瓷釉釉接方式。</w:t>
      </w:r>
    </w:p>
    <w:p w14:paraId="72995ABF">
      <w:pPr>
        <w:pStyle w:val="171"/>
        <w:adjustRightInd w:val="0"/>
        <w:snapToGrid w:val="0"/>
        <w:spacing w:line="360" w:lineRule="auto"/>
        <w:ind w:left="0" w:leftChars="0" w:firstLine="420" w:firstLineChars="200"/>
        <w:rPr>
          <w:rFonts w:hint="eastAsia" w:ascii="宋体" w:hAnsi="宋体" w:eastAsia="宋体" w:cs="宋体"/>
          <w:color w:val="auto"/>
        </w:rPr>
      </w:pPr>
      <w:r>
        <w:rPr>
          <w:rFonts w:hint="eastAsia" w:ascii="宋体" w:hAnsi="宋体" w:eastAsia="宋体" w:cs="宋体"/>
          <w:color w:val="auto"/>
        </w:rPr>
        <w:t>绝缘瓷件应有足够的机械强度和电气强度，颜色为棕色。</w:t>
      </w:r>
    </w:p>
    <w:p w14:paraId="18D4CCC8">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1）套管应有良好的抗污秽能力和运行特性，其有效爬电距离应考虑伞裙直径的影响。详见GB/T26218.2-2010（10.3）的规定。</w:t>
      </w:r>
    </w:p>
    <w:p w14:paraId="3F3F58DA">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a.两裙伸出之差（P2-P1）≥20 mm；</w:t>
      </w:r>
    </w:p>
    <w:p w14:paraId="1CDBD000">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b.相邻裙间高（S）与裙伸出长度（P2）之比应大于0.9；</w:t>
      </w:r>
    </w:p>
    <w:p w14:paraId="4DD868ED">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c.相邻裙间高（S）≥70 mm；</w:t>
      </w:r>
    </w:p>
    <w:p w14:paraId="0D9DD117">
      <w:pPr>
        <w:pStyle w:val="171"/>
        <w:numPr>
          <w:ilvl w:val="0"/>
          <w:numId w:val="21"/>
        </w:numPr>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各侧套管引出线端接线板的允许荷载不应低于标准技术特性参数表中“套管的</w:t>
      </w:r>
      <w:r>
        <w:rPr>
          <w:rFonts w:hint="eastAsia" w:ascii="宋体" w:hAnsi="宋体" w:eastAsia="宋体" w:cs="宋体"/>
          <w:color w:val="auto"/>
          <w:lang w:val="en-US" w:eastAsia="zh-CN"/>
        </w:rPr>
        <w:t>悬臂</w:t>
      </w:r>
      <w:r>
        <w:rPr>
          <w:rFonts w:hint="eastAsia" w:ascii="宋体" w:hAnsi="宋体" w:eastAsia="宋体" w:cs="宋体"/>
          <w:color w:val="auto"/>
        </w:rPr>
        <w:t>耐受负荷（kN）”要求数值，且安全系数应大于2.5。</w:t>
      </w:r>
    </w:p>
    <w:p w14:paraId="7AD79200">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3）低压套管之间的净距离：Um为40.5kV时不少于400mm；安装地高于1000m时，按安装地海拔高度进行修正。</w:t>
      </w:r>
    </w:p>
    <w:p w14:paraId="516F5777">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4）投标方选用的套管应与变压器一起进行出厂试验。</w:t>
      </w:r>
    </w:p>
    <w:p w14:paraId="202BFF88">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5）各侧套管满足短时耐受电流</w:t>
      </w:r>
    </w:p>
    <w:p w14:paraId="5AB1555A">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500kV    63kA（3s）</w:t>
      </w:r>
    </w:p>
    <w:p w14:paraId="6112EDFA">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220kV    50kA（3s）</w:t>
      </w:r>
    </w:p>
    <w:p w14:paraId="37576D06">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110kV    40kA（3s）</w:t>
      </w:r>
    </w:p>
    <w:p w14:paraId="2D46F81F">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35kV     40kA（4s）</w:t>
      </w:r>
    </w:p>
    <w:p w14:paraId="4932B562">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10kV     40kA（4s）</w:t>
      </w:r>
    </w:p>
    <w:p w14:paraId="5D875861">
      <w:pPr>
        <w:numPr>
          <w:ilvl w:val="0"/>
          <w:numId w:val="0"/>
        </w:num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6）</w:t>
      </w:r>
      <w:r>
        <w:rPr>
          <w:rFonts w:hint="eastAsia" w:ascii="宋体" w:hAnsi="宋体" w:eastAsia="宋体" w:cs="宋体"/>
          <w:color w:val="000000"/>
        </w:rPr>
        <w:t>套管的介质损耗因数（tanδ）：tanδ（20℃）≤0.4%（油浸电容式），tanδ（20℃）≤0.5%（干式）。电压从1.05Um/</w:t>
      </w:r>
      <w:r>
        <w:rPr>
          <w:rFonts w:hint="eastAsia" w:ascii="宋体" w:hAnsi="宋体" w:eastAsia="宋体" w:cs="宋体"/>
          <w:color w:val="000000"/>
          <w:position w:val="-8"/>
        </w:rPr>
        <w:object>
          <v:shape id="_x0000_i1025" o:spt="75" type="#_x0000_t75" style="height:14.25pt;width:14.25pt;" o:ole="t" filled="f" o:preferrelative="t" stroked="f" coordsize="21600,21600">
            <v:path/>
            <v:fill on="f" focussize="0,0"/>
            <v:stroke on="f"/>
            <v:imagedata r:id="rId16" o:title=""/>
            <o:lock v:ext="edit" aspectratio="t"/>
            <w10:wrap type="none"/>
            <w10:anchorlock/>
          </v:shape>
          <o:OLEObject Type="Embed" ProgID="Equation.3" ShapeID="_x0000_i1025" DrawAspect="Content" ObjectID="_1468075725" r:id="rId15">
            <o:LockedField>false</o:LockedField>
          </o:OLEObject>
        </w:object>
      </w:r>
      <w:r>
        <w:rPr>
          <w:rFonts w:hint="eastAsia" w:ascii="宋体" w:hAnsi="宋体" w:eastAsia="宋体" w:cs="宋体"/>
          <w:color w:val="000000"/>
        </w:rPr>
        <w:t>升高到U</w:t>
      </w:r>
      <w:r>
        <w:rPr>
          <w:rFonts w:hint="eastAsia" w:ascii="宋体" w:hAnsi="宋体" w:eastAsia="宋体" w:cs="宋体"/>
          <w:color w:val="000000"/>
          <w:vertAlign w:val="subscript"/>
        </w:rPr>
        <w:t>m</w:t>
      </w:r>
      <w:r>
        <w:rPr>
          <w:rFonts w:hint="eastAsia" w:ascii="宋体" w:hAnsi="宋体" w:eastAsia="宋体" w:cs="宋体"/>
          <w:color w:val="000000"/>
        </w:rPr>
        <w:t>时套管介损增值（△tanδ）≤0.05%。</w:t>
      </w:r>
    </w:p>
    <w:p w14:paraId="2508682D">
      <w:pPr>
        <w:numPr>
          <w:ilvl w:val="0"/>
          <w:numId w:val="0"/>
        </w:num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lang w:val="en-US" w:eastAsia="zh-CN"/>
        </w:rPr>
        <w:t>7</w:t>
      </w:r>
      <w:r>
        <w:rPr>
          <w:rFonts w:hint="eastAsia" w:ascii="宋体" w:hAnsi="宋体" w:eastAsia="宋体" w:cs="宋体"/>
          <w:color w:val="auto"/>
        </w:rPr>
        <w:t>）</w:t>
      </w:r>
      <w:r>
        <w:rPr>
          <w:rFonts w:hint="eastAsia" w:ascii="宋体" w:hAnsi="宋体" w:eastAsia="宋体" w:cs="宋体"/>
        </w:rPr>
        <w:t>针对72.5kV及以上套管，套管厂家应提供同型号套管介质损耗-温度特性试验曲线，为后续现场运维提供数据参考</w:t>
      </w:r>
      <w:r>
        <w:rPr>
          <w:rFonts w:hint="eastAsia" w:ascii="宋体" w:hAnsi="宋体" w:eastAsia="宋体" w:cs="宋体"/>
          <w:lang w:eastAsia="zh-CN"/>
        </w:rPr>
        <w:t>。</w:t>
      </w:r>
    </w:p>
    <w:p w14:paraId="3B553F8A">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lang w:val="en-US" w:eastAsia="zh-CN"/>
        </w:rPr>
        <w:t>8</w:t>
      </w:r>
      <w:r>
        <w:rPr>
          <w:rFonts w:hint="eastAsia" w:ascii="宋体" w:hAnsi="宋体" w:eastAsia="宋体" w:cs="宋体"/>
          <w:color w:val="auto"/>
        </w:rPr>
        <w:t>）套管的局部放电量：在Um电压下测得的局部放电量应不大于10pC。</w:t>
      </w:r>
    </w:p>
    <w:p w14:paraId="38D581AD">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lang w:val="en-US" w:eastAsia="zh-CN"/>
        </w:rPr>
        <w:t>9</w:t>
      </w:r>
      <w:r>
        <w:rPr>
          <w:rFonts w:hint="eastAsia" w:ascii="宋体" w:hAnsi="宋体" w:eastAsia="宋体" w:cs="宋体"/>
          <w:color w:val="auto"/>
        </w:rPr>
        <w:t>）投标方应提供变压器套管油质色谱分析、水分分析、击穿电压分析等出厂数据。</w:t>
      </w:r>
    </w:p>
    <w:p w14:paraId="6D562829">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lang w:val="en-US" w:eastAsia="zh-CN"/>
        </w:rPr>
        <w:t>10</w:t>
      </w:r>
      <w:r>
        <w:rPr>
          <w:rFonts w:hint="eastAsia" w:ascii="宋体" w:hAnsi="宋体" w:eastAsia="宋体" w:cs="宋体"/>
          <w:color w:val="auto"/>
        </w:rPr>
        <w:t>）在d级及以上污秽区使用的220kV套管应提供在最高工作相电压下，雨中（雨量2mm/min）和雾中都不闪络的试验报告（盐密不低于0.3mg/cm2）。</w:t>
      </w:r>
    </w:p>
    <w:p w14:paraId="274362DD">
      <w:pPr>
        <w:pStyle w:val="171"/>
        <w:adjustRightInd w:val="0"/>
        <w:snapToGrid w:val="0"/>
        <w:spacing w:line="360" w:lineRule="auto"/>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val="en-US" w:eastAsia="zh-CN"/>
        </w:rPr>
        <w:t>1</w:t>
      </w:r>
      <w:r>
        <w:rPr>
          <w:rFonts w:hint="eastAsia" w:ascii="宋体" w:hAnsi="宋体" w:eastAsia="宋体" w:cs="宋体"/>
          <w:color w:val="auto"/>
        </w:rPr>
        <w:t>）套管末屏及电压抽头（若有）接地须可靠牢固，套管末屏与地电位之间连接不宜采用螺柱弹簧压紧结构，并应方便试验。</w:t>
      </w:r>
    </w:p>
    <w:p w14:paraId="23DD275B">
      <w:pPr>
        <w:numPr>
          <w:ilvl w:val="0"/>
          <w:numId w:val="0"/>
        </w:numPr>
        <w:adjustRightInd w:val="0"/>
        <w:snapToGrid w:val="0"/>
        <w:spacing w:line="360" w:lineRule="auto"/>
        <w:ind w:firstLine="420" w:firstLineChars="200"/>
        <w:rPr>
          <w:rFonts w:hint="eastAsia" w:ascii="宋体" w:hAnsi="宋体" w:eastAsia="宋体" w:cs="宋体"/>
        </w:rPr>
      </w:pPr>
      <w:r>
        <w:rPr>
          <w:rFonts w:hint="eastAsia" w:ascii="宋体" w:hAnsi="宋体" w:eastAsia="宋体" w:cs="宋体"/>
          <w:color w:val="auto"/>
        </w:rPr>
        <w:t>1</w:t>
      </w:r>
      <w:r>
        <w:rPr>
          <w:rFonts w:hint="eastAsia" w:ascii="宋体" w:hAnsi="宋体" w:eastAsia="宋体" w:cs="宋体"/>
          <w:color w:val="auto"/>
          <w:lang w:val="en-US" w:eastAsia="zh-CN"/>
        </w:rPr>
        <w:t>2</w:t>
      </w:r>
      <w:r>
        <w:rPr>
          <w:rFonts w:hint="eastAsia" w:ascii="宋体" w:hAnsi="宋体" w:eastAsia="宋体" w:cs="宋体"/>
          <w:color w:val="auto"/>
        </w:rPr>
        <w:t>）</w:t>
      </w:r>
      <w:r>
        <w:rPr>
          <w:rFonts w:hint="eastAsia" w:ascii="宋体" w:hAnsi="宋体" w:eastAsia="宋体" w:cs="宋体"/>
        </w:rPr>
        <w:t>220kV和110kV主变套管可具备电压抽头，方便检修试验及安装在线（带电）监测装置，并带有防开路的保护措施。若安装在线监测，应在电压抽头上实施。套管电压抽头对地工频耐压试验电压为电压抽头额定电压的2倍但至少为10kV。新购置套管监测装置的接入不应改变被监测设备的完整性，不应断开套管末屏接地线串入取样阻抗。在线监测系统安装方式、位置应不影响被监测设备的安全运行和维护。套管介质损耗、电容量、泄漏电流在线监测装置，供应商应提供具有CNAS资质的第三方按照DL/T 5612-2016要求提供校准报告。套管监测装置、引出延长线有良好的紧固和防护措施，能够满足现场防潮、防雨、防尘等要求。</w:t>
      </w:r>
    </w:p>
    <w:p w14:paraId="7380F360">
      <w:pPr>
        <w:numPr>
          <w:ilvl w:val="0"/>
          <w:numId w:val="22"/>
        </w:num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套管顶部密封应采用可靠密封结构</w:t>
      </w:r>
      <w:r>
        <w:rPr>
          <w:rFonts w:hint="eastAsia" w:ascii="宋体" w:hAnsi="宋体" w:eastAsia="宋体" w:cs="宋体"/>
          <w:color w:val="auto"/>
          <w:lang w:eastAsia="zh-CN"/>
        </w:rPr>
        <w:t>，</w:t>
      </w:r>
      <w:r>
        <w:rPr>
          <w:rFonts w:hint="eastAsia" w:ascii="宋体" w:hAnsi="宋体" w:eastAsia="宋体" w:cs="宋体"/>
          <w:color w:val="auto"/>
          <w:lang w:val="en-US" w:eastAsia="zh-CN"/>
        </w:rPr>
        <w:t>防止密封老化后雨水进入变压器内部</w:t>
      </w:r>
      <w:r>
        <w:rPr>
          <w:rFonts w:hint="eastAsia" w:ascii="宋体" w:hAnsi="宋体" w:eastAsia="宋体" w:cs="宋体"/>
          <w:color w:val="auto"/>
        </w:rPr>
        <w:t>。套管顶部</w:t>
      </w:r>
      <w:r>
        <w:rPr>
          <w:rFonts w:hint="eastAsia" w:ascii="宋体" w:hAnsi="宋体" w:eastAsia="宋体" w:cs="宋体"/>
          <w:strike w:val="0"/>
          <w:color w:val="auto"/>
          <w:highlight w:val="none"/>
          <w:lang w:val="en-US" w:eastAsia="zh-CN"/>
        </w:rPr>
        <w:t>载流</w:t>
      </w:r>
      <w:r>
        <w:rPr>
          <w:rFonts w:hint="eastAsia" w:ascii="宋体" w:hAnsi="宋体" w:eastAsia="宋体" w:cs="宋体"/>
          <w:color w:val="auto"/>
        </w:rPr>
        <w:t>导电结构，</w:t>
      </w:r>
      <w:r>
        <w:rPr>
          <w:rFonts w:hint="eastAsia" w:ascii="宋体" w:hAnsi="宋体" w:eastAsia="宋体" w:cs="宋体"/>
          <w:color w:val="auto"/>
          <w:lang w:val="en-US" w:eastAsia="zh-CN"/>
        </w:rPr>
        <w:t>应</w:t>
      </w:r>
      <w:r>
        <w:rPr>
          <w:rFonts w:hint="eastAsia" w:ascii="宋体" w:hAnsi="宋体" w:eastAsia="宋体" w:cs="宋体"/>
          <w:color w:val="auto"/>
        </w:rPr>
        <w:t>采取有效的防松动措施，防止运行过程中</w:t>
      </w:r>
      <w:r>
        <w:rPr>
          <w:rFonts w:hint="eastAsia" w:ascii="宋体" w:hAnsi="宋体" w:eastAsia="宋体" w:cs="宋体"/>
          <w:strike w:val="0"/>
          <w:color w:val="auto"/>
          <w:lang w:val="en-US" w:eastAsia="zh-CN"/>
        </w:rPr>
        <w:t>载流</w:t>
      </w:r>
      <w:r>
        <w:rPr>
          <w:rFonts w:hint="eastAsia" w:ascii="宋体" w:hAnsi="宋体" w:eastAsia="宋体" w:cs="宋体"/>
          <w:color w:val="auto"/>
        </w:rPr>
        <w:t>导电接触不良引起发热，设计时应确保</w:t>
      </w:r>
      <w:r>
        <w:rPr>
          <w:rFonts w:hint="eastAsia" w:ascii="宋体" w:hAnsi="宋体" w:eastAsia="宋体" w:cs="宋体"/>
          <w:strike w:val="0"/>
          <w:color w:val="auto"/>
          <w:lang w:val="en-US" w:eastAsia="zh-CN"/>
        </w:rPr>
        <w:t>结构</w:t>
      </w:r>
      <w:r>
        <w:rPr>
          <w:rFonts w:hint="eastAsia" w:ascii="宋体" w:hAnsi="宋体" w:eastAsia="宋体" w:cs="宋体"/>
          <w:color w:val="auto"/>
        </w:rPr>
        <w:t>搭接面足够，以确保载流能力。套管均压环应独立可靠安装，不应</w:t>
      </w:r>
      <w:r>
        <w:rPr>
          <w:rFonts w:hint="eastAsia" w:ascii="宋体" w:hAnsi="宋体" w:eastAsia="宋体" w:cs="宋体"/>
          <w:color w:val="auto"/>
          <w:lang w:val="en-US" w:eastAsia="zh-CN"/>
        </w:rPr>
        <w:t>与载流部件、密封部件或其他部件</w:t>
      </w:r>
      <w:r>
        <w:rPr>
          <w:rFonts w:hint="eastAsia" w:ascii="宋体" w:hAnsi="宋体" w:eastAsia="宋体" w:cs="宋体"/>
          <w:color w:val="auto"/>
        </w:rPr>
        <w:t>共用螺栓。</w:t>
      </w:r>
    </w:p>
    <w:p w14:paraId="26B1D4F4">
      <w:pPr>
        <w:numPr>
          <w:ilvl w:val="0"/>
          <w:numId w:val="0"/>
        </w:num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kern w:val="2"/>
          <w:sz w:val="21"/>
          <w:lang w:val="en-US" w:eastAsia="zh-CN" w:bidi="ar-SA"/>
        </w:rPr>
        <w:t>14）</w:t>
      </w:r>
      <w:r>
        <w:rPr>
          <w:rFonts w:hint="eastAsia" w:ascii="宋体" w:hAnsi="宋体" w:eastAsia="宋体" w:cs="宋体"/>
          <w:color w:val="auto"/>
        </w:rPr>
        <w:t>套管电流互感器配置</w:t>
      </w:r>
    </w:p>
    <w:p w14:paraId="7D615CFE">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a.线圈温度指示器不包括在套管电流互感器内，由投标方确定，次级容量亦由投标方确定。</w:t>
      </w:r>
    </w:p>
    <w:p w14:paraId="60B26662">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b.套管电流互感器二次引出线芯柱必须是一体浇注成形，导电杆直径不小于8mm,并应有防转动措施。</w:t>
      </w:r>
    </w:p>
    <w:p w14:paraId="62D16DDD">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c.套管CT极性应该为P1靠母线侧；中性点CT极性应该为P1靠主变侧。</w:t>
      </w:r>
    </w:p>
    <w:p w14:paraId="5D2E6114">
      <w:pPr>
        <w:numPr>
          <w:ilvl w:val="0"/>
          <w:numId w:val="0"/>
        </w:num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kern w:val="2"/>
          <w:sz w:val="21"/>
          <w:lang w:val="en-US" w:eastAsia="zh-CN" w:bidi="ar-SA"/>
        </w:rPr>
        <w:t>15）</w:t>
      </w:r>
      <w:r>
        <w:rPr>
          <w:rFonts w:hint="eastAsia" w:ascii="宋体" w:hAnsi="宋体" w:eastAsia="宋体" w:cs="宋体"/>
          <w:color w:val="auto"/>
        </w:rPr>
        <w:t>套管选型要求</w:t>
      </w:r>
    </w:p>
    <w:p w14:paraId="4E5F3E6B">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a.当套管的额定电压＞40.5kV时,套管的主绝缘结构形式宜为电容式；</w:t>
      </w:r>
    </w:p>
    <w:p w14:paraId="0B46CF40">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b.当套管的额定电压为40.5kV时，套管的主绝缘结构形式则根据不同情况既可以为纯瓷式、干式或电容式；</w:t>
      </w:r>
    </w:p>
    <w:p w14:paraId="6254A6D4">
      <w:p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rPr>
        <w:t>c.当套管的额定电压为40.5kV以下时，套管的主绝缘结构形式宜为纯瓷式或干式；</w:t>
      </w:r>
    </w:p>
    <w:p w14:paraId="20587072">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color w:val="auto"/>
        </w:rPr>
        <w:t>d.</w:t>
      </w:r>
      <w:r>
        <w:rPr>
          <w:rFonts w:hint="eastAsia" w:ascii="宋体" w:hAnsi="宋体" w:eastAsia="宋体" w:cs="宋体"/>
          <w:szCs w:val="21"/>
        </w:rPr>
        <w:t>套管选型时应充分评估套管中面面压接载流、触指载流、螺纹载流等电连接结构在大电流、地震、长期振动等复合工况下的载流能力。供应商应提供套管电连接结构的详细图纸以及电连接结构的相关仿真或试验报告，用于评估电连接结构的可靠性。</w:t>
      </w:r>
    </w:p>
    <w:p w14:paraId="438D8F54">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16）高度超过1.2m或采用倾斜安装方式的套管升高座应有方便检修的作业平台（例如把手、踏板、爬梯等），便于末屏接线及设备维护。</w:t>
      </w:r>
    </w:p>
    <w:p w14:paraId="13F63171">
      <w:pPr>
        <w:numPr>
          <w:ilvl w:val="0"/>
          <w:numId w:val="0"/>
        </w:num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kern w:val="2"/>
          <w:sz w:val="21"/>
          <w:lang w:val="en-US" w:eastAsia="zh-CN" w:bidi="ar-SA"/>
        </w:rPr>
        <w:t>17）</w:t>
      </w:r>
      <w:r>
        <w:rPr>
          <w:rFonts w:hint="eastAsia" w:ascii="宋体" w:hAnsi="宋体" w:eastAsia="宋体" w:cs="宋体"/>
          <w:color w:val="auto"/>
        </w:rPr>
        <w:t>油纸电容型套管在最低环境温度下不应该出现负压，应避免频繁取油样而造成其负压。</w:t>
      </w:r>
    </w:p>
    <w:p w14:paraId="44F0D4DE">
      <w:pPr>
        <w:numPr>
          <w:ilvl w:val="0"/>
          <w:numId w:val="0"/>
        </w:numPr>
        <w:adjustRightInd w:val="0"/>
        <w:snapToGrid w:val="0"/>
        <w:spacing w:line="360" w:lineRule="auto"/>
        <w:ind w:firstLine="420" w:firstLineChars="200"/>
        <w:rPr>
          <w:rFonts w:hint="eastAsia" w:ascii="宋体" w:hAnsi="宋体" w:eastAsia="宋体" w:cs="宋体"/>
          <w:color w:val="auto"/>
        </w:rPr>
      </w:pPr>
      <w:r>
        <w:rPr>
          <w:rFonts w:hint="eastAsia" w:ascii="宋体" w:hAnsi="宋体" w:eastAsia="宋体" w:cs="宋体"/>
          <w:color w:val="auto"/>
          <w:kern w:val="2"/>
          <w:sz w:val="21"/>
          <w:lang w:val="en-US" w:eastAsia="zh-CN" w:bidi="ar-SA"/>
        </w:rPr>
        <w:t>18）</w:t>
      </w:r>
      <w:r>
        <w:rPr>
          <w:rFonts w:hint="eastAsia" w:ascii="宋体" w:hAnsi="宋体" w:eastAsia="宋体" w:cs="宋体"/>
          <w:color w:val="auto"/>
        </w:rPr>
        <w:t>瓷套管的上瓷套与法兰连接处宜采取胶装或带有限位装置。</w:t>
      </w:r>
    </w:p>
    <w:p w14:paraId="236DCF11">
      <w:pPr>
        <w:numPr>
          <w:ilvl w:val="0"/>
          <w:numId w:val="0"/>
        </w:numPr>
        <w:adjustRightInd w:val="0"/>
        <w:snapToGrid w:val="0"/>
        <w:spacing w:line="360" w:lineRule="auto"/>
        <w:ind w:firstLine="420" w:firstLineChars="200"/>
        <w:rPr>
          <w:rFonts w:hint="eastAsia"/>
          <w:color w:val="auto"/>
        </w:rPr>
      </w:pPr>
      <w:r>
        <w:rPr>
          <w:rFonts w:hint="eastAsia" w:ascii="宋体" w:hAnsi="宋体" w:eastAsia="宋体" w:cs="宋体"/>
          <w:color w:val="auto"/>
          <w:kern w:val="2"/>
          <w:sz w:val="21"/>
          <w:lang w:val="en-US" w:eastAsia="zh-CN" w:bidi="ar-SA"/>
        </w:rPr>
        <w:t>19）</w:t>
      </w:r>
      <w:r>
        <w:rPr>
          <w:rFonts w:hint="eastAsia" w:ascii="宋体" w:hAnsi="宋体" w:eastAsia="宋体" w:cs="宋体"/>
          <w:color w:val="auto"/>
        </w:rPr>
        <w:t>其他应符合GB/T4109《交流电压高压1000V的绝缘</w:t>
      </w:r>
      <w:r>
        <w:rPr>
          <w:rFonts w:hint="eastAsia" w:ascii="宋体" w:hAnsi="宋体" w:eastAsia="宋体" w:cs="宋体"/>
          <w:color w:val="auto"/>
          <w:lang w:val="en-US" w:eastAsia="zh-CN"/>
        </w:rPr>
        <w:t>套管》</w:t>
      </w:r>
      <w:r>
        <w:rPr>
          <w:rFonts w:hint="eastAsia" w:ascii="宋体" w:hAnsi="宋体" w:eastAsia="宋体" w:cs="宋体"/>
          <w:color w:val="auto"/>
        </w:rPr>
        <w:t>。</w:t>
      </w:r>
    </w:p>
    <w:p w14:paraId="77F2E368">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5.3.2压力释放阀</w:t>
      </w:r>
    </w:p>
    <w:p w14:paraId="12F07447">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1）每套装置应配有机械式动作指示器及防潮密封的报警接点（一常开及一常闭）。二次电缆不应有二次转接端子盒，应直接接入变压器本体端子箱（控制箱）。</w:t>
      </w:r>
    </w:p>
    <w:p w14:paraId="718A5F54">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2）压力释放阀指示应手动复位。</w:t>
      </w:r>
    </w:p>
    <w:p w14:paraId="10090E33">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3）压力释放装置应有良好的防潮、防水措施，外壳防护等级IP55。</w:t>
      </w:r>
    </w:p>
    <w:p w14:paraId="58785223">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4）投标方供货的压力释放阀应按照“JB/T 7065《变压器用压力释放阀》”及“JB/T 7069《变压器用压力释放阀试验导则》”进行包括开启时间试验等项目的全套例行试验。进口压力释放阀依据相关国际标准进行例行试验。</w:t>
      </w:r>
    </w:p>
    <w:p w14:paraId="284F132A">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5.3.3气体继电器</w:t>
      </w:r>
    </w:p>
    <w:p w14:paraId="05AC9AE8">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1）应采用具有缺油发信功能的双浮筒（球）挡板式结构，有放气孔、流速动作值可调试整定、抗震性能好。</w:t>
      </w:r>
    </w:p>
    <w:p w14:paraId="1ECDA111">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2）应具有轻瓦斯发信、重瓦斯跳闸功能，一对接点用于轻瓦斯发信、三对接点用于重瓦斯跳闸（挡板与下浮子共用3对接点），重瓦斯跳闸逻辑采用“三取二”的原则配置，防止单一回路故障造成误动或拒动。气体继电器安装位置应有2%的坡度，采用利于二次接线头防水的安装方式（下倾式），并在安装使用说明书中明确指出。</w:t>
      </w:r>
    </w:p>
    <w:p w14:paraId="4619A910">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3）变压器气体继电器应配置不锈钢或其他耐腐蚀材质防雨罩，且不妨碍运行观察。</w:t>
      </w:r>
    </w:p>
    <w:p w14:paraId="58BCD926">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4）套管升高座等处积集气体应通过带坡度的集气总管引向气体继电器，再引至储油柜。为便于检修，应在气体继电器安装管道两侧设置阀门，应配置引至地面的集气盒，便于采气。</w:t>
      </w:r>
    </w:p>
    <w:p w14:paraId="5621E111">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5）气体继电器本身不应在最大合闸涌流和穿越短路电流冲击下发生误动。气体继电器重瓦斯触点不应因为气体的积累而误动。对有2台及以上油泵的变压器，应采取分时分批启动，防止冷却器油泵全部同时启动时（引起油压突然变化）导致重瓦斯保护误动作。</w:t>
      </w:r>
    </w:p>
    <w:p w14:paraId="26AEF319">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6）壳式变压器其重瓦斯跳闸保护应延时1s跳闸。</w:t>
      </w:r>
    </w:p>
    <w:p w14:paraId="0401B05E">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7）气体继电器应定期校验。当气体继电器发出轻瓦斯动作信号时，应立即检查气体继电器，及时取气样校验，以判明气体成分，同时取油样进行色谱分析，查明原因及时排除。</w:t>
      </w:r>
    </w:p>
    <w:p w14:paraId="74A2076F">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8）新安装的气体继电器必须经校验合格后方可使用；气体继电器应在真空注油完毕后再安装；瓦斯保护投运前必须对信号跳闸回路进行保护试验。</w:t>
      </w:r>
    </w:p>
    <w:p w14:paraId="74511267">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9）选用的气体继电器应通过有资质的机构开展型式试验，并提供型式试验报告。</w:t>
      </w:r>
    </w:p>
    <w:p w14:paraId="3734223B">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10）气体继电器应能在小于13Pa的高真空度下持续72h不发生渗漏，包括气体继电器内部的干簧触点玻璃管和浮球。</w:t>
      </w:r>
    </w:p>
    <w:p w14:paraId="65A7C517">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5.3.4储油柜</w:t>
      </w:r>
    </w:p>
    <w:p w14:paraId="63130C66">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1）储油柜应采用胶囊式或波纹式储油柜。选用波纹储油柜时，波纹伸缩对变压器油产生的附加压力应不影响变压器压力释放阀和气体继电器参数设定。</w:t>
      </w:r>
    </w:p>
    <w:p w14:paraId="2EE4D3C3">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2）变压器储油柜（胶囊式）内部应有起油气隔离作用的不渗透油及空气的合成橡胶气囊，使油与空气相隔离，并应配有吸湿器，且吸湿剂重量不低于变压器储油柜油重的千分之一；波纹式储油柜宜采用外油立式。当采用内油式波纹式储油柜时，无需配置吸湿器。</w:t>
      </w:r>
    </w:p>
    <w:p w14:paraId="627D6DB6">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3）波纹储油柜应采取无轨道设计或采取措施防止轨道、滚轮锈蚀卡涩，导致瓦斯保护误动作。</w:t>
      </w:r>
    </w:p>
    <w:p w14:paraId="32994EEF">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4）储油柜应配有盘形油位计、压力式油位计或拉带式油位计；主变压器户外安装时储油柜油位计应配置不锈钢或其他耐腐蚀材质防雨罩，且不妨碍运行观察。当油位高于或低于规定值时，油位监测装置都应瞬时动作报警。数字化变电站油位信号就地转换为4-20mA的输出电量与监控系统相连。油位计装置的内置（4—20）mA模拟输出模块可在不停电下进行更换。</w:t>
      </w:r>
    </w:p>
    <w:p w14:paraId="6F7D173C">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5）油位计宜表示变压器未投入运行时，相当于油温为－10℃、＋20℃和＋40℃三个油面标志。</w:t>
      </w:r>
    </w:p>
    <w:p w14:paraId="2910518C">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6）胶囊式储油柜应能与本体一起抽真空且不发生变形。</w:t>
      </w:r>
    </w:p>
    <w:p w14:paraId="46BD0C20">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7）储油柜应配有注排油口、排气口（塞）、排污口（塞）、起吊耳、人孔及爬梯（不含金属波纹储油柜）。</w:t>
      </w:r>
    </w:p>
    <w:p w14:paraId="7ADD2F19">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8）各输油联管的引下阀门之间应相隔一定距离，以满足加装临时阀门的要求。</w:t>
      </w:r>
    </w:p>
    <w:p w14:paraId="1B1CCF1F">
      <w:pPr>
        <w:snapToGrid w:val="0"/>
        <w:spacing w:line="360" w:lineRule="auto"/>
        <w:ind w:firstLine="420" w:firstLineChars="200"/>
        <w:rPr>
          <w:rFonts w:hint="default"/>
          <w:lang w:val="en-US" w:eastAsia="zh-CN"/>
        </w:rPr>
      </w:pPr>
      <w:r>
        <w:rPr>
          <w:rFonts w:hint="eastAsia" w:ascii="宋体" w:hAnsi="宋体" w:eastAsia="宋体" w:cs="宋体"/>
          <w:lang w:val="en-US" w:eastAsia="zh-CN"/>
        </w:rPr>
        <w:t>9）储油柜胶囊宜采用一体成形方式，以防拼接位置失效导致胶囊漏气。</w:t>
      </w:r>
    </w:p>
    <w:p w14:paraId="47385363">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5.3.5冷却装置</w:t>
      </w:r>
    </w:p>
    <w:p w14:paraId="24A67212">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片式散热器表面采用热镀锌处理，壁厚不小于1.0mm。</w:t>
      </w:r>
    </w:p>
    <w:p w14:paraId="7BF81F61">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冷却器应采用低速、大直径、低噪音风扇，风扇电动机为三相感应式、直接启动、防溅型配置，电动机轴承应采用密封结构。</w:t>
      </w:r>
    </w:p>
    <w:p w14:paraId="59DB8F43">
      <w:pPr>
        <w:snapToGrid w:val="0"/>
        <w:spacing w:line="360" w:lineRule="auto"/>
        <w:ind w:firstLine="420" w:firstLineChars="200"/>
        <w:rPr>
          <w:rFonts w:hint="eastAsia" w:ascii="宋体" w:hAnsi="宋体" w:eastAsia="宋体" w:cs="宋体"/>
          <w:lang w:val="en-US" w:eastAsia="zh-CN"/>
        </w:rPr>
      </w:pPr>
      <w:bookmarkStart w:id="125" w:name="_Toc386441799"/>
      <w:r>
        <w:rPr>
          <w:rFonts w:hint="eastAsia" w:ascii="宋体" w:hAnsi="宋体" w:eastAsia="宋体" w:cs="宋体"/>
          <w:lang w:val="en-US" w:eastAsia="zh-CN"/>
        </w:rPr>
        <w:t>油泵电机为三相感应式，电机转速不大于1000转/分，且不能因油泵扬程过大导致气体继电器误动作，潜油泵轴承应采用E级或D级标准。</w:t>
      </w:r>
      <w:bookmarkEnd w:id="125"/>
    </w:p>
    <w:p w14:paraId="29B3B9DA">
      <w:pPr>
        <w:pStyle w:val="133"/>
        <w:numPr>
          <w:ilvl w:val="0"/>
          <w:numId w:val="0"/>
        </w:numPr>
        <w:spacing w:line="360" w:lineRule="auto"/>
        <w:jc w:val="left"/>
        <w:outlineLvl w:val="1"/>
        <w:rPr>
          <w:rFonts w:hint="default" w:eastAsia="黑体"/>
          <w:lang w:val="en-US" w:eastAsia="zh-CN"/>
        </w:rPr>
      </w:pPr>
      <w:r>
        <w:rPr>
          <w:rFonts w:hint="eastAsia" w:ascii="Times New Roman"/>
          <w:b w:val="0"/>
          <w:color w:val="000000"/>
          <w:highlight w:val="none"/>
          <w:lang w:val="en-US" w:eastAsia="zh-CN"/>
        </w:rPr>
        <w:t>5.4其他类配件</w:t>
      </w:r>
    </w:p>
    <w:p w14:paraId="61213C5B">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5.4.1金具材料</w:t>
      </w:r>
    </w:p>
    <w:p w14:paraId="34F8EF78">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金具应采用按规定程序批准的图样制造。</w:t>
      </w:r>
    </w:p>
    <w:p w14:paraId="17B882C4">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金具应承受安装、维修及运行中可能出现的有关机械载荷,并能满足设计工作电流(包括短路电流) 、工作温度及环境条件等各种工况的要求。</w:t>
      </w:r>
    </w:p>
    <w:p w14:paraId="0C91584D">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金具的标称破坏载荷及连接型式尺寸应符合GB/T 2315的规定。</w:t>
      </w:r>
    </w:p>
    <w:p w14:paraId="61339943">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金具各连接部件应保证运行中不致松脱，与线路带电检修有关的金具尚应保证安全和便于拆装。</w:t>
      </w:r>
    </w:p>
    <w:p w14:paraId="1A5F0ED8">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金具应采用图样规定的材料和生产工艺制造。</w:t>
      </w:r>
    </w:p>
    <w:p w14:paraId="647F97C0">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金具的厂标、型号等标识清晰可辨。</w:t>
      </w:r>
    </w:p>
    <w:p w14:paraId="2C955DAC">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黑色金属铸件的外观质量：</w:t>
      </w:r>
    </w:p>
    <w:p w14:paraId="10181A67">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1）铸件表面应光洁、平整，不允许有裂纹等缺陷；</w:t>
      </w:r>
    </w:p>
    <w:p w14:paraId="35590314">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2）铸件的重要部位（指不允许降低机械载荷的部位，以产品图样标注为准）不允许有气孔、砂眼、缩松、渣眼及飞边等缺陷存在；</w:t>
      </w:r>
    </w:p>
    <w:p w14:paraId="6B28182E">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3）在与其它零件连接及与导线、地线接触部位（如挂耳、线槽）不允许有胀砂、结疤、毛刺等妨碍连接及损坏导线或地线的缺陷。</w:t>
      </w:r>
    </w:p>
    <w:p w14:paraId="18D27957">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锻制件、冲压件的外观质量：</w:t>
      </w:r>
    </w:p>
    <w:p w14:paraId="7EB9CFE3">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1）冲裁件的剪切断面斜度偏差应小于板厚的十分之一；</w:t>
      </w:r>
    </w:p>
    <w:p w14:paraId="45DAE405">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2）锻件、冲压件、剪切件应平整光洁，不允许有毛刺、开裂和叠层等缺陷；</w:t>
      </w:r>
    </w:p>
    <w:p w14:paraId="70F59796">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3）锻件、热弯件不允许有过烧、叠层、局部烧熔及氧化皮存在。</w:t>
      </w:r>
    </w:p>
    <w:p w14:paraId="06562E7B">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铝制件的外观质量：</w:t>
      </w:r>
    </w:p>
    <w:p w14:paraId="78E107A0">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1）铝制件表面应光洁、平整，不允许有裂纹等缺陷；</w:t>
      </w:r>
    </w:p>
    <w:p w14:paraId="0EB31FC0">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2）铝制件的重要部位（指不允许降低机械载荷的部位，以产品图样标注为准）不允许有缩松、气孔、砂眼、渣眼、飞边等缺陷；</w:t>
      </w:r>
    </w:p>
    <w:p w14:paraId="7B64C4D5">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3）铝制件与导线接触面及与其它零件连接的部位，接续管与压模的压缩部位，以及有防电晕要求的部位，不允许有胀砂、结疤、凸瘤等缺陷；</w:t>
      </w:r>
    </w:p>
    <w:p w14:paraId="6FAC3683">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4）铝制件的电器接触面，不允许有碰伤、划伤、凹坑、凸起、压痕等缺陷。</w:t>
      </w:r>
    </w:p>
    <w:p w14:paraId="40462499">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铜铝件的电气接触面外观质量：</w:t>
      </w:r>
    </w:p>
    <w:p w14:paraId="30D71412">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铜铝件与导线的接触面应平整、光洁，不允许有毛刺或超过板厚极限偏差的碰伤、划伤、凹坑、凸起及压痕等缺陷。</w:t>
      </w:r>
    </w:p>
    <w:p w14:paraId="660A100A">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焊接件的外观质量：</w:t>
      </w:r>
    </w:p>
    <w:p w14:paraId="1224D7C5">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1）焊缝应为细密平整的细鳞形，并应封边，咬边深度不大于1mm；</w:t>
      </w:r>
    </w:p>
    <w:p w14:paraId="0599000F">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2）焊缝应无裂痕、气孔、夹渣等缺陷。</w:t>
      </w:r>
    </w:p>
    <w:p w14:paraId="7FB20A07">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紧固件外观质量：</w:t>
      </w:r>
    </w:p>
    <w:p w14:paraId="345607E1">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1）紧固件表面不应有锌瘤、锌渣、锌灰存在；</w:t>
      </w:r>
    </w:p>
    <w:p w14:paraId="3CC06BCB">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2）外螺纹、内螺纹应光整；</w:t>
      </w:r>
    </w:p>
    <w:p w14:paraId="494AD7B3">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3）螺杆、螺母均不应有裂痕；</w:t>
      </w:r>
    </w:p>
    <w:p w14:paraId="3D8814C1">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4）螺杆头部应打印性能等级标记。</w:t>
      </w:r>
    </w:p>
    <w:p w14:paraId="41EB46FE">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5.4.2瓷绝缘支柱绝缘子</w:t>
      </w:r>
    </w:p>
    <w:p w14:paraId="65483721">
      <w:pPr>
        <w:pStyle w:val="43"/>
        <w:spacing w:line="360" w:lineRule="auto"/>
        <w:rPr>
          <w:rFonts w:hint="default" w:ascii="Times New Roman" w:hAnsi="Times New Roman" w:eastAsia="黑体"/>
          <w:lang w:val="en-US" w:eastAsia="zh-CN"/>
        </w:rPr>
      </w:pPr>
      <w:r>
        <w:rPr>
          <w:rFonts w:ascii="Times New Roman" w:hAnsi="Times New Roman" w:eastAsia="黑体"/>
        </w:rPr>
        <w:t>5.</w:t>
      </w:r>
      <w:r>
        <w:rPr>
          <w:rFonts w:hint="eastAsia" w:ascii="Times New Roman" w:hAnsi="Times New Roman" w:eastAsia="黑体"/>
          <w:lang w:val="en-US" w:eastAsia="zh-CN"/>
        </w:rPr>
        <w:t>4</w:t>
      </w:r>
      <w:r>
        <w:rPr>
          <w:rFonts w:ascii="Times New Roman" w:hAnsi="Times New Roman" w:eastAsia="黑体"/>
        </w:rPr>
        <w:t>.</w:t>
      </w:r>
      <w:r>
        <w:rPr>
          <w:rFonts w:hint="eastAsia" w:ascii="Times New Roman" w:hAnsi="Times New Roman" w:eastAsia="黑体"/>
          <w:lang w:val="en-US" w:eastAsia="zh-CN"/>
        </w:rPr>
        <w:t>2</w:t>
      </w:r>
      <w:r>
        <w:rPr>
          <w:rFonts w:ascii="Times New Roman" w:hAnsi="Times New Roman" w:eastAsia="黑体"/>
        </w:rPr>
        <w:t xml:space="preserve">.1 </w:t>
      </w:r>
      <w:r>
        <w:rPr>
          <w:rFonts w:hint="eastAsia" w:ascii="Times New Roman" w:hAnsi="Times New Roman" w:eastAsia="黑体"/>
          <w:lang w:val="en-US" w:eastAsia="zh-CN"/>
        </w:rPr>
        <w:t>尺寸特性</w:t>
      </w:r>
    </w:p>
    <w:p w14:paraId="64A96190">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支柱绝缘子的尺寸特性应满足GB/T 8287.1、GB/T 8287.2的要求，如供需双方另有更高要求的协议，按高要求进行。尺寸特性规定如下：</w:t>
      </w:r>
    </w:p>
    <w:p w14:paraId="391102CD">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1）总高度；</w:t>
      </w:r>
    </w:p>
    <w:p w14:paraId="64301E74">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2）绝缘子的最大公称直径；</w:t>
      </w:r>
    </w:p>
    <w:p w14:paraId="09C53F57">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3）最小公称爬电距离；</w:t>
      </w:r>
    </w:p>
    <w:p w14:paraId="2CF1715B">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4）安装结构；</w:t>
      </w:r>
    </w:p>
    <w:p w14:paraId="53F3D04D">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5）公差。</w:t>
      </w:r>
    </w:p>
    <w:p w14:paraId="71C1BC60">
      <w:pPr>
        <w:pStyle w:val="43"/>
        <w:spacing w:line="360" w:lineRule="auto"/>
        <w:rPr>
          <w:rFonts w:ascii="Times New Roman" w:hAnsi="Times New Roman" w:eastAsia="黑体" w:cs="Times New Roman"/>
        </w:rPr>
      </w:pPr>
      <w:bookmarkStart w:id="126" w:name="_Toc491875134"/>
      <w:r>
        <w:rPr>
          <w:rFonts w:hint="eastAsia" w:ascii="Times New Roman" w:hAnsi="Times New Roman" w:eastAsia="黑体" w:cs="Times New Roman"/>
        </w:rPr>
        <w:t>5</w:t>
      </w:r>
      <w:r>
        <w:rPr>
          <w:rFonts w:ascii="Times New Roman" w:hAnsi="Times New Roman" w:eastAsia="黑体" w:cs="Times New Roman"/>
        </w:rPr>
        <w:t>.</w:t>
      </w:r>
      <w:r>
        <w:rPr>
          <w:rFonts w:hint="eastAsia" w:ascii="Times New Roman" w:hAnsi="Times New Roman" w:eastAsia="黑体" w:cs="Times New Roman"/>
          <w:lang w:val="en-US" w:eastAsia="zh-CN"/>
        </w:rPr>
        <w:t>4.</w:t>
      </w:r>
      <w:r>
        <w:rPr>
          <w:rFonts w:hint="eastAsia" w:ascii="Times New Roman" w:hAnsi="Times New Roman" w:eastAsia="黑体" w:cs="Times New Roman"/>
        </w:rPr>
        <w:t>2</w:t>
      </w:r>
      <w:r>
        <w:rPr>
          <w:rFonts w:ascii="Times New Roman" w:hAnsi="Times New Roman" w:eastAsia="黑体" w:cs="Times New Roman"/>
        </w:rPr>
        <w:t>.</w:t>
      </w:r>
      <w:r>
        <w:rPr>
          <w:rFonts w:hint="eastAsia" w:ascii="Times New Roman" w:hAnsi="Times New Roman" w:eastAsia="黑体" w:cs="Times New Roman"/>
          <w:lang w:val="en-US" w:eastAsia="zh-CN"/>
        </w:rPr>
        <w:t>2</w:t>
      </w:r>
      <w:r>
        <w:rPr>
          <w:rFonts w:ascii="Times New Roman" w:hAnsi="Times New Roman" w:eastAsia="黑体" w:cs="Times New Roman"/>
        </w:rPr>
        <w:t xml:space="preserve"> </w:t>
      </w:r>
      <w:r>
        <w:rPr>
          <w:rFonts w:hint="eastAsia" w:ascii="Times New Roman" w:hAnsi="Times New Roman" w:eastAsia="黑体" w:cs="Times New Roman"/>
        </w:rPr>
        <w:t>瓷</w:t>
      </w:r>
      <w:r>
        <w:rPr>
          <w:rFonts w:ascii="Times New Roman" w:hAnsi="Times New Roman" w:eastAsia="黑体" w:cs="Times New Roman"/>
        </w:rPr>
        <w:t>件</w:t>
      </w:r>
      <w:bookmarkEnd w:id="126"/>
    </w:p>
    <w:p w14:paraId="6A89FAA3">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1）支柱绝缘子的瓷件均应是实心的铝质瓷，当绝缘子弯曲强度≥30kNm时，应采用C130高强度铝质瓷。瓷材料的性能应符合GB/T 8411.1和GB/T 8411.3的规定，胶装部位采用上砂结构。</w:t>
      </w:r>
    </w:p>
    <w:p w14:paraId="51D11DDD">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2）支柱绝缘子的伞裙应为不等径的大小伞，伞型设计应符合GB/T 26218的要求，两裙伸出之差（P1-P2）≥15mm，相邻裙间高（S）与裙伸出长度（P1）之比应大于0.9。应有良好的抗污秽能力和运行特性，其有效爬电距离应考虑伞裙直径的影响。</w:t>
      </w:r>
    </w:p>
    <w:p w14:paraId="050BE251">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3）绝缘子的未胶装法兰的瓷件满足打击试验要求。</w:t>
      </w:r>
    </w:p>
    <w:p w14:paraId="65C602CF">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4）绝缘子的瓷件按JB/T 9674的规定逐个进行超声波探伤检测。</w:t>
      </w:r>
    </w:p>
    <w:p w14:paraId="507BFD86">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5) 釉面的外观质量符合DL/T 2452-2021中4.3.1的要求。在正常的使用条件下不产生裂纹和碎裂，也不因温度的突变、环境中的臭氧、酸、碱和灰尘等受影响。</w:t>
      </w:r>
    </w:p>
    <w:p w14:paraId="638C6AAC">
      <w:pPr>
        <w:pStyle w:val="43"/>
        <w:spacing w:line="360" w:lineRule="auto"/>
        <w:rPr>
          <w:rFonts w:hint="eastAsia" w:ascii="Times New Roman" w:hAnsi="Times New Roman" w:eastAsia="黑体" w:cs="Times New Roman"/>
        </w:rPr>
      </w:pPr>
      <w:r>
        <w:rPr>
          <w:rFonts w:hint="eastAsia" w:ascii="Times New Roman" w:hAnsi="Times New Roman" w:eastAsia="黑体" w:cs="Times New Roman"/>
        </w:rPr>
        <w:t>5.2.2  水泥胶合剂</w:t>
      </w:r>
    </w:p>
    <w:p w14:paraId="0475370A">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绝缘子使用JB/T 4307规定的42.5R强度等级及以上的硅酸盐水泥，或特制的高强度低膨胀水泥配置成的胶合剂进行胶装。</w:t>
      </w:r>
    </w:p>
    <w:p w14:paraId="2ABF3D8E">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水泥胶合剂满足JB/T 4307的要求，其压膨胀率小于0.1%。水泥不引起金属部件的化学反应。</w:t>
      </w:r>
    </w:p>
    <w:p w14:paraId="1F206CB4">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绝缘件和附件与水泥胶合剂表面接触部分均匀涂覆的沥青缓冲层，其沥青应符合GB/T 494的规定。</w:t>
      </w:r>
    </w:p>
    <w:p w14:paraId="0DF9CA75">
      <w:pPr>
        <w:snapToGrid w:val="0"/>
        <w:spacing w:line="360" w:lineRule="auto"/>
        <w:ind w:firstLine="420" w:firstLineChars="200"/>
        <w:rPr>
          <w:rFonts w:hint="eastAsia" w:ascii="宋体" w:hAnsi="宋体" w:eastAsia="宋体" w:cs="宋体"/>
          <w:lang w:val="en-US" w:eastAsia="zh-CN"/>
        </w:rPr>
      </w:pPr>
      <w:r>
        <w:rPr>
          <w:rFonts w:hint="eastAsia" w:ascii="宋体" w:hAnsi="宋体" w:eastAsia="宋体" w:cs="宋体"/>
          <w:lang w:val="en-US" w:eastAsia="zh-CN"/>
        </w:rPr>
        <w:t>绝缘子金属附件采用上砂水泥胶装，胶装处胶合剂外露表面应平整，无水泥残渣、露缝、裂纹等缺陷，胶装后露砂高度10～20mm，且不得小于10mm，胶装处应均匀涂以防水密封胶。</w:t>
      </w:r>
    </w:p>
    <w:p w14:paraId="74468AD3">
      <w:pPr>
        <w:pStyle w:val="43"/>
        <w:spacing w:line="360" w:lineRule="auto"/>
        <w:rPr>
          <w:rFonts w:hint="eastAsia" w:ascii="Times New Roman" w:hAnsi="Times New Roman" w:eastAsia="黑体" w:cs="Times New Roman"/>
        </w:rPr>
      </w:pPr>
      <w:r>
        <w:rPr>
          <w:rFonts w:hint="eastAsia" w:ascii="Times New Roman" w:hAnsi="Times New Roman" w:eastAsia="黑体" w:cs="Times New Roman"/>
        </w:rPr>
        <w:t>5.2.3 金属附件</w:t>
      </w:r>
    </w:p>
    <w:p w14:paraId="572B8036">
      <w:pPr>
        <w:snapToGrid w:val="0"/>
        <w:spacing w:line="360" w:lineRule="auto"/>
        <w:ind w:firstLine="420" w:firstLineChars="200"/>
        <w:rPr>
          <w:rFonts w:hint="eastAsia" w:ascii="宋体" w:hAnsi="宋体" w:eastAsia="宋体" w:cs="宋体"/>
        </w:rPr>
      </w:pPr>
      <w:r>
        <w:rPr>
          <w:rFonts w:hint="eastAsia" w:ascii="宋体" w:hAnsi="宋体" w:eastAsia="宋体" w:cs="宋体"/>
          <w:lang w:val="en-US" w:eastAsia="zh-CN"/>
        </w:rPr>
        <w:t>金属附件应满足JB/T 5891的规定。</w:t>
      </w:r>
    </w:p>
    <w:p w14:paraId="049CC778">
      <w:pPr>
        <w:pStyle w:val="133"/>
        <w:numPr>
          <w:ilvl w:val="0"/>
          <w:numId w:val="0"/>
        </w:numPr>
        <w:spacing w:line="360" w:lineRule="auto"/>
        <w:jc w:val="left"/>
        <w:outlineLvl w:val="1"/>
        <w:rPr>
          <w:rFonts w:hint="default" w:eastAsia="黑体"/>
          <w:lang w:val="en-US" w:eastAsia="zh-CN"/>
        </w:rPr>
      </w:pPr>
      <w:r>
        <w:rPr>
          <w:rFonts w:hint="eastAsia" w:ascii="Times New Roman"/>
          <w:b w:val="0"/>
          <w:color w:val="000000"/>
          <w:highlight w:val="none"/>
          <w:lang w:val="en-US" w:eastAsia="zh-CN"/>
        </w:rPr>
        <w:t>5.5四小器类配件</w:t>
      </w:r>
    </w:p>
    <w:p w14:paraId="1EA46100">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5.5.1电流互感器</w:t>
      </w:r>
    </w:p>
    <w:p w14:paraId="10B1C7FB">
      <w:pPr>
        <w:snapToGrid w:val="0"/>
        <w:spacing w:line="360" w:lineRule="auto"/>
        <w:ind w:firstLine="420" w:firstLineChars="200"/>
        <w:rPr>
          <w:rFonts w:hint="eastAsia" w:ascii="宋体" w:hAnsi="宋体" w:eastAsia="宋体" w:cs="宋体"/>
          <w:rtl w:val="0"/>
          <w:lang w:val="en-US" w:eastAsia="zh-CN"/>
        </w:rPr>
      </w:pPr>
      <w:r>
        <w:rPr>
          <w:rFonts w:hint="eastAsia" w:ascii="宋体" w:hAnsi="宋体" w:eastAsia="宋体" w:cs="宋体"/>
          <w:rtl w:val="0"/>
          <w:lang w:val="en-US" w:eastAsia="zh-CN"/>
        </w:rPr>
        <w:t>10kV电流互感器应选用干式电流互感器。</w:t>
      </w:r>
    </w:p>
    <w:p w14:paraId="2901204A">
      <w:pPr>
        <w:snapToGrid w:val="0"/>
        <w:spacing w:line="360" w:lineRule="auto"/>
        <w:ind w:firstLine="420" w:firstLineChars="200"/>
        <w:rPr>
          <w:rFonts w:hint="eastAsia" w:ascii="宋体" w:hAnsi="宋体" w:eastAsia="宋体" w:cs="宋体"/>
          <w:rtl w:val="0"/>
          <w:lang w:val="zh-CN" w:eastAsia="zh-CN"/>
        </w:rPr>
      </w:pPr>
      <w:r>
        <w:rPr>
          <w:rFonts w:hint="eastAsia" w:ascii="宋体" w:hAnsi="宋体" w:eastAsia="宋体" w:cs="宋体"/>
          <w:rtl w:val="0"/>
          <w:lang w:val="zh-CN" w:eastAsia="zh-CN"/>
        </w:rPr>
        <w:t>除变电站</w:t>
      </w:r>
      <w:r>
        <w:rPr>
          <w:rFonts w:hint="eastAsia" w:ascii="宋体" w:hAnsi="宋体" w:eastAsia="宋体" w:cs="宋体"/>
          <w:rtl w:val="0"/>
          <w:lang w:val="en-US" w:eastAsia="zh-CN"/>
        </w:rPr>
        <w:t>改</w:t>
      </w:r>
      <w:r>
        <w:rPr>
          <w:rFonts w:hint="eastAsia" w:ascii="宋体" w:hAnsi="宋体" w:eastAsia="宋体" w:cs="宋体"/>
          <w:rtl w:val="0"/>
          <w:lang w:val="zh-CN" w:eastAsia="zh-CN"/>
        </w:rPr>
        <w:t>扩建工程外，电流互感器二次</w:t>
      </w:r>
      <w:r>
        <w:rPr>
          <w:rFonts w:hint="eastAsia" w:ascii="宋体" w:hAnsi="宋体" w:eastAsia="宋体" w:cs="宋体"/>
          <w:rtl w:val="0"/>
          <w:lang w:val="en-US" w:eastAsia="zh-CN"/>
        </w:rPr>
        <w:t>绕组</w:t>
      </w:r>
      <w:r>
        <w:rPr>
          <w:rFonts w:hint="eastAsia" w:ascii="宋体" w:hAnsi="宋体" w:eastAsia="宋体" w:cs="宋体"/>
          <w:rtl w:val="0"/>
          <w:lang w:val="zh-CN" w:eastAsia="zh-CN"/>
        </w:rPr>
        <w:t>额定电流应选择1A。</w:t>
      </w:r>
    </w:p>
    <w:p w14:paraId="02938947">
      <w:pPr>
        <w:snapToGrid w:val="0"/>
        <w:spacing w:line="360" w:lineRule="auto"/>
        <w:ind w:firstLine="420" w:firstLineChars="200"/>
        <w:rPr>
          <w:rFonts w:hint="eastAsia" w:ascii="宋体" w:hAnsi="宋体" w:eastAsia="宋体" w:cs="宋体"/>
          <w:rtl w:val="0"/>
          <w:lang w:val="en-US" w:eastAsia="zh-CN"/>
        </w:rPr>
      </w:pPr>
      <w:r>
        <w:rPr>
          <w:rFonts w:hint="eastAsia" w:ascii="宋体" w:hAnsi="宋体" w:eastAsia="宋体" w:cs="宋体"/>
          <w:rtl w:val="0"/>
          <w:lang w:val="en-US" w:eastAsia="zh-CN"/>
        </w:rPr>
        <w:t>电流互感器的一次端子所受的机械力不应超过规定的允许值。互感器的二次引线端子和末屏引出线端子应有防转动措施。</w:t>
      </w:r>
    </w:p>
    <w:p w14:paraId="2BB21CC3">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5.5.2电压互感器</w:t>
      </w:r>
    </w:p>
    <w:p w14:paraId="79A58B74">
      <w:pPr>
        <w:ind w:firstLine="420" w:firstLineChars="200"/>
        <w:rPr>
          <w:rFonts w:hint="default"/>
          <w:lang w:val="en-US" w:eastAsia="zh-CN"/>
        </w:rPr>
      </w:pPr>
      <w:r>
        <w:rPr>
          <w:rFonts w:hint="eastAsia" w:ascii="宋体" w:hAnsi="宋体" w:eastAsia="宋体" w:cs="宋体"/>
          <w:bCs/>
          <w:color w:val="auto"/>
          <w:kern w:val="2"/>
          <w:sz w:val="21"/>
          <w:szCs w:val="21"/>
          <w:highlight w:val="none"/>
          <w:shd w:val="clear" w:color="auto" w:fill="FFFFFF"/>
          <w:rtl w:val="0"/>
          <w:lang w:val="en-US" w:eastAsia="zh-CN" w:bidi="ar-SA"/>
        </w:rPr>
        <w:t>10kV～35kV户内配电装置的电压互感器，应采用干式绝缘的电磁式电压互感器。</w:t>
      </w:r>
    </w:p>
    <w:p w14:paraId="3EBD8D01">
      <w:pPr>
        <w:pStyle w:val="133"/>
        <w:numPr>
          <w:ilvl w:val="0"/>
          <w:numId w:val="0"/>
        </w:numPr>
        <w:spacing w:line="360" w:lineRule="auto"/>
        <w:jc w:val="left"/>
        <w:outlineLvl w:val="1"/>
        <w:rPr>
          <w:rFonts w:hint="eastAsia" w:ascii="Times New Roman"/>
          <w:b w:val="0"/>
          <w:color w:val="000000"/>
          <w:highlight w:val="none"/>
          <w:lang w:val="en-US" w:eastAsia="zh-CN"/>
        </w:rPr>
      </w:pPr>
      <w:r>
        <w:rPr>
          <w:rFonts w:hint="eastAsia" w:ascii="Times New Roman"/>
          <w:b w:val="0"/>
          <w:color w:val="000000"/>
          <w:highlight w:val="none"/>
          <w:lang w:val="en-US" w:eastAsia="zh-CN"/>
        </w:rPr>
        <w:t>5.5.3避雷器</w:t>
      </w:r>
    </w:p>
    <w:p w14:paraId="4E6B2F12">
      <w:pPr>
        <w:snapToGrid w:val="0"/>
        <w:spacing w:line="360" w:lineRule="auto"/>
        <w:ind w:firstLine="420" w:firstLineChars="200"/>
        <w:rPr>
          <w:rFonts w:hint="eastAsia" w:ascii="宋体" w:hAnsi="宋体" w:eastAsia="宋体" w:cs="宋体"/>
          <w:rtl w:val="0"/>
          <w:lang w:val="en-US" w:eastAsia="zh-CN"/>
        </w:rPr>
      </w:pPr>
      <w:r>
        <w:rPr>
          <w:rFonts w:hint="eastAsia" w:ascii="宋体" w:hAnsi="宋体" w:eastAsia="宋体" w:cs="宋体"/>
          <w:rtl w:val="0"/>
          <w:lang w:val="en-US" w:eastAsia="zh-CN"/>
        </w:rPr>
        <w:t>应采用无间隙金属氧化物避雷器，避雷器每相应带动作计数、泄漏电流及污秽电流（外泄漏）功能三合一的监测器。避雷器采用复合绝缘外套时，应采用高温硫化硅橡胶。</w:t>
      </w:r>
    </w:p>
    <w:bookmarkEnd w:id="47"/>
    <w:bookmarkEnd w:id="48"/>
    <w:bookmarkEnd w:id="49"/>
    <w:bookmarkEnd w:id="50"/>
    <w:bookmarkEnd w:id="51"/>
    <w:bookmarkEnd w:id="52"/>
    <w:bookmarkEnd w:id="53"/>
    <w:bookmarkEnd w:id="54"/>
    <w:bookmarkEnd w:id="55"/>
    <w:bookmarkEnd w:id="56"/>
    <w:bookmarkEnd w:id="57"/>
    <w:p w14:paraId="439E2458">
      <w:pPr>
        <w:pStyle w:val="2"/>
        <w:numPr>
          <w:ilvl w:val="0"/>
          <w:numId w:val="19"/>
        </w:numPr>
        <w:ind w:left="0" w:firstLine="0"/>
        <w:rPr>
          <w:rFonts w:hint="eastAsia"/>
          <w:b/>
          <w:color w:val="000000"/>
          <w:highlight w:val="none"/>
        </w:rPr>
      </w:pPr>
      <w:bookmarkStart w:id="127" w:name="_Toc276490905"/>
      <w:bookmarkStart w:id="128" w:name="_Toc271281212"/>
      <w:bookmarkStart w:id="129" w:name="_Toc279695721"/>
      <w:bookmarkStart w:id="130" w:name="_Toc282993301"/>
      <w:bookmarkStart w:id="131" w:name="_Toc276492417"/>
      <w:bookmarkStart w:id="132" w:name="_Toc386042858"/>
      <w:bookmarkStart w:id="133" w:name="_Toc386042698"/>
      <w:bookmarkStart w:id="134" w:name="_Toc23190156"/>
      <w:bookmarkStart w:id="135" w:name="_Toc30163"/>
      <w:bookmarkStart w:id="136" w:name="_Toc386156472"/>
      <w:bookmarkStart w:id="137" w:name="_Toc291951564"/>
      <w:bookmarkStart w:id="138" w:name="_Toc386154354"/>
      <w:r>
        <w:rPr>
          <w:rFonts w:hint="eastAsia"/>
          <w:b/>
          <w:color w:val="000000"/>
          <w:highlight w:val="none"/>
        </w:rPr>
        <w:t>试验</w:t>
      </w:r>
      <w:bookmarkEnd w:id="127"/>
      <w:bookmarkEnd w:id="128"/>
      <w:bookmarkEnd w:id="129"/>
      <w:bookmarkEnd w:id="130"/>
      <w:bookmarkEnd w:id="131"/>
      <w:bookmarkEnd w:id="132"/>
      <w:bookmarkEnd w:id="133"/>
      <w:bookmarkEnd w:id="134"/>
      <w:bookmarkEnd w:id="135"/>
      <w:bookmarkEnd w:id="136"/>
      <w:bookmarkEnd w:id="137"/>
      <w:bookmarkEnd w:id="138"/>
    </w:p>
    <w:p w14:paraId="0D1CFE06">
      <w:pPr>
        <w:snapToGrid w:val="0"/>
        <w:spacing w:line="360" w:lineRule="auto"/>
        <w:ind w:firstLine="420" w:firstLineChars="200"/>
        <w:rPr>
          <w:rFonts w:hint="eastAsia" w:ascii="宋体" w:hAnsi="宋体" w:eastAsia="宋体" w:cs="宋体"/>
          <w:rtl w:val="0"/>
          <w:lang w:val="en-US" w:eastAsia="zh-CN"/>
        </w:rPr>
      </w:pPr>
      <w:bookmarkStart w:id="139" w:name="_Toc276492422"/>
      <w:bookmarkStart w:id="140" w:name="_Toc276490910"/>
      <w:bookmarkStart w:id="141" w:name="_Toc282993354"/>
      <w:bookmarkStart w:id="142" w:name="_Toc279696001"/>
      <w:r>
        <w:rPr>
          <w:rFonts w:hint="eastAsia" w:ascii="宋体" w:hAnsi="宋体" w:eastAsia="宋体" w:cs="宋体"/>
          <w:rtl w:val="0"/>
          <w:lang w:val="en-US" w:eastAsia="zh-CN"/>
        </w:rPr>
        <w:t>根据相关国标和行标等有关标准及其补充说明进行各项试验，有关条款的特殊要求和补充应在试验期间遵守并执行。</w:t>
      </w:r>
    </w:p>
    <w:p w14:paraId="2CA00A52">
      <w:pPr>
        <w:pStyle w:val="133"/>
        <w:spacing w:line="360" w:lineRule="auto"/>
        <w:jc w:val="left"/>
        <w:outlineLvl w:val="1"/>
        <w:rPr>
          <w:rFonts w:ascii="Times New Roman"/>
          <w:b w:val="0"/>
          <w:color w:val="000000"/>
          <w:highlight w:val="none"/>
        </w:rPr>
      </w:pPr>
      <w:bookmarkStart w:id="143" w:name="_Toc23190157"/>
      <w:bookmarkStart w:id="144" w:name="_Toc288039028"/>
      <w:bookmarkStart w:id="145" w:name="_Toc7207"/>
      <w:bookmarkStart w:id="146" w:name="_Toc291951565"/>
      <w:bookmarkStart w:id="147" w:name="_Toc277597215"/>
      <w:bookmarkStart w:id="148" w:name="_Toc386154355"/>
      <w:bookmarkStart w:id="149" w:name="_Toc282980421"/>
      <w:bookmarkStart w:id="150" w:name="_Toc386156473"/>
      <w:bookmarkStart w:id="151" w:name="_Toc386042859"/>
      <w:bookmarkStart w:id="152" w:name="_Toc386042699"/>
      <w:r>
        <w:rPr>
          <w:rFonts w:ascii="Times New Roman"/>
          <w:b w:val="0"/>
          <w:color w:val="000000"/>
          <w:highlight w:val="none"/>
        </w:rPr>
        <w:t>6.1 型式试验</w:t>
      </w:r>
      <w:bookmarkEnd w:id="143"/>
      <w:bookmarkEnd w:id="144"/>
      <w:bookmarkEnd w:id="145"/>
      <w:bookmarkEnd w:id="146"/>
      <w:bookmarkEnd w:id="147"/>
      <w:bookmarkEnd w:id="148"/>
      <w:bookmarkEnd w:id="149"/>
      <w:bookmarkEnd w:id="150"/>
      <w:bookmarkEnd w:id="151"/>
      <w:bookmarkEnd w:id="152"/>
    </w:p>
    <w:p w14:paraId="3482B710">
      <w:pPr>
        <w:snapToGrid w:val="0"/>
        <w:spacing w:line="360" w:lineRule="auto"/>
        <w:ind w:firstLine="420" w:firstLineChars="200"/>
        <w:rPr>
          <w:rFonts w:ascii="Times New Roman"/>
          <w:b w:val="0"/>
          <w:color w:val="000000"/>
          <w:sz w:val="24"/>
          <w:highlight w:val="none"/>
        </w:rPr>
      </w:pPr>
      <w:r>
        <w:rPr>
          <w:rFonts w:hint="eastAsia" w:ascii="宋体" w:hAnsi="宋体" w:eastAsia="宋体" w:cs="宋体"/>
          <w:rtl w:val="0"/>
          <w:lang w:val="en-US" w:eastAsia="zh-CN"/>
        </w:rPr>
        <w:t>型式试验是为了验证所设计和制造的变电站生产运维材料的性能是否能够达到相应产品标准的要求。型式试验应按现行标准进行。</w:t>
      </w:r>
    </w:p>
    <w:p w14:paraId="1F493201">
      <w:pPr>
        <w:pStyle w:val="133"/>
        <w:spacing w:line="360" w:lineRule="auto"/>
        <w:jc w:val="left"/>
        <w:outlineLvl w:val="1"/>
        <w:rPr>
          <w:rFonts w:ascii="Times New Roman"/>
          <w:b w:val="0"/>
          <w:color w:val="000000"/>
          <w:highlight w:val="none"/>
        </w:rPr>
      </w:pPr>
      <w:bookmarkStart w:id="153" w:name="_Toc274903061"/>
      <w:bookmarkStart w:id="154" w:name="_Toc282980422"/>
      <w:bookmarkStart w:id="155" w:name="_Toc274903000"/>
      <w:bookmarkStart w:id="156" w:name="_Toc9431"/>
      <w:bookmarkStart w:id="157" w:name="_Toc386156492"/>
      <w:bookmarkStart w:id="158" w:name="_Toc277597234"/>
      <w:bookmarkStart w:id="159" w:name="_Toc288039029"/>
      <w:bookmarkStart w:id="160" w:name="_Toc386042718"/>
      <w:bookmarkStart w:id="161" w:name="_Toc386042878"/>
      <w:bookmarkStart w:id="162" w:name="_Toc244916011"/>
      <w:bookmarkStart w:id="163" w:name="_Toc386154374"/>
      <w:bookmarkStart w:id="164" w:name="_Toc291951566"/>
      <w:bookmarkStart w:id="165" w:name="_Toc23190158"/>
      <w:r>
        <w:rPr>
          <w:rFonts w:ascii="Times New Roman"/>
          <w:b w:val="0"/>
          <w:color w:val="000000"/>
          <w:highlight w:val="none"/>
        </w:rPr>
        <w:t xml:space="preserve">6.2 </w:t>
      </w:r>
      <w:r>
        <w:rPr>
          <w:rFonts w:hint="eastAsia" w:ascii="Times New Roman"/>
          <w:b w:val="0"/>
          <w:color w:val="000000"/>
          <w:highlight w:val="none"/>
          <w:lang w:val="en-US" w:eastAsia="zh-CN"/>
        </w:rPr>
        <w:t>出厂</w:t>
      </w:r>
      <w:r>
        <w:rPr>
          <w:rFonts w:ascii="Times New Roman"/>
          <w:b w:val="0"/>
          <w:color w:val="000000"/>
          <w:highlight w:val="none"/>
        </w:rPr>
        <w:t>试验</w:t>
      </w:r>
      <w:bookmarkEnd w:id="153"/>
      <w:bookmarkEnd w:id="154"/>
      <w:bookmarkEnd w:id="155"/>
      <w:bookmarkEnd w:id="156"/>
      <w:bookmarkEnd w:id="157"/>
      <w:bookmarkEnd w:id="158"/>
      <w:bookmarkEnd w:id="159"/>
      <w:bookmarkEnd w:id="160"/>
      <w:bookmarkEnd w:id="161"/>
      <w:bookmarkEnd w:id="162"/>
      <w:bookmarkEnd w:id="163"/>
      <w:bookmarkEnd w:id="164"/>
      <w:bookmarkEnd w:id="165"/>
    </w:p>
    <w:p w14:paraId="384EC2C3">
      <w:pPr>
        <w:snapToGrid w:val="0"/>
        <w:spacing w:line="360" w:lineRule="auto"/>
        <w:ind w:firstLine="420" w:firstLineChars="200"/>
        <w:rPr>
          <w:rFonts w:hint="eastAsia" w:eastAsia="黑体"/>
          <w:snapToGrid w:val="0"/>
          <w:color w:val="000000"/>
          <w:kern w:val="0"/>
          <w:highlight w:val="none"/>
        </w:rPr>
      </w:pPr>
      <w:r>
        <w:rPr>
          <w:rFonts w:hint="eastAsia" w:ascii="宋体" w:hAnsi="宋体" w:eastAsia="宋体" w:cs="宋体"/>
          <w:rtl w:val="0"/>
          <w:lang w:val="en-US" w:eastAsia="zh-CN"/>
        </w:rPr>
        <w:t>出厂试验是为了发现产品所用材料和制造中的缺陷，它不应损伤产品的性能和可靠性。出厂试验应该对每台成品进行检验，以确保每台产品与已经通过型式试验的产品相一致。</w:t>
      </w:r>
    </w:p>
    <w:bookmarkEnd w:id="139"/>
    <w:bookmarkEnd w:id="140"/>
    <w:bookmarkEnd w:id="141"/>
    <w:bookmarkEnd w:id="142"/>
    <w:p w14:paraId="19A259B9">
      <w:pPr>
        <w:pStyle w:val="2"/>
        <w:numPr>
          <w:ilvl w:val="0"/>
          <w:numId w:val="19"/>
        </w:numPr>
        <w:ind w:left="0" w:firstLine="0"/>
        <w:rPr>
          <w:rFonts w:hint="eastAsia"/>
          <w:b/>
          <w:color w:val="000000"/>
          <w:highlight w:val="none"/>
        </w:rPr>
      </w:pPr>
      <w:bookmarkStart w:id="166" w:name="_Toc282993358"/>
      <w:bookmarkStart w:id="167" w:name="_Toc282433757"/>
      <w:bookmarkStart w:id="168" w:name="_Toc279695206"/>
      <w:bookmarkStart w:id="169" w:name="_Toc386042887"/>
      <w:bookmarkStart w:id="170" w:name="_Toc291951570"/>
      <w:bookmarkStart w:id="171" w:name="_Toc386156501"/>
      <w:bookmarkStart w:id="172" w:name="_Toc23190162"/>
      <w:bookmarkStart w:id="173" w:name="_Toc386154383"/>
      <w:bookmarkStart w:id="174" w:name="_Toc5940"/>
      <w:bookmarkStart w:id="175" w:name="_Toc386042727"/>
      <w:r>
        <w:rPr>
          <w:rFonts w:hint="eastAsia"/>
          <w:b/>
          <w:color w:val="000000"/>
          <w:highlight w:val="none"/>
        </w:rPr>
        <w:t>技术文件</w:t>
      </w:r>
      <w:bookmarkEnd w:id="166"/>
      <w:bookmarkEnd w:id="167"/>
      <w:bookmarkEnd w:id="168"/>
      <w:r>
        <w:rPr>
          <w:rFonts w:hint="eastAsia"/>
          <w:b/>
          <w:color w:val="000000"/>
          <w:highlight w:val="none"/>
        </w:rPr>
        <w:t>要求</w:t>
      </w:r>
      <w:bookmarkEnd w:id="169"/>
      <w:bookmarkEnd w:id="170"/>
      <w:bookmarkEnd w:id="171"/>
      <w:bookmarkEnd w:id="172"/>
      <w:bookmarkEnd w:id="173"/>
      <w:bookmarkEnd w:id="174"/>
      <w:bookmarkEnd w:id="175"/>
    </w:p>
    <w:p w14:paraId="670EBFB0">
      <w:pPr>
        <w:pStyle w:val="3"/>
        <w:numPr>
          <w:ilvl w:val="1"/>
          <w:numId w:val="0"/>
        </w:numPr>
        <w:spacing w:line="360" w:lineRule="auto"/>
        <w:rPr>
          <w:rFonts w:hint="eastAsia" w:ascii="黑体"/>
          <w:color w:val="000000"/>
          <w:highlight w:val="none"/>
        </w:rPr>
      </w:pPr>
      <w:bookmarkStart w:id="176" w:name="_Toc397530584"/>
      <w:bookmarkStart w:id="177" w:name="_Toc397530301"/>
      <w:bookmarkStart w:id="178" w:name="_Toc292025361"/>
      <w:bookmarkStart w:id="179" w:name="_Toc397530206"/>
      <w:bookmarkStart w:id="180" w:name="_Toc397530484"/>
      <w:bookmarkStart w:id="181" w:name="_Toc395186736"/>
      <w:bookmarkStart w:id="182" w:name="_Toc397530028"/>
      <w:bookmarkStart w:id="183" w:name="_Toc23190163"/>
      <w:bookmarkStart w:id="184" w:name="_Toc19014"/>
      <w:bookmarkStart w:id="185" w:name="_Toc397530388"/>
      <w:r>
        <w:rPr>
          <w:rFonts w:hint="eastAsia" w:ascii="黑体"/>
          <w:color w:val="000000"/>
          <w:highlight w:val="none"/>
          <w:lang w:val="en-US" w:eastAsia="zh-CN"/>
        </w:rPr>
        <w:t>7</w:t>
      </w:r>
      <w:r>
        <w:rPr>
          <w:rFonts w:hint="eastAsia" w:ascii="黑体"/>
          <w:color w:val="000000"/>
          <w:highlight w:val="none"/>
        </w:rPr>
        <w:t>.1一般要求</w:t>
      </w:r>
      <w:bookmarkEnd w:id="176"/>
      <w:bookmarkEnd w:id="177"/>
      <w:bookmarkEnd w:id="178"/>
      <w:bookmarkEnd w:id="179"/>
      <w:bookmarkEnd w:id="180"/>
      <w:bookmarkEnd w:id="181"/>
      <w:bookmarkEnd w:id="182"/>
      <w:bookmarkEnd w:id="183"/>
      <w:bookmarkEnd w:id="184"/>
      <w:bookmarkEnd w:id="185"/>
    </w:p>
    <w:p w14:paraId="7CD34D3C">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7.1.1 投标方提供的图纸、资料、文件应使用国家法定单位制即国际单位制，语言为中文。</w:t>
      </w:r>
    </w:p>
    <w:p w14:paraId="5B4A2A08">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7.1.2资料的组织结构清晰、逻辑性强。资料内容需正确、准确、一致、清晰、完整，满足工程要求。</w:t>
      </w:r>
    </w:p>
    <w:p w14:paraId="151B9DAE">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7.1.3  投标方资料的提交及时充分，满足工程进度要求。在合同谈判日或收到中标通知书后（以先到为准），在项目单位在专用部分规定的时间内给出全部最终技术资料，经招标方确认后不能更改。</w:t>
      </w:r>
    </w:p>
    <w:p w14:paraId="58380B57">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7.1.4  对于其它没有列入合同技术资料清单，却是工程所必需的文件和资料，一经发现，投标方也应及时免费提供。如项目工程为多台设备构成，后续设备有改进时，投标方应及时免费提供新的技术资料。</w:t>
      </w:r>
    </w:p>
    <w:p w14:paraId="2248250D">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7.1.5投标方提供的设备及附件规格、重量或接线有变化时，应及时书面通知招标方。</w:t>
      </w:r>
    </w:p>
    <w:p w14:paraId="46B30C34">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7.1.6 投标方协助招标方按标准检查安装质量，及时处理调试投运过程中出现的问题。当发生设备质量问题，应及时采取措施解决。</w:t>
      </w:r>
    </w:p>
    <w:p w14:paraId="5641961F">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7.1.7投标方应协助招标方解决设备运行中出现的问题。</w:t>
      </w:r>
    </w:p>
    <w:p w14:paraId="28AA3122">
      <w:pPr>
        <w:pStyle w:val="3"/>
        <w:numPr>
          <w:ilvl w:val="1"/>
          <w:numId w:val="0"/>
        </w:numPr>
        <w:spacing w:line="360" w:lineRule="auto"/>
        <w:rPr>
          <w:rFonts w:hint="eastAsia" w:ascii="黑体" w:eastAsia="黑体"/>
          <w:szCs w:val="21"/>
        </w:rPr>
      </w:pPr>
      <w:bookmarkStart w:id="186" w:name="_Toc397530485"/>
      <w:bookmarkStart w:id="187" w:name="_Toc397530207"/>
      <w:bookmarkStart w:id="188" w:name="_Toc395186737"/>
      <w:bookmarkStart w:id="189" w:name="_Toc23190164"/>
      <w:bookmarkStart w:id="190" w:name="_Toc397530389"/>
      <w:bookmarkStart w:id="191" w:name="_Toc397530302"/>
      <w:bookmarkStart w:id="192" w:name="_Toc397530585"/>
      <w:bookmarkStart w:id="193" w:name="_Toc2191"/>
      <w:bookmarkStart w:id="194" w:name="_Toc397530029"/>
      <w:bookmarkStart w:id="195" w:name="_Toc292025362"/>
      <w:r>
        <w:rPr>
          <w:rFonts w:hint="eastAsia" w:ascii="黑体"/>
          <w:color w:val="000000"/>
          <w:highlight w:val="none"/>
          <w:lang w:val="en-US" w:eastAsia="zh-CN"/>
        </w:rPr>
        <w:t>7</w:t>
      </w:r>
      <w:r>
        <w:rPr>
          <w:rFonts w:ascii="黑体"/>
          <w:color w:val="000000"/>
          <w:highlight w:val="none"/>
        </w:rPr>
        <w:t>.</w:t>
      </w:r>
      <w:r>
        <w:rPr>
          <w:rFonts w:hint="eastAsia" w:ascii="黑体"/>
          <w:color w:val="000000"/>
          <w:highlight w:val="none"/>
        </w:rPr>
        <w:t>2</w:t>
      </w:r>
      <w:r>
        <w:rPr>
          <w:rFonts w:ascii="黑体"/>
          <w:color w:val="000000"/>
          <w:highlight w:val="none"/>
        </w:rPr>
        <w:t xml:space="preserve"> </w:t>
      </w:r>
      <w:bookmarkEnd w:id="186"/>
      <w:bookmarkEnd w:id="187"/>
      <w:bookmarkEnd w:id="188"/>
      <w:bookmarkEnd w:id="189"/>
      <w:bookmarkEnd w:id="190"/>
      <w:bookmarkEnd w:id="191"/>
      <w:bookmarkEnd w:id="192"/>
      <w:bookmarkEnd w:id="193"/>
      <w:bookmarkEnd w:id="194"/>
      <w:bookmarkEnd w:id="195"/>
      <w:r>
        <w:rPr>
          <w:rFonts w:hint="eastAsia" w:ascii="黑体" w:eastAsia="黑体"/>
          <w:szCs w:val="21"/>
        </w:rPr>
        <w:t>文件和图纸</w:t>
      </w:r>
    </w:p>
    <w:p w14:paraId="4818E43D">
      <w:pPr>
        <w:snapToGrid w:val="0"/>
        <w:spacing w:line="360" w:lineRule="auto"/>
        <w:ind w:firstLine="420" w:firstLineChars="200"/>
        <w:rPr>
          <w:rFonts w:hint="eastAsia" w:ascii="宋体" w:hAnsi="宋体" w:eastAsia="宋体" w:cs="宋体"/>
          <w:rtl w:val="0"/>
          <w:lang w:val="en-US" w:eastAsia="zh-CN"/>
        </w:rPr>
      </w:pPr>
      <w:r>
        <w:rPr>
          <w:rFonts w:hint="eastAsia" w:ascii="宋体" w:hAnsi="宋体" w:eastAsia="宋体" w:cs="宋体"/>
          <w:rtl w:val="0"/>
          <w:lang w:val="en-US" w:eastAsia="zh-CN"/>
        </w:rPr>
        <w:t>1)如有必要，工作开始之前，为表明所供应货物的细节，投标方应提供图纸、设计资料和文件给招标方批准。对于招标方为满足技术标书的要求直接作出的修改，投标方应重新提供修改的文件。</w:t>
      </w:r>
    </w:p>
    <w:p w14:paraId="4CEF96C4">
      <w:pPr>
        <w:snapToGrid w:val="0"/>
        <w:spacing w:line="360" w:lineRule="auto"/>
        <w:ind w:firstLine="420" w:firstLineChars="200"/>
        <w:rPr>
          <w:rFonts w:hint="eastAsia" w:ascii="宋体" w:hAnsi="宋体" w:eastAsia="宋体" w:cs="宋体"/>
          <w:rtl w:val="0"/>
          <w:lang w:val="en-US" w:eastAsia="zh-CN"/>
        </w:rPr>
      </w:pPr>
      <w:r>
        <w:rPr>
          <w:rFonts w:hint="eastAsia" w:ascii="宋体" w:hAnsi="宋体" w:eastAsia="宋体" w:cs="宋体"/>
          <w:rtl w:val="0"/>
          <w:lang w:val="en-US" w:eastAsia="zh-CN"/>
        </w:rPr>
        <w:t>2)不应因为文件中一些修改而变更合同的价格，如果投标方没有得到批准文件的情况下着手进行工作，投标方应对必要修改发生的费用承担全部的责任，文件的批准应不会减轻投标方对满足技术标书的要求或在其文件中进行修改而承担的责任。</w:t>
      </w:r>
    </w:p>
    <w:p w14:paraId="05A01A69">
      <w:pPr>
        <w:snapToGrid w:val="0"/>
        <w:spacing w:line="360" w:lineRule="auto"/>
        <w:ind w:firstLine="420" w:firstLineChars="200"/>
        <w:rPr>
          <w:rFonts w:hint="eastAsia" w:ascii="宋体" w:hAnsi="宋体" w:eastAsia="宋体" w:cs="宋体"/>
          <w:rtl w:val="0"/>
          <w:lang w:val="en-US" w:eastAsia="zh-CN"/>
        </w:rPr>
      </w:pPr>
      <w:r>
        <w:rPr>
          <w:rFonts w:hint="eastAsia" w:ascii="宋体" w:hAnsi="宋体" w:eastAsia="宋体" w:cs="宋体"/>
          <w:rtl w:val="0"/>
          <w:lang w:val="en-US" w:eastAsia="zh-CN"/>
        </w:rPr>
        <w:t>3)所有经批准的文件都应有可对修改内容加标注的专栏，经修改的文件应用红色箭头或其它清楚的形式指出修改的地方，应该在文件的适当地方写上招标方的名称、标题、投标方的专责工程师的签名、准备日期和相应的文件的编号。图纸和文件的尺寸一般应为420mm×297mm(A3纸型)和210mm×297mm(A4纸型)。</w:t>
      </w:r>
    </w:p>
    <w:p w14:paraId="4CB53078">
      <w:pPr>
        <w:snapToGrid w:val="0"/>
        <w:spacing w:line="360" w:lineRule="auto"/>
        <w:ind w:firstLine="420" w:firstLineChars="200"/>
        <w:rPr>
          <w:rFonts w:hint="eastAsia" w:ascii="宋体" w:hAnsi="宋体" w:eastAsia="宋体" w:cs="宋体"/>
          <w:rtl w:val="0"/>
          <w:lang w:val="en-US" w:eastAsia="zh-CN"/>
        </w:rPr>
      </w:pPr>
      <w:r>
        <w:rPr>
          <w:rFonts w:hint="eastAsia" w:ascii="宋体" w:hAnsi="宋体" w:eastAsia="宋体" w:cs="宋体"/>
          <w:rtl w:val="0"/>
          <w:lang w:val="en-US" w:eastAsia="zh-CN"/>
        </w:rPr>
        <w:t>4)提交资料的要求</w:t>
      </w:r>
    </w:p>
    <w:p w14:paraId="5145D97A">
      <w:pPr>
        <w:snapToGrid w:val="0"/>
        <w:spacing w:line="360" w:lineRule="auto"/>
        <w:ind w:firstLine="420" w:firstLineChars="200"/>
        <w:rPr>
          <w:rFonts w:hint="eastAsia" w:ascii="宋体" w:hAnsi="宋体" w:eastAsia="宋体" w:cs="宋体"/>
          <w:rtl w:val="0"/>
          <w:lang w:val="en-US" w:eastAsia="zh-CN"/>
        </w:rPr>
      </w:pPr>
      <w:r>
        <w:rPr>
          <w:rFonts w:hint="eastAsia" w:ascii="宋体" w:hAnsi="宋体" w:eastAsia="宋体" w:cs="宋体"/>
          <w:rtl w:val="0"/>
          <w:lang w:val="en-US" w:eastAsia="zh-CN"/>
        </w:rPr>
        <w:t>a.说明书应包括下列各项：简要概述、与招标文件有差异的变电站生产运维材料的型号、结构(附产品结构图)、尺寸、技术参数；</w:t>
      </w:r>
    </w:p>
    <w:p w14:paraId="6A641A72">
      <w:pPr>
        <w:snapToGrid w:val="0"/>
        <w:spacing w:line="360" w:lineRule="auto"/>
        <w:ind w:firstLine="420" w:firstLineChars="200"/>
        <w:rPr>
          <w:rFonts w:hint="eastAsia" w:ascii="宋体" w:hAnsi="宋体" w:eastAsia="宋体" w:cs="宋体"/>
          <w:rtl w:val="0"/>
          <w:lang w:val="en-US" w:eastAsia="zh-CN"/>
        </w:rPr>
      </w:pPr>
      <w:r>
        <w:rPr>
          <w:rFonts w:hint="eastAsia" w:ascii="宋体" w:hAnsi="宋体" w:eastAsia="宋体" w:cs="宋体"/>
          <w:rtl w:val="0"/>
          <w:lang w:val="en-US" w:eastAsia="zh-CN"/>
        </w:rPr>
        <w:t>b.试验报告：应提供出厂试验、型式试验和特殊试验报告；</w:t>
      </w:r>
    </w:p>
    <w:p w14:paraId="6879A689">
      <w:pPr>
        <w:snapToGrid w:val="0"/>
        <w:spacing w:line="360" w:lineRule="auto"/>
        <w:ind w:firstLine="420" w:firstLineChars="200"/>
        <w:rPr>
          <w:rFonts w:hint="eastAsia" w:ascii="宋体" w:hAnsi="宋体" w:eastAsia="宋体" w:cs="宋体"/>
          <w:rtl w:val="0"/>
          <w:lang w:val="en-US" w:eastAsia="zh-CN"/>
        </w:rPr>
      </w:pPr>
      <w:r>
        <w:rPr>
          <w:rFonts w:hint="eastAsia" w:ascii="宋体" w:hAnsi="宋体" w:eastAsia="宋体" w:cs="宋体"/>
          <w:rtl w:val="0"/>
          <w:lang w:val="en-US" w:eastAsia="zh-CN"/>
        </w:rPr>
        <w:t>c.提供详细的装箱清单；</w:t>
      </w:r>
    </w:p>
    <w:p w14:paraId="4E2837A6">
      <w:pPr>
        <w:snapToGrid w:val="0"/>
        <w:spacing w:line="360" w:lineRule="auto"/>
        <w:ind w:firstLine="420" w:firstLineChars="200"/>
        <w:rPr>
          <w:rFonts w:hint="eastAsia" w:ascii="宋体" w:hAnsi="宋体" w:eastAsia="宋体" w:cs="宋体"/>
          <w:rtl w:val="0"/>
          <w:lang w:val="en-US" w:eastAsia="zh-CN"/>
        </w:rPr>
      </w:pPr>
      <w:r>
        <w:rPr>
          <w:rFonts w:hint="eastAsia" w:ascii="宋体" w:hAnsi="宋体" w:eastAsia="宋体" w:cs="宋体"/>
          <w:rtl w:val="0"/>
          <w:lang w:val="en-US" w:eastAsia="zh-CN"/>
        </w:rPr>
        <w:t>d.图纸、说明书、试验报告等资料的交付时间、数量及交付单位。</w:t>
      </w:r>
    </w:p>
    <w:p w14:paraId="4BB65596">
      <w:pPr>
        <w:pStyle w:val="2"/>
        <w:numPr>
          <w:ilvl w:val="0"/>
          <w:numId w:val="19"/>
        </w:numPr>
        <w:ind w:left="0" w:firstLine="0"/>
        <w:rPr>
          <w:rFonts w:hint="eastAsia"/>
          <w:b/>
          <w:color w:val="000000"/>
          <w:highlight w:val="none"/>
        </w:rPr>
      </w:pPr>
      <w:bookmarkStart w:id="196" w:name="_Toc279695207"/>
      <w:bookmarkStart w:id="197" w:name="_Toc276492435"/>
      <w:bookmarkStart w:id="198" w:name="_Toc276490917"/>
      <w:bookmarkStart w:id="199" w:name="_Toc23190166"/>
      <w:bookmarkStart w:id="200" w:name="_Toc282993359"/>
      <w:bookmarkStart w:id="201" w:name="_Toc386156504"/>
      <w:bookmarkStart w:id="202" w:name="_Toc386154386"/>
      <w:bookmarkStart w:id="203" w:name="_Toc386042730"/>
      <w:bookmarkStart w:id="204" w:name="_Toc291951573"/>
      <w:bookmarkStart w:id="205" w:name="_Toc282433758"/>
      <w:bookmarkStart w:id="206" w:name="_Toc386042890"/>
      <w:bookmarkStart w:id="207" w:name="_Toc3349"/>
      <w:r>
        <w:rPr>
          <w:rFonts w:hint="eastAsia"/>
          <w:b/>
          <w:color w:val="000000"/>
          <w:highlight w:val="none"/>
        </w:rPr>
        <w:t>包装、运输</w:t>
      </w:r>
      <w:bookmarkEnd w:id="196"/>
      <w:bookmarkEnd w:id="197"/>
      <w:bookmarkEnd w:id="198"/>
      <w:r>
        <w:rPr>
          <w:rFonts w:hint="eastAsia"/>
          <w:b/>
          <w:color w:val="000000"/>
          <w:highlight w:val="none"/>
        </w:rPr>
        <w:t>及质量保证</w:t>
      </w:r>
      <w:bookmarkEnd w:id="199"/>
      <w:bookmarkEnd w:id="200"/>
      <w:bookmarkEnd w:id="201"/>
      <w:bookmarkEnd w:id="202"/>
      <w:bookmarkEnd w:id="203"/>
      <w:bookmarkEnd w:id="204"/>
      <w:bookmarkEnd w:id="205"/>
      <w:bookmarkEnd w:id="206"/>
      <w:bookmarkEnd w:id="207"/>
    </w:p>
    <w:p w14:paraId="61F44E22">
      <w:pPr>
        <w:pStyle w:val="133"/>
        <w:spacing w:line="360" w:lineRule="auto"/>
        <w:jc w:val="left"/>
        <w:outlineLvl w:val="1"/>
        <w:rPr>
          <w:rFonts w:hint="eastAsia" w:ascii="Times New Roman"/>
          <w:b w:val="0"/>
          <w:color w:val="000000"/>
          <w:highlight w:val="none"/>
        </w:rPr>
      </w:pPr>
      <w:bookmarkStart w:id="208" w:name="_Toc291951575"/>
      <w:bookmarkStart w:id="209" w:name="_Toc276490918"/>
      <w:bookmarkStart w:id="210" w:name="_Toc472997247"/>
      <w:bookmarkStart w:id="211" w:name="_Toc23190168"/>
      <w:bookmarkStart w:id="212" w:name="_Toc471528253"/>
      <w:bookmarkStart w:id="213" w:name="_Toc53672785"/>
      <w:bookmarkStart w:id="214" w:name="_Toc386156506"/>
      <w:bookmarkStart w:id="215" w:name="_Toc279695209"/>
      <w:bookmarkStart w:id="216" w:name="_Toc276492436"/>
      <w:bookmarkStart w:id="217" w:name="_Toc386154388"/>
      <w:bookmarkStart w:id="218" w:name="_Toc386042892"/>
      <w:bookmarkStart w:id="219" w:name="_Toc9075"/>
      <w:bookmarkStart w:id="220" w:name="_Toc200531202"/>
      <w:bookmarkStart w:id="221" w:name="_Toc386042732"/>
      <w:bookmarkStart w:id="222" w:name="_Toc276301528"/>
      <w:bookmarkStart w:id="223" w:name="_Toc283911828"/>
      <w:r>
        <w:rPr>
          <w:rFonts w:hint="eastAsia" w:ascii="Times New Roman"/>
          <w:b w:val="0"/>
          <w:color w:val="000000"/>
          <w:highlight w:val="none"/>
          <w:lang w:val="en-US" w:eastAsia="zh-CN"/>
        </w:rPr>
        <w:t>8</w:t>
      </w:r>
      <w:r>
        <w:rPr>
          <w:rFonts w:hint="eastAsia" w:ascii="Times New Roman"/>
          <w:b w:val="0"/>
          <w:color w:val="000000"/>
          <w:highlight w:val="none"/>
        </w:rPr>
        <w:t>.</w:t>
      </w:r>
      <w:r>
        <w:rPr>
          <w:rFonts w:hint="eastAsia" w:ascii="Times New Roman"/>
          <w:b w:val="0"/>
          <w:color w:val="000000"/>
          <w:highlight w:val="none"/>
          <w:lang w:val="en-US" w:eastAsia="zh-CN"/>
        </w:rPr>
        <w:t>1</w:t>
      </w:r>
      <w:r>
        <w:rPr>
          <w:rFonts w:hint="eastAsia" w:ascii="Times New Roman"/>
          <w:b w:val="0"/>
          <w:color w:val="000000"/>
          <w:highlight w:val="none"/>
        </w:rPr>
        <w:t xml:space="preserve"> 包装</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5C9D490C">
      <w:pPr>
        <w:snapToGrid w:val="0"/>
        <w:spacing w:line="360" w:lineRule="auto"/>
        <w:rPr>
          <w:rFonts w:hint="eastAsia" w:ascii="宋体" w:hAnsi="宋体" w:eastAsia="宋体" w:cs="宋体"/>
          <w:rtl w:val="0"/>
          <w:lang w:val="en-US" w:eastAsia="zh-CN"/>
        </w:rPr>
      </w:pPr>
      <w:bookmarkStart w:id="224" w:name="_Toc276490919"/>
      <w:bookmarkStart w:id="225" w:name="_Toc276301529"/>
      <w:bookmarkStart w:id="226" w:name="_Toc283911829"/>
      <w:bookmarkStart w:id="227" w:name="_Toc276492437"/>
      <w:bookmarkStart w:id="228" w:name="_Toc279695210"/>
      <w:r>
        <w:rPr>
          <w:rFonts w:hint="eastAsia" w:ascii="宋体" w:hAnsi="宋体" w:eastAsia="宋体" w:cs="宋体"/>
          <w:rtl w:val="0"/>
          <w:lang w:val="en-US" w:eastAsia="zh-CN"/>
        </w:rPr>
        <w:t>1）要严格按照制造厂给出的说明书对变电站生产运维材料进行包装、运输和储存。制造厂应在交货前的适当时间提供变电站生产运维材料的运输和储存说明书。</w:t>
      </w:r>
    </w:p>
    <w:p w14:paraId="25A8783A">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2）变电站生产运维材料制造完成并通过试验后应及时包装, 否则应得到切实的保护。其包装也应符合铁路、公路和海运部门的有关规定。</w:t>
      </w:r>
    </w:p>
    <w:p w14:paraId="7423C561">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3）包装箱上应有明显的包装储运图示标志, 并应标明招标方的订货号和发货号。</w:t>
      </w:r>
    </w:p>
    <w:p w14:paraId="0C138E37">
      <w:pPr>
        <w:pStyle w:val="133"/>
        <w:spacing w:line="360" w:lineRule="auto"/>
        <w:jc w:val="left"/>
        <w:outlineLvl w:val="1"/>
        <w:rPr>
          <w:rFonts w:hint="eastAsia" w:ascii="Times New Roman"/>
          <w:b w:val="0"/>
          <w:color w:val="000000"/>
          <w:highlight w:val="none"/>
        </w:rPr>
      </w:pPr>
      <w:bookmarkStart w:id="229" w:name="_Toc386154389"/>
      <w:bookmarkStart w:id="230" w:name="_Toc386042893"/>
      <w:bookmarkStart w:id="231" w:name="_Toc9378"/>
      <w:bookmarkStart w:id="232" w:name="_Toc386156507"/>
      <w:bookmarkStart w:id="233" w:name="_Toc291951576"/>
      <w:bookmarkStart w:id="234" w:name="_Toc386042733"/>
      <w:bookmarkStart w:id="235" w:name="_Toc23190169"/>
      <w:r>
        <w:rPr>
          <w:rFonts w:hint="eastAsia" w:ascii="Times New Roman"/>
          <w:b w:val="0"/>
          <w:color w:val="000000"/>
          <w:highlight w:val="none"/>
          <w:lang w:val="en-US" w:eastAsia="zh-CN"/>
        </w:rPr>
        <w:t>8</w:t>
      </w:r>
      <w:r>
        <w:rPr>
          <w:rFonts w:hint="eastAsia" w:ascii="Times New Roman"/>
          <w:b w:val="0"/>
          <w:color w:val="000000"/>
          <w:highlight w:val="none"/>
        </w:rPr>
        <w:t>.</w:t>
      </w:r>
      <w:r>
        <w:rPr>
          <w:rFonts w:hint="eastAsia" w:ascii="Times New Roman"/>
          <w:b w:val="0"/>
          <w:color w:val="000000"/>
          <w:highlight w:val="none"/>
          <w:lang w:val="en-US" w:eastAsia="zh-CN"/>
        </w:rPr>
        <w:t>2</w:t>
      </w:r>
      <w:r>
        <w:rPr>
          <w:rFonts w:hint="eastAsia" w:ascii="Times New Roman"/>
          <w:b w:val="0"/>
          <w:color w:val="000000"/>
          <w:highlight w:val="none"/>
        </w:rPr>
        <w:t xml:space="preserve"> 运输</w:t>
      </w:r>
      <w:bookmarkEnd w:id="224"/>
      <w:bookmarkEnd w:id="225"/>
      <w:bookmarkEnd w:id="226"/>
      <w:bookmarkEnd w:id="227"/>
      <w:bookmarkEnd w:id="228"/>
      <w:bookmarkEnd w:id="229"/>
      <w:bookmarkEnd w:id="230"/>
      <w:bookmarkEnd w:id="231"/>
      <w:bookmarkEnd w:id="232"/>
      <w:bookmarkEnd w:id="233"/>
      <w:bookmarkEnd w:id="234"/>
      <w:bookmarkEnd w:id="235"/>
    </w:p>
    <w:p w14:paraId="4B698C46">
      <w:pPr>
        <w:snapToGrid w:val="0"/>
        <w:spacing w:line="360" w:lineRule="auto"/>
        <w:rPr>
          <w:rFonts w:hint="eastAsia" w:ascii="宋体" w:hAnsi="宋体" w:eastAsia="宋体" w:cs="宋体"/>
          <w:rtl w:val="0"/>
          <w:lang w:val="en-US" w:eastAsia="zh-CN"/>
        </w:rPr>
      </w:pPr>
      <w:bookmarkStart w:id="236" w:name="_Toc283911830"/>
      <w:r>
        <w:rPr>
          <w:rFonts w:hint="eastAsia" w:ascii="宋体" w:hAnsi="宋体" w:eastAsia="宋体" w:cs="宋体"/>
          <w:rtl w:val="0"/>
          <w:lang w:val="en-US" w:eastAsia="zh-CN"/>
        </w:rPr>
        <w:t>1）投标方应负责将变电站生产运维材料运到合同指定的目的地，提供相应免费卸货服务。</w:t>
      </w:r>
    </w:p>
    <w:p w14:paraId="55B1C91D">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2）变电站生产运维材料在运输中均应该注意通风、防潮，同时不得与有腐蚀性的物品堆放在一起，还要注意避开有腐蚀性气体的环境。运输过程中应避免野蛮装卸，并保证变电站生产运维材料在运输过程中不受损坏。</w:t>
      </w:r>
    </w:p>
    <w:p w14:paraId="726AD2F6">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3）整体产品或分别运输的部件,都要适合于运输及装卸的要求。</w:t>
      </w:r>
    </w:p>
    <w:p w14:paraId="429CB6CF">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4）制造厂应提供按全部解体检修用的备品备件和装用机具，随同产品发运。</w:t>
      </w:r>
    </w:p>
    <w:p w14:paraId="7CF4A6CB">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5）随同运输的产品应附有装箱清单，产品所需提供的技术资料应完整无缺。</w:t>
      </w:r>
    </w:p>
    <w:p w14:paraId="5D0EE3B6">
      <w:pPr>
        <w:snapToGrid w:val="0"/>
        <w:spacing w:line="360" w:lineRule="auto"/>
        <w:rPr>
          <w:rFonts w:hint="eastAsia" w:ascii="宋体" w:hAnsi="宋体" w:eastAsia="宋体" w:cs="宋体"/>
          <w:rtl w:val="0"/>
          <w:lang w:val="en-US" w:eastAsia="zh-CN"/>
        </w:rPr>
      </w:pPr>
      <w:bookmarkStart w:id="237" w:name="_Toc291951577"/>
      <w:r>
        <w:rPr>
          <w:rFonts w:hint="eastAsia" w:ascii="宋体" w:hAnsi="宋体" w:eastAsia="宋体" w:cs="宋体"/>
          <w:rtl w:val="0"/>
          <w:lang w:val="en-US" w:eastAsia="zh-CN"/>
        </w:rPr>
        <w:t>6）大型设备在运输和装卸时，应按照DL/T 1071《电力大件运输规范》要求进行。</w:t>
      </w:r>
    </w:p>
    <w:bookmarkEnd w:id="236"/>
    <w:bookmarkEnd w:id="237"/>
    <w:p w14:paraId="60F74DE4">
      <w:pPr>
        <w:pStyle w:val="133"/>
        <w:spacing w:line="360" w:lineRule="auto"/>
        <w:jc w:val="left"/>
        <w:outlineLvl w:val="1"/>
        <w:rPr>
          <w:rFonts w:hint="eastAsia" w:ascii="Times New Roman"/>
          <w:b w:val="0"/>
          <w:color w:val="000000"/>
          <w:highlight w:val="none"/>
        </w:rPr>
      </w:pPr>
      <w:bookmarkStart w:id="238" w:name="_Toc23915"/>
      <w:bookmarkStart w:id="239" w:name="_Toc386042895"/>
      <w:bookmarkStart w:id="240" w:name="_Toc386156509"/>
      <w:bookmarkStart w:id="241" w:name="_Toc386154391"/>
      <w:bookmarkStart w:id="242" w:name="_Toc283911831"/>
      <w:bookmarkStart w:id="243" w:name="_Toc23190171"/>
      <w:bookmarkStart w:id="244" w:name="_Toc291951578"/>
      <w:bookmarkStart w:id="245" w:name="_Toc386042735"/>
      <w:r>
        <w:rPr>
          <w:rFonts w:hint="eastAsia" w:ascii="Times New Roman"/>
          <w:b w:val="0"/>
          <w:color w:val="000000"/>
          <w:highlight w:val="none"/>
          <w:lang w:val="en-US" w:eastAsia="zh-CN"/>
        </w:rPr>
        <w:t>8</w:t>
      </w:r>
      <w:r>
        <w:rPr>
          <w:rFonts w:hint="eastAsia" w:ascii="Times New Roman"/>
          <w:b w:val="0"/>
          <w:color w:val="000000"/>
          <w:highlight w:val="none"/>
        </w:rPr>
        <w:t>.</w:t>
      </w:r>
      <w:r>
        <w:rPr>
          <w:rFonts w:hint="eastAsia" w:ascii="Times New Roman"/>
          <w:b w:val="0"/>
          <w:color w:val="000000"/>
          <w:highlight w:val="none"/>
          <w:lang w:val="en-US" w:eastAsia="zh-CN"/>
        </w:rPr>
        <w:t>3</w:t>
      </w:r>
      <w:r>
        <w:rPr>
          <w:rFonts w:hint="eastAsia" w:ascii="Times New Roman"/>
          <w:b w:val="0"/>
          <w:color w:val="000000"/>
          <w:highlight w:val="none"/>
        </w:rPr>
        <w:t xml:space="preserve"> 质量保证</w:t>
      </w:r>
      <w:bookmarkEnd w:id="238"/>
      <w:bookmarkEnd w:id="239"/>
      <w:bookmarkEnd w:id="240"/>
      <w:bookmarkEnd w:id="241"/>
      <w:bookmarkEnd w:id="242"/>
      <w:bookmarkEnd w:id="243"/>
      <w:bookmarkEnd w:id="244"/>
      <w:bookmarkEnd w:id="245"/>
    </w:p>
    <w:p w14:paraId="04D0CDE0">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1）全部设备必须是全新的, 持久耐用的,应满足作为一个完整产品所能满足的全部要求。投标方应保证设备在规定的使用条件下运行、并按使用说明书进行安装和维护、预期寿命应不少于30年。</w:t>
      </w:r>
    </w:p>
    <w:p w14:paraId="622623B2">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2）投标方应对其整组设备在到货后提供不少于三年的“三包”质量保证。之后如发生产品损坏，投标方应及时为本组装置提供维修部件，并按最近的投标价提供。</w:t>
      </w:r>
    </w:p>
    <w:p w14:paraId="31DE1293">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3）订购的新型产品除应满足本规范外, 投标方还应提供该产品的鉴定证书。</w:t>
      </w:r>
    </w:p>
    <w:p w14:paraId="7597F501">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4）投标方应保证制造过程中的所有工艺、材料试验等(包括投标方的外购件在内)均应符合本标准的规定。若招标方根据运行经验指定投标方提供某种外购零部件, 投标方应积极配合。</w:t>
      </w:r>
    </w:p>
    <w:p w14:paraId="6C9AB18B">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5）附属及配套设备必须满足有关行业标准的要求, 并提供试验报告和产品合格证。</w:t>
      </w:r>
    </w:p>
    <w:p w14:paraId="00A5CE5B">
      <w:pPr>
        <w:snapToGrid w:val="0"/>
        <w:spacing w:line="360" w:lineRule="auto"/>
        <w:rPr>
          <w:rFonts w:hint="eastAsia" w:ascii="宋体" w:hAnsi="宋体" w:eastAsia="宋体" w:cs="宋体"/>
          <w:rtl w:val="0"/>
          <w:lang w:val="en-US" w:eastAsia="zh-CN"/>
        </w:rPr>
      </w:pPr>
      <w:r>
        <w:rPr>
          <w:rFonts w:hint="eastAsia" w:ascii="宋体" w:hAnsi="宋体" w:eastAsia="宋体" w:cs="宋体"/>
          <w:rtl w:val="0"/>
          <w:lang w:val="en-US" w:eastAsia="zh-CN"/>
        </w:rPr>
        <w:t>6）投标方应有遵守本标准中各条款和工作项目的ISO9000-GB/T19000质量保证体系, 该质量保证体系已经通过国家认证并在正常运转。</w:t>
      </w:r>
    </w:p>
    <w:p w14:paraId="4A36F492">
      <w:pPr>
        <w:pStyle w:val="2"/>
        <w:numPr>
          <w:ilvl w:val="0"/>
          <w:numId w:val="19"/>
        </w:numPr>
        <w:ind w:left="0" w:firstLine="0"/>
        <w:rPr>
          <w:rFonts w:hint="eastAsia"/>
          <w:b/>
          <w:color w:val="000000"/>
          <w:highlight w:val="none"/>
        </w:rPr>
      </w:pPr>
      <w:r>
        <w:rPr>
          <w:rFonts w:hint="eastAsia" w:ascii="黑体" w:eastAsia="黑体"/>
          <w:b w:val="0"/>
        </w:rPr>
        <w:t>技术差异表</w:t>
      </w:r>
    </w:p>
    <w:p w14:paraId="26BA4DC4">
      <w:pPr>
        <w:pStyle w:val="149"/>
        <w:spacing w:line="360" w:lineRule="auto"/>
        <w:ind w:firstLine="405" w:firstLineChars="193"/>
        <w:outlineLvl w:val="8"/>
        <w:rPr>
          <w:rFonts w:hint="eastAsia"/>
        </w:rPr>
      </w:pPr>
      <w:bookmarkStart w:id="246" w:name="_Toc226362579"/>
      <w:bookmarkStart w:id="247" w:name="_Toc386154393"/>
      <w:bookmarkStart w:id="248" w:name="_Toc386042897"/>
      <w:bookmarkStart w:id="249" w:name="_Toc386042737"/>
      <w:bookmarkStart w:id="250" w:name="_Toc23190173"/>
      <w:bookmarkStart w:id="251" w:name="_Toc386156511"/>
      <w:bookmarkStart w:id="252" w:name="_Toc26905"/>
      <w:r>
        <w:rPr>
          <w:rFonts w:hint="eastAsia"/>
        </w:rPr>
        <w:t>投标方应将所供设备与本招标书技术文件有差异之处，无论优于或劣于本招标书技术文件要求，均汇集成此表。</w:t>
      </w:r>
    </w:p>
    <w:p w14:paraId="5B02DAC5">
      <w:pPr>
        <w:pStyle w:val="149"/>
        <w:spacing w:line="360" w:lineRule="auto"/>
        <w:ind w:firstLine="405" w:firstLineChars="193"/>
        <w:outlineLvl w:val="8"/>
        <w:rPr>
          <w:rFonts w:hint="eastAsia"/>
        </w:rPr>
      </w:pPr>
    </w:p>
    <w:p w14:paraId="27141197">
      <w:pPr>
        <w:pStyle w:val="149"/>
        <w:spacing w:line="360" w:lineRule="auto"/>
        <w:ind w:firstLine="405" w:firstLineChars="193"/>
        <w:outlineLvl w:val="8"/>
        <w:rPr>
          <w:rFonts w:hint="eastAsia"/>
          <w:lang w:val="en-US" w:eastAsia="zh-CN"/>
        </w:rPr>
      </w:pPr>
    </w:p>
    <w:p w14:paraId="78CE0A27">
      <w:pPr>
        <w:pStyle w:val="149"/>
        <w:spacing w:line="360" w:lineRule="auto"/>
        <w:ind w:firstLine="171" w:firstLineChars="95"/>
        <w:jc w:val="center"/>
        <w:outlineLvl w:val="8"/>
        <w:rPr>
          <w:rFonts w:hAnsi="宋体"/>
          <w:sz w:val="18"/>
          <w:szCs w:val="18"/>
          <w:lang w:val="en-US" w:eastAsia="zh-CN"/>
        </w:rPr>
      </w:pPr>
      <w:r>
        <w:rPr>
          <w:rFonts w:hint="eastAsia" w:hAnsi="宋体"/>
          <w:sz w:val="18"/>
          <w:szCs w:val="18"/>
          <w:lang w:val="en-US" w:eastAsia="zh-CN"/>
        </w:rPr>
        <w:t>表9</w:t>
      </w:r>
      <w:r>
        <w:rPr>
          <w:rFonts w:hAnsi="宋体"/>
          <w:sz w:val="18"/>
          <w:szCs w:val="18"/>
          <w:lang w:val="en-US" w:eastAsia="zh-CN"/>
        </w:rPr>
        <w:t>-1</w:t>
      </w:r>
      <w:r>
        <w:rPr>
          <w:rFonts w:hint="eastAsia" w:hAnsi="宋体"/>
          <w:sz w:val="18"/>
          <w:szCs w:val="18"/>
          <w:lang w:val="en-US" w:eastAsia="zh-CN"/>
        </w:rPr>
        <w:t xml:space="preserve"> 技术差异表</w:t>
      </w:r>
      <w:bookmarkEnd w:id="246"/>
      <w:r>
        <w:rPr>
          <w:rFonts w:hint="eastAsia" w:hAnsi="宋体"/>
          <w:sz w:val="18"/>
          <w:szCs w:val="18"/>
        </w:rPr>
        <w:t xml:space="preserve"> </w:t>
      </w:r>
      <w:r>
        <w:rPr>
          <w:rFonts w:hint="eastAsia" w:hAnsi="宋体"/>
          <w:sz w:val="18"/>
          <w:szCs w:val="18"/>
          <w:lang w:val="en-US" w:eastAsia="zh-CN"/>
        </w:rPr>
        <w:t xml:space="preserve"> (投标方填写)</w:t>
      </w:r>
    </w:p>
    <w:tbl>
      <w:tblPr>
        <w:tblStyle w:val="83"/>
        <w:tblW w:w="491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63"/>
        <w:gridCol w:w="1311"/>
        <w:gridCol w:w="3059"/>
        <w:gridCol w:w="1419"/>
        <w:gridCol w:w="2904"/>
      </w:tblGrid>
      <w:tr w14:paraId="2E3116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04" w:type="pct"/>
            <w:vMerge w:val="restart"/>
            <w:noWrap w:val="0"/>
            <w:vAlign w:val="center"/>
          </w:tcPr>
          <w:p w14:paraId="2C9AC304">
            <w:pPr>
              <w:widowControl/>
              <w:autoSpaceDE w:val="0"/>
              <w:autoSpaceDN w:val="0"/>
              <w:spacing w:before="40"/>
              <w:jc w:val="center"/>
              <w:textAlignment w:val="bottom"/>
              <w:rPr>
                <w:rFonts w:ascii="宋体" w:hAnsi="宋体"/>
                <w:sz w:val="18"/>
                <w:szCs w:val="18"/>
              </w:rPr>
            </w:pPr>
            <w:r>
              <w:rPr>
                <w:rFonts w:hint="eastAsia" w:ascii="宋体" w:hAnsi="宋体"/>
                <w:sz w:val="18"/>
                <w:szCs w:val="18"/>
              </w:rPr>
              <w:t>序</w:t>
            </w:r>
          </w:p>
          <w:p w14:paraId="5CAC6391">
            <w:pPr>
              <w:autoSpaceDE w:val="0"/>
              <w:autoSpaceDN w:val="0"/>
              <w:spacing w:before="40"/>
              <w:jc w:val="center"/>
              <w:textAlignment w:val="bottom"/>
              <w:rPr>
                <w:rFonts w:ascii="宋体" w:hAnsi="宋体"/>
                <w:sz w:val="18"/>
                <w:szCs w:val="18"/>
              </w:rPr>
            </w:pPr>
            <w:r>
              <w:rPr>
                <w:rFonts w:hint="eastAsia" w:ascii="宋体" w:hAnsi="宋体"/>
                <w:sz w:val="18"/>
                <w:szCs w:val="18"/>
              </w:rPr>
              <w:t>号</w:t>
            </w:r>
          </w:p>
        </w:tc>
        <w:tc>
          <w:tcPr>
            <w:tcW w:w="2310" w:type="pct"/>
            <w:gridSpan w:val="2"/>
            <w:noWrap w:val="0"/>
            <w:vAlign w:val="center"/>
          </w:tcPr>
          <w:p w14:paraId="6C78F220">
            <w:pPr>
              <w:widowControl/>
              <w:autoSpaceDE w:val="0"/>
              <w:autoSpaceDN w:val="0"/>
              <w:spacing w:before="40"/>
              <w:jc w:val="center"/>
              <w:textAlignment w:val="bottom"/>
              <w:rPr>
                <w:rFonts w:ascii="宋体" w:hAnsi="宋体"/>
                <w:sz w:val="18"/>
                <w:szCs w:val="18"/>
              </w:rPr>
            </w:pPr>
            <w:r>
              <w:rPr>
                <w:rFonts w:hint="eastAsia" w:ascii="宋体" w:hAnsi="宋体"/>
                <w:sz w:val="18"/>
                <w:szCs w:val="18"/>
              </w:rPr>
              <w:t>招 标 文 件</w:t>
            </w:r>
          </w:p>
        </w:tc>
        <w:tc>
          <w:tcPr>
            <w:tcW w:w="2285" w:type="pct"/>
            <w:gridSpan w:val="2"/>
            <w:noWrap w:val="0"/>
            <w:vAlign w:val="center"/>
          </w:tcPr>
          <w:p w14:paraId="5D495362">
            <w:pPr>
              <w:widowControl/>
              <w:autoSpaceDE w:val="0"/>
              <w:autoSpaceDN w:val="0"/>
              <w:spacing w:before="40"/>
              <w:jc w:val="center"/>
              <w:textAlignment w:val="bottom"/>
              <w:rPr>
                <w:rFonts w:ascii="宋体" w:hAnsi="宋体"/>
                <w:sz w:val="18"/>
                <w:szCs w:val="18"/>
              </w:rPr>
            </w:pPr>
            <w:r>
              <w:rPr>
                <w:rFonts w:hint="eastAsia" w:ascii="宋体" w:hAnsi="宋体"/>
                <w:sz w:val="18"/>
                <w:szCs w:val="18"/>
              </w:rPr>
              <w:t>投  标  文  件</w:t>
            </w:r>
          </w:p>
        </w:tc>
      </w:tr>
      <w:tr w14:paraId="1124F4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04" w:type="pct"/>
            <w:vMerge w:val="continue"/>
            <w:noWrap w:val="0"/>
            <w:vAlign w:val="center"/>
          </w:tcPr>
          <w:p w14:paraId="0657B1C2">
            <w:pPr>
              <w:widowControl/>
              <w:autoSpaceDE w:val="0"/>
              <w:autoSpaceDN w:val="0"/>
              <w:spacing w:before="40"/>
              <w:jc w:val="center"/>
              <w:textAlignment w:val="bottom"/>
              <w:rPr>
                <w:rFonts w:ascii="宋体" w:hAnsi="宋体"/>
                <w:sz w:val="18"/>
                <w:szCs w:val="18"/>
              </w:rPr>
            </w:pPr>
          </w:p>
        </w:tc>
        <w:tc>
          <w:tcPr>
            <w:tcW w:w="693" w:type="pct"/>
            <w:noWrap w:val="0"/>
            <w:vAlign w:val="center"/>
          </w:tcPr>
          <w:p w14:paraId="694AEAE8">
            <w:pPr>
              <w:widowControl/>
              <w:autoSpaceDE w:val="0"/>
              <w:autoSpaceDN w:val="0"/>
              <w:spacing w:before="40"/>
              <w:jc w:val="center"/>
              <w:textAlignment w:val="bottom"/>
              <w:rPr>
                <w:rFonts w:ascii="宋体" w:hAnsi="宋体"/>
                <w:sz w:val="18"/>
                <w:szCs w:val="18"/>
              </w:rPr>
            </w:pPr>
            <w:r>
              <w:rPr>
                <w:rFonts w:hint="eastAsia" w:ascii="宋体" w:hAnsi="宋体"/>
                <w:sz w:val="18"/>
                <w:szCs w:val="18"/>
              </w:rPr>
              <w:t>条  目</w:t>
            </w:r>
          </w:p>
        </w:tc>
        <w:tc>
          <w:tcPr>
            <w:tcW w:w="1617" w:type="pct"/>
            <w:noWrap w:val="0"/>
            <w:vAlign w:val="center"/>
          </w:tcPr>
          <w:p w14:paraId="04720D77">
            <w:pPr>
              <w:widowControl/>
              <w:autoSpaceDE w:val="0"/>
              <w:autoSpaceDN w:val="0"/>
              <w:spacing w:before="40"/>
              <w:jc w:val="center"/>
              <w:textAlignment w:val="bottom"/>
              <w:rPr>
                <w:rFonts w:ascii="宋体" w:hAnsi="宋体"/>
                <w:sz w:val="18"/>
                <w:szCs w:val="18"/>
              </w:rPr>
            </w:pPr>
            <w:r>
              <w:rPr>
                <w:rFonts w:hint="eastAsia" w:ascii="宋体" w:hAnsi="宋体"/>
                <w:sz w:val="18"/>
                <w:szCs w:val="18"/>
              </w:rPr>
              <w:t>简  要  内  容</w:t>
            </w:r>
          </w:p>
        </w:tc>
        <w:tc>
          <w:tcPr>
            <w:tcW w:w="750" w:type="pct"/>
            <w:noWrap w:val="0"/>
            <w:vAlign w:val="center"/>
          </w:tcPr>
          <w:p w14:paraId="38B21988">
            <w:pPr>
              <w:widowControl/>
              <w:autoSpaceDE w:val="0"/>
              <w:autoSpaceDN w:val="0"/>
              <w:spacing w:before="40"/>
              <w:jc w:val="center"/>
              <w:textAlignment w:val="bottom"/>
              <w:rPr>
                <w:rFonts w:ascii="宋体" w:hAnsi="宋体"/>
                <w:sz w:val="18"/>
                <w:szCs w:val="18"/>
              </w:rPr>
            </w:pPr>
            <w:r>
              <w:rPr>
                <w:rFonts w:hint="eastAsia" w:ascii="宋体" w:hAnsi="宋体"/>
                <w:sz w:val="18"/>
                <w:szCs w:val="18"/>
              </w:rPr>
              <w:t>条  目</w:t>
            </w:r>
          </w:p>
        </w:tc>
        <w:tc>
          <w:tcPr>
            <w:tcW w:w="1535" w:type="pct"/>
            <w:noWrap w:val="0"/>
            <w:vAlign w:val="center"/>
          </w:tcPr>
          <w:p w14:paraId="39ED980C">
            <w:pPr>
              <w:widowControl/>
              <w:autoSpaceDE w:val="0"/>
              <w:autoSpaceDN w:val="0"/>
              <w:spacing w:before="40"/>
              <w:jc w:val="center"/>
              <w:textAlignment w:val="bottom"/>
              <w:rPr>
                <w:rFonts w:ascii="宋体" w:hAnsi="宋体"/>
                <w:sz w:val="18"/>
                <w:szCs w:val="18"/>
              </w:rPr>
            </w:pPr>
            <w:r>
              <w:rPr>
                <w:rFonts w:hint="eastAsia" w:ascii="宋体" w:hAnsi="宋体"/>
                <w:sz w:val="18"/>
                <w:szCs w:val="18"/>
              </w:rPr>
              <w:t>简  要  内  容</w:t>
            </w:r>
          </w:p>
        </w:tc>
      </w:tr>
      <w:tr w14:paraId="07BD2D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noWrap w:val="0"/>
            <w:vAlign w:val="center"/>
          </w:tcPr>
          <w:p w14:paraId="0321930C">
            <w:pPr>
              <w:widowControl/>
              <w:autoSpaceDE w:val="0"/>
              <w:autoSpaceDN w:val="0"/>
              <w:jc w:val="center"/>
              <w:textAlignment w:val="bottom"/>
              <w:rPr>
                <w:rFonts w:ascii="宋体" w:hAnsi="宋体"/>
                <w:sz w:val="18"/>
                <w:szCs w:val="18"/>
              </w:rPr>
            </w:pPr>
            <w:r>
              <w:rPr>
                <w:rFonts w:hint="eastAsia" w:ascii="宋体" w:hAnsi="宋体"/>
                <w:sz w:val="18"/>
                <w:szCs w:val="18"/>
              </w:rPr>
              <w:t>1</w:t>
            </w:r>
          </w:p>
        </w:tc>
        <w:tc>
          <w:tcPr>
            <w:tcW w:w="693" w:type="pct"/>
            <w:noWrap w:val="0"/>
            <w:vAlign w:val="center"/>
          </w:tcPr>
          <w:p w14:paraId="265F3390">
            <w:pPr>
              <w:widowControl/>
              <w:autoSpaceDE w:val="0"/>
              <w:autoSpaceDN w:val="0"/>
              <w:jc w:val="center"/>
              <w:textAlignment w:val="bottom"/>
              <w:rPr>
                <w:rFonts w:ascii="宋体" w:hAnsi="宋体"/>
                <w:sz w:val="18"/>
                <w:szCs w:val="18"/>
              </w:rPr>
            </w:pPr>
          </w:p>
        </w:tc>
        <w:tc>
          <w:tcPr>
            <w:tcW w:w="1617" w:type="pct"/>
            <w:noWrap w:val="0"/>
            <w:vAlign w:val="center"/>
          </w:tcPr>
          <w:p w14:paraId="1DE2E5F9">
            <w:pPr>
              <w:widowControl/>
              <w:autoSpaceDE w:val="0"/>
              <w:autoSpaceDN w:val="0"/>
              <w:jc w:val="center"/>
              <w:textAlignment w:val="bottom"/>
              <w:rPr>
                <w:rFonts w:ascii="宋体" w:hAnsi="宋体"/>
                <w:sz w:val="18"/>
                <w:szCs w:val="18"/>
              </w:rPr>
            </w:pPr>
          </w:p>
        </w:tc>
        <w:tc>
          <w:tcPr>
            <w:tcW w:w="750" w:type="pct"/>
            <w:noWrap w:val="0"/>
            <w:vAlign w:val="center"/>
          </w:tcPr>
          <w:p w14:paraId="24904C91">
            <w:pPr>
              <w:widowControl/>
              <w:autoSpaceDE w:val="0"/>
              <w:autoSpaceDN w:val="0"/>
              <w:jc w:val="center"/>
              <w:textAlignment w:val="bottom"/>
              <w:rPr>
                <w:rFonts w:ascii="宋体" w:hAnsi="宋体"/>
                <w:sz w:val="18"/>
                <w:szCs w:val="18"/>
              </w:rPr>
            </w:pPr>
          </w:p>
        </w:tc>
        <w:tc>
          <w:tcPr>
            <w:tcW w:w="1535" w:type="pct"/>
            <w:noWrap w:val="0"/>
            <w:vAlign w:val="center"/>
          </w:tcPr>
          <w:p w14:paraId="0637EE68">
            <w:pPr>
              <w:widowControl/>
              <w:autoSpaceDE w:val="0"/>
              <w:autoSpaceDN w:val="0"/>
              <w:jc w:val="center"/>
              <w:textAlignment w:val="bottom"/>
              <w:rPr>
                <w:rFonts w:ascii="宋体" w:hAnsi="宋体"/>
                <w:sz w:val="18"/>
                <w:szCs w:val="18"/>
              </w:rPr>
            </w:pPr>
          </w:p>
        </w:tc>
      </w:tr>
      <w:tr w14:paraId="14B58D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noWrap w:val="0"/>
            <w:vAlign w:val="center"/>
          </w:tcPr>
          <w:p w14:paraId="5E3F7146">
            <w:pPr>
              <w:widowControl/>
              <w:autoSpaceDE w:val="0"/>
              <w:autoSpaceDN w:val="0"/>
              <w:jc w:val="center"/>
              <w:textAlignment w:val="bottom"/>
              <w:rPr>
                <w:rFonts w:ascii="宋体" w:hAnsi="宋体"/>
                <w:sz w:val="18"/>
                <w:szCs w:val="18"/>
              </w:rPr>
            </w:pPr>
            <w:r>
              <w:rPr>
                <w:rFonts w:hint="eastAsia" w:ascii="宋体" w:hAnsi="宋体"/>
                <w:sz w:val="18"/>
                <w:szCs w:val="18"/>
              </w:rPr>
              <w:t>2</w:t>
            </w:r>
          </w:p>
        </w:tc>
        <w:tc>
          <w:tcPr>
            <w:tcW w:w="693" w:type="pct"/>
            <w:noWrap w:val="0"/>
            <w:vAlign w:val="center"/>
          </w:tcPr>
          <w:p w14:paraId="0674C922">
            <w:pPr>
              <w:widowControl/>
              <w:autoSpaceDE w:val="0"/>
              <w:autoSpaceDN w:val="0"/>
              <w:jc w:val="center"/>
              <w:textAlignment w:val="bottom"/>
              <w:rPr>
                <w:rFonts w:ascii="宋体" w:hAnsi="宋体"/>
                <w:sz w:val="18"/>
                <w:szCs w:val="18"/>
              </w:rPr>
            </w:pPr>
          </w:p>
        </w:tc>
        <w:tc>
          <w:tcPr>
            <w:tcW w:w="1617" w:type="pct"/>
            <w:noWrap w:val="0"/>
            <w:vAlign w:val="center"/>
          </w:tcPr>
          <w:p w14:paraId="3ABD9F66">
            <w:pPr>
              <w:widowControl/>
              <w:autoSpaceDE w:val="0"/>
              <w:autoSpaceDN w:val="0"/>
              <w:jc w:val="center"/>
              <w:textAlignment w:val="bottom"/>
              <w:rPr>
                <w:rFonts w:ascii="宋体" w:hAnsi="宋体"/>
                <w:sz w:val="18"/>
                <w:szCs w:val="18"/>
              </w:rPr>
            </w:pPr>
          </w:p>
        </w:tc>
        <w:tc>
          <w:tcPr>
            <w:tcW w:w="750" w:type="pct"/>
            <w:noWrap w:val="0"/>
            <w:vAlign w:val="center"/>
          </w:tcPr>
          <w:p w14:paraId="2EB6BA7D">
            <w:pPr>
              <w:widowControl/>
              <w:autoSpaceDE w:val="0"/>
              <w:autoSpaceDN w:val="0"/>
              <w:jc w:val="center"/>
              <w:textAlignment w:val="bottom"/>
              <w:rPr>
                <w:rFonts w:ascii="宋体" w:hAnsi="宋体"/>
                <w:sz w:val="18"/>
                <w:szCs w:val="18"/>
              </w:rPr>
            </w:pPr>
          </w:p>
        </w:tc>
        <w:tc>
          <w:tcPr>
            <w:tcW w:w="1535" w:type="pct"/>
            <w:noWrap w:val="0"/>
            <w:vAlign w:val="center"/>
          </w:tcPr>
          <w:p w14:paraId="50D133B3">
            <w:pPr>
              <w:widowControl/>
              <w:autoSpaceDE w:val="0"/>
              <w:autoSpaceDN w:val="0"/>
              <w:jc w:val="center"/>
              <w:textAlignment w:val="bottom"/>
              <w:rPr>
                <w:rFonts w:ascii="宋体" w:hAnsi="宋体"/>
                <w:sz w:val="18"/>
                <w:szCs w:val="18"/>
              </w:rPr>
            </w:pPr>
          </w:p>
        </w:tc>
      </w:tr>
      <w:tr w14:paraId="0A2CDB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noWrap w:val="0"/>
            <w:vAlign w:val="center"/>
          </w:tcPr>
          <w:p w14:paraId="6669AB96">
            <w:pPr>
              <w:widowControl/>
              <w:autoSpaceDE w:val="0"/>
              <w:autoSpaceDN w:val="0"/>
              <w:jc w:val="center"/>
              <w:textAlignment w:val="bottom"/>
              <w:rPr>
                <w:rFonts w:ascii="宋体" w:hAnsi="宋体"/>
                <w:sz w:val="18"/>
                <w:szCs w:val="18"/>
              </w:rPr>
            </w:pPr>
            <w:r>
              <w:rPr>
                <w:rFonts w:hint="eastAsia" w:ascii="宋体" w:hAnsi="宋体"/>
                <w:sz w:val="18"/>
                <w:szCs w:val="18"/>
              </w:rPr>
              <w:t>3</w:t>
            </w:r>
          </w:p>
        </w:tc>
        <w:tc>
          <w:tcPr>
            <w:tcW w:w="693" w:type="pct"/>
            <w:noWrap w:val="0"/>
            <w:vAlign w:val="center"/>
          </w:tcPr>
          <w:p w14:paraId="21674AE4">
            <w:pPr>
              <w:widowControl/>
              <w:autoSpaceDE w:val="0"/>
              <w:autoSpaceDN w:val="0"/>
              <w:jc w:val="center"/>
              <w:textAlignment w:val="bottom"/>
              <w:rPr>
                <w:rFonts w:ascii="宋体" w:hAnsi="宋体"/>
                <w:sz w:val="18"/>
                <w:szCs w:val="18"/>
              </w:rPr>
            </w:pPr>
          </w:p>
        </w:tc>
        <w:tc>
          <w:tcPr>
            <w:tcW w:w="1617" w:type="pct"/>
            <w:noWrap w:val="0"/>
            <w:vAlign w:val="center"/>
          </w:tcPr>
          <w:p w14:paraId="1FC2BC71">
            <w:pPr>
              <w:widowControl/>
              <w:autoSpaceDE w:val="0"/>
              <w:autoSpaceDN w:val="0"/>
              <w:jc w:val="center"/>
              <w:textAlignment w:val="bottom"/>
              <w:rPr>
                <w:rFonts w:ascii="宋体" w:hAnsi="宋体"/>
                <w:sz w:val="18"/>
                <w:szCs w:val="18"/>
              </w:rPr>
            </w:pPr>
          </w:p>
        </w:tc>
        <w:tc>
          <w:tcPr>
            <w:tcW w:w="750" w:type="pct"/>
            <w:noWrap w:val="0"/>
            <w:vAlign w:val="center"/>
          </w:tcPr>
          <w:p w14:paraId="6D13A65E">
            <w:pPr>
              <w:widowControl/>
              <w:autoSpaceDE w:val="0"/>
              <w:autoSpaceDN w:val="0"/>
              <w:jc w:val="center"/>
              <w:textAlignment w:val="bottom"/>
              <w:rPr>
                <w:rFonts w:ascii="宋体" w:hAnsi="宋体"/>
                <w:sz w:val="18"/>
                <w:szCs w:val="18"/>
              </w:rPr>
            </w:pPr>
          </w:p>
        </w:tc>
        <w:tc>
          <w:tcPr>
            <w:tcW w:w="1535" w:type="pct"/>
            <w:noWrap w:val="0"/>
            <w:vAlign w:val="center"/>
          </w:tcPr>
          <w:p w14:paraId="07B40FA0">
            <w:pPr>
              <w:widowControl/>
              <w:autoSpaceDE w:val="0"/>
              <w:autoSpaceDN w:val="0"/>
              <w:jc w:val="center"/>
              <w:textAlignment w:val="bottom"/>
              <w:rPr>
                <w:rFonts w:ascii="宋体" w:hAnsi="宋体"/>
                <w:sz w:val="18"/>
                <w:szCs w:val="18"/>
              </w:rPr>
            </w:pPr>
          </w:p>
        </w:tc>
      </w:tr>
      <w:tr w14:paraId="3AFD11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noWrap w:val="0"/>
            <w:vAlign w:val="center"/>
          </w:tcPr>
          <w:p w14:paraId="113A93C4">
            <w:pPr>
              <w:widowControl/>
              <w:autoSpaceDE w:val="0"/>
              <w:autoSpaceDN w:val="0"/>
              <w:jc w:val="center"/>
              <w:textAlignment w:val="bottom"/>
              <w:rPr>
                <w:rFonts w:ascii="宋体" w:hAnsi="宋体"/>
                <w:sz w:val="18"/>
                <w:szCs w:val="18"/>
              </w:rPr>
            </w:pPr>
            <w:r>
              <w:rPr>
                <w:rFonts w:hint="eastAsia" w:ascii="宋体" w:hAnsi="宋体"/>
                <w:sz w:val="18"/>
                <w:szCs w:val="18"/>
              </w:rPr>
              <w:t>4</w:t>
            </w:r>
          </w:p>
        </w:tc>
        <w:tc>
          <w:tcPr>
            <w:tcW w:w="693" w:type="pct"/>
            <w:noWrap w:val="0"/>
            <w:vAlign w:val="center"/>
          </w:tcPr>
          <w:p w14:paraId="6F8AC1F2">
            <w:pPr>
              <w:widowControl/>
              <w:autoSpaceDE w:val="0"/>
              <w:autoSpaceDN w:val="0"/>
              <w:jc w:val="center"/>
              <w:textAlignment w:val="bottom"/>
              <w:rPr>
                <w:rFonts w:ascii="宋体" w:hAnsi="宋体"/>
                <w:sz w:val="18"/>
                <w:szCs w:val="18"/>
              </w:rPr>
            </w:pPr>
          </w:p>
        </w:tc>
        <w:tc>
          <w:tcPr>
            <w:tcW w:w="1617" w:type="pct"/>
            <w:noWrap w:val="0"/>
            <w:vAlign w:val="center"/>
          </w:tcPr>
          <w:p w14:paraId="5F52A127">
            <w:pPr>
              <w:widowControl/>
              <w:autoSpaceDE w:val="0"/>
              <w:autoSpaceDN w:val="0"/>
              <w:jc w:val="center"/>
              <w:textAlignment w:val="bottom"/>
              <w:rPr>
                <w:rFonts w:ascii="宋体" w:hAnsi="宋体"/>
                <w:sz w:val="18"/>
                <w:szCs w:val="18"/>
              </w:rPr>
            </w:pPr>
          </w:p>
        </w:tc>
        <w:tc>
          <w:tcPr>
            <w:tcW w:w="750" w:type="pct"/>
            <w:noWrap w:val="0"/>
            <w:vAlign w:val="center"/>
          </w:tcPr>
          <w:p w14:paraId="08CE5D6B">
            <w:pPr>
              <w:widowControl/>
              <w:autoSpaceDE w:val="0"/>
              <w:autoSpaceDN w:val="0"/>
              <w:jc w:val="center"/>
              <w:textAlignment w:val="bottom"/>
              <w:rPr>
                <w:rFonts w:ascii="宋体" w:hAnsi="宋体"/>
                <w:sz w:val="18"/>
                <w:szCs w:val="18"/>
              </w:rPr>
            </w:pPr>
          </w:p>
        </w:tc>
        <w:tc>
          <w:tcPr>
            <w:tcW w:w="1535" w:type="pct"/>
            <w:noWrap w:val="0"/>
            <w:vAlign w:val="center"/>
          </w:tcPr>
          <w:p w14:paraId="0C1C2B53">
            <w:pPr>
              <w:widowControl/>
              <w:autoSpaceDE w:val="0"/>
              <w:autoSpaceDN w:val="0"/>
              <w:jc w:val="center"/>
              <w:textAlignment w:val="bottom"/>
              <w:rPr>
                <w:rFonts w:ascii="宋体" w:hAnsi="宋体"/>
                <w:sz w:val="18"/>
                <w:szCs w:val="18"/>
              </w:rPr>
            </w:pPr>
          </w:p>
        </w:tc>
      </w:tr>
      <w:tr w14:paraId="787B1B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noWrap w:val="0"/>
            <w:vAlign w:val="center"/>
          </w:tcPr>
          <w:p w14:paraId="3D93CC12">
            <w:pPr>
              <w:widowControl/>
              <w:autoSpaceDE w:val="0"/>
              <w:autoSpaceDN w:val="0"/>
              <w:jc w:val="center"/>
              <w:textAlignment w:val="bottom"/>
              <w:rPr>
                <w:rFonts w:ascii="宋体" w:hAnsi="宋体"/>
                <w:sz w:val="18"/>
                <w:szCs w:val="18"/>
              </w:rPr>
            </w:pPr>
            <w:r>
              <w:rPr>
                <w:rFonts w:hint="eastAsia" w:ascii="宋体" w:hAnsi="宋体"/>
                <w:sz w:val="18"/>
                <w:szCs w:val="18"/>
              </w:rPr>
              <w:t>5</w:t>
            </w:r>
          </w:p>
        </w:tc>
        <w:tc>
          <w:tcPr>
            <w:tcW w:w="693" w:type="pct"/>
            <w:noWrap w:val="0"/>
            <w:vAlign w:val="center"/>
          </w:tcPr>
          <w:p w14:paraId="17A33C48">
            <w:pPr>
              <w:widowControl/>
              <w:autoSpaceDE w:val="0"/>
              <w:autoSpaceDN w:val="0"/>
              <w:jc w:val="center"/>
              <w:textAlignment w:val="bottom"/>
              <w:rPr>
                <w:rFonts w:ascii="宋体" w:hAnsi="宋体"/>
                <w:sz w:val="18"/>
                <w:szCs w:val="18"/>
              </w:rPr>
            </w:pPr>
          </w:p>
        </w:tc>
        <w:tc>
          <w:tcPr>
            <w:tcW w:w="1617" w:type="pct"/>
            <w:noWrap w:val="0"/>
            <w:vAlign w:val="center"/>
          </w:tcPr>
          <w:p w14:paraId="0274DAC7">
            <w:pPr>
              <w:widowControl/>
              <w:autoSpaceDE w:val="0"/>
              <w:autoSpaceDN w:val="0"/>
              <w:jc w:val="center"/>
              <w:textAlignment w:val="bottom"/>
              <w:rPr>
                <w:rFonts w:ascii="宋体" w:hAnsi="宋体"/>
                <w:sz w:val="18"/>
                <w:szCs w:val="18"/>
              </w:rPr>
            </w:pPr>
          </w:p>
        </w:tc>
        <w:tc>
          <w:tcPr>
            <w:tcW w:w="750" w:type="pct"/>
            <w:noWrap w:val="0"/>
            <w:vAlign w:val="center"/>
          </w:tcPr>
          <w:p w14:paraId="73382A4E">
            <w:pPr>
              <w:widowControl/>
              <w:autoSpaceDE w:val="0"/>
              <w:autoSpaceDN w:val="0"/>
              <w:jc w:val="center"/>
              <w:textAlignment w:val="bottom"/>
              <w:rPr>
                <w:rFonts w:ascii="宋体" w:hAnsi="宋体"/>
                <w:sz w:val="18"/>
                <w:szCs w:val="18"/>
              </w:rPr>
            </w:pPr>
          </w:p>
        </w:tc>
        <w:tc>
          <w:tcPr>
            <w:tcW w:w="1535" w:type="pct"/>
            <w:noWrap w:val="0"/>
            <w:vAlign w:val="center"/>
          </w:tcPr>
          <w:p w14:paraId="0919F8EC">
            <w:pPr>
              <w:widowControl/>
              <w:autoSpaceDE w:val="0"/>
              <w:autoSpaceDN w:val="0"/>
              <w:jc w:val="center"/>
              <w:textAlignment w:val="bottom"/>
              <w:rPr>
                <w:rFonts w:ascii="宋体" w:hAnsi="宋体"/>
                <w:sz w:val="18"/>
                <w:szCs w:val="18"/>
              </w:rPr>
            </w:pPr>
          </w:p>
        </w:tc>
      </w:tr>
      <w:tr w14:paraId="4E6F2E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noWrap w:val="0"/>
            <w:vAlign w:val="center"/>
          </w:tcPr>
          <w:p w14:paraId="19A3D9E4">
            <w:pPr>
              <w:widowControl/>
              <w:autoSpaceDE w:val="0"/>
              <w:autoSpaceDN w:val="0"/>
              <w:jc w:val="center"/>
              <w:textAlignment w:val="bottom"/>
              <w:rPr>
                <w:rFonts w:ascii="宋体" w:hAnsi="宋体"/>
                <w:sz w:val="18"/>
                <w:szCs w:val="18"/>
              </w:rPr>
            </w:pPr>
            <w:r>
              <w:rPr>
                <w:rFonts w:hint="eastAsia" w:ascii="宋体" w:hAnsi="宋体"/>
                <w:sz w:val="18"/>
                <w:szCs w:val="18"/>
              </w:rPr>
              <w:t>6</w:t>
            </w:r>
          </w:p>
        </w:tc>
        <w:tc>
          <w:tcPr>
            <w:tcW w:w="693" w:type="pct"/>
            <w:noWrap w:val="0"/>
            <w:vAlign w:val="center"/>
          </w:tcPr>
          <w:p w14:paraId="4C46A353">
            <w:pPr>
              <w:widowControl/>
              <w:autoSpaceDE w:val="0"/>
              <w:autoSpaceDN w:val="0"/>
              <w:jc w:val="center"/>
              <w:textAlignment w:val="bottom"/>
              <w:rPr>
                <w:rFonts w:ascii="宋体" w:hAnsi="宋体"/>
                <w:sz w:val="18"/>
                <w:szCs w:val="18"/>
              </w:rPr>
            </w:pPr>
          </w:p>
        </w:tc>
        <w:tc>
          <w:tcPr>
            <w:tcW w:w="1617" w:type="pct"/>
            <w:noWrap w:val="0"/>
            <w:vAlign w:val="center"/>
          </w:tcPr>
          <w:p w14:paraId="42D91855">
            <w:pPr>
              <w:widowControl/>
              <w:autoSpaceDE w:val="0"/>
              <w:autoSpaceDN w:val="0"/>
              <w:jc w:val="center"/>
              <w:textAlignment w:val="bottom"/>
              <w:rPr>
                <w:rFonts w:ascii="宋体" w:hAnsi="宋体"/>
                <w:sz w:val="18"/>
                <w:szCs w:val="18"/>
              </w:rPr>
            </w:pPr>
          </w:p>
        </w:tc>
        <w:tc>
          <w:tcPr>
            <w:tcW w:w="750" w:type="pct"/>
            <w:noWrap w:val="0"/>
            <w:vAlign w:val="center"/>
          </w:tcPr>
          <w:p w14:paraId="18345D34">
            <w:pPr>
              <w:widowControl/>
              <w:autoSpaceDE w:val="0"/>
              <w:autoSpaceDN w:val="0"/>
              <w:jc w:val="center"/>
              <w:textAlignment w:val="bottom"/>
              <w:rPr>
                <w:rFonts w:ascii="宋体" w:hAnsi="宋体"/>
                <w:sz w:val="18"/>
                <w:szCs w:val="18"/>
              </w:rPr>
            </w:pPr>
          </w:p>
        </w:tc>
        <w:tc>
          <w:tcPr>
            <w:tcW w:w="1535" w:type="pct"/>
            <w:noWrap w:val="0"/>
            <w:vAlign w:val="center"/>
          </w:tcPr>
          <w:p w14:paraId="47705527">
            <w:pPr>
              <w:widowControl/>
              <w:autoSpaceDE w:val="0"/>
              <w:autoSpaceDN w:val="0"/>
              <w:jc w:val="center"/>
              <w:textAlignment w:val="bottom"/>
              <w:rPr>
                <w:rFonts w:ascii="宋体" w:hAnsi="宋体"/>
                <w:sz w:val="18"/>
                <w:szCs w:val="18"/>
              </w:rPr>
            </w:pPr>
          </w:p>
        </w:tc>
      </w:tr>
      <w:tr w14:paraId="07FB71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noWrap w:val="0"/>
            <w:vAlign w:val="center"/>
          </w:tcPr>
          <w:p w14:paraId="38E3F6C5">
            <w:pPr>
              <w:widowControl/>
              <w:autoSpaceDE w:val="0"/>
              <w:autoSpaceDN w:val="0"/>
              <w:jc w:val="center"/>
              <w:textAlignment w:val="bottom"/>
              <w:rPr>
                <w:rFonts w:ascii="宋体" w:hAnsi="宋体"/>
                <w:sz w:val="18"/>
                <w:szCs w:val="18"/>
              </w:rPr>
            </w:pPr>
            <w:r>
              <w:rPr>
                <w:rFonts w:hint="eastAsia" w:ascii="宋体" w:hAnsi="宋体"/>
                <w:sz w:val="18"/>
                <w:szCs w:val="18"/>
              </w:rPr>
              <w:t>7</w:t>
            </w:r>
          </w:p>
        </w:tc>
        <w:tc>
          <w:tcPr>
            <w:tcW w:w="693" w:type="pct"/>
            <w:noWrap w:val="0"/>
            <w:vAlign w:val="center"/>
          </w:tcPr>
          <w:p w14:paraId="77FADDDE">
            <w:pPr>
              <w:widowControl/>
              <w:autoSpaceDE w:val="0"/>
              <w:autoSpaceDN w:val="0"/>
              <w:jc w:val="center"/>
              <w:textAlignment w:val="bottom"/>
              <w:rPr>
                <w:rFonts w:ascii="宋体" w:hAnsi="宋体"/>
                <w:sz w:val="18"/>
                <w:szCs w:val="18"/>
              </w:rPr>
            </w:pPr>
          </w:p>
        </w:tc>
        <w:tc>
          <w:tcPr>
            <w:tcW w:w="1617" w:type="pct"/>
            <w:noWrap w:val="0"/>
            <w:vAlign w:val="center"/>
          </w:tcPr>
          <w:p w14:paraId="3B9CE6B0">
            <w:pPr>
              <w:widowControl/>
              <w:autoSpaceDE w:val="0"/>
              <w:autoSpaceDN w:val="0"/>
              <w:jc w:val="center"/>
              <w:textAlignment w:val="bottom"/>
              <w:rPr>
                <w:rFonts w:ascii="宋体" w:hAnsi="宋体"/>
                <w:sz w:val="18"/>
                <w:szCs w:val="18"/>
              </w:rPr>
            </w:pPr>
          </w:p>
        </w:tc>
        <w:tc>
          <w:tcPr>
            <w:tcW w:w="750" w:type="pct"/>
            <w:noWrap w:val="0"/>
            <w:vAlign w:val="center"/>
          </w:tcPr>
          <w:p w14:paraId="11DF92E2">
            <w:pPr>
              <w:widowControl/>
              <w:autoSpaceDE w:val="0"/>
              <w:autoSpaceDN w:val="0"/>
              <w:jc w:val="center"/>
              <w:textAlignment w:val="bottom"/>
              <w:rPr>
                <w:rFonts w:ascii="宋体" w:hAnsi="宋体"/>
                <w:sz w:val="18"/>
                <w:szCs w:val="18"/>
              </w:rPr>
            </w:pPr>
          </w:p>
        </w:tc>
        <w:tc>
          <w:tcPr>
            <w:tcW w:w="1535" w:type="pct"/>
            <w:noWrap w:val="0"/>
            <w:vAlign w:val="center"/>
          </w:tcPr>
          <w:p w14:paraId="47D3DC71">
            <w:pPr>
              <w:widowControl/>
              <w:autoSpaceDE w:val="0"/>
              <w:autoSpaceDN w:val="0"/>
              <w:jc w:val="center"/>
              <w:textAlignment w:val="bottom"/>
              <w:rPr>
                <w:rFonts w:ascii="宋体" w:hAnsi="宋体"/>
                <w:sz w:val="18"/>
                <w:szCs w:val="18"/>
              </w:rPr>
            </w:pPr>
          </w:p>
        </w:tc>
      </w:tr>
      <w:tr w14:paraId="4B18B5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4" w:type="pct"/>
            <w:noWrap w:val="0"/>
            <w:vAlign w:val="center"/>
          </w:tcPr>
          <w:p w14:paraId="572E0B5A">
            <w:pPr>
              <w:widowControl/>
              <w:autoSpaceDE w:val="0"/>
              <w:autoSpaceDN w:val="0"/>
              <w:jc w:val="center"/>
              <w:textAlignment w:val="bottom"/>
              <w:rPr>
                <w:rFonts w:ascii="宋体" w:hAnsi="宋体"/>
                <w:sz w:val="18"/>
                <w:szCs w:val="18"/>
              </w:rPr>
            </w:pPr>
            <w:r>
              <w:rPr>
                <w:rFonts w:hint="eastAsia" w:ascii="宋体" w:hAnsi="宋体"/>
                <w:sz w:val="18"/>
                <w:szCs w:val="18"/>
              </w:rPr>
              <w:t>8</w:t>
            </w:r>
          </w:p>
        </w:tc>
        <w:tc>
          <w:tcPr>
            <w:tcW w:w="693" w:type="pct"/>
            <w:noWrap w:val="0"/>
            <w:vAlign w:val="center"/>
          </w:tcPr>
          <w:p w14:paraId="3A717495">
            <w:pPr>
              <w:widowControl/>
              <w:autoSpaceDE w:val="0"/>
              <w:autoSpaceDN w:val="0"/>
              <w:jc w:val="center"/>
              <w:textAlignment w:val="bottom"/>
              <w:rPr>
                <w:rFonts w:ascii="宋体" w:hAnsi="宋体"/>
                <w:sz w:val="18"/>
                <w:szCs w:val="18"/>
              </w:rPr>
            </w:pPr>
          </w:p>
        </w:tc>
        <w:tc>
          <w:tcPr>
            <w:tcW w:w="1617" w:type="pct"/>
            <w:noWrap w:val="0"/>
            <w:vAlign w:val="center"/>
          </w:tcPr>
          <w:p w14:paraId="469A1EF2">
            <w:pPr>
              <w:widowControl/>
              <w:autoSpaceDE w:val="0"/>
              <w:autoSpaceDN w:val="0"/>
              <w:jc w:val="center"/>
              <w:textAlignment w:val="bottom"/>
              <w:rPr>
                <w:rFonts w:ascii="宋体" w:hAnsi="宋体"/>
                <w:sz w:val="18"/>
                <w:szCs w:val="18"/>
              </w:rPr>
            </w:pPr>
          </w:p>
        </w:tc>
        <w:tc>
          <w:tcPr>
            <w:tcW w:w="750" w:type="pct"/>
            <w:noWrap w:val="0"/>
            <w:vAlign w:val="center"/>
          </w:tcPr>
          <w:p w14:paraId="730E4AF7">
            <w:pPr>
              <w:widowControl/>
              <w:autoSpaceDE w:val="0"/>
              <w:autoSpaceDN w:val="0"/>
              <w:jc w:val="center"/>
              <w:textAlignment w:val="bottom"/>
              <w:rPr>
                <w:rFonts w:ascii="宋体" w:hAnsi="宋体"/>
                <w:sz w:val="18"/>
                <w:szCs w:val="18"/>
              </w:rPr>
            </w:pPr>
          </w:p>
        </w:tc>
        <w:tc>
          <w:tcPr>
            <w:tcW w:w="1535" w:type="pct"/>
            <w:noWrap w:val="0"/>
            <w:vAlign w:val="center"/>
          </w:tcPr>
          <w:p w14:paraId="0DEF4355">
            <w:pPr>
              <w:widowControl/>
              <w:autoSpaceDE w:val="0"/>
              <w:autoSpaceDN w:val="0"/>
              <w:jc w:val="center"/>
              <w:textAlignment w:val="bottom"/>
              <w:rPr>
                <w:rFonts w:ascii="宋体" w:hAnsi="宋体"/>
                <w:sz w:val="18"/>
                <w:szCs w:val="18"/>
              </w:rPr>
            </w:pPr>
          </w:p>
        </w:tc>
      </w:tr>
    </w:tbl>
    <w:p w14:paraId="12253E22">
      <w:pPr>
        <w:pStyle w:val="43"/>
        <w:adjustRightInd w:val="0"/>
        <w:snapToGrid w:val="0"/>
        <w:spacing w:before="156" w:beforeLines="50" w:line="360" w:lineRule="auto"/>
        <w:rPr>
          <w:rFonts w:hAnsi="宋体"/>
          <w:szCs w:val="21"/>
        </w:rPr>
      </w:pPr>
      <w:r>
        <w:rPr>
          <w:rFonts w:hAnsi="宋体"/>
          <w:szCs w:val="21"/>
        </w:rPr>
        <w:t>投标</w:t>
      </w:r>
      <w:r>
        <w:rPr>
          <w:rFonts w:hint="eastAsia" w:hAnsi="宋体"/>
          <w:szCs w:val="21"/>
        </w:rPr>
        <w:t>方</w:t>
      </w:r>
      <w:r>
        <w:rPr>
          <w:rFonts w:hAnsi="宋体"/>
          <w:szCs w:val="21"/>
        </w:rPr>
        <w:t>：</w:t>
      </w:r>
      <w:r>
        <w:rPr>
          <w:rFonts w:hAnsi="宋体"/>
          <w:szCs w:val="21"/>
          <w:u w:val="single"/>
        </w:rPr>
        <w:t xml:space="preserve">             </w:t>
      </w:r>
      <w:r>
        <w:rPr>
          <w:rFonts w:hAnsi="宋体"/>
          <w:szCs w:val="21"/>
        </w:rPr>
        <w:t xml:space="preserve">   盖章：</w:t>
      </w:r>
    </w:p>
    <w:bookmarkEnd w:id="247"/>
    <w:bookmarkEnd w:id="248"/>
    <w:bookmarkEnd w:id="249"/>
    <w:bookmarkEnd w:id="250"/>
    <w:bookmarkEnd w:id="251"/>
    <w:bookmarkEnd w:id="252"/>
    <w:p w14:paraId="21EB0D03">
      <w:pPr>
        <w:pStyle w:val="2"/>
        <w:numPr>
          <w:ilvl w:val="0"/>
          <w:numId w:val="0"/>
        </w:numPr>
        <w:adjustRightInd w:val="0"/>
        <w:spacing w:before="156" w:beforeLines="50"/>
        <w:rPr>
          <w:rFonts w:hint="eastAsia" w:ascii="黑体" w:eastAsia="黑体"/>
          <w:b w:val="0"/>
        </w:rPr>
      </w:pPr>
      <w:bookmarkStart w:id="253" w:name="_Toc287602850"/>
      <w:bookmarkStart w:id="254" w:name="_Toc282420857"/>
      <w:bookmarkStart w:id="255" w:name="_Toc395885925"/>
      <w:bookmarkStart w:id="256" w:name="_Toc282421446"/>
      <w:r>
        <w:rPr>
          <w:rFonts w:hint="eastAsia" w:ascii="黑体" w:eastAsia="黑体"/>
          <w:b w:val="0"/>
        </w:rPr>
        <w:t>1</w:t>
      </w:r>
      <w:r>
        <w:rPr>
          <w:rFonts w:hint="eastAsia" w:ascii="黑体" w:eastAsia="黑体"/>
          <w:b w:val="0"/>
          <w:lang w:val="en-US" w:eastAsia="zh-CN"/>
        </w:rPr>
        <w:t>0</w:t>
      </w:r>
      <w:r>
        <w:rPr>
          <w:rFonts w:hint="eastAsia" w:ascii="黑体" w:eastAsia="黑体"/>
          <w:b w:val="0"/>
        </w:rPr>
        <w:t xml:space="preserve"> 投标方需说明的其它问题</w:t>
      </w:r>
      <w:bookmarkEnd w:id="253"/>
      <w:bookmarkEnd w:id="254"/>
      <w:bookmarkEnd w:id="255"/>
      <w:bookmarkEnd w:id="256"/>
    </w:p>
    <w:p w14:paraId="0A3D435F">
      <w:pPr>
        <w:adjustRightInd w:val="0"/>
        <w:snapToGrid w:val="0"/>
        <w:spacing w:line="360" w:lineRule="auto"/>
        <w:ind w:firstLine="420" w:firstLineChars="200"/>
        <w:rPr>
          <w:rFonts w:hint="eastAsia"/>
        </w:rPr>
      </w:pPr>
      <w:r>
        <w:rPr>
          <w:rFonts w:hint="eastAsia"/>
        </w:rPr>
        <w:t>如有需说明的其它问题，投标方应通过书面形式提交，并加盖公章。</w:t>
      </w:r>
    </w:p>
    <w:p w14:paraId="5A8B26BD">
      <w:pPr>
        <w:adjustRightInd w:val="0"/>
        <w:snapToGrid w:val="0"/>
        <w:spacing w:line="360" w:lineRule="auto"/>
        <w:rPr>
          <w:rFonts w:hint="eastAsia" w:ascii="宋体" w:hAnsi="宋体"/>
          <w:szCs w:val="21"/>
        </w:rPr>
      </w:pPr>
      <w:r>
        <w:rPr>
          <w:rFonts w:hint="eastAsia" w:ascii="宋体" w:hAnsi="宋体"/>
          <w:szCs w:val="21"/>
        </w:rPr>
        <w:t>附表A</w:t>
      </w:r>
    </w:p>
    <w:p w14:paraId="31AF302E">
      <w:pPr>
        <w:spacing w:line="360" w:lineRule="auto"/>
        <w:ind w:firstLine="2835" w:firstLineChars="1350"/>
        <w:rPr>
          <w:rFonts w:hint="eastAsia" w:ascii="宋体" w:hAnsi="宋体"/>
          <w:sz w:val="18"/>
          <w:szCs w:val="18"/>
        </w:rPr>
      </w:pPr>
      <w:r>
        <w:rPr>
          <w:rFonts w:hint="eastAsia" w:ascii="宋体" w:hAnsi="宋体"/>
        </w:rPr>
        <w:t>供货范围及设备技术规格一览表</w:t>
      </w:r>
    </w:p>
    <w:tbl>
      <w:tblPr>
        <w:tblStyle w:val="83"/>
        <w:tblW w:w="83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115"/>
        <w:gridCol w:w="1125"/>
        <w:gridCol w:w="1803"/>
        <w:gridCol w:w="537"/>
        <w:gridCol w:w="540"/>
      </w:tblGrid>
      <w:tr w14:paraId="4D1E47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343" w:type="dxa"/>
            <w:vMerge w:val="restart"/>
            <w:noWrap w:val="0"/>
            <w:vAlign w:val="center"/>
          </w:tcPr>
          <w:p w14:paraId="7B35479A">
            <w:pPr>
              <w:jc w:val="center"/>
              <w:rPr>
                <w:rFonts w:ascii="宋体" w:hAnsi="宋体"/>
              </w:rPr>
            </w:pPr>
            <w:r>
              <w:rPr>
                <w:rFonts w:hint="eastAsia" w:ascii="宋体" w:hAnsi="宋体"/>
              </w:rPr>
              <w:t>序号</w:t>
            </w:r>
          </w:p>
        </w:tc>
        <w:tc>
          <w:tcPr>
            <w:tcW w:w="1365" w:type="dxa"/>
            <w:vMerge w:val="restart"/>
            <w:noWrap w:val="0"/>
            <w:vAlign w:val="center"/>
          </w:tcPr>
          <w:p w14:paraId="40B616FC">
            <w:pPr>
              <w:jc w:val="center"/>
              <w:rPr>
                <w:rFonts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noWrap w:val="0"/>
            <w:vAlign w:val="center"/>
          </w:tcPr>
          <w:p w14:paraId="5C30FE01">
            <w:pPr>
              <w:jc w:val="center"/>
              <w:rPr>
                <w:rFonts w:ascii="宋体" w:hAnsi="宋体"/>
              </w:rPr>
            </w:pPr>
            <w:r>
              <w:rPr>
                <w:rFonts w:hint="eastAsia" w:ascii="宋体" w:hAnsi="宋体"/>
              </w:rPr>
              <w:t>单位</w:t>
            </w:r>
          </w:p>
        </w:tc>
        <w:tc>
          <w:tcPr>
            <w:tcW w:w="3240" w:type="dxa"/>
            <w:gridSpan w:val="2"/>
            <w:tcBorders>
              <w:left w:val="single" w:color="auto" w:sz="4" w:space="0"/>
              <w:bottom w:val="single" w:color="auto" w:sz="4" w:space="0"/>
            </w:tcBorders>
            <w:noWrap w:val="0"/>
            <w:vAlign w:val="center"/>
          </w:tcPr>
          <w:p w14:paraId="1AEADE49">
            <w:pPr>
              <w:jc w:val="center"/>
              <w:rPr>
                <w:rFonts w:ascii="宋体" w:hAnsi="宋体"/>
              </w:rPr>
            </w:pPr>
            <w:r>
              <w:rPr>
                <w:rFonts w:hint="eastAsia" w:ascii="宋体" w:hAnsi="宋体"/>
              </w:rPr>
              <w:t>项目要求值</w:t>
            </w:r>
          </w:p>
        </w:tc>
        <w:tc>
          <w:tcPr>
            <w:tcW w:w="2880" w:type="dxa"/>
            <w:gridSpan w:val="3"/>
            <w:tcBorders>
              <w:bottom w:val="single" w:color="auto" w:sz="4" w:space="0"/>
            </w:tcBorders>
            <w:noWrap w:val="0"/>
            <w:vAlign w:val="center"/>
          </w:tcPr>
          <w:p w14:paraId="1B7B56F7">
            <w:pPr>
              <w:jc w:val="center"/>
              <w:rPr>
                <w:rFonts w:hint="eastAsia" w:ascii="宋体" w:hAnsi="宋体"/>
              </w:rPr>
            </w:pPr>
            <w:r>
              <w:rPr>
                <w:rFonts w:hint="eastAsia" w:ascii="宋体" w:hAnsi="宋体"/>
              </w:rPr>
              <w:t>投标方</w:t>
            </w:r>
            <w:r>
              <w:rPr>
                <w:rFonts w:hint="eastAsia"/>
                <w:szCs w:val="21"/>
              </w:rPr>
              <w:t>保证值</w:t>
            </w:r>
          </w:p>
        </w:tc>
      </w:tr>
      <w:tr w14:paraId="53793C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343" w:type="dxa"/>
            <w:vMerge w:val="continue"/>
            <w:noWrap w:val="0"/>
            <w:vAlign w:val="center"/>
          </w:tcPr>
          <w:p w14:paraId="2630D2DC">
            <w:pPr>
              <w:jc w:val="center"/>
              <w:rPr>
                <w:rFonts w:hint="eastAsia" w:ascii="宋体" w:hAnsi="宋体"/>
              </w:rPr>
            </w:pPr>
          </w:p>
        </w:tc>
        <w:tc>
          <w:tcPr>
            <w:tcW w:w="1365" w:type="dxa"/>
            <w:vMerge w:val="continue"/>
            <w:noWrap w:val="0"/>
            <w:vAlign w:val="center"/>
          </w:tcPr>
          <w:p w14:paraId="1BFB6040">
            <w:pPr>
              <w:jc w:val="center"/>
              <w:rPr>
                <w:rFonts w:hint="eastAsia" w:ascii="宋体" w:hAnsi="宋体"/>
              </w:rPr>
            </w:pPr>
          </w:p>
        </w:tc>
        <w:tc>
          <w:tcPr>
            <w:tcW w:w="480" w:type="dxa"/>
            <w:vMerge w:val="continue"/>
            <w:tcBorders>
              <w:right w:val="single" w:color="auto" w:sz="4" w:space="0"/>
            </w:tcBorders>
            <w:noWrap w:val="0"/>
            <w:vAlign w:val="center"/>
          </w:tcPr>
          <w:p w14:paraId="6EE8B3B0">
            <w:pPr>
              <w:jc w:val="center"/>
              <w:rPr>
                <w:rFonts w:hint="eastAsia" w:ascii="宋体" w:hAnsi="宋体"/>
              </w:rPr>
            </w:pPr>
          </w:p>
        </w:tc>
        <w:tc>
          <w:tcPr>
            <w:tcW w:w="2115" w:type="dxa"/>
            <w:tcBorders>
              <w:top w:val="single" w:color="auto" w:sz="4" w:space="0"/>
              <w:left w:val="single" w:color="auto" w:sz="4" w:space="0"/>
              <w:right w:val="single" w:color="auto" w:sz="4" w:space="0"/>
            </w:tcBorders>
            <w:noWrap w:val="0"/>
            <w:vAlign w:val="center"/>
          </w:tcPr>
          <w:p w14:paraId="484D8504">
            <w:pPr>
              <w:jc w:val="center"/>
              <w:rPr>
                <w:rFonts w:hint="eastAsia" w:ascii="宋体" w:hAnsi="宋体"/>
              </w:rPr>
            </w:pPr>
            <w:r>
              <w:rPr>
                <w:rFonts w:hint="eastAsia" w:ascii="宋体" w:hAnsi="宋体"/>
              </w:rPr>
              <w:t>型式、规格</w:t>
            </w:r>
          </w:p>
        </w:tc>
        <w:tc>
          <w:tcPr>
            <w:tcW w:w="1125" w:type="dxa"/>
            <w:tcBorders>
              <w:top w:val="single" w:color="auto" w:sz="4" w:space="0"/>
              <w:left w:val="single" w:color="auto" w:sz="4" w:space="0"/>
            </w:tcBorders>
            <w:noWrap w:val="0"/>
            <w:vAlign w:val="center"/>
          </w:tcPr>
          <w:p w14:paraId="78B7D936">
            <w:pPr>
              <w:jc w:val="center"/>
              <w:rPr>
                <w:rFonts w:ascii="宋体" w:hAnsi="宋体"/>
              </w:rPr>
            </w:pPr>
            <w:r>
              <w:rPr>
                <w:rFonts w:hint="eastAsia" w:ascii="宋体" w:hAnsi="宋体"/>
              </w:rPr>
              <w:t>数量</w:t>
            </w:r>
          </w:p>
          <w:p w14:paraId="4D29D6F0">
            <w:pPr>
              <w:jc w:val="center"/>
              <w:rPr>
                <w:rFonts w:hint="eastAsia" w:ascii="宋体" w:hAnsi="宋体"/>
              </w:rPr>
            </w:pPr>
          </w:p>
        </w:tc>
        <w:tc>
          <w:tcPr>
            <w:tcW w:w="1803" w:type="dxa"/>
            <w:tcBorders>
              <w:top w:val="single" w:color="auto" w:sz="4" w:space="0"/>
              <w:right w:val="single" w:color="auto" w:sz="4" w:space="0"/>
            </w:tcBorders>
            <w:noWrap w:val="0"/>
            <w:vAlign w:val="center"/>
          </w:tcPr>
          <w:p w14:paraId="0A39F2E5">
            <w:pPr>
              <w:jc w:val="center"/>
              <w:rPr>
                <w:rFonts w:hint="eastAsia" w:ascii="宋体" w:hAnsi="宋体"/>
              </w:rPr>
            </w:pPr>
            <w:r>
              <w:rPr>
                <w:rFonts w:hint="eastAsia" w:ascii="宋体" w:hAnsi="宋体"/>
              </w:rPr>
              <w:t>型式、规格</w:t>
            </w:r>
          </w:p>
        </w:tc>
        <w:tc>
          <w:tcPr>
            <w:tcW w:w="537" w:type="dxa"/>
            <w:tcBorders>
              <w:top w:val="single" w:color="auto" w:sz="4" w:space="0"/>
              <w:left w:val="single" w:color="auto" w:sz="4" w:space="0"/>
              <w:right w:val="single" w:color="auto" w:sz="4" w:space="0"/>
            </w:tcBorders>
            <w:noWrap w:val="0"/>
            <w:vAlign w:val="center"/>
          </w:tcPr>
          <w:p w14:paraId="74CAEA0B">
            <w:pPr>
              <w:jc w:val="center"/>
              <w:rPr>
                <w:rFonts w:hint="eastAsia" w:ascii="宋体" w:hAnsi="宋体"/>
              </w:rPr>
            </w:pPr>
            <w:r>
              <w:rPr>
                <w:rFonts w:hint="eastAsia" w:ascii="宋体" w:hAnsi="宋体"/>
              </w:rPr>
              <w:t>数量</w:t>
            </w:r>
          </w:p>
        </w:tc>
        <w:tc>
          <w:tcPr>
            <w:tcW w:w="540" w:type="dxa"/>
            <w:tcBorders>
              <w:top w:val="single" w:color="auto" w:sz="4" w:space="0"/>
              <w:left w:val="single" w:color="auto" w:sz="4" w:space="0"/>
            </w:tcBorders>
            <w:noWrap w:val="0"/>
            <w:vAlign w:val="center"/>
          </w:tcPr>
          <w:p w14:paraId="21CBDA04">
            <w:pPr>
              <w:jc w:val="center"/>
              <w:rPr>
                <w:rFonts w:hint="eastAsia" w:ascii="宋体" w:hAnsi="宋体"/>
              </w:rPr>
            </w:pPr>
            <w:r>
              <w:rPr>
                <w:rFonts w:hint="eastAsia" w:ascii="宋体" w:hAnsi="宋体"/>
              </w:rPr>
              <w:t>有无差异</w:t>
            </w:r>
          </w:p>
        </w:tc>
      </w:tr>
      <w:tr w14:paraId="7D307A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45" w:hRule="atLeast"/>
          <w:jc w:val="center"/>
        </w:trPr>
        <w:tc>
          <w:tcPr>
            <w:tcW w:w="343" w:type="dxa"/>
            <w:noWrap w:val="0"/>
            <w:vAlign w:val="center"/>
          </w:tcPr>
          <w:p w14:paraId="4F6B7D6D">
            <w:pPr>
              <w:jc w:val="center"/>
              <w:rPr>
                <w:rFonts w:ascii="宋体" w:hAnsi="宋体"/>
              </w:rPr>
            </w:pPr>
          </w:p>
        </w:tc>
        <w:tc>
          <w:tcPr>
            <w:tcW w:w="1365" w:type="dxa"/>
            <w:noWrap w:val="0"/>
            <w:vAlign w:val="top"/>
          </w:tcPr>
          <w:p w14:paraId="52CC03D1">
            <w:pPr>
              <w:rPr>
                <w:rFonts w:ascii="宋体" w:hAnsi="宋体"/>
              </w:rPr>
            </w:pPr>
          </w:p>
        </w:tc>
        <w:tc>
          <w:tcPr>
            <w:tcW w:w="480" w:type="dxa"/>
            <w:tcBorders>
              <w:right w:val="single" w:color="auto" w:sz="4" w:space="0"/>
            </w:tcBorders>
            <w:noWrap w:val="0"/>
            <w:vAlign w:val="top"/>
          </w:tcPr>
          <w:p w14:paraId="2EB3CF32">
            <w:pPr>
              <w:rPr>
                <w:rFonts w:hint="eastAsia" w:ascii="宋体" w:hAnsi="宋体"/>
              </w:rPr>
            </w:pPr>
          </w:p>
        </w:tc>
        <w:tc>
          <w:tcPr>
            <w:tcW w:w="2115" w:type="dxa"/>
            <w:tcBorders>
              <w:left w:val="single" w:color="auto" w:sz="4" w:space="0"/>
              <w:right w:val="single" w:color="auto" w:sz="4" w:space="0"/>
            </w:tcBorders>
            <w:noWrap w:val="0"/>
            <w:vAlign w:val="top"/>
          </w:tcPr>
          <w:p w14:paraId="141E9B24">
            <w:pPr>
              <w:rPr>
                <w:rFonts w:hint="eastAsia" w:ascii="宋体" w:hAnsi="宋体"/>
              </w:rPr>
            </w:pPr>
          </w:p>
        </w:tc>
        <w:tc>
          <w:tcPr>
            <w:tcW w:w="1125" w:type="dxa"/>
            <w:tcBorders>
              <w:left w:val="single" w:color="auto" w:sz="4" w:space="0"/>
            </w:tcBorders>
            <w:noWrap w:val="0"/>
            <w:vAlign w:val="top"/>
          </w:tcPr>
          <w:p w14:paraId="7DC87BDB">
            <w:pPr>
              <w:rPr>
                <w:rFonts w:hint="eastAsia" w:ascii="宋体" w:hAnsi="宋体"/>
              </w:rPr>
            </w:pPr>
          </w:p>
        </w:tc>
        <w:tc>
          <w:tcPr>
            <w:tcW w:w="1803" w:type="dxa"/>
            <w:tcBorders>
              <w:right w:val="single" w:color="auto" w:sz="4" w:space="0"/>
            </w:tcBorders>
            <w:noWrap w:val="0"/>
            <w:vAlign w:val="top"/>
          </w:tcPr>
          <w:p w14:paraId="453E4398">
            <w:pPr>
              <w:rPr>
                <w:rFonts w:ascii="宋体" w:hAnsi="宋体"/>
              </w:rPr>
            </w:pPr>
          </w:p>
        </w:tc>
        <w:tc>
          <w:tcPr>
            <w:tcW w:w="537" w:type="dxa"/>
            <w:tcBorders>
              <w:left w:val="single" w:color="auto" w:sz="4" w:space="0"/>
              <w:right w:val="single" w:color="auto" w:sz="4" w:space="0"/>
            </w:tcBorders>
            <w:noWrap w:val="0"/>
            <w:vAlign w:val="top"/>
          </w:tcPr>
          <w:p w14:paraId="284E75DB">
            <w:pPr>
              <w:rPr>
                <w:rFonts w:ascii="宋体" w:hAnsi="宋体"/>
              </w:rPr>
            </w:pPr>
          </w:p>
        </w:tc>
        <w:tc>
          <w:tcPr>
            <w:tcW w:w="540" w:type="dxa"/>
            <w:tcBorders>
              <w:left w:val="single" w:color="auto" w:sz="4" w:space="0"/>
            </w:tcBorders>
            <w:noWrap w:val="0"/>
            <w:vAlign w:val="top"/>
          </w:tcPr>
          <w:p w14:paraId="6FA3C9B1">
            <w:pPr>
              <w:rPr>
                <w:rFonts w:ascii="宋体" w:hAnsi="宋体"/>
              </w:rPr>
            </w:pPr>
          </w:p>
        </w:tc>
      </w:tr>
      <w:tr w14:paraId="33979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45" w:hRule="atLeast"/>
          <w:jc w:val="center"/>
        </w:trPr>
        <w:tc>
          <w:tcPr>
            <w:tcW w:w="343" w:type="dxa"/>
            <w:noWrap w:val="0"/>
            <w:vAlign w:val="center"/>
          </w:tcPr>
          <w:p w14:paraId="4FA76659">
            <w:pPr>
              <w:jc w:val="center"/>
              <w:rPr>
                <w:rFonts w:ascii="宋体" w:hAnsi="宋体"/>
              </w:rPr>
            </w:pPr>
          </w:p>
        </w:tc>
        <w:tc>
          <w:tcPr>
            <w:tcW w:w="1365" w:type="dxa"/>
            <w:noWrap w:val="0"/>
            <w:vAlign w:val="top"/>
          </w:tcPr>
          <w:p w14:paraId="00D308A2">
            <w:pPr>
              <w:rPr>
                <w:rFonts w:ascii="宋体" w:hAnsi="宋体"/>
              </w:rPr>
            </w:pPr>
          </w:p>
        </w:tc>
        <w:tc>
          <w:tcPr>
            <w:tcW w:w="480" w:type="dxa"/>
            <w:tcBorders>
              <w:right w:val="single" w:color="auto" w:sz="4" w:space="0"/>
            </w:tcBorders>
            <w:noWrap w:val="0"/>
            <w:vAlign w:val="top"/>
          </w:tcPr>
          <w:p w14:paraId="2008224A">
            <w:pPr>
              <w:rPr>
                <w:rFonts w:hint="eastAsia" w:ascii="宋体" w:hAnsi="宋体"/>
              </w:rPr>
            </w:pPr>
          </w:p>
        </w:tc>
        <w:tc>
          <w:tcPr>
            <w:tcW w:w="2115" w:type="dxa"/>
            <w:tcBorders>
              <w:left w:val="single" w:color="auto" w:sz="4" w:space="0"/>
              <w:right w:val="single" w:color="auto" w:sz="4" w:space="0"/>
            </w:tcBorders>
            <w:noWrap w:val="0"/>
            <w:vAlign w:val="top"/>
          </w:tcPr>
          <w:p w14:paraId="12D89668">
            <w:pPr>
              <w:rPr>
                <w:rFonts w:hint="eastAsia" w:ascii="宋体" w:hAnsi="宋体"/>
              </w:rPr>
            </w:pPr>
          </w:p>
        </w:tc>
        <w:tc>
          <w:tcPr>
            <w:tcW w:w="1125" w:type="dxa"/>
            <w:tcBorders>
              <w:left w:val="single" w:color="auto" w:sz="4" w:space="0"/>
            </w:tcBorders>
            <w:noWrap w:val="0"/>
            <w:vAlign w:val="top"/>
          </w:tcPr>
          <w:p w14:paraId="7F2463DB">
            <w:pPr>
              <w:rPr>
                <w:rFonts w:hint="eastAsia" w:ascii="宋体" w:hAnsi="宋体"/>
              </w:rPr>
            </w:pPr>
          </w:p>
        </w:tc>
        <w:tc>
          <w:tcPr>
            <w:tcW w:w="1803" w:type="dxa"/>
            <w:tcBorders>
              <w:right w:val="single" w:color="auto" w:sz="4" w:space="0"/>
            </w:tcBorders>
            <w:noWrap w:val="0"/>
            <w:vAlign w:val="top"/>
          </w:tcPr>
          <w:p w14:paraId="499C0220">
            <w:pPr>
              <w:rPr>
                <w:rFonts w:ascii="宋体" w:hAnsi="宋体"/>
              </w:rPr>
            </w:pPr>
          </w:p>
        </w:tc>
        <w:tc>
          <w:tcPr>
            <w:tcW w:w="537" w:type="dxa"/>
            <w:tcBorders>
              <w:left w:val="single" w:color="auto" w:sz="4" w:space="0"/>
              <w:right w:val="single" w:color="auto" w:sz="4" w:space="0"/>
            </w:tcBorders>
            <w:noWrap w:val="0"/>
            <w:vAlign w:val="top"/>
          </w:tcPr>
          <w:p w14:paraId="38300A13">
            <w:pPr>
              <w:rPr>
                <w:rFonts w:ascii="宋体" w:hAnsi="宋体"/>
              </w:rPr>
            </w:pPr>
          </w:p>
        </w:tc>
        <w:tc>
          <w:tcPr>
            <w:tcW w:w="540" w:type="dxa"/>
            <w:tcBorders>
              <w:left w:val="single" w:color="auto" w:sz="4" w:space="0"/>
            </w:tcBorders>
            <w:noWrap w:val="0"/>
            <w:vAlign w:val="top"/>
          </w:tcPr>
          <w:p w14:paraId="441734EB">
            <w:pPr>
              <w:rPr>
                <w:rFonts w:ascii="宋体" w:hAnsi="宋体"/>
              </w:rPr>
            </w:pPr>
          </w:p>
        </w:tc>
      </w:tr>
      <w:tr w14:paraId="7BDCDA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45" w:hRule="atLeast"/>
          <w:jc w:val="center"/>
        </w:trPr>
        <w:tc>
          <w:tcPr>
            <w:tcW w:w="343" w:type="dxa"/>
            <w:noWrap w:val="0"/>
            <w:vAlign w:val="center"/>
          </w:tcPr>
          <w:p w14:paraId="187BF6F9">
            <w:pPr>
              <w:jc w:val="center"/>
              <w:rPr>
                <w:rFonts w:ascii="宋体" w:hAnsi="宋体"/>
              </w:rPr>
            </w:pPr>
          </w:p>
        </w:tc>
        <w:tc>
          <w:tcPr>
            <w:tcW w:w="1365" w:type="dxa"/>
            <w:noWrap w:val="0"/>
            <w:vAlign w:val="top"/>
          </w:tcPr>
          <w:p w14:paraId="29D8750F">
            <w:pPr>
              <w:rPr>
                <w:rFonts w:ascii="宋体" w:hAnsi="宋体"/>
              </w:rPr>
            </w:pPr>
          </w:p>
        </w:tc>
        <w:tc>
          <w:tcPr>
            <w:tcW w:w="480" w:type="dxa"/>
            <w:tcBorders>
              <w:right w:val="single" w:color="auto" w:sz="4" w:space="0"/>
            </w:tcBorders>
            <w:noWrap w:val="0"/>
            <w:vAlign w:val="top"/>
          </w:tcPr>
          <w:p w14:paraId="57CE4CB1">
            <w:pPr>
              <w:rPr>
                <w:rFonts w:hint="eastAsia" w:ascii="宋体" w:hAnsi="宋体"/>
              </w:rPr>
            </w:pPr>
          </w:p>
        </w:tc>
        <w:tc>
          <w:tcPr>
            <w:tcW w:w="2115" w:type="dxa"/>
            <w:tcBorders>
              <w:left w:val="single" w:color="auto" w:sz="4" w:space="0"/>
              <w:right w:val="single" w:color="auto" w:sz="4" w:space="0"/>
            </w:tcBorders>
            <w:noWrap w:val="0"/>
            <w:vAlign w:val="top"/>
          </w:tcPr>
          <w:p w14:paraId="69AD0D6E">
            <w:pPr>
              <w:rPr>
                <w:rFonts w:hint="eastAsia" w:ascii="宋体" w:hAnsi="宋体"/>
              </w:rPr>
            </w:pPr>
          </w:p>
        </w:tc>
        <w:tc>
          <w:tcPr>
            <w:tcW w:w="1125" w:type="dxa"/>
            <w:tcBorders>
              <w:left w:val="single" w:color="auto" w:sz="4" w:space="0"/>
            </w:tcBorders>
            <w:noWrap w:val="0"/>
            <w:vAlign w:val="top"/>
          </w:tcPr>
          <w:p w14:paraId="4145E077">
            <w:pPr>
              <w:rPr>
                <w:rFonts w:hint="eastAsia" w:ascii="宋体" w:hAnsi="宋体"/>
              </w:rPr>
            </w:pPr>
          </w:p>
        </w:tc>
        <w:tc>
          <w:tcPr>
            <w:tcW w:w="1803" w:type="dxa"/>
            <w:tcBorders>
              <w:right w:val="single" w:color="auto" w:sz="4" w:space="0"/>
            </w:tcBorders>
            <w:noWrap w:val="0"/>
            <w:vAlign w:val="top"/>
          </w:tcPr>
          <w:p w14:paraId="42434D03">
            <w:pPr>
              <w:rPr>
                <w:rFonts w:ascii="宋体" w:hAnsi="宋体"/>
              </w:rPr>
            </w:pPr>
          </w:p>
        </w:tc>
        <w:tc>
          <w:tcPr>
            <w:tcW w:w="537" w:type="dxa"/>
            <w:tcBorders>
              <w:left w:val="single" w:color="auto" w:sz="4" w:space="0"/>
              <w:right w:val="single" w:color="auto" w:sz="4" w:space="0"/>
            </w:tcBorders>
            <w:noWrap w:val="0"/>
            <w:vAlign w:val="top"/>
          </w:tcPr>
          <w:p w14:paraId="043D2511">
            <w:pPr>
              <w:rPr>
                <w:rFonts w:ascii="宋体" w:hAnsi="宋体"/>
              </w:rPr>
            </w:pPr>
          </w:p>
        </w:tc>
        <w:tc>
          <w:tcPr>
            <w:tcW w:w="540" w:type="dxa"/>
            <w:tcBorders>
              <w:left w:val="single" w:color="auto" w:sz="4" w:space="0"/>
            </w:tcBorders>
            <w:noWrap w:val="0"/>
            <w:vAlign w:val="top"/>
          </w:tcPr>
          <w:p w14:paraId="4DD2B996">
            <w:pPr>
              <w:rPr>
                <w:rFonts w:ascii="宋体" w:hAnsi="宋体"/>
              </w:rPr>
            </w:pPr>
          </w:p>
        </w:tc>
      </w:tr>
      <w:tr w14:paraId="0B0BDE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45" w:hRule="atLeast"/>
          <w:jc w:val="center"/>
        </w:trPr>
        <w:tc>
          <w:tcPr>
            <w:tcW w:w="343" w:type="dxa"/>
            <w:noWrap w:val="0"/>
            <w:vAlign w:val="center"/>
          </w:tcPr>
          <w:p w14:paraId="388707E9">
            <w:pPr>
              <w:jc w:val="center"/>
              <w:rPr>
                <w:rFonts w:ascii="宋体" w:hAnsi="宋体"/>
              </w:rPr>
            </w:pPr>
          </w:p>
        </w:tc>
        <w:tc>
          <w:tcPr>
            <w:tcW w:w="1365" w:type="dxa"/>
            <w:noWrap w:val="0"/>
            <w:vAlign w:val="top"/>
          </w:tcPr>
          <w:p w14:paraId="3DA44B8E">
            <w:pPr>
              <w:rPr>
                <w:rFonts w:ascii="宋体" w:hAnsi="宋体"/>
              </w:rPr>
            </w:pPr>
          </w:p>
        </w:tc>
        <w:tc>
          <w:tcPr>
            <w:tcW w:w="480" w:type="dxa"/>
            <w:tcBorders>
              <w:right w:val="single" w:color="auto" w:sz="4" w:space="0"/>
            </w:tcBorders>
            <w:noWrap w:val="0"/>
            <w:vAlign w:val="top"/>
          </w:tcPr>
          <w:p w14:paraId="3C8D511B">
            <w:pPr>
              <w:rPr>
                <w:rFonts w:hint="eastAsia" w:ascii="宋体" w:hAnsi="宋体"/>
              </w:rPr>
            </w:pPr>
          </w:p>
        </w:tc>
        <w:tc>
          <w:tcPr>
            <w:tcW w:w="2115" w:type="dxa"/>
            <w:tcBorders>
              <w:left w:val="single" w:color="auto" w:sz="4" w:space="0"/>
              <w:right w:val="single" w:color="auto" w:sz="4" w:space="0"/>
            </w:tcBorders>
            <w:noWrap w:val="0"/>
            <w:vAlign w:val="top"/>
          </w:tcPr>
          <w:p w14:paraId="6C792000">
            <w:pPr>
              <w:rPr>
                <w:rFonts w:hint="eastAsia" w:ascii="宋体" w:hAnsi="宋体"/>
              </w:rPr>
            </w:pPr>
          </w:p>
        </w:tc>
        <w:tc>
          <w:tcPr>
            <w:tcW w:w="1125" w:type="dxa"/>
            <w:tcBorders>
              <w:left w:val="single" w:color="auto" w:sz="4" w:space="0"/>
            </w:tcBorders>
            <w:noWrap w:val="0"/>
            <w:vAlign w:val="top"/>
          </w:tcPr>
          <w:p w14:paraId="40136BF3">
            <w:pPr>
              <w:rPr>
                <w:rFonts w:hint="eastAsia" w:ascii="宋体" w:hAnsi="宋体"/>
              </w:rPr>
            </w:pPr>
          </w:p>
        </w:tc>
        <w:tc>
          <w:tcPr>
            <w:tcW w:w="1803" w:type="dxa"/>
            <w:tcBorders>
              <w:right w:val="single" w:color="auto" w:sz="4" w:space="0"/>
            </w:tcBorders>
            <w:noWrap w:val="0"/>
            <w:vAlign w:val="top"/>
          </w:tcPr>
          <w:p w14:paraId="5ECD2203">
            <w:pPr>
              <w:rPr>
                <w:rFonts w:ascii="宋体" w:hAnsi="宋体"/>
              </w:rPr>
            </w:pPr>
          </w:p>
        </w:tc>
        <w:tc>
          <w:tcPr>
            <w:tcW w:w="537" w:type="dxa"/>
            <w:tcBorders>
              <w:left w:val="single" w:color="auto" w:sz="4" w:space="0"/>
              <w:right w:val="single" w:color="auto" w:sz="4" w:space="0"/>
            </w:tcBorders>
            <w:noWrap w:val="0"/>
            <w:vAlign w:val="top"/>
          </w:tcPr>
          <w:p w14:paraId="77A96977">
            <w:pPr>
              <w:rPr>
                <w:rFonts w:ascii="宋体" w:hAnsi="宋体"/>
              </w:rPr>
            </w:pPr>
          </w:p>
        </w:tc>
        <w:tc>
          <w:tcPr>
            <w:tcW w:w="540" w:type="dxa"/>
            <w:tcBorders>
              <w:left w:val="single" w:color="auto" w:sz="4" w:space="0"/>
            </w:tcBorders>
            <w:noWrap w:val="0"/>
            <w:vAlign w:val="top"/>
          </w:tcPr>
          <w:p w14:paraId="2BC0349E">
            <w:pPr>
              <w:rPr>
                <w:rFonts w:ascii="宋体" w:hAnsi="宋体"/>
              </w:rPr>
            </w:pPr>
          </w:p>
        </w:tc>
      </w:tr>
      <w:tr w14:paraId="2550DD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45" w:hRule="atLeast"/>
          <w:jc w:val="center"/>
        </w:trPr>
        <w:tc>
          <w:tcPr>
            <w:tcW w:w="343" w:type="dxa"/>
            <w:noWrap w:val="0"/>
            <w:vAlign w:val="center"/>
          </w:tcPr>
          <w:p w14:paraId="5C0251A2">
            <w:pPr>
              <w:jc w:val="center"/>
              <w:rPr>
                <w:rFonts w:ascii="宋体" w:hAnsi="宋体"/>
              </w:rPr>
            </w:pPr>
          </w:p>
        </w:tc>
        <w:tc>
          <w:tcPr>
            <w:tcW w:w="1365" w:type="dxa"/>
            <w:noWrap w:val="0"/>
            <w:vAlign w:val="top"/>
          </w:tcPr>
          <w:p w14:paraId="13B3A076">
            <w:pPr>
              <w:rPr>
                <w:rFonts w:ascii="宋体" w:hAnsi="宋体"/>
              </w:rPr>
            </w:pPr>
          </w:p>
        </w:tc>
        <w:tc>
          <w:tcPr>
            <w:tcW w:w="480" w:type="dxa"/>
            <w:tcBorders>
              <w:right w:val="single" w:color="auto" w:sz="4" w:space="0"/>
            </w:tcBorders>
            <w:noWrap w:val="0"/>
            <w:vAlign w:val="top"/>
          </w:tcPr>
          <w:p w14:paraId="12F02A08">
            <w:pPr>
              <w:rPr>
                <w:rFonts w:hint="eastAsia" w:ascii="宋体" w:hAnsi="宋体"/>
              </w:rPr>
            </w:pPr>
          </w:p>
        </w:tc>
        <w:tc>
          <w:tcPr>
            <w:tcW w:w="2115" w:type="dxa"/>
            <w:tcBorders>
              <w:left w:val="single" w:color="auto" w:sz="4" w:space="0"/>
              <w:right w:val="single" w:color="auto" w:sz="4" w:space="0"/>
            </w:tcBorders>
            <w:noWrap w:val="0"/>
            <w:vAlign w:val="top"/>
          </w:tcPr>
          <w:p w14:paraId="52556CC5">
            <w:pPr>
              <w:rPr>
                <w:rFonts w:hint="eastAsia" w:ascii="宋体" w:hAnsi="宋体"/>
              </w:rPr>
            </w:pPr>
          </w:p>
        </w:tc>
        <w:tc>
          <w:tcPr>
            <w:tcW w:w="1125" w:type="dxa"/>
            <w:tcBorders>
              <w:left w:val="single" w:color="auto" w:sz="4" w:space="0"/>
            </w:tcBorders>
            <w:noWrap w:val="0"/>
            <w:vAlign w:val="top"/>
          </w:tcPr>
          <w:p w14:paraId="718D6777">
            <w:pPr>
              <w:rPr>
                <w:rFonts w:hint="eastAsia" w:ascii="宋体" w:hAnsi="宋体"/>
              </w:rPr>
            </w:pPr>
          </w:p>
        </w:tc>
        <w:tc>
          <w:tcPr>
            <w:tcW w:w="1803" w:type="dxa"/>
            <w:tcBorders>
              <w:right w:val="single" w:color="auto" w:sz="4" w:space="0"/>
            </w:tcBorders>
            <w:noWrap w:val="0"/>
            <w:vAlign w:val="top"/>
          </w:tcPr>
          <w:p w14:paraId="6C7565BD">
            <w:pPr>
              <w:rPr>
                <w:rFonts w:ascii="宋体" w:hAnsi="宋体"/>
              </w:rPr>
            </w:pPr>
          </w:p>
        </w:tc>
        <w:tc>
          <w:tcPr>
            <w:tcW w:w="537" w:type="dxa"/>
            <w:tcBorders>
              <w:left w:val="single" w:color="auto" w:sz="4" w:space="0"/>
              <w:right w:val="single" w:color="auto" w:sz="4" w:space="0"/>
            </w:tcBorders>
            <w:noWrap w:val="0"/>
            <w:vAlign w:val="top"/>
          </w:tcPr>
          <w:p w14:paraId="6DCCED7A">
            <w:pPr>
              <w:rPr>
                <w:rFonts w:ascii="宋体" w:hAnsi="宋体"/>
              </w:rPr>
            </w:pPr>
          </w:p>
        </w:tc>
        <w:tc>
          <w:tcPr>
            <w:tcW w:w="540" w:type="dxa"/>
            <w:tcBorders>
              <w:left w:val="single" w:color="auto" w:sz="4" w:space="0"/>
            </w:tcBorders>
            <w:noWrap w:val="0"/>
            <w:vAlign w:val="top"/>
          </w:tcPr>
          <w:p w14:paraId="17938AFD">
            <w:pPr>
              <w:rPr>
                <w:rFonts w:ascii="宋体" w:hAnsi="宋体"/>
              </w:rPr>
            </w:pPr>
          </w:p>
        </w:tc>
      </w:tr>
      <w:tr w14:paraId="63316A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45" w:hRule="atLeast"/>
          <w:jc w:val="center"/>
        </w:trPr>
        <w:tc>
          <w:tcPr>
            <w:tcW w:w="343" w:type="dxa"/>
            <w:noWrap w:val="0"/>
            <w:vAlign w:val="center"/>
          </w:tcPr>
          <w:p w14:paraId="003E449F">
            <w:pPr>
              <w:jc w:val="center"/>
              <w:rPr>
                <w:rFonts w:ascii="宋体" w:hAnsi="宋体"/>
              </w:rPr>
            </w:pPr>
          </w:p>
        </w:tc>
        <w:tc>
          <w:tcPr>
            <w:tcW w:w="1365" w:type="dxa"/>
            <w:noWrap w:val="0"/>
            <w:vAlign w:val="top"/>
          </w:tcPr>
          <w:p w14:paraId="1DC2B3C7">
            <w:pPr>
              <w:rPr>
                <w:rFonts w:ascii="宋体" w:hAnsi="宋体"/>
              </w:rPr>
            </w:pPr>
          </w:p>
        </w:tc>
        <w:tc>
          <w:tcPr>
            <w:tcW w:w="480" w:type="dxa"/>
            <w:tcBorders>
              <w:right w:val="single" w:color="auto" w:sz="4" w:space="0"/>
            </w:tcBorders>
            <w:noWrap w:val="0"/>
            <w:vAlign w:val="top"/>
          </w:tcPr>
          <w:p w14:paraId="096A5EE2">
            <w:pPr>
              <w:rPr>
                <w:rFonts w:hint="eastAsia" w:ascii="宋体" w:hAnsi="宋体"/>
              </w:rPr>
            </w:pPr>
          </w:p>
        </w:tc>
        <w:tc>
          <w:tcPr>
            <w:tcW w:w="2115" w:type="dxa"/>
            <w:tcBorders>
              <w:left w:val="single" w:color="auto" w:sz="4" w:space="0"/>
              <w:right w:val="single" w:color="auto" w:sz="4" w:space="0"/>
            </w:tcBorders>
            <w:noWrap w:val="0"/>
            <w:vAlign w:val="top"/>
          </w:tcPr>
          <w:p w14:paraId="1B61E0EB">
            <w:pPr>
              <w:rPr>
                <w:rFonts w:hint="eastAsia" w:ascii="宋体" w:hAnsi="宋体"/>
              </w:rPr>
            </w:pPr>
          </w:p>
        </w:tc>
        <w:tc>
          <w:tcPr>
            <w:tcW w:w="1125" w:type="dxa"/>
            <w:tcBorders>
              <w:left w:val="single" w:color="auto" w:sz="4" w:space="0"/>
            </w:tcBorders>
            <w:noWrap w:val="0"/>
            <w:vAlign w:val="top"/>
          </w:tcPr>
          <w:p w14:paraId="174AD35E">
            <w:pPr>
              <w:rPr>
                <w:rFonts w:hint="eastAsia" w:ascii="宋体" w:hAnsi="宋体"/>
              </w:rPr>
            </w:pPr>
          </w:p>
        </w:tc>
        <w:tc>
          <w:tcPr>
            <w:tcW w:w="1803" w:type="dxa"/>
            <w:tcBorders>
              <w:right w:val="single" w:color="auto" w:sz="4" w:space="0"/>
            </w:tcBorders>
            <w:noWrap w:val="0"/>
            <w:vAlign w:val="top"/>
          </w:tcPr>
          <w:p w14:paraId="5EF8F1BB">
            <w:pPr>
              <w:rPr>
                <w:rFonts w:ascii="宋体" w:hAnsi="宋体"/>
              </w:rPr>
            </w:pPr>
          </w:p>
        </w:tc>
        <w:tc>
          <w:tcPr>
            <w:tcW w:w="537" w:type="dxa"/>
            <w:tcBorders>
              <w:left w:val="single" w:color="auto" w:sz="4" w:space="0"/>
              <w:right w:val="single" w:color="auto" w:sz="4" w:space="0"/>
            </w:tcBorders>
            <w:noWrap w:val="0"/>
            <w:vAlign w:val="top"/>
          </w:tcPr>
          <w:p w14:paraId="4AE76B10">
            <w:pPr>
              <w:rPr>
                <w:rFonts w:ascii="宋体" w:hAnsi="宋体"/>
              </w:rPr>
            </w:pPr>
          </w:p>
        </w:tc>
        <w:tc>
          <w:tcPr>
            <w:tcW w:w="540" w:type="dxa"/>
            <w:tcBorders>
              <w:left w:val="single" w:color="auto" w:sz="4" w:space="0"/>
            </w:tcBorders>
            <w:noWrap w:val="0"/>
            <w:vAlign w:val="top"/>
          </w:tcPr>
          <w:p w14:paraId="4940035E">
            <w:pPr>
              <w:rPr>
                <w:rFonts w:ascii="宋体" w:hAnsi="宋体"/>
              </w:rPr>
            </w:pPr>
          </w:p>
        </w:tc>
      </w:tr>
      <w:tr w14:paraId="05E078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45" w:hRule="atLeast"/>
          <w:jc w:val="center"/>
        </w:trPr>
        <w:tc>
          <w:tcPr>
            <w:tcW w:w="343" w:type="dxa"/>
            <w:noWrap w:val="0"/>
            <w:vAlign w:val="center"/>
          </w:tcPr>
          <w:p w14:paraId="7C8B688B">
            <w:pPr>
              <w:jc w:val="center"/>
              <w:rPr>
                <w:rFonts w:ascii="宋体" w:hAnsi="宋体"/>
              </w:rPr>
            </w:pPr>
          </w:p>
        </w:tc>
        <w:tc>
          <w:tcPr>
            <w:tcW w:w="1365" w:type="dxa"/>
            <w:noWrap w:val="0"/>
            <w:vAlign w:val="top"/>
          </w:tcPr>
          <w:p w14:paraId="1475D07A">
            <w:pPr>
              <w:rPr>
                <w:rFonts w:ascii="宋体" w:hAnsi="宋体"/>
              </w:rPr>
            </w:pPr>
          </w:p>
        </w:tc>
        <w:tc>
          <w:tcPr>
            <w:tcW w:w="480" w:type="dxa"/>
            <w:tcBorders>
              <w:right w:val="single" w:color="auto" w:sz="4" w:space="0"/>
            </w:tcBorders>
            <w:noWrap w:val="0"/>
            <w:vAlign w:val="top"/>
          </w:tcPr>
          <w:p w14:paraId="2F668C17">
            <w:pPr>
              <w:rPr>
                <w:rFonts w:hint="eastAsia" w:ascii="宋体" w:hAnsi="宋体"/>
              </w:rPr>
            </w:pPr>
          </w:p>
        </w:tc>
        <w:tc>
          <w:tcPr>
            <w:tcW w:w="2115" w:type="dxa"/>
            <w:tcBorders>
              <w:left w:val="single" w:color="auto" w:sz="4" w:space="0"/>
              <w:right w:val="single" w:color="auto" w:sz="4" w:space="0"/>
            </w:tcBorders>
            <w:noWrap w:val="0"/>
            <w:vAlign w:val="top"/>
          </w:tcPr>
          <w:p w14:paraId="5080EACE">
            <w:pPr>
              <w:rPr>
                <w:rFonts w:hint="eastAsia" w:ascii="宋体" w:hAnsi="宋体"/>
              </w:rPr>
            </w:pPr>
          </w:p>
        </w:tc>
        <w:tc>
          <w:tcPr>
            <w:tcW w:w="1125" w:type="dxa"/>
            <w:tcBorders>
              <w:left w:val="single" w:color="auto" w:sz="4" w:space="0"/>
            </w:tcBorders>
            <w:noWrap w:val="0"/>
            <w:vAlign w:val="top"/>
          </w:tcPr>
          <w:p w14:paraId="1844F7CD">
            <w:pPr>
              <w:rPr>
                <w:rFonts w:hint="eastAsia" w:ascii="宋体" w:hAnsi="宋体"/>
              </w:rPr>
            </w:pPr>
          </w:p>
        </w:tc>
        <w:tc>
          <w:tcPr>
            <w:tcW w:w="1803" w:type="dxa"/>
            <w:tcBorders>
              <w:right w:val="single" w:color="auto" w:sz="4" w:space="0"/>
            </w:tcBorders>
            <w:noWrap w:val="0"/>
            <w:vAlign w:val="top"/>
          </w:tcPr>
          <w:p w14:paraId="133817FF">
            <w:pPr>
              <w:rPr>
                <w:rFonts w:ascii="宋体" w:hAnsi="宋体"/>
              </w:rPr>
            </w:pPr>
          </w:p>
        </w:tc>
        <w:tc>
          <w:tcPr>
            <w:tcW w:w="537" w:type="dxa"/>
            <w:tcBorders>
              <w:left w:val="single" w:color="auto" w:sz="4" w:space="0"/>
              <w:right w:val="single" w:color="auto" w:sz="4" w:space="0"/>
            </w:tcBorders>
            <w:noWrap w:val="0"/>
            <w:vAlign w:val="top"/>
          </w:tcPr>
          <w:p w14:paraId="71B4A4BB">
            <w:pPr>
              <w:rPr>
                <w:rFonts w:ascii="宋体" w:hAnsi="宋体"/>
              </w:rPr>
            </w:pPr>
          </w:p>
        </w:tc>
        <w:tc>
          <w:tcPr>
            <w:tcW w:w="540" w:type="dxa"/>
            <w:tcBorders>
              <w:left w:val="single" w:color="auto" w:sz="4" w:space="0"/>
            </w:tcBorders>
            <w:noWrap w:val="0"/>
            <w:vAlign w:val="top"/>
          </w:tcPr>
          <w:p w14:paraId="24E67B85">
            <w:pPr>
              <w:rPr>
                <w:rFonts w:ascii="宋体" w:hAnsi="宋体"/>
              </w:rPr>
            </w:pPr>
          </w:p>
        </w:tc>
      </w:tr>
      <w:tr w14:paraId="3194FF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45" w:hRule="atLeast"/>
          <w:jc w:val="center"/>
        </w:trPr>
        <w:tc>
          <w:tcPr>
            <w:tcW w:w="343" w:type="dxa"/>
            <w:noWrap w:val="0"/>
            <w:vAlign w:val="center"/>
          </w:tcPr>
          <w:p w14:paraId="1CBDB959">
            <w:pPr>
              <w:jc w:val="center"/>
              <w:rPr>
                <w:rFonts w:ascii="宋体" w:hAnsi="宋体"/>
              </w:rPr>
            </w:pPr>
          </w:p>
        </w:tc>
        <w:tc>
          <w:tcPr>
            <w:tcW w:w="1365" w:type="dxa"/>
            <w:noWrap w:val="0"/>
            <w:vAlign w:val="top"/>
          </w:tcPr>
          <w:p w14:paraId="43D95BF5">
            <w:pPr>
              <w:rPr>
                <w:rFonts w:ascii="宋体" w:hAnsi="宋体"/>
              </w:rPr>
            </w:pPr>
          </w:p>
        </w:tc>
        <w:tc>
          <w:tcPr>
            <w:tcW w:w="480" w:type="dxa"/>
            <w:tcBorders>
              <w:right w:val="single" w:color="auto" w:sz="4" w:space="0"/>
            </w:tcBorders>
            <w:noWrap w:val="0"/>
            <w:vAlign w:val="top"/>
          </w:tcPr>
          <w:p w14:paraId="09F3D692">
            <w:pPr>
              <w:rPr>
                <w:rFonts w:hint="eastAsia" w:ascii="宋体" w:hAnsi="宋体"/>
              </w:rPr>
            </w:pPr>
          </w:p>
        </w:tc>
        <w:tc>
          <w:tcPr>
            <w:tcW w:w="2115" w:type="dxa"/>
            <w:tcBorders>
              <w:left w:val="single" w:color="auto" w:sz="4" w:space="0"/>
              <w:right w:val="single" w:color="auto" w:sz="4" w:space="0"/>
            </w:tcBorders>
            <w:noWrap w:val="0"/>
            <w:vAlign w:val="top"/>
          </w:tcPr>
          <w:p w14:paraId="1656885D">
            <w:pPr>
              <w:rPr>
                <w:rFonts w:hint="eastAsia" w:ascii="宋体" w:hAnsi="宋体"/>
              </w:rPr>
            </w:pPr>
          </w:p>
        </w:tc>
        <w:tc>
          <w:tcPr>
            <w:tcW w:w="1125" w:type="dxa"/>
            <w:tcBorders>
              <w:left w:val="single" w:color="auto" w:sz="4" w:space="0"/>
            </w:tcBorders>
            <w:noWrap w:val="0"/>
            <w:vAlign w:val="top"/>
          </w:tcPr>
          <w:p w14:paraId="7DF79F62">
            <w:pPr>
              <w:rPr>
                <w:rFonts w:hint="eastAsia" w:ascii="宋体" w:hAnsi="宋体"/>
              </w:rPr>
            </w:pPr>
          </w:p>
        </w:tc>
        <w:tc>
          <w:tcPr>
            <w:tcW w:w="1803" w:type="dxa"/>
            <w:tcBorders>
              <w:right w:val="single" w:color="auto" w:sz="4" w:space="0"/>
            </w:tcBorders>
            <w:noWrap w:val="0"/>
            <w:vAlign w:val="top"/>
          </w:tcPr>
          <w:p w14:paraId="1B0D8495">
            <w:pPr>
              <w:rPr>
                <w:rFonts w:ascii="宋体" w:hAnsi="宋体"/>
              </w:rPr>
            </w:pPr>
          </w:p>
        </w:tc>
        <w:tc>
          <w:tcPr>
            <w:tcW w:w="537" w:type="dxa"/>
            <w:tcBorders>
              <w:left w:val="single" w:color="auto" w:sz="4" w:space="0"/>
              <w:right w:val="single" w:color="auto" w:sz="4" w:space="0"/>
            </w:tcBorders>
            <w:noWrap w:val="0"/>
            <w:vAlign w:val="top"/>
          </w:tcPr>
          <w:p w14:paraId="32D0F43E">
            <w:pPr>
              <w:rPr>
                <w:rFonts w:ascii="宋体" w:hAnsi="宋体"/>
              </w:rPr>
            </w:pPr>
          </w:p>
        </w:tc>
        <w:tc>
          <w:tcPr>
            <w:tcW w:w="540" w:type="dxa"/>
            <w:tcBorders>
              <w:left w:val="single" w:color="auto" w:sz="4" w:space="0"/>
            </w:tcBorders>
            <w:noWrap w:val="0"/>
            <w:vAlign w:val="top"/>
          </w:tcPr>
          <w:p w14:paraId="6E36B5CD">
            <w:pPr>
              <w:rPr>
                <w:rFonts w:ascii="宋体" w:hAnsi="宋体"/>
              </w:rPr>
            </w:pPr>
          </w:p>
        </w:tc>
      </w:tr>
      <w:tr w14:paraId="5F124F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45" w:hRule="atLeast"/>
          <w:jc w:val="center"/>
        </w:trPr>
        <w:tc>
          <w:tcPr>
            <w:tcW w:w="343" w:type="dxa"/>
            <w:noWrap w:val="0"/>
            <w:vAlign w:val="center"/>
          </w:tcPr>
          <w:p w14:paraId="279B3668">
            <w:pPr>
              <w:jc w:val="center"/>
              <w:rPr>
                <w:rFonts w:ascii="宋体" w:hAnsi="宋体"/>
              </w:rPr>
            </w:pPr>
          </w:p>
        </w:tc>
        <w:tc>
          <w:tcPr>
            <w:tcW w:w="1365" w:type="dxa"/>
            <w:noWrap w:val="0"/>
            <w:vAlign w:val="top"/>
          </w:tcPr>
          <w:p w14:paraId="2CB0F7AB">
            <w:pPr>
              <w:rPr>
                <w:rFonts w:ascii="宋体" w:hAnsi="宋体"/>
              </w:rPr>
            </w:pPr>
          </w:p>
        </w:tc>
        <w:tc>
          <w:tcPr>
            <w:tcW w:w="480" w:type="dxa"/>
            <w:tcBorders>
              <w:right w:val="single" w:color="auto" w:sz="4" w:space="0"/>
            </w:tcBorders>
            <w:noWrap w:val="0"/>
            <w:vAlign w:val="top"/>
          </w:tcPr>
          <w:p w14:paraId="770BB3EC">
            <w:pPr>
              <w:rPr>
                <w:rFonts w:hint="eastAsia" w:ascii="宋体" w:hAnsi="宋体"/>
              </w:rPr>
            </w:pPr>
          </w:p>
        </w:tc>
        <w:tc>
          <w:tcPr>
            <w:tcW w:w="2115" w:type="dxa"/>
            <w:tcBorders>
              <w:left w:val="single" w:color="auto" w:sz="4" w:space="0"/>
              <w:right w:val="single" w:color="auto" w:sz="4" w:space="0"/>
            </w:tcBorders>
            <w:noWrap w:val="0"/>
            <w:vAlign w:val="top"/>
          </w:tcPr>
          <w:p w14:paraId="2AD36ABA">
            <w:pPr>
              <w:rPr>
                <w:rFonts w:hint="eastAsia" w:ascii="宋体" w:hAnsi="宋体"/>
              </w:rPr>
            </w:pPr>
          </w:p>
        </w:tc>
        <w:tc>
          <w:tcPr>
            <w:tcW w:w="1125" w:type="dxa"/>
            <w:tcBorders>
              <w:left w:val="single" w:color="auto" w:sz="4" w:space="0"/>
            </w:tcBorders>
            <w:noWrap w:val="0"/>
            <w:vAlign w:val="top"/>
          </w:tcPr>
          <w:p w14:paraId="6D4EC081">
            <w:pPr>
              <w:rPr>
                <w:rFonts w:hint="eastAsia" w:ascii="宋体" w:hAnsi="宋体"/>
              </w:rPr>
            </w:pPr>
          </w:p>
        </w:tc>
        <w:tc>
          <w:tcPr>
            <w:tcW w:w="1803" w:type="dxa"/>
            <w:tcBorders>
              <w:right w:val="single" w:color="auto" w:sz="4" w:space="0"/>
            </w:tcBorders>
            <w:noWrap w:val="0"/>
            <w:vAlign w:val="top"/>
          </w:tcPr>
          <w:p w14:paraId="4CF65087">
            <w:pPr>
              <w:rPr>
                <w:rFonts w:ascii="宋体" w:hAnsi="宋体"/>
              </w:rPr>
            </w:pPr>
          </w:p>
        </w:tc>
        <w:tc>
          <w:tcPr>
            <w:tcW w:w="537" w:type="dxa"/>
            <w:tcBorders>
              <w:left w:val="single" w:color="auto" w:sz="4" w:space="0"/>
              <w:right w:val="single" w:color="auto" w:sz="4" w:space="0"/>
            </w:tcBorders>
            <w:noWrap w:val="0"/>
            <w:vAlign w:val="top"/>
          </w:tcPr>
          <w:p w14:paraId="7799B073">
            <w:pPr>
              <w:rPr>
                <w:rFonts w:ascii="宋体" w:hAnsi="宋体"/>
              </w:rPr>
            </w:pPr>
          </w:p>
        </w:tc>
        <w:tc>
          <w:tcPr>
            <w:tcW w:w="540" w:type="dxa"/>
            <w:tcBorders>
              <w:left w:val="single" w:color="auto" w:sz="4" w:space="0"/>
            </w:tcBorders>
            <w:noWrap w:val="0"/>
            <w:vAlign w:val="top"/>
          </w:tcPr>
          <w:p w14:paraId="084F18EB">
            <w:pPr>
              <w:rPr>
                <w:rFonts w:ascii="宋体" w:hAnsi="宋体"/>
              </w:rPr>
            </w:pPr>
          </w:p>
        </w:tc>
      </w:tr>
      <w:tr w14:paraId="7E419B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45" w:hRule="atLeast"/>
          <w:jc w:val="center"/>
        </w:trPr>
        <w:tc>
          <w:tcPr>
            <w:tcW w:w="343" w:type="dxa"/>
            <w:noWrap w:val="0"/>
            <w:vAlign w:val="center"/>
          </w:tcPr>
          <w:p w14:paraId="07D3D100">
            <w:pPr>
              <w:jc w:val="center"/>
              <w:rPr>
                <w:rFonts w:ascii="宋体" w:hAnsi="宋体"/>
              </w:rPr>
            </w:pPr>
          </w:p>
        </w:tc>
        <w:tc>
          <w:tcPr>
            <w:tcW w:w="1365" w:type="dxa"/>
            <w:noWrap w:val="0"/>
            <w:vAlign w:val="top"/>
          </w:tcPr>
          <w:p w14:paraId="6BFC516F">
            <w:pPr>
              <w:rPr>
                <w:rFonts w:ascii="宋体" w:hAnsi="宋体"/>
              </w:rPr>
            </w:pPr>
          </w:p>
        </w:tc>
        <w:tc>
          <w:tcPr>
            <w:tcW w:w="480" w:type="dxa"/>
            <w:tcBorders>
              <w:right w:val="single" w:color="auto" w:sz="4" w:space="0"/>
            </w:tcBorders>
            <w:noWrap w:val="0"/>
            <w:vAlign w:val="top"/>
          </w:tcPr>
          <w:p w14:paraId="08F415E5">
            <w:pPr>
              <w:rPr>
                <w:rFonts w:hint="eastAsia" w:ascii="宋体" w:hAnsi="宋体"/>
              </w:rPr>
            </w:pPr>
          </w:p>
        </w:tc>
        <w:tc>
          <w:tcPr>
            <w:tcW w:w="2115" w:type="dxa"/>
            <w:tcBorders>
              <w:left w:val="single" w:color="auto" w:sz="4" w:space="0"/>
              <w:right w:val="single" w:color="auto" w:sz="4" w:space="0"/>
            </w:tcBorders>
            <w:noWrap w:val="0"/>
            <w:vAlign w:val="top"/>
          </w:tcPr>
          <w:p w14:paraId="7146E04E">
            <w:pPr>
              <w:rPr>
                <w:rFonts w:hint="eastAsia" w:ascii="宋体" w:hAnsi="宋体"/>
              </w:rPr>
            </w:pPr>
          </w:p>
        </w:tc>
        <w:tc>
          <w:tcPr>
            <w:tcW w:w="1125" w:type="dxa"/>
            <w:tcBorders>
              <w:left w:val="single" w:color="auto" w:sz="4" w:space="0"/>
            </w:tcBorders>
            <w:noWrap w:val="0"/>
            <w:vAlign w:val="top"/>
          </w:tcPr>
          <w:p w14:paraId="627EA140">
            <w:pPr>
              <w:rPr>
                <w:rFonts w:hint="eastAsia" w:ascii="宋体" w:hAnsi="宋体"/>
              </w:rPr>
            </w:pPr>
          </w:p>
        </w:tc>
        <w:tc>
          <w:tcPr>
            <w:tcW w:w="1803" w:type="dxa"/>
            <w:tcBorders>
              <w:right w:val="single" w:color="auto" w:sz="4" w:space="0"/>
            </w:tcBorders>
            <w:noWrap w:val="0"/>
            <w:vAlign w:val="top"/>
          </w:tcPr>
          <w:p w14:paraId="102CB96F">
            <w:pPr>
              <w:rPr>
                <w:rFonts w:ascii="宋体" w:hAnsi="宋体"/>
              </w:rPr>
            </w:pPr>
          </w:p>
        </w:tc>
        <w:tc>
          <w:tcPr>
            <w:tcW w:w="537" w:type="dxa"/>
            <w:tcBorders>
              <w:left w:val="single" w:color="auto" w:sz="4" w:space="0"/>
              <w:right w:val="single" w:color="auto" w:sz="4" w:space="0"/>
            </w:tcBorders>
            <w:noWrap w:val="0"/>
            <w:vAlign w:val="top"/>
          </w:tcPr>
          <w:p w14:paraId="0E7837AD">
            <w:pPr>
              <w:rPr>
                <w:rFonts w:ascii="宋体" w:hAnsi="宋体"/>
              </w:rPr>
            </w:pPr>
          </w:p>
        </w:tc>
        <w:tc>
          <w:tcPr>
            <w:tcW w:w="540" w:type="dxa"/>
            <w:tcBorders>
              <w:left w:val="single" w:color="auto" w:sz="4" w:space="0"/>
            </w:tcBorders>
            <w:noWrap w:val="0"/>
            <w:vAlign w:val="top"/>
          </w:tcPr>
          <w:p w14:paraId="0FDE8696">
            <w:pPr>
              <w:rPr>
                <w:rFonts w:ascii="宋体" w:hAnsi="宋体"/>
              </w:rPr>
            </w:pPr>
          </w:p>
        </w:tc>
      </w:tr>
      <w:tr w14:paraId="3690DD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45" w:hRule="atLeast"/>
          <w:jc w:val="center"/>
        </w:trPr>
        <w:tc>
          <w:tcPr>
            <w:tcW w:w="343" w:type="dxa"/>
            <w:noWrap w:val="0"/>
            <w:vAlign w:val="center"/>
          </w:tcPr>
          <w:p w14:paraId="427D7BAA">
            <w:pPr>
              <w:jc w:val="center"/>
              <w:rPr>
                <w:rFonts w:ascii="宋体" w:hAnsi="宋体"/>
              </w:rPr>
            </w:pPr>
          </w:p>
        </w:tc>
        <w:tc>
          <w:tcPr>
            <w:tcW w:w="1365" w:type="dxa"/>
            <w:noWrap w:val="0"/>
            <w:vAlign w:val="top"/>
          </w:tcPr>
          <w:p w14:paraId="7B833045">
            <w:pPr>
              <w:rPr>
                <w:rFonts w:ascii="宋体" w:hAnsi="宋体"/>
              </w:rPr>
            </w:pPr>
          </w:p>
        </w:tc>
        <w:tc>
          <w:tcPr>
            <w:tcW w:w="480" w:type="dxa"/>
            <w:tcBorders>
              <w:right w:val="single" w:color="auto" w:sz="4" w:space="0"/>
            </w:tcBorders>
            <w:noWrap w:val="0"/>
            <w:vAlign w:val="top"/>
          </w:tcPr>
          <w:p w14:paraId="66616E7C">
            <w:pPr>
              <w:rPr>
                <w:rFonts w:hint="eastAsia" w:ascii="宋体" w:hAnsi="宋体"/>
              </w:rPr>
            </w:pPr>
          </w:p>
        </w:tc>
        <w:tc>
          <w:tcPr>
            <w:tcW w:w="2115" w:type="dxa"/>
            <w:tcBorders>
              <w:left w:val="single" w:color="auto" w:sz="4" w:space="0"/>
              <w:right w:val="single" w:color="auto" w:sz="4" w:space="0"/>
            </w:tcBorders>
            <w:noWrap w:val="0"/>
            <w:vAlign w:val="top"/>
          </w:tcPr>
          <w:p w14:paraId="324711AF">
            <w:pPr>
              <w:rPr>
                <w:rFonts w:hint="eastAsia" w:ascii="宋体" w:hAnsi="宋体"/>
              </w:rPr>
            </w:pPr>
          </w:p>
        </w:tc>
        <w:tc>
          <w:tcPr>
            <w:tcW w:w="1125" w:type="dxa"/>
            <w:tcBorders>
              <w:left w:val="single" w:color="auto" w:sz="4" w:space="0"/>
            </w:tcBorders>
            <w:noWrap w:val="0"/>
            <w:vAlign w:val="top"/>
          </w:tcPr>
          <w:p w14:paraId="7BB03C57">
            <w:pPr>
              <w:rPr>
                <w:rFonts w:hint="eastAsia" w:ascii="宋体" w:hAnsi="宋体"/>
              </w:rPr>
            </w:pPr>
          </w:p>
        </w:tc>
        <w:tc>
          <w:tcPr>
            <w:tcW w:w="1803" w:type="dxa"/>
            <w:tcBorders>
              <w:right w:val="single" w:color="auto" w:sz="4" w:space="0"/>
            </w:tcBorders>
            <w:noWrap w:val="0"/>
            <w:vAlign w:val="top"/>
          </w:tcPr>
          <w:p w14:paraId="7EB17A9D">
            <w:pPr>
              <w:rPr>
                <w:rFonts w:ascii="宋体" w:hAnsi="宋体"/>
              </w:rPr>
            </w:pPr>
          </w:p>
        </w:tc>
        <w:tc>
          <w:tcPr>
            <w:tcW w:w="537" w:type="dxa"/>
            <w:tcBorders>
              <w:left w:val="single" w:color="auto" w:sz="4" w:space="0"/>
              <w:right w:val="single" w:color="auto" w:sz="4" w:space="0"/>
            </w:tcBorders>
            <w:noWrap w:val="0"/>
            <w:vAlign w:val="top"/>
          </w:tcPr>
          <w:p w14:paraId="2C75B402">
            <w:pPr>
              <w:rPr>
                <w:rFonts w:ascii="宋体" w:hAnsi="宋体"/>
              </w:rPr>
            </w:pPr>
          </w:p>
        </w:tc>
        <w:tc>
          <w:tcPr>
            <w:tcW w:w="540" w:type="dxa"/>
            <w:tcBorders>
              <w:left w:val="single" w:color="auto" w:sz="4" w:space="0"/>
            </w:tcBorders>
            <w:noWrap w:val="0"/>
            <w:vAlign w:val="top"/>
          </w:tcPr>
          <w:p w14:paraId="3941781C">
            <w:pPr>
              <w:rPr>
                <w:rFonts w:ascii="宋体" w:hAnsi="宋体"/>
              </w:rPr>
            </w:pPr>
          </w:p>
        </w:tc>
      </w:tr>
      <w:tr w14:paraId="70844B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345" w:hRule="atLeast"/>
          <w:jc w:val="center"/>
        </w:trPr>
        <w:tc>
          <w:tcPr>
            <w:tcW w:w="343" w:type="dxa"/>
            <w:noWrap w:val="0"/>
            <w:vAlign w:val="center"/>
          </w:tcPr>
          <w:p w14:paraId="238438FE">
            <w:pPr>
              <w:jc w:val="center"/>
              <w:rPr>
                <w:rFonts w:ascii="宋体" w:hAnsi="宋体"/>
              </w:rPr>
            </w:pPr>
          </w:p>
        </w:tc>
        <w:tc>
          <w:tcPr>
            <w:tcW w:w="1365" w:type="dxa"/>
            <w:noWrap w:val="0"/>
            <w:vAlign w:val="top"/>
          </w:tcPr>
          <w:p w14:paraId="2E469584">
            <w:pPr>
              <w:rPr>
                <w:rFonts w:ascii="宋体" w:hAnsi="宋体"/>
              </w:rPr>
            </w:pPr>
          </w:p>
        </w:tc>
        <w:tc>
          <w:tcPr>
            <w:tcW w:w="480" w:type="dxa"/>
            <w:tcBorders>
              <w:right w:val="single" w:color="auto" w:sz="4" w:space="0"/>
            </w:tcBorders>
            <w:noWrap w:val="0"/>
            <w:vAlign w:val="top"/>
          </w:tcPr>
          <w:p w14:paraId="2B72D4BD">
            <w:pPr>
              <w:rPr>
                <w:rFonts w:hint="eastAsia" w:ascii="宋体" w:hAnsi="宋体"/>
              </w:rPr>
            </w:pPr>
          </w:p>
        </w:tc>
        <w:tc>
          <w:tcPr>
            <w:tcW w:w="2115" w:type="dxa"/>
            <w:tcBorders>
              <w:left w:val="single" w:color="auto" w:sz="4" w:space="0"/>
              <w:right w:val="single" w:color="auto" w:sz="4" w:space="0"/>
            </w:tcBorders>
            <w:noWrap w:val="0"/>
            <w:vAlign w:val="top"/>
          </w:tcPr>
          <w:p w14:paraId="029E99A3">
            <w:pPr>
              <w:rPr>
                <w:rFonts w:hint="eastAsia" w:ascii="宋体" w:hAnsi="宋体"/>
              </w:rPr>
            </w:pPr>
          </w:p>
        </w:tc>
        <w:tc>
          <w:tcPr>
            <w:tcW w:w="1125" w:type="dxa"/>
            <w:tcBorders>
              <w:left w:val="single" w:color="auto" w:sz="4" w:space="0"/>
            </w:tcBorders>
            <w:noWrap w:val="0"/>
            <w:vAlign w:val="top"/>
          </w:tcPr>
          <w:p w14:paraId="3BC62475">
            <w:pPr>
              <w:rPr>
                <w:rFonts w:hint="eastAsia" w:ascii="宋体" w:hAnsi="宋体"/>
              </w:rPr>
            </w:pPr>
          </w:p>
        </w:tc>
        <w:tc>
          <w:tcPr>
            <w:tcW w:w="1803" w:type="dxa"/>
            <w:tcBorders>
              <w:right w:val="single" w:color="auto" w:sz="4" w:space="0"/>
            </w:tcBorders>
            <w:noWrap w:val="0"/>
            <w:vAlign w:val="top"/>
          </w:tcPr>
          <w:p w14:paraId="0A5172E7">
            <w:pPr>
              <w:rPr>
                <w:rFonts w:ascii="宋体" w:hAnsi="宋体"/>
              </w:rPr>
            </w:pPr>
          </w:p>
        </w:tc>
        <w:tc>
          <w:tcPr>
            <w:tcW w:w="537" w:type="dxa"/>
            <w:tcBorders>
              <w:left w:val="single" w:color="auto" w:sz="4" w:space="0"/>
              <w:right w:val="single" w:color="auto" w:sz="4" w:space="0"/>
            </w:tcBorders>
            <w:noWrap w:val="0"/>
            <w:vAlign w:val="top"/>
          </w:tcPr>
          <w:p w14:paraId="21130592">
            <w:pPr>
              <w:rPr>
                <w:rFonts w:ascii="宋体" w:hAnsi="宋体"/>
              </w:rPr>
            </w:pPr>
          </w:p>
        </w:tc>
        <w:tc>
          <w:tcPr>
            <w:tcW w:w="540" w:type="dxa"/>
            <w:tcBorders>
              <w:left w:val="single" w:color="auto" w:sz="4" w:space="0"/>
            </w:tcBorders>
            <w:noWrap w:val="0"/>
            <w:vAlign w:val="top"/>
          </w:tcPr>
          <w:p w14:paraId="0D1293C5">
            <w:pPr>
              <w:rPr>
                <w:rFonts w:ascii="宋体" w:hAnsi="宋体"/>
              </w:rPr>
            </w:pPr>
          </w:p>
        </w:tc>
      </w:tr>
    </w:tbl>
    <w:p w14:paraId="0D92C549">
      <w:pPr>
        <w:adjustRightInd w:val="0"/>
        <w:snapToGrid w:val="0"/>
        <w:spacing w:line="360" w:lineRule="auto"/>
        <w:rPr>
          <w:rFonts w:hint="eastAsia"/>
          <w:color w:val="000000"/>
          <w:highlight w:val="none"/>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70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type Corsiva">
    <w:panose1 w:val="03010101010201010101"/>
    <w:charset w:val="00"/>
    <w:family w:val="script"/>
    <w:pitch w:val="default"/>
    <w:sig w:usb0="00000287" w:usb1="00000000" w:usb2="00000000" w:usb3="00000000" w:csb0="2000009F" w:csb1="DFD70000"/>
  </w:font>
  <w:font w:name="方正书宋简体">
    <w:altName w:val="宋体"/>
    <w:panose1 w:val="00000000000000000000"/>
    <w:charset w:val="86"/>
    <w:family w:val="auto"/>
    <w:pitch w:val="default"/>
    <w:sig w:usb0="00000000" w:usb1="00000000" w:usb2="00000010" w:usb3="00000000" w:csb0="00040000" w:csb1="00000000"/>
  </w:font>
  <w:font w:name="长城仿宋">
    <w:altName w:val="宋体"/>
    <w:panose1 w:val="0201060900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Plotter">
    <w:altName w:val="Times New Roman"/>
    <w:panose1 w:val="00000000000000000000"/>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725A4">
    <w:pPr>
      <w:pStyle w:val="52"/>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A162D">
    <w:pPr>
      <w:pStyle w:val="5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E2DE0">
    <w:pPr>
      <w:pStyle w:val="52"/>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94"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C3D5CE">
                          <w:pPr>
                            <w:pStyle w:val="52"/>
                            <w:rPr>
                              <w:rFonts w:hint="eastAsia"/>
                            </w:rPr>
                          </w:pPr>
                          <w:r>
                            <w:rPr>
                              <w:rFonts w:hint="eastAsia"/>
                            </w:rPr>
                            <w:fldChar w:fldCharType="begin"/>
                          </w:r>
                          <w:r>
                            <w:rPr>
                              <w:rFonts w:hint="eastAsia"/>
                            </w:rPr>
                            <w:instrText xml:space="preserve"> PAGE  \* MERGEFORMAT </w:instrText>
                          </w:r>
                          <w:r>
                            <w:rPr>
                              <w:rFonts w:hint="eastAsia"/>
                            </w:rPr>
                            <w:fldChar w:fldCharType="separate"/>
                          </w:r>
                          <w:r>
                            <w:t>89</w:t>
                          </w:r>
                          <w:r>
                            <w:rPr>
                              <w:rFonts w:hint="eastAsia"/>
                            </w:rP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Milw9jLAQAAnAMAAA4AAAAAAAAAAQAgAAAAHgEAAGRycy9lMm9E&#10;b2MueG1sUEsFBgAAAAAGAAYAWQEAAFsFAAAAAA==&#10;">
              <v:fill on="f" focussize="0,0"/>
              <v:stroke on="f"/>
              <v:imagedata o:title=""/>
              <o:lock v:ext="edit" aspectratio="f"/>
              <v:textbox inset="0mm,0mm,0mm,0mm" style="mso-fit-shape-to-text:t;">
                <w:txbxContent>
                  <w:p w14:paraId="19C3D5CE">
                    <w:pPr>
                      <w:pStyle w:val="52"/>
                      <w:rPr>
                        <w:rFonts w:hint="eastAsia"/>
                      </w:rPr>
                    </w:pPr>
                    <w:r>
                      <w:rPr>
                        <w:rFonts w:hint="eastAsia"/>
                      </w:rPr>
                      <w:fldChar w:fldCharType="begin"/>
                    </w:r>
                    <w:r>
                      <w:rPr>
                        <w:rFonts w:hint="eastAsia"/>
                      </w:rPr>
                      <w:instrText xml:space="preserve"> PAGE  \* MERGEFORMAT </w:instrText>
                    </w:r>
                    <w:r>
                      <w:rPr>
                        <w:rFonts w:hint="eastAsia"/>
                      </w:rPr>
                      <w:fldChar w:fldCharType="separate"/>
                    </w:r>
                    <w:r>
                      <w:t>89</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794D">
    <w:pPr>
      <w:pStyle w:val="52"/>
      <w:ind w:firstLine="360"/>
    </w:pPr>
  </w:p>
  <w:p w14:paraId="15B65994"/>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7F406">
    <w:pPr>
      <w:pStyle w:val="52"/>
      <w:jc w:val="center"/>
      <w:rPr>
        <w:rFonts w:hint="eastAsia"/>
      </w:rPr>
    </w:pPr>
    <w:r>
      <w:fldChar w:fldCharType="begin"/>
    </w:r>
    <w:r>
      <w:rPr>
        <w:rStyle w:val="87"/>
      </w:rPr>
      <w:instrText xml:space="preserve"> PAGE </w:instrText>
    </w:r>
    <w:r>
      <w:fldChar w:fldCharType="separate"/>
    </w:r>
    <w:r>
      <w:rPr>
        <w:rStyle w:val="87"/>
      </w:rPr>
      <w:t>0</w:t>
    </w:r>
    <w:r>
      <w:fldChar w:fldCharType="end"/>
    </w:r>
  </w:p>
  <w:p w14:paraId="147338D9">
    <w:pPr>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52124B">
    <w:pPr>
      <w:pStyle w:val="54"/>
      <w:pBdr>
        <w:bottom w:val="single" w:color="auto" w:sz="4" w:space="0"/>
      </w:pBdr>
      <w:rPr>
        <w:rFonts w:hint="eastAsia"/>
      </w:rPr>
    </w:pPr>
    <w:r>
      <w:rPr>
        <w:rFonts w:hint="eastAsia"/>
        <w:lang w:val="en-US" w:eastAsia="zh-CN"/>
      </w:rPr>
      <w:t>变电站生产运维材料</w:t>
    </w:r>
    <w:r>
      <w:rPr>
        <w:rFonts w:hint="eastAsia"/>
      </w:rPr>
      <w:t>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16C42">
    <w:pPr>
      <w:pStyle w:val="54"/>
      <w:rPr>
        <w:rFonts w:hint="default" w:eastAsia="宋体"/>
        <w:lang w:val="en-US" w:eastAsia="zh-CN"/>
      </w:rPr>
    </w:pPr>
    <w:r>
      <w:rPr>
        <w:rFonts w:hint="eastAsia"/>
        <w:lang w:val="en-US" w:eastAsia="zh-CN"/>
      </w:rPr>
      <w:t>变电站生产运维材料技术规范书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4AEF5">
    <w:pPr>
      <w:pStyle w:val="54"/>
      <w:pBdr>
        <w:bottom w:val="single" w:color="auto" w:sz="4" w:space="0"/>
      </w:pBdr>
      <w:jc w:val="center"/>
    </w:pPr>
    <w:r>
      <w:rPr>
        <w:rFonts w:hint="eastAsia"/>
        <w:lang w:val="en-US" w:eastAsia="zh-CN"/>
      </w:rPr>
      <w:t>变电站生产运维材料</w:t>
    </w:r>
    <w:r>
      <w:rPr>
        <w:rFonts w:hint="eastAsia"/>
      </w:rPr>
      <w:t>技术规范书</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C31AD">
    <w:pPr>
      <w:pStyle w:val="54"/>
    </w:pPr>
  </w:p>
  <w:p w14:paraId="79BDEA1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70FBC">
    <w:pPr>
      <w:pStyle w:val="54"/>
    </w:pPr>
  </w:p>
  <w:p w14:paraId="2EA882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bullet"/>
      <w:pStyle w:val="44"/>
      <w:lvlText w:val=""/>
      <w:lvlJc w:val="left"/>
      <w:pPr>
        <w:tabs>
          <w:tab w:val="left" w:pos="2040"/>
        </w:tabs>
        <w:ind w:left="2040" w:hanging="360"/>
      </w:pPr>
      <w:rPr>
        <w:rFonts w:hint="default" w:ascii="Wingdings" w:hAnsi="Wingdings"/>
      </w:rPr>
    </w:lvl>
  </w:abstractNum>
  <w:abstractNum w:abstractNumId="1">
    <w:nsid w:val="00000001"/>
    <w:multiLevelType w:val="singleLevel"/>
    <w:tmpl w:val="00000001"/>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2">
    <w:nsid w:val="00000002"/>
    <w:multiLevelType w:val="multilevel"/>
    <w:tmpl w:val="00000002"/>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9"/>
      <w:suff w:val="nothing"/>
      <w:lvlText w:val="%1%2.%3　"/>
      <w:lvlJc w:val="left"/>
      <w:pPr>
        <w:ind w:left="0" w:firstLine="0"/>
      </w:pPr>
      <w:rPr>
        <w:rFonts w:hint="eastAsia" w:ascii="黑体" w:hAnsi="Times New Roman" w:eastAsia="黑体"/>
        <w:b w:val="0"/>
        <w:i w:val="0"/>
        <w:sz w:val="21"/>
      </w:rPr>
    </w:lvl>
    <w:lvl w:ilvl="3" w:tentative="0">
      <w:start w:val="1"/>
      <w:numFmt w:val="decimal"/>
      <w:pStyle w:val="302"/>
      <w:suff w:val="nothing"/>
      <w:lvlText w:val="%1%2.%3.%4　"/>
      <w:lvlJc w:val="left"/>
      <w:pPr>
        <w:ind w:left="0" w:firstLine="0"/>
      </w:pPr>
      <w:rPr>
        <w:rFonts w:hint="eastAsia" w:ascii="黑体" w:hAnsi="Times New Roman" w:eastAsia="黑体"/>
        <w:b w:val="0"/>
        <w:i w:val="0"/>
        <w:sz w:val="21"/>
      </w:rPr>
    </w:lvl>
    <w:lvl w:ilvl="4" w:tentative="0">
      <w:start w:val="1"/>
      <w:numFmt w:val="decimal"/>
      <w:pStyle w:val="295"/>
      <w:suff w:val="nothing"/>
      <w:lvlText w:val="%1%2.%3.%4.%5　"/>
      <w:lvlJc w:val="left"/>
      <w:pPr>
        <w:ind w:left="0" w:firstLine="0"/>
      </w:pPr>
      <w:rPr>
        <w:rFonts w:hint="eastAsia" w:ascii="黑体" w:hAnsi="Times New Roman" w:eastAsia="黑体"/>
        <w:b w:val="0"/>
        <w:i w:val="0"/>
        <w:sz w:val="21"/>
      </w:rPr>
    </w:lvl>
    <w:lvl w:ilvl="5" w:tentative="0">
      <w:start w:val="1"/>
      <w:numFmt w:val="decimal"/>
      <w:pStyle w:val="269"/>
      <w:suff w:val="nothing"/>
      <w:lvlText w:val="%1%2.%3.%4.%5.%6　"/>
      <w:lvlJc w:val="left"/>
      <w:pPr>
        <w:ind w:left="0" w:firstLine="0"/>
      </w:pPr>
      <w:rPr>
        <w:rFonts w:hint="eastAsia" w:ascii="黑体" w:hAnsi="Times New Roman" w:eastAsia="黑体"/>
        <w:b w:val="0"/>
        <w:i w:val="0"/>
        <w:sz w:val="21"/>
      </w:rPr>
    </w:lvl>
    <w:lvl w:ilvl="6" w:tentative="0">
      <w:start w:val="1"/>
      <w:numFmt w:val="decimal"/>
      <w:pStyle w:val="264"/>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3">
    <w:nsid w:val="00000005"/>
    <w:multiLevelType w:val="singleLevel"/>
    <w:tmpl w:val="00000005"/>
    <w:lvl w:ilvl="0" w:tentative="0">
      <w:start w:val="1"/>
      <w:numFmt w:val="decimal"/>
      <w:pStyle w:val="45"/>
      <w:lvlText w:val="%1."/>
      <w:lvlJc w:val="left"/>
      <w:pPr>
        <w:tabs>
          <w:tab w:val="left" w:pos="1620"/>
        </w:tabs>
        <w:ind w:left="1620" w:hanging="360"/>
      </w:pPr>
    </w:lvl>
  </w:abstractNum>
  <w:abstractNum w:abstractNumId="4">
    <w:nsid w:val="0000000B"/>
    <w:multiLevelType w:val="multilevel"/>
    <w:tmpl w:val="0000000B"/>
    <w:lvl w:ilvl="0" w:tentative="0">
      <w:start w:val="1"/>
      <w:numFmt w:val="decimal"/>
      <w:pStyle w:val="18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105"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205"/>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5">
    <w:nsid w:val="0000000C"/>
    <w:multiLevelType w:val="multilevel"/>
    <w:tmpl w:val="0000000C"/>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6">
    <w:nsid w:val="0000000E"/>
    <w:multiLevelType w:val="multilevel"/>
    <w:tmpl w:val="0000000E"/>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7">
    <w:nsid w:val="00000015"/>
    <w:multiLevelType w:val="multilevel"/>
    <w:tmpl w:val="00000015"/>
    <w:lvl w:ilvl="0" w:tentative="0">
      <w:start w:val="1"/>
      <w:numFmt w:val="decimal"/>
      <w:pStyle w:val="219"/>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8">
    <w:nsid w:val="00000016"/>
    <w:multiLevelType w:val="multilevel"/>
    <w:tmpl w:val="00000016"/>
    <w:lvl w:ilvl="0" w:tentative="0">
      <w:start w:val="1"/>
      <w:numFmt w:val="decimal"/>
      <w:pStyle w:val="201"/>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9">
    <w:nsid w:val="00000017"/>
    <w:multiLevelType w:val="singleLevel"/>
    <w:tmpl w:val="00000017"/>
    <w:lvl w:ilvl="0" w:tentative="0">
      <w:start w:val="1"/>
      <w:numFmt w:val="decimal"/>
      <w:pStyle w:val="18"/>
      <w:lvlText w:val="%1."/>
      <w:lvlJc w:val="left"/>
      <w:pPr>
        <w:tabs>
          <w:tab w:val="left" w:pos="360"/>
        </w:tabs>
        <w:ind w:left="360" w:hanging="360"/>
      </w:pPr>
    </w:lvl>
  </w:abstractNum>
  <w:abstractNum w:abstractNumId="10">
    <w:nsid w:val="00000018"/>
    <w:multiLevelType w:val="multilevel"/>
    <w:tmpl w:val="00000018"/>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8"/>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1">
    <w:nsid w:val="00000019"/>
    <w:multiLevelType w:val="singleLevel"/>
    <w:tmpl w:val="00000019"/>
    <w:lvl w:ilvl="0" w:tentative="0">
      <w:start w:val="1"/>
      <w:numFmt w:val="decimal"/>
      <w:pStyle w:val="62"/>
      <w:lvlText w:val="%1."/>
      <w:lvlJc w:val="left"/>
      <w:pPr>
        <w:tabs>
          <w:tab w:val="left" w:pos="2040"/>
        </w:tabs>
        <w:ind w:left="2040" w:hanging="360"/>
      </w:pPr>
    </w:lvl>
  </w:abstractNum>
  <w:abstractNum w:abstractNumId="12">
    <w:nsid w:val="0000001A"/>
    <w:multiLevelType w:val="singleLevel"/>
    <w:tmpl w:val="0000001A"/>
    <w:lvl w:ilvl="0" w:tentative="0">
      <w:start w:val="1"/>
      <w:numFmt w:val="bullet"/>
      <w:pStyle w:val="38"/>
      <w:lvlText w:val=""/>
      <w:lvlJc w:val="left"/>
      <w:pPr>
        <w:tabs>
          <w:tab w:val="left" w:pos="780"/>
        </w:tabs>
        <w:ind w:left="780" w:hanging="360"/>
      </w:pPr>
      <w:rPr>
        <w:rFonts w:hint="default" w:ascii="Wingdings" w:hAnsi="Wingdings"/>
      </w:rPr>
    </w:lvl>
  </w:abstractNum>
  <w:abstractNum w:abstractNumId="13">
    <w:nsid w:val="0000001E"/>
    <w:multiLevelType w:val="singleLevel"/>
    <w:tmpl w:val="0000001E"/>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4">
    <w:nsid w:val="00000020"/>
    <w:multiLevelType w:val="singleLevel"/>
    <w:tmpl w:val="00000020"/>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5">
    <w:nsid w:val="00000021"/>
    <w:multiLevelType w:val="singleLevel"/>
    <w:tmpl w:val="00000021"/>
    <w:lvl w:ilvl="0" w:tentative="0">
      <w:start w:val="1"/>
      <w:numFmt w:val="decimal"/>
      <w:pStyle w:val="34"/>
      <w:lvlText w:val="%1."/>
      <w:lvlJc w:val="left"/>
      <w:pPr>
        <w:tabs>
          <w:tab w:val="left" w:pos="1200"/>
        </w:tabs>
        <w:ind w:left="1200" w:hanging="360"/>
      </w:pPr>
    </w:lvl>
  </w:abstractNum>
  <w:abstractNum w:abstractNumId="16">
    <w:nsid w:val="00000023"/>
    <w:multiLevelType w:val="multilevel"/>
    <w:tmpl w:val="00000023"/>
    <w:lvl w:ilvl="0" w:tentative="0">
      <w:start w:val="1"/>
      <w:numFmt w:val="decimal"/>
      <w:lvlText w:val="%1"/>
      <w:lvlJc w:val="left"/>
      <w:pPr>
        <w:tabs>
          <w:tab w:val="left" w:pos="360"/>
        </w:tabs>
        <w:ind w:left="360" w:hanging="360"/>
      </w:pPr>
      <w:rPr>
        <w:rFonts w:hint="eastAsia"/>
      </w:rPr>
    </w:lvl>
    <w:lvl w:ilvl="1" w:tentative="0">
      <w:start w:val="1"/>
      <w:numFmt w:val="lowerLetter"/>
      <w:pStyle w:val="148"/>
      <w:lvlText w:val="%2）"/>
      <w:lvlJc w:val="left"/>
      <w:pPr>
        <w:tabs>
          <w:tab w:val="left" w:pos="780"/>
        </w:tabs>
        <w:ind w:left="780" w:hanging="360"/>
      </w:pPr>
      <w:rPr>
        <w:rFonts w:hint="eastAsia"/>
      </w:rPr>
    </w:lvl>
    <w:lvl w:ilvl="2" w:tentative="0">
      <w:start w:val="1"/>
      <w:numFmt w:val="lowerRoman"/>
      <w:pStyle w:val="147"/>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00000024"/>
    <w:multiLevelType w:val="multilevel"/>
    <w:tmpl w:val="00000024"/>
    <w:lvl w:ilvl="0" w:tentative="0">
      <w:start w:val="1"/>
      <w:numFmt w:val="decimal"/>
      <w:lvlText w:val="%1)"/>
      <w:lvlJc w:val="left"/>
      <w:pPr>
        <w:tabs>
          <w:tab w:val="left" w:pos="900"/>
        </w:tabs>
        <w:ind w:left="900" w:hanging="420"/>
      </w:pPr>
    </w:lvl>
    <w:lvl w:ilvl="1" w:tentative="0">
      <w:start w:val="1"/>
      <w:numFmt w:val="lowerLetter"/>
      <w:pStyle w:val="221"/>
      <w:lvlText w:val="%2)"/>
      <w:lvlJc w:val="left"/>
      <w:pPr>
        <w:tabs>
          <w:tab w:val="left" w:pos="1320"/>
        </w:tabs>
        <w:ind w:left="1320" w:hanging="420"/>
      </w:pPr>
    </w:lvl>
    <w:lvl w:ilvl="2" w:tentative="0">
      <w:start w:val="1"/>
      <w:numFmt w:val="lowerRoman"/>
      <w:pStyle w:val="234"/>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8">
    <w:nsid w:val="00000025"/>
    <w:multiLevelType w:val="singleLevel"/>
    <w:tmpl w:val="00000025"/>
    <w:lvl w:ilvl="0" w:tentative="0">
      <w:start w:val="1"/>
      <w:numFmt w:val="decimal"/>
      <w:pStyle w:val="13"/>
      <w:lvlText w:val="%1."/>
      <w:lvlJc w:val="left"/>
      <w:pPr>
        <w:tabs>
          <w:tab w:val="left" w:pos="780"/>
        </w:tabs>
        <w:ind w:left="780" w:hanging="360"/>
      </w:pPr>
    </w:lvl>
  </w:abstractNum>
  <w:abstractNum w:abstractNumId="19">
    <w:nsid w:val="5BF53B8B"/>
    <w:multiLevelType w:val="singleLevel"/>
    <w:tmpl w:val="5BF53B8B"/>
    <w:lvl w:ilvl="0" w:tentative="0">
      <w:start w:val="1"/>
      <w:numFmt w:val="decimal"/>
      <w:suff w:val="nothing"/>
      <w:lvlText w:val="%1）"/>
      <w:lvlJc w:val="left"/>
    </w:lvl>
  </w:abstractNum>
  <w:abstractNum w:abstractNumId="20">
    <w:nsid w:val="723CEE5B"/>
    <w:multiLevelType w:val="singleLevel"/>
    <w:tmpl w:val="723CEE5B"/>
    <w:lvl w:ilvl="0" w:tentative="0">
      <w:start w:val="2"/>
      <w:numFmt w:val="decimal"/>
      <w:suff w:val="nothing"/>
      <w:lvlText w:val="%1）"/>
      <w:lvlJc w:val="left"/>
    </w:lvl>
  </w:abstractNum>
  <w:abstractNum w:abstractNumId="21">
    <w:nsid w:val="72CFDE43"/>
    <w:multiLevelType w:val="singleLevel"/>
    <w:tmpl w:val="72CFDE43"/>
    <w:lvl w:ilvl="0" w:tentative="0">
      <w:start w:val="13"/>
      <w:numFmt w:val="decimal"/>
      <w:suff w:val="nothing"/>
      <w:lvlText w:val="%1）"/>
      <w:lvlJc w:val="left"/>
    </w:lvl>
  </w:abstractNum>
  <w:num w:numId="1">
    <w:abstractNumId w:val="5"/>
  </w:num>
  <w:num w:numId="2">
    <w:abstractNumId w:val="18"/>
  </w:num>
  <w:num w:numId="3">
    <w:abstractNumId w:val="1"/>
  </w:num>
  <w:num w:numId="4">
    <w:abstractNumId w:val="9"/>
  </w:num>
  <w:num w:numId="5">
    <w:abstractNumId w:val="13"/>
  </w:num>
  <w:num w:numId="6">
    <w:abstractNumId w:val="14"/>
  </w:num>
  <w:num w:numId="7">
    <w:abstractNumId w:val="15"/>
  </w:num>
  <w:num w:numId="8">
    <w:abstractNumId w:val="12"/>
  </w:num>
  <w:num w:numId="9">
    <w:abstractNumId w:val="0"/>
  </w:num>
  <w:num w:numId="10">
    <w:abstractNumId w:val="3"/>
  </w:num>
  <w:num w:numId="11">
    <w:abstractNumId w:val="11"/>
  </w:num>
  <w:num w:numId="12">
    <w:abstractNumId w:val="10"/>
  </w:num>
  <w:num w:numId="13">
    <w:abstractNumId w:val="16"/>
  </w:num>
  <w:num w:numId="14">
    <w:abstractNumId w:val="4"/>
  </w:num>
  <w:num w:numId="15">
    <w:abstractNumId w:val="8"/>
  </w:num>
  <w:num w:numId="16">
    <w:abstractNumId w:val="7"/>
  </w:num>
  <w:num w:numId="17">
    <w:abstractNumId w:val="17"/>
  </w:num>
  <w:num w:numId="18">
    <w:abstractNumId w:val="2"/>
  </w:num>
  <w:num w:numId="19">
    <w:abstractNumId w:val="6"/>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JhZWI3ODQ1N2Q3OWRkNmE4NDk0Y2NjZGFhZjQyM2IifQ=="/>
  </w:docVars>
  <w:rsids>
    <w:rsidRoot w:val="00172A27"/>
    <w:rsid w:val="00002880"/>
    <w:rsid w:val="000075F1"/>
    <w:rsid w:val="001E3808"/>
    <w:rsid w:val="001E72C0"/>
    <w:rsid w:val="001F2D8C"/>
    <w:rsid w:val="00250812"/>
    <w:rsid w:val="00283D32"/>
    <w:rsid w:val="00400B38"/>
    <w:rsid w:val="00402632"/>
    <w:rsid w:val="004151E9"/>
    <w:rsid w:val="004450AD"/>
    <w:rsid w:val="004A1870"/>
    <w:rsid w:val="00585F45"/>
    <w:rsid w:val="005B54F5"/>
    <w:rsid w:val="006055E9"/>
    <w:rsid w:val="00624F66"/>
    <w:rsid w:val="00690925"/>
    <w:rsid w:val="006B3266"/>
    <w:rsid w:val="006F5E40"/>
    <w:rsid w:val="00722DBB"/>
    <w:rsid w:val="007A3206"/>
    <w:rsid w:val="007B75A6"/>
    <w:rsid w:val="00887309"/>
    <w:rsid w:val="008B14F9"/>
    <w:rsid w:val="00950687"/>
    <w:rsid w:val="00952D7E"/>
    <w:rsid w:val="009C385B"/>
    <w:rsid w:val="00A55B21"/>
    <w:rsid w:val="00A63497"/>
    <w:rsid w:val="00AA1ECD"/>
    <w:rsid w:val="00B32850"/>
    <w:rsid w:val="00BF3862"/>
    <w:rsid w:val="00BF5FEC"/>
    <w:rsid w:val="00C138D7"/>
    <w:rsid w:val="00D14407"/>
    <w:rsid w:val="00D32CC9"/>
    <w:rsid w:val="00DD0BF5"/>
    <w:rsid w:val="00DD59B1"/>
    <w:rsid w:val="00DE37E1"/>
    <w:rsid w:val="00E74EB5"/>
    <w:rsid w:val="00E7671C"/>
    <w:rsid w:val="00F52B96"/>
    <w:rsid w:val="00FA50EE"/>
    <w:rsid w:val="00FA7DCD"/>
    <w:rsid w:val="01C13F62"/>
    <w:rsid w:val="02E34380"/>
    <w:rsid w:val="033267EB"/>
    <w:rsid w:val="03844419"/>
    <w:rsid w:val="03C37F0A"/>
    <w:rsid w:val="03DB3872"/>
    <w:rsid w:val="03F01724"/>
    <w:rsid w:val="04B94FD1"/>
    <w:rsid w:val="04FA1866"/>
    <w:rsid w:val="05580F84"/>
    <w:rsid w:val="057645FF"/>
    <w:rsid w:val="0602013F"/>
    <w:rsid w:val="066E6CAD"/>
    <w:rsid w:val="09075B59"/>
    <w:rsid w:val="09331199"/>
    <w:rsid w:val="0A19693A"/>
    <w:rsid w:val="0BCE5505"/>
    <w:rsid w:val="0BF917E1"/>
    <w:rsid w:val="0C34242E"/>
    <w:rsid w:val="0CA24901"/>
    <w:rsid w:val="0CEC49C5"/>
    <w:rsid w:val="0D4416FF"/>
    <w:rsid w:val="0D96048F"/>
    <w:rsid w:val="0DA701FF"/>
    <w:rsid w:val="0E2B687E"/>
    <w:rsid w:val="0E2E54ED"/>
    <w:rsid w:val="0E49584E"/>
    <w:rsid w:val="0EA8040D"/>
    <w:rsid w:val="0EA86A7C"/>
    <w:rsid w:val="0EB5137A"/>
    <w:rsid w:val="0F3E2122"/>
    <w:rsid w:val="0FD2498C"/>
    <w:rsid w:val="0FD76B1E"/>
    <w:rsid w:val="10686FE9"/>
    <w:rsid w:val="110D1E69"/>
    <w:rsid w:val="110F3DC9"/>
    <w:rsid w:val="111E147A"/>
    <w:rsid w:val="1152578B"/>
    <w:rsid w:val="11630BDD"/>
    <w:rsid w:val="11B62C4D"/>
    <w:rsid w:val="11CA3F9D"/>
    <w:rsid w:val="11D84376"/>
    <w:rsid w:val="12D92EAD"/>
    <w:rsid w:val="139C63AA"/>
    <w:rsid w:val="13A94CD6"/>
    <w:rsid w:val="140C65D3"/>
    <w:rsid w:val="14207EF3"/>
    <w:rsid w:val="15512D78"/>
    <w:rsid w:val="15920B1B"/>
    <w:rsid w:val="15A665F6"/>
    <w:rsid w:val="160F49A5"/>
    <w:rsid w:val="171B098E"/>
    <w:rsid w:val="178B40C7"/>
    <w:rsid w:val="17930C77"/>
    <w:rsid w:val="185F39F1"/>
    <w:rsid w:val="19403B4D"/>
    <w:rsid w:val="19961D4F"/>
    <w:rsid w:val="1A733061"/>
    <w:rsid w:val="1A99454B"/>
    <w:rsid w:val="1B01606C"/>
    <w:rsid w:val="1B201D4B"/>
    <w:rsid w:val="1B383B08"/>
    <w:rsid w:val="1C190F68"/>
    <w:rsid w:val="1C22174F"/>
    <w:rsid w:val="1C422BD3"/>
    <w:rsid w:val="1CC05E02"/>
    <w:rsid w:val="1D8B29D1"/>
    <w:rsid w:val="1DB97908"/>
    <w:rsid w:val="1DBC5F9B"/>
    <w:rsid w:val="1E0C60E2"/>
    <w:rsid w:val="1E27152F"/>
    <w:rsid w:val="1E666E53"/>
    <w:rsid w:val="1EDA6762"/>
    <w:rsid w:val="1F9B6A86"/>
    <w:rsid w:val="1F9D5109"/>
    <w:rsid w:val="201F0936"/>
    <w:rsid w:val="202D2566"/>
    <w:rsid w:val="2034498D"/>
    <w:rsid w:val="20440B0F"/>
    <w:rsid w:val="2049646A"/>
    <w:rsid w:val="20DA2382"/>
    <w:rsid w:val="20E911C1"/>
    <w:rsid w:val="2100694D"/>
    <w:rsid w:val="2156069E"/>
    <w:rsid w:val="217855BF"/>
    <w:rsid w:val="232322E1"/>
    <w:rsid w:val="23D54887"/>
    <w:rsid w:val="23EB37AC"/>
    <w:rsid w:val="24804A43"/>
    <w:rsid w:val="24C54796"/>
    <w:rsid w:val="250A7054"/>
    <w:rsid w:val="25A16D33"/>
    <w:rsid w:val="25EE49DD"/>
    <w:rsid w:val="26574BF8"/>
    <w:rsid w:val="269666CC"/>
    <w:rsid w:val="26F85199"/>
    <w:rsid w:val="27752DC3"/>
    <w:rsid w:val="281144C0"/>
    <w:rsid w:val="284B7EF2"/>
    <w:rsid w:val="286443A3"/>
    <w:rsid w:val="287444FB"/>
    <w:rsid w:val="287662D5"/>
    <w:rsid w:val="29C4442A"/>
    <w:rsid w:val="2AD416D9"/>
    <w:rsid w:val="2BA816D4"/>
    <w:rsid w:val="2BDA4CB2"/>
    <w:rsid w:val="2BF85DDF"/>
    <w:rsid w:val="2C661DB1"/>
    <w:rsid w:val="2D5A39B8"/>
    <w:rsid w:val="2DEE09A5"/>
    <w:rsid w:val="2E400AD1"/>
    <w:rsid w:val="2F012AE7"/>
    <w:rsid w:val="2F984D70"/>
    <w:rsid w:val="3058528C"/>
    <w:rsid w:val="30D854F0"/>
    <w:rsid w:val="30E249E7"/>
    <w:rsid w:val="311D1D89"/>
    <w:rsid w:val="316F774E"/>
    <w:rsid w:val="31770E01"/>
    <w:rsid w:val="31F5552C"/>
    <w:rsid w:val="32774EA0"/>
    <w:rsid w:val="33697AAA"/>
    <w:rsid w:val="33C9293D"/>
    <w:rsid w:val="343A1C04"/>
    <w:rsid w:val="3452458D"/>
    <w:rsid w:val="34DA579D"/>
    <w:rsid w:val="350E737B"/>
    <w:rsid w:val="35851D62"/>
    <w:rsid w:val="369B56CA"/>
    <w:rsid w:val="372B3194"/>
    <w:rsid w:val="37795D2B"/>
    <w:rsid w:val="377B0924"/>
    <w:rsid w:val="37D2735F"/>
    <w:rsid w:val="392E65F6"/>
    <w:rsid w:val="397B4BFB"/>
    <w:rsid w:val="39BB10EC"/>
    <w:rsid w:val="39E6094F"/>
    <w:rsid w:val="3A4866D6"/>
    <w:rsid w:val="3AEE7718"/>
    <w:rsid w:val="3B267C15"/>
    <w:rsid w:val="3BAF025A"/>
    <w:rsid w:val="3BD7259F"/>
    <w:rsid w:val="3BFF34BD"/>
    <w:rsid w:val="3C7F0276"/>
    <w:rsid w:val="3CD21086"/>
    <w:rsid w:val="3CD472C4"/>
    <w:rsid w:val="3D303371"/>
    <w:rsid w:val="3D6508B2"/>
    <w:rsid w:val="3DBA4102"/>
    <w:rsid w:val="3E4004BB"/>
    <w:rsid w:val="3F3E4132"/>
    <w:rsid w:val="3F600865"/>
    <w:rsid w:val="3FEA6FF7"/>
    <w:rsid w:val="40625543"/>
    <w:rsid w:val="41505F6D"/>
    <w:rsid w:val="41EB5E6D"/>
    <w:rsid w:val="421E57B5"/>
    <w:rsid w:val="426F12C0"/>
    <w:rsid w:val="42872FF0"/>
    <w:rsid w:val="435F7391"/>
    <w:rsid w:val="436518B2"/>
    <w:rsid w:val="43B62DD0"/>
    <w:rsid w:val="43D0622E"/>
    <w:rsid w:val="43D13465"/>
    <w:rsid w:val="43EE5F01"/>
    <w:rsid w:val="44931420"/>
    <w:rsid w:val="45F74471"/>
    <w:rsid w:val="4780765B"/>
    <w:rsid w:val="48910E5C"/>
    <w:rsid w:val="48E54BF4"/>
    <w:rsid w:val="494B4C4F"/>
    <w:rsid w:val="49DC5661"/>
    <w:rsid w:val="49F80181"/>
    <w:rsid w:val="4BDB7EBA"/>
    <w:rsid w:val="4C2F5CD2"/>
    <w:rsid w:val="4C4B3C64"/>
    <w:rsid w:val="4C4C2D22"/>
    <w:rsid w:val="4C9332CB"/>
    <w:rsid w:val="4CDF517E"/>
    <w:rsid w:val="4D4D6099"/>
    <w:rsid w:val="4D72775C"/>
    <w:rsid w:val="4DF0706C"/>
    <w:rsid w:val="4E894473"/>
    <w:rsid w:val="4EDF69E8"/>
    <w:rsid w:val="4F2D0581"/>
    <w:rsid w:val="4F5E3B4E"/>
    <w:rsid w:val="4FF86396"/>
    <w:rsid w:val="50400E60"/>
    <w:rsid w:val="50D73042"/>
    <w:rsid w:val="50FE5D56"/>
    <w:rsid w:val="511538DF"/>
    <w:rsid w:val="512B0EE4"/>
    <w:rsid w:val="518C4D60"/>
    <w:rsid w:val="549378E6"/>
    <w:rsid w:val="54A05937"/>
    <w:rsid w:val="55126269"/>
    <w:rsid w:val="554D78E0"/>
    <w:rsid w:val="555E3719"/>
    <w:rsid w:val="55AE4CDB"/>
    <w:rsid w:val="5664255F"/>
    <w:rsid w:val="56C826DD"/>
    <w:rsid w:val="56FE628F"/>
    <w:rsid w:val="574704AF"/>
    <w:rsid w:val="57740CC0"/>
    <w:rsid w:val="583076DC"/>
    <w:rsid w:val="583957C3"/>
    <w:rsid w:val="588B3167"/>
    <w:rsid w:val="589E034E"/>
    <w:rsid w:val="58BF42F7"/>
    <w:rsid w:val="59D031DA"/>
    <w:rsid w:val="59ED2FB7"/>
    <w:rsid w:val="59F16984"/>
    <w:rsid w:val="5A2B104D"/>
    <w:rsid w:val="5B1E2E15"/>
    <w:rsid w:val="5B4661F6"/>
    <w:rsid w:val="5B553870"/>
    <w:rsid w:val="5C8F1CD3"/>
    <w:rsid w:val="5CEA28D5"/>
    <w:rsid w:val="5D31149B"/>
    <w:rsid w:val="5DA96774"/>
    <w:rsid w:val="5DC02EA6"/>
    <w:rsid w:val="5E647F0A"/>
    <w:rsid w:val="5E9454E0"/>
    <w:rsid w:val="5EA561CF"/>
    <w:rsid w:val="5EC158E9"/>
    <w:rsid w:val="5FA92195"/>
    <w:rsid w:val="60280BEA"/>
    <w:rsid w:val="604F3F1B"/>
    <w:rsid w:val="60B6018C"/>
    <w:rsid w:val="60BA14FA"/>
    <w:rsid w:val="60E259A1"/>
    <w:rsid w:val="61D31DE1"/>
    <w:rsid w:val="620D74FD"/>
    <w:rsid w:val="634424A4"/>
    <w:rsid w:val="64E8566A"/>
    <w:rsid w:val="64EB107F"/>
    <w:rsid w:val="655F57FA"/>
    <w:rsid w:val="65C9467F"/>
    <w:rsid w:val="660435BD"/>
    <w:rsid w:val="66A96924"/>
    <w:rsid w:val="67204631"/>
    <w:rsid w:val="674112FE"/>
    <w:rsid w:val="67421D17"/>
    <w:rsid w:val="67C06570"/>
    <w:rsid w:val="685A5239"/>
    <w:rsid w:val="689F2F12"/>
    <w:rsid w:val="691346F8"/>
    <w:rsid w:val="69932615"/>
    <w:rsid w:val="699B6613"/>
    <w:rsid w:val="6A900173"/>
    <w:rsid w:val="6CA2219D"/>
    <w:rsid w:val="6CAC3BBA"/>
    <w:rsid w:val="6D5C12F0"/>
    <w:rsid w:val="6E460717"/>
    <w:rsid w:val="6E8947F7"/>
    <w:rsid w:val="6F111533"/>
    <w:rsid w:val="70A93258"/>
    <w:rsid w:val="71081A79"/>
    <w:rsid w:val="715440AF"/>
    <w:rsid w:val="71723F67"/>
    <w:rsid w:val="71762AB6"/>
    <w:rsid w:val="71B67336"/>
    <w:rsid w:val="71C64A1B"/>
    <w:rsid w:val="72585FA2"/>
    <w:rsid w:val="72877833"/>
    <w:rsid w:val="736F54D4"/>
    <w:rsid w:val="73837103"/>
    <w:rsid w:val="74337D22"/>
    <w:rsid w:val="748F58C9"/>
    <w:rsid w:val="7497743E"/>
    <w:rsid w:val="75296C26"/>
    <w:rsid w:val="7540568E"/>
    <w:rsid w:val="75C92B29"/>
    <w:rsid w:val="76037924"/>
    <w:rsid w:val="76360B3F"/>
    <w:rsid w:val="765F4D36"/>
    <w:rsid w:val="76B82B91"/>
    <w:rsid w:val="77081505"/>
    <w:rsid w:val="781C49EA"/>
    <w:rsid w:val="78237C37"/>
    <w:rsid w:val="78512217"/>
    <w:rsid w:val="79017F1D"/>
    <w:rsid w:val="79F117C8"/>
    <w:rsid w:val="7A7C5764"/>
    <w:rsid w:val="7B961E3E"/>
    <w:rsid w:val="7C3058CE"/>
    <w:rsid w:val="7C344036"/>
    <w:rsid w:val="7CCE29B6"/>
    <w:rsid w:val="7CD94CD1"/>
    <w:rsid w:val="7CDB046E"/>
    <w:rsid w:val="7CF34EE8"/>
    <w:rsid w:val="7CF350F6"/>
    <w:rsid w:val="7D43506D"/>
    <w:rsid w:val="7D4D34D3"/>
    <w:rsid w:val="7D6D4B2A"/>
    <w:rsid w:val="7D7D3BD4"/>
    <w:rsid w:val="7E1472DD"/>
    <w:rsid w:val="7E2209D9"/>
    <w:rsid w:val="7E390AB7"/>
    <w:rsid w:val="7F0C437A"/>
    <w:rsid w:val="7F1B0B3A"/>
    <w:rsid w:val="7F3815E6"/>
    <w:rsid w:val="7F877C93"/>
    <w:rsid w:val="7FD1261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3,4,5,6,7,8"/>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66"/>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28"/>
    <w:qFormat/>
    <w:uiPriority w:val="0"/>
    <w:pPr>
      <w:keepNext/>
      <w:keepLines/>
      <w:numPr>
        <w:ilvl w:val="1"/>
        <w:numId w:val="1"/>
      </w:numPr>
      <w:topLinePunct/>
      <w:outlineLvl w:val="1"/>
    </w:pPr>
    <w:rPr>
      <w:rFonts w:eastAsia="黑体"/>
      <w:kern w:val="2"/>
      <w:sz w:val="21"/>
    </w:rPr>
  </w:style>
  <w:style w:type="paragraph" w:styleId="4">
    <w:name w:val="heading 3"/>
    <w:basedOn w:val="1"/>
    <w:next w:val="1"/>
    <w:link w:val="144"/>
    <w:qFormat/>
    <w:uiPriority w:val="0"/>
    <w:pPr>
      <w:keepNext/>
      <w:keepLines/>
      <w:numPr>
        <w:ilvl w:val="2"/>
        <w:numId w:val="1"/>
      </w:numPr>
      <w:spacing w:line="960" w:lineRule="auto"/>
      <w:jc w:val="center"/>
      <w:outlineLvl w:val="2"/>
    </w:pPr>
    <w:rPr>
      <w:rFonts w:eastAsia="黑体"/>
      <w:kern w:val="2"/>
      <w:sz w:val="28"/>
    </w:rPr>
  </w:style>
  <w:style w:type="paragraph" w:styleId="5">
    <w:name w:val="heading 4"/>
    <w:basedOn w:val="1"/>
    <w:next w:val="1"/>
    <w:link w:val="180"/>
    <w:qFormat/>
    <w:uiPriority w:val="0"/>
    <w:pPr>
      <w:keepNext/>
      <w:keepLines/>
      <w:numPr>
        <w:ilvl w:val="3"/>
        <w:numId w:val="1"/>
      </w:numPr>
      <w:spacing w:before="280" w:beforeLines="0" w:beforeAutospacing="0" w:after="290" w:afterLines="0" w:afterAutospacing="0" w:line="372" w:lineRule="auto"/>
      <w:outlineLvl w:val="3"/>
    </w:pPr>
    <w:rPr>
      <w:rFonts w:ascii="Arial" w:hAnsi="Arial" w:eastAsia="黑体"/>
      <w:b/>
      <w:kern w:val="2"/>
      <w:sz w:val="28"/>
    </w:rPr>
  </w:style>
  <w:style w:type="paragraph" w:styleId="6">
    <w:name w:val="heading 5"/>
    <w:basedOn w:val="1"/>
    <w:next w:val="1"/>
    <w:link w:val="126"/>
    <w:qFormat/>
    <w:uiPriority w:val="0"/>
    <w:pPr>
      <w:keepNext/>
      <w:keepLines/>
      <w:numPr>
        <w:ilvl w:val="4"/>
        <w:numId w:val="1"/>
      </w:numPr>
      <w:spacing w:line="360" w:lineRule="auto"/>
      <w:outlineLvl w:val="4"/>
    </w:pPr>
    <w:rPr>
      <w:rFonts w:eastAsia="黑体"/>
      <w:kern w:val="2"/>
      <w:sz w:val="21"/>
    </w:rPr>
  </w:style>
  <w:style w:type="paragraph" w:styleId="7">
    <w:name w:val="heading 6"/>
    <w:basedOn w:val="1"/>
    <w:next w:val="1"/>
    <w:link w:val="104"/>
    <w:qFormat/>
    <w:uiPriority w:val="0"/>
    <w:pPr>
      <w:keepNext/>
      <w:keepLines/>
      <w:numPr>
        <w:ilvl w:val="5"/>
        <w:numId w:val="1"/>
      </w:numPr>
      <w:spacing w:before="240" w:beforeLines="0" w:beforeAutospacing="0" w:after="64" w:afterLines="0" w:afterAutospacing="0" w:line="317" w:lineRule="auto"/>
      <w:outlineLvl w:val="5"/>
    </w:pPr>
    <w:rPr>
      <w:rFonts w:ascii="Arial" w:hAnsi="Arial" w:eastAsia="黑体"/>
      <w:b/>
      <w:kern w:val="2"/>
      <w:sz w:val="24"/>
    </w:rPr>
  </w:style>
  <w:style w:type="paragraph" w:styleId="8">
    <w:name w:val="heading 7"/>
    <w:basedOn w:val="1"/>
    <w:next w:val="1"/>
    <w:link w:val="158"/>
    <w:qFormat/>
    <w:uiPriority w:val="0"/>
    <w:pPr>
      <w:keepNext/>
      <w:keepLines/>
      <w:numPr>
        <w:ilvl w:val="6"/>
        <w:numId w:val="1"/>
      </w:numPr>
      <w:spacing w:before="240" w:beforeLines="0" w:beforeAutospacing="0" w:after="64" w:afterLines="0" w:afterAutospacing="0" w:line="317" w:lineRule="auto"/>
      <w:outlineLvl w:val="6"/>
    </w:pPr>
    <w:rPr>
      <w:b/>
      <w:kern w:val="2"/>
      <w:sz w:val="24"/>
    </w:rPr>
  </w:style>
  <w:style w:type="paragraph" w:styleId="9">
    <w:name w:val="heading 8"/>
    <w:basedOn w:val="1"/>
    <w:next w:val="1"/>
    <w:link w:val="112"/>
    <w:qFormat/>
    <w:uiPriority w:val="0"/>
    <w:pPr>
      <w:keepNext/>
      <w:keepLines/>
      <w:numPr>
        <w:ilvl w:val="7"/>
        <w:numId w:val="1"/>
      </w:numPr>
      <w:spacing w:before="240" w:beforeLines="0" w:beforeAutospacing="0" w:after="64" w:afterLines="0" w:afterAutospacing="0" w:line="317" w:lineRule="auto"/>
      <w:outlineLvl w:val="7"/>
    </w:pPr>
    <w:rPr>
      <w:rFonts w:ascii="Arial" w:hAnsi="Arial" w:eastAsia="黑体"/>
      <w:kern w:val="2"/>
      <w:sz w:val="24"/>
    </w:rPr>
  </w:style>
  <w:style w:type="paragraph" w:styleId="10">
    <w:name w:val="heading 9"/>
    <w:basedOn w:val="1"/>
    <w:next w:val="1"/>
    <w:link w:val="143"/>
    <w:qFormat/>
    <w:uiPriority w:val="0"/>
    <w:pPr>
      <w:keepNext/>
      <w:keepLines/>
      <w:numPr>
        <w:ilvl w:val="8"/>
        <w:numId w:val="1"/>
      </w:numPr>
      <w:spacing w:before="240" w:beforeLines="0" w:beforeAutospacing="0" w:after="64" w:afterLines="0" w:afterAutospacing="0" w:line="317" w:lineRule="auto"/>
      <w:outlineLvl w:val="8"/>
    </w:pPr>
    <w:rPr>
      <w:rFonts w:ascii="Arial" w:hAnsi="Arial" w:eastAsia="黑体"/>
      <w:kern w:val="2"/>
      <w:sz w:val="21"/>
    </w:rPr>
  </w:style>
  <w:style w:type="character" w:default="1" w:styleId="85">
    <w:name w:val="Default Paragraph Font"/>
    <w:qFormat/>
    <w:uiPriority w:val="0"/>
  </w:style>
  <w:style w:type="table" w:default="1" w:styleId="83">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numPr>
        <w:ilvl w:val="0"/>
        <w:numId w:val="4"/>
      </w:numPr>
    </w:pPr>
  </w:style>
  <w:style w:type="paragraph" w:styleId="19">
    <w:name w:val="Normal Indent"/>
    <w:basedOn w:val="1"/>
    <w:link w:val="131"/>
    <w:qFormat/>
    <w:uiPriority w:val="0"/>
    <w:pPr>
      <w:ind w:firstLine="420"/>
    </w:pPr>
    <w:rPr>
      <w:rFonts w:eastAsia="宋体"/>
      <w:kern w:val="2"/>
      <w:sz w:val="21"/>
      <w:lang w:val="en-US" w:eastAsia="zh-CN"/>
    </w:rPr>
  </w:style>
  <w:style w:type="paragraph" w:styleId="20">
    <w:name w:val="caption"/>
    <w:basedOn w:val="1"/>
    <w:next w:val="1"/>
    <w:qFormat/>
    <w:uiPriority w:val="0"/>
    <w:pPr>
      <w:spacing w:before="152" w:beforeLines="0" w:beforeAutospacing="0" w:after="160" w:afterLines="0" w:afterAutospacing="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5"/>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164"/>
    <w:qFormat/>
    <w:uiPriority w:val="0"/>
    <w:pPr>
      <w:shd w:val="clear" w:color="auto" w:fill="000080"/>
    </w:pPr>
    <w:rPr>
      <w:kern w:val="2"/>
      <w:sz w:val="21"/>
      <w:shd w:val="clear" w:color="auto" w:fill="000080"/>
    </w:rPr>
  </w:style>
  <w:style w:type="paragraph" w:styleId="25">
    <w:name w:val="annotation text"/>
    <w:basedOn w:val="1"/>
    <w:link w:val="118"/>
    <w:qFormat/>
    <w:uiPriority w:val="0"/>
    <w:pPr>
      <w:jc w:val="left"/>
    </w:pPr>
    <w:rPr>
      <w:kern w:val="2"/>
      <w:sz w:val="21"/>
    </w:r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link w:val="155"/>
    <w:qFormat/>
    <w:uiPriority w:val="0"/>
    <w:pPr>
      <w:spacing w:after="120" w:afterLines="0" w:afterAutospacing="0"/>
    </w:pPr>
    <w:rPr>
      <w:kern w:val="2"/>
      <w:sz w:val="16"/>
    </w:rPr>
  </w:style>
  <w:style w:type="paragraph" w:styleId="29">
    <w:name w:val="Closing"/>
    <w:basedOn w:val="1"/>
    <w:qFormat/>
    <w:uiPriority w:val="0"/>
    <w:pPr>
      <w:ind w:left="4320"/>
    </w:pPr>
  </w:style>
  <w:style w:type="paragraph" w:styleId="30">
    <w:name w:val="List Bullet 3"/>
    <w:basedOn w:val="1"/>
    <w:qFormat/>
    <w:uiPriority w:val="0"/>
    <w:pPr>
      <w:numPr>
        <w:ilvl w:val="0"/>
        <w:numId w:val="6"/>
      </w:numPr>
    </w:pPr>
  </w:style>
  <w:style w:type="paragraph" w:styleId="31">
    <w:name w:val="Body Text"/>
    <w:basedOn w:val="1"/>
    <w:next w:val="32"/>
    <w:qFormat/>
    <w:uiPriority w:val="0"/>
    <w:pPr>
      <w:spacing w:after="120" w:afterLines="0" w:afterAutospacing="0"/>
    </w:pPr>
  </w:style>
  <w:style w:type="paragraph" w:styleId="32">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33">
    <w:name w:val="Body Text Indent"/>
    <w:basedOn w:val="1"/>
    <w:link w:val="125"/>
    <w:qFormat/>
    <w:uiPriority w:val="0"/>
    <w:pPr>
      <w:spacing w:after="120" w:afterLines="0" w:afterAutospacing="0"/>
      <w:ind w:left="420"/>
    </w:pPr>
    <w:rPr>
      <w:kern w:val="2"/>
      <w:sz w:val="21"/>
    </w:rPr>
  </w:style>
  <w:style w:type="paragraph" w:styleId="34">
    <w:name w:val="List Number 3"/>
    <w:basedOn w:val="1"/>
    <w:qFormat/>
    <w:uiPriority w:val="0"/>
    <w:pPr>
      <w:numPr>
        <w:ilvl w:val="0"/>
        <w:numId w:val="7"/>
      </w:numPr>
    </w:pPr>
  </w:style>
  <w:style w:type="paragraph" w:styleId="35">
    <w:name w:val="List 2"/>
    <w:basedOn w:val="1"/>
    <w:qFormat/>
    <w:uiPriority w:val="0"/>
    <w:pPr>
      <w:ind w:left="840" w:hanging="420"/>
    </w:pPr>
  </w:style>
  <w:style w:type="paragraph" w:styleId="36">
    <w:name w:val="List Continue"/>
    <w:basedOn w:val="1"/>
    <w:qFormat/>
    <w:uiPriority w:val="0"/>
    <w:pPr>
      <w:spacing w:after="120" w:afterLines="0" w:afterAutospacing="0"/>
      <w:ind w:left="420"/>
    </w:pPr>
  </w:style>
  <w:style w:type="paragraph" w:styleId="37">
    <w:name w:val="Block Text"/>
    <w:basedOn w:val="1"/>
    <w:qFormat/>
    <w:uiPriority w:val="0"/>
    <w:pPr>
      <w:spacing w:after="120" w:afterLines="0" w:afterAutospacing="0"/>
      <w:ind w:left="1440" w:right="1440"/>
    </w:pPr>
  </w:style>
  <w:style w:type="paragraph" w:styleId="38">
    <w:name w:val="List Bullet 2"/>
    <w:basedOn w:val="1"/>
    <w:qFormat/>
    <w:uiPriority w:val="0"/>
    <w:pPr>
      <w:numPr>
        <w:ilvl w:val="0"/>
        <w:numId w:val="8"/>
      </w:numPr>
    </w:pPr>
  </w:style>
  <w:style w:type="paragraph" w:styleId="39">
    <w:name w:val="HTML Address"/>
    <w:basedOn w:val="1"/>
    <w:qFormat/>
    <w:uiPriority w:val="0"/>
    <w:rPr>
      <w:i/>
    </w:rPr>
  </w:style>
  <w:style w:type="paragraph" w:styleId="40">
    <w:name w:val="index 4"/>
    <w:basedOn w:val="1"/>
    <w:next w:val="1"/>
    <w:qFormat/>
    <w:uiPriority w:val="0"/>
    <w:pPr>
      <w:ind w:left="600" w:leftChars="600"/>
    </w:pPr>
    <w:rPr>
      <w:rFonts w:eastAsia="仿宋_GB2312"/>
      <w:sz w:val="28"/>
    </w:rPr>
  </w:style>
  <w:style w:type="paragraph" w:styleId="41">
    <w:name w:val="toc 5"/>
    <w:basedOn w:val="1"/>
    <w:next w:val="1"/>
    <w:qFormat/>
    <w:uiPriority w:val="0"/>
    <w:pPr>
      <w:ind w:left="840"/>
      <w:jc w:val="left"/>
    </w:pPr>
    <w:rPr>
      <w:sz w:val="20"/>
    </w:rPr>
  </w:style>
  <w:style w:type="paragraph" w:styleId="42">
    <w:name w:val="toc 3"/>
    <w:basedOn w:val="1"/>
    <w:next w:val="1"/>
    <w:qFormat/>
    <w:uiPriority w:val="0"/>
    <w:pPr>
      <w:ind w:left="840" w:leftChars="400"/>
    </w:pPr>
  </w:style>
  <w:style w:type="paragraph" w:styleId="43">
    <w:name w:val="Plain Text"/>
    <w:basedOn w:val="1"/>
    <w:link w:val="116"/>
    <w:qFormat/>
    <w:uiPriority w:val="0"/>
    <w:rPr>
      <w:rFonts w:ascii="宋体" w:hAnsi="Courier New" w:eastAsia="宋体"/>
      <w:kern w:val="2"/>
      <w:sz w:val="21"/>
      <w:lang w:val="en-US" w:eastAsia="zh-CN"/>
    </w:rPr>
  </w:style>
  <w:style w:type="paragraph" w:styleId="44">
    <w:name w:val="List Bullet 5"/>
    <w:basedOn w:val="1"/>
    <w:qFormat/>
    <w:uiPriority w:val="0"/>
    <w:pPr>
      <w:numPr>
        <w:ilvl w:val="0"/>
        <w:numId w:val="9"/>
      </w:numPr>
    </w:pPr>
  </w:style>
  <w:style w:type="paragraph" w:styleId="45">
    <w:name w:val="List Number 4"/>
    <w:basedOn w:val="1"/>
    <w:qFormat/>
    <w:uiPriority w:val="0"/>
    <w:pPr>
      <w:numPr>
        <w:ilvl w:val="0"/>
        <w:numId w:val="10"/>
      </w:numPr>
    </w:pPr>
  </w:style>
  <w:style w:type="paragraph" w:styleId="46">
    <w:name w:val="toc 8"/>
    <w:basedOn w:val="1"/>
    <w:next w:val="1"/>
    <w:qFormat/>
    <w:uiPriority w:val="0"/>
    <w:pPr>
      <w:ind w:left="1470"/>
      <w:jc w:val="left"/>
    </w:pPr>
    <w:rPr>
      <w:sz w:val="20"/>
    </w:rPr>
  </w:style>
  <w:style w:type="paragraph" w:styleId="47">
    <w:name w:val="index 3"/>
    <w:basedOn w:val="1"/>
    <w:next w:val="1"/>
    <w:qFormat/>
    <w:uiPriority w:val="0"/>
    <w:pPr>
      <w:ind w:left="400" w:leftChars="400"/>
    </w:pPr>
    <w:rPr>
      <w:rFonts w:eastAsia="仿宋_GB2312"/>
      <w:sz w:val="28"/>
    </w:rPr>
  </w:style>
  <w:style w:type="paragraph" w:styleId="48">
    <w:name w:val="Date"/>
    <w:basedOn w:val="1"/>
    <w:next w:val="1"/>
    <w:link w:val="111"/>
    <w:qFormat/>
    <w:uiPriority w:val="0"/>
    <w:rPr>
      <w:kern w:val="2"/>
      <w:sz w:val="21"/>
    </w:rPr>
  </w:style>
  <w:style w:type="paragraph" w:styleId="49">
    <w:name w:val="Body Text Indent 2"/>
    <w:basedOn w:val="1"/>
    <w:link w:val="103"/>
    <w:qFormat/>
    <w:uiPriority w:val="0"/>
    <w:pPr>
      <w:spacing w:after="120" w:afterLines="0" w:afterAutospacing="0" w:line="480" w:lineRule="auto"/>
      <w:ind w:left="420"/>
    </w:pPr>
    <w:rPr>
      <w:kern w:val="2"/>
      <w:sz w:val="21"/>
    </w:rPr>
  </w:style>
  <w:style w:type="paragraph" w:styleId="50">
    <w:name w:val="List Continue 5"/>
    <w:basedOn w:val="1"/>
    <w:qFormat/>
    <w:uiPriority w:val="0"/>
    <w:pPr>
      <w:spacing w:after="120" w:afterLines="0" w:afterAutospacing="0"/>
      <w:ind w:left="2100"/>
    </w:pPr>
  </w:style>
  <w:style w:type="paragraph" w:styleId="51">
    <w:name w:val="Balloon Text"/>
    <w:basedOn w:val="1"/>
    <w:link w:val="124"/>
    <w:qFormat/>
    <w:uiPriority w:val="0"/>
    <w:rPr>
      <w:kern w:val="2"/>
      <w:sz w:val="18"/>
    </w:rPr>
  </w:style>
  <w:style w:type="paragraph" w:styleId="52">
    <w:name w:val="footer"/>
    <w:basedOn w:val="1"/>
    <w:link w:val="176"/>
    <w:qFormat/>
    <w:uiPriority w:val="0"/>
    <w:pPr>
      <w:tabs>
        <w:tab w:val="center" w:pos="4153"/>
        <w:tab w:val="right" w:pos="8306"/>
      </w:tabs>
      <w:snapToGrid w:val="0"/>
      <w:jc w:val="left"/>
    </w:pPr>
    <w:rPr>
      <w:rFonts w:eastAsia="宋体"/>
      <w:kern w:val="2"/>
      <w:sz w:val="18"/>
      <w:lang w:val="en-US" w:eastAsia="zh-CN"/>
    </w:rPr>
  </w:style>
  <w:style w:type="paragraph" w:styleId="53">
    <w:name w:val="envelope return"/>
    <w:basedOn w:val="1"/>
    <w:qFormat/>
    <w:uiPriority w:val="0"/>
    <w:pPr>
      <w:snapToGrid w:val="0"/>
    </w:pPr>
    <w:rPr>
      <w:rFonts w:ascii="Arial" w:hAnsi="Arial"/>
    </w:rPr>
  </w:style>
  <w:style w:type="paragraph" w:styleId="54">
    <w:name w:val="header"/>
    <w:basedOn w:val="1"/>
    <w:link w:val="127"/>
    <w:qFormat/>
    <w:uiPriority w:val="0"/>
    <w:pPr>
      <w:pBdr>
        <w:bottom w:val="single" w:color="auto" w:sz="6" w:space="1"/>
      </w:pBdr>
      <w:tabs>
        <w:tab w:val="center" w:pos="4153"/>
        <w:tab w:val="right" w:pos="8306"/>
      </w:tabs>
      <w:snapToGrid w:val="0"/>
      <w:jc w:val="center"/>
    </w:pPr>
    <w:rPr>
      <w:rFonts w:eastAsia="宋体"/>
      <w:kern w:val="2"/>
      <w:sz w:val="18"/>
      <w:lang w:val="en-US" w:eastAsia="zh-CN"/>
    </w:rPr>
  </w:style>
  <w:style w:type="paragraph" w:styleId="55">
    <w:name w:val="Signature"/>
    <w:basedOn w:val="1"/>
    <w:qFormat/>
    <w:uiPriority w:val="0"/>
    <w:pPr>
      <w:ind w:left="4320"/>
    </w:pPr>
  </w:style>
  <w:style w:type="paragraph" w:styleId="56">
    <w:name w:val="toc 1"/>
    <w:basedOn w:val="1"/>
    <w:next w:val="1"/>
    <w:qFormat/>
    <w:uiPriority w:val="39"/>
    <w:pPr>
      <w:tabs>
        <w:tab w:val="left" w:pos="426"/>
        <w:tab w:val="right" w:leader="dot" w:pos="8705"/>
      </w:tabs>
    </w:pPr>
    <w:rPr>
      <w:b/>
    </w:rPr>
  </w:style>
  <w:style w:type="paragraph" w:styleId="57">
    <w:name w:val="List Continue 4"/>
    <w:basedOn w:val="1"/>
    <w:qFormat/>
    <w:uiPriority w:val="0"/>
    <w:pPr>
      <w:spacing w:after="120" w:afterLines="0" w:afterAutospacing="0"/>
      <w:ind w:left="1680"/>
    </w:pPr>
  </w:style>
  <w:style w:type="paragraph" w:styleId="58">
    <w:name w:val="toc 4"/>
    <w:basedOn w:val="1"/>
    <w:next w:val="1"/>
    <w:qFormat/>
    <w:uiPriority w:val="0"/>
    <w:pPr>
      <w:ind w:left="630"/>
      <w:jc w:val="left"/>
    </w:pPr>
    <w:rPr>
      <w:sz w:val="20"/>
    </w:rPr>
  </w:style>
  <w:style w:type="paragraph" w:styleId="59">
    <w:name w:val="index heading"/>
    <w:basedOn w:val="1"/>
    <w:next w:val="60"/>
    <w:qFormat/>
    <w:uiPriority w:val="0"/>
    <w:rPr>
      <w:rFonts w:eastAsia="仿宋_GB2312"/>
      <w:sz w:val="28"/>
    </w:rPr>
  </w:style>
  <w:style w:type="paragraph" w:styleId="60">
    <w:name w:val="index 1"/>
    <w:basedOn w:val="1"/>
    <w:next w:val="1"/>
    <w:qFormat/>
    <w:uiPriority w:val="0"/>
    <w:rPr>
      <w:rFonts w:eastAsia="仿宋_GB2312"/>
      <w:sz w:val="28"/>
    </w:rPr>
  </w:style>
  <w:style w:type="paragraph" w:styleId="61">
    <w:name w:val="Subtitle"/>
    <w:basedOn w:val="1"/>
    <w:qFormat/>
    <w:uiPriority w:val="0"/>
    <w:pPr>
      <w:spacing w:before="240" w:beforeLines="0" w:beforeAutospacing="0" w:after="60" w:afterLines="0" w:afterAutospacing="0" w:line="312" w:lineRule="auto"/>
      <w:jc w:val="center"/>
      <w:outlineLvl w:val="1"/>
    </w:pPr>
    <w:rPr>
      <w:rFonts w:ascii="Arial" w:hAnsi="Arial"/>
      <w:b/>
      <w:kern w:val="28"/>
      <w:sz w:val="32"/>
    </w:rPr>
  </w:style>
  <w:style w:type="paragraph" w:styleId="62">
    <w:name w:val="List Number 5"/>
    <w:basedOn w:val="1"/>
    <w:qFormat/>
    <w:uiPriority w:val="0"/>
    <w:pPr>
      <w:numPr>
        <w:ilvl w:val="0"/>
        <w:numId w:val="11"/>
      </w:numPr>
    </w:pPr>
  </w:style>
  <w:style w:type="paragraph" w:styleId="63">
    <w:name w:val="List"/>
    <w:basedOn w:val="1"/>
    <w:qFormat/>
    <w:uiPriority w:val="0"/>
    <w:pPr>
      <w:ind w:left="420" w:hanging="420"/>
    </w:p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130"/>
    <w:qFormat/>
    <w:uiPriority w:val="0"/>
    <w:pPr>
      <w:spacing w:after="120" w:afterLines="0" w:afterAutospacing="0"/>
      <w:ind w:left="420"/>
    </w:pPr>
    <w:rPr>
      <w:kern w:val="2"/>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afterLines="0" w:afterAutospacing="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afterLines="0" w:afterAutospacing="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afterLines="0" w:afterAutospacing="0"/>
      <w:ind w:left="1260"/>
    </w:pPr>
  </w:style>
  <w:style w:type="paragraph" w:styleId="79">
    <w:name w:val="index 2"/>
    <w:basedOn w:val="1"/>
    <w:next w:val="1"/>
    <w:qFormat/>
    <w:uiPriority w:val="0"/>
    <w:pPr>
      <w:ind w:left="200" w:leftChars="200"/>
    </w:pPr>
    <w:rPr>
      <w:rFonts w:eastAsia="仿宋_GB2312"/>
      <w:sz w:val="28"/>
    </w:rPr>
  </w:style>
  <w:style w:type="paragraph" w:styleId="80">
    <w:name w:val="annotation subject"/>
    <w:basedOn w:val="25"/>
    <w:next w:val="25"/>
    <w:link w:val="179"/>
    <w:qFormat/>
    <w:uiPriority w:val="0"/>
    <w:rPr>
      <w:b/>
      <w:kern w:val="2"/>
      <w:sz w:val="21"/>
    </w:rPr>
  </w:style>
  <w:style w:type="paragraph" w:styleId="81">
    <w:name w:val="Body Text First Indent"/>
    <w:basedOn w:val="31"/>
    <w:qFormat/>
    <w:uiPriority w:val="0"/>
    <w:pPr>
      <w:ind w:firstLine="420"/>
    </w:pPr>
  </w:style>
  <w:style w:type="paragraph" w:styleId="82">
    <w:name w:val="Body Text First Indent 2"/>
    <w:basedOn w:val="33"/>
    <w:qFormat/>
    <w:uiPriority w:val="0"/>
    <w:pPr>
      <w:ind w:firstLine="420"/>
    </w:pPr>
  </w:style>
  <w:style w:type="table" w:styleId="84">
    <w:name w:val="Table Grid"/>
    <w:basedOn w:val="8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basedOn w:val="85"/>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HTML Keyboard"/>
    <w:qFormat/>
    <w:uiPriority w:val="0"/>
    <w:rPr>
      <w:rFonts w:ascii="Courier New" w:hAnsi="Courier New"/>
      <w:sz w:val="20"/>
    </w:rPr>
  </w:style>
  <w:style w:type="character" w:styleId="100">
    <w:name w:val="HTML Sample"/>
    <w:qFormat/>
    <w:uiPriority w:val="0"/>
    <w:rPr>
      <w:rFonts w:ascii="Courier New" w:hAnsi="Courier New"/>
    </w:rPr>
  </w:style>
  <w:style w:type="paragraph" w:customStyle="1" w:styleId="101">
    <w:name w:val="BodyText"/>
    <w:basedOn w:val="1"/>
    <w:next w:val="32"/>
    <w:qFormat/>
    <w:uiPriority w:val="0"/>
    <w:pPr>
      <w:spacing w:after="120"/>
      <w:textAlignment w:val="baseline"/>
    </w:pPr>
  </w:style>
  <w:style w:type="paragraph" w:customStyle="1" w:styleId="102">
    <w:name w:val="WPSOffice手动目录 1"/>
    <w:qFormat/>
    <w:uiPriority w:val="0"/>
    <w:pPr>
      <w:spacing w:before="120" w:after="120"/>
      <w:ind w:leftChars="0"/>
    </w:pPr>
    <w:rPr>
      <w:rFonts w:ascii="Calibri" w:hAnsi="Calibri" w:eastAsia="宋体" w:cs="Times New Roman"/>
      <w:b/>
      <w:sz w:val="28"/>
      <w:szCs w:val="20"/>
    </w:rPr>
  </w:style>
  <w:style w:type="character" w:customStyle="1" w:styleId="103">
    <w:name w:val="正文文本缩进 2 Char"/>
    <w:link w:val="49"/>
    <w:qFormat/>
    <w:uiPriority w:val="0"/>
    <w:rPr>
      <w:kern w:val="2"/>
      <w:sz w:val="21"/>
    </w:rPr>
  </w:style>
  <w:style w:type="character" w:customStyle="1" w:styleId="104">
    <w:name w:val="标题 6 Char"/>
    <w:link w:val="7"/>
    <w:qFormat/>
    <w:uiPriority w:val="0"/>
    <w:rPr>
      <w:rFonts w:ascii="Arial" w:hAnsi="Arial" w:eastAsia="黑体"/>
      <w:b/>
      <w:kern w:val="2"/>
      <w:sz w:val="24"/>
    </w:rPr>
  </w:style>
  <w:style w:type="character" w:customStyle="1" w:styleId="105">
    <w:name w:val="标题 3 + 四 段前: 0 磅 段后: 0 磅 行距: 1.5 倍行距 Char Char"/>
    <w:link w:val="106"/>
    <w:qFormat/>
    <w:uiPriority w:val="0"/>
    <w:rPr>
      <w:b/>
      <w:kern w:val="2"/>
      <w:sz w:val="28"/>
    </w:rPr>
  </w:style>
  <w:style w:type="paragraph" w:customStyle="1" w:styleId="106">
    <w:name w:val="标题 3 + 四 段前: 0 磅 段后: 0 磅 行距: 1.5 倍行距"/>
    <w:basedOn w:val="4"/>
    <w:next w:val="4"/>
    <w:link w:val="105"/>
    <w:qFormat/>
    <w:uiPriority w:val="0"/>
    <w:pPr>
      <w:numPr>
        <w:ilvl w:val="2"/>
        <w:numId w:val="0"/>
      </w:numPr>
      <w:tabs>
        <w:tab w:val="clear" w:pos="2126"/>
      </w:tabs>
      <w:spacing w:line="360" w:lineRule="auto"/>
      <w:jc w:val="both"/>
    </w:pPr>
    <w:rPr>
      <w:b/>
      <w:kern w:val="2"/>
      <w:sz w:val="28"/>
    </w:rPr>
  </w:style>
  <w:style w:type="character" w:customStyle="1" w:styleId="107">
    <w:name w:val="样式6 Char"/>
    <w:link w:val="108"/>
    <w:qFormat/>
    <w:uiPriority w:val="0"/>
    <w:rPr>
      <w:kern w:val="2"/>
      <w:sz w:val="21"/>
    </w:rPr>
  </w:style>
  <w:style w:type="paragraph" w:customStyle="1" w:styleId="108">
    <w:name w:val="样式6"/>
    <w:basedOn w:val="1"/>
    <w:link w:val="107"/>
    <w:qFormat/>
    <w:uiPriority w:val="0"/>
    <w:pPr>
      <w:numPr>
        <w:ilvl w:val="2"/>
        <w:numId w:val="12"/>
      </w:numPr>
    </w:pPr>
    <w:rPr>
      <w:kern w:val="2"/>
      <w:sz w:val="21"/>
    </w:rPr>
  </w:style>
  <w:style w:type="character" w:customStyle="1" w:styleId="109">
    <w:name w:val="样式3 Char Char"/>
    <w:link w:val="110"/>
    <w:qFormat/>
    <w:uiPriority w:val="0"/>
    <w:rPr>
      <w:rFonts w:ascii="Arial" w:hAnsi="Arial" w:eastAsia="黑体"/>
      <w:b/>
      <w:kern w:val="2"/>
      <w:sz w:val="30"/>
    </w:rPr>
  </w:style>
  <w:style w:type="paragraph" w:customStyle="1" w:styleId="110">
    <w:name w:val="样式3"/>
    <w:basedOn w:val="4"/>
    <w:link w:val="109"/>
    <w:qFormat/>
    <w:uiPriority w:val="0"/>
    <w:pPr>
      <w:tabs>
        <w:tab w:val="left" w:pos="709"/>
        <w:tab w:val="clear" w:pos="2126"/>
      </w:tabs>
      <w:topLinePunct/>
      <w:spacing w:line="720" w:lineRule="auto"/>
      <w:jc w:val="left"/>
    </w:pPr>
    <w:rPr>
      <w:rFonts w:ascii="Arial" w:hAnsi="Arial" w:eastAsia="黑体"/>
      <w:b/>
      <w:kern w:val="2"/>
      <w:sz w:val="30"/>
    </w:rPr>
  </w:style>
  <w:style w:type="character" w:customStyle="1" w:styleId="111">
    <w:name w:val="日期 Char"/>
    <w:link w:val="48"/>
    <w:qFormat/>
    <w:uiPriority w:val="0"/>
    <w:rPr>
      <w:kern w:val="2"/>
      <w:sz w:val="21"/>
    </w:rPr>
  </w:style>
  <w:style w:type="character" w:customStyle="1" w:styleId="112">
    <w:name w:val="标题 8 Char"/>
    <w:link w:val="9"/>
    <w:qFormat/>
    <w:uiPriority w:val="0"/>
    <w:rPr>
      <w:rFonts w:ascii="Arial" w:hAnsi="Arial" w:eastAsia="黑体"/>
      <w:kern w:val="2"/>
      <w:sz w:val="24"/>
    </w:rPr>
  </w:style>
  <w:style w:type="character" w:customStyle="1" w:styleId="113">
    <w:name w:val="表头 Char Char"/>
    <w:qFormat/>
    <w:uiPriority w:val="0"/>
    <w:rPr>
      <w:rFonts w:hAnsi="Monotype Corsiva" w:eastAsia="黑体"/>
      <w:kern w:val="2"/>
      <w:sz w:val="21"/>
      <w:lang w:val="en-US" w:eastAsia="zh-CN"/>
    </w:rPr>
  </w:style>
  <w:style w:type="character" w:customStyle="1" w:styleId="114">
    <w:name w:val="标题 1 Char Char"/>
    <w:qFormat/>
    <w:uiPriority w:val="0"/>
    <w:rPr>
      <w:rFonts w:ascii="宋体" w:eastAsia="宋体"/>
      <w:b/>
      <w:kern w:val="44"/>
      <w:sz w:val="21"/>
      <w:lang w:val="en-US" w:eastAsia="zh-CN"/>
    </w:rPr>
  </w:style>
  <w:style w:type="character" w:customStyle="1" w:styleId="115">
    <w:name w:val="Char Char2"/>
    <w:qFormat/>
    <w:uiPriority w:val="0"/>
    <w:rPr>
      <w:rFonts w:eastAsia="汉仪大宋简"/>
      <w:kern w:val="44"/>
      <w:sz w:val="22"/>
      <w:lang w:val="en-US" w:eastAsia="zh-CN"/>
    </w:rPr>
  </w:style>
  <w:style w:type="character" w:customStyle="1" w:styleId="116">
    <w:name w:val="纯文本 Char"/>
    <w:link w:val="43"/>
    <w:qFormat/>
    <w:uiPriority w:val="0"/>
    <w:rPr>
      <w:rFonts w:ascii="宋体" w:hAnsi="Courier New" w:eastAsia="宋体"/>
      <w:kern w:val="2"/>
      <w:sz w:val="21"/>
      <w:lang w:val="en-US" w:eastAsia="zh-CN"/>
    </w:rPr>
  </w:style>
  <w:style w:type="character" w:customStyle="1" w:styleId="117">
    <w:name w:val="articlebody21"/>
    <w:qFormat/>
    <w:uiPriority w:val="0"/>
    <w:rPr>
      <w:rFonts w:hint="default"/>
      <w:sz w:val="21"/>
    </w:rPr>
  </w:style>
  <w:style w:type="character" w:customStyle="1" w:styleId="118">
    <w:name w:val="批注文字 Char"/>
    <w:link w:val="25"/>
    <w:qFormat/>
    <w:uiPriority w:val="0"/>
    <w:rPr>
      <w:kern w:val="2"/>
      <w:sz w:val="21"/>
    </w:rPr>
  </w:style>
  <w:style w:type="character" w:customStyle="1" w:styleId="119">
    <w:name w:val="正文格式 Char"/>
    <w:link w:val="120"/>
    <w:qFormat/>
    <w:uiPriority w:val="0"/>
    <w:rPr>
      <w:rFonts w:ascii="宋体" w:hAnsi="宋体" w:eastAsia="宋体"/>
      <w:kern w:val="2"/>
      <w:sz w:val="21"/>
      <w:lang w:val="en-US" w:eastAsia="zh-CN"/>
    </w:rPr>
  </w:style>
  <w:style w:type="paragraph" w:customStyle="1" w:styleId="120">
    <w:name w:val="正文格式"/>
    <w:basedOn w:val="1"/>
    <w:link w:val="119"/>
    <w:qFormat/>
    <w:uiPriority w:val="0"/>
    <w:pPr>
      <w:topLinePunct/>
      <w:ind w:firstLine="420" w:firstLineChars="200"/>
    </w:pPr>
    <w:rPr>
      <w:rFonts w:ascii="宋体" w:hAnsi="宋体" w:eastAsia="宋体"/>
      <w:kern w:val="2"/>
      <w:sz w:val="21"/>
      <w:lang w:val="en-US" w:eastAsia="zh-CN"/>
    </w:rPr>
  </w:style>
  <w:style w:type="character" w:customStyle="1" w:styleId="121">
    <w:name w:val="表头 Char"/>
    <w:link w:val="122"/>
    <w:qFormat/>
    <w:uiPriority w:val="0"/>
    <w:rPr>
      <w:rFonts w:eastAsia="黑体"/>
      <w:kern w:val="2"/>
      <w:sz w:val="21"/>
      <w:lang w:val="en-US" w:eastAsia="zh-CN"/>
    </w:rPr>
  </w:style>
  <w:style w:type="paragraph" w:customStyle="1" w:styleId="122">
    <w:name w:val="表头"/>
    <w:basedOn w:val="1"/>
    <w:link w:val="121"/>
    <w:qFormat/>
    <w:uiPriority w:val="0"/>
    <w:pPr>
      <w:topLinePunct/>
      <w:spacing w:before="160" w:beforeLines="0" w:beforeAutospacing="0" w:after="60" w:afterLines="0" w:afterAutospacing="0"/>
      <w:jc w:val="center"/>
    </w:pPr>
    <w:rPr>
      <w:rFonts w:eastAsia="黑体"/>
      <w:kern w:val="2"/>
      <w:sz w:val="21"/>
      <w:lang w:val="en-US" w:eastAsia="zh-CN"/>
    </w:rPr>
  </w:style>
  <w:style w:type="character" w:customStyle="1" w:styleId="123">
    <w:name w:val=" Char Char13"/>
    <w:qFormat/>
    <w:uiPriority w:val="0"/>
    <w:rPr>
      <w:rFonts w:eastAsia="宋体"/>
      <w:kern w:val="2"/>
      <w:sz w:val="21"/>
      <w:lang w:val="en-US" w:eastAsia="zh-CN"/>
    </w:rPr>
  </w:style>
  <w:style w:type="character" w:customStyle="1" w:styleId="124">
    <w:name w:val="批注框文本 Char"/>
    <w:link w:val="51"/>
    <w:qFormat/>
    <w:uiPriority w:val="0"/>
    <w:rPr>
      <w:kern w:val="2"/>
      <w:sz w:val="18"/>
    </w:rPr>
  </w:style>
  <w:style w:type="character" w:customStyle="1" w:styleId="125">
    <w:name w:val="正文文本缩进 Char"/>
    <w:link w:val="33"/>
    <w:qFormat/>
    <w:uiPriority w:val="0"/>
    <w:rPr>
      <w:kern w:val="2"/>
      <w:sz w:val="21"/>
    </w:rPr>
  </w:style>
  <w:style w:type="character" w:customStyle="1" w:styleId="126">
    <w:name w:val="标题 5 Char"/>
    <w:link w:val="6"/>
    <w:qFormat/>
    <w:uiPriority w:val="0"/>
    <w:rPr>
      <w:rFonts w:eastAsia="黑体"/>
      <w:kern w:val="2"/>
      <w:sz w:val="21"/>
    </w:rPr>
  </w:style>
  <w:style w:type="character" w:customStyle="1" w:styleId="127">
    <w:name w:val="页眉 Char"/>
    <w:link w:val="54"/>
    <w:qFormat/>
    <w:uiPriority w:val="0"/>
    <w:rPr>
      <w:rFonts w:eastAsia="宋体"/>
      <w:kern w:val="2"/>
      <w:sz w:val="18"/>
      <w:lang w:val="en-US" w:eastAsia="zh-CN"/>
    </w:rPr>
  </w:style>
  <w:style w:type="character" w:customStyle="1" w:styleId="128">
    <w:name w:val="标题 2 Char"/>
    <w:link w:val="3"/>
    <w:qFormat/>
    <w:uiPriority w:val="0"/>
    <w:rPr>
      <w:rFonts w:eastAsia="黑体"/>
      <w:kern w:val="2"/>
      <w:sz w:val="21"/>
    </w:rPr>
  </w:style>
  <w:style w:type="character" w:customStyle="1" w:styleId="129">
    <w:name w:val=" Char Char16"/>
    <w:qFormat/>
    <w:uiPriority w:val="0"/>
    <w:rPr>
      <w:rFonts w:ascii="Arial" w:hAnsi="Arial" w:eastAsia="黑体"/>
      <w:b/>
      <w:kern w:val="2"/>
      <w:sz w:val="32"/>
      <w:lang w:val="en-US" w:eastAsia="zh-CN"/>
    </w:rPr>
  </w:style>
  <w:style w:type="character" w:customStyle="1" w:styleId="130">
    <w:name w:val="正文文本缩进 3 Char"/>
    <w:link w:val="66"/>
    <w:qFormat/>
    <w:uiPriority w:val="0"/>
    <w:rPr>
      <w:kern w:val="2"/>
      <w:sz w:val="16"/>
    </w:rPr>
  </w:style>
  <w:style w:type="character" w:customStyle="1" w:styleId="131">
    <w:name w:val="正文缩进 Char"/>
    <w:link w:val="19"/>
    <w:qFormat/>
    <w:uiPriority w:val="0"/>
    <w:rPr>
      <w:rFonts w:eastAsia="宋体"/>
      <w:kern w:val="2"/>
      <w:sz w:val="21"/>
      <w:lang w:val="en-US" w:eastAsia="zh-CN"/>
    </w:rPr>
  </w:style>
  <w:style w:type="character" w:customStyle="1" w:styleId="132">
    <w:name w:val="二级条标题 Char"/>
    <w:link w:val="133"/>
    <w:qFormat/>
    <w:uiPriority w:val="0"/>
    <w:rPr>
      <w:rFonts w:ascii="黑体" w:eastAsia="黑体"/>
      <w:b/>
      <w:sz w:val="21"/>
      <w:lang w:val="en-US" w:eastAsia="zh-CN"/>
    </w:rPr>
  </w:style>
  <w:style w:type="paragraph" w:customStyle="1" w:styleId="133">
    <w:name w:val="二级条标题"/>
    <w:basedOn w:val="1"/>
    <w:next w:val="1"/>
    <w:link w:val="132"/>
    <w:qFormat/>
    <w:uiPriority w:val="0"/>
    <w:pPr>
      <w:widowControl/>
      <w:outlineLvl w:val="3"/>
    </w:pPr>
    <w:rPr>
      <w:rFonts w:ascii="黑体" w:eastAsia="黑体"/>
      <w:b/>
      <w:sz w:val="21"/>
      <w:lang w:val="en-US" w:eastAsia="zh-CN"/>
    </w:rPr>
  </w:style>
  <w:style w:type="character" w:customStyle="1" w:styleId="134">
    <w:name w:val=" Char Char22"/>
    <w:qFormat/>
    <w:uiPriority w:val="0"/>
    <w:rPr>
      <w:rFonts w:ascii="Arial" w:hAnsi="Arial" w:eastAsia="黑体"/>
      <w:b/>
      <w:kern w:val="2"/>
      <w:sz w:val="32"/>
      <w:lang w:val="en-US" w:eastAsia="zh-CN"/>
    </w:rPr>
  </w:style>
  <w:style w:type="character" w:customStyle="1" w:styleId="135">
    <w:name w:val="bluetxt1"/>
    <w:basedOn w:val="85"/>
    <w:qFormat/>
    <w:uiPriority w:val="0"/>
  </w:style>
  <w:style w:type="character" w:customStyle="1" w:styleId="136">
    <w:name w:val="节标题 1.1 Char"/>
    <w:qFormat/>
    <w:uiPriority w:val="0"/>
    <w:rPr>
      <w:rFonts w:eastAsia="黑体"/>
      <w:kern w:val="2"/>
      <w:sz w:val="21"/>
      <w:lang w:val="en-US" w:eastAsia="zh-CN"/>
    </w:rPr>
  </w:style>
  <w:style w:type="character" w:customStyle="1" w:styleId="137">
    <w:name w:val="表内居中小五 Char"/>
    <w:link w:val="138"/>
    <w:qFormat/>
    <w:uiPriority w:val="0"/>
    <w:rPr>
      <w:rFonts w:eastAsia="宋体"/>
      <w:kern w:val="2"/>
      <w:sz w:val="18"/>
      <w:lang w:val="en-US" w:eastAsia="zh-CN"/>
    </w:rPr>
  </w:style>
  <w:style w:type="paragraph" w:customStyle="1" w:styleId="138">
    <w:name w:val="表内居中小五"/>
    <w:basedOn w:val="1"/>
    <w:link w:val="137"/>
    <w:qFormat/>
    <w:uiPriority w:val="0"/>
    <w:pPr>
      <w:jc w:val="center"/>
    </w:pPr>
    <w:rPr>
      <w:rFonts w:eastAsia="宋体"/>
      <w:kern w:val="2"/>
      <w:sz w:val="18"/>
      <w:lang w:val="en-US" w:eastAsia="zh-CN"/>
    </w:rPr>
  </w:style>
  <w:style w:type="character" w:customStyle="1" w:styleId="139">
    <w:name w:val="样式 标题 4 + (符号) 宋体 Char"/>
    <w:link w:val="140"/>
    <w:qFormat/>
    <w:uiPriority w:val="0"/>
    <w:rPr>
      <w:rFonts w:ascii="宋体" w:hAnsi="Arial" w:eastAsia="黑体"/>
      <w:b/>
      <w:kern w:val="2"/>
      <w:sz w:val="21"/>
    </w:rPr>
  </w:style>
  <w:style w:type="paragraph" w:customStyle="1" w:styleId="140">
    <w:name w:val="样式 标题 4 + (符号) 宋体"/>
    <w:basedOn w:val="5"/>
    <w:link w:val="139"/>
    <w:qFormat/>
    <w:uiPriority w:val="0"/>
    <w:pPr>
      <w:keepNext w:val="0"/>
      <w:keepLines w:val="0"/>
      <w:tabs>
        <w:tab w:val="clear" w:pos="2976"/>
      </w:tabs>
      <w:adjustRightInd w:val="0"/>
      <w:snapToGrid w:val="0"/>
      <w:spacing w:before="0" w:beforeLines="0" w:beforeAutospacing="0" w:after="0" w:afterLines="0" w:afterAutospacing="0" w:line="360" w:lineRule="auto"/>
    </w:pPr>
    <w:rPr>
      <w:rFonts w:ascii="宋体" w:hAnsi="Arial" w:eastAsia="黑体"/>
      <w:kern w:val="2"/>
      <w:sz w:val="21"/>
    </w:rPr>
  </w:style>
  <w:style w:type="character" w:customStyle="1" w:styleId="141">
    <w:name w:val="封面标题 Char Char"/>
    <w:link w:val="142"/>
    <w:qFormat/>
    <w:uiPriority w:val="0"/>
    <w:rPr>
      <w:rFonts w:ascii="Calibri" w:hAnsi="Calibri"/>
      <w:kern w:val="2"/>
      <w:sz w:val="72"/>
      <w:lang w:val="en-US" w:eastAsia="zh-CN"/>
    </w:rPr>
  </w:style>
  <w:style w:type="paragraph" w:customStyle="1" w:styleId="142">
    <w:name w:val="封面标题"/>
    <w:next w:val="1"/>
    <w:link w:val="141"/>
    <w:qFormat/>
    <w:uiPriority w:val="0"/>
    <w:pPr>
      <w:spacing w:line="360" w:lineRule="auto"/>
      <w:jc w:val="center"/>
    </w:pPr>
    <w:rPr>
      <w:rFonts w:ascii="Calibri" w:hAnsi="Calibri" w:eastAsia="宋体" w:cs="Times New Roman"/>
      <w:kern w:val="2"/>
      <w:sz w:val="72"/>
      <w:lang w:val="en-US" w:eastAsia="zh-CN" w:bidi="ar-SA"/>
    </w:rPr>
  </w:style>
  <w:style w:type="character" w:customStyle="1" w:styleId="143">
    <w:name w:val="标题 9 Char"/>
    <w:link w:val="10"/>
    <w:qFormat/>
    <w:uiPriority w:val="0"/>
    <w:rPr>
      <w:rFonts w:ascii="Arial" w:hAnsi="Arial" w:eastAsia="黑体"/>
      <w:kern w:val="2"/>
      <w:sz w:val="21"/>
    </w:rPr>
  </w:style>
  <w:style w:type="character" w:customStyle="1" w:styleId="144">
    <w:name w:val="标题 3 Char"/>
    <w:link w:val="4"/>
    <w:qFormat/>
    <w:uiPriority w:val="0"/>
    <w:rPr>
      <w:rFonts w:eastAsia="黑体"/>
      <w:kern w:val="2"/>
      <w:sz w:val="28"/>
    </w:rPr>
  </w:style>
  <w:style w:type="character" w:customStyle="1" w:styleId="145">
    <w:name w:val="批注主题 Char Char"/>
    <w:qFormat/>
    <w:uiPriority w:val="0"/>
    <w:rPr>
      <w:kern w:val="2"/>
      <w:sz w:val="21"/>
    </w:rPr>
  </w:style>
  <w:style w:type="character" w:customStyle="1" w:styleId="146">
    <w:name w:val="一级条标题 Char"/>
    <w:link w:val="147"/>
    <w:qFormat/>
    <w:uiPriority w:val="0"/>
    <w:rPr>
      <w:rFonts w:ascii="黑体" w:eastAsia="黑体"/>
      <w:b/>
      <w:sz w:val="21"/>
    </w:rPr>
  </w:style>
  <w:style w:type="paragraph" w:customStyle="1" w:styleId="147">
    <w:name w:val="一级条标题"/>
    <w:basedOn w:val="148"/>
    <w:next w:val="149"/>
    <w:link w:val="146"/>
    <w:qFormat/>
    <w:uiPriority w:val="0"/>
    <w:pPr>
      <w:numPr>
        <w:ilvl w:val="2"/>
        <w:numId w:val="13"/>
      </w:numPr>
      <w:tabs>
        <w:tab w:val="left" w:pos="420"/>
        <w:tab w:val="left" w:pos="525"/>
        <w:tab w:val="clear" w:pos="1260"/>
      </w:tabs>
      <w:spacing w:before="0" w:beforeLines="0" w:beforeAutospacing="0" w:after="0" w:afterLines="0" w:afterAutospacing="0"/>
      <w:outlineLvl w:val="2"/>
    </w:pPr>
    <w:rPr>
      <w:rFonts w:ascii="黑体" w:eastAsia="黑体"/>
      <w:sz w:val="21"/>
    </w:rPr>
  </w:style>
  <w:style w:type="paragraph" w:customStyle="1" w:styleId="148">
    <w:name w:val="章标题"/>
    <w:next w:val="149"/>
    <w:qFormat/>
    <w:uiPriority w:val="0"/>
    <w:pPr>
      <w:numPr>
        <w:ilvl w:val="1"/>
        <w:numId w:val="13"/>
      </w:numPr>
      <w:tabs>
        <w:tab w:val="left" w:pos="420"/>
        <w:tab w:val="clear" w:pos="780"/>
      </w:tabs>
      <w:spacing w:before="156" w:beforeLines="50" w:after="156" w:afterLines="50"/>
      <w:jc w:val="both"/>
      <w:outlineLvl w:val="1"/>
    </w:pPr>
    <w:rPr>
      <w:rFonts w:ascii="黑体" w:hAnsi="Times New Roman" w:eastAsia="黑体" w:cs="Times New Roman"/>
      <w:b/>
      <w:sz w:val="21"/>
      <w:lang w:val="en-US" w:eastAsia="zh-CN" w:bidi="ar-SA"/>
    </w:rPr>
  </w:style>
  <w:style w:type="paragraph" w:customStyle="1" w:styleId="149">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50">
    <w:name w:val=" Char Char18"/>
    <w:qFormat/>
    <w:uiPriority w:val="0"/>
    <w:rPr>
      <w:kern w:val="2"/>
      <w:sz w:val="18"/>
    </w:rPr>
  </w:style>
  <w:style w:type="character" w:customStyle="1" w:styleId="151">
    <w:name w:val="样式 标题 1 + 加粗 Char Char"/>
    <w:link w:val="152"/>
    <w:qFormat/>
    <w:uiPriority w:val="0"/>
    <w:rPr>
      <w:rFonts w:eastAsia="黑体"/>
      <w:b/>
      <w:kern w:val="44"/>
      <w:sz w:val="28"/>
    </w:rPr>
  </w:style>
  <w:style w:type="paragraph" w:customStyle="1" w:styleId="152">
    <w:name w:val="样式 标题 1 + 加粗"/>
    <w:basedOn w:val="2"/>
    <w:link w:val="151"/>
    <w:qFormat/>
    <w:uiPriority w:val="0"/>
    <w:pPr>
      <w:numPr>
        <w:ilvl w:val="0"/>
        <w:numId w:val="0"/>
      </w:numPr>
      <w:tabs>
        <w:tab w:val="clear" w:pos="425"/>
      </w:tabs>
      <w:topLinePunct w:val="0"/>
      <w:spacing w:before="312" w:beforeLines="100" w:beforeAutospacing="0" w:after="312" w:afterLines="100" w:afterAutospacing="0" w:line="240" w:lineRule="auto"/>
      <w:textAlignment w:val="auto"/>
    </w:pPr>
    <w:rPr>
      <w:rFonts w:eastAsia="黑体"/>
      <w:b/>
      <w:kern w:val="44"/>
      <w:sz w:val="28"/>
    </w:rPr>
  </w:style>
  <w:style w:type="character" w:customStyle="1" w:styleId="153">
    <w:name w:val=" Char Char21"/>
    <w:qFormat/>
    <w:uiPriority w:val="0"/>
    <w:rPr>
      <w:rFonts w:ascii="Arial" w:hAnsi="Arial" w:eastAsia="黑体"/>
      <w:b/>
      <w:kern w:val="2"/>
      <w:sz w:val="32"/>
      <w:lang w:val="en-US" w:eastAsia="zh-CN"/>
    </w:rPr>
  </w:style>
  <w:style w:type="character" w:customStyle="1" w:styleId="154">
    <w:name w:val=" Char Char4"/>
    <w:qFormat/>
    <w:uiPriority w:val="0"/>
    <w:rPr>
      <w:rFonts w:eastAsia="汉仪大宋简"/>
      <w:kern w:val="44"/>
      <w:sz w:val="22"/>
      <w:lang w:val="en-US" w:eastAsia="zh-CN"/>
    </w:rPr>
  </w:style>
  <w:style w:type="character" w:customStyle="1" w:styleId="155">
    <w:name w:val="正文文本 3 Char"/>
    <w:link w:val="28"/>
    <w:qFormat/>
    <w:uiPriority w:val="0"/>
    <w:rPr>
      <w:kern w:val="2"/>
      <w:sz w:val="16"/>
    </w:rPr>
  </w:style>
  <w:style w:type="character" w:customStyle="1" w:styleId="156">
    <w:name w:val=" Char Char20"/>
    <w:qFormat/>
    <w:uiPriority w:val="0"/>
    <w:rPr>
      <w:rFonts w:ascii="Arial" w:hAnsi="Arial" w:eastAsia="黑体"/>
      <w:b/>
      <w:kern w:val="2"/>
      <w:sz w:val="32"/>
    </w:rPr>
  </w:style>
  <w:style w:type="character" w:customStyle="1" w:styleId="157">
    <w:name w:val="正文文本 3 Char1"/>
    <w:qFormat/>
    <w:uiPriority w:val="0"/>
    <w:rPr>
      <w:rFonts w:eastAsia="宋体"/>
      <w:sz w:val="16"/>
      <w:lang w:val="en-US" w:eastAsia="zh-CN"/>
    </w:rPr>
  </w:style>
  <w:style w:type="character" w:customStyle="1" w:styleId="158">
    <w:name w:val="标题 7 Char"/>
    <w:link w:val="8"/>
    <w:qFormat/>
    <w:uiPriority w:val="0"/>
    <w:rPr>
      <w:b/>
      <w:kern w:val="2"/>
      <w:sz w:val="24"/>
    </w:rPr>
  </w:style>
  <w:style w:type="character" w:customStyle="1" w:styleId="159">
    <w:name w:val="样式 标题 3 + 宋体 Char"/>
    <w:link w:val="160"/>
    <w:qFormat/>
    <w:uiPriority w:val="0"/>
    <w:rPr>
      <w:rFonts w:ascii="宋体" w:hAnsi="宋体" w:eastAsia="宋体"/>
      <w:kern w:val="2"/>
      <w:sz w:val="21"/>
      <w:lang w:val="en-US" w:eastAsia="zh-CN"/>
    </w:rPr>
  </w:style>
  <w:style w:type="paragraph" w:customStyle="1" w:styleId="160">
    <w:name w:val="样式 标题 3 + 宋体"/>
    <w:basedOn w:val="4"/>
    <w:link w:val="159"/>
    <w:qFormat/>
    <w:uiPriority w:val="0"/>
    <w:pPr>
      <w:keepNext w:val="0"/>
      <w:keepLines w:val="0"/>
      <w:numPr>
        <w:ilvl w:val="2"/>
        <w:numId w:val="0"/>
      </w:numPr>
      <w:tabs>
        <w:tab w:val="left" w:pos="1560"/>
        <w:tab w:val="clear" w:pos="2126"/>
      </w:tabs>
      <w:snapToGrid w:val="0"/>
      <w:spacing w:line="360" w:lineRule="auto"/>
      <w:ind w:left="360"/>
      <w:jc w:val="both"/>
    </w:pPr>
    <w:rPr>
      <w:rFonts w:ascii="宋体" w:hAnsi="宋体" w:eastAsia="宋体"/>
      <w:kern w:val="2"/>
      <w:sz w:val="21"/>
      <w:lang w:val="en-US" w:eastAsia="zh-CN"/>
    </w:rPr>
  </w:style>
  <w:style w:type="character" w:customStyle="1" w:styleId="161">
    <w:name w:val="表内居两端对齐 Char"/>
    <w:basedOn w:val="137"/>
    <w:link w:val="162"/>
    <w:qFormat/>
    <w:uiPriority w:val="0"/>
  </w:style>
  <w:style w:type="paragraph" w:customStyle="1" w:styleId="162">
    <w:name w:val="表内居两端对齐"/>
    <w:basedOn w:val="138"/>
    <w:link w:val="161"/>
    <w:qFormat/>
    <w:uiPriority w:val="0"/>
    <w:pPr>
      <w:jc w:val="both"/>
    </w:pPr>
  </w:style>
  <w:style w:type="character" w:customStyle="1" w:styleId="163">
    <w:name w:val=" Char Char2"/>
    <w:qFormat/>
    <w:uiPriority w:val="0"/>
    <w:rPr>
      <w:rFonts w:eastAsia="汉仪大宋简"/>
      <w:kern w:val="44"/>
      <w:sz w:val="22"/>
      <w:lang w:val="en-US" w:eastAsia="zh-CN"/>
    </w:rPr>
  </w:style>
  <w:style w:type="character" w:customStyle="1" w:styleId="164">
    <w:name w:val="文档结构图 Char"/>
    <w:link w:val="24"/>
    <w:qFormat/>
    <w:uiPriority w:val="0"/>
    <w:rPr>
      <w:kern w:val="2"/>
      <w:sz w:val="21"/>
      <w:shd w:val="clear" w:color="auto" w:fill="000080"/>
    </w:rPr>
  </w:style>
  <w:style w:type="character" w:customStyle="1" w:styleId="165">
    <w:name w:val="章标题 1 Char"/>
    <w:qFormat/>
    <w:uiPriority w:val="0"/>
    <w:rPr>
      <w:rFonts w:eastAsia="仿宋_GB2312"/>
      <w:b/>
      <w:kern w:val="44"/>
      <w:sz w:val="44"/>
      <w:lang w:val="en-US" w:eastAsia="zh-CN"/>
    </w:rPr>
  </w:style>
  <w:style w:type="character" w:customStyle="1" w:styleId="166">
    <w:name w:val="标题 1 Char"/>
    <w:link w:val="2"/>
    <w:qFormat/>
    <w:uiPriority w:val="0"/>
    <w:rPr>
      <w:rFonts w:eastAsia="汉仪大宋简"/>
      <w:kern w:val="44"/>
      <w:sz w:val="22"/>
    </w:rPr>
  </w:style>
  <w:style w:type="character" w:customStyle="1" w:styleId="167">
    <w:name w:val="Char Char16"/>
    <w:qFormat/>
    <w:uiPriority w:val="0"/>
    <w:rPr>
      <w:rFonts w:ascii="Arial" w:hAnsi="Arial" w:eastAsia="黑体"/>
      <w:b/>
      <w:kern w:val="2"/>
      <w:sz w:val="32"/>
      <w:lang w:val="en-US" w:eastAsia="zh-CN"/>
    </w:rPr>
  </w:style>
  <w:style w:type="character" w:customStyle="1" w:styleId="168">
    <w:name w:val="jl 三级 Char Char"/>
    <w:link w:val="169"/>
    <w:qFormat/>
    <w:uiPriority w:val="0"/>
    <w:rPr>
      <w:rFonts w:ascii="宋体" w:hAnsi="宋体" w:eastAsia="宋体"/>
      <w:b/>
      <w:color w:val="000000"/>
      <w:kern w:val="2"/>
      <w:sz w:val="24"/>
      <w:lang w:val="en-US" w:eastAsia="zh-CN"/>
    </w:rPr>
  </w:style>
  <w:style w:type="paragraph" w:customStyle="1" w:styleId="169">
    <w:name w:val="jl 三级 Char"/>
    <w:basedOn w:val="1"/>
    <w:link w:val="168"/>
    <w:qFormat/>
    <w:uiPriority w:val="0"/>
    <w:pPr>
      <w:autoSpaceDE w:val="0"/>
      <w:autoSpaceDN w:val="0"/>
      <w:adjustRightInd w:val="0"/>
      <w:spacing w:before="156" w:beforeLines="50" w:beforeAutospacing="0" w:after="156" w:afterLines="50" w:afterAutospacing="0"/>
      <w:ind w:firstLine="480" w:firstLineChars="200"/>
      <w:jc w:val="left"/>
      <w:textAlignment w:val="baseline"/>
      <w:outlineLvl w:val="2"/>
    </w:pPr>
    <w:rPr>
      <w:rFonts w:ascii="宋体" w:hAnsi="宋体" w:eastAsia="宋体"/>
      <w:b/>
      <w:color w:val="000000"/>
      <w:kern w:val="2"/>
      <w:sz w:val="24"/>
      <w:lang w:val="en-US" w:eastAsia="zh-CN"/>
    </w:rPr>
  </w:style>
  <w:style w:type="character" w:customStyle="1" w:styleId="170">
    <w:name w:val="首行缩进 Char"/>
    <w:link w:val="171"/>
    <w:qFormat/>
    <w:uiPriority w:val="0"/>
    <w:rPr>
      <w:rFonts w:eastAsia="方正书宋简体"/>
      <w:kern w:val="2"/>
      <w:sz w:val="21"/>
      <w:lang w:val="en-US" w:eastAsia="zh-CN"/>
    </w:rPr>
  </w:style>
  <w:style w:type="paragraph" w:customStyle="1" w:styleId="171">
    <w:name w:val="首行缩进"/>
    <w:basedOn w:val="1"/>
    <w:link w:val="170"/>
    <w:qFormat/>
    <w:uiPriority w:val="0"/>
    <w:pPr>
      <w:spacing w:line="300" w:lineRule="auto"/>
      <w:ind w:firstLine="420" w:firstLineChars="200"/>
    </w:pPr>
    <w:rPr>
      <w:rFonts w:eastAsia="方正书宋简体"/>
      <w:kern w:val="2"/>
      <w:sz w:val="21"/>
      <w:lang w:val="en-US" w:eastAsia="zh-CN"/>
    </w:rPr>
  </w:style>
  <w:style w:type="character" w:customStyle="1" w:styleId="172">
    <w:name w:val="样式 Arial"/>
    <w:qFormat/>
    <w:uiPriority w:val="0"/>
    <w:rPr>
      <w:rFonts w:hint="default" w:ascii="Times New Roman" w:hAnsi="Times New Roman" w:eastAsia="宋体"/>
      <w:sz w:val="21"/>
    </w:rPr>
  </w:style>
  <w:style w:type="character" w:customStyle="1" w:styleId="173">
    <w:name w:val="jl 正文 Char Char Char"/>
    <w:link w:val="174"/>
    <w:qFormat/>
    <w:uiPriority w:val="0"/>
    <w:rPr>
      <w:rFonts w:ascii="宋体" w:eastAsia="宋体"/>
      <w:kern w:val="2"/>
      <w:sz w:val="24"/>
      <w:lang w:val="en-US" w:eastAsia="zh-CN"/>
    </w:rPr>
  </w:style>
  <w:style w:type="paragraph" w:customStyle="1" w:styleId="174">
    <w:name w:val="jl 正文 Char Char"/>
    <w:basedOn w:val="1"/>
    <w:link w:val="173"/>
    <w:qFormat/>
    <w:uiPriority w:val="0"/>
    <w:pPr>
      <w:autoSpaceDE w:val="0"/>
      <w:autoSpaceDN w:val="0"/>
      <w:adjustRightInd w:val="0"/>
      <w:ind w:firstLine="200" w:firstLineChars="200"/>
      <w:jc w:val="left"/>
      <w:textAlignment w:val="baseline"/>
    </w:pPr>
    <w:rPr>
      <w:rFonts w:ascii="宋体" w:eastAsia="宋体"/>
      <w:kern w:val="2"/>
      <w:sz w:val="24"/>
      <w:lang w:val="en-US" w:eastAsia="zh-CN"/>
    </w:rPr>
  </w:style>
  <w:style w:type="character" w:customStyle="1" w:styleId="175">
    <w:name w:val=" Char Char17"/>
    <w:qFormat/>
    <w:uiPriority w:val="0"/>
    <w:rPr>
      <w:rFonts w:eastAsia="仿宋_GB2312"/>
      <w:b/>
      <w:sz w:val="28"/>
    </w:rPr>
  </w:style>
  <w:style w:type="character" w:customStyle="1" w:styleId="176">
    <w:name w:val="页脚 Char"/>
    <w:link w:val="52"/>
    <w:qFormat/>
    <w:uiPriority w:val="0"/>
    <w:rPr>
      <w:rFonts w:eastAsia="宋体"/>
      <w:kern w:val="2"/>
      <w:sz w:val="18"/>
      <w:lang w:val="en-US" w:eastAsia="zh-CN"/>
    </w:rPr>
  </w:style>
  <w:style w:type="character" w:customStyle="1" w:styleId="177">
    <w:name w:val=" Char Char19"/>
    <w:qFormat/>
    <w:uiPriority w:val="0"/>
    <w:rPr>
      <w:rFonts w:eastAsia="仿宋_GB2312"/>
      <w:b/>
      <w:kern w:val="2"/>
      <w:sz w:val="32"/>
    </w:rPr>
  </w:style>
  <w:style w:type="character" w:customStyle="1" w:styleId="178">
    <w:name w:val="Char Char4"/>
    <w:qFormat/>
    <w:uiPriority w:val="0"/>
    <w:rPr>
      <w:rFonts w:eastAsia="汉仪大宋简"/>
      <w:kern w:val="44"/>
      <w:sz w:val="22"/>
      <w:lang w:val="en-US" w:eastAsia="zh-CN"/>
    </w:rPr>
  </w:style>
  <w:style w:type="character" w:customStyle="1" w:styleId="179">
    <w:name w:val="批注主题 Char"/>
    <w:link w:val="80"/>
    <w:qFormat/>
    <w:uiPriority w:val="0"/>
    <w:rPr>
      <w:b/>
      <w:kern w:val="2"/>
      <w:sz w:val="21"/>
    </w:rPr>
  </w:style>
  <w:style w:type="character" w:customStyle="1" w:styleId="180">
    <w:name w:val="标题 4 Char"/>
    <w:link w:val="5"/>
    <w:qFormat/>
    <w:uiPriority w:val="0"/>
    <w:rPr>
      <w:rFonts w:ascii="Arial" w:hAnsi="Arial" w:eastAsia="黑体"/>
      <w:b/>
      <w:kern w:val="2"/>
      <w:sz w:val="28"/>
    </w:rPr>
  </w:style>
  <w:style w:type="character" w:customStyle="1" w:styleId="181">
    <w:name w:val="Char Char11"/>
    <w:qFormat/>
    <w:uiPriority w:val="0"/>
    <w:rPr>
      <w:rFonts w:eastAsia="宋体"/>
      <w:kern w:val="2"/>
      <w:sz w:val="21"/>
      <w:lang w:val="en-US" w:eastAsia="zh-CN"/>
    </w:rPr>
  </w:style>
  <w:style w:type="paragraph" w:customStyle="1" w:styleId="182">
    <w:name w:val="font5"/>
    <w:basedOn w:val="1"/>
    <w:qFormat/>
    <w:uiPriority w:val="0"/>
    <w:pPr>
      <w:widowControl/>
      <w:spacing w:before="100" w:beforeLines="0" w:beforeAutospacing="1" w:after="100" w:afterLines="0" w:afterAutospacing="1"/>
      <w:jc w:val="left"/>
    </w:pPr>
    <w:rPr>
      <w:rFonts w:hint="eastAsia" w:ascii="宋体" w:hAnsi="宋体"/>
      <w:kern w:val="0"/>
      <w:sz w:val="18"/>
    </w:rPr>
  </w:style>
  <w:style w:type="paragraph" w:customStyle="1" w:styleId="18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rPr>
  </w:style>
  <w:style w:type="paragraph" w:customStyle="1" w:styleId="184">
    <w:name w:val="标准书眉一"/>
    <w:qFormat/>
    <w:uiPriority w:val="0"/>
    <w:pPr>
      <w:numPr>
        <w:ilvl w:val="0"/>
        <w:numId w:val="14"/>
      </w:numPr>
      <w:jc w:val="both"/>
    </w:pPr>
    <w:rPr>
      <w:rFonts w:ascii="Times New Roman" w:hAnsi="Times New Roman" w:eastAsia="宋体" w:cs="Times New Roman"/>
      <w:lang w:val="en-US" w:eastAsia="zh-CN" w:bidi="ar-SA"/>
    </w:rPr>
  </w:style>
  <w:style w:type="paragraph" w:customStyle="1" w:styleId="185">
    <w:name w:val="Char3"/>
    <w:basedOn w:val="1"/>
    <w:qFormat/>
    <w:uiPriority w:val="0"/>
  </w:style>
  <w:style w:type="paragraph" w:customStyle="1" w:styleId="186">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rPr>
  </w:style>
  <w:style w:type="paragraph" w:customStyle="1" w:styleId="187">
    <w:name w:val="xl43"/>
    <w:basedOn w:val="1"/>
    <w:qFormat/>
    <w:uiPriority w:val="0"/>
    <w:pPr>
      <w:widowControl/>
      <w:pBdr>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16"/>
    </w:rPr>
  </w:style>
  <w:style w:type="paragraph" w:customStyle="1" w:styleId="188">
    <w:name w:val="节小标题"/>
    <w:basedOn w:val="9"/>
    <w:qFormat/>
    <w:uiPriority w:val="0"/>
    <w:pPr>
      <w:tabs>
        <w:tab w:val="clear" w:pos="6378"/>
      </w:tabs>
      <w:adjustRightInd w:val="0"/>
      <w:snapToGrid w:val="0"/>
      <w:spacing w:before="100" w:beforeLines="0" w:beforeAutospacing="0" w:after="0" w:afterLines="0" w:afterAutospacing="0" w:line="300" w:lineRule="auto"/>
      <w:ind w:firstLine="359"/>
      <w:outlineLvl w:val="9"/>
    </w:pPr>
    <w:rPr>
      <w:rFonts w:ascii="Times New Roman" w:hAnsi="Times New Roman" w:eastAsia="仿宋_GB2312"/>
      <w:sz w:val="30"/>
    </w:rPr>
  </w:style>
  <w:style w:type="paragraph" w:customStyle="1" w:styleId="189">
    <w:name w:val="font6"/>
    <w:basedOn w:val="1"/>
    <w:qFormat/>
    <w:uiPriority w:val="0"/>
    <w:pPr>
      <w:widowControl/>
      <w:spacing w:before="100" w:beforeLines="0" w:beforeAutospacing="1" w:after="100" w:afterLines="0" w:afterAutospacing="1"/>
      <w:jc w:val="left"/>
    </w:pPr>
    <w:rPr>
      <w:rFonts w:hint="eastAsia" w:ascii="宋体" w:hAnsi="宋体"/>
      <w:color w:val="000000"/>
      <w:kern w:val="0"/>
      <w:sz w:val="20"/>
    </w:rPr>
  </w:style>
  <w:style w:type="paragraph" w:customStyle="1" w:styleId="190">
    <w:name w:val="CM33"/>
    <w:basedOn w:val="191"/>
    <w:next w:val="191"/>
    <w:qFormat/>
    <w:uiPriority w:val="0"/>
    <w:pPr>
      <w:spacing w:after="205" w:afterLines="0" w:afterAutospacing="0"/>
    </w:pPr>
    <w:rPr>
      <w:rFonts w:ascii="黑体" w:eastAsia="黑体"/>
      <w:color w:val="auto"/>
    </w:rPr>
  </w:style>
  <w:style w:type="paragraph" w:customStyle="1" w:styleId="19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92">
    <w:name w:val="五级条标题"/>
    <w:basedOn w:val="193"/>
    <w:next w:val="149"/>
    <w:qFormat/>
    <w:uiPriority w:val="0"/>
    <w:pPr>
      <w:tabs>
        <w:tab w:val="left" w:pos="945"/>
        <w:tab w:val="left" w:pos="1021"/>
        <w:tab w:val="left" w:pos="1080"/>
        <w:tab w:val="left" w:pos="1155"/>
        <w:tab w:val="left" w:pos="1407"/>
        <w:tab w:val="left" w:pos="1440"/>
      </w:tabs>
      <w:outlineLvl w:val="6"/>
    </w:pPr>
  </w:style>
  <w:style w:type="paragraph" w:customStyle="1" w:styleId="193">
    <w:name w:val="四级条标题"/>
    <w:basedOn w:val="194"/>
    <w:next w:val="149"/>
    <w:qFormat/>
    <w:uiPriority w:val="0"/>
    <w:pPr>
      <w:tabs>
        <w:tab w:val="left" w:pos="945"/>
        <w:tab w:val="left" w:pos="1021"/>
        <w:tab w:val="left" w:pos="1080"/>
        <w:tab w:val="left" w:pos="1155"/>
      </w:tabs>
      <w:outlineLvl w:val="5"/>
    </w:pPr>
  </w:style>
  <w:style w:type="paragraph" w:customStyle="1" w:styleId="194">
    <w:name w:val="三级条标题"/>
    <w:basedOn w:val="133"/>
    <w:next w:val="149"/>
    <w:qFormat/>
    <w:uiPriority w:val="0"/>
    <w:pPr>
      <w:tabs>
        <w:tab w:val="left" w:pos="945"/>
        <w:tab w:val="left" w:pos="1080"/>
      </w:tabs>
      <w:outlineLvl w:val="4"/>
    </w:pPr>
  </w:style>
  <w:style w:type="paragraph" w:customStyle="1" w:styleId="195">
    <w:name w:val="表文"/>
    <w:basedOn w:val="1"/>
    <w:qFormat/>
    <w:uiPriority w:val="0"/>
    <w:pPr>
      <w:topLinePunct/>
      <w:spacing w:before="40" w:beforeLines="0" w:beforeAutospacing="0" w:after="40" w:afterLines="0" w:afterAutospacing="0"/>
    </w:pPr>
    <w:rPr>
      <w:sz w:val="18"/>
    </w:rPr>
  </w:style>
  <w:style w:type="paragraph" w:customStyle="1" w:styleId="196">
    <w:name w:val=" Char1"/>
    <w:basedOn w:val="1"/>
    <w:qFormat/>
    <w:uiPriority w:val="0"/>
    <w:pPr>
      <w:spacing w:after="624" w:afterLines="200" w:afterAutospacing="0"/>
    </w:pPr>
    <w:rPr>
      <w:rFonts w:ascii="黑体" w:eastAsia="黑体"/>
      <w:sz w:val="36"/>
    </w:rPr>
  </w:style>
  <w:style w:type="paragraph" w:customStyle="1" w:styleId="197">
    <w:name w:val="无标题条"/>
    <w:next w:val="149"/>
    <w:qFormat/>
    <w:uiPriority w:val="0"/>
    <w:pPr>
      <w:jc w:val="both"/>
    </w:pPr>
    <w:rPr>
      <w:rFonts w:ascii="Times New Roman" w:hAnsi="Times New Roman" w:eastAsia="宋体" w:cs="Times New Roman"/>
      <w:sz w:val="21"/>
      <w:lang w:val="en-US" w:eastAsia="zh-CN" w:bidi="ar-SA"/>
    </w:rPr>
  </w:style>
  <w:style w:type="paragraph" w:customStyle="1" w:styleId="198">
    <w:name w:val="CM9"/>
    <w:basedOn w:val="191"/>
    <w:next w:val="191"/>
    <w:qFormat/>
    <w:uiPriority w:val="0"/>
    <w:pPr>
      <w:spacing w:line="468" w:lineRule="atLeast"/>
    </w:pPr>
    <w:rPr>
      <w:rFonts w:ascii="黑体" w:eastAsia="黑体"/>
      <w:color w:val="auto"/>
    </w:rPr>
  </w:style>
  <w:style w:type="paragraph" w:customStyle="1" w:styleId="199">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00">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01">
    <w:name w:val="样式7"/>
    <w:basedOn w:val="1"/>
    <w:qFormat/>
    <w:uiPriority w:val="0"/>
    <w:pPr>
      <w:numPr>
        <w:ilvl w:val="0"/>
        <w:numId w:val="15"/>
      </w:numPr>
    </w:pPr>
  </w:style>
  <w:style w:type="paragraph" w:customStyle="1" w:styleId="202">
    <w:name w:val="样式 样式 标题 2 + 段前: 0.5 行 段后: 0.5 行 + 首行缩进:  2 字符 段前: 0.5 行 段后: 0..."/>
    <w:basedOn w:val="1"/>
    <w:qFormat/>
    <w:uiPriority w:val="0"/>
    <w:pPr>
      <w:keepNext/>
      <w:keepLines/>
      <w:adjustRightInd w:val="0"/>
      <w:spacing w:before="156" w:beforeLines="50" w:beforeAutospacing="0" w:after="156" w:afterLines="50" w:afterAutospacing="0"/>
      <w:jc w:val="left"/>
      <w:textAlignment w:val="baseline"/>
      <w:outlineLvl w:val="1"/>
    </w:pPr>
    <w:rPr>
      <w:rFonts w:eastAsia="黑体"/>
      <w:kern w:val="0"/>
    </w:rPr>
  </w:style>
  <w:style w:type="paragraph" w:customStyle="1" w:styleId="203">
    <w:name w:val="样式 标题 2 + 段前: 0.5 行 段后: 0.5 行"/>
    <w:basedOn w:val="3"/>
    <w:qFormat/>
    <w:uiPriority w:val="0"/>
    <w:pPr>
      <w:numPr>
        <w:ilvl w:val="1"/>
        <w:numId w:val="0"/>
      </w:numPr>
      <w:tabs>
        <w:tab w:val="clear" w:pos="1276"/>
      </w:tabs>
      <w:topLinePunct w:val="0"/>
      <w:adjustRightInd w:val="0"/>
      <w:spacing w:before="156" w:beforeLines="50" w:beforeAutospacing="0" w:after="156" w:afterLines="50" w:afterAutospacing="0"/>
      <w:ind w:firstLine="200" w:firstLineChars="200"/>
      <w:jc w:val="left"/>
      <w:textAlignment w:val="baseline"/>
    </w:pPr>
    <w:rPr>
      <w:kern w:val="0"/>
    </w:rPr>
  </w:style>
  <w:style w:type="paragraph" w:customStyle="1" w:styleId="204">
    <w:name w:val="Normal"/>
    <w:basedOn w:val="205"/>
    <w:qFormat/>
    <w:uiPriority w:val="0"/>
    <w:pPr>
      <w:keepNext w:val="0"/>
      <w:keepLines w:val="0"/>
      <w:numPr>
        <w:ilvl w:val="3"/>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05">
    <w:name w:val="样式1"/>
    <w:basedOn w:val="1"/>
    <w:qFormat/>
    <w:uiPriority w:val="0"/>
    <w:pPr>
      <w:keepNext/>
      <w:keepLines/>
      <w:numPr>
        <w:ilvl w:val="3"/>
        <w:numId w:val="14"/>
      </w:numPr>
      <w:topLinePunct/>
      <w:spacing w:line="1200" w:lineRule="auto"/>
      <w:jc w:val="center"/>
      <w:outlineLvl w:val="0"/>
    </w:pPr>
    <w:rPr>
      <w:b/>
      <w:kern w:val="44"/>
      <w:sz w:val="52"/>
    </w:rPr>
  </w:style>
  <w:style w:type="paragraph" w:customStyle="1" w:styleId="206">
    <w:name w:val="xl45"/>
    <w:basedOn w:val="1"/>
    <w:qFormat/>
    <w:uiPriority w:val="0"/>
    <w:pPr>
      <w:widowControl/>
      <w:pBdr>
        <w:left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rPr>
  </w:style>
  <w:style w:type="paragraph" w:customStyle="1" w:styleId="207">
    <w:name w:val="CM23"/>
    <w:basedOn w:val="191"/>
    <w:next w:val="191"/>
    <w:qFormat/>
    <w:uiPriority w:val="0"/>
    <w:pPr>
      <w:spacing w:line="468" w:lineRule="atLeast"/>
    </w:pPr>
    <w:rPr>
      <w:rFonts w:ascii="黑体" w:eastAsia="黑体"/>
      <w:color w:val="auto"/>
    </w:rPr>
  </w:style>
  <w:style w:type="paragraph" w:customStyle="1" w:styleId="208">
    <w:name w:val="样式 样式 样式 样式 标题 1 + 首行缩进:  2 字符 段前: 1 行 段后: 1 行 + 黑色 首行缩进:  2 字符 ...2"/>
    <w:basedOn w:val="209"/>
    <w:qFormat/>
    <w:uiPriority w:val="0"/>
    <w:pPr>
      <w:spacing w:before="357" w:beforeLines="0" w:beforeAutospacing="0" w:after="357" w:afterLines="0" w:afterAutospacing="0"/>
    </w:pPr>
    <w:rPr>
      <w:sz w:val="24"/>
    </w:rPr>
  </w:style>
  <w:style w:type="paragraph" w:customStyle="1" w:styleId="209">
    <w:name w:val="样式 样式 样式 标题 1 + 首行缩进:  2 字符 段前: 1 行 段后: 1 行 + 黑色 首行缩进:  2 字符 段前:..."/>
    <w:basedOn w:val="210"/>
    <w:qFormat/>
    <w:uiPriority w:val="0"/>
    <w:pPr/>
  </w:style>
  <w:style w:type="paragraph" w:customStyle="1" w:styleId="210">
    <w:name w:val="样式 样式 标题 1 + 首行缩进:  2 字符 段前: 1 行 段后: 1 行 + 黑色 首行缩进:  2 字符 段前: ..."/>
    <w:basedOn w:val="211"/>
    <w:qFormat/>
    <w:uiPriority w:val="0"/>
    <w:pPr>
      <w:numPr>
        <w:ilvl w:val="0"/>
        <w:numId w:val="0"/>
      </w:numPr>
      <w:spacing w:line="240" w:lineRule="auto"/>
    </w:pPr>
    <w:rPr>
      <w:rFonts w:eastAsia="黑体"/>
      <w:b w:val="0"/>
      <w:color w:val="000000"/>
    </w:rPr>
  </w:style>
  <w:style w:type="paragraph" w:customStyle="1" w:styleId="211">
    <w:name w:val="样式 标题 1 + 首行缩进:  2 字符 段前: 1 行 段后: 1 行"/>
    <w:basedOn w:val="2"/>
    <w:qFormat/>
    <w:uiPriority w:val="0"/>
    <w:pPr>
      <w:tabs>
        <w:tab w:val="clear" w:pos="425"/>
      </w:tabs>
      <w:topLinePunct w:val="0"/>
      <w:spacing w:before="312" w:beforeLines="100" w:beforeAutospacing="0" w:after="312" w:afterLines="100" w:afterAutospacing="0" w:line="360" w:lineRule="auto"/>
      <w:textAlignment w:val="auto"/>
    </w:pPr>
    <w:rPr>
      <w:rFonts w:eastAsia="宋体"/>
      <w:b/>
      <w:sz w:val="28"/>
    </w:rPr>
  </w:style>
  <w:style w:type="paragraph" w:customStyle="1" w:styleId="212">
    <w:name w:val="xl51"/>
    <w:basedOn w:val="1"/>
    <w:qFormat/>
    <w:uiPriority w:val="0"/>
    <w:pPr>
      <w:widowControl/>
      <w:pBdr>
        <w:top w:val="single" w:color="auto" w:sz="4" w:space="0"/>
        <w:left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13">
    <w:name w:val="样式 样式 样式 标题 2 + 段前: 0.5 行 段后: 0.5 行 + 首行缩进:  2 字符 段前: 0.5 行 段后: ...1"/>
    <w:basedOn w:val="202"/>
    <w:qFormat/>
    <w:uiPriority w:val="0"/>
    <w:pPr>
      <w:spacing w:before="178" w:beforeLines="0" w:beforeAutospacing="0" w:after="178" w:afterLines="0" w:afterAutospacing="0" w:line="360" w:lineRule="exact"/>
    </w:pPr>
    <w:rPr>
      <w:rFonts w:ascii="黑体"/>
    </w:rPr>
  </w:style>
  <w:style w:type="paragraph" w:customStyle="1" w:styleId="214">
    <w:name w:val="实施日期"/>
    <w:basedOn w:val="1"/>
    <w:qFormat/>
    <w:uiPriority w:val="0"/>
    <w:pPr>
      <w:widowControl/>
      <w:jc w:val="right"/>
    </w:pPr>
    <w:rPr>
      <w:rFonts w:eastAsia="黑体"/>
      <w:kern w:val="0"/>
      <w:sz w:val="28"/>
    </w:rPr>
  </w:style>
  <w:style w:type="paragraph" w:customStyle="1" w:styleId="21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left"/>
    </w:pPr>
    <w:rPr>
      <w:kern w:val="0"/>
      <w:sz w:val="16"/>
    </w:rPr>
  </w:style>
  <w:style w:type="paragraph" w:customStyle="1" w:styleId="216">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17">
    <w:name w:val="表格1"/>
    <w:basedOn w:val="1"/>
    <w:qFormat/>
    <w:uiPriority w:val="0"/>
    <w:pPr>
      <w:adjustRightInd w:val="0"/>
      <w:spacing w:before="120" w:beforeLines="0" w:beforeAutospacing="0" w:line="360" w:lineRule="atLeast"/>
      <w:ind w:left="57"/>
      <w:jc w:val="left"/>
      <w:textAlignment w:val="baseline"/>
    </w:pPr>
    <w:rPr>
      <w:rFonts w:ascii="长城仿宋" w:eastAsia="长城仿宋"/>
      <w:kern w:val="0"/>
      <w:sz w:val="28"/>
    </w:rPr>
  </w:style>
  <w:style w:type="paragraph" w:customStyle="1" w:styleId="21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rPr>
  </w:style>
  <w:style w:type="paragraph" w:customStyle="1" w:styleId="219">
    <w:name w:val="正文表标题"/>
    <w:next w:val="149"/>
    <w:qFormat/>
    <w:uiPriority w:val="0"/>
    <w:pPr>
      <w:numPr>
        <w:ilvl w:val="0"/>
        <w:numId w:val="16"/>
      </w:numPr>
      <w:tabs>
        <w:tab w:val="left" w:pos="360"/>
        <w:tab w:val="clear" w:pos="425"/>
      </w:tabs>
      <w:jc w:val="center"/>
    </w:pPr>
    <w:rPr>
      <w:rFonts w:ascii="黑体" w:hAnsi="Times New Roman" w:eastAsia="黑体" w:cs="Times New Roman"/>
      <w:sz w:val="21"/>
      <w:lang w:val="en-US" w:eastAsia="zh-CN" w:bidi="ar-SA"/>
    </w:rPr>
  </w:style>
  <w:style w:type="paragraph" w:customStyle="1" w:styleId="220">
    <w:name w:val="xl49"/>
    <w:basedOn w:val="1"/>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kern w:val="0"/>
      <w:sz w:val="16"/>
    </w:rPr>
  </w:style>
  <w:style w:type="paragraph" w:customStyle="1" w:styleId="221">
    <w:name w:val="样式 标题 2标题 2 Char + 宋体"/>
    <w:basedOn w:val="3"/>
    <w:qFormat/>
    <w:uiPriority w:val="0"/>
    <w:pPr>
      <w:keepNext w:val="0"/>
      <w:numPr>
        <w:ilvl w:val="1"/>
        <w:numId w:val="17"/>
      </w:numPr>
      <w:tabs>
        <w:tab w:val="clear" w:pos="1276"/>
      </w:tabs>
      <w:topLinePunct w:val="0"/>
      <w:adjustRightInd w:val="0"/>
      <w:snapToGrid w:val="0"/>
      <w:spacing w:line="360" w:lineRule="auto"/>
    </w:pPr>
    <w:rPr>
      <w:rFonts w:ascii="宋体" w:eastAsia="宋体"/>
    </w:rPr>
  </w:style>
  <w:style w:type="paragraph" w:customStyle="1" w:styleId="222">
    <w:name w:val="xl42"/>
    <w:basedOn w:val="1"/>
    <w:qFormat/>
    <w:uiPriority w:val="0"/>
    <w:pPr>
      <w:widowControl/>
      <w:pBdr>
        <w:left w:val="single" w:color="auto" w:sz="4" w:space="0"/>
        <w:right w:val="single" w:color="auto" w:sz="4" w:space="0"/>
      </w:pBdr>
      <w:spacing w:before="100" w:beforeLines="0" w:beforeAutospacing="1" w:after="100" w:afterLines="0" w:afterAutospacing="1"/>
      <w:jc w:val="center"/>
      <w:textAlignment w:val="center"/>
    </w:pPr>
    <w:rPr>
      <w:color w:val="000000"/>
      <w:kern w:val="0"/>
      <w:sz w:val="16"/>
    </w:rPr>
  </w:style>
  <w:style w:type="paragraph" w:customStyle="1" w:styleId="223">
    <w:name w:val="图说"/>
    <w:basedOn w:val="1"/>
    <w:qFormat/>
    <w:uiPriority w:val="0"/>
    <w:pPr>
      <w:topLinePunct/>
      <w:spacing w:before="40" w:beforeLines="0" w:beforeAutospacing="0" w:after="160" w:afterLines="0" w:afterAutospacing="0"/>
      <w:jc w:val="center"/>
    </w:pPr>
    <w:rPr>
      <w:sz w:val="18"/>
    </w:rPr>
  </w:style>
  <w:style w:type="paragraph" w:customStyle="1" w:styleId="224">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20"/>
    </w:rPr>
  </w:style>
  <w:style w:type="paragraph" w:customStyle="1" w:styleId="225">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Lines="0" w:beforeAutospacing="1" w:after="100" w:afterLines="0" w:afterAutospacing="1"/>
      <w:jc w:val="center"/>
    </w:pPr>
    <w:rPr>
      <w:kern w:val="0"/>
      <w:sz w:val="16"/>
    </w:rPr>
  </w:style>
  <w:style w:type="paragraph" w:customStyle="1" w:styleId="22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0"/>
    </w:rPr>
  </w:style>
  <w:style w:type="paragraph" w:customStyle="1" w:styleId="22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color w:val="000000"/>
      <w:kern w:val="0"/>
      <w:sz w:val="16"/>
    </w:rPr>
  </w:style>
  <w:style w:type="paragraph" w:customStyle="1" w:styleId="228">
    <w:name w:val="Char"/>
    <w:basedOn w:val="1"/>
    <w:qFormat/>
    <w:uiPriority w:val="0"/>
  </w:style>
  <w:style w:type="paragraph" w:customStyle="1" w:styleId="229">
    <w:name w:val="样式 标题 2 + 黑体 段前: 10.25 磅 段后: 10.25 磅 行距: 单倍行距"/>
    <w:basedOn w:val="3"/>
    <w:qFormat/>
    <w:uiPriority w:val="0"/>
    <w:pPr>
      <w:tabs>
        <w:tab w:val="clear" w:pos="1276"/>
      </w:tabs>
      <w:topLinePunct w:val="0"/>
      <w:adjustRightInd w:val="0"/>
      <w:spacing w:before="156" w:beforeLines="50" w:beforeAutospacing="0" w:after="156" w:afterLines="50" w:afterAutospacing="0"/>
      <w:jc w:val="left"/>
      <w:textAlignment w:val="baseline"/>
    </w:pPr>
    <w:rPr>
      <w:rFonts w:ascii="黑体" w:hAnsi="黑体"/>
      <w:b/>
      <w:kern w:val="0"/>
      <w:sz w:val="24"/>
    </w:rPr>
  </w:style>
  <w:style w:type="paragraph" w:customStyle="1" w:styleId="230">
    <w:name w:val="CM3"/>
    <w:basedOn w:val="191"/>
    <w:next w:val="191"/>
    <w:qFormat/>
    <w:uiPriority w:val="0"/>
    <w:pPr>
      <w:spacing w:line="468" w:lineRule="atLeast"/>
    </w:pPr>
    <w:rPr>
      <w:rFonts w:ascii="黑体" w:eastAsia="黑体"/>
      <w:color w:val="auto"/>
    </w:rPr>
  </w:style>
  <w:style w:type="paragraph" w:customStyle="1" w:styleId="231">
    <w:name w:val="样式 居中 底端: (细-粗窄间隔 自定义颜(RGB(2356512))  2.25 磅 行宽) 行距: 固定值 1..."/>
    <w:basedOn w:val="1"/>
    <w:qFormat/>
    <w:uiPriority w:val="0"/>
    <w:pPr>
      <w:spacing w:line="240" w:lineRule="exact"/>
      <w:jc w:val="center"/>
    </w:pPr>
    <w:rPr>
      <w:rFonts w:eastAsia="仿宋_GB2312"/>
      <w:sz w:val="32"/>
    </w:rPr>
  </w:style>
  <w:style w:type="paragraph" w:customStyle="1" w:styleId="232">
    <w:name w:val="_Style 229"/>
    <w:basedOn w:val="2"/>
    <w:next w:val="1"/>
    <w:qFormat/>
    <w:uiPriority w:val="0"/>
    <w:pPr>
      <w:widowControl/>
      <w:numPr>
        <w:ilvl w:val="0"/>
        <w:numId w:val="0"/>
      </w:numPr>
      <w:tabs>
        <w:tab w:val="clear" w:pos="425"/>
      </w:tabs>
      <w:topLinePunct w:val="0"/>
      <w:spacing w:before="480" w:beforeLines="0" w:beforeAutospacing="0" w:line="276" w:lineRule="auto"/>
      <w:jc w:val="left"/>
      <w:textAlignment w:val="auto"/>
      <w:outlineLvl w:val="9"/>
    </w:pPr>
    <w:rPr>
      <w:rFonts w:ascii="Cambria" w:hAnsi="Cambria" w:eastAsia="宋体"/>
      <w:b/>
      <w:color w:val="365F91"/>
      <w:kern w:val="0"/>
      <w:sz w:val="28"/>
    </w:rPr>
  </w:style>
  <w:style w:type="paragraph" w:customStyle="1" w:styleId="233">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34">
    <w:name w:val="样式 标题 3 + 宋体 段前: 7.8 磅"/>
    <w:basedOn w:val="4"/>
    <w:qFormat/>
    <w:uiPriority w:val="0"/>
    <w:pPr>
      <w:keepNext w:val="0"/>
      <w:keepLines w:val="0"/>
      <w:numPr>
        <w:ilvl w:val="2"/>
        <w:numId w:val="17"/>
      </w:numPr>
      <w:tabs>
        <w:tab w:val="left" w:pos="1560"/>
        <w:tab w:val="clear" w:pos="1740"/>
        <w:tab w:val="clear" w:pos="2126"/>
      </w:tabs>
      <w:adjustRightInd w:val="0"/>
      <w:snapToGrid w:val="0"/>
      <w:spacing w:before="156" w:beforeLines="0" w:beforeAutospacing="0" w:line="360" w:lineRule="auto"/>
      <w:jc w:val="both"/>
    </w:pPr>
    <w:rPr>
      <w:rFonts w:ascii="宋体" w:hAnsi="宋体" w:eastAsia="宋体"/>
      <w:sz w:val="21"/>
    </w:rPr>
  </w:style>
  <w:style w:type="paragraph" w:customStyle="1" w:styleId="235">
    <w:name w:val="CM10"/>
    <w:basedOn w:val="191"/>
    <w:next w:val="191"/>
    <w:qFormat/>
    <w:uiPriority w:val="0"/>
    <w:pPr>
      <w:spacing w:line="468" w:lineRule="atLeast"/>
    </w:pPr>
    <w:rPr>
      <w:rFonts w:ascii="黑体" w:eastAsia="黑体"/>
      <w:color w:val="auto"/>
    </w:rPr>
  </w:style>
  <w:style w:type="paragraph" w:customStyle="1" w:styleId="236">
    <w:name w:val="xl41"/>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color w:val="000000"/>
      <w:kern w:val="0"/>
      <w:sz w:val="16"/>
    </w:rPr>
  </w:style>
  <w:style w:type="paragraph" w:customStyle="1" w:styleId="237">
    <w:name w:val="样式 样式 样式 样式 标题 2 + 段前: 0.5 行 段后: 0.5 行 + 首行缩进:  2 字符 段前: 0.5 行 段..."/>
    <w:basedOn w:val="238"/>
    <w:qFormat/>
    <w:uiPriority w:val="0"/>
    <w:pPr>
      <w:spacing w:before="178" w:beforeLines="0" w:beforeAutospacing="0" w:after="178" w:afterLines="0" w:afterAutospacing="0"/>
    </w:pPr>
    <w:rPr>
      <w:rFonts w:ascii="黑体"/>
    </w:rPr>
  </w:style>
  <w:style w:type="paragraph" w:customStyle="1" w:styleId="238">
    <w:name w:val="样式 样式 样式 标题 2 + 段前: 0.5 行 段后: 0.5 行 + 首行缩进:  2 字符 段前: 0.5 行 段后: ..."/>
    <w:basedOn w:val="202"/>
    <w:qFormat/>
    <w:uiPriority w:val="0"/>
    <w:pPr>
      <w:spacing w:before="50" w:beforeLines="0" w:beforeAutospacing="0" w:after="50" w:afterLines="0" w:afterAutospacing="0"/>
    </w:pPr>
    <w:rPr>
      <w:color w:val="000000"/>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0"/>
    </w:rPr>
  </w:style>
  <w:style w:type="paragraph" w:customStyle="1" w:styleId="240">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241">
    <w:name w:val="Char Char Char"/>
    <w:basedOn w:val="1"/>
    <w:qFormat/>
    <w:uiPriority w:val="0"/>
  </w:style>
  <w:style w:type="paragraph" w:customStyle="1" w:styleId="242">
    <w:name w:val=" 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43">
    <w:name w:val="样式4"/>
    <w:basedOn w:val="5"/>
    <w:qFormat/>
    <w:uiPriority w:val="0"/>
    <w:pPr>
      <w:tabs>
        <w:tab w:val="clear" w:pos="2976"/>
      </w:tabs>
      <w:topLinePunct/>
      <w:spacing w:before="0" w:beforeLines="0" w:beforeAutospacing="0" w:after="0" w:afterLines="0" w:afterAutospacing="0" w:line="480" w:lineRule="auto"/>
      <w:ind w:firstLine="420"/>
    </w:pPr>
    <w:rPr>
      <w:rFonts w:ascii="Times New Roman" w:hAnsi="Times New Roman" w:eastAsia="楷体_GB2312"/>
      <w:b w:val="0"/>
      <w:sz w:val="24"/>
    </w:rPr>
  </w:style>
  <w:style w:type="paragraph" w:customStyle="1" w:styleId="244">
    <w:name w:val=" Char Char1 Char Char Char Char Char Char Char"/>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 w:type="paragraph" w:customStyle="1" w:styleId="245">
    <w:name w:val="默认段落字体 Para Char Char Char Char"/>
    <w:basedOn w:val="1"/>
    <w:qFormat/>
    <w:uiPriority w:val="0"/>
    <w:rPr>
      <w:rFonts w:ascii="宋体" w:hAnsi="宋体"/>
      <w:b/>
      <w:color w:val="000000"/>
      <w:sz w:val="24"/>
    </w:rPr>
  </w:style>
  <w:style w:type="paragraph" w:customStyle="1" w:styleId="246">
    <w:name w:val="正文1"/>
    <w:basedOn w:val="205"/>
    <w:qFormat/>
    <w:uiPriority w:val="0"/>
    <w:pPr>
      <w:keepNext w:val="0"/>
      <w:keepLines w:val="0"/>
      <w:numPr>
        <w:ilvl w:val="3"/>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47">
    <w:name w:val="正标题"/>
    <w:basedOn w:val="1"/>
    <w:qFormat/>
    <w:uiPriority w:val="0"/>
    <w:pPr>
      <w:adjustRightInd w:val="0"/>
      <w:spacing w:before="360" w:beforeLines="0" w:beforeAutospacing="0" w:line="360" w:lineRule="auto"/>
      <w:jc w:val="center"/>
      <w:textAlignment w:val="baseline"/>
    </w:pPr>
    <w:rPr>
      <w:rFonts w:eastAsia="黑体"/>
      <w:kern w:val="0"/>
      <w:sz w:val="72"/>
    </w:rPr>
  </w:style>
  <w:style w:type="paragraph" w:customStyle="1" w:styleId="24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16"/>
    </w:rPr>
  </w:style>
  <w:style w:type="paragraph" w:customStyle="1" w:styleId="249">
    <w:name w:val="一级无标题条"/>
    <w:basedOn w:val="1"/>
    <w:qFormat/>
    <w:uiPriority w:val="0"/>
    <w:pPr>
      <w:numPr>
        <w:ilvl w:val="2"/>
        <w:numId w:val="18"/>
      </w:numPr>
    </w:pPr>
  </w:style>
  <w:style w:type="paragraph" w:customStyle="1" w:styleId="250">
    <w:name w:val="数字编号列项（二级）"/>
    <w:qFormat/>
    <w:uiPriority w:val="0"/>
    <w:pPr>
      <w:jc w:val="both"/>
    </w:pPr>
    <w:rPr>
      <w:rFonts w:ascii="宋体" w:hAnsi="Times New Roman" w:eastAsia="宋体" w:cs="Times New Roman"/>
      <w:sz w:val="21"/>
      <w:lang w:val="en-US" w:eastAsia="zh-CN" w:bidi="ar-SA"/>
    </w:rPr>
  </w:style>
  <w:style w:type="paragraph" w:customStyle="1" w:styleId="251">
    <w:name w:val="CM22"/>
    <w:basedOn w:val="191"/>
    <w:next w:val="191"/>
    <w:qFormat/>
    <w:uiPriority w:val="0"/>
    <w:pPr>
      <w:spacing w:line="468" w:lineRule="atLeast"/>
    </w:pPr>
    <w:rPr>
      <w:rFonts w:ascii="黑体" w:eastAsia="黑体"/>
      <w:color w:val="auto"/>
    </w:rPr>
  </w:style>
  <w:style w:type="paragraph" w:customStyle="1" w:styleId="252">
    <w:name w:val="xl50"/>
    <w:basedOn w:val="1"/>
    <w:qFormat/>
    <w:uiPriority w:val="0"/>
    <w:pPr>
      <w:widowControl/>
      <w:spacing w:before="100" w:beforeLines="0" w:beforeAutospacing="1" w:after="100" w:afterLines="0" w:afterAutospacing="1"/>
      <w:jc w:val="center"/>
    </w:pPr>
    <w:rPr>
      <w:rFonts w:ascii="宋体" w:hAnsi="宋体"/>
      <w:kern w:val="0"/>
      <w:sz w:val="24"/>
    </w:rPr>
  </w:style>
  <w:style w:type="paragraph" w:customStyle="1" w:styleId="253">
    <w:name w:val="xl39"/>
    <w:basedOn w:val="1"/>
    <w:qFormat/>
    <w:uiPriority w:val="0"/>
    <w:pPr>
      <w:widowControl/>
      <w:pBdr>
        <w:top w:val="single" w:color="auto" w:sz="4" w:space="0"/>
        <w:left w:val="single" w:color="auto" w:sz="4" w:space="0"/>
        <w:right w:val="single" w:color="auto" w:sz="4" w:space="0"/>
      </w:pBdr>
      <w:spacing w:before="100" w:beforeLines="0" w:beforeAutospacing="1" w:after="100" w:afterLines="0" w:afterAutospacing="1"/>
      <w:jc w:val="center"/>
      <w:textAlignment w:val="center"/>
    </w:pPr>
    <w:rPr>
      <w:kern w:val="0"/>
      <w:sz w:val="16"/>
    </w:rPr>
  </w:style>
  <w:style w:type="paragraph" w:customStyle="1" w:styleId="254">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55">
    <w:name w:val="xl52"/>
    <w:basedOn w:val="1"/>
    <w:qFormat/>
    <w:uiPriority w:val="0"/>
    <w:pPr>
      <w:widowControl/>
      <w:pBdr>
        <w:left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5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16"/>
    </w:rPr>
  </w:style>
  <w:style w:type="paragraph" w:customStyle="1" w:styleId="25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58">
    <w:name w:val=" Char2"/>
    <w:basedOn w:val="1"/>
    <w:qFormat/>
    <w:uiPriority w:val="0"/>
  </w:style>
  <w:style w:type="paragraph" w:customStyle="1" w:styleId="259">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0">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61">
    <w:name w:val="目次、标准名称标题"/>
    <w:basedOn w:val="1"/>
    <w:next w:val="149"/>
    <w:qFormat/>
    <w:uiPriority w:val="0"/>
    <w:pPr>
      <w:widowControl/>
      <w:shd w:val="clear" w:color="FFFFFF" w:fill="FFFFFF"/>
      <w:tabs>
        <w:tab w:val="left" w:pos="1140"/>
      </w:tabs>
      <w:spacing w:before="640" w:beforeLines="0" w:beforeAutospacing="0" w:after="560" w:afterLines="0" w:afterAutospacing="0" w:line="460" w:lineRule="exact"/>
      <w:jc w:val="center"/>
      <w:outlineLvl w:val="0"/>
    </w:pPr>
    <w:rPr>
      <w:rFonts w:ascii="黑体" w:eastAsia="黑体"/>
      <w:kern w:val="0"/>
      <w:sz w:val="32"/>
    </w:rPr>
  </w:style>
  <w:style w:type="paragraph" w:customStyle="1" w:styleId="262">
    <w:name w:val="付标题"/>
    <w:basedOn w:val="1"/>
    <w:qFormat/>
    <w:uiPriority w:val="0"/>
    <w:pPr>
      <w:adjustRightInd w:val="0"/>
      <w:spacing w:before="360" w:beforeLines="0" w:beforeAutospacing="0" w:line="360" w:lineRule="auto"/>
      <w:jc w:val="center"/>
      <w:textAlignment w:val="baseline"/>
    </w:pPr>
    <w:rPr>
      <w:rFonts w:eastAsia="黑体"/>
      <w:kern w:val="0"/>
      <w:sz w:val="48"/>
    </w:rPr>
  </w:style>
  <w:style w:type="paragraph" w:customStyle="1" w:styleId="263">
    <w:name w:val="font0"/>
    <w:basedOn w:val="1"/>
    <w:qFormat/>
    <w:uiPriority w:val="0"/>
    <w:pPr>
      <w:widowControl/>
      <w:spacing w:before="100" w:beforeLines="0" w:beforeAutospacing="1" w:after="100" w:afterLines="0" w:afterAutospacing="1"/>
      <w:jc w:val="left"/>
    </w:pPr>
    <w:rPr>
      <w:rFonts w:hint="eastAsia" w:ascii="宋体"/>
      <w:kern w:val="0"/>
      <w:sz w:val="24"/>
    </w:rPr>
  </w:style>
  <w:style w:type="paragraph" w:customStyle="1" w:styleId="264">
    <w:name w:val="五级无标题条"/>
    <w:basedOn w:val="1"/>
    <w:qFormat/>
    <w:uiPriority w:val="0"/>
    <w:pPr>
      <w:numPr>
        <w:ilvl w:val="6"/>
        <w:numId w:val="18"/>
      </w:numPr>
    </w:pPr>
  </w:style>
  <w:style w:type="paragraph" w:customStyle="1" w:styleId="265">
    <w:name w:val="CM17"/>
    <w:basedOn w:val="191"/>
    <w:next w:val="191"/>
    <w:qFormat/>
    <w:uiPriority w:val="0"/>
    <w:pPr>
      <w:spacing w:line="468" w:lineRule="atLeast"/>
    </w:pPr>
    <w:rPr>
      <w:rFonts w:ascii="黑体" w:eastAsia="黑体"/>
      <w:color w:val="auto"/>
    </w:rPr>
  </w:style>
  <w:style w:type="paragraph" w:customStyle="1" w:styleId="266">
    <w:name w:val="Char Char Char Char Char Char Char"/>
    <w:basedOn w:val="1"/>
    <w:qFormat/>
    <w:uiPriority w:val="0"/>
  </w:style>
  <w:style w:type="paragraph" w:customStyle="1" w:styleId="267">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6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rFonts w:ascii="宋体" w:hAnsi="宋体"/>
      <w:kern w:val="0"/>
      <w:sz w:val="20"/>
    </w:rPr>
  </w:style>
  <w:style w:type="paragraph" w:customStyle="1" w:styleId="269">
    <w:name w:val="四级无标题条"/>
    <w:basedOn w:val="1"/>
    <w:qFormat/>
    <w:uiPriority w:val="0"/>
    <w:pPr>
      <w:numPr>
        <w:ilvl w:val="5"/>
        <w:numId w:val="18"/>
      </w:numPr>
    </w:pPr>
  </w:style>
  <w:style w:type="paragraph" w:customStyle="1" w:styleId="27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71">
    <w:name w:val="p17"/>
    <w:basedOn w:val="1"/>
    <w:qFormat/>
    <w:uiPriority w:val="0"/>
    <w:pPr>
      <w:widowControl/>
    </w:pPr>
    <w:rPr>
      <w:rFonts w:ascii="宋体" w:hAnsi="宋体"/>
      <w:kern w:val="0"/>
    </w:rPr>
  </w:style>
  <w:style w:type="paragraph" w:customStyle="1" w:styleId="272">
    <w:name w:val="院标"/>
    <w:basedOn w:val="1"/>
    <w:qFormat/>
    <w:uiPriority w:val="0"/>
    <w:pPr>
      <w:adjustRightInd w:val="0"/>
      <w:spacing w:line="360" w:lineRule="auto"/>
      <w:jc w:val="center"/>
      <w:textAlignment w:val="baseline"/>
    </w:pPr>
    <w:rPr>
      <w:rFonts w:ascii="宋体" w:hAnsi="宋体"/>
      <w:kern w:val="0"/>
      <w:sz w:val="36"/>
    </w:rPr>
  </w:style>
  <w:style w:type="paragraph" w:customStyle="1" w:styleId="273">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pPr>
    <w:rPr>
      <w:kern w:val="0"/>
      <w:sz w:val="16"/>
    </w:rPr>
  </w:style>
  <w:style w:type="paragraph" w:customStyle="1" w:styleId="274">
    <w:name w:val="标题 3 + 小四 段前: 0 磅 段后: 0 磅 行距: 1.5 倍行距"/>
    <w:basedOn w:val="4"/>
    <w:next w:val="4"/>
    <w:qFormat/>
    <w:uiPriority w:val="0"/>
    <w:pPr>
      <w:tabs>
        <w:tab w:val="clear" w:pos="2126"/>
      </w:tabs>
      <w:spacing w:line="360" w:lineRule="auto"/>
    </w:pPr>
    <w:rPr>
      <w:sz w:val="24"/>
    </w:rPr>
  </w:style>
  <w:style w:type="paragraph" w:customStyle="1" w:styleId="275">
    <w:name w:val="样式 首行缩进:  0 厘米 行距: 单倍行距"/>
    <w:basedOn w:val="1"/>
    <w:qFormat/>
    <w:uiPriority w:val="0"/>
    <w:pPr>
      <w:adjustRightInd w:val="0"/>
      <w:textAlignment w:val="baseline"/>
    </w:pPr>
    <w:rPr>
      <w:kern w:val="0"/>
    </w:rPr>
  </w:style>
  <w:style w:type="paragraph" w:customStyle="1" w:styleId="276">
    <w:name w:val=" Char Char Char"/>
    <w:basedOn w:val="1"/>
    <w:qFormat/>
    <w:uiPriority w:val="0"/>
  </w:style>
  <w:style w:type="paragraph" w:customStyle="1" w:styleId="277">
    <w:name w:val="1"/>
    <w:basedOn w:val="1"/>
    <w:qFormat/>
    <w:uiPriority w:val="0"/>
    <w:pPr>
      <w:widowControl/>
      <w:spacing w:before="100" w:beforeLines="0" w:beforeAutospacing="1" w:after="100" w:afterLines="0" w:afterAutospacing="1" w:line="330" w:lineRule="atLeast"/>
      <w:ind w:left="360"/>
      <w:jc w:val="left"/>
    </w:pPr>
    <w:rPr>
      <w:rFonts w:ascii="ˎ̥" w:hAnsi="ˎ̥"/>
      <w:color w:val="51585D"/>
      <w:kern w:val="0"/>
      <w:sz w:val="24"/>
    </w:rPr>
  </w:style>
  <w:style w:type="paragraph" w:styleId="278">
    <w:name w:val="List Paragraph"/>
    <w:basedOn w:val="1"/>
    <w:qFormat/>
    <w:uiPriority w:val="0"/>
    <w:pPr>
      <w:ind w:firstLine="420" w:firstLineChars="200"/>
    </w:pPr>
    <w:rPr>
      <w:rFonts w:ascii="Calibri" w:hAnsi="Calibri"/>
    </w:rPr>
  </w:style>
  <w:style w:type="paragraph" w:customStyle="1" w:styleId="279">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rPr>
  </w:style>
  <w:style w:type="paragraph" w:customStyle="1" w:styleId="280">
    <w:name w:val=" Char"/>
    <w:basedOn w:val="1"/>
    <w:qFormat/>
    <w:uiPriority w:val="0"/>
  </w:style>
  <w:style w:type="paragraph" w:customStyle="1" w:styleId="281">
    <w:name w:val="样式 Arial 首行缩进:  2 字符"/>
    <w:basedOn w:val="1"/>
    <w:qFormat/>
    <w:uiPriority w:val="0"/>
    <w:pPr>
      <w:ind w:firstLine="403" w:firstLineChars="200"/>
    </w:pPr>
  </w:style>
  <w:style w:type="paragraph" w:customStyle="1" w:styleId="282">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83">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textAlignment w:val="center"/>
    </w:pPr>
    <w:rPr>
      <w:kern w:val="0"/>
      <w:sz w:val="16"/>
    </w:rPr>
  </w:style>
  <w:style w:type="paragraph" w:customStyle="1" w:styleId="284">
    <w:name w:val="font7"/>
    <w:basedOn w:val="1"/>
    <w:qFormat/>
    <w:uiPriority w:val="0"/>
    <w:pPr>
      <w:widowControl/>
      <w:spacing w:before="100" w:beforeLines="0" w:beforeAutospacing="1" w:after="100" w:afterLines="0" w:afterAutospacing="1"/>
      <w:jc w:val="left"/>
    </w:pPr>
    <w:rPr>
      <w:color w:val="000000"/>
      <w:kern w:val="0"/>
      <w:sz w:val="20"/>
    </w:rPr>
  </w:style>
  <w:style w:type="paragraph" w:customStyle="1" w:styleId="285">
    <w:name w:val="附录"/>
    <w:basedOn w:val="2"/>
    <w:qFormat/>
    <w:uiPriority w:val="0"/>
    <w:pPr>
      <w:numPr>
        <w:ilvl w:val="0"/>
        <w:numId w:val="0"/>
      </w:numPr>
      <w:tabs>
        <w:tab w:val="clear" w:pos="425"/>
      </w:tabs>
      <w:spacing w:line="960" w:lineRule="auto"/>
      <w:ind w:firstLine="420"/>
      <w:jc w:val="center"/>
    </w:pPr>
    <w:rPr>
      <w:rFonts w:eastAsia="黑体"/>
      <w:kern w:val="2"/>
      <w:sz w:val="28"/>
    </w:rPr>
  </w:style>
  <w:style w:type="paragraph" w:customStyle="1" w:styleId="286">
    <w:name w:val="样式2"/>
    <w:basedOn w:val="3"/>
    <w:qFormat/>
    <w:uiPriority w:val="0"/>
    <w:pPr>
      <w:tabs>
        <w:tab w:val="left" w:pos="567"/>
        <w:tab w:val="left" w:pos="850"/>
        <w:tab w:val="clear" w:pos="1276"/>
      </w:tabs>
      <w:spacing w:line="960" w:lineRule="auto"/>
      <w:jc w:val="left"/>
    </w:pPr>
    <w:rPr>
      <w:b/>
      <w:sz w:val="36"/>
    </w:rPr>
  </w:style>
  <w:style w:type="paragraph" w:customStyle="1" w:styleId="287">
    <w:name w:val="样式 标题 5 + 右侧:  1 字符"/>
    <w:basedOn w:val="6"/>
    <w:qFormat/>
    <w:uiPriority w:val="0"/>
    <w:pPr>
      <w:numPr>
        <w:ilvl w:val="4"/>
        <w:numId w:val="0"/>
      </w:numPr>
      <w:tabs>
        <w:tab w:val="clear" w:pos="3827"/>
      </w:tabs>
      <w:adjustRightInd w:val="0"/>
      <w:ind w:rightChars="100"/>
      <w:textAlignment w:val="baseline"/>
    </w:pPr>
    <w:rPr>
      <w:rFonts w:eastAsia="宋体"/>
      <w:kern w:val="0"/>
    </w:rPr>
  </w:style>
  <w:style w:type="paragraph" w:customStyle="1" w:styleId="28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color w:val="000000"/>
      <w:kern w:val="0"/>
      <w:sz w:val="20"/>
    </w:rPr>
  </w:style>
  <w:style w:type="paragraph" w:customStyle="1" w:styleId="2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kern w:val="0"/>
      <w:sz w:val="16"/>
    </w:rPr>
  </w:style>
  <w:style w:type="paragraph" w:customStyle="1" w:styleId="290">
    <w:name w:val="样式 样式 样式 样式 标题 1 + 首行缩进:  2 字符 段前: 1 行 段后: 1 行 + 黑色 首行缩进:  2 字符 ..."/>
    <w:basedOn w:val="209"/>
    <w:qFormat/>
    <w:uiPriority w:val="0"/>
    <w:pPr>
      <w:spacing w:before="357" w:beforeLines="0" w:beforeAutospacing="0" w:after="357" w:afterLines="0" w:afterAutospacing="0"/>
    </w:pPr>
    <w:rPr>
      <w:sz w:val="24"/>
    </w:rPr>
  </w:style>
  <w:style w:type="paragraph" w:customStyle="1" w:styleId="291">
    <w:name w:val=" Char3"/>
    <w:basedOn w:val="1"/>
    <w:qFormat/>
    <w:uiPriority w:val="0"/>
  </w:style>
  <w:style w:type="paragraph" w:customStyle="1" w:styleId="292">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93">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94">
    <w:name w:val="前言首行"/>
    <w:basedOn w:val="1"/>
    <w:qFormat/>
    <w:uiPriority w:val="0"/>
    <w:pPr>
      <w:spacing w:after="120" w:afterLines="0" w:afterAutospacing="0"/>
      <w:jc w:val="center"/>
    </w:pPr>
    <w:rPr>
      <w:rFonts w:eastAsia="黑体"/>
      <w:b/>
      <w:sz w:val="32"/>
    </w:rPr>
  </w:style>
  <w:style w:type="paragraph" w:customStyle="1" w:styleId="295">
    <w:name w:val="三级无标题条"/>
    <w:basedOn w:val="1"/>
    <w:qFormat/>
    <w:uiPriority w:val="0"/>
    <w:pPr>
      <w:numPr>
        <w:ilvl w:val="4"/>
        <w:numId w:val="18"/>
      </w:numPr>
    </w:pPr>
  </w:style>
  <w:style w:type="paragraph" w:customStyle="1" w:styleId="296">
    <w:name w:val="xl44"/>
    <w:basedOn w:val="1"/>
    <w:qFormat/>
    <w:uiPriority w:val="0"/>
    <w:pPr>
      <w:widowControl/>
      <w:pBdr>
        <w:top w:val="single" w:color="auto" w:sz="4" w:space="0"/>
        <w:left w:val="single" w:color="auto" w:sz="4" w:space="0"/>
        <w:right w:val="single" w:color="auto" w:sz="4" w:space="0"/>
      </w:pBdr>
      <w:shd w:val="clear" w:color="auto" w:fill="C0C0C0"/>
      <w:spacing w:before="100" w:beforeLines="0" w:beforeAutospacing="1" w:after="100" w:afterLines="0" w:afterAutospacing="1"/>
      <w:jc w:val="center"/>
      <w:textAlignment w:val="center"/>
    </w:pPr>
    <w:rPr>
      <w:color w:val="000000"/>
      <w:kern w:val="0"/>
      <w:sz w:val="16"/>
    </w:rPr>
  </w:style>
  <w:style w:type="paragraph" w:customStyle="1" w:styleId="297">
    <w:name w:val="Char2"/>
    <w:basedOn w:val="1"/>
    <w:qFormat/>
    <w:uiPriority w:val="0"/>
  </w:style>
  <w:style w:type="paragraph" w:customStyle="1" w:styleId="298">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99">
    <w:name w:val=" Char Char Char Char Char Char Char"/>
    <w:basedOn w:val="1"/>
    <w:qFormat/>
    <w:uiPriority w:val="0"/>
  </w:style>
  <w:style w:type="paragraph" w:customStyle="1" w:styleId="30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pPr>
    <w:rPr>
      <w:kern w:val="0"/>
      <w:sz w:val="16"/>
    </w:rPr>
  </w:style>
  <w:style w:type="paragraph" w:customStyle="1" w:styleId="30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Lines="0" w:beforeAutospacing="1" w:after="100" w:afterLines="0" w:afterAutospacing="1"/>
      <w:jc w:val="center"/>
      <w:textAlignment w:val="center"/>
    </w:pPr>
    <w:rPr>
      <w:kern w:val="0"/>
      <w:sz w:val="20"/>
    </w:rPr>
  </w:style>
  <w:style w:type="paragraph" w:customStyle="1" w:styleId="302">
    <w:name w:val="二级无标题条"/>
    <w:basedOn w:val="1"/>
    <w:qFormat/>
    <w:uiPriority w:val="0"/>
    <w:pPr>
      <w:numPr>
        <w:ilvl w:val="3"/>
        <w:numId w:val="18"/>
      </w:numPr>
    </w:pPr>
  </w:style>
  <w:style w:type="paragraph" w:customStyle="1" w:styleId="303">
    <w:name w:val="Char1"/>
    <w:basedOn w:val="1"/>
    <w:qFormat/>
    <w:uiPriority w:val="0"/>
    <w:pPr>
      <w:spacing w:after="624" w:afterLines="200" w:afterAutospacing="0"/>
    </w:pPr>
    <w:rPr>
      <w:rFonts w:ascii="黑体" w:eastAsia="黑体"/>
      <w:sz w:val="36"/>
    </w:rPr>
  </w:style>
  <w:style w:type="paragraph" w:customStyle="1" w:styleId="304">
    <w:name w:val="图形标题"/>
    <w:basedOn w:val="20"/>
    <w:qFormat/>
    <w:uiPriority w:val="0"/>
    <w:pPr>
      <w:spacing w:before="0" w:beforeLines="0" w:beforeAutospacing="0" w:after="0" w:afterLines="0" w:afterAutospacing="0"/>
      <w:jc w:val="center"/>
    </w:pPr>
    <w:rPr>
      <w:rFonts w:ascii="宋体" w:hAnsi="Plotter" w:eastAsia="宋体"/>
      <w:sz w:val="21"/>
    </w:rPr>
  </w:style>
  <w:style w:type="paragraph" w:customStyle="1" w:styleId="305">
    <w:name w:val="p0"/>
    <w:basedOn w:val="1"/>
    <w:qFormat/>
    <w:uiPriority w:val="0"/>
    <w:pPr>
      <w:widowControl/>
    </w:pPr>
    <w:rPr>
      <w:kern w:val="0"/>
      <w:sz w:val="32"/>
    </w:rPr>
  </w:style>
  <w:style w:type="paragraph" w:customStyle="1" w:styleId="306">
    <w:name w:val="CM5"/>
    <w:basedOn w:val="191"/>
    <w:next w:val="191"/>
    <w:qFormat/>
    <w:uiPriority w:val="0"/>
    <w:pPr>
      <w:spacing w:line="471" w:lineRule="atLeast"/>
    </w:pPr>
    <w:rPr>
      <w:rFonts w:ascii="黑体" w:eastAsia="黑体"/>
      <w:color w:val="auto"/>
    </w:rPr>
  </w:style>
  <w:style w:type="paragraph" w:customStyle="1" w:styleId="307">
    <w:name w:val="样式 样式 样式 样式 标题 1 + 首行缩进:  2 字符 段前: 1 行 段后: 1 行 + 黑色 首行缩进:  2 字符 ...1"/>
    <w:basedOn w:val="209"/>
    <w:qFormat/>
    <w:uiPriority w:val="0"/>
    <w:pPr>
      <w:spacing w:before="357" w:beforeLines="0" w:beforeAutospacing="0" w:after="357" w:afterLines="0" w:afterAutospacing="0"/>
    </w:pPr>
    <w:rPr>
      <w:sz w:val="24"/>
    </w:rPr>
  </w:style>
  <w:style w:type="paragraph" w:customStyle="1" w:styleId="308">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Lines="0" w:beforeAutospacing="1" w:after="100" w:afterLines="0" w:afterAutospacing="1"/>
      <w:jc w:val="center"/>
    </w:pPr>
    <w:rPr>
      <w:kern w:val="0"/>
      <w:sz w:val="16"/>
    </w:rPr>
  </w:style>
  <w:style w:type="paragraph" w:customStyle="1" w:styleId="309">
    <w:name w:val="发布日期"/>
    <w:qFormat/>
    <w:uiPriority w:val="0"/>
    <w:rPr>
      <w:rFonts w:ascii="Times New Roman" w:hAnsi="Times New Roman" w:eastAsia="黑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wmf"/><Relationship Id="rId15" Type="http://schemas.openxmlformats.org/officeDocument/2006/relationships/oleObject" Target="embeddings/oleObject1.bin"/><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18</Pages>
  <Words>6432</Words>
  <Characters>7507</Characters>
  <Lines>479</Lines>
  <Paragraphs>134</Paragraphs>
  <TotalTime>7</TotalTime>
  <ScaleCrop>false</ScaleCrop>
  <LinksUpToDate>false</LinksUpToDate>
  <CharactersWithSpaces>7777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2018-07-15T02:14:00Z</dcterms:created>
  <dc:creator>liuruoqiao</dc:creator>
  <cp:lastModifiedBy>I</cp:lastModifiedBy>
  <cp:lastPrinted>2018-07-15T02:13:00Z</cp:lastPrinted>
  <dcterms:modified xsi:type="dcterms:W3CDTF">2026-04-17T09:03:34Z</dcterms:modified>
  <dc:title>（2009年版）</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2052-12.1.0.24034</vt:lpwstr>
  </property>
  <property fmtid="{D5CDD505-2E9C-101B-9397-08002B2CF9AE}" pid="4" name="ICV">
    <vt:lpwstr>F0006CFC929F41F4BACFB8E0F25A73FA</vt:lpwstr>
  </property>
  <property fmtid="{D5CDD505-2E9C-101B-9397-08002B2CF9AE}" pid="5" name="KSOTemplateDocerSaveRecord">
    <vt:lpwstr>eyJoZGlkIjoiMTM0NDNiNWQxMGMwN2NjOWVlMTA0M2VlYmMyZDc4MTMiLCJ1c2VySWQiOiIzMDU2MzgwMjkifQ==</vt:lpwstr>
  </property>
</Properties>
</file>