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0412A2">
      <w:pPr>
        <w:jc w:val="center"/>
        <w:rPr>
          <w:rFonts w:hint="eastAsia" w:ascii="仿宋" w:hAnsi="仿宋" w:eastAsia="仿宋" w:cs="仿宋"/>
          <w:b/>
          <w:bCs/>
          <w:sz w:val="44"/>
          <w:szCs w:val="44"/>
        </w:rPr>
      </w:pPr>
      <w:r>
        <w:rPr>
          <w:rFonts w:hint="eastAsia" w:ascii="仿宋" w:hAnsi="仿宋" w:eastAsia="仿宋" w:cs="仿宋"/>
          <w:b/>
          <w:bCs/>
          <w:sz w:val="44"/>
          <w:szCs w:val="44"/>
        </w:rPr>
        <w:t>质疑函</w:t>
      </w:r>
    </w:p>
    <w:p w14:paraId="4D4B85D3">
      <w:pPr>
        <w:adjustRightInd w:val="0"/>
        <w:snapToGrid w:val="0"/>
        <w:spacing w:line="360" w:lineRule="auto"/>
        <w:rPr>
          <w:rFonts w:hint="eastAsia" w:ascii="黑体" w:hAnsi="黑体" w:eastAsia="黑体" w:cs="仿宋"/>
          <w:bCs/>
          <w:sz w:val="32"/>
          <w:szCs w:val="32"/>
        </w:rPr>
      </w:pPr>
      <w:r>
        <w:rPr>
          <w:rFonts w:hint="eastAsia" w:ascii="黑体" w:hAnsi="黑体" w:eastAsia="黑体" w:cs="仿宋"/>
          <w:bCs/>
          <w:sz w:val="32"/>
          <w:szCs w:val="32"/>
        </w:rPr>
        <w:t>一、质疑项目基本情况</w:t>
      </w:r>
    </w:p>
    <w:p w14:paraId="6559D999">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sz w:val="32"/>
          <w:szCs w:val="32"/>
        </w:rPr>
        <w:t>质疑项目的名称：</w:t>
      </w:r>
      <w:r>
        <w:rPr>
          <w:rFonts w:hint="eastAsia" w:ascii="仿宋" w:hAnsi="仿宋" w:eastAsia="仿宋" w:cs="仿宋"/>
          <w:sz w:val="32"/>
          <w:szCs w:val="32"/>
          <w:u w:val="dotted"/>
        </w:rPr>
        <w:t>昆明局昆北实操基地实训室影音系统购置项目</w:t>
      </w:r>
    </w:p>
    <w:p w14:paraId="42FDBCA4">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sz w:val="32"/>
          <w:szCs w:val="32"/>
        </w:rPr>
        <w:t>质疑项目的编号：</w:t>
      </w:r>
      <w:r>
        <w:rPr>
          <w:rFonts w:hint="eastAsia" w:ascii="仿宋" w:hAnsi="仿宋" w:eastAsia="仿宋" w:cs="仿宋"/>
          <w:sz w:val="32"/>
          <w:szCs w:val="32"/>
          <w:u w:val="dotted"/>
        </w:rPr>
        <w:t>CG0100022002291801</w:t>
      </w:r>
      <w:r>
        <w:rPr>
          <w:rFonts w:hint="eastAsia" w:ascii="仿宋" w:hAnsi="仿宋" w:eastAsia="仿宋" w:cs="仿宋"/>
          <w:sz w:val="32"/>
          <w:szCs w:val="32"/>
        </w:rPr>
        <w:t>包号：</w:t>
      </w:r>
      <w:r>
        <w:rPr>
          <w:rFonts w:hint="eastAsia" w:ascii="仿宋" w:hAnsi="仿宋" w:eastAsia="仿宋" w:cs="仿宋"/>
          <w:sz w:val="32"/>
          <w:szCs w:val="32"/>
          <w:u w:val="dotted"/>
        </w:rPr>
        <w:t xml:space="preserve">多媒体系统1      </w:t>
      </w:r>
    </w:p>
    <w:p w14:paraId="1B3AB54C">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sz w:val="32"/>
          <w:szCs w:val="32"/>
        </w:rPr>
        <w:t>采购人名称：</w:t>
      </w:r>
      <w:r>
        <w:rPr>
          <w:rFonts w:hint="eastAsia" w:ascii="仿宋" w:hAnsi="仿宋" w:eastAsia="仿宋" w:cs="仿宋"/>
          <w:sz w:val="32"/>
          <w:szCs w:val="32"/>
          <w:u w:val="dotted"/>
        </w:rPr>
        <w:t>中国南方电网有限责任公司超高压输电公司昆明局</w:t>
      </w:r>
    </w:p>
    <w:p w14:paraId="3649F6A8">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sz w:val="32"/>
          <w:szCs w:val="32"/>
        </w:rPr>
        <w:t>代理机构名称：</w:t>
      </w:r>
      <w:r>
        <w:rPr>
          <w:rFonts w:hint="eastAsia" w:ascii="仿宋" w:hAnsi="仿宋" w:eastAsia="仿宋" w:cs="仿宋"/>
          <w:sz w:val="32"/>
          <w:szCs w:val="32"/>
          <w:u w:val="dotted"/>
        </w:rPr>
        <w:t>南方电网供应链集团有限公司</w:t>
      </w:r>
    </w:p>
    <w:p w14:paraId="4E8860E6">
      <w:pPr>
        <w:adjustRightInd w:val="0"/>
        <w:snapToGrid w:val="0"/>
        <w:spacing w:line="360" w:lineRule="auto"/>
        <w:rPr>
          <w:rFonts w:hint="eastAsia" w:ascii="黑体" w:hAnsi="黑体" w:eastAsia="黑体" w:cs="仿宋"/>
          <w:bCs/>
          <w:sz w:val="32"/>
          <w:szCs w:val="32"/>
        </w:rPr>
      </w:pPr>
    </w:p>
    <w:p w14:paraId="60FA3789">
      <w:pPr>
        <w:adjustRightInd w:val="0"/>
        <w:snapToGrid w:val="0"/>
        <w:spacing w:line="360" w:lineRule="auto"/>
        <w:rPr>
          <w:rFonts w:hint="eastAsia" w:ascii="黑体" w:hAnsi="黑体" w:eastAsia="黑体" w:cs="仿宋"/>
          <w:bCs/>
          <w:sz w:val="32"/>
          <w:szCs w:val="32"/>
        </w:rPr>
      </w:pPr>
    </w:p>
    <w:p w14:paraId="7A3176C1">
      <w:pPr>
        <w:adjustRightInd w:val="0"/>
        <w:snapToGrid w:val="0"/>
        <w:spacing w:line="360" w:lineRule="auto"/>
        <w:rPr>
          <w:rFonts w:hint="eastAsia" w:ascii="黑体" w:hAnsi="黑体" w:eastAsia="黑体" w:cs="仿宋"/>
          <w:bCs/>
          <w:sz w:val="32"/>
          <w:szCs w:val="32"/>
        </w:rPr>
      </w:pPr>
      <w:r>
        <w:rPr>
          <w:rFonts w:hint="eastAsia" w:ascii="黑体" w:hAnsi="黑体" w:eastAsia="黑体" w:cs="仿宋"/>
          <w:bCs/>
          <w:sz w:val="32"/>
          <w:szCs w:val="32"/>
        </w:rPr>
        <w:t>二、质疑事项具体内容</w:t>
      </w:r>
    </w:p>
    <w:p w14:paraId="56A5D135">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b/>
          <w:bCs/>
          <w:sz w:val="32"/>
          <w:szCs w:val="32"/>
        </w:rPr>
        <w:t>质疑事项1：</w:t>
      </w:r>
      <w:r>
        <w:rPr>
          <w:rFonts w:hint="eastAsia" w:ascii="仿宋" w:hAnsi="仿宋" w:eastAsia="仿宋" w:cs="仿宋"/>
          <w:sz w:val="32"/>
          <w:szCs w:val="32"/>
          <w:u w:val="dotted"/>
        </w:rPr>
        <w:t>3.2.1.1教学一体机及3.2.1.2互动侧屏部分：（5）设备需支持NFC碰碰传功能：支持带有NFC功能的移动设备靠近NFC标签时可近场感应，能快速将其屏幕传至大屏，实现无线教学。</w:t>
      </w:r>
    </w:p>
    <w:p w14:paraId="3257CB47">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b/>
          <w:bCs/>
          <w:sz w:val="32"/>
          <w:szCs w:val="32"/>
          <w:u w:val="dotted"/>
        </w:rPr>
        <w:t>事实依据：</w:t>
      </w:r>
      <w:r>
        <w:rPr>
          <w:rFonts w:hint="eastAsia" w:ascii="仿宋" w:hAnsi="仿宋" w:eastAsia="仿宋" w:cs="仿宋"/>
          <w:sz w:val="32"/>
          <w:szCs w:val="32"/>
          <w:u w:val="dotted"/>
        </w:rPr>
        <w:t>本参数存在大量“文香”品牌独有控标参数，存在严重品牌指向性、与排他性，已违反“《中华人民共和国政府采购法实施条例》第二十条”之规定。</w:t>
      </w:r>
    </w:p>
    <w:p w14:paraId="6D1E2148">
      <w:pPr>
        <w:adjustRightInd w:val="0"/>
        <w:snapToGrid w:val="0"/>
        <w:spacing w:line="360" w:lineRule="auto"/>
        <w:rPr>
          <w:rFonts w:hint="eastAsia" w:ascii="仿宋" w:hAnsi="仿宋" w:eastAsia="仿宋" w:cs="仿宋"/>
          <w:sz w:val="32"/>
          <w:szCs w:val="32"/>
          <w:u w:val="dotted"/>
        </w:rPr>
      </w:pPr>
    </w:p>
    <w:p w14:paraId="37EFB3BA">
      <w:pPr>
        <w:adjustRightInd w:val="0"/>
        <w:snapToGrid w:val="0"/>
        <w:spacing w:line="360" w:lineRule="auto"/>
      </w:pPr>
      <w:r>
        <w:drawing>
          <wp:inline distT="0" distB="0" distL="114300" distR="114300">
            <wp:extent cx="5267325" cy="5513705"/>
            <wp:effectExtent l="0" t="0" r="3175" b="10795"/>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6"/>
                    <a:stretch>
                      <a:fillRect/>
                    </a:stretch>
                  </pic:blipFill>
                  <pic:spPr>
                    <a:xfrm>
                      <a:off x="0" y="0"/>
                      <a:ext cx="5267325" cy="5513705"/>
                    </a:xfrm>
                    <a:prstGeom prst="rect">
                      <a:avLst/>
                    </a:prstGeom>
                    <a:noFill/>
                    <a:ln>
                      <a:noFill/>
                    </a:ln>
                  </pic:spPr>
                </pic:pic>
              </a:graphicData>
            </a:graphic>
          </wp:inline>
        </w:drawing>
      </w:r>
    </w:p>
    <w:p w14:paraId="01CEC80E">
      <w:pPr>
        <w:adjustRightInd w:val="0"/>
        <w:snapToGrid w:val="0"/>
        <w:spacing w:line="360" w:lineRule="auto"/>
      </w:pPr>
      <w:r>
        <mc:AlternateContent>
          <mc:Choice Requires="wps">
            <w:drawing>
              <wp:anchor distT="0" distB="0" distL="114300" distR="114300" simplePos="0" relativeHeight="251659264" behindDoc="0" locked="0" layoutInCell="1" allowOverlap="1">
                <wp:simplePos x="0" y="0"/>
                <wp:positionH relativeFrom="column">
                  <wp:posOffset>1590040</wp:posOffset>
                </wp:positionH>
                <wp:positionV relativeFrom="paragraph">
                  <wp:posOffset>4490085</wp:posOffset>
                </wp:positionV>
                <wp:extent cx="1905000" cy="1206500"/>
                <wp:effectExtent l="13970" t="13970" r="24130" b="17780"/>
                <wp:wrapNone/>
                <wp:docPr id="1" name="矩形 2"/>
                <wp:cNvGraphicFramePr/>
                <a:graphic xmlns:a="http://schemas.openxmlformats.org/drawingml/2006/main">
                  <a:graphicData uri="http://schemas.microsoft.com/office/word/2010/wordprocessingShape">
                    <wps:wsp>
                      <wps:cNvSpPr/>
                      <wps:spPr>
                        <a:xfrm>
                          <a:off x="0" y="0"/>
                          <a:ext cx="1905000" cy="1206500"/>
                        </a:xfrm>
                        <a:prstGeom prst="rect">
                          <a:avLst/>
                        </a:prstGeom>
                        <a:noFill/>
                        <a:ln w="28575" cap="flat" cmpd="sng">
                          <a:solidFill>
                            <a:srgbClr val="FF0000"/>
                          </a:solidFill>
                          <a:prstDash val="solid"/>
                          <a:miter/>
                          <a:headEnd type="none" w="med" len="med"/>
                          <a:tailEnd type="none" w="med" len="med"/>
                        </a:ln>
                      </wps:spPr>
                      <wps:bodyPr upright="1"/>
                    </wps:wsp>
                  </a:graphicData>
                </a:graphic>
              </wp:anchor>
            </w:drawing>
          </mc:Choice>
          <mc:Fallback>
            <w:pict>
              <v:rect id="矩形 2" o:spid="_x0000_s1026" o:spt="1" style="position:absolute;left:0pt;margin-left:125.2pt;margin-top:353.55pt;height:95pt;width:150pt;z-index:251659264;mso-width-relative:page;mso-height-relative:page;" filled="f" stroked="t" coordsize="21600,21600" o:gfxdata="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RGjlsdYAAAALAQAADwAAAAAAAAABACAAAAAiAAAAZHJzL2Rvd25yZXYueG1sUEsB&#10;AhQAFAAAAAgAh07iQFq/Vvv3AQAA9wMAAA4AAAAAAAAAAQAgAAAAJQEAAGRycy9lMm9Eb2MueG1s&#10;UEsFBgAAAAAGAAYAWQEAAI4FAAAAAA==&#10;">
                <v:fill on="f" focussize="0,0"/>
                <v:stroke weight="2.25pt" color="#FF0000" joinstyle="miter"/>
                <v:imagedata o:title=""/>
                <o:lock v:ext="edit" aspectratio="f"/>
              </v:rect>
            </w:pict>
          </mc:Fallback>
        </mc:AlternateContent>
      </w:r>
      <w:r>
        <w:drawing>
          <wp:inline distT="0" distB="0" distL="114300" distR="114300">
            <wp:extent cx="5273040" cy="6984365"/>
            <wp:effectExtent l="0" t="0" r="10160" b="635"/>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7"/>
                    <a:stretch>
                      <a:fillRect/>
                    </a:stretch>
                  </pic:blipFill>
                  <pic:spPr>
                    <a:xfrm>
                      <a:off x="0" y="0"/>
                      <a:ext cx="5273040" cy="6984365"/>
                    </a:xfrm>
                    <a:prstGeom prst="rect">
                      <a:avLst/>
                    </a:prstGeom>
                    <a:noFill/>
                    <a:ln>
                      <a:noFill/>
                    </a:ln>
                  </pic:spPr>
                </pic:pic>
              </a:graphicData>
            </a:graphic>
          </wp:inline>
        </w:drawing>
      </w:r>
    </w:p>
    <w:p w14:paraId="74DD809F">
      <w:pPr>
        <w:rPr>
          <w:rFonts w:hint="eastAsia" w:ascii="仿宋" w:hAnsi="仿宋" w:eastAsia="仿宋" w:cs="仿宋"/>
          <w:sz w:val="32"/>
          <w:szCs w:val="32"/>
          <w:u w:val="dotted"/>
        </w:rPr>
      </w:pPr>
      <w:r>
        <w:rPr>
          <w:rFonts w:hint="eastAsia" w:ascii="仿宋" w:hAnsi="仿宋" w:eastAsia="仿宋" w:cs="仿宋"/>
          <w:b/>
          <w:bCs/>
          <w:sz w:val="32"/>
          <w:szCs w:val="32"/>
        </w:rPr>
        <w:t>质疑事项2：</w:t>
      </w:r>
      <w:r>
        <w:rPr>
          <w:rFonts w:hint="eastAsia" w:ascii="仿宋" w:hAnsi="仿宋" w:eastAsia="仿宋" w:cs="仿宋"/>
          <w:sz w:val="32"/>
          <w:szCs w:val="32"/>
          <w:u w:val="dotted"/>
        </w:rPr>
        <w:t>3.2.1.1教学一体机及3.2.1.2互动侧屏部分：（8）具有熄屏功能，支持智能手势识别开关产品背光，操作者可在显示区域任意位置，任意信号下，通过五指按压屏幕实现对屏幕的开关，五指触控实现产品背光的关闭与开启。</w:t>
      </w:r>
    </w:p>
    <w:p w14:paraId="709C552A">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b/>
          <w:bCs/>
          <w:sz w:val="32"/>
          <w:szCs w:val="32"/>
          <w:u w:val="dotted"/>
        </w:rPr>
        <w:t>事实依据：</w:t>
      </w:r>
      <w:r>
        <w:rPr>
          <w:rFonts w:hint="eastAsia" w:ascii="仿宋" w:hAnsi="仿宋" w:eastAsia="仿宋" w:cs="仿宋"/>
          <w:sz w:val="32"/>
          <w:szCs w:val="32"/>
          <w:u w:val="dotted"/>
        </w:rPr>
        <w:t>该参数与文香检测报告描述几乎一模一样，且对屏幕的息屏各个厂家都有不同的实现方式，只要能实现相关功能即可，为什么非得“五指”，请问两指、三指不行么？该参数明显为“文香”品牌独有控标参数，存在严重品牌指向性、与排他性，已违反“《中华人民共和国政府采购法实施条例》第二十条”之规定。</w:t>
      </w:r>
    </w:p>
    <w:p w14:paraId="387C1156">
      <w:pPr>
        <w:adjustRightInd w:val="0"/>
        <w:snapToGrid w:val="0"/>
        <w:spacing w:line="360" w:lineRule="auto"/>
        <w:rPr>
          <w:rFonts w:hint="eastAsia" w:ascii="仿宋" w:hAnsi="仿宋" w:eastAsia="仿宋" w:cs="仿宋"/>
          <w:sz w:val="32"/>
          <w:szCs w:val="32"/>
          <w:u w:val="dotted"/>
        </w:rPr>
      </w:pPr>
      <w:r>
        <w:drawing>
          <wp:inline distT="0" distB="0" distL="114300" distR="114300">
            <wp:extent cx="5267325" cy="5513705"/>
            <wp:effectExtent l="0" t="0" r="3175" b="1079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pic:cNvPicPr>
                  </pic:nvPicPr>
                  <pic:blipFill>
                    <a:blip r:embed="rId6"/>
                    <a:stretch>
                      <a:fillRect/>
                    </a:stretch>
                  </pic:blipFill>
                  <pic:spPr>
                    <a:xfrm>
                      <a:off x="0" y="0"/>
                      <a:ext cx="5267325" cy="5513705"/>
                    </a:xfrm>
                    <a:prstGeom prst="rect">
                      <a:avLst/>
                    </a:prstGeom>
                    <a:noFill/>
                    <a:ln>
                      <a:noFill/>
                    </a:ln>
                  </pic:spPr>
                </pic:pic>
              </a:graphicData>
            </a:graphic>
          </wp:inline>
        </w:drawing>
      </w:r>
    </w:p>
    <w:p w14:paraId="0AB1EB6F"/>
    <w:p w14:paraId="66A1B6F9">
      <w:pPr>
        <w:rPr>
          <w:rFonts w:hint="eastAsia" w:ascii="仿宋" w:hAnsi="仿宋" w:eastAsia="仿宋" w:cs="仿宋"/>
          <w:sz w:val="32"/>
          <w:szCs w:val="32"/>
          <w:u w:val="dotted"/>
        </w:rPr>
      </w:pPr>
      <w:r>
        <mc:AlternateContent>
          <mc:Choice Requires="wps">
            <w:drawing>
              <wp:anchor distT="0" distB="0" distL="114300" distR="114300" simplePos="0" relativeHeight="251661312" behindDoc="0" locked="0" layoutInCell="1" allowOverlap="1">
                <wp:simplePos x="0" y="0"/>
                <wp:positionH relativeFrom="column">
                  <wp:posOffset>1809750</wp:posOffset>
                </wp:positionH>
                <wp:positionV relativeFrom="paragraph">
                  <wp:posOffset>3896360</wp:posOffset>
                </wp:positionV>
                <wp:extent cx="1558290" cy="698500"/>
                <wp:effectExtent l="13970" t="13970" r="27940" b="30480"/>
                <wp:wrapNone/>
                <wp:docPr id="2" name="矩形 4"/>
                <wp:cNvGraphicFramePr/>
                <a:graphic xmlns:a="http://schemas.openxmlformats.org/drawingml/2006/main">
                  <a:graphicData uri="http://schemas.microsoft.com/office/word/2010/wordprocessingShape">
                    <wps:wsp>
                      <wps:cNvSpPr/>
                      <wps:spPr>
                        <a:xfrm>
                          <a:off x="0" y="0"/>
                          <a:ext cx="1558290" cy="698500"/>
                        </a:xfrm>
                        <a:prstGeom prst="rect">
                          <a:avLst/>
                        </a:prstGeom>
                        <a:noFill/>
                        <a:ln w="28575" cap="flat" cmpd="sng">
                          <a:solidFill>
                            <a:srgbClr val="FF0000"/>
                          </a:solidFill>
                          <a:prstDash val="solid"/>
                          <a:miter/>
                          <a:headEnd type="none" w="med" len="med"/>
                          <a:tailEnd type="none" w="med" len="med"/>
                        </a:ln>
                      </wps:spPr>
                      <wps:bodyPr upright="1"/>
                    </wps:wsp>
                  </a:graphicData>
                </a:graphic>
              </wp:anchor>
            </w:drawing>
          </mc:Choice>
          <mc:Fallback>
            <w:pict>
              <v:rect id="矩形 4" o:spid="_x0000_s1026" o:spt="1" style="position:absolute;left:0pt;margin-left:142.5pt;margin-top:306.8pt;height:55pt;width:122.7pt;z-index:251661312;mso-width-relative:page;mso-height-relative:page;" filled="f" stroked="t" coordsize="21600,21600" o:gfxdata="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5q37+2AAAAAsBAAAPAAAAAAAAAAEAIAAAACIAAABkcnMvZG93bnJldi54&#10;bWxQSwECFAAUAAAACACHTuJAW5c/l/oBAAD2AwAADgAAAAAAAAABACAAAAAnAQAAZHJzL2Uyb0Rv&#10;Yy54bWxQSwUGAAAAAAYABgBZAQAAkwUAAAAA&#10;">
                <v:fill on="f" focussize="0,0"/>
                <v:stroke weight="2.25pt" color="#FF0000" joinstyle="miter"/>
                <v:imagedata o:title=""/>
                <o:lock v:ext="edit" aspectratio="f"/>
              </v:rect>
            </w:pict>
          </mc:Fallback>
        </mc:AlternateContent>
      </w:r>
      <w:r>
        <w:drawing>
          <wp:inline distT="0" distB="0" distL="114300" distR="114300">
            <wp:extent cx="5266690" cy="5882005"/>
            <wp:effectExtent l="0" t="0" r="3810" b="10795"/>
            <wp:docPr id="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
                    <pic:cNvPicPr>
                      <a:picLocks noChangeAspect="1"/>
                    </pic:cNvPicPr>
                  </pic:nvPicPr>
                  <pic:blipFill>
                    <a:blip r:embed="rId8"/>
                    <a:stretch>
                      <a:fillRect/>
                    </a:stretch>
                  </pic:blipFill>
                  <pic:spPr>
                    <a:xfrm>
                      <a:off x="0" y="0"/>
                      <a:ext cx="5266690" cy="5882005"/>
                    </a:xfrm>
                    <a:prstGeom prst="rect">
                      <a:avLst/>
                    </a:prstGeom>
                    <a:noFill/>
                    <a:ln>
                      <a:noFill/>
                    </a:ln>
                  </pic:spPr>
                </pic:pic>
              </a:graphicData>
            </a:graphic>
          </wp:inline>
        </w:drawing>
      </w:r>
    </w:p>
    <w:p w14:paraId="64F54A64">
      <w:pPr>
        <w:rPr>
          <w:rFonts w:hint="eastAsia" w:ascii="仿宋" w:hAnsi="仿宋" w:eastAsia="仿宋" w:cs="仿宋"/>
          <w:sz w:val="32"/>
          <w:szCs w:val="32"/>
          <w:u w:val="dotted"/>
        </w:rPr>
      </w:pPr>
    </w:p>
    <w:p w14:paraId="3133D9A9"/>
    <w:p w14:paraId="2D32017C">
      <w:pPr>
        <w:pStyle w:val="22"/>
        <w:adjustRightInd w:val="0"/>
        <w:snapToGrid w:val="0"/>
        <w:spacing w:line="360" w:lineRule="auto"/>
        <w:ind w:left="420" w:leftChars="200" w:firstLine="0" w:firstLineChars="0"/>
        <w:rPr>
          <w:rFonts w:hint="eastAsia" w:ascii="仿宋" w:hAnsi="仿宋" w:eastAsia="仿宋" w:cs="仿宋"/>
          <w:sz w:val="32"/>
          <w:szCs w:val="32"/>
          <w:u w:val="dotted"/>
        </w:rPr>
      </w:pPr>
      <w:r>
        <w:rPr>
          <w:rFonts w:hint="eastAsia" w:ascii="仿宋" w:hAnsi="仿宋" w:eastAsia="仿宋" w:cs="仿宋"/>
          <w:b/>
          <w:bCs/>
          <w:sz w:val="32"/>
          <w:szCs w:val="32"/>
        </w:rPr>
        <w:t>质疑事项3：</w:t>
      </w:r>
      <w:r>
        <w:rPr>
          <w:rFonts w:hint="eastAsia" w:ascii="仿宋" w:hAnsi="仿宋" w:eastAsia="仿宋" w:cs="仿宋"/>
          <w:sz w:val="32"/>
          <w:szCs w:val="32"/>
          <w:u w:val="dotted"/>
        </w:rPr>
        <w:t>3.2.1.1教学一体机部分：（24）需支持展板、会议功能，可快速完成欢迎界面和会议主题设置，全屏显示，支持不少于12种模板，可对欢迎文字的字体、大小、颜色进行编辑；需支持会议签名功能，并可扫码带走签名及模板。（25）无需借助PC，设备需支持一键进行硬件自检，至少包括对系统内存、存储、设备温度、光感系统、内置电脑、网络、摄像头、麦克风等进行状态提示及故障提示，支持一键优化。（26）设备内置教学辅助系统，支持安装第三方APP软件并可以正常使用APP软件，支持第三方APP安装阻断功能，可限制未知来源的第三方APP安装。</w:t>
      </w:r>
    </w:p>
    <w:p w14:paraId="726FCAC2">
      <w:pPr>
        <w:rPr>
          <w:rFonts w:hint="eastAsia" w:ascii="仿宋" w:hAnsi="仿宋" w:eastAsia="仿宋" w:cs="仿宋"/>
          <w:sz w:val="32"/>
          <w:szCs w:val="32"/>
          <w:u w:val="dotted"/>
        </w:rPr>
      </w:pPr>
    </w:p>
    <w:p w14:paraId="45C27714">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b/>
          <w:bCs/>
          <w:sz w:val="32"/>
          <w:szCs w:val="32"/>
          <w:u w:val="dotted"/>
        </w:rPr>
        <w:t>事实依据：</w:t>
      </w:r>
      <w:r>
        <w:rPr>
          <w:rFonts w:hint="eastAsia" w:ascii="仿宋" w:hAnsi="仿宋" w:eastAsia="仿宋" w:cs="仿宋"/>
          <w:sz w:val="32"/>
          <w:szCs w:val="32"/>
          <w:u w:val="dotted"/>
        </w:rPr>
        <w:t>该参数与文香检测报告描述一模一样，本参数存在大量“文香”品牌独有控标参数，存在严重品牌指向性、与排他性，已违反“《中华人民共和国政府采购法实施条例》第二十条”之规定。</w:t>
      </w:r>
    </w:p>
    <w:p w14:paraId="505F04D2"/>
    <w:p w14:paraId="6848BBDC">
      <w:r>
        <w:drawing>
          <wp:inline distT="0" distB="0" distL="114300" distR="114300">
            <wp:extent cx="5267325" cy="5513705"/>
            <wp:effectExtent l="0" t="0" r="3175" b="1079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6"/>
                    <a:stretch>
                      <a:fillRect/>
                    </a:stretch>
                  </pic:blipFill>
                  <pic:spPr>
                    <a:xfrm>
                      <a:off x="0" y="0"/>
                      <a:ext cx="5267325" cy="5513705"/>
                    </a:xfrm>
                    <a:prstGeom prst="rect">
                      <a:avLst/>
                    </a:prstGeom>
                    <a:noFill/>
                    <a:ln>
                      <a:noFill/>
                    </a:ln>
                  </pic:spPr>
                </pic:pic>
              </a:graphicData>
            </a:graphic>
          </wp:inline>
        </w:drawing>
      </w:r>
    </w:p>
    <w:p w14:paraId="495BE361">
      <w:r>
        <mc:AlternateContent>
          <mc:Choice Requires="wps">
            <w:drawing>
              <wp:anchor distT="0" distB="0" distL="114300" distR="114300" simplePos="0" relativeHeight="251663360" behindDoc="0" locked="0" layoutInCell="1" allowOverlap="1">
                <wp:simplePos x="0" y="0"/>
                <wp:positionH relativeFrom="column">
                  <wp:posOffset>1506855</wp:posOffset>
                </wp:positionH>
                <wp:positionV relativeFrom="paragraph">
                  <wp:posOffset>3128010</wp:posOffset>
                </wp:positionV>
                <wp:extent cx="1748790" cy="1353185"/>
                <wp:effectExtent l="13970" t="14605" r="27940" b="22860"/>
                <wp:wrapNone/>
                <wp:docPr id="4" name="矩形 9"/>
                <wp:cNvGraphicFramePr/>
                <a:graphic xmlns:a="http://schemas.openxmlformats.org/drawingml/2006/main">
                  <a:graphicData uri="http://schemas.microsoft.com/office/word/2010/wordprocessingShape">
                    <wps:wsp>
                      <wps:cNvSpPr/>
                      <wps:spPr>
                        <a:xfrm>
                          <a:off x="0" y="0"/>
                          <a:ext cx="1748790" cy="1353185"/>
                        </a:xfrm>
                        <a:prstGeom prst="rect">
                          <a:avLst/>
                        </a:prstGeom>
                        <a:noFill/>
                        <a:ln w="28575" cap="flat" cmpd="sng">
                          <a:solidFill>
                            <a:srgbClr val="FF0000"/>
                          </a:solidFill>
                          <a:prstDash val="solid"/>
                          <a:miter/>
                          <a:headEnd type="none" w="med" len="med"/>
                          <a:tailEnd type="none" w="med" len="med"/>
                        </a:ln>
                      </wps:spPr>
                      <wps:bodyPr upright="1"/>
                    </wps:wsp>
                  </a:graphicData>
                </a:graphic>
              </wp:anchor>
            </w:drawing>
          </mc:Choice>
          <mc:Fallback>
            <w:pict>
              <v:rect id="矩形 9" o:spid="_x0000_s1026" o:spt="1" style="position:absolute;left:0pt;margin-left:118.65pt;margin-top:246.3pt;height:106.55pt;width:137.7pt;z-index:251663360;mso-width-relative:page;mso-height-relative:page;" filled="f" stroked="t" coordsize="21600,21600" o:gfxdata="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6qNExtcAAAALAQAADwAAAAAAAAABACAAAAAiAAAAZHJzL2Rvd25yZXYu&#10;eG1sUEsBAhQAFAAAAAgAh07iQIdQ+0T8AQAA9wMAAA4AAAAAAAAAAQAgAAAAJgEAAGRycy9lMm9E&#10;b2MueG1sUEsFBgAAAAAGAAYAWQEAAJQFAAAAAA==&#10;">
                <v:fill on="f" focussize="0,0"/>
                <v:stroke weight="2.25pt" color="#FF0000" joinstyle="miter"/>
                <v:imagedata o:title=""/>
                <o:lock v:ext="edit" aspectratio="f"/>
              </v:rect>
            </w:pict>
          </mc:Fallback>
        </mc:AlternateContent>
      </w:r>
      <w:r>
        <w:drawing>
          <wp:inline distT="0" distB="0" distL="114300" distR="114300">
            <wp:extent cx="5267325" cy="6285865"/>
            <wp:effectExtent l="0" t="0" r="3175" b="635"/>
            <wp:docPr id="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8"/>
                    <pic:cNvPicPr>
                      <a:picLocks noChangeAspect="1"/>
                    </pic:cNvPicPr>
                  </pic:nvPicPr>
                  <pic:blipFill>
                    <a:blip r:embed="rId9"/>
                    <a:stretch>
                      <a:fillRect/>
                    </a:stretch>
                  </pic:blipFill>
                  <pic:spPr>
                    <a:xfrm>
                      <a:off x="0" y="0"/>
                      <a:ext cx="5267325" cy="6285865"/>
                    </a:xfrm>
                    <a:prstGeom prst="rect">
                      <a:avLst/>
                    </a:prstGeom>
                    <a:noFill/>
                    <a:ln>
                      <a:noFill/>
                    </a:ln>
                  </pic:spPr>
                </pic:pic>
              </a:graphicData>
            </a:graphic>
          </wp:inline>
        </w:drawing>
      </w:r>
    </w:p>
    <w:p w14:paraId="652ECEC3">
      <w:pPr>
        <w:pStyle w:val="22"/>
        <w:adjustRightInd w:val="0"/>
        <w:snapToGrid w:val="0"/>
        <w:spacing w:line="360" w:lineRule="auto"/>
        <w:ind w:firstLine="0" w:firstLineChars="0"/>
        <w:rPr>
          <w:rFonts w:hint="eastAsia" w:ascii="仿宋" w:hAnsi="仿宋" w:eastAsia="仿宋" w:cs="仿宋"/>
          <w:sz w:val="32"/>
          <w:szCs w:val="32"/>
          <w:u w:val="dotted"/>
        </w:rPr>
      </w:pPr>
    </w:p>
    <w:p w14:paraId="4FBEF677">
      <w:pPr>
        <w:adjustRightInd w:val="0"/>
        <w:snapToGrid w:val="0"/>
        <w:spacing w:line="360" w:lineRule="auto"/>
      </w:pPr>
      <w:r>
        <mc:AlternateContent>
          <mc:Choice Requires="wps">
            <w:drawing>
              <wp:anchor distT="0" distB="0" distL="114300" distR="114300" simplePos="0" relativeHeight="251662336" behindDoc="0" locked="0" layoutInCell="1" allowOverlap="1">
                <wp:simplePos x="0" y="0"/>
                <wp:positionH relativeFrom="column">
                  <wp:posOffset>1560830</wp:posOffset>
                </wp:positionH>
                <wp:positionV relativeFrom="paragraph">
                  <wp:posOffset>3220085</wp:posOffset>
                </wp:positionV>
                <wp:extent cx="1729105" cy="923290"/>
                <wp:effectExtent l="13970" t="13970" r="28575" b="15240"/>
                <wp:wrapNone/>
                <wp:docPr id="3" name="矩形 7"/>
                <wp:cNvGraphicFramePr/>
                <a:graphic xmlns:a="http://schemas.openxmlformats.org/drawingml/2006/main">
                  <a:graphicData uri="http://schemas.microsoft.com/office/word/2010/wordprocessingShape">
                    <wps:wsp>
                      <wps:cNvSpPr/>
                      <wps:spPr>
                        <a:xfrm>
                          <a:off x="0" y="0"/>
                          <a:ext cx="1729105" cy="923290"/>
                        </a:xfrm>
                        <a:prstGeom prst="rect">
                          <a:avLst/>
                        </a:prstGeom>
                        <a:noFill/>
                        <a:ln w="28575" cap="flat" cmpd="sng">
                          <a:solidFill>
                            <a:srgbClr val="FF0000"/>
                          </a:solidFill>
                          <a:prstDash val="solid"/>
                          <a:miter/>
                          <a:headEnd type="none" w="med" len="med"/>
                          <a:tailEnd type="none" w="med" len="med"/>
                        </a:ln>
                      </wps:spPr>
                      <wps:bodyPr upright="1"/>
                    </wps:wsp>
                  </a:graphicData>
                </a:graphic>
              </wp:anchor>
            </w:drawing>
          </mc:Choice>
          <mc:Fallback>
            <w:pict>
              <v:rect id="矩形 7" o:spid="_x0000_s1026" o:spt="1" style="position:absolute;left:0pt;margin-left:122.9pt;margin-top:253.55pt;height:72.7pt;width:136.15pt;z-index:251662336;mso-width-relative:page;mso-height-relative:page;" filled="f" stroked="t" coordsize="21600,21600" o:gfxdata="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r0t8U2AAAAAsBAAAPAAAAAAAAAAEAIAAAACIAAABkcnMvZG93bnJldi54&#10;bWxQSwECFAAUAAAACACHTuJAGbwiTvoBAAD2AwAADgAAAAAAAAABACAAAAAnAQAAZHJzL2Uyb0Rv&#10;Yy54bWxQSwUGAAAAAAYABgBZAQAAkwUAAAAA&#10;">
                <v:fill on="f" focussize="0,0"/>
                <v:stroke weight="2.25pt" color="#FF0000" joinstyle="miter"/>
                <v:imagedata o:title=""/>
                <o:lock v:ext="edit" aspectratio="f"/>
              </v:rect>
            </w:pict>
          </mc:Fallback>
        </mc:AlternateContent>
      </w:r>
      <w:r>
        <w:drawing>
          <wp:inline distT="0" distB="0" distL="114300" distR="114300">
            <wp:extent cx="5274310" cy="6326505"/>
            <wp:effectExtent l="0" t="0" r="8890" b="10795"/>
            <wp:docPr id="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
                    <pic:cNvPicPr>
                      <a:picLocks noChangeAspect="1"/>
                    </pic:cNvPicPr>
                  </pic:nvPicPr>
                  <pic:blipFill>
                    <a:blip r:embed="rId10"/>
                    <a:stretch>
                      <a:fillRect/>
                    </a:stretch>
                  </pic:blipFill>
                  <pic:spPr>
                    <a:xfrm>
                      <a:off x="0" y="0"/>
                      <a:ext cx="5274310" cy="6326505"/>
                    </a:xfrm>
                    <a:prstGeom prst="rect">
                      <a:avLst/>
                    </a:prstGeom>
                    <a:noFill/>
                    <a:ln>
                      <a:noFill/>
                    </a:ln>
                  </pic:spPr>
                </pic:pic>
              </a:graphicData>
            </a:graphic>
          </wp:inline>
        </w:drawing>
      </w:r>
    </w:p>
    <w:p w14:paraId="6C021516">
      <w:pPr>
        <w:numPr>
          <w:ilvl w:val="3"/>
          <w:numId w:val="0"/>
        </w:numPr>
        <w:spacing w:line="377" w:lineRule="auto"/>
        <w:rPr>
          <w:rFonts w:hint="eastAsia" w:ascii="仿宋" w:hAnsi="仿宋" w:eastAsia="仿宋" w:cs="仿宋"/>
          <w:sz w:val="32"/>
          <w:szCs w:val="32"/>
          <w:u w:val="dotted"/>
        </w:rPr>
      </w:pPr>
      <w:r>
        <w:rPr>
          <w:rFonts w:hint="eastAsia" w:ascii="仿宋" w:hAnsi="仿宋" w:eastAsia="仿宋" w:cs="仿宋"/>
          <w:b/>
          <w:bCs/>
          <w:sz w:val="32"/>
          <w:szCs w:val="32"/>
        </w:rPr>
        <w:t>质疑事项4：</w:t>
      </w:r>
      <w:r>
        <w:rPr>
          <w:rFonts w:hint="eastAsia" w:ascii="仿宋" w:hAnsi="仿宋" w:eastAsia="仿宋" w:cs="仿宋"/>
          <w:sz w:val="32"/>
          <w:szCs w:val="32"/>
          <w:u w:val="dotted"/>
        </w:rPr>
        <w:t>3.2.1.4中智慧讲桌“★讲桌桌面内置弹射式接口面板，包含≥1个HDMI接口、≥1个VGA接口、≥1个USB口、≥1个网络接口、≥1个音频接口等，不使用时，可按下与桌面平齐，避免受到撞击，支持笔记本电脑接入（投标时提供具有CNAS或CMA标识的检测报告复印件及报告编号在全国认证认可信息公共服务平台的查询截图并加盖制造商公章）。”</w:t>
      </w:r>
    </w:p>
    <w:p w14:paraId="26EFCF60">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b/>
          <w:bCs/>
          <w:sz w:val="32"/>
          <w:szCs w:val="32"/>
          <w:u w:val="dotted"/>
        </w:rPr>
        <w:t>事实依据：</w:t>
      </w:r>
      <w:r>
        <w:rPr>
          <w:rFonts w:hint="eastAsia" w:ascii="仿宋" w:hAnsi="仿宋" w:eastAsia="仿宋" w:cs="仿宋"/>
          <w:sz w:val="32"/>
          <w:szCs w:val="32"/>
          <w:u w:val="dotted"/>
        </w:rPr>
        <w:t>该参数要求了必须要具备什么接口，为特定品牌独有的定制化参数要求，排斥其他符合使用需求的非对应品牌产品，属于采购需求中的技术要求指向特定供应商、特定产品的情形，同样违反了《中华人民共和国政府采购法实施条例》第二十条的规定，不符合政府采购公平公正的原则。建议删除。</w:t>
      </w:r>
    </w:p>
    <w:p w14:paraId="58F35C62">
      <w:pPr>
        <w:adjustRightInd w:val="0"/>
        <w:snapToGrid w:val="0"/>
        <w:spacing w:line="360" w:lineRule="auto"/>
      </w:pPr>
    </w:p>
    <w:p w14:paraId="0B2BF286">
      <w:pPr>
        <w:adjustRightInd w:val="0"/>
        <w:snapToGrid w:val="0"/>
        <w:spacing w:line="360" w:lineRule="auto"/>
        <w:rPr>
          <w:rFonts w:hint="eastAsia" w:ascii="仿宋" w:hAnsi="仿宋" w:eastAsia="仿宋" w:cs="仿宋"/>
          <w:sz w:val="32"/>
          <w:szCs w:val="32"/>
          <w:u w:val="dotted"/>
        </w:rPr>
      </w:pPr>
    </w:p>
    <w:p w14:paraId="3003A6C5">
      <w:pPr>
        <w:adjustRightInd w:val="0"/>
        <w:snapToGrid w:val="0"/>
        <w:spacing w:line="360" w:lineRule="auto"/>
        <w:rPr>
          <w:rFonts w:hint="eastAsia" w:ascii="仿宋" w:hAnsi="仿宋" w:eastAsia="仿宋" w:cs="仿宋"/>
          <w:b/>
          <w:bCs/>
          <w:sz w:val="28"/>
          <w:szCs w:val="28"/>
          <w:u w:val="dotted"/>
        </w:rPr>
      </w:pPr>
      <w:r>
        <w:rPr>
          <w:rFonts w:hint="eastAsia" w:ascii="仿宋" w:hAnsi="仿宋" w:eastAsia="仿宋" w:cs="仿宋"/>
          <w:b/>
          <w:bCs/>
          <w:sz w:val="28"/>
          <w:szCs w:val="28"/>
          <w:u w:val="dotted"/>
        </w:rPr>
        <w:t>综上所述：</w:t>
      </w:r>
    </w:p>
    <w:p w14:paraId="17218DDD">
      <w:pPr>
        <w:adjustRightInd w:val="0"/>
        <w:snapToGrid w:val="0"/>
        <w:spacing w:line="360" w:lineRule="auto"/>
        <w:ind w:firstLine="560" w:firstLineChars="200"/>
        <w:rPr>
          <w:rFonts w:hint="eastAsia" w:ascii="仿宋" w:hAnsi="仿宋" w:eastAsia="仿宋" w:cs="仿宋"/>
          <w:sz w:val="28"/>
          <w:szCs w:val="28"/>
          <w:u w:val="dotted"/>
        </w:rPr>
      </w:pPr>
      <w:r>
        <w:rPr>
          <w:rFonts w:hint="eastAsia" w:ascii="仿宋" w:hAnsi="仿宋" w:eastAsia="仿宋" w:cs="仿宋"/>
          <w:sz w:val="28"/>
          <w:szCs w:val="28"/>
          <w:u w:val="dotted"/>
        </w:rPr>
        <w:t>根据我方合法取证，将本项目绝大部分核心技术参数网上大量查询印证，以上皆为“文香”品牌独有且控标参数。在我方列举的众多具有以上参数的，需实质性响应的项目中，无一例外皆为该品牌中标。同时根据我方了解，希沃、鸿合、海康威视、安道、华为、京东方、海信、科大讯飞、欧帝、联想等市场主流品牌皆不能完全满足以上技术参数，等同于指定“文香”品牌中标，因此不具备任何竞争性。以上技术参数设置存在严重品牌指向性情形，已违反“《中华人民共和国政府采购法实施条例》第二十条”之规定。</w:t>
      </w:r>
    </w:p>
    <w:p w14:paraId="7D4C16E5">
      <w:pPr>
        <w:adjustRightInd w:val="0"/>
        <w:snapToGrid w:val="0"/>
        <w:spacing w:line="360" w:lineRule="auto"/>
        <w:rPr>
          <w:rFonts w:hint="eastAsia" w:ascii="仿宋" w:hAnsi="仿宋" w:eastAsia="仿宋" w:cs="仿宋"/>
          <w:sz w:val="28"/>
          <w:szCs w:val="28"/>
          <w:u w:val="dotted"/>
        </w:rPr>
      </w:pPr>
    </w:p>
    <w:p w14:paraId="6B17578F">
      <w:pPr>
        <w:adjustRightInd w:val="0"/>
        <w:snapToGrid w:val="0"/>
        <w:spacing w:line="360" w:lineRule="auto"/>
        <w:rPr>
          <w:rFonts w:hint="eastAsia" w:ascii="仿宋" w:hAnsi="仿宋" w:eastAsia="仿宋" w:cs="仿宋"/>
          <w:b/>
          <w:bCs/>
          <w:sz w:val="32"/>
          <w:szCs w:val="32"/>
        </w:rPr>
      </w:pPr>
      <w:r>
        <w:rPr>
          <w:rFonts w:hint="eastAsia" w:ascii="仿宋" w:hAnsi="仿宋" w:eastAsia="仿宋" w:cs="仿宋"/>
          <w:b/>
          <w:bCs/>
          <w:sz w:val="32"/>
          <w:szCs w:val="32"/>
        </w:rPr>
        <w:t>法律依据：</w:t>
      </w:r>
    </w:p>
    <w:p w14:paraId="7986F943">
      <w:pPr>
        <w:adjustRightInd w:val="0"/>
        <w:snapToGrid w:val="0"/>
        <w:spacing w:line="360" w:lineRule="auto"/>
        <w:rPr>
          <w:rFonts w:hint="eastAsia" w:ascii="仿宋" w:hAnsi="仿宋" w:eastAsia="仿宋" w:cs="仿宋"/>
          <w:sz w:val="28"/>
          <w:szCs w:val="28"/>
          <w:u w:val="dotted"/>
        </w:rPr>
      </w:pPr>
      <w:r>
        <w:rPr>
          <w:rFonts w:hint="eastAsia" w:ascii="仿宋" w:hAnsi="仿宋" w:eastAsia="仿宋" w:cs="仿宋"/>
          <w:sz w:val="32"/>
          <w:szCs w:val="32"/>
          <w:u w:val="dotted"/>
        </w:rPr>
        <w:t xml:space="preserve"> 《</w:t>
      </w:r>
      <w:r>
        <w:rPr>
          <w:rFonts w:hint="eastAsia" w:ascii="仿宋" w:hAnsi="仿宋" w:eastAsia="仿宋" w:cs="仿宋"/>
          <w:sz w:val="28"/>
          <w:szCs w:val="28"/>
          <w:u w:val="dotted"/>
        </w:rPr>
        <w:t>中华人民共和国政府采购法实施条例》</w:t>
      </w:r>
    </w:p>
    <w:p w14:paraId="4A158A55">
      <w:pPr>
        <w:adjustRightInd w:val="0"/>
        <w:snapToGrid w:val="0"/>
        <w:spacing w:line="360" w:lineRule="auto"/>
        <w:rPr>
          <w:rFonts w:hint="eastAsia" w:ascii="仿宋" w:hAnsi="仿宋" w:eastAsia="仿宋" w:cs="仿宋"/>
          <w:sz w:val="28"/>
          <w:szCs w:val="28"/>
          <w:u w:val="dotted"/>
        </w:rPr>
      </w:pPr>
      <w:r>
        <w:rPr>
          <w:rFonts w:hint="eastAsia" w:ascii="仿宋" w:hAnsi="仿宋" w:eastAsia="仿宋" w:cs="仿宋"/>
          <w:sz w:val="28"/>
          <w:szCs w:val="28"/>
          <w:u w:val="dotted"/>
        </w:rPr>
        <w:t>第二十条　采购人或者采购代理机构有下列情形之一的，属于以不合理的条件对供应商实行差别待遇或者歧视待遇：</w:t>
      </w:r>
    </w:p>
    <w:p w14:paraId="3768B69F">
      <w:pPr>
        <w:adjustRightInd w:val="0"/>
        <w:snapToGrid w:val="0"/>
        <w:spacing w:line="360" w:lineRule="auto"/>
        <w:rPr>
          <w:rFonts w:hint="eastAsia" w:ascii="仿宋" w:hAnsi="仿宋" w:eastAsia="仿宋" w:cs="仿宋"/>
          <w:sz w:val="28"/>
          <w:szCs w:val="28"/>
          <w:u w:val="dotted"/>
        </w:rPr>
      </w:pPr>
      <w:r>
        <w:rPr>
          <w:rFonts w:hint="eastAsia" w:ascii="仿宋" w:hAnsi="仿宋" w:eastAsia="仿宋" w:cs="仿宋"/>
          <w:sz w:val="28"/>
          <w:szCs w:val="28"/>
          <w:u w:val="dotted"/>
        </w:rPr>
        <w:t>（一）就同一采购项目向供应商提供有差别的项目信息；</w:t>
      </w:r>
    </w:p>
    <w:p w14:paraId="4732C023">
      <w:pPr>
        <w:adjustRightInd w:val="0"/>
        <w:snapToGrid w:val="0"/>
        <w:spacing w:line="360" w:lineRule="auto"/>
        <w:rPr>
          <w:rFonts w:hint="eastAsia" w:ascii="仿宋" w:hAnsi="仿宋" w:eastAsia="仿宋" w:cs="仿宋"/>
          <w:sz w:val="28"/>
          <w:szCs w:val="28"/>
          <w:u w:val="dotted"/>
        </w:rPr>
      </w:pPr>
      <w:r>
        <w:rPr>
          <w:rFonts w:hint="eastAsia" w:ascii="仿宋" w:hAnsi="仿宋" w:eastAsia="仿宋" w:cs="仿宋"/>
          <w:sz w:val="28"/>
          <w:szCs w:val="28"/>
          <w:u w:val="dotted"/>
        </w:rPr>
        <w:t>（二）设定的资格、技术、商务条件与采购项目的具体特点和实际需要不相适应或者与合同履行无关；</w:t>
      </w:r>
    </w:p>
    <w:p w14:paraId="0101D868">
      <w:pPr>
        <w:adjustRightInd w:val="0"/>
        <w:snapToGrid w:val="0"/>
        <w:spacing w:line="360" w:lineRule="auto"/>
        <w:rPr>
          <w:rFonts w:hint="eastAsia" w:ascii="仿宋" w:hAnsi="仿宋" w:eastAsia="仿宋" w:cs="仿宋"/>
          <w:sz w:val="28"/>
          <w:szCs w:val="28"/>
          <w:u w:val="dotted"/>
        </w:rPr>
      </w:pPr>
      <w:r>
        <w:rPr>
          <w:rFonts w:hint="eastAsia" w:ascii="仿宋" w:hAnsi="仿宋" w:eastAsia="仿宋" w:cs="仿宋"/>
          <w:sz w:val="28"/>
          <w:szCs w:val="28"/>
          <w:u w:val="dotted"/>
        </w:rPr>
        <w:t>（三）采购需求中的技术、服务等要求指向特定供应商、特定产品；</w:t>
      </w:r>
    </w:p>
    <w:p w14:paraId="3ED7D184">
      <w:pPr>
        <w:adjustRightInd w:val="0"/>
        <w:snapToGrid w:val="0"/>
        <w:spacing w:line="360" w:lineRule="auto"/>
        <w:rPr>
          <w:rFonts w:hint="eastAsia" w:ascii="仿宋" w:hAnsi="仿宋" w:eastAsia="仿宋" w:cs="仿宋"/>
          <w:sz w:val="28"/>
          <w:szCs w:val="28"/>
          <w:u w:val="dotted"/>
        </w:rPr>
      </w:pPr>
      <w:r>
        <w:rPr>
          <w:rFonts w:hint="eastAsia" w:ascii="仿宋" w:hAnsi="仿宋" w:eastAsia="仿宋" w:cs="仿宋"/>
          <w:sz w:val="28"/>
          <w:szCs w:val="28"/>
          <w:u w:val="dotted"/>
        </w:rPr>
        <w:t>（四）以特定行政区域或者特定行业的业绩、奖项作为加分条件或者中标、成交条件；</w:t>
      </w:r>
    </w:p>
    <w:p w14:paraId="788D9695">
      <w:pPr>
        <w:adjustRightInd w:val="0"/>
        <w:snapToGrid w:val="0"/>
        <w:spacing w:line="360" w:lineRule="auto"/>
        <w:rPr>
          <w:rFonts w:hint="eastAsia" w:ascii="仿宋" w:hAnsi="仿宋" w:eastAsia="仿宋" w:cs="仿宋"/>
          <w:sz w:val="28"/>
          <w:szCs w:val="28"/>
          <w:u w:val="dotted"/>
        </w:rPr>
      </w:pPr>
      <w:r>
        <w:rPr>
          <w:rFonts w:hint="eastAsia" w:ascii="仿宋" w:hAnsi="仿宋" w:eastAsia="仿宋" w:cs="仿宋"/>
          <w:sz w:val="28"/>
          <w:szCs w:val="28"/>
          <w:u w:val="dotted"/>
        </w:rPr>
        <w:t>（五）对供应商采取不同的资格审查或者评审标准；</w:t>
      </w:r>
    </w:p>
    <w:p w14:paraId="6AD6D16E">
      <w:pPr>
        <w:adjustRightInd w:val="0"/>
        <w:snapToGrid w:val="0"/>
        <w:spacing w:line="360" w:lineRule="auto"/>
        <w:rPr>
          <w:rFonts w:hint="eastAsia" w:ascii="仿宋" w:hAnsi="仿宋" w:eastAsia="仿宋" w:cs="仿宋"/>
          <w:sz w:val="28"/>
          <w:szCs w:val="28"/>
          <w:u w:val="dotted"/>
        </w:rPr>
      </w:pPr>
      <w:r>
        <w:rPr>
          <w:rFonts w:hint="eastAsia" w:ascii="仿宋" w:hAnsi="仿宋" w:eastAsia="仿宋" w:cs="仿宋"/>
          <w:sz w:val="28"/>
          <w:szCs w:val="28"/>
          <w:u w:val="dotted"/>
        </w:rPr>
        <w:t>（六）限定或者指定特定的专利、商标、品牌或者供应商；</w:t>
      </w:r>
    </w:p>
    <w:p w14:paraId="4E2D5A2D">
      <w:pPr>
        <w:adjustRightInd w:val="0"/>
        <w:snapToGrid w:val="0"/>
        <w:spacing w:line="360" w:lineRule="auto"/>
        <w:rPr>
          <w:rFonts w:hint="eastAsia" w:ascii="仿宋" w:hAnsi="仿宋" w:eastAsia="仿宋" w:cs="仿宋"/>
          <w:sz w:val="28"/>
          <w:szCs w:val="28"/>
          <w:u w:val="dotted"/>
        </w:rPr>
      </w:pPr>
      <w:r>
        <w:rPr>
          <w:rFonts w:hint="eastAsia" w:ascii="仿宋" w:hAnsi="仿宋" w:eastAsia="仿宋" w:cs="仿宋"/>
          <w:sz w:val="28"/>
          <w:szCs w:val="28"/>
          <w:u w:val="dotted"/>
        </w:rPr>
        <w:t>（七）非法限定供应商的所有制形式、组织形式或者所在地；</w:t>
      </w:r>
    </w:p>
    <w:p w14:paraId="3CE95BDF">
      <w:pPr>
        <w:adjustRightInd w:val="0"/>
        <w:snapToGrid w:val="0"/>
        <w:spacing w:line="360" w:lineRule="auto"/>
        <w:rPr>
          <w:rFonts w:hint="eastAsia" w:ascii="仿宋" w:hAnsi="仿宋" w:eastAsia="仿宋" w:cs="仿宋"/>
          <w:sz w:val="32"/>
          <w:szCs w:val="32"/>
          <w:u w:val="dotted"/>
        </w:rPr>
      </w:pPr>
      <w:r>
        <w:rPr>
          <w:rFonts w:hint="eastAsia" w:ascii="仿宋" w:hAnsi="仿宋" w:eastAsia="仿宋" w:cs="仿宋"/>
          <w:sz w:val="28"/>
          <w:szCs w:val="28"/>
          <w:u w:val="dotted"/>
        </w:rPr>
        <w:t xml:space="preserve">（八）以其他不合理条件限制或者排斥潜在供应商。  </w:t>
      </w:r>
      <w:r>
        <w:rPr>
          <w:rFonts w:hint="eastAsia" w:ascii="仿宋" w:hAnsi="仿宋" w:eastAsia="仿宋" w:cs="仿宋"/>
          <w:sz w:val="32"/>
          <w:szCs w:val="32"/>
          <w:u w:val="dotted"/>
        </w:rPr>
        <w:t xml:space="preserve">                                                  </w:t>
      </w:r>
    </w:p>
    <w:p w14:paraId="5F764696">
      <w:pPr>
        <w:adjustRightInd w:val="0"/>
        <w:snapToGrid w:val="0"/>
        <w:spacing w:line="360" w:lineRule="auto"/>
        <w:rPr>
          <w:rFonts w:hint="eastAsia" w:ascii="仿宋" w:hAnsi="仿宋" w:eastAsia="仿宋" w:cs="仿宋"/>
          <w:sz w:val="28"/>
          <w:szCs w:val="28"/>
          <w:u w:val="dotted"/>
        </w:rPr>
      </w:pPr>
    </w:p>
    <w:p w14:paraId="577EDAC2">
      <w:pPr>
        <w:adjustRightInd w:val="0"/>
        <w:snapToGrid w:val="0"/>
        <w:spacing w:line="360" w:lineRule="auto"/>
        <w:rPr>
          <w:rFonts w:hint="eastAsia" w:ascii="仿宋" w:hAnsi="仿宋" w:eastAsia="仿宋" w:cs="仿宋"/>
          <w:sz w:val="28"/>
          <w:szCs w:val="28"/>
          <w:u w:val="dotted"/>
        </w:rPr>
      </w:pPr>
    </w:p>
    <w:p w14:paraId="389B1E64">
      <w:pPr>
        <w:adjustRightInd w:val="0"/>
        <w:snapToGrid w:val="0"/>
        <w:spacing w:line="360" w:lineRule="auto"/>
        <w:rPr>
          <w:rFonts w:hint="eastAsia" w:ascii="黑体" w:hAnsi="黑体" w:eastAsia="黑体" w:cs="仿宋"/>
          <w:bCs/>
          <w:sz w:val="32"/>
          <w:szCs w:val="32"/>
        </w:rPr>
      </w:pPr>
      <w:r>
        <w:rPr>
          <w:rFonts w:hint="eastAsia" w:ascii="黑体" w:hAnsi="黑体" w:eastAsia="黑体" w:cs="仿宋"/>
          <w:bCs/>
          <w:sz w:val="32"/>
          <w:szCs w:val="32"/>
        </w:rPr>
        <w:t>四、与质疑事项相关的质疑请求</w:t>
      </w:r>
    </w:p>
    <w:p w14:paraId="31E9BAF8">
      <w:pPr>
        <w:adjustRightInd w:val="0"/>
        <w:snapToGrid w:val="0"/>
        <w:spacing w:line="360" w:lineRule="auto"/>
        <w:rPr>
          <w:rFonts w:hint="eastAsia" w:ascii="仿宋" w:hAnsi="仿宋" w:eastAsia="仿宋" w:cs="仿宋"/>
          <w:sz w:val="32"/>
          <w:szCs w:val="32"/>
        </w:rPr>
      </w:pPr>
    </w:p>
    <w:p w14:paraId="6EB6915C">
      <w:pPr>
        <w:adjustRightInd w:val="0"/>
        <w:snapToGrid w:val="0"/>
        <w:spacing w:line="360" w:lineRule="auto"/>
        <w:rPr>
          <w:rFonts w:hint="eastAsia" w:ascii="仿宋" w:hAnsi="仿宋" w:eastAsia="仿宋" w:cs="仿宋"/>
          <w:b/>
          <w:bCs/>
          <w:sz w:val="32"/>
          <w:szCs w:val="32"/>
        </w:rPr>
      </w:pPr>
      <w:r>
        <w:rPr>
          <w:rFonts w:hint="eastAsia" w:ascii="仿宋" w:hAnsi="仿宋" w:eastAsia="仿宋" w:cs="仿宋"/>
          <w:b/>
          <w:bCs/>
          <w:sz w:val="32"/>
          <w:szCs w:val="32"/>
        </w:rPr>
        <w:t>请求：</w:t>
      </w:r>
    </w:p>
    <w:p w14:paraId="6CF36B62">
      <w:pPr>
        <w:adjustRightInd w:val="0"/>
        <w:snapToGrid w:val="0"/>
        <w:spacing w:line="360" w:lineRule="auto"/>
        <w:ind w:firstLine="840" w:firstLineChars="300"/>
        <w:rPr>
          <w:rFonts w:hint="eastAsia" w:ascii="仿宋" w:hAnsi="仿宋" w:eastAsia="仿宋" w:cs="仿宋"/>
          <w:sz w:val="32"/>
          <w:szCs w:val="32"/>
          <w:u w:val="dotted"/>
        </w:rPr>
      </w:pPr>
      <w:r>
        <w:rPr>
          <w:rFonts w:hint="eastAsia" w:ascii="仿宋" w:hAnsi="仿宋" w:eastAsia="仿宋" w:cs="仿宋"/>
          <w:sz w:val="28"/>
          <w:szCs w:val="28"/>
          <w:u w:val="dotted"/>
        </w:rPr>
        <w:t>针对上述质疑事项，将相关的产品技术参数组织专家重新论证，要求论证后至少具有三个代表性的品牌产品完全满足。</w:t>
      </w:r>
      <w:r>
        <w:rPr>
          <w:rFonts w:hint="eastAsia" w:ascii="仿宋" w:hAnsi="仿宋" w:eastAsia="仿宋" w:cs="仿宋"/>
          <w:sz w:val="32"/>
          <w:szCs w:val="32"/>
          <w:u w:val="dotted"/>
        </w:rPr>
        <w:t xml:space="preserve">                    </w:t>
      </w:r>
    </w:p>
    <w:p w14:paraId="516B7D45">
      <w:pPr>
        <w:rPr>
          <w:rFonts w:ascii="仿宋_GB2312" w:eastAsia="仿宋_GB2312"/>
          <w:sz w:val="30"/>
          <w:szCs w:val="30"/>
        </w:rPr>
      </w:pPr>
      <w:r>
        <w:rPr>
          <w:rFonts w:hint="eastAsia" w:ascii="仿宋_GB2312" w:eastAsia="仿宋_GB2312"/>
          <w:sz w:val="30"/>
          <w:szCs w:val="30"/>
        </w:rPr>
        <w:t xml:space="preserve">             </w:t>
      </w:r>
    </w:p>
    <w:p w14:paraId="23B1A4D9">
      <w:pPr>
        <w:rPr>
          <w:rFonts w:ascii="仿宋_GB2312" w:eastAsia="仿宋_GB2312"/>
          <w:sz w:val="30"/>
          <w:szCs w:val="30"/>
        </w:rPr>
      </w:pPr>
      <w:r>
        <w:rPr>
          <w:rFonts w:hint="eastAsia" w:ascii="仿宋_GB2312" w:eastAsia="仿宋_GB2312"/>
          <w:sz w:val="30"/>
          <w:szCs w:val="30"/>
        </w:rPr>
        <w:t xml:space="preserve">日期：2026年05月07日  </w:t>
      </w:r>
    </w:p>
    <w:p w14:paraId="710DD812">
      <w:pPr>
        <w:widowControl/>
        <w:jc w:val="left"/>
        <w:rPr>
          <w:rFonts w:ascii="仿宋_GB2312" w:eastAsia="仿宋_GB2312"/>
          <w:sz w:val="30"/>
          <w:szCs w:val="30"/>
        </w:rPr>
      </w:pPr>
    </w:p>
    <w:p w14:paraId="3B271011">
      <w:pPr>
        <w:widowControl/>
        <w:jc w:val="left"/>
        <w:rPr>
          <w:rFonts w:ascii="仿宋_GB2312" w:eastAsia="仿宋_GB2312"/>
          <w:sz w:val="30"/>
          <w:szCs w:val="30"/>
        </w:rPr>
      </w:pPr>
    </w:p>
    <w:p w14:paraId="64A03ACF">
      <w:pPr>
        <w:widowControl/>
        <w:jc w:val="left"/>
        <w:rPr>
          <w:rFonts w:ascii="仿宋_GB2312" w:eastAsia="仿宋_GB2312"/>
          <w:sz w:val="30"/>
          <w:szCs w:val="30"/>
        </w:rPr>
      </w:pPr>
    </w:p>
    <w:p w14:paraId="71FD00D8">
      <w:pPr>
        <w:widowControl/>
        <w:jc w:val="left"/>
        <w:rPr>
          <w:rFonts w:ascii="仿宋_GB2312" w:eastAsia="仿宋_GB2312"/>
          <w:sz w:val="30"/>
          <w:szCs w:val="30"/>
        </w:rPr>
      </w:pPr>
    </w:p>
    <w:p w14:paraId="12166305">
      <w:pPr>
        <w:widowControl/>
        <w:jc w:val="left"/>
        <w:rPr>
          <w:rFonts w:ascii="仿宋_GB2312" w:eastAsia="仿宋_GB2312"/>
          <w:sz w:val="30"/>
          <w:szCs w:val="30"/>
        </w:rPr>
      </w:pPr>
    </w:p>
    <w:p w14:paraId="7FE176BA">
      <w:pPr>
        <w:widowControl/>
        <w:jc w:val="left"/>
        <w:rPr>
          <w:rFonts w:ascii="仿宋_GB2312" w:eastAsia="仿宋_GB2312"/>
          <w:sz w:val="30"/>
          <w:szCs w:val="30"/>
        </w:rPr>
      </w:pPr>
    </w:p>
    <w:p w14:paraId="0794BB74">
      <w:pPr>
        <w:pStyle w:val="2"/>
        <w:numPr>
          <w:ilvl w:val="0"/>
          <w:numId w:val="0"/>
        </w:numPr>
        <w:jc w:val="center"/>
        <w:rPr>
          <w:sz w:val="44"/>
        </w:rPr>
      </w:pPr>
      <w:r>
        <w:rPr>
          <w:sz w:val="44"/>
        </w:rPr>
        <w:t>关于昆明局昆北实操基地实训室影音系统购置项目质疑函的答复</w:t>
      </w:r>
    </w:p>
    <w:p w14:paraId="6FE80A9C">
      <w:pPr>
        <w:widowControl/>
        <w:spacing w:line="360" w:lineRule="auto"/>
        <w:ind w:firstLine="602" w:firstLineChars="200"/>
        <w:jc w:val="left"/>
        <w:rPr>
          <w:rFonts w:hint="eastAsia" w:ascii="仿宋" w:hAnsi="仿宋" w:eastAsia="仿宋" w:cs="仿宋"/>
          <w:b/>
          <w:bCs/>
          <w:sz w:val="30"/>
          <w:szCs w:val="30"/>
        </w:rPr>
      </w:pPr>
      <w:r>
        <w:rPr>
          <w:rFonts w:hint="eastAsia" w:ascii="仿宋" w:hAnsi="仿宋" w:eastAsia="仿宋" w:cs="仿宋"/>
          <w:b/>
          <w:bCs/>
          <w:kern w:val="0"/>
          <w:sz w:val="30"/>
          <w:szCs w:val="30"/>
          <w:lang w:bidi="ar"/>
        </w:rPr>
        <w:t>致：质疑人</w:t>
      </w:r>
    </w:p>
    <w:p w14:paraId="33EBE8BA">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质疑人就</w:t>
      </w:r>
      <w:r>
        <w:rPr>
          <w:rStyle w:val="17"/>
          <w:rFonts w:hint="eastAsia" w:ascii="仿宋" w:hAnsi="仿宋" w:eastAsia="仿宋" w:cs="仿宋"/>
          <w:kern w:val="0"/>
          <w:sz w:val="30"/>
          <w:szCs w:val="30"/>
          <w:lang w:bidi="ar"/>
        </w:rPr>
        <w:t>昆明局昆北实操基地实训室影音系统购置项目（项目编号：CG0100022002291801，包号：多媒体系统1）</w:t>
      </w:r>
      <w:r>
        <w:rPr>
          <w:rFonts w:hint="eastAsia" w:ascii="仿宋" w:hAnsi="仿宋" w:eastAsia="仿宋" w:cs="仿宋"/>
          <w:kern w:val="0"/>
          <w:sz w:val="30"/>
          <w:szCs w:val="30"/>
          <w:lang w:bidi="ar"/>
        </w:rPr>
        <w:t>提交的质疑函，我单位已依法收悉。我单位联合采购人对质疑人提出的全部质疑事项进行了核查、市场调研及合规论证，现将相关质疑事项统一答复如下：</w:t>
      </w:r>
    </w:p>
    <w:p w14:paraId="7C4BEA54">
      <w:pPr>
        <w:pStyle w:val="3"/>
        <w:spacing w:line="360" w:lineRule="auto"/>
        <w:rPr>
          <w:rFonts w:hint="eastAsia" w:ascii="仿宋" w:hAnsi="仿宋" w:eastAsia="仿宋" w:cs="仿宋"/>
          <w:sz w:val="30"/>
          <w:szCs w:val="30"/>
        </w:rPr>
      </w:pPr>
      <w:r>
        <w:rPr>
          <w:rFonts w:hint="eastAsia" w:ascii="仿宋" w:hAnsi="仿宋" w:eastAsia="仿宋" w:cs="仿宋"/>
          <w:sz w:val="30"/>
          <w:szCs w:val="30"/>
        </w:rPr>
        <w:t>总体核查结论</w:t>
      </w:r>
    </w:p>
    <w:p w14:paraId="076992A7">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本项目招标文件所有技术参数，均结合</w:t>
      </w:r>
      <w:r>
        <w:rPr>
          <w:rFonts w:hint="eastAsia" w:ascii="仿宋" w:hAnsi="仿宋" w:eastAsia="仿宋" w:cs="仿宋"/>
          <w:b/>
          <w:bCs/>
          <w:kern w:val="0"/>
          <w:sz w:val="30"/>
          <w:szCs w:val="30"/>
          <w:lang w:bidi="ar"/>
        </w:rPr>
        <w:t>昆明局</w:t>
      </w:r>
      <w:r>
        <w:rPr>
          <w:rStyle w:val="17"/>
          <w:rFonts w:hint="eastAsia" w:ascii="仿宋" w:hAnsi="仿宋" w:eastAsia="仿宋" w:cs="仿宋"/>
          <w:kern w:val="0"/>
          <w:sz w:val="30"/>
          <w:szCs w:val="30"/>
          <w:lang w:bidi="ar"/>
        </w:rPr>
        <w:t>实操教学实训专属场景</w:t>
      </w:r>
      <w:r>
        <w:rPr>
          <w:rFonts w:hint="eastAsia" w:ascii="仿宋" w:hAnsi="仿宋" w:eastAsia="仿宋" w:cs="仿宋"/>
          <w:kern w:val="0"/>
          <w:sz w:val="30"/>
          <w:szCs w:val="30"/>
          <w:lang w:bidi="ar"/>
        </w:rPr>
        <w:t>的教学安全、实训效率、设备稳定性、智能化教学管理实际需求编制，无任何指定、限定特定品牌、供应商的表述及隐性条款。经充分市场调研、技术核验，本项目全部被质疑技术参数均有</w:t>
      </w:r>
      <w:r>
        <w:rPr>
          <w:rStyle w:val="17"/>
          <w:rFonts w:hint="eastAsia" w:ascii="仿宋" w:hAnsi="仿宋" w:eastAsia="仿宋" w:cs="仿宋"/>
          <w:kern w:val="0"/>
          <w:sz w:val="30"/>
          <w:szCs w:val="30"/>
          <w:lang w:bidi="ar"/>
        </w:rPr>
        <w:t>三家及以上主流品牌</w:t>
      </w:r>
      <w:r>
        <w:rPr>
          <w:rFonts w:hint="eastAsia" w:ascii="仿宋" w:hAnsi="仿宋" w:eastAsia="仿宋" w:cs="仿宋"/>
          <w:kern w:val="0"/>
          <w:sz w:val="30"/>
          <w:szCs w:val="30"/>
          <w:lang w:bidi="ar"/>
        </w:rPr>
        <w:t>可完全满足响应，不存在《中华人民共和国政府采购法实施条例》第二十条规定的差别待遇、歧视待遇、品牌指向性、排他性情形，采购需求合法合规、具备充分市场竞争性。质疑人所述“参数为文香品牌独有、指定品牌中标、无竞争性”的事实依据不成立。</w:t>
      </w:r>
    </w:p>
    <w:p w14:paraId="782BC723">
      <w:pPr>
        <w:pStyle w:val="3"/>
        <w:spacing w:line="360" w:lineRule="auto"/>
        <w:rPr>
          <w:rFonts w:hint="eastAsia" w:ascii="仿宋" w:hAnsi="仿宋" w:eastAsia="仿宋" w:cs="仿宋"/>
          <w:sz w:val="30"/>
          <w:szCs w:val="30"/>
        </w:rPr>
      </w:pPr>
      <w:r>
        <w:rPr>
          <w:rFonts w:hint="eastAsia" w:ascii="仿宋" w:hAnsi="仿宋" w:eastAsia="仿宋" w:cs="仿宋"/>
          <w:sz w:val="30"/>
          <w:szCs w:val="30"/>
        </w:rPr>
        <w:t>逐项质疑事项答复</w:t>
      </w:r>
    </w:p>
    <w:p w14:paraId="42838BF1">
      <w:pPr>
        <w:pStyle w:val="4"/>
        <w:rPr>
          <w:rFonts w:hint="eastAsia" w:ascii="仿宋" w:hAnsi="仿宋" w:eastAsia="仿宋" w:cs="仿宋"/>
          <w:sz w:val="30"/>
          <w:szCs w:val="30"/>
        </w:rPr>
      </w:pPr>
      <w:r>
        <w:rPr>
          <w:rFonts w:hint="eastAsia" w:ascii="仿宋" w:hAnsi="仿宋" w:eastAsia="仿宋" w:cs="仿宋"/>
          <w:sz w:val="30"/>
          <w:szCs w:val="30"/>
        </w:rPr>
        <w:t>质疑事项1：教学一体机、互动侧屏NFC碰碰传参数存在品牌指向性、排他性</w:t>
      </w:r>
    </w:p>
    <w:p w14:paraId="4B9C6AB3">
      <w:pPr>
        <w:widowControl/>
        <w:spacing w:line="360" w:lineRule="auto"/>
        <w:ind w:firstLine="602" w:firstLineChars="200"/>
        <w:jc w:val="left"/>
        <w:rPr>
          <w:rFonts w:hint="eastAsia" w:ascii="仿宋" w:hAnsi="仿宋" w:eastAsia="仿宋" w:cs="仿宋"/>
          <w:sz w:val="30"/>
          <w:szCs w:val="30"/>
        </w:rPr>
      </w:pPr>
      <w:r>
        <w:rPr>
          <w:rStyle w:val="17"/>
          <w:rFonts w:hint="eastAsia" w:ascii="仿宋" w:hAnsi="仿宋" w:eastAsia="仿宋" w:cs="仿宋"/>
          <w:kern w:val="0"/>
          <w:sz w:val="30"/>
          <w:szCs w:val="30"/>
          <w:lang w:bidi="ar"/>
        </w:rPr>
        <w:t>答复：质疑事项不成立</w:t>
      </w:r>
    </w:p>
    <w:p w14:paraId="4AB6402D">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本项目实训室为实操教学场景，师生高频次开展移动课件投屏、实时教学互动，</w:t>
      </w:r>
      <w:r>
        <w:rPr>
          <w:rStyle w:val="17"/>
          <w:rFonts w:hint="eastAsia" w:ascii="仿宋" w:hAnsi="仿宋" w:eastAsia="仿宋" w:cs="仿宋"/>
          <w:kern w:val="0"/>
          <w:sz w:val="30"/>
          <w:szCs w:val="30"/>
          <w:lang w:bidi="ar"/>
        </w:rPr>
        <w:t>NFC碰碰传近场投屏功能</w:t>
      </w:r>
      <w:r>
        <w:rPr>
          <w:rFonts w:hint="eastAsia" w:ascii="仿宋" w:hAnsi="仿宋" w:eastAsia="仿宋" w:cs="仿宋"/>
          <w:kern w:val="0"/>
          <w:sz w:val="30"/>
          <w:szCs w:val="30"/>
          <w:lang w:bidi="ar"/>
        </w:rPr>
        <w:t>是为简化教学操作、提升课堂实训效率设置的通用智能化教学功能，并非专属定制功能。该功能为智能教学显示设备行业通用成熟技术，目前市场上多家主流品牌教学一体机、互动侧屏均已标配或可选配NFC近场感应投屏功能，并非质疑人所述文香品牌独有技术。</w:t>
      </w:r>
    </w:p>
    <w:p w14:paraId="4CC8CE72">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招标文件仅对</w:t>
      </w:r>
      <w:r>
        <w:rPr>
          <w:rStyle w:val="17"/>
          <w:rFonts w:hint="eastAsia" w:ascii="仿宋" w:hAnsi="仿宋" w:eastAsia="仿宋" w:cs="仿宋"/>
          <w:kern w:val="0"/>
          <w:sz w:val="30"/>
          <w:szCs w:val="30"/>
          <w:lang w:bidi="ar"/>
        </w:rPr>
        <w:t>功能效果、使用场景</w:t>
      </w:r>
      <w:r>
        <w:rPr>
          <w:rFonts w:hint="eastAsia" w:ascii="仿宋" w:hAnsi="仿宋" w:eastAsia="仿宋" w:cs="仿宋"/>
          <w:kern w:val="0"/>
          <w:sz w:val="30"/>
          <w:szCs w:val="30"/>
          <w:lang w:bidi="ar"/>
        </w:rPr>
        <w:t>作出通用性要求，未限定技术实现原理、硬件芯片、专属协议，未设置任何排他性门槛，未指向任何特定品牌、特定产品，完全适配通用教学设备标准，不存在违反《政府采购法实施条例》第二十条的情形。</w:t>
      </w:r>
    </w:p>
    <w:p w14:paraId="4EA4CBEC">
      <w:pPr>
        <w:pStyle w:val="4"/>
        <w:rPr>
          <w:rFonts w:hint="eastAsia" w:ascii="仿宋" w:hAnsi="仿宋" w:eastAsia="仿宋" w:cs="仿宋"/>
          <w:sz w:val="30"/>
          <w:szCs w:val="30"/>
        </w:rPr>
      </w:pPr>
      <w:r>
        <w:rPr>
          <w:rFonts w:hint="eastAsia" w:ascii="仿宋" w:hAnsi="仿宋" w:eastAsia="仿宋" w:cs="仿宋"/>
          <w:sz w:val="30"/>
          <w:szCs w:val="30"/>
        </w:rPr>
        <w:t>质疑事项2：五指按压熄屏手势功能参数存在品牌排他性</w:t>
      </w:r>
    </w:p>
    <w:p w14:paraId="232FF4C7">
      <w:pPr>
        <w:widowControl/>
        <w:spacing w:line="360" w:lineRule="auto"/>
        <w:ind w:firstLine="602" w:firstLineChars="200"/>
        <w:jc w:val="left"/>
        <w:rPr>
          <w:rStyle w:val="17"/>
          <w:rFonts w:hint="eastAsia" w:ascii="仿宋" w:hAnsi="仿宋" w:eastAsia="仿宋" w:cs="仿宋"/>
          <w:kern w:val="0"/>
          <w:sz w:val="30"/>
          <w:szCs w:val="30"/>
          <w:lang w:bidi="ar"/>
        </w:rPr>
      </w:pPr>
      <w:r>
        <w:rPr>
          <w:rStyle w:val="17"/>
          <w:rFonts w:hint="eastAsia" w:ascii="仿宋" w:hAnsi="仿宋" w:eastAsia="仿宋" w:cs="仿宋"/>
          <w:kern w:val="0"/>
          <w:sz w:val="30"/>
          <w:szCs w:val="30"/>
          <w:lang w:bidi="ar"/>
        </w:rPr>
        <w:t>答复：质疑事项不成立</w:t>
      </w:r>
    </w:p>
    <w:p w14:paraId="01CE3A2F">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首先，本条款要求的</w:t>
      </w:r>
      <w:r>
        <w:rPr>
          <w:rStyle w:val="17"/>
          <w:rFonts w:hint="eastAsia" w:ascii="仿宋" w:hAnsi="仿宋" w:eastAsia="仿宋" w:cs="仿宋"/>
          <w:kern w:val="0"/>
          <w:sz w:val="30"/>
          <w:szCs w:val="30"/>
          <w:lang w:bidi="ar"/>
        </w:rPr>
        <w:t>五指按压手势开关背光、熄屏功能</w:t>
      </w:r>
      <w:r>
        <w:rPr>
          <w:rFonts w:hint="eastAsia" w:ascii="仿宋" w:hAnsi="仿宋" w:eastAsia="仿宋" w:cs="仿宋"/>
          <w:kern w:val="0"/>
          <w:sz w:val="30"/>
          <w:szCs w:val="30"/>
          <w:lang w:bidi="ar"/>
        </w:rPr>
        <w:t>，是针对实训室公共设备管理的实用化设计。实训室设备长期开机使用，五指按压触发方式可有效避免师生误触、误操作导致设备频繁启停，保护实训设备、保障教学连续性，是结合项目实际使用场景的合理技术要求，不属于与合同履行无关的苛刻参数。</w:t>
      </w:r>
    </w:p>
    <w:p w14:paraId="5F9ABFEA">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其次，该手势触控熄屏技术为行业通用智能交互技术，多家主流品牌教学设备均支持自定义多指手势熄屏、亮屏功能，可通过系统设置实现五指触控开关背光的功能效果，并非质疑人所说文香品牌独有。招标文件仅明确</w:t>
      </w:r>
      <w:r>
        <w:rPr>
          <w:rStyle w:val="17"/>
          <w:rFonts w:hint="eastAsia" w:ascii="仿宋" w:hAnsi="仿宋" w:eastAsia="仿宋" w:cs="仿宋"/>
          <w:kern w:val="0"/>
          <w:sz w:val="30"/>
          <w:szCs w:val="30"/>
          <w:lang w:bidi="ar"/>
        </w:rPr>
        <w:t>最终实现的功能效果</w:t>
      </w:r>
      <w:r>
        <w:rPr>
          <w:rFonts w:hint="eastAsia" w:ascii="仿宋" w:hAnsi="仿宋" w:eastAsia="仿宋" w:cs="仿宋"/>
          <w:kern w:val="0"/>
          <w:sz w:val="30"/>
          <w:szCs w:val="30"/>
          <w:lang w:bidi="ar"/>
        </w:rPr>
        <w:t>，未限定唯一技术实现方式，未排斥其他品牌同类产品，不存在排他性、指向性，不构成差别待遇。</w:t>
      </w:r>
    </w:p>
    <w:p w14:paraId="4EC15F9B">
      <w:pPr>
        <w:pStyle w:val="4"/>
        <w:rPr>
          <w:rFonts w:hint="eastAsia" w:ascii="仿宋" w:hAnsi="仿宋" w:eastAsia="仿宋" w:cs="仿宋"/>
          <w:sz w:val="30"/>
          <w:szCs w:val="30"/>
        </w:rPr>
      </w:pPr>
      <w:r>
        <w:rPr>
          <w:rFonts w:hint="eastAsia" w:ascii="仿宋" w:hAnsi="仿宋" w:eastAsia="仿宋" w:cs="仿宋"/>
          <w:sz w:val="30"/>
          <w:szCs w:val="30"/>
        </w:rPr>
        <w:t>质疑事项3：展板会议功能、硬件一键自检、教学辅助系统及APP管理参数存在品牌独有控标情形</w:t>
      </w:r>
    </w:p>
    <w:p w14:paraId="6B7DA7DB">
      <w:pPr>
        <w:widowControl/>
        <w:spacing w:line="360" w:lineRule="auto"/>
        <w:ind w:firstLine="602" w:firstLineChars="200"/>
        <w:jc w:val="left"/>
        <w:rPr>
          <w:rStyle w:val="17"/>
          <w:rFonts w:hint="eastAsia" w:ascii="仿宋" w:hAnsi="仿宋" w:eastAsia="仿宋" w:cs="仿宋"/>
          <w:kern w:val="0"/>
          <w:sz w:val="30"/>
          <w:szCs w:val="30"/>
          <w:lang w:bidi="ar"/>
        </w:rPr>
      </w:pPr>
      <w:r>
        <w:rPr>
          <w:rStyle w:val="17"/>
          <w:rFonts w:hint="eastAsia" w:ascii="仿宋" w:hAnsi="仿宋" w:eastAsia="仿宋" w:cs="仿宋"/>
          <w:kern w:val="0"/>
          <w:sz w:val="30"/>
          <w:szCs w:val="30"/>
          <w:lang w:bidi="ar"/>
        </w:rPr>
        <w:t>答复：质疑事项不成立</w:t>
      </w:r>
    </w:p>
    <w:p w14:paraId="4E9D61A3">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1.关于展板会议模板、欢迎界面、会议签名、扫码留存功能：本项目实训室不仅用于日常教学，还承担班组培训、技术研讨、会议交流等工作，多场景使用需求要求设备具备会务、展示辅助能力。12种以上模板编辑、签名扫码留存等功能，是商用智能教学一体机的</w:t>
      </w:r>
      <w:r>
        <w:rPr>
          <w:rStyle w:val="17"/>
          <w:rFonts w:hint="eastAsia" w:ascii="仿宋" w:hAnsi="仿宋" w:eastAsia="仿宋" w:cs="仿宋"/>
          <w:kern w:val="0"/>
          <w:sz w:val="30"/>
          <w:szCs w:val="30"/>
          <w:lang w:bidi="ar"/>
        </w:rPr>
        <w:t>标配通用功能</w:t>
      </w:r>
      <w:r>
        <w:rPr>
          <w:rFonts w:hint="eastAsia" w:ascii="仿宋" w:hAnsi="仿宋" w:eastAsia="仿宋" w:cs="仿宋"/>
          <w:kern w:val="0"/>
          <w:sz w:val="30"/>
          <w:szCs w:val="30"/>
          <w:lang w:bidi="ar"/>
        </w:rPr>
        <w:t>，国内主流品牌设备均可完整实现，无品牌专属属性。</w:t>
      </w:r>
    </w:p>
    <w:p w14:paraId="06B78568">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2.关于设备一键硬件自检、一键优化功能：内存、存储、温度、网络、音视频设备自检，是智能显示设备的基础运维功能，目的是便于实训室设备日常巡检、故障快速排查，降低运维成本，属于设备基础刚需功能，市面绝大多数主流品牌教学设备均搭载自检运维系统，并非特定品牌独有。</w:t>
      </w:r>
    </w:p>
    <w:p w14:paraId="49859C6E">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3.关于第三方APP安装、安装阻断功能：该功能是基于实训室网络安全、设备安全、教学环境合规的管控需求设置，可有效杜绝恶意软件、未知程序安装，保障实训教学网络与设备安全。目前主流教学一体机品牌均具备开放式APP安装与权限管控功能，为行业通用安全配置，无任何品牌指向性。</w:t>
      </w:r>
    </w:p>
    <w:p w14:paraId="25CF03E6">
      <w:pPr>
        <w:widowControl/>
        <w:spacing w:line="360" w:lineRule="auto"/>
        <w:ind w:firstLine="600" w:firstLineChars="200"/>
        <w:jc w:val="left"/>
        <w:rPr>
          <w:rFonts w:hint="eastAsia" w:ascii="仿宋" w:hAnsi="仿宋" w:eastAsia="仿宋" w:cs="仿宋"/>
          <w:b/>
          <w:bCs/>
          <w:sz w:val="30"/>
          <w:szCs w:val="30"/>
        </w:rPr>
      </w:pPr>
      <w:r>
        <w:rPr>
          <w:rFonts w:hint="eastAsia" w:ascii="仿宋" w:hAnsi="仿宋" w:eastAsia="仿宋" w:cs="仿宋"/>
          <w:kern w:val="0"/>
          <w:sz w:val="30"/>
          <w:szCs w:val="30"/>
          <w:lang w:bidi="ar"/>
        </w:rPr>
        <w:t>综上，上述参数均为项目多场景使用的合理刚需，对应功能均有三家以上品牌可满足，</w:t>
      </w:r>
      <w:r>
        <w:rPr>
          <w:rFonts w:hint="eastAsia" w:ascii="仿宋" w:hAnsi="仿宋" w:eastAsia="仿宋" w:cs="仿宋"/>
          <w:b/>
          <w:bCs/>
          <w:kern w:val="0"/>
          <w:sz w:val="30"/>
          <w:szCs w:val="30"/>
          <w:lang w:bidi="ar"/>
        </w:rPr>
        <w:t>仅因部分品牌检测报告描述句式相似即认定为独有控标参数，无事实与法律依据。</w:t>
      </w:r>
    </w:p>
    <w:p w14:paraId="11D56387">
      <w:pPr>
        <w:pStyle w:val="4"/>
        <w:spacing w:line="360" w:lineRule="auto"/>
        <w:rPr>
          <w:rFonts w:hint="eastAsia" w:ascii="仿宋" w:hAnsi="仿宋" w:eastAsia="仿宋" w:cs="仿宋"/>
          <w:sz w:val="30"/>
          <w:szCs w:val="30"/>
        </w:rPr>
      </w:pPr>
      <w:r>
        <w:rPr>
          <w:rFonts w:hint="eastAsia" w:ascii="仿宋" w:hAnsi="仿宋" w:eastAsia="仿宋" w:cs="仿宋"/>
          <w:sz w:val="30"/>
          <w:szCs w:val="30"/>
        </w:rPr>
        <w:t>质疑事项4：智慧讲桌弹射式接口面板参数为特定品牌定制化排他参数</w:t>
      </w:r>
    </w:p>
    <w:p w14:paraId="4257E4C5">
      <w:pPr>
        <w:widowControl/>
        <w:spacing w:line="360" w:lineRule="auto"/>
        <w:ind w:firstLine="602" w:firstLineChars="200"/>
        <w:jc w:val="left"/>
        <w:rPr>
          <w:rStyle w:val="17"/>
          <w:rFonts w:hint="eastAsia" w:ascii="仿宋" w:hAnsi="仿宋" w:eastAsia="仿宋" w:cs="仿宋"/>
          <w:kern w:val="0"/>
          <w:sz w:val="30"/>
          <w:szCs w:val="30"/>
          <w:lang w:bidi="ar"/>
        </w:rPr>
      </w:pPr>
      <w:r>
        <w:rPr>
          <w:rStyle w:val="17"/>
          <w:rFonts w:hint="eastAsia" w:ascii="仿宋" w:hAnsi="仿宋" w:eastAsia="仿宋" w:cs="仿宋"/>
          <w:kern w:val="0"/>
          <w:sz w:val="30"/>
          <w:szCs w:val="30"/>
          <w:lang w:bidi="ar"/>
        </w:rPr>
        <w:t>答复：质疑事项不成立</w:t>
      </w:r>
    </w:p>
    <w:p w14:paraId="40F03248">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本项目实训室为实操教学场所，设备使用频次高、人员流动大、设备易碰撞磨损，</w:t>
      </w:r>
      <w:r>
        <w:rPr>
          <w:rStyle w:val="17"/>
          <w:rFonts w:hint="eastAsia" w:ascii="仿宋" w:hAnsi="仿宋" w:eastAsia="仿宋" w:cs="仿宋"/>
          <w:kern w:val="0"/>
          <w:sz w:val="30"/>
          <w:szCs w:val="30"/>
          <w:lang w:bidi="ar"/>
        </w:rPr>
        <w:t>弹射式隐藏接口面板</w:t>
      </w:r>
      <w:r>
        <w:rPr>
          <w:rFonts w:hint="eastAsia" w:ascii="仿宋" w:hAnsi="仿宋" w:eastAsia="仿宋" w:cs="仿宋"/>
          <w:kern w:val="0"/>
          <w:sz w:val="30"/>
          <w:szCs w:val="30"/>
          <w:lang w:bidi="ar"/>
        </w:rPr>
        <w:t>是为保护接口设备、规整桌面布线、提升实训现场安全规范的刚需设计。招标文件仅明确接口类型、数量、收纳功能效果，属于通用硬件配置要求，未限定接口排布方式、面板材质、弹射结构、生产工艺，无定制化专属门槛。</w:t>
      </w:r>
    </w:p>
    <w:p w14:paraId="59C5D064">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经市场调研，目前行业内多家正规讲桌生产厂商、主流音视频配套品牌均可生产、供应满足本接口参数、隐藏式弹射功能的智慧讲桌，并非单一品牌独有定制产品。同时，招标文件要求提供CNAS/CMA检测报告，是政府、企业采购项目保障产品质量、核验设备合规性的</w:t>
      </w:r>
      <w:r>
        <w:rPr>
          <w:rStyle w:val="17"/>
          <w:rFonts w:hint="eastAsia" w:ascii="仿宋" w:hAnsi="仿宋" w:eastAsia="仿宋" w:cs="仿宋"/>
          <w:kern w:val="0"/>
          <w:sz w:val="30"/>
          <w:szCs w:val="30"/>
          <w:lang w:bidi="ar"/>
        </w:rPr>
        <w:t>通用合规要求</w:t>
      </w:r>
      <w:r>
        <w:rPr>
          <w:rFonts w:hint="eastAsia" w:ascii="仿宋" w:hAnsi="仿宋" w:eastAsia="仿宋" w:cs="仿宋"/>
          <w:kern w:val="0"/>
          <w:sz w:val="30"/>
          <w:szCs w:val="30"/>
          <w:lang w:bidi="ar"/>
        </w:rPr>
        <w:t>，属于常规质量佐证材料，并非排他性条件。本条款未排斥任何合格供应商参与竞争，合规有效。</w:t>
      </w:r>
    </w:p>
    <w:p w14:paraId="14D87D2C">
      <w:pPr>
        <w:pStyle w:val="3"/>
        <w:spacing w:line="360" w:lineRule="auto"/>
        <w:rPr>
          <w:rFonts w:hint="eastAsia" w:ascii="仿宋" w:hAnsi="仿宋" w:eastAsia="仿宋" w:cs="仿宋"/>
          <w:sz w:val="30"/>
          <w:szCs w:val="30"/>
        </w:rPr>
      </w:pPr>
      <w:r>
        <w:rPr>
          <w:rFonts w:hint="eastAsia" w:ascii="仿宋" w:hAnsi="仿宋" w:eastAsia="仿宋" w:cs="仿宋"/>
          <w:sz w:val="30"/>
          <w:szCs w:val="30"/>
        </w:rPr>
        <w:t>综合认定及法律依据</w:t>
      </w:r>
    </w:p>
    <w:p w14:paraId="5046C997">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结合本次全面核查、市场调研及技术论证结果：本项目招标文件全部技术参数，均</w:t>
      </w:r>
      <w:r>
        <w:rPr>
          <w:rFonts w:hint="eastAsia" w:ascii="仿宋" w:hAnsi="仿宋" w:eastAsia="仿宋" w:cs="仿宋"/>
          <w:b/>
          <w:bCs/>
          <w:kern w:val="0"/>
          <w:sz w:val="30"/>
          <w:szCs w:val="30"/>
          <w:lang w:bidi="ar"/>
        </w:rPr>
        <w:t>为昆明局项目</w:t>
      </w:r>
      <w:r>
        <w:rPr>
          <w:rStyle w:val="17"/>
          <w:rFonts w:hint="eastAsia" w:ascii="仿宋" w:hAnsi="仿宋" w:eastAsia="仿宋" w:cs="仿宋"/>
          <w:kern w:val="0"/>
          <w:sz w:val="30"/>
          <w:szCs w:val="30"/>
          <w:lang w:bidi="ar"/>
        </w:rPr>
        <w:t>实训室教学实训实际需求</w:t>
      </w:r>
      <w:r>
        <w:rPr>
          <w:rFonts w:hint="eastAsia" w:ascii="仿宋" w:hAnsi="仿宋" w:eastAsia="仿宋" w:cs="仿宋"/>
          <w:kern w:val="0"/>
          <w:sz w:val="30"/>
          <w:szCs w:val="30"/>
          <w:lang w:bidi="ar"/>
        </w:rPr>
        <w:t>，所有被质疑参数均有三家及以上市场主流品牌可完全实质性响应，具备充分竞争性。</w:t>
      </w:r>
    </w:p>
    <w:p w14:paraId="46B08012">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招标文件未指定、限定任何品牌、专利、供应商，未设置差别化、歧视性条件，完全符合《中华人民共和国政府采购法》《中华人民共和国政府采购法实施条例》第二十条各项规定，不存在以不合理条件限制、排斥潜在供应商的情形。</w:t>
      </w:r>
    </w:p>
    <w:p w14:paraId="7C2E00B0">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本项目是综合评分法，非单一因素决定项目的投标结果。质疑人提出的“参数为文香独有、存在品牌指向性、无竞争性”等主张，缺乏有效事实依据、市场依据和法律依据，本次全部质疑事项均不成立。</w:t>
      </w:r>
    </w:p>
    <w:p w14:paraId="0BDD4B17">
      <w:pPr>
        <w:pStyle w:val="3"/>
        <w:spacing w:line="360" w:lineRule="auto"/>
        <w:rPr>
          <w:rFonts w:hint="eastAsia" w:ascii="仿宋" w:hAnsi="仿宋" w:eastAsia="仿宋" w:cs="仿宋"/>
          <w:sz w:val="30"/>
          <w:szCs w:val="30"/>
        </w:rPr>
      </w:pPr>
      <w:r>
        <w:rPr>
          <w:rFonts w:hint="eastAsia" w:ascii="仿宋" w:hAnsi="仿宋" w:eastAsia="仿宋" w:cs="仿宋"/>
          <w:sz w:val="30"/>
          <w:szCs w:val="30"/>
        </w:rPr>
        <w:t>关于质疑请求的处理结果</w:t>
      </w:r>
    </w:p>
    <w:p w14:paraId="43965B3E">
      <w:pPr>
        <w:widowControl/>
        <w:spacing w:line="360" w:lineRule="auto"/>
        <w:ind w:firstLine="600" w:firstLineChars="200"/>
        <w:jc w:val="left"/>
        <w:rPr>
          <w:rFonts w:hint="eastAsia" w:ascii="仿宋" w:hAnsi="仿宋" w:eastAsia="仿宋" w:cs="仿宋"/>
          <w:sz w:val="30"/>
          <w:szCs w:val="30"/>
        </w:rPr>
      </w:pPr>
      <w:r>
        <w:rPr>
          <w:rFonts w:hint="eastAsia" w:ascii="仿宋" w:hAnsi="仿宋" w:eastAsia="仿宋" w:cs="仿宋"/>
          <w:kern w:val="0"/>
          <w:sz w:val="30"/>
          <w:szCs w:val="30"/>
          <w:lang w:bidi="ar"/>
        </w:rPr>
        <w:t>针对质疑人“重新组织专家论证，要求至少三个代表性品牌完全满足参数”的请求，经核查，本项目采购参数前期已完成市场调研与专家论证，现有参数已满足</w:t>
      </w:r>
      <w:r>
        <w:rPr>
          <w:rStyle w:val="17"/>
          <w:rFonts w:hint="eastAsia" w:ascii="仿宋" w:hAnsi="仿宋" w:eastAsia="仿宋" w:cs="仿宋"/>
          <w:kern w:val="0"/>
          <w:sz w:val="30"/>
          <w:szCs w:val="30"/>
          <w:lang w:bidi="ar"/>
        </w:rPr>
        <w:t>多品牌适配、充分竞争</w:t>
      </w:r>
      <w:r>
        <w:rPr>
          <w:rFonts w:hint="eastAsia" w:ascii="仿宋" w:hAnsi="仿宋" w:eastAsia="仿宋" w:cs="仿宋"/>
          <w:kern w:val="0"/>
          <w:sz w:val="30"/>
          <w:szCs w:val="30"/>
          <w:lang w:bidi="ar"/>
        </w:rPr>
        <w:t>要求，无需重新论证。本次维持招标文件全部技术参数不变，继续按原采购流程开展采购活动。</w:t>
      </w:r>
    </w:p>
    <w:p w14:paraId="78A647E3">
      <w:pPr>
        <w:widowControl/>
        <w:ind w:firstLine="600" w:firstLineChars="200"/>
        <w:jc w:val="right"/>
        <w:rPr>
          <w:rFonts w:ascii="仿宋" w:hAnsi="仿宋" w:eastAsia="仿宋" w:cs="仿宋"/>
          <w:kern w:val="0"/>
          <w:sz w:val="30"/>
          <w:szCs w:val="30"/>
          <w:lang w:bidi="ar"/>
        </w:rPr>
      </w:pPr>
    </w:p>
    <w:p w14:paraId="184A81E2">
      <w:pPr>
        <w:widowControl/>
        <w:ind w:firstLine="600" w:firstLineChars="200"/>
        <w:jc w:val="right"/>
        <w:rPr>
          <w:rFonts w:hint="eastAsia" w:ascii="仿宋" w:hAnsi="仿宋" w:eastAsia="仿宋" w:cs="仿宋"/>
          <w:sz w:val="30"/>
          <w:szCs w:val="30"/>
        </w:rPr>
      </w:pPr>
      <w:r>
        <w:rPr>
          <w:rFonts w:hint="eastAsia" w:ascii="仿宋" w:hAnsi="仿宋" w:eastAsia="仿宋" w:cs="仿宋"/>
          <w:kern w:val="0"/>
          <w:sz w:val="30"/>
          <w:szCs w:val="30"/>
          <w:lang w:bidi="ar"/>
        </w:rPr>
        <w:t>采购人：中国南方电网有限责任公司超高压输电公司昆明局</w:t>
      </w:r>
    </w:p>
    <w:p w14:paraId="7D65843A">
      <w:pPr>
        <w:widowControl/>
        <w:ind w:firstLine="600" w:firstLineChars="200"/>
        <w:jc w:val="right"/>
        <w:rPr>
          <w:rFonts w:hint="eastAsia" w:ascii="仿宋" w:hAnsi="仿宋" w:eastAsia="仿宋" w:cs="仿宋"/>
          <w:sz w:val="30"/>
          <w:szCs w:val="30"/>
        </w:rPr>
      </w:pPr>
      <w:r>
        <w:rPr>
          <w:rFonts w:hint="eastAsia" w:ascii="仿宋" w:hAnsi="仿宋" w:eastAsia="仿宋" w:cs="仿宋"/>
          <w:kern w:val="0"/>
          <w:sz w:val="30"/>
          <w:szCs w:val="30"/>
          <w:lang w:bidi="ar"/>
        </w:rPr>
        <w:t>代理机构：南方电网供应链集团有限公司</w:t>
      </w:r>
    </w:p>
    <w:p w14:paraId="3A8EB010">
      <w:pPr>
        <w:widowControl/>
        <w:ind w:firstLine="600" w:firstLineChars="200"/>
        <w:jc w:val="right"/>
        <w:rPr>
          <w:rFonts w:hint="eastAsia" w:ascii="仿宋" w:hAnsi="仿宋" w:eastAsia="仿宋" w:cs="仿宋"/>
          <w:kern w:val="0"/>
          <w:sz w:val="30"/>
          <w:szCs w:val="30"/>
          <w:lang w:bidi="ar"/>
        </w:rPr>
      </w:pPr>
      <w:r>
        <w:rPr>
          <w:rFonts w:hint="eastAsia" w:ascii="仿宋" w:hAnsi="仿宋" w:eastAsia="仿宋" w:cs="仿宋"/>
          <w:kern w:val="0"/>
          <w:sz w:val="30"/>
          <w:szCs w:val="30"/>
          <w:lang w:bidi="ar"/>
        </w:rPr>
        <w:t>日期：2026年05月11日</w:t>
      </w:r>
    </w:p>
    <w:p w14:paraId="68564CB3">
      <w:pPr>
        <w:widowControl/>
        <w:spacing w:line="360" w:lineRule="auto"/>
        <w:ind w:firstLine="602" w:firstLineChars="200"/>
        <w:jc w:val="left"/>
        <w:rPr>
          <w:rFonts w:ascii="仿宋" w:hAnsi="仿宋" w:eastAsia="仿宋" w:cs="仿宋"/>
          <w:b/>
          <w:bCs/>
          <w:kern w:val="0"/>
          <w:sz w:val="30"/>
          <w:szCs w:val="30"/>
          <w:lang w:bidi="ar"/>
        </w:rPr>
      </w:pPr>
    </w:p>
    <w:p w14:paraId="3375CD61">
      <w:pPr>
        <w:widowControl/>
        <w:spacing w:line="360" w:lineRule="auto"/>
        <w:ind w:firstLine="602" w:firstLineChars="200"/>
        <w:jc w:val="left"/>
        <w:rPr>
          <w:rFonts w:ascii="仿宋" w:hAnsi="仿宋" w:eastAsia="仿宋" w:cs="仿宋"/>
          <w:b/>
          <w:bCs/>
          <w:kern w:val="0"/>
          <w:sz w:val="30"/>
          <w:szCs w:val="30"/>
          <w:lang w:bidi="ar"/>
        </w:rPr>
      </w:pPr>
    </w:p>
    <w:p w14:paraId="1EFD8AE0">
      <w:pPr>
        <w:pStyle w:val="3"/>
        <w:spacing w:line="360" w:lineRule="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附件</w:t>
      </w:r>
    </w:p>
    <w:p w14:paraId="54B16EF6">
      <w:pPr>
        <w:widowControl/>
        <w:spacing w:line="360" w:lineRule="auto"/>
        <w:ind w:firstLine="600" w:firstLineChars="200"/>
        <w:jc w:val="left"/>
        <w:rPr>
          <w:rFonts w:hint="eastAsia" w:ascii="仿宋" w:hAnsi="仿宋" w:eastAsia="仿宋" w:cs="仿宋"/>
          <w:kern w:val="0"/>
          <w:sz w:val="30"/>
          <w:szCs w:val="30"/>
          <w:lang w:bidi="ar"/>
        </w:rPr>
      </w:pPr>
      <w:r>
        <w:rPr>
          <w:rFonts w:hint="eastAsia" w:ascii="仿宋" w:hAnsi="仿宋" w:eastAsia="仿宋" w:cs="仿宋"/>
          <w:kern w:val="0"/>
          <w:sz w:val="30"/>
          <w:szCs w:val="30"/>
          <w:lang w:bidi="ar"/>
        </w:rPr>
        <w:t>某品牌产品宣传截图：1</w:t>
      </w:r>
    </w:p>
    <w:p w14:paraId="35FAAD0F">
      <w:pPr>
        <w:widowControl/>
        <w:spacing w:line="360" w:lineRule="auto"/>
        <w:ind w:firstLine="420" w:firstLineChars="200"/>
        <w:jc w:val="center"/>
      </w:pPr>
      <w:r>
        <w:drawing>
          <wp:inline distT="0" distB="0" distL="114300" distR="114300">
            <wp:extent cx="4952365" cy="3693795"/>
            <wp:effectExtent l="0" t="0" r="635" b="190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1"/>
                    <a:stretch>
                      <a:fillRect/>
                    </a:stretch>
                  </pic:blipFill>
                  <pic:spPr>
                    <a:xfrm>
                      <a:off x="0" y="0"/>
                      <a:ext cx="4952365" cy="3693795"/>
                    </a:xfrm>
                    <a:prstGeom prst="rect">
                      <a:avLst/>
                    </a:prstGeom>
                    <a:noFill/>
                    <a:ln>
                      <a:noFill/>
                    </a:ln>
                  </pic:spPr>
                </pic:pic>
              </a:graphicData>
            </a:graphic>
          </wp:inline>
        </w:drawing>
      </w:r>
    </w:p>
    <w:p w14:paraId="6CCDDC2F">
      <w:pPr>
        <w:widowControl/>
        <w:spacing w:line="360" w:lineRule="auto"/>
        <w:ind w:firstLine="600" w:firstLineChars="200"/>
        <w:jc w:val="left"/>
        <w:rPr>
          <w:rFonts w:hint="eastAsia" w:ascii="仿宋" w:hAnsi="仿宋" w:eastAsia="仿宋" w:cs="仿宋"/>
          <w:kern w:val="0"/>
          <w:sz w:val="30"/>
          <w:szCs w:val="30"/>
          <w:lang w:bidi="ar"/>
        </w:rPr>
      </w:pPr>
      <w:r>
        <w:rPr>
          <w:rFonts w:hint="eastAsia" w:ascii="仿宋" w:hAnsi="仿宋" w:eastAsia="仿宋" w:cs="仿宋"/>
          <w:kern w:val="0"/>
          <w:sz w:val="30"/>
          <w:szCs w:val="30"/>
          <w:lang w:bidi="ar"/>
        </w:rPr>
        <w:t>某品牌产品宣传截图：2</w:t>
      </w:r>
    </w:p>
    <w:p w14:paraId="3084D8B5">
      <w:pPr>
        <w:widowControl/>
        <w:spacing w:line="360" w:lineRule="auto"/>
        <w:jc w:val="center"/>
      </w:pPr>
      <w:r>
        <w:drawing>
          <wp:inline distT="0" distB="0" distL="114300" distR="114300">
            <wp:extent cx="3702685" cy="3764915"/>
            <wp:effectExtent l="0" t="0" r="2540" b="698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a:stretch>
                      <a:fillRect/>
                    </a:stretch>
                  </pic:blipFill>
                  <pic:spPr>
                    <a:xfrm>
                      <a:off x="0" y="0"/>
                      <a:ext cx="3702685" cy="3764915"/>
                    </a:xfrm>
                    <a:prstGeom prst="rect">
                      <a:avLst/>
                    </a:prstGeom>
                    <a:noFill/>
                    <a:ln>
                      <a:noFill/>
                    </a:ln>
                  </pic:spPr>
                </pic:pic>
              </a:graphicData>
            </a:graphic>
          </wp:inline>
        </w:drawing>
      </w:r>
    </w:p>
    <w:p w14:paraId="737A654D">
      <w:pPr>
        <w:widowControl/>
        <w:spacing w:line="360" w:lineRule="auto"/>
        <w:ind w:firstLine="600" w:firstLineChars="200"/>
        <w:jc w:val="left"/>
        <w:rPr>
          <w:rFonts w:hint="eastAsia" w:ascii="仿宋" w:hAnsi="仿宋" w:eastAsia="仿宋" w:cs="仿宋"/>
          <w:kern w:val="0"/>
          <w:sz w:val="30"/>
          <w:szCs w:val="30"/>
          <w:lang w:bidi="ar"/>
        </w:rPr>
      </w:pPr>
      <w:r>
        <w:rPr>
          <w:rFonts w:hint="eastAsia" w:ascii="仿宋" w:hAnsi="仿宋" w:eastAsia="仿宋" w:cs="仿宋"/>
          <w:kern w:val="0"/>
          <w:sz w:val="30"/>
          <w:szCs w:val="30"/>
          <w:lang w:bidi="ar"/>
        </w:rPr>
        <w:t>某品牌产品宣传截图：3</w:t>
      </w:r>
    </w:p>
    <w:p w14:paraId="398D3B1A">
      <w:pPr>
        <w:widowControl/>
        <w:spacing w:line="360" w:lineRule="auto"/>
        <w:jc w:val="left"/>
      </w:pPr>
      <w:r>
        <w:drawing>
          <wp:inline distT="0" distB="0" distL="114300" distR="114300">
            <wp:extent cx="5241290" cy="3115945"/>
            <wp:effectExtent l="0" t="0" r="6985" b="825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3"/>
                    <a:stretch>
                      <a:fillRect/>
                    </a:stretch>
                  </pic:blipFill>
                  <pic:spPr>
                    <a:xfrm>
                      <a:off x="0" y="0"/>
                      <a:ext cx="5241290" cy="3115945"/>
                    </a:xfrm>
                    <a:prstGeom prst="rect">
                      <a:avLst/>
                    </a:prstGeom>
                    <a:noFill/>
                    <a:ln>
                      <a:noFill/>
                    </a:ln>
                  </pic:spPr>
                </pic:pic>
              </a:graphicData>
            </a:graphic>
          </wp:inline>
        </w:drawing>
      </w:r>
    </w:p>
    <w:p w14:paraId="7A211F4C">
      <w:pPr>
        <w:widowControl/>
        <w:spacing w:line="360" w:lineRule="auto"/>
        <w:ind w:firstLine="600" w:firstLineChars="200"/>
        <w:jc w:val="left"/>
        <w:rPr>
          <w:rFonts w:hint="eastAsia" w:ascii="仿宋" w:hAnsi="仿宋" w:eastAsia="仿宋" w:cs="仿宋"/>
          <w:kern w:val="0"/>
          <w:sz w:val="30"/>
          <w:szCs w:val="30"/>
          <w:lang w:bidi="ar"/>
        </w:rPr>
      </w:pPr>
      <w:r>
        <w:rPr>
          <w:rFonts w:hint="eastAsia" w:ascii="仿宋" w:hAnsi="仿宋" w:eastAsia="仿宋" w:cs="仿宋"/>
          <w:kern w:val="0"/>
          <w:sz w:val="30"/>
          <w:szCs w:val="30"/>
          <w:lang w:bidi="ar"/>
        </w:rPr>
        <w:t>某品牌产品宣传截图：4</w:t>
      </w:r>
    </w:p>
    <w:p w14:paraId="63BA920E">
      <w:pPr>
        <w:widowControl/>
        <w:spacing w:line="360" w:lineRule="auto"/>
        <w:jc w:val="center"/>
      </w:pPr>
      <w:r>
        <w:drawing>
          <wp:inline distT="0" distB="0" distL="114300" distR="114300">
            <wp:extent cx="4088130" cy="4343400"/>
            <wp:effectExtent l="0" t="0" r="127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4"/>
                    <a:stretch>
                      <a:fillRect/>
                    </a:stretch>
                  </pic:blipFill>
                  <pic:spPr>
                    <a:xfrm>
                      <a:off x="0" y="0"/>
                      <a:ext cx="4088130" cy="4343400"/>
                    </a:xfrm>
                    <a:prstGeom prst="rect">
                      <a:avLst/>
                    </a:prstGeom>
                    <a:noFill/>
                    <a:ln>
                      <a:noFill/>
                    </a:ln>
                  </pic:spPr>
                </pic:pic>
              </a:graphicData>
            </a:graphic>
          </wp:inline>
        </w:drawing>
      </w:r>
    </w:p>
    <w:p w14:paraId="778403DF">
      <w:pPr>
        <w:widowControl/>
        <w:spacing w:line="360" w:lineRule="auto"/>
        <w:ind w:firstLine="600" w:firstLineChars="200"/>
        <w:jc w:val="left"/>
        <w:rPr>
          <w:rFonts w:hint="eastAsia" w:ascii="仿宋" w:hAnsi="仿宋" w:eastAsia="仿宋" w:cs="仿宋"/>
          <w:kern w:val="0"/>
          <w:sz w:val="30"/>
          <w:szCs w:val="30"/>
          <w:lang w:bidi="ar"/>
        </w:rPr>
      </w:pPr>
    </w:p>
    <w:p w14:paraId="07820F36">
      <w:pPr>
        <w:widowControl/>
        <w:spacing w:line="360" w:lineRule="auto"/>
        <w:ind w:firstLine="600" w:firstLineChars="200"/>
        <w:jc w:val="left"/>
        <w:rPr>
          <w:rFonts w:hint="eastAsia" w:ascii="仿宋" w:hAnsi="仿宋" w:eastAsia="仿宋" w:cs="仿宋"/>
          <w:kern w:val="0"/>
          <w:sz w:val="30"/>
          <w:szCs w:val="30"/>
          <w:lang w:bidi="ar"/>
        </w:rPr>
      </w:pPr>
      <w:bookmarkStart w:id="0" w:name="_GoBack"/>
      <w:bookmarkEnd w:id="0"/>
      <w:r>
        <w:rPr>
          <w:rFonts w:hint="eastAsia" w:ascii="仿宋" w:hAnsi="仿宋" w:eastAsia="仿宋" w:cs="仿宋"/>
          <w:kern w:val="0"/>
          <w:sz w:val="30"/>
          <w:szCs w:val="30"/>
          <w:lang w:bidi="ar"/>
        </w:rPr>
        <w:t>某品牌产品宣传截图：5</w:t>
      </w:r>
    </w:p>
    <w:p w14:paraId="238E4237">
      <w:pPr>
        <w:widowControl/>
        <w:spacing w:line="360" w:lineRule="auto"/>
        <w:jc w:val="left"/>
      </w:pPr>
      <w:r>
        <w:drawing>
          <wp:inline distT="0" distB="0" distL="114300" distR="114300">
            <wp:extent cx="5257800" cy="240982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5"/>
                    <a:stretch>
                      <a:fillRect/>
                    </a:stretch>
                  </pic:blipFill>
                  <pic:spPr>
                    <a:xfrm>
                      <a:off x="0" y="0"/>
                      <a:ext cx="5257800" cy="2409825"/>
                    </a:xfrm>
                    <a:prstGeom prst="rect">
                      <a:avLst/>
                    </a:prstGeom>
                    <a:noFill/>
                    <a:ln>
                      <a:noFill/>
                    </a:ln>
                  </pic:spPr>
                </pic:pic>
              </a:graphicData>
            </a:graphic>
          </wp:inline>
        </w:drawing>
      </w:r>
    </w:p>
    <w:p w14:paraId="238F0948">
      <w:pPr>
        <w:widowControl/>
        <w:spacing w:line="360" w:lineRule="auto"/>
        <w:jc w:val="left"/>
      </w:pPr>
      <w:r>
        <w:drawing>
          <wp:inline distT="0" distB="0" distL="114300" distR="114300">
            <wp:extent cx="5269865" cy="4773295"/>
            <wp:effectExtent l="0" t="0" r="6985" b="825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6"/>
                    <a:stretch>
                      <a:fillRect/>
                    </a:stretch>
                  </pic:blipFill>
                  <pic:spPr>
                    <a:xfrm>
                      <a:off x="0" y="0"/>
                      <a:ext cx="5269865" cy="4773295"/>
                    </a:xfrm>
                    <a:prstGeom prst="rect">
                      <a:avLst/>
                    </a:prstGeom>
                    <a:noFill/>
                    <a:ln>
                      <a:noFill/>
                    </a:ln>
                  </pic:spPr>
                </pic:pic>
              </a:graphicData>
            </a:graphic>
          </wp:inline>
        </w:drawing>
      </w:r>
    </w:p>
    <w:sectPr>
      <w:headerReference r:id="rId3" w:type="default"/>
      <w:footerReference r:id="rId4"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8EE46E">
    <w:pPr>
      <w:pStyle w:val="11"/>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a:effectLst/>
                    </wps:spPr>
                    <wps:txbx>
                      <w:txbxContent>
                        <w:p w14:paraId="26C2B47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w:t>
                          </w:r>
                          <w:r>
                            <w:rPr>
                              <w:rFonts w:hint="eastAsia"/>
                              <w:sz w:val="18"/>
                            </w:rPr>
                            <w:fldChar w:fldCharType="end"/>
                          </w:r>
                        </w:p>
                      </w:txbxContent>
                    </wps:txbx>
                    <wps:bodyPr wrap="none" lIns="0" tIns="0" rIns="0" bIns="0">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qXm5zwAAAAUBAAAPAAAAAAAAAAEAIAAAACIAAABkcnMvZG93&#10;bnJldi54bWxQSwECFAAUAAAACACHTuJAmWztDNABAACkAwAADgAAAAAAAAABACAAAAAeAQAAZHJz&#10;L2Uyb0RvYy54bWxQSwUGAAAAAAYABgBZAQAAYAUAAAAA&#10;">
              <v:fill on="f" focussize="0,0"/>
              <v:stroke on="f"/>
              <v:imagedata o:title=""/>
              <o:lock v:ext="edit" aspectratio="f"/>
              <v:textbox inset="0mm,0mm,0mm,0mm" style="mso-fit-shape-to-text:t;">
                <w:txbxContent>
                  <w:p w14:paraId="26C2B47A">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w:t>
                    </w:r>
                    <w:r>
                      <w:rPr>
                        <w:rFonts w:hint="eastAsia"/>
                        <w:sz w:val="18"/>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A82FA4">
    <w:pPr>
      <w:pStyle w:val="12"/>
      <w:pBdr>
        <w:bottom w:val="none" w:color="auto" w:sz="0" w:space="0"/>
      </w:pBdr>
      <w:spacing w:after="100" w:afterAutospacing="1"/>
      <w:jc w:val="left"/>
      <w:rPr>
        <w:u w:val="single"/>
      </w:rPr>
    </w:pPr>
    <w:r>
      <w:rPr>
        <w:rFonts w:hint="eastAsia"/>
        <w:u w:val="single"/>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18662B0"/>
    <w:multiLevelType w:val="multilevel"/>
    <w:tmpl w:val="118662B0"/>
    <w:lvl w:ilvl="0" w:tentative="0">
      <w:start w:val="1"/>
      <w:numFmt w:val="chineseCountingThousand"/>
      <w:pStyle w:val="2"/>
      <w:lvlText w:val="%1、"/>
      <w:lvlJc w:val="left"/>
      <w:pPr>
        <w:ind w:left="0" w:firstLine="0"/>
      </w:pPr>
    </w:lvl>
    <w:lvl w:ilvl="1" w:tentative="0">
      <w:start w:val="1"/>
      <w:numFmt w:val="chineseCountingThousand"/>
      <w:pStyle w:val="3"/>
      <w:lvlText w:val="（%2）"/>
      <w:lvlJc w:val="left"/>
      <w:pPr>
        <w:ind w:left="0" w:firstLine="0"/>
      </w:pPr>
      <w:rPr>
        <w:rFonts w:hint="eastAsia" w:ascii="宋体" w:hAnsi="宋体" w:eastAsia="宋体"/>
        <w:b/>
        <w:i w:val="0"/>
        <w:sz w:val="28"/>
      </w:rPr>
    </w:lvl>
    <w:lvl w:ilvl="2" w:tentative="0">
      <w:start w:val="1"/>
      <w:numFmt w:val="decimal"/>
      <w:pStyle w:val="4"/>
      <w:lvlText w:val="%3."/>
      <w:lvlJc w:val="left"/>
      <w:pPr>
        <w:ind w:left="0" w:firstLine="0"/>
      </w:pPr>
      <w:rPr>
        <w:rFonts w:hint="default" w:ascii="仿宋" w:hAnsi="仿宋" w:eastAsia="仿宋" w:cs="仿宋"/>
        <w:b/>
        <w:i w:val="0"/>
        <w:sz w:val="30"/>
        <w:szCs w:val="30"/>
      </w:rPr>
    </w:lvl>
    <w:lvl w:ilvl="3" w:tentative="0">
      <w:start w:val="1"/>
      <w:numFmt w:val="decimal"/>
      <w:lvlText w:val="%3.%4"/>
      <w:lvlJc w:val="left"/>
      <w:pPr>
        <w:ind w:left="0" w:firstLine="0"/>
      </w:pPr>
      <w:rPr>
        <w:rFonts w:hint="eastAsia" w:ascii="宋体" w:hAnsi="宋体" w:eastAsia="宋体"/>
        <w:b/>
        <w:i w:val="0"/>
        <w:sz w:val="24"/>
      </w:rPr>
    </w:lvl>
    <w:lvl w:ilvl="4" w:tentative="0">
      <w:start w:val="1"/>
      <w:numFmt w:val="decimal"/>
      <w:pStyle w:val="6"/>
      <w:lvlText w:val="%3.%4.%5"/>
      <w:lvlJc w:val="left"/>
      <w:pPr>
        <w:ind w:left="0" w:firstLine="0"/>
      </w:pPr>
      <w:rPr>
        <w:rFonts w:hint="eastAsia" w:ascii="宋体" w:hAnsi="宋体" w:eastAsia="宋体"/>
        <w:b/>
        <w:i w:val="0"/>
        <w:sz w:val="24"/>
      </w:rPr>
    </w:lvl>
    <w:lvl w:ilvl="5" w:tentative="0">
      <w:start w:val="1"/>
      <w:numFmt w:val="decimal"/>
      <w:pStyle w:val="7"/>
      <w:lvlText w:val="%3.%4.%5.%6"/>
      <w:lvlJc w:val="left"/>
      <w:pPr>
        <w:ind w:left="0" w:firstLine="0"/>
      </w:pPr>
      <w:rPr>
        <w:rFonts w:hint="eastAsia" w:ascii="宋体" w:hAnsi="宋体" w:eastAsia="宋体"/>
        <w:b/>
        <w:i w:val="0"/>
        <w:sz w:val="24"/>
      </w:rPr>
    </w:lvl>
    <w:lvl w:ilvl="6" w:tentative="0">
      <w:start w:val="1"/>
      <w:numFmt w:val="decimal"/>
      <w:pStyle w:val="8"/>
      <w:lvlText w:val="%3.%4.%5.%6.%7"/>
      <w:lvlJc w:val="left"/>
      <w:pPr>
        <w:ind w:left="0" w:firstLine="0"/>
      </w:pPr>
      <w:rPr>
        <w:rFonts w:hint="eastAsia" w:ascii="宋体" w:hAnsi="宋体" w:eastAsia="宋体"/>
        <w:b/>
        <w:i w:val="0"/>
        <w:sz w:val="24"/>
      </w:rPr>
    </w:lvl>
    <w:lvl w:ilvl="7" w:tentative="0">
      <w:start w:val="1"/>
      <w:numFmt w:val="decimal"/>
      <w:pStyle w:val="9"/>
      <w:lvlText w:val="%3.%4.%5.%6.%7.%8"/>
      <w:lvlJc w:val="left"/>
      <w:pPr>
        <w:tabs>
          <w:tab w:val="left" w:pos="0"/>
        </w:tabs>
        <w:ind w:left="0" w:firstLine="0"/>
      </w:pPr>
      <w:rPr>
        <w:rFonts w:hint="eastAsia" w:ascii="宋体" w:hAnsi="宋体" w:eastAsia="宋体"/>
        <w:b/>
        <w:i w:val="0"/>
        <w:sz w:val="24"/>
      </w:rPr>
    </w:lvl>
    <w:lvl w:ilvl="8" w:tentative="0">
      <w:start w:val="1"/>
      <w:numFmt w:val="decimal"/>
      <w:pStyle w:val="10"/>
      <w:lvlText w:val="%3.%4.%5.%6.%7.%8.%9"/>
      <w:lvlJc w:val="left"/>
      <w:pPr>
        <w:ind w:left="0" w:firstLine="0"/>
      </w:pPr>
      <w:rPr>
        <w:rFonts w:hint="eastAsia" w:ascii="宋体" w:hAnsi="宋体" w:eastAsia="宋体"/>
        <w:b/>
        <w:i w:val="0"/>
        <w:sz w:val="24"/>
      </w:rPr>
    </w:lvl>
  </w:abstractNum>
  <w:abstractNum w:abstractNumId="1">
    <w:nsid w:val="426EB051"/>
    <w:multiLevelType w:val="multilevel"/>
    <w:tmpl w:val="426EB051"/>
    <w:lvl w:ilvl="0" w:tentative="0">
      <w:start w:val="1"/>
      <w:numFmt w:val="decimal"/>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lvlText w:val="%1.%2.%3."/>
      <w:lvlJc w:val="left"/>
      <w:pPr>
        <w:ind w:left="7099" w:hanging="720"/>
      </w:pPr>
      <w:rPr>
        <w:rFonts w:hint="default"/>
        <w:sz w:val="28"/>
        <w:szCs w:val="28"/>
      </w:rPr>
    </w:lvl>
    <w:lvl w:ilvl="3" w:tentative="0">
      <w:start w:val="1"/>
      <w:numFmt w:val="decimal"/>
      <w:pStyle w:val="5"/>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cumentProtection w:enforcement="0"/>
  <w:defaultTabStop w:val="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BEA"/>
    <w:rsid w:val="0000233D"/>
    <w:rsid w:val="000134EE"/>
    <w:rsid w:val="0006705B"/>
    <w:rsid w:val="00073E87"/>
    <w:rsid w:val="000A20EA"/>
    <w:rsid w:val="000E03C1"/>
    <w:rsid w:val="001109E6"/>
    <w:rsid w:val="00123835"/>
    <w:rsid w:val="0013636B"/>
    <w:rsid w:val="00136973"/>
    <w:rsid w:val="00140199"/>
    <w:rsid w:val="00162928"/>
    <w:rsid w:val="00164B6A"/>
    <w:rsid w:val="00175B2D"/>
    <w:rsid w:val="001760A3"/>
    <w:rsid w:val="00185C13"/>
    <w:rsid w:val="00192872"/>
    <w:rsid w:val="001C3C13"/>
    <w:rsid w:val="001D4E8D"/>
    <w:rsid w:val="001D6E0F"/>
    <w:rsid w:val="001D70C7"/>
    <w:rsid w:val="00217DE1"/>
    <w:rsid w:val="00261E40"/>
    <w:rsid w:val="002E0FE6"/>
    <w:rsid w:val="002F477E"/>
    <w:rsid w:val="00305BA5"/>
    <w:rsid w:val="00310401"/>
    <w:rsid w:val="003469DE"/>
    <w:rsid w:val="00376F1B"/>
    <w:rsid w:val="003868BC"/>
    <w:rsid w:val="003A3A2A"/>
    <w:rsid w:val="003B176A"/>
    <w:rsid w:val="003B5ED5"/>
    <w:rsid w:val="003E02A4"/>
    <w:rsid w:val="003F1673"/>
    <w:rsid w:val="00412BEA"/>
    <w:rsid w:val="00416E01"/>
    <w:rsid w:val="0044324B"/>
    <w:rsid w:val="0045019A"/>
    <w:rsid w:val="00450648"/>
    <w:rsid w:val="0048163B"/>
    <w:rsid w:val="004A393B"/>
    <w:rsid w:val="004C2C15"/>
    <w:rsid w:val="004E2660"/>
    <w:rsid w:val="004F0429"/>
    <w:rsid w:val="005144A4"/>
    <w:rsid w:val="00542438"/>
    <w:rsid w:val="00560194"/>
    <w:rsid w:val="005669E2"/>
    <w:rsid w:val="00583968"/>
    <w:rsid w:val="005C0DE0"/>
    <w:rsid w:val="005D68BC"/>
    <w:rsid w:val="005E26F8"/>
    <w:rsid w:val="00606084"/>
    <w:rsid w:val="0061675F"/>
    <w:rsid w:val="0063426A"/>
    <w:rsid w:val="00645848"/>
    <w:rsid w:val="006672E9"/>
    <w:rsid w:val="00677447"/>
    <w:rsid w:val="006961F9"/>
    <w:rsid w:val="006C42C0"/>
    <w:rsid w:val="007070F1"/>
    <w:rsid w:val="007122C9"/>
    <w:rsid w:val="0071268E"/>
    <w:rsid w:val="00715421"/>
    <w:rsid w:val="007725C4"/>
    <w:rsid w:val="00774DD8"/>
    <w:rsid w:val="007A3D7A"/>
    <w:rsid w:val="007D4476"/>
    <w:rsid w:val="007D70A1"/>
    <w:rsid w:val="007E7E7D"/>
    <w:rsid w:val="007F443F"/>
    <w:rsid w:val="008656D1"/>
    <w:rsid w:val="008D0515"/>
    <w:rsid w:val="008D1031"/>
    <w:rsid w:val="008E5F61"/>
    <w:rsid w:val="008F5882"/>
    <w:rsid w:val="009124D9"/>
    <w:rsid w:val="0097648B"/>
    <w:rsid w:val="009841C3"/>
    <w:rsid w:val="009A4A97"/>
    <w:rsid w:val="009B2FA2"/>
    <w:rsid w:val="009D244F"/>
    <w:rsid w:val="009D4286"/>
    <w:rsid w:val="009E16C4"/>
    <w:rsid w:val="009E5D39"/>
    <w:rsid w:val="00A14EE8"/>
    <w:rsid w:val="00A25854"/>
    <w:rsid w:val="00A57D58"/>
    <w:rsid w:val="00A73D12"/>
    <w:rsid w:val="00A827B4"/>
    <w:rsid w:val="00A84D17"/>
    <w:rsid w:val="00A86E4B"/>
    <w:rsid w:val="00AA5F21"/>
    <w:rsid w:val="00AB007E"/>
    <w:rsid w:val="00AC6E37"/>
    <w:rsid w:val="00AE289A"/>
    <w:rsid w:val="00B4623A"/>
    <w:rsid w:val="00BC57CD"/>
    <w:rsid w:val="00BC7BAF"/>
    <w:rsid w:val="00BF4EFA"/>
    <w:rsid w:val="00C21703"/>
    <w:rsid w:val="00C275E4"/>
    <w:rsid w:val="00C34ED3"/>
    <w:rsid w:val="00C47336"/>
    <w:rsid w:val="00C62F87"/>
    <w:rsid w:val="00C7282A"/>
    <w:rsid w:val="00C90779"/>
    <w:rsid w:val="00C957E1"/>
    <w:rsid w:val="00CA0E8C"/>
    <w:rsid w:val="00CC2BE9"/>
    <w:rsid w:val="00CE380A"/>
    <w:rsid w:val="00D131D8"/>
    <w:rsid w:val="00D34A3C"/>
    <w:rsid w:val="00D5672F"/>
    <w:rsid w:val="00D71EFA"/>
    <w:rsid w:val="00D823F7"/>
    <w:rsid w:val="00D95623"/>
    <w:rsid w:val="00DA3B8E"/>
    <w:rsid w:val="00DA55F2"/>
    <w:rsid w:val="00DA6F7D"/>
    <w:rsid w:val="00DB3F65"/>
    <w:rsid w:val="00DB76D3"/>
    <w:rsid w:val="00DC0148"/>
    <w:rsid w:val="00DD40F7"/>
    <w:rsid w:val="00DE5247"/>
    <w:rsid w:val="00DE5E74"/>
    <w:rsid w:val="00E3358F"/>
    <w:rsid w:val="00E40BB7"/>
    <w:rsid w:val="00E677A9"/>
    <w:rsid w:val="00E9021F"/>
    <w:rsid w:val="00EE05D2"/>
    <w:rsid w:val="00EE1C8A"/>
    <w:rsid w:val="00F1082E"/>
    <w:rsid w:val="00F46FB2"/>
    <w:rsid w:val="00FE7745"/>
    <w:rsid w:val="013012A2"/>
    <w:rsid w:val="032F7012"/>
    <w:rsid w:val="034170D2"/>
    <w:rsid w:val="03694021"/>
    <w:rsid w:val="03BD292A"/>
    <w:rsid w:val="04386B68"/>
    <w:rsid w:val="05205BA9"/>
    <w:rsid w:val="057000D0"/>
    <w:rsid w:val="05DB0362"/>
    <w:rsid w:val="061D1A01"/>
    <w:rsid w:val="06BA01BD"/>
    <w:rsid w:val="06E2531D"/>
    <w:rsid w:val="0723568C"/>
    <w:rsid w:val="073F7216"/>
    <w:rsid w:val="076B090C"/>
    <w:rsid w:val="086F66D8"/>
    <w:rsid w:val="0A2643B3"/>
    <w:rsid w:val="0AEF054D"/>
    <w:rsid w:val="0C201B49"/>
    <w:rsid w:val="0CB84397"/>
    <w:rsid w:val="0DA67965"/>
    <w:rsid w:val="0DAF0C70"/>
    <w:rsid w:val="0ECC2D6D"/>
    <w:rsid w:val="11E31B2C"/>
    <w:rsid w:val="12167419"/>
    <w:rsid w:val="13877405"/>
    <w:rsid w:val="14FC60B6"/>
    <w:rsid w:val="157905DC"/>
    <w:rsid w:val="1736755D"/>
    <w:rsid w:val="177D22A2"/>
    <w:rsid w:val="178039CC"/>
    <w:rsid w:val="17981E36"/>
    <w:rsid w:val="184C7E82"/>
    <w:rsid w:val="188E6E04"/>
    <w:rsid w:val="18925671"/>
    <w:rsid w:val="18A00C32"/>
    <w:rsid w:val="18B96774"/>
    <w:rsid w:val="19252920"/>
    <w:rsid w:val="19263426"/>
    <w:rsid w:val="1A1319DF"/>
    <w:rsid w:val="1A1D3B87"/>
    <w:rsid w:val="1A911621"/>
    <w:rsid w:val="1A98650B"/>
    <w:rsid w:val="1B99131B"/>
    <w:rsid w:val="1C5A5F01"/>
    <w:rsid w:val="1CE21166"/>
    <w:rsid w:val="1D7A3FCB"/>
    <w:rsid w:val="1EA405AE"/>
    <w:rsid w:val="1F1C3D32"/>
    <w:rsid w:val="1F25322C"/>
    <w:rsid w:val="201C032F"/>
    <w:rsid w:val="202D3D61"/>
    <w:rsid w:val="206807DB"/>
    <w:rsid w:val="207D7964"/>
    <w:rsid w:val="21D267A7"/>
    <w:rsid w:val="227C0DD2"/>
    <w:rsid w:val="22E5075C"/>
    <w:rsid w:val="23C52139"/>
    <w:rsid w:val="24885842"/>
    <w:rsid w:val="24E37E60"/>
    <w:rsid w:val="259A6A2E"/>
    <w:rsid w:val="26967118"/>
    <w:rsid w:val="26C56200"/>
    <w:rsid w:val="286B34B1"/>
    <w:rsid w:val="28DA6B39"/>
    <w:rsid w:val="28E952EF"/>
    <w:rsid w:val="295E3016"/>
    <w:rsid w:val="296B55F9"/>
    <w:rsid w:val="2A4B33AB"/>
    <w:rsid w:val="2A992557"/>
    <w:rsid w:val="2AD80684"/>
    <w:rsid w:val="2B180A0E"/>
    <w:rsid w:val="2B89697E"/>
    <w:rsid w:val="2D2D633E"/>
    <w:rsid w:val="2D305BCC"/>
    <w:rsid w:val="2DDC04A0"/>
    <w:rsid w:val="2E7171C1"/>
    <w:rsid w:val="2F5940A0"/>
    <w:rsid w:val="2FC05553"/>
    <w:rsid w:val="2FF13B1E"/>
    <w:rsid w:val="30AE29C9"/>
    <w:rsid w:val="30E77558"/>
    <w:rsid w:val="30F311DB"/>
    <w:rsid w:val="314B5142"/>
    <w:rsid w:val="339122FE"/>
    <w:rsid w:val="33CD4F5D"/>
    <w:rsid w:val="35856C47"/>
    <w:rsid w:val="35BC534C"/>
    <w:rsid w:val="365E7066"/>
    <w:rsid w:val="36926BA7"/>
    <w:rsid w:val="36AD7188"/>
    <w:rsid w:val="36C05642"/>
    <w:rsid w:val="37841E99"/>
    <w:rsid w:val="378C3384"/>
    <w:rsid w:val="38741F0E"/>
    <w:rsid w:val="38A63E97"/>
    <w:rsid w:val="395027DA"/>
    <w:rsid w:val="396D653B"/>
    <w:rsid w:val="398123A6"/>
    <w:rsid w:val="39921A71"/>
    <w:rsid w:val="39926E40"/>
    <w:rsid w:val="39BB023F"/>
    <w:rsid w:val="3AF236E8"/>
    <w:rsid w:val="3B441D68"/>
    <w:rsid w:val="3B59757E"/>
    <w:rsid w:val="3CA67385"/>
    <w:rsid w:val="3CEB12F3"/>
    <w:rsid w:val="3CF73915"/>
    <w:rsid w:val="3CFB3DEF"/>
    <w:rsid w:val="3D5F26D0"/>
    <w:rsid w:val="3DA6209D"/>
    <w:rsid w:val="3DB71735"/>
    <w:rsid w:val="3E540402"/>
    <w:rsid w:val="3FA615EB"/>
    <w:rsid w:val="40181D19"/>
    <w:rsid w:val="41AA074E"/>
    <w:rsid w:val="45661532"/>
    <w:rsid w:val="458F3F9A"/>
    <w:rsid w:val="45C14D0C"/>
    <w:rsid w:val="45DD0EFD"/>
    <w:rsid w:val="46DD1482"/>
    <w:rsid w:val="47196C64"/>
    <w:rsid w:val="475F43CC"/>
    <w:rsid w:val="47A549E8"/>
    <w:rsid w:val="47C85DD2"/>
    <w:rsid w:val="48610A2B"/>
    <w:rsid w:val="48DE4564"/>
    <w:rsid w:val="48F86B09"/>
    <w:rsid w:val="4B1969B5"/>
    <w:rsid w:val="4C537106"/>
    <w:rsid w:val="4CAD6821"/>
    <w:rsid w:val="4E401A88"/>
    <w:rsid w:val="4E8D4501"/>
    <w:rsid w:val="4EF92F68"/>
    <w:rsid w:val="4F6A3D3A"/>
    <w:rsid w:val="4FDC68BF"/>
    <w:rsid w:val="502B06A1"/>
    <w:rsid w:val="51583D23"/>
    <w:rsid w:val="520C7360"/>
    <w:rsid w:val="536836A5"/>
    <w:rsid w:val="53FB0D76"/>
    <w:rsid w:val="540C04C6"/>
    <w:rsid w:val="54434314"/>
    <w:rsid w:val="544C105C"/>
    <w:rsid w:val="557D4FF5"/>
    <w:rsid w:val="55FE0AA5"/>
    <w:rsid w:val="56220DA3"/>
    <w:rsid w:val="57C40364"/>
    <w:rsid w:val="582F7D2F"/>
    <w:rsid w:val="584625E2"/>
    <w:rsid w:val="58A66442"/>
    <w:rsid w:val="58D02DAC"/>
    <w:rsid w:val="58F9747D"/>
    <w:rsid w:val="58FA0B47"/>
    <w:rsid w:val="59525929"/>
    <w:rsid w:val="59B7305E"/>
    <w:rsid w:val="59D5001E"/>
    <w:rsid w:val="5A2B4ECA"/>
    <w:rsid w:val="5A4F062C"/>
    <w:rsid w:val="5A582FE6"/>
    <w:rsid w:val="5AD308BE"/>
    <w:rsid w:val="5BB01C17"/>
    <w:rsid w:val="5BB44AF2"/>
    <w:rsid w:val="5D495335"/>
    <w:rsid w:val="5DB54FAE"/>
    <w:rsid w:val="5DE023AB"/>
    <w:rsid w:val="5DE61CD7"/>
    <w:rsid w:val="5DEA21A7"/>
    <w:rsid w:val="5E1550C8"/>
    <w:rsid w:val="5E524C52"/>
    <w:rsid w:val="5EEF4A51"/>
    <w:rsid w:val="5EF41669"/>
    <w:rsid w:val="5F542CA1"/>
    <w:rsid w:val="5F681281"/>
    <w:rsid w:val="5F760AFF"/>
    <w:rsid w:val="5F851844"/>
    <w:rsid w:val="5F8817C4"/>
    <w:rsid w:val="5FCD5B8D"/>
    <w:rsid w:val="60593FA6"/>
    <w:rsid w:val="60F03F78"/>
    <w:rsid w:val="61467EBD"/>
    <w:rsid w:val="6205602D"/>
    <w:rsid w:val="6225190F"/>
    <w:rsid w:val="624A0A53"/>
    <w:rsid w:val="6262246E"/>
    <w:rsid w:val="62A4506D"/>
    <w:rsid w:val="62C226A4"/>
    <w:rsid w:val="63462042"/>
    <w:rsid w:val="63492E59"/>
    <w:rsid w:val="63870498"/>
    <w:rsid w:val="64907D0F"/>
    <w:rsid w:val="64DD07CC"/>
    <w:rsid w:val="64EF3EA8"/>
    <w:rsid w:val="67284DEB"/>
    <w:rsid w:val="672C3EAE"/>
    <w:rsid w:val="67395692"/>
    <w:rsid w:val="68635D94"/>
    <w:rsid w:val="68E81A1E"/>
    <w:rsid w:val="691C0072"/>
    <w:rsid w:val="691C6B72"/>
    <w:rsid w:val="69574DA6"/>
    <w:rsid w:val="6A0B26F4"/>
    <w:rsid w:val="6B1F5358"/>
    <w:rsid w:val="6B413622"/>
    <w:rsid w:val="6C7353BC"/>
    <w:rsid w:val="6C774B49"/>
    <w:rsid w:val="6C913562"/>
    <w:rsid w:val="6CDE41BC"/>
    <w:rsid w:val="6D0B4A45"/>
    <w:rsid w:val="6D0F1234"/>
    <w:rsid w:val="6D2E065F"/>
    <w:rsid w:val="6DD95C33"/>
    <w:rsid w:val="6DEA6E13"/>
    <w:rsid w:val="6E164197"/>
    <w:rsid w:val="6E423CC2"/>
    <w:rsid w:val="6E930639"/>
    <w:rsid w:val="6EDD0C1C"/>
    <w:rsid w:val="6F110F81"/>
    <w:rsid w:val="6F3062E5"/>
    <w:rsid w:val="6FCA28BD"/>
    <w:rsid w:val="6FE73AAD"/>
    <w:rsid w:val="706B2330"/>
    <w:rsid w:val="71072A87"/>
    <w:rsid w:val="71317337"/>
    <w:rsid w:val="71940950"/>
    <w:rsid w:val="71C24FB7"/>
    <w:rsid w:val="71ED0180"/>
    <w:rsid w:val="71ED2116"/>
    <w:rsid w:val="72095DB4"/>
    <w:rsid w:val="726E11A1"/>
    <w:rsid w:val="72987073"/>
    <w:rsid w:val="73197CE4"/>
    <w:rsid w:val="731C0BFD"/>
    <w:rsid w:val="732B7092"/>
    <w:rsid w:val="735A7439"/>
    <w:rsid w:val="739B39D7"/>
    <w:rsid w:val="73E03930"/>
    <w:rsid w:val="746F1200"/>
    <w:rsid w:val="75706FDE"/>
    <w:rsid w:val="75952577"/>
    <w:rsid w:val="75E41F94"/>
    <w:rsid w:val="7617648A"/>
    <w:rsid w:val="76D10AB1"/>
    <w:rsid w:val="77162C83"/>
    <w:rsid w:val="776D3B94"/>
    <w:rsid w:val="77772538"/>
    <w:rsid w:val="778D00C4"/>
    <w:rsid w:val="77C03754"/>
    <w:rsid w:val="77E1050F"/>
    <w:rsid w:val="7803421D"/>
    <w:rsid w:val="78134C79"/>
    <w:rsid w:val="78C64DF4"/>
    <w:rsid w:val="791F188C"/>
    <w:rsid w:val="796B41BB"/>
    <w:rsid w:val="79AC3DBD"/>
    <w:rsid w:val="79B60A82"/>
    <w:rsid w:val="7A7F38AF"/>
    <w:rsid w:val="7AF72E69"/>
    <w:rsid w:val="7C32323F"/>
    <w:rsid w:val="7C5B09AD"/>
    <w:rsid w:val="7D586200"/>
    <w:rsid w:val="7DF86E7B"/>
    <w:rsid w:val="7E4E5028"/>
    <w:rsid w:val="7F733173"/>
    <w:rsid w:val="7F773911"/>
    <w:rsid w:val="7FD840F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0"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黑体"/>
      <w:kern w:val="2"/>
      <w:sz w:val="21"/>
      <w:szCs w:val="24"/>
      <w:lang w:val="en-US" w:eastAsia="zh-CN" w:bidi="ar-SA"/>
    </w:rPr>
  </w:style>
  <w:style w:type="paragraph" w:styleId="2">
    <w:name w:val="heading 1"/>
    <w:basedOn w:val="1"/>
    <w:next w:val="1"/>
    <w:qFormat/>
    <w:uiPriority w:val="9"/>
    <w:pPr>
      <w:keepNext/>
      <w:keepLines/>
      <w:numPr>
        <w:ilvl w:val="0"/>
        <w:numId w:val="1"/>
      </w:numPr>
      <w:ind w:firstLine="643"/>
      <w:jc w:val="left"/>
      <w:outlineLvl w:val="0"/>
    </w:pPr>
    <w:rPr>
      <w:b/>
      <w:bCs/>
      <w:kern w:val="44"/>
      <w:sz w:val="32"/>
      <w:szCs w:val="44"/>
    </w:rPr>
  </w:style>
  <w:style w:type="paragraph" w:styleId="3">
    <w:name w:val="heading 2"/>
    <w:basedOn w:val="1"/>
    <w:next w:val="1"/>
    <w:unhideWhenUsed/>
    <w:qFormat/>
    <w:uiPriority w:val="9"/>
    <w:pPr>
      <w:keepNext/>
      <w:keepLines/>
      <w:numPr>
        <w:ilvl w:val="1"/>
        <w:numId w:val="1"/>
      </w:numPr>
      <w:jc w:val="left"/>
      <w:outlineLvl w:val="1"/>
    </w:pPr>
    <w:rPr>
      <w:rFonts w:hAnsiTheme="majorHAnsi" w:cstheme="majorBidi"/>
      <w:b/>
      <w:bCs/>
      <w:sz w:val="28"/>
      <w:szCs w:val="32"/>
    </w:rPr>
  </w:style>
  <w:style w:type="paragraph" w:styleId="4">
    <w:name w:val="heading 3"/>
    <w:basedOn w:val="1"/>
    <w:next w:val="1"/>
    <w:unhideWhenUsed/>
    <w:qFormat/>
    <w:uiPriority w:val="9"/>
    <w:pPr>
      <w:keepNext/>
      <w:keepLines/>
      <w:numPr>
        <w:ilvl w:val="2"/>
        <w:numId w:val="1"/>
      </w:numPr>
      <w:jc w:val="left"/>
      <w:outlineLvl w:val="2"/>
    </w:pPr>
    <w:rPr>
      <w:b/>
      <w:bCs/>
      <w:sz w:val="28"/>
      <w:szCs w:val="32"/>
    </w:rPr>
  </w:style>
  <w:style w:type="paragraph" w:styleId="5">
    <w:name w:val="heading 4"/>
    <w:basedOn w:val="1"/>
    <w:next w:val="1"/>
    <w:unhideWhenUsed/>
    <w:qFormat/>
    <w:uiPriority w:val="0"/>
    <w:pPr>
      <w:keepNext/>
      <w:keepLines/>
      <w:numPr>
        <w:ilvl w:val="3"/>
        <w:numId w:val="2"/>
      </w:numPr>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unhideWhenUsed/>
    <w:qFormat/>
    <w:uiPriority w:val="9"/>
    <w:pPr>
      <w:keepNext/>
      <w:keepLines/>
      <w:numPr>
        <w:ilvl w:val="4"/>
        <w:numId w:val="1"/>
      </w:numPr>
      <w:jc w:val="left"/>
      <w:outlineLvl w:val="4"/>
    </w:pPr>
    <w:rPr>
      <w:b/>
      <w:bCs/>
      <w:szCs w:val="28"/>
    </w:rPr>
  </w:style>
  <w:style w:type="paragraph" w:styleId="7">
    <w:name w:val="heading 6"/>
    <w:basedOn w:val="1"/>
    <w:next w:val="1"/>
    <w:unhideWhenUsed/>
    <w:qFormat/>
    <w:uiPriority w:val="9"/>
    <w:pPr>
      <w:keepNext/>
      <w:keepLines/>
      <w:numPr>
        <w:ilvl w:val="5"/>
        <w:numId w:val="1"/>
      </w:numPr>
      <w:jc w:val="left"/>
      <w:outlineLvl w:val="5"/>
    </w:pPr>
    <w:rPr>
      <w:rFonts w:asciiTheme="majorHAnsi" w:hAnsiTheme="majorHAnsi" w:cstheme="majorBidi"/>
      <w:b/>
      <w:bCs/>
    </w:rPr>
  </w:style>
  <w:style w:type="paragraph" w:styleId="8">
    <w:name w:val="heading 7"/>
    <w:basedOn w:val="1"/>
    <w:next w:val="1"/>
    <w:unhideWhenUsed/>
    <w:qFormat/>
    <w:uiPriority w:val="9"/>
    <w:pPr>
      <w:keepNext/>
      <w:keepLines/>
      <w:numPr>
        <w:ilvl w:val="6"/>
        <w:numId w:val="1"/>
      </w:numPr>
      <w:jc w:val="left"/>
      <w:outlineLvl w:val="6"/>
    </w:pPr>
    <w:rPr>
      <w:b/>
      <w:bCs/>
    </w:rPr>
  </w:style>
  <w:style w:type="paragraph" w:styleId="9">
    <w:name w:val="heading 8"/>
    <w:basedOn w:val="1"/>
    <w:next w:val="1"/>
    <w:unhideWhenUsed/>
    <w:qFormat/>
    <w:uiPriority w:val="9"/>
    <w:pPr>
      <w:keepNext/>
      <w:keepLines/>
      <w:numPr>
        <w:ilvl w:val="7"/>
        <w:numId w:val="1"/>
      </w:numPr>
      <w:jc w:val="left"/>
      <w:outlineLvl w:val="7"/>
    </w:pPr>
    <w:rPr>
      <w:rFonts w:hAnsiTheme="majorHAnsi" w:cstheme="majorBidi"/>
      <w:b/>
    </w:rPr>
  </w:style>
  <w:style w:type="paragraph" w:styleId="10">
    <w:name w:val="heading 9"/>
    <w:basedOn w:val="1"/>
    <w:next w:val="1"/>
    <w:unhideWhenUsed/>
    <w:qFormat/>
    <w:uiPriority w:val="9"/>
    <w:pPr>
      <w:keepNext/>
      <w:keepLines/>
      <w:numPr>
        <w:ilvl w:val="8"/>
        <w:numId w:val="1"/>
      </w:numPr>
      <w:jc w:val="left"/>
      <w:outlineLvl w:val="8"/>
    </w:pPr>
    <w:rPr>
      <w:rFonts w:hAnsiTheme="majorHAnsi" w:cstheme="majorBidi"/>
      <w:b/>
      <w:szCs w:val="21"/>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11">
    <w:name w:val="footer"/>
    <w:basedOn w:val="1"/>
    <w:qFormat/>
    <w:uiPriority w:val="0"/>
    <w:pPr>
      <w:tabs>
        <w:tab w:val="center" w:pos="4153"/>
        <w:tab w:val="right" w:pos="8306"/>
      </w:tabs>
      <w:snapToGrid w:val="0"/>
      <w:jc w:val="left"/>
    </w:pPr>
    <w:rPr>
      <w:sz w:val="18"/>
    </w:rPr>
  </w:style>
  <w:style w:type="paragraph" w:styleId="12">
    <w:name w:val="header"/>
    <w:basedOn w:val="1"/>
    <w:link w:val="2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3">
    <w:name w:val="Normal (Web)"/>
    <w:basedOn w:val="1"/>
    <w:qFormat/>
    <w:uiPriority w:val="0"/>
    <w:pPr>
      <w:spacing w:before="100" w:beforeAutospacing="1" w:after="100" w:afterAutospacing="1"/>
      <w:jc w:val="left"/>
    </w:pPr>
    <w:rPr>
      <w:kern w:val="0"/>
      <w:sz w:val="24"/>
    </w:rPr>
  </w:style>
  <w:style w:type="table" w:styleId="15">
    <w:name w:val="Table Grid"/>
    <w:basedOn w:val="14"/>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17">
    <w:name w:val="Strong"/>
    <w:basedOn w:val="16"/>
    <w:qFormat/>
    <w:uiPriority w:val="0"/>
    <w:rPr>
      <w:b/>
    </w:rPr>
  </w:style>
  <w:style w:type="character" w:styleId="18">
    <w:name w:val="Hyperlink"/>
    <w:basedOn w:val="16"/>
    <w:qFormat/>
    <w:uiPriority w:val="0"/>
    <w:rPr>
      <w:color w:val="0000FF"/>
      <w:u w:val="single"/>
    </w:rPr>
  </w:style>
  <w:style w:type="paragraph" w:customStyle="1" w:styleId="19">
    <w:name w:val="纯文本1"/>
    <w:basedOn w:val="1"/>
    <w:qFormat/>
    <w:uiPriority w:val="0"/>
    <w:pPr>
      <w:adjustRightInd w:val="0"/>
      <w:spacing w:line="312" w:lineRule="atLeast"/>
      <w:textAlignment w:val="baseline"/>
    </w:pPr>
    <w:rPr>
      <w:rFonts w:ascii="宋体" w:hAnsi="Courier New"/>
      <w:kern w:val="0"/>
    </w:rPr>
  </w:style>
  <w:style w:type="paragraph" w:customStyle="1" w:styleId="20">
    <w:name w:val="日期1"/>
    <w:basedOn w:val="1"/>
    <w:next w:val="1"/>
    <w:qFormat/>
    <w:uiPriority w:val="0"/>
    <w:pPr>
      <w:ind w:left="100" w:leftChars="2500"/>
    </w:pPr>
  </w:style>
  <w:style w:type="character" w:customStyle="1" w:styleId="21">
    <w:name w:val="页眉 字符"/>
    <w:basedOn w:val="16"/>
    <w:link w:val="12"/>
    <w:qFormat/>
    <w:uiPriority w:val="99"/>
    <w:rPr>
      <w:rFonts w:ascii="Calibri" w:hAnsi="Calibri" w:cs="黑体"/>
      <w:kern w:val="2"/>
      <w:sz w:val="18"/>
      <w:szCs w:val="24"/>
    </w:rPr>
  </w:style>
  <w:style w:type="paragraph" w:customStyle="1" w:styleId="22">
    <w:name w:val="_Style 19"/>
    <w:basedOn w:val="1"/>
    <w:next w:val="1"/>
    <w:qFormat/>
    <w:uiPriority w:val="0"/>
    <w:pPr>
      <w:ind w:firstLine="420" w:firstLineChars="200"/>
    </w:pPr>
    <w:rPr>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5548BFA-3FF6-42F7-9251-030482CCD89C}">
  <ds:schemaRefs/>
</ds:datastoreItem>
</file>

<file path=docProps/app.xml><?xml version="1.0" encoding="utf-8"?>
<Properties xmlns="http://schemas.openxmlformats.org/officeDocument/2006/extended-properties" xmlns:vt="http://schemas.openxmlformats.org/officeDocument/2006/docPropsVTypes">
  <Template>Normal.dotm</Template>
  <Pages>19</Pages>
  <Words>1747</Words>
  <Characters>1831</Characters>
  <Lines>121</Lines>
  <Paragraphs>74</Paragraphs>
  <TotalTime>17</TotalTime>
  <ScaleCrop>false</ScaleCrop>
  <LinksUpToDate>false</LinksUpToDate>
  <CharactersWithSpaces>1924</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dc:creator>
  <cp:lastModifiedBy>李俊宇</cp:lastModifiedBy>
  <cp:lastPrinted>2025-07-10T13:17:00Z</cp:lastPrinted>
  <dcterms:modified xsi:type="dcterms:W3CDTF">2026-05-13T02:47:44Z</dcterms:modified>
  <dc:title>政府采购供应商质疑函格式</dc:title>
  <cp:revision>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KSOTemplateDocerSaveRecord">
    <vt:lpwstr>eyJoZGlkIjoiZjgxOWM0ZWE3MjBhZjNkNjgyNjUwYzZmNjgzZmEwZjAiLCJ1c2VySWQiOiIyNDcyNzQxODEifQ==</vt:lpwstr>
  </property>
  <property fmtid="{D5CDD505-2E9C-101B-9397-08002B2CF9AE}" pid="4" name="ICV">
    <vt:lpwstr>FD76581B4B91458B9E8EFEFAB6094AE7_13</vt:lpwstr>
  </property>
</Properties>
</file>