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insoku/>
        <w:wordWrap/>
        <w:overflowPunct/>
        <w:topLinePunct w:val="0"/>
        <w:bidi w:val="0"/>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2026年云南电力试验研究院（集团）有限公司检验检测事业部充电桩设备租赁服务专项采购（零星采购）技术规范书</w:t>
      </w:r>
    </w:p>
    <w:p>
      <w:pPr>
        <w:kinsoku/>
        <w:wordWrap/>
        <w:overflowPunct/>
        <w:topLinePunct w:val="0"/>
        <w:bidi w:val="0"/>
        <w:spacing w:line="360" w:lineRule="auto"/>
        <w:textAlignment w:val="auto"/>
        <w:outlineLvl w:val="0"/>
        <w:rPr>
          <w:rFonts w:hint="eastAsia" w:asciiTheme="minorEastAsia" w:hAnsiTheme="minorEastAsia" w:eastAsiaTheme="minorEastAsia" w:cstheme="minorEastAsia"/>
          <w:b/>
          <w:sz w:val="42"/>
          <w:szCs w:val="42"/>
          <w:lang w:val="en-US" w:eastAsia="zh-CN"/>
        </w:rPr>
      </w:pPr>
      <w:bookmarkStart w:id="0" w:name="_Toc441159752"/>
      <w:bookmarkEnd w:id="0"/>
    </w:p>
    <w:p>
      <w:pPr>
        <w:kinsoku/>
        <w:wordWrap/>
        <w:overflowPunct/>
        <w:topLinePunct w:val="0"/>
        <w:bidi w:val="0"/>
        <w:spacing w:line="360" w:lineRule="auto"/>
        <w:textAlignment w:val="auto"/>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一</w:t>
      </w:r>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rPr>
        <w:t>项目技术要求</w:t>
      </w:r>
    </w:p>
    <w:p>
      <w:pPr>
        <w:kinsoku/>
        <w:wordWrap/>
        <w:overflowPunct/>
        <w:topLinePunct w:val="0"/>
        <w:bidi w:val="0"/>
        <w:spacing w:line="360" w:lineRule="auto"/>
        <w:textAlignment w:val="auto"/>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1</w:t>
      </w:r>
      <w:r>
        <w:rPr>
          <w:rFonts w:hint="eastAsia" w:asciiTheme="minorEastAsia" w:hAnsiTheme="minorEastAsia" w:eastAsiaTheme="minorEastAsia" w:cstheme="minorEastAsia"/>
          <w:b/>
          <w:sz w:val="28"/>
          <w:szCs w:val="28"/>
        </w:rPr>
        <w:t>.1项目技术要求（技术参数）</w:t>
      </w:r>
    </w:p>
    <w:p>
      <w:pPr>
        <w:kinsoku/>
        <w:wordWrap/>
        <w:overflowPunct/>
        <w:topLinePunct w:val="0"/>
        <w:bidi w:val="0"/>
        <w:spacing w:line="360" w:lineRule="auto"/>
        <w:textAlignment w:val="auto"/>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color w:val="0D0D0D"/>
          <w:sz w:val="28"/>
          <w:szCs w:val="28"/>
          <w:lang w:val="en-US" w:eastAsia="zh-CN"/>
        </w:rPr>
        <w:t>1</w:t>
      </w:r>
      <w:r>
        <w:rPr>
          <w:rFonts w:hint="eastAsia" w:asciiTheme="minorEastAsia" w:hAnsiTheme="minorEastAsia" w:eastAsiaTheme="minorEastAsia" w:cstheme="minorEastAsia"/>
          <w:b/>
          <w:sz w:val="28"/>
          <w:szCs w:val="28"/>
        </w:rPr>
        <w:t>.1.1“充电桩现场检测装置”技术规范</w:t>
      </w:r>
    </w:p>
    <w:p>
      <w:pPr>
        <w:pStyle w:val="3"/>
        <w:keepNext/>
        <w:keepLines/>
        <w:pageBreakBefore w:val="0"/>
        <w:kinsoku/>
        <w:wordWrap/>
        <w:overflowPunct/>
        <w:topLinePunct w:val="0"/>
        <w:bidi w:val="0"/>
        <w:spacing w:line="360" w:lineRule="auto"/>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.1.1.1参考标准</w:t>
      </w:r>
    </w:p>
    <w:p>
      <w:pPr>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本技术规范提出的是最低限度的技术要求，若其中某一指标在各标准有不同规定时，应取技术指标的最优值，凡本技术规范中未提及的内容，但在相应的国家标准和地方计量技术规范和检定规程中有规定的，应按相应的标准执行。</w:t>
      </w:r>
    </w:p>
    <w:tbl>
      <w:tblPr>
        <w:tblStyle w:val="11"/>
        <w:tblW w:w="8298" w:type="dxa"/>
        <w:tblInd w:w="93" w:type="dxa"/>
        <w:tblLayout w:type="fixed"/>
        <w:tblCellMar>
          <w:top w:w="0" w:type="dxa"/>
          <w:left w:w="108" w:type="dxa"/>
          <w:bottom w:w="0" w:type="dxa"/>
          <w:right w:w="108" w:type="dxa"/>
        </w:tblCellMar>
      </w:tblPr>
      <w:tblGrid>
        <w:gridCol w:w="2086"/>
        <w:gridCol w:w="6212"/>
      </w:tblGrid>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18487.1-2015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电动汽车传导充电系统 第1部分：通用要求</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20234.1-2015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电动汽车传导充电用连接装置 第1部分：通用要求</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20234.2-2015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电动汽车传导充电用连接装置 第2部分：交流充电接口</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20234.3-2015</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电动汽车传导充电用连接装置 第3部分：直流充电接口</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34657.1-2017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电动汽车传导充电互操作性测试规范 第1部分：供电设备</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34658-2017</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电动汽车非车载传导式充电机与电池管理系统之间的通信协议一致性测试</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28569-2012</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电动汽车交流充电桩电能计量 </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GB/T 29318-2012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电动汽车非车载充电机电能计量 </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JJG 1148-2022 </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电动汽车交流充电桩检定规程 </w:t>
            </w:r>
          </w:p>
        </w:tc>
      </w:tr>
      <w:tr>
        <w:tblPrEx>
          <w:tblCellMar>
            <w:top w:w="0" w:type="dxa"/>
            <w:left w:w="108" w:type="dxa"/>
            <w:bottom w:w="0" w:type="dxa"/>
            <w:right w:w="108" w:type="dxa"/>
          </w:tblCellMar>
        </w:tblPrEx>
        <w:trPr>
          <w:trHeight w:val="270" w:hRule="atLeast"/>
        </w:trPr>
        <w:tc>
          <w:tcPr>
            <w:tcW w:w="2086"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JJG 1149-2022</w:t>
            </w:r>
          </w:p>
        </w:tc>
        <w:tc>
          <w:tcPr>
            <w:tcW w:w="6212" w:type="dxa"/>
            <w:shd w:val="clear" w:color="000000" w:fill="FFFFFF"/>
            <w:vAlign w:val="center"/>
          </w:tcPr>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电动汽车非车载充电机检定规程</w:t>
            </w:r>
          </w:p>
        </w:tc>
      </w:tr>
    </w:tbl>
    <w:p>
      <w:pPr>
        <w:pStyle w:val="18"/>
        <w:kinsoku/>
        <w:wordWrap/>
        <w:overflowPunct/>
        <w:topLinePunct w:val="0"/>
        <w:bidi w:val="0"/>
        <w:spacing w:line="360" w:lineRule="auto"/>
        <w:jc w:val="both"/>
        <w:textAlignment w:val="auto"/>
        <w:rPr>
          <w:rFonts w:hint="eastAsia" w:asciiTheme="minorEastAsia" w:hAnsiTheme="minorEastAsia" w:eastAsiaTheme="minorEastAsia" w:cstheme="minorEastAsia"/>
          <w:color w:val="auto"/>
          <w:kern w:val="2"/>
          <w:sz w:val="21"/>
          <w:szCs w:val="22"/>
        </w:rPr>
      </w:pPr>
    </w:p>
    <w:tbl>
      <w:tblPr>
        <w:tblStyle w:val="11"/>
        <w:tblpPr w:leftFromText="180" w:rightFromText="180" w:vertAnchor="text" w:horzAnchor="page" w:tblpX="661" w:tblpY="933"/>
        <w:tblOverlap w:val="never"/>
        <w:tblW w:w="10992" w:type="dxa"/>
        <w:tblInd w:w="0" w:type="dxa"/>
        <w:tblLayout w:type="fixed"/>
        <w:tblCellMar>
          <w:top w:w="15" w:type="dxa"/>
          <w:left w:w="15" w:type="dxa"/>
          <w:bottom w:w="15" w:type="dxa"/>
          <w:right w:w="15" w:type="dxa"/>
        </w:tblCellMar>
      </w:tblPr>
      <w:tblGrid>
        <w:gridCol w:w="866"/>
        <w:gridCol w:w="4252"/>
        <w:gridCol w:w="802"/>
        <w:gridCol w:w="765"/>
        <w:gridCol w:w="4307"/>
      </w:tblGrid>
      <w:tr>
        <w:tblPrEx>
          <w:tblCellMar>
            <w:top w:w="15" w:type="dxa"/>
            <w:left w:w="15" w:type="dxa"/>
            <w:bottom w:w="15" w:type="dxa"/>
            <w:right w:w="15" w:type="dxa"/>
          </w:tblCellMar>
        </w:tblPrEx>
        <w:trPr>
          <w:trHeight w:val="228"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设备名称</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307"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租赁期限</w:t>
            </w:r>
          </w:p>
        </w:tc>
      </w:tr>
      <w:tr>
        <w:tblPrEx>
          <w:tblCellMar>
            <w:top w:w="15" w:type="dxa"/>
            <w:left w:w="15" w:type="dxa"/>
            <w:bottom w:w="15" w:type="dxa"/>
            <w:right w:w="15" w:type="dxa"/>
          </w:tblCellMar>
        </w:tblPrEx>
        <w:trPr>
          <w:trHeight w:val="576" w:hRule="atLeast"/>
        </w:trPr>
        <w:tc>
          <w:tcPr>
            <w:tcW w:w="866" w:type="dxa"/>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52" w:type="dxa"/>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非车载充电机现场测试仪（含附件）</w:t>
            </w:r>
          </w:p>
        </w:tc>
        <w:tc>
          <w:tcPr>
            <w:tcW w:w="802" w:type="dxa"/>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765" w:type="dxa"/>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307" w:type="dxa"/>
            <w:vMerge w:val="restart"/>
            <w:tcBorders>
              <w:top w:val="single" w:color="000000" w:sz="4" w:space="0"/>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交货验收完成之日起共计12个月。</w:t>
            </w:r>
          </w:p>
        </w:tc>
      </w:tr>
      <w:tr>
        <w:tblPrEx>
          <w:tblCellMar>
            <w:top w:w="15" w:type="dxa"/>
            <w:left w:w="15" w:type="dxa"/>
            <w:bottom w:w="15" w:type="dxa"/>
            <w:right w:w="15" w:type="dxa"/>
          </w:tblCellMar>
        </w:tblPrEx>
        <w:trPr>
          <w:trHeight w:val="528" w:hRule="atLeast"/>
        </w:trPr>
        <w:tc>
          <w:tcPr>
            <w:tcW w:w="866"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252"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直流可调阻性负载（含附件）</w:t>
            </w:r>
          </w:p>
        </w:tc>
        <w:tc>
          <w:tcPr>
            <w:tcW w:w="802"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765"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307" w:type="dxa"/>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r>
        <w:tblPrEx>
          <w:tblCellMar>
            <w:top w:w="15" w:type="dxa"/>
            <w:left w:w="15" w:type="dxa"/>
            <w:bottom w:w="15" w:type="dxa"/>
            <w:right w:w="15" w:type="dxa"/>
          </w:tblCellMar>
        </w:tblPrEx>
        <w:trPr>
          <w:trHeight w:val="490" w:hRule="atLeast"/>
        </w:trPr>
        <w:tc>
          <w:tcPr>
            <w:tcW w:w="866"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252"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交流充电桩现场测试仪（含附件）</w:t>
            </w:r>
          </w:p>
        </w:tc>
        <w:tc>
          <w:tcPr>
            <w:tcW w:w="802"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765" w:type="dxa"/>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307" w:type="dxa"/>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r>
        <w:tblPrEx>
          <w:tblCellMar>
            <w:top w:w="15" w:type="dxa"/>
            <w:left w:w="15" w:type="dxa"/>
            <w:bottom w:w="15" w:type="dxa"/>
            <w:right w:w="15" w:type="dxa"/>
          </w:tblCellMar>
        </w:tblPrEx>
        <w:trPr>
          <w:trHeight w:val="558" w:hRule="atLeast"/>
        </w:trPr>
        <w:tc>
          <w:tcPr>
            <w:tcW w:w="866" w:type="dxa"/>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4252" w:type="dxa"/>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交流可调阻性负载（含附件）</w:t>
            </w:r>
          </w:p>
        </w:tc>
        <w:tc>
          <w:tcPr>
            <w:tcW w:w="802" w:type="dxa"/>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765" w:type="dxa"/>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307" w:type="dxa"/>
            <w:vMerge w:val="continue"/>
            <w:tcBorders>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bl>
    <w:p>
      <w:pPr>
        <w:pStyle w:val="3"/>
        <w:keepNext/>
        <w:keepLines/>
        <w:pageBreakBefore w:val="0"/>
        <w:kinsoku/>
        <w:wordWrap/>
        <w:overflowPunct/>
        <w:topLinePunct w:val="0"/>
        <w:bidi w:val="0"/>
        <w:spacing w:line="360" w:lineRule="auto"/>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.1.1.2租赁范围</w:t>
      </w:r>
    </w:p>
    <w:p>
      <w:pPr>
        <w:pStyle w:val="3"/>
        <w:kinsoku/>
        <w:wordWrap/>
        <w:overflowPunct/>
        <w:topLinePunct w:val="0"/>
        <w:bidi w:val="0"/>
        <w:spacing w:line="360" w:lineRule="auto"/>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.1.1.3技术要求</w:t>
      </w:r>
    </w:p>
    <w:p>
      <w:pPr>
        <w:pStyle w:val="2"/>
        <w:kinsoku/>
        <w:wordWrap/>
        <w:overflowPunct/>
        <w:topLinePunct w:val="0"/>
        <w:bidi w:val="0"/>
        <w:snapToGrid/>
        <w:spacing w:line="360" w:lineRule="auto"/>
        <w:ind w:firstLine="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.1.1.3.1非车载充电机现场测试仪技术要求</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1）主要技术指标（其中RD为读数，RG为量程，下同）</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直流电压范围：30V～1150V</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直流电流范围：0.5A～300A</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bookmarkStart w:id="1" w:name="OLE_LINK1"/>
      <w:bookmarkStart w:id="2" w:name="OLE_LINK2"/>
      <w:r>
        <w:rPr>
          <w:rFonts w:hint="eastAsia" w:asciiTheme="minorEastAsia" w:hAnsiTheme="minorEastAsia" w:eastAsiaTheme="minorEastAsia" w:cstheme="minorEastAsia"/>
          <w:sz w:val="24"/>
          <w:szCs w:val="24"/>
        </w:rPr>
        <w:t>直流</w:t>
      </w:r>
      <w:bookmarkEnd w:id="1"/>
      <w:bookmarkEnd w:id="2"/>
      <w:r>
        <w:rPr>
          <w:rFonts w:hint="eastAsia" w:asciiTheme="minorEastAsia" w:hAnsiTheme="minorEastAsia" w:eastAsiaTheme="minorEastAsia" w:cstheme="minorEastAsia"/>
          <w:sz w:val="24"/>
          <w:szCs w:val="24"/>
        </w:rPr>
        <w:t>电压不确定度(k=2)：0.02%*RD + 0.0025%*RG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★直流电流测量不确定度(k=2)：</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50A及以上量程：0.02%*RD + 0.0075%*RG；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20A量程：0.04%*RD + 0.02%*RG；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10A量程：0.05%*RD + 0.04%*RG；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5A量程：0.12%*RD + 0.08%*RG；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直流功率/电能不确定度：0.05级</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电压电流纹波测量不确定度(k=2)：0.08%*RG。有效值；带宽：≤ 1 kHz。</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2）主要功能要求</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可用于非车载充电机的充电电能计量检定：非车载充电机工作误差、充电量显示误差、付费金额误差及时钟示值误差。</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bookmarkStart w:id="3" w:name="OLE_LINK12"/>
      <w:bookmarkStart w:id="4" w:name="OLE_LINK11"/>
      <w:r>
        <w:rPr>
          <w:rFonts w:hint="eastAsia" w:asciiTheme="minorEastAsia" w:hAnsiTheme="minorEastAsia" w:eastAsiaTheme="minorEastAsia" w:cstheme="minorEastAsia"/>
          <w:sz w:val="24"/>
          <w:szCs w:val="24"/>
        </w:rPr>
        <w:t>可用于传导充电互操作性测试：连接确认测试、自检阶段测试、充电准备就绪测试、充电阶段测试、正常充电结束测试、充电连接控制时序测试、通信中断测试、开关S断开测试、车辆接口断开测试、输出电压超过车辆允许值测试、绝缘故障测试、其他充电故障、输出电压控制误差测试、输出电流控制误差测试、输出电流控制时间测试、输出电流停止速率测试、控制导引电压超限测试等。</w:t>
      </w:r>
      <w:bookmarkEnd w:id="3"/>
      <w:bookmarkEnd w:id="4"/>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可进行非车载充电机通讯协议一致性试验。</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bookmarkStart w:id="5" w:name="OLE_LINK53"/>
      <w:bookmarkStart w:id="6" w:name="OLE_LINK54"/>
      <w:r>
        <w:rPr>
          <w:rFonts w:hint="eastAsia" w:asciiTheme="minorEastAsia" w:hAnsiTheme="minorEastAsia" w:eastAsiaTheme="minorEastAsia" w:cstheme="minorEastAsia"/>
          <w:sz w:val="24"/>
          <w:szCs w:val="24"/>
        </w:rPr>
        <w:t>★内置GPS时钟接收模块，</w:t>
      </w:r>
      <w:bookmarkEnd w:id="5"/>
      <w:bookmarkEnd w:id="6"/>
      <w:bookmarkStart w:id="7" w:name="OLE_LINK43"/>
      <w:bookmarkStart w:id="8" w:name="OLE_LINK41"/>
      <w:bookmarkStart w:id="9" w:name="OLE_LINK42"/>
      <w:r>
        <w:rPr>
          <w:rFonts w:hint="eastAsia" w:asciiTheme="minorEastAsia" w:hAnsiTheme="minorEastAsia" w:eastAsiaTheme="minorEastAsia" w:cstheme="minorEastAsia"/>
          <w:sz w:val="24"/>
          <w:szCs w:val="24"/>
        </w:rPr>
        <w:t>具有GPS对时功能和精密准确的计时功能，时间不确定度(k=2)1s/d，可检测</w:t>
      </w:r>
      <w:bookmarkStart w:id="10" w:name="OLE_LINK39"/>
      <w:bookmarkStart w:id="11" w:name="OLE_LINK40"/>
      <w:r>
        <w:rPr>
          <w:rFonts w:hint="eastAsia" w:asciiTheme="minorEastAsia" w:hAnsiTheme="minorEastAsia" w:eastAsiaTheme="minorEastAsia" w:cstheme="minorEastAsia"/>
          <w:sz w:val="24"/>
          <w:szCs w:val="24"/>
        </w:rPr>
        <w:t>充电机</w:t>
      </w:r>
      <w:bookmarkEnd w:id="10"/>
      <w:bookmarkEnd w:id="11"/>
      <w:r>
        <w:rPr>
          <w:rFonts w:hint="eastAsia" w:asciiTheme="minorEastAsia" w:hAnsiTheme="minorEastAsia" w:eastAsiaTheme="minorEastAsia" w:cstheme="minorEastAsia"/>
          <w:sz w:val="24"/>
          <w:szCs w:val="24"/>
        </w:rPr>
        <w:t>时钟示值误差。</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bookmarkStart w:id="12" w:name="OLE_LINK50"/>
      <w:bookmarkStart w:id="13" w:name="OLE_LINK49"/>
      <w:r>
        <w:rPr>
          <w:rFonts w:hint="eastAsia" w:asciiTheme="minorEastAsia" w:hAnsiTheme="minorEastAsia" w:eastAsiaTheme="minorEastAsia" w:cstheme="minorEastAsia"/>
          <w:sz w:val="24"/>
          <w:szCs w:val="24"/>
        </w:rPr>
        <w:t>★内置测温芯片，</w:t>
      </w:r>
      <w:bookmarkEnd w:id="12"/>
      <w:bookmarkEnd w:id="13"/>
      <w:r>
        <w:rPr>
          <w:rFonts w:hint="eastAsia" w:asciiTheme="minorEastAsia" w:hAnsiTheme="minorEastAsia" w:eastAsiaTheme="minorEastAsia" w:cstheme="minorEastAsia"/>
          <w:sz w:val="24"/>
          <w:szCs w:val="24"/>
        </w:rPr>
        <w:t>具有环境温度测量功能，温度测量不确定度0.3℃，便于修正和校准充电机的环境温度误差影响量</w:t>
      </w:r>
      <w:bookmarkEnd w:id="7"/>
      <w:bookmarkEnd w:id="8"/>
      <w:bookmarkEnd w:id="9"/>
      <w:r>
        <w:rPr>
          <w:rFonts w:hint="eastAsia" w:asciiTheme="minorEastAsia" w:hAnsiTheme="minorEastAsia" w:eastAsiaTheme="minorEastAsia" w:cstheme="minorEastAsia"/>
          <w:sz w:val="24"/>
          <w:szCs w:val="24"/>
        </w:rPr>
        <w:t>。</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内置R4电阻仿真模块，电阻调整范围400 Ω～4500 Ω，步进1 Ω。各触点均带有通断开关，可实现触点通断状态仿真模拟。</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可完成充电机绝缘状态模拟，电压接入范围0V～800V，电阻调整范围10kΩ～610kΩ，步进5kΩ，用于模拟充电机正负极绝缘故障的仿真。</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须内置电池电压模拟器，并具有过压、过流、短路、防反接等功能。</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须内置电动汽车BMS模拟程序，通讯协议支持GB/T 27930-2015版本。</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应配备电能脉冲输入接口和标准电能脉冲输出接口，可测量充电机的电能脉冲输出，并要求在标准器主机上配备专用校准接口，方便溯源。</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应配有CAN-BUS、RS232、USB、Ethernet、WIFI接口及上位机软件，便于组建自动测试系统。</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★供电方式：必须至少支持市电供电、蓄电池二种供电方式，保证现场长期可靠运行。</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32"/>
          <w:szCs w:val="32"/>
        </w:rPr>
      </w:pPr>
      <w:bookmarkStart w:id="14" w:name="_Toc20683"/>
      <w:r>
        <w:rPr>
          <w:rFonts w:hint="eastAsia" w:asciiTheme="minorEastAsia" w:hAnsiTheme="minorEastAsia" w:eastAsiaTheme="minorEastAsia" w:cstheme="minorEastAsia"/>
          <w:b/>
          <w:sz w:val="32"/>
          <w:szCs w:val="32"/>
          <w:lang w:val="en-US" w:eastAsia="zh-CN"/>
        </w:rPr>
        <w:t>1</w:t>
      </w:r>
      <w:r>
        <w:rPr>
          <w:rFonts w:hint="eastAsia" w:asciiTheme="minorEastAsia" w:hAnsiTheme="minorEastAsia" w:eastAsiaTheme="minorEastAsia" w:cstheme="minorEastAsia"/>
          <w:b/>
          <w:sz w:val="32"/>
          <w:szCs w:val="32"/>
        </w:rPr>
        <w:t>.1.1.3.2</w:t>
      </w:r>
      <w:r>
        <w:rPr>
          <w:rFonts w:hint="eastAsia" w:asciiTheme="minorEastAsia" w:hAnsiTheme="minorEastAsia" w:eastAsiaTheme="minorEastAsia" w:cstheme="minorEastAsia"/>
          <w:sz w:val="32"/>
          <w:szCs w:val="32"/>
        </w:rPr>
        <w:t>直流可调阻性负载技术要求</w:t>
      </w:r>
      <w:bookmarkEnd w:id="14"/>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1）工作电压：100 V ～800 V。</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额定功率：60kW。</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2）配有直流充电机标准充电输入插座和扩展负载用级联端插座(共二个插座)，插座须符合直流充电接口国标GB/T20234.3-2015。</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★具有数据通讯功能，可与非车载充电机现场检定仪进行数据通讯，并可用检定仪主机程控调节负载大小。</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负载须带有可任意移动的滚轮，并带有锁止固定的功能，任一负载质量须小于65kg。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★负载供电方式：必须支持充电枪头供电方式，保证现场长期可靠运行。</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功率扩展：可多个级联。</w:t>
      </w:r>
    </w:p>
    <w:p>
      <w:pPr>
        <w:tabs>
          <w:tab w:val="left" w:pos="1440"/>
          <w:tab w:val="left" w:pos="3960"/>
        </w:tabs>
        <w:kinsoku/>
        <w:wordWrap/>
        <w:overflowPunct/>
        <w:topLinePunct w:val="0"/>
        <w:bidi w:val="0"/>
        <w:snapToGrid w:val="0"/>
        <w:spacing w:line="360" w:lineRule="auto"/>
        <w:ind w:firstLine="640"/>
        <w:textAlignment w:val="auto"/>
        <w:rPr>
          <w:rFonts w:hint="eastAsia" w:asciiTheme="minorEastAsia" w:hAnsiTheme="minorEastAsia" w:eastAsiaTheme="minorEastAsia" w:cstheme="minorEastAsia"/>
          <w:szCs w:val="32"/>
        </w:rPr>
      </w:pP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bookmarkStart w:id="15" w:name="_Toc4340"/>
      <w:r>
        <w:rPr>
          <w:rFonts w:hint="eastAsia" w:asciiTheme="minorEastAsia" w:hAnsiTheme="minorEastAsia" w:eastAsiaTheme="minorEastAsia" w:cstheme="minorEastAsia"/>
          <w:b/>
          <w:sz w:val="32"/>
          <w:szCs w:val="32"/>
          <w:lang w:val="en-US" w:eastAsia="zh-CN"/>
        </w:rPr>
        <w:t>1</w:t>
      </w:r>
      <w:r>
        <w:rPr>
          <w:rFonts w:hint="eastAsia" w:asciiTheme="minorEastAsia" w:hAnsiTheme="minorEastAsia" w:eastAsiaTheme="minorEastAsia" w:cstheme="minorEastAsia"/>
          <w:b/>
          <w:sz w:val="32"/>
          <w:szCs w:val="32"/>
        </w:rPr>
        <w:t>.1.1.3.3</w:t>
      </w:r>
      <w:r>
        <w:rPr>
          <w:rFonts w:hint="eastAsia" w:asciiTheme="minorEastAsia" w:hAnsiTheme="minorEastAsia" w:eastAsiaTheme="minorEastAsia" w:cstheme="minorEastAsia"/>
          <w:sz w:val="32"/>
          <w:szCs w:val="32"/>
        </w:rPr>
        <w:t>交流充电桩现场测试仪技术要求</w:t>
      </w:r>
      <w:bookmarkEnd w:id="15"/>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1）主要技术指标</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单/三相交流电压范围：30V～300V</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单/三相交流电流范围：10mA～78A</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单/三相电压不确定度(k=2)：0.02%*RD + 0.005%*RG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★单/三相电流测量不确定度(k=2)：0.02%RD + 0.01%RG；</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★单/三相交流功率电能测量不确定度(k=2)：± 0.05%*RD ；</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电压电流谐波测量不确定度(k=2)：± 0.05%</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频率指标：范围45.000 Hz～65.000 Hz；最大允差：±0.01 Hz；</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相位指标：范围0.000°～359.999°；最大允差：±0.025°；</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2）主要功能要求</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不确定度等级为0.05级，可用于对交流充电桩的充电电能计量检定：交流充电桩工作误差、充电量显示误差、付费金额误差及时钟示值误差。</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求具有传导充电互操作性测试功能：连接确认测试、充电准备就绪测试、启动及充电阶段测试、正常充电结束测试、充电连接控制时序测试、CC断路测试、CP断路测试、CP接地测试、输出过流测试、断开开关S2测试、CP回路电压限值测试。</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要求内置GPS时钟接收模块，具有GPS对时功能和精密准确的计时功能，时间不确定度(k=2)1s/d，可检测充电桩的时刻误差和计时误差。</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要求内置测温芯片，具有环境温度测量功能（温度探头可以延长不少于5米），温度测量不确定度0.3℃，便于修正和校准充电桩的环境温度误差影响量。</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动态范围宽，可检测2～40次谐波。</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bookmarkStart w:id="16" w:name="OLE_LINK8"/>
      <w:r>
        <w:rPr>
          <w:rFonts w:hint="eastAsia" w:asciiTheme="minorEastAsia" w:hAnsiTheme="minorEastAsia" w:eastAsiaTheme="minorEastAsia" w:cstheme="minorEastAsia"/>
          <w:sz w:val="24"/>
          <w:szCs w:val="24"/>
        </w:rPr>
        <w:t>要求配备电能脉冲输入接口和标准电能脉冲输出接口，可测量充电桩的电能脉冲输出，并要求在标准器主机上配备专用校准接口。</w:t>
      </w:r>
    </w:p>
    <w:bookmarkEnd w:id="16"/>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应配有RS232、USB、Ethernet、WIFI接口及上位机软件，便于组建自动测试系统。</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★供电方式：必须至少支持市电供电、蓄电池二种供电方式，保证现场长期可靠运行。</w:t>
      </w:r>
    </w:p>
    <w:p>
      <w:pPr>
        <w:tabs>
          <w:tab w:val="left" w:pos="1440"/>
          <w:tab w:val="left" w:pos="3960"/>
        </w:tabs>
        <w:kinsoku/>
        <w:wordWrap/>
        <w:overflowPunct/>
        <w:topLinePunct w:val="0"/>
        <w:bidi w:val="0"/>
        <w:snapToGrid w:val="0"/>
        <w:spacing w:line="360" w:lineRule="auto"/>
        <w:ind w:firstLine="640"/>
        <w:textAlignment w:val="auto"/>
        <w:rPr>
          <w:rFonts w:hint="eastAsia" w:asciiTheme="minorEastAsia" w:hAnsiTheme="minorEastAsia" w:eastAsiaTheme="minorEastAsia" w:cstheme="minorEastAsia"/>
          <w:szCs w:val="32"/>
        </w:rPr>
      </w:pP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bookmarkStart w:id="17" w:name="_Toc24152"/>
      <w:r>
        <w:rPr>
          <w:rFonts w:hint="eastAsia" w:asciiTheme="minorEastAsia" w:hAnsiTheme="minorEastAsia" w:eastAsiaTheme="minorEastAsia" w:cstheme="minorEastAsia"/>
          <w:b/>
          <w:sz w:val="32"/>
          <w:szCs w:val="32"/>
          <w:lang w:val="en-US" w:eastAsia="zh-CN"/>
        </w:rPr>
        <w:t>1</w:t>
      </w:r>
      <w:r>
        <w:rPr>
          <w:rFonts w:hint="eastAsia" w:asciiTheme="minorEastAsia" w:hAnsiTheme="minorEastAsia" w:eastAsiaTheme="minorEastAsia" w:cstheme="minorEastAsia"/>
          <w:b/>
          <w:sz w:val="32"/>
          <w:szCs w:val="32"/>
        </w:rPr>
        <w:t>.1.1.3.4</w:t>
      </w:r>
      <w:r>
        <w:rPr>
          <w:rFonts w:hint="eastAsia" w:asciiTheme="minorEastAsia" w:hAnsiTheme="minorEastAsia" w:eastAsiaTheme="minorEastAsia" w:cstheme="minorEastAsia"/>
          <w:sz w:val="32"/>
          <w:szCs w:val="32"/>
        </w:rPr>
        <w:t>交流可调阻性负载技术要求</w:t>
      </w:r>
      <w:bookmarkEnd w:id="17"/>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1）工作电压： AC 220V/380V</w:t>
      </w:r>
      <w:bookmarkStart w:id="18" w:name="OLE_LINK47"/>
      <w:bookmarkStart w:id="19" w:name="OLE_LINK48"/>
      <w:r>
        <w:rPr>
          <w:rFonts w:hint="eastAsia" w:asciiTheme="minorEastAsia" w:hAnsiTheme="minorEastAsia" w:eastAsiaTheme="minorEastAsia" w:cstheme="minorEastAsia"/>
          <w:sz w:val="24"/>
          <w:szCs w:val="24"/>
        </w:rPr>
        <w:t xml:space="preserve">。  </w:t>
      </w:r>
    </w:p>
    <w:bookmarkEnd w:id="18"/>
    <w:bookmarkEnd w:id="19"/>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额定功率：45kW。</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2）配有交流充电桩标准充电输入插座，插座符合交流充电接口国标GB/T20234.2-2015。</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具有数据通讯功能，可与充电桩现场测试仪进行数据通讯，并可用测试仪主机程控调节负载大小。</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负载须带有可任意移动的滚轮，并带有锁止固定的功能，负载两边有便于抬起的把手，任一负载质量须小于60kg。</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bookmarkStart w:id="20" w:name="_Toc1535"/>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 w:val="32"/>
          <w:szCs w:val="32"/>
          <w:lang w:val="en-US" w:eastAsia="zh-CN"/>
        </w:rPr>
        <w:t>1</w:t>
      </w:r>
      <w:r>
        <w:rPr>
          <w:rFonts w:hint="eastAsia" w:asciiTheme="minorEastAsia" w:hAnsiTheme="minorEastAsia" w:eastAsiaTheme="minorEastAsia" w:cstheme="minorEastAsia"/>
          <w:b/>
          <w:sz w:val="32"/>
          <w:szCs w:val="32"/>
        </w:rPr>
        <w:t>.1.1.3.5</w:t>
      </w:r>
      <w:r>
        <w:rPr>
          <w:rFonts w:hint="eastAsia" w:asciiTheme="minorEastAsia" w:hAnsiTheme="minorEastAsia" w:eastAsiaTheme="minorEastAsia" w:cstheme="minorEastAsia"/>
          <w:sz w:val="32"/>
          <w:szCs w:val="32"/>
        </w:rPr>
        <w:t>溯源要求</w:t>
      </w:r>
      <w:bookmarkEnd w:id="20"/>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交货时，充电桩（机）现场测试仪主机应包含</w:t>
      </w:r>
      <w:r>
        <w:rPr>
          <w:rFonts w:hint="eastAsia" w:asciiTheme="minorEastAsia" w:hAnsiTheme="minorEastAsia" w:eastAsiaTheme="minorEastAsia" w:cstheme="minorEastAsia"/>
          <w:color w:val="auto"/>
          <w:sz w:val="24"/>
          <w:szCs w:val="24"/>
        </w:rPr>
        <w:t>第三方省级及以上法定计量检定机构出具的溯源/校准</w:t>
      </w:r>
      <w:r>
        <w:rPr>
          <w:rFonts w:hint="eastAsia" w:asciiTheme="minorEastAsia" w:hAnsiTheme="minorEastAsia" w:eastAsiaTheme="minorEastAsia" w:cstheme="minorEastAsia"/>
          <w:color w:val="auto"/>
          <w:sz w:val="24"/>
          <w:szCs w:val="24"/>
          <w:lang w:val="zh-CN"/>
        </w:rPr>
        <w:t>证书，以证明该装置各项技术指标符合本</w:t>
      </w:r>
      <w:r>
        <w:rPr>
          <w:rFonts w:hint="eastAsia" w:asciiTheme="minorEastAsia" w:hAnsiTheme="minorEastAsia" w:eastAsiaTheme="minorEastAsia" w:cstheme="minorEastAsia"/>
          <w:color w:val="auto"/>
          <w:sz w:val="24"/>
          <w:szCs w:val="24"/>
        </w:rPr>
        <w:t>采购</w:t>
      </w:r>
      <w:r>
        <w:rPr>
          <w:rFonts w:hint="eastAsia" w:asciiTheme="minorEastAsia" w:hAnsiTheme="minorEastAsia" w:eastAsiaTheme="minorEastAsia" w:cstheme="minorEastAsia"/>
          <w:color w:val="auto"/>
          <w:sz w:val="24"/>
          <w:szCs w:val="24"/>
          <w:lang w:val="zh-CN"/>
        </w:rPr>
        <w:t>文件的要求。与检测有关的费用均由供方承担。</w:t>
      </w:r>
    </w:p>
    <w:p>
      <w:pPr>
        <w:tabs>
          <w:tab w:val="left" w:pos="1440"/>
          <w:tab w:val="left" w:pos="3960"/>
        </w:tabs>
        <w:kinsoku/>
        <w:wordWrap/>
        <w:overflowPunct/>
        <w:topLinePunct w:val="0"/>
        <w:bidi w:val="0"/>
        <w:snapToGrid w:val="0"/>
        <w:spacing w:line="360" w:lineRule="auto"/>
        <w:ind w:firstLine="640"/>
        <w:textAlignment w:val="auto"/>
        <w:rPr>
          <w:rFonts w:hint="eastAsia" w:asciiTheme="minorEastAsia" w:hAnsiTheme="minorEastAsia" w:eastAsiaTheme="minorEastAsia" w:cstheme="minorEastAsia"/>
          <w:szCs w:val="32"/>
        </w:rPr>
      </w:pPr>
      <w:bookmarkStart w:id="21" w:name="_Toc29511"/>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 w:val="32"/>
          <w:szCs w:val="32"/>
          <w:lang w:val="en-US" w:eastAsia="zh-CN"/>
        </w:rPr>
        <w:t>1</w:t>
      </w:r>
      <w:r>
        <w:rPr>
          <w:rFonts w:hint="eastAsia" w:asciiTheme="minorEastAsia" w:hAnsiTheme="minorEastAsia" w:eastAsiaTheme="minorEastAsia" w:cstheme="minorEastAsia"/>
          <w:b/>
          <w:sz w:val="32"/>
          <w:szCs w:val="32"/>
        </w:rPr>
        <w:t>.1.1.3.6</w:t>
      </w:r>
      <w:r>
        <w:rPr>
          <w:rFonts w:hint="eastAsia" w:asciiTheme="minorEastAsia" w:hAnsiTheme="minorEastAsia" w:eastAsiaTheme="minorEastAsia" w:cstheme="minorEastAsia"/>
          <w:sz w:val="32"/>
          <w:szCs w:val="32"/>
        </w:rPr>
        <w:t>其他要求</w:t>
      </w:r>
      <w:bookmarkEnd w:id="21"/>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质保要求：装置在1年内免费维修，终身保修。</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报价人必须提供相关的技术支持及上门培训服务。</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报价人需提供制造商充电桩（机）现场测试仪主机在省级或以上法定计量检定机构出具的溯源证书（或测试报告）复印件，以证明其不确定度(k=2)等级满足招标文件技术要求。</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业绩要求：提供充电桩现场测试装置等同类产品不少于2套省级(或直辖市）及以上法制计量检测机构的业绩</w:t>
      </w:r>
      <w:r>
        <w:rPr>
          <w:rFonts w:hint="eastAsia" w:asciiTheme="minorEastAsia" w:hAnsiTheme="minorEastAsia" w:eastAsiaTheme="minorEastAsia" w:cstheme="minorEastAsia"/>
          <w:sz w:val="24"/>
          <w:szCs w:val="24"/>
          <w:lang w:eastAsia="zh-CN"/>
        </w:rPr>
        <w:t>技术规范书</w:t>
      </w:r>
      <w:r>
        <w:rPr>
          <w:rFonts w:hint="eastAsia" w:asciiTheme="minorEastAsia" w:hAnsiTheme="minorEastAsia" w:eastAsiaTheme="minorEastAsia" w:cstheme="minorEastAsia"/>
          <w:sz w:val="24"/>
          <w:szCs w:val="24"/>
        </w:rPr>
        <w:t>复印件，并提供不少于2套省级及以上法制计量检测机构的设备运行报告复印件。</w:t>
      </w:r>
    </w:p>
    <w:p>
      <w:pPr>
        <w:tabs>
          <w:tab w:val="left" w:pos="1440"/>
          <w:tab w:val="left" w:pos="3960"/>
        </w:tabs>
        <w:kinsoku/>
        <w:wordWrap/>
        <w:overflowPunct/>
        <w:topLinePunct w:val="0"/>
        <w:bidi w:val="0"/>
        <w:snapToGrid w:val="0"/>
        <w:spacing w:line="360" w:lineRule="auto"/>
        <w:ind w:firstLine="360" w:firstLineChars="15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报价人企业资质要求：需提供国家级高新技术企业证书、ISO 9001-2015质量管理体系认证证书、ISO 14001-2015环境管理体系认证证书、GB/T22080-2016 信息安全管理体系认证证书、ISO45001:2018职业健康安全管理体系认证证书。</w:t>
      </w:r>
    </w:p>
    <w:p>
      <w:pPr>
        <w:tabs>
          <w:tab w:val="left" w:pos="1440"/>
          <w:tab w:val="left" w:pos="3960"/>
        </w:tabs>
        <w:kinsoku/>
        <w:wordWrap/>
        <w:overflowPunct/>
        <w:topLinePunct w:val="0"/>
        <w:bidi w:val="0"/>
        <w:snapToGrid w:val="0"/>
        <w:spacing w:line="360" w:lineRule="auto"/>
        <w:textAlignment w:val="auto"/>
        <w:rPr>
          <w:rFonts w:hint="eastAsia" w:asciiTheme="minorEastAsia" w:hAnsiTheme="minorEastAsia" w:eastAsiaTheme="minorEastAsia" w:cstheme="minorEastAsia"/>
          <w:szCs w:val="32"/>
        </w:rPr>
      </w:pPr>
    </w:p>
    <w:p>
      <w:pPr>
        <w:kinsoku/>
        <w:wordWrap/>
        <w:overflowPunct/>
        <w:topLinePunct w:val="0"/>
        <w:bidi w:val="0"/>
        <w:spacing w:line="360" w:lineRule="auto"/>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lang w:eastAsia="zh-CN"/>
        </w:rPr>
        <w:t>、</w:t>
      </w:r>
      <w:r>
        <w:rPr>
          <w:rFonts w:hint="eastAsia" w:asciiTheme="minorEastAsia" w:hAnsiTheme="minorEastAsia" w:eastAsiaTheme="minorEastAsia" w:cstheme="minorEastAsia"/>
          <w:b/>
          <w:bCs/>
          <w:sz w:val="28"/>
          <w:szCs w:val="28"/>
        </w:rPr>
        <w:t>设备要求</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rPr>
        <w:t>.1 包装方式和要求</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.1.1 设备制造完成并通过试验后应及时包装, 否则应得到切实的保护, 确保其不受污损。</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.1.2所有部件经妥善包装或装箱后, 在运输过程中尚应采取其它防护措施, 以免散失损坏或被盗。</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.1.3在包装箱外应标明需方的订货号、发货号。</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.1.4各种包装应能确保各零部件在运输过程中不致遭到损坏、丢失、变形、受潮和腐蚀。</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.1.5包装箱上应有明显的包装储运图示标志(按 GB/T 191-2008)。</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.1.6整体产品或分别运输的部件都要适合运输和装载的要求。</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.1.7随产品提供的技术资料应完整无缺。</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rPr>
        <w:t>.2 运输</w:t>
      </w:r>
    </w:p>
    <w:p>
      <w:pPr>
        <w:widowControl/>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必须采取符合设备要求的合理形式对设备运输和贮存，并且由委托方专人全程跟踪。</w:t>
      </w:r>
    </w:p>
    <w:p>
      <w:pPr>
        <w:widowControl/>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设备从乙方地到目的地的运输由乙方负责。</w:t>
      </w:r>
    </w:p>
    <w:p>
      <w:pPr>
        <w:widowControl/>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在设备抵达目的地后，乙方组织、甲方参加，开箱验收。如果发现任一设备有偏差、损坏、损失、遗漏或数量、质量、技术规范因乙方的责任与</w:t>
      </w:r>
      <w:r>
        <w:rPr>
          <w:rFonts w:hint="eastAsia" w:asciiTheme="minorEastAsia" w:hAnsiTheme="minorEastAsia" w:eastAsiaTheme="minorEastAsia" w:cstheme="minorEastAsia"/>
          <w:color w:val="000000"/>
          <w:kern w:val="0"/>
          <w:sz w:val="24"/>
          <w:szCs w:val="24"/>
          <w:lang w:eastAsia="zh-CN"/>
        </w:rPr>
        <w:t>技术规范书</w:t>
      </w:r>
      <w:r>
        <w:rPr>
          <w:rFonts w:hint="eastAsia" w:asciiTheme="minorEastAsia" w:hAnsiTheme="minorEastAsia" w:eastAsiaTheme="minorEastAsia" w:cstheme="minorEastAsia"/>
          <w:color w:val="000000"/>
          <w:kern w:val="0"/>
          <w:sz w:val="24"/>
          <w:szCs w:val="24"/>
        </w:rPr>
        <w:t>不符，甲方有权向乙方提出索赔。</w:t>
      </w:r>
    </w:p>
    <w:p>
      <w:pPr>
        <w:widowControl/>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现场交接的最终验收完成之后，乙方代表将设备移交甲方进行贮存。</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eastAsiaTheme="minorEastAsia" w:cstheme="minorEastAsia"/>
          <w:b/>
          <w:bCs/>
          <w:kern w:val="0"/>
          <w:sz w:val="28"/>
          <w:szCs w:val="28"/>
          <w:lang w:val="en-US" w:eastAsia="zh-CN"/>
        </w:rPr>
        <w:t>2.3 标的物交付时间</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.2.1交货期限为：自</w:t>
      </w:r>
      <w:r>
        <w:rPr>
          <w:rFonts w:hint="eastAsia" w:asciiTheme="minorEastAsia" w:hAnsiTheme="minorEastAsia" w:eastAsiaTheme="minorEastAsia" w:cstheme="minorEastAsia"/>
          <w:kern w:val="0"/>
          <w:sz w:val="24"/>
          <w:szCs w:val="24"/>
          <w:lang w:val="en-US" w:eastAsia="zh-CN"/>
        </w:rPr>
        <w:t>中标通知书发布</w:t>
      </w:r>
      <w:r>
        <w:rPr>
          <w:rFonts w:hint="eastAsia" w:asciiTheme="minorEastAsia" w:hAnsiTheme="minorEastAsia" w:eastAsiaTheme="minorEastAsia" w:cstheme="minorEastAsia"/>
          <w:kern w:val="0"/>
          <w:sz w:val="24"/>
          <w:szCs w:val="24"/>
        </w:rPr>
        <w:t>之日起</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7</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天内完成。</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.2.2交货方式：接到买方通知之日起</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7</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日内交货到买方指定地点（具体交货期以买方联系函为准）。</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.2.3如中标人逾期交货，取消中标人中标资格，并依法追究其法律责任。</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eastAsiaTheme="minorEastAsia" w:cstheme="minorEastAsia"/>
          <w:b/>
          <w:bCs/>
          <w:kern w:val="0"/>
          <w:sz w:val="28"/>
          <w:szCs w:val="28"/>
          <w:lang w:val="en-US" w:eastAsia="zh-CN"/>
        </w:rPr>
        <w:t>2.4 验收地点</w:t>
      </w:r>
    </w:p>
    <w:p>
      <w:pPr>
        <w:kinsoku/>
        <w:wordWrap/>
        <w:overflowPunct/>
        <w:topLinePunct w:val="0"/>
        <w:bidi w:val="0"/>
        <w:spacing w:line="360" w:lineRule="auto"/>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云南电力试验研究院（集团）有限公司指定位置</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eastAsiaTheme="minorEastAsia" w:cstheme="minorEastAsia"/>
          <w:b/>
          <w:bCs/>
          <w:kern w:val="0"/>
          <w:sz w:val="28"/>
          <w:szCs w:val="28"/>
          <w:lang w:val="en-US" w:eastAsia="zh-CN"/>
        </w:rPr>
        <w:t>2.5 安装和调试</w:t>
      </w:r>
    </w:p>
    <w:p>
      <w:pPr>
        <w:widowControl/>
        <w:kinsoku/>
        <w:wordWrap/>
        <w:overflowPunct/>
        <w:topLinePunct w:val="0"/>
        <w:bidi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.5.1乙方负责按国家相关标准或要求及本</w:t>
      </w:r>
      <w:r>
        <w:rPr>
          <w:rFonts w:hint="eastAsia" w:asciiTheme="minorEastAsia" w:hAnsiTheme="minorEastAsia" w:eastAsiaTheme="minorEastAsia" w:cstheme="minorEastAsia"/>
          <w:kern w:val="0"/>
          <w:sz w:val="24"/>
          <w:szCs w:val="24"/>
          <w:lang w:val="en-US" w:eastAsia="zh-CN"/>
        </w:rPr>
        <w:t>技术规范书</w:t>
      </w:r>
      <w:r>
        <w:rPr>
          <w:rFonts w:hint="eastAsia" w:asciiTheme="minorEastAsia" w:hAnsiTheme="minorEastAsia" w:eastAsiaTheme="minorEastAsia" w:cstheme="minorEastAsia"/>
          <w:kern w:val="0"/>
          <w:sz w:val="24"/>
          <w:szCs w:val="24"/>
        </w:rPr>
        <w:t>的约定进行安装和调试的工作，以使设备具备正常安全预定的使用功能及性能，并满足</w:t>
      </w:r>
      <w:r>
        <w:rPr>
          <w:rFonts w:hint="eastAsia" w:asciiTheme="minorEastAsia" w:hAnsiTheme="minorEastAsia" w:eastAsiaTheme="minorEastAsia" w:cstheme="minorEastAsia"/>
          <w:kern w:val="0"/>
          <w:sz w:val="24"/>
          <w:szCs w:val="24"/>
          <w:lang w:eastAsia="zh-CN"/>
        </w:rPr>
        <w:t>技术规范书</w:t>
      </w:r>
      <w:r>
        <w:rPr>
          <w:rFonts w:hint="eastAsia" w:asciiTheme="minorEastAsia" w:hAnsiTheme="minorEastAsia" w:eastAsiaTheme="minorEastAsia" w:cstheme="minorEastAsia"/>
          <w:kern w:val="0"/>
          <w:sz w:val="24"/>
          <w:szCs w:val="24"/>
        </w:rPr>
        <w:t>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.5.2乙方应在货物初步验收合格后</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7</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.5.3货物安装调试完毕正常运行</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7</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日内，甲方应及时组织人员对货物进行测试或试运行。若货物存在缺陷，乙方应在</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7</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日内及时整改，使货物达到</w:t>
      </w:r>
      <w:r>
        <w:rPr>
          <w:rFonts w:hint="eastAsia" w:asciiTheme="minorEastAsia" w:hAnsiTheme="minorEastAsia" w:eastAsiaTheme="minorEastAsia" w:cstheme="minorEastAsia"/>
          <w:kern w:val="0"/>
          <w:sz w:val="24"/>
          <w:szCs w:val="24"/>
          <w:lang w:val="en-US" w:eastAsia="zh-CN"/>
        </w:rPr>
        <w:t>技术规范书</w:t>
      </w:r>
      <w:r>
        <w:rPr>
          <w:rFonts w:hint="eastAsia" w:asciiTheme="minorEastAsia" w:hAnsiTheme="minorEastAsia" w:eastAsiaTheme="minorEastAsia" w:cstheme="minorEastAsia"/>
          <w:kern w:val="0"/>
          <w:sz w:val="24"/>
          <w:szCs w:val="24"/>
        </w:rPr>
        <w:t>约定的性能，否则甲方有权解除</w:t>
      </w:r>
      <w:r>
        <w:rPr>
          <w:rFonts w:hint="eastAsia" w:asciiTheme="minorEastAsia" w:hAnsiTheme="minorEastAsia" w:eastAsiaTheme="minorEastAsia" w:cstheme="minorEastAsia"/>
          <w:kern w:val="0"/>
          <w:sz w:val="24"/>
          <w:szCs w:val="24"/>
          <w:lang w:eastAsia="zh-CN"/>
        </w:rPr>
        <w:t>技术规范书</w:t>
      </w:r>
      <w:r>
        <w:rPr>
          <w:rFonts w:hint="eastAsia" w:asciiTheme="minorEastAsia" w:hAnsiTheme="minorEastAsia" w:eastAsiaTheme="minorEastAsia" w:cstheme="minorEastAsia"/>
          <w:kern w:val="0"/>
          <w:sz w:val="24"/>
          <w:szCs w:val="24"/>
        </w:rPr>
        <w:t>。整改发生的费用应由乙方承担。</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.5.4当本</w:t>
      </w:r>
      <w:r>
        <w:rPr>
          <w:rFonts w:hint="eastAsia" w:asciiTheme="minorEastAsia" w:hAnsiTheme="minorEastAsia" w:eastAsiaTheme="minorEastAsia" w:cstheme="minorEastAsia"/>
          <w:kern w:val="0"/>
          <w:sz w:val="24"/>
          <w:szCs w:val="24"/>
          <w:lang w:val="en-US" w:eastAsia="zh-CN"/>
        </w:rPr>
        <w:t>技术规范书</w:t>
      </w:r>
      <w:r>
        <w:rPr>
          <w:rFonts w:hint="eastAsia" w:asciiTheme="minorEastAsia" w:hAnsiTheme="minorEastAsia" w:eastAsiaTheme="minorEastAsia" w:cstheme="minorEastAsia"/>
          <w:kern w:val="0"/>
          <w:sz w:val="24"/>
          <w:szCs w:val="24"/>
        </w:rPr>
        <w:t>所列货物安装调试培训完毕，并通过甲方的正式验收后，双方签字确认，货物正式交付给甲方，视为正式验收合格，在此之前货物的毁损、灭失等风险由乙方承担。</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rPr>
        <w:t xml:space="preserve">.6. 培训 </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color w:val="000000"/>
          <w:kern w:val="0"/>
          <w:sz w:val="24"/>
          <w:szCs w:val="24"/>
        </w:rPr>
        <w:t>1卖方应负责与</w:t>
      </w:r>
      <w:r>
        <w:rPr>
          <w:rFonts w:hint="eastAsia" w:asciiTheme="minorEastAsia" w:hAnsiTheme="minorEastAsia" w:eastAsiaTheme="minorEastAsia" w:cstheme="minorEastAsia"/>
          <w:color w:val="000000"/>
          <w:kern w:val="0"/>
          <w:sz w:val="24"/>
          <w:szCs w:val="24"/>
          <w:lang w:val="en-US" w:eastAsia="zh-CN"/>
        </w:rPr>
        <w:t>技术规范书</w:t>
      </w:r>
      <w:r>
        <w:rPr>
          <w:rFonts w:hint="eastAsia" w:asciiTheme="minorEastAsia" w:hAnsiTheme="minorEastAsia" w:eastAsiaTheme="minorEastAsia" w:cstheme="minorEastAsia"/>
          <w:color w:val="000000"/>
          <w:kern w:val="0"/>
          <w:sz w:val="24"/>
          <w:szCs w:val="24"/>
        </w:rPr>
        <w:t>设备有关的培训工作。</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color w:val="000000"/>
          <w:kern w:val="0"/>
          <w:sz w:val="24"/>
          <w:szCs w:val="24"/>
        </w:rPr>
        <w:t>2培训至</w:t>
      </w:r>
      <w:r>
        <w:rPr>
          <w:rFonts w:hint="eastAsia" w:asciiTheme="minorEastAsia" w:hAnsiTheme="minorEastAsia" w:eastAsiaTheme="minorEastAsia" w:cstheme="minorEastAsia"/>
          <w:kern w:val="0"/>
          <w:sz w:val="24"/>
          <w:szCs w:val="24"/>
        </w:rPr>
        <w:t>人员能正常、正确、安全操作该设备为止</w:t>
      </w:r>
      <w:r>
        <w:rPr>
          <w:rFonts w:hint="eastAsia" w:asciiTheme="minorEastAsia" w:hAnsiTheme="minorEastAsia" w:eastAsiaTheme="minorEastAsia" w:cstheme="minorEastAsia"/>
          <w:color w:val="000000"/>
          <w:kern w:val="0"/>
          <w:sz w:val="24"/>
          <w:szCs w:val="24"/>
        </w:rPr>
        <w:t>。</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color w:val="000000"/>
          <w:kern w:val="0"/>
          <w:sz w:val="24"/>
          <w:szCs w:val="24"/>
        </w:rPr>
        <w:t>3培训的费用(包括食宿费、会议费、资料费等)由卖方承担。</w:t>
      </w:r>
    </w:p>
    <w:p>
      <w:pPr>
        <w:widowControl/>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.6.</w:t>
      </w:r>
      <w:r>
        <w:rPr>
          <w:rFonts w:hint="eastAsia" w:asciiTheme="minorEastAsia" w:hAnsiTheme="minorEastAsia" w:eastAsiaTheme="minorEastAsia" w:cstheme="minorEastAsia"/>
          <w:color w:val="000000"/>
          <w:kern w:val="0"/>
          <w:sz w:val="24"/>
          <w:szCs w:val="24"/>
        </w:rPr>
        <w:t>4现场培训，培训地点，招标方现场，培训人数、时间由招标方和投标人协商决定。</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rPr>
        <w:t>2</w:t>
      </w:r>
      <w:r>
        <w:rPr>
          <w:rFonts w:hint="eastAsia" w:asciiTheme="minorEastAsia" w:hAnsiTheme="minorEastAsia" w:eastAsiaTheme="minorEastAsia" w:cstheme="minorEastAsia"/>
          <w:b/>
          <w:bCs/>
          <w:color w:val="auto"/>
          <w:kern w:val="0"/>
          <w:sz w:val="28"/>
          <w:szCs w:val="28"/>
          <w:highlight w:val="none"/>
        </w:rPr>
        <w:t>.7 质保期（质量保证承诺）</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ab/>
      </w:r>
      <w:r>
        <w:rPr>
          <w:rFonts w:hint="eastAsia" w:asciiTheme="minorEastAsia" w:hAnsiTheme="minorEastAsia" w:eastAsiaTheme="minorEastAsia" w:cstheme="minorEastAsia"/>
          <w:color w:val="000000"/>
          <w:kern w:val="0"/>
          <w:sz w:val="24"/>
          <w:szCs w:val="24"/>
        </w:rPr>
        <w:t>项目（设备）验收合格后</w:t>
      </w:r>
      <w:r>
        <w:rPr>
          <w:rFonts w:hint="eastAsia" w:asciiTheme="minorEastAsia" w:hAnsiTheme="minorEastAsia" w:eastAsiaTheme="minorEastAsia" w:cstheme="minorEastAsia"/>
          <w:color w:val="000000"/>
          <w:kern w:val="0"/>
          <w:sz w:val="24"/>
          <w:szCs w:val="24"/>
          <w:u w:val="single"/>
        </w:rPr>
        <w:t xml:space="preserve">  12  </w:t>
      </w:r>
      <w:r>
        <w:rPr>
          <w:rFonts w:hint="eastAsia" w:asciiTheme="minorEastAsia" w:hAnsiTheme="minorEastAsia" w:eastAsiaTheme="minorEastAsia" w:cstheme="minorEastAsia"/>
          <w:color w:val="000000"/>
          <w:kern w:val="0"/>
          <w:sz w:val="24"/>
          <w:szCs w:val="24"/>
        </w:rPr>
        <w:t xml:space="preserve">个月 </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rPr>
        <w:t>.8 售后服务承诺</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.8.1供方对所供设备实行质量“三包”（包修、包换、包退），在使用中、运行中出现质量问题，在接到通知后的 24 小时内答复，在 48小时内派员到达现场,处理问题。</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.8.2需方认为有必要提前交货，可同供方协商，确定提前交货日，供方应大力支持。</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.8.3供方应及时提供与本</w:t>
      </w:r>
      <w:r>
        <w:rPr>
          <w:rFonts w:hint="eastAsia" w:asciiTheme="minorEastAsia" w:hAnsiTheme="minorEastAsia" w:eastAsiaTheme="minorEastAsia" w:cstheme="minorEastAsia"/>
          <w:kern w:val="0"/>
          <w:sz w:val="24"/>
          <w:szCs w:val="24"/>
          <w:lang w:eastAsia="zh-CN"/>
        </w:rPr>
        <w:t>技术规范书</w:t>
      </w:r>
      <w:r>
        <w:rPr>
          <w:rFonts w:hint="eastAsia" w:asciiTheme="minorEastAsia" w:hAnsiTheme="minorEastAsia" w:eastAsiaTheme="minorEastAsia" w:cstheme="minorEastAsia"/>
          <w:kern w:val="0"/>
          <w:sz w:val="24"/>
          <w:szCs w:val="24"/>
        </w:rPr>
        <w:t>设备有关的工程设计、设备监造、检验、土建、安装、调试、验收、性能验收试验、运行、检修等相应的技术指导、技术配合、技术培训等全过程的服务。</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.8.4供方须按需方实际安装要求派遣足够的且有工程经验的技术人员到现场进行技术服务，指导需方按供方的技术资料、图纸进行安装、分部试运、调试和试运行，并负责解决</w:t>
      </w:r>
      <w:r>
        <w:rPr>
          <w:rFonts w:hint="eastAsia" w:asciiTheme="minorEastAsia" w:hAnsiTheme="minorEastAsia" w:eastAsiaTheme="minorEastAsia" w:cstheme="minorEastAsia"/>
          <w:kern w:val="0"/>
          <w:sz w:val="24"/>
          <w:szCs w:val="24"/>
          <w:lang w:eastAsia="zh-CN"/>
        </w:rPr>
        <w:t>技术规范书</w:t>
      </w:r>
      <w:r>
        <w:rPr>
          <w:rFonts w:hint="eastAsia" w:asciiTheme="minorEastAsia" w:hAnsiTheme="minorEastAsia" w:eastAsiaTheme="minorEastAsia" w:cstheme="minorEastAsia"/>
          <w:kern w:val="0"/>
          <w:sz w:val="24"/>
          <w:szCs w:val="24"/>
        </w:rPr>
        <w:t>设备在安装调试、试运行中发现的制造质量及性能等有关问题。</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eastAsiaTheme="minorEastAsia" w:cstheme="minorEastAsia"/>
          <w:b/>
          <w:bCs/>
          <w:kern w:val="0"/>
          <w:sz w:val="28"/>
          <w:szCs w:val="28"/>
          <w:lang w:val="en-US" w:eastAsia="zh-CN"/>
        </w:rPr>
        <w:t>2.9交付成果、验收</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乙方按甲方要求完成项目即达到验收条件。</w:t>
      </w:r>
    </w:p>
    <w:p>
      <w:pPr>
        <w:widowControl/>
        <w:kinsoku/>
        <w:wordWrap/>
        <w:overflowPunct/>
        <w:topLinePunct w:val="0"/>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项目验收为竣工验收，具体要求如下：</w:t>
      </w:r>
    </w:p>
    <w:p>
      <w:pPr>
        <w:widowControl/>
        <w:kinsoku/>
        <w:wordWrap/>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  竣工验收是指项目涉及交付成果全部完成，并经过相关评审，由集团公司按照国家、行业及企业有关标准规范及</w:t>
      </w:r>
      <w:r>
        <w:rPr>
          <w:rFonts w:hint="eastAsia" w:asciiTheme="minorEastAsia" w:hAnsiTheme="minorEastAsia" w:eastAsiaTheme="minorEastAsia" w:cstheme="minorEastAsia"/>
          <w:kern w:val="0"/>
          <w:sz w:val="24"/>
          <w:szCs w:val="24"/>
          <w:lang w:eastAsia="zh-CN"/>
        </w:rPr>
        <w:t>技术规范书</w:t>
      </w:r>
      <w:r>
        <w:rPr>
          <w:rFonts w:hint="eastAsia" w:asciiTheme="minorEastAsia" w:hAnsiTheme="minorEastAsia" w:eastAsiaTheme="minorEastAsia" w:cstheme="minorEastAsia"/>
          <w:kern w:val="0"/>
          <w:sz w:val="24"/>
          <w:szCs w:val="24"/>
        </w:rPr>
        <w:t>要求组织进行验收。</w:t>
      </w:r>
    </w:p>
    <w:p>
      <w:pPr>
        <w:kinsoku/>
        <w:wordWrap/>
        <w:overflowPunct/>
        <w:topLinePunct w:val="0"/>
        <w:bidi w:val="0"/>
        <w:spacing w:line="360" w:lineRule="auto"/>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三.报价方面</w:t>
      </w:r>
    </w:p>
    <w:p>
      <w:pPr>
        <w:kinsoku/>
        <w:wordWrap/>
        <w:overflowPunct/>
        <w:topLinePunct w:val="0"/>
        <w:bidi w:val="0"/>
        <w:spacing w:line="360" w:lineRule="auto"/>
        <w:textAlignment w:val="auto"/>
        <w:rPr>
          <w:rFonts w:hint="eastAsia" w:asciiTheme="minorEastAsia" w:hAnsiTheme="minorEastAsia" w:eastAsiaTheme="minorEastAsia" w:cstheme="minorEastAsia"/>
          <w:b w:val="0"/>
          <w:bCs w:val="0"/>
          <w:sz w:val="28"/>
          <w:szCs w:val="28"/>
          <w:lang w:val="en-US" w:eastAsia="zh-CN"/>
        </w:rPr>
      </w:pPr>
      <w:bookmarkStart w:id="22" w:name="_GoBack"/>
      <w:bookmarkEnd w:id="22"/>
      <w:r>
        <w:rPr>
          <w:rFonts w:hint="eastAsia" w:asciiTheme="minorEastAsia" w:hAnsiTheme="minorEastAsia" w:eastAsiaTheme="minorEastAsia" w:cstheme="minorEastAsia"/>
          <w:b w:val="0"/>
          <w:bCs w:val="0"/>
          <w:sz w:val="28"/>
          <w:szCs w:val="28"/>
          <w:lang w:val="en-US" w:eastAsia="zh-CN"/>
        </w:rPr>
        <w:t>报价明细（可根据项目情况增加内容）：</w:t>
      </w:r>
    </w:p>
    <w:tbl>
      <w:tblPr>
        <w:tblStyle w:val="11"/>
        <w:tblpPr w:leftFromText="180" w:rightFromText="180" w:vertAnchor="text" w:horzAnchor="page" w:tblpX="1905" w:tblpY="58"/>
        <w:tblOverlap w:val="never"/>
        <w:tblW w:w="0" w:type="auto"/>
        <w:tblInd w:w="0" w:type="dxa"/>
        <w:tblLayout w:type="autofit"/>
        <w:tblCellMar>
          <w:top w:w="15" w:type="dxa"/>
          <w:left w:w="15" w:type="dxa"/>
          <w:bottom w:w="15" w:type="dxa"/>
          <w:right w:w="15" w:type="dxa"/>
        </w:tblCellMar>
      </w:tblPr>
      <w:tblGrid>
        <w:gridCol w:w="508"/>
        <w:gridCol w:w="3848"/>
        <w:gridCol w:w="508"/>
        <w:gridCol w:w="508"/>
        <w:gridCol w:w="1227"/>
        <w:gridCol w:w="1228"/>
        <w:gridCol w:w="509"/>
      </w:tblGrid>
      <w:tr>
        <w:tblPrEx>
          <w:tblCellMar>
            <w:top w:w="15" w:type="dxa"/>
            <w:left w:w="15" w:type="dxa"/>
            <w:bottom w:w="15" w:type="dxa"/>
            <w:right w:w="15" w:type="dxa"/>
          </w:tblCellMar>
        </w:tblPrEx>
        <w:trPr>
          <w:trHeight w:val="22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限价（元）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备注</w:t>
            </w:r>
          </w:p>
        </w:tc>
      </w:tr>
      <w:tr>
        <w:tblPrEx>
          <w:tblCellMar>
            <w:top w:w="15" w:type="dxa"/>
            <w:left w:w="15" w:type="dxa"/>
            <w:bottom w:w="15" w:type="dxa"/>
            <w:right w:w="15" w:type="dxa"/>
          </w:tblCellMar>
        </w:tblPrEx>
        <w:trPr>
          <w:trHeight w:val="576"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非车载充电机现场测试仪（含附件）</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vMerge w:val="restart"/>
            <w:tcBorders>
              <w:top w:val="single" w:color="000000" w:sz="4" w:space="0"/>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vMerge w:val="restart"/>
            <w:tcBorders>
              <w:top w:val="single" w:color="000000" w:sz="4" w:space="0"/>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45800</w:t>
            </w:r>
          </w:p>
        </w:tc>
        <w:tc>
          <w:tcPr>
            <w:tcW w:w="0" w:type="auto"/>
            <w:tcBorders>
              <w:top w:val="single" w:color="000000" w:sz="4" w:space="0"/>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lang w:val="en-US" w:eastAsia="zh-CN"/>
              </w:rPr>
            </w:pPr>
          </w:p>
        </w:tc>
      </w:tr>
      <w:tr>
        <w:tblPrEx>
          <w:tblCellMar>
            <w:top w:w="15" w:type="dxa"/>
            <w:left w:w="15" w:type="dxa"/>
            <w:bottom w:w="15" w:type="dxa"/>
            <w:right w:w="15" w:type="dxa"/>
          </w:tblCellMar>
        </w:tblPrEx>
        <w:trPr>
          <w:trHeight w:val="528" w:hRule="atLeast"/>
        </w:trPr>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直流可调阻性负载（含附件）</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r>
        <w:tblPrEx>
          <w:tblCellMar>
            <w:top w:w="15" w:type="dxa"/>
            <w:left w:w="15" w:type="dxa"/>
            <w:bottom w:w="15" w:type="dxa"/>
            <w:right w:w="15" w:type="dxa"/>
          </w:tblCellMar>
        </w:tblPrEx>
        <w:trPr>
          <w:trHeight w:val="490" w:hRule="atLeast"/>
        </w:trPr>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交流充电桩现场测试仪（含附件）</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vMerge w:val="continue"/>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tcBorders>
              <w:left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r>
        <w:trPr>
          <w:trHeight w:val="558"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交流可调阻性负载（含附件）</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vMerge w:val="continue"/>
            <w:tcBorders>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0" w:type="auto"/>
            <w:tcBorders>
              <w:left w:val="single" w:color="000000" w:sz="4" w:space="0"/>
              <w:bottom w:val="single" w:color="000000" w:sz="4" w:space="0"/>
              <w:right w:val="single" w:color="000000" w:sz="4" w:space="0"/>
            </w:tcBorders>
            <w:shd w:val="clear" w:color="auto" w:fill="auto"/>
            <w:vAlign w:val="center"/>
          </w:tcPr>
          <w:p>
            <w:pPr>
              <w:tabs>
                <w:tab w:val="left" w:pos="1440"/>
                <w:tab w:val="left" w:pos="3960"/>
              </w:tabs>
              <w:kinsoku/>
              <w:wordWrap/>
              <w:overflowPunct/>
              <w:topLinePunct w:val="0"/>
              <w:bidi w:val="0"/>
              <w:snapToGrid w:val="0"/>
              <w:spacing w:line="360" w:lineRule="auto"/>
              <w:jc w:val="center"/>
              <w:textAlignment w:val="auto"/>
              <w:rPr>
                <w:rFonts w:hint="eastAsia" w:asciiTheme="minorEastAsia" w:hAnsiTheme="minorEastAsia" w:eastAsiaTheme="minorEastAsia" w:cstheme="minorEastAsia"/>
                <w:sz w:val="24"/>
                <w:szCs w:val="24"/>
              </w:rPr>
            </w:pPr>
          </w:p>
        </w:tc>
      </w:tr>
    </w:tbl>
    <w:p>
      <w:pPr>
        <w:spacing w:line="360" w:lineRule="auto"/>
        <w:rPr>
          <w:rFonts w:hint="eastAsia" w:ascii="仿宋" w:hAnsi="仿宋" w:eastAsia="仿宋" w:cs="仿宋"/>
          <w:szCs w:val="21"/>
        </w:rPr>
      </w:pPr>
      <w:r>
        <w:rPr>
          <w:rFonts w:hint="eastAsia" w:ascii="仿宋" w:hAnsi="仿宋" w:eastAsia="仿宋" w:cs="仿宋"/>
          <w:kern w:val="0"/>
          <w:szCs w:val="21"/>
        </w:rPr>
        <w:t>注：具体税率以税法规定的为主。</w:t>
      </w:r>
    </w:p>
    <w:p>
      <w:pPr>
        <w:kinsoku/>
        <w:wordWrap/>
        <w:overflowPunct/>
        <w:topLinePunct w:val="0"/>
        <w:bidi w:val="0"/>
        <w:spacing w:line="360" w:lineRule="auto"/>
        <w:textAlignment w:val="auto"/>
        <w:rPr>
          <w:rFonts w:hint="eastAsia" w:asciiTheme="minorEastAsia" w:hAnsiTheme="minorEastAsia" w:eastAsiaTheme="minorEastAsia" w:cstheme="minorEastAsia"/>
          <w:szCs w:val="21"/>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10</w:t>
                          </w:r>
                          <w:r>
                            <w:rPr>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10</w:t>
                    </w:r>
                    <w:r>
                      <w:rPr>
                        <w:sz w:val="18"/>
                      </w:rPr>
                      <w:fldChar w:fldCharType="end"/>
                    </w:r>
                    <w:r>
                      <w:rPr>
                        <w:rFonts w:hint="eastAsia"/>
                        <w:sz w:val="18"/>
                      </w:rPr>
                      <w:t xml:space="preserve"> 页</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96AB8"/>
    <w:rsid w:val="001F4F9C"/>
    <w:rsid w:val="00407BBE"/>
    <w:rsid w:val="007C2F9E"/>
    <w:rsid w:val="008354C4"/>
    <w:rsid w:val="008A7609"/>
    <w:rsid w:val="008D1FCF"/>
    <w:rsid w:val="0090639B"/>
    <w:rsid w:val="00A83AF5"/>
    <w:rsid w:val="00B253FD"/>
    <w:rsid w:val="00C81EFB"/>
    <w:rsid w:val="00F85856"/>
    <w:rsid w:val="00FB76DB"/>
    <w:rsid w:val="02123F53"/>
    <w:rsid w:val="032D5FC5"/>
    <w:rsid w:val="037F1D87"/>
    <w:rsid w:val="04D64658"/>
    <w:rsid w:val="076E50BB"/>
    <w:rsid w:val="087E2573"/>
    <w:rsid w:val="09E32030"/>
    <w:rsid w:val="0B496AB8"/>
    <w:rsid w:val="0DA51436"/>
    <w:rsid w:val="0F4D15C5"/>
    <w:rsid w:val="10060CE1"/>
    <w:rsid w:val="12326D28"/>
    <w:rsid w:val="15853D9C"/>
    <w:rsid w:val="17964283"/>
    <w:rsid w:val="1C7C7028"/>
    <w:rsid w:val="1D8B5A09"/>
    <w:rsid w:val="1DFB3F56"/>
    <w:rsid w:val="1FCB1B55"/>
    <w:rsid w:val="21E872A6"/>
    <w:rsid w:val="22AB3347"/>
    <w:rsid w:val="22F9768B"/>
    <w:rsid w:val="23225886"/>
    <w:rsid w:val="2386460C"/>
    <w:rsid w:val="24D348AC"/>
    <w:rsid w:val="2585331D"/>
    <w:rsid w:val="26CF1691"/>
    <w:rsid w:val="27A47ADE"/>
    <w:rsid w:val="27DA2611"/>
    <w:rsid w:val="2B8019DB"/>
    <w:rsid w:val="2DC4361D"/>
    <w:rsid w:val="302B55BD"/>
    <w:rsid w:val="3186135C"/>
    <w:rsid w:val="33247B60"/>
    <w:rsid w:val="34290560"/>
    <w:rsid w:val="351F7640"/>
    <w:rsid w:val="365E6C24"/>
    <w:rsid w:val="36640C9D"/>
    <w:rsid w:val="36825278"/>
    <w:rsid w:val="37B759F1"/>
    <w:rsid w:val="39DA3E3D"/>
    <w:rsid w:val="39FE5E8C"/>
    <w:rsid w:val="3AA47E97"/>
    <w:rsid w:val="3C367E66"/>
    <w:rsid w:val="3CC34A0E"/>
    <w:rsid w:val="3CF40011"/>
    <w:rsid w:val="3D70388E"/>
    <w:rsid w:val="3EA36FB8"/>
    <w:rsid w:val="3ECD47FA"/>
    <w:rsid w:val="3ECE53F9"/>
    <w:rsid w:val="3F945576"/>
    <w:rsid w:val="41474FAB"/>
    <w:rsid w:val="46442E29"/>
    <w:rsid w:val="473176E5"/>
    <w:rsid w:val="47804667"/>
    <w:rsid w:val="47C56D56"/>
    <w:rsid w:val="47D46A8D"/>
    <w:rsid w:val="4AE93EEB"/>
    <w:rsid w:val="4C034A63"/>
    <w:rsid w:val="4C1A2475"/>
    <w:rsid w:val="4DCA41B4"/>
    <w:rsid w:val="4F085632"/>
    <w:rsid w:val="4F67373F"/>
    <w:rsid w:val="51B2537C"/>
    <w:rsid w:val="54D47A90"/>
    <w:rsid w:val="5A5C6842"/>
    <w:rsid w:val="5ABD2D80"/>
    <w:rsid w:val="5CA327E2"/>
    <w:rsid w:val="5E6802D2"/>
    <w:rsid w:val="5EE55F0E"/>
    <w:rsid w:val="60231E43"/>
    <w:rsid w:val="614149A0"/>
    <w:rsid w:val="61C832F9"/>
    <w:rsid w:val="634B610B"/>
    <w:rsid w:val="65331F9D"/>
    <w:rsid w:val="667B252D"/>
    <w:rsid w:val="692A07F0"/>
    <w:rsid w:val="6A3774AE"/>
    <w:rsid w:val="6A3D6A20"/>
    <w:rsid w:val="6E5A4C86"/>
    <w:rsid w:val="702673BD"/>
    <w:rsid w:val="725A72D6"/>
    <w:rsid w:val="73E6218B"/>
    <w:rsid w:val="74CD2319"/>
    <w:rsid w:val="76F94263"/>
    <w:rsid w:val="78F162D2"/>
    <w:rsid w:val="7C5D7B71"/>
    <w:rsid w:val="7F2E7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pageBreakBefore/>
      <w:spacing w:line="576" w:lineRule="auto"/>
      <w:jc w:val="center"/>
      <w:outlineLvl w:val="0"/>
    </w:pPr>
    <w:rPr>
      <w:rFonts w:ascii="Times New Roman" w:hAnsi="Times New Roman"/>
      <w:b/>
      <w:kern w:val="44"/>
      <w:sz w:val="28"/>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pPr>
  </w:style>
  <w:style w:type="paragraph" w:styleId="6">
    <w:name w:val="toc 3"/>
    <w:basedOn w:val="1"/>
    <w:next w:val="1"/>
    <w:qFormat/>
    <w:uiPriority w:val="0"/>
    <w:pPr>
      <w:ind w:left="840" w:leftChars="400"/>
    </w:pPr>
  </w:style>
  <w:style w:type="paragraph" w:styleId="7">
    <w:name w:val="Balloon Text"/>
    <w:basedOn w:val="1"/>
    <w:link w:val="17"/>
    <w:qFormat/>
    <w:uiPriority w:val="0"/>
    <w:rPr>
      <w:sz w:val="18"/>
      <w:szCs w:val="18"/>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Body Text First Indent 2"/>
    <w:basedOn w:val="5"/>
    <w:qFormat/>
    <w:uiPriority w:val="0"/>
    <w:pPr>
      <w:ind w:left="200" w:leftChars="200" w:firstLine="420" w:firstLineChars="200"/>
    </w:p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basedOn w:val="13"/>
    <w:qFormat/>
    <w:uiPriority w:val="0"/>
    <w:rPr>
      <w:sz w:val="21"/>
      <w:szCs w:val="21"/>
    </w:rPr>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paragraph" w:customStyle="1" w:styleId="16">
    <w:name w:val="正文文本缩进1"/>
    <w:basedOn w:val="1"/>
    <w:qFormat/>
    <w:uiPriority w:val="0"/>
    <w:pPr>
      <w:spacing w:line="300" w:lineRule="auto"/>
      <w:ind w:firstLine="480"/>
    </w:pPr>
    <w:rPr>
      <w:rFonts w:ascii="宋体" w:hAnsi="宋体"/>
      <w:kern w:val="0"/>
      <w:sz w:val="24"/>
      <w:szCs w:val="24"/>
    </w:rPr>
  </w:style>
  <w:style w:type="character" w:customStyle="1" w:styleId="17">
    <w:name w:val="批注框文本 Char"/>
    <w:basedOn w:val="13"/>
    <w:link w:val="7"/>
    <w:qFormat/>
    <w:uiPriority w:val="0"/>
    <w:rPr>
      <w:kern w:val="2"/>
      <w:sz w:val="18"/>
      <w:szCs w:val="18"/>
    </w:rPr>
  </w:style>
  <w:style w:type="paragraph" w:customStyle="1" w:styleId="1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9</Pages>
  <Words>1004</Words>
  <Characters>5724</Characters>
  <Lines>47</Lines>
  <Paragraphs>13</Paragraphs>
  <TotalTime>1</TotalTime>
  <ScaleCrop>false</ScaleCrop>
  <LinksUpToDate>false</LinksUpToDate>
  <CharactersWithSpaces>6715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317D5B6515F2460FA5C43CD57FBCCA60</cp:lastModifiedBy>
  <dcterms:modified xsi:type="dcterms:W3CDTF">2026-05-08T06:14:59Z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457E0780E28744B2A57AD61210A16DC5</vt:lpwstr>
  </property>
</Properties>
</file>