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D0A11">
      <w:pPr>
        <w:spacing w:before="480" w:beforeLines="200"/>
        <w:jc w:val="center"/>
        <w:rPr>
          <w:rFonts w:eastAsia="黑体"/>
          <w:b/>
          <w:sz w:val="52"/>
          <w:highlight w:val="none"/>
        </w:rPr>
      </w:pPr>
      <w:bookmarkStart w:id="0" w:name="_Toc224470066"/>
      <w:bookmarkStart w:id="1" w:name="_Toc224469826"/>
      <w:bookmarkStart w:id="2" w:name="_Toc224531918"/>
      <w:r>
        <w:rPr>
          <w:rFonts w:eastAsia="微软雅黑"/>
          <w:b/>
          <w:sz w:val="44"/>
          <w:szCs w:val="21"/>
          <w:highlight w:val="none"/>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4EC7FCA0">
      <w:pPr>
        <w:spacing w:before="480" w:beforeLines="200"/>
        <w:jc w:val="center"/>
        <w:rPr>
          <w:rFonts w:eastAsia="黑体"/>
          <w:b/>
          <w:sz w:val="52"/>
          <w:highlight w:val="none"/>
        </w:rPr>
      </w:pPr>
    </w:p>
    <w:p w14:paraId="693366C8">
      <w:pPr>
        <w:spacing w:before="480" w:beforeLines="200"/>
        <w:jc w:val="center"/>
        <w:rPr>
          <w:rFonts w:eastAsia="黑体"/>
          <w:b/>
          <w:sz w:val="52"/>
          <w:highlight w:val="none"/>
        </w:rPr>
      </w:pPr>
      <w:r>
        <w:rPr>
          <w:rFonts w:hint="eastAsia" w:eastAsia="黑体"/>
          <w:b/>
          <w:sz w:val="52"/>
          <w:highlight w:val="none"/>
        </w:rPr>
        <w:t>机巡数据安全传输装置（机巡数据处理系统）技术规范书</w:t>
      </w:r>
    </w:p>
    <w:p w14:paraId="73FAECA1">
      <w:pPr>
        <w:spacing w:before="480" w:beforeLines="200" w:line="360" w:lineRule="auto"/>
        <w:ind w:left="420" w:hanging="420"/>
        <w:jc w:val="center"/>
        <w:rPr>
          <w:rFonts w:eastAsia="黑体"/>
          <w:b/>
          <w:sz w:val="52"/>
          <w:highlight w:val="none"/>
        </w:rPr>
      </w:pPr>
      <w:r>
        <w:rPr>
          <w:rFonts w:hint="eastAsia" w:eastAsia="黑体"/>
          <w:b/>
          <w:sz w:val="52"/>
          <w:highlight w:val="none"/>
        </w:rPr>
        <w:t>（通用部分）</w:t>
      </w:r>
    </w:p>
    <w:p w14:paraId="7C54E4DB">
      <w:pPr>
        <w:spacing w:before="480" w:beforeLines="200" w:line="360" w:lineRule="auto"/>
        <w:jc w:val="center"/>
        <w:rPr>
          <w:rFonts w:eastAsia="黑体"/>
          <w:b/>
          <w:sz w:val="36"/>
          <w:highlight w:val="none"/>
        </w:rPr>
      </w:pPr>
      <w:r>
        <w:rPr>
          <w:rFonts w:hint="eastAsia" w:eastAsia="黑体"/>
          <w:b/>
          <w:sz w:val="36"/>
          <w:highlight w:val="none"/>
        </w:rPr>
        <w:t xml:space="preserve">版本号：  </w:t>
      </w:r>
      <w:r>
        <w:rPr>
          <w:rFonts w:eastAsia="黑体"/>
          <w:b/>
          <w:sz w:val="36"/>
          <w:highlight w:val="none"/>
        </w:rPr>
        <w:t>20</w:t>
      </w:r>
      <w:r>
        <w:rPr>
          <w:rFonts w:hint="eastAsia" w:eastAsia="黑体"/>
          <w:b/>
          <w:sz w:val="36"/>
          <w:highlight w:val="none"/>
        </w:rPr>
        <w:t>25</w:t>
      </w:r>
      <w:r>
        <w:rPr>
          <w:rFonts w:eastAsia="黑体"/>
          <w:b/>
          <w:sz w:val="36"/>
          <w:highlight w:val="none"/>
        </w:rPr>
        <w:t>版V</w:t>
      </w:r>
      <w:r>
        <w:rPr>
          <w:rFonts w:hint="eastAsia" w:eastAsia="黑体"/>
          <w:b/>
          <w:sz w:val="36"/>
          <w:highlight w:val="none"/>
        </w:rPr>
        <w:t>1</w:t>
      </w:r>
      <w:r>
        <w:rPr>
          <w:rFonts w:eastAsia="黑体"/>
          <w:b/>
          <w:sz w:val="36"/>
          <w:highlight w:val="none"/>
        </w:rPr>
        <w:t>.0</w:t>
      </w:r>
    </w:p>
    <w:p w14:paraId="5FDC95E0">
      <w:pPr>
        <w:spacing w:line="360" w:lineRule="auto"/>
        <w:ind w:firstLine="2530" w:firstLineChars="700"/>
        <w:rPr>
          <w:rFonts w:eastAsia="黑体"/>
          <w:b/>
          <w:sz w:val="36"/>
          <w:highlight w:val="none"/>
        </w:rPr>
      </w:pPr>
      <w:r>
        <w:rPr>
          <w:rFonts w:hint="eastAsia" w:eastAsia="黑体"/>
          <w:b/>
          <w:sz w:val="36"/>
          <w:highlight w:val="none"/>
        </w:rPr>
        <w:t>编号：</w:t>
      </w:r>
    </w:p>
    <w:p w14:paraId="2C6E9701">
      <w:pPr>
        <w:spacing w:before="480" w:beforeLines="200" w:line="360" w:lineRule="auto"/>
        <w:ind w:left="420" w:firstLine="2873" w:firstLineChars="795"/>
        <w:jc w:val="left"/>
        <w:rPr>
          <w:rFonts w:eastAsia="黑体"/>
          <w:b/>
          <w:sz w:val="36"/>
          <w:highlight w:val="none"/>
        </w:rPr>
      </w:pPr>
    </w:p>
    <w:p w14:paraId="29A3D908">
      <w:pPr>
        <w:spacing w:before="480" w:beforeLines="200" w:line="360" w:lineRule="auto"/>
        <w:ind w:left="420" w:firstLine="160" w:firstLineChars="795"/>
        <w:jc w:val="left"/>
        <w:rPr>
          <w:rFonts w:eastAsia="黑体"/>
          <w:b/>
          <w:sz w:val="2"/>
          <w:szCs w:val="2"/>
          <w:highlight w:val="none"/>
        </w:rPr>
      </w:pPr>
    </w:p>
    <w:p w14:paraId="0DC9CF51">
      <w:pPr>
        <w:spacing w:before="480" w:beforeLines="200"/>
        <w:ind w:left="413" w:hanging="415" w:hangingChars="93"/>
        <w:jc w:val="center"/>
        <w:rPr>
          <w:rFonts w:eastAsia="黑体"/>
          <w:b/>
          <w:spacing w:val="20"/>
          <w:w w:val="135"/>
          <w:sz w:val="30"/>
          <w:highlight w:val="none"/>
        </w:rPr>
      </w:pPr>
      <w:r>
        <w:rPr>
          <w:rFonts w:eastAsia="黑体"/>
          <w:b/>
          <w:spacing w:val="20"/>
          <w:w w:val="135"/>
          <w:sz w:val="30"/>
          <w:highlight w:val="none"/>
        </w:rPr>
        <w:t>中国南方电网有限责任公司</w:t>
      </w:r>
    </w:p>
    <w:p w14:paraId="12230DE0">
      <w:pPr>
        <w:jc w:val="center"/>
        <w:rPr>
          <w:rFonts w:eastAsia="黑体"/>
          <w:b/>
          <w:szCs w:val="28"/>
          <w:highlight w:val="none"/>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highlight w:val="none"/>
        </w:rPr>
        <w:t>2026年1月</w:t>
      </w:r>
    </w:p>
    <w:p w14:paraId="65D80DBC">
      <w:pPr>
        <w:snapToGrid w:val="0"/>
        <w:jc w:val="center"/>
        <w:rPr>
          <w:rFonts w:eastAsia="黑体"/>
          <w:sz w:val="32"/>
          <w:szCs w:val="28"/>
          <w:highlight w:val="none"/>
        </w:rPr>
      </w:pPr>
      <w:r>
        <w:rPr>
          <w:rFonts w:hint="eastAsia" w:eastAsia="黑体"/>
          <w:sz w:val="32"/>
          <w:szCs w:val="28"/>
          <w:highlight w:val="none"/>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1D997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2C93CA74">
            <w:pPr>
              <w:spacing w:line="360" w:lineRule="auto"/>
              <w:jc w:val="center"/>
              <w:rPr>
                <w:sz w:val="24"/>
                <w:highlight w:val="none"/>
              </w:rPr>
            </w:pPr>
            <w:r>
              <w:rPr>
                <w:sz w:val="24"/>
                <w:highlight w:val="none"/>
              </w:rPr>
              <w:t>序号</w:t>
            </w:r>
          </w:p>
        </w:tc>
        <w:tc>
          <w:tcPr>
            <w:tcW w:w="5106" w:type="dxa"/>
          </w:tcPr>
          <w:p w14:paraId="3CCA7FDC">
            <w:pPr>
              <w:spacing w:line="360" w:lineRule="auto"/>
              <w:jc w:val="center"/>
              <w:rPr>
                <w:sz w:val="24"/>
                <w:highlight w:val="none"/>
              </w:rPr>
            </w:pPr>
            <w:r>
              <w:rPr>
                <w:sz w:val="24"/>
                <w:highlight w:val="none"/>
              </w:rPr>
              <w:t>名称</w:t>
            </w:r>
          </w:p>
        </w:tc>
        <w:tc>
          <w:tcPr>
            <w:tcW w:w="2724" w:type="dxa"/>
          </w:tcPr>
          <w:p w14:paraId="3F97EBD8">
            <w:pPr>
              <w:spacing w:line="360" w:lineRule="auto"/>
              <w:jc w:val="center"/>
              <w:rPr>
                <w:sz w:val="24"/>
                <w:highlight w:val="none"/>
              </w:rPr>
            </w:pPr>
            <w:r>
              <w:rPr>
                <w:sz w:val="24"/>
                <w:highlight w:val="none"/>
              </w:rPr>
              <w:t>品类优化清单</w:t>
            </w:r>
          </w:p>
          <w:p w14:paraId="423F9DE7">
            <w:pPr>
              <w:spacing w:line="360" w:lineRule="auto"/>
              <w:jc w:val="center"/>
              <w:rPr>
                <w:sz w:val="24"/>
                <w:highlight w:val="none"/>
              </w:rPr>
            </w:pPr>
            <w:r>
              <w:rPr>
                <w:sz w:val="24"/>
                <w:highlight w:val="none"/>
              </w:rPr>
              <w:t>对应型号</w:t>
            </w:r>
          </w:p>
        </w:tc>
      </w:tr>
      <w:tr w14:paraId="2F320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239D1348">
            <w:pPr>
              <w:spacing w:line="360" w:lineRule="auto"/>
              <w:jc w:val="center"/>
              <w:rPr>
                <w:sz w:val="24"/>
                <w:highlight w:val="none"/>
              </w:rPr>
            </w:pPr>
            <w:r>
              <w:rPr>
                <w:sz w:val="24"/>
                <w:highlight w:val="none"/>
              </w:rPr>
              <w:t>1</w:t>
            </w:r>
          </w:p>
        </w:tc>
        <w:tc>
          <w:tcPr>
            <w:tcW w:w="5106" w:type="dxa"/>
          </w:tcPr>
          <w:p w14:paraId="5BF979FC">
            <w:pPr>
              <w:numPr>
                <w:ilvl w:val="255"/>
                <w:numId w:val="0"/>
              </w:numPr>
              <w:spacing w:line="360" w:lineRule="auto"/>
              <w:jc w:val="center"/>
              <w:rPr>
                <w:sz w:val="24"/>
                <w:highlight w:val="none"/>
              </w:rPr>
            </w:pPr>
            <w:bookmarkStart w:id="3" w:name="_Toc50889640"/>
            <w:bookmarkStart w:id="4" w:name="_Toc15656"/>
            <w:r>
              <w:rPr>
                <w:rFonts w:hint="eastAsia"/>
                <w:sz w:val="24"/>
                <w:highlight w:val="none"/>
              </w:rPr>
              <w:t>机巡数据安全传输装置（机巡数据处理系统）</w:t>
            </w:r>
            <w:r>
              <w:rPr>
                <w:sz w:val="24"/>
                <w:highlight w:val="none"/>
              </w:rPr>
              <w:t>技术规范书（</w:t>
            </w:r>
            <w:r>
              <w:rPr>
                <w:rFonts w:hint="eastAsia"/>
                <w:sz w:val="24"/>
                <w:highlight w:val="none"/>
              </w:rPr>
              <w:t>通</w:t>
            </w:r>
            <w:r>
              <w:rPr>
                <w:sz w:val="24"/>
                <w:highlight w:val="none"/>
              </w:rPr>
              <w:t>用部分）</w:t>
            </w:r>
            <w:bookmarkEnd w:id="3"/>
            <w:bookmarkEnd w:id="4"/>
          </w:p>
        </w:tc>
        <w:tc>
          <w:tcPr>
            <w:tcW w:w="2724" w:type="dxa"/>
          </w:tcPr>
          <w:p w14:paraId="0CC9A7AB">
            <w:pPr>
              <w:spacing w:line="360" w:lineRule="auto"/>
              <w:jc w:val="center"/>
              <w:rPr>
                <w:sz w:val="24"/>
                <w:highlight w:val="none"/>
              </w:rPr>
            </w:pPr>
            <w:r>
              <w:rPr>
                <w:rFonts w:hint="eastAsia"/>
                <w:sz w:val="24"/>
                <w:highlight w:val="none"/>
              </w:rPr>
              <w:t>/</w:t>
            </w:r>
          </w:p>
        </w:tc>
      </w:tr>
    </w:tbl>
    <w:p w14:paraId="2E260C8E">
      <w:pPr>
        <w:spacing w:line="360" w:lineRule="auto"/>
        <w:jc w:val="center"/>
        <w:rPr>
          <w:rFonts w:eastAsia="黑体"/>
          <w:bCs/>
          <w:sz w:val="36"/>
          <w:szCs w:val="36"/>
          <w:highlight w:val="none"/>
        </w:rPr>
      </w:pPr>
      <w:r>
        <w:rPr>
          <w:rFonts w:eastAsia="黑体"/>
          <w:sz w:val="32"/>
          <w:szCs w:val="20"/>
          <w:highlight w:val="none"/>
        </w:rPr>
        <w:br w:type="page"/>
      </w:r>
      <w:r>
        <w:rPr>
          <w:rFonts w:eastAsia="黑体"/>
          <w:bCs/>
          <w:sz w:val="36"/>
          <w:szCs w:val="36"/>
          <w:highlight w:val="none"/>
        </w:rPr>
        <w:t>目    录</w:t>
      </w:r>
      <w:bookmarkEnd w:id="0"/>
      <w:bookmarkEnd w:id="1"/>
      <w:bookmarkEnd w:id="2"/>
    </w:p>
    <w:p w14:paraId="04BC6920">
      <w:pPr>
        <w:spacing w:line="360" w:lineRule="auto"/>
        <w:jc w:val="center"/>
        <w:rPr>
          <w:rFonts w:eastAsia="黑体"/>
          <w:bCs/>
          <w:sz w:val="36"/>
          <w:szCs w:val="36"/>
          <w:highlight w:val="none"/>
        </w:rPr>
      </w:pPr>
    </w:p>
    <w:p w14:paraId="72C0A5FA">
      <w:pPr>
        <w:pStyle w:val="38"/>
        <w:tabs>
          <w:tab w:val="right" w:leader="dot" w:pos="9123"/>
        </w:tabs>
        <w:rPr>
          <w:highlight w:val="none"/>
        </w:rPr>
      </w:pPr>
      <w:r>
        <w:rPr>
          <w:rFonts w:hint="eastAsia" w:ascii="黑体" w:hAnsi="黑体" w:eastAsia="黑体" w:cs="黑体"/>
          <w:b/>
          <w:bCs/>
          <w:sz w:val="24"/>
          <w:szCs w:val="21"/>
          <w:highlight w:val="none"/>
        </w:rPr>
        <w:fldChar w:fldCharType="begin"/>
      </w:r>
      <w:r>
        <w:rPr>
          <w:rFonts w:hint="eastAsia" w:ascii="黑体" w:hAnsi="黑体" w:eastAsia="黑体" w:cs="黑体"/>
          <w:b/>
          <w:bCs/>
          <w:sz w:val="24"/>
          <w:highlight w:val="none"/>
        </w:rPr>
        <w:instrText xml:space="preserve"> TOC \o "1-2" \h \z \u </w:instrText>
      </w:r>
      <w:r>
        <w:rPr>
          <w:rFonts w:hint="eastAsia" w:ascii="黑体" w:hAnsi="黑体" w:eastAsia="黑体" w:cs="黑体"/>
          <w:b/>
          <w:bCs/>
          <w:sz w:val="24"/>
          <w:szCs w:val="21"/>
          <w:highlight w:val="none"/>
        </w:rPr>
        <w:fldChar w:fldCharType="separate"/>
      </w:r>
      <w:r>
        <w:rPr>
          <w:highlight w:val="none"/>
        </w:rPr>
        <w:fldChar w:fldCharType="begin"/>
      </w:r>
      <w:r>
        <w:rPr>
          <w:highlight w:val="none"/>
        </w:rPr>
        <w:instrText xml:space="preserve"> HYPERLINK \l "_Toc14427" </w:instrText>
      </w:r>
      <w:r>
        <w:rPr>
          <w:highlight w:val="none"/>
        </w:rPr>
        <w:fldChar w:fldCharType="separate"/>
      </w:r>
      <w:r>
        <w:rPr>
          <w:rFonts w:eastAsia="黑体"/>
          <w:bCs/>
          <w:szCs w:val="21"/>
          <w:highlight w:val="none"/>
        </w:rPr>
        <w:t>1 总则</w:t>
      </w:r>
      <w:r>
        <w:rPr>
          <w:highlight w:val="none"/>
        </w:rPr>
        <w:tab/>
      </w:r>
      <w:r>
        <w:rPr>
          <w:highlight w:val="none"/>
        </w:rPr>
        <w:fldChar w:fldCharType="begin"/>
      </w:r>
      <w:r>
        <w:rPr>
          <w:highlight w:val="none"/>
        </w:rPr>
        <w:instrText xml:space="preserve"> PAGEREF _Toc14427 \h </w:instrText>
      </w:r>
      <w:r>
        <w:rPr>
          <w:highlight w:val="none"/>
        </w:rPr>
        <w:fldChar w:fldCharType="separate"/>
      </w:r>
      <w:r>
        <w:rPr>
          <w:highlight w:val="none"/>
        </w:rPr>
        <w:t>1</w:t>
      </w:r>
      <w:r>
        <w:rPr>
          <w:highlight w:val="none"/>
        </w:rPr>
        <w:fldChar w:fldCharType="end"/>
      </w:r>
      <w:r>
        <w:rPr>
          <w:highlight w:val="none"/>
        </w:rPr>
        <w:fldChar w:fldCharType="end"/>
      </w:r>
    </w:p>
    <w:p w14:paraId="63AC5344">
      <w:pPr>
        <w:pStyle w:val="38"/>
        <w:tabs>
          <w:tab w:val="right" w:leader="dot" w:pos="9123"/>
        </w:tabs>
        <w:rPr>
          <w:highlight w:val="none"/>
        </w:rPr>
      </w:pPr>
      <w:r>
        <w:rPr>
          <w:highlight w:val="none"/>
        </w:rPr>
        <w:fldChar w:fldCharType="begin"/>
      </w:r>
      <w:r>
        <w:rPr>
          <w:highlight w:val="none"/>
        </w:rPr>
        <w:instrText xml:space="preserve"> HYPERLINK \l "_Toc7075" </w:instrText>
      </w:r>
      <w:r>
        <w:rPr>
          <w:highlight w:val="none"/>
        </w:rPr>
        <w:fldChar w:fldCharType="separate"/>
      </w:r>
      <w:r>
        <w:rPr>
          <w:rFonts w:eastAsia="黑体"/>
          <w:bCs/>
          <w:szCs w:val="21"/>
          <w:highlight w:val="none"/>
        </w:rPr>
        <w:t>2 工作范围</w:t>
      </w:r>
      <w:r>
        <w:rPr>
          <w:highlight w:val="none"/>
        </w:rPr>
        <w:tab/>
      </w:r>
      <w:r>
        <w:rPr>
          <w:highlight w:val="none"/>
        </w:rPr>
        <w:fldChar w:fldCharType="begin"/>
      </w:r>
      <w:r>
        <w:rPr>
          <w:highlight w:val="none"/>
        </w:rPr>
        <w:instrText xml:space="preserve"> PAGEREF _Toc7075 \h </w:instrText>
      </w:r>
      <w:r>
        <w:rPr>
          <w:highlight w:val="none"/>
        </w:rPr>
        <w:fldChar w:fldCharType="separate"/>
      </w:r>
      <w:r>
        <w:rPr>
          <w:highlight w:val="none"/>
        </w:rPr>
        <w:t>2</w:t>
      </w:r>
      <w:r>
        <w:rPr>
          <w:highlight w:val="none"/>
        </w:rPr>
        <w:fldChar w:fldCharType="end"/>
      </w:r>
      <w:r>
        <w:rPr>
          <w:highlight w:val="none"/>
        </w:rPr>
        <w:fldChar w:fldCharType="end"/>
      </w:r>
    </w:p>
    <w:p w14:paraId="650343D3">
      <w:pPr>
        <w:pStyle w:val="49"/>
        <w:tabs>
          <w:tab w:val="right" w:leader="dot" w:pos="9123"/>
        </w:tabs>
        <w:rPr>
          <w:highlight w:val="none"/>
        </w:rPr>
      </w:pPr>
      <w:r>
        <w:rPr>
          <w:highlight w:val="none"/>
        </w:rPr>
        <w:fldChar w:fldCharType="begin"/>
      </w:r>
      <w:r>
        <w:rPr>
          <w:highlight w:val="none"/>
        </w:rPr>
        <w:instrText xml:space="preserve"> HYPERLINK \l "_Toc18516" </w:instrText>
      </w:r>
      <w:r>
        <w:rPr>
          <w:highlight w:val="none"/>
        </w:rPr>
        <w:fldChar w:fldCharType="separate"/>
      </w:r>
      <w:r>
        <w:rPr>
          <w:rFonts w:eastAsia="黑体"/>
          <w:bCs/>
          <w:szCs w:val="21"/>
          <w:highlight w:val="none"/>
        </w:rPr>
        <w:t xml:space="preserve">2.1 </w:t>
      </w:r>
      <w:r>
        <w:rPr>
          <w:rFonts w:hint="eastAsia" w:eastAsia="黑体"/>
          <w:bCs/>
          <w:szCs w:val="21"/>
          <w:highlight w:val="none"/>
        </w:rPr>
        <w:t>供货范围</w:t>
      </w:r>
      <w:r>
        <w:rPr>
          <w:highlight w:val="none"/>
        </w:rPr>
        <w:tab/>
      </w:r>
      <w:r>
        <w:rPr>
          <w:highlight w:val="none"/>
        </w:rPr>
        <w:fldChar w:fldCharType="begin"/>
      </w:r>
      <w:r>
        <w:rPr>
          <w:highlight w:val="none"/>
        </w:rPr>
        <w:instrText xml:space="preserve"> PAGEREF _Toc18516 \h </w:instrText>
      </w:r>
      <w:r>
        <w:rPr>
          <w:highlight w:val="none"/>
        </w:rPr>
        <w:fldChar w:fldCharType="separate"/>
      </w:r>
      <w:r>
        <w:rPr>
          <w:highlight w:val="none"/>
        </w:rPr>
        <w:t>2</w:t>
      </w:r>
      <w:r>
        <w:rPr>
          <w:highlight w:val="none"/>
        </w:rPr>
        <w:fldChar w:fldCharType="end"/>
      </w:r>
      <w:r>
        <w:rPr>
          <w:highlight w:val="none"/>
        </w:rPr>
        <w:fldChar w:fldCharType="end"/>
      </w:r>
    </w:p>
    <w:p w14:paraId="494DD39D">
      <w:pPr>
        <w:pStyle w:val="49"/>
        <w:tabs>
          <w:tab w:val="right" w:leader="dot" w:pos="9123"/>
        </w:tabs>
        <w:rPr>
          <w:highlight w:val="none"/>
        </w:rPr>
      </w:pPr>
      <w:r>
        <w:rPr>
          <w:highlight w:val="none"/>
        </w:rPr>
        <w:fldChar w:fldCharType="begin"/>
      </w:r>
      <w:r>
        <w:rPr>
          <w:highlight w:val="none"/>
        </w:rPr>
        <w:instrText xml:space="preserve"> HYPERLINK \l "_Toc16271" </w:instrText>
      </w:r>
      <w:r>
        <w:rPr>
          <w:highlight w:val="none"/>
        </w:rPr>
        <w:fldChar w:fldCharType="separate"/>
      </w:r>
      <w:r>
        <w:rPr>
          <w:rFonts w:eastAsia="黑体"/>
          <w:bCs/>
          <w:szCs w:val="21"/>
          <w:highlight w:val="none"/>
        </w:rPr>
        <w:t xml:space="preserve">2.2 </w:t>
      </w:r>
      <w:r>
        <w:rPr>
          <w:rFonts w:hint="eastAsia" w:eastAsia="黑体"/>
          <w:bCs/>
          <w:szCs w:val="21"/>
          <w:highlight w:val="none"/>
        </w:rPr>
        <w:t>服务界限</w:t>
      </w:r>
      <w:r>
        <w:rPr>
          <w:highlight w:val="none"/>
        </w:rPr>
        <w:tab/>
      </w:r>
      <w:r>
        <w:rPr>
          <w:highlight w:val="none"/>
        </w:rPr>
        <w:fldChar w:fldCharType="begin"/>
      </w:r>
      <w:r>
        <w:rPr>
          <w:highlight w:val="none"/>
        </w:rPr>
        <w:instrText xml:space="preserve"> PAGEREF _Toc16271 \h </w:instrText>
      </w:r>
      <w:r>
        <w:rPr>
          <w:highlight w:val="none"/>
        </w:rPr>
        <w:fldChar w:fldCharType="separate"/>
      </w:r>
      <w:r>
        <w:rPr>
          <w:highlight w:val="none"/>
        </w:rPr>
        <w:t>2</w:t>
      </w:r>
      <w:r>
        <w:rPr>
          <w:highlight w:val="none"/>
        </w:rPr>
        <w:fldChar w:fldCharType="end"/>
      </w:r>
      <w:r>
        <w:rPr>
          <w:highlight w:val="none"/>
        </w:rPr>
        <w:fldChar w:fldCharType="end"/>
      </w:r>
    </w:p>
    <w:p w14:paraId="49BBFF55">
      <w:pPr>
        <w:pStyle w:val="49"/>
        <w:tabs>
          <w:tab w:val="right" w:leader="dot" w:pos="9123"/>
        </w:tabs>
        <w:rPr>
          <w:highlight w:val="none"/>
        </w:rPr>
      </w:pPr>
      <w:r>
        <w:rPr>
          <w:highlight w:val="none"/>
        </w:rPr>
        <w:fldChar w:fldCharType="begin"/>
      </w:r>
      <w:r>
        <w:rPr>
          <w:highlight w:val="none"/>
        </w:rPr>
        <w:instrText xml:space="preserve"> HYPERLINK \l "_Toc7975" </w:instrText>
      </w:r>
      <w:r>
        <w:rPr>
          <w:highlight w:val="none"/>
        </w:rPr>
        <w:fldChar w:fldCharType="separate"/>
      </w:r>
      <w:r>
        <w:rPr>
          <w:rFonts w:eastAsia="黑体"/>
          <w:bCs/>
          <w:szCs w:val="21"/>
          <w:highlight w:val="none"/>
        </w:rPr>
        <w:t xml:space="preserve">2.3 </w:t>
      </w:r>
      <w:r>
        <w:rPr>
          <w:rFonts w:hint="eastAsia" w:eastAsia="黑体"/>
          <w:bCs/>
          <w:szCs w:val="21"/>
          <w:highlight w:val="none"/>
        </w:rPr>
        <w:t>技术文件</w:t>
      </w:r>
      <w:r>
        <w:rPr>
          <w:highlight w:val="none"/>
        </w:rPr>
        <w:tab/>
      </w:r>
      <w:r>
        <w:rPr>
          <w:highlight w:val="none"/>
        </w:rPr>
        <w:fldChar w:fldCharType="begin"/>
      </w:r>
      <w:r>
        <w:rPr>
          <w:highlight w:val="none"/>
        </w:rPr>
        <w:instrText xml:space="preserve"> PAGEREF _Toc7975 \h </w:instrText>
      </w:r>
      <w:r>
        <w:rPr>
          <w:highlight w:val="none"/>
        </w:rPr>
        <w:fldChar w:fldCharType="separate"/>
      </w:r>
      <w:r>
        <w:rPr>
          <w:highlight w:val="none"/>
        </w:rPr>
        <w:t>2</w:t>
      </w:r>
      <w:r>
        <w:rPr>
          <w:highlight w:val="none"/>
        </w:rPr>
        <w:fldChar w:fldCharType="end"/>
      </w:r>
      <w:r>
        <w:rPr>
          <w:highlight w:val="none"/>
        </w:rPr>
        <w:fldChar w:fldCharType="end"/>
      </w:r>
    </w:p>
    <w:p w14:paraId="4C3F3CCA">
      <w:pPr>
        <w:pStyle w:val="49"/>
        <w:tabs>
          <w:tab w:val="right" w:leader="dot" w:pos="9123"/>
        </w:tabs>
        <w:rPr>
          <w:highlight w:val="none"/>
        </w:rPr>
      </w:pPr>
      <w:r>
        <w:rPr>
          <w:highlight w:val="none"/>
        </w:rPr>
        <w:fldChar w:fldCharType="begin"/>
      </w:r>
      <w:r>
        <w:rPr>
          <w:highlight w:val="none"/>
        </w:rPr>
        <w:instrText xml:space="preserve"> HYPERLINK \l "_Toc14586" </w:instrText>
      </w:r>
      <w:r>
        <w:rPr>
          <w:highlight w:val="none"/>
        </w:rPr>
        <w:fldChar w:fldCharType="separate"/>
      </w:r>
      <w:r>
        <w:rPr>
          <w:rFonts w:hint="eastAsia"/>
          <w:highlight w:val="none"/>
        </w:rPr>
        <w:t>技术文件的组成</w:t>
      </w:r>
      <w:r>
        <w:rPr>
          <w:highlight w:val="none"/>
        </w:rPr>
        <w:tab/>
      </w:r>
      <w:r>
        <w:rPr>
          <w:highlight w:val="none"/>
        </w:rPr>
        <w:fldChar w:fldCharType="begin"/>
      </w:r>
      <w:r>
        <w:rPr>
          <w:highlight w:val="none"/>
        </w:rPr>
        <w:instrText xml:space="preserve"> PAGEREF _Toc14586 \h </w:instrText>
      </w:r>
      <w:r>
        <w:rPr>
          <w:highlight w:val="none"/>
        </w:rPr>
        <w:fldChar w:fldCharType="separate"/>
      </w:r>
      <w:r>
        <w:rPr>
          <w:highlight w:val="none"/>
        </w:rPr>
        <w:t>2</w:t>
      </w:r>
      <w:r>
        <w:rPr>
          <w:highlight w:val="none"/>
        </w:rPr>
        <w:fldChar w:fldCharType="end"/>
      </w:r>
      <w:r>
        <w:rPr>
          <w:highlight w:val="none"/>
        </w:rPr>
        <w:fldChar w:fldCharType="end"/>
      </w:r>
    </w:p>
    <w:p w14:paraId="310BF437">
      <w:pPr>
        <w:pStyle w:val="38"/>
        <w:tabs>
          <w:tab w:val="right" w:leader="dot" w:pos="9123"/>
        </w:tabs>
        <w:rPr>
          <w:highlight w:val="none"/>
        </w:rPr>
      </w:pPr>
      <w:r>
        <w:rPr>
          <w:highlight w:val="none"/>
        </w:rPr>
        <w:fldChar w:fldCharType="begin"/>
      </w:r>
      <w:r>
        <w:rPr>
          <w:highlight w:val="none"/>
        </w:rPr>
        <w:instrText xml:space="preserve"> HYPERLINK \l "_Toc26723" </w:instrText>
      </w:r>
      <w:r>
        <w:rPr>
          <w:highlight w:val="none"/>
        </w:rPr>
        <w:fldChar w:fldCharType="separate"/>
      </w:r>
      <w:r>
        <w:rPr>
          <w:rFonts w:eastAsia="黑体"/>
          <w:bCs/>
          <w:szCs w:val="21"/>
          <w:highlight w:val="none"/>
        </w:rPr>
        <w:t>3 应遵循的主要标准</w:t>
      </w:r>
      <w:r>
        <w:rPr>
          <w:highlight w:val="none"/>
        </w:rPr>
        <w:tab/>
      </w:r>
      <w:r>
        <w:rPr>
          <w:highlight w:val="none"/>
        </w:rPr>
        <w:fldChar w:fldCharType="begin"/>
      </w:r>
      <w:r>
        <w:rPr>
          <w:highlight w:val="none"/>
        </w:rPr>
        <w:instrText xml:space="preserve"> PAGEREF _Toc26723 \h </w:instrText>
      </w:r>
      <w:r>
        <w:rPr>
          <w:highlight w:val="none"/>
        </w:rPr>
        <w:fldChar w:fldCharType="separate"/>
      </w:r>
      <w:r>
        <w:rPr>
          <w:highlight w:val="none"/>
        </w:rPr>
        <w:t>3</w:t>
      </w:r>
      <w:r>
        <w:rPr>
          <w:highlight w:val="none"/>
        </w:rPr>
        <w:fldChar w:fldCharType="end"/>
      </w:r>
      <w:r>
        <w:rPr>
          <w:highlight w:val="none"/>
        </w:rPr>
        <w:fldChar w:fldCharType="end"/>
      </w:r>
    </w:p>
    <w:p w14:paraId="32A4ABDC">
      <w:pPr>
        <w:pStyle w:val="38"/>
        <w:tabs>
          <w:tab w:val="right" w:leader="dot" w:pos="9123"/>
        </w:tabs>
        <w:rPr>
          <w:highlight w:val="none"/>
        </w:rPr>
      </w:pPr>
      <w:r>
        <w:rPr>
          <w:highlight w:val="none"/>
        </w:rPr>
        <w:fldChar w:fldCharType="begin"/>
      </w:r>
      <w:r>
        <w:rPr>
          <w:highlight w:val="none"/>
        </w:rPr>
        <w:instrText xml:space="preserve"> HYPERLINK \l "_Toc13980" </w:instrText>
      </w:r>
      <w:r>
        <w:rPr>
          <w:highlight w:val="none"/>
        </w:rPr>
        <w:fldChar w:fldCharType="separate"/>
      </w:r>
      <w:r>
        <w:rPr>
          <w:rFonts w:eastAsia="黑体"/>
          <w:bCs/>
          <w:szCs w:val="21"/>
          <w:highlight w:val="none"/>
        </w:rPr>
        <w:t>4 使用条件</w:t>
      </w:r>
      <w:r>
        <w:rPr>
          <w:highlight w:val="none"/>
        </w:rPr>
        <w:tab/>
      </w:r>
      <w:r>
        <w:rPr>
          <w:highlight w:val="none"/>
        </w:rPr>
        <w:fldChar w:fldCharType="begin"/>
      </w:r>
      <w:r>
        <w:rPr>
          <w:highlight w:val="none"/>
        </w:rPr>
        <w:instrText xml:space="preserve"> PAGEREF _Toc13980 \h </w:instrText>
      </w:r>
      <w:r>
        <w:rPr>
          <w:highlight w:val="none"/>
        </w:rPr>
        <w:fldChar w:fldCharType="separate"/>
      </w:r>
      <w:r>
        <w:rPr>
          <w:highlight w:val="none"/>
        </w:rPr>
        <w:t>3</w:t>
      </w:r>
      <w:r>
        <w:rPr>
          <w:highlight w:val="none"/>
        </w:rPr>
        <w:fldChar w:fldCharType="end"/>
      </w:r>
      <w:r>
        <w:rPr>
          <w:highlight w:val="none"/>
        </w:rPr>
        <w:fldChar w:fldCharType="end"/>
      </w:r>
    </w:p>
    <w:p w14:paraId="7261F481">
      <w:pPr>
        <w:pStyle w:val="49"/>
        <w:tabs>
          <w:tab w:val="right" w:leader="dot" w:pos="9123"/>
        </w:tabs>
        <w:rPr>
          <w:highlight w:val="none"/>
        </w:rPr>
      </w:pPr>
      <w:r>
        <w:rPr>
          <w:highlight w:val="none"/>
        </w:rPr>
        <w:fldChar w:fldCharType="begin"/>
      </w:r>
      <w:r>
        <w:rPr>
          <w:highlight w:val="none"/>
        </w:rPr>
        <w:instrText xml:space="preserve"> HYPERLINK \l "_Toc14220" </w:instrText>
      </w:r>
      <w:r>
        <w:rPr>
          <w:highlight w:val="none"/>
        </w:rPr>
        <w:fldChar w:fldCharType="separate"/>
      </w:r>
      <w:r>
        <w:rPr>
          <w:rFonts w:eastAsia="黑体"/>
          <w:szCs w:val="21"/>
          <w:highlight w:val="none"/>
        </w:rPr>
        <w:t>4.1 正常使用条件</w:t>
      </w:r>
      <w:r>
        <w:rPr>
          <w:highlight w:val="none"/>
        </w:rPr>
        <w:tab/>
      </w:r>
      <w:r>
        <w:rPr>
          <w:highlight w:val="none"/>
        </w:rPr>
        <w:fldChar w:fldCharType="begin"/>
      </w:r>
      <w:r>
        <w:rPr>
          <w:highlight w:val="none"/>
        </w:rPr>
        <w:instrText xml:space="preserve"> PAGEREF _Toc14220 \h </w:instrText>
      </w:r>
      <w:r>
        <w:rPr>
          <w:highlight w:val="none"/>
        </w:rPr>
        <w:fldChar w:fldCharType="separate"/>
      </w:r>
      <w:r>
        <w:rPr>
          <w:highlight w:val="none"/>
        </w:rPr>
        <w:t>3</w:t>
      </w:r>
      <w:r>
        <w:rPr>
          <w:highlight w:val="none"/>
        </w:rPr>
        <w:fldChar w:fldCharType="end"/>
      </w:r>
      <w:r>
        <w:rPr>
          <w:highlight w:val="none"/>
        </w:rPr>
        <w:fldChar w:fldCharType="end"/>
      </w:r>
    </w:p>
    <w:p w14:paraId="32EDF40C">
      <w:pPr>
        <w:pStyle w:val="49"/>
        <w:tabs>
          <w:tab w:val="right" w:leader="dot" w:pos="9123"/>
        </w:tabs>
        <w:rPr>
          <w:highlight w:val="none"/>
        </w:rPr>
      </w:pPr>
      <w:r>
        <w:rPr>
          <w:highlight w:val="none"/>
        </w:rPr>
        <w:fldChar w:fldCharType="begin"/>
      </w:r>
      <w:r>
        <w:rPr>
          <w:highlight w:val="none"/>
        </w:rPr>
        <w:instrText xml:space="preserve"> HYPERLINK \l "_Toc12049" </w:instrText>
      </w:r>
      <w:r>
        <w:rPr>
          <w:highlight w:val="none"/>
        </w:rPr>
        <w:fldChar w:fldCharType="separate"/>
      </w:r>
      <w:r>
        <w:rPr>
          <w:rFonts w:eastAsia="黑体"/>
          <w:szCs w:val="21"/>
          <w:highlight w:val="none"/>
        </w:rPr>
        <w:t>4.2 特殊使用条件</w:t>
      </w:r>
      <w:r>
        <w:rPr>
          <w:highlight w:val="none"/>
        </w:rPr>
        <w:tab/>
      </w:r>
      <w:r>
        <w:rPr>
          <w:highlight w:val="none"/>
        </w:rPr>
        <w:fldChar w:fldCharType="begin"/>
      </w:r>
      <w:r>
        <w:rPr>
          <w:highlight w:val="none"/>
        </w:rPr>
        <w:instrText xml:space="preserve"> PAGEREF _Toc12049 \h </w:instrText>
      </w:r>
      <w:r>
        <w:rPr>
          <w:highlight w:val="none"/>
        </w:rPr>
        <w:fldChar w:fldCharType="separate"/>
      </w:r>
      <w:r>
        <w:rPr>
          <w:highlight w:val="none"/>
        </w:rPr>
        <w:t>4</w:t>
      </w:r>
      <w:r>
        <w:rPr>
          <w:highlight w:val="none"/>
        </w:rPr>
        <w:fldChar w:fldCharType="end"/>
      </w:r>
      <w:r>
        <w:rPr>
          <w:highlight w:val="none"/>
        </w:rPr>
        <w:fldChar w:fldCharType="end"/>
      </w:r>
    </w:p>
    <w:p w14:paraId="6DB83B83">
      <w:pPr>
        <w:pStyle w:val="38"/>
        <w:tabs>
          <w:tab w:val="right" w:leader="dot" w:pos="9123"/>
        </w:tabs>
        <w:rPr>
          <w:highlight w:val="none"/>
        </w:rPr>
      </w:pPr>
      <w:r>
        <w:rPr>
          <w:highlight w:val="none"/>
        </w:rPr>
        <w:fldChar w:fldCharType="begin"/>
      </w:r>
      <w:r>
        <w:rPr>
          <w:highlight w:val="none"/>
        </w:rPr>
        <w:instrText xml:space="preserve"> HYPERLINK \l "_Toc24693" </w:instrText>
      </w:r>
      <w:r>
        <w:rPr>
          <w:highlight w:val="none"/>
        </w:rPr>
        <w:fldChar w:fldCharType="separate"/>
      </w:r>
      <w:r>
        <w:rPr>
          <w:rFonts w:hint="eastAsia" w:eastAsia="黑体"/>
          <w:szCs w:val="21"/>
          <w:highlight w:val="none"/>
        </w:rPr>
        <w:t>5</w:t>
      </w:r>
      <w:r>
        <w:rPr>
          <w:rFonts w:eastAsia="黑体"/>
          <w:szCs w:val="21"/>
          <w:highlight w:val="none"/>
        </w:rPr>
        <w:t xml:space="preserve"> </w:t>
      </w:r>
      <w:r>
        <w:rPr>
          <w:rFonts w:hint="eastAsia" w:eastAsia="黑体"/>
          <w:szCs w:val="21"/>
          <w:highlight w:val="none"/>
        </w:rPr>
        <w:t>技术要求</w:t>
      </w:r>
      <w:r>
        <w:rPr>
          <w:highlight w:val="none"/>
        </w:rPr>
        <w:tab/>
      </w:r>
      <w:r>
        <w:rPr>
          <w:highlight w:val="none"/>
        </w:rPr>
        <w:fldChar w:fldCharType="begin"/>
      </w:r>
      <w:r>
        <w:rPr>
          <w:highlight w:val="none"/>
        </w:rPr>
        <w:instrText xml:space="preserve"> PAGEREF _Toc24693 \h </w:instrText>
      </w:r>
      <w:r>
        <w:rPr>
          <w:highlight w:val="none"/>
        </w:rPr>
        <w:fldChar w:fldCharType="separate"/>
      </w:r>
      <w:r>
        <w:rPr>
          <w:highlight w:val="none"/>
        </w:rPr>
        <w:t>4</w:t>
      </w:r>
      <w:r>
        <w:rPr>
          <w:highlight w:val="none"/>
        </w:rPr>
        <w:fldChar w:fldCharType="end"/>
      </w:r>
      <w:r>
        <w:rPr>
          <w:highlight w:val="none"/>
        </w:rPr>
        <w:fldChar w:fldCharType="end"/>
      </w:r>
    </w:p>
    <w:p w14:paraId="4FCFF18C">
      <w:pPr>
        <w:pStyle w:val="49"/>
        <w:tabs>
          <w:tab w:val="right" w:leader="dot" w:pos="9123"/>
        </w:tabs>
        <w:rPr>
          <w:highlight w:val="none"/>
        </w:rPr>
      </w:pPr>
      <w:r>
        <w:rPr>
          <w:highlight w:val="none"/>
        </w:rPr>
        <w:fldChar w:fldCharType="begin"/>
      </w:r>
      <w:r>
        <w:rPr>
          <w:highlight w:val="none"/>
        </w:rPr>
        <w:instrText xml:space="preserve"> HYPERLINK \l "_Toc12197" </w:instrText>
      </w:r>
      <w:r>
        <w:rPr>
          <w:highlight w:val="none"/>
        </w:rPr>
        <w:fldChar w:fldCharType="separate"/>
      </w:r>
      <w:r>
        <w:rPr>
          <w:rFonts w:hint="eastAsia" w:eastAsia="黑体"/>
          <w:bCs/>
          <w:szCs w:val="21"/>
          <w:highlight w:val="none"/>
        </w:rPr>
        <w:t>5</w:t>
      </w:r>
      <w:r>
        <w:rPr>
          <w:rFonts w:eastAsia="黑体"/>
          <w:bCs/>
          <w:szCs w:val="21"/>
          <w:highlight w:val="none"/>
        </w:rPr>
        <w:t>.1</w:t>
      </w:r>
      <w:r>
        <w:rPr>
          <w:rFonts w:hint="eastAsia" w:eastAsia="黑体"/>
          <w:bCs/>
          <w:szCs w:val="21"/>
          <w:highlight w:val="none"/>
        </w:rPr>
        <w:t xml:space="preserve"> 机巡数据安全传输装置技术要求</w:t>
      </w:r>
      <w:r>
        <w:rPr>
          <w:highlight w:val="none"/>
        </w:rPr>
        <w:tab/>
      </w:r>
      <w:r>
        <w:rPr>
          <w:highlight w:val="none"/>
        </w:rPr>
        <w:fldChar w:fldCharType="begin"/>
      </w:r>
      <w:r>
        <w:rPr>
          <w:highlight w:val="none"/>
        </w:rPr>
        <w:instrText xml:space="preserve"> PAGEREF _Toc12197 \h </w:instrText>
      </w:r>
      <w:r>
        <w:rPr>
          <w:highlight w:val="none"/>
        </w:rPr>
        <w:fldChar w:fldCharType="separate"/>
      </w:r>
      <w:r>
        <w:rPr>
          <w:highlight w:val="none"/>
        </w:rPr>
        <w:t>4</w:t>
      </w:r>
      <w:r>
        <w:rPr>
          <w:highlight w:val="none"/>
        </w:rPr>
        <w:fldChar w:fldCharType="end"/>
      </w:r>
      <w:r>
        <w:rPr>
          <w:highlight w:val="none"/>
        </w:rPr>
        <w:fldChar w:fldCharType="end"/>
      </w:r>
    </w:p>
    <w:p w14:paraId="7772637E">
      <w:pPr>
        <w:pStyle w:val="49"/>
        <w:tabs>
          <w:tab w:val="right" w:leader="dot" w:pos="9123"/>
        </w:tabs>
        <w:rPr>
          <w:highlight w:val="none"/>
        </w:rPr>
      </w:pPr>
      <w:r>
        <w:rPr>
          <w:highlight w:val="none"/>
        </w:rPr>
        <w:fldChar w:fldCharType="begin"/>
      </w:r>
      <w:r>
        <w:rPr>
          <w:highlight w:val="none"/>
        </w:rPr>
        <w:instrText xml:space="preserve"> HYPERLINK \l "_Toc22125" </w:instrText>
      </w:r>
      <w:r>
        <w:rPr>
          <w:highlight w:val="none"/>
        </w:rPr>
        <w:fldChar w:fldCharType="separate"/>
      </w:r>
      <w:r>
        <w:rPr>
          <w:rFonts w:hint="eastAsia" w:eastAsia="黑体"/>
          <w:bCs/>
          <w:szCs w:val="21"/>
          <w:highlight w:val="none"/>
        </w:rPr>
        <w:t>5</w:t>
      </w:r>
      <w:r>
        <w:rPr>
          <w:rFonts w:eastAsia="黑体"/>
          <w:bCs/>
          <w:szCs w:val="21"/>
          <w:highlight w:val="none"/>
        </w:rPr>
        <w:t>.2</w:t>
      </w:r>
      <w:r>
        <w:rPr>
          <w:rFonts w:hint="eastAsia" w:eastAsia="黑体"/>
          <w:bCs/>
          <w:szCs w:val="21"/>
          <w:highlight w:val="none"/>
        </w:rPr>
        <w:t xml:space="preserve"> 机巡数据安全传输装置操作系统技术要求</w:t>
      </w:r>
      <w:r>
        <w:rPr>
          <w:highlight w:val="none"/>
        </w:rPr>
        <w:tab/>
      </w:r>
      <w:r>
        <w:rPr>
          <w:highlight w:val="none"/>
        </w:rPr>
        <w:fldChar w:fldCharType="begin"/>
      </w:r>
      <w:r>
        <w:rPr>
          <w:highlight w:val="none"/>
        </w:rPr>
        <w:instrText xml:space="preserve"> PAGEREF _Toc22125 \h </w:instrText>
      </w:r>
      <w:r>
        <w:rPr>
          <w:highlight w:val="none"/>
        </w:rPr>
        <w:fldChar w:fldCharType="separate"/>
      </w:r>
      <w:r>
        <w:rPr>
          <w:highlight w:val="none"/>
        </w:rPr>
        <w:t>4</w:t>
      </w:r>
      <w:r>
        <w:rPr>
          <w:highlight w:val="none"/>
        </w:rPr>
        <w:fldChar w:fldCharType="end"/>
      </w:r>
      <w:r>
        <w:rPr>
          <w:highlight w:val="none"/>
        </w:rPr>
        <w:fldChar w:fldCharType="end"/>
      </w:r>
    </w:p>
    <w:p w14:paraId="7A5FDE98">
      <w:pPr>
        <w:pStyle w:val="49"/>
        <w:tabs>
          <w:tab w:val="right" w:leader="dot" w:pos="9123"/>
        </w:tabs>
        <w:rPr>
          <w:highlight w:val="none"/>
        </w:rPr>
      </w:pPr>
      <w:r>
        <w:rPr>
          <w:highlight w:val="none"/>
        </w:rPr>
        <w:fldChar w:fldCharType="begin"/>
      </w:r>
      <w:r>
        <w:rPr>
          <w:highlight w:val="none"/>
        </w:rPr>
        <w:instrText xml:space="preserve"> HYPERLINK \l "_Toc10682" </w:instrText>
      </w:r>
      <w:r>
        <w:rPr>
          <w:highlight w:val="none"/>
        </w:rPr>
        <w:fldChar w:fldCharType="separate"/>
      </w:r>
      <w:r>
        <w:rPr>
          <w:rFonts w:hint="eastAsia" w:eastAsia="黑体"/>
          <w:bCs/>
          <w:szCs w:val="21"/>
          <w:highlight w:val="none"/>
        </w:rPr>
        <w:t>5</w:t>
      </w:r>
      <w:r>
        <w:rPr>
          <w:rFonts w:eastAsia="黑体"/>
          <w:bCs/>
          <w:szCs w:val="21"/>
          <w:highlight w:val="none"/>
        </w:rPr>
        <w:t xml:space="preserve">.3 </w:t>
      </w:r>
      <w:r>
        <w:rPr>
          <w:rFonts w:hint="eastAsia" w:eastAsia="黑体"/>
          <w:bCs/>
          <w:szCs w:val="21"/>
          <w:highlight w:val="none"/>
        </w:rPr>
        <w:t>北斗服务卡技术要求</w:t>
      </w:r>
      <w:r>
        <w:rPr>
          <w:highlight w:val="none"/>
        </w:rPr>
        <w:tab/>
      </w:r>
      <w:r>
        <w:rPr>
          <w:highlight w:val="none"/>
        </w:rPr>
        <w:fldChar w:fldCharType="begin"/>
      </w:r>
      <w:r>
        <w:rPr>
          <w:highlight w:val="none"/>
        </w:rPr>
        <w:instrText xml:space="preserve"> PAGEREF _Toc10682 \h </w:instrText>
      </w:r>
      <w:r>
        <w:rPr>
          <w:highlight w:val="none"/>
        </w:rPr>
        <w:fldChar w:fldCharType="separate"/>
      </w:r>
      <w:r>
        <w:rPr>
          <w:highlight w:val="none"/>
        </w:rPr>
        <w:t>4</w:t>
      </w:r>
      <w:r>
        <w:rPr>
          <w:highlight w:val="none"/>
        </w:rPr>
        <w:fldChar w:fldCharType="end"/>
      </w:r>
      <w:r>
        <w:rPr>
          <w:highlight w:val="none"/>
        </w:rPr>
        <w:fldChar w:fldCharType="end"/>
      </w:r>
    </w:p>
    <w:p w14:paraId="4AEB56F1">
      <w:pPr>
        <w:pStyle w:val="49"/>
        <w:tabs>
          <w:tab w:val="right" w:leader="dot" w:pos="9123"/>
        </w:tabs>
        <w:rPr>
          <w:highlight w:val="none"/>
        </w:rPr>
      </w:pPr>
      <w:r>
        <w:rPr>
          <w:highlight w:val="none"/>
        </w:rPr>
        <w:fldChar w:fldCharType="begin"/>
      </w:r>
      <w:r>
        <w:rPr>
          <w:highlight w:val="none"/>
        </w:rPr>
        <w:instrText xml:space="preserve"> HYPERLINK \l "_Toc2777" </w:instrText>
      </w:r>
      <w:r>
        <w:rPr>
          <w:highlight w:val="none"/>
        </w:rPr>
        <w:fldChar w:fldCharType="separate"/>
      </w:r>
      <w:r>
        <w:rPr>
          <w:rFonts w:hint="eastAsia" w:eastAsia="黑体"/>
          <w:bCs/>
          <w:szCs w:val="21"/>
          <w:highlight w:val="none"/>
        </w:rPr>
        <w:t>5</w:t>
      </w:r>
      <w:r>
        <w:rPr>
          <w:rFonts w:eastAsia="黑体"/>
          <w:bCs/>
          <w:szCs w:val="21"/>
          <w:highlight w:val="none"/>
        </w:rPr>
        <w:t>.</w:t>
      </w:r>
      <w:r>
        <w:rPr>
          <w:rFonts w:hint="eastAsia" w:eastAsia="黑体"/>
          <w:bCs/>
          <w:szCs w:val="21"/>
          <w:highlight w:val="none"/>
        </w:rPr>
        <w:t>4</w:t>
      </w:r>
      <w:r>
        <w:rPr>
          <w:rFonts w:eastAsia="黑体"/>
          <w:bCs/>
          <w:szCs w:val="21"/>
          <w:highlight w:val="none"/>
        </w:rPr>
        <w:t xml:space="preserve"> </w:t>
      </w:r>
      <w:r>
        <w:rPr>
          <w:rFonts w:hint="eastAsia" w:eastAsia="黑体"/>
          <w:bCs/>
          <w:szCs w:val="21"/>
          <w:highlight w:val="none"/>
        </w:rPr>
        <w:t>内网4G图传服务技术要求</w:t>
      </w:r>
      <w:r>
        <w:rPr>
          <w:highlight w:val="none"/>
        </w:rPr>
        <w:tab/>
      </w:r>
      <w:r>
        <w:rPr>
          <w:highlight w:val="none"/>
        </w:rPr>
        <w:fldChar w:fldCharType="begin"/>
      </w:r>
      <w:r>
        <w:rPr>
          <w:highlight w:val="none"/>
        </w:rPr>
        <w:instrText xml:space="preserve"> PAGEREF _Toc2777 \h </w:instrText>
      </w:r>
      <w:r>
        <w:rPr>
          <w:highlight w:val="none"/>
        </w:rPr>
        <w:fldChar w:fldCharType="separate"/>
      </w:r>
      <w:r>
        <w:rPr>
          <w:highlight w:val="none"/>
        </w:rPr>
        <w:t>5</w:t>
      </w:r>
      <w:r>
        <w:rPr>
          <w:highlight w:val="none"/>
        </w:rPr>
        <w:fldChar w:fldCharType="end"/>
      </w:r>
      <w:r>
        <w:rPr>
          <w:highlight w:val="none"/>
        </w:rPr>
        <w:fldChar w:fldCharType="end"/>
      </w:r>
    </w:p>
    <w:p w14:paraId="417340C7">
      <w:pPr>
        <w:pStyle w:val="49"/>
        <w:tabs>
          <w:tab w:val="right" w:leader="dot" w:pos="9123"/>
        </w:tabs>
        <w:rPr>
          <w:highlight w:val="none"/>
        </w:rPr>
      </w:pPr>
      <w:r>
        <w:rPr>
          <w:highlight w:val="none"/>
        </w:rPr>
        <w:fldChar w:fldCharType="begin"/>
      </w:r>
      <w:r>
        <w:rPr>
          <w:highlight w:val="none"/>
        </w:rPr>
        <w:instrText xml:space="preserve"> HYPERLINK \l "_Toc157" </w:instrText>
      </w:r>
      <w:r>
        <w:rPr>
          <w:highlight w:val="none"/>
        </w:rPr>
        <w:fldChar w:fldCharType="separate"/>
      </w:r>
      <w:r>
        <w:rPr>
          <w:rFonts w:eastAsia="黑体"/>
          <w:bCs/>
          <w:szCs w:val="21"/>
          <w:highlight w:val="none"/>
        </w:rPr>
        <w:t>5.</w:t>
      </w:r>
      <w:r>
        <w:rPr>
          <w:rFonts w:hint="eastAsia" w:eastAsia="黑体"/>
          <w:bCs/>
          <w:szCs w:val="21"/>
          <w:highlight w:val="none"/>
        </w:rPr>
        <w:t>5 网络安全要求</w:t>
      </w:r>
      <w:r>
        <w:rPr>
          <w:highlight w:val="none"/>
        </w:rPr>
        <w:tab/>
      </w:r>
      <w:r>
        <w:rPr>
          <w:highlight w:val="none"/>
        </w:rPr>
        <w:fldChar w:fldCharType="begin"/>
      </w:r>
      <w:r>
        <w:rPr>
          <w:highlight w:val="none"/>
        </w:rPr>
        <w:instrText xml:space="preserve"> PAGEREF _Toc157 \h </w:instrText>
      </w:r>
      <w:r>
        <w:rPr>
          <w:highlight w:val="none"/>
        </w:rPr>
        <w:fldChar w:fldCharType="separate"/>
      </w:r>
      <w:r>
        <w:rPr>
          <w:highlight w:val="none"/>
        </w:rPr>
        <w:t>5</w:t>
      </w:r>
      <w:r>
        <w:rPr>
          <w:highlight w:val="none"/>
        </w:rPr>
        <w:fldChar w:fldCharType="end"/>
      </w:r>
      <w:r>
        <w:rPr>
          <w:highlight w:val="none"/>
        </w:rPr>
        <w:fldChar w:fldCharType="end"/>
      </w:r>
    </w:p>
    <w:p w14:paraId="7D88FB57">
      <w:pPr>
        <w:pStyle w:val="38"/>
        <w:tabs>
          <w:tab w:val="right" w:leader="dot" w:pos="9123"/>
        </w:tabs>
        <w:rPr>
          <w:highlight w:val="none"/>
        </w:rPr>
      </w:pPr>
      <w:r>
        <w:rPr>
          <w:highlight w:val="none"/>
        </w:rPr>
        <w:fldChar w:fldCharType="begin"/>
      </w:r>
      <w:r>
        <w:rPr>
          <w:highlight w:val="none"/>
        </w:rPr>
        <w:instrText xml:space="preserve"> HYPERLINK \l "_Toc5468" </w:instrText>
      </w:r>
      <w:r>
        <w:rPr>
          <w:highlight w:val="none"/>
        </w:rPr>
        <w:fldChar w:fldCharType="separate"/>
      </w:r>
      <w:r>
        <w:rPr>
          <w:rFonts w:hint="eastAsia" w:eastAsia="黑体"/>
          <w:bCs/>
          <w:szCs w:val="21"/>
          <w:highlight w:val="none"/>
        </w:rPr>
        <w:t>6</w:t>
      </w:r>
      <w:r>
        <w:rPr>
          <w:rFonts w:eastAsia="黑体"/>
          <w:bCs/>
          <w:szCs w:val="21"/>
          <w:highlight w:val="none"/>
        </w:rPr>
        <w:t xml:space="preserve"> </w:t>
      </w:r>
      <w:r>
        <w:rPr>
          <w:rFonts w:hint="eastAsia" w:eastAsia="黑体"/>
          <w:bCs/>
          <w:szCs w:val="21"/>
          <w:highlight w:val="none"/>
        </w:rPr>
        <w:t>试验项目及要求</w:t>
      </w:r>
      <w:r>
        <w:rPr>
          <w:highlight w:val="none"/>
        </w:rPr>
        <w:tab/>
      </w:r>
      <w:r>
        <w:rPr>
          <w:highlight w:val="none"/>
        </w:rPr>
        <w:fldChar w:fldCharType="begin"/>
      </w:r>
      <w:r>
        <w:rPr>
          <w:highlight w:val="none"/>
        </w:rPr>
        <w:instrText xml:space="preserve"> PAGEREF _Toc5468 \h </w:instrText>
      </w:r>
      <w:r>
        <w:rPr>
          <w:highlight w:val="none"/>
        </w:rPr>
        <w:fldChar w:fldCharType="separate"/>
      </w:r>
      <w:r>
        <w:rPr>
          <w:highlight w:val="none"/>
        </w:rPr>
        <w:t>6</w:t>
      </w:r>
      <w:r>
        <w:rPr>
          <w:highlight w:val="none"/>
        </w:rPr>
        <w:fldChar w:fldCharType="end"/>
      </w:r>
      <w:r>
        <w:rPr>
          <w:highlight w:val="none"/>
        </w:rPr>
        <w:fldChar w:fldCharType="end"/>
      </w:r>
    </w:p>
    <w:p w14:paraId="0B1F2BC6">
      <w:pPr>
        <w:pStyle w:val="49"/>
        <w:tabs>
          <w:tab w:val="right" w:leader="dot" w:pos="9123"/>
        </w:tabs>
        <w:rPr>
          <w:highlight w:val="none"/>
        </w:rPr>
      </w:pPr>
      <w:r>
        <w:rPr>
          <w:highlight w:val="none"/>
        </w:rPr>
        <w:fldChar w:fldCharType="begin"/>
      </w:r>
      <w:r>
        <w:rPr>
          <w:highlight w:val="none"/>
        </w:rPr>
        <w:instrText xml:space="preserve"> HYPERLINK \l "_Toc28844" </w:instrText>
      </w:r>
      <w:r>
        <w:rPr>
          <w:highlight w:val="none"/>
        </w:rPr>
        <w:fldChar w:fldCharType="separate"/>
      </w:r>
      <w:r>
        <w:rPr>
          <w:rFonts w:ascii="黑体" w:hAnsi="黑体"/>
          <w:highlight w:val="none"/>
        </w:rPr>
        <w:t>6.1试验</w:t>
      </w:r>
      <w:r>
        <w:rPr>
          <w:rFonts w:hint="eastAsia" w:ascii="黑体" w:hAnsi="黑体"/>
          <w:highlight w:val="none"/>
        </w:rPr>
        <w:t>环境</w:t>
      </w:r>
      <w:r>
        <w:rPr>
          <w:highlight w:val="none"/>
        </w:rPr>
        <w:tab/>
      </w:r>
      <w:r>
        <w:rPr>
          <w:highlight w:val="none"/>
        </w:rPr>
        <w:fldChar w:fldCharType="begin"/>
      </w:r>
      <w:r>
        <w:rPr>
          <w:highlight w:val="none"/>
        </w:rPr>
        <w:instrText xml:space="preserve"> PAGEREF _Toc28844 \h </w:instrText>
      </w:r>
      <w:r>
        <w:rPr>
          <w:highlight w:val="none"/>
        </w:rPr>
        <w:fldChar w:fldCharType="separate"/>
      </w:r>
      <w:r>
        <w:rPr>
          <w:highlight w:val="none"/>
        </w:rPr>
        <w:t>6</w:t>
      </w:r>
      <w:r>
        <w:rPr>
          <w:highlight w:val="none"/>
        </w:rPr>
        <w:fldChar w:fldCharType="end"/>
      </w:r>
      <w:r>
        <w:rPr>
          <w:highlight w:val="none"/>
        </w:rPr>
        <w:fldChar w:fldCharType="end"/>
      </w:r>
    </w:p>
    <w:p w14:paraId="45DF0573">
      <w:pPr>
        <w:pStyle w:val="49"/>
        <w:tabs>
          <w:tab w:val="right" w:leader="dot" w:pos="9123"/>
        </w:tabs>
        <w:rPr>
          <w:highlight w:val="none"/>
        </w:rPr>
      </w:pPr>
      <w:r>
        <w:rPr>
          <w:highlight w:val="none"/>
        </w:rPr>
        <w:fldChar w:fldCharType="begin"/>
      </w:r>
      <w:r>
        <w:rPr>
          <w:highlight w:val="none"/>
        </w:rPr>
        <w:instrText xml:space="preserve"> HYPERLINK \l "_Toc24322" </w:instrText>
      </w:r>
      <w:r>
        <w:rPr>
          <w:highlight w:val="none"/>
        </w:rPr>
        <w:fldChar w:fldCharType="separate"/>
      </w:r>
      <w:r>
        <w:rPr>
          <w:rFonts w:ascii="黑体" w:hAnsi="黑体"/>
          <w:highlight w:val="none"/>
        </w:rPr>
        <w:t>6.2结构和外观检查</w:t>
      </w:r>
      <w:r>
        <w:rPr>
          <w:highlight w:val="none"/>
        </w:rPr>
        <w:tab/>
      </w:r>
      <w:r>
        <w:rPr>
          <w:highlight w:val="none"/>
        </w:rPr>
        <w:fldChar w:fldCharType="begin"/>
      </w:r>
      <w:r>
        <w:rPr>
          <w:highlight w:val="none"/>
        </w:rPr>
        <w:instrText xml:space="preserve"> PAGEREF _Toc24322 \h </w:instrText>
      </w:r>
      <w:r>
        <w:rPr>
          <w:highlight w:val="none"/>
        </w:rPr>
        <w:fldChar w:fldCharType="separate"/>
      </w:r>
      <w:r>
        <w:rPr>
          <w:highlight w:val="none"/>
        </w:rPr>
        <w:t>6</w:t>
      </w:r>
      <w:r>
        <w:rPr>
          <w:highlight w:val="none"/>
        </w:rPr>
        <w:fldChar w:fldCharType="end"/>
      </w:r>
      <w:r>
        <w:rPr>
          <w:highlight w:val="none"/>
        </w:rPr>
        <w:fldChar w:fldCharType="end"/>
      </w:r>
    </w:p>
    <w:p w14:paraId="17E0E14D">
      <w:pPr>
        <w:pStyle w:val="49"/>
        <w:tabs>
          <w:tab w:val="right" w:leader="dot" w:pos="9123"/>
        </w:tabs>
        <w:rPr>
          <w:highlight w:val="none"/>
        </w:rPr>
      </w:pPr>
      <w:r>
        <w:rPr>
          <w:highlight w:val="none"/>
        </w:rPr>
        <w:fldChar w:fldCharType="begin"/>
      </w:r>
      <w:r>
        <w:rPr>
          <w:highlight w:val="none"/>
        </w:rPr>
        <w:instrText xml:space="preserve"> HYPERLINK \l "_Toc27745" </w:instrText>
      </w:r>
      <w:r>
        <w:rPr>
          <w:highlight w:val="none"/>
        </w:rPr>
        <w:fldChar w:fldCharType="separate"/>
      </w:r>
      <w:r>
        <w:rPr>
          <w:rFonts w:ascii="黑体" w:hAnsi="黑体"/>
          <w:highlight w:val="none"/>
        </w:rPr>
        <w:t>6.</w:t>
      </w:r>
      <w:r>
        <w:rPr>
          <w:rFonts w:hint="eastAsia" w:ascii="黑体" w:hAnsi="黑体"/>
          <w:highlight w:val="none"/>
        </w:rPr>
        <w:t>3</w:t>
      </w:r>
      <w:r>
        <w:rPr>
          <w:rFonts w:ascii="黑体" w:hAnsi="黑体"/>
          <w:highlight w:val="none"/>
        </w:rPr>
        <w:t>环境试验</w:t>
      </w:r>
      <w:r>
        <w:rPr>
          <w:highlight w:val="none"/>
        </w:rPr>
        <w:tab/>
      </w:r>
      <w:r>
        <w:rPr>
          <w:highlight w:val="none"/>
        </w:rPr>
        <w:fldChar w:fldCharType="begin"/>
      </w:r>
      <w:r>
        <w:rPr>
          <w:highlight w:val="none"/>
        </w:rPr>
        <w:instrText xml:space="preserve"> PAGEREF _Toc27745 \h </w:instrText>
      </w:r>
      <w:r>
        <w:rPr>
          <w:highlight w:val="none"/>
        </w:rPr>
        <w:fldChar w:fldCharType="separate"/>
      </w:r>
      <w:r>
        <w:rPr>
          <w:highlight w:val="none"/>
        </w:rPr>
        <w:t>7</w:t>
      </w:r>
      <w:r>
        <w:rPr>
          <w:highlight w:val="none"/>
        </w:rPr>
        <w:fldChar w:fldCharType="end"/>
      </w:r>
      <w:r>
        <w:rPr>
          <w:highlight w:val="none"/>
        </w:rPr>
        <w:fldChar w:fldCharType="end"/>
      </w:r>
    </w:p>
    <w:p w14:paraId="292FF641">
      <w:pPr>
        <w:pStyle w:val="49"/>
        <w:tabs>
          <w:tab w:val="right" w:leader="dot" w:pos="9123"/>
        </w:tabs>
        <w:rPr>
          <w:highlight w:val="none"/>
        </w:rPr>
      </w:pPr>
      <w:r>
        <w:rPr>
          <w:highlight w:val="none"/>
        </w:rPr>
        <w:fldChar w:fldCharType="begin"/>
      </w:r>
      <w:r>
        <w:rPr>
          <w:highlight w:val="none"/>
        </w:rPr>
        <w:instrText xml:space="preserve"> HYPERLINK \l "_Toc28558" </w:instrText>
      </w:r>
      <w:r>
        <w:rPr>
          <w:highlight w:val="none"/>
        </w:rPr>
        <w:fldChar w:fldCharType="separate"/>
      </w:r>
      <w:r>
        <w:rPr>
          <w:rFonts w:ascii="黑体" w:hAnsi="黑体"/>
          <w:highlight w:val="none"/>
        </w:rPr>
        <w:t>6.</w:t>
      </w:r>
      <w:r>
        <w:rPr>
          <w:rFonts w:hint="eastAsia" w:ascii="黑体" w:hAnsi="黑体"/>
          <w:highlight w:val="none"/>
        </w:rPr>
        <w:t>4</w:t>
      </w:r>
      <w:r>
        <w:rPr>
          <w:rFonts w:ascii="黑体" w:hAnsi="黑体"/>
          <w:highlight w:val="none"/>
        </w:rPr>
        <w:t>电磁兼容性试验</w:t>
      </w:r>
      <w:r>
        <w:rPr>
          <w:highlight w:val="none"/>
        </w:rPr>
        <w:tab/>
      </w:r>
      <w:r>
        <w:rPr>
          <w:highlight w:val="none"/>
        </w:rPr>
        <w:fldChar w:fldCharType="begin"/>
      </w:r>
      <w:r>
        <w:rPr>
          <w:highlight w:val="none"/>
        </w:rPr>
        <w:instrText xml:space="preserve"> PAGEREF _Toc28558 \h </w:instrText>
      </w:r>
      <w:r>
        <w:rPr>
          <w:highlight w:val="none"/>
        </w:rPr>
        <w:fldChar w:fldCharType="separate"/>
      </w:r>
      <w:r>
        <w:rPr>
          <w:highlight w:val="none"/>
        </w:rPr>
        <w:t>8</w:t>
      </w:r>
      <w:r>
        <w:rPr>
          <w:highlight w:val="none"/>
        </w:rPr>
        <w:fldChar w:fldCharType="end"/>
      </w:r>
      <w:r>
        <w:rPr>
          <w:highlight w:val="none"/>
        </w:rPr>
        <w:fldChar w:fldCharType="end"/>
      </w:r>
    </w:p>
    <w:p w14:paraId="3006E6B1">
      <w:pPr>
        <w:pStyle w:val="49"/>
        <w:tabs>
          <w:tab w:val="right" w:leader="dot" w:pos="9123"/>
        </w:tabs>
        <w:rPr>
          <w:highlight w:val="none"/>
        </w:rPr>
      </w:pPr>
      <w:r>
        <w:rPr>
          <w:highlight w:val="none"/>
        </w:rPr>
        <w:fldChar w:fldCharType="begin"/>
      </w:r>
      <w:r>
        <w:rPr>
          <w:highlight w:val="none"/>
        </w:rPr>
        <w:instrText xml:space="preserve"> HYPERLINK \l "_Toc1755" </w:instrText>
      </w:r>
      <w:r>
        <w:rPr>
          <w:highlight w:val="none"/>
        </w:rPr>
        <w:fldChar w:fldCharType="separate"/>
      </w:r>
      <w:r>
        <w:rPr>
          <w:rFonts w:ascii="黑体" w:hAnsi="黑体" w:eastAsia="黑体"/>
          <w:szCs w:val="21"/>
          <w:highlight w:val="none"/>
        </w:rPr>
        <w:t>6.</w:t>
      </w:r>
      <w:r>
        <w:rPr>
          <w:rFonts w:hint="eastAsia" w:ascii="黑体" w:hAnsi="黑体" w:eastAsia="黑体"/>
          <w:szCs w:val="21"/>
          <w:highlight w:val="none"/>
        </w:rPr>
        <w:t>5</w:t>
      </w:r>
      <w:r>
        <w:rPr>
          <w:rFonts w:ascii="黑体" w:hAnsi="黑体" w:eastAsia="黑体"/>
          <w:szCs w:val="21"/>
          <w:highlight w:val="none"/>
        </w:rPr>
        <w:t>机械性能试验</w:t>
      </w:r>
      <w:r>
        <w:rPr>
          <w:highlight w:val="none"/>
        </w:rPr>
        <w:tab/>
      </w:r>
      <w:r>
        <w:rPr>
          <w:highlight w:val="none"/>
        </w:rPr>
        <w:fldChar w:fldCharType="begin"/>
      </w:r>
      <w:r>
        <w:rPr>
          <w:highlight w:val="none"/>
        </w:rPr>
        <w:instrText xml:space="preserve"> PAGEREF _Toc1755 \h </w:instrText>
      </w:r>
      <w:r>
        <w:rPr>
          <w:highlight w:val="none"/>
        </w:rPr>
        <w:fldChar w:fldCharType="separate"/>
      </w:r>
      <w:r>
        <w:rPr>
          <w:highlight w:val="none"/>
        </w:rPr>
        <w:t>8</w:t>
      </w:r>
      <w:r>
        <w:rPr>
          <w:highlight w:val="none"/>
        </w:rPr>
        <w:fldChar w:fldCharType="end"/>
      </w:r>
      <w:r>
        <w:rPr>
          <w:highlight w:val="none"/>
        </w:rPr>
        <w:fldChar w:fldCharType="end"/>
      </w:r>
    </w:p>
    <w:p w14:paraId="13CCEE4B">
      <w:pPr>
        <w:pStyle w:val="49"/>
        <w:tabs>
          <w:tab w:val="right" w:leader="dot" w:pos="9123"/>
        </w:tabs>
        <w:rPr>
          <w:highlight w:val="none"/>
        </w:rPr>
      </w:pPr>
      <w:r>
        <w:rPr>
          <w:highlight w:val="none"/>
        </w:rPr>
        <w:fldChar w:fldCharType="begin"/>
      </w:r>
      <w:r>
        <w:rPr>
          <w:highlight w:val="none"/>
        </w:rPr>
        <w:instrText xml:space="preserve"> HYPERLINK \l "_Toc13924" </w:instrText>
      </w:r>
      <w:r>
        <w:rPr>
          <w:highlight w:val="none"/>
        </w:rPr>
        <w:fldChar w:fldCharType="separate"/>
      </w:r>
      <w:r>
        <w:rPr>
          <w:rFonts w:ascii="黑体" w:hAnsi="黑体" w:eastAsia="黑体"/>
          <w:szCs w:val="21"/>
          <w:highlight w:val="none"/>
        </w:rPr>
        <w:t>6.</w:t>
      </w:r>
      <w:r>
        <w:rPr>
          <w:rFonts w:hint="eastAsia" w:ascii="黑体" w:hAnsi="黑体" w:eastAsia="黑体"/>
          <w:szCs w:val="21"/>
          <w:highlight w:val="none"/>
        </w:rPr>
        <w:t>6</w:t>
      </w:r>
      <w:r>
        <w:rPr>
          <w:rFonts w:ascii="黑体" w:hAnsi="黑体" w:eastAsia="黑体"/>
          <w:bCs/>
          <w:szCs w:val="21"/>
          <w:highlight w:val="none"/>
        </w:rPr>
        <w:t>物联网平台接入试验</w:t>
      </w:r>
      <w:r>
        <w:rPr>
          <w:highlight w:val="none"/>
        </w:rPr>
        <w:tab/>
      </w:r>
      <w:r>
        <w:rPr>
          <w:highlight w:val="none"/>
        </w:rPr>
        <w:fldChar w:fldCharType="begin"/>
      </w:r>
      <w:r>
        <w:rPr>
          <w:highlight w:val="none"/>
        </w:rPr>
        <w:instrText xml:space="preserve"> PAGEREF _Toc13924 \h </w:instrText>
      </w:r>
      <w:r>
        <w:rPr>
          <w:highlight w:val="none"/>
        </w:rPr>
        <w:fldChar w:fldCharType="separate"/>
      </w:r>
      <w:r>
        <w:rPr>
          <w:highlight w:val="none"/>
        </w:rPr>
        <w:t>9</w:t>
      </w:r>
      <w:r>
        <w:rPr>
          <w:highlight w:val="none"/>
        </w:rPr>
        <w:fldChar w:fldCharType="end"/>
      </w:r>
      <w:r>
        <w:rPr>
          <w:highlight w:val="none"/>
        </w:rPr>
        <w:fldChar w:fldCharType="end"/>
      </w:r>
    </w:p>
    <w:p w14:paraId="37DE6C7E">
      <w:pPr>
        <w:pStyle w:val="49"/>
        <w:tabs>
          <w:tab w:val="right" w:leader="dot" w:pos="9123"/>
        </w:tabs>
        <w:rPr>
          <w:highlight w:val="none"/>
        </w:rPr>
      </w:pPr>
      <w:r>
        <w:rPr>
          <w:highlight w:val="none"/>
        </w:rPr>
        <w:fldChar w:fldCharType="begin"/>
      </w:r>
      <w:r>
        <w:rPr>
          <w:highlight w:val="none"/>
        </w:rPr>
        <w:instrText xml:space="preserve"> HYPERLINK \l "_Toc32681" </w:instrText>
      </w:r>
      <w:r>
        <w:rPr>
          <w:highlight w:val="none"/>
        </w:rPr>
        <w:fldChar w:fldCharType="separate"/>
      </w:r>
      <w:r>
        <w:rPr>
          <w:rFonts w:ascii="黑体" w:hAnsi="黑体" w:eastAsia="黑体"/>
          <w:bCs/>
          <w:szCs w:val="21"/>
          <w:highlight w:val="none"/>
        </w:rPr>
        <w:t>6.</w:t>
      </w:r>
      <w:r>
        <w:rPr>
          <w:rFonts w:hint="eastAsia" w:ascii="黑体" w:hAnsi="黑体" w:eastAsia="黑体"/>
          <w:bCs/>
          <w:szCs w:val="21"/>
          <w:highlight w:val="none"/>
        </w:rPr>
        <w:t>7</w:t>
      </w:r>
      <w:r>
        <w:rPr>
          <w:rFonts w:ascii="黑体" w:hAnsi="黑体" w:eastAsia="黑体"/>
          <w:bCs/>
          <w:szCs w:val="21"/>
          <w:highlight w:val="none"/>
        </w:rPr>
        <w:t>连续运行试验</w:t>
      </w:r>
      <w:r>
        <w:rPr>
          <w:highlight w:val="none"/>
        </w:rPr>
        <w:tab/>
      </w:r>
      <w:r>
        <w:rPr>
          <w:highlight w:val="none"/>
        </w:rPr>
        <w:fldChar w:fldCharType="begin"/>
      </w:r>
      <w:r>
        <w:rPr>
          <w:highlight w:val="none"/>
        </w:rPr>
        <w:instrText xml:space="preserve"> PAGEREF _Toc32681 \h </w:instrText>
      </w:r>
      <w:r>
        <w:rPr>
          <w:highlight w:val="none"/>
        </w:rPr>
        <w:fldChar w:fldCharType="separate"/>
      </w:r>
      <w:r>
        <w:rPr>
          <w:highlight w:val="none"/>
        </w:rPr>
        <w:t>9</w:t>
      </w:r>
      <w:r>
        <w:rPr>
          <w:highlight w:val="none"/>
        </w:rPr>
        <w:fldChar w:fldCharType="end"/>
      </w:r>
      <w:r>
        <w:rPr>
          <w:highlight w:val="none"/>
        </w:rPr>
        <w:fldChar w:fldCharType="end"/>
      </w:r>
    </w:p>
    <w:p w14:paraId="6AF4EEEB">
      <w:pPr>
        <w:pStyle w:val="38"/>
        <w:tabs>
          <w:tab w:val="right" w:leader="dot" w:pos="9123"/>
        </w:tabs>
        <w:rPr>
          <w:highlight w:val="none"/>
        </w:rPr>
      </w:pPr>
      <w:r>
        <w:rPr>
          <w:highlight w:val="none"/>
        </w:rPr>
        <w:fldChar w:fldCharType="begin"/>
      </w:r>
      <w:r>
        <w:rPr>
          <w:highlight w:val="none"/>
        </w:rPr>
        <w:instrText xml:space="preserve"> HYPERLINK \l "_Toc13230" </w:instrText>
      </w:r>
      <w:r>
        <w:rPr>
          <w:highlight w:val="none"/>
        </w:rPr>
        <w:fldChar w:fldCharType="separate"/>
      </w:r>
      <w:r>
        <w:rPr>
          <w:rFonts w:hint="eastAsia" w:eastAsia="黑体"/>
          <w:bCs/>
          <w:szCs w:val="21"/>
          <w:highlight w:val="none"/>
        </w:rPr>
        <w:t>7</w:t>
      </w:r>
      <w:r>
        <w:rPr>
          <w:rFonts w:eastAsia="黑体"/>
          <w:bCs/>
          <w:szCs w:val="21"/>
          <w:highlight w:val="none"/>
        </w:rPr>
        <w:t xml:space="preserve"> </w:t>
      </w:r>
      <w:r>
        <w:rPr>
          <w:rFonts w:hint="eastAsia" w:eastAsia="黑体"/>
          <w:bCs/>
          <w:szCs w:val="21"/>
          <w:highlight w:val="none"/>
        </w:rPr>
        <w:t>检验规则</w:t>
      </w:r>
      <w:r>
        <w:rPr>
          <w:highlight w:val="none"/>
        </w:rPr>
        <w:tab/>
      </w:r>
      <w:r>
        <w:rPr>
          <w:highlight w:val="none"/>
        </w:rPr>
        <w:fldChar w:fldCharType="begin"/>
      </w:r>
      <w:r>
        <w:rPr>
          <w:highlight w:val="none"/>
        </w:rPr>
        <w:instrText xml:space="preserve"> PAGEREF _Toc13230 \h </w:instrText>
      </w:r>
      <w:r>
        <w:rPr>
          <w:highlight w:val="none"/>
        </w:rPr>
        <w:fldChar w:fldCharType="separate"/>
      </w:r>
      <w:r>
        <w:rPr>
          <w:highlight w:val="none"/>
        </w:rPr>
        <w:t>9</w:t>
      </w:r>
      <w:r>
        <w:rPr>
          <w:highlight w:val="none"/>
        </w:rPr>
        <w:fldChar w:fldCharType="end"/>
      </w:r>
      <w:r>
        <w:rPr>
          <w:highlight w:val="none"/>
        </w:rPr>
        <w:fldChar w:fldCharType="end"/>
      </w:r>
    </w:p>
    <w:p w14:paraId="517EA2B5">
      <w:pPr>
        <w:pStyle w:val="49"/>
        <w:tabs>
          <w:tab w:val="right" w:leader="dot" w:pos="9123"/>
        </w:tabs>
        <w:rPr>
          <w:highlight w:val="none"/>
        </w:rPr>
      </w:pPr>
      <w:r>
        <w:rPr>
          <w:highlight w:val="none"/>
        </w:rPr>
        <w:fldChar w:fldCharType="begin"/>
      </w:r>
      <w:r>
        <w:rPr>
          <w:highlight w:val="none"/>
        </w:rPr>
        <w:instrText xml:space="preserve"> HYPERLINK \l "_Toc25047" </w:instrText>
      </w:r>
      <w:r>
        <w:rPr>
          <w:highlight w:val="none"/>
        </w:rPr>
        <w:fldChar w:fldCharType="separate"/>
      </w:r>
      <w:r>
        <w:rPr>
          <w:rFonts w:hint="eastAsia" w:eastAsia="黑体"/>
          <w:bCs/>
          <w:szCs w:val="21"/>
          <w:highlight w:val="none"/>
        </w:rPr>
        <w:t>7</w:t>
      </w:r>
      <w:r>
        <w:rPr>
          <w:rFonts w:eastAsia="黑体"/>
          <w:bCs/>
          <w:szCs w:val="21"/>
          <w:highlight w:val="none"/>
        </w:rPr>
        <w:t xml:space="preserve">.1 </w:t>
      </w:r>
      <w:r>
        <w:rPr>
          <w:rFonts w:hint="eastAsia" w:eastAsia="黑体"/>
          <w:bCs/>
          <w:szCs w:val="21"/>
          <w:highlight w:val="none"/>
        </w:rPr>
        <w:t>型式试验</w:t>
      </w:r>
      <w:r>
        <w:rPr>
          <w:highlight w:val="none"/>
        </w:rPr>
        <w:tab/>
      </w:r>
      <w:r>
        <w:rPr>
          <w:highlight w:val="none"/>
        </w:rPr>
        <w:fldChar w:fldCharType="begin"/>
      </w:r>
      <w:r>
        <w:rPr>
          <w:highlight w:val="none"/>
        </w:rPr>
        <w:instrText xml:space="preserve"> PAGEREF _Toc25047 \h </w:instrText>
      </w:r>
      <w:r>
        <w:rPr>
          <w:highlight w:val="none"/>
        </w:rPr>
        <w:fldChar w:fldCharType="separate"/>
      </w:r>
      <w:r>
        <w:rPr>
          <w:highlight w:val="none"/>
        </w:rPr>
        <w:t>10</w:t>
      </w:r>
      <w:r>
        <w:rPr>
          <w:highlight w:val="none"/>
        </w:rPr>
        <w:fldChar w:fldCharType="end"/>
      </w:r>
      <w:r>
        <w:rPr>
          <w:highlight w:val="none"/>
        </w:rPr>
        <w:fldChar w:fldCharType="end"/>
      </w:r>
    </w:p>
    <w:p w14:paraId="0234E4FB">
      <w:pPr>
        <w:pStyle w:val="49"/>
        <w:tabs>
          <w:tab w:val="right" w:leader="dot" w:pos="9123"/>
        </w:tabs>
        <w:rPr>
          <w:highlight w:val="none"/>
        </w:rPr>
      </w:pPr>
      <w:r>
        <w:rPr>
          <w:highlight w:val="none"/>
        </w:rPr>
        <w:fldChar w:fldCharType="begin"/>
      </w:r>
      <w:r>
        <w:rPr>
          <w:highlight w:val="none"/>
        </w:rPr>
        <w:instrText xml:space="preserve"> HYPERLINK \l "_Toc19363" </w:instrText>
      </w:r>
      <w:r>
        <w:rPr>
          <w:highlight w:val="none"/>
        </w:rPr>
        <w:fldChar w:fldCharType="separate"/>
      </w:r>
      <w:r>
        <w:rPr>
          <w:rFonts w:hint="eastAsia" w:eastAsia="黑体"/>
          <w:bCs/>
          <w:szCs w:val="21"/>
          <w:highlight w:val="none"/>
        </w:rPr>
        <w:t>7</w:t>
      </w:r>
      <w:r>
        <w:rPr>
          <w:rFonts w:eastAsia="黑体"/>
          <w:bCs/>
          <w:szCs w:val="21"/>
          <w:highlight w:val="none"/>
        </w:rPr>
        <w:t xml:space="preserve">.2 </w:t>
      </w:r>
      <w:r>
        <w:rPr>
          <w:rFonts w:hint="eastAsia" w:eastAsia="黑体"/>
          <w:bCs/>
          <w:szCs w:val="21"/>
          <w:highlight w:val="none"/>
        </w:rPr>
        <w:t>出厂检验</w:t>
      </w:r>
      <w:r>
        <w:rPr>
          <w:highlight w:val="none"/>
        </w:rPr>
        <w:tab/>
      </w:r>
      <w:r>
        <w:rPr>
          <w:highlight w:val="none"/>
        </w:rPr>
        <w:fldChar w:fldCharType="begin"/>
      </w:r>
      <w:r>
        <w:rPr>
          <w:highlight w:val="none"/>
        </w:rPr>
        <w:instrText xml:space="preserve"> PAGEREF _Toc19363 \h </w:instrText>
      </w:r>
      <w:r>
        <w:rPr>
          <w:highlight w:val="none"/>
        </w:rPr>
        <w:fldChar w:fldCharType="separate"/>
      </w:r>
      <w:r>
        <w:rPr>
          <w:highlight w:val="none"/>
        </w:rPr>
        <w:t>11</w:t>
      </w:r>
      <w:r>
        <w:rPr>
          <w:highlight w:val="none"/>
        </w:rPr>
        <w:fldChar w:fldCharType="end"/>
      </w:r>
      <w:r>
        <w:rPr>
          <w:highlight w:val="none"/>
        </w:rPr>
        <w:fldChar w:fldCharType="end"/>
      </w:r>
    </w:p>
    <w:p w14:paraId="424121E3">
      <w:pPr>
        <w:pStyle w:val="49"/>
        <w:tabs>
          <w:tab w:val="right" w:leader="dot" w:pos="9123"/>
        </w:tabs>
        <w:rPr>
          <w:highlight w:val="none"/>
        </w:rPr>
      </w:pPr>
      <w:r>
        <w:rPr>
          <w:highlight w:val="none"/>
        </w:rPr>
        <w:fldChar w:fldCharType="begin"/>
      </w:r>
      <w:r>
        <w:rPr>
          <w:highlight w:val="none"/>
        </w:rPr>
        <w:instrText xml:space="preserve"> HYPERLINK \l "_Toc30872" </w:instrText>
      </w:r>
      <w:r>
        <w:rPr>
          <w:highlight w:val="none"/>
        </w:rPr>
        <w:fldChar w:fldCharType="separate"/>
      </w:r>
      <w:r>
        <w:rPr>
          <w:rFonts w:hint="eastAsia" w:eastAsia="黑体"/>
          <w:bCs/>
          <w:szCs w:val="21"/>
          <w:highlight w:val="none"/>
        </w:rPr>
        <w:t>7.3 送样检测</w:t>
      </w:r>
      <w:r>
        <w:rPr>
          <w:highlight w:val="none"/>
        </w:rPr>
        <w:tab/>
      </w:r>
      <w:r>
        <w:rPr>
          <w:highlight w:val="none"/>
        </w:rPr>
        <w:fldChar w:fldCharType="begin"/>
      </w:r>
      <w:r>
        <w:rPr>
          <w:highlight w:val="none"/>
        </w:rPr>
        <w:instrText xml:space="preserve"> PAGEREF _Toc30872 \h </w:instrText>
      </w:r>
      <w:r>
        <w:rPr>
          <w:highlight w:val="none"/>
        </w:rPr>
        <w:fldChar w:fldCharType="separate"/>
      </w:r>
      <w:r>
        <w:rPr>
          <w:highlight w:val="none"/>
        </w:rPr>
        <w:t>11</w:t>
      </w:r>
      <w:r>
        <w:rPr>
          <w:highlight w:val="none"/>
        </w:rPr>
        <w:fldChar w:fldCharType="end"/>
      </w:r>
      <w:r>
        <w:rPr>
          <w:highlight w:val="none"/>
        </w:rPr>
        <w:fldChar w:fldCharType="end"/>
      </w:r>
    </w:p>
    <w:p w14:paraId="57BDDDDA">
      <w:pPr>
        <w:pStyle w:val="49"/>
        <w:tabs>
          <w:tab w:val="right" w:leader="dot" w:pos="9123"/>
        </w:tabs>
        <w:rPr>
          <w:highlight w:val="none"/>
        </w:rPr>
      </w:pPr>
      <w:r>
        <w:rPr>
          <w:highlight w:val="none"/>
        </w:rPr>
        <w:fldChar w:fldCharType="begin"/>
      </w:r>
      <w:r>
        <w:rPr>
          <w:highlight w:val="none"/>
        </w:rPr>
        <w:instrText xml:space="preserve"> HYPERLINK \l "_Toc7457" </w:instrText>
      </w:r>
      <w:r>
        <w:rPr>
          <w:highlight w:val="none"/>
        </w:rPr>
        <w:fldChar w:fldCharType="separate"/>
      </w:r>
      <w:r>
        <w:rPr>
          <w:rFonts w:hint="eastAsia" w:eastAsia="黑体"/>
          <w:bCs/>
          <w:szCs w:val="21"/>
          <w:highlight w:val="none"/>
        </w:rPr>
        <w:t>7.4 到货抽检</w:t>
      </w:r>
      <w:r>
        <w:rPr>
          <w:highlight w:val="none"/>
        </w:rPr>
        <w:tab/>
      </w:r>
      <w:r>
        <w:rPr>
          <w:highlight w:val="none"/>
        </w:rPr>
        <w:fldChar w:fldCharType="begin"/>
      </w:r>
      <w:r>
        <w:rPr>
          <w:highlight w:val="none"/>
        </w:rPr>
        <w:instrText xml:space="preserve"> PAGEREF _Toc7457 \h </w:instrText>
      </w:r>
      <w:r>
        <w:rPr>
          <w:highlight w:val="none"/>
        </w:rPr>
        <w:fldChar w:fldCharType="separate"/>
      </w:r>
      <w:r>
        <w:rPr>
          <w:highlight w:val="none"/>
        </w:rPr>
        <w:t>11</w:t>
      </w:r>
      <w:r>
        <w:rPr>
          <w:highlight w:val="none"/>
        </w:rPr>
        <w:fldChar w:fldCharType="end"/>
      </w:r>
      <w:r>
        <w:rPr>
          <w:highlight w:val="none"/>
        </w:rPr>
        <w:fldChar w:fldCharType="end"/>
      </w:r>
    </w:p>
    <w:p w14:paraId="29F4E39E">
      <w:pPr>
        <w:pStyle w:val="49"/>
        <w:tabs>
          <w:tab w:val="right" w:leader="dot" w:pos="9123"/>
        </w:tabs>
        <w:rPr>
          <w:highlight w:val="none"/>
        </w:rPr>
      </w:pPr>
      <w:r>
        <w:rPr>
          <w:highlight w:val="none"/>
        </w:rPr>
        <w:fldChar w:fldCharType="begin"/>
      </w:r>
      <w:r>
        <w:rPr>
          <w:highlight w:val="none"/>
        </w:rPr>
        <w:instrText xml:space="preserve"> HYPERLINK \l "_Toc11772" </w:instrText>
      </w:r>
      <w:r>
        <w:rPr>
          <w:highlight w:val="none"/>
        </w:rPr>
        <w:fldChar w:fldCharType="separate"/>
      </w:r>
      <w:r>
        <w:rPr>
          <w:rFonts w:hint="eastAsia" w:eastAsia="黑体"/>
          <w:bCs/>
          <w:szCs w:val="21"/>
          <w:highlight w:val="none"/>
        </w:rPr>
        <w:t>7.5 交接试验</w:t>
      </w:r>
      <w:r>
        <w:rPr>
          <w:highlight w:val="none"/>
        </w:rPr>
        <w:tab/>
      </w:r>
      <w:r>
        <w:rPr>
          <w:highlight w:val="none"/>
        </w:rPr>
        <w:fldChar w:fldCharType="begin"/>
      </w:r>
      <w:r>
        <w:rPr>
          <w:highlight w:val="none"/>
        </w:rPr>
        <w:instrText xml:space="preserve"> PAGEREF _Toc11772 \h </w:instrText>
      </w:r>
      <w:r>
        <w:rPr>
          <w:highlight w:val="none"/>
        </w:rPr>
        <w:fldChar w:fldCharType="separate"/>
      </w:r>
      <w:r>
        <w:rPr>
          <w:highlight w:val="none"/>
        </w:rPr>
        <w:t>11</w:t>
      </w:r>
      <w:r>
        <w:rPr>
          <w:highlight w:val="none"/>
        </w:rPr>
        <w:fldChar w:fldCharType="end"/>
      </w:r>
      <w:r>
        <w:rPr>
          <w:highlight w:val="none"/>
        </w:rPr>
        <w:fldChar w:fldCharType="end"/>
      </w:r>
    </w:p>
    <w:p w14:paraId="32CCDBB2">
      <w:pPr>
        <w:pStyle w:val="38"/>
        <w:tabs>
          <w:tab w:val="right" w:leader="dot" w:pos="9123"/>
        </w:tabs>
        <w:rPr>
          <w:highlight w:val="none"/>
        </w:rPr>
      </w:pPr>
      <w:r>
        <w:rPr>
          <w:highlight w:val="none"/>
        </w:rPr>
        <w:fldChar w:fldCharType="begin"/>
      </w:r>
      <w:r>
        <w:rPr>
          <w:highlight w:val="none"/>
        </w:rPr>
        <w:instrText xml:space="preserve"> HYPERLINK \l "_Toc15863" </w:instrText>
      </w:r>
      <w:r>
        <w:rPr>
          <w:highlight w:val="none"/>
        </w:rPr>
        <w:fldChar w:fldCharType="separate"/>
      </w:r>
      <w:r>
        <w:rPr>
          <w:rFonts w:hint="eastAsia" w:eastAsia="黑体"/>
          <w:bCs/>
          <w:szCs w:val="21"/>
          <w:highlight w:val="none"/>
        </w:rPr>
        <w:t>8</w:t>
      </w:r>
      <w:r>
        <w:rPr>
          <w:rFonts w:eastAsia="黑体"/>
          <w:bCs/>
          <w:szCs w:val="21"/>
          <w:highlight w:val="none"/>
        </w:rPr>
        <w:t xml:space="preserve"> 技术联络、技术培训及售后服务</w:t>
      </w:r>
      <w:r>
        <w:rPr>
          <w:highlight w:val="none"/>
        </w:rPr>
        <w:tab/>
      </w:r>
      <w:r>
        <w:rPr>
          <w:highlight w:val="none"/>
        </w:rPr>
        <w:fldChar w:fldCharType="begin"/>
      </w:r>
      <w:r>
        <w:rPr>
          <w:highlight w:val="none"/>
        </w:rPr>
        <w:instrText xml:space="preserve"> PAGEREF _Toc15863 \h </w:instrText>
      </w:r>
      <w:r>
        <w:rPr>
          <w:highlight w:val="none"/>
        </w:rPr>
        <w:fldChar w:fldCharType="separate"/>
      </w:r>
      <w:r>
        <w:rPr>
          <w:highlight w:val="none"/>
        </w:rPr>
        <w:t>11</w:t>
      </w:r>
      <w:r>
        <w:rPr>
          <w:highlight w:val="none"/>
        </w:rPr>
        <w:fldChar w:fldCharType="end"/>
      </w:r>
      <w:r>
        <w:rPr>
          <w:highlight w:val="none"/>
        </w:rPr>
        <w:fldChar w:fldCharType="end"/>
      </w:r>
    </w:p>
    <w:p w14:paraId="78151773">
      <w:pPr>
        <w:pStyle w:val="49"/>
        <w:tabs>
          <w:tab w:val="right" w:leader="dot" w:pos="9123"/>
        </w:tabs>
        <w:rPr>
          <w:highlight w:val="none"/>
        </w:rPr>
      </w:pPr>
      <w:r>
        <w:rPr>
          <w:highlight w:val="none"/>
        </w:rPr>
        <w:fldChar w:fldCharType="begin"/>
      </w:r>
      <w:r>
        <w:rPr>
          <w:highlight w:val="none"/>
        </w:rPr>
        <w:instrText xml:space="preserve"> HYPERLINK \l "_Toc19601" </w:instrText>
      </w:r>
      <w:r>
        <w:rPr>
          <w:highlight w:val="none"/>
        </w:rPr>
        <w:fldChar w:fldCharType="separate"/>
      </w:r>
      <w:r>
        <w:rPr>
          <w:rFonts w:hint="eastAsia" w:eastAsia="黑体"/>
          <w:bCs/>
          <w:szCs w:val="21"/>
          <w:highlight w:val="none"/>
        </w:rPr>
        <w:t>8.1 技术培训</w:t>
      </w:r>
      <w:r>
        <w:rPr>
          <w:highlight w:val="none"/>
        </w:rPr>
        <w:tab/>
      </w:r>
      <w:r>
        <w:rPr>
          <w:highlight w:val="none"/>
        </w:rPr>
        <w:fldChar w:fldCharType="begin"/>
      </w:r>
      <w:r>
        <w:rPr>
          <w:highlight w:val="none"/>
        </w:rPr>
        <w:instrText xml:space="preserve"> PAGEREF _Toc19601 \h </w:instrText>
      </w:r>
      <w:r>
        <w:rPr>
          <w:highlight w:val="none"/>
        </w:rPr>
        <w:fldChar w:fldCharType="separate"/>
      </w:r>
      <w:r>
        <w:rPr>
          <w:highlight w:val="none"/>
        </w:rPr>
        <w:t>11</w:t>
      </w:r>
      <w:r>
        <w:rPr>
          <w:highlight w:val="none"/>
        </w:rPr>
        <w:fldChar w:fldCharType="end"/>
      </w:r>
      <w:r>
        <w:rPr>
          <w:highlight w:val="none"/>
        </w:rPr>
        <w:fldChar w:fldCharType="end"/>
      </w:r>
    </w:p>
    <w:p w14:paraId="5C31842C">
      <w:pPr>
        <w:pStyle w:val="49"/>
        <w:tabs>
          <w:tab w:val="right" w:leader="dot" w:pos="9123"/>
        </w:tabs>
        <w:rPr>
          <w:highlight w:val="none"/>
        </w:rPr>
      </w:pPr>
      <w:r>
        <w:rPr>
          <w:highlight w:val="none"/>
        </w:rPr>
        <w:fldChar w:fldCharType="begin"/>
      </w:r>
      <w:r>
        <w:rPr>
          <w:highlight w:val="none"/>
        </w:rPr>
        <w:instrText xml:space="preserve"> HYPERLINK \l "_Toc4750" </w:instrText>
      </w:r>
      <w:r>
        <w:rPr>
          <w:highlight w:val="none"/>
        </w:rPr>
        <w:fldChar w:fldCharType="separate"/>
      </w:r>
      <w:r>
        <w:rPr>
          <w:rFonts w:hint="eastAsia" w:eastAsia="黑体"/>
          <w:bCs/>
          <w:szCs w:val="21"/>
          <w:highlight w:val="none"/>
        </w:rPr>
        <w:t>8.2 现场及远程技术服务</w:t>
      </w:r>
      <w:r>
        <w:rPr>
          <w:highlight w:val="none"/>
        </w:rPr>
        <w:tab/>
      </w:r>
      <w:r>
        <w:rPr>
          <w:highlight w:val="none"/>
        </w:rPr>
        <w:fldChar w:fldCharType="begin"/>
      </w:r>
      <w:r>
        <w:rPr>
          <w:highlight w:val="none"/>
        </w:rPr>
        <w:instrText xml:space="preserve"> PAGEREF _Toc4750 \h </w:instrText>
      </w:r>
      <w:r>
        <w:rPr>
          <w:highlight w:val="none"/>
        </w:rPr>
        <w:fldChar w:fldCharType="separate"/>
      </w:r>
      <w:r>
        <w:rPr>
          <w:highlight w:val="none"/>
        </w:rPr>
        <w:t>11</w:t>
      </w:r>
      <w:r>
        <w:rPr>
          <w:highlight w:val="none"/>
        </w:rPr>
        <w:fldChar w:fldCharType="end"/>
      </w:r>
      <w:r>
        <w:rPr>
          <w:highlight w:val="none"/>
        </w:rPr>
        <w:fldChar w:fldCharType="end"/>
      </w:r>
    </w:p>
    <w:p w14:paraId="72A86D50">
      <w:pPr>
        <w:pStyle w:val="49"/>
        <w:tabs>
          <w:tab w:val="right" w:leader="dot" w:pos="9123"/>
        </w:tabs>
        <w:rPr>
          <w:highlight w:val="none"/>
        </w:rPr>
      </w:pPr>
      <w:r>
        <w:rPr>
          <w:highlight w:val="none"/>
        </w:rPr>
        <w:fldChar w:fldCharType="begin"/>
      </w:r>
      <w:r>
        <w:rPr>
          <w:highlight w:val="none"/>
        </w:rPr>
        <w:instrText xml:space="preserve"> HYPERLINK \l "_Toc8936" </w:instrText>
      </w:r>
      <w:r>
        <w:rPr>
          <w:highlight w:val="none"/>
        </w:rPr>
        <w:fldChar w:fldCharType="separate"/>
      </w:r>
      <w:r>
        <w:rPr>
          <w:rFonts w:hint="eastAsia" w:eastAsia="黑体"/>
          <w:bCs/>
          <w:szCs w:val="21"/>
          <w:highlight w:val="none"/>
        </w:rPr>
        <w:t>8</w:t>
      </w:r>
      <w:r>
        <w:rPr>
          <w:rFonts w:eastAsia="黑体"/>
          <w:bCs/>
          <w:szCs w:val="21"/>
          <w:highlight w:val="none"/>
        </w:rPr>
        <w:t xml:space="preserve">.3 </w:t>
      </w:r>
      <w:r>
        <w:rPr>
          <w:rFonts w:hint="eastAsia" w:eastAsia="黑体"/>
          <w:bCs/>
          <w:szCs w:val="21"/>
          <w:highlight w:val="none"/>
        </w:rPr>
        <w:t>售后服务</w:t>
      </w:r>
      <w:r>
        <w:rPr>
          <w:highlight w:val="none"/>
        </w:rPr>
        <w:tab/>
      </w:r>
      <w:r>
        <w:rPr>
          <w:highlight w:val="none"/>
        </w:rPr>
        <w:fldChar w:fldCharType="begin"/>
      </w:r>
      <w:r>
        <w:rPr>
          <w:highlight w:val="none"/>
        </w:rPr>
        <w:instrText xml:space="preserve"> PAGEREF _Toc8936 \h </w:instrText>
      </w:r>
      <w:r>
        <w:rPr>
          <w:highlight w:val="none"/>
        </w:rPr>
        <w:fldChar w:fldCharType="separate"/>
      </w:r>
      <w:r>
        <w:rPr>
          <w:highlight w:val="none"/>
        </w:rPr>
        <w:t>12</w:t>
      </w:r>
      <w:r>
        <w:rPr>
          <w:highlight w:val="none"/>
        </w:rPr>
        <w:fldChar w:fldCharType="end"/>
      </w:r>
      <w:r>
        <w:rPr>
          <w:highlight w:val="none"/>
        </w:rPr>
        <w:fldChar w:fldCharType="end"/>
      </w:r>
    </w:p>
    <w:p w14:paraId="42769464">
      <w:pPr>
        <w:pStyle w:val="38"/>
        <w:tabs>
          <w:tab w:val="right" w:leader="dot" w:pos="9123"/>
        </w:tabs>
        <w:rPr>
          <w:highlight w:val="none"/>
        </w:rPr>
      </w:pPr>
      <w:r>
        <w:rPr>
          <w:highlight w:val="none"/>
        </w:rPr>
        <w:fldChar w:fldCharType="begin"/>
      </w:r>
      <w:r>
        <w:rPr>
          <w:highlight w:val="none"/>
        </w:rPr>
        <w:instrText xml:space="preserve"> HYPERLINK \l "_Toc25557" </w:instrText>
      </w:r>
      <w:r>
        <w:rPr>
          <w:highlight w:val="none"/>
        </w:rPr>
        <w:fldChar w:fldCharType="separate"/>
      </w:r>
      <w:r>
        <w:rPr>
          <w:rFonts w:hint="eastAsia" w:eastAsia="黑体"/>
          <w:bCs/>
          <w:szCs w:val="21"/>
          <w:highlight w:val="none"/>
        </w:rPr>
        <w:t>9</w:t>
      </w:r>
      <w:r>
        <w:rPr>
          <w:rFonts w:eastAsia="黑体"/>
          <w:bCs/>
          <w:szCs w:val="21"/>
          <w:highlight w:val="none"/>
        </w:rPr>
        <w:t xml:space="preserve"> 标志、包装、运输、贮存</w:t>
      </w:r>
      <w:r>
        <w:rPr>
          <w:highlight w:val="none"/>
        </w:rPr>
        <w:tab/>
      </w:r>
      <w:r>
        <w:rPr>
          <w:highlight w:val="none"/>
        </w:rPr>
        <w:fldChar w:fldCharType="begin"/>
      </w:r>
      <w:r>
        <w:rPr>
          <w:highlight w:val="none"/>
        </w:rPr>
        <w:instrText xml:space="preserve"> PAGEREF _Toc25557 \h </w:instrText>
      </w:r>
      <w:r>
        <w:rPr>
          <w:highlight w:val="none"/>
        </w:rPr>
        <w:fldChar w:fldCharType="separate"/>
      </w:r>
      <w:r>
        <w:rPr>
          <w:highlight w:val="none"/>
        </w:rPr>
        <w:t>12</w:t>
      </w:r>
      <w:r>
        <w:rPr>
          <w:highlight w:val="none"/>
        </w:rPr>
        <w:fldChar w:fldCharType="end"/>
      </w:r>
      <w:r>
        <w:rPr>
          <w:highlight w:val="none"/>
        </w:rPr>
        <w:fldChar w:fldCharType="end"/>
      </w:r>
    </w:p>
    <w:p w14:paraId="5A27A3C2">
      <w:pPr>
        <w:pStyle w:val="49"/>
        <w:tabs>
          <w:tab w:val="right" w:leader="dot" w:pos="9123"/>
        </w:tabs>
        <w:rPr>
          <w:highlight w:val="none"/>
        </w:rPr>
      </w:pPr>
      <w:r>
        <w:rPr>
          <w:highlight w:val="none"/>
        </w:rPr>
        <w:fldChar w:fldCharType="begin"/>
      </w:r>
      <w:r>
        <w:rPr>
          <w:highlight w:val="none"/>
        </w:rPr>
        <w:instrText xml:space="preserve"> HYPERLINK \l "_Toc16461" </w:instrText>
      </w:r>
      <w:r>
        <w:rPr>
          <w:highlight w:val="none"/>
        </w:rPr>
        <w:fldChar w:fldCharType="separate"/>
      </w:r>
      <w:r>
        <w:rPr>
          <w:rFonts w:hint="eastAsia" w:eastAsia="黑体"/>
          <w:bCs/>
          <w:szCs w:val="21"/>
          <w:highlight w:val="none"/>
        </w:rPr>
        <w:t>9.1 包装</w:t>
      </w:r>
      <w:r>
        <w:rPr>
          <w:highlight w:val="none"/>
        </w:rPr>
        <w:tab/>
      </w:r>
      <w:r>
        <w:rPr>
          <w:highlight w:val="none"/>
        </w:rPr>
        <w:fldChar w:fldCharType="begin"/>
      </w:r>
      <w:r>
        <w:rPr>
          <w:highlight w:val="none"/>
        </w:rPr>
        <w:instrText xml:space="preserve"> PAGEREF _Toc16461 \h </w:instrText>
      </w:r>
      <w:r>
        <w:rPr>
          <w:highlight w:val="none"/>
        </w:rPr>
        <w:fldChar w:fldCharType="separate"/>
      </w:r>
      <w:r>
        <w:rPr>
          <w:highlight w:val="none"/>
        </w:rPr>
        <w:t>12</w:t>
      </w:r>
      <w:r>
        <w:rPr>
          <w:highlight w:val="none"/>
        </w:rPr>
        <w:fldChar w:fldCharType="end"/>
      </w:r>
      <w:r>
        <w:rPr>
          <w:highlight w:val="none"/>
        </w:rPr>
        <w:fldChar w:fldCharType="end"/>
      </w:r>
    </w:p>
    <w:p w14:paraId="3DC224BD">
      <w:pPr>
        <w:pStyle w:val="49"/>
        <w:tabs>
          <w:tab w:val="right" w:leader="dot" w:pos="9123"/>
        </w:tabs>
        <w:rPr>
          <w:highlight w:val="none"/>
        </w:rPr>
      </w:pPr>
      <w:r>
        <w:rPr>
          <w:highlight w:val="none"/>
        </w:rPr>
        <w:fldChar w:fldCharType="begin"/>
      </w:r>
      <w:r>
        <w:rPr>
          <w:highlight w:val="none"/>
        </w:rPr>
        <w:instrText xml:space="preserve"> HYPERLINK \l "_Toc11678" </w:instrText>
      </w:r>
      <w:r>
        <w:rPr>
          <w:highlight w:val="none"/>
        </w:rPr>
        <w:fldChar w:fldCharType="separate"/>
      </w:r>
      <w:r>
        <w:rPr>
          <w:rFonts w:hint="eastAsia" w:eastAsia="黑体"/>
          <w:bCs/>
          <w:szCs w:val="21"/>
          <w:highlight w:val="none"/>
        </w:rPr>
        <w:t>9.2 运输</w:t>
      </w:r>
      <w:r>
        <w:rPr>
          <w:highlight w:val="none"/>
        </w:rPr>
        <w:tab/>
      </w:r>
      <w:r>
        <w:rPr>
          <w:highlight w:val="none"/>
        </w:rPr>
        <w:fldChar w:fldCharType="begin"/>
      </w:r>
      <w:r>
        <w:rPr>
          <w:highlight w:val="none"/>
        </w:rPr>
        <w:instrText xml:space="preserve"> PAGEREF _Toc11678 \h </w:instrText>
      </w:r>
      <w:r>
        <w:rPr>
          <w:highlight w:val="none"/>
        </w:rPr>
        <w:fldChar w:fldCharType="separate"/>
      </w:r>
      <w:r>
        <w:rPr>
          <w:highlight w:val="none"/>
        </w:rPr>
        <w:t>13</w:t>
      </w:r>
      <w:r>
        <w:rPr>
          <w:highlight w:val="none"/>
        </w:rPr>
        <w:fldChar w:fldCharType="end"/>
      </w:r>
      <w:r>
        <w:rPr>
          <w:highlight w:val="none"/>
        </w:rPr>
        <w:fldChar w:fldCharType="end"/>
      </w:r>
    </w:p>
    <w:p w14:paraId="5C0849A4">
      <w:pPr>
        <w:pStyle w:val="49"/>
        <w:tabs>
          <w:tab w:val="right" w:leader="dot" w:pos="9123"/>
        </w:tabs>
        <w:rPr>
          <w:highlight w:val="none"/>
        </w:rPr>
      </w:pPr>
      <w:r>
        <w:rPr>
          <w:highlight w:val="none"/>
        </w:rPr>
        <w:fldChar w:fldCharType="begin"/>
      </w:r>
      <w:r>
        <w:rPr>
          <w:highlight w:val="none"/>
        </w:rPr>
        <w:instrText xml:space="preserve"> HYPERLINK \l "_Toc31795" </w:instrText>
      </w:r>
      <w:r>
        <w:rPr>
          <w:highlight w:val="none"/>
        </w:rPr>
        <w:fldChar w:fldCharType="separate"/>
      </w:r>
      <w:r>
        <w:rPr>
          <w:rFonts w:hint="eastAsia" w:eastAsia="黑体"/>
          <w:bCs/>
          <w:szCs w:val="21"/>
          <w:highlight w:val="none"/>
        </w:rPr>
        <w:t>9.3 组装指导</w:t>
      </w:r>
      <w:r>
        <w:rPr>
          <w:highlight w:val="none"/>
        </w:rPr>
        <w:tab/>
      </w:r>
      <w:r>
        <w:rPr>
          <w:highlight w:val="none"/>
        </w:rPr>
        <w:fldChar w:fldCharType="begin"/>
      </w:r>
      <w:r>
        <w:rPr>
          <w:highlight w:val="none"/>
        </w:rPr>
        <w:instrText xml:space="preserve"> PAGEREF _Toc31795 \h </w:instrText>
      </w:r>
      <w:r>
        <w:rPr>
          <w:highlight w:val="none"/>
        </w:rPr>
        <w:fldChar w:fldCharType="separate"/>
      </w:r>
      <w:r>
        <w:rPr>
          <w:highlight w:val="none"/>
        </w:rPr>
        <w:t>13</w:t>
      </w:r>
      <w:r>
        <w:rPr>
          <w:highlight w:val="none"/>
        </w:rPr>
        <w:fldChar w:fldCharType="end"/>
      </w:r>
      <w:r>
        <w:rPr>
          <w:highlight w:val="none"/>
        </w:rPr>
        <w:fldChar w:fldCharType="end"/>
      </w:r>
    </w:p>
    <w:p w14:paraId="44FDF065">
      <w:pPr>
        <w:pStyle w:val="49"/>
        <w:tabs>
          <w:tab w:val="right" w:leader="dot" w:pos="9123"/>
        </w:tabs>
        <w:rPr>
          <w:highlight w:val="none"/>
        </w:rPr>
      </w:pPr>
      <w:r>
        <w:rPr>
          <w:highlight w:val="none"/>
        </w:rPr>
        <w:fldChar w:fldCharType="begin"/>
      </w:r>
      <w:r>
        <w:rPr>
          <w:highlight w:val="none"/>
        </w:rPr>
        <w:instrText xml:space="preserve"> HYPERLINK \l "_Toc12492" </w:instrText>
      </w:r>
      <w:r>
        <w:rPr>
          <w:highlight w:val="none"/>
        </w:rPr>
        <w:fldChar w:fldCharType="separate"/>
      </w:r>
      <w:r>
        <w:rPr>
          <w:rFonts w:hint="eastAsia" w:eastAsia="黑体"/>
          <w:bCs/>
          <w:szCs w:val="21"/>
          <w:highlight w:val="none"/>
        </w:rPr>
        <w:t>9.4 质量保证</w:t>
      </w:r>
      <w:r>
        <w:rPr>
          <w:highlight w:val="none"/>
        </w:rPr>
        <w:tab/>
      </w:r>
      <w:r>
        <w:rPr>
          <w:highlight w:val="none"/>
        </w:rPr>
        <w:fldChar w:fldCharType="begin"/>
      </w:r>
      <w:r>
        <w:rPr>
          <w:highlight w:val="none"/>
        </w:rPr>
        <w:instrText xml:space="preserve"> PAGEREF _Toc12492 \h </w:instrText>
      </w:r>
      <w:r>
        <w:rPr>
          <w:highlight w:val="none"/>
        </w:rPr>
        <w:fldChar w:fldCharType="separate"/>
      </w:r>
      <w:r>
        <w:rPr>
          <w:highlight w:val="none"/>
        </w:rPr>
        <w:t>13</w:t>
      </w:r>
      <w:r>
        <w:rPr>
          <w:highlight w:val="none"/>
        </w:rPr>
        <w:fldChar w:fldCharType="end"/>
      </w:r>
      <w:r>
        <w:rPr>
          <w:highlight w:val="none"/>
        </w:rPr>
        <w:fldChar w:fldCharType="end"/>
      </w:r>
    </w:p>
    <w:p w14:paraId="5CFC2809">
      <w:pPr>
        <w:pStyle w:val="49"/>
        <w:tabs>
          <w:tab w:val="right" w:leader="dot" w:pos="9123"/>
        </w:tabs>
        <w:rPr>
          <w:highlight w:val="none"/>
        </w:rPr>
      </w:pPr>
      <w:r>
        <w:rPr>
          <w:highlight w:val="none"/>
        </w:rPr>
        <w:fldChar w:fldCharType="begin"/>
      </w:r>
      <w:r>
        <w:rPr>
          <w:highlight w:val="none"/>
        </w:rPr>
        <w:instrText xml:space="preserve"> HYPERLINK \l "_Toc17962" </w:instrText>
      </w:r>
      <w:r>
        <w:rPr>
          <w:highlight w:val="none"/>
        </w:rPr>
        <w:fldChar w:fldCharType="separate"/>
      </w:r>
      <w:r>
        <w:rPr>
          <w:rFonts w:hint="eastAsia" w:eastAsia="黑体"/>
          <w:bCs/>
          <w:szCs w:val="21"/>
          <w:highlight w:val="none"/>
        </w:rPr>
        <w:t>9.5 设备验收</w:t>
      </w:r>
      <w:r>
        <w:rPr>
          <w:highlight w:val="none"/>
        </w:rPr>
        <w:tab/>
      </w:r>
      <w:r>
        <w:rPr>
          <w:highlight w:val="none"/>
        </w:rPr>
        <w:fldChar w:fldCharType="begin"/>
      </w:r>
      <w:r>
        <w:rPr>
          <w:highlight w:val="none"/>
        </w:rPr>
        <w:instrText xml:space="preserve"> PAGEREF _Toc17962 \h </w:instrText>
      </w:r>
      <w:r>
        <w:rPr>
          <w:highlight w:val="none"/>
        </w:rPr>
        <w:fldChar w:fldCharType="separate"/>
      </w:r>
      <w:r>
        <w:rPr>
          <w:highlight w:val="none"/>
        </w:rPr>
        <w:t>14</w:t>
      </w:r>
      <w:r>
        <w:rPr>
          <w:highlight w:val="none"/>
        </w:rPr>
        <w:fldChar w:fldCharType="end"/>
      </w:r>
      <w:r>
        <w:rPr>
          <w:highlight w:val="none"/>
        </w:rPr>
        <w:fldChar w:fldCharType="end"/>
      </w:r>
    </w:p>
    <w:p w14:paraId="5098B6D6">
      <w:pPr>
        <w:pStyle w:val="29"/>
        <w:spacing w:line="360" w:lineRule="auto"/>
        <w:rPr>
          <w:rFonts w:ascii="Times New Roman" w:hAnsi="Times New Roman"/>
          <w:szCs w:val="21"/>
          <w:highlight w:val="none"/>
        </w:rPr>
      </w:pPr>
      <w:r>
        <w:rPr>
          <w:rFonts w:hint="eastAsia" w:ascii="黑体" w:hAnsi="黑体" w:eastAsia="黑体" w:cs="黑体"/>
          <w:b/>
          <w:bCs/>
          <w:sz w:val="24"/>
          <w:szCs w:val="24"/>
          <w:highlight w:val="none"/>
        </w:rPr>
        <w:fldChar w:fldCharType="end"/>
      </w:r>
    </w:p>
    <w:p w14:paraId="0DAB1A38">
      <w:pPr>
        <w:snapToGrid w:val="0"/>
        <w:spacing w:line="360" w:lineRule="auto"/>
        <w:ind w:firstLine="560"/>
        <w:outlineLvl w:val="0"/>
        <w:rPr>
          <w:szCs w:val="21"/>
          <w:highlight w:val="none"/>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78198E16">
      <w:pPr>
        <w:spacing w:line="480" w:lineRule="auto"/>
        <w:outlineLvl w:val="0"/>
        <w:rPr>
          <w:rFonts w:eastAsia="黑体"/>
          <w:b/>
          <w:bCs/>
          <w:szCs w:val="21"/>
          <w:highlight w:val="none"/>
        </w:rPr>
      </w:pPr>
      <w:bookmarkStart w:id="5" w:name="_Toc23837"/>
      <w:bookmarkStart w:id="6" w:name="_Toc224531919"/>
      <w:bookmarkStart w:id="7" w:name="_Toc76025478"/>
      <w:bookmarkStart w:id="8" w:name="_Toc222993389"/>
      <w:bookmarkStart w:id="9" w:name="_Toc413"/>
      <w:bookmarkStart w:id="10" w:name="_Toc22168"/>
      <w:bookmarkStart w:id="11" w:name="_Toc226121097"/>
      <w:bookmarkStart w:id="12" w:name="_Toc14427"/>
      <w:bookmarkStart w:id="13" w:name="_Toc3821"/>
      <w:bookmarkStart w:id="14" w:name="_Toc8101"/>
      <w:bookmarkStart w:id="15" w:name="_Toc224274558"/>
      <w:r>
        <w:rPr>
          <w:rFonts w:eastAsia="黑体"/>
          <w:b/>
          <w:bCs/>
          <w:szCs w:val="21"/>
          <w:highlight w:val="none"/>
        </w:rPr>
        <w:t>1 总则</w:t>
      </w:r>
      <w:bookmarkEnd w:id="5"/>
      <w:bookmarkEnd w:id="6"/>
      <w:bookmarkEnd w:id="7"/>
      <w:bookmarkEnd w:id="8"/>
      <w:bookmarkEnd w:id="9"/>
      <w:bookmarkEnd w:id="10"/>
      <w:bookmarkEnd w:id="11"/>
      <w:bookmarkEnd w:id="12"/>
      <w:bookmarkEnd w:id="13"/>
      <w:bookmarkEnd w:id="14"/>
      <w:bookmarkEnd w:id="15"/>
    </w:p>
    <w:p w14:paraId="076CE798">
      <w:pPr>
        <w:pStyle w:val="29"/>
        <w:spacing w:line="360" w:lineRule="auto"/>
        <w:rPr>
          <w:rFonts w:ascii="Times New Roman" w:hAnsi="Times New Roman"/>
          <w:kern w:val="0"/>
          <w:szCs w:val="21"/>
          <w:highlight w:val="none"/>
        </w:rPr>
      </w:pPr>
      <w:r>
        <w:rPr>
          <w:rFonts w:ascii="Times New Roman" w:hAnsi="Times New Roman"/>
          <w:kern w:val="0"/>
          <w:szCs w:val="21"/>
          <w:highlight w:val="none"/>
        </w:rPr>
        <w:t>1.1</w:t>
      </w:r>
      <w:r>
        <w:rPr>
          <w:rFonts w:hint="eastAsia" w:ascii="Times New Roman" w:hAnsi="Times New Roman"/>
          <w:kern w:val="0"/>
          <w:szCs w:val="21"/>
          <w:highlight w:val="none"/>
        </w:rPr>
        <w:t>本技术规范书适用于中国南方电网公司电网设备采购的机巡数据安全传输装置（机巡数据处理系统）设备，提出了该类装置的功能设计、结构、性能、安装和试验等方面的技术要求。</w:t>
      </w:r>
    </w:p>
    <w:p w14:paraId="77FD6099">
      <w:pPr>
        <w:pStyle w:val="29"/>
        <w:spacing w:line="360" w:lineRule="auto"/>
        <w:rPr>
          <w:rFonts w:ascii="Times New Roman" w:hAnsi="Times New Roman"/>
          <w:kern w:val="0"/>
          <w:szCs w:val="21"/>
          <w:highlight w:val="none"/>
        </w:rPr>
      </w:pPr>
      <w:r>
        <w:rPr>
          <w:rFonts w:ascii="Times New Roman" w:hAnsi="Times New Roman"/>
          <w:kern w:val="0"/>
          <w:szCs w:val="21"/>
          <w:highlight w:val="none"/>
        </w:rPr>
        <w:t>1.2</w:t>
      </w:r>
      <w:r>
        <w:rPr>
          <w:rFonts w:hint="eastAsia" w:ascii="Times New Roman" w:hAnsi="Times New Roman"/>
          <w:kern w:val="0"/>
          <w:szCs w:val="21"/>
          <w:highlight w:val="none"/>
        </w:rPr>
        <w:t>本技术条件提出的是最低限度的技术要求。凡本技术条件中未规定，但在相关设备的国家标准或</w:t>
      </w:r>
      <w:r>
        <w:rPr>
          <w:rFonts w:ascii="Times New Roman" w:hAnsi="Times New Roman"/>
          <w:kern w:val="0"/>
          <w:szCs w:val="21"/>
          <w:highlight w:val="none"/>
        </w:rPr>
        <w:t>IEC</w:t>
      </w:r>
      <w:r>
        <w:rPr>
          <w:rFonts w:hint="eastAsia" w:ascii="Times New Roman" w:hAnsi="Times New Roman"/>
          <w:kern w:val="0"/>
          <w:szCs w:val="21"/>
          <w:highlight w:val="none"/>
        </w:rPr>
        <w:t>标准中有规定的规范条文，投标方应按相应标准的条文进行设备设计、制造、试验和安装。对国家有关安全、环保等强制性标准，必须满足其要求。</w:t>
      </w:r>
    </w:p>
    <w:p w14:paraId="4E6FB821">
      <w:pPr>
        <w:pStyle w:val="29"/>
        <w:spacing w:line="360" w:lineRule="auto"/>
        <w:rPr>
          <w:rFonts w:ascii="Times New Roman" w:hAnsi="Times New Roman"/>
          <w:kern w:val="0"/>
          <w:szCs w:val="21"/>
          <w:highlight w:val="none"/>
        </w:rPr>
      </w:pPr>
      <w:r>
        <w:rPr>
          <w:rFonts w:ascii="Times New Roman" w:hAnsi="Times New Roman"/>
          <w:kern w:val="0"/>
          <w:szCs w:val="21"/>
          <w:highlight w:val="none"/>
        </w:rPr>
        <w:t>1.3</w:t>
      </w:r>
      <w:r>
        <w:rPr>
          <w:rFonts w:hint="eastAsia" w:ascii="Times New Roman" w:hAnsi="Times New Roman"/>
          <w:kern w:val="0"/>
          <w:szCs w:val="21"/>
          <w:highlight w:val="none"/>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highlight w:val="none"/>
        </w:rPr>
        <w:t>“</w:t>
      </w:r>
      <w:r>
        <w:rPr>
          <w:rFonts w:hint="eastAsia" w:ascii="Times New Roman" w:hAnsi="Times New Roman"/>
          <w:kern w:val="0"/>
          <w:szCs w:val="21"/>
          <w:highlight w:val="none"/>
        </w:rPr>
        <w:t>对规范书的意见和同规范书的差异</w:t>
      </w:r>
      <w:r>
        <w:rPr>
          <w:rFonts w:ascii="Times New Roman" w:hAnsi="Times New Roman"/>
          <w:kern w:val="0"/>
          <w:szCs w:val="21"/>
          <w:highlight w:val="none"/>
        </w:rPr>
        <w:t>”</w:t>
      </w:r>
      <w:r>
        <w:rPr>
          <w:rFonts w:hint="eastAsia" w:ascii="Times New Roman" w:hAnsi="Times New Roman"/>
          <w:kern w:val="0"/>
          <w:szCs w:val="21"/>
          <w:highlight w:val="none"/>
        </w:rPr>
        <w:t>为标题的专门章节中加以详细描述。</w:t>
      </w:r>
    </w:p>
    <w:p w14:paraId="2EF7AF38">
      <w:pPr>
        <w:pStyle w:val="29"/>
        <w:spacing w:line="360" w:lineRule="auto"/>
        <w:rPr>
          <w:rFonts w:ascii="Times New Roman" w:hAnsi="Times New Roman"/>
          <w:kern w:val="0"/>
          <w:szCs w:val="21"/>
          <w:highlight w:val="none"/>
        </w:rPr>
      </w:pPr>
      <w:r>
        <w:rPr>
          <w:rFonts w:ascii="Times New Roman" w:hAnsi="Times New Roman"/>
          <w:kern w:val="0"/>
          <w:szCs w:val="21"/>
          <w:highlight w:val="none"/>
        </w:rPr>
        <w:t>1.4</w:t>
      </w:r>
      <w:r>
        <w:rPr>
          <w:rFonts w:hint="eastAsia" w:ascii="Times New Roman" w:hAnsi="Times New Roman"/>
          <w:kern w:val="0"/>
          <w:szCs w:val="21"/>
          <w:highlight w:val="none"/>
        </w:rPr>
        <w:t>本技术规范书所使用的标准如遇与投标方所执行的标准不一致时，按较高标准执行。</w:t>
      </w:r>
    </w:p>
    <w:p w14:paraId="6F09BA07">
      <w:pPr>
        <w:pStyle w:val="29"/>
        <w:spacing w:line="360" w:lineRule="auto"/>
        <w:rPr>
          <w:rFonts w:ascii="Times New Roman" w:hAnsi="Times New Roman"/>
          <w:kern w:val="0"/>
          <w:szCs w:val="21"/>
          <w:highlight w:val="none"/>
        </w:rPr>
      </w:pPr>
      <w:r>
        <w:rPr>
          <w:rFonts w:ascii="Times New Roman" w:hAnsi="Times New Roman"/>
          <w:kern w:val="0"/>
          <w:szCs w:val="21"/>
          <w:highlight w:val="none"/>
        </w:rPr>
        <w:t>1.</w:t>
      </w:r>
      <w:r>
        <w:rPr>
          <w:rFonts w:hint="eastAsia" w:ascii="Times New Roman" w:hAnsi="Times New Roman"/>
          <w:kern w:val="0"/>
          <w:szCs w:val="21"/>
          <w:highlight w:val="none"/>
        </w:rPr>
        <w:t>5本技术规范书经买、卖双方确认后作为订货合同的技术附件，与合同正文具有同等的法律效力。</w:t>
      </w:r>
    </w:p>
    <w:p w14:paraId="633291B5">
      <w:pPr>
        <w:pStyle w:val="29"/>
        <w:spacing w:line="360" w:lineRule="auto"/>
        <w:rPr>
          <w:rFonts w:ascii="Times New Roman" w:hAnsi="Times New Roman"/>
          <w:kern w:val="0"/>
          <w:szCs w:val="21"/>
          <w:highlight w:val="none"/>
        </w:rPr>
      </w:pPr>
      <w:r>
        <w:rPr>
          <w:rFonts w:ascii="Times New Roman" w:hAnsi="Times New Roman"/>
          <w:kern w:val="0"/>
          <w:szCs w:val="21"/>
          <w:highlight w:val="none"/>
        </w:rPr>
        <w:t>1.6</w:t>
      </w:r>
      <w:r>
        <w:rPr>
          <w:rFonts w:hint="eastAsia" w:ascii="Times New Roman" w:hAnsi="Times New Roman"/>
          <w:kern w:val="0"/>
          <w:szCs w:val="21"/>
          <w:highlight w:val="none"/>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260CADA3">
      <w:pPr>
        <w:pStyle w:val="29"/>
        <w:spacing w:line="360" w:lineRule="auto"/>
        <w:rPr>
          <w:rFonts w:ascii="Times New Roman" w:hAnsi="Times New Roman"/>
          <w:kern w:val="0"/>
          <w:szCs w:val="21"/>
          <w:highlight w:val="none"/>
        </w:rPr>
      </w:pPr>
      <w:r>
        <w:rPr>
          <w:rFonts w:hint="eastAsia" w:hAnsi="宋体" w:cs="宋体"/>
          <w:szCs w:val="21"/>
          <w:highlight w:val="none"/>
        </w:rPr>
        <w:t>投标人投标设备的技术参数如与招标书“技术要求”不符，应在 “差异表”（附表）中如实澄清，否则视为废标。</w:t>
      </w:r>
    </w:p>
    <w:p w14:paraId="4F6E1ABC">
      <w:pPr>
        <w:pStyle w:val="29"/>
        <w:spacing w:line="360" w:lineRule="auto"/>
        <w:rPr>
          <w:rFonts w:ascii="Times New Roman" w:hAnsi="Times New Roman"/>
          <w:kern w:val="0"/>
          <w:szCs w:val="21"/>
          <w:highlight w:val="none"/>
        </w:rPr>
      </w:pPr>
      <w:r>
        <w:rPr>
          <w:rFonts w:ascii="Times New Roman" w:hAnsi="Times New Roman"/>
          <w:kern w:val="0"/>
          <w:szCs w:val="21"/>
          <w:highlight w:val="none"/>
        </w:rPr>
        <w:t>1.7</w:t>
      </w:r>
      <w:r>
        <w:rPr>
          <w:rFonts w:hint="eastAsia" w:ascii="Times New Roman" w:hAnsi="Times New Roman"/>
          <w:kern w:val="0"/>
          <w:szCs w:val="21"/>
          <w:highlight w:val="none"/>
        </w:rPr>
        <w:t>投标方应在应标技术部分按本技术条件的要求如实详细的填写应标设备的标准配置表，并在应标商务部分按此标准配置进行报价，如发现二者有矛盾之处，将对评标工作有不同程度的影响。</w:t>
      </w:r>
    </w:p>
    <w:p w14:paraId="4E0473F0">
      <w:pPr>
        <w:pStyle w:val="29"/>
        <w:spacing w:line="360" w:lineRule="auto"/>
        <w:rPr>
          <w:rFonts w:ascii="Times New Roman" w:hAnsi="Times New Roman"/>
          <w:kern w:val="0"/>
          <w:szCs w:val="21"/>
          <w:highlight w:val="none"/>
        </w:rPr>
      </w:pPr>
      <w:r>
        <w:rPr>
          <w:rFonts w:ascii="Times New Roman" w:hAnsi="Times New Roman"/>
          <w:kern w:val="0"/>
          <w:szCs w:val="21"/>
          <w:highlight w:val="none"/>
        </w:rPr>
        <w:t>1.8</w:t>
      </w:r>
      <w:r>
        <w:rPr>
          <w:rFonts w:hint="eastAsia" w:ascii="Times New Roman" w:hAnsi="Times New Roman"/>
          <w:kern w:val="0"/>
          <w:szCs w:val="21"/>
          <w:highlight w:val="none"/>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1BE0AFA2">
      <w:pPr>
        <w:pStyle w:val="29"/>
        <w:spacing w:line="360" w:lineRule="auto"/>
        <w:rPr>
          <w:rFonts w:ascii="Times New Roman" w:hAnsi="Times New Roman"/>
          <w:kern w:val="0"/>
          <w:szCs w:val="21"/>
          <w:highlight w:val="none"/>
        </w:rPr>
      </w:pPr>
      <w:r>
        <w:rPr>
          <w:rFonts w:hint="eastAsia" w:hAnsi="宋体" w:cs="宋体"/>
          <w:szCs w:val="21"/>
          <w:highlight w:val="none"/>
        </w:rPr>
        <w:t>投标人应按照本技术条件书中的要求提供相应文件及响应，如文件不全或不响应，应视为废标。</w:t>
      </w:r>
    </w:p>
    <w:p w14:paraId="15BE8D7B">
      <w:pPr>
        <w:pStyle w:val="29"/>
        <w:spacing w:line="360" w:lineRule="auto"/>
        <w:rPr>
          <w:rFonts w:ascii="Times New Roman" w:hAnsi="Times New Roman"/>
          <w:kern w:val="0"/>
          <w:szCs w:val="21"/>
          <w:highlight w:val="none"/>
        </w:rPr>
      </w:pPr>
      <w:r>
        <w:rPr>
          <w:rFonts w:ascii="Times New Roman" w:hAnsi="Times New Roman"/>
          <w:kern w:val="0"/>
          <w:szCs w:val="21"/>
          <w:highlight w:val="none"/>
        </w:rPr>
        <w:t>1.9</w:t>
      </w:r>
      <w:r>
        <w:rPr>
          <w:rFonts w:hint="eastAsia" w:ascii="Times New Roman" w:hAnsi="Times New Roman"/>
          <w:kern w:val="0"/>
          <w:szCs w:val="21"/>
          <w:highlight w:val="none"/>
        </w:rPr>
        <w:t>本技术规范书未尽事宜，由买、卖双方协商确定。</w:t>
      </w:r>
    </w:p>
    <w:p w14:paraId="4A4660EE">
      <w:pPr>
        <w:pStyle w:val="29"/>
        <w:spacing w:line="360" w:lineRule="auto"/>
        <w:rPr>
          <w:rFonts w:ascii="Times New Roman" w:hAnsi="Times New Roman"/>
          <w:kern w:val="0"/>
          <w:szCs w:val="21"/>
          <w:highlight w:val="none"/>
        </w:rPr>
      </w:pPr>
      <w:r>
        <w:rPr>
          <w:rFonts w:ascii="Times New Roman" w:hAnsi="Times New Roman"/>
          <w:kern w:val="0"/>
          <w:szCs w:val="21"/>
          <w:highlight w:val="none"/>
        </w:rPr>
        <w:t>1.10</w:t>
      </w:r>
      <w:r>
        <w:rPr>
          <w:rFonts w:hint="eastAsia" w:ascii="Times New Roman" w:hAnsi="Times New Roman"/>
          <w:kern w:val="0"/>
          <w:szCs w:val="21"/>
          <w:highlight w:val="none"/>
        </w:rPr>
        <w:t>投标方应提供不少于1年的产品质量保证期。</w:t>
      </w:r>
    </w:p>
    <w:p w14:paraId="09015B9D">
      <w:pPr>
        <w:spacing w:line="360" w:lineRule="auto"/>
        <w:rPr>
          <w:rFonts w:hint="eastAsia" w:ascii="宋体" w:hAnsi="宋体" w:cs="宋体"/>
          <w:szCs w:val="21"/>
          <w:highlight w:val="none"/>
        </w:rPr>
      </w:pPr>
      <w:r>
        <w:rPr>
          <w:rFonts w:hint="eastAsia"/>
          <w:kern w:val="0"/>
          <w:szCs w:val="21"/>
          <w:highlight w:val="none"/>
        </w:rPr>
        <w:t>1.11</w:t>
      </w:r>
      <w:r>
        <w:rPr>
          <w:rFonts w:hint="eastAsia" w:ascii="宋体" w:hAnsi="宋体" w:cs="宋体"/>
          <w:szCs w:val="21"/>
          <w:highlight w:val="none"/>
        </w:rPr>
        <w:t>投标人负责提供投标设备的现场测试、调试工作，如向第三方外购设备或配件时，投标人应对质量负责。</w:t>
      </w:r>
    </w:p>
    <w:p w14:paraId="14243EA6">
      <w:pPr>
        <w:spacing w:line="360" w:lineRule="auto"/>
        <w:rPr>
          <w:rFonts w:hint="eastAsia" w:ascii="宋体" w:hAnsi="宋体" w:cs="宋体"/>
          <w:szCs w:val="21"/>
          <w:highlight w:val="none"/>
        </w:rPr>
      </w:pPr>
      <w:r>
        <w:rPr>
          <w:rFonts w:hint="eastAsia"/>
          <w:kern w:val="0"/>
          <w:szCs w:val="21"/>
          <w:highlight w:val="none"/>
        </w:rPr>
        <w:t>1.12</w:t>
      </w:r>
      <w:r>
        <w:rPr>
          <w:rFonts w:hint="eastAsia" w:ascii="宋体" w:hAnsi="宋体" w:cs="宋体"/>
          <w:szCs w:val="21"/>
          <w:highlight w:val="none"/>
        </w:rPr>
        <w:t>投标人应负责为上述设备提供设备参数、培训、技术服务、质量保证等各方面工作。并提供不低于所供产品技术要求的证书及试验报告。</w:t>
      </w:r>
    </w:p>
    <w:p w14:paraId="4D842B03">
      <w:pPr>
        <w:spacing w:line="360" w:lineRule="auto"/>
        <w:rPr>
          <w:rFonts w:hint="eastAsia" w:ascii="宋体" w:hAnsi="宋体" w:cs="宋体"/>
          <w:szCs w:val="21"/>
          <w:highlight w:val="none"/>
        </w:rPr>
      </w:pPr>
      <w:r>
        <w:rPr>
          <w:rFonts w:hint="eastAsia"/>
          <w:kern w:val="0"/>
          <w:szCs w:val="21"/>
          <w:highlight w:val="none"/>
        </w:rPr>
        <w:t>1.13</w:t>
      </w:r>
      <w:r>
        <w:rPr>
          <w:rFonts w:hint="eastAsia" w:ascii="宋体" w:hAnsi="宋体" w:cs="宋体"/>
          <w:szCs w:val="21"/>
          <w:highlight w:val="none"/>
        </w:rPr>
        <w:t>投标人投标设备应在工厂内通过完善、严格的测试检验。</w:t>
      </w:r>
    </w:p>
    <w:p w14:paraId="62730195">
      <w:pPr>
        <w:spacing w:line="360" w:lineRule="auto"/>
        <w:rPr>
          <w:rFonts w:hint="eastAsia" w:ascii="宋体" w:hAnsi="宋体" w:cs="宋体"/>
          <w:szCs w:val="21"/>
          <w:highlight w:val="none"/>
        </w:rPr>
      </w:pPr>
      <w:r>
        <w:rPr>
          <w:rFonts w:hint="eastAsia"/>
          <w:kern w:val="0"/>
          <w:szCs w:val="21"/>
          <w:highlight w:val="none"/>
        </w:rPr>
        <w:t>1.14</w:t>
      </w:r>
      <w:r>
        <w:rPr>
          <w:rFonts w:hint="eastAsia" w:ascii="宋体" w:hAnsi="宋体" w:cs="宋体"/>
          <w:szCs w:val="21"/>
          <w:highlight w:val="none"/>
        </w:rPr>
        <w:t>所有资料、文件、图纸要求以中文书写（原厂商的资料如果有英文资料则需要将其附带），所有计算、说明、图纸、文件、手册等采用国际单位制。</w:t>
      </w:r>
    </w:p>
    <w:p w14:paraId="711095C1">
      <w:pPr>
        <w:pStyle w:val="29"/>
        <w:spacing w:line="360" w:lineRule="auto"/>
        <w:rPr>
          <w:rFonts w:ascii="Times New Roman" w:hAnsi="Times New Roman"/>
          <w:kern w:val="0"/>
          <w:szCs w:val="21"/>
          <w:highlight w:val="none"/>
        </w:rPr>
      </w:pPr>
      <w:r>
        <w:rPr>
          <w:rFonts w:hint="eastAsia" w:ascii="Times New Roman" w:hAnsi="Times New Roman"/>
          <w:kern w:val="0"/>
          <w:szCs w:val="21"/>
          <w:highlight w:val="none"/>
        </w:rPr>
        <w:t>1.15</w:t>
      </w:r>
      <w:r>
        <w:rPr>
          <w:rFonts w:hint="eastAsia" w:hAnsi="宋体" w:cs="宋体"/>
          <w:szCs w:val="21"/>
          <w:highlight w:val="none"/>
        </w:rPr>
        <w:t>本技术规范书的解释权属于南方电网通用航空服务有限公司。技术规范书未经南方电网通用航空服务有限公司同意，任何个人和单位不得做出任何修改。</w:t>
      </w:r>
    </w:p>
    <w:p w14:paraId="244E0B25">
      <w:pPr>
        <w:spacing w:line="480" w:lineRule="auto"/>
        <w:outlineLvl w:val="0"/>
        <w:rPr>
          <w:rFonts w:eastAsia="黑体"/>
          <w:b/>
          <w:bCs/>
          <w:szCs w:val="21"/>
          <w:highlight w:val="none"/>
        </w:rPr>
      </w:pPr>
      <w:bookmarkStart w:id="16" w:name="_Toc222993390"/>
      <w:bookmarkStart w:id="17" w:name="_Toc23296"/>
      <w:bookmarkStart w:id="18" w:name="_Toc12931"/>
      <w:bookmarkStart w:id="19" w:name="_Toc226121098"/>
      <w:bookmarkStart w:id="20" w:name="_Toc4714"/>
      <w:bookmarkStart w:id="21" w:name="_Toc13444"/>
      <w:bookmarkStart w:id="22" w:name="_Toc11571"/>
      <w:bookmarkStart w:id="23" w:name="_Toc76025479"/>
      <w:bookmarkStart w:id="24" w:name="_Toc7075"/>
      <w:r>
        <w:rPr>
          <w:rFonts w:eastAsia="黑体"/>
          <w:b/>
          <w:bCs/>
          <w:szCs w:val="21"/>
          <w:highlight w:val="none"/>
        </w:rPr>
        <w:t>2 工作范围</w:t>
      </w:r>
      <w:bookmarkEnd w:id="16"/>
      <w:bookmarkEnd w:id="17"/>
      <w:bookmarkEnd w:id="18"/>
      <w:bookmarkEnd w:id="19"/>
      <w:bookmarkEnd w:id="20"/>
      <w:bookmarkEnd w:id="21"/>
      <w:bookmarkEnd w:id="22"/>
      <w:bookmarkEnd w:id="23"/>
      <w:bookmarkEnd w:id="24"/>
    </w:p>
    <w:p w14:paraId="610E51FF">
      <w:pPr>
        <w:pStyle w:val="3"/>
        <w:spacing w:before="0" w:after="0" w:line="360" w:lineRule="auto"/>
        <w:rPr>
          <w:rFonts w:ascii="Times New Roman" w:hAnsi="Times New Roman" w:eastAsia="黑体"/>
          <w:b w:val="0"/>
          <w:bCs/>
          <w:szCs w:val="21"/>
          <w:highlight w:val="none"/>
        </w:rPr>
      </w:pPr>
      <w:bookmarkStart w:id="25" w:name="_Toc11781"/>
      <w:bookmarkStart w:id="26" w:name="_Toc11152"/>
      <w:bookmarkStart w:id="27" w:name="_Toc1099"/>
      <w:bookmarkStart w:id="28" w:name="_Toc76025480"/>
      <w:bookmarkStart w:id="29" w:name="_Toc10498"/>
      <w:bookmarkStart w:id="30" w:name="_Toc226121099"/>
      <w:bookmarkStart w:id="31" w:name="_Toc222993391"/>
      <w:bookmarkStart w:id="32" w:name="_Toc28530"/>
      <w:bookmarkStart w:id="33" w:name="_Toc18516"/>
      <w:r>
        <w:rPr>
          <w:rFonts w:ascii="Times New Roman" w:hAnsi="Times New Roman" w:eastAsia="黑体"/>
          <w:b w:val="0"/>
          <w:bCs/>
          <w:szCs w:val="21"/>
          <w:highlight w:val="none"/>
        </w:rPr>
        <w:t xml:space="preserve">2.1 </w:t>
      </w:r>
      <w:r>
        <w:rPr>
          <w:rFonts w:hint="eastAsia" w:ascii="Times New Roman" w:hAnsi="Times New Roman" w:eastAsia="黑体"/>
          <w:b w:val="0"/>
          <w:bCs/>
          <w:szCs w:val="21"/>
          <w:highlight w:val="none"/>
        </w:rPr>
        <w:t>供货范围</w:t>
      </w:r>
      <w:bookmarkEnd w:id="25"/>
      <w:bookmarkEnd w:id="26"/>
      <w:bookmarkEnd w:id="27"/>
      <w:bookmarkEnd w:id="28"/>
      <w:bookmarkEnd w:id="29"/>
      <w:bookmarkEnd w:id="30"/>
      <w:bookmarkEnd w:id="31"/>
      <w:bookmarkEnd w:id="32"/>
      <w:bookmarkEnd w:id="33"/>
    </w:p>
    <w:p w14:paraId="7D6C8F61">
      <w:pPr>
        <w:spacing w:line="360" w:lineRule="auto"/>
        <w:ind w:left="210" w:firstLine="210"/>
        <w:rPr>
          <w:szCs w:val="21"/>
          <w:highlight w:val="none"/>
        </w:rPr>
      </w:pPr>
      <w:r>
        <w:rPr>
          <w:szCs w:val="21"/>
          <w:highlight w:val="none"/>
        </w:rPr>
        <w:t>合同供货范围为</w:t>
      </w:r>
      <w:r>
        <w:rPr>
          <w:rFonts w:hint="eastAsia"/>
          <w:szCs w:val="21"/>
          <w:highlight w:val="none"/>
        </w:rPr>
        <w:t>机巡数据安全传输装置（机巡数据处理系统）</w:t>
      </w:r>
      <w:r>
        <w:rPr>
          <w:szCs w:val="21"/>
          <w:highlight w:val="none"/>
        </w:rPr>
        <w:t>，详见专用部分附表2.</w:t>
      </w:r>
      <w:r>
        <w:rPr>
          <w:rFonts w:hint="eastAsia"/>
          <w:szCs w:val="21"/>
          <w:highlight w:val="none"/>
        </w:rPr>
        <w:t>1</w:t>
      </w:r>
      <w:r>
        <w:rPr>
          <w:szCs w:val="21"/>
          <w:highlight w:val="none"/>
        </w:rPr>
        <w:t>。</w:t>
      </w:r>
    </w:p>
    <w:p w14:paraId="48C58415">
      <w:pPr>
        <w:pStyle w:val="3"/>
        <w:spacing w:before="0" w:after="0" w:line="360" w:lineRule="auto"/>
        <w:rPr>
          <w:rFonts w:ascii="Times New Roman" w:hAnsi="Times New Roman" w:eastAsia="黑体"/>
          <w:b w:val="0"/>
          <w:bCs/>
          <w:szCs w:val="21"/>
          <w:highlight w:val="none"/>
        </w:rPr>
      </w:pPr>
      <w:bookmarkStart w:id="34" w:name="_Toc23836"/>
      <w:bookmarkStart w:id="35" w:name="_Toc222993392"/>
      <w:bookmarkStart w:id="36" w:name="_Toc226121100"/>
      <w:bookmarkStart w:id="37" w:name="_Toc16271"/>
      <w:bookmarkStart w:id="38" w:name="_Toc5356"/>
      <w:bookmarkStart w:id="39" w:name="_Toc26638"/>
      <w:bookmarkStart w:id="40" w:name="_Toc76025481"/>
      <w:bookmarkStart w:id="41" w:name="_Toc28237"/>
      <w:bookmarkStart w:id="42" w:name="_Toc6346"/>
      <w:r>
        <w:rPr>
          <w:rFonts w:ascii="Times New Roman" w:hAnsi="Times New Roman" w:eastAsia="黑体"/>
          <w:b w:val="0"/>
          <w:bCs/>
          <w:szCs w:val="21"/>
          <w:highlight w:val="none"/>
        </w:rPr>
        <w:t xml:space="preserve">2.2 </w:t>
      </w:r>
      <w:r>
        <w:rPr>
          <w:rFonts w:hint="eastAsia" w:ascii="Times New Roman" w:hAnsi="Times New Roman" w:eastAsia="黑体"/>
          <w:b w:val="0"/>
          <w:bCs/>
          <w:szCs w:val="21"/>
          <w:highlight w:val="none"/>
        </w:rPr>
        <w:t>服务界限</w:t>
      </w:r>
      <w:bookmarkEnd w:id="34"/>
      <w:bookmarkEnd w:id="35"/>
      <w:bookmarkEnd w:id="36"/>
      <w:bookmarkEnd w:id="37"/>
      <w:bookmarkEnd w:id="38"/>
      <w:bookmarkEnd w:id="39"/>
      <w:bookmarkEnd w:id="40"/>
      <w:bookmarkEnd w:id="41"/>
      <w:bookmarkEnd w:id="42"/>
    </w:p>
    <w:p w14:paraId="5C68FF9B">
      <w:pPr>
        <w:adjustRightInd w:val="0"/>
        <w:snapToGrid w:val="0"/>
        <w:spacing w:line="360" w:lineRule="auto"/>
        <w:ind w:firstLine="424" w:firstLineChars="202"/>
        <w:rPr>
          <w:rFonts w:eastAsia="方正书宋简体"/>
          <w:szCs w:val="21"/>
          <w:highlight w:val="none"/>
        </w:rPr>
      </w:pPr>
      <w:r>
        <w:rPr>
          <w:rFonts w:eastAsia="方正书宋简体"/>
          <w:szCs w:val="21"/>
          <w:highlight w:val="none"/>
        </w:rPr>
        <w:t>1</w:t>
      </w:r>
      <w:r>
        <w:rPr>
          <w:rFonts w:hint="eastAsia"/>
          <w:szCs w:val="21"/>
          <w:highlight w:val="none"/>
        </w:rPr>
        <w:t>）</w:t>
      </w:r>
      <w:r>
        <w:rPr>
          <w:rFonts w:eastAsia="方正书宋简体"/>
          <w:szCs w:val="21"/>
          <w:highlight w:val="none"/>
        </w:rPr>
        <w:t>本技术规范书适用于</w:t>
      </w:r>
      <w:r>
        <w:rPr>
          <w:rFonts w:hint="eastAsia" w:eastAsia="方正书宋简体"/>
          <w:szCs w:val="21"/>
          <w:highlight w:val="none"/>
        </w:rPr>
        <w:t>机巡数据安全传输装置（机巡数据处理系统）</w:t>
      </w:r>
      <w:r>
        <w:rPr>
          <w:rFonts w:hint="eastAsia"/>
          <w:kern w:val="0"/>
          <w:szCs w:val="21"/>
          <w:highlight w:val="none"/>
        </w:rPr>
        <w:t>设备</w:t>
      </w:r>
      <w:r>
        <w:rPr>
          <w:szCs w:val="21"/>
          <w:highlight w:val="none"/>
        </w:rPr>
        <w:t>的设计</w:t>
      </w:r>
      <w:r>
        <w:rPr>
          <w:rFonts w:hint="eastAsia"/>
          <w:szCs w:val="21"/>
          <w:highlight w:val="none"/>
        </w:rPr>
        <w:t>、</w:t>
      </w:r>
      <w:r>
        <w:rPr>
          <w:szCs w:val="21"/>
          <w:highlight w:val="none"/>
        </w:rPr>
        <w:t>制造</w:t>
      </w:r>
      <w:r>
        <w:rPr>
          <w:rFonts w:hint="eastAsia"/>
          <w:szCs w:val="21"/>
          <w:highlight w:val="none"/>
        </w:rPr>
        <w:t>、</w:t>
      </w:r>
      <w:r>
        <w:rPr>
          <w:szCs w:val="21"/>
          <w:highlight w:val="none"/>
        </w:rPr>
        <w:t>装配</w:t>
      </w:r>
      <w:r>
        <w:rPr>
          <w:rFonts w:hint="eastAsia"/>
          <w:szCs w:val="21"/>
          <w:highlight w:val="none"/>
        </w:rPr>
        <w:t>、</w:t>
      </w:r>
      <w:r>
        <w:rPr>
          <w:szCs w:val="21"/>
          <w:highlight w:val="none"/>
        </w:rPr>
        <w:t>工厂试验</w:t>
      </w:r>
      <w:r>
        <w:rPr>
          <w:rFonts w:hint="eastAsia"/>
          <w:szCs w:val="21"/>
          <w:highlight w:val="none"/>
        </w:rPr>
        <w:t>、</w:t>
      </w:r>
      <w:r>
        <w:rPr>
          <w:szCs w:val="21"/>
          <w:highlight w:val="none"/>
        </w:rPr>
        <w:t>交付</w:t>
      </w:r>
      <w:r>
        <w:rPr>
          <w:rFonts w:hint="eastAsia"/>
          <w:szCs w:val="21"/>
          <w:highlight w:val="none"/>
        </w:rPr>
        <w:t>、</w:t>
      </w:r>
      <w:r>
        <w:rPr>
          <w:szCs w:val="21"/>
          <w:highlight w:val="none"/>
        </w:rPr>
        <w:t>现场安装和试验的指导、监督以及试运行工作</w:t>
      </w:r>
      <w:r>
        <w:rPr>
          <w:rFonts w:eastAsia="方正书宋简体"/>
          <w:szCs w:val="21"/>
          <w:highlight w:val="none"/>
        </w:rPr>
        <w:t>。</w:t>
      </w:r>
    </w:p>
    <w:p w14:paraId="4322BF51">
      <w:pPr>
        <w:adjustRightInd w:val="0"/>
        <w:snapToGrid w:val="0"/>
        <w:spacing w:line="360" w:lineRule="auto"/>
        <w:ind w:firstLine="424" w:firstLineChars="202"/>
        <w:rPr>
          <w:rFonts w:eastAsia="方正书宋简体"/>
          <w:szCs w:val="21"/>
          <w:highlight w:val="none"/>
        </w:rPr>
      </w:pPr>
      <w:r>
        <w:rPr>
          <w:rFonts w:eastAsia="方正书宋简体"/>
          <w:szCs w:val="21"/>
          <w:highlight w:val="none"/>
        </w:rPr>
        <w:t>2）本技术规范书未说明，但又与设计、制造、装配、试验、运输、包装、保管、安装和运行维护有关的技术要求，按条款3所规定的有关标准执行。</w:t>
      </w:r>
    </w:p>
    <w:p w14:paraId="27125062">
      <w:pPr>
        <w:pStyle w:val="3"/>
        <w:spacing w:before="0" w:after="0" w:line="360" w:lineRule="auto"/>
        <w:rPr>
          <w:rFonts w:ascii="Times New Roman" w:hAnsi="Times New Roman" w:eastAsia="黑体"/>
          <w:b w:val="0"/>
          <w:bCs/>
          <w:szCs w:val="21"/>
          <w:highlight w:val="none"/>
        </w:rPr>
      </w:pPr>
      <w:bookmarkStart w:id="43" w:name="_Toc16254"/>
      <w:bookmarkStart w:id="44" w:name="_Toc3309"/>
      <w:bookmarkStart w:id="45" w:name="_Toc222993393"/>
      <w:bookmarkStart w:id="46" w:name="_Toc226121101"/>
      <w:bookmarkStart w:id="47" w:name="_Toc19342"/>
      <w:bookmarkStart w:id="48" w:name="_Toc27859"/>
      <w:bookmarkStart w:id="49" w:name="_Toc7975"/>
      <w:bookmarkStart w:id="50" w:name="_Toc26890"/>
      <w:bookmarkStart w:id="51" w:name="_Toc76025482"/>
      <w:r>
        <w:rPr>
          <w:rFonts w:ascii="Times New Roman" w:hAnsi="Times New Roman" w:eastAsia="黑体"/>
          <w:b w:val="0"/>
          <w:bCs/>
          <w:szCs w:val="21"/>
          <w:highlight w:val="none"/>
        </w:rPr>
        <w:t xml:space="preserve">2.3 </w:t>
      </w:r>
      <w:r>
        <w:rPr>
          <w:rFonts w:hint="eastAsia" w:ascii="Times New Roman" w:hAnsi="Times New Roman" w:eastAsia="黑体"/>
          <w:b w:val="0"/>
          <w:bCs/>
          <w:szCs w:val="21"/>
          <w:highlight w:val="none"/>
        </w:rPr>
        <w:t>技术文件</w:t>
      </w:r>
      <w:bookmarkEnd w:id="43"/>
      <w:bookmarkEnd w:id="44"/>
      <w:bookmarkEnd w:id="45"/>
      <w:bookmarkEnd w:id="46"/>
      <w:bookmarkEnd w:id="47"/>
      <w:bookmarkEnd w:id="48"/>
      <w:bookmarkEnd w:id="49"/>
      <w:bookmarkEnd w:id="50"/>
      <w:bookmarkEnd w:id="51"/>
    </w:p>
    <w:p w14:paraId="04A27DCC">
      <w:pPr>
        <w:pStyle w:val="451"/>
        <w:adjustRightInd w:val="0"/>
        <w:snapToGrid w:val="0"/>
        <w:spacing w:line="360" w:lineRule="auto"/>
        <w:ind w:firstLine="424" w:firstLineChars="202"/>
        <w:rPr>
          <w:rFonts w:cs="Times New Roman"/>
          <w:szCs w:val="21"/>
          <w:highlight w:val="none"/>
        </w:rPr>
      </w:pPr>
      <w:bookmarkStart w:id="52" w:name="_Toc81989605"/>
      <w:bookmarkStart w:id="53" w:name="_Toc82140158"/>
      <w:r>
        <w:rPr>
          <w:rFonts w:cs="Times New Roman"/>
          <w:szCs w:val="21"/>
          <w:highlight w:val="none"/>
        </w:rPr>
        <w:t>1</w:t>
      </w:r>
      <w:r>
        <w:rPr>
          <w:rFonts w:hint="eastAsia" w:cs="Times New Roman"/>
          <w:szCs w:val="21"/>
          <w:highlight w:val="none"/>
        </w:rPr>
        <w:t>）</w:t>
      </w:r>
      <w:r>
        <w:rPr>
          <w:rFonts w:cs="Times New Roman"/>
          <w:szCs w:val="21"/>
          <w:highlight w:val="none"/>
        </w:rPr>
        <w:t>投标方应按本技术规范书的要求提供全新的、合格的</w:t>
      </w:r>
      <w:r>
        <w:rPr>
          <w:rFonts w:hint="eastAsia" w:cs="Times New Roman"/>
          <w:szCs w:val="21"/>
          <w:highlight w:val="none"/>
        </w:rPr>
        <w:t>机巡数据安全传输装置（机巡数据处理系统）</w:t>
      </w:r>
      <w:r>
        <w:rPr>
          <w:rFonts w:eastAsia="宋体" w:cs="Times New Roman"/>
          <w:szCs w:val="21"/>
          <w:highlight w:val="none"/>
        </w:rPr>
        <w:t>及其附属设备、备品备件、专用工具和仪器。</w:t>
      </w:r>
    </w:p>
    <w:p w14:paraId="68C0A571">
      <w:pPr>
        <w:pStyle w:val="451"/>
        <w:adjustRightInd w:val="0"/>
        <w:snapToGrid w:val="0"/>
        <w:spacing w:line="360" w:lineRule="auto"/>
        <w:ind w:firstLine="424" w:firstLineChars="202"/>
        <w:rPr>
          <w:rFonts w:cs="Times New Roman"/>
          <w:szCs w:val="21"/>
          <w:highlight w:val="none"/>
        </w:rPr>
      </w:pPr>
      <w:r>
        <w:rPr>
          <w:rFonts w:cs="Times New Roman"/>
          <w:szCs w:val="21"/>
          <w:highlight w:val="none"/>
        </w:rPr>
        <w:t>2</w:t>
      </w:r>
      <w:r>
        <w:rPr>
          <w:rFonts w:hint="eastAsia" w:cs="Times New Roman"/>
          <w:szCs w:val="21"/>
          <w:highlight w:val="none"/>
        </w:rPr>
        <w:t>）</w:t>
      </w:r>
      <w:r>
        <w:rPr>
          <w:rFonts w:cs="Times New Roman"/>
          <w:szCs w:val="21"/>
          <w:highlight w:val="none"/>
        </w:rPr>
        <w:t>投标方所提供的组件或附件如需向第三方外购时，投标方应对质量向招标方负责，并提供相应出厂和验收证明。</w:t>
      </w:r>
    </w:p>
    <w:p w14:paraId="4197D1F1">
      <w:pPr>
        <w:pStyle w:val="451"/>
        <w:adjustRightInd w:val="0"/>
        <w:snapToGrid w:val="0"/>
        <w:spacing w:line="360" w:lineRule="auto"/>
        <w:ind w:firstLine="424" w:firstLineChars="202"/>
        <w:rPr>
          <w:rFonts w:cs="Times New Roman"/>
          <w:szCs w:val="21"/>
          <w:highlight w:val="none"/>
        </w:rPr>
      </w:pPr>
      <w:r>
        <w:rPr>
          <w:rFonts w:cs="Times New Roman"/>
          <w:szCs w:val="21"/>
          <w:highlight w:val="none"/>
        </w:rPr>
        <w:t>3</w:t>
      </w:r>
      <w:r>
        <w:rPr>
          <w:rFonts w:hint="eastAsia" w:cs="Times New Roman"/>
          <w:szCs w:val="21"/>
          <w:highlight w:val="none"/>
        </w:rPr>
        <w:t>）</w:t>
      </w:r>
      <w:r>
        <w:rPr>
          <w:rFonts w:cs="Times New Roman"/>
          <w:szCs w:val="21"/>
          <w:highlight w:val="none"/>
        </w:rPr>
        <w:t>工厂试验由投标方在生产厂家内完成, 但应有招标方代表参加, 参加工厂验收的人数及天数等根据招标方需要由招投标双方协商进行确定。</w:t>
      </w:r>
    </w:p>
    <w:p w14:paraId="785DE7FC">
      <w:pPr>
        <w:pStyle w:val="451"/>
        <w:adjustRightInd w:val="0"/>
        <w:snapToGrid w:val="0"/>
        <w:spacing w:line="360" w:lineRule="auto"/>
        <w:ind w:firstLine="424" w:firstLineChars="202"/>
        <w:rPr>
          <w:rFonts w:cs="Times New Roman"/>
          <w:szCs w:val="21"/>
          <w:highlight w:val="none"/>
        </w:rPr>
      </w:pPr>
      <w:r>
        <w:rPr>
          <w:rFonts w:cs="Times New Roman"/>
          <w:szCs w:val="21"/>
          <w:highlight w:val="none"/>
        </w:rPr>
        <w:t>4</w:t>
      </w:r>
      <w:r>
        <w:rPr>
          <w:rFonts w:hint="eastAsia" w:cs="Times New Roman"/>
          <w:szCs w:val="21"/>
          <w:highlight w:val="none"/>
        </w:rPr>
        <w:t>）</w:t>
      </w:r>
      <w:r>
        <w:rPr>
          <w:rFonts w:hint="eastAsia"/>
          <w:szCs w:val="21"/>
          <w:highlight w:val="none"/>
        </w:rPr>
        <w:t>装置从生产厂家到安装位置的运输全部由投标方完成，现场调试和安装在招标方指导下由投标方完成</w:t>
      </w:r>
      <w:r>
        <w:rPr>
          <w:highlight w:val="none"/>
        </w:rPr>
        <w:t>。</w:t>
      </w:r>
      <w:r>
        <w:rPr>
          <w:rFonts w:cs="Times New Roman"/>
          <w:szCs w:val="21"/>
          <w:highlight w:val="none"/>
        </w:rPr>
        <w:t>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45999BCB">
      <w:pPr>
        <w:pStyle w:val="451"/>
        <w:adjustRightInd w:val="0"/>
        <w:snapToGrid w:val="0"/>
        <w:spacing w:line="360" w:lineRule="auto"/>
        <w:ind w:firstLine="424" w:firstLineChars="202"/>
        <w:rPr>
          <w:rFonts w:cs="Times New Roman"/>
          <w:szCs w:val="21"/>
          <w:highlight w:val="none"/>
        </w:rPr>
      </w:pPr>
      <w:r>
        <w:rPr>
          <w:rFonts w:cs="Times New Roman"/>
          <w:szCs w:val="21"/>
          <w:highlight w:val="none"/>
        </w:rPr>
        <w:t>5</w:t>
      </w:r>
      <w:r>
        <w:rPr>
          <w:rFonts w:hint="eastAsia" w:cs="Times New Roman"/>
          <w:szCs w:val="21"/>
          <w:highlight w:val="none"/>
        </w:rPr>
        <w:t>）</w:t>
      </w:r>
      <w:r>
        <w:rPr>
          <w:rFonts w:cs="Times New Roman"/>
          <w:szCs w:val="21"/>
          <w:highlight w:val="none"/>
        </w:rPr>
        <w:t>投标方应协助招标方解决设备运行中出现的问题。并及时排除故障恢复运行。投标方应免费提供远程技术服务，远程技术服务项目期限不受限于保修期，远程技术服务在设备报废前有效。</w:t>
      </w:r>
    </w:p>
    <w:p w14:paraId="30FA8E4B">
      <w:pPr>
        <w:pStyle w:val="3"/>
        <w:rPr>
          <w:highlight w:val="none"/>
        </w:rPr>
      </w:pPr>
      <w:bookmarkStart w:id="54" w:name="_Toc30637"/>
      <w:bookmarkStart w:id="55" w:name="_Toc22970"/>
      <w:bookmarkStart w:id="56" w:name="_Toc27098"/>
      <w:bookmarkStart w:id="57" w:name="_Toc226121102"/>
      <w:bookmarkStart w:id="58" w:name="_Toc6217"/>
      <w:bookmarkStart w:id="59" w:name="_Toc222993394"/>
      <w:bookmarkStart w:id="60" w:name="_Toc31400"/>
      <w:bookmarkStart w:id="61" w:name="_Toc14586"/>
      <w:r>
        <w:rPr>
          <w:rFonts w:hint="eastAsia"/>
          <w:highlight w:val="none"/>
        </w:rPr>
        <w:t>技术文件的组成</w:t>
      </w:r>
      <w:bookmarkEnd w:id="54"/>
      <w:bookmarkEnd w:id="55"/>
      <w:bookmarkEnd w:id="56"/>
      <w:bookmarkEnd w:id="57"/>
      <w:bookmarkEnd w:id="58"/>
      <w:bookmarkEnd w:id="59"/>
      <w:bookmarkEnd w:id="60"/>
      <w:bookmarkEnd w:id="61"/>
    </w:p>
    <w:p w14:paraId="17319B08">
      <w:pPr>
        <w:numPr>
          <w:ilvl w:val="255"/>
          <w:numId w:val="0"/>
        </w:numPr>
        <w:suppressAutoHyphens/>
        <w:spacing w:line="360" w:lineRule="auto"/>
        <w:rPr>
          <w:rFonts w:hint="eastAsia" w:ascii="宋体" w:hAnsi="宋体" w:cs="宋体"/>
          <w:szCs w:val="21"/>
          <w:highlight w:val="none"/>
        </w:rPr>
      </w:pPr>
      <w:r>
        <w:rPr>
          <w:rFonts w:hint="eastAsia" w:ascii="宋体" w:hAnsi="宋体" w:cs="宋体"/>
          <w:szCs w:val="21"/>
          <w:highlight w:val="none"/>
        </w:rPr>
        <w:t>1.投标设备的详细供货清单；</w:t>
      </w:r>
    </w:p>
    <w:p w14:paraId="651535D4">
      <w:pPr>
        <w:numPr>
          <w:ilvl w:val="255"/>
          <w:numId w:val="0"/>
        </w:numPr>
        <w:suppressAutoHyphens/>
        <w:spacing w:line="360" w:lineRule="auto"/>
        <w:rPr>
          <w:rFonts w:hint="eastAsia" w:ascii="宋体" w:hAnsi="宋体" w:cs="宋体"/>
          <w:szCs w:val="21"/>
          <w:highlight w:val="none"/>
        </w:rPr>
      </w:pPr>
      <w:r>
        <w:rPr>
          <w:rFonts w:hint="eastAsia" w:ascii="宋体" w:hAnsi="宋体" w:cs="宋体"/>
          <w:szCs w:val="21"/>
          <w:highlight w:val="none"/>
        </w:rPr>
        <w:t>2.技术应答书，应逐条“点对点”回应本标书的技术规范；</w:t>
      </w:r>
    </w:p>
    <w:p w14:paraId="79BF017F">
      <w:pPr>
        <w:numPr>
          <w:ilvl w:val="255"/>
          <w:numId w:val="0"/>
        </w:numPr>
        <w:suppressAutoHyphens/>
        <w:spacing w:line="360" w:lineRule="auto"/>
        <w:rPr>
          <w:rFonts w:hint="eastAsia" w:ascii="宋体" w:hAnsi="宋体" w:cs="宋体"/>
          <w:szCs w:val="21"/>
          <w:highlight w:val="none"/>
        </w:rPr>
      </w:pPr>
      <w:r>
        <w:rPr>
          <w:rFonts w:hint="eastAsia" w:ascii="宋体" w:hAnsi="宋体" w:cs="宋体"/>
          <w:szCs w:val="21"/>
          <w:highlight w:val="none"/>
        </w:rPr>
        <w:t>3.差异表（格式见附表）；</w:t>
      </w:r>
    </w:p>
    <w:p w14:paraId="2FA94C2A">
      <w:pPr>
        <w:numPr>
          <w:ilvl w:val="255"/>
          <w:numId w:val="0"/>
        </w:numPr>
        <w:suppressAutoHyphens/>
        <w:spacing w:line="360" w:lineRule="auto"/>
        <w:rPr>
          <w:rFonts w:hint="eastAsia" w:ascii="宋体" w:hAnsi="宋体" w:cs="宋体"/>
          <w:szCs w:val="21"/>
          <w:highlight w:val="none"/>
        </w:rPr>
      </w:pPr>
      <w:r>
        <w:rPr>
          <w:rFonts w:hint="eastAsia" w:ascii="宋体" w:hAnsi="宋体" w:cs="宋体"/>
          <w:szCs w:val="21"/>
          <w:highlight w:val="none"/>
        </w:rPr>
        <w:t>4.售后服务保证相关证书，包括产品合格证书、产品三包凭证和保修卡；</w:t>
      </w:r>
    </w:p>
    <w:p w14:paraId="0CDBB7CF">
      <w:pPr>
        <w:numPr>
          <w:ilvl w:val="255"/>
          <w:numId w:val="0"/>
        </w:numPr>
        <w:suppressAutoHyphens/>
        <w:spacing w:line="360" w:lineRule="auto"/>
        <w:rPr>
          <w:rFonts w:hint="eastAsia" w:ascii="宋体" w:hAnsi="宋体" w:cs="宋体"/>
          <w:szCs w:val="21"/>
          <w:highlight w:val="none"/>
        </w:rPr>
      </w:pPr>
      <w:r>
        <w:rPr>
          <w:rFonts w:hint="eastAsia" w:ascii="宋体" w:hAnsi="宋体" w:cs="宋体"/>
          <w:szCs w:val="21"/>
          <w:highlight w:val="none"/>
        </w:rPr>
        <w:t>5.产品出厂检测报告；</w:t>
      </w:r>
    </w:p>
    <w:p w14:paraId="64273DCA">
      <w:pPr>
        <w:pStyle w:val="451"/>
        <w:adjustRightInd w:val="0"/>
        <w:snapToGrid w:val="0"/>
        <w:spacing w:line="360" w:lineRule="auto"/>
        <w:ind w:firstLine="0" w:firstLineChars="0"/>
        <w:rPr>
          <w:rFonts w:cs="Times New Roman"/>
          <w:szCs w:val="21"/>
          <w:highlight w:val="none"/>
        </w:rPr>
      </w:pPr>
      <w:r>
        <w:rPr>
          <w:rFonts w:hint="eastAsia" w:ascii="宋体" w:hAnsi="宋体" w:eastAsia="宋体"/>
          <w:szCs w:val="21"/>
          <w:highlight w:val="none"/>
        </w:rPr>
        <w:t>6.提供中文操作手册和维护手册。</w:t>
      </w:r>
    </w:p>
    <w:p w14:paraId="507A540F">
      <w:pPr>
        <w:spacing w:line="480" w:lineRule="auto"/>
        <w:outlineLvl w:val="0"/>
        <w:rPr>
          <w:rFonts w:eastAsia="黑体"/>
          <w:b/>
          <w:bCs/>
          <w:szCs w:val="21"/>
          <w:highlight w:val="none"/>
        </w:rPr>
      </w:pPr>
      <w:bookmarkStart w:id="62" w:name="_Toc76025483"/>
      <w:bookmarkStart w:id="63" w:name="_Toc222993395"/>
      <w:bookmarkStart w:id="64" w:name="_Toc26216"/>
      <w:bookmarkStart w:id="65" w:name="_Toc8248"/>
      <w:bookmarkStart w:id="66" w:name="_Toc26723"/>
      <w:bookmarkStart w:id="67" w:name="_Toc23479"/>
      <w:bookmarkStart w:id="68" w:name="_Toc28457"/>
      <w:bookmarkStart w:id="69" w:name="_Toc964"/>
      <w:bookmarkStart w:id="70" w:name="_Toc226121103"/>
      <w:r>
        <w:rPr>
          <w:rFonts w:eastAsia="黑体"/>
          <w:b/>
          <w:bCs/>
          <w:szCs w:val="21"/>
          <w:highlight w:val="none"/>
        </w:rPr>
        <w:t>3 应遵循的主要标准</w:t>
      </w:r>
      <w:bookmarkEnd w:id="52"/>
      <w:bookmarkEnd w:id="53"/>
      <w:bookmarkEnd w:id="62"/>
      <w:bookmarkEnd w:id="63"/>
      <w:bookmarkEnd w:id="64"/>
      <w:bookmarkEnd w:id="65"/>
      <w:bookmarkEnd w:id="66"/>
      <w:bookmarkEnd w:id="67"/>
      <w:bookmarkEnd w:id="68"/>
      <w:bookmarkEnd w:id="69"/>
      <w:bookmarkEnd w:id="70"/>
    </w:p>
    <w:p w14:paraId="7FF7AFF1">
      <w:pPr>
        <w:pStyle w:val="451"/>
        <w:adjustRightInd w:val="0"/>
        <w:snapToGrid w:val="0"/>
        <w:spacing w:line="360" w:lineRule="auto"/>
        <w:rPr>
          <w:rFonts w:cs="Times New Roman"/>
          <w:szCs w:val="21"/>
          <w:highlight w:val="none"/>
        </w:rPr>
      </w:pPr>
      <w:bookmarkStart w:id="71" w:name="_Toc282993250"/>
      <w:bookmarkStart w:id="72" w:name="_Toc384340981"/>
      <w:r>
        <w:rPr>
          <w:rFonts w:cs="Times New Roman"/>
          <w:szCs w:val="21"/>
          <w:highlight w:val="none"/>
        </w:rPr>
        <w:t>除本技术规范书特殊规定外, 投标方所提供的设备均按规定的标准和规程的最新版本进行设计、制造、试验和安装。如果这些标准内容有矛盾时</w:t>
      </w:r>
      <w:r>
        <w:rPr>
          <w:rFonts w:hint="eastAsia" w:cs="Times New Roman"/>
          <w:szCs w:val="21"/>
          <w:highlight w:val="none"/>
        </w:rPr>
        <w:t>，</w:t>
      </w:r>
      <w:r>
        <w:rPr>
          <w:rFonts w:cs="Times New Roman"/>
          <w:szCs w:val="21"/>
          <w:highlight w:val="none"/>
        </w:rPr>
        <w:t>应按最高标准的条款执行或按双方商定的标准执行。如果投标方选用本技术规范书规定以外的标准时</w:t>
      </w:r>
      <w:r>
        <w:rPr>
          <w:rFonts w:hint="eastAsia" w:cs="Times New Roman"/>
          <w:szCs w:val="21"/>
          <w:highlight w:val="none"/>
        </w:rPr>
        <w:t>，</w:t>
      </w:r>
      <w:r>
        <w:rPr>
          <w:rFonts w:cs="Times New Roman"/>
          <w:szCs w:val="21"/>
          <w:highlight w:val="none"/>
        </w:rPr>
        <w:t>则需提交这种替换标准供审查和分析。仅在投标方已证明替换标准相当或优于技术规范书规定的标准</w:t>
      </w:r>
      <w:r>
        <w:rPr>
          <w:rFonts w:hint="eastAsia" w:cs="Times New Roman"/>
          <w:szCs w:val="21"/>
          <w:highlight w:val="none"/>
        </w:rPr>
        <w:t>，</w:t>
      </w:r>
      <w:r>
        <w:rPr>
          <w:rFonts w:cs="Times New Roman"/>
          <w:szCs w:val="21"/>
          <w:highlight w:val="none"/>
        </w:rPr>
        <w:t>并从招标方处获得书面的认可才能使用。提交供审查的标准应为中文或英文版本。</w:t>
      </w:r>
      <w:r>
        <w:rPr>
          <w:rFonts w:hint="eastAsia" w:cs="Times New Roman"/>
          <w:szCs w:val="21"/>
          <w:highlight w:val="none"/>
        </w:rPr>
        <w:t>凡是未注明日期的引用标准，其最新版适用于本技术规范书。</w:t>
      </w:r>
      <w:r>
        <w:rPr>
          <w:rFonts w:cs="Times New Roman"/>
          <w:szCs w:val="21"/>
          <w:highlight w:val="none"/>
        </w:rPr>
        <w:t>主要引用标准如下：</w:t>
      </w:r>
    </w:p>
    <w:p w14:paraId="5C25B15A">
      <w:pPr>
        <w:snapToGrid w:val="0"/>
        <w:spacing w:line="360" w:lineRule="auto"/>
        <w:ind w:firstLine="420" w:firstLineChars="200"/>
        <w:rPr>
          <w:szCs w:val="21"/>
          <w:highlight w:val="none"/>
        </w:rPr>
      </w:pPr>
      <w:r>
        <w:rPr>
          <w:rFonts w:hint="eastAsia"/>
          <w:szCs w:val="21"/>
          <w:highlight w:val="none"/>
        </w:rPr>
        <w:t>GB GB 4943.1-2022  《信息技术设备 安全 第 1 部分：通用要求》</w:t>
      </w:r>
    </w:p>
    <w:p w14:paraId="2D11ACD4">
      <w:pPr>
        <w:snapToGrid w:val="0"/>
        <w:spacing w:line="360" w:lineRule="auto"/>
        <w:ind w:firstLine="420" w:firstLineChars="200"/>
        <w:rPr>
          <w:szCs w:val="21"/>
          <w:highlight w:val="none"/>
        </w:rPr>
      </w:pPr>
      <w:r>
        <w:rPr>
          <w:rFonts w:hint="eastAsia"/>
          <w:szCs w:val="21"/>
          <w:highlight w:val="none"/>
        </w:rPr>
        <w:t>GB/T 4208-2017  《外壳防护等级（IP 代码）》</w:t>
      </w:r>
    </w:p>
    <w:p w14:paraId="1A200068">
      <w:pPr>
        <w:snapToGrid w:val="0"/>
        <w:spacing w:line="360" w:lineRule="auto"/>
        <w:ind w:firstLine="420" w:firstLineChars="200"/>
        <w:rPr>
          <w:szCs w:val="21"/>
          <w:highlight w:val="none"/>
        </w:rPr>
      </w:pPr>
      <w:r>
        <w:rPr>
          <w:rFonts w:hint="eastAsia"/>
          <w:szCs w:val="21"/>
          <w:highlight w:val="none"/>
        </w:rPr>
        <w:t>GB/T 13306  标牌规范，产品标识清晰可追溯</w:t>
      </w:r>
    </w:p>
    <w:p w14:paraId="58BC62E2">
      <w:pPr>
        <w:snapToGrid w:val="0"/>
        <w:spacing w:line="360" w:lineRule="auto"/>
        <w:ind w:firstLine="420" w:firstLineChars="200"/>
        <w:rPr>
          <w:szCs w:val="21"/>
          <w:highlight w:val="none"/>
        </w:rPr>
      </w:pPr>
      <w:r>
        <w:rPr>
          <w:rFonts w:hint="eastAsia"/>
          <w:szCs w:val="21"/>
          <w:highlight w:val="none"/>
        </w:rPr>
        <w:t>GB/T 191  《包装储运图示标志》</w:t>
      </w:r>
    </w:p>
    <w:p w14:paraId="4E2A4E6B">
      <w:pPr>
        <w:snapToGrid w:val="0"/>
        <w:spacing w:line="360" w:lineRule="auto"/>
        <w:ind w:firstLine="420" w:firstLineChars="200"/>
        <w:rPr>
          <w:szCs w:val="21"/>
          <w:highlight w:val="none"/>
        </w:rPr>
      </w:pPr>
      <w:r>
        <w:rPr>
          <w:rFonts w:hint="eastAsia"/>
          <w:szCs w:val="21"/>
          <w:highlight w:val="none"/>
        </w:rPr>
        <w:t>GB 6388  运输包装收发货标志</w:t>
      </w:r>
    </w:p>
    <w:p w14:paraId="480F424D">
      <w:pPr>
        <w:snapToGrid w:val="0"/>
        <w:spacing w:line="360" w:lineRule="auto"/>
        <w:ind w:firstLine="420" w:firstLineChars="200"/>
        <w:rPr>
          <w:szCs w:val="21"/>
          <w:highlight w:val="none"/>
        </w:rPr>
      </w:pPr>
      <w:r>
        <w:rPr>
          <w:rFonts w:hint="eastAsia"/>
          <w:szCs w:val="21"/>
          <w:highlight w:val="none"/>
        </w:rPr>
        <w:t>GB/T 6587  电子测量仪器通用规范</w:t>
      </w:r>
    </w:p>
    <w:p w14:paraId="0C6F5F3D">
      <w:pPr>
        <w:snapToGrid w:val="0"/>
        <w:spacing w:line="360" w:lineRule="auto"/>
        <w:ind w:firstLine="420" w:firstLineChars="200"/>
        <w:rPr>
          <w:szCs w:val="21"/>
          <w:highlight w:val="none"/>
        </w:rPr>
      </w:pPr>
      <w:r>
        <w:rPr>
          <w:rFonts w:hint="eastAsia"/>
          <w:szCs w:val="21"/>
          <w:highlight w:val="none"/>
        </w:rPr>
        <w:t>GB/T 9969  工业产品使用说明书总则</w:t>
      </w:r>
    </w:p>
    <w:p w14:paraId="27A563C7">
      <w:pPr>
        <w:snapToGrid w:val="0"/>
        <w:spacing w:line="360" w:lineRule="auto"/>
        <w:ind w:firstLine="420" w:firstLineChars="200"/>
        <w:rPr>
          <w:szCs w:val="21"/>
          <w:highlight w:val="none"/>
        </w:rPr>
      </w:pPr>
      <w:r>
        <w:rPr>
          <w:rFonts w:hint="eastAsia"/>
          <w:szCs w:val="21"/>
          <w:highlight w:val="none"/>
        </w:rPr>
        <w:t>GB/T 13384  机电产品包装通用技术条件</w:t>
      </w:r>
    </w:p>
    <w:p w14:paraId="0EF1A11D">
      <w:pPr>
        <w:snapToGrid w:val="0"/>
        <w:spacing w:line="360" w:lineRule="auto"/>
        <w:ind w:firstLine="420" w:firstLineChars="200"/>
        <w:rPr>
          <w:szCs w:val="21"/>
          <w:highlight w:val="none"/>
        </w:rPr>
      </w:pPr>
      <w:r>
        <w:rPr>
          <w:rFonts w:hint="eastAsia"/>
          <w:szCs w:val="21"/>
          <w:highlight w:val="none"/>
        </w:rPr>
        <w:t>GB/T 2423.1-2008 电工电子产品环境试验第2部分：试验方法 试验A：低温</w:t>
      </w:r>
    </w:p>
    <w:p w14:paraId="66BE8483">
      <w:pPr>
        <w:snapToGrid w:val="0"/>
        <w:spacing w:line="360" w:lineRule="auto"/>
        <w:ind w:firstLine="420" w:firstLineChars="200"/>
        <w:rPr>
          <w:szCs w:val="21"/>
          <w:highlight w:val="none"/>
        </w:rPr>
      </w:pPr>
      <w:r>
        <w:rPr>
          <w:rFonts w:hint="eastAsia"/>
          <w:szCs w:val="21"/>
          <w:highlight w:val="none"/>
        </w:rPr>
        <w:t>GB/T 2423.2-2008 电工电子产品环境试验第2部分：试验方法 试验B：高温</w:t>
      </w:r>
    </w:p>
    <w:p w14:paraId="35EE9186">
      <w:pPr>
        <w:snapToGrid w:val="0"/>
        <w:spacing w:line="360" w:lineRule="auto"/>
        <w:ind w:firstLine="420" w:firstLineChars="200"/>
        <w:rPr>
          <w:szCs w:val="21"/>
          <w:highlight w:val="none"/>
        </w:rPr>
      </w:pPr>
      <w:r>
        <w:rPr>
          <w:rFonts w:hint="eastAsia"/>
          <w:szCs w:val="21"/>
          <w:highlight w:val="none"/>
        </w:rPr>
        <w:t>GB/T 2423.2-2008 电工电子产品环境试验第2部分：试验方法 试验Fc：振动（正弦）</w:t>
      </w:r>
    </w:p>
    <w:p w14:paraId="1C5185CB">
      <w:pPr>
        <w:snapToGrid w:val="0"/>
        <w:spacing w:line="360" w:lineRule="auto"/>
        <w:ind w:firstLine="420" w:firstLineChars="200"/>
        <w:rPr>
          <w:szCs w:val="21"/>
          <w:highlight w:val="none"/>
        </w:rPr>
      </w:pPr>
      <w:r>
        <w:rPr>
          <w:rFonts w:hint="eastAsia"/>
          <w:szCs w:val="21"/>
          <w:highlight w:val="none"/>
        </w:rPr>
        <w:t>GB/T 2423.3-2016 环境试验 第2部分：试验方法 试验Cab：恒定湿热试验</w:t>
      </w:r>
    </w:p>
    <w:p w14:paraId="7E86747D">
      <w:pPr>
        <w:snapToGrid w:val="0"/>
        <w:spacing w:line="360" w:lineRule="auto"/>
        <w:ind w:firstLine="420" w:firstLineChars="200"/>
        <w:rPr>
          <w:szCs w:val="21"/>
          <w:highlight w:val="none"/>
        </w:rPr>
      </w:pPr>
      <w:r>
        <w:rPr>
          <w:rFonts w:hint="eastAsia"/>
          <w:szCs w:val="21"/>
          <w:highlight w:val="none"/>
        </w:rPr>
        <w:t>GB/T 2423.21-2008 电工电子产品环境试验 第2部分：试验方法 试验M：低气压</w:t>
      </w:r>
    </w:p>
    <w:p w14:paraId="072FE503">
      <w:pPr>
        <w:snapToGrid w:val="0"/>
        <w:spacing w:line="360" w:lineRule="auto"/>
        <w:ind w:firstLine="420" w:firstLineChars="200"/>
        <w:rPr>
          <w:szCs w:val="21"/>
          <w:highlight w:val="none"/>
        </w:rPr>
      </w:pPr>
      <w:r>
        <w:rPr>
          <w:rFonts w:hint="eastAsia"/>
          <w:szCs w:val="21"/>
          <w:highlight w:val="none"/>
        </w:rPr>
        <w:t>GB/T 2423.25-2008 电工电子产品 环境试验 第2部分：试验方法 试验Z/AM：低温/低气压综合试验</w:t>
      </w:r>
    </w:p>
    <w:p w14:paraId="53715278">
      <w:pPr>
        <w:snapToGrid w:val="0"/>
        <w:spacing w:line="360" w:lineRule="auto"/>
        <w:ind w:firstLine="420" w:firstLineChars="200"/>
        <w:rPr>
          <w:szCs w:val="21"/>
          <w:highlight w:val="none"/>
        </w:rPr>
      </w:pPr>
      <w:r>
        <w:rPr>
          <w:rFonts w:hint="eastAsia"/>
          <w:szCs w:val="21"/>
          <w:highlight w:val="none"/>
        </w:rPr>
        <w:t>GB/T 2423.26-2008 电工电子产品 环境试验 第2部分：试验方法 试验Z/BM：高温/低气压综合试验</w:t>
      </w:r>
    </w:p>
    <w:p w14:paraId="3D75B024">
      <w:pPr>
        <w:snapToGrid w:val="0"/>
        <w:spacing w:line="360" w:lineRule="auto"/>
        <w:ind w:firstLine="420" w:firstLineChars="200"/>
        <w:rPr>
          <w:szCs w:val="21"/>
          <w:highlight w:val="none"/>
        </w:rPr>
      </w:pPr>
      <w:r>
        <w:rPr>
          <w:rFonts w:hint="eastAsia"/>
          <w:szCs w:val="21"/>
          <w:highlight w:val="none"/>
        </w:rPr>
        <w:t>GB/T 2423.27-2005 电工电子产品环境试验 第2部分：试验方法 试验Z/AMD：低温/低气压/湿热连续综合试验</w:t>
      </w:r>
    </w:p>
    <w:p w14:paraId="66F33A28">
      <w:pPr>
        <w:snapToGrid w:val="0"/>
        <w:spacing w:line="360" w:lineRule="auto"/>
        <w:ind w:firstLine="420" w:firstLineChars="200"/>
        <w:rPr>
          <w:highlight w:val="none"/>
          <w:lang w:bidi="ar"/>
        </w:rPr>
      </w:pPr>
      <w:r>
        <w:rPr>
          <w:rFonts w:hint="eastAsia"/>
          <w:szCs w:val="21"/>
          <w:highlight w:val="none"/>
        </w:rPr>
        <w:t>Q/CSG1210050  南方电网电力全域物联网平台接入技术规</w:t>
      </w:r>
    </w:p>
    <w:p w14:paraId="1C0AEBA6">
      <w:pPr>
        <w:snapToGrid w:val="0"/>
        <w:spacing w:line="360" w:lineRule="auto"/>
        <w:ind w:firstLine="420" w:firstLineChars="200"/>
        <w:rPr>
          <w:highlight w:val="none"/>
          <w:lang w:bidi="ar"/>
        </w:rPr>
      </w:pPr>
      <w:r>
        <w:rPr>
          <w:rFonts w:hint="eastAsia"/>
          <w:highlight w:val="none"/>
          <w:lang w:bidi="ar"/>
        </w:rPr>
        <w:t>中国南方电网有限责任公司送样检测业务指导书</w:t>
      </w:r>
    </w:p>
    <w:p w14:paraId="69FEEDFC">
      <w:pPr>
        <w:snapToGrid w:val="0"/>
        <w:spacing w:line="360" w:lineRule="auto"/>
        <w:ind w:firstLine="420" w:firstLineChars="200"/>
        <w:rPr>
          <w:highlight w:val="none"/>
          <w:lang w:bidi="ar"/>
        </w:rPr>
      </w:pPr>
      <w:r>
        <w:rPr>
          <w:rFonts w:hint="eastAsia"/>
          <w:highlight w:val="none"/>
          <w:lang w:bidi="ar"/>
        </w:rPr>
        <w:t>中国南方电网有限责任公司到货抽检业务指导书</w:t>
      </w:r>
    </w:p>
    <w:p w14:paraId="73FCBC9A">
      <w:pPr>
        <w:snapToGrid w:val="0"/>
        <w:spacing w:line="360" w:lineRule="auto"/>
        <w:ind w:firstLine="420" w:firstLineChars="200"/>
        <w:rPr>
          <w:highlight w:val="none"/>
          <w:lang w:bidi="ar"/>
        </w:rPr>
      </w:pPr>
      <w:r>
        <w:rPr>
          <w:rFonts w:hint="eastAsia"/>
          <w:highlight w:val="none"/>
          <w:lang w:bidi="ar"/>
        </w:rPr>
        <w:t>中国南方电网有限责任公司专项抽检业务指导书</w:t>
      </w:r>
    </w:p>
    <w:bookmarkEnd w:id="71"/>
    <w:bookmarkEnd w:id="72"/>
    <w:p w14:paraId="41DC5AE7">
      <w:pPr>
        <w:spacing w:line="480" w:lineRule="auto"/>
        <w:outlineLvl w:val="0"/>
        <w:rPr>
          <w:rFonts w:eastAsia="黑体"/>
          <w:b/>
          <w:bCs/>
          <w:szCs w:val="21"/>
          <w:highlight w:val="none"/>
        </w:rPr>
      </w:pPr>
      <w:bookmarkStart w:id="73" w:name="_Toc16488"/>
      <w:bookmarkStart w:id="74" w:name="_Toc4845"/>
      <w:bookmarkStart w:id="75" w:name="_Toc9704"/>
      <w:bookmarkStart w:id="76" w:name="_Toc13980"/>
      <w:bookmarkStart w:id="77" w:name="_Toc226121104"/>
      <w:bookmarkStart w:id="78" w:name="_Toc5350"/>
      <w:bookmarkStart w:id="79" w:name="_Toc76025484"/>
      <w:bookmarkStart w:id="80" w:name="_Toc222993396"/>
      <w:bookmarkStart w:id="81" w:name="_Toc16506"/>
      <w:r>
        <w:rPr>
          <w:rFonts w:eastAsia="黑体"/>
          <w:b/>
          <w:bCs/>
          <w:szCs w:val="21"/>
          <w:highlight w:val="none"/>
        </w:rPr>
        <w:t>4 使用条件</w:t>
      </w:r>
      <w:bookmarkEnd w:id="73"/>
      <w:bookmarkEnd w:id="74"/>
      <w:bookmarkEnd w:id="75"/>
      <w:bookmarkEnd w:id="76"/>
      <w:bookmarkEnd w:id="77"/>
      <w:bookmarkEnd w:id="78"/>
      <w:bookmarkEnd w:id="79"/>
      <w:bookmarkEnd w:id="80"/>
      <w:bookmarkEnd w:id="81"/>
    </w:p>
    <w:p w14:paraId="3D982C9B">
      <w:pPr>
        <w:adjustRightInd w:val="0"/>
        <w:snapToGrid w:val="0"/>
        <w:spacing w:line="360" w:lineRule="auto"/>
        <w:outlineLvl w:val="1"/>
        <w:rPr>
          <w:rFonts w:eastAsia="黑体"/>
          <w:szCs w:val="21"/>
          <w:highlight w:val="none"/>
        </w:rPr>
      </w:pPr>
      <w:bookmarkStart w:id="82" w:name="_Toc322532854"/>
      <w:bookmarkStart w:id="83" w:name="_Toc349034886"/>
      <w:bookmarkStart w:id="84" w:name="_Toc226121105"/>
      <w:bookmarkStart w:id="85" w:name="_Toc3154"/>
      <w:bookmarkStart w:id="86" w:name="_Toc23392"/>
      <w:bookmarkStart w:id="87" w:name="_Toc31469"/>
      <w:bookmarkStart w:id="88" w:name="_Toc279769036"/>
      <w:bookmarkStart w:id="89" w:name="_Toc222993397"/>
      <w:bookmarkStart w:id="90" w:name="_Toc264460811"/>
      <w:bookmarkStart w:id="91" w:name="_Toc322527759"/>
      <w:bookmarkStart w:id="92" w:name="_Toc296359207"/>
      <w:bookmarkStart w:id="93" w:name="_Toc14220"/>
      <w:bookmarkStart w:id="94" w:name="_Toc31297"/>
      <w:bookmarkStart w:id="95" w:name="_Toc426040192"/>
      <w:bookmarkStart w:id="96" w:name="_Toc66780566"/>
      <w:bookmarkStart w:id="97" w:name="_Toc264380123"/>
      <w:bookmarkStart w:id="98" w:name="_Toc296961937"/>
      <w:bookmarkStart w:id="99" w:name="_Toc76025485"/>
      <w:bookmarkStart w:id="100" w:name="_Toc494551787"/>
      <w:bookmarkStart w:id="101" w:name="_Toc24133"/>
      <w:r>
        <w:rPr>
          <w:rFonts w:eastAsia="黑体"/>
          <w:szCs w:val="21"/>
          <w:highlight w:val="none"/>
        </w:rPr>
        <w:t>4.1 正常使用条件</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1F4043D">
      <w:pPr>
        <w:spacing w:line="360" w:lineRule="auto"/>
        <w:ind w:firstLine="420" w:firstLineChars="200"/>
        <w:rPr>
          <w:szCs w:val="21"/>
          <w:highlight w:val="none"/>
        </w:rPr>
      </w:pPr>
      <w:r>
        <w:rPr>
          <w:rFonts w:hint="eastAsia"/>
          <w:szCs w:val="21"/>
          <w:highlight w:val="none"/>
        </w:rPr>
        <w:t>1）工作温度范围：-20℃～45℃；</w:t>
      </w:r>
    </w:p>
    <w:p w14:paraId="5953480A">
      <w:pPr>
        <w:spacing w:line="360" w:lineRule="auto"/>
        <w:ind w:firstLine="420" w:firstLineChars="200"/>
        <w:rPr>
          <w:rFonts w:hint="eastAsia" w:eastAsia="宋体"/>
          <w:szCs w:val="21"/>
          <w:highlight w:val="none"/>
          <w:lang w:eastAsia="zh-CN"/>
        </w:rPr>
      </w:pPr>
      <w:r>
        <w:rPr>
          <w:rFonts w:hint="eastAsia"/>
          <w:szCs w:val="21"/>
          <w:highlight w:val="none"/>
        </w:rPr>
        <w:t>2）</w:t>
      </w:r>
      <w:r>
        <w:rPr>
          <w:szCs w:val="21"/>
          <w:highlight w:val="none"/>
        </w:rPr>
        <w:t>工作相对湿度：35%～80%</w:t>
      </w:r>
      <w:r>
        <w:rPr>
          <w:rFonts w:hint="eastAsia"/>
          <w:szCs w:val="21"/>
          <w:highlight w:val="none"/>
        </w:rPr>
        <w:t>，产品内部不应凝露</w:t>
      </w:r>
      <w:r>
        <w:rPr>
          <w:rFonts w:hint="eastAsia"/>
          <w:szCs w:val="21"/>
          <w:highlight w:val="none"/>
          <w:lang w:eastAsia="zh-CN"/>
        </w:rPr>
        <w:t>；</w:t>
      </w:r>
    </w:p>
    <w:p w14:paraId="7053A38A">
      <w:pPr>
        <w:spacing w:line="360" w:lineRule="auto"/>
        <w:ind w:firstLine="420" w:firstLineChars="200"/>
        <w:rPr>
          <w:rFonts w:hint="default" w:eastAsia="宋体"/>
          <w:szCs w:val="21"/>
          <w:highlight w:val="none"/>
          <w:lang w:val="en-US" w:eastAsia="zh-CN"/>
        </w:rPr>
      </w:pPr>
      <w:r>
        <w:rPr>
          <w:rFonts w:hint="eastAsia"/>
          <w:szCs w:val="21"/>
          <w:highlight w:val="none"/>
          <w:lang w:val="en-US" w:eastAsia="zh-CN"/>
        </w:rPr>
        <w:t>3）卫星系统技术要求：仅支持BDS且兼容北斗3号及以下卫星系统。</w:t>
      </w:r>
    </w:p>
    <w:p w14:paraId="6AFF8418">
      <w:pPr>
        <w:adjustRightInd w:val="0"/>
        <w:snapToGrid w:val="0"/>
        <w:spacing w:line="360" w:lineRule="auto"/>
        <w:outlineLvl w:val="1"/>
        <w:rPr>
          <w:rFonts w:eastAsia="黑体"/>
          <w:szCs w:val="21"/>
          <w:highlight w:val="none"/>
        </w:rPr>
      </w:pPr>
      <w:bookmarkStart w:id="102" w:name="_Toc27758"/>
      <w:bookmarkStart w:id="103" w:name="_Toc296961938"/>
      <w:bookmarkStart w:id="104" w:name="_Toc226121106"/>
      <w:bookmarkStart w:id="105" w:name="_Toc76025486"/>
      <w:bookmarkStart w:id="106" w:name="_Toc426040193"/>
      <w:bookmarkStart w:id="107" w:name="_Toc222993398"/>
      <w:bookmarkStart w:id="108" w:name="_Toc349034887"/>
      <w:bookmarkStart w:id="109" w:name="_Toc264450245"/>
      <w:bookmarkStart w:id="110" w:name="_Toc494551788"/>
      <w:bookmarkStart w:id="111" w:name="_Toc296359208"/>
      <w:bookmarkStart w:id="112" w:name="_Toc22529"/>
      <w:bookmarkStart w:id="113" w:name="_Toc28986"/>
      <w:bookmarkStart w:id="114" w:name="_Toc264460812"/>
      <w:bookmarkStart w:id="115" w:name="_Toc26694"/>
      <w:bookmarkStart w:id="116" w:name="_Toc322527760"/>
      <w:bookmarkStart w:id="117" w:name="_Toc17570"/>
      <w:bookmarkStart w:id="118" w:name="_Toc66780567"/>
      <w:bookmarkStart w:id="119" w:name="_Toc264380124"/>
      <w:bookmarkStart w:id="120" w:name="_Toc322532855"/>
      <w:bookmarkStart w:id="121" w:name="_Toc12049"/>
      <w:r>
        <w:rPr>
          <w:rFonts w:eastAsia="黑体"/>
          <w:szCs w:val="21"/>
          <w:highlight w:val="none"/>
        </w:rPr>
        <w:t>4.2 特殊使用条件</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77B6C1A">
      <w:pPr>
        <w:snapToGrid w:val="0"/>
        <w:spacing w:line="360" w:lineRule="auto"/>
        <w:ind w:firstLine="420" w:firstLineChars="200"/>
        <w:rPr>
          <w:szCs w:val="21"/>
          <w:highlight w:val="none"/>
        </w:rPr>
      </w:pPr>
      <w:r>
        <w:rPr>
          <w:rFonts w:hint="eastAsia"/>
          <w:szCs w:val="21"/>
          <w:highlight w:val="none"/>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04EF0421">
      <w:pPr>
        <w:spacing w:line="360" w:lineRule="auto"/>
        <w:outlineLvl w:val="0"/>
        <w:rPr>
          <w:rFonts w:eastAsia="黑体"/>
          <w:szCs w:val="21"/>
          <w:highlight w:val="none"/>
        </w:rPr>
      </w:pPr>
      <w:bookmarkStart w:id="122" w:name="_Toc31508"/>
      <w:bookmarkStart w:id="123" w:name="_Toc222993399"/>
      <w:bookmarkStart w:id="124" w:name="_Toc226121107"/>
      <w:bookmarkStart w:id="125" w:name="_Toc8982"/>
      <w:bookmarkStart w:id="126" w:name="_Toc76025487"/>
      <w:bookmarkStart w:id="127" w:name="_Toc32094"/>
      <w:bookmarkStart w:id="128" w:name="_Toc24693"/>
      <w:bookmarkStart w:id="129" w:name="_Toc1395"/>
      <w:bookmarkStart w:id="130" w:name="_Toc24623"/>
      <w:r>
        <w:rPr>
          <w:rFonts w:hint="eastAsia" w:eastAsia="黑体"/>
          <w:szCs w:val="21"/>
          <w:highlight w:val="none"/>
        </w:rPr>
        <w:t>5</w:t>
      </w:r>
      <w:r>
        <w:rPr>
          <w:rFonts w:eastAsia="黑体"/>
          <w:szCs w:val="21"/>
          <w:highlight w:val="none"/>
        </w:rPr>
        <w:t xml:space="preserve"> </w:t>
      </w:r>
      <w:r>
        <w:rPr>
          <w:rFonts w:hint="eastAsia" w:eastAsia="黑体"/>
          <w:szCs w:val="21"/>
          <w:highlight w:val="none"/>
        </w:rPr>
        <w:t>技术要求</w:t>
      </w:r>
      <w:bookmarkEnd w:id="122"/>
      <w:bookmarkEnd w:id="123"/>
      <w:bookmarkEnd w:id="124"/>
      <w:bookmarkEnd w:id="125"/>
      <w:bookmarkEnd w:id="126"/>
      <w:bookmarkEnd w:id="127"/>
      <w:bookmarkEnd w:id="128"/>
      <w:bookmarkEnd w:id="129"/>
      <w:bookmarkEnd w:id="130"/>
    </w:p>
    <w:p w14:paraId="607E21EE">
      <w:pPr>
        <w:pStyle w:val="3"/>
        <w:spacing w:before="0" w:after="0" w:line="360" w:lineRule="auto"/>
        <w:rPr>
          <w:rFonts w:ascii="Times New Roman" w:hAnsi="Times New Roman" w:eastAsia="黑体"/>
          <w:szCs w:val="21"/>
          <w:highlight w:val="none"/>
        </w:rPr>
      </w:pPr>
      <w:bookmarkStart w:id="131" w:name="_Toc27034"/>
      <w:bookmarkStart w:id="132" w:name="_Toc16115"/>
      <w:bookmarkStart w:id="133" w:name="_Toc226121108"/>
      <w:bookmarkStart w:id="134" w:name="_Toc28742"/>
      <w:bookmarkStart w:id="135" w:name="_Toc12197"/>
      <w:bookmarkStart w:id="136" w:name="_Toc22879"/>
      <w:bookmarkStart w:id="137" w:name="_Toc76025488"/>
      <w:bookmarkStart w:id="138" w:name="_Toc8389"/>
      <w:bookmarkStart w:id="139" w:name="_Toc222993400"/>
      <w:r>
        <w:rPr>
          <w:rFonts w:hint="eastAsia" w:ascii="Times New Roman" w:hAnsi="Times New Roman" w:eastAsia="黑体"/>
          <w:b w:val="0"/>
          <w:bCs/>
          <w:szCs w:val="21"/>
          <w:highlight w:val="none"/>
        </w:rPr>
        <w:t>5</w:t>
      </w:r>
      <w:r>
        <w:rPr>
          <w:rFonts w:ascii="Times New Roman" w:hAnsi="Times New Roman" w:eastAsia="黑体"/>
          <w:b w:val="0"/>
          <w:bCs/>
          <w:szCs w:val="21"/>
          <w:highlight w:val="none"/>
        </w:rPr>
        <w:t>.1</w:t>
      </w:r>
      <w:r>
        <w:rPr>
          <w:rFonts w:hint="eastAsia" w:ascii="Times New Roman" w:hAnsi="Times New Roman" w:eastAsia="黑体"/>
          <w:b w:val="0"/>
          <w:bCs/>
          <w:szCs w:val="21"/>
          <w:highlight w:val="none"/>
        </w:rPr>
        <w:t xml:space="preserve"> 机巡数据安全传输装置技术要求</w:t>
      </w:r>
      <w:bookmarkEnd w:id="131"/>
      <w:bookmarkEnd w:id="132"/>
      <w:bookmarkEnd w:id="133"/>
      <w:bookmarkEnd w:id="134"/>
      <w:bookmarkEnd w:id="135"/>
      <w:bookmarkEnd w:id="136"/>
      <w:bookmarkEnd w:id="137"/>
      <w:bookmarkEnd w:id="138"/>
      <w:bookmarkEnd w:id="139"/>
    </w:p>
    <w:p w14:paraId="61E88D49">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处理器：自主可控，双核心处理器及以上；</w:t>
      </w:r>
    </w:p>
    <w:p w14:paraId="318123F4">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内存：16GB及以上内存；</w:t>
      </w:r>
    </w:p>
    <w:p w14:paraId="424D19D6">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存储：128GB及以上高速存储；</w:t>
      </w:r>
    </w:p>
    <w:p w14:paraId="22E50A8C">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接口：千兆有线网口 * 4 个、USB * 2 个、HDMI * 1 个 4G SIM卡插槽 * 1个；</w:t>
      </w:r>
    </w:p>
    <w:p w14:paraId="47D2749A">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外观结构：尺寸（长×宽×高）≤200mm×150mm×100mm；材料：金属机身；整机重量：≤ 500g；</w:t>
      </w:r>
    </w:p>
    <w:p w14:paraId="6FD00651">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环境适应性：工作温度：-20℃~45℃；相对湿度：36%RH～80%RH；</w:t>
      </w:r>
    </w:p>
    <w:p w14:paraId="1A8F517B">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额定功率≥35W，最大功率 65W；</w:t>
      </w:r>
    </w:p>
    <w:p w14:paraId="07359F7F">
      <w:pPr>
        <w:pStyle w:val="102"/>
        <w:numPr>
          <w:ilvl w:val="0"/>
          <w:numId w:val="26"/>
        </w:numPr>
        <w:tabs>
          <w:tab w:val="left" w:pos="851"/>
        </w:tabs>
        <w:spacing w:line="360" w:lineRule="auto"/>
        <w:ind w:firstLineChars="0"/>
        <w:rPr>
          <w:rFonts w:hint="eastAsia" w:ascii="宋体" w:hAnsi="宋体" w:cs="宋体"/>
          <w:szCs w:val="21"/>
          <w:highlight w:val="none"/>
          <w:lang w:bidi="ar"/>
        </w:rPr>
      </w:pPr>
      <w:r>
        <w:rPr>
          <w:rFonts w:hint="eastAsia" w:ascii="宋体" w:hAnsi="宋体" w:cs="宋体"/>
          <w:szCs w:val="21"/>
          <w:highlight w:val="none"/>
          <w:lang w:bidi="ar"/>
        </w:rPr>
        <w:t>通信：支持4G移动网络接入、支持双频WIFI连接。</w:t>
      </w:r>
    </w:p>
    <w:p w14:paraId="2F348D60">
      <w:pPr>
        <w:pStyle w:val="3"/>
        <w:spacing w:before="0" w:after="0" w:line="360" w:lineRule="auto"/>
        <w:rPr>
          <w:rFonts w:ascii="Times New Roman" w:hAnsi="Times New Roman" w:eastAsia="黑体"/>
          <w:b w:val="0"/>
          <w:bCs/>
          <w:szCs w:val="21"/>
          <w:highlight w:val="none"/>
        </w:rPr>
      </w:pPr>
      <w:bookmarkStart w:id="140" w:name="_Toc222993401"/>
      <w:bookmarkStart w:id="141" w:name="_Toc3850"/>
      <w:bookmarkStart w:id="142" w:name="_Toc21715"/>
      <w:bookmarkStart w:id="143" w:name="_Toc22125"/>
      <w:bookmarkStart w:id="144" w:name="_Toc226121109"/>
      <w:bookmarkStart w:id="145" w:name="_Toc1906"/>
      <w:bookmarkStart w:id="146" w:name="_Toc76025489"/>
      <w:bookmarkStart w:id="147" w:name="_Toc23885"/>
      <w:bookmarkStart w:id="148" w:name="_Toc1947"/>
      <w:r>
        <w:rPr>
          <w:rFonts w:hint="eastAsia" w:ascii="Times New Roman" w:hAnsi="Times New Roman" w:eastAsia="黑体"/>
          <w:b w:val="0"/>
          <w:bCs/>
          <w:szCs w:val="21"/>
          <w:highlight w:val="none"/>
        </w:rPr>
        <w:t>5</w:t>
      </w:r>
      <w:r>
        <w:rPr>
          <w:rFonts w:ascii="Times New Roman" w:hAnsi="Times New Roman" w:eastAsia="黑体"/>
          <w:b w:val="0"/>
          <w:bCs/>
          <w:szCs w:val="21"/>
          <w:highlight w:val="none"/>
        </w:rPr>
        <w:t>.2</w:t>
      </w:r>
      <w:r>
        <w:rPr>
          <w:rFonts w:hint="eastAsia" w:ascii="Times New Roman" w:hAnsi="Times New Roman" w:eastAsia="黑体"/>
          <w:b w:val="0"/>
          <w:bCs/>
          <w:szCs w:val="21"/>
          <w:highlight w:val="none"/>
        </w:rPr>
        <w:t xml:space="preserve"> 机巡数据安全传输装置操作系统技术要求</w:t>
      </w:r>
      <w:bookmarkEnd w:id="140"/>
      <w:bookmarkEnd w:id="141"/>
      <w:bookmarkEnd w:id="142"/>
      <w:bookmarkEnd w:id="143"/>
      <w:bookmarkEnd w:id="144"/>
      <w:bookmarkEnd w:id="145"/>
      <w:bookmarkEnd w:id="146"/>
      <w:bookmarkEnd w:id="147"/>
      <w:bookmarkEnd w:id="148"/>
    </w:p>
    <w:p w14:paraId="0E20653C">
      <w:pPr>
        <w:pStyle w:val="102"/>
        <w:numPr>
          <w:ilvl w:val="0"/>
          <w:numId w:val="32"/>
        </w:numPr>
        <w:tabs>
          <w:tab w:val="left" w:pos="851"/>
        </w:tabs>
        <w:spacing w:line="360" w:lineRule="auto"/>
        <w:ind w:left="420" w:firstLine="0" w:firstLineChars="0"/>
        <w:rPr>
          <w:rFonts w:ascii="Times New Roman" w:hAnsi="Times New Roman"/>
          <w:szCs w:val="21"/>
          <w:highlight w:val="none"/>
        </w:rPr>
      </w:pPr>
      <w:r>
        <w:rPr>
          <w:rFonts w:hint="eastAsia" w:ascii="Times New Roman" w:hAnsi="Times New Roman"/>
          <w:szCs w:val="21"/>
          <w:highlight w:val="none"/>
        </w:rPr>
        <w:t>操作系统支持：电力鸿蒙或Ubuntu等主流Linux系统；</w:t>
      </w:r>
    </w:p>
    <w:p w14:paraId="0BD85B9C">
      <w:pPr>
        <w:pStyle w:val="102"/>
        <w:numPr>
          <w:ilvl w:val="0"/>
          <w:numId w:val="32"/>
        </w:numPr>
        <w:tabs>
          <w:tab w:val="left" w:pos="851"/>
        </w:tabs>
        <w:spacing w:line="360" w:lineRule="auto"/>
        <w:ind w:left="420" w:firstLine="0" w:firstLineChars="0"/>
        <w:rPr>
          <w:rFonts w:ascii="Times New Roman" w:hAnsi="Times New Roman"/>
          <w:szCs w:val="21"/>
          <w:highlight w:val="none"/>
        </w:rPr>
      </w:pPr>
      <w:r>
        <w:rPr>
          <w:rFonts w:hint="eastAsia" w:ascii="Times New Roman" w:hAnsi="Times New Roman"/>
          <w:szCs w:val="21"/>
          <w:highlight w:val="none"/>
        </w:rPr>
        <w:t>支持适配飞行器数量：单台装置支持适配飞行器数量 ≥1台；</w:t>
      </w:r>
    </w:p>
    <w:p w14:paraId="063F149E">
      <w:pPr>
        <w:pStyle w:val="102"/>
        <w:numPr>
          <w:ilvl w:val="0"/>
          <w:numId w:val="32"/>
        </w:numPr>
        <w:tabs>
          <w:tab w:val="left" w:pos="851"/>
        </w:tabs>
        <w:spacing w:line="360" w:lineRule="auto"/>
        <w:ind w:left="420" w:firstLine="0" w:firstLineChars="0"/>
        <w:rPr>
          <w:rFonts w:ascii="Times New Roman" w:hAnsi="Times New Roman"/>
          <w:szCs w:val="21"/>
          <w:highlight w:val="none"/>
          <w:lang w:bidi="ar"/>
        </w:rPr>
      </w:pPr>
      <w:r>
        <w:rPr>
          <w:rFonts w:hint="eastAsia" w:ascii="Times New Roman" w:hAnsi="Times New Roman"/>
          <w:szCs w:val="21"/>
          <w:highlight w:val="none"/>
          <w:lang w:bidi="ar"/>
        </w:rPr>
        <w:t>外部机巢设备集成接入及管理：具备接入外部机巢设备的能力，具有对机巢设备各属性、状态等信息的获取功能，具有对机巢设备的远程控制等功能；</w:t>
      </w:r>
    </w:p>
    <w:p w14:paraId="3D069391">
      <w:pPr>
        <w:pStyle w:val="102"/>
        <w:numPr>
          <w:ilvl w:val="0"/>
          <w:numId w:val="32"/>
        </w:numPr>
        <w:tabs>
          <w:tab w:val="left" w:pos="851"/>
        </w:tabs>
        <w:spacing w:line="360" w:lineRule="auto"/>
        <w:ind w:left="420" w:firstLine="0" w:firstLineChars="0"/>
        <w:rPr>
          <w:rFonts w:ascii="Times New Roman" w:hAnsi="Times New Roman"/>
          <w:szCs w:val="21"/>
          <w:highlight w:val="none"/>
          <w:lang w:bidi="ar"/>
        </w:rPr>
      </w:pPr>
      <w:r>
        <w:rPr>
          <w:rFonts w:hint="eastAsia" w:ascii="Times New Roman" w:hAnsi="Times New Roman"/>
          <w:szCs w:val="21"/>
          <w:highlight w:val="none"/>
          <w:lang w:bidi="ar"/>
        </w:rPr>
        <w:t>内网平台远程接入应用：装置须适配接入南网物联网平台，须支持专网无线和有线的通讯方式，提供数据存储、处理和转发等基本功能，须兼容主流固定机巢的物联网平台接入，实现机巢设备与内网平台的标准化对接，满足机巢无人机远程巡检作业、实时图传监控、巡检数据远程传输的功能要求；</w:t>
      </w:r>
    </w:p>
    <w:p w14:paraId="4057F4EC">
      <w:pPr>
        <w:pStyle w:val="102"/>
        <w:numPr>
          <w:ilvl w:val="0"/>
          <w:numId w:val="32"/>
        </w:numPr>
        <w:tabs>
          <w:tab w:val="left" w:pos="851"/>
        </w:tabs>
        <w:spacing w:line="360" w:lineRule="auto"/>
        <w:ind w:left="420" w:firstLine="0" w:firstLineChars="0"/>
        <w:rPr>
          <w:rFonts w:ascii="Times New Roman" w:hAnsi="Times New Roman"/>
          <w:szCs w:val="21"/>
          <w:highlight w:val="none"/>
          <w:lang w:bidi="ar"/>
        </w:rPr>
      </w:pPr>
      <w:r>
        <w:rPr>
          <w:rFonts w:hint="eastAsia" w:ascii="Times New Roman" w:hAnsi="Times New Roman"/>
          <w:szCs w:val="21"/>
          <w:highlight w:val="none"/>
          <w:lang w:bidi="ar"/>
        </w:rPr>
        <w:t>物联网通信协议支持：支持MQTTS协议的数据传输；RTSP/RTMP视频流接入及转发功能；支持SSH通信加密方式进行远程维护、软件升级、装置重启。</w:t>
      </w:r>
    </w:p>
    <w:p w14:paraId="095BD402">
      <w:pPr>
        <w:pStyle w:val="3"/>
        <w:spacing w:before="0" w:after="0" w:line="360" w:lineRule="auto"/>
        <w:rPr>
          <w:rFonts w:ascii="Times New Roman" w:hAnsi="Times New Roman" w:eastAsia="黑体"/>
          <w:b w:val="0"/>
          <w:bCs/>
          <w:szCs w:val="21"/>
          <w:highlight w:val="none"/>
        </w:rPr>
      </w:pPr>
      <w:bookmarkStart w:id="149" w:name="_Toc3918"/>
      <w:bookmarkStart w:id="150" w:name="_Toc226121110"/>
      <w:bookmarkStart w:id="151" w:name="_Toc14066"/>
      <w:bookmarkStart w:id="152" w:name="_Toc6365"/>
      <w:bookmarkStart w:id="153" w:name="_Toc10682"/>
      <w:bookmarkStart w:id="154" w:name="_Toc26587"/>
      <w:bookmarkStart w:id="155" w:name="_Toc1847"/>
      <w:bookmarkStart w:id="156" w:name="_Toc76025490"/>
      <w:bookmarkStart w:id="157" w:name="_Toc222993402"/>
      <w:r>
        <w:rPr>
          <w:rFonts w:hint="eastAsia" w:ascii="Times New Roman" w:hAnsi="Times New Roman" w:eastAsia="黑体"/>
          <w:b w:val="0"/>
          <w:bCs/>
          <w:szCs w:val="21"/>
          <w:highlight w:val="none"/>
        </w:rPr>
        <w:t>5</w:t>
      </w:r>
      <w:r>
        <w:rPr>
          <w:rFonts w:ascii="Times New Roman" w:hAnsi="Times New Roman" w:eastAsia="黑体"/>
          <w:b w:val="0"/>
          <w:bCs/>
          <w:szCs w:val="21"/>
          <w:highlight w:val="none"/>
        </w:rPr>
        <w:t xml:space="preserve">.3 </w:t>
      </w:r>
      <w:r>
        <w:rPr>
          <w:rFonts w:hint="eastAsia" w:ascii="Times New Roman" w:hAnsi="Times New Roman" w:eastAsia="黑体"/>
          <w:b w:val="0"/>
          <w:bCs/>
          <w:szCs w:val="21"/>
          <w:highlight w:val="none"/>
        </w:rPr>
        <w:t>北斗服务卡技术要求</w:t>
      </w:r>
      <w:bookmarkEnd w:id="149"/>
      <w:bookmarkEnd w:id="150"/>
      <w:bookmarkEnd w:id="151"/>
      <w:bookmarkEnd w:id="152"/>
      <w:bookmarkEnd w:id="153"/>
      <w:bookmarkEnd w:id="154"/>
      <w:bookmarkEnd w:id="155"/>
      <w:bookmarkEnd w:id="156"/>
      <w:bookmarkEnd w:id="157"/>
    </w:p>
    <w:p w14:paraId="22E11523">
      <w:pPr>
        <w:numPr>
          <w:ilvl w:val="0"/>
          <w:numId w:val="29"/>
        </w:numPr>
        <w:tabs>
          <w:tab w:val="left" w:pos="851"/>
          <w:tab w:val="clear" w:pos="840"/>
        </w:tabs>
        <w:adjustRightInd w:val="0"/>
        <w:spacing w:line="360" w:lineRule="auto"/>
        <w:ind w:left="420" w:firstLine="0"/>
        <w:rPr>
          <w:szCs w:val="21"/>
          <w:highlight w:val="none"/>
        </w:rPr>
      </w:pPr>
      <w:r>
        <w:rPr>
          <w:rFonts w:hint="eastAsia"/>
          <w:szCs w:val="21"/>
          <w:highlight w:val="none"/>
        </w:rPr>
        <w:t>专网流量年包：100GB网级专网数据流量，流量有效期≥1年；</w:t>
      </w:r>
    </w:p>
    <w:p w14:paraId="2FF4B356">
      <w:pPr>
        <w:numPr>
          <w:ilvl w:val="0"/>
          <w:numId w:val="29"/>
        </w:numPr>
        <w:tabs>
          <w:tab w:val="left" w:pos="851"/>
          <w:tab w:val="clear" w:pos="840"/>
        </w:tabs>
        <w:adjustRightInd w:val="0"/>
        <w:spacing w:line="360" w:lineRule="auto"/>
        <w:ind w:left="420" w:firstLine="0"/>
        <w:rPr>
          <w:szCs w:val="21"/>
          <w:highlight w:val="none"/>
        </w:rPr>
      </w:pPr>
      <w:r>
        <w:rPr>
          <w:rFonts w:hint="eastAsia"/>
          <w:szCs w:val="21"/>
          <w:highlight w:val="none"/>
        </w:rPr>
        <w:t>内网北斗高精度位置服务接入：支持接入南方电网统一北斗差分服务，支持单北斗多系统挂载点；</w:t>
      </w:r>
    </w:p>
    <w:p w14:paraId="5990B8FE">
      <w:pPr>
        <w:numPr>
          <w:ilvl w:val="0"/>
          <w:numId w:val="29"/>
        </w:numPr>
        <w:adjustRightInd w:val="0"/>
        <w:spacing w:line="360" w:lineRule="auto"/>
        <w:rPr>
          <w:szCs w:val="21"/>
          <w:highlight w:val="none"/>
        </w:rPr>
      </w:pPr>
      <w:r>
        <w:rPr>
          <w:rFonts w:hint="eastAsia"/>
          <w:szCs w:val="21"/>
          <w:highlight w:val="none"/>
        </w:rPr>
        <w:t>物联网平台接入：支持接入南方电网全域物联网平台，实现终端设备数据上送及远程命令接收。</w:t>
      </w:r>
    </w:p>
    <w:p w14:paraId="2015BE71">
      <w:pPr>
        <w:pStyle w:val="3"/>
        <w:spacing w:before="0" w:after="0" w:line="360" w:lineRule="auto"/>
        <w:rPr>
          <w:rFonts w:ascii="Times New Roman" w:hAnsi="Times New Roman" w:eastAsia="黑体"/>
          <w:b w:val="0"/>
          <w:bCs/>
          <w:szCs w:val="21"/>
          <w:highlight w:val="none"/>
        </w:rPr>
      </w:pPr>
      <w:bookmarkStart w:id="158" w:name="_Toc1227"/>
      <w:bookmarkStart w:id="159" w:name="_Toc226121111"/>
      <w:bookmarkStart w:id="160" w:name="_Toc2777"/>
      <w:bookmarkStart w:id="161" w:name="_Toc14638"/>
      <w:bookmarkStart w:id="162" w:name="_Toc11519"/>
      <w:r>
        <w:rPr>
          <w:rFonts w:hint="eastAsia" w:ascii="Times New Roman" w:hAnsi="Times New Roman" w:eastAsia="黑体"/>
          <w:b w:val="0"/>
          <w:bCs/>
          <w:szCs w:val="21"/>
          <w:highlight w:val="none"/>
        </w:rPr>
        <w:t>5</w:t>
      </w:r>
      <w:r>
        <w:rPr>
          <w:rFonts w:ascii="Times New Roman" w:hAnsi="Times New Roman" w:eastAsia="黑体"/>
          <w:b w:val="0"/>
          <w:bCs/>
          <w:szCs w:val="21"/>
          <w:highlight w:val="none"/>
        </w:rPr>
        <w:t>.</w:t>
      </w:r>
      <w:r>
        <w:rPr>
          <w:rFonts w:hint="eastAsia" w:ascii="Times New Roman" w:hAnsi="Times New Roman" w:eastAsia="黑体"/>
          <w:b w:val="0"/>
          <w:bCs/>
          <w:szCs w:val="21"/>
          <w:highlight w:val="none"/>
        </w:rPr>
        <w:t>4</w:t>
      </w:r>
      <w:r>
        <w:rPr>
          <w:rFonts w:ascii="Times New Roman" w:hAnsi="Times New Roman" w:eastAsia="黑体"/>
          <w:b w:val="0"/>
          <w:bCs/>
          <w:szCs w:val="21"/>
          <w:highlight w:val="none"/>
        </w:rPr>
        <w:t xml:space="preserve"> </w:t>
      </w:r>
      <w:r>
        <w:rPr>
          <w:rFonts w:hint="eastAsia" w:ascii="Times New Roman" w:hAnsi="Times New Roman" w:eastAsia="黑体"/>
          <w:b w:val="0"/>
          <w:bCs/>
          <w:szCs w:val="21"/>
          <w:highlight w:val="none"/>
        </w:rPr>
        <w:t>内网4G图传服务技术要求</w:t>
      </w:r>
      <w:bookmarkEnd w:id="158"/>
      <w:bookmarkEnd w:id="159"/>
      <w:bookmarkEnd w:id="160"/>
      <w:bookmarkEnd w:id="161"/>
      <w:bookmarkEnd w:id="162"/>
    </w:p>
    <w:p w14:paraId="7D37CA8A">
      <w:pPr>
        <w:numPr>
          <w:ilvl w:val="0"/>
          <w:numId w:val="33"/>
        </w:numPr>
        <w:tabs>
          <w:tab w:val="left" w:pos="840"/>
        </w:tabs>
        <w:adjustRightInd w:val="0"/>
        <w:spacing w:line="360" w:lineRule="auto"/>
        <w:rPr>
          <w:szCs w:val="21"/>
          <w:highlight w:val="none"/>
        </w:rPr>
      </w:pPr>
      <w:r>
        <w:rPr>
          <w:rFonts w:hint="eastAsia"/>
          <w:szCs w:val="21"/>
          <w:highlight w:val="none"/>
        </w:rPr>
        <w:t>内网图传服务支持：提供内网4G图传增强服务接入；</w:t>
      </w:r>
    </w:p>
    <w:p w14:paraId="60621A00">
      <w:pPr>
        <w:numPr>
          <w:ilvl w:val="0"/>
          <w:numId w:val="33"/>
        </w:numPr>
        <w:tabs>
          <w:tab w:val="left" w:pos="840"/>
        </w:tabs>
        <w:adjustRightInd w:val="0"/>
        <w:spacing w:line="360" w:lineRule="auto"/>
        <w:rPr>
          <w:szCs w:val="21"/>
          <w:highlight w:val="none"/>
        </w:rPr>
      </w:pPr>
      <w:r>
        <w:rPr>
          <w:rFonts w:hint="eastAsia"/>
          <w:szCs w:val="21"/>
          <w:highlight w:val="none"/>
        </w:rPr>
        <w:t>数传图传功能：通过内网4G链路实现无人机与主控设备（遥控器、机巢）进行数传、图传数据交互的能力，支持无人机超视距远程巡检；</w:t>
      </w:r>
    </w:p>
    <w:p w14:paraId="2E8C543B">
      <w:pPr>
        <w:numPr>
          <w:ilvl w:val="0"/>
          <w:numId w:val="33"/>
        </w:numPr>
        <w:tabs>
          <w:tab w:val="left" w:pos="840"/>
        </w:tabs>
        <w:adjustRightInd w:val="0"/>
        <w:spacing w:line="360" w:lineRule="auto"/>
        <w:rPr>
          <w:szCs w:val="21"/>
          <w:highlight w:val="none"/>
        </w:rPr>
      </w:pPr>
      <w:r>
        <w:rPr>
          <w:rFonts w:hint="eastAsia"/>
          <w:szCs w:val="21"/>
          <w:highlight w:val="none"/>
        </w:rPr>
        <w:t>内网通讯及适用性：支持插入内网4G物联网卡；支持接入内网网络，增强图传传输能力；支持连接网络RTK；支持大疆M3、M30、M300、M3D等系列无人机；</w:t>
      </w:r>
    </w:p>
    <w:p w14:paraId="58883A4B">
      <w:pPr>
        <w:numPr>
          <w:ilvl w:val="0"/>
          <w:numId w:val="33"/>
        </w:numPr>
        <w:tabs>
          <w:tab w:val="left" w:pos="840"/>
        </w:tabs>
        <w:adjustRightInd w:val="0"/>
        <w:spacing w:line="360" w:lineRule="auto"/>
        <w:rPr>
          <w:szCs w:val="21"/>
          <w:highlight w:val="none"/>
        </w:rPr>
      </w:pPr>
      <w:r>
        <w:rPr>
          <w:rFonts w:hint="eastAsia"/>
          <w:szCs w:val="21"/>
          <w:highlight w:val="none"/>
        </w:rPr>
        <w:t>部署安装调试服务，提供私有化节点部署服务：1）环境搭建：含企业私有化部署许可申请、服务器资源初始化、环境搭建、网络策略申请及测试；2）软件安装与配置：安装所需的软件系统，包括图传管理平台和监控系统，配置系统参数，以满足现场应用场景的需求；3）内网4G图传模块集成自检工作：将图传设备与其他系统（如无人机、地面站）进行集成，确保各部分能够无缝协作；4）进行全面的系统调试和接口调试，包括信号强度、传输延迟和数据完整性测试，确保数据流畅传输；5）根据测试结果进行系统调优，优化传输质量和稳定性。</w:t>
      </w:r>
    </w:p>
    <w:p w14:paraId="7D31276F">
      <w:pPr>
        <w:pStyle w:val="3"/>
        <w:rPr>
          <w:rFonts w:ascii="Times New Roman" w:hAnsi="Times New Roman" w:eastAsia="黑体"/>
          <w:b w:val="0"/>
          <w:bCs/>
          <w:szCs w:val="21"/>
          <w:highlight w:val="none"/>
        </w:rPr>
      </w:pPr>
      <w:bookmarkStart w:id="163" w:name="_Toc28599"/>
      <w:bookmarkStart w:id="164" w:name="_Toc157"/>
      <w:bookmarkStart w:id="165" w:name="_Toc222993404"/>
      <w:bookmarkStart w:id="166" w:name="_Toc18016"/>
      <w:bookmarkStart w:id="167" w:name="_Toc15425"/>
      <w:bookmarkStart w:id="168" w:name="_Toc23428"/>
      <w:bookmarkStart w:id="169" w:name="_Toc226121112"/>
      <w:bookmarkStart w:id="170" w:name="_Toc76025495"/>
      <w:bookmarkStart w:id="171" w:name="_Toc28638"/>
      <w:bookmarkStart w:id="172" w:name="_Toc72859325"/>
      <w:bookmarkStart w:id="173" w:name="_Toc20375"/>
      <w:bookmarkStart w:id="174" w:name="_Toc6116"/>
      <w:r>
        <w:rPr>
          <w:rFonts w:ascii="Times New Roman" w:hAnsi="Times New Roman" w:eastAsia="黑体"/>
          <w:b w:val="0"/>
          <w:bCs/>
          <w:szCs w:val="21"/>
          <w:highlight w:val="none"/>
        </w:rPr>
        <w:t>5.</w:t>
      </w:r>
      <w:r>
        <w:rPr>
          <w:rFonts w:hint="eastAsia" w:ascii="Times New Roman" w:hAnsi="Times New Roman" w:eastAsia="黑体"/>
          <w:b w:val="0"/>
          <w:bCs/>
          <w:szCs w:val="21"/>
          <w:highlight w:val="none"/>
        </w:rPr>
        <w:t>5 网络安全要求</w:t>
      </w:r>
      <w:bookmarkEnd w:id="163"/>
      <w:bookmarkEnd w:id="164"/>
      <w:bookmarkEnd w:id="165"/>
      <w:bookmarkEnd w:id="166"/>
      <w:bookmarkEnd w:id="167"/>
      <w:bookmarkEnd w:id="168"/>
      <w:bookmarkEnd w:id="169"/>
      <w:bookmarkEnd w:id="170"/>
      <w:bookmarkEnd w:id="171"/>
      <w:bookmarkEnd w:id="172"/>
      <w:bookmarkEnd w:id="173"/>
      <w:bookmarkEnd w:id="174"/>
    </w:p>
    <w:p w14:paraId="61C2C582">
      <w:pPr>
        <w:tabs>
          <w:tab w:val="left" w:pos="1985"/>
        </w:tabs>
        <w:spacing w:line="360" w:lineRule="auto"/>
        <w:ind w:firstLine="420"/>
        <w:rPr>
          <w:szCs w:val="21"/>
          <w:highlight w:val="none"/>
        </w:rPr>
      </w:pPr>
      <w:r>
        <w:rPr>
          <w:rFonts w:hint="eastAsia"/>
          <w:szCs w:val="21"/>
          <w:highlight w:val="none"/>
        </w:rPr>
        <w:t>投标方提供软硬件产品或技术服务过程中，按照有关法律法规和程序开展工作，严格执行国家的有关方针、政策，并遵守以下规定：</w:t>
      </w:r>
    </w:p>
    <w:p w14:paraId="081FF38E">
      <w:pPr>
        <w:tabs>
          <w:tab w:val="left" w:pos="1985"/>
        </w:tabs>
        <w:spacing w:line="360" w:lineRule="auto"/>
        <w:ind w:firstLine="420"/>
        <w:rPr>
          <w:szCs w:val="21"/>
          <w:highlight w:val="none"/>
        </w:rPr>
      </w:pPr>
      <w:r>
        <w:rPr>
          <w:rFonts w:hint="eastAsia"/>
          <w:szCs w:val="21"/>
          <w:highlight w:val="none"/>
        </w:rPr>
        <w:t>1）不利用招标方网络与信息系统从事危害国家安全、泄露国家秘密、侵犯公民、法人、招标方和其他组织的利益，或其它违法犯罪活动；</w:t>
      </w:r>
    </w:p>
    <w:p w14:paraId="4CCF5492">
      <w:pPr>
        <w:tabs>
          <w:tab w:val="left" w:pos="1985"/>
        </w:tabs>
        <w:spacing w:line="360" w:lineRule="auto"/>
        <w:ind w:firstLine="420"/>
        <w:rPr>
          <w:szCs w:val="21"/>
          <w:highlight w:val="none"/>
        </w:rPr>
      </w:pPr>
      <w:r>
        <w:rPr>
          <w:rFonts w:hint="eastAsia"/>
          <w:szCs w:val="21"/>
          <w:highlight w:val="none"/>
        </w:rPr>
        <w:t>2）不利用项目工作便利获取和留存招标方业务数据，不利用招标方业务数据谋取利益或从事其他与项目无关工作；</w:t>
      </w:r>
    </w:p>
    <w:p w14:paraId="48EC318A">
      <w:pPr>
        <w:tabs>
          <w:tab w:val="left" w:pos="1985"/>
        </w:tabs>
        <w:spacing w:line="360" w:lineRule="auto"/>
        <w:ind w:firstLine="420"/>
        <w:rPr>
          <w:szCs w:val="21"/>
          <w:highlight w:val="none"/>
        </w:rPr>
      </w:pPr>
      <w:r>
        <w:rPr>
          <w:rFonts w:hint="eastAsia"/>
          <w:szCs w:val="21"/>
          <w:highlight w:val="none"/>
        </w:rPr>
        <w:t>3）交付的软硬件产品须满足招标方安全策略要求，不得含有后门、木马、已知漏洞等安全隐患。在其产品投运前，投标方应将产品有关的功能服务台帐、特权账号等建设运维文档全部移交给招标方；</w:t>
      </w:r>
    </w:p>
    <w:p w14:paraId="2835666F">
      <w:pPr>
        <w:tabs>
          <w:tab w:val="left" w:pos="1985"/>
        </w:tabs>
        <w:spacing w:line="360" w:lineRule="auto"/>
        <w:ind w:firstLine="420"/>
        <w:rPr>
          <w:szCs w:val="21"/>
          <w:highlight w:val="none"/>
        </w:rPr>
      </w:pPr>
      <w:r>
        <w:rPr>
          <w:rFonts w:hint="eastAsia"/>
          <w:szCs w:val="21"/>
          <w:highlight w:val="none"/>
        </w:rPr>
        <w:t>4）遵循招标方软件开发规范、安全合规要求开展系统开发部署及运行维护工作，配合招标方开展源代码审计工作；</w:t>
      </w:r>
    </w:p>
    <w:p w14:paraId="23A767FF">
      <w:pPr>
        <w:tabs>
          <w:tab w:val="left" w:pos="1985"/>
        </w:tabs>
        <w:spacing w:line="360" w:lineRule="auto"/>
        <w:ind w:firstLine="420"/>
        <w:rPr>
          <w:szCs w:val="21"/>
          <w:highlight w:val="none"/>
        </w:rPr>
      </w:pPr>
      <w:r>
        <w:rPr>
          <w:rFonts w:hint="eastAsia"/>
          <w:szCs w:val="21"/>
          <w:highlight w:val="none"/>
        </w:rPr>
        <w:t>5）因投标方产品设计、开发缺陷造成其交付的产品在运行中出现安全隐患时，投标方应按招标方要求开展整改，并配合招标方开展其它支撑平台的安全整改；</w:t>
      </w:r>
    </w:p>
    <w:p w14:paraId="684D79E6">
      <w:pPr>
        <w:tabs>
          <w:tab w:val="left" w:pos="1985"/>
        </w:tabs>
        <w:spacing w:line="360" w:lineRule="auto"/>
        <w:ind w:firstLine="420"/>
        <w:rPr>
          <w:szCs w:val="21"/>
          <w:highlight w:val="none"/>
        </w:rPr>
      </w:pPr>
      <w:r>
        <w:rPr>
          <w:rFonts w:hint="eastAsia"/>
          <w:szCs w:val="21"/>
          <w:highlight w:val="none"/>
        </w:rPr>
        <w:t>6）未经招标方许可，投标方不得将项目涉及的源代码、数据文件上传至互联网共享平台，或提供给其他组织和个人；</w:t>
      </w:r>
    </w:p>
    <w:p w14:paraId="7F4A6BB4">
      <w:pPr>
        <w:tabs>
          <w:tab w:val="left" w:pos="1985"/>
        </w:tabs>
        <w:spacing w:line="360" w:lineRule="auto"/>
        <w:ind w:firstLine="420"/>
        <w:rPr>
          <w:szCs w:val="21"/>
          <w:highlight w:val="none"/>
        </w:rPr>
      </w:pPr>
      <w:r>
        <w:rPr>
          <w:rFonts w:hint="eastAsia"/>
          <w:szCs w:val="21"/>
          <w:highlight w:val="none"/>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6512E1F5">
      <w:pPr>
        <w:tabs>
          <w:tab w:val="left" w:pos="1985"/>
        </w:tabs>
        <w:spacing w:line="360" w:lineRule="auto"/>
        <w:ind w:firstLine="420"/>
        <w:rPr>
          <w:szCs w:val="21"/>
          <w:highlight w:val="none"/>
        </w:rPr>
      </w:pPr>
      <w:r>
        <w:rPr>
          <w:rFonts w:hint="eastAsia"/>
          <w:szCs w:val="21"/>
          <w:highlight w:val="none"/>
        </w:rPr>
        <w:t>8）未通过招标方测试、备案的软件系统和设备不得私自上线运行；</w:t>
      </w:r>
    </w:p>
    <w:p w14:paraId="207360BA">
      <w:pPr>
        <w:tabs>
          <w:tab w:val="left" w:pos="1985"/>
        </w:tabs>
        <w:spacing w:line="360" w:lineRule="auto"/>
        <w:ind w:firstLine="420"/>
        <w:rPr>
          <w:szCs w:val="21"/>
          <w:highlight w:val="none"/>
        </w:rPr>
      </w:pPr>
      <w:r>
        <w:rPr>
          <w:rFonts w:hint="eastAsia"/>
          <w:szCs w:val="21"/>
          <w:highlight w:val="none"/>
        </w:rPr>
        <w:t>9）为招标方开展安全测试、安全加固等服务工作时，应及时清除服务过程产生的文件、服务、账号等信息，不得在招标方生产及测试环境留存病毒、木马文件及系统特权账号；</w:t>
      </w:r>
    </w:p>
    <w:p w14:paraId="0552888E">
      <w:pPr>
        <w:tabs>
          <w:tab w:val="left" w:pos="1985"/>
        </w:tabs>
        <w:spacing w:line="360" w:lineRule="auto"/>
        <w:ind w:firstLine="420"/>
        <w:rPr>
          <w:szCs w:val="21"/>
          <w:highlight w:val="none"/>
        </w:rPr>
      </w:pPr>
      <w:r>
        <w:rPr>
          <w:rFonts w:hint="eastAsia"/>
          <w:szCs w:val="21"/>
          <w:highlight w:val="none"/>
        </w:rPr>
        <w:t>10）投标方应将本协议的条款以书面方式告知项目相关人员，并对项目相关人员进行网络安全培训。</w:t>
      </w:r>
    </w:p>
    <w:p w14:paraId="4A4D5FEA">
      <w:pPr>
        <w:tabs>
          <w:tab w:val="left" w:pos="1985"/>
        </w:tabs>
        <w:spacing w:line="360" w:lineRule="auto"/>
        <w:ind w:firstLine="420"/>
        <w:rPr>
          <w:szCs w:val="21"/>
          <w:highlight w:val="none"/>
        </w:rPr>
      </w:pPr>
      <w:r>
        <w:rPr>
          <w:rFonts w:hint="eastAsia"/>
          <w:szCs w:val="21"/>
          <w:highlight w:val="none"/>
        </w:rPr>
        <w:t>1</w:t>
      </w:r>
      <w:r>
        <w:rPr>
          <w:szCs w:val="21"/>
          <w:highlight w:val="none"/>
        </w:rPr>
        <w:t>1</w:t>
      </w:r>
      <w:r>
        <w:rPr>
          <w:rFonts w:hint="eastAsia"/>
          <w:szCs w:val="21"/>
          <w:highlight w:val="none"/>
        </w:rPr>
        <w:t>）投标方负责质保期内对交付产品的补丁更新、安全加固、漏洞整改，并配合招标方完成网络安全应急响应及处置。</w:t>
      </w:r>
    </w:p>
    <w:p w14:paraId="156573EB">
      <w:pPr>
        <w:spacing w:line="480" w:lineRule="auto"/>
        <w:outlineLvl w:val="0"/>
        <w:rPr>
          <w:rFonts w:eastAsia="黑体"/>
          <w:b/>
          <w:bCs/>
          <w:szCs w:val="21"/>
          <w:highlight w:val="none"/>
        </w:rPr>
      </w:pPr>
      <w:bookmarkStart w:id="175" w:name="_Toc5468"/>
      <w:bookmarkStart w:id="176" w:name="_Toc26970"/>
      <w:bookmarkStart w:id="177" w:name="_Toc13057"/>
      <w:bookmarkStart w:id="178" w:name="_Toc384341016"/>
      <w:bookmarkStart w:id="179" w:name="_Toc21873"/>
      <w:bookmarkStart w:id="180" w:name="_Toc10727"/>
      <w:bookmarkStart w:id="181" w:name="_Toc271281212"/>
      <w:bookmarkStart w:id="182" w:name="_Toc24491"/>
      <w:bookmarkStart w:id="183" w:name="_Toc279695721"/>
      <w:bookmarkStart w:id="184" w:name="_Toc25495"/>
      <w:bookmarkStart w:id="185" w:name="_Toc7840"/>
      <w:bookmarkStart w:id="186" w:name="_Toc276492417"/>
      <w:bookmarkStart w:id="187" w:name="_Toc6296"/>
      <w:bookmarkStart w:id="188" w:name="_Toc16188"/>
      <w:bookmarkStart w:id="189" w:name="_Toc16882"/>
      <w:bookmarkStart w:id="190" w:name="_Toc26329"/>
      <w:bookmarkStart w:id="191" w:name="_Toc388022579"/>
      <w:bookmarkStart w:id="192" w:name="_Toc6840"/>
      <w:bookmarkStart w:id="193" w:name="_Toc276490905"/>
      <w:bookmarkStart w:id="194" w:name="_Toc400640382"/>
      <w:bookmarkStart w:id="195" w:name="_Toc6227"/>
      <w:bookmarkStart w:id="196" w:name="_Toc282993301"/>
      <w:bookmarkStart w:id="197" w:name="_Toc13109"/>
      <w:bookmarkStart w:id="198" w:name="_Toc17572"/>
      <w:bookmarkStart w:id="199" w:name="_Toc11877"/>
      <w:bookmarkStart w:id="200" w:name="_Toc781"/>
      <w:bookmarkStart w:id="201" w:name="_Toc76025496"/>
      <w:bookmarkStart w:id="202" w:name="_Toc28430"/>
      <w:bookmarkStart w:id="203" w:name="_Toc226121113"/>
      <w:bookmarkStart w:id="204" w:name="_Toc222993405"/>
      <w:r>
        <w:rPr>
          <w:rFonts w:eastAsia="黑体"/>
          <w:b/>
          <w:bCs/>
          <w:szCs w:val="21"/>
          <w:highlight w:val="none"/>
        </w:rPr>
        <w:t xml:space="preserve">6 </w:t>
      </w:r>
      <w:r>
        <w:rPr>
          <w:rFonts w:hint="eastAsia" w:eastAsia="黑体"/>
          <w:b/>
          <w:bCs/>
          <w:szCs w:val="21"/>
          <w:highlight w:val="none"/>
        </w:rPr>
        <w:t>试验项目及要求</w:t>
      </w:r>
      <w:bookmarkEnd w:id="175"/>
    </w:p>
    <w:p w14:paraId="701CC507">
      <w:pPr>
        <w:pStyle w:val="3"/>
        <w:adjustRightInd w:val="0"/>
        <w:snapToGrid w:val="0"/>
        <w:spacing w:line="360" w:lineRule="auto"/>
        <w:rPr>
          <w:rFonts w:hint="eastAsia" w:ascii="黑体" w:hAnsi="黑体"/>
          <w:highlight w:val="none"/>
        </w:rPr>
      </w:pPr>
      <w:bookmarkStart w:id="205" w:name="_Toc28844"/>
      <w:r>
        <w:rPr>
          <w:rFonts w:hint="eastAsia" w:ascii="黑体" w:hAnsi="黑体"/>
          <w:highlight w:val="none"/>
        </w:rPr>
        <w:t>6.1 试验环境</w:t>
      </w:r>
      <w:bookmarkEnd w:id="205"/>
    </w:p>
    <w:p w14:paraId="1ABF8266">
      <w:pPr>
        <w:snapToGrid w:val="0"/>
        <w:spacing w:line="360" w:lineRule="auto"/>
        <w:ind w:firstLine="420" w:firstLineChars="200"/>
        <w:rPr>
          <w:szCs w:val="21"/>
          <w:highlight w:val="none"/>
        </w:rPr>
      </w:pPr>
      <w:r>
        <w:rPr>
          <w:rFonts w:hint="eastAsia"/>
          <w:szCs w:val="21"/>
          <w:highlight w:val="none"/>
        </w:rPr>
        <w:t>除另有规定外，各项检验宜在如下试验条件下进行：</w:t>
      </w:r>
    </w:p>
    <w:p w14:paraId="3FFA496A">
      <w:pPr>
        <w:snapToGrid w:val="0"/>
        <w:spacing w:line="360" w:lineRule="auto"/>
        <w:ind w:firstLine="420" w:firstLineChars="200"/>
        <w:rPr>
          <w:szCs w:val="21"/>
          <w:highlight w:val="none"/>
        </w:rPr>
      </w:pPr>
      <w:r>
        <w:rPr>
          <w:szCs w:val="21"/>
          <w:highlight w:val="none"/>
        </w:rPr>
        <w:t>a</w:t>
      </w:r>
      <w:r>
        <w:rPr>
          <w:rFonts w:hint="eastAsia"/>
          <w:szCs w:val="21"/>
          <w:highlight w:val="none"/>
        </w:rPr>
        <w:t>）</w:t>
      </w:r>
      <w:r>
        <w:rPr>
          <w:szCs w:val="21"/>
          <w:highlight w:val="none"/>
        </w:rPr>
        <w:tab/>
      </w:r>
      <w:r>
        <w:rPr>
          <w:rFonts w:hint="eastAsia"/>
          <w:szCs w:val="21"/>
          <w:highlight w:val="none"/>
        </w:rPr>
        <w:t>工作环境温度：</w:t>
      </w:r>
      <w:r>
        <w:rPr>
          <w:szCs w:val="21"/>
          <w:highlight w:val="none"/>
        </w:rPr>
        <w:t>-20</w:t>
      </w:r>
      <w:r>
        <w:rPr>
          <w:rFonts w:hint="eastAsia"/>
          <w:szCs w:val="21"/>
          <w:highlight w:val="none"/>
        </w:rPr>
        <w:t>℃～+45℃；</w:t>
      </w:r>
    </w:p>
    <w:p w14:paraId="7FDF307C">
      <w:pPr>
        <w:snapToGrid w:val="0"/>
        <w:spacing w:line="360" w:lineRule="auto"/>
        <w:ind w:firstLine="420" w:firstLineChars="200"/>
        <w:rPr>
          <w:szCs w:val="21"/>
          <w:highlight w:val="none"/>
        </w:rPr>
      </w:pPr>
      <w:r>
        <w:rPr>
          <w:szCs w:val="21"/>
          <w:highlight w:val="none"/>
        </w:rPr>
        <w:t>b</w:t>
      </w:r>
      <w:r>
        <w:rPr>
          <w:rFonts w:hint="eastAsia"/>
          <w:szCs w:val="21"/>
          <w:highlight w:val="none"/>
        </w:rPr>
        <w:t>）</w:t>
      </w:r>
      <w:r>
        <w:rPr>
          <w:szCs w:val="21"/>
          <w:highlight w:val="none"/>
        </w:rPr>
        <w:tab/>
      </w:r>
      <w:r>
        <w:rPr>
          <w:rFonts w:hint="eastAsia"/>
          <w:szCs w:val="21"/>
          <w:highlight w:val="none"/>
        </w:rPr>
        <w:t>工作相对湿度：</w:t>
      </w:r>
      <w:r>
        <w:rPr>
          <w:szCs w:val="21"/>
          <w:highlight w:val="none"/>
        </w:rPr>
        <w:t>3</w:t>
      </w:r>
      <w:r>
        <w:rPr>
          <w:rFonts w:hint="eastAsia"/>
          <w:szCs w:val="21"/>
          <w:highlight w:val="none"/>
        </w:rPr>
        <w:t>5％RH～</w:t>
      </w:r>
      <w:r>
        <w:rPr>
          <w:szCs w:val="21"/>
          <w:highlight w:val="none"/>
        </w:rPr>
        <w:t>80</w:t>
      </w:r>
      <w:r>
        <w:rPr>
          <w:rFonts w:hint="eastAsia"/>
          <w:szCs w:val="21"/>
          <w:highlight w:val="none"/>
        </w:rPr>
        <w:t>％RH，产品内部不应凝露；</w:t>
      </w:r>
    </w:p>
    <w:p w14:paraId="3054021A">
      <w:pPr>
        <w:snapToGrid w:val="0"/>
        <w:spacing w:line="360" w:lineRule="auto"/>
        <w:ind w:firstLine="420" w:firstLineChars="200"/>
        <w:rPr>
          <w:highlight w:val="none"/>
        </w:rPr>
      </w:pPr>
      <w:r>
        <w:rPr>
          <w:szCs w:val="21"/>
          <w:highlight w:val="none"/>
        </w:rPr>
        <w:t>c</w:t>
      </w:r>
      <w:r>
        <w:rPr>
          <w:rFonts w:hint="eastAsia"/>
          <w:szCs w:val="21"/>
          <w:highlight w:val="none"/>
        </w:rPr>
        <w:t>）</w:t>
      </w:r>
      <w:r>
        <w:rPr>
          <w:szCs w:val="21"/>
          <w:highlight w:val="none"/>
        </w:rPr>
        <w:tab/>
      </w:r>
      <w:r>
        <w:rPr>
          <w:rFonts w:hint="eastAsia"/>
          <w:szCs w:val="21"/>
          <w:highlight w:val="none"/>
        </w:rPr>
        <w:t>大气压/kPa：86～106kPa。</w:t>
      </w:r>
    </w:p>
    <w:p w14:paraId="21E17F6E">
      <w:pPr>
        <w:pStyle w:val="3"/>
        <w:widowControl/>
        <w:adjustRightInd w:val="0"/>
        <w:snapToGrid w:val="0"/>
        <w:spacing w:line="360" w:lineRule="auto"/>
        <w:jc w:val="left"/>
        <w:rPr>
          <w:rFonts w:hint="eastAsia" w:ascii="黑体" w:hAnsi="黑体"/>
          <w:highlight w:val="none"/>
        </w:rPr>
      </w:pPr>
      <w:bookmarkStart w:id="206" w:name="_Toc24322"/>
      <w:r>
        <w:rPr>
          <w:rFonts w:hint="eastAsia" w:ascii="黑体" w:hAnsi="黑体"/>
          <w:highlight w:val="none"/>
        </w:rPr>
        <w:t>6.2 结构和外观检查</w:t>
      </w:r>
      <w:bookmarkEnd w:id="206"/>
    </w:p>
    <w:p w14:paraId="62E26C96">
      <w:pPr>
        <w:snapToGrid w:val="0"/>
        <w:spacing w:line="360" w:lineRule="auto"/>
        <w:ind w:firstLine="420" w:firstLineChars="200"/>
        <w:rPr>
          <w:szCs w:val="21"/>
          <w:highlight w:val="none"/>
        </w:rPr>
      </w:pPr>
      <w:r>
        <w:rPr>
          <w:szCs w:val="21"/>
          <w:highlight w:val="none"/>
        </w:rPr>
        <w:t>a</w:t>
      </w:r>
      <w:r>
        <w:rPr>
          <w:rFonts w:hint="eastAsia"/>
          <w:szCs w:val="21"/>
          <w:highlight w:val="none"/>
        </w:rPr>
        <w:t>）</w:t>
      </w:r>
      <w:r>
        <w:rPr>
          <w:szCs w:val="21"/>
          <w:highlight w:val="none"/>
        </w:rPr>
        <w:tab/>
      </w:r>
      <w:r>
        <w:rPr>
          <w:rFonts w:hint="eastAsia"/>
          <w:szCs w:val="21"/>
          <w:highlight w:val="none"/>
        </w:rPr>
        <w:t>外壳表面没有明显的凹痕、划伤、裂缝、变形和污染，表面涂镀层应均匀，无龟裂、脱落和磨损，金属零部件无锈蚀及其他机械损伤；</w:t>
      </w:r>
    </w:p>
    <w:p w14:paraId="236C973A">
      <w:pPr>
        <w:snapToGrid w:val="0"/>
        <w:spacing w:line="360" w:lineRule="auto"/>
        <w:ind w:firstLine="420" w:firstLineChars="200"/>
        <w:rPr>
          <w:szCs w:val="21"/>
          <w:highlight w:val="none"/>
        </w:rPr>
      </w:pPr>
      <w:r>
        <w:rPr>
          <w:szCs w:val="21"/>
          <w:highlight w:val="none"/>
        </w:rPr>
        <w:t>b</w:t>
      </w:r>
      <w:r>
        <w:rPr>
          <w:rFonts w:hint="eastAsia"/>
          <w:szCs w:val="21"/>
          <w:highlight w:val="none"/>
        </w:rPr>
        <w:t>）</w:t>
      </w:r>
      <w:r>
        <w:rPr>
          <w:szCs w:val="21"/>
          <w:highlight w:val="none"/>
        </w:rPr>
        <w:tab/>
      </w:r>
      <w:r>
        <w:rPr>
          <w:rFonts w:hint="eastAsia"/>
          <w:szCs w:val="21"/>
          <w:highlight w:val="none"/>
        </w:rPr>
        <w:t>装置各零部件紧固无松动；</w:t>
      </w:r>
    </w:p>
    <w:p w14:paraId="17F252A8">
      <w:pPr>
        <w:snapToGrid w:val="0"/>
        <w:spacing w:line="360" w:lineRule="auto"/>
        <w:ind w:firstLine="420" w:firstLineChars="200"/>
        <w:rPr>
          <w:szCs w:val="21"/>
          <w:highlight w:val="none"/>
        </w:rPr>
      </w:pPr>
      <w:r>
        <w:rPr>
          <w:szCs w:val="21"/>
          <w:highlight w:val="none"/>
        </w:rPr>
        <w:t>c</w:t>
      </w:r>
      <w:r>
        <w:rPr>
          <w:rFonts w:hint="eastAsia"/>
          <w:szCs w:val="21"/>
          <w:highlight w:val="none"/>
        </w:rPr>
        <w:t>）</w:t>
      </w:r>
      <w:r>
        <w:rPr>
          <w:szCs w:val="21"/>
          <w:highlight w:val="none"/>
        </w:rPr>
        <w:tab/>
      </w:r>
      <w:r>
        <w:rPr>
          <w:rFonts w:hint="eastAsia"/>
          <w:szCs w:val="21"/>
          <w:highlight w:val="none"/>
        </w:rPr>
        <w:t>标志、铭牌、文字及符号应简明清晰，铭牌上要标出产品的名称、型号、生产厂商以及装置编号。</w:t>
      </w:r>
    </w:p>
    <w:p w14:paraId="4659AE8E">
      <w:pPr>
        <w:pStyle w:val="3"/>
        <w:widowControl/>
        <w:adjustRightInd w:val="0"/>
        <w:snapToGrid w:val="0"/>
        <w:spacing w:line="360" w:lineRule="auto"/>
        <w:jc w:val="left"/>
        <w:rPr>
          <w:rFonts w:hint="eastAsia" w:ascii="黑体" w:hAnsi="黑体"/>
          <w:highlight w:val="none"/>
        </w:rPr>
      </w:pPr>
      <w:bookmarkStart w:id="207" w:name="_Toc27745"/>
      <w:r>
        <w:rPr>
          <w:rFonts w:hint="eastAsia" w:ascii="黑体" w:hAnsi="黑体"/>
          <w:highlight w:val="none"/>
        </w:rPr>
        <w:t>6.3 环境试验</w:t>
      </w:r>
      <w:bookmarkEnd w:id="207"/>
    </w:p>
    <w:p w14:paraId="798A47E9">
      <w:pPr>
        <w:tabs>
          <w:tab w:val="left" w:pos="709"/>
        </w:tabs>
        <w:spacing w:line="360" w:lineRule="auto"/>
        <w:ind w:firstLine="210"/>
        <w:rPr>
          <w:highlight w:val="none"/>
        </w:rPr>
      </w:pPr>
      <w:r>
        <w:rPr>
          <w:rFonts w:hint="eastAsia"/>
          <w:szCs w:val="21"/>
          <w:highlight w:val="none"/>
        </w:rPr>
        <w:t>应按照现场工作方式配置开启网关装置系统，试验过程中及试验后，装置需保持正常工作状态，具体要求如下：</w:t>
      </w:r>
    </w:p>
    <w:p w14:paraId="48F5BD0A">
      <w:pPr>
        <w:jc w:val="left"/>
        <w:outlineLvl w:val="2"/>
        <w:rPr>
          <w:rFonts w:hint="eastAsia" w:ascii="黑体" w:hAnsi="黑体" w:eastAsia="黑体"/>
          <w:kern w:val="0"/>
          <w:szCs w:val="21"/>
          <w:highlight w:val="none"/>
        </w:rPr>
      </w:pPr>
      <w:r>
        <w:rPr>
          <w:rFonts w:hint="eastAsia" w:ascii="黑体" w:hAnsi="黑体" w:eastAsia="黑体"/>
          <w:kern w:val="0"/>
          <w:szCs w:val="21"/>
          <w:highlight w:val="none"/>
        </w:rPr>
        <w:t>6.3.1 低温性能</w:t>
      </w:r>
    </w:p>
    <w:p w14:paraId="16620B2B">
      <w:pPr>
        <w:widowControl/>
        <w:tabs>
          <w:tab w:val="left" w:pos="709"/>
        </w:tabs>
        <w:spacing w:line="360" w:lineRule="auto"/>
        <w:ind w:firstLine="420" w:firstLineChars="200"/>
        <w:jc w:val="left"/>
        <w:rPr>
          <w:highlight w:val="none"/>
          <w:lang w:bidi="ar"/>
        </w:rPr>
      </w:pPr>
      <w:r>
        <w:rPr>
          <w:rFonts w:hint="eastAsia"/>
          <w:highlight w:val="none"/>
          <w:lang w:bidi="ar"/>
        </w:rPr>
        <w:t>试验温度：网关按GB/T 28046.4-2011要求，低温不低于-</w:t>
      </w:r>
      <w:r>
        <w:rPr>
          <w:highlight w:val="none"/>
          <w:lang w:bidi="ar"/>
        </w:rPr>
        <w:t>2</w:t>
      </w:r>
      <w:r>
        <w:rPr>
          <w:rFonts w:hint="eastAsia"/>
          <w:highlight w:val="none"/>
          <w:lang w:bidi="ar"/>
        </w:rPr>
        <w:t>0℃。</w:t>
      </w:r>
    </w:p>
    <w:p w14:paraId="4A531EA0">
      <w:pPr>
        <w:widowControl/>
        <w:tabs>
          <w:tab w:val="left" w:pos="709"/>
        </w:tabs>
        <w:spacing w:line="360" w:lineRule="auto"/>
        <w:ind w:firstLine="420" w:firstLineChars="200"/>
        <w:jc w:val="left"/>
        <w:rPr>
          <w:highlight w:val="none"/>
          <w:lang w:bidi="ar"/>
        </w:rPr>
      </w:pPr>
      <w:r>
        <w:rPr>
          <w:rFonts w:hint="eastAsia"/>
          <w:highlight w:val="none"/>
          <w:lang w:bidi="ar"/>
        </w:rPr>
        <w:t>升温/降温速率：≤1℃/min（避免骤冷损伤元器件），温度稳定后偏差控制在±0.5℃以内。</w:t>
      </w:r>
    </w:p>
    <w:p w14:paraId="71CACE31">
      <w:pPr>
        <w:widowControl/>
        <w:tabs>
          <w:tab w:val="left" w:pos="709"/>
        </w:tabs>
        <w:spacing w:line="360" w:lineRule="auto"/>
        <w:ind w:firstLine="420" w:firstLineChars="200"/>
        <w:jc w:val="left"/>
        <w:rPr>
          <w:highlight w:val="none"/>
          <w:lang w:bidi="ar"/>
        </w:rPr>
      </w:pPr>
      <w:r>
        <w:rPr>
          <w:rFonts w:hint="eastAsia"/>
          <w:highlight w:val="none"/>
          <w:lang w:bidi="ar"/>
        </w:rPr>
        <w:t>持续时间：稳态低温下连续工作</w:t>
      </w:r>
      <w:r>
        <w:rPr>
          <w:highlight w:val="none"/>
          <w:lang w:bidi="ar"/>
        </w:rPr>
        <w:t>72</w:t>
      </w:r>
      <w:r>
        <w:rPr>
          <w:rFonts w:hint="eastAsia"/>
          <w:highlight w:val="none"/>
          <w:lang w:bidi="ar"/>
        </w:rPr>
        <w:t>h；低温贮存试验需持续100h，验证元器件长期耐低温性能。</w:t>
      </w:r>
    </w:p>
    <w:p w14:paraId="0C55277D">
      <w:pPr>
        <w:widowControl/>
        <w:tabs>
          <w:tab w:val="left" w:pos="709"/>
        </w:tabs>
        <w:spacing w:line="360" w:lineRule="auto"/>
        <w:ind w:firstLine="420" w:firstLineChars="200"/>
        <w:jc w:val="left"/>
        <w:rPr>
          <w:highlight w:val="none"/>
          <w:lang w:bidi="ar"/>
        </w:rPr>
      </w:pPr>
      <w:r>
        <w:rPr>
          <w:rFonts w:hint="eastAsia"/>
          <w:highlight w:val="none"/>
          <w:lang w:bidi="ar"/>
        </w:rPr>
        <w:t>试验状态：装置处于通电工作状态，加载实际工作负载，模拟真实运行场景。装置能正常上电启动，无死机、无法启动、启动卡顿等现象，启动时间符合产品技术要求，低温断电12h后上电，固件自检完整、配置参数保持正常。数据处理能正常采集、传输、存储数据，数据无丢失、无错乱，核心功能正常运行，数据精度无明显下降。</w:t>
      </w:r>
    </w:p>
    <w:p w14:paraId="39D8994A">
      <w:pPr>
        <w:jc w:val="left"/>
        <w:outlineLvl w:val="2"/>
        <w:rPr>
          <w:rFonts w:hint="eastAsia" w:ascii="黑体" w:hAnsi="黑体" w:eastAsia="黑体"/>
          <w:kern w:val="0"/>
          <w:szCs w:val="21"/>
          <w:highlight w:val="none"/>
        </w:rPr>
      </w:pPr>
      <w:r>
        <w:rPr>
          <w:rFonts w:hint="eastAsia" w:ascii="黑体" w:hAnsi="黑体" w:eastAsia="黑体"/>
          <w:kern w:val="0"/>
          <w:szCs w:val="21"/>
          <w:highlight w:val="none"/>
        </w:rPr>
        <w:t>6.3.2 高温性能</w:t>
      </w:r>
    </w:p>
    <w:p w14:paraId="457D6C2C">
      <w:pPr>
        <w:widowControl/>
        <w:tabs>
          <w:tab w:val="left" w:pos="709"/>
        </w:tabs>
        <w:spacing w:line="360" w:lineRule="auto"/>
        <w:ind w:firstLine="420" w:firstLineChars="200"/>
        <w:jc w:val="left"/>
        <w:rPr>
          <w:highlight w:val="none"/>
          <w:lang w:bidi="ar"/>
        </w:rPr>
      </w:pPr>
      <w:r>
        <w:rPr>
          <w:rFonts w:hint="eastAsia"/>
          <w:highlight w:val="none"/>
          <w:lang w:bidi="ar"/>
        </w:rPr>
        <w:t>试验温度：载网关按GB/T 28046.4-2011要求，高温不高于+45℃。</w:t>
      </w:r>
    </w:p>
    <w:p w14:paraId="77ABA7FA">
      <w:pPr>
        <w:widowControl/>
        <w:tabs>
          <w:tab w:val="left" w:pos="709"/>
        </w:tabs>
        <w:spacing w:line="360" w:lineRule="auto"/>
        <w:ind w:firstLine="420" w:firstLineChars="200"/>
        <w:jc w:val="left"/>
        <w:rPr>
          <w:highlight w:val="none"/>
          <w:lang w:bidi="ar"/>
        </w:rPr>
      </w:pPr>
      <w:r>
        <w:rPr>
          <w:rFonts w:hint="eastAsia"/>
          <w:highlight w:val="none"/>
          <w:lang w:bidi="ar"/>
        </w:rPr>
        <w:t>升温/降温速率：≤1℃/min，温度稳定后偏差控制在±0.5℃以内，避免导热界面材料失效。</w:t>
      </w:r>
    </w:p>
    <w:p w14:paraId="0F58136A">
      <w:pPr>
        <w:widowControl/>
        <w:tabs>
          <w:tab w:val="left" w:pos="709"/>
        </w:tabs>
        <w:spacing w:line="360" w:lineRule="auto"/>
        <w:ind w:firstLine="420" w:firstLineChars="200"/>
        <w:jc w:val="left"/>
        <w:rPr>
          <w:highlight w:val="none"/>
          <w:lang w:bidi="ar"/>
        </w:rPr>
      </w:pPr>
      <w:r>
        <w:rPr>
          <w:rFonts w:hint="eastAsia"/>
          <w:highlight w:val="none"/>
          <w:lang w:bidi="ar"/>
        </w:rPr>
        <w:t>持续时间：稳态高温下连续工作</w:t>
      </w:r>
      <w:r>
        <w:rPr>
          <w:highlight w:val="none"/>
          <w:lang w:bidi="ar"/>
        </w:rPr>
        <w:t>72</w:t>
      </w:r>
      <w:r>
        <w:rPr>
          <w:rFonts w:hint="eastAsia"/>
          <w:highlight w:val="none"/>
          <w:lang w:bidi="ar"/>
        </w:rPr>
        <w:t>h；高温贮存试验需持续100h，考核元器件长期热老化性能。</w:t>
      </w:r>
    </w:p>
    <w:p w14:paraId="40ED8B12">
      <w:pPr>
        <w:tabs>
          <w:tab w:val="left" w:pos="709"/>
        </w:tabs>
        <w:spacing w:line="360" w:lineRule="auto"/>
        <w:ind w:firstLine="420" w:firstLineChars="200"/>
        <w:rPr>
          <w:highlight w:val="none"/>
        </w:rPr>
      </w:pPr>
      <w:r>
        <w:rPr>
          <w:rFonts w:hint="eastAsia"/>
          <w:highlight w:val="none"/>
          <w:lang w:bidi="ar"/>
        </w:rPr>
        <w:t>试验状态：装置处于通电工作状态，加载实际工作负载，同步监测散热情况，模拟真实运行时的热环境。高温环境下，装置无过热、死机、重启、自动关机等现象，散热系统（如铝挤型外壳、导热硅脂）工作正常，无硅脂泵出、散热失效导致的结温骤升问题。电源模块输出稳定，无过流、过压保护触发；各电子元器件性能稳定，无参数漂移，电解电容无隐性失效，电源纹波变化率符合要求。各类接口通信稳定，无信号衰减、断连，数据采集、传输、解析正常，无线模组（如有）射频校准参数无漂移，吞吐量满足设计要求。无外壳变形、变色、老化，接口无氧化、松动，PCB板无分层、焊点熔化，无引脚爬电现象。</w:t>
      </w:r>
    </w:p>
    <w:p w14:paraId="73FD08E7">
      <w:pPr>
        <w:jc w:val="left"/>
        <w:outlineLvl w:val="2"/>
        <w:rPr>
          <w:rFonts w:hint="eastAsia" w:ascii="黑体" w:hAnsi="黑体" w:eastAsia="黑体"/>
          <w:kern w:val="0"/>
          <w:szCs w:val="21"/>
          <w:highlight w:val="none"/>
        </w:rPr>
      </w:pPr>
      <w:r>
        <w:rPr>
          <w:rFonts w:hint="eastAsia" w:ascii="黑体" w:hAnsi="黑体" w:eastAsia="黑体"/>
          <w:kern w:val="0"/>
          <w:szCs w:val="21"/>
          <w:highlight w:val="none"/>
        </w:rPr>
        <w:t>6.3.3 交变湿热性能</w:t>
      </w:r>
    </w:p>
    <w:p w14:paraId="4D4B7E2D">
      <w:pPr>
        <w:tabs>
          <w:tab w:val="left" w:pos="709"/>
        </w:tabs>
        <w:spacing w:line="360" w:lineRule="auto"/>
        <w:ind w:firstLine="420" w:firstLineChars="200"/>
        <w:rPr>
          <w:highlight w:val="none"/>
        </w:rPr>
      </w:pPr>
      <w:r>
        <w:rPr>
          <w:rFonts w:hint="eastAsia"/>
          <w:highlight w:val="none"/>
        </w:rPr>
        <w:t>应依据GB/T 2423.4-2008《电工电子产品环境试验 第2部分：试验方法 试验Db：交变湿热（12h+12h循环）》执行，核心目的是验证网关装置在高湿度与温度循环变化、易产生凝露的环境下，电气性能、机械性能及工作稳定性的适配性，持续时间12h的交变湿热试验要求，试验结果应满足以下要求：</w:t>
      </w:r>
    </w:p>
    <w:p w14:paraId="643472B7">
      <w:pPr>
        <w:tabs>
          <w:tab w:val="left" w:pos="709"/>
        </w:tabs>
        <w:spacing w:line="360" w:lineRule="auto"/>
        <w:ind w:firstLine="420" w:firstLineChars="200"/>
        <w:rPr>
          <w:highlight w:val="none"/>
        </w:rPr>
      </w:pPr>
      <w:r>
        <w:rPr>
          <w:rFonts w:hint="eastAsia"/>
          <w:highlight w:val="none"/>
        </w:rPr>
        <w:t>1.网关外壳、接口、元器件无锈蚀、氧化、脱落，无明显变形、变色，密封性能完好，无进水、凝露痕迹，PCB板无分层、焊点脱落，三防漆覆盖完好，无引脚爬电现象，确保机械结构无损坏。</w:t>
      </w:r>
    </w:p>
    <w:p w14:paraId="4B21C5AC">
      <w:pPr>
        <w:tabs>
          <w:tab w:val="left" w:pos="709"/>
        </w:tabs>
        <w:spacing w:line="360" w:lineRule="auto"/>
        <w:ind w:firstLine="420" w:firstLineChars="200"/>
        <w:rPr>
          <w:highlight w:val="none"/>
        </w:rPr>
      </w:pPr>
      <w:r>
        <w:rPr>
          <w:rFonts w:hint="eastAsia"/>
          <w:highlight w:val="none"/>
        </w:rPr>
        <w:t>2.绝缘电阻测试达标（电源回路、信号回路对地/外壳≥10MΩ），无绝缘性能下降、漏电等问题；电源模块输出稳定，无过流、过压保护触发，元器件参数无明显漂移，电解电容无隐性失效，符合GB/T 2423.4及产品技术要求。</w:t>
      </w:r>
    </w:p>
    <w:p w14:paraId="69A9469A">
      <w:pPr>
        <w:tabs>
          <w:tab w:val="left" w:pos="709"/>
        </w:tabs>
        <w:spacing w:line="360" w:lineRule="auto"/>
        <w:ind w:firstLine="420" w:firstLineChars="200"/>
        <w:rPr>
          <w:highlight w:val="none"/>
        </w:rPr>
      </w:pPr>
      <w:r>
        <w:rPr>
          <w:rFonts w:hint="eastAsia"/>
          <w:highlight w:val="none"/>
        </w:rPr>
        <w:t>3.网关能正常上电启动，无死机、无法启动等现象；通信功能、数据处理功能与试验前一致，无性能下降；配置参数保持完整，无丢失、错乱，满足实际应用场景的可靠性要求，验证绝缘材料和连接部件的性能稳定性，避免因湿热腐蚀导致电气故障。</w:t>
      </w:r>
    </w:p>
    <w:p w14:paraId="1E066A19">
      <w:pPr>
        <w:pStyle w:val="3"/>
        <w:widowControl/>
        <w:adjustRightInd w:val="0"/>
        <w:snapToGrid w:val="0"/>
        <w:spacing w:line="360" w:lineRule="auto"/>
        <w:jc w:val="left"/>
        <w:rPr>
          <w:rFonts w:hint="eastAsia" w:ascii="黑体" w:hAnsi="黑体"/>
          <w:highlight w:val="none"/>
        </w:rPr>
      </w:pPr>
      <w:bookmarkStart w:id="208" w:name="_Toc28558"/>
      <w:r>
        <w:rPr>
          <w:rFonts w:hint="eastAsia" w:ascii="黑体" w:hAnsi="黑体"/>
          <w:highlight w:val="none"/>
        </w:rPr>
        <w:t>6.4 电磁兼容性试验</w:t>
      </w:r>
      <w:bookmarkEnd w:id="208"/>
    </w:p>
    <w:p w14:paraId="772106FD">
      <w:pPr>
        <w:snapToGrid w:val="0"/>
        <w:spacing w:line="360" w:lineRule="auto"/>
        <w:ind w:firstLine="420" w:firstLineChars="200"/>
        <w:rPr>
          <w:szCs w:val="21"/>
          <w:highlight w:val="none"/>
        </w:rPr>
      </w:pPr>
      <w:r>
        <w:rPr>
          <w:szCs w:val="21"/>
          <w:highlight w:val="none"/>
        </w:rPr>
        <w:t>a</w:t>
      </w:r>
      <w:r>
        <w:rPr>
          <w:rFonts w:hint="eastAsia"/>
          <w:szCs w:val="21"/>
          <w:highlight w:val="none"/>
        </w:rPr>
        <w:t>）静电放电抗扰度</w:t>
      </w:r>
    </w:p>
    <w:p w14:paraId="491603CF">
      <w:pPr>
        <w:snapToGrid w:val="0"/>
        <w:spacing w:line="360" w:lineRule="auto"/>
        <w:ind w:firstLine="420" w:firstLineChars="200"/>
        <w:rPr>
          <w:szCs w:val="21"/>
          <w:highlight w:val="none"/>
        </w:rPr>
      </w:pPr>
      <w:r>
        <w:rPr>
          <w:rFonts w:hint="eastAsia"/>
          <w:szCs w:val="21"/>
          <w:highlight w:val="none"/>
        </w:rPr>
        <w:t>按照“GB/T 17626.2 电磁兼容 试验和测量技术 静电放电抗扰度试验”中规定的试验等级为4级的接触放电试验；在试验期间及试验后，装置应能正常工作。</w:t>
      </w:r>
    </w:p>
    <w:p w14:paraId="6C9CE540">
      <w:pPr>
        <w:snapToGrid w:val="0"/>
        <w:spacing w:line="360" w:lineRule="auto"/>
        <w:ind w:firstLine="420" w:firstLineChars="200"/>
        <w:rPr>
          <w:szCs w:val="21"/>
          <w:highlight w:val="none"/>
        </w:rPr>
      </w:pPr>
      <w:r>
        <w:rPr>
          <w:szCs w:val="21"/>
          <w:highlight w:val="none"/>
        </w:rPr>
        <w:t>b</w:t>
      </w:r>
      <w:r>
        <w:rPr>
          <w:rFonts w:hint="eastAsia"/>
          <w:szCs w:val="21"/>
          <w:highlight w:val="none"/>
        </w:rPr>
        <w:t>）射频场感应的传导骚扰抗扰度</w:t>
      </w:r>
    </w:p>
    <w:p w14:paraId="5A13CC46">
      <w:pPr>
        <w:snapToGrid w:val="0"/>
        <w:spacing w:line="360" w:lineRule="auto"/>
        <w:ind w:firstLine="420" w:firstLineChars="200"/>
        <w:rPr>
          <w:szCs w:val="21"/>
          <w:highlight w:val="none"/>
        </w:rPr>
      </w:pPr>
      <w:r>
        <w:rPr>
          <w:rFonts w:hint="eastAsia"/>
          <w:szCs w:val="21"/>
          <w:highlight w:val="none"/>
        </w:rPr>
        <w:t>按照“GB/T 17626.6电磁兼容 试验和测量技术 射频场感应的传导骚扰抗扰度”中第5章规定的试验等级为3级的射频场干扰试验；在试验期间及试验后，装置应能正常工作。</w:t>
      </w:r>
    </w:p>
    <w:p w14:paraId="4490755E">
      <w:pPr>
        <w:snapToGrid w:val="0"/>
        <w:spacing w:line="360" w:lineRule="auto"/>
        <w:ind w:firstLine="420" w:firstLineChars="200"/>
        <w:rPr>
          <w:szCs w:val="21"/>
          <w:highlight w:val="none"/>
        </w:rPr>
      </w:pPr>
      <w:r>
        <w:rPr>
          <w:szCs w:val="21"/>
          <w:highlight w:val="none"/>
        </w:rPr>
        <w:t>c</w:t>
      </w:r>
      <w:r>
        <w:rPr>
          <w:rFonts w:hint="eastAsia"/>
          <w:szCs w:val="21"/>
          <w:highlight w:val="none"/>
        </w:rPr>
        <w:t>）工频磁场抗扰度</w:t>
      </w:r>
    </w:p>
    <w:p w14:paraId="74F36C1D">
      <w:pPr>
        <w:snapToGrid w:val="0"/>
        <w:spacing w:line="360" w:lineRule="auto"/>
        <w:ind w:firstLine="420" w:firstLineChars="200"/>
        <w:rPr>
          <w:szCs w:val="21"/>
          <w:highlight w:val="none"/>
        </w:rPr>
      </w:pPr>
      <w:r>
        <w:rPr>
          <w:rFonts w:hint="eastAsia"/>
          <w:szCs w:val="21"/>
          <w:highlight w:val="none"/>
        </w:rPr>
        <w:t>按照“GB/T 17626.8 电磁兼容 试验和测量技术 工频磁场抗扰度试验”中规定的试验等级为5级的工频磁场抗扰度试验；在试验期间及试验后，装置应能正常工作。</w:t>
      </w:r>
    </w:p>
    <w:p w14:paraId="398793FD">
      <w:pPr>
        <w:snapToGrid w:val="0"/>
        <w:spacing w:line="360" w:lineRule="auto"/>
        <w:ind w:firstLine="420" w:firstLineChars="200"/>
        <w:rPr>
          <w:szCs w:val="21"/>
          <w:highlight w:val="none"/>
        </w:rPr>
      </w:pPr>
      <w:r>
        <w:rPr>
          <w:szCs w:val="21"/>
          <w:highlight w:val="none"/>
        </w:rPr>
        <w:t>d</w:t>
      </w:r>
      <w:r>
        <w:rPr>
          <w:rFonts w:hint="eastAsia"/>
          <w:szCs w:val="21"/>
          <w:highlight w:val="none"/>
        </w:rPr>
        <w:t>）脉冲磁场抗扰度</w:t>
      </w:r>
    </w:p>
    <w:p w14:paraId="214529B4">
      <w:pPr>
        <w:snapToGrid w:val="0"/>
        <w:spacing w:line="360" w:lineRule="auto"/>
        <w:ind w:firstLine="420" w:firstLineChars="200"/>
        <w:rPr>
          <w:szCs w:val="21"/>
          <w:highlight w:val="none"/>
        </w:rPr>
      </w:pPr>
      <w:r>
        <w:rPr>
          <w:rFonts w:hint="eastAsia"/>
          <w:szCs w:val="21"/>
          <w:highlight w:val="none"/>
        </w:rPr>
        <w:t>按照“GB/T 17626.9 试验和测量技术 脉冲磁场抗扰度试验”中规定的试验等级为5级的脉冲磁场抗扰度试验，并在下述条件下进行；在试验期间及试验后，装置应能正常工作。</w:t>
      </w:r>
    </w:p>
    <w:p w14:paraId="755D9B3B">
      <w:pPr>
        <w:pStyle w:val="3"/>
        <w:widowControl/>
        <w:adjustRightInd w:val="0"/>
        <w:snapToGrid w:val="0"/>
        <w:spacing w:line="360" w:lineRule="auto"/>
        <w:jc w:val="left"/>
        <w:rPr>
          <w:rFonts w:hint="eastAsia" w:ascii="黑体" w:hAnsi="黑体" w:eastAsia="黑体"/>
          <w:szCs w:val="21"/>
          <w:highlight w:val="none"/>
        </w:rPr>
      </w:pPr>
      <w:bookmarkStart w:id="209" w:name="_Toc1755"/>
      <w:r>
        <w:rPr>
          <w:rFonts w:hint="eastAsia" w:ascii="黑体" w:hAnsi="黑体" w:eastAsia="黑体"/>
          <w:szCs w:val="21"/>
          <w:highlight w:val="none"/>
        </w:rPr>
        <w:t>6.5 机械性能试验</w:t>
      </w:r>
      <w:bookmarkEnd w:id="209"/>
    </w:p>
    <w:p w14:paraId="23191328">
      <w:pPr>
        <w:snapToGrid w:val="0"/>
        <w:spacing w:line="360" w:lineRule="auto"/>
        <w:ind w:firstLine="420" w:firstLineChars="200"/>
        <w:rPr>
          <w:szCs w:val="21"/>
          <w:highlight w:val="none"/>
        </w:rPr>
      </w:pPr>
      <w:r>
        <w:rPr>
          <w:szCs w:val="21"/>
          <w:highlight w:val="none"/>
        </w:rPr>
        <w:t>a</w:t>
      </w:r>
      <w:r>
        <w:rPr>
          <w:rFonts w:hint="eastAsia"/>
          <w:szCs w:val="21"/>
          <w:highlight w:val="none"/>
        </w:rPr>
        <w:t>）防护等级试验</w:t>
      </w:r>
    </w:p>
    <w:p w14:paraId="1400AE97">
      <w:pPr>
        <w:pStyle w:val="42"/>
        <w:spacing w:line="360" w:lineRule="auto"/>
        <w:ind w:firstLine="420"/>
        <w:rPr>
          <w:rFonts w:hint="eastAsia" w:hAnsi="宋体" w:cs="宋体"/>
          <w:szCs w:val="21"/>
          <w:highlight w:val="none"/>
          <w:lang w:bidi="ar"/>
        </w:rPr>
      </w:pPr>
      <w:r>
        <w:rPr>
          <w:rFonts w:hint="eastAsia" w:hAnsi="宋体" w:cs="宋体"/>
          <w:szCs w:val="21"/>
          <w:highlight w:val="none"/>
          <w:lang w:bidi="ar"/>
        </w:rPr>
        <w:t>外壳防护试验按GB/T 2423.38-2008中6.2.2的规定进行，应符合GB 4208-2008中IP55的要求。试验后，检查被测设备的基本性能，应满足本技术规范书中5.2要求。</w:t>
      </w:r>
    </w:p>
    <w:p w14:paraId="79368E26">
      <w:pPr>
        <w:snapToGrid w:val="0"/>
        <w:spacing w:line="360" w:lineRule="auto"/>
        <w:ind w:firstLine="420" w:firstLineChars="200"/>
        <w:rPr>
          <w:highlight w:val="none"/>
        </w:rPr>
      </w:pPr>
      <w:r>
        <w:rPr>
          <w:rFonts w:hint="eastAsia"/>
          <w:szCs w:val="21"/>
          <w:highlight w:val="none"/>
        </w:rPr>
        <w:t>b）振动试验</w:t>
      </w:r>
    </w:p>
    <w:p w14:paraId="3CF849F5">
      <w:pPr>
        <w:pStyle w:val="42"/>
        <w:spacing w:line="360" w:lineRule="auto"/>
        <w:ind w:firstLine="420"/>
        <w:rPr>
          <w:rFonts w:ascii="Times New Roman"/>
          <w:highlight w:val="none"/>
        </w:rPr>
      </w:pPr>
      <w:r>
        <w:rPr>
          <w:rFonts w:hint="eastAsia" w:ascii="Times New Roman"/>
          <w:highlight w:val="none"/>
        </w:rPr>
        <w:t>按照GB/T 2423.10的规定和方法，对装置进行振动试验。试验后，检查装置应无损坏和紧固件松动脱落现象，并能正常工作。</w:t>
      </w:r>
    </w:p>
    <w:p w14:paraId="1C3A031D">
      <w:pPr>
        <w:snapToGrid w:val="0"/>
        <w:spacing w:line="360" w:lineRule="auto"/>
        <w:ind w:firstLine="420" w:firstLineChars="200"/>
        <w:rPr>
          <w:highlight w:val="none"/>
        </w:rPr>
      </w:pPr>
      <w:r>
        <w:rPr>
          <w:szCs w:val="21"/>
          <w:highlight w:val="none"/>
        </w:rPr>
        <w:t>d</w:t>
      </w:r>
      <w:r>
        <w:rPr>
          <w:rFonts w:hint="eastAsia"/>
          <w:szCs w:val="21"/>
          <w:highlight w:val="none"/>
        </w:rPr>
        <w:t>）碰撞试验</w:t>
      </w:r>
    </w:p>
    <w:p w14:paraId="78963178">
      <w:pPr>
        <w:spacing w:line="360" w:lineRule="auto"/>
        <w:ind w:firstLine="420" w:firstLineChars="200"/>
        <w:rPr>
          <w:highlight w:val="none"/>
        </w:rPr>
      </w:pPr>
      <w:r>
        <w:rPr>
          <w:rFonts w:hint="eastAsia"/>
          <w:highlight w:val="none"/>
        </w:rPr>
        <w:t>按照</w:t>
      </w:r>
      <w:r>
        <w:rPr>
          <w:highlight w:val="none"/>
        </w:rPr>
        <w:t>GB/T 2423.6</w:t>
      </w:r>
      <w:r>
        <w:rPr>
          <w:rFonts w:hint="eastAsia"/>
          <w:highlight w:val="none"/>
        </w:rPr>
        <w:t>的规定和方法，对装置进行碰撞试验。试验后，装置应无损坏，紧固件、连接件、模块及元器件无松动、脱落等现象，装置能正常工作。</w:t>
      </w:r>
    </w:p>
    <w:p w14:paraId="34F4C2CE">
      <w:pPr>
        <w:snapToGrid w:val="0"/>
        <w:spacing w:line="360" w:lineRule="auto"/>
        <w:ind w:firstLine="420" w:firstLineChars="200"/>
        <w:rPr>
          <w:highlight w:val="none"/>
        </w:rPr>
      </w:pPr>
      <w:r>
        <w:rPr>
          <w:rFonts w:hint="eastAsia"/>
          <w:szCs w:val="21"/>
          <w:highlight w:val="none"/>
        </w:rPr>
        <w:t>e）运输试验</w:t>
      </w:r>
    </w:p>
    <w:p w14:paraId="2CE21634">
      <w:pPr>
        <w:spacing w:line="360" w:lineRule="auto"/>
        <w:ind w:firstLine="420" w:firstLineChars="200"/>
        <w:rPr>
          <w:highlight w:val="none"/>
        </w:rPr>
      </w:pPr>
      <w:r>
        <w:rPr>
          <w:rFonts w:hint="eastAsia"/>
          <w:highlight w:val="none"/>
        </w:rPr>
        <w:t>按照</w:t>
      </w:r>
      <w:r>
        <w:rPr>
          <w:highlight w:val="none"/>
        </w:rPr>
        <w:t>GB/T 6587</w:t>
      </w:r>
      <w:r>
        <w:rPr>
          <w:rFonts w:hint="eastAsia"/>
          <w:highlight w:val="none"/>
        </w:rPr>
        <w:t>及</w:t>
      </w:r>
      <w:r>
        <w:rPr>
          <w:highlight w:val="none"/>
        </w:rPr>
        <w:t>QJ/T 815.2</w:t>
      </w:r>
      <w:r>
        <w:rPr>
          <w:rFonts w:hint="eastAsia"/>
          <w:highlight w:val="none"/>
        </w:rPr>
        <w:t>的规定和方法，对装置进行运输试验。试验后，包装应无破损、严重变形、磨损，装置应无损坏，并能正常工作。</w:t>
      </w:r>
    </w:p>
    <w:p w14:paraId="787A99A9">
      <w:pPr>
        <w:pStyle w:val="3"/>
        <w:widowControl/>
        <w:adjustRightInd w:val="0"/>
        <w:snapToGrid w:val="0"/>
        <w:jc w:val="left"/>
        <w:rPr>
          <w:rFonts w:hint="eastAsia" w:ascii="黑体" w:hAnsi="黑体" w:eastAsia="黑体"/>
          <w:szCs w:val="21"/>
          <w:highlight w:val="none"/>
        </w:rPr>
      </w:pPr>
      <w:bookmarkStart w:id="210" w:name="_Toc13924"/>
      <w:r>
        <w:rPr>
          <w:rFonts w:hint="eastAsia" w:ascii="黑体" w:hAnsi="黑体" w:eastAsia="黑体"/>
          <w:szCs w:val="21"/>
          <w:highlight w:val="none"/>
        </w:rPr>
        <w:t xml:space="preserve">6.6 </w:t>
      </w:r>
      <w:r>
        <w:rPr>
          <w:rFonts w:hint="eastAsia" w:ascii="黑体" w:hAnsi="黑体" w:eastAsia="黑体"/>
          <w:b w:val="0"/>
          <w:bCs/>
          <w:szCs w:val="21"/>
          <w:highlight w:val="none"/>
        </w:rPr>
        <w:t>物联网平台接入试验</w:t>
      </w:r>
      <w:bookmarkEnd w:id="210"/>
    </w:p>
    <w:p w14:paraId="1265E142">
      <w:pPr>
        <w:snapToGrid w:val="0"/>
        <w:spacing w:line="360" w:lineRule="auto"/>
        <w:ind w:firstLine="420" w:firstLineChars="200"/>
        <w:rPr>
          <w:highlight w:val="none"/>
        </w:rPr>
      </w:pPr>
      <w:r>
        <w:rPr>
          <w:rFonts w:hint="eastAsia"/>
          <w:highlight w:val="none"/>
        </w:rPr>
        <w:t>按照现场配置方式将被测装置接入物联网平台测试系统，通过互操作的方式逐条验证装置基本信息、技术参数、量测参数、消息、服务类数据通信协议是否满足《Q/CSG1210074南方电网物联终端设备信息模型规范（试行）》要求，装置应能按照正确的数据格式传输各类数据，并正确响应各项操作指令。</w:t>
      </w:r>
    </w:p>
    <w:p w14:paraId="697F5400">
      <w:pPr>
        <w:numPr>
          <w:ilvl w:val="0"/>
          <w:numId w:val="34"/>
        </w:numPr>
        <w:snapToGrid w:val="0"/>
        <w:spacing w:line="360" w:lineRule="auto"/>
        <w:ind w:firstLine="420" w:firstLineChars="200"/>
        <w:rPr>
          <w:highlight w:val="none"/>
        </w:rPr>
      </w:pPr>
      <w:r>
        <w:rPr>
          <w:rFonts w:hint="eastAsia"/>
          <w:highlight w:val="none"/>
        </w:rPr>
        <w:t>试验方法</w:t>
      </w:r>
    </w:p>
    <w:p w14:paraId="54C67896">
      <w:pPr>
        <w:numPr>
          <w:ilvl w:val="255"/>
          <w:numId w:val="0"/>
        </w:numPr>
        <w:snapToGrid w:val="0"/>
        <w:spacing w:line="360" w:lineRule="auto"/>
        <w:ind w:firstLine="420" w:firstLineChars="200"/>
        <w:rPr>
          <w:highlight w:val="none"/>
        </w:rPr>
      </w:pPr>
      <w:r>
        <w:rPr>
          <w:rFonts w:hint="eastAsia"/>
          <w:highlight w:val="none"/>
        </w:rPr>
        <w:t>应按照如下试验方法进行检测：</w:t>
      </w:r>
    </w:p>
    <w:p w14:paraId="5D0D049B">
      <w:pPr>
        <w:numPr>
          <w:ilvl w:val="0"/>
          <w:numId w:val="35"/>
        </w:numPr>
        <w:snapToGrid w:val="0"/>
        <w:spacing w:line="360" w:lineRule="auto"/>
        <w:ind w:firstLine="420" w:firstLineChars="200"/>
        <w:rPr>
          <w:szCs w:val="21"/>
          <w:highlight w:val="none"/>
        </w:rPr>
      </w:pPr>
      <w:r>
        <w:rPr>
          <w:rFonts w:hint="eastAsia"/>
          <w:highlight w:val="none"/>
        </w:rPr>
        <w:t>在测试网络环境下，被测装置使用物联网平台提供的测试APN卡及配置信息，以MQTT协议向物联网平台发送</w:t>
      </w:r>
      <w:r>
        <w:rPr>
          <w:rFonts w:hint="eastAsia"/>
          <w:szCs w:val="21"/>
          <w:highlight w:val="none"/>
        </w:rPr>
        <w:t>装置物模型中的量测参数；</w:t>
      </w:r>
    </w:p>
    <w:p w14:paraId="5776A0A6">
      <w:pPr>
        <w:numPr>
          <w:ilvl w:val="0"/>
          <w:numId w:val="35"/>
        </w:numPr>
        <w:snapToGrid w:val="0"/>
        <w:spacing w:line="360" w:lineRule="auto"/>
        <w:ind w:firstLine="420" w:firstLineChars="200"/>
        <w:rPr>
          <w:szCs w:val="21"/>
          <w:highlight w:val="none"/>
        </w:rPr>
      </w:pPr>
      <w:r>
        <w:rPr>
          <w:rFonts w:hint="eastAsia"/>
          <w:highlight w:val="none"/>
        </w:rPr>
        <w:t>在测试网络环境下，物联网平台以MQTT协议向被测装置发送</w:t>
      </w:r>
      <w:r>
        <w:rPr>
          <w:rFonts w:hint="eastAsia"/>
          <w:szCs w:val="21"/>
          <w:highlight w:val="none"/>
        </w:rPr>
        <w:t>装置物模型中的服务指令。</w:t>
      </w:r>
    </w:p>
    <w:p w14:paraId="7CFDE12F">
      <w:pPr>
        <w:numPr>
          <w:ilvl w:val="0"/>
          <w:numId w:val="34"/>
        </w:numPr>
        <w:snapToGrid w:val="0"/>
        <w:spacing w:line="360" w:lineRule="auto"/>
        <w:ind w:firstLine="420" w:firstLineChars="200"/>
        <w:rPr>
          <w:highlight w:val="none"/>
        </w:rPr>
      </w:pPr>
      <w:r>
        <w:rPr>
          <w:rFonts w:hint="eastAsia"/>
          <w:highlight w:val="none"/>
        </w:rPr>
        <w:t>判定准则</w:t>
      </w:r>
    </w:p>
    <w:p w14:paraId="32B4C2F5">
      <w:pPr>
        <w:numPr>
          <w:ilvl w:val="255"/>
          <w:numId w:val="0"/>
        </w:numPr>
        <w:snapToGrid w:val="0"/>
        <w:spacing w:line="360" w:lineRule="auto"/>
        <w:ind w:firstLine="420" w:firstLineChars="200"/>
        <w:rPr>
          <w:highlight w:val="none"/>
        </w:rPr>
      </w:pPr>
      <w:r>
        <w:rPr>
          <w:rFonts w:hint="eastAsia"/>
          <w:highlight w:val="none"/>
        </w:rPr>
        <w:t>被测装置应能正确上送</w:t>
      </w:r>
      <w:r>
        <w:rPr>
          <w:rFonts w:hint="eastAsia"/>
          <w:szCs w:val="21"/>
          <w:highlight w:val="none"/>
        </w:rPr>
        <w:t>装置物模型的量测参数，被测装置接到服务指令后应能正确应答指令，并执行指令。</w:t>
      </w:r>
    </w:p>
    <w:p w14:paraId="5BA806A5">
      <w:pPr>
        <w:pStyle w:val="3"/>
        <w:snapToGrid w:val="0"/>
        <w:rPr>
          <w:rFonts w:hint="eastAsia" w:ascii="黑体" w:hAnsi="黑体" w:eastAsia="黑体"/>
          <w:b w:val="0"/>
          <w:bCs/>
          <w:szCs w:val="21"/>
          <w:highlight w:val="none"/>
        </w:rPr>
      </w:pPr>
      <w:bookmarkStart w:id="211" w:name="_Toc32681"/>
      <w:r>
        <w:rPr>
          <w:rFonts w:hint="eastAsia" w:ascii="黑体" w:hAnsi="黑体" w:eastAsia="黑体"/>
          <w:b w:val="0"/>
          <w:bCs/>
          <w:szCs w:val="21"/>
          <w:highlight w:val="none"/>
        </w:rPr>
        <w:t>6.7 连续运行试验</w:t>
      </w:r>
      <w:bookmarkEnd w:id="211"/>
    </w:p>
    <w:p w14:paraId="5813D962">
      <w:pPr>
        <w:snapToGrid w:val="0"/>
        <w:spacing w:line="360" w:lineRule="auto"/>
        <w:ind w:firstLine="420" w:firstLineChars="200"/>
        <w:rPr>
          <w:highlight w:val="none"/>
        </w:rPr>
      </w:pPr>
      <w:r>
        <w:rPr>
          <w:rFonts w:hint="eastAsia"/>
          <w:highlight w:val="none"/>
        </w:rPr>
        <w:t>按照现场配置方式将被测网关接入物联网平台测试系统，连接电源，进行</w:t>
      </w:r>
      <w:r>
        <w:rPr>
          <w:highlight w:val="none"/>
        </w:rPr>
        <w:t>72</w:t>
      </w:r>
      <w:r>
        <w:rPr>
          <w:rFonts w:hint="eastAsia"/>
          <w:highlight w:val="none"/>
        </w:rPr>
        <w:t>小时连续运行试验，并在下述条件下进行试验：</w:t>
      </w:r>
    </w:p>
    <w:p w14:paraId="0C875E98">
      <w:pPr>
        <w:snapToGrid w:val="0"/>
        <w:spacing w:line="360" w:lineRule="auto"/>
        <w:ind w:firstLine="420" w:firstLineChars="200"/>
        <w:rPr>
          <w:highlight w:val="none"/>
        </w:rPr>
      </w:pPr>
      <w:r>
        <w:rPr>
          <w:rFonts w:hint="eastAsia"/>
          <w:highlight w:val="none"/>
        </w:rPr>
        <w:t>a） 网关按实际应用场景配置通信协议（数据采集周期设定为10min，统计试验期间数据采集、传输、解析的缺失率；</w:t>
      </w:r>
    </w:p>
    <w:p w14:paraId="4044A677">
      <w:pPr>
        <w:snapToGrid w:val="0"/>
        <w:spacing w:line="360" w:lineRule="auto"/>
        <w:ind w:firstLine="420" w:firstLineChars="200"/>
        <w:rPr>
          <w:highlight w:val="none"/>
        </w:rPr>
      </w:pPr>
      <w:r>
        <w:rPr>
          <w:rFonts w:hint="eastAsia"/>
          <w:highlight w:val="none"/>
        </w:rPr>
        <w:t>b） 网关支持图像/视频传输功能，图像和视频传输同步进行，每12h触发一次接口切换、协议切换操作；</w:t>
      </w:r>
    </w:p>
    <w:p w14:paraId="24B2F461">
      <w:pPr>
        <w:snapToGrid w:val="0"/>
        <w:spacing w:line="360" w:lineRule="auto"/>
        <w:ind w:firstLine="420" w:firstLineChars="200"/>
        <w:rPr>
          <w:highlight w:val="none"/>
        </w:rPr>
      </w:pPr>
      <w:r>
        <w:rPr>
          <w:rFonts w:hint="eastAsia"/>
          <w:highlight w:val="none"/>
        </w:rPr>
        <w:t>c） 试验全程保持电源稳定供电，模拟现场实际负载，每24h监测一次电源输出状态及网关功耗。</w:t>
      </w:r>
    </w:p>
    <w:p w14:paraId="0055FC38">
      <w:pPr>
        <w:snapToGrid w:val="0"/>
        <w:spacing w:line="360" w:lineRule="auto"/>
        <w:ind w:firstLine="420" w:firstLineChars="200"/>
        <w:rPr>
          <w:highlight w:val="none"/>
        </w:rPr>
      </w:pPr>
      <w:r>
        <w:rPr>
          <w:rFonts w:hint="eastAsia"/>
          <w:highlight w:val="none"/>
        </w:rPr>
        <w:t>试验期间网关应满足以下要求：</w:t>
      </w:r>
    </w:p>
    <w:p w14:paraId="7DB98EB0">
      <w:pPr>
        <w:snapToGrid w:val="0"/>
        <w:spacing w:line="360" w:lineRule="auto"/>
        <w:ind w:firstLine="420" w:firstLineChars="200"/>
        <w:rPr>
          <w:highlight w:val="none"/>
        </w:rPr>
      </w:pPr>
      <w:r>
        <w:rPr>
          <w:rFonts w:hint="eastAsia"/>
          <w:highlight w:val="none"/>
        </w:rPr>
        <w:t>a）非图像/视频类网关试验期间数据缺失率应小于</w:t>
      </w:r>
      <w:r>
        <w:rPr>
          <w:highlight w:val="none"/>
        </w:rPr>
        <w:t>3</w:t>
      </w:r>
      <w:r>
        <w:rPr>
          <w:rFonts w:hint="eastAsia"/>
          <w:highlight w:val="none"/>
        </w:rPr>
        <w:t>%，数据无错乱、无丢失，通信无断连；</w:t>
      </w:r>
    </w:p>
    <w:p w14:paraId="52A3E56E">
      <w:pPr>
        <w:snapToGrid w:val="0"/>
        <w:spacing w:line="360" w:lineRule="auto"/>
        <w:ind w:firstLine="420" w:firstLineChars="200"/>
        <w:rPr>
          <w:highlight w:val="none"/>
        </w:rPr>
      </w:pPr>
      <w:r>
        <w:rPr>
          <w:rFonts w:hint="eastAsia"/>
          <w:highlight w:val="none"/>
        </w:rPr>
        <w:t>b）支持图像/视频传输的网关，试验期间数据缺失率应小于</w:t>
      </w:r>
      <w:r>
        <w:rPr>
          <w:highlight w:val="none"/>
        </w:rPr>
        <w:t>3</w:t>
      </w:r>
      <w:r>
        <w:rPr>
          <w:rFonts w:hint="eastAsia"/>
          <w:highlight w:val="none"/>
        </w:rPr>
        <w:t>%，图像完整清晰、视频播放流畅；</w:t>
      </w:r>
    </w:p>
    <w:p w14:paraId="7F25C61A">
      <w:pPr>
        <w:snapToGrid w:val="0"/>
        <w:spacing w:line="360" w:lineRule="auto"/>
        <w:ind w:firstLine="420" w:firstLineChars="200"/>
        <w:rPr>
          <w:rFonts w:hint="eastAsia"/>
          <w:highlight w:val="none"/>
        </w:rPr>
      </w:pPr>
      <w:r>
        <w:rPr>
          <w:rFonts w:hint="eastAsia"/>
          <w:highlight w:val="none"/>
        </w:rPr>
        <w:t>c）网关所有指令执行正常，无死机、重启、自动断连现象，笔记本式电源供电稳定，无过热、供电中断问题，各项性能指标保持稳定。</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72DCD94">
      <w:pPr>
        <w:spacing w:line="480" w:lineRule="auto"/>
        <w:outlineLvl w:val="0"/>
        <w:rPr>
          <w:rFonts w:eastAsia="黑体"/>
          <w:b/>
          <w:bCs/>
          <w:szCs w:val="21"/>
          <w:highlight w:val="none"/>
        </w:rPr>
      </w:pPr>
      <w:bookmarkStart w:id="212" w:name="_Toc13230"/>
      <w:bookmarkStart w:id="213" w:name="_Toc22019"/>
      <w:bookmarkStart w:id="214" w:name="_Toc28031"/>
      <w:r>
        <w:rPr>
          <w:rFonts w:hint="eastAsia" w:eastAsia="黑体"/>
          <w:b/>
          <w:bCs/>
          <w:szCs w:val="21"/>
          <w:highlight w:val="none"/>
        </w:rPr>
        <w:t>7</w:t>
      </w:r>
      <w:r>
        <w:rPr>
          <w:rFonts w:eastAsia="黑体"/>
          <w:b/>
          <w:bCs/>
          <w:szCs w:val="21"/>
          <w:highlight w:val="none"/>
        </w:rPr>
        <w:t xml:space="preserve"> </w:t>
      </w:r>
      <w:r>
        <w:rPr>
          <w:rFonts w:hint="eastAsia" w:eastAsia="黑体"/>
          <w:b/>
          <w:bCs/>
          <w:szCs w:val="21"/>
          <w:highlight w:val="none"/>
        </w:rPr>
        <w:t>检验规则</w:t>
      </w:r>
      <w:bookmarkEnd w:id="212"/>
    </w:p>
    <w:p w14:paraId="6334839A">
      <w:pPr>
        <w:pStyle w:val="97"/>
        <w:spacing w:line="360" w:lineRule="auto"/>
        <w:ind w:firstLine="420" w:firstLineChars="200"/>
        <w:rPr>
          <w:highlight w:val="none"/>
        </w:rPr>
      </w:pPr>
      <w:r>
        <w:rPr>
          <w:rFonts w:hint="eastAsia" w:ascii="宋体" w:hAnsi="宋体"/>
          <w:highlight w:val="none"/>
        </w:rPr>
        <w:t>装置检验分为型式试验、出厂检验、送样检测、到货抽检、交接试验五类，试验项目按下表</w:t>
      </w:r>
      <w:r>
        <w:rPr>
          <w:rFonts w:ascii="宋体" w:hAnsi="宋体"/>
          <w:highlight w:val="none"/>
        </w:rPr>
        <w:t>所列规定执行</w:t>
      </w:r>
      <w:r>
        <w:rPr>
          <w:rFonts w:hint="eastAsia"/>
          <w:highlight w:val="none"/>
        </w:rPr>
        <w:t>。</w:t>
      </w:r>
    </w:p>
    <w:p w14:paraId="70A986CE">
      <w:pPr>
        <w:ind w:firstLine="420" w:firstLineChars="200"/>
        <w:jc w:val="center"/>
        <w:rPr>
          <w:szCs w:val="21"/>
          <w:highlight w:val="none"/>
        </w:rPr>
      </w:pPr>
      <w:r>
        <w:rPr>
          <w:rFonts w:hint="eastAsia"/>
          <w:szCs w:val="21"/>
          <w:highlight w:val="none"/>
        </w:rPr>
        <w:t>表3机巡数据安全传输装置检验项目</w:t>
      </w:r>
    </w:p>
    <w:tbl>
      <w:tblPr>
        <w:tblStyle w:val="57"/>
        <w:tblW w:w="499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166"/>
        <w:gridCol w:w="1854"/>
        <w:gridCol w:w="1201"/>
        <w:gridCol w:w="1179"/>
        <w:gridCol w:w="1127"/>
        <w:gridCol w:w="1101"/>
        <w:gridCol w:w="1095"/>
      </w:tblGrid>
      <w:tr w14:paraId="775CC0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32A58133">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序号</w:t>
            </w:r>
          </w:p>
        </w:tc>
        <w:tc>
          <w:tcPr>
            <w:tcW w:w="6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5A5ED1">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rPr>
              <w:t>试验</w:t>
            </w:r>
            <w:r>
              <w:rPr>
                <w:rFonts w:hint="eastAsia" w:ascii="宋体" w:hAnsi="宋体"/>
                <w:color w:val="000000"/>
                <w:sz w:val="18"/>
                <w:szCs w:val="18"/>
                <w:highlight w:val="none"/>
                <w:lang w:eastAsia="en-US"/>
              </w:rPr>
              <w:t>项目分类</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F430DF">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检验项目</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03B6A6">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型式试验</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82DDC4">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出厂检验</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826B6B">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送样检测</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5F98BA">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到货抽检</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72DB87">
            <w:pPr>
              <w:jc w:val="center"/>
              <w:rPr>
                <w:rFonts w:hint="eastAsia" w:ascii="宋体" w:hAnsi="宋体"/>
                <w:color w:val="000000"/>
                <w:sz w:val="18"/>
                <w:szCs w:val="18"/>
                <w:highlight w:val="none"/>
                <w:lang w:eastAsia="en-US"/>
              </w:rPr>
            </w:pPr>
            <w:r>
              <w:rPr>
                <w:rFonts w:hint="eastAsia" w:ascii="宋体" w:hAnsi="宋体"/>
                <w:color w:val="000000"/>
                <w:sz w:val="18"/>
                <w:szCs w:val="18"/>
                <w:highlight w:val="none"/>
                <w:lang w:eastAsia="en-US"/>
              </w:rPr>
              <w:t>交接试验</w:t>
            </w:r>
          </w:p>
        </w:tc>
      </w:tr>
      <w:tr w14:paraId="30EC8F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4D53E">
            <w:pPr>
              <w:topLinePunct/>
              <w:snapToGrid w:val="0"/>
              <w:spacing w:before="55" w:after="55"/>
              <w:jc w:val="center"/>
              <w:rPr>
                <w:rFonts w:hint="eastAsia" w:ascii="宋体" w:hAnsi="宋体"/>
                <w:color w:val="000000"/>
                <w:sz w:val="18"/>
                <w:szCs w:val="18"/>
                <w:highlight w:val="none"/>
              </w:rPr>
            </w:pPr>
            <w:r>
              <w:rPr>
                <w:rFonts w:ascii="宋体" w:hAnsi="宋体"/>
                <w:color w:val="000000"/>
                <w:sz w:val="18"/>
                <w:szCs w:val="18"/>
                <w:highlight w:val="none"/>
              </w:rPr>
              <w:t>1</w:t>
            </w:r>
          </w:p>
        </w:tc>
        <w:tc>
          <w:tcPr>
            <w:tcW w:w="6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857F85">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功能检验</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79DC8C">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基本功能检验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0EA86C">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600E9B">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1CFBD9">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F65566">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3720A7">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r>
      <w:tr w14:paraId="38394C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49B31B">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2</w:t>
            </w:r>
          </w:p>
        </w:tc>
        <w:tc>
          <w:tcPr>
            <w:tcW w:w="6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6906F2">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结构和外观检查</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3C60BC">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结构和外观检查</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57D8A6">
            <w:pPr>
              <w:numPr>
                <w:ilvl w:val="2"/>
                <w:numId w:val="0"/>
              </w:numPr>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1F35AB">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5AA12F">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E66D88">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04ABA2">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r>
      <w:tr w14:paraId="4919C4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3E849A">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3</w:t>
            </w:r>
          </w:p>
        </w:tc>
        <w:tc>
          <w:tcPr>
            <w:tcW w:w="62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E71CAEE">
            <w:pPr>
              <w:adjustRightInd w:val="0"/>
              <w:snapToGrid w:val="0"/>
              <w:jc w:val="center"/>
              <w:rPr>
                <w:rFonts w:hint="eastAsia" w:ascii="宋体" w:hAnsi="宋体"/>
                <w:color w:val="000000"/>
                <w:sz w:val="18"/>
                <w:szCs w:val="18"/>
                <w:highlight w:val="none"/>
              </w:rPr>
            </w:pPr>
            <w:r>
              <w:rPr>
                <w:rFonts w:hint="eastAsia"/>
                <w:color w:val="000000"/>
                <w:sz w:val="18"/>
                <w:szCs w:val="18"/>
                <w:highlight w:val="none"/>
              </w:rPr>
              <w:t>环境试验</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82F523">
            <w:pPr>
              <w:jc w:val="center"/>
              <w:rPr>
                <w:rFonts w:hint="eastAsia" w:ascii="宋体" w:hAnsi="宋体"/>
                <w:color w:val="000000"/>
                <w:sz w:val="18"/>
                <w:szCs w:val="18"/>
                <w:highlight w:val="none"/>
              </w:rPr>
            </w:pPr>
            <w:r>
              <w:rPr>
                <w:rFonts w:hint="eastAsia"/>
                <w:color w:val="000000"/>
                <w:sz w:val="18"/>
                <w:szCs w:val="18"/>
                <w:highlight w:val="none"/>
              </w:rPr>
              <w:t>高温试验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031009">
            <w:pPr>
              <w:jc w:val="center"/>
              <w:rPr>
                <w:rFonts w:hint="eastAsia" w:ascii="宋体" w:hAnsi="宋体"/>
                <w:color w:val="000000"/>
                <w:sz w:val="18"/>
                <w:szCs w:val="18"/>
                <w:highlight w:val="none"/>
              </w:rPr>
            </w:pPr>
            <w:r>
              <w:rPr>
                <w:rFonts w:hint="eastAsia"/>
                <w:color w:val="000000"/>
                <w:highlight w:val="none"/>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8B1EAF">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24EB53">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64C17F">
            <w:pPr>
              <w:jc w:val="center"/>
              <w:rPr>
                <w:rFonts w:hint="eastAsia" w:ascii="宋体" w:hAnsi="宋体"/>
                <w:color w:val="000000"/>
                <w:sz w:val="18"/>
                <w:szCs w:val="18"/>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5FDFCF">
            <w:pPr>
              <w:jc w:val="center"/>
              <w:rPr>
                <w:rFonts w:hint="eastAsia" w:ascii="宋体" w:hAnsi="宋体"/>
                <w:color w:val="000000"/>
                <w:sz w:val="18"/>
                <w:szCs w:val="18"/>
                <w:highlight w:val="none"/>
              </w:rPr>
            </w:pPr>
            <w:r>
              <w:rPr>
                <w:rFonts w:ascii="宋体" w:hAnsi="宋体"/>
                <w:color w:val="000000"/>
                <w:sz w:val="18"/>
                <w:szCs w:val="18"/>
                <w:highlight w:val="none"/>
              </w:rPr>
              <w:t>—</w:t>
            </w:r>
          </w:p>
        </w:tc>
      </w:tr>
      <w:tr w14:paraId="1A098A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8C3EA5">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4</w:t>
            </w:r>
          </w:p>
        </w:tc>
        <w:tc>
          <w:tcPr>
            <w:tcW w:w="62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4C3222">
            <w:pPr>
              <w:adjustRightInd w:val="0"/>
              <w:snapToGrid w:val="0"/>
              <w:jc w:val="center"/>
              <w:rPr>
                <w:rFonts w:hint="eastAsia" w:ascii="宋体" w:hAnsi="宋体"/>
                <w:color w:val="000000"/>
                <w:sz w:val="18"/>
                <w:szCs w:val="18"/>
                <w:highlight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C154D">
            <w:pPr>
              <w:jc w:val="center"/>
              <w:rPr>
                <w:rFonts w:hint="eastAsia" w:ascii="宋体" w:hAnsi="宋体"/>
                <w:color w:val="000000"/>
                <w:sz w:val="18"/>
                <w:szCs w:val="18"/>
                <w:highlight w:val="none"/>
              </w:rPr>
            </w:pPr>
            <w:r>
              <w:rPr>
                <w:rFonts w:hint="eastAsia"/>
                <w:color w:val="000000"/>
                <w:sz w:val="18"/>
                <w:szCs w:val="18"/>
                <w:highlight w:val="none"/>
              </w:rPr>
              <w:t>低温试验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39E15F">
            <w:pPr>
              <w:jc w:val="center"/>
              <w:rPr>
                <w:rFonts w:hint="eastAsia" w:ascii="宋体" w:hAnsi="宋体"/>
                <w:color w:val="000000"/>
                <w:sz w:val="18"/>
                <w:szCs w:val="18"/>
                <w:highlight w:val="none"/>
              </w:rPr>
            </w:pPr>
            <w:r>
              <w:rPr>
                <w:rFonts w:hint="eastAsia"/>
                <w:color w:val="000000"/>
                <w:highlight w:val="none"/>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87CE67">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063DE7">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81A3C2">
            <w:pPr>
              <w:jc w:val="center"/>
              <w:rPr>
                <w:rFonts w:hint="eastAsia" w:ascii="宋体" w:hAnsi="宋体"/>
                <w:color w:val="000000"/>
                <w:sz w:val="18"/>
                <w:szCs w:val="18"/>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73FEFA">
            <w:pPr>
              <w:jc w:val="center"/>
              <w:rPr>
                <w:rFonts w:hint="eastAsia" w:ascii="宋体" w:hAnsi="宋体"/>
                <w:color w:val="000000"/>
                <w:sz w:val="18"/>
                <w:szCs w:val="18"/>
                <w:highlight w:val="none"/>
              </w:rPr>
            </w:pPr>
            <w:r>
              <w:rPr>
                <w:rFonts w:ascii="宋体" w:hAnsi="宋体"/>
                <w:color w:val="000000"/>
                <w:sz w:val="18"/>
                <w:szCs w:val="18"/>
                <w:highlight w:val="none"/>
              </w:rPr>
              <w:t>—</w:t>
            </w:r>
          </w:p>
        </w:tc>
      </w:tr>
      <w:tr w14:paraId="7ED18D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1F777F">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5</w:t>
            </w:r>
          </w:p>
        </w:tc>
        <w:tc>
          <w:tcPr>
            <w:tcW w:w="62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3841D8">
            <w:pPr>
              <w:adjustRightInd w:val="0"/>
              <w:snapToGrid w:val="0"/>
              <w:jc w:val="center"/>
              <w:rPr>
                <w:rFonts w:hint="eastAsia" w:ascii="宋体" w:hAnsi="宋体"/>
                <w:color w:val="000000"/>
                <w:sz w:val="18"/>
                <w:szCs w:val="18"/>
                <w:highlight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42B4F0">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交变湿热试验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24413E">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E7B59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2E92C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C1170E">
            <w:pPr>
              <w:widowControl/>
              <w:jc w:val="center"/>
              <w:textAlignment w:val="center"/>
              <w:rPr>
                <w:rFonts w:hint="eastAsia" w:ascii="宋体" w:hAnsi="宋体" w:cs="宋体"/>
                <w:color w:val="000000"/>
                <w:sz w:val="18"/>
                <w:szCs w:val="18"/>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9E7A9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r>
      <w:tr w14:paraId="70943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6C7D2">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6</w:t>
            </w:r>
          </w:p>
        </w:tc>
        <w:tc>
          <w:tcPr>
            <w:tcW w:w="628" w:type="pct"/>
            <w:vMerge w:val="restart"/>
            <w:tcBorders>
              <w:top w:val="single" w:color="000000" w:sz="4" w:space="0"/>
              <w:left w:val="single" w:color="000000" w:sz="4" w:space="0"/>
              <w:right w:val="single" w:color="000000" w:sz="4" w:space="0"/>
            </w:tcBorders>
            <w:shd w:val="clear" w:color="auto" w:fill="FFFFFF"/>
            <w:vAlign w:val="center"/>
          </w:tcPr>
          <w:p w14:paraId="12CC9F14">
            <w:pPr>
              <w:adjustRightInd w:val="0"/>
              <w:snapToGrid w:val="0"/>
              <w:jc w:val="center"/>
              <w:rPr>
                <w:rFonts w:hint="eastAsia" w:ascii="宋体" w:hAnsi="宋体"/>
                <w:color w:val="000000"/>
                <w:sz w:val="18"/>
                <w:szCs w:val="18"/>
                <w:highlight w:val="none"/>
              </w:rPr>
            </w:pPr>
            <w:r>
              <w:rPr>
                <w:rFonts w:hint="eastAsia" w:ascii="宋体" w:hAnsi="宋体" w:cs="宋体"/>
                <w:kern w:val="0"/>
                <w:sz w:val="18"/>
                <w:szCs w:val="18"/>
                <w:highlight w:val="none"/>
                <w:lang w:bidi="ar"/>
              </w:rPr>
              <w:t>电磁兼容试验</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FF894C">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lang w:bidi="ar"/>
              </w:rPr>
              <w:t>静电放电抗扰度试验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4309F1">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E13A84">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8EBD3C">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FE7433">
            <w:pPr>
              <w:widowControl/>
              <w:jc w:val="center"/>
              <w:textAlignment w:val="center"/>
              <w:rPr>
                <w:color w:val="000000"/>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BC945B">
            <w:pPr>
              <w:widowControl/>
              <w:jc w:val="center"/>
              <w:textAlignment w:val="center"/>
              <w:rPr>
                <w:rFonts w:hint="eastAsia" w:ascii="宋体" w:hAnsi="宋体" w:cs="宋体"/>
                <w:color w:val="000000"/>
                <w:kern w:val="0"/>
                <w:sz w:val="18"/>
                <w:szCs w:val="18"/>
                <w:highlight w:val="none"/>
                <w:lang w:bidi="ar"/>
              </w:rPr>
            </w:pPr>
            <w:r>
              <w:rPr>
                <w:color w:val="000000"/>
                <w:highlight w:val="none"/>
              </w:rPr>
              <w:t>—</w:t>
            </w:r>
          </w:p>
        </w:tc>
      </w:tr>
      <w:tr w14:paraId="7D405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821521">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7</w:t>
            </w:r>
          </w:p>
        </w:tc>
        <w:tc>
          <w:tcPr>
            <w:tcW w:w="628" w:type="pct"/>
            <w:vMerge w:val="continue"/>
            <w:tcBorders>
              <w:left w:val="single" w:color="000000" w:sz="4" w:space="0"/>
              <w:right w:val="single" w:color="000000" w:sz="4" w:space="0"/>
            </w:tcBorders>
            <w:shd w:val="clear" w:color="auto" w:fill="FFFFFF"/>
            <w:vAlign w:val="center"/>
          </w:tcPr>
          <w:p w14:paraId="767141AA">
            <w:pPr>
              <w:adjustRightInd w:val="0"/>
              <w:snapToGrid w:val="0"/>
              <w:jc w:val="center"/>
              <w:rPr>
                <w:rFonts w:hint="eastAsia" w:ascii="宋体" w:hAnsi="宋体"/>
                <w:color w:val="000000"/>
                <w:sz w:val="18"/>
                <w:szCs w:val="18"/>
                <w:highlight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F11D2D">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lang w:bidi="ar"/>
              </w:rPr>
              <w:t>射频场感应的传导骚扰抗扰度试验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F94DD8">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2C331A">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B17244">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79846E">
            <w:pPr>
              <w:widowControl/>
              <w:jc w:val="center"/>
              <w:textAlignment w:val="center"/>
              <w:rPr>
                <w:color w:val="000000"/>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DA2EC0">
            <w:pPr>
              <w:widowControl/>
              <w:jc w:val="center"/>
              <w:textAlignment w:val="center"/>
              <w:rPr>
                <w:rFonts w:hint="eastAsia" w:ascii="宋体" w:hAnsi="宋体" w:cs="宋体"/>
                <w:color w:val="000000"/>
                <w:kern w:val="0"/>
                <w:sz w:val="18"/>
                <w:szCs w:val="18"/>
                <w:highlight w:val="none"/>
                <w:lang w:bidi="ar"/>
              </w:rPr>
            </w:pPr>
            <w:r>
              <w:rPr>
                <w:color w:val="000000"/>
                <w:highlight w:val="none"/>
              </w:rPr>
              <w:t>—</w:t>
            </w:r>
          </w:p>
        </w:tc>
      </w:tr>
      <w:tr w14:paraId="52F53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5C8561">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8</w:t>
            </w:r>
          </w:p>
        </w:tc>
        <w:tc>
          <w:tcPr>
            <w:tcW w:w="628" w:type="pct"/>
            <w:vMerge w:val="continue"/>
            <w:tcBorders>
              <w:left w:val="single" w:color="000000" w:sz="4" w:space="0"/>
              <w:right w:val="single" w:color="000000" w:sz="4" w:space="0"/>
            </w:tcBorders>
            <w:shd w:val="clear" w:color="auto" w:fill="FFFFFF"/>
            <w:vAlign w:val="center"/>
          </w:tcPr>
          <w:p w14:paraId="5D759B59">
            <w:pPr>
              <w:adjustRightInd w:val="0"/>
              <w:snapToGrid w:val="0"/>
              <w:jc w:val="center"/>
              <w:rPr>
                <w:rFonts w:hint="eastAsia" w:ascii="宋体" w:hAnsi="宋体"/>
                <w:color w:val="000000"/>
                <w:sz w:val="18"/>
                <w:szCs w:val="18"/>
                <w:highlight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D59F9E">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lang w:bidi="ar"/>
              </w:rPr>
              <w:t>工频磁场抗扰度试验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5934A9">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45FD14">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ABF42">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581C64">
            <w:pPr>
              <w:widowControl/>
              <w:jc w:val="center"/>
              <w:textAlignment w:val="center"/>
              <w:rPr>
                <w:color w:val="000000"/>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462B3A">
            <w:pPr>
              <w:widowControl/>
              <w:jc w:val="center"/>
              <w:textAlignment w:val="center"/>
              <w:rPr>
                <w:rFonts w:hint="eastAsia" w:ascii="宋体" w:hAnsi="宋体" w:cs="宋体"/>
                <w:color w:val="000000"/>
                <w:kern w:val="0"/>
                <w:sz w:val="18"/>
                <w:szCs w:val="18"/>
                <w:highlight w:val="none"/>
                <w:lang w:bidi="ar"/>
              </w:rPr>
            </w:pPr>
            <w:r>
              <w:rPr>
                <w:color w:val="000000"/>
                <w:highlight w:val="none"/>
              </w:rPr>
              <w:t>—</w:t>
            </w:r>
          </w:p>
        </w:tc>
      </w:tr>
      <w:tr w14:paraId="65B753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388B97">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9</w:t>
            </w:r>
          </w:p>
        </w:tc>
        <w:tc>
          <w:tcPr>
            <w:tcW w:w="628" w:type="pct"/>
            <w:vMerge w:val="continue"/>
            <w:tcBorders>
              <w:left w:val="single" w:color="000000" w:sz="4" w:space="0"/>
              <w:bottom w:val="single" w:color="000000" w:sz="4" w:space="0"/>
              <w:right w:val="single" w:color="000000" w:sz="4" w:space="0"/>
            </w:tcBorders>
            <w:shd w:val="clear" w:color="auto" w:fill="FFFFFF"/>
            <w:vAlign w:val="center"/>
          </w:tcPr>
          <w:p w14:paraId="284FF773">
            <w:pPr>
              <w:adjustRightInd w:val="0"/>
              <w:snapToGrid w:val="0"/>
              <w:jc w:val="center"/>
              <w:rPr>
                <w:rFonts w:hint="eastAsia" w:ascii="宋体" w:hAnsi="宋体"/>
                <w:color w:val="000000"/>
                <w:sz w:val="18"/>
                <w:szCs w:val="18"/>
                <w:highlight w:val="none"/>
              </w:rPr>
            </w:pP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D4B738">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kern w:val="0"/>
                <w:sz w:val="18"/>
                <w:szCs w:val="18"/>
                <w:highlight w:val="none"/>
                <w:lang w:bidi="ar"/>
              </w:rPr>
              <w:t>脉冲磁场抗扰度试验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859AE9">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94C5FE">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7C89F3">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4FF99">
            <w:pPr>
              <w:widowControl/>
              <w:jc w:val="center"/>
              <w:textAlignment w:val="center"/>
              <w:rPr>
                <w:color w:val="000000"/>
                <w:highlight w:val="none"/>
              </w:rPr>
            </w:pPr>
            <w:r>
              <w:rPr>
                <w:color w:val="000000"/>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8E85FF">
            <w:pPr>
              <w:widowControl/>
              <w:jc w:val="center"/>
              <w:textAlignment w:val="center"/>
              <w:rPr>
                <w:rFonts w:hint="eastAsia" w:ascii="宋体" w:hAnsi="宋体" w:cs="宋体"/>
                <w:color w:val="000000"/>
                <w:kern w:val="0"/>
                <w:sz w:val="18"/>
                <w:szCs w:val="18"/>
                <w:highlight w:val="none"/>
                <w:lang w:bidi="ar"/>
              </w:rPr>
            </w:pPr>
            <w:r>
              <w:rPr>
                <w:color w:val="000000"/>
                <w:highlight w:val="none"/>
              </w:rPr>
              <w:t>—</w:t>
            </w:r>
          </w:p>
        </w:tc>
      </w:tr>
      <w:tr w14:paraId="37016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040F6F">
            <w:pPr>
              <w:numPr>
                <w:ilvl w:val="2"/>
                <w:numId w:val="0"/>
              </w:numPr>
              <w:tabs>
                <w:tab w:val="left" w:pos="360"/>
              </w:tabs>
              <w:topLinePunct/>
              <w:snapToGrid w:val="0"/>
              <w:spacing w:before="156" w:beforeLines="50" w:after="156" w:afterLines="50"/>
              <w:jc w:val="center"/>
              <w:rPr>
                <w:rFonts w:hint="eastAsia" w:ascii="宋体" w:hAnsi="宋体"/>
                <w:color w:val="000000"/>
                <w:sz w:val="18"/>
                <w:szCs w:val="18"/>
                <w:highlight w:val="none"/>
              </w:rPr>
            </w:pPr>
            <w:r>
              <w:rPr>
                <w:rFonts w:hint="eastAsia" w:ascii="宋体" w:hAnsi="宋体"/>
                <w:color w:val="000000"/>
                <w:sz w:val="18"/>
                <w:szCs w:val="18"/>
                <w:highlight w:val="none"/>
              </w:rPr>
              <w:t>10</w:t>
            </w:r>
          </w:p>
        </w:tc>
        <w:tc>
          <w:tcPr>
            <w:tcW w:w="628" w:type="pct"/>
            <w:tcBorders>
              <w:left w:val="single" w:color="000000" w:sz="4" w:space="0"/>
              <w:bottom w:val="single" w:color="000000" w:sz="4" w:space="0"/>
              <w:right w:val="single" w:color="000000" w:sz="4" w:space="0"/>
            </w:tcBorders>
            <w:shd w:val="clear" w:color="auto" w:fill="FFFFFF"/>
            <w:vAlign w:val="center"/>
          </w:tcPr>
          <w:p w14:paraId="47D0FA54">
            <w:pPr>
              <w:adjustRightInd w:val="0"/>
              <w:snapToGrid w:val="0"/>
              <w:jc w:val="center"/>
              <w:rPr>
                <w:rFonts w:hint="eastAsia" w:ascii="宋体" w:hAnsi="宋体"/>
                <w:color w:val="000000"/>
                <w:sz w:val="18"/>
                <w:szCs w:val="18"/>
                <w:highlight w:val="none"/>
              </w:rPr>
            </w:pPr>
            <w:r>
              <w:rPr>
                <w:rFonts w:hint="eastAsia"/>
                <w:sz w:val="18"/>
                <w:szCs w:val="18"/>
                <w:highlight w:val="none"/>
              </w:rPr>
              <w:t>机械性能试验</w:t>
            </w:r>
          </w:p>
        </w:tc>
        <w:tc>
          <w:tcPr>
            <w:tcW w:w="9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203CA9">
            <w:pPr>
              <w:jc w:val="center"/>
              <w:rPr>
                <w:rFonts w:hint="eastAsia" w:ascii="宋体" w:hAnsi="宋体" w:cs="宋体"/>
                <w:kern w:val="0"/>
                <w:sz w:val="18"/>
                <w:szCs w:val="18"/>
                <w:highlight w:val="none"/>
                <w:lang w:bidi="ar"/>
              </w:rPr>
            </w:pPr>
            <w:r>
              <w:rPr>
                <w:rFonts w:hint="eastAsia"/>
                <w:sz w:val="18"/>
                <w:szCs w:val="18"/>
                <w:highlight w:val="none"/>
              </w:rPr>
              <w:t>防护等级试验</w:t>
            </w:r>
          </w:p>
        </w:tc>
        <w:tc>
          <w:tcPr>
            <w:tcW w:w="64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C3F88F">
            <w:pPr>
              <w:jc w:val="center"/>
              <w:rPr>
                <w:rFonts w:hint="eastAsia" w:ascii="宋体" w:hAnsi="宋体" w:cs="宋体"/>
                <w:color w:val="000000"/>
                <w:kern w:val="0"/>
                <w:sz w:val="18"/>
                <w:szCs w:val="18"/>
                <w:highlight w:val="none"/>
                <w:lang w:bidi="ar"/>
              </w:rPr>
            </w:pPr>
            <w:r>
              <w:rPr>
                <w:rFonts w:hint="eastAsia"/>
                <w:highlight w:val="none"/>
              </w:rPr>
              <w:t>●</w:t>
            </w:r>
          </w:p>
        </w:tc>
        <w:tc>
          <w:tcPr>
            <w:tcW w:w="63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2365A1">
            <w:pPr>
              <w:numPr>
                <w:ilvl w:val="2"/>
                <w:numId w:val="0"/>
              </w:numPr>
              <w:tabs>
                <w:tab w:val="left" w:pos="360"/>
              </w:tabs>
              <w:topLinePunct/>
              <w:snapToGrid w:val="0"/>
              <w:spacing w:before="156" w:beforeLines="50" w:after="156" w:afterLines="50"/>
              <w:jc w:val="center"/>
              <w:rPr>
                <w:rFonts w:hint="eastAsia" w:ascii="宋体" w:hAnsi="宋体" w:cs="宋体"/>
                <w:color w:val="000000"/>
                <w:kern w:val="0"/>
                <w:sz w:val="18"/>
                <w:szCs w:val="18"/>
                <w:highlight w:val="none"/>
                <w:lang w:bidi="ar"/>
              </w:rPr>
            </w:pPr>
            <w:r>
              <w:rPr>
                <w:rFonts w:hint="eastAsia" w:ascii="宋体" w:hAnsi="宋体"/>
                <w:sz w:val="18"/>
                <w:szCs w:val="18"/>
                <w:highlight w:val="none"/>
              </w:rPr>
              <w:t>○</w:t>
            </w:r>
          </w:p>
        </w:tc>
        <w:tc>
          <w:tcPr>
            <w:tcW w:w="60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FECFF8">
            <w:pPr>
              <w:numPr>
                <w:ilvl w:val="2"/>
                <w:numId w:val="0"/>
              </w:numPr>
              <w:tabs>
                <w:tab w:val="left" w:pos="360"/>
              </w:tabs>
              <w:topLinePunct/>
              <w:snapToGrid w:val="0"/>
              <w:spacing w:before="156" w:beforeLines="50" w:after="156" w:afterLines="50"/>
              <w:jc w:val="center"/>
              <w:rPr>
                <w:rFonts w:hint="eastAsia" w:ascii="宋体" w:hAnsi="宋体" w:cs="宋体"/>
                <w:color w:val="000000"/>
                <w:kern w:val="0"/>
                <w:sz w:val="18"/>
                <w:szCs w:val="18"/>
                <w:highlight w:val="none"/>
                <w:lang w:bidi="ar"/>
              </w:rPr>
            </w:pPr>
            <w:r>
              <w:rPr>
                <w:rFonts w:hint="eastAsia" w:ascii="宋体" w:hAnsi="宋体"/>
                <w:sz w:val="18"/>
                <w:szCs w:val="18"/>
                <w:highlight w:val="none"/>
              </w:rPr>
              <w:t>●</w:t>
            </w:r>
          </w:p>
        </w:tc>
        <w:tc>
          <w:tcPr>
            <w:tcW w:w="5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7D27F3">
            <w:pPr>
              <w:jc w:val="center"/>
              <w:rPr>
                <w:color w:val="000000"/>
                <w:highlight w:val="none"/>
              </w:rPr>
            </w:pPr>
            <w:r>
              <w:rPr>
                <w:highlight w:val="none"/>
              </w:rPr>
              <w:t>—</w:t>
            </w:r>
          </w:p>
        </w:tc>
        <w:tc>
          <w:tcPr>
            <w:tcW w:w="5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725A5C">
            <w:pPr>
              <w:jc w:val="center"/>
              <w:rPr>
                <w:color w:val="000000"/>
                <w:highlight w:val="none"/>
              </w:rPr>
            </w:pPr>
            <w:r>
              <w:rPr>
                <w:highlight w:val="none"/>
              </w:rPr>
              <w:t>—</w:t>
            </w:r>
          </w:p>
        </w:tc>
      </w:tr>
      <w:tr w14:paraId="7C2D0E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 w:type="pct"/>
            <w:tcBorders>
              <w:top w:val="single" w:color="000000" w:sz="4" w:space="0"/>
              <w:left w:val="single" w:color="000000" w:sz="4" w:space="0"/>
              <w:bottom w:val="single" w:color="000000" w:sz="4" w:space="0"/>
              <w:right w:val="single" w:color="000000" w:sz="4" w:space="0"/>
            </w:tcBorders>
            <w:shd w:val="clear" w:color="auto" w:fill="FFFFFF"/>
          </w:tcPr>
          <w:p w14:paraId="4BE85DB7">
            <w:pPr>
              <w:topLinePunct/>
              <w:snapToGrid w:val="0"/>
              <w:spacing w:before="55" w:after="55"/>
              <w:rPr>
                <w:rFonts w:hint="eastAsia" w:ascii="宋体" w:hAnsi="宋体"/>
                <w:color w:val="000000"/>
                <w:sz w:val="18"/>
                <w:szCs w:val="18"/>
                <w:highlight w:val="none"/>
              </w:rPr>
            </w:pPr>
          </w:p>
        </w:tc>
        <w:tc>
          <w:tcPr>
            <w:tcW w:w="4699" w:type="pct"/>
            <w:gridSpan w:val="7"/>
            <w:tcBorders>
              <w:top w:val="single" w:color="000000" w:sz="4" w:space="0"/>
              <w:left w:val="single" w:color="000000" w:sz="4" w:space="0"/>
              <w:bottom w:val="single" w:color="000000" w:sz="4" w:space="0"/>
              <w:right w:val="single" w:color="000000" w:sz="4" w:space="0"/>
            </w:tcBorders>
            <w:shd w:val="clear" w:color="auto" w:fill="FFFFFF"/>
          </w:tcPr>
          <w:p w14:paraId="2C600F05">
            <w:pPr>
              <w:numPr>
                <w:ilvl w:val="2"/>
                <w:numId w:val="0"/>
              </w:numPr>
              <w:tabs>
                <w:tab w:val="left" w:pos="360"/>
              </w:tabs>
              <w:topLinePunct/>
              <w:snapToGrid w:val="0"/>
              <w:spacing w:before="156" w:beforeLines="50" w:after="156" w:afterLines="50"/>
              <w:jc w:val="left"/>
              <w:rPr>
                <w:rFonts w:hint="eastAsia" w:ascii="宋体" w:hAnsi="宋体"/>
                <w:color w:val="000000"/>
                <w:sz w:val="18"/>
                <w:szCs w:val="18"/>
                <w:highlight w:val="none"/>
              </w:rPr>
            </w:pPr>
            <w:r>
              <w:rPr>
                <w:rFonts w:hint="eastAsia" w:ascii="宋体" w:hAnsi="宋体"/>
                <w:color w:val="000000"/>
                <w:sz w:val="18"/>
                <w:szCs w:val="18"/>
                <w:highlight w:val="none"/>
              </w:rPr>
              <w:t>注</w:t>
            </w:r>
            <w:r>
              <w:rPr>
                <w:rFonts w:ascii="宋体" w:hAnsi="宋体"/>
                <w:color w:val="000000"/>
                <w:sz w:val="18"/>
                <w:szCs w:val="18"/>
                <w:highlight w:val="none"/>
              </w:rPr>
              <w:t>1：●表示必须做的项目，○表示可选做的项目，—表示不做的项目</w:t>
            </w:r>
            <w:r>
              <w:rPr>
                <w:rFonts w:hint="eastAsia" w:ascii="宋体" w:hAnsi="宋体"/>
                <w:color w:val="000000"/>
                <w:sz w:val="18"/>
                <w:szCs w:val="18"/>
                <w:highlight w:val="none"/>
              </w:rPr>
              <w:t>。</w:t>
            </w:r>
          </w:p>
        </w:tc>
      </w:tr>
    </w:tbl>
    <w:p w14:paraId="67A476B1">
      <w:pPr>
        <w:pStyle w:val="4"/>
        <w:ind w:firstLine="0"/>
        <w:rPr>
          <w:highlight w:val="none"/>
        </w:rPr>
      </w:pPr>
    </w:p>
    <w:p w14:paraId="2B6A5778">
      <w:pPr>
        <w:pStyle w:val="4"/>
        <w:ind w:firstLine="0"/>
        <w:rPr>
          <w:highlight w:val="none"/>
        </w:rPr>
      </w:pPr>
    </w:p>
    <w:p w14:paraId="29AA510A">
      <w:pPr>
        <w:pStyle w:val="3"/>
        <w:spacing w:before="0" w:after="0" w:line="360" w:lineRule="auto"/>
        <w:rPr>
          <w:rFonts w:ascii="Times New Roman" w:hAnsi="Times New Roman" w:eastAsia="黑体"/>
          <w:b w:val="0"/>
          <w:bCs/>
          <w:szCs w:val="21"/>
          <w:highlight w:val="none"/>
        </w:rPr>
      </w:pPr>
      <w:bookmarkStart w:id="215" w:name="_Toc25047"/>
      <w:r>
        <w:rPr>
          <w:rFonts w:hint="eastAsia" w:ascii="Times New Roman" w:hAnsi="Times New Roman" w:eastAsia="黑体"/>
          <w:b w:val="0"/>
          <w:bCs/>
          <w:szCs w:val="21"/>
          <w:highlight w:val="none"/>
        </w:rPr>
        <w:t>7</w:t>
      </w:r>
      <w:r>
        <w:rPr>
          <w:rFonts w:ascii="Times New Roman" w:hAnsi="Times New Roman" w:eastAsia="黑体"/>
          <w:b w:val="0"/>
          <w:bCs/>
          <w:szCs w:val="21"/>
          <w:highlight w:val="none"/>
        </w:rPr>
        <w:t xml:space="preserve">.1 </w:t>
      </w:r>
      <w:r>
        <w:rPr>
          <w:rFonts w:hint="eastAsia" w:ascii="Times New Roman" w:hAnsi="Times New Roman" w:eastAsia="黑体"/>
          <w:b w:val="0"/>
          <w:bCs/>
          <w:szCs w:val="21"/>
          <w:highlight w:val="none"/>
        </w:rPr>
        <w:t>型式试验</w:t>
      </w:r>
      <w:bookmarkEnd w:id="215"/>
    </w:p>
    <w:p w14:paraId="05F3BA30">
      <w:pPr>
        <w:pStyle w:val="97"/>
        <w:spacing w:line="360" w:lineRule="auto"/>
        <w:ind w:firstLine="420" w:firstLineChars="200"/>
        <w:rPr>
          <w:highlight w:val="none"/>
        </w:rPr>
      </w:pPr>
      <w:r>
        <w:rPr>
          <w:rFonts w:hint="eastAsia"/>
          <w:highlight w:val="none"/>
        </w:rPr>
        <w:t>型式试验应该是制造厂家将装置送交具备CMA或CNAS资质的检测单位，由检测单位依据试验条目完成检验，并出具型式检验报告。当出现下列情况之一时，应进行型式试验：</w:t>
      </w:r>
    </w:p>
    <w:p w14:paraId="723A76D6">
      <w:pPr>
        <w:pStyle w:val="97"/>
        <w:spacing w:line="360" w:lineRule="auto"/>
        <w:ind w:firstLine="420" w:firstLineChars="200"/>
        <w:rPr>
          <w:highlight w:val="none"/>
        </w:rPr>
      </w:pPr>
      <w:r>
        <w:rPr>
          <w:highlight w:val="none"/>
        </w:rPr>
        <w:t>a）</w:t>
      </w:r>
      <w:r>
        <w:rPr>
          <w:highlight w:val="none"/>
        </w:rPr>
        <w:tab/>
      </w:r>
      <w:r>
        <w:rPr>
          <w:rFonts w:hint="eastAsia"/>
          <w:highlight w:val="none"/>
        </w:rPr>
        <w:t>新产品定型前。</w:t>
      </w:r>
    </w:p>
    <w:p w14:paraId="47EDE0CF">
      <w:pPr>
        <w:pStyle w:val="97"/>
        <w:spacing w:line="360" w:lineRule="auto"/>
        <w:ind w:firstLine="420" w:firstLineChars="200"/>
        <w:rPr>
          <w:highlight w:val="none"/>
        </w:rPr>
      </w:pPr>
      <w:r>
        <w:rPr>
          <w:highlight w:val="none"/>
        </w:rPr>
        <w:t>b）</w:t>
      </w:r>
      <w:r>
        <w:rPr>
          <w:highlight w:val="none"/>
        </w:rPr>
        <w:tab/>
      </w:r>
      <w:r>
        <w:rPr>
          <w:rFonts w:hint="eastAsia"/>
          <w:highlight w:val="none"/>
        </w:rPr>
        <w:t>正常生产时，每</w:t>
      </w:r>
      <w:r>
        <w:rPr>
          <w:highlight w:val="none"/>
        </w:rPr>
        <w:t>4</w:t>
      </w:r>
      <w:r>
        <w:rPr>
          <w:rFonts w:hint="eastAsia"/>
          <w:highlight w:val="none"/>
        </w:rPr>
        <w:t>年进行一次。</w:t>
      </w:r>
    </w:p>
    <w:p w14:paraId="0BD642CA">
      <w:pPr>
        <w:pStyle w:val="97"/>
        <w:spacing w:line="360" w:lineRule="auto"/>
        <w:ind w:firstLine="420" w:firstLineChars="200"/>
        <w:rPr>
          <w:highlight w:val="none"/>
        </w:rPr>
      </w:pPr>
      <w:r>
        <w:rPr>
          <w:highlight w:val="none"/>
        </w:rPr>
        <w:t>c）</w:t>
      </w:r>
      <w:r>
        <w:rPr>
          <w:highlight w:val="none"/>
        </w:rPr>
        <w:tab/>
      </w:r>
      <w:r>
        <w:rPr>
          <w:rFonts w:hint="eastAsia"/>
          <w:highlight w:val="none"/>
        </w:rPr>
        <w:t>停产</w:t>
      </w:r>
      <w:r>
        <w:rPr>
          <w:highlight w:val="none"/>
        </w:rPr>
        <w:t>1</w:t>
      </w:r>
      <w:r>
        <w:rPr>
          <w:rFonts w:hint="eastAsia"/>
          <w:highlight w:val="none"/>
        </w:rPr>
        <w:t>年后又恢复生产时。</w:t>
      </w:r>
    </w:p>
    <w:p w14:paraId="35CCEDD7">
      <w:pPr>
        <w:pStyle w:val="97"/>
        <w:spacing w:line="360" w:lineRule="auto"/>
        <w:ind w:firstLine="420" w:firstLineChars="200"/>
        <w:rPr>
          <w:highlight w:val="none"/>
        </w:rPr>
      </w:pPr>
      <w:r>
        <w:rPr>
          <w:highlight w:val="none"/>
        </w:rPr>
        <w:t>d）</w:t>
      </w:r>
      <w:r>
        <w:rPr>
          <w:highlight w:val="none"/>
        </w:rPr>
        <w:tab/>
      </w:r>
      <w:r>
        <w:rPr>
          <w:rFonts w:hint="eastAsia"/>
          <w:highlight w:val="none"/>
        </w:rPr>
        <w:t>生产设备重大改变时。</w:t>
      </w:r>
    </w:p>
    <w:p w14:paraId="11CD1C43">
      <w:pPr>
        <w:pStyle w:val="97"/>
        <w:spacing w:line="360" w:lineRule="auto"/>
        <w:ind w:firstLine="420" w:firstLineChars="200"/>
        <w:rPr>
          <w:highlight w:val="none"/>
        </w:rPr>
      </w:pPr>
      <w:r>
        <w:rPr>
          <w:highlight w:val="none"/>
        </w:rPr>
        <w:t>e）</w:t>
      </w:r>
      <w:r>
        <w:rPr>
          <w:highlight w:val="none"/>
        </w:rPr>
        <w:tab/>
      </w:r>
      <w:r>
        <w:rPr>
          <w:rFonts w:hint="eastAsia"/>
          <w:highlight w:val="none"/>
        </w:rPr>
        <w:t>正式生产后，因结构、材料、工艺有较大改变，可能影响装置性能时。</w:t>
      </w:r>
    </w:p>
    <w:p w14:paraId="04C1F0F0">
      <w:pPr>
        <w:pStyle w:val="97"/>
        <w:spacing w:line="360" w:lineRule="auto"/>
        <w:ind w:left="840" w:hanging="420"/>
        <w:rPr>
          <w:highlight w:val="none"/>
        </w:rPr>
      </w:pPr>
      <w:r>
        <w:rPr>
          <w:highlight w:val="none"/>
        </w:rPr>
        <w:t>f）</w:t>
      </w:r>
      <w:r>
        <w:rPr>
          <w:highlight w:val="none"/>
        </w:rPr>
        <w:tab/>
      </w:r>
      <w:r>
        <w:rPr>
          <w:rFonts w:hint="eastAsia"/>
          <w:highlight w:val="none"/>
        </w:rPr>
        <w:t>国家技术监督机构或受其委托的技术检验部门提出型式试验要求时，应至少包含本标准表8.1中型式试验的检验项目。</w:t>
      </w:r>
    </w:p>
    <w:p w14:paraId="1F44DC50">
      <w:pPr>
        <w:pStyle w:val="97"/>
        <w:spacing w:line="360" w:lineRule="auto"/>
        <w:ind w:firstLine="420" w:firstLineChars="200"/>
        <w:rPr>
          <w:highlight w:val="none"/>
        </w:rPr>
      </w:pPr>
      <w:r>
        <w:rPr>
          <w:highlight w:val="none"/>
        </w:rPr>
        <w:t xml:space="preserve">g） </w:t>
      </w:r>
      <w:r>
        <w:rPr>
          <w:rFonts w:hint="eastAsia"/>
          <w:highlight w:val="none"/>
        </w:rPr>
        <w:t>合同规定进行型式试验时。</w:t>
      </w:r>
    </w:p>
    <w:p w14:paraId="2FC4BA96">
      <w:pPr>
        <w:pStyle w:val="3"/>
        <w:spacing w:before="0" w:after="0" w:line="360" w:lineRule="auto"/>
        <w:rPr>
          <w:rFonts w:ascii="Times New Roman" w:hAnsi="Times New Roman" w:eastAsia="黑体"/>
          <w:b w:val="0"/>
          <w:bCs/>
          <w:szCs w:val="21"/>
          <w:highlight w:val="none"/>
        </w:rPr>
      </w:pPr>
      <w:bookmarkStart w:id="216" w:name="_Toc19363"/>
      <w:r>
        <w:rPr>
          <w:rFonts w:hint="eastAsia" w:ascii="Times New Roman" w:hAnsi="Times New Roman" w:eastAsia="黑体"/>
          <w:b w:val="0"/>
          <w:bCs/>
          <w:szCs w:val="21"/>
          <w:highlight w:val="none"/>
        </w:rPr>
        <w:t>7</w:t>
      </w:r>
      <w:r>
        <w:rPr>
          <w:rFonts w:ascii="Times New Roman" w:hAnsi="Times New Roman" w:eastAsia="黑体"/>
          <w:b w:val="0"/>
          <w:bCs/>
          <w:szCs w:val="21"/>
          <w:highlight w:val="none"/>
        </w:rPr>
        <w:t xml:space="preserve">.2 </w:t>
      </w:r>
      <w:r>
        <w:rPr>
          <w:rFonts w:hint="eastAsia" w:ascii="Times New Roman" w:hAnsi="Times New Roman" w:eastAsia="黑体"/>
          <w:b w:val="0"/>
          <w:bCs/>
          <w:szCs w:val="21"/>
          <w:highlight w:val="none"/>
        </w:rPr>
        <w:t>出厂检验</w:t>
      </w:r>
      <w:bookmarkEnd w:id="216"/>
    </w:p>
    <w:p w14:paraId="2936D7F2">
      <w:pPr>
        <w:pStyle w:val="97"/>
        <w:spacing w:line="360" w:lineRule="auto"/>
        <w:ind w:firstLine="420" w:firstLineChars="200"/>
        <w:rPr>
          <w:highlight w:val="none"/>
        </w:rPr>
      </w:pPr>
      <w:r>
        <w:rPr>
          <w:rFonts w:hint="eastAsia"/>
          <w:highlight w:val="none"/>
        </w:rPr>
        <w:t>每台装置出厂前在正常试验条件下逐个按规定进行例行检验，检验合格后，附有合格证，方可允许出厂。</w:t>
      </w:r>
    </w:p>
    <w:p w14:paraId="38073562">
      <w:pPr>
        <w:pStyle w:val="3"/>
        <w:spacing w:before="0" w:after="0" w:line="360" w:lineRule="auto"/>
        <w:rPr>
          <w:rFonts w:ascii="Times New Roman" w:hAnsi="Times New Roman" w:eastAsia="黑体"/>
          <w:b w:val="0"/>
          <w:bCs/>
          <w:szCs w:val="21"/>
          <w:highlight w:val="none"/>
        </w:rPr>
      </w:pPr>
      <w:bookmarkStart w:id="217" w:name="_Toc30872"/>
      <w:r>
        <w:rPr>
          <w:rFonts w:hint="eastAsia" w:ascii="Times New Roman" w:hAnsi="Times New Roman" w:eastAsia="黑体"/>
          <w:b w:val="0"/>
          <w:bCs/>
          <w:szCs w:val="21"/>
          <w:highlight w:val="none"/>
        </w:rPr>
        <w:t>7.3 送样检测</w:t>
      </w:r>
      <w:bookmarkEnd w:id="217"/>
    </w:p>
    <w:p w14:paraId="0797BB9C">
      <w:pPr>
        <w:spacing w:line="360" w:lineRule="auto"/>
        <w:ind w:firstLine="420" w:firstLineChars="200"/>
        <w:rPr>
          <w:szCs w:val="21"/>
          <w:highlight w:val="none"/>
        </w:rPr>
      </w:pPr>
      <w:r>
        <w:rPr>
          <w:rFonts w:hint="eastAsia"/>
          <w:szCs w:val="21"/>
          <w:highlight w:val="none"/>
        </w:rPr>
        <w:t>由南方电网公司组织开展，供应商自愿报名送样开展检测，结果用于供应商产品质量评价。</w:t>
      </w:r>
    </w:p>
    <w:p w14:paraId="6304FC54">
      <w:pPr>
        <w:pStyle w:val="3"/>
        <w:spacing w:before="0" w:after="0" w:line="360" w:lineRule="auto"/>
        <w:rPr>
          <w:rFonts w:ascii="Times New Roman" w:hAnsi="Times New Roman" w:eastAsia="黑体"/>
          <w:b w:val="0"/>
          <w:bCs/>
          <w:szCs w:val="21"/>
          <w:highlight w:val="none"/>
        </w:rPr>
      </w:pPr>
      <w:bookmarkStart w:id="218" w:name="_Toc7457"/>
      <w:r>
        <w:rPr>
          <w:rFonts w:hint="eastAsia" w:ascii="Times New Roman" w:hAnsi="Times New Roman" w:eastAsia="黑体"/>
          <w:b w:val="0"/>
          <w:bCs/>
          <w:szCs w:val="21"/>
          <w:highlight w:val="none"/>
        </w:rPr>
        <w:t>7.4 到货抽检</w:t>
      </w:r>
      <w:bookmarkEnd w:id="218"/>
    </w:p>
    <w:p w14:paraId="5151063F">
      <w:pPr>
        <w:pStyle w:val="4"/>
        <w:spacing w:line="360" w:lineRule="auto"/>
        <w:rPr>
          <w:szCs w:val="21"/>
          <w:highlight w:val="none"/>
        </w:rPr>
      </w:pPr>
      <w:r>
        <w:rPr>
          <w:rFonts w:hint="eastAsia"/>
          <w:szCs w:val="21"/>
          <w:highlight w:val="none"/>
        </w:rPr>
        <w:t>由运行单位组织开展，在供货阶段，对供应商送达指定地点的货物进行抽样检测，通过后方可收货。</w:t>
      </w:r>
    </w:p>
    <w:p w14:paraId="2C696FA9">
      <w:pPr>
        <w:pStyle w:val="3"/>
        <w:spacing w:before="0" w:after="0" w:line="360" w:lineRule="auto"/>
        <w:rPr>
          <w:rFonts w:ascii="Times New Roman" w:hAnsi="Times New Roman" w:eastAsia="黑体"/>
          <w:b w:val="0"/>
          <w:bCs/>
          <w:szCs w:val="21"/>
          <w:highlight w:val="none"/>
        </w:rPr>
      </w:pPr>
      <w:bookmarkStart w:id="219" w:name="_Toc11772"/>
      <w:r>
        <w:rPr>
          <w:rFonts w:hint="eastAsia" w:ascii="Times New Roman" w:hAnsi="Times New Roman" w:eastAsia="黑体"/>
          <w:b w:val="0"/>
          <w:bCs/>
          <w:szCs w:val="21"/>
          <w:highlight w:val="none"/>
        </w:rPr>
        <w:t>7.5 交接试验</w:t>
      </w:r>
      <w:bookmarkEnd w:id="219"/>
    </w:p>
    <w:p w14:paraId="63ED78E4">
      <w:pPr>
        <w:adjustRightInd w:val="0"/>
        <w:snapToGrid w:val="0"/>
        <w:spacing w:line="360" w:lineRule="auto"/>
        <w:ind w:firstLine="420" w:firstLineChars="200"/>
        <w:rPr>
          <w:sz w:val="18"/>
          <w:szCs w:val="18"/>
          <w:highlight w:val="none"/>
        </w:rPr>
      </w:pPr>
      <w:r>
        <w:rPr>
          <w:rFonts w:hint="eastAsia"/>
          <w:szCs w:val="21"/>
          <w:highlight w:val="none"/>
        </w:rPr>
        <w:t>由运行单位组织开展，在设备交接验收阶段对到货设备逐套开展检测，合格后方可投运。</w:t>
      </w:r>
    </w:p>
    <w:bookmarkEnd w:id="199"/>
    <w:bookmarkEnd w:id="200"/>
    <w:bookmarkEnd w:id="201"/>
    <w:bookmarkEnd w:id="202"/>
    <w:bookmarkEnd w:id="203"/>
    <w:bookmarkEnd w:id="204"/>
    <w:bookmarkEnd w:id="213"/>
    <w:bookmarkEnd w:id="214"/>
    <w:p w14:paraId="3CF8F731">
      <w:pPr>
        <w:adjustRightInd w:val="0"/>
        <w:snapToGrid w:val="0"/>
        <w:spacing w:line="360" w:lineRule="auto"/>
        <w:ind w:firstLine="420" w:firstLineChars="200"/>
        <w:rPr>
          <w:highlight w:val="none"/>
          <w:lang w:bidi="ar"/>
        </w:rPr>
      </w:pPr>
      <w:bookmarkStart w:id="220" w:name="_Toc265313593"/>
      <w:bookmarkStart w:id="221" w:name="_Toc356999079"/>
      <w:bookmarkStart w:id="222" w:name="_Toc347154881"/>
    </w:p>
    <w:bookmarkEnd w:id="220"/>
    <w:bookmarkEnd w:id="221"/>
    <w:bookmarkEnd w:id="222"/>
    <w:p w14:paraId="65A5CA0D">
      <w:pPr>
        <w:spacing w:line="480" w:lineRule="auto"/>
        <w:outlineLvl w:val="0"/>
        <w:rPr>
          <w:rFonts w:eastAsia="黑体"/>
          <w:b/>
          <w:bCs/>
          <w:szCs w:val="21"/>
          <w:highlight w:val="none"/>
        </w:rPr>
      </w:pPr>
      <w:bookmarkStart w:id="223" w:name="_Toc226121125"/>
      <w:bookmarkStart w:id="224" w:name="_Toc222993407"/>
      <w:bookmarkStart w:id="225" w:name="_Toc9628"/>
      <w:bookmarkStart w:id="226" w:name="_Toc5748"/>
      <w:bookmarkStart w:id="227" w:name="_Toc14476"/>
      <w:bookmarkStart w:id="228" w:name="_Toc22996"/>
      <w:bookmarkStart w:id="229" w:name="_Toc76025498"/>
      <w:bookmarkStart w:id="230" w:name="_Toc15863"/>
      <w:bookmarkStart w:id="231" w:name="_Toc27494"/>
      <w:r>
        <w:rPr>
          <w:rFonts w:hint="eastAsia" w:eastAsia="黑体"/>
          <w:b/>
          <w:bCs/>
          <w:szCs w:val="21"/>
          <w:highlight w:val="none"/>
        </w:rPr>
        <w:t>8</w:t>
      </w:r>
      <w:r>
        <w:rPr>
          <w:rFonts w:eastAsia="黑体"/>
          <w:b/>
          <w:bCs/>
          <w:szCs w:val="21"/>
          <w:highlight w:val="none"/>
        </w:rPr>
        <w:t xml:space="preserve"> 技术联络、技术培训及售后服务</w:t>
      </w:r>
      <w:bookmarkEnd w:id="223"/>
      <w:bookmarkEnd w:id="224"/>
      <w:bookmarkEnd w:id="225"/>
      <w:bookmarkEnd w:id="226"/>
      <w:bookmarkEnd w:id="227"/>
      <w:bookmarkEnd w:id="228"/>
      <w:bookmarkEnd w:id="229"/>
      <w:bookmarkEnd w:id="230"/>
      <w:bookmarkEnd w:id="231"/>
    </w:p>
    <w:p w14:paraId="244546D7">
      <w:pPr>
        <w:pStyle w:val="3"/>
        <w:spacing w:before="0" w:after="0" w:line="360" w:lineRule="auto"/>
        <w:rPr>
          <w:rFonts w:ascii="Times New Roman" w:hAnsi="Times New Roman" w:eastAsia="黑体"/>
          <w:b w:val="0"/>
          <w:bCs/>
          <w:szCs w:val="21"/>
          <w:highlight w:val="none"/>
        </w:rPr>
      </w:pPr>
      <w:bookmarkStart w:id="232" w:name="_Toc10051"/>
      <w:bookmarkStart w:id="233" w:name="_Toc3590"/>
      <w:bookmarkStart w:id="234" w:name="_Toc19601"/>
      <w:bookmarkStart w:id="235" w:name="_Toc226121126"/>
      <w:bookmarkStart w:id="236" w:name="_Toc222993408"/>
      <w:bookmarkStart w:id="237" w:name="_Toc2212"/>
      <w:bookmarkStart w:id="238" w:name="_Toc11395"/>
      <w:bookmarkStart w:id="239" w:name="_Toc11986"/>
      <w:bookmarkStart w:id="240" w:name="_Toc76025499"/>
      <w:r>
        <w:rPr>
          <w:rFonts w:hint="eastAsia" w:ascii="Times New Roman" w:hAnsi="Times New Roman" w:eastAsia="黑体"/>
          <w:b w:val="0"/>
          <w:bCs/>
          <w:szCs w:val="21"/>
          <w:highlight w:val="none"/>
        </w:rPr>
        <w:t>8.1 技术培训</w:t>
      </w:r>
      <w:bookmarkEnd w:id="232"/>
      <w:bookmarkEnd w:id="233"/>
      <w:bookmarkEnd w:id="234"/>
      <w:bookmarkEnd w:id="235"/>
      <w:bookmarkEnd w:id="236"/>
      <w:bookmarkEnd w:id="237"/>
      <w:bookmarkEnd w:id="238"/>
      <w:bookmarkEnd w:id="239"/>
      <w:bookmarkEnd w:id="240"/>
    </w:p>
    <w:p w14:paraId="10BB7216">
      <w:pPr>
        <w:spacing w:line="360" w:lineRule="auto"/>
        <w:ind w:firstLine="420" w:firstLineChars="200"/>
        <w:rPr>
          <w:szCs w:val="21"/>
          <w:highlight w:val="none"/>
        </w:rPr>
      </w:pPr>
      <w:r>
        <w:rPr>
          <w:rFonts w:hint="eastAsia"/>
          <w:szCs w:val="21"/>
          <w:highlight w:val="none"/>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02147084">
      <w:pPr>
        <w:spacing w:line="360" w:lineRule="auto"/>
        <w:ind w:firstLine="420" w:firstLineChars="200"/>
        <w:rPr>
          <w:szCs w:val="21"/>
          <w:highlight w:val="none"/>
        </w:rPr>
      </w:pPr>
      <w:r>
        <w:rPr>
          <w:rFonts w:hint="eastAsia"/>
          <w:szCs w:val="21"/>
          <w:highlight w:val="none"/>
        </w:rPr>
        <w:t>8.1.2 投标方提供培训应分为工厂培训和现场培训两种。</w:t>
      </w:r>
    </w:p>
    <w:p w14:paraId="652D261B">
      <w:pPr>
        <w:spacing w:line="360" w:lineRule="auto"/>
        <w:ind w:firstLine="420" w:firstLineChars="200"/>
        <w:rPr>
          <w:szCs w:val="21"/>
          <w:highlight w:val="none"/>
        </w:rPr>
      </w:pPr>
      <w:r>
        <w:rPr>
          <w:rFonts w:hint="eastAsia"/>
          <w:szCs w:val="21"/>
          <w:highlight w:val="none"/>
        </w:rPr>
        <w:t>8.1.3 投标方提供培训教师、培训安排、培训教材及培训设备。</w:t>
      </w:r>
    </w:p>
    <w:p w14:paraId="101BD5D2">
      <w:pPr>
        <w:spacing w:line="360" w:lineRule="auto"/>
        <w:ind w:firstLine="420" w:firstLineChars="200"/>
        <w:rPr>
          <w:szCs w:val="21"/>
          <w:highlight w:val="none"/>
        </w:rPr>
      </w:pPr>
      <w:r>
        <w:rPr>
          <w:rFonts w:hint="eastAsia"/>
          <w:szCs w:val="21"/>
          <w:highlight w:val="none"/>
        </w:rPr>
        <w:t>8.1.4 投标方应设计专门的培训课程，重点包括飞行器的整体使用方法，数据上传处理，常见故障排查处理等。培训内容包括以上但不限于此。</w:t>
      </w:r>
    </w:p>
    <w:p w14:paraId="16E69502">
      <w:pPr>
        <w:spacing w:line="360" w:lineRule="auto"/>
        <w:ind w:firstLine="420" w:firstLineChars="200"/>
        <w:rPr>
          <w:szCs w:val="21"/>
          <w:highlight w:val="none"/>
        </w:rPr>
      </w:pPr>
      <w:r>
        <w:rPr>
          <w:rFonts w:hint="eastAsia"/>
          <w:szCs w:val="21"/>
          <w:highlight w:val="none"/>
        </w:rPr>
        <w:t>8.1.5 培训时间不少2天。其中，交货后招标方所需开展培训的分子公司、基层单位、班站所各进行不少于2天时间的培训，培训人员每次不少3人。</w:t>
      </w:r>
    </w:p>
    <w:p w14:paraId="26EF3EA7">
      <w:pPr>
        <w:pStyle w:val="3"/>
        <w:spacing w:before="0" w:after="0" w:line="360" w:lineRule="auto"/>
        <w:rPr>
          <w:rFonts w:ascii="Times New Roman" w:hAnsi="Times New Roman" w:eastAsia="黑体"/>
          <w:b w:val="0"/>
          <w:bCs/>
          <w:szCs w:val="21"/>
          <w:highlight w:val="none"/>
        </w:rPr>
      </w:pPr>
      <w:bookmarkStart w:id="241" w:name="_Toc222993409"/>
      <w:bookmarkStart w:id="242" w:name="_Toc20834"/>
      <w:bookmarkStart w:id="243" w:name="_Toc76025500"/>
      <w:bookmarkStart w:id="244" w:name="_Toc226121127"/>
      <w:bookmarkStart w:id="245" w:name="_Toc4750"/>
      <w:bookmarkStart w:id="246" w:name="_Toc16410"/>
      <w:bookmarkStart w:id="247" w:name="_Toc8767"/>
      <w:bookmarkStart w:id="248" w:name="_Toc23280"/>
      <w:bookmarkStart w:id="249" w:name="_Toc9975"/>
      <w:r>
        <w:rPr>
          <w:rFonts w:hint="eastAsia" w:ascii="Times New Roman" w:hAnsi="Times New Roman" w:eastAsia="黑体"/>
          <w:b w:val="0"/>
          <w:bCs/>
          <w:szCs w:val="21"/>
          <w:highlight w:val="none"/>
        </w:rPr>
        <w:t>8.2 现场及远程技术服务</w:t>
      </w:r>
      <w:bookmarkEnd w:id="241"/>
      <w:bookmarkEnd w:id="242"/>
      <w:bookmarkEnd w:id="243"/>
      <w:bookmarkEnd w:id="244"/>
      <w:bookmarkEnd w:id="245"/>
      <w:bookmarkEnd w:id="246"/>
      <w:bookmarkEnd w:id="247"/>
      <w:bookmarkEnd w:id="248"/>
      <w:bookmarkEnd w:id="249"/>
    </w:p>
    <w:p w14:paraId="434346BD">
      <w:pPr>
        <w:spacing w:line="360" w:lineRule="auto"/>
        <w:ind w:firstLine="420" w:firstLineChars="200"/>
        <w:rPr>
          <w:szCs w:val="21"/>
          <w:highlight w:val="none"/>
        </w:rPr>
      </w:pPr>
      <w:r>
        <w:rPr>
          <w:rFonts w:hint="eastAsia"/>
          <w:szCs w:val="21"/>
          <w:highlight w:val="none"/>
        </w:rPr>
        <w:t>8.2.1投标方派出的工程师，在设备的安装接线、调试和测试期间，应负责指导。</w:t>
      </w:r>
    </w:p>
    <w:p w14:paraId="06FD91BD">
      <w:pPr>
        <w:spacing w:line="360" w:lineRule="auto"/>
        <w:ind w:firstLine="420" w:firstLineChars="200"/>
        <w:rPr>
          <w:szCs w:val="21"/>
          <w:highlight w:val="none"/>
        </w:rPr>
      </w:pPr>
      <w:r>
        <w:rPr>
          <w:rFonts w:hint="eastAsia"/>
          <w:szCs w:val="21"/>
          <w:highlight w:val="none"/>
        </w:rPr>
        <w:t>8.2.2 投标方派出的工程师，还应负责对买方的安装及维护人员进行现场培训，教会他们如何启动、操作及维护设备。</w:t>
      </w:r>
    </w:p>
    <w:p w14:paraId="48CCA14E">
      <w:pPr>
        <w:spacing w:line="360" w:lineRule="auto"/>
        <w:ind w:firstLine="420" w:firstLineChars="200"/>
        <w:rPr>
          <w:szCs w:val="21"/>
          <w:highlight w:val="none"/>
        </w:rPr>
      </w:pPr>
      <w:r>
        <w:rPr>
          <w:rFonts w:hint="eastAsia"/>
          <w:szCs w:val="21"/>
          <w:highlight w:val="none"/>
        </w:rPr>
        <w:t>8.2.3 投标方应免费提供远程技术服务，远程技术服务项目期限不受限于保修期，远程技术服务在设备报废前有效。</w:t>
      </w:r>
    </w:p>
    <w:p w14:paraId="6D54F62A">
      <w:pPr>
        <w:spacing w:line="360" w:lineRule="auto"/>
        <w:ind w:firstLine="420" w:firstLineChars="200"/>
        <w:rPr>
          <w:szCs w:val="21"/>
          <w:highlight w:val="none"/>
        </w:rPr>
      </w:pPr>
      <w:r>
        <w:rPr>
          <w:rFonts w:hint="eastAsia"/>
          <w:szCs w:val="21"/>
          <w:highlight w:val="none"/>
        </w:rPr>
        <w:t xml:space="preserve">8.2.4 </w:t>
      </w:r>
      <w:r>
        <w:rPr>
          <w:rFonts w:hint="eastAsia" w:ascii="宋体" w:hAnsi="宋体" w:cs="宋体"/>
          <w:szCs w:val="21"/>
          <w:highlight w:val="none"/>
        </w:rPr>
        <w:t>招标方通过网络直播等方式每年组织1次设备使用及日常维护培训课程。</w:t>
      </w:r>
    </w:p>
    <w:p w14:paraId="6F749860">
      <w:pPr>
        <w:pStyle w:val="3"/>
        <w:spacing w:before="0" w:after="0" w:line="360" w:lineRule="auto"/>
        <w:rPr>
          <w:rFonts w:ascii="Times New Roman" w:hAnsi="Times New Roman" w:eastAsia="黑体"/>
          <w:b w:val="0"/>
          <w:bCs/>
          <w:szCs w:val="21"/>
          <w:highlight w:val="none"/>
        </w:rPr>
      </w:pPr>
      <w:bookmarkStart w:id="250" w:name="_Toc76025501"/>
      <w:bookmarkStart w:id="251" w:name="_Toc1935"/>
      <w:bookmarkStart w:id="252" w:name="_Toc226121128"/>
      <w:bookmarkStart w:id="253" w:name="_Toc7939"/>
      <w:bookmarkStart w:id="254" w:name="_Toc3146"/>
      <w:bookmarkStart w:id="255" w:name="_Toc26710"/>
      <w:bookmarkStart w:id="256" w:name="_Toc8936"/>
      <w:bookmarkStart w:id="257" w:name="_Toc32281"/>
      <w:bookmarkStart w:id="258" w:name="_Toc222993410"/>
      <w:r>
        <w:rPr>
          <w:rFonts w:hint="eastAsia" w:ascii="Times New Roman" w:hAnsi="Times New Roman" w:eastAsia="黑体"/>
          <w:b w:val="0"/>
          <w:bCs/>
          <w:szCs w:val="21"/>
          <w:highlight w:val="none"/>
        </w:rPr>
        <w:t>8</w:t>
      </w:r>
      <w:r>
        <w:rPr>
          <w:rFonts w:ascii="Times New Roman" w:hAnsi="Times New Roman" w:eastAsia="黑体"/>
          <w:b w:val="0"/>
          <w:bCs/>
          <w:szCs w:val="21"/>
          <w:highlight w:val="none"/>
        </w:rPr>
        <w:t xml:space="preserve">.3 </w:t>
      </w:r>
      <w:r>
        <w:rPr>
          <w:rFonts w:hint="eastAsia" w:ascii="Times New Roman" w:hAnsi="Times New Roman" w:eastAsia="黑体"/>
          <w:b w:val="0"/>
          <w:bCs/>
          <w:szCs w:val="21"/>
          <w:highlight w:val="none"/>
        </w:rPr>
        <w:t>售后服务</w:t>
      </w:r>
      <w:bookmarkEnd w:id="250"/>
      <w:bookmarkEnd w:id="251"/>
      <w:bookmarkEnd w:id="252"/>
      <w:bookmarkEnd w:id="253"/>
      <w:bookmarkEnd w:id="254"/>
      <w:bookmarkEnd w:id="255"/>
      <w:bookmarkEnd w:id="256"/>
      <w:bookmarkEnd w:id="257"/>
      <w:bookmarkEnd w:id="258"/>
    </w:p>
    <w:p w14:paraId="67068319">
      <w:pPr>
        <w:spacing w:line="360" w:lineRule="auto"/>
        <w:ind w:firstLine="420" w:firstLineChars="200"/>
        <w:rPr>
          <w:szCs w:val="21"/>
          <w:highlight w:val="none"/>
        </w:rPr>
      </w:pPr>
      <w:r>
        <w:rPr>
          <w:rFonts w:hint="eastAsia"/>
          <w:szCs w:val="21"/>
          <w:highlight w:val="none"/>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7FE04965">
      <w:pPr>
        <w:spacing w:line="360" w:lineRule="auto"/>
        <w:ind w:firstLine="420" w:firstLineChars="200"/>
        <w:rPr>
          <w:szCs w:val="21"/>
          <w:highlight w:val="none"/>
        </w:rPr>
      </w:pPr>
      <w:r>
        <w:rPr>
          <w:rFonts w:hint="eastAsia"/>
          <w:szCs w:val="21"/>
          <w:highlight w:val="none"/>
        </w:rPr>
        <w:t>8.3.2在接到招标方通知后，投标方虽努力改进，但仍不满足相关要求，招标方可处理或更换这些设备，由此引起的一切费用由投标方承担。</w:t>
      </w:r>
    </w:p>
    <w:p w14:paraId="12D40C26">
      <w:pPr>
        <w:spacing w:line="360" w:lineRule="auto"/>
        <w:ind w:firstLine="420" w:firstLineChars="200"/>
        <w:rPr>
          <w:szCs w:val="21"/>
          <w:highlight w:val="none"/>
        </w:rPr>
      </w:pPr>
      <w:r>
        <w:rPr>
          <w:rFonts w:hint="eastAsia"/>
          <w:szCs w:val="21"/>
          <w:highlight w:val="none"/>
        </w:rPr>
        <w:t>8.3.</w:t>
      </w:r>
      <w:r>
        <w:rPr>
          <w:rFonts w:hint="eastAsia"/>
          <w:szCs w:val="21"/>
          <w:highlight w:val="none"/>
          <w:lang w:val="en-US" w:eastAsia="zh-CN"/>
        </w:rPr>
        <w:t>3</w:t>
      </w:r>
      <w:bookmarkStart w:id="351" w:name="_GoBack"/>
      <w:bookmarkEnd w:id="351"/>
      <w:r>
        <w:rPr>
          <w:rFonts w:hint="eastAsia"/>
          <w:szCs w:val="21"/>
          <w:highlight w:val="none"/>
        </w:rPr>
        <w:t xml:space="preserve"> 投标单位应提高售后处理服务水平和质量，质保期内在接到使用单位报障后，应在15日内处理完毕，确保使用单位策略按时完成。</w:t>
      </w:r>
    </w:p>
    <w:p w14:paraId="6BE2CFE4">
      <w:pPr>
        <w:spacing w:line="480" w:lineRule="auto"/>
        <w:outlineLvl w:val="0"/>
        <w:rPr>
          <w:rFonts w:eastAsia="黑体"/>
          <w:b/>
          <w:bCs/>
          <w:szCs w:val="21"/>
          <w:highlight w:val="none"/>
        </w:rPr>
      </w:pPr>
      <w:bookmarkStart w:id="259" w:name="_Toc226121129"/>
      <w:bookmarkStart w:id="260" w:name="_Toc28748"/>
      <w:bookmarkStart w:id="261" w:name="_Toc25557"/>
      <w:bookmarkStart w:id="262" w:name="_Toc10460"/>
      <w:bookmarkStart w:id="263" w:name="_Toc20285"/>
      <w:bookmarkStart w:id="264" w:name="_Toc222993411"/>
      <w:bookmarkStart w:id="265" w:name="_Toc76025502"/>
      <w:bookmarkStart w:id="266" w:name="_Toc341"/>
      <w:bookmarkStart w:id="267" w:name="_Toc24618"/>
      <w:bookmarkStart w:id="268" w:name="_Toc347154882"/>
      <w:bookmarkStart w:id="269" w:name="_Toc356999080"/>
      <w:bookmarkStart w:id="270" w:name="_Toc265313600"/>
      <w:r>
        <w:rPr>
          <w:rFonts w:hint="eastAsia" w:eastAsia="黑体"/>
          <w:b/>
          <w:bCs/>
          <w:szCs w:val="21"/>
          <w:highlight w:val="none"/>
        </w:rPr>
        <w:t>9</w:t>
      </w:r>
      <w:r>
        <w:rPr>
          <w:rFonts w:eastAsia="黑体"/>
          <w:b/>
          <w:bCs/>
          <w:szCs w:val="21"/>
          <w:highlight w:val="none"/>
        </w:rPr>
        <w:t xml:space="preserve"> 标志、包装、运输、贮存</w:t>
      </w:r>
      <w:bookmarkEnd w:id="259"/>
      <w:bookmarkEnd w:id="260"/>
      <w:bookmarkEnd w:id="261"/>
      <w:bookmarkEnd w:id="262"/>
      <w:bookmarkEnd w:id="263"/>
      <w:bookmarkEnd w:id="264"/>
      <w:bookmarkEnd w:id="265"/>
      <w:bookmarkEnd w:id="266"/>
      <w:bookmarkEnd w:id="267"/>
      <w:bookmarkEnd w:id="268"/>
      <w:bookmarkEnd w:id="269"/>
    </w:p>
    <w:bookmarkEnd w:id="270"/>
    <w:p w14:paraId="774E3F9B">
      <w:pPr>
        <w:pStyle w:val="3"/>
        <w:keepNext w:val="0"/>
        <w:spacing w:before="0" w:after="0" w:line="360" w:lineRule="auto"/>
        <w:rPr>
          <w:rFonts w:ascii="Times New Roman" w:hAnsi="Times New Roman" w:eastAsia="黑体"/>
          <w:b w:val="0"/>
          <w:bCs/>
          <w:szCs w:val="21"/>
          <w:highlight w:val="none"/>
        </w:rPr>
      </w:pPr>
      <w:bookmarkStart w:id="271" w:name="_Toc22883"/>
      <w:bookmarkStart w:id="272" w:name="_Toc16461"/>
      <w:bookmarkStart w:id="273" w:name="_Toc276492436"/>
      <w:bookmarkStart w:id="274" w:name="_Toc282993364"/>
      <w:bookmarkStart w:id="275" w:name="_Toc5419"/>
      <w:bookmarkStart w:id="276" w:name="_Toc441508857"/>
      <w:bookmarkStart w:id="277" w:name="_Toc20607"/>
      <w:bookmarkStart w:id="278" w:name="_Toc279695209"/>
      <w:bookmarkStart w:id="279" w:name="_Toc322681878"/>
      <w:bookmarkStart w:id="280" w:name="_Toc282433760"/>
      <w:bookmarkStart w:id="281" w:name="_Toc276490918"/>
      <w:bookmarkStart w:id="282" w:name="_Toc23438"/>
      <w:bookmarkStart w:id="283" w:name="_Toc76025503"/>
      <w:bookmarkStart w:id="284" w:name="_Toc387609309"/>
      <w:bookmarkStart w:id="285" w:name="_Toc66780580"/>
      <w:bookmarkStart w:id="286" w:name="_Toc14572"/>
      <w:bookmarkStart w:id="287" w:name="_Toc276301528"/>
      <w:bookmarkStart w:id="288" w:name="_Toc226121130"/>
      <w:bookmarkStart w:id="289" w:name="_Toc222993412"/>
      <w:r>
        <w:rPr>
          <w:rFonts w:hint="eastAsia" w:ascii="Times New Roman" w:hAnsi="Times New Roman" w:eastAsia="黑体"/>
          <w:b w:val="0"/>
          <w:bCs/>
          <w:szCs w:val="21"/>
          <w:highlight w:val="none"/>
        </w:rPr>
        <w:t>9.1 包装</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FEB1F2A">
      <w:pPr>
        <w:adjustRightInd w:val="0"/>
        <w:snapToGrid w:val="0"/>
        <w:spacing w:line="360" w:lineRule="auto"/>
        <w:ind w:firstLine="420" w:firstLineChars="200"/>
        <w:rPr>
          <w:szCs w:val="21"/>
          <w:highlight w:val="none"/>
        </w:rPr>
      </w:pPr>
      <w:bookmarkStart w:id="290" w:name="_Toc276492437"/>
      <w:bookmarkStart w:id="291" w:name="_Toc276490919"/>
      <w:bookmarkStart w:id="292" w:name="_Toc276301529"/>
      <w:r>
        <w:rPr>
          <w:rFonts w:hint="eastAsia"/>
          <w:szCs w:val="21"/>
          <w:highlight w:val="none"/>
        </w:rPr>
        <w:t>1）投标方应根据双方商定好的标准和招标方的实际运输条件</w:t>
      </w:r>
      <w:r>
        <w:rPr>
          <w:szCs w:val="21"/>
          <w:highlight w:val="none"/>
        </w:rPr>
        <w:t>，</w:t>
      </w:r>
      <w:r>
        <w:rPr>
          <w:rFonts w:hint="eastAsia"/>
          <w:szCs w:val="21"/>
          <w:highlight w:val="none"/>
        </w:rPr>
        <w:t>将所有零部件包装好</w:t>
      </w:r>
      <w:r>
        <w:rPr>
          <w:szCs w:val="21"/>
          <w:highlight w:val="none"/>
        </w:rPr>
        <w:t>，</w:t>
      </w:r>
      <w:r>
        <w:rPr>
          <w:rFonts w:hint="eastAsia"/>
          <w:szCs w:val="21"/>
          <w:highlight w:val="none"/>
        </w:rPr>
        <w:t>并将全套使用说明书</w:t>
      </w:r>
      <w:r>
        <w:rPr>
          <w:szCs w:val="21"/>
          <w:highlight w:val="none"/>
        </w:rPr>
        <w:t>，</w:t>
      </w:r>
      <w:r>
        <w:rPr>
          <w:rFonts w:hint="eastAsia"/>
          <w:szCs w:val="21"/>
          <w:highlight w:val="none"/>
        </w:rPr>
        <w:t>产品合格证明书、产品外形尺寸图、铭牌标志图等包装好</w:t>
      </w:r>
      <w:r>
        <w:rPr>
          <w:szCs w:val="21"/>
          <w:highlight w:val="none"/>
        </w:rPr>
        <w:t>，</w:t>
      </w:r>
      <w:r>
        <w:rPr>
          <w:rFonts w:hint="eastAsia"/>
          <w:szCs w:val="21"/>
          <w:highlight w:val="none"/>
        </w:rPr>
        <w:t>防止受潮。从投标方发货至招标方收到期间</w:t>
      </w:r>
      <w:r>
        <w:rPr>
          <w:szCs w:val="21"/>
          <w:highlight w:val="none"/>
        </w:rPr>
        <w:t>，</w:t>
      </w:r>
      <w:r>
        <w:rPr>
          <w:rFonts w:hint="eastAsia"/>
          <w:szCs w:val="21"/>
          <w:highlight w:val="none"/>
        </w:rPr>
        <w:t>设备和资料应完好无损。</w:t>
      </w:r>
    </w:p>
    <w:p w14:paraId="4A17397E">
      <w:pPr>
        <w:adjustRightInd w:val="0"/>
        <w:snapToGrid w:val="0"/>
        <w:spacing w:line="360" w:lineRule="auto"/>
        <w:ind w:firstLine="420" w:firstLineChars="200"/>
        <w:rPr>
          <w:szCs w:val="21"/>
          <w:highlight w:val="none"/>
        </w:rPr>
      </w:pPr>
      <w:r>
        <w:rPr>
          <w:rFonts w:hint="eastAsia"/>
          <w:szCs w:val="21"/>
          <w:highlight w:val="none"/>
        </w:rPr>
        <w:t>2）包装箱应连续编号</w:t>
      </w:r>
      <w:r>
        <w:rPr>
          <w:szCs w:val="21"/>
          <w:highlight w:val="none"/>
        </w:rPr>
        <w:t>，</w:t>
      </w:r>
      <w:r>
        <w:rPr>
          <w:rFonts w:hint="eastAsia"/>
          <w:szCs w:val="21"/>
          <w:highlight w:val="none"/>
        </w:rPr>
        <w:t>不能有重号。</w:t>
      </w:r>
    </w:p>
    <w:p w14:paraId="78056931">
      <w:pPr>
        <w:adjustRightInd w:val="0"/>
        <w:snapToGrid w:val="0"/>
        <w:spacing w:line="360" w:lineRule="auto"/>
        <w:ind w:firstLine="420" w:firstLineChars="200"/>
        <w:rPr>
          <w:szCs w:val="21"/>
          <w:highlight w:val="none"/>
        </w:rPr>
      </w:pPr>
      <w:r>
        <w:rPr>
          <w:rFonts w:hint="eastAsia"/>
          <w:szCs w:val="21"/>
          <w:highlight w:val="none"/>
        </w:rPr>
        <w:t>零部件、材料启运前投标方应按下述内容在箱面上写不褪色的醒目标志</w:t>
      </w:r>
      <w:r>
        <w:rPr>
          <w:szCs w:val="21"/>
          <w:highlight w:val="none"/>
        </w:rPr>
        <w:t>：</w:t>
      </w:r>
    </w:p>
    <w:p w14:paraId="02A17584">
      <w:pPr>
        <w:adjustRightInd w:val="0"/>
        <w:snapToGrid w:val="0"/>
        <w:spacing w:line="360" w:lineRule="auto"/>
        <w:ind w:firstLine="630" w:firstLineChars="300"/>
        <w:rPr>
          <w:szCs w:val="21"/>
          <w:highlight w:val="none"/>
        </w:rPr>
      </w:pPr>
      <w:r>
        <w:rPr>
          <w:rFonts w:hint="eastAsia"/>
          <w:szCs w:val="21"/>
          <w:highlight w:val="none"/>
        </w:rPr>
        <w:t>a.合同号</w:t>
      </w:r>
      <w:r>
        <w:rPr>
          <w:szCs w:val="21"/>
          <w:highlight w:val="none"/>
        </w:rPr>
        <w:t>；</w:t>
      </w:r>
    </w:p>
    <w:p w14:paraId="0725EE0C">
      <w:pPr>
        <w:adjustRightInd w:val="0"/>
        <w:snapToGrid w:val="0"/>
        <w:spacing w:line="360" w:lineRule="auto"/>
        <w:ind w:firstLine="630" w:firstLineChars="300"/>
        <w:rPr>
          <w:szCs w:val="21"/>
          <w:highlight w:val="none"/>
        </w:rPr>
      </w:pPr>
      <w:r>
        <w:rPr>
          <w:rFonts w:hint="eastAsia"/>
          <w:szCs w:val="21"/>
          <w:highlight w:val="none"/>
        </w:rPr>
        <w:t>d.收货人及代码</w:t>
      </w:r>
      <w:r>
        <w:rPr>
          <w:szCs w:val="21"/>
          <w:highlight w:val="none"/>
        </w:rPr>
        <w:t>；</w:t>
      </w:r>
    </w:p>
    <w:p w14:paraId="5529F277">
      <w:pPr>
        <w:adjustRightInd w:val="0"/>
        <w:snapToGrid w:val="0"/>
        <w:spacing w:line="360" w:lineRule="auto"/>
        <w:ind w:firstLine="630" w:firstLineChars="300"/>
        <w:rPr>
          <w:szCs w:val="21"/>
          <w:highlight w:val="none"/>
        </w:rPr>
      </w:pPr>
      <w:r>
        <w:rPr>
          <w:rFonts w:hint="eastAsia"/>
          <w:szCs w:val="21"/>
          <w:highlight w:val="none"/>
        </w:rPr>
        <w:t>e.设备名称和项目号</w:t>
      </w:r>
      <w:r>
        <w:rPr>
          <w:szCs w:val="21"/>
          <w:highlight w:val="none"/>
        </w:rPr>
        <w:t>；</w:t>
      </w:r>
    </w:p>
    <w:p w14:paraId="4547A13A">
      <w:pPr>
        <w:adjustRightInd w:val="0"/>
        <w:snapToGrid w:val="0"/>
        <w:spacing w:line="360" w:lineRule="auto"/>
        <w:ind w:firstLine="630" w:firstLineChars="300"/>
        <w:rPr>
          <w:szCs w:val="21"/>
          <w:highlight w:val="none"/>
        </w:rPr>
      </w:pPr>
      <w:r>
        <w:rPr>
          <w:rFonts w:hint="eastAsia"/>
          <w:szCs w:val="21"/>
          <w:highlight w:val="none"/>
        </w:rPr>
        <w:t>f.箱号</w:t>
      </w:r>
      <w:r>
        <w:rPr>
          <w:szCs w:val="21"/>
          <w:highlight w:val="none"/>
        </w:rPr>
        <w:t>；</w:t>
      </w:r>
    </w:p>
    <w:p w14:paraId="68010F1A">
      <w:pPr>
        <w:adjustRightInd w:val="0"/>
        <w:snapToGrid w:val="0"/>
        <w:spacing w:line="360" w:lineRule="auto"/>
        <w:ind w:firstLine="630" w:firstLineChars="300"/>
        <w:rPr>
          <w:szCs w:val="21"/>
          <w:highlight w:val="none"/>
        </w:rPr>
      </w:pPr>
      <w:r>
        <w:rPr>
          <w:rFonts w:hint="eastAsia"/>
          <w:szCs w:val="21"/>
          <w:highlight w:val="none"/>
        </w:rPr>
        <w:t>g.毛重与净重</w:t>
      </w:r>
      <w:r>
        <w:rPr>
          <w:szCs w:val="21"/>
          <w:highlight w:val="none"/>
        </w:rPr>
        <w:t>；</w:t>
      </w:r>
    </w:p>
    <w:p w14:paraId="0BAD3AE8">
      <w:pPr>
        <w:adjustRightInd w:val="0"/>
        <w:snapToGrid w:val="0"/>
        <w:spacing w:line="360" w:lineRule="auto"/>
        <w:ind w:firstLine="630" w:firstLineChars="300"/>
        <w:rPr>
          <w:szCs w:val="21"/>
          <w:highlight w:val="none"/>
        </w:rPr>
      </w:pPr>
      <w:r>
        <w:rPr>
          <w:rFonts w:hint="eastAsia"/>
          <w:szCs w:val="21"/>
          <w:highlight w:val="none"/>
        </w:rPr>
        <w:t>h.外形尺寸</w:t>
      </w:r>
      <w:r>
        <w:rPr>
          <w:szCs w:val="21"/>
          <w:highlight w:val="none"/>
        </w:rPr>
        <w:t>；</w:t>
      </w:r>
    </w:p>
    <w:p w14:paraId="0FB97D52">
      <w:pPr>
        <w:adjustRightInd w:val="0"/>
        <w:snapToGrid w:val="0"/>
        <w:spacing w:line="360" w:lineRule="auto"/>
        <w:ind w:firstLine="630" w:firstLineChars="300"/>
        <w:rPr>
          <w:szCs w:val="21"/>
          <w:highlight w:val="none"/>
        </w:rPr>
      </w:pPr>
      <w:r>
        <w:rPr>
          <w:rFonts w:hint="eastAsia"/>
          <w:szCs w:val="21"/>
          <w:highlight w:val="none"/>
        </w:rPr>
        <w:t>i.在设备的包装箱外面应标上“重心”、“起吊点”、“小心搬运”、“正面向上”、“防止受潮”、“勿倒”、“勿倾斜”、“防火”等字样。</w:t>
      </w:r>
    </w:p>
    <w:p w14:paraId="5A097E9D">
      <w:pPr>
        <w:adjustRightInd w:val="0"/>
        <w:snapToGrid w:val="0"/>
        <w:spacing w:line="360" w:lineRule="auto"/>
        <w:ind w:firstLine="420" w:firstLineChars="200"/>
        <w:rPr>
          <w:szCs w:val="21"/>
          <w:highlight w:val="none"/>
        </w:rPr>
      </w:pPr>
      <w:r>
        <w:rPr>
          <w:rFonts w:hint="eastAsia"/>
          <w:szCs w:val="21"/>
          <w:highlight w:val="none"/>
        </w:rPr>
        <w:t>3）投标方提供的技术文件的包装内外表面上应有如下中文标志</w:t>
      </w:r>
      <w:r>
        <w:rPr>
          <w:szCs w:val="21"/>
          <w:highlight w:val="none"/>
        </w:rPr>
        <w:t>：</w:t>
      </w:r>
    </w:p>
    <w:p w14:paraId="394B4658">
      <w:pPr>
        <w:adjustRightInd w:val="0"/>
        <w:snapToGrid w:val="0"/>
        <w:spacing w:line="360" w:lineRule="auto"/>
        <w:ind w:firstLine="630" w:firstLineChars="300"/>
        <w:rPr>
          <w:szCs w:val="21"/>
          <w:highlight w:val="none"/>
        </w:rPr>
      </w:pPr>
      <w:r>
        <w:rPr>
          <w:rFonts w:hint="eastAsia"/>
          <w:szCs w:val="21"/>
          <w:highlight w:val="none"/>
        </w:rPr>
        <w:t>a.合同号</w:t>
      </w:r>
      <w:r>
        <w:rPr>
          <w:szCs w:val="21"/>
          <w:highlight w:val="none"/>
        </w:rPr>
        <w:t>；</w:t>
      </w:r>
    </w:p>
    <w:p w14:paraId="17D67ABC">
      <w:pPr>
        <w:adjustRightInd w:val="0"/>
        <w:snapToGrid w:val="0"/>
        <w:spacing w:line="360" w:lineRule="auto"/>
        <w:ind w:firstLine="630" w:firstLineChars="300"/>
        <w:rPr>
          <w:szCs w:val="21"/>
          <w:highlight w:val="none"/>
        </w:rPr>
      </w:pPr>
      <w:r>
        <w:rPr>
          <w:rFonts w:hint="eastAsia"/>
          <w:szCs w:val="21"/>
          <w:highlight w:val="none"/>
        </w:rPr>
        <w:t>b.收货人</w:t>
      </w:r>
      <w:r>
        <w:rPr>
          <w:szCs w:val="21"/>
          <w:highlight w:val="none"/>
        </w:rPr>
        <w:t>；</w:t>
      </w:r>
    </w:p>
    <w:p w14:paraId="1A2F2CD4">
      <w:pPr>
        <w:adjustRightInd w:val="0"/>
        <w:snapToGrid w:val="0"/>
        <w:spacing w:line="360" w:lineRule="auto"/>
        <w:ind w:firstLine="630" w:firstLineChars="300"/>
        <w:rPr>
          <w:szCs w:val="21"/>
          <w:highlight w:val="none"/>
        </w:rPr>
      </w:pPr>
      <w:r>
        <w:rPr>
          <w:rFonts w:hint="eastAsia"/>
          <w:szCs w:val="21"/>
          <w:highlight w:val="none"/>
        </w:rPr>
        <w:t>c.目的地</w:t>
      </w:r>
      <w:r>
        <w:rPr>
          <w:szCs w:val="21"/>
          <w:highlight w:val="none"/>
        </w:rPr>
        <w:t>；</w:t>
      </w:r>
    </w:p>
    <w:p w14:paraId="1ED79324">
      <w:pPr>
        <w:adjustRightInd w:val="0"/>
        <w:snapToGrid w:val="0"/>
        <w:spacing w:line="360" w:lineRule="auto"/>
        <w:ind w:firstLine="630" w:firstLineChars="300"/>
        <w:rPr>
          <w:szCs w:val="21"/>
          <w:highlight w:val="none"/>
        </w:rPr>
      </w:pPr>
      <w:r>
        <w:rPr>
          <w:rFonts w:hint="eastAsia"/>
          <w:szCs w:val="21"/>
          <w:highlight w:val="none"/>
        </w:rPr>
        <w:t>d.毛重</w:t>
      </w:r>
      <w:r>
        <w:rPr>
          <w:szCs w:val="21"/>
          <w:highlight w:val="none"/>
        </w:rPr>
        <w:t>；</w:t>
      </w:r>
    </w:p>
    <w:p w14:paraId="4F34828D">
      <w:pPr>
        <w:adjustRightInd w:val="0"/>
        <w:snapToGrid w:val="0"/>
        <w:spacing w:line="360" w:lineRule="auto"/>
        <w:ind w:firstLine="630" w:firstLineChars="300"/>
        <w:rPr>
          <w:szCs w:val="21"/>
          <w:highlight w:val="none"/>
        </w:rPr>
      </w:pPr>
      <w:r>
        <w:rPr>
          <w:rFonts w:hint="eastAsia"/>
          <w:szCs w:val="21"/>
          <w:highlight w:val="none"/>
        </w:rPr>
        <w:t>e.箱号。</w:t>
      </w:r>
    </w:p>
    <w:p w14:paraId="2C813716">
      <w:pPr>
        <w:adjustRightInd w:val="0"/>
        <w:snapToGrid w:val="0"/>
        <w:spacing w:line="360" w:lineRule="auto"/>
        <w:ind w:firstLine="420" w:firstLineChars="200"/>
        <w:rPr>
          <w:szCs w:val="21"/>
          <w:highlight w:val="none"/>
        </w:rPr>
      </w:pPr>
      <w:r>
        <w:rPr>
          <w:rFonts w:hint="eastAsia"/>
          <w:szCs w:val="21"/>
          <w:highlight w:val="none"/>
        </w:rPr>
        <w:t>4）招投标双方应在合同中明确规定多旋翼无人机巡检系统各部件的保管期应在合同中明确规定。</w:t>
      </w:r>
    </w:p>
    <w:p w14:paraId="742B14FD">
      <w:pPr>
        <w:adjustRightInd w:val="0"/>
        <w:snapToGrid w:val="0"/>
        <w:spacing w:line="360" w:lineRule="auto"/>
        <w:ind w:firstLine="420" w:firstLineChars="200"/>
        <w:rPr>
          <w:szCs w:val="21"/>
          <w:highlight w:val="none"/>
        </w:rPr>
      </w:pPr>
      <w:r>
        <w:rPr>
          <w:rFonts w:hint="eastAsia"/>
          <w:szCs w:val="21"/>
          <w:highlight w:val="none"/>
        </w:rPr>
        <w:t>5）在设备启运后一周内</w:t>
      </w:r>
      <w:r>
        <w:rPr>
          <w:szCs w:val="21"/>
          <w:highlight w:val="none"/>
        </w:rPr>
        <w:t>，</w:t>
      </w:r>
      <w:r>
        <w:rPr>
          <w:rFonts w:hint="eastAsia"/>
          <w:szCs w:val="21"/>
          <w:highlight w:val="none"/>
        </w:rPr>
        <w:t>投标方应以最快捷的方式通知招标方以下内容</w:t>
      </w:r>
      <w:r>
        <w:rPr>
          <w:szCs w:val="21"/>
          <w:highlight w:val="none"/>
        </w:rPr>
        <w:t>：</w:t>
      </w:r>
    </w:p>
    <w:p w14:paraId="33D1317C">
      <w:pPr>
        <w:adjustRightInd w:val="0"/>
        <w:snapToGrid w:val="0"/>
        <w:spacing w:line="360" w:lineRule="auto"/>
        <w:ind w:firstLine="630" w:firstLineChars="300"/>
        <w:rPr>
          <w:szCs w:val="21"/>
          <w:highlight w:val="none"/>
        </w:rPr>
      </w:pPr>
      <w:r>
        <w:rPr>
          <w:rFonts w:hint="eastAsia"/>
          <w:szCs w:val="21"/>
          <w:highlight w:val="none"/>
        </w:rPr>
        <w:t>a.设备名称</w:t>
      </w:r>
      <w:r>
        <w:rPr>
          <w:szCs w:val="21"/>
          <w:highlight w:val="none"/>
        </w:rPr>
        <w:t>；</w:t>
      </w:r>
    </w:p>
    <w:p w14:paraId="7B643A62">
      <w:pPr>
        <w:adjustRightInd w:val="0"/>
        <w:snapToGrid w:val="0"/>
        <w:spacing w:line="360" w:lineRule="auto"/>
        <w:ind w:firstLine="630" w:firstLineChars="300"/>
        <w:rPr>
          <w:szCs w:val="21"/>
          <w:highlight w:val="none"/>
        </w:rPr>
      </w:pPr>
      <w:r>
        <w:rPr>
          <w:rFonts w:hint="eastAsia"/>
          <w:szCs w:val="21"/>
          <w:highlight w:val="none"/>
        </w:rPr>
        <w:t>b.件数、件号、重量</w:t>
      </w:r>
      <w:r>
        <w:rPr>
          <w:szCs w:val="21"/>
          <w:highlight w:val="none"/>
        </w:rPr>
        <w:t>；</w:t>
      </w:r>
    </w:p>
    <w:p w14:paraId="4F20C7B9">
      <w:pPr>
        <w:adjustRightInd w:val="0"/>
        <w:snapToGrid w:val="0"/>
        <w:spacing w:line="360" w:lineRule="auto"/>
        <w:ind w:firstLine="630" w:firstLineChars="300"/>
        <w:rPr>
          <w:szCs w:val="21"/>
          <w:highlight w:val="none"/>
        </w:rPr>
      </w:pPr>
      <w:r>
        <w:rPr>
          <w:rFonts w:hint="eastAsia"/>
          <w:szCs w:val="21"/>
          <w:highlight w:val="none"/>
        </w:rPr>
        <w:t>c.合同号</w:t>
      </w:r>
      <w:r>
        <w:rPr>
          <w:szCs w:val="21"/>
          <w:highlight w:val="none"/>
        </w:rPr>
        <w:t>；</w:t>
      </w:r>
    </w:p>
    <w:p w14:paraId="379AE371">
      <w:pPr>
        <w:adjustRightInd w:val="0"/>
        <w:snapToGrid w:val="0"/>
        <w:spacing w:line="360" w:lineRule="auto"/>
        <w:ind w:firstLine="630" w:firstLineChars="300"/>
        <w:rPr>
          <w:szCs w:val="21"/>
          <w:highlight w:val="none"/>
        </w:rPr>
      </w:pPr>
      <w:r>
        <w:rPr>
          <w:rFonts w:hint="eastAsia"/>
          <w:szCs w:val="21"/>
          <w:highlight w:val="none"/>
        </w:rPr>
        <w:t>d.货运单号</w:t>
      </w:r>
      <w:r>
        <w:rPr>
          <w:szCs w:val="21"/>
          <w:highlight w:val="none"/>
        </w:rPr>
        <w:t>；</w:t>
      </w:r>
    </w:p>
    <w:p w14:paraId="4C143AB8">
      <w:pPr>
        <w:adjustRightInd w:val="0"/>
        <w:snapToGrid w:val="0"/>
        <w:spacing w:line="360" w:lineRule="auto"/>
        <w:ind w:firstLine="630" w:firstLineChars="300"/>
        <w:rPr>
          <w:szCs w:val="21"/>
          <w:highlight w:val="none"/>
        </w:rPr>
      </w:pPr>
      <w:r>
        <w:rPr>
          <w:rFonts w:hint="eastAsia"/>
          <w:szCs w:val="21"/>
          <w:highlight w:val="none"/>
        </w:rPr>
        <w:t>f.设备发出日期。</w:t>
      </w:r>
    </w:p>
    <w:p w14:paraId="3F1D886D">
      <w:pPr>
        <w:adjustRightInd w:val="0"/>
        <w:snapToGrid w:val="0"/>
        <w:spacing w:line="360" w:lineRule="auto"/>
        <w:ind w:firstLine="420" w:firstLineChars="200"/>
        <w:rPr>
          <w:szCs w:val="21"/>
          <w:highlight w:val="none"/>
        </w:rPr>
      </w:pPr>
      <w:r>
        <w:rPr>
          <w:szCs w:val="21"/>
          <w:highlight w:val="none"/>
        </w:rPr>
        <w:t>6</w:t>
      </w:r>
      <w:r>
        <w:rPr>
          <w:rFonts w:hint="eastAsia"/>
          <w:szCs w:val="21"/>
          <w:highlight w:val="none"/>
        </w:rPr>
        <w:t>）运输、贮存直到交付使用时应保护所有组、部件不得损坏、不得进水和受潮。</w:t>
      </w:r>
    </w:p>
    <w:p w14:paraId="6B07806E">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投标方所供的设备和附件，在货运途中需外包防雨防潮胶袋，用纸皮箱包封运输，纸皮箱间需加塞泡沫防震层，采取有效的防雨、防潮、防震措施，以适应远途运输的要求。</w:t>
      </w:r>
    </w:p>
    <w:p w14:paraId="19D6FD11">
      <w:pPr>
        <w:adjustRightInd w:val="0"/>
        <w:snapToGrid w:val="0"/>
        <w:spacing w:line="360" w:lineRule="auto"/>
        <w:ind w:firstLine="420" w:firstLineChars="200"/>
        <w:rPr>
          <w:rFonts w:hint="eastAsia" w:ascii="宋体" w:hAnsi="宋体" w:cs="宋体"/>
          <w:szCs w:val="21"/>
          <w:highlight w:val="none"/>
        </w:rPr>
      </w:pPr>
      <w:r>
        <w:rPr>
          <w:rFonts w:hint="eastAsia"/>
          <w:szCs w:val="21"/>
          <w:highlight w:val="none"/>
        </w:rPr>
        <w:t>7）</w:t>
      </w:r>
      <w:r>
        <w:rPr>
          <w:rFonts w:hint="eastAsia" w:ascii="宋体" w:hAnsi="宋体" w:cs="宋体"/>
          <w:szCs w:val="21"/>
          <w:highlight w:val="none"/>
        </w:rPr>
        <w:t>所有设备分别包装、装箱、或采取其他防护措施，以避免设备在运输过程中散失、损坏或被盗。</w:t>
      </w:r>
    </w:p>
    <w:p w14:paraId="67B72773">
      <w:pPr>
        <w:pStyle w:val="3"/>
        <w:keepNext w:val="0"/>
        <w:numPr>
          <w:ilvl w:val="255"/>
          <w:numId w:val="0"/>
        </w:numPr>
        <w:spacing w:before="0" w:after="0" w:line="360" w:lineRule="auto"/>
        <w:rPr>
          <w:rFonts w:ascii="Times New Roman" w:hAnsi="Times New Roman" w:eastAsia="黑体"/>
          <w:b w:val="0"/>
          <w:bCs/>
          <w:szCs w:val="21"/>
          <w:highlight w:val="none"/>
        </w:rPr>
      </w:pPr>
      <w:bookmarkStart w:id="293" w:name="_Toc11678"/>
      <w:bookmarkStart w:id="294" w:name="_Toc31924"/>
      <w:bookmarkStart w:id="295" w:name="_Toc441508858"/>
      <w:bookmarkStart w:id="296" w:name="_Toc322681879"/>
      <w:bookmarkStart w:id="297" w:name="_Toc222993413"/>
      <w:bookmarkStart w:id="298" w:name="_Toc76025504"/>
      <w:bookmarkStart w:id="299" w:name="_Toc282993365"/>
      <w:bookmarkStart w:id="300" w:name="_Toc282433761"/>
      <w:bookmarkStart w:id="301" w:name="_Toc9547"/>
      <w:bookmarkStart w:id="302" w:name="_Toc28140"/>
      <w:bookmarkStart w:id="303" w:name="_Toc66780581"/>
      <w:bookmarkStart w:id="304" w:name="_Toc15694"/>
      <w:bookmarkStart w:id="305" w:name="_Toc226121131"/>
      <w:bookmarkStart w:id="306" w:name="_Toc387609310"/>
      <w:bookmarkStart w:id="307" w:name="_Toc19595"/>
      <w:bookmarkStart w:id="308" w:name="_Toc279695210"/>
      <w:r>
        <w:rPr>
          <w:rFonts w:hint="eastAsia" w:ascii="Times New Roman" w:hAnsi="Times New Roman" w:eastAsia="黑体"/>
          <w:b w:val="0"/>
          <w:bCs/>
          <w:szCs w:val="21"/>
          <w:highlight w:val="none"/>
        </w:rPr>
        <w:t>9.2 运输</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8716268">
      <w:pPr>
        <w:adjustRightInd w:val="0"/>
        <w:snapToGrid w:val="0"/>
        <w:spacing w:line="360" w:lineRule="auto"/>
        <w:ind w:firstLine="420" w:firstLineChars="200"/>
        <w:rPr>
          <w:szCs w:val="21"/>
          <w:highlight w:val="none"/>
        </w:rPr>
      </w:pPr>
      <w:r>
        <w:rPr>
          <w:rFonts w:hint="eastAsia"/>
          <w:szCs w:val="21"/>
          <w:highlight w:val="none"/>
        </w:rPr>
        <w:t>a.制造厂应充分考虑运输条件及路、桥运输重量，并应编制运输方案、确定最大单件的尺寸及运输单重。</w:t>
      </w:r>
    </w:p>
    <w:p w14:paraId="30D924BF">
      <w:pPr>
        <w:adjustRightInd w:val="0"/>
        <w:snapToGrid w:val="0"/>
        <w:spacing w:line="360" w:lineRule="auto"/>
        <w:ind w:firstLine="420" w:firstLineChars="200"/>
        <w:rPr>
          <w:szCs w:val="21"/>
          <w:highlight w:val="none"/>
        </w:rPr>
      </w:pPr>
      <w:r>
        <w:rPr>
          <w:rFonts w:hint="eastAsia"/>
          <w:szCs w:val="21"/>
          <w:highlight w:val="none"/>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15637BB2">
      <w:pPr>
        <w:adjustRightInd w:val="0"/>
        <w:snapToGrid w:val="0"/>
        <w:spacing w:line="360" w:lineRule="auto"/>
        <w:ind w:firstLine="420" w:firstLineChars="200"/>
        <w:rPr>
          <w:szCs w:val="21"/>
          <w:highlight w:val="none"/>
        </w:rPr>
      </w:pPr>
      <w:r>
        <w:rPr>
          <w:rFonts w:hint="eastAsia"/>
          <w:szCs w:val="21"/>
          <w:highlight w:val="none"/>
        </w:rPr>
        <w:t>c.备品备件、专用工具和仪器应与附属设备同时装运，并明显标记，以便与提供的其它设备相区别。</w:t>
      </w:r>
    </w:p>
    <w:p w14:paraId="248D1A02">
      <w:pPr>
        <w:adjustRightInd w:val="0"/>
        <w:snapToGrid w:val="0"/>
        <w:spacing w:line="360" w:lineRule="auto"/>
        <w:ind w:firstLine="420" w:firstLineChars="200"/>
        <w:rPr>
          <w:rFonts w:hint="eastAsia" w:ascii="宋体" w:hAnsi="宋体" w:cs="宋体"/>
          <w:szCs w:val="21"/>
          <w:highlight w:val="none"/>
        </w:rPr>
      </w:pPr>
      <w:r>
        <w:rPr>
          <w:rFonts w:hint="eastAsia"/>
          <w:szCs w:val="21"/>
          <w:highlight w:val="none"/>
        </w:rPr>
        <w:t>d.</w:t>
      </w:r>
      <w:r>
        <w:rPr>
          <w:rFonts w:hint="eastAsia" w:ascii="宋体" w:hAnsi="宋体" w:cs="宋体"/>
          <w:szCs w:val="21"/>
          <w:highlight w:val="none"/>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542B76FF">
      <w:pPr>
        <w:adjustRightInd w:val="0"/>
        <w:snapToGrid w:val="0"/>
        <w:spacing w:line="360" w:lineRule="auto"/>
        <w:ind w:firstLine="420" w:firstLineChars="200"/>
        <w:rPr>
          <w:szCs w:val="21"/>
          <w:highlight w:val="none"/>
        </w:rPr>
      </w:pPr>
      <w:r>
        <w:rPr>
          <w:rFonts w:hint="eastAsia" w:ascii="宋体" w:hAnsi="宋体" w:cs="宋体"/>
          <w:szCs w:val="21"/>
          <w:highlight w:val="none"/>
        </w:rPr>
        <w:t>e.从投标方到用户方指定的目的地的运输由投标方负责。</w:t>
      </w:r>
    </w:p>
    <w:p w14:paraId="2280FE4A">
      <w:pPr>
        <w:pStyle w:val="3"/>
        <w:keepNext w:val="0"/>
        <w:numPr>
          <w:ilvl w:val="255"/>
          <w:numId w:val="0"/>
        </w:numPr>
        <w:spacing w:before="0" w:after="0" w:line="360" w:lineRule="auto"/>
        <w:rPr>
          <w:rFonts w:ascii="Times New Roman" w:hAnsi="Times New Roman" w:eastAsia="黑体"/>
          <w:b w:val="0"/>
          <w:bCs/>
          <w:szCs w:val="21"/>
          <w:highlight w:val="none"/>
        </w:rPr>
      </w:pPr>
      <w:bookmarkStart w:id="309" w:name="_Toc276301530"/>
      <w:bookmarkStart w:id="310" w:name="_Toc276492438"/>
      <w:bookmarkStart w:id="311" w:name="_Toc276490920"/>
      <w:bookmarkStart w:id="312" w:name="_Toc19897"/>
      <w:bookmarkStart w:id="313" w:name="_Toc222993414"/>
      <w:bookmarkStart w:id="314" w:name="_Toc282993366"/>
      <w:bookmarkStart w:id="315" w:name="_Toc226121132"/>
      <w:bookmarkStart w:id="316" w:name="_Toc12856"/>
      <w:bookmarkStart w:id="317" w:name="_Toc29575"/>
      <w:bookmarkStart w:id="318" w:name="_Toc322681880"/>
      <w:bookmarkStart w:id="319" w:name="_Toc66780582"/>
      <w:bookmarkStart w:id="320" w:name="_Toc441508859"/>
      <w:bookmarkStart w:id="321" w:name="_Toc10932"/>
      <w:bookmarkStart w:id="322" w:name="_Toc279695211"/>
      <w:bookmarkStart w:id="323" w:name="_Toc31795"/>
      <w:bookmarkStart w:id="324" w:name="_Toc282433762"/>
      <w:bookmarkStart w:id="325" w:name="_Toc7972"/>
      <w:bookmarkStart w:id="326" w:name="_Toc76025505"/>
      <w:bookmarkStart w:id="327" w:name="_Toc387609311"/>
      <w:r>
        <w:rPr>
          <w:rFonts w:hint="eastAsia" w:ascii="Times New Roman" w:hAnsi="Times New Roman" w:eastAsia="黑体"/>
          <w:b w:val="0"/>
          <w:bCs/>
          <w:szCs w:val="21"/>
          <w:highlight w:val="none"/>
        </w:rPr>
        <w:t>9.3 组装</w:t>
      </w:r>
      <w:bookmarkEnd w:id="309"/>
      <w:bookmarkEnd w:id="310"/>
      <w:bookmarkEnd w:id="311"/>
      <w:r>
        <w:rPr>
          <w:rFonts w:hint="eastAsia" w:ascii="Times New Roman" w:hAnsi="Times New Roman" w:eastAsia="黑体"/>
          <w:b w:val="0"/>
          <w:bCs/>
          <w:szCs w:val="21"/>
          <w:highlight w:val="none"/>
        </w:rPr>
        <w:t>指导</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9A814B4">
      <w:pPr>
        <w:adjustRightInd w:val="0"/>
        <w:snapToGrid w:val="0"/>
        <w:spacing w:line="360" w:lineRule="auto"/>
        <w:ind w:firstLine="420" w:firstLineChars="200"/>
        <w:rPr>
          <w:szCs w:val="21"/>
          <w:highlight w:val="none"/>
        </w:rPr>
      </w:pPr>
      <w:r>
        <w:rPr>
          <w:rFonts w:hint="eastAsia"/>
          <w:szCs w:val="21"/>
          <w:highlight w:val="none"/>
        </w:rPr>
        <w:t>制造厂在组装和初期（至少3个架次）使用时应安排技术人员提供现场组装指导服务，提出技术建议，并有对运行人员提供相关培训的义务。</w:t>
      </w:r>
    </w:p>
    <w:p w14:paraId="502F2398">
      <w:pPr>
        <w:pStyle w:val="3"/>
        <w:keepNext w:val="0"/>
        <w:numPr>
          <w:ilvl w:val="255"/>
          <w:numId w:val="0"/>
        </w:numPr>
        <w:spacing w:before="0" w:after="0" w:line="360" w:lineRule="auto"/>
        <w:rPr>
          <w:rFonts w:ascii="Times New Roman" w:hAnsi="Times New Roman" w:eastAsia="黑体"/>
          <w:b w:val="0"/>
          <w:bCs/>
          <w:szCs w:val="21"/>
          <w:highlight w:val="none"/>
        </w:rPr>
      </w:pPr>
      <w:bookmarkStart w:id="328" w:name="_Toc76025506"/>
      <w:bookmarkStart w:id="329" w:name="_Toc282993367"/>
      <w:bookmarkStart w:id="330" w:name="_Toc16709"/>
      <w:bookmarkStart w:id="331" w:name="_Toc66780583"/>
      <w:bookmarkStart w:id="332" w:name="_Toc282433763"/>
      <w:bookmarkStart w:id="333" w:name="_Toc9766"/>
      <w:bookmarkStart w:id="334" w:name="_Toc22474"/>
      <w:bookmarkStart w:id="335" w:name="_Toc226121133"/>
      <w:bookmarkStart w:id="336" w:name="_Toc322681881"/>
      <w:bookmarkStart w:id="337" w:name="_Toc813"/>
      <w:bookmarkStart w:id="338" w:name="_Toc3697"/>
      <w:bookmarkStart w:id="339" w:name="_Toc222993415"/>
      <w:bookmarkStart w:id="340" w:name="_Toc441508860"/>
      <w:bookmarkStart w:id="341" w:name="_Toc12492"/>
      <w:bookmarkStart w:id="342" w:name="_Toc387609312"/>
      <w:r>
        <w:rPr>
          <w:rFonts w:hint="eastAsia" w:ascii="Times New Roman" w:hAnsi="Times New Roman" w:eastAsia="黑体"/>
          <w:b w:val="0"/>
          <w:bCs/>
          <w:szCs w:val="21"/>
          <w:highlight w:val="none"/>
        </w:rPr>
        <w:t>9.4 质量保证</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B754EC4">
      <w:pPr>
        <w:adjustRightInd w:val="0"/>
        <w:snapToGrid w:val="0"/>
        <w:spacing w:line="360" w:lineRule="auto"/>
        <w:ind w:firstLine="420" w:firstLineChars="200"/>
        <w:rPr>
          <w:szCs w:val="21"/>
          <w:highlight w:val="none"/>
        </w:rPr>
      </w:pPr>
      <w:r>
        <w:rPr>
          <w:rFonts w:hint="eastAsia"/>
          <w:szCs w:val="21"/>
          <w:highlight w:val="none"/>
        </w:rPr>
        <w:t>1）全部设备必须是全新的， 持久耐用的，应满足作为一个完整产品所能满足的全部要求。投标方应保证设备在规定的使用条件下使用、并按使用说明书进行组装和维护，设备的预期寿命应不少于8年</w:t>
      </w:r>
      <w:r>
        <w:rPr>
          <w:szCs w:val="21"/>
          <w:highlight w:val="none"/>
        </w:rPr>
        <w:t>。</w:t>
      </w:r>
    </w:p>
    <w:p w14:paraId="1E5B9929">
      <w:pPr>
        <w:adjustRightInd w:val="0"/>
        <w:snapToGrid w:val="0"/>
        <w:spacing w:line="360" w:lineRule="auto"/>
        <w:ind w:firstLine="420" w:firstLineChars="200"/>
        <w:rPr>
          <w:szCs w:val="21"/>
          <w:highlight w:val="none"/>
        </w:rPr>
      </w:pPr>
      <w:r>
        <w:rPr>
          <w:rFonts w:hint="eastAsia"/>
          <w:szCs w:val="21"/>
          <w:highlight w:val="none"/>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3B0F7936">
      <w:pPr>
        <w:adjustRightInd w:val="0"/>
        <w:snapToGrid w:val="0"/>
        <w:spacing w:line="360" w:lineRule="auto"/>
        <w:ind w:firstLine="420" w:firstLineChars="200"/>
        <w:rPr>
          <w:szCs w:val="21"/>
          <w:highlight w:val="none"/>
        </w:rPr>
      </w:pPr>
      <w:r>
        <w:rPr>
          <w:rFonts w:hint="eastAsia"/>
          <w:szCs w:val="21"/>
          <w:highlight w:val="none"/>
        </w:rPr>
        <w:t>3）投标方应保证制造过程中的所有工艺、材料试验等</w:t>
      </w:r>
      <w:r>
        <w:rPr>
          <w:szCs w:val="21"/>
          <w:highlight w:val="none"/>
        </w:rPr>
        <w:t>（</w:t>
      </w:r>
      <w:r>
        <w:rPr>
          <w:rFonts w:hint="eastAsia"/>
          <w:szCs w:val="21"/>
          <w:highlight w:val="none"/>
        </w:rPr>
        <w:t>包括投标方的外购件在内</w:t>
      </w:r>
      <w:r>
        <w:rPr>
          <w:szCs w:val="21"/>
          <w:highlight w:val="none"/>
        </w:rPr>
        <w:t>）</w:t>
      </w:r>
      <w:r>
        <w:rPr>
          <w:rFonts w:hint="eastAsia"/>
          <w:szCs w:val="21"/>
          <w:highlight w:val="none"/>
        </w:rPr>
        <w:t>均应符合本标准的规定。若招标方根据使用经验指定投标方提供某种外购零部件</w:t>
      </w:r>
      <w:r>
        <w:rPr>
          <w:szCs w:val="21"/>
          <w:highlight w:val="none"/>
        </w:rPr>
        <w:t>，</w:t>
      </w:r>
      <w:r>
        <w:rPr>
          <w:rFonts w:hint="eastAsia"/>
          <w:szCs w:val="21"/>
          <w:highlight w:val="none"/>
        </w:rPr>
        <w:t>投标方应积极配合。</w:t>
      </w:r>
    </w:p>
    <w:p w14:paraId="5BA9D2C0">
      <w:pPr>
        <w:adjustRightInd w:val="0"/>
        <w:snapToGrid w:val="0"/>
        <w:spacing w:line="360" w:lineRule="auto"/>
        <w:ind w:firstLine="420" w:firstLineChars="200"/>
        <w:rPr>
          <w:szCs w:val="21"/>
          <w:highlight w:val="none"/>
        </w:rPr>
      </w:pPr>
      <w:r>
        <w:rPr>
          <w:rFonts w:hint="eastAsia"/>
          <w:szCs w:val="21"/>
          <w:highlight w:val="none"/>
        </w:rPr>
        <w:t>4）附属及配套设备必须满足有关行业标准的要求</w:t>
      </w:r>
      <w:r>
        <w:rPr>
          <w:szCs w:val="21"/>
          <w:highlight w:val="none"/>
        </w:rPr>
        <w:t xml:space="preserve">， </w:t>
      </w:r>
      <w:r>
        <w:rPr>
          <w:rFonts w:hint="eastAsia"/>
          <w:szCs w:val="21"/>
          <w:highlight w:val="none"/>
        </w:rPr>
        <w:t>并提供试验报告和产品合格证。</w:t>
      </w:r>
    </w:p>
    <w:p w14:paraId="1D06EA31">
      <w:pPr>
        <w:adjustRightInd w:val="0"/>
        <w:snapToGrid w:val="0"/>
        <w:spacing w:line="360" w:lineRule="auto"/>
        <w:ind w:firstLine="420" w:firstLineChars="200"/>
        <w:rPr>
          <w:szCs w:val="21"/>
          <w:highlight w:val="none"/>
        </w:rPr>
      </w:pPr>
      <w:r>
        <w:rPr>
          <w:rFonts w:hint="eastAsia" w:ascii="宋体" w:hAnsi="宋体" w:cs="宋体"/>
          <w:szCs w:val="21"/>
          <w:highlight w:val="none"/>
        </w:rPr>
        <w:t>投标方应根据国家标准和制造厂标准进行出厂试验，对其所供的设备进行全面的检查与试验，并提供出厂试验报告。</w:t>
      </w:r>
    </w:p>
    <w:p w14:paraId="2D53167F">
      <w:pPr>
        <w:adjustRightInd w:val="0"/>
        <w:snapToGrid w:val="0"/>
        <w:spacing w:line="360" w:lineRule="auto"/>
        <w:ind w:firstLine="420" w:firstLineChars="200"/>
        <w:rPr>
          <w:szCs w:val="21"/>
          <w:highlight w:val="none"/>
        </w:rPr>
      </w:pPr>
      <w:r>
        <w:rPr>
          <w:rFonts w:hint="eastAsia"/>
          <w:szCs w:val="21"/>
          <w:highlight w:val="none"/>
        </w:rPr>
        <w:t>5）投标方应有遵守本标准中各条款和工作项目的</w:t>
      </w:r>
      <w:r>
        <w:rPr>
          <w:szCs w:val="21"/>
          <w:highlight w:val="none"/>
        </w:rPr>
        <w:t>ISO900</w:t>
      </w:r>
      <w:r>
        <w:rPr>
          <w:rFonts w:hint="eastAsia"/>
          <w:szCs w:val="21"/>
          <w:highlight w:val="none"/>
        </w:rPr>
        <w:t>0-</w:t>
      </w:r>
      <w:r>
        <w:rPr>
          <w:szCs w:val="21"/>
          <w:highlight w:val="none"/>
        </w:rPr>
        <w:t>GB/T1900</w:t>
      </w:r>
      <w:r>
        <w:rPr>
          <w:rFonts w:hint="eastAsia"/>
          <w:szCs w:val="21"/>
          <w:highlight w:val="none"/>
        </w:rPr>
        <w:t>0质量保证体系</w:t>
      </w:r>
      <w:r>
        <w:rPr>
          <w:szCs w:val="21"/>
          <w:highlight w:val="none"/>
        </w:rPr>
        <w:t xml:space="preserve">， </w:t>
      </w:r>
      <w:r>
        <w:rPr>
          <w:rFonts w:hint="eastAsia"/>
          <w:szCs w:val="21"/>
          <w:highlight w:val="none"/>
        </w:rPr>
        <w:t>该质量保证体系已经通过国家认证并在正常运转。</w:t>
      </w:r>
    </w:p>
    <w:p w14:paraId="6792BE8E">
      <w:pPr>
        <w:adjustRightInd w:val="0"/>
        <w:snapToGrid w:val="0"/>
        <w:spacing w:line="360" w:lineRule="auto"/>
        <w:ind w:firstLine="420" w:firstLineChars="200"/>
        <w:rPr>
          <w:szCs w:val="21"/>
          <w:highlight w:val="none"/>
        </w:rPr>
      </w:pPr>
      <w:r>
        <w:rPr>
          <w:rFonts w:hint="eastAsia"/>
          <w:szCs w:val="21"/>
          <w:highlight w:val="none"/>
        </w:rPr>
        <w:t>6）投标方所供的设备应可接入招标方机巡管理等相关系统进行实时定位监控，符合国家及招标方飞行动态数据管理、实时动态监控、安全管控、巡检航线任务执行等要求。</w:t>
      </w:r>
    </w:p>
    <w:p w14:paraId="03A5452D">
      <w:pPr>
        <w:pStyle w:val="3"/>
        <w:keepNext w:val="0"/>
        <w:numPr>
          <w:ilvl w:val="255"/>
          <w:numId w:val="0"/>
        </w:numPr>
        <w:spacing w:before="0" w:after="0" w:line="360" w:lineRule="auto"/>
        <w:rPr>
          <w:rFonts w:ascii="Times New Roman" w:hAnsi="Times New Roman" w:eastAsia="黑体"/>
          <w:b w:val="0"/>
          <w:bCs/>
          <w:szCs w:val="21"/>
          <w:highlight w:val="none"/>
        </w:rPr>
      </w:pPr>
      <w:bookmarkStart w:id="343" w:name="_Toc24349"/>
      <w:bookmarkStart w:id="344" w:name="_Toc222993416"/>
      <w:bookmarkStart w:id="345" w:name="_Toc15493"/>
      <w:bookmarkStart w:id="346" w:name="_Toc21661"/>
      <w:bookmarkStart w:id="347" w:name="_Toc17962"/>
      <w:bookmarkStart w:id="348" w:name="_Toc226121134"/>
      <w:bookmarkStart w:id="349" w:name="_Toc23887"/>
      <w:bookmarkStart w:id="350" w:name="_Toc18085"/>
      <w:r>
        <w:rPr>
          <w:rFonts w:hint="eastAsia" w:ascii="Times New Roman" w:hAnsi="Times New Roman" w:eastAsia="黑体"/>
          <w:b w:val="0"/>
          <w:bCs/>
          <w:szCs w:val="21"/>
          <w:highlight w:val="none"/>
        </w:rPr>
        <w:t>9.5 设备验收</w:t>
      </w:r>
      <w:bookmarkEnd w:id="343"/>
      <w:bookmarkEnd w:id="344"/>
      <w:bookmarkEnd w:id="345"/>
      <w:bookmarkEnd w:id="346"/>
      <w:bookmarkEnd w:id="347"/>
      <w:bookmarkEnd w:id="348"/>
      <w:bookmarkEnd w:id="349"/>
      <w:bookmarkEnd w:id="350"/>
    </w:p>
    <w:p w14:paraId="765B7EED">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1）中标方应在合同规定时间内，将招标范围内所界定的工作完成，并将完整的成套设备及附件和技术文件通过双方认可的验收后，交付给采购的分子公司，其中包括：</w:t>
      </w:r>
    </w:p>
    <w:p w14:paraId="2F21310D">
      <w:pPr>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a.满足本文件的项目目标和相应的技术要求、业务要求的完整的可最终良好运行的设备和附件；</w:t>
      </w:r>
    </w:p>
    <w:p w14:paraId="27638961">
      <w:pPr>
        <w:spacing w:line="360" w:lineRule="auto"/>
        <w:ind w:left="630" w:leftChars="200" w:hanging="210" w:hangingChars="100"/>
        <w:jc w:val="left"/>
        <w:rPr>
          <w:rFonts w:hint="eastAsia" w:ascii="宋体" w:hAnsi="宋体" w:cs="宋体"/>
          <w:szCs w:val="21"/>
          <w:highlight w:val="none"/>
        </w:rPr>
      </w:pPr>
      <w:r>
        <w:rPr>
          <w:rFonts w:hint="eastAsia" w:ascii="宋体" w:hAnsi="宋体" w:cs="宋体"/>
          <w:szCs w:val="21"/>
          <w:highlight w:val="none"/>
        </w:rPr>
        <w:t>b.应包括但不限于满足确保设备正常运行所需的操作及维护有关的全套技术文件。</w:t>
      </w:r>
    </w:p>
    <w:p w14:paraId="309A16EC">
      <w:pPr>
        <w:adjustRightInd w:val="0"/>
        <w:snapToGrid w:val="0"/>
        <w:spacing w:line="360" w:lineRule="auto"/>
        <w:ind w:firstLine="420" w:firstLineChars="200"/>
        <w:rPr>
          <w:szCs w:val="21"/>
          <w:highlight w:val="none"/>
        </w:rPr>
      </w:pPr>
      <w:r>
        <w:rPr>
          <w:rFonts w:hint="eastAsia" w:ascii="宋体" w:hAnsi="宋体" w:cs="宋体"/>
          <w:szCs w:val="21"/>
          <w:highlight w:val="none"/>
        </w:rPr>
        <w:t>c.验收时若发现设备或附件存在由中标方造成的缺陷或不符合本技术条件要求时，中标方应无条件更换设备或附件。</w:t>
      </w:r>
    </w:p>
    <w:p w14:paraId="226E168E">
      <w:pPr>
        <w:pStyle w:val="97"/>
        <w:spacing w:line="360" w:lineRule="auto"/>
        <w:ind w:firstLine="420" w:firstLineChars="200"/>
        <w:rPr>
          <w:highlight w:val="none"/>
        </w:rPr>
      </w:pPr>
    </w:p>
    <w:p w14:paraId="74640F9D">
      <w:pPr>
        <w:ind w:firstLine="420" w:firstLineChars="200"/>
        <w:rPr>
          <w:szCs w:val="21"/>
          <w:highlight w:val="none"/>
        </w:rPr>
      </w:pPr>
    </w:p>
    <w:p w14:paraId="3DB7E58F">
      <w:pPr>
        <w:widowControl/>
        <w:tabs>
          <w:tab w:val="center" w:pos="4201"/>
          <w:tab w:val="right" w:leader="dot" w:pos="9298"/>
        </w:tabs>
        <w:autoSpaceDE w:val="0"/>
        <w:autoSpaceDN w:val="0"/>
        <w:ind w:firstLine="420" w:firstLineChars="200"/>
        <w:jc w:val="left"/>
        <w:rPr>
          <w:kern w:val="0"/>
          <w:szCs w:val="21"/>
          <w:highlight w:val="none"/>
        </w:rPr>
      </w:pPr>
    </w:p>
    <w:p w14:paraId="52EE6B9A">
      <w:pPr>
        <w:rPr>
          <w:highlight w:val="none"/>
        </w:rPr>
      </w:pPr>
    </w:p>
    <w:p w14:paraId="1FA2C5D1">
      <w:pPr>
        <w:rPr>
          <w:highlight w:val="none"/>
        </w:rPr>
      </w:pPr>
    </w:p>
    <w:p w14:paraId="428BB8B8">
      <w:pPr>
        <w:rPr>
          <w:highlight w:val="none"/>
        </w:rPr>
      </w:pPr>
    </w:p>
    <w:p w14:paraId="053A43DD">
      <w:pPr>
        <w:rPr>
          <w:highlight w:val="none"/>
        </w:rPr>
      </w:pPr>
    </w:p>
    <w:p w14:paraId="274A20AC">
      <w:pPr>
        <w:rPr>
          <w:highlight w:val="none"/>
        </w:rPr>
      </w:pPr>
    </w:p>
    <w:p w14:paraId="61D4207A">
      <w:pPr>
        <w:rPr>
          <w:highlight w:val="none"/>
        </w:rPr>
      </w:pPr>
    </w:p>
    <w:p w14:paraId="21EED8CA">
      <w:pPr>
        <w:rPr>
          <w:highlight w:val="none"/>
        </w:rPr>
      </w:pPr>
    </w:p>
    <w:p w14:paraId="62FF8982">
      <w:pPr>
        <w:rPr>
          <w:highlight w:val="none"/>
        </w:rPr>
      </w:pPr>
    </w:p>
    <w:p w14:paraId="004B2F0D">
      <w:pPr>
        <w:rPr>
          <w:highlight w:val="none"/>
        </w:rPr>
      </w:pPr>
    </w:p>
    <w:p w14:paraId="5F58ABA3">
      <w:pPr>
        <w:rPr>
          <w:highlight w:val="none"/>
        </w:rPr>
      </w:pPr>
    </w:p>
    <w:p w14:paraId="67BD629B">
      <w:pPr>
        <w:rPr>
          <w:highlight w:val="none"/>
        </w:rPr>
      </w:pPr>
    </w:p>
    <w:p w14:paraId="677CCD17">
      <w:pPr>
        <w:rPr>
          <w:highlight w:val="none"/>
        </w:rPr>
      </w:pPr>
    </w:p>
    <w:p w14:paraId="39D4E411">
      <w:pPr>
        <w:rPr>
          <w:highlight w:val="none"/>
        </w:rPr>
      </w:pPr>
    </w:p>
    <w:p w14:paraId="373E2B8E">
      <w:pPr>
        <w:rPr>
          <w:highlight w:val="none"/>
        </w:rPr>
      </w:pP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8A67A">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6E4777F3">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43500">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2F921718">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97C9">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0438FCA0">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3D04AC26">
        <w:pPr>
          <w:pStyle w:val="36"/>
          <w:jc w:val="center"/>
        </w:pPr>
        <w:r>
          <w:fldChar w:fldCharType="begin"/>
        </w:r>
        <w:r>
          <w:instrText xml:space="preserve">PAGE   \* MERGEFORMAT</w:instrText>
        </w:r>
        <w:r>
          <w:fldChar w:fldCharType="separate"/>
        </w:r>
        <w:r>
          <w:rPr>
            <w:lang w:val="zh-CN"/>
          </w:rPr>
          <w:t>6</w:t>
        </w:r>
        <w:r>
          <w:fldChar w:fldCharType="end"/>
        </w:r>
      </w:p>
    </w:sdtContent>
  </w:sdt>
  <w:p w14:paraId="774D0FA8">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3069">
    <w:pPr>
      <w:pStyle w:val="37"/>
      <w:outlineLvl w:val="8"/>
    </w:pPr>
    <w:r>
      <w:rPr>
        <w:rFonts w:hint="eastAsia"/>
      </w:rPr>
      <w:t>机巡数据安全传输装置（机巡数据处理系统）技术规范书（通用部分）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E95F5">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C6A3">
    <w:pPr>
      <w:pStyle w:val="37"/>
    </w:pPr>
    <w:r>
      <w:rPr>
        <w:rFonts w:hint="eastAsia"/>
      </w:rPr>
      <w:t>机巡数据安全传输装置（机巡数据处理系统）技术规范书（通用部分）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48F3B"/>
    <w:multiLevelType w:val="singleLevel"/>
    <w:tmpl w:val="A4148F3B"/>
    <w:lvl w:ilvl="0" w:tentative="0">
      <w:start w:val="1"/>
      <w:numFmt w:val="decimal"/>
      <w:suff w:val="nothing"/>
      <w:lvlText w:val="（%1）"/>
      <w:lvlJc w:val="left"/>
    </w:lvl>
  </w:abstractNum>
  <w:abstractNum w:abstractNumId="1">
    <w:nsid w:val="C022B773"/>
    <w:multiLevelType w:val="singleLevel"/>
    <w:tmpl w:val="C022B773"/>
    <w:lvl w:ilvl="0" w:tentative="0">
      <w:start w:val="1"/>
      <w:numFmt w:val="lowerLetter"/>
      <w:suff w:val="nothing"/>
      <w:lvlText w:val="%1）"/>
      <w:lvlJc w:val="left"/>
    </w:lvl>
  </w:abstractNum>
  <w:abstractNum w:abstractNumId="2">
    <w:nsid w:val="D1D32518"/>
    <w:multiLevelType w:val="singleLevel"/>
    <w:tmpl w:val="D1D32518"/>
    <w:lvl w:ilvl="0" w:tentative="0">
      <w:start w:val="1"/>
      <w:numFmt w:val="lowerLetter"/>
      <w:lvlText w:val="%1）"/>
      <w:lvlJc w:val="left"/>
    </w:lvl>
  </w:abstractNum>
  <w:abstractNum w:abstractNumId="3">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4">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6">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9">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4">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5">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6">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1">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3">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5">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7">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8">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9">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2">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3">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3"/>
  </w:num>
  <w:num w:numId="2">
    <w:abstractNumId w:val="3"/>
  </w:num>
  <w:num w:numId="3">
    <w:abstractNumId w:val="4"/>
  </w:num>
  <w:num w:numId="4">
    <w:abstractNumId w:val="5"/>
  </w:num>
  <w:num w:numId="5">
    <w:abstractNumId w:val="22"/>
  </w:num>
  <w:num w:numId="6">
    <w:abstractNumId w:val="19"/>
  </w:num>
  <w:num w:numId="7">
    <w:abstractNumId w:val="12"/>
  </w:num>
  <w:num w:numId="8">
    <w:abstractNumId w:val="10"/>
  </w:num>
  <w:num w:numId="9">
    <w:abstractNumId w:val="25"/>
  </w:num>
  <w:num w:numId="10">
    <w:abstractNumId w:val="17"/>
  </w:num>
  <w:num w:numId="11">
    <w:abstractNumId w:val="15"/>
  </w:num>
  <w:num w:numId="12">
    <w:abstractNumId w:val="30"/>
  </w:num>
  <w:num w:numId="13">
    <w:abstractNumId w:val="28"/>
  </w:num>
  <w:num w:numId="14">
    <w:abstractNumId w:val="32"/>
  </w:num>
  <w:num w:numId="15">
    <w:abstractNumId w:val="18"/>
  </w:num>
  <w:num w:numId="16">
    <w:abstractNumId w:val="27"/>
  </w:num>
  <w:num w:numId="17">
    <w:abstractNumId w:val="11"/>
  </w:num>
  <w:num w:numId="18">
    <w:abstractNumId w:val="24"/>
  </w:num>
  <w:num w:numId="19">
    <w:abstractNumId w:val="29"/>
  </w:num>
  <w:num w:numId="20">
    <w:abstractNumId w:val="31"/>
  </w:num>
  <w:num w:numId="21">
    <w:abstractNumId w:val="26"/>
  </w:num>
  <w:num w:numId="22">
    <w:abstractNumId w:val="8"/>
  </w:num>
  <w:num w:numId="23">
    <w:abstractNumId w:val="14"/>
  </w:num>
  <w:num w:numId="24">
    <w:abstractNumId w:val="9"/>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6"/>
  </w:num>
  <w:num w:numId="31">
    <w:abstractNumId w:val="7"/>
  </w:num>
  <w:num w:numId="32">
    <w:abstractNumId w:val="2"/>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5290"/>
    <w:rsid w:val="000263F3"/>
    <w:rsid w:val="00036675"/>
    <w:rsid w:val="000406CD"/>
    <w:rsid w:val="000454E9"/>
    <w:rsid w:val="0005317E"/>
    <w:rsid w:val="00060DD3"/>
    <w:rsid w:val="00062943"/>
    <w:rsid w:val="00065403"/>
    <w:rsid w:val="0006624D"/>
    <w:rsid w:val="0007012F"/>
    <w:rsid w:val="00073D69"/>
    <w:rsid w:val="00075737"/>
    <w:rsid w:val="00075B71"/>
    <w:rsid w:val="0007661F"/>
    <w:rsid w:val="00083BA3"/>
    <w:rsid w:val="00085DFE"/>
    <w:rsid w:val="00091372"/>
    <w:rsid w:val="0009630E"/>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399F"/>
    <w:rsid w:val="001766A3"/>
    <w:rsid w:val="00182A1B"/>
    <w:rsid w:val="001901EA"/>
    <w:rsid w:val="00192EF9"/>
    <w:rsid w:val="001946A1"/>
    <w:rsid w:val="001A1D16"/>
    <w:rsid w:val="001B6CCC"/>
    <w:rsid w:val="001C424E"/>
    <w:rsid w:val="001D0189"/>
    <w:rsid w:val="001E10B8"/>
    <w:rsid w:val="001F71EB"/>
    <w:rsid w:val="002027D6"/>
    <w:rsid w:val="002044C9"/>
    <w:rsid w:val="002101BA"/>
    <w:rsid w:val="00235C57"/>
    <w:rsid w:val="002434A4"/>
    <w:rsid w:val="00246C26"/>
    <w:rsid w:val="00250D90"/>
    <w:rsid w:val="00252B17"/>
    <w:rsid w:val="002650A9"/>
    <w:rsid w:val="0029334C"/>
    <w:rsid w:val="002B6C4E"/>
    <w:rsid w:val="002C784E"/>
    <w:rsid w:val="002D7FB3"/>
    <w:rsid w:val="002E646C"/>
    <w:rsid w:val="002E7690"/>
    <w:rsid w:val="002F1A5C"/>
    <w:rsid w:val="002F34E6"/>
    <w:rsid w:val="00300A42"/>
    <w:rsid w:val="00304806"/>
    <w:rsid w:val="00310E29"/>
    <w:rsid w:val="00316AD4"/>
    <w:rsid w:val="00324E79"/>
    <w:rsid w:val="00333EC9"/>
    <w:rsid w:val="00342AA0"/>
    <w:rsid w:val="00354281"/>
    <w:rsid w:val="00366D72"/>
    <w:rsid w:val="00372C5D"/>
    <w:rsid w:val="00377AB8"/>
    <w:rsid w:val="0038584C"/>
    <w:rsid w:val="003A1663"/>
    <w:rsid w:val="003A686D"/>
    <w:rsid w:val="003B7C3F"/>
    <w:rsid w:val="003C59B0"/>
    <w:rsid w:val="003D4530"/>
    <w:rsid w:val="003D79DF"/>
    <w:rsid w:val="0040271C"/>
    <w:rsid w:val="00405A29"/>
    <w:rsid w:val="00414F67"/>
    <w:rsid w:val="004312C3"/>
    <w:rsid w:val="00435272"/>
    <w:rsid w:val="00440743"/>
    <w:rsid w:val="004451B7"/>
    <w:rsid w:val="004473AE"/>
    <w:rsid w:val="00455882"/>
    <w:rsid w:val="00466526"/>
    <w:rsid w:val="00496C03"/>
    <w:rsid w:val="004A5565"/>
    <w:rsid w:val="004B1EFC"/>
    <w:rsid w:val="004B3196"/>
    <w:rsid w:val="004B3F99"/>
    <w:rsid w:val="004C7FB9"/>
    <w:rsid w:val="004E44E7"/>
    <w:rsid w:val="004F6BA4"/>
    <w:rsid w:val="0050274F"/>
    <w:rsid w:val="005111F0"/>
    <w:rsid w:val="00517F33"/>
    <w:rsid w:val="00524C30"/>
    <w:rsid w:val="005550B8"/>
    <w:rsid w:val="00556EB6"/>
    <w:rsid w:val="00573A1E"/>
    <w:rsid w:val="00581BFB"/>
    <w:rsid w:val="00583D17"/>
    <w:rsid w:val="00584C1C"/>
    <w:rsid w:val="00585300"/>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2D0F"/>
    <w:rsid w:val="00607930"/>
    <w:rsid w:val="00607B7D"/>
    <w:rsid w:val="006134DA"/>
    <w:rsid w:val="00613DA8"/>
    <w:rsid w:val="006148CE"/>
    <w:rsid w:val="00621652"/>
    <w:rsid w:val="0063510B"/>
    <w:rsid w:val="00635A9A"/>
    <w:rsid w:val="00662FB2"/>
    <w:rsid w:val="0067034B"/>
    <w:rsid w:val="00696E4F"/>
    <w:rsid w:val="00697940"/>
    <w:rsid w:val="006B420F"/>
    <w:rsid w:val="006B566B"/>
    <w:rsid w:val="006B761E"/>
    <w:rsid w:val="006B78F0"/>
    <w:rsid w:val="006C6596"/>
    <w:rsid w:val="006D30EB"/>
    <w:rsid w:val="006D4D03"/>
    <w:rsid w:val="006D5F55"/>
    <w:rsid w:val="006F4C5E"/>
    <w:rsid w:val="006F63B3"/>
    <w:rsid w:val="00700A7D"/>
    <w:rsid w:val="00732E12"/>
    <w:rsid w:val="00742382"/>
    <w:rsid w:val="0074278E"/>
    <w:rsid w:val="00763D16"/>
    <w:rsid w:val="007741D2"/>
    <w:rsid w:val="0078763B"/>
    <w:rsid w:val="00790021"/>
    <w:rsid w:val="00795748"/>
    <w:rsid w:val="007C1493"/>
    <w:rsid w:val="007C2D44"/>
    <w:rsid w:val="007E6F66"/>
    <w:rsid w:val="007F1334"/>
    <w:rsid w:val="007F3E26"/>
    <w:rsid w:val="007F6693"/>
    <w:rsid w:val="00826C56"/>
    <w:rsid w:val="00827F61"/>
    <w:rsid w:val="00843848"/>
    <w:rsid w:val="0084452F"/>
    <w:rsid w:val="00847F5E"/>
    <w:rsid w:val="00860E24"/>
    <w:rsid w:val="00887145"/>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7DF9"/>
    <w:rsid w:val="00A7143E"/>
    <w:rsid w:val="00A74544"/>
    <w:rsid w:val="00A77A18"/>
    <w:rsid w:val="00AA0029"/>
    <w:rsid w:val="00AA0F83"/>
    <w:rsid w:val="00AA1228"/>
    <w:rsid w:val="00AA1814"/>
    <w:rsid w:val="00AA1C07"/>
    <w:rsid w:val="00AA23E7"/>
    <w:rsid w:val="00AA6450"/>
    <w:rsid w:val="00AA6BF7"/>
    <w:rsid w:val="00AB245B"/>
    <w:rsid w:val="00AB25AA"/>
    <w:rsid w:val="00AB3975"/>
    <w:rsid w:val="00AC16D1"/>
    <w:rsid w:val="00AC2D5F"/>
    <w:rsid w:val="00AC49A8"/>
    <w:rsid w:val="00AC4AB0"/>
    <w:rsid w:val="00AE2D2E"/>
    <w:rsid w:val="00B15B81"/>
    <w:rsid w:val="00B30138"/>
    <w:rsid w:val="00B44B9B"/>
    <w:rsid w:val="00B559E2"/>
    <w:rsid w:val="00B55B88"/>
    <w:rsid w:val="00B73A7B"/>
    <w:rsid w:val="00B870EF"/>
    <w:rsid w:val="00B87934"/>
    <w:rsid w:val="00B91207"/>
    <w:rsid w:val="00B9260F"/>
    <w:rsid w:val="00B94A17"/>
    <w:rsid w:val="00BA3534"/>
    <w:rsid w:val="00BB6896"/>
    <w:rsid w:val="00BC35B8"/>
    <w:rsid w:val="00BF0409"/>
    <w:rsid w:val="00BF3B1D"/>
    <w:rsid w:val="00BF6FF2"/>
    <w:rsid w:val="00C05007"/>
    <w:rsid w:val="00C06B59"/>
    <w:rsid w:val="00C16D98"/>
    <w:rsid w:val="00C175FC"/>
    <w:rsid w:val="00C361A7"/>
    <w:rsid w:val="00C37748"/>
    <w:rsid w:val="00C4062D"/>
    <w:rsid w:val="00C412C7"/>
    <w:rsid w:val="00C4167F"/>
    <w:rsid w:val="00C419D7"/>
    <w:rsid w:val="00C43A3C"/>
    <w:rsid w:val="00C51F28"/>
    <w:rsid w:val="00C65C43"/>
    <w:rsid w:val="00C738B0"/>
    <w:rsid w:val="00C764F9"/>
    <w:rsid w:val="00C81C7C"/>
    <w:rsid w:val="00C91C66"/>
    <w:rsid w:val="00CA2C59"/>
    <w:rsid w:val="00CA5C7B"/>
    <w:rsid w:val="00CB2ED6"/>
    <w:rsid w:val="00CD4712"/>
    <w:rsid w:val="00CF095F"/>
    <w:rsid w:val="00CF1575"/>
    <w:rsid w:val="00D00FAF"/>
    <w:rsid w:val="00D121F6"/>
    <w:rsid w:val="00D13237"/>
    <w:rsid w:val="00D1747E"/>
    <w:rsid w:val="00D214B5"/>
    <w:rsid w:val="00D2157E"/>
    <w:rsid w:val="00D431DD"/>
    <w:rsid w:val="00D546DD"/>
    <w:rsid w:val="00D54D31"/>
    <w:rsid w:val="00D557AE"/>
    <w:rsid w:val="00D603A7"/>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F0266"/>
    <w:rsid w:val="00DF143F"/>
    <w:rsid w:val="00DF7D20"/>
    <w:rsid w:val="00E013FC"/>
    <w:rsid w:val="00E04304"/>
    <w:rsid w:val="00E10DA4"/>
    <w:rsid w:val="00E12837"/>
    <w:rsid w:val="00E13969"/>
    <w:rsid w:val="00E170E8"/>
    <w:rsid w:val="00E24699"/>
    <w:rsid w:val="00E36EBF"/>
    <w:rsid w:val="00E43633"/>
    <w:rsid w:val="00E5249C"/>
    <w:rsid w:val="00E60D7D"/>
    <w:rsid w:val="00E6130B"/>
    <w:rsid w:val="00E717F7"/>
    <w:rsid w:val="00E8537D"/>
    <w:rsid w:val="00E87990"/>
    <w:rsid w:val="00EA25D5"/>
    <w:rsid w:val="00EB715D"/>
    <w:rsid w:val="00EC2BA8"/>
    <w:rsid w:val="00EE72E1"/>
    <w:rsid w:val="00EF2397"/>
    <w:rsid w:val="00EF5C23"/>
    <w:rsid w:val="00F124B1"/>
    <w:rsid w:val="00F209E3"/>
    <w:rsid w:val="00F20B90"/>
    <w:rsid w:val="00F23D57"/>
    <w:rsid w:val="00F30954"/>
    <w:rsid w:val="00F33579"/>
    <w:rsid w:val="00F33DDA"/>
    <w:rsid w:val="00F63748"/>
    <w:rsid w:val="00F75CD6"/>
    <w:rsid w:val="00F80315"/>
    <w:rsid w:val="00F8487D"/>
    <w:rsid w:val="00F85343"/>
    <w:rsid w:val="00F860FB"/>
    <w:rsid w:val="00F87738"/>
    <w:rsid w:val="00F92C8A"/>
    <w:rsid w:val="00FA1F0E"/>
    <w:rsid w:val="00FB1E51"/>
    <w:rsid w:val="00FB6D46"/>
    <w:rsid w:val="00FC21BC"/>
    <w:rsid w:val="00FC5D6B"/>
    <w:rsid w:val="00FD323B"/>
    <w:rsid w:val="00FF044D"/>
    <w:rsid w:val="00FF430C"/>
    <w:rsid w:val="01E142BF"/>
    <w:rsid w:val="02005B8D"/>
    <w:rsid w:val="028642E4"/>
    <w:rsid w:val="029F1B50"/>
    <w:rsid w:val="02D85CD0"/>
    <w:rsid w:val="03217B55"/>
    <w:rsid w:val="0323032B"/>
    <w:rsid w:val="03341A8A"/>
    <w:rsid w:val="03571091"/>
    <w:rsid w:val="03E272F9"/>
    <w:rsid w:val="044B3002"/>
    <w:rsid w:val="04C35816"/>
    <w:rsid w:val="05B120C2"/>
    <w:rsid w:val="05D17F7F"/>
    <w:rsid w:val="062736E9"/>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CE4A7B"/>
    <w:rsid w:val="0AEB5310"/>
    <w:rsid w:val="0B244859"/>
    <w:rsid w:val="0B62753A"/>
    <w:rsid w:val="0B64569E"/>
    <w:rsid w:val="0BB72438"/>
    <w:rsid w:val="0BB95E74"/>
    <w:rsid w:val="0C9D4EE7"/>
    <w:rsid w:val="0CD028C8"/>
    <w:rsid w:val="0D1B342A"/>
    <w:rsid w:val="0D5C4E50"/>
    <w:rsid w:val="0D886883"/>
    <w:rsid w:val="0D923F0A"/>
    <w:rsid w:val="0D9F26FE"/>
    <w:rsid w:val="0DC53615"/>
    <w:rsid w:val="0E2A7E0F"/>
    <w:rsid w:val="0E853D73"/>
    <w:rsid w:val="0E941A03"/>
    <w:rsid w:val="0E965C31"/>
    <w:rsid w:val="0EC81BD1"/>
    <w:rsid w:val="0F986C50"/>
    <w:rsid w:val="0FB20FE0"/>
    <w:rsid w:val="0FE628E2"/>
    <w:rsid w:val="103C5FE2"/>
    <w:rsid w:val="106B2580"/>
    <w:rsid w:val="10944070"/>
    <w:rsid w:val="10D123CD"/>
    <w:rsid w:val="115F70C0"/>
    <w:rsid w:val="11763776"/>
    <w:rsid w:val="11AA3420"/>
    <w:rsid w:val="11CE5EAA"/>
    <w:rsid w:val="1202500A"/>
    <w:rsid w:val="122A61B9"/>
    <w:rsid w:val="12600D6D"/>
    <w:rsid w:val="12BE5DCE"/>
    <w:rsid w:val="12DE1EBF"/>
    <w:rsid w:val="13347D68"/>
    <w:rsid w:val="13551C50"/>
    <w:rsid w:val="137A57A0"/>
    <w:rsid w:val="13BC146C"/>
    <w:rsid w:val="13ED7ADC"/>
    <w:rsid w:val="14717675"/>
    <w:rsid w:val="149A3C1F"/>
    <w:rsid w:val="15035321"/>
    <w:rsid w:val="151E1FA2"/>
    <w:rsid w:val="154676C6"/>
    <w:rsid w:val="1557408A"/>
    <w:rsid w:val="15EE5E19"/>
    <w:rsid w:val="15F119AD"/>
    <w:rsid w:val="160C28FB"/>
    <w:rsid w:val="16422B9A"/>
    <w:rsid w:val="168667C2"/>
    <w:rsid w:val="16C51013"/>
    <w:rsid w:val="16DF0DFB"/>
    <w:rsid w:val="173E7FC9"/>
    <w:rsid w:val="176D2108"/>
    <w:rsid w:val="177477F9"/>
    <w:rsid w:val="17B103C8"/>
    <w:rsid w:val="17B74452"/>
    <w:rsid w:val="17BF0ACA"/>
    <w:rsid w:val="17D84B0F"/>
    <w:rsid w:val="180A1CE8"/>
    <w:rsid w:val="19A03A86"/>
    <w:rsid w:val="19CA7C5E"/>
    <w:rsid w:val="19E1538A"/>
    <w:rsid w:val="1A116732"/>
    <w:rsid w:val="1AD75285"/>
    <w:rsid w:val="1ADB749B"/>
    <w:rsid w:val="1B2E11D7"/>
    <w:rsid w:val="1C0202A6"/>
    <w:rsid w:val="1C282170"/>
    <w:rsid w:val="1C3B7A96"/>
    <w:rsid w:val="1C516953"/>
    <w:rsid w:val="1CAF43EA"/>
    <w:rsid w:val="1CC96E50"/>
    <w:rsid w:val="1D7671EF"/>
    <w:rsid w:val="1DF11734"/>
    <w:rsid w:val="1E1A01CD"/>
    <w:rsid w:val="1EE305D1"/>
    <w:rsid w:val="1F9A42FC"/>
    <w:rsid w:val="20216D23"/>
    <w:rsid w:val="203D5583"/>
    <w:rsid w:val="204A02A8"/>
    <w:rsid w:val="20A3401D"/>
    <w:rsid w:val="21851EDD"/>
    <w:rsid w:val="21E7529B"/>
    <w:rsid w:val="22244B28"/>
    <w:rsid w:val="226F0499"/>
    <w:rsid w:val="22C91F18"/>
    <w:rsid w:val="23512729"/>
    <w:rsid w:val="23863CED"/>
    <w:rsid w:val="238A3A61"/>
    <w:rsid w:val="23A61E5A"/>
    <w:rsid w:val="23B1799A"/>
    <w:rsid w:val="243E4724"/>
    <w:rsid w:val="24727DCD"/>
    <w:rsid w:val="249843DE"/>
    <w:rsid w:val="26E46B93"/>
    <w:rsid w:val="271C56D8"/>
    <w:rsid w:val="27494ED1"/>
    <w:rsid w:val="276C0EEB"/>
    <w:rsid w:val="276C1D78"/>
    <w:rsid w:val="27B70919"/>
    <w:rsid w:val="27C15702"/>
    <w:rsid w:val="28200983"/>
    <w:rsid w:val="284F054C"/>
    <w:rsid w:val="285275E8"/>
    <w:rsid w:val="28C037FD"/>
    <w:rsid w:val="29641AD1"/>
    <w:rsid w:val="29D47539"/>
    <w:rsid w:val="29E2706C"/>
    <w:rsid w:val="2A3119E5"/>
    <w:rsid w:val="2A9B7F19"/>
    <w:rsid w:val="2AA40A22"/>
    <w:rsid w:val="2ACD5484"/>
    <w:rsid w:val="2B4F2AAC"/>
    <w:rsid w:val="2B976F30"/>
    <w:rsid w:val="2BB07175"/>
    <w:rsid w:val="2BFE40AE"/>
    <w:rsid w:val="2C5069BA"/>
    <w:rsid w:val="2C6C7D95"/>
    <w:rsid w:val="2C876F1D"/>
    <w:rsid w:val="2CAB6572"/>
    <w:rsid w:val="2D2F0F51"/>
    <w:rsid w:val="2D303E35"/>
    <w:rsid w:val="2D921CB7"/>
    <w:rsid w:val="2DB6793F"/>
    <w:rsid w:val="2E1A0801"/>
    <w:rsid w:val="2E21074A"/>
    <w:rsid w:val="2E245E99"/>
    <w:rsid w:val="2E3654DC"/>
    <w:rsid w:val="2E4538A7"/>
    <w:rsid w:val="2E487E15"/>
    <w:rsid w:val="2E526349"/>
    <w:rsid w:val="2E7E7D20"/>
    <w:rsid w:val="2F1C3757"/>
    <w:rsid w:val="2F876E0B"/>
    <w:rsid w:val="2F9C597C"/>
    <w:rsid w:val="2FAF1CBA"/>
    <w:rsid w:val="2FCF39FA"/>
    <w:rsid w:val="3055446E"/>
    <w:rsid w:val="30D23EA1"/>
    <w:rsid w:val="30DB6B67"/>
    <w:rsid w:val="31092EFB"/>
    <w:rsid w:val="314459DC"/>
    <w:rsid w:val="314B20D2"/>
    <w:rsid w:val="31583180"/>
    <w:rsid w:val="315A4646"/>
    <w:rsid w:val="31783438"/>
    <w:rsid w:val="32E519D5"/>
    <w:rsid w:val="33567FD8"/>
    <w:rsid w:val="33B91941"/>
    <w:rsid w:val="34563252"/>
    <w:rsid w:val="34EB7E53"/>
    <w:rsid w:val="362D624A"/>
    <w:rsid w:val="367F4771"/>
    <w:rsid w:val="36AC5113"/>
    <w:rsid w:val="36B655C5"/>
    <w:rsid w:val="37311481"/>
    <w:rsid w:val="374750E9"/>
    <w:rsid w:val="37AB38CA"/>
    <w:rsid w:val="38174D54"/>
    <w:rsid w:val="3850267B"/>
    <w:rsid w:val="38775208"/>
    <w:rsid w:val="39246858"/>
    <w:rsid w:val="39355DE8"/>
    <w:rsid w:val="39E6796D"/>
    <w:rsid w:val="3A362E9B"/>
    <w:rsid w:val="3A39451B"/>
    <w:rsid w:val="3A5D7BEB"/>
    <w:rsid w:val="3A8D3F59"/>
    <w:rsid w:val="3ABF1E22"/>
    <w:rsid w:val="3AFC6AA1"/>
    <w:rsid w:val="3B6E7EA5"/>
    <w:rsid w:val="3B833376"/>
    <w:rsid w:val="3BA96372"/>
    <w:rsid w:val="3BF27D19"/>
    <w:rsid w:val="3C491113"/>
    <w:rsid w:val="3C614E61"/>
    <w:rsid w:val="3C646ED6"/>
    <w:rsid w:val="3CAD2B1E"/>
    <w:rsid w:val="3D80608A"/>
    <w:rsid w:val="3D8F5E13"/>
    <w:rsid w:val="3DA855F0"/>
    <w:rsid w:val="3DDE74ED"/>
    <w:rsid w:val="3E46434D"/>
    <w:rsid w:val="3E6333DC"/>
    <w:rsid w:val="3E8D7AD0"/>
    <w:rsid w:val="3EB053C8"/>
    <w:rsid w:val="3FFF1571"/>
    <w:rsid w:val="40425005"/>
    <w:rsid w:val="413B6A9C"/>
    <w:rsid w:val="41A75074"/>
    <w:rsid w:val="41D80E67"/>
    <w:rsid w:val="42013932"/>
    <w:rsid w:val="423559AB"/>
    <w:rsid w:val="43AE16F4"/>
    <w:rsid w:val="43DB1093"/>
    <w:rsid w:val="44E0101F"/>
    <w:rsid w:val="44FB78A9"/>
    <w:rsid w:val="44FF7003"/>
    <w:rsid w:val="454E16BF"/>
    <w:rsid w:val="45882CEA"/>
    <w:rsid w:val="459238EC"/>
    <w:rsid w:val="45DE130F"/>
    <w:rsid w:val="4603113E"/>
    <w:rsid w:val="46AC65D6"/>
    <w:rsid w:val="46F11728"/>
    <w:rsid w:val="46F2073D"/>
    <w:rsid w:val="47630C85"/>
    <w:rsid w:val="476F1AD2"/>
    <w:rsid w:val="47A05873"/>
    <w:rsid w:val="47BF410C"/>
    <w:rsid w:val="47FC7EFD"/>
    <w:rsid w:val="47FF3D8A"/>
    <w:rsid w:val="481B29F2"/>
    <w:rsid w:val="484B0E8C"/>
    <w:rsid w:val="48571022"/>
    <w:rsid w:val="485D508A"/>
    <w:rsid w:val="48714C78"/>
    <w:rsid w:val="48842CB5"/>
    <w:rsid w:val="4885410E"/>
    <w:rsid w:val="48B435DC"/>
    <w:rsid w:val="48B94B63"/>
    <w:rsid w:val="494123B1"/>
    <w:rsid w:val="49492F43"/>
    <w:rsid w:val="4A0F1A43"/>
    <w:rsid w:val="4A366994"/>
    <w:rsid w:val="4A5C032F"/>
    <w:rsid w:val="4AB337D6"/>
    <w:rsid w:val="4ABD13A6"/>
    <w:rsid w:val="4B196C14"/>
    <w:rsid w:val="4B297F9B"/>
    <w:rsid w:val="4B330F70"/>
    <w:rsid w:val="4B43150A"/>
    <w:rsid w:val="4B4E1D43"/>
    <w:rsid w:val="4B69167A"/>
    <w:rsid w:val="4B9A5AE5"/>
    <w:rsid w:val="4BB85DEB"/>
    <w:rsid w:val="4BC80B0C"/>
    <w:rsid w:val="4BE1052B"/>
    <w:rsid w:val="4BF330B8"/>
    <w:rsid w:val="4C325F10"/>
    <w:rsid w:val="4C544FD1"/>
    <w:rsid w:val="4C852A54"/>
    <w:rsid w:val="4C971150"/>
    <w:rsid w:val="4D6B16DA"/>
    <w:rsid w:val="4D80575E"/>
    <w:rsid w:val="4D9D3C7E"/>
    <w:rsid w:val="4DF74CEE"/>
    <w:rsid w:val="4E382B88"/>
    <w:rsid w:val="4E520189"/>
    <w:rsid w:val="4E6736AD"/>
    <w:rsid w:val="4EA869BD"/>
    <w:rsid w:val="4EBD41B7"/>
    <w:rsid w:val="4ED11355"/>
    <w:rsid w:val="4F954625"/>
    <w:rsid w:val="4FAE1D52"/>
    <w:rsid w:val="4FE52C74"/>
    <w:rsid w:val="4FF965BE"/>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57B1C"/>
    <w:rsid w:val="537F15EB"/>
    <w:rsid w:val="53DE1CD8"/>
    <w:rsid w:val="54363555"/>
    <w:rsid w:val="54703A7A"/>
    <w:rsid w:val="547F3EAC"/>
    <w:rsid w:val="54983AB6"/>
    <w:rsid w:val="54E770DC"/>
    <w:rsid w:val="552558DD"/>
    <w:rsid w:val="556F44C2"/>
    <w:rsid w:val="55CE557F"/>
    <w:rsid w:val="55DB0405"/>
    <w:rsid w:val="55E40C90"/>
    <w:rsid w:val="560B22E6"/>
    <w:rsid w:val="563444D6"/>
    <w:rsid w:val="56891C6B"/>
    <w:rsid w:val="56B97997"/>
    <w:rsid w:val="570365C4"/>
    <w:rsid w:val="57060082"/>
    <w:rsid w:val="574474B6"/>
    <w:rsid w:val="576B41D2"/>
    <w:rsid w:val="579E24E3"/>
    <w:rsid w:val="590869A3"/>
    <w:rsid w:val="590B5B88"/>
    <w:rsid w:val="59AE4AAE"/>
    <w:rsid w:val="59ED4FE7"/>
    <w:rsid w:val="5A5D05FC"/>
    <w:rsid w:val="5AC36BC5"/>
    <w:rsid w:val="5AC63E1F"/>
    <w:rsid w:val="5AD46BC2"/>
    <w:rsid w:val="5AFC6067"/>
    <w:rsid w:val="5B1E248F"/>
    <w:rsid w:val="5B2751ED"/>
    <w:rsid w:val="5B4342F6"/>
    <w:rsid w:val="5C367357"/>
    <w:rsid w:val="5C651EB1"/>
    <w:rsid w:val="5C7B0F63"/>
    <w:rsid w:val="5C961731"/>
    <w:rsid w:val="5CAE3391"/>
    <w:rsid w:val="5D702848"/>
    <w:rsid w:val="5D8660BC"/>
    <w:rsid w:val="5DCA7B72"/>
    <w:rsid w:val="5DE00E55"/>
    <w:rsid w:val="5E1F54F4"/>
    <w:rsid w:val="5E457D25"/>
    <w:rsid w:val="5F5F65C0"/>
    <w:rsid w:val="5F7B2BB2"/>
    <w:rsid w:val="5F8E6ECA"/>
    <w:rsid w:val="5FA85AEC"/>
    <w:rsid w:val="60525445"/>
    <w:rsid w:val="607344EC"/>
    <w:rsid w:val="60C33D90"/>
    <w:rsid w:val="613A0C69"/>
    <w:rsid w:val="613C617B"/>
    <w:rsid w:val="617E451D"/>
    <w:rsid w:val="61FD3181"/>
    <w:rsid w:val="62042942"/>
    <w:rsid w:val="62847485"/>
    <w:rsid w:val="62B25F0D"/>
    <w:rsid w:val="62CE433B"/>
    <w:rsid w:val="63310462"/>
    <w:rsid w:val="636F5846"/>
    <w:rsid w:val="638A1A8C"/>
    <w:rsid w:val="63EE4A68"/>
    <w:rsid w:val="649C5530"/>
    <w:rsid w:val="64AF3298"/>
    <w:rsid w:val="64B7773D"/>
    <w:rsid w:val="64EB6B26"/>
    <w:rsid w:val="655B1B6E"/>
    <w:rsid w:val="65A469D1"/>
    <w:rsid w:val="65BD7C07"/>
    <w:rsid w:val="65ED4F2A"/>
    <w:rsid w:val="65F647F4"/>
    <w:rsid w:val="666D4068"/>
    <w:rsid w:val="66794A10"/>
    <w:rsid w:val="66B35EF8"/>
    <w:rsid w:val="67037B18"/>
    <w:rsid w:val="672B633E"/>
    <w:rsid w:val="674041D4"/>
    <w:rsid w:val="6773145F"/>
    <w:rsid w:val="6796433E"/>
    <w:rsid w:val="67C033E3"/>
    <w:rsid w:val="67DD453C"/>
    <w:rsid w:val="67E37ACA"/>
    <w:rsid w:val="683F7FFE"/>
    <w:rsid w:val="68816128"/>
    <w:rsid w:val="688E2F9F"/>
    <w:rsid w:val="6946190A"/>
    <w:rsid w:val="69513A22"/>
    <w:rsid w:val="696819F8"/>
    <w:rsid w:val="698D5697"/>
    <w:rsid w:val="69EB7E84"/>
    <w:rsid w:val="69FA5E67"/>
    <w:rsid w:val="6A3177DD"/>
    <w:rsid w:val="6A8B4135"/>
    <w:rsid w:val="6A915403"/>
    <w:rsid w:val="6A9D0048"/>
    <w:rsid w:val="6AA62A7A"/>
    <w:rsid w:val="6AC82F1E"/>
    <w:rsid w:val="6AD409EE"/>
    <w:rsid w:val="6AEA6A79"/>
    <w:rsid w:val="6B1B5C25"/>
    <w:rsid w:val="6B1C2219"/>
    <w:rsid w:val="6C252D9D"/>
    <w:rsid w:val="6C547C8E"/>
    <w:rsid w:val="6CB03CCD"/>
    <w:rsid w:val="6D617A39"/>
    <w:rsid w:val="6DB83390"/>
    <w:rsid w:val="6E52595A"/>
    <w:rsid w:val="6E5F6F10"/>
    <w:rsid w:val="6EF776E0"/>
    <w:rsid w:val="6EFA1818"/>
    <w:rsid w:val="6F0926A9"/>
    <w:rsid w:val="6F0A22FE"/>
    <w:rsid w:val="6F210F48"/>
    <w:rsid w:val="6F710B18"/>
    <w:rsid w:val="6F7E74CB"/>
    <w:rsid w:val="6FA8287C"/>
    <w:rsid w:val="70193D3A"/>
    <w:rsid w:val="70EE44D3"/>
    <w:rsid w:val="71203B39"/>
    <w:rsid w:val="717C4B53"/>
    <w:rsid w:val="71924844"/>
    <w:rsid w:val="719B775E"/>
    <w:rsid w:val="71AB77EE"/>
    <w:rsid w:val="724A7A48"/>
    <w:rsid w:val="724C4830"/>
    <w:rsid w:val="725B76BF"/>
    <w:rsid w:val="72695C00"/>
    <w:rsid w:val="72DE56EC"/>
    <w:rsid w:val="72EF47AE"/>
    <w:rsid w:val="72F92942"/>
    <w:rsid w:val="731660CF"/>
    <w:rsid w:val="73686E30"/>
    <w:rsid w:val="73E7745D"/>
    <w:rsid w:val="73E92500"/>
    <w:rsid w:val="74281823"/>
    <w:rsid w:val="74CE2C64"/>
    <w:rsid w:val="74E91D98"/>
    <w:rsid w:val="76291C01"/>
    <w:rsid w:val="7636003D"/>
    <w:rsid w:val="76584CD4"/>
    <w:rsid w:val="76667B2F"/>
    <w:rsid w:val="76E934EC"/>
    <w:rsid w:val="771F6F0D"/>
    <w:rsid w:val="778301A2"/>
    <w:rsid w:val="78AA5252"/>
    <w:rsid w:val="78D10791"/>
    <w:rsid w:val="78F85C68"/>
    <w:rsid w:val="79116D2A"/>
    <w:rsid w:val="7A400C26"/>
    <w:rsid w:val="7A9E45ED"/>
    <w:rsid w:val="7BE15920"/>
    <w:rsid w:val="7C0C54CA"/>
    <w:rsid w:val="7C197358"/>
    <w:rsid w:val="7C713E55"/>
    <w:rsid w:val="7CF14EA8"/>
    <w:rsid w:val="7D3E6A83"/>
    <w:rsid w:val="7DF82266"/>
    <w:rsid w:val="7E435833"/>
    <w:rsid w:val="7E53537B"/>
    <w:rsid w:val="7E61214D"/>
    <w:rsid w:val="7EA82723"/>
    <w:rsid w:val="7EB610B9"/>
    <w:rsid w:val="7ECD1840"/>
    <w:rsid w:val="7F0D6C7E"/>
    <w:rsid w:val="7F336E1A"/>
    <w:rsid w:val="7F6F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b/>
      <w:bCs/>
      <w:kern w:val="2"/>
      <w:sz w:val="24"/>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2153</Words>
  <Characters>12276</Characters>
  <Lines>102</Lines>
  <Paragraphs>28</Paragraphs>
  <TotalTime>3</TotalTime>
  <ScaleCrop>false</ScaleCrop>
  <LinksUpToDate>false</LinksUpToDate>
  <CharactersWithSpaces>14401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2026-05-14T04:04:36Z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eyJoZGlkIjoiMWEwNzA3YzExMzE1NzZjNmQ2Nzg2MjZkZWJiMjU5YTAiLCJ1c2VySWQiOiI1MjUxMTI3NjQifQ==</vt:lpwstr>
  </property>
</Properties>
</file>