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beforeLines="200"/>
        <w:jc w:val="center"/>
        <w:rPr>
          <w:rFonts w:eastAsia="黑体"/>
          <w:b/>
          <w:sz w:val="52"/>
        </w:rPr>
      </w:pPr>
      <w:bookmarkStart w:id="0" w:name="_Toc224470066"/>
      <w:bookmarkStart w:id="1" w:name="_Toc224531918"/>
      <w:bookmarkStart w:id="2" w:name="_Toc22446982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pPr>
        <w:spacing w:before="480" w:beforeLines="200"/>
        <w:jc w:val="center"/>
        <w:rPr>
          <w:rFonts w:eastAsia="黑体"/>
          <w:b/>
          <w:sz w:val="52"/>
        </w:rPr>
      </w:pPr>
    </w:p>
    <w:p>
      <w:pPr>
        <w:spacing w:before="480" w:beforeLines="200"/>
        <w:jc w:val="center"/>
        <w:rPr>
          <w:rFonts w:hint="eastAsia" w:ascii="黑体" w:hAnsi="黑体" w:eastAsia="黑体"/>
          <w:b/>
          <w:sz w:val="52"/>
          <w:szCs w:val="52"/>
        </w:rPr>
      </w:pPr>
      <w:r>
        <w:rPr>
          <w:rFonts w:hint="eastAsia" w:ascii="黑体" w:hAnsi="黑体" w:eastAsia="黑体" w:cs="微软雅黑"/>
          <w:b/>
          <w:sz w:val="52"/>
          <w:szCs w:val="52"/>
        </w:rPr>
        <w:t>中等负载仿线飞行无人机设备及多旋翼无人机</w:t>
      </w:r>
      <w:r>
        <w:rPr>
          <w:rFonts w:hint="eastAsia" w:ascii="黑体" w:hAnsi="黑体" w:eastAsia="黑体"/>
          <w:b/>
          <w:sz w:val="52"/>
          <w:szCs w:val="52"/>
        </w:rPr>
        <w:t>技术规范书</w:t>
      </w:r>
    </w:p>
    <w:p>
      <w:pPr>
        <w:spacing w:before="480" w:beforeLines="200" w:line="360" w:lineRule="auto"/>
        <w:ind w:left="420" w:hanging="420"/>
        <w:jc w:val="center"/>
        <w:rPr>
          <w:rFonts w:eastAsia="黑体"/>
          <w:b/>
          <w:sz w:val="52"/>
        </w:rPr>
      </w:pPr>
      <w:r>
        <w:rPr>
          <w:rFonts w:hint="eastAsia" w:eastAsia="黑体"/>
          <w:b/>
          <w:sz w:val="52"/>
        </w:rPr>
        <w:t>（通用部分）</w:t>
      </w:r>
    </w:p>
    <w:p>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pPr>
        <w:spacing w:before="480" w:beforeLines="200" w:line="360" w:lineRule="auto"/>
        <w:ind w:left="2520" w:leftChars="1200"/>
        <w:jc w:val="left"/>
        <w:rPr>
          <w:rFonts w:eastAsia="黑体"/>
          <w:b/>
          <w:sz w:val="36"/>
        </w:rPr>
      </w:pPr>
      <w:r>
        <w:rPr>
          <w:rFonts w:hint="eastAsia" w:eastAsia="黑体"/>
          <w:b/>
          <w:sz w:val="36"/>
        </w:rPr>
        <w:t>编号：</w:t>
      </w:r>
    </w:p>
    <w:p>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pPr>
        <w:jc w:val="center"/>
        <w:rPr>
          <w:rFonts w:eastAsia="黑体"/>
          <w:b/>
          <w:szCs w:val="28"/>
        </w:rPr>
        <w:sectPr>
          <w:headerReference r:id="rId5" w:type="first"/>
          <w:headerReference r:id="rId3" w:type="default"/>
          <w:footerReference r:id="rId6" w:type="default"/>
          <w:headerReference r:id="rId4" w:type="even"/>
          <w:footerReference r:id="rId7"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rPr>
        <w:t>2026年1月</w:t>
      </w:r>
    </w:p>
    <w:p>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101" w:type="dxa"/>
          </w:tcPr>
          <w:p>
            <w:pPr>
              <w:spacing w:line="360" w:lineRule="auto"/>
              <w:jc w:val="center"/>
              <w:rPr>
                <w:sz w:val="24"/>
              </w:rPr>
            </w:pPr>
            <w:r>
              <w:rPr>
                <w:sz w:val="24"/>
              </w:rPr>
              <w:t>序号</w:t>
            </w:r>
          </w:p>
        </w:tc>
        <w:tc>
          <w:tcPr>
            <w:tcW w:w="5106" w:type="dxa"/>
          </w:tcPr>
          <w:p>
            <w:pPr>
              <w:spacing w:line="360" w:lineRule="auto"/>
              <w:jc w:val="center"/>
              <w:rPr>
                <w:sz w:val="24"/>
              </w:rPr>
            </w:pPr>
            <w:r>
              <w:rPr>
                <w:sz w:val="24"/>
              </w:rPr>
              <w:t>名称</w:t>
            </w:r>
          </w:p>
        </w:tc>
        <w:tc>
          <w:tcPr>
            <w:tcW w:w="2724" w:type="dxa"/>
          </w:tcPr>
          <w:p>
            <w:pPr>
              <w:spacing w:line="360" w:lineRule="auto"/>
              <w:jc w:val="center"/>
              <w:rPr>
                <w:sz w:val="24"/>
              </w:rPr>
            </w:pPr>
            <w:r>
              <w:rPr>
                <w:sz w:val="24"/>
              </w:rPr>
              <w:t>品类优化清单</w:t>
            </w:r>
          </w:p>
          <w:p>
            <w:pPr>
              <w:spacing w:line="360" w:lineRule="auto"/>
              <w:jc w:val="center"/>
              <w:rPr>
                <w:sz w:val="24"/>
              </w:rPr>
            </w:pPr>
            <w:r>
              <w:rPr>
                <w:sz w:val="24"/>
              </w:rPr>
              <w:t>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101" w:type="dxa"/>
            <w:vAlign w:val="center"/>
          </w:tcPr>
          <w:p>
            <w:pPr>
              <w:spacing w:line="360" w:lineRule="auto"/>
              <w:jc w:val="center"/>
              <w:rPr>
                <w:sz w:val="24"/>
              </w:rPr>
            </w:pPr>
            <w:r>
              <w:rPr>
                <w:sz w:val="24"/>
              </w:rPr>
              <w:t>1</w:t>
            </w:r>
          </w:p>
        </w:tc>
        <w:tc>
          <w:tcPr>
            <w:tcW w:w="5106" w:type="dxa"/>
          </w:tcPr>
          <w:p>
            <w:pPr>
              <w:numPr>
                <w:ilvl w:val="255"/>
                <w:numId w:val="0"/>
              </w:numPr>
              <w:spacing w:line="360" w:lineRule="auto"/>
              <w:jc w:val="center"/>
              <w:rPr>
                <w:sz w:val="24"/>
              </w:rPr>
            </w:pPr>
            <w:bookmarkStart w:id="3" w:name="_Toc50889640"/>
            <w:bookmarkStart w:id="4" w:name="_Toc15656"/>
            <w:r>
              <w:rPr>
                <w:rFonts w:hint="eastAsia"/>
                <w:sz w:val="24"/>
              </w:rPr>
              <w:t>中等负载仿线飞行无人机设备及多旋翼无人机</w:t>
            </w:r>
            <w:r>
              <w:rPr>
                <w:sz w:val="24"/>
              </w:rPr>
              <w:t>技术规范书（</w:t>
            </w:r>
            <w:r>
              <w:rPr>
                <w:rFonts w:hint="eastAsia"/>
                <w:sz w:val="24"/>
              </w:rPr>
              <w:t>通</w:t>
            </w:r>
            <w:r>
              <w:rPr>
                <w:sz w:val="24"/>
              </w:rPr>
              <w:t>用部分）</w:t>
            </w:r>
            <w:bookmarkEnd w:id="3"/>
            <w:bookmarkEnd w:id="4"/>
          </w:p>
        </w:tc>
        <w:tc>
          <w:tcPr>
            <w:tcW w:w="2724" w:type="dxa"/>
          </w:tcPr>
          <w:p>
            <w:pPr>
              <w:spacing w:line="360" w:lineRule="auto"/>
              <w:jc w:val="center"/>
              <w:rPr>
                <w:sz w:val="24"/>
              </w:rPr>
            </w:pPr>
            <w:r>
              <w:rPr>
                <w:rFonts w:hint="eastAsia"/>
                <w:sz w:val="24"/>
              </w:rPr>
              <w:t>/</w:t>
            </w:r>
          </w:p>
        </w:tc>
      </w:tr>
    </w:tbl>
    <w:p>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pPr>
        <w:spacing w:line="360" w:lineRule="auto"/>
        <w:jc w:val="center"/>
        <w:rPr>
          <w:rFonts w:eastAsia="黑体"/>
          <w:bCs/>
          <w:sz w:val="36"/>
          <w:szCs w:val="36"/>
        </w:rPr>
      </w:pPr>
    </w:p>
    <w:p>
      <w:pPr>
        <w:pStyle w:val="38"/>
        <w:tabs>
          <w:tab w:val="right" w:leader="dot" w:pos="9113"/>
        </w:tabs>
        <w:rPr>
          <w:rFonts w:hint="eastAsia" w:ascii="黑体" w:hAnsi="黑体" w:eastAsia="黑体"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"_Toc222987390" </w:instrText>
      </w:r>
      <w:r>
        <w:fldChar w:fldCharType="separate"/>
      </w:r>
      <w:r>
        <w:rPr>
          <w:rStyle w:val="65"/>
          <w:rFonts w:ascii="黑体" w:hAnsi="黑体" w:eastAsia="黑体"/>
        </w:rPr>
        <w:t xml:space="preserve">1 </w:t>
      </w:r>
      <w:r>
        <w:rPr>
          <w:rStyle w:val="65"/>
          <w:rFonts w:hint="eastAsia" w:ascii="黑体" w:hAnsi="黑体" w:eastAsia="黑体"/>
        </w:rPr>
        <w:t>总则</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_Toc222987390 \h </w:instrText>
      </w:r>
      <w:r>
        <w:rPr>
          <w:rFonts w:hint="eastAsia" w:ascii="黑体" w:hAnsi="黑体" w:eastAsia="黑体"/>
        </w:rPr>
        <w:fldChar w:fldCharType="separate"/>
      </w:r>
      <w:r>
        <w:rPr>
          <w:rFonts w:ascii="黑体" w:hAnsi="黑体" w:eastAsia="黑体"/>
        </w:rPr>
        <w:t>1</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"_Toc222987391" </w:instrText>
      </w:r>
      <w:r>
        <w:fldChar w:fldCharType="separate"/>
      </w:r>
      <w:r>
        <w:rPr>
          <w:rStyle w:val="65"/>
          <w:rFonts w:ascii="黑体" w:hAnsi="黑体" w:eastAsia="黑体"/>
        </w:rPr>
        <w:t xml:space="preserve">2 </w:t>
      </w:r>
      <w:r>
        <w:rPr>
          <w:rStyle w:val="65"/>
          <w:rFonts w:hint="eastAsia" w:ascii="黑体" w:hAnsi="黑体" w:eastAsia="黑体"/>
        </w:rPr>
        <w:t>工作范围</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_Toc222987391 \h </w:instrText>
      </w:r>
      <w:r>
        <w:rPr>
          <w:rFonts w:hint="eastAsia" w:ascii="黑体" w:hAnsi="黑体" w:eastAsia="黑体"/>
        </w:rPr>
        <w:fldChar w:fldCharType="separate"/>
      </w:r>
      <w:r>
        <w:rPr>
          <w:rFonts w:ascii="黑体" w:hAnsi="黑体" w:eastAsia="黑体"/>
        </w:rPr>
        <w:t>2</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"_Toc222987392" </w:instrText>
      </w:r>
      <w:r>
        <w:fldChar w:fldCharType="separate"/>
      </w:r>
      <w:r>
        <w:rPr>
          <w:rStyle w:val="65"/>
          <w:rFonts w:ascii="黑体" w:hAnsi="黑体" w:eastAsia="黑体"/>
        </w:rPr>
        <w:t xml:space="preserve">2.1 </w:t>
      </w:r>
      <w:r>
        <w:rPr>
          <w:rStyle w:val="65"/>
          <w:rFonts w:hint="eastAsia" w:ascii="黑体" w:hAnsi="黑体" w:eastAsia="黑体"/>
        </w:rPr>
        <w:t>供货范围</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_Toc222987392 \h </w:instrText>
      </w:r>
      <w:r>
        <w:rPr>
          <w:rFonts w:hint="eastAsia" w:ascii="黑体" w:hAnsi="黑体" w:eastAsia="黑体"/>
        </w:rPr>
        <w:fldChar w:fldCharType="separate"/>
      </w:r>
      <w:r>
        <w:rPr>
          <w:rFonts w:ascii="黑体" w:hAnsi="黑体" w:eastAsia="黑体"/>
        </w:rPr>
        <w:t>2</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"_Toc222987393" </w:instrText>
      </w:r>
      <w:r>
        <w:fldChar w:fldCharType="separate"/>
      </w:r>
      <w:r>
        <w:rPr>
          <w:rStyle w:val="65"/>
          <w:rFonts w:ascii="黑体" w:hAnsi="黑体" w:eastAsia="黑体"/>
        </w:rPr>
        <w:t xml:space="preserve">2.2 </w:t>
      </w:r>
      <w:r>
        <w:rPr>
          <w:rStyle w:val="65"/>
          <w:rFonts w:hint="eastAsia" w:ascii="黑体" w:hAnsi="黑体" w:eastAsia="黑体"/>
        </w:rPr>
        <w:t>服务界限</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_Toc222987393 \h </w:instrText>
      </w:r>
      <w:r>
        <w:rPr>
          <w:rFonts w:hint="eastAsia" w:ascii="黑体" w:hAnsi="黑体" w:eastAsia="黑体"/>
        </w:rPr>
        <w:fldChar w:fldCharType="separate"/>
      </w:r>
      <w:r>
        <w:rPr>
          <w:rFonts w:ascii="黑体" w:hAnsi="黑体" w:eastAsia="黑体"/>
        </w:rPr>
        <w:t>2</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"_Toc222987394" </w:instrText>
      </w:r>
      <w:r>
        <w:fldChar w:fldCharType="separate"/>
      </w:r>
      <w:r>
        <w:rPr>
          <w:rStyle w:val="65"/>
          <w:rFonts w:ascii="黑体" w:hAnsi="黑体" w:eastAsia="黑体"/>
        </w:rPr>
        <w:t xml:space="preserve">2.3 </w:t>
      </w:r>
      <w:r>
        <w:rPr>
          <w:rStyle w:val="65"/>
          <w:rFonts w:hint="eastAsia" w:ascii="黑体" w:hAnsi="黑体" w:eastAsia="黑体"/>
        </w:rPr>
        <w:t>技术文件</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_Toc222987394 \h </w:instrText>
      </w:r>
      <w:r>
        <w:rPr>
          <w:rFonts w:hint="eastAsia" w:ascii="黑体" w:hAnsi="黑体" w:eastAsia="黑体"/>
        </w:rPr>
        <w:fldChar w:fldCharType="separate"/>
      </w:r>
      <w:r>
        <w:rPr>
          <w:rFonts w:ascii="黑体" w:hAnsi="黑体" w:eastAsia="黑体"/>
        </w:rPr>
        <w:t>2</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"_Toc222987395" </w:instrText>
      </w:r>
      <w:r>
        <w:fldChar w:fldCharType="separate"/>
      </w:r>
      <w:r>
        <w:rPr>
          <w:rStyle w:val="65"/>
          <w:rFonts w:hint="eastAsia" w:ascii="黑体" w:hAnsi="黑体" w:eastAsia="黑体"/>
        </w:rPr>
        <w:t>技术文件的组成</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_Toc222987395 \h </w:instrText>
      </w:r>
      <w:r>
        <w:rPr>
          <w:rFonts w:hint="eastAsia" w:ascii="黑体" w:hAnsi="黑体" w:eastAsia="黑体"/>
        </w:rPr>
        <w:fldChar w:fldCharType="separate"/>
      </w:r>
      <w:r>
        <w:rPr>
          <w:rFonts w:ascii="黑体" w:hAnsi="黑体" w:eastAsia="黑体"/>
        </w:rPr>
        <w:t>2</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"_Toc222987396" </w:instrText>
      </w:r>
      <w:r>
        <w:fldChar w:fldCharType="separate"/>
      </w:r>
      <w:r>
        <w:rPr>
          <w:rStyle w:val="65"/>
          <w:rFonts w:ascii="黑体" w:hAnsi="黑体" w:eastAsia="黑体"/>
        </w:rPr>
        <w:t xml:space="preserve">3 </w:t>
      </w:r>
      <w:r>
        <w:rPr>
          <w:rStyle w:val="65"/>
          <w:rFonts w:hint="eastAsia" w:ascii="黑体" w:hAnsi="黑体" w:eastAsia="黑体"/>
        </w:rPr>
        <w:t>应遵循的主要标准</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_Toc222987396 \h </w:instrText>
      </w:r>
      <w:r>
        <w:rPr>
          <w:rFonts w:hint="eastAsia" w:ascii="黑体" w:hAnsi="黑体" w:eastAsia="黑体"/>
        </w:rPr>
        <w:fldChar w:fldCharType="separate"/>
      </w:r>
      <w:r>
        <w:rPr>
          <w:rFonts w:ascii="黑体" w:hAnsi="黑体" w:eastAsia="黑体"/>
        </w:rPr>
        <w:t>3</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"_Toc222987397" </w:instrText>
      </w:r>
      <w:r>
        <w:fldChar w:fldCharType="separate"/>
      </w:r>
      <w:r>
        <w:rPr>
          <w:rStyle w:val="65"/>
          <w:rFonts w:ascii="黑体" w:hAnsi="黑体" w:eastAsia="黑体"/>
        </w:rPr>
        <w:t xml:space="preserve">4 </w:t>
      </w:r>
      <w:r>
        <w:rPr>
          <w:rStyle w:val="65"/>
          <w:rFonts w:hint="eastAsia" w:ascii="黑体" w:hAnsi="黑体" w:eastAsia="黑体"/>
        </w:rPr>
        <w:t>使用条件</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_Toc222987397 \h </w:instrText>
      </w:r>
      <w:r>
        <w:rPr>
          <w:rFonts w:hint="eastAsia" w:ascii="黑体" w:hAnsi="黑体" w:eastAsia="黑体"/>
        </w:rPr>
        <w:fldChar w:fldCharType="separate"/>
      </w:r>
      <w:r>
        <w:rPr>
          <w:rFonts w:ascii="黑体" w:hAnsi="黑体" w:eastAsia="黑体"/>
        </w:rPr>
        <w:t>4</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"_Toc222987398" </w:instrText>
      </w:r>
      <w:r>
        <w:fldChar w:fldCharType="separate"/>
      </w:r>
      <w:r>
        <w:rPr>
          <w:rStyle w:val="65"/>
          <w:rFonts w:ascii="黑体" w:hAnsi="黑体" w:eastAsia="黑体"/>
        </w:rPr>
        <w:t xml:space="preserve">4.1 </w:t>
      </w:r>
      <w:r>
        <w:rPr>
          <w:rStyle w:val="65"/>
          <w:rFonts w:hint="eastAsia" w:ascii="黑体" w:hAnsi="黑体" w:eastAsia="黑体"/>
        </w:rPr>
        <w:t>正常使用条件</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_Toc222987398 \h </w:instrText>
      </w:r>
      <w:r>
        <w:rPr>
          <w:rFonts w:hint="eastAsia" w:ascii="黑体" w:hAnsi="黑体" w:eastAsia="黑体"/>
        </w:rPr>
        <w:fldChar w:fldCharType="separate"/>
      </w:r>
      <w:r>
        <w:rPr>
          <w:rFonts w:ascii="黑体" w:hAnsi="黑体" w:eastAsia="黑体"/>
        </w:rPr>
        <w:t>4</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"_Toc222987399" </w:instrText>
      </w:r>
      <w:r>
        <w:fldChar w:fldCharType="separate"/>
      </w:r>
      <w:r>
        <w:rPr>
          <w:rStyle w:val="65"/>
          <w:rFonts w:ascii="黑体" w:hAnsi="黑体" w:eastAsia="黑体"/>
        </w:rPr>
        <w:t xml:space="preserve">4.2 </w:t>
      </w:r>
      <w:r>
        <w:rPr>
          <w:rStyle w:val="65"/>
          <w:rFonts w:hint="eastAsia" w:ascii="黑体" w:hAnsi="黑体" w:eastAsia="黑体"/>
        </w:rPr>
        <w:t>特殊使用条件</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_Toc222987399 \h </w:instrText>
      </w:r>
      <w:r>
        <w:rPr>
          <w:rFonts w:hint="eastAsia" w:ascii="黑体" w:hAnsi="黑体" w:eastAsia="黑体"/>
        </w:rPr>
        <w:fldChar w:fldCharType="separate"/>
      </w:r>
      <w:r>
        <w:rPr>
          <w:rFonts w:ascii="黑体" w:hAnsi="黑体" w:eastAsia="黑体"/>
        </w:rPr>
        <w:t>4</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"_Toc222987400" </w:instrText>
      </w:r>
      <w:r>
        <w:fldChar w:fldCharType="separate"/>
      </w:r>
      <w:r>
        <w:rPr>
          <w:rStyle w:val="65"/>
          <w:rFonts w:ascii="黑体" w:hAnsi="黑体" w:eastAsia="黑体"/>
        </w:rPr>
        <w:t xml:space="preserve">5 </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_Toc222987400 \h </w:instrText>
      </w:r>
      <w:r>
        <w:rPr>
          <w:rFonts w:hint="eastAsia" w:ascii="黑体" w:hAnsi="黑体" w:eastAsia="黑体"/>
        </w:rPr>
        <w:fldChar w:fldCharType="separate"/>
      </w:r>
      <w:r>
        <w:rPr>
          <w:rFonts w:ascii="黑体" w:hAnsi="黑体" w:eastAsia="黑体"/>
        </w:rPr>
        <w:t>4</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"_Toc222987401" </w:instrText>
      </w:r>
      <w:r>
        <w:fldChar w:fldCharType="separate"/>
      </w:r>
      <w:r>
        <w:rPr>
          <w:rStyle w:val="65"/>
          <w:rFonts w:ascii="黑体" w:hAnsi="黑体" w:eastAsia="黑体"/>
        </w:rPr>
        <w:t xml:space="preserve">5.1 </w:t>
      </w:r>
      <w:r>
        <w:rPr>
          <w:rStyle w:val="65"/>
          <w:rFonts w:hint="eastAsia" w:ascii="黑体" w:hAnsi="黑体" w:eastAsia="黑体" w:cs="宋体"/>
        </w:rPr>
        <w:t>中等负载仿线无人机</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_Toc222987401 \h </w:instrText>
      </w:r>
      <w:r>
        <w:rPr>
          <w:rFonts w:hint="eastAsia" w:ascii="黑体" w:hAnsi="黑体" w:eastAsia="黑体"/>
        </w:rPr>
        <w:fldChar w:fldCharType="separate"/>
      </w:r>
      <w:r>
        <w:rPr>
          <w:rFonts w:ascii="黑体" w:hAnsi="黑体" w:eastAsia="黑体"/>
        </w:rPr>
        <w:t>4</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"_Toc222987402" </w:instrText>
      </w:r>
      <w:r>
        <w:fldChar w:fldCharType="separate"/>
      </w:r>
      <w:r>
        <w:rPr>
          <w:rStyle w:val="65"/>
          <w:rFonts w:ascii="黑体" w:hAnsi="黑体" w:eastAsia="黑体"/>
        </w:rPr>
        <w:t xml:space="preserve">5.2 </w:t>
      </w:r>
      <w:r>
        <w:rPr>
          <w:rStyle w:val="65"/>
          <w:rFonts w:hint="eastAsia" w:ascii="黑体" w:hAnsi="黑体" w:eastAsia="黑体"/>
        </w:rPr>
        <w:t>遥控器技术要求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_Toc222987402 \h </w:instrText>
      </w:r>
      <w:r>
        <w:rPr>
          <w:rFonts w:hint="eastAsia" w:ascii="黑体" w:hAnsi="黑体" w:eastAsia="黑体"/>
        </w:rPr>
        <w:fldChar w:fldCharType="separate"/>
      </w:r>
      <w:r>
        <w:rPr>
          <w:rFonts w:ascii="黑体" w:hAnsi="黑体" w:eastAsia="黑体"/>
        </w:rPr>
        <w:t>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"_Toc222987403" </w:instrText>
      </w:r>
      <w:r>
        <w:fldChar w:fldCharType="separate"/>
      </w:r>
      <w:r>
        <w:rPr>
          <w:rStyle w:val="65"/>
          <w:rFonts w:ascii="黑体" w:hAnsi="黑体" w:eastAsia="黑体"/>
        </w:rPr>
        <w:t xml:space="preserve">5.3 </w:t>
      </w:r>
      <w:r>
        <w:rPr>
          <w:rStyle w:val="65"/>
          <w:rFonts w:hint="eastAsia" w:ascii="黑体" w:hAnsi="黑体" w:eastAsia="黑体"/>
        </w:rPr>
        <w:t>电池技术要求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_Toc222987403 \h </w:instrText>
      </w:r>
      <w:r>
        <w:rPr>
          <w:rFonts w:hint="eastAsia" w:ascii="黑体" w:hAnsi="黑体" w:eastAsia="黑体"/>
        </w:rPr>
        <w:fldChar w:fldCharType="separate"/>
      </w:r>
      <w:r>
        <w:rPr>
          <w:rFonts w:ascii="黑体" w:hAnsi="黑体" w:eastAsia="黑体"/>
        </w:rPr>
        <w:t>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"_Toc222987404" </w:instrText>
      </w:r>
      <w:r>
        <w:fldChar w:fldCharType="separate"/>
      </w:r>
      <w:r>
        <w:rPr>
          <w:rStyle w:val="65"/>
          <w:rFonts w:ascii="黑体" w:hAnsi="黑体" w:eastAsia="黑体"/>
        </w:rPr>
        <w:t xml:space="preserve">5.4 </w:t>
      </w:r>
      <w:r>
        <w:rPr>
          <w:rStyle w:val="65"/>
          <w:rFonts w:hint="eastAsia" w:ascii="黑体" w:hAnsi="黑体" w:eastAsia="黑体"/>
        </w:rPr>
        <w:t>图传技术要求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_Toc222987404 \h </w:instrText>
      </w:r>
      <w:r>
        <w:rPr>
          <w:rFonts w:hint="eastAsia" w:ascii="黑体" w:hAnsi="黑体" w:eastAsia="黑体"/>
        </w:rPr>
        <w:fldChar w:fldCharType="separate"/>
      </w:r>
      <w:r>
        <w:rPr>
          <w:rFonts w:ascii="黑体" w:hAnsi="黑体" w:eastAsia="黑体"/>
        </w:rPr>
        <w:t>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"_Toc222987405" </w:instrText>
      </w:r>
      <w:r>
        <w:fldChar w:fldCharType="separate"/>
      </w:r>
      <w:r>
        <w:rPr>
          <w:rStyle w:val="65"/>
          <w:rFonts w:ascii="黑体" w:hAnsi="黑体" w:eastAsia="黑体"/>
        </w:rPr>
        <w:t xml:space="preserve">5.5 </w:t>
      </w:r>
      <w:r>
        <w:rPr>
          <w:rStyle w:val="65"/>
          <w:rFonts w:hint="eastAsia" w:ascii="黑体" w:hAnsi="黑体" w:eastAsia="黑体"/>
        </w:rPr>
        <w:t>飞行相机技术要求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_Toc222987405 \h </w:instrText>
      </w:r>
      <w:r>
        <w:rPr>
          <w:rFonts w:hint="eastAsia" w:ascii="黑体" w:hAnsi="黑体" w:eastAsia="黑体"/>
        </w:rPr>
        <w:fldChar w:fldCharType="separate"/>
      </w:r>
      <w:r>
        <w:rPr>
          <w:rFonts w:ascii="黑体" w:hAnsi="黑体" w:eastAsia="黑体"/>
        </w:rPr>
        <w:t>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"_Toc222987406" </w:instrText>
      </w:r>
      <w:r>
        <w:fldChar w:fldCharType="separate"/>
      </w:r>
      <w:r>
        <w:rPr>
          <w:rStyle w:val="65"/>
          <w:rFonts w:ascii="黑体" w:hAnsi="黑体" w:eastAsia="黑体"/>
        </w:rPr>
        <w:t xml:space="preserve">5.6 </w:t>
      </w:r>
      <w:r>
        <w:rPr>
          <w:rStyle w:val="65"/>
          <w:rFonts w:hint="eastAsia" w:ascii="黑体" w:hAnsi="黑体" w:eastAsia="黑体"/>
        </w:rPr>
        <w:t>充电箱技术要求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_Toc222987406 \h </w:instrText>
      </w:r>
      <w:r>
        <w:rPr>
          <w:rFonts w:hint="eastAsia" w:ascii="黑体" w:hAnsi="黑体" w:eastAsia="黑体"/>
        </w:rPr>
        <w:fldChar w:fldCharType="separate"/>
      </w:r>
      <w:r>
        <w:rPr>
          <w:rFonts w:ascii="黑体" w:hAnsi="黑体" w:eastAsia="黑体"/>
        </w:rPr>
        <w:t>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"_Toc222987407" </w:instrText>
      </w:r>
      <w:r>
        <w:fldChar w:fldCharType="separate"/>
      </w:r>
      <w:r>
        <w:rPr>
          <w:rStyle w:val="65"/>
          <w:rFonts w:ascii="黑体" w:hAnsi="黑体" w:eastAsia="黑体"/>
        </w:rPr>
        <w:t xml:space="preserve">5.7 </w:t>
      </w:r>
      <w:r>
        <w:rPr>
          <w:rStyle w:val="65"/>
          <w:rFonts w:hint="eastAsia" w:ascii="黑体" w:hAnsi="黑体" w:eastAsia="黑体" w:cs="宋体"/>
        </w:rPr>
        <w:t>中等负载仿线无人机</w:t>
      </w:r>
      <w:r>
        <w:rPr>
          <w:rStyle w:val="65"/>
          <w:rFonts w:hint="eastAsia" w:ascii="黑体" w:hAnsi="黑体" w:eastAsia="黑体"/>
        </w:rPr>
        <w:t>配件技术要求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_Toc222987407 \h </w:instrText>
      </w:r>
      <w:r>
        <w:rPr>
          <w:rFonts w:hint="eastAsia" w:ascii="黑体" w:hAnsi="黑体" w:eastAsia="黑体"/>
        </w:rPr>
        <w:fldChar w:fldCharType="separate"/>
      </w:r>
      <w:r>
        <w:rPr>
          <w:rFonts w:ascii="黑体" w:hAnsi="黑体" w:eastAsia="黑体"/>
        </w:rPr>
        <w:t>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"_Toc222987408" </w:instrText>
      </w:r>
      <w:r>
        <w:fldChar w:fldCharType="separate"/>
      </w:r>
      <w:r>
        <w:rPr>
          <w:rStyle w:val="65"/>
          <w:rFonts w:ascii="黑体" w:hAnsi="黑体" w:eastAsia="黑体"/>
        </w:rPr>
        <w:t xml:space="preserve">5.8 </w:t>
      </w:r>
      <w:r>
        <w:rPr>
          <w:rStyle w:val="65"/>
          <w:rFonts w:hint="eastAsia" w:ascii="黑体" w:hAnsi="黑体" w:eastAsia="黑体" w:cs="宋体"/>
          <w:kern w:val="0"/>
          <w:lang w:bidi="ar"/>
        </w:rPr>
        <w:t>多旋翼无人机</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_Toc222987408 \h </w:instrText>
      </w:r>
      <w:r>
        <w:rPr>
          <w:rFonts w:hint="eastAsia" w:ascii="黑体" w:hAnsi="黑体" w:eastAsia="黑体"/>
        </w:rPr>
        <w:fldChar w:fldCharType="separate"/>
      </w:r>
      <w:r>
        <w:rPr>
          <w:rFonts w:ascii="黑体" w:hAnsi="黑体" w:eastAsia="黑体"/>
        </w:rPr>
        <w:t>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"_Toc222987409" </w:instrText>
      </w:r>
      <w:r>
        <w:fldChar w:fldCharType="separate"/>
      </w:r>
      <w:r>
        <w:rPr>
          <w:rStyle w:val="65"/>
          <w:rFonts w:ascii="黑体" w:hAnsi="黑体" w:eastAsia="黑体"/>
        </w:rPr>
        <w:t xml:space="preserve">5.9 </w:t>
      </w:r>
      <w:r>
        <w:rPr>
          <w:rStyle w:val="65"/>
          <w:rFonts w:hint="eastAsia" w:ascii="黑体" w:hAnsi="黑体" w:eastAsia="黑体" w:cs="宋体"/>
          <w:kern w:val="0"/>
          <w:lang w:bidi="ar"/>
        </w:rPr>
        <w:t>多旋翼无人机遥控器</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_Toc222987409 \h </w:instrText>
      </w:r>
      <w:r>
        <w:rPr>
          <w:rFonts w:hint="eastAsia" w:ascii="黑体" w:hAnsi="黑体" w:eastAsia="黑体"/>
        </w:rPr>
        <w:fldChar w:fldCharType="separate"/>
      </w:r>
      <w:r>
        <w:rPr>
          <w:rFonts w:ascii="黑体" w:hAnsi="黑体" w:eastAsia="黑体"/>
        </w:rPr>
        <w:t>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"_Toc222987410" </w:instrText>
      </w:r>
      <w:r>
        <w:fldChar w:fldCharType="separate"/>
      </w:r>
      <w:r>
        <w:rPr>
          <w:rStyle w:val="65"/>
          <w:rFonts w:ascii="黑体" w:hAnsi="黑体" w:eastAsia="黑体"/>
        </w:rPr>
        <w:t xml:space="preserve">5.10 </w:t>
      </w:r>
      <w:r>
        <w:rPr>
          <w:rStyle w:val="65"/>
          <w:rFonts w:hint="eastAsia" w:ascii="黑体" w:hAnsi="黑体" w:eastAsia="黑体" w:cs="宋体"/>
          <w:kern w:val="0"/>
          <w:lang w:bidi="ar"/>
        </w:rPr>
        <w:t>多旋翼无人机电池</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_Toc222987410 \h </w:instrText>
      </w:r>
      <w:r>
        <w:rPr>
          <w:rFonts w:hint="eastAsia" w:ascii="黑体" w:hAnsi="黑体" w:eastAsia="黑体"/>
        </w:rPr>
        <w:fldChar w:fldCharType="separate"/>
      </w:r>
      <w:r>
        <w:rPr>
          <w:rFonts w:ascii="黑体" w:hAnsi="黑体" w:eastAsia="黑体"/>
        </w:rPr>
        <w:t>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"_Toc222987411" </w:instrText>
      </w:r>
      <w:r>
        <w:fldChar w:fldCharType="separate"/>
      </w:r>
      <w:r>
        <w:rPr>
          <w:rStyle w:val="65"/>
          <w:rFonts w:ascii="黑体" w:hAnsi="黑体" w:eastAsia="黑体"/>
        </w:rPr>
        <w:t xml:space="preserve">5.11 </w:t>
      </w:r>
      <w:r>
        <w:rPr>
          <w:rStyle w:val="65"/>
          <w:rFonts w:hint="eastAsia" w:ascii="黑体" w:hAnsi="黑体" w:eastAsia="黑体" w:cs="宋体"/>
          <w:kern w:val="0"/>
          <w:lang w:bidi="ar"/>
        </w:rPr>
        <w:t>多旋翼无人机充电管家</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_Toc222987411 \h </w:instrText>
      </w:r>
      <w:r>
        <w:rPr>
          <w:rFonts w:hint="eastAsia" w:ascii="黑体" w:hAnsi="黑体" w:eastAsia="黑体"/>
        </w:rPr>
        <w:fldChar w:fldCharType="separate"/>
      </w:r>
      <w:r>
        <w:rPr>
          <w:rFonts w:ascii="黑体" w:hAnsi="黑体" w:eastAsia="黑体"/>
        </w:rPr>
        <w:t>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"_Toc222987412" </w:instrText>
      </w:r>
      <w:r>
        <w:fldChar w:fldCharType="separate"/>
      </w:r>
      <w:r>
        <w:rPr>
          <w:rStyle w:val="65"/>
          <w:rFonts w:ascii="黑体" w:hAnsi="黑体" w:eastAsia="黑体"/>
        </w:rPr>
        <w:t xml:space="preserve">5.12 </w:t>
      </w:r>
      <w:r>
        <w:rPr>
          <w:rStyle w:val="65"/>
          <w:rFonts w:hint="eastAsia" w:ascii="黑体" w:hAnsi="黑体" w:eastAsia="黑体" w:cs="宋体"/>
          <w:kern w:val="0"/>
          <w:lang w:bidi="ar"/>
        </w:rPr>
        <w:t>多旋翼无人机带屏遥控器</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_Toc222987412 \h </w:instrText>
      </w:r>
      <w:r>
        <w:rPr>
          <w:rFonts w:hint="eastAsia" w:ascii="黑体" w:hAnsi="黑体" w:eastAsia="黑体"/>
        </w:rPr>
        <w:fldChar w:fldCharType="separate"/>
      </w:r>
      <w:r>
        <w:rPr>
          <w:rFonts w:ascii="黑体" w:hAnsi="黑体" w:eastAsia="黑体"/>
        </w:rPr>
        <w:t>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"_Toc222987413" </w:instrText>
      </w:r>
      <w:r>
        <w:fldChar w:fldCharType="separate"/>
      </w:r>
      <w:r>
        <w:rPr>
          <w:rStyle w:val="65"/>
          <w:rFonts w:ascii="黑体" w:hAnsi="黑体" w:eastAsia="黑体"/>
        </w:rPr>
        <w:t xml:space="preserve">5.13 </w:t>
      </w:r>
      <w:r>
        <w:rPr>
          <w:rStyle w:val="65"/>
          <w:rFonts w:hint="eastAsia" w:ascii="黑体" w:hAnsi="黑体" w:eastAsia="黑体" w:cs="宋体"/>
          <w:kern w:val="0"/>
          <w:lang w:bidi="ar"/>
        </w:rPr>
        <w:t>多旋翼无人机</w:t>
      </w:r>
      <w:r>
        <w:rPr>
          <w:rStyle w:val="65"/>
          <w:rFonts w:hint="eastAsia" w:ascii="黑体" w:hAnsi="黑体" w:eastAsia="黑体"/>
          <w:lang w:bidi="ar"/>
        </w:rPr>
        <w:t>配套配件</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_Toc222987413 \h </w:instrText>
      </w:r>
      <w:r>
        <w:rPr>
          <w:rFonts w:hint="eastAsia" w:ascii="黑体" w:hAnsi="黑体" w:eastAsia="黑体"/>
        </w:rPr>
        <w:fldChar w:fldCharType="separate"/>
      </w:r>
      <w:r>
        <w:rPr>
          <w:rFonts w:ascii="黑体" w:hAnsi="黑体" w:eastAsia="黑体"/>
        </w:rPr>
        <w:t>7</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"_Toc222987414" </w:instrText>
      </w:r>
      <w:r>
        <w:fldChar w:fldCharType="separate"/>
      </w:r>
      <w:r>
        <w:rPr>
          <w:rStyle w:val="65"/>
          <w:rFonts w:ascii="黑体" w:hAnsi="黑体" w:eastAsia="黑体"/>
        </w:rPr>
        <w:t xml:space="preserve">5.14 </w:t>
      </w:r>
      <w:r>
        <w:rPr>
          <w:rStyle w:val="65"/>
          <w:rFonts w:hint="eastAsia" w:ascii="黑体" w:hAnsi="黑体" w:eastAsia="黑体" w:cs="宋体"/>
          <w:kern w:val="0"/>
          <w:lang w:bidi="ar"/>
        </w:rPr>
        <w:t>多旋翼无人机</w:t>
      </w:r>
      <w:r>
        <w:rPr>
          <w:rStyle w:val="65"/>
          <w:rFonts w:hint="eastAsia" w:ascii="黑体" w:hAnsi="黑体" w:eastAsia="黑体"/>
          <w:lang w:bidi="ar"/>
        </w:rPr>
        <w:t>配套</w:t>
      </w:r>
      <w:r>
        <w:rPr>
          <w:rStyle w:val="65"/>
          <w:rFonts w:ascii="黑体" w:hAnsi="黑体" w:eastAsia="黑体"/>
          <w:lang w:bidi="ar"/>
        </w:rPr>
        <w:t xml:space="preserve">240W </w:t>
      </w:r>
      <w:r>
        <w:rPr>
          <w:rStyle w:val="65"/>
          <w:rFonts w:hint="eastAsia" w:ascii="黑体" w:hAnsi="黑体" w:eastAsia="黑体"/>
          <w:lang w:bidi="ar"/>
        </w:rPr>
        <w:t>桌面充电器</w:t>
      </w:r>
      <w:r>
        <w:rPr>
          <w:rStyle w:val="65"/>
          <w:rFonts w:hint="eastAsia" w:ascii="黑体" w:hAnsi="黑体" w:eastAsia="黑体"/>
        </w:rPr>
        <w:t>技术要求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_Toc222987414 \h </w:instrText>
      </w:r>
      <w:r>
        <w:rPr>
          <w:rFonts w:hint="eastAsia" w:ascii="黑体" w:hAnsi="黑体" w:eastAsia="黑体"/>
        </w:rPr>
        <w:fldChar w:fldCharType="separate"/>
      </w:r>
      <w:r>
        <w:rPr>
          <w:rFonts w:ascii="黑体" w:hAnsi="黑体" w:eastAsia="黑体"/>
        </w:rPr>
        <w:t>7</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"_Toc222987415" </w:instrText>
      </w:r>
      <w:r>
        <w:fldChar w:fldCharType="separate"/>
      </w:r>
      <w:r>
        <w:rPr>
          <w:rStyle w:val="65"/>
          <w:rFonts w:ascii="黑体" w:hAnsi="黑体" w:eastAsia="黑体"/>
        </w:rPr>
        <w:t xml:space="preserve">5.16 </w:t>
      </w:r>
      <w:r>
        <w:rPr>
          <w:rStyle w:val="65"/>
          <w:rFonts w:hint="eastAsia" w:ascii="黑体" w:hAnsi="黑体" w:eastAsia="黑体"/>
        </w:rPr>
        <w:t>迷你多旋翼可见光无人机要求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_Toc222987415 \h </w:instrText>
      </w:r>
      <w:r>
        <w:rPr>
          <w:rFonts w:hint="eastAsia" w:ascii="黑体" w:hAnsi="黑体" w:eastAsia="黑体"/>
        </w:rPr>
        <w:fldChar w:fldCharType="separate"/>
      </w:r>
      <w:r>
        <w:rPr>
          <w:rFonts w:ascii="黑体" w:hAnsi="黑体" w:eastAsia="黑体"/>
        </w:rPr>
        <w:t>7</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"_Toc222987416" </w:instrText>
      </w:r>
      <w:r>
        <w:fldChar w:fldCharType="separate"/>
      </w:r>
      <w:r>
        <w:rPr>
          <w:rStyle w:val="65"/>
          <w:rFonts w:ascii="黑体" w:hAnsi="黑体" w:eastAsia="黑体"/>
        </w:rPr>
        <w:t xml:space="preserve">5.17 </w:t>
      </w:r>
      <w:r>
        <w:rPr>
          <w:rStyle w:val="65"/>
          <w:rFonts w:hint="eastAsia" w:ascii="黑体" w:hAnsi="黑体" w:eastAsia="黑体"/>
        </w:rPr>
        <w:t>网络安全要求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_Toc222987416 \h </w:instrText>
      </w:r>
      <w:r>
        <w:rPr>
          <w:rFonts w:hint="eastAsia" w:ascii="黑体" w:hAnsi="黑体" w:eastAsia="黑体"/>
        </w:rPr>
        <w:fldChar w:fldCharType="separate"/>
      </w:r>
      <w:r>
        <w:rPr>
          <w:rFonts w:ascii="黑体" w:hAnsi="黑体" w:eastAsia="黑体"/>
        </w:rPr>
        <w:t>9</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"_Toc222987417" </w:instrText>
      </w:r>
      <w:r>
        <w:fldChar w:fldCharType="separate"/>
      </w:r>
      <w:r>
        <w:rPr>
          <w:rStyle w:val="65"/>
          <w:rFonts w:ascii="黑体" w:hAnsi="黑体" w:eastAsia="黑体"/>
        </w:rPr>
        <w:t xml:space="preserve">6 </w:t>
      </w:r>
      <w:r>
        <w:rPr>
          <w:rStyle w:val="65"/>
          <w:rFonts w:hint="eastAsia" w:ascii="黑体" w:hAnsi="黑体" w:eastAsia="黑体"/>
        </w:rPr>
        <w:t>试验项目及要求</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_Toc222987417 \h </w:instrText>
      </w:r>
      <w:r>
        <w:rPr>
          <w:rFonts w:hint="eastAsia" w:ascii="黑体" w:hAnsi="黑体" w:eastAsia="黑体"/>
        </w:rPr>
        <w:fldChar w:fldCharType="separate"/>
      </w:r>
      <w:r>
        <w:rPr>
          <w:rFonts w:ascii="黑体" w:hAnsi="黑体" w:eastAsia="黑体"/>
        </w:rPr>
        <w:t>10</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"_Toc222987418" </w:instrText>
      </w:r>
      <w:r>
        <w:fldChar w:fldCharType="separate"/>
      </w:r>
      <w:r>
        <w:rPr>
          <w:rStyle w:val="65"/>
          <w:rFonts w:ascii="黑体" w:hAnsi="黑体" w:eastAsia="黑体"/>
        </w:rPr>
        <w:t xml:space="preserve">7 </w:t>
      </w:r>
      <w:r>
        <w:rPr>
          <w:rStyle w:val="65"/>
          <w:rFonts w:hint="eastAsia" w:ascii="黑体" w:hAnsi="黑体" w:eastAsia="黑体"/>
        </w:rPr>
        <w:t>检验规则</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_Toc222987418 \h </w:instrText>
      </w:r>
      <w:r>
        <w:rPr>
          <w:rFonts w:hint="eastAsia" w:ascii="黑体" w:hAnsi="黑体" w:eastAsia="黑体"/>
        </w:rPr>
        <w:fldChar w:fldCharType="separate"/>
      </w:r>
      <w:r>
        <w:rPr>
          <w:rFonts w:ascii="黑体" w:hAnsi="黑体" w:eastAsia="黑体"/>
        </w:rPr>
        <w:t>14</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"_Toc222987419" </w:instrText>
      </w:r>
      <w:r>
        <w:fldChar w:fldCharType="separate"/>
      </w:r>
      <w:r>
        <w:rPr>
          <w:rStyle w:val="65"/>
          <w:rFonts w:ascii="黑体" w:hAnsi="黑体" w:eastAsia="黑体"/>
        </w:rPr>
        <w:t xml:space="preserve">8 </w:t>
      </w:r>
      <w:r>
        <w:rPr>
          <w:rStyle w:val="65"/>
          <w:rFonts w:hint="eastAsia" w:ascii="黑体" w:hAnsi="黑体" w:eastAsia="黑体"/>
        </w:rPr>
        <w:t>技术联络、技术培训及售后服务</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_Toc222987419 \h </w:instrText>
      </w:r>
      <w:r>
        <w:rPr>
          <w:rFonts w:hint="eastAsia" w:ascii="黑体" w:hAnsi="黑体" w:eastAsia="黑体"/>
        </w:rPr>
        <w:fldChar w:fldCharType="separate"/>
      </w:r>
      <w:r>
        <w:rPr>
          <w:rFonts w:ascii="黑体" w:hAnsi="黑体" w:eastAsia="黑体"/>
        </w:rPr>
        <w:t>15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"_Toc222987420" </w:instrText>
      </w:r>
      <w:r>
        <w:fldChar w:fldCharType="separate"/>
      </w:r>
      <w:r>
        <w:rPr>
          <w:rStyle w:val="65"/>
          <w:rFonts w:ascii="黑体" w:hAnsi="黑体" w:eastAsia="黑体"/>
        </w:rPr>
        <w:t xml:space="preserve">8.1 </w:t>
      </w:r>
      <w:r>
        <w:rPr>
          <w:rStyle w:val="65"/>
          <w:rFonts w:hint="eastAsia" w:ascii="黑体" w:hAnsi="黑体" w:eastAsia="黑体"/>
        </w:rPr>
        <w:t>技术培训</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_Toc222987420 \h </w:instrText>
      </w:r>
      <w:r>
        <w:rPr>
          <w:rFonts w:hint="eastAsia" w:ascii="黑体" w:hAnsi="黑体" w:eastAsia="黑体"/>
        </w:rPr>
        <w:fldChar w:fldCharType="separate"/>
      </w:r>
      <w:r>
        <w:rPr>
          <w:rFonts w:ascii="黑体" w:hAnsi="黑体" w:eastAsia="黑体"/>
        </w:rPr>
        <w:t>15</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"_Toc222987421" </w:instrText>
      </w:r>
      <w:r>
        <w:fldChar w:fldCharType="separate"/>
      </w:r>
      <w:r>
        <w:rPr>
          <w:rStyle w:val="65"/>
          <w:rFonts w:ascii="黑体" w:hAnsi="黑体" w:eastAsia="黑体"/>
        </w:rPr>
        <w:t xml:space="preserve">8.2 </w:t>
      </w:r>
      <w:r>
        <w:rPr>
          <w:rStyle w:val="65"/>
          <w:rFonts w:hint="eastAsia" w:ascii="黑体" w:hAnsi="黑体" w:eastAsia="黑体"/>
        </w:rPr>
        <w:t>现场及远程技术服务</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_Toc222987421 \h </w:instrText>
      </w:r>
      <w:r>
        <w:rPr>
          <w:rFonts w:hint="eastAsia" w:ascii="黑体" w:hAnsi="黑体" w:eastAsia="黑体"/>
        </w:rPr>
        <w:fldChar w:fldCharType="separate"/>
      </w:r>
      <w:r>
        <w:rPr>
          <w:rFonts w:ascii="黑体" w:hAnsi="黑体" w:eastAsia="黑体"/>
        </w:rPr>
        <w:t>16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"_Toc222987422" </w:instrText>
      </w:r>
      <w:r>
        <w:fldChar w:fldCharType="separate"/>
      </w:r>
      <w:r>
        <w:rPr>
          <w:rStyle w:val="65"/>
          <w:rFonts w:ascii="黑体" w:hAnsi="黑体" w:eastAsia="黑体"/>
        </w:rPr>
        <w:t xml:space="preserve">8.3 </w:t>
      </w:r>
      <w:r>
        <w:rPr>
          <w:rStyle w:val="65"/>
          <w:rFonts w:hint="eastAsia" w:ascii="黑体" w:hAnsi="黑体" w:eastAsia="黑体"/>
        </w:rPr>
        <w:t>售后服务</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_Toc222987422 \h </w:instrText>
      </w:r>
      <w:r>
        <w:rPr>
          <w:rFonts w:hint="eastAsia" w:ascii="黑体" w:hAnsi="黑体" w:eastAsia="黑体"/>
        </w:rPr>
        <w:fldChar w:fldCharType="separate"/>
      </w:r>
      <w:r>
        <w:rPr>
          <w:rFonts w:ascii="黑体" w:hAnsi="黑体" w:eastAsia="黑体"/>
        </w:rPr>
        <w:t>16</w:t>
      </w:r>
      <w:r>
        <w:rPr>
          <w:rFonts w:hint="eastAsia" w:ascii="黑体" w:hAnsi="黑体" w:eastAsia="黑体"/>
        </w:rPr>
        <w:fldChar w:fldCharType="end"/>
      </w:r>
      <w:r>
        <w:rPr>
          <w:rFonts w:hint="eastAsia" w:ascii="黑体" w:hAnsi="黑体" w:eastAsia="黑体"/>
        </w:rPr>
        <w:fldChar w:fldCharType="end"/>
      </w:r>
    </w:p>
    <w:p>
      <w:pPr>
        <w:pStyle w:val="38"/>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"_Toc222987423" </w:instrText>
      </w:r>
      <w:r>
        <w:fldChar w:fldCharType="separate"/>
      </w:r>
      <w:r>
        <w:rPr>
          <w:rStyle w:val="65"/>
          <w:rFonts w:ascii="黑体" w:hAnsi="黑体" w:eastAsia="黑体"/>
        </w:rPr>
        <w:t xml:space="preserve">9 </w:t>
      </w:r>
      <w:r>
        <w:rPr>
          <w:rStyle w:val="65"/>
          <w:rFonts w:hint="eastAsia" w:ascii="黑体" w:hAnsi="黑体" w:eastAsia="黑体"/>
        </w:rPr>
        <w:t>标志、包装、运输、贮存</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_Toc222987423 \h </w:instrText>
      </w:r>
      <w:r>
        <w:rPr>
          <w:rFonts w:hint="eastAsia" w:ascii="黑体" w:hAnsi="黑体" w:eastAsia="黑体"/>
        </w:rPr>
        <w:fldChar w:fldCharType="separate"/>
      </w:r>
      <w:r>
        <w:rPr>
          <w:rFonts w:ascii="黑体" w:hAnsi="黑体" w:eastAsia="黑体"/>
        </w:rPr>
        <w:t>16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"_Toc222987424" </w:instrText>
      </w:r>
      <w:r>
        <w:fldChar w:fldCharType="separate"/>
      </w:r>
      <w:r>
        <w:rPr>
          <w:rStyle w:val="65"/>
          <w:rFonts w:ascii="黑体" w:hAnsi="黑体" w:eastAsia="黑体"/>
        </w:rPr>
        <w:t xml:space="preserve">9.1 </w:t>
      </w:r>
      <w:r>
        <w:rPr>
          <w:rStyle w:val="65"/>
          <w:rFonts w:hint="eastAsia" w:ascii="黑体" w:hAnsi="黑体" w:eastAsia="黑体"/>
        </w:rPr>
        <w:t>包装</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_Toc222987424 \h </w:instrText>
      </w:r>
      <w:r>
        <w:rPr>
          <w:rFonts w:hint="eastAsia" w:ascii="黑体" w:hAnsi="黑体" w:eastAsia="黑体"/>
        </w:rPr>
        <w:fldChar w:fldCharType="separate"/>
      </w:r>
      <w:r>
        <w:rPr>
          <w:rFonts w:ascii="黑体" w:hAnsi="黑体" w:eastAsia="黑体"/>
        </w:rPr>
        <w:t>16</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"_Toc222987425" </w:instrText>
      </w:r>
      <w:r>
        <w:fldChar w:fldCharType="separate"/>
      </w:r>
      <w:r>
        <w:rPr>
          <w:rStyle w:val="65"/>
          <w:rFonts w:ascii="黑体" w:hAnsi="黑体" w:eastAsia="黑体"/>
        </w:rPr>
        <w:t xml:space="preserve">9.2 </w:t>
      </w:r>
      <w:r>
        <w:rPr>
          <w:rStyle w:val="65"/>
          <w:rFonts w:hint="eastAsia" w:ascii="黑体" w:hAnsi="黑体" w:eastAsia="黑体"/>
        </w:rPr>
        <w:t>运输</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_Toc222987425 \h </w:instrText>
      </w:r>
      <w:r>
        <w:rPr>
          <w:rFonts w:hint="eastAsia" w:ascii="黑体" w:hAnsi="黑体" w:eastAsia="黑体"/>
        </w:rPr>
        <w:fldChar w:fldCharType="separate"/>
      </w:r>
      <w:r>
        <w:rPr>
          <w:rFonts w:ascii="黑体" w:hAnsi="黑体" w:eastAsia="黑体"/>
        </w:rPr>
        <w:t>17</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"_Toc222987426" </w:instrText>
      </w:r>
      <w:r>
        <w:fldChar w:fldCharType="separate"/>
      </w:r>
      <w:r>
        <w:rPr>
          <w:rStyle w:val="65"/>
          <w:rFonts w:ascii="黑体" w:hAnsi="黑体" w:eastAsia="黑体"/>
        </w:rPr>
        <w:t xml:space="preserve">9.3 </w:t>
      </w:r>
      <w:r>
        <w:rPr>
          <w:rStyle w:val="65"/>
          <w:rFonts w:hint="eastAsia" w:ascii="黑体" w:hAnsi="黑体" w:eastAsia="黑体"/>
        </w:rPr>
        <w:t>组装指导</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_Toc222987426 \h </w:instrText>
      </w:r>
      <w:r>
        <w:rPr>
          <w:rFonts w:hint="eastAsia" w:ascii="黑体" w:hAnsi="黑体" w:eastAsia="黑体"/>
        </w:rPr>
        <w:fldChar w:fldCharType="separate"/>
      </w:r>
      <w:r>
        <w:rPr>
          <w:rFonts w:ascii="黑体" w:hAnsi="黑体" w:eastAsia="黑体"/>
        </w:rPr>
        <w:t>17</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"_Toc222987427" </w:instrText>
      </w:r>
      <w:r>
        <w:fldChar w:fldCharType="separate"/>
      </w:r>
      <w:r>
        <w:rPr>
          <w:rStyle w:val="65"/>
          <w:rFonts w:ascii="黑体" w:hAnsi="黑体" w:eastAsia="黑体"/>
        </w:rPr>
        <w:t xml:space="preserve">9.4 </w:t>
      </w:r>
      <w:r>
        <w:rPr>
          <w:rStyle w:val="65"/>
          <w:rFonts w:hint="eastAsia" w:ascii="黑体" w:hAnsi="黑体" w:eastAsia="黑体"/>
        </w:rPr>
        <w:t>质量保证</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_Toc222987427 \h </w:instrText>
      </w:r>
      <w:r>
        <w:rPr>
          <w:rFonts w:hint="eastAsia" w:ascii="黑体" w:hAnsi="黑体" w:eastAsia="黑体"/>
        </w:rPr>
        <w:fldChar w:fldCharType="separate"/>
      </w:r>
      <w:r>
        <w:rPr>
          <w:rFonts w:ascii="黑体" w:hAnsi="黑体" w:eastAsia="黑体"/>
        </w:rPr>
        <w:t>18</w:t>
      </w:r>
      <w:r>
        <w:rPr>
          <w:rFonts w:hint="eastAsia" w:ascii="黑体" w:hAnsi="黑体" w:eastAsia="黑体"/>
        </w:rPr>
        <w:fldChar w:fldCharType="end"/>
      </w:r>
      <w:r>
        <w:rPr>
          <w:rFonts w:hint="eastAsia" w:ascii="黑体" w:hAnsi="黑体" w:eastAsia="黑体"/>
        </w:rPr>
        <w:fldChar w:fldCharType="end"/>
      </w:r>
    </w:p>
    <w:p>
      <w:pPr>
        <w:pStyle w:val="49"/>
        <w:tabs>
          <w:tab w:val="right" w:leader="dot" w:pos="9113"/>
        </w:tabs>
        <w:rPr>
          <w:rFonts w:hint="eastAsia" w:ascii="黑体" w:hAnsi="黑体" w:eastAsia="黑体" w:cstheme="minorBidi"/>
          <w:sz w:val="22"/>
          <w14:ligatures w14:val="standardContextual"/>
        </w:rPr>
      </w:pPr>
      <w:r>
        <w:fldChar w:fldCharType="begin"/>
      </w:r>
      <w:r>
        <w:instrText xml:space="preserve"> HYPERLINK \l "_Toc222987428" </w:instrText>
      </w:r>
      <w:r>
        <w:fldChar w:fldCharType="separate"/>
      </w:r>
      <w:r>
        <w:rPr>
          <w:rStyle w:val="65"/>
          <w:rFonts w:ascii="黑体" w:hAnsi="黑体" w:eastAsia="黑体"/>
        </w:rPr>
        <w:t xml:space="preserve">9.5 </w:t>
      </w:r>
      <w:r>
        <w:rPr>
          <w:rStyle w:val="65"/>
          <w:rFonts w:hint="eastAsia" w:ascii="黑体" w:hAnsi="黑体" w:eastAsia="黑体"/>
        </w:rPr>
        <w:t>设备验收</w:t>
      </w:r>
      <w:r>
        <w:rPr>
          <w:rFonts w:ascii="黑体" w:hAnsi="黑体" w:eastAsia="黑体"/>
        </w:rPr>
        <w:tab/>
      </w:r>
      <w:r>
        <w:rPr>
          <w:rFonts w:hint="eastAsia" w:ascii="黑体" w:hAnsi="黑体" w:eastAsia="黑体"/>
        </w:rPr>
        <w:fldChar w:fldCharType="begin"/>
      </w:r>
      <w:r>
        <w:rPr>
          <w:rFonts w:ascii="黑体" w:hAnsi="黑体" w:eastAsia="黑体"/>
        </w:rPr>
        <w:instrText xml:space="preserve"> PAGEREF _Toc222987428 \h </w:instrText>
      </w:r>
      <w:r>
        <w:rPr>
          <w:rFonts w:hint="eastAsia" w:ascii="黑体" w:hAnsi="黑体" w:eastAsia="黑体"/>
        </w:rPr>
        <w:fldChar w:fldCharType="separate"/>
      </w:r>
      <w:r>
        <w:rPr>
          <w:rFonts w:ascii="黑体" w:hAnsi="黑体" w:eastAsia="黑体"/>
        </w:rPr>
        <w:t>18</w:t>
      </w:r>
      <w:r>
        <w:rPr>
          <w:rFonts w:hint="eastAsia" w:ascii="黑体" w:hAnsi="黑体" w:eastAsia="黑体"/>
        </w:rPr>
        <w:fldChar w:fldCharType="end"/>
      </w:r>
      <w:r>
        <w:rPr>
          <w:rFonts w:hint="eastAsia" w:ascii="黑体" w:hAnsi="黑体" w:eastAsia="黑体"/>
        </w:rPr>
        <w:fldChar w:fldCharType="end"/>
      </w:r>
    </w:p>
    <w:p>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pPr>
        <w:snapToGrid w:val="0"/>
        <w:spacing w:line="360" w:lineRule="auto"/>
        <w:ind w:firstLine="560"/>
        <w:outlineLvl w:val="0"/>
        <w:rPr>
          <w:szCs w:val="21"/>
        </w:rPr>
        <w:sectPr>
          <w:footerReference r:id="rId8" w:type="default"/>
          <w:footerReference r:id="rId9" w:type="even"/>
          <w:pgSz w:w="11906" w:h="16838"/>
          <w:pgMar w:top="1418" w:right="1418" w:bottom="1418" w:left="1365" w:header="851" w:footer="992" w:gutter="0"/>
          <w:cols w:space="425" w:num="1"/>
          <w:titlePg/>
          <w:docGrid w:type="lines" w:linePitch="312" w:charSpace="0"/>
        </w:sectPr>
      </w:pPr>
    </w:p>
    <w:p>
      <w:pPr>
        <w:spacing w:line="480" w:lineRule="auto"/>
        <w:outlineLvl w:val="0"/>
        <w:rPr>
          <w:rFonts w:eastAsia="黑体"/>
          <w:b/>
          <w:bCs/>
          <w:szCs w:val="21"/>
        </w:rPr>
      </w:pPr>
      <w:bookmarkStart w:id="5" w:name="_Toc222987390"/>
      <w:bookmarkStart w:id="6" w:name="_Toc224274558"/>
      <w:bookmarkStart w:id="7" w:name="_Toc13654"/>
      <w:bookmarkStart w:id="8" w:name="_Toc22168"/>
      <w:bookmarkStart w:id="9" w:name="_Toc76025478"/>
      <w:bookmarkStart w:id="10" w:name="_Toc23837"/>
      <w:bookmarkStart w:id="11" w:name="_Toc224531919"/>
      <w:r>
        <w:rPr>
          <w:rFonts w:eastAsia="黑体"/>
          <w:b/>
          <w:bCs/>
          <w:szCs w:val="21"/>
        </w:rPr>
        <w:t>1 总则</w:t>
      </w:r>
      <w:bookmarkEnd w:id="5"/>
      <w:bookmarkEnd w:id="6"/>
      <w:bookmarkEnd w:id="7"/>
      <w:bookmarkEnd w:id="8"/>
      <w:bookmarkEnd w:id="9"/>
      <w:bookmarkEnd w:id="10"/>
      <w:bookmarkEnd w:id="11"/>
    </w:p>
    <w:p>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本技术规范书适用于中国南方电网公司电网设备采购的中等负载仿线飞行无人机设备及多旋翼无人机设备，提出了该类装置的功能设计、结构、性能、安装和试验等方面的技术要求。</w:t>
      </w:r>
    </w:p>
    <w:p>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pPr>
        <w:pStyle w:val="29"/>
        <w:spacing w:line="360" w:lineRule="auto"/>
        <w:rPr>
          <w:rFonts w:ascii="Times New Roman" w:hAnsi="Times New Roman"/>
          <w:kern w:val="0"/>
          <w:szCs w:val="21"/>
        </w:rPr>
      </w:pPr>
      <w:r>
        <w:rPr>
          <w:rFonts w:hint="eastAsia" w:hAnsi="宋体" w:cs="宋体"/>
          <w:szCs w:val="21"/>
        </w:rPr>
        <w:t xml:space="preserve">投标人投标设备的技术参数如与招标书“技术要求”不符，应在“差异表”（附表）中如实澄清，否则视为废标。 </w:t>
      </w:r>
    </w:p>
    <w:p>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投标方应提供不少于1年的产品质量保证期。</w:t>
      </w:r>
    </w:p>
    <w:p>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pPr>
        <w:spacing w:line="480" w:lineRule="auto"/>
        <w:outlineLvl w:val="0"/>
        <w:rPr>
          <w:rFonts w:eastAsia="黑体"/>
          <w:b/>
          <w:bCs/>
          <w:szCs w:val="21"/>
        </w:rPr>
      </w:pPr>
      <w:bookmarkStart w:id="12" w:name="_Toc23296"/>
      <w:bookmarkStart w:id="13" w:name="_Toc32562"/>
      <w:bookmarkStart w:id="14" w:name="_Toc222987391"/>
      <w:bookmarkStart w:id="15" w:name="_Toc4714"/>
      <w:bookmarkStart w:id="16" w:name="_Toc76025479"/>
      <w:r>
        <w:rPr>
          <w:rFonts w:eastAsia="黑体"/>
          <w:b/>
          <w:bCs/>
          <w:szCs w:val="21"/>
        </w:rPr>
        <w:t>2 工作范围</w:t>
      </w:r>
      <w:bookmarkEnd w:id="12"/>
      <w:bookmarkEnd w:id="13"/>
      <w:bookmarkEnd w:id="14"/>
      <w:bookmarkEnd w:id="15"/>
      <w:bookmarkEnd w:id="16"/>
    </w:p>
    <w:p>
      <w:pPr>
        <w:pStyle w:val="3"/>
        <w:spacing w:before="0" w:after="0" w:line="360" w:lineRule="auto"/>
        <w:rPr>
          <w:rFonts w:hint="eastAsia" w:ascii="黑体" w:hAnsi="黑体" w:eastAsia="黑体"/>
          <w:b w:val="0"/>
          <w:bCs/>
          <w:szCs w:val="21"/>
        </w:rPr>
      </w:pPr>
      <w:bookmarkStart w:id="17" w:name="_Toc222987392"/>
      <w:bookmarkStart w:id="18" w:name="_Toc76025480"/>
      <w:bookmarkStart w:id="19" w:name="_Toc27716"/>
      <w:bookmarkStart w:id="20" w:name="_Toc11781"/>
      <w:bookmarkStart w:id="21" w:name="_Toc28530"/>
      <w:r>
        <w:rPr>
          <w:rFonts w:ascii="黑体" w:hAnsi="黑体" w:eastAsia="黑体"/>
          <w:b w:val="0"/>
          <w:bCs/>
          <w:szCs w:val="21"/>
        </w:rPr>
        <w:t xml:space="preserve">2.1 </w:t>
      </w:r>
      <w:r>
        <w:rPr>
          <w:rFonts w:hint="eastAsia" w:ascii="黑体" w:hAnsi="黑体" w:eastAsia="黑体"/>
          <w:b w:val="0"/>
          <w:bCs/>
          <w:szCs w:val="21"/>
        </w:rPr>
        <w:t>供货范围</w:t>
      </w:r>
      <w:bookmarkEnd w:id="17"/>
      <w:bookmarkEnd w:id="18"/>
      <w:bookmarkEnd w:id="19"/>
      <w:bookmarkEnd w:id="20"/>
      <w:bookmarkEnd w:id="21"/>
    </w:p>
    <w:p>
      <w:pPr>
        <w:spacing w:line="360" w:lineRule="auto"/>
        <w:ind w:left="210" w:firstLine="210"/>
        <w:rPr>
          <w:szCs w:val="21"/>
        </w:rPr>
      </w:pPr>
      <w:r>
        <w:rPr>
          <w:szCs w:val="21"/>
        </w:rPr>
        <w:t>合同供货范围为</w:t>
      </w:r>
      <w:r>
        <w:rPr>
          <w:rFonts w:hint="eastAsia"/>
          <w:szCs w:val="21"/>
        </w:rPr>
        <w:t>中等负载仿线飞行无人机设备及多旋翼无人机</w:t>
      </w:r>
      <w:r>
        <w:rPr>
          <w:szCs w:val="21"/>
        </w:rPr>
        <w:t>，详见专用部分附表2.2。</w:t>
      </w:r>
    </w:p>
    <w:p>
      <w:pPr>
        <w:pStyle w:val="3"/>
        <w:spacing w:before="0" w:after="0" w:line="360" w:lineRule="auto"/>
        <w:rPr>
          <w:rFonts w:hint="eastAsia" w:ascii="黑体" w:hAnsi="黑体" w:eastAsia="黑体"/>
          <w:b w:val="0"/>
          <w:bCs/>
          <w:szCs w:val="21"/>
        </w:rPr>
      </w:pPr>
      <w:bookmarkStart w:id="22" w:name="_Toc76025481"/>
      <w:bookmarkStart w:id="23" w:name="_Toc26638"/>
      <w:bookmarkStart w:id="24" w:name="_Toc222987393"/>
      <w:bookmarkStart w:id="25" w:name="_Toc19848"/>
      <w:bookmarkStart w:id="26" w:name="_Toc23836"/>
      <w:r>
        <w:rPr>
          <w:rFonts w:ascii="黑体" w:hAnsi="黑体" w:eastAsia="黑体"/>
          <w:b w:val="0"/>
          <w:bCs/>
          <w:szCs w:val="21"/>
        </w:rPr>
        <w:t xml:space="preserve">2.2 </w:t>
      </w:r>
      <w:r>
        <w:rPr>
          <w:rFonts w:hint="eastAsia" w:ascii="黑体" w:hAnsi="黑体" w:eastAsia="黑体"/>
          <w:b w:val="0"/>
          <w:bCs/>
          <w:szCs w:val="21"/>
        </w:rPr>
        <w:t>服务界限</w:t>
      </w:r>
      <w:bookmarkEnd w:id="22"/>
      <w:bookmarkEnd w:id="23"/>
      <w:bookmarkEnd w:id="24"/>
      <w:bookmarkEnd w:id="25"/>
      <w:bookmarkEnd w:id="26"/>
    </w:p>
    <w:p>
      <w:pPr>
        <w:adjustRightInd w:val="0"/>
        <w:snapToGrid w:val="0"/>
        <w:spacing w:line="360" w:lineRule="auto"/>
        <w:ind w:firstLine="424" w:firstLineChars="202"/>
        <w:rPr>
          <w:rFonts w:eastAsia="方正书宋简体"/>
          <w:szCs w:val="21"/>
        </w:rPr>
      </w:pPr>
      <w:r>
        <w:rPr>
          <w:rFonts w:eastAsia="方正书宋简体"/>
          <w:szCs w:val="21"/>
        </w:rPr>
        <w:t>1</w:t>
      </w:r>
      <w:r>
        <w:rPr>
          <w:rFonts w:hint="eastAsia" w:eastAsia="方正书宋简体"/>
          <w:szCs w:val="21"/>
        </w:rPr>
        <w:t>）</w:t>
      </w:r>
      <w:r>
        <w:rPr>
          <w:rFonts w:eastAsia="方正书宋简体"/>
          <w:szCs w:val="21"/>
        </w:rPr>
        <w:t>本技术规范书适用于</w:t>
      </w:r>
      <w:r>
        <w:rPr>
          <w:rFonts w:hint="eastAsia" w:eastAsia="方正书宋简体"/>
          <w:szCs w:val="21"/>
        </w:rPr>
        <w:t>中等负载仿线飞行无人机设备及多旋翼无人机</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pPr>
        <w:pStyle w:val="3"/>
        <w:spacing w:before="0" w:after="0" w:line="360" w:lineRule="auto"/>
        <w:rPr>
          <w:rFonts w:hint="eastAsia" w:ascii="黑体" w:hAnsi="黑体" w:eastAsia="黑体"/>
          <w:b w:val="0"/>
          <w:bCs/>
          <w:szCs w:val="21"/>
        </w:rPr>
      </w:pPr>
      <w:bookmarkStart w:id="27" w:name="_Toc76025482"/>
      <w:bookmarkStart w:id="28" w:name="_Toc22272"/>
      <w:bookmarkStart w:id="29" w:name="_Toc19342"/>
      <w:bookmarkStart w:id="30" w:name="_Toc222987394"/>
      <w:bookmarkStart w:id="31" w:name="_Toc27859"/>
      <w:r>
        <w:rPr>
          <w:rFonts w:ascii="黑体" w:hAnsi="黑体" w:eastAsia="黑体"/>
          <w:b w:val="0"/>
          <w:bCs/>
          <w:szCs w:val="21"/>
        </w:rPr>
        <w:t xml:space="preserve">2.3 </w:t>
      </w:r>
      <w:r>
        <w:rPr>
          <w:rFonts w:hint="eastAsia" w:ascii="黑体" w:hAnsi="黑体" w:eastAsia="黑体"/>
          <w:b w:val="0"/>
          <w:bCs/>
          <w:szCs w:val="21"/>
        </w:rPr>
        <w:t>技术文件</w:t>
      </w:r>
      <w:bookmarkEnd w:id="27"/>
      <w:bookmarkEnd w:id="28"/>
      <w:bookmarkEnd w:id="29"/>
      <w:bookmarkEnd w:id="30"/>
      <w:bookmarkEnd w:id="31"/>
    </w:p>
    <w:p>
      <w:pPr>
        <w:pStyle w:val="451"/>
        <w:adjustRightInd w:val="0"/>
        <w:snapToGrid w:val="0"/>
        <w:spacing w:line="360" w:lineRule="auto"/>
        <w:ind w:firstLine="424" w:firstLineChars="202"/>
        <w:rPr>
          <w:rFonts w:cs="Times New Roman"/>
          <w:szCs w:val="21"/>
        </w:rPr>
      </w:pPr>
      <w:bookmarkStart w:id="32" w:name="_Toc81989605"/>
      <w:bookmarkStart w:id="33" w:name="_Toc82140158"/>
      <w:r>
        <w:rPr>
          <w:rFonts w:cs="Times New Roman"/>
          <w:szCs w:val="21"/>
        </w:rPr>
        <w:t>1）投标方应按本技术规范书的要求提供全新的、合格的</w:t>
      </w:r>
      <w:r>
        <w:rPr>
          <w:rFonts w:hint="eastAsia" w:cs="Times New Roman"/>
          <w:szCs w:val="21"/>
        </w:rPr>
        <w:t>中等负载仿线飞行无人机设备及多旋翼无人机</w:t>
      </w:r>
      <w:r>
        <w:rPr>
          <w:rFonts w:eastAsia="宋体" w:cs="Times New Roman"/>
          <w:szCs w:val="21"/>
        </w:rPr>
        <w:t>及其附属设备、备品备件、专用工具和仪器。</w:t>
      </w:r>
    </w:p>
    <w:p>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pPr>
        <w:pStyle w:val="451"/>
        <w:adjustRightInd w:val="0"/>
        <w:snapToGrid w:val="0"/>
        <w:spacing w:line="360" w:lineRule="auto"/>
        <w:ind w:firstLine="424" w:firstLineChars="202"/>
        <w:rPr>
          <w:rFonts w:cs="Times New Roman"/>
          <w:szCs w:val="21"/>
        </w:rPr>
      </w:pPr>
      <w:r>
        <w:rPr>
          <w:rFonts w:cs="Times New Roman"/>
          <w:szCs w:val="21"/>
        </w:rPr>
        <w:t>3）工厂试验由投标方在生产厂家内完成</w:t>
      </w:r>
      <w:r>
        <w:rPr>
          <w:rFonts w:hint="eastAsia" w:cs="Times New Roman"/>
          <w:szCs w:val="21"/>
        </w:rPr>
        <w:t>，</w:t>
      </w:r>
      <w:r>
        <w:rPr>
          <w:rFonts w:cs="Times New Roman"/>
          <w:szCs w:val="21"/>
        </w:rPr>
        <w:t>但应有招标方代表参加</w:t>
      </w:r>
      <w:r>
        <w:rPr>
          <w:rFonts w:hint="eastAsia" w:cs="Times New Roman"/>
          <w:szCs w:val="21"/>
        </w:rPr>
        <w:t>，</w:t>
      </w:r>
      <w:r>
        <w:rPr>
          <w:rFonts w:cs="Times New Roman"/>
          <w:szCs w:val="21"/>
        </w:rPr>
        <w:t>参加工厂验收的人数及天数等根据招标方需要由招投标双方协商进行确定。</w:t>
      </w:r>
    </w:p>
    <w:p>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szCs w:val="21"/>
        </w:rPr>
        <w:t>装置从生产厂家到安装位置的运输全部由投标方完成，现场调试和安装在招标方指导下由投标方完成</w:t>
      </w:r>
      <w:r>
        <w:t>。</w:t>
      </w:r>
      <w:r>
        <w:rPr>
          <w:rFonts w:cs="Times New Roman"/>
          <w:szCs w:val="21"/>
        </w:rPr>
        <w:t>投标方协助招标方按标准检查安装质量</w:t>
      </w:r>
      <w:r>
        <w:rPr>
          <w:rFonts w:hint="eastAsia" w:cs="Times New Roman"/>
          <w:szCs w:val="21"/>
        </w:rPr>
        <w:t>，</w:t>
      </w:r>
      <w:r>
        <w:rPr>
          <w:rFonts w:cs="Times New Roman"/>
          <w:szCs w:val="21"/>
        </w:rPr>
        <w:t>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pPr>
        <w:pStyle w:val="451"/>
        <w:adjustRightInd w:val="0"/>
        <w:snapToGrid w:val="0"/>
        <w:spacing w:line="360" w:lineRule="auto"/>
        <w:ind w:firstLine="424" w:firstLineChars="202"/>
        <w:rPr>
          <w:rFonts w:cs="Times New Roman"/>
          <w:szCs w:val="21"/>
        </w:rPr>
      </w:pPr>
      <w:r>
        <w:rPr>
          <w:rFonts w:cs="Times New Roman"/>
          <w:szCs w:val="21"/>
        </w:rPr>
        <w:t>5）投标方应协助招标方解决设备运行中出现的问题并及时排除故障恢复运行。投标方应免费提供远程技术服务，远程技术服务项目期限不受限于保修期，远程技术服务在设备报废前有效。</w:t>
      </w:r>
    </w:p>
    <w:p>
      <w:pPr>
        <w:pStyle w:val="3"/>
      </w:pPr>
      <w:bookmarkStart w:id="34" w:name="_Toc222987395"/>
      <w:bookmarkStart w:id="35" w:name="_Toc30637"/>
      <w:bookmarkStart w:id="36" w:name="_Toc6217"/>
      <w:r>
        <w:rPr>
          <w:rFonts w:hint="eastAsia"/>
        </w:rPr>
        <w:t>技术文件的组成</w:t>
      </w:r>
      <w:bookmarkEnd w:id="34"/>
      <w:bookmarkEnd w:id="35"/>
      <w:bookmarkEnd w:id="36"/>
    </w:p>
    <w:p>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pPr>
        <w:spacing w:line="480" w:lineRule="auto"/>
        <w:outlineLvl w:val="0"/>
        <w:rPr>
          <w:rFonts w:eastAsia="黑体"/>
          <w:b/>
          <w:bCs/>
          <w:szCs w:val="21"/>
        </w:rPr>
      </w:pPr>
      <w:bookmarkStart w:id="37" w:name="_Toc32450"/>
      <w:bookmarkStart w:id="38" w:name="_Toc222987396"/>
      <w:bookmarkStart w:id="39" w:name="_Toc76025483"/>
      <w:bookmarkStart w:id="40" w:name="_Toc26216"/>
      <w:bookmarkStart w:id="41" w:name="_Toc964"/>
      <w:r>
        <w:rPr>
          <w:rFonts w:eastAsia="黑体"/>
          <w:b/>
          <w:bCs/>
          <w:szCs w:val="21"/>
        </w:rPr>
        <w:t>3 应遵循的主要标准</w:t>
      </w:r>
      <w:bookmarkEnd w:id="32"/>
      <w:bookmarkEnd w:id="33"/>
      <w:bookmarkEnd w:id="37"/>
      <w:bookmarkEnd w:id="38"/>
      <w:bookmarkEnd w:id="39"/>
      <w:bookmarkEnd w:id="40"/>
      <w:bookmarkEnd w:id="41"/>
    </w:p>
    <w:p>
      <w:pPr>
        <w:pStyle w:val="451"/>
        <w:adjustRightInd w:val="0"/>
        <w:snapToGrid w:val="0"/>
        <w:spacing w:line="360" w:lineRule="auto"/>
        <w:rPr>
          <w:rFonts w:cs="Times New Roman"/>
          <w:szCs w:val="21"/>
        </w:rPr>
      </w:pPr>
      <w:bookmarkStart w:id="42" w:name="_Toc384340981"/>
      <w:bookmarkStart w:id="43" w:name="_Toc282993250"/>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pPr>
        <w:snapToGrid w:val="0"/>
        <w:spacing w:line="360" w:lineRule="auto"/>
        <w:ind w:firstLine="420" w:firstLineChars="200"/>
      </w:pPr>
      <w:r>
        <w:rPr>
          <w:szCs w:val="21"/>
        </w:rPr>
        <w:t>RTCA/DO-160     Environmental Conditions and Test Procedures for Airborne Equipment</w:t>
      </w:r>
    </w:p>
    <w:p>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pPr>
        <w:snapToGrid w:val="0"/>
        <w:spacing w:line="360" w:lineRule="auto"/>
        <w:ind w:firstLine="420" w:firstLineChars="200"/>
        <w:rPr>
          <w:szCs w:val="21"/>
        </w:rPr>
      </w:pPr>
      <w:r>
        <w:rPr>
          <w:rFonts w:hint="eastAsia"/>
          <w:szCs w:val="21"/>
        </w:rPr>
        <w:t>GB/T 2423.1-2008 电工电子产品环境试验第2部分：试验方法 试验A：低温</w:t>
      </w:r>
    </w:p>
    <w:p>
      <w:pPr>
        <w:snapToGrid w:val="0"/>
        <w:spacing w:line="360" w:lineRule="auto"/>
        <w:ind w:firstLine="420" w:firstLineChars="200"/>
        <w:rPr>
          <w:szCs w:val="21"/>
        </w:rPr>
      </w:pPr>
      <w:r>
        <w:rPr>
          <w:rFonts w:hint="eastAsia"/>
          <w:szCs w:val="21"/>
        </w:rPr>
        <w:t>GB/T 2423.2-2008 电工电子产品环境试验第2部分：试验方法 试验B：高温</w:t>
      </w:r>
    </w:p>
    <w:p>
      <w:pPr>
        <w:snapToGrid w:val="0"/>
        <w:spacing w:line="360" w:lineRule="auto"/>
        <w:ind w:firstLine="420" w:firstLineChars="200"/>
        <w:rPr>
          <w:szCs w:val="21"/>
        </w:rPr>
      </w:pPr>
      <w:r>
        <w:rPr>
          <w:rFonts w:hint="eastAsia"/>
          <w:szCs w:val="21"/>
        </w:rPr>
        <w:t>GB/T 2423.2-2008 电工电子产品环境试验第2部分：试验方法 试验Fc：振动（正弦）</w:t>
      </w:r>
    </w:p>
    <w:p>
      <w:pPr>
        <w:snapToGrid w:val="0"/>
        <w:spacing w:line="360" w:lineRule="auto"/>
        <w:ind w:firstLine="420" w:firstLineChars="200"/>
        <w:rPr>
          <w:szCs w:val="21"/>
        </w:rPr>
      </w:pPr>
      <w:r>
        <w:rPr>
          <w:rFonts w:hint="eastAsia"/>
          <w:szCs w:val="21"/>
        </w:rPr>
        <w:t>GB/T 2423.3-2016 环境试验 第2部分：试验方法 试验Cab：恒定湿热试验</w:t>
      </w:r>
    </w:p>
    <w:p>
      <w:pPr>
        <w:snapToGrid w:val="0"/>
        <w:spacing w:line="360" w:lineRule="auto"/>
        <w:ind w:firstLine="420" w:firstLineChars="200"/>
        <w:rPr>
          <w:szCs w:val="21"/>
        </w:rPr>
      </w:pPr>
      <w:r>
        <w:rPr>
          <w:rFonts w:hint="eastAsia"/>
          <w:szCs w:val="21"/>
        </w:rPr>
        <w:t>GB/T 2423.21-2008 电工电子产品环境试验 第2部分：试验方法 试验M：低气压</w:t>
      </w:r>
    </w:p>
    <w:p>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pPr>
        <w:snapToGrid w:val="0"/>
        <w:spacing w:line="360" w:lineRule="auto"/>
        <w:ind w:firstLine="420" w:firstLineChars="200"/>
        <w:rPr>
          <w:lang w:bidi="ar"/>
        </w:rPr>
      </w:pPr>
      <w:r>
        <w:rPr>
          <w:rFonts w:hint="eastAsia"/>
          <w:lang w:bidi="ar"/>
        </w:rPr>
        <w:t>GB/T 17626.3-2016 电磁兼容 试验和测量技术射频电磁场辐射抗扰度试验</w:t>
      </w:r>
    </w:p>
    <w:p>
      <w:pPr>
        <w:snapToGrid w:val="0"/>
        <w:spacing w:line="360" w:lineRule="auto"/>
        <w:ind w:firstLine="420" w:firstLineChars="200"/>
        <w:rPr>
          <w:lang w:bidi="ar"/>
        </w:rPr>
      </w:pPr>
      <w:r>
        <w:rPr>
          <w:rFonts w:hint="eastAsia"/>
          <w:lang w:bidi="ar"/>
        </w:rPr>
        <w:t>GB/T 17626.2-2018 电磁兼容 试验和测量技术 静电放电抗扰度试验</w:t>
      </w:r>
    </w:p>
    <w:p>
      <w:pPr>
        <w:snapToGrid w:val="0"/>
        <w:spacing w:line="360" w:lineRule="auto"/>
        <w:ind w:firstLine="420" w:firstLineChars="200"/>
        <w:rPr>
          <w:lang w:bidi="ar"/>
        </w:rPr>
      </w:pPr>
      <w:r>
        <w:rPr>
          <w:rFonts w:hint="eastAsia"/>
          <w:lang w:bidi="ar"/>
        </w:rPr>
        <w:t>GB/T 17626.9-2011 电磁兼容 试验和测量技术 脉冲磁场抗扰度试验</w:t>
      </w:r>
    </w:p>
    <w:p>
      <w:pPr>
        <w:snapToGrid w:val="0"/>
        <w:spacing w:line="360" w:lineRule="auto"/>
        <w:ind w:firstLine="420" w:firstLineChars="200"/>
        <w:rPr>
          <w:lang w:bidi="ar"/>
        </w:rPr>
      </w:pPr>
      <w:r>
        <w:rPr>
          <w:rFonts w:hint="eastAsia"/>
          <w:lang w:bidi="ar"/>
        </w:rPr>
        <w:t>GB/T 17626.8-2006 电磁兼容 试验和测量技术 工频磁场抗扰度试验</w:t>
      </w:r>
    </w:p>
    <w:p>
      <w:pPr>
        <w:snapToGrid w:val="0"/>
        <w:spacing w:line="360" w:lineRule="auto"/>
        <w:ind w:firstLine="420" w:firstLineChars="200"/>
        <w:rPr>
          <w:szCs w:val="21"/>
        </w:rPr>
      </w:pPr>
      <w:r>
        <w:rPr>
          <w:rFonts w:hint="eastAsia"/>
          <w:szCs w:val="21"/>
        </w:rPr>
        <w:t>中国南方电网有限责任公司送样检测业务指导书</w:t>
      </w:r>
    </w:p>
    <w:p>
      <w:pPr>
        <w:snapToGrid w:val="0"/>
        <w:spacing w:line="360" w:lineRule="auto"/>
        <w:ind w:firstLine="420" w:firstLineChars="200"/>
        <w:rPr>
          <w:szCs w:val="21"/>
        </w:rPr>
      </w:pPr>
      <w:r>
        <w:rPr>
          <w:rFonts w:hint="eastAsia"/>
          <w:szCs w:val="21"/>
        </w:rPr>
        <w:t>中国南方电网有限责任公司到货抽检业务指导书</w:t>
      </w:r>
    </w:p>
    <w:p>
      <w:pPr>
        <w:snapToGrid w:val="0"/>
        <w:spacing w:line="360" w:lineRule="auto"/>
        <w:ind w:firstLine="420" w:firstLineChars="200"/>
        <w:rPr>
          <w:szCs w:val="21"/>
        </w:rPr>
      </w:pPr>
      <w:r>
        <w:rPr>
          <w:rFonts w:hint="eastAsia"/>
          <w:szCs w:val="21"/>
        </w:rPr>
        <w:t>中国南方电网有限责任公司专项抽检业务指导书</w:t>
      </w:r>
    </w:p>
    <w:bookmarkEnd w:id="42"/>
    <w:bookmarkEnd w:id="43"/>
    <w:p>
      <w:pPr>
        <w:spacing w:line="480" w:lineRule="auto"/>
        <w:outlineLvl w:val="0"/>
        <w:rPr>
          <w:rFonts w:eastAsia="黑体"/>
          <w:b/>
          <w:bCs/>
          <w:szCs w:val="21"/>
        </w:rPr>
      </w:pPr>
      <w:bookmarkStart w:id="44" w:name="_Toc222987397"/>
      <w:bookmarkStart w:id="45" w:name="_Toc4845"/>
      <w:bookmarkStart w:id="46" w:name="_Toc76025484"/>
      <w:bookmarkStart w:id="47" w:name="_Toc5934"/>
      <w:bookmarkStart w:id="48" w:name="_Toc16488"/>
      <w:r>
        <w:rPr>
          <w:rFonts w:eastAsia="黑体"/>
          <w:b/>
          <w:bCs/>
          <w:szCs w:val="21"/>
        </w:rPr>
        <w:t>4 使用条件</w:t>
      </w:r>
      <w:bookmarkEnd w:id="44"/>
      <w:bookmarkEnd w:id="45"/>
      <w:bookmarkEnd w:id="46"/>
      <w:bookmarkEnd w:id="47"/>
      <w:bookmarkEnd w:id="48"/>
    </w:p>
    <w:p>
      <w:pPr>
        <w:pStyle w:val="3"/>
        <w:spacing w:before="0" w:after="0" w:line="360" w:lineRule="auto"/>
        <w:rPr>
          <w:rFonts w:hint="eastAsia" w:ascii="黑体" w:hAnsi="黑体" w:eastAsia="黑体"/>
          <w:bCs/>
          <w:szCs w:val="21"/>
        </w:rPr>
      </w:pPr>
      <w:bookmarkStart w:id="49" w:name="_Toc296359207"/>
      <w:bookmarkStart w:id="50" w:name="_Toc494551787"/>
      <w:bookmarkStart w:id="51" w:name="_Toc19006"/>
      <w:bookmarkStart w:id="52" w:name="_Toc279769036"/>
      <w:bookmarkStart w:id="53" w:name="_Toc76025485"/>
      <w:bookmarkStart w:id="54" w:name="_Toc23392"/>
      <w:bookmarkStart w:id="55" w:name="_Toc222987398"/>
      <w:bookmarkStart w:id="56" w:name="_Toc66780566"/>
      <w:bookmarkStart w:id="57" w:name="_Toc24133"/>
      <w:bookmarkStart w:id="58" w:name="_Toc264460811"/>
      <w:bookmarkStart w:id="59" w:name="_Toc296961937"/>
      <w:bookmarkStart w:id="60" w:name="_Toc264380123"/>
      <w:bookmarkStart w:id="61" w:name="_Toc322532854"/>
      <w:bookmarkStart w:id="62" w:name="_Toc322527759"/>
      <w:bookmarkStart w:id="63" w:name="_Toc426040192"/>
      <w:bookmarkStart w:id="64" w:name="_Toc349034886"/>
      <w:r>
        <w:rPr>
          <w:rFonts w:ascii="黑体" w:hAnsi="黑体" w:eastAsia="黑体"/>
          <w:b w:val="0"/>
          <w:bCs/>
          <w:szCs w:val="21"/>
        </w:rPr>
        <w:t xml:space="preserve">4.1 </w:t>
      </w:r>
      <w:r>
        <w:rPr>
          <w:rFonts w:hint="eastAsia" w:ascii="黑体" w:hAnsi="黑体" w:eastAsia="黑体"/>
          <w:b w:val="0"/>
          <w:bCs/>
          <w:szCs w:val="21"/>
        </w:rPr>
        <w:t>正常使用条件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20" w:firstLineChars="200"/>
        <w:rPr>
          <w:szCs w:val="21"/>
        </w:rPr>
      </w:pPr>
      <w:r>
        <w:rPr>
          <w:rFonts w:hint="eastAsia"/>
          <w:szCs w:val="21"/>
        </w:rPr>
        <w:t>1）工作温度范围：-20℃～5</w:t>
      </w:r>
      <w:r>
        <w:rPr>
          <w:rFonts w:hint="eastAsia"/>
          <w:szCs w:val="21"/>
          <w:lang w:val="en-US" w:eastAsia="zh-CN"/>
        </w:rPr>
        <w:t>5</w:t>
      </w:r>
      <w:r>
        <w:rPr>
          <w:rFonts w:hint="eastAsia"/>
          <w:szCs w:val="21"/>
        </w:rPr>
        <w:t>℃；</w:t>
      </w:r>
    </w:p>
    <w:p>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pPr>
        <w:spacing w:line="360" w:lineRule="auto"/>
        <w:ind w:firstLine="420" w:firstLineChars="200"/>
        <w:rPr>
          <w:szCs w:val="21"/>
        </w:rPr>
      </w:pPr>
      <w:r>
        <w:rPr>
          <w:rFonts w:hint="eastAsia"/>
          <w:szCs w:val="21"/>
        </w:rPr>
        <w:t>3）卫星系统技术要求：仅支持BDS且兼容北斗3号及以下卫星系统。</w:t>
      </w:r>
    </w:p>
    <w:p>
      <w:pPr>
        <w:pStyle w:val="3"/>
        <w:spacing w:before="0" w:after="0" w:line="360" w:lineRule="auto"/>
        <w:rPr>
          <w:rFonts w:hint="eastAsia" w:ascii="黑体" w:hAnsi="黑体" w:eastAsia="黑体"/>
          <w:bCs/>
          <w:szCs w:val="21"/>
        </w:rPr>
      </w:pPr>
      <w:bookmarkStart w:id="65" w:name="_Toc349034887"/>
      <w:bookmarkStart w:id="66" w:name="_Toc28986"/>
      <w:bookmarkStart w:id="67" w:name="_Toc296961938"/>
      <w:bookmarkStart w:id="68" w:name="_Toc322532855"/>
      <w:bookmarkStart w:id="69" w:name="_Toc264380124"/>
      <w:bookmarkStart w:id="70" w:name="_Toc264450245"/>
      <w:bookmarkStart w:id="71" w:name="_Toc22529"/>
      <w:bookmarkStart w:id="72" w:name="_Toc322527760"/>
      <w:bookmarkStart w:id="73" w:name="_Toc296359208"/>
      <w:bookmarkStart w:id="74" w:name="_Toc31170"/>
      <w:bookmarkStart w:id="75" w:name="_Toc66780567"/>
      <w:bookmarkStart w:id="76" w:name="_Toc494551788"/>
      <w:bookmarkStart w:id="77" w:name="_Toc222987399"/>
      <w:bookmarkStart w:id="78" w:name="_Toc76025486"/>
      <w:bookmarkStart w:id="79" w:name="_Toc426040193"/>
      <w:bookmarkStart w:id="80" w:name="_Toc264460812"/>
      <w:r>
        <w:rPr>
          <w:rFonts w:ascii="黑体" w:hAnsi="黑体" w:eastAsia="黑体"/>
          <w:b w:val="0"/>
          <w:bCs/>
          <w:szCs w:val="21"/>
        </w:rPr>
        <w:t xml:space="preserve">4.2 </w:t>
      </w:r>
      <w:r>
        <w:rPr>
          <w:rFonts w:hint="eastAsia" w:ascii="黑体" w:hAnsi="黑体" w:eastAsia="黑体"/>
          <w:b w:val="0"/>
          <w:bCs/>
          <w:szCs w:val="21"/>
        </w:rPr>
        <w:t>特殊使用条件</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pPr>
        <w:spacing w:line="360" w:lineRule="auto"/>
        <w:outlineLvl w:val="0"/>
        <w:rPr>
          <w:rFonts w:hint="eastAsia" w:ascii="黑体" w:hAnsi="黑体" w:eastAsia="黑体"/>
          <w:b/>
          <w:bCs/>
          <w:szCs w:val="21"/>
        </w:rPr>
      </w:pPr>
      <w:bookmarkStart w:id="81" w:name="_Toc6151"/>
      <w:bookmarkStart w:id="82" w:name="_Toc76025487"/>
      <w:bookmarkStart w:id="83" w:name="_Toc222987400"/>
      <w:bookmarkStart w:id="84" w:name="_Toc31508"/>
      <w:bookmarkStart w:id="85" w:name="_Toc24623"/>
      <w:r>
        <w:rPr>
          <w:rFonts w:ascii="黑体" w:hAnsi="黑体" w:eastAsia="黑体"/>
          <w:b/>
          <w:bCs/>
          <w:szCs w:val="21"/>
        </w:rPr>
        <w:t xml:space="preserve">5 </w:t>
      </w:r>
      <w:r>
        <w:rPr>
          <w:rFonts w:hint="eastAsia" w:ascii="黑体" w:hAnsi="黑体" w:eastAsia="黑体"/>
          <w:b/>
          <w:bCs/>
          <w:szCs w:val="21"/>
        </w:rPr>
        <w:t>技术要求</w:t>
      </w:r>
      <w:bookmarkEnd w:id="81"/>
      <w:bookmarkEnd w:id="82"/>
      <w:bookmarkEnd w:id="83"/>
      <w:bookmarkEnd w:id="84"/>
      <w:bookmarkEnd w:id="85"/>
    </w:p>
    <w:p>
      <w:pPr>
        <w:pStyle w:val="3"/>
        <w:spacing w:before="0" w:after="0" w:line="360" w:lineRule="auto"/>
        <w:rPr>
          <w:rFonts w:hint="eastAsia" w:ascii="黑体" w:hAnsi="黑体" w:eastAsia="黑体"/>
          <w:b w:val="0"/>
          <w:bCs/>
          <w:szCs w:val="21"/>
        </w:rPr>
      </w:pPr>
      <w:bookmarkStart w:id="86" w:name="_Toc22879"/>
      <w:bookmarkStart w:id="87" w:name="_Toc76025488"/>
      <w:bookmarkStart w:id="88" w:name="_Toc28742"/>
      <w:bookmarkStart w:id="89" w:name="_Toc25077"/>
      <w:bookmarkStart w:id="90" w:name="_Toc222987401"/>
      <w:r>
        <w:rPr>
          <w:rFonts w:ascii="黑体" w:hAnsi="黑体" w:eastAsia="黑体"/>
          <w:b w:val="0"/>
          <w:bCs/>
          <w:szCs w:val="21"/>
        </w:rPr>
        <w:t xml:space="preserve">5.1 </w:t>
      </w:r>
      <w:r>
        <w:rPr>
          <w:rFonts w:hint="eastAsia" w:ascii="黑体" w:hAnsi="黑体" w:eastAsia="黑体" w:cs="宋体"/>
          <w:b w:val="0"/>
          <w:bCs/>
          <w:szCs w:val="21"/>
        </w:rPr>
        <w:t>中等负载仿线无人机</w:t>
      </w:r>
      <w:r>
        <w:rPr>
          <w:rFonts w:hint="eastAsia" w:ascii="黑体" w:hAnsi="黑体" w:eastAsia="黑体"/>
          <w:b w:val="0"/>
          <w:bCs/>
          <w:szCs w:val="21"/>
        </w:rPr>
        <w:t>技术要求</w:t>
      </w:r>
      <w:bookmarkEnd w:id="86"/>
      <w:bookmarkEnd w:id="87"/>
      <w:bookmarkEnd w:id="88"/>
      <w:bookmarkEnd w:id="89"/>
      <w:bookmarkEnd w:id="90"/>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轴数：≥4个</w:t>
      </w:r>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仿线功能：支持</w:t>
      </w:r>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对角线距离（不含桨）：≤1070mm</w:t>
      </w:r>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全负载起飞重量：≤6000g</w:t>
      </w:r>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最大上升速度：≥10m/s</w:t>
      </w:r>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最大下降速度</w:t>
      </w:r>
      <w:r>
        <w:rPr>
          <w:rFonts w:ascii="Times New Roman" w:hAnsi="Times New Roman"/>
          <w:szCs w:val="21"/>
        </w:rPr>
        <w:t>：</w:t>
      </w:r>
      <w:r>
        <w:rPr>
          <w:rFonts w:hint="eastAsia" w:ascii="Times New Roman" w:hAnsi="Times New Roman"/>
          <w:szCs w:val="21"/>
        </w:rPr>
        <w:t>≥8m/s</w:t>
      </w:r>
    </w:p>
    <w:p>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最大水平飞行速度</w:t>
      </w:r>
      <w:r>
        <w:rPr>
          <w:rFonts w:ascii="Times New Roman" w:hAnsi="Times New Roman"/>
          <w:szCs w:val="21"/>
        </w:rPr>
        <w:t>：</w:t>
      </w:r>
      <w:r>
        <w:rPr>
          <w:rFonts w:hint="eastAsia" w:ascii="Times New Roman" w:hAnsi="Times New Roman"/>
          <w:szCs w:val="21"/>
        </w:rPr>
        <w:t>≥90km/h</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最大飞行海拔高度：</w:t>
      </w:r>
      <w:r>
        <w:rPr>
          <w:rFonts w:hint="eastAsia" w:ascii="Times New Roman" w:hAnsi="Times New Roman"/>
          <w:szCs w:val="21"/>
        </w:rPr>
        <w:t>≥7000m</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最大可承受风速：</w:t>
      </w:r>
      <w:r>
        <w:rPr>
          <w:rFonts w:hint="eastAsia" w:ascii="Times New Roman" w:hAnsi="Times New Roman"/>
          <w:szCs w:val="21"/>
        </w:rPr>
        <w:t>≥12m/s</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搭载全套任务荷载后作业时间：</w:t>
      </w:r>
      <w:r>
        <w:rPr>
          <w:rFonts w:hint="eastAsia" w:ascii="Times New Roman" w:hAnsi="Times New Roman"/>
          <w:szCs w:val="21"/>
        </w:rPr>
        <w:t>≥59</w:t>
      </w:r>
      <w:r>
        <w:rPr>
          <w:rFonts w:ascii="Times New Roman" w:hAnsi="Times New Roman"/>
          <w:szCs w:val="21"/>
        </w:rPr>
        <w:t>min</w:t>
      </w:r>
    </w:p>
    <w:p>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抗电磁干扰性能（辐射抗扰度、静电放电抗扰度、脉冲磁场抗扰度）：</w:t>
      </w:r>
      <w:r>
        <w:rPr>
          <w:rFonts w:ascii="Times New Roman" w:hAnsi="Times New Roman"/>
          <w:szCs w:val="21"/>
        </w:rPr>
        <w:t>A</w:t>
      </w:r>
      <w:r>
        <w:rPr>
          <w:rFonts w:hint="eastAsia" w:ascii="Times New Roman" w:hAnsi="Times New Roman"/>
          <w:szCs w:val="21"/>
        </w:rPr>
        <w:t>级</w:t>
      </w:r>
    </w:p>
    <w:p>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防护性能等级：不低于IP55</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卫星</w:t>
      </w:r>
      <w:r>
        <w:rPr>
          <w:rFonts w:hint="eastAsia"/>
          <w:szCs w:val="21"/>
        </w:rPr>
        <w:t>系统技术要求</w:t>
      </w:r>
      <w:r>
        <w:rPr>
          <w:rFonts w:ascii="Times New Roman" w:hAnsi="Times New Roman"/>
          <w:szCs w:val="21"/>
        </w:rPr>
        <w:t>：仅支持BDS且兼容北斗3号及以下卫星系统</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悬停精度：垂直</w:t>
      </w:r>
      <w:r>
        <w:rPr>
          <w:rFonts w:hint="eastAsia" w:ascii="Times New Roman" w:hAnsi="Times New Roman"/>
          <w:szCs w:val="21"/>
        </w:rPr>
        <w:t>偏差≤0.1m（视觉定位），≤0.5m（卫星定位），≤0.1m（RTK定位）；</w:t>
      </w:r>
      <w:r>
        <w:rPr>
          <w:rFonts w:ascii="Times New Roman" w:hAnsi="Times New Roman"/>
          <w:szCs w:val="21"/>
        </w:rPr>
        <w:t>水平</w:t>
      </w:r>
      <w:r>
        <w:rPr>
          <w:rFonts w:hint="eastAsia" w:ascii="Times New Roman" w:hAnsi="Times New Roman"/>
          <w:szCs w:val="21"/>
        </w:rPr>
        <w:t>偏差≤0.3m（视觉定位），≤0.5m（卫星定位），≤0.1m（RTK定位）</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定位精度：垂直</w:t>
      </w:r>
      <w:r>
        <w:rPr>
          <w:rFonts w:hint="eastAsia" w:ascii="Times New Roman" w:hAnsi="Times New Roman"/>
          <w:szCs w:val="21"/>
        </w:rPr>
        <w:t>偏差≤1.5cm，</w:t>
      </w:r>
      <w:r>
        <w:rPr>
          <w:rFonts w:ascii="Times New Roman" w:hAnsi="Times New Roman"/>
          <w:szCs w:val="21"/>
        </w:rPr>
        <w:t>水平</w:t>
      </w:r>
      <w:r>
        <w:rPr>
          <w:rFonts w:hint="eastAsia" w:ascii="Times New Roman" w:hAnsi="Times New Roman"/>
          <w:szCs w:val="21"/>
        </w:rPr>
        <w:t>偏差≤1cm</w:t>
      </w:r>
    </w:p>
    <w:p>
      <w:pPr>
        <w:pStyle w:val="102"/>
        <w:numPr>
          <w:ilvl w:val="0"/>
          <w:numId w:val="26"/>
        </w:numPr>
        <w:adjustRightInd w:val="0"/>
        <w:spacing w:line="360" w:lineRule="auto"/>
        <w:ind w:firstLineChars="0"/>
        <w:rPr>
          <w:rFonts w:ascii="Times New Roman" w:hAnsi="Times New Roman"/>
          <w:szCs w:val="21"/>
        </w:rPr>
      </w:pPr>
      <w:r>
        <w:rPr>
          <w:rFonts w:hint="eastAsia"/>
          <w:kern w:val="0"/>
          <w:szCs w:val="21"/>
        </w:rPr>
        <w:t>飞行控制偏差：垂直偏差≤</w:t>
      </w:r>
      <w:r>
        <w:rPr>
          <w:kern w:val="0"/>
          <w:szCs w:val="21"/>
        </w:rPr>
        <w:t>1m</w:t>
      </w:r>
      <w:r>
        <w:rPr>
          <w:rFonts w:hint="eastAsia"/>
          <w:kern w:val="0"/>
          <w:szCs w:val="21"/>
        </w:rPr>
        <w:t>，垂直标准差≤</w:t>
      </w:r>
      <w:r>
        <w:rPr>
          <w:kern w:val="0"/>
          <w:szCs w:val="21"/>
        </w:rPr>
        <w:t>0.5m</w:t>
      </w:r>
      <w:r>
        <w:rPr>
          <w:rFonts w:hint="eastAsia"/>
          <w:kern w:val="0"/>
          <w:szCs w:val="21"/>
        </w:rPr>
        <w:t>；水平偏差≤</w:t>
      </w:r>
      <w:r>
        <w:rPr>
          <w:kern w:val="0"/>
          <w:szCs w:val="21"/>
        </w:rPr>
        <w:t>1m</w:t>
      </w:r>
      <w:r>
        <w:rPr>
          <w:rFonts w:hint="eastAsia"/>
          <w:kern w:val="0"/>
          <w:szCs w:val="21"/>
        </w:rPr>
        <w:t>，水平标准差≤</w:t>
      </w:r>
      <w:r>
        <w:rPr>
          <w:kern w:val="0"/>
          <w:szCs w:val="21"/>
        </w:rPr>
        <w:t>0.5m</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避障：</w:t>
      </w:r>
      <w:r>
        <w:rPr>
          <w:rFonts w:hint="eastAsia" w:ascii="Times New Roman" w:hAnsi="Times New Roman"/>
          <w:szCs w:val="21"/>
        </w:rPr>
        <w:t>≥6</w:t>
      </w:r>
      <w:r>
        <w:rPr>
          <w:rFonts w:ascii="Times New Roman" w:hAnsi="Times New Roman"/>
          <w:szCs w:val="21"/>
        </w:rPr>
        <w:t>个方向</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SDK开发：支持</w:t>
      </w:r>
    </w:p>
    <w:p>
      <w:pPr>
        <w:pStyle w:val="102"/>
        <w:numPr>
          <w:ilvl w:val="0"/>
          <w:numId w:val="26"/>
        </w:numPr>
        <w:adjustRightInd w:val="0"/>
        <w:spacing w:line="360" w:lineRule="auto"/>
        <w:ind w:firstLineChars="0"/>
        <w:rPr>
          <w:rFonts w:ascii="Times New Roman" w:hAnsi="Times New Roman"/>
          <w:szCs w:val="21"/>
        </w:rPr>
      </w:pPr>
      <w:r>
        <w:rPr>
          <w:rFonts w:ascii="Times New Roman" w:hAnsi="Times New Roman"/>
          <w:szCs w:val="21"/>
        </w:rPr>
        <w:t>具备网络RTK技术：是</w:t>
      </w:r>
    </w:p>
    <w:p>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支持自建北斗基站使用：是</w:t>
      </w:r>
    </w:p>
    <w:p>
      <w:pPr>
        <w:pStyle w:val="3"/>
        <w:spacing w:before="0" w:after="0" w:line="360" w:lineRule="auto"/>
        <w:rPr>
          <w:rFonts w:hint="eastAsia" w:ascii="黑体" w:hAnsi="黑体" w:eastAsia="黑体"/>
          <w:b w:val="0"/>
          <w:bCs/>
          <w:szCs w:val="21"/>
        </w:rPr>
      </w:pPr>
      <w:bookmarkStart w:id="91" w:name="_Toc21605"/>
      <w:bookmarkStart w:id="92" w:name="_Toc76025489"/>
      <w:bookmarkStart w:id="93" w:name="_Toc222987402"/>
      <w:bookmarkStart w:id="94" w:name="_Toc1947"/>
      <w:bookmarkStart w:id="95" w:name="_Toc21715"/>
      <w:r>
        <w:rPr>
          <w:rFonts w:ascii="黑体" w:hAnsi="黑体" w:eastAsia="黑体"/>
          <w:b w:val="0"/>
          <w:bCs/>
          <w:szCs w:val="21"/>
        </w:rPr>
        <w:t xml:space="preserve">5.2 </w:t>
      </w:r>
      <w:r>
        <w:rPr>
          <w:rFonts w:hint="eastAsia" w:ascii="黑体" w:hAnsi="黑体" w:eastAsia="黑体"/>
          <w:b w:val="0"/>
          <w:bCs/>
          <w:szCs w:val="21"/>
        </w:rPr>
        <w:t>遥控器技术要求</w:t>
      </w:r>
      <w:bookmarkEnd w:id="91"/>
      <w:bookmarkEnd w:id="92"/>
      <w:bookmarkEnd w:id="93"/>
      <w:bookmarkEnd w:id="94"/>
      <w:bookmarkEnd w:id="95"/>
    </w:p>
    <w:p>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最大信号有效距离（无干扰、无遮挡）：≥40000m</w:t>
      </w:r>
    </w:p>
    <w:p>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遥控器工作频率：图传频段：902MHz至928MHz；2.400GHz至2.4835GHz；5.150GHz至5.250GHz；5.725GHz至5.850GHz/WiFi工作频段：2.4000GHz至2.4835GHz；5.150GHz至5.250GHz；5.725GHz至5.850GHz/蓝牙工作频段：2.400GHz 至 2.4835GHz</w:t>
      </w:r>
    </w:p>
    <w:p>
      <w:pPr>
        <w:pStyle w:val="3"/>
        <w:spacing w:before="0" w:after="0" w:line="360" w:lineRule="auto"/>
        <w:rPr>
          <w:rFonts w:hint="eastAsia" w:ascii="黑体" w:hAnsi="黑体" w:eastAsia="黑体"/>
          <w:b w:val="0"/>
          <w:bCs/>
          <w:szCs w:val="21"/>
        </w:rPr>
      </w:pPr>
      <w:bookmarkStart w:id="96" w:name="_Toc4378"/>
      <w:bookmarkStart w:id="97" w:name="_Toc76025490"/>
      <w:bookmarkStart w:id="98" w:name="_Toc6365"/>
      <w:bookmarkStart w:id="99" w:name="_Toc3918"/>
      <w:bookmarkStart w:id="100" w:name="_Toc222987403"/>
      <w:r>
        <w:rPr>
          <w:rFonts w:ascii="黑体" w:hAnsi="黑体" w:eastAsia="黑体"/>
          <w:b w:val="0"/>
          <w:bCs/>
          <w:szCs w:val="21"/>
        </w:rPr>
        <w:t xml:space="preserve">5.3 </w:t>
      </w:r>
      <w:r>
        <w:rPr>
          <w:rFonts w:hint="eastAsia" w:ascii="黑体" w:hAnsi="黑体" w:eastAsia="黑体"/>
          <w:b w:val="0"/>
          <w:bCs/>
          <w:szCs w:val="21"/>
        </w:rPr>
        <w:t>电池技术要求</w:t>
      </w:r>
      <w:bookmarkEnd w:id="96"/>
      <w:bookmarkEnd w:id="97"/>
      <w:bookmarkEnd w:id="98"/>
      <w:bookmarkEnd w:id="99"/>
      <w:bookmarkEnd w:id="100"/>
    </w:p>
    <w:p>
      <w:pPr>
        <w:numPr>
          <w:ilvl w:val="0"/>
          <w:numId w:val="29"/>
        </w:numPr>
        <w:tabs>
          <w:tab w:val="left" w:pos="851"/>
          <w:tab w:val="clear" w:pos="840"/>
        </w:tabs>
        <w:adjustRightInd w:val="0"/>
        <w:spacing w:line="360" w:lineRule="auto"/>
        <w:ind w:left="420" w:firstLine="0"/>
        <w:rPr>
          <w:szCs w:val="21"/>
        </w:rPr>
      </w:pPr>
      <w:r>
        <w:rPr>
          <w:rFonts w:hint="eastAsia"/>
          <w:szCs w:val="21"/>
        </w:rPr>
        <w:t>最大充电功率：≥2C</w:t>
      </w:r>
    </w:p>
    <w:p>
      <w:pPr>
        <w:numPr>
          <w:ilvl w:val="0"/>
          <w:numId w:val="29"/>
        </w:numPr>
        <w:tabs>
          <w:tab w:val="left" w:pos="851"/>
          <w:tab w:val="clear" w:pos="840"/>
        </w:tabs>
        <w:adjustRightInd w:val="0"/>
        <w:spacing w:line="360" w:lineRule="auto"/>
        <w:ind w:left="420" w:firstLine="0"/>
        <w:rPr>
          <w:szCs w:val="21"/>
        </w:rPr>
      </w:pPr>
      <w:r>
        <w:rPr>
          <w:rFonts w:hint="eastAsia"/>
          <w:szCs w:val="21"/>
        </w:rPr>
        <w:t>是否支持电池箱放电转换：是</w:t>
      </w:r>
    </w:p>
    <w:p>
      <w:pPr>
        <w:numPr>
          <w:ilvl w:val="0"/>
          <w:numId w:val="29"/>
        </w:numPr>
        <w:adjustRightInd w:val="0"/>
        <w:spacing w:line="360" w:lineRule="auto"/>
        <w:rPr>
          <w:szCs w:val="21"/>
        </w:rPr>
      </w:pPr>
      <w:r>
        <w:rPr>
          <w:rFonts w:hint="eastAsia"/>
          <w:szCs w:val="21"/>
        </w:rPr>
        <w:t>是否支持低温充电：是</w:t>
      </w:r>
    </w:p>
    <w:p>
      <w:pPr>
        <w:numPr>
          <w:ilvl w:val="0"/>
          <w:numId w:val="29"/>
        </w:numPr>
        <w:adjustRightInd w:val="0"/>
        <w:spacing w:line="360" w:lineRule="auto"/>
        <w:rPr>
          <w:szCs w:val="21"/>
        </w:rPr>
      </w:pPr>
      <w:r>
        <w:rPr>
          <w:rFonts w:hint="eastAsia"/>
          <w:szCs w:val="21"/>
        </w:rPr>
        <w:t>系留电池：可配合第三方系留照明产品和系留通信产品使用，通过线缆实现长时间空中照明和通信基站功能，且预留接口，支持第三方开发自动充电机场产品；容量：20254毫安时；标准电压：48.23伏；电池类型：Li-ion；能量：977瓦时；重量：4720±20克</w:t>
      </w:r>
    </w:p>
    <w:p>
      <w:pPr>
        <w:pStyle w:val="3"/>
        <w:spacing w:before="0" w:after="0" w:line="360" w:lineRule="auto"/>
        <w:rPr>
          <w:rFonts w:hint="eastAsia" w:ascii="黑体" w:hAnsi="黑体" w:eastAsia="黑体"/>
          <w:b w:val="0"/>
          <w:bCs/>
          <w:szCs w:val="21"/>
        </w:rPr>
      </w:pPr>
      <w:bookmarkStart w:id="101" w:name="_Toc20702"/>
      <w:bookmarkStart w:id="102" w:name="_Toc76025491"/>
      <w:bookmarkStart w:id="103" w:name="_Toc10050"/>
      <w:bookmarkStart w:id="104" w:name="_Toc222987404"/>
      <w:bookmarkStart w:id="105" w:name="_Toc14285"/>
      <w:r>
        <w:rPr>
          <w:rFonts w:ascii="黑体" w:hAnsi="黑体" w:eastAsia="黑体"/>
          <w:b w:val="0"/>
          <w:bCs/>
          <w:szCs w:val="21"/>
        </w:rPr>
        <w:t xml:space="preserve">5.4 </w:t>
      </w:r>
      <w:r>
        <w:rPr>
          <w:rFonts w:hint="eastAsia" w:ascii="黑体" w:hAnsi="黑体" w:eastAsia="黑体"/>
          <w:b w:val="0"/>
          <w:bCs/>
          <w:szCs w:val="21"/>
        </w:rPr>
        <w:t>图传技术要求</w:t>
      </w:r>
      <w:bookmarkEnd w:id="101"/>
      <w:bookmarkEnd w:id="102"/>
      <w:bookmarkEnd w:id="103"/>
      <w:bookmarkEnd w:id="104"/>
      <w:bookmarkEnd w:id="105"/>
    </w:p>
    <w:p>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实时图传：≥3路1080p/30fps</w:t>
      </w:r>
    </w:p>
    <w:p>
      <w:pPr>
        <w:pStyle w:val="3"/>
        <w:spacing w:before="0" w:after="0" w:line="360" w:lineRule="auto"/>
        <w:rPr>
          <w:rFonts w:hint="eastAsia" w:ascii="黑体" w:hAnsi="黑体" w:eastAsia="黑体"/>
          <w:b w:val="0"/>
          <w:bCs/>
          <w:szCs w:val="21"/>
        </w:rPr>
      </w:pPr>
      <w:bookmarkStart w:id="106" w:name="_Toc23061"/>
      <w:bookmarkStart w:id="107" w:name="_Toc13171"/>
      <w:bookmarkStart w:id="108" w:name="_Toc76025492"/>
      <w:bookmarkStart w:id="109" w:name="_Toc17782"/>
      <w:bookmarkStart w:id="110" w:name="_Toc222987405"/>
      <w:r>
        <w:rPr>
          <w:rFonts w:ascii="黑体" w:hAnsi="黑体" w:eastAsia="黑体"/>
          <w:b w:val="0"/>
          <w:bCs/>
          <w:szCs w:val="21"/>
        </w:rPr>
        <w:t xml:space="preserve">5.5 </w:t>
      </w:r>
      <w:r>
        <w:rPr>
          <w:rFonts w:hint="eastAsia" w:ascii="黑体" w:hAnsi="黑体" w:eastAsia="黑体"/>
          <w:b w:val="0"/>
          <w:bCs/>
          <w:szCs w:val="21"/>
        </w:rPr>
        <w:t>飞行相机技术要求</w:t>
      </w:r>
      <w:bookmarkEnd w:id="106"/>
      <w:bookmarkEnd w:id="107"/>
      <w:bookmarkEnd w:id="108"/>
      <w:bookmarkEnd w:id="109"/>
      <w:bookmarkEnd w:id="110"/>
    </w:p>
    <w:p>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分辨率：≥1080p</w:t>
      </w:r>
    </w:p>
    <w:p>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夜视能力：星光级及以上</w:t>
      </w:r>
    </w:p>
    <w:p>
      <w:pPr>
        <w:pStyle w:val="3"/>
        <w:spacing w:before="0" w:after="0" w:line="360" w:lineRule="auto"/>
        <w:rPr>
          <w:rFonts w:hint="eastAsia" w:ascii="黑体" w:hAnsi="黑体" w:eastAsia="黑体"/>
          <w:b w:val="0"/>
          <w:bCs/>
          <w:szCs w:val="21"/>
        </w:rPr>
      </w:pPr>
      <w:bookmarkStart w:id="111" w:name="_Toc9820"/>
      <w:bookmarkStart w:id="112" w:name="_Toc222987406"/>
      <w:bookmarkStart w:id="113" w:name="_Toc21486"/>
      <w:bookmarkStart w:id="114" w:name="_Toc76025493"/>
      <w:bookmarkStart w:id="115" w:name="_Toc30011"/>
      <w:r>
        <w:rPr>
          <w:rFonts w:ascii="黑体" w:hAnsi="黑体" w:eastAsia="黑体"/>
          <w:b w:val="0"/>
          <w:bCs/>
          <w:szCs w:val="21"/>
        </w:rPr>
        <w:t xml:space="preserve">5.6 </w:t>
      </w:r>
      <w:r>
        <w:rPr>
          <w:rFonts w:hint="eastAsia" w:ascii="黑体" w:hAnsi="黑体" w:eastAsia="黑体"/>
          <w:b w:val="0"/>
          <w:bCs/>
          <w:szCs w:val="21"/>
        </w:rPr>
        <w:t>充电箱技术要求</w:t>
      </w:r>
      <w:bookmarkEnd w:id="111"/>
      <w:bookmarkEnd w:id="112"/>
      <w:bookmarkEnd w:id="113"/>
      <w:bookmarkEnd w:id="114"/>
      <w:bookmarkEnd w:id="115"/>
    </w:p>
    <w:p>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充电模式：待命模式90%；标准模式100%，支持极速模式和静音模式</w:t>
      </w:r>
    </w:p>
    <w:p>
      <w:pPr>
        <w:pStyle w:val="3"/>
        <w:spacing w:before="0" w:after="0" w:line="360" w:lineRule="auto"/>
        <w:rPr>
          <w:rFonts w:hint="eastAsia" w:ascii="黑体" w:hAnsi="黑体" w:eastAsia="黑体"/>
          <w:b w:val="0"/>
          <w:bCs/>
          <w:szCs w:val="21"/>
        </w:rPr>
      </w:pPr>
      <w:bookmarkStart w:id="116" w:name="_Toc20768"/>
      <w:bookmarkStart w:id="117" w:name="_Toc222987407"/>
      <w:bookmarkStart w:id="118" w:name="_Toc1398"/>
      <w:bookmarkStart w:id="119" w:name="_Toc8648"/>
      <w:bookmarkStart w:id="120" w:name="_Toc76025494"/>
      <w:r>
        <w:rPr>
          <w:rFonts w:ascii="黑体" w:hAnsi="黑体" w:eastAsia="黑体"/>
          <w:b w:val="0"/>
          <w:bCs/>
          <w:szCs w:val="21"/>
        </w:rPr>
        <w:t xml:space="preserve">5.7 </w:t>
      </w:r>
      <w:r>
        <w:rPr>
          <w:rFonts w:hint="eastAsia" w:ascii="黑体" w:hAnsi="黑体" w:eastAsia="黑体"/>
          <w:b w:val="0"/>
          <w:bCs/>
          <w:szCs w:val="21"/>
        </w:rPr>
        <w:t>中等负载仿线无人机配件技术要求</w:t>
      </w:r>
      <w:bookmarkEnd w:id="116"/>
      <w:bookmarkEnd w:id="117"/>
      <w:bookmarkEnd w:id="118"/>
    </w:p>
    <w:p>
      <w:pPr>
        <w:numPr>
          <w:ilvl w:val="0"/>
          <w:numId w:val="33"/>
        </w:numPr>
        <w:spacing w:line="360" w:lineRule="auto"/>
        <w:rPr>
          <w:szCs w:val="21"/>
        </w:rPr>
      </w:pPr>
      <w:r>
        <w:rPr>
          <w:rFonts w:hint="eastAsia"/>
          <w:szCs w:val="21"/>
        </w:rPr>
        <w:t>sub2G模块频率：902MHz至928MHz；1.430GHz至1.444GHz</w:t>
      </w:r>
    </w:p>
    <w:p>
      <w:pPr>
        <w:numPr>
          <w:ilvl w:val="0"/>
          <w:numId w:val="33"/>
        </w:numPr>
        <w:spacing w:line="360" w:lineRule="auto"/>
        <w:rPr>
          <w:szCs w:val="21"/>
        </w:rPr>
      </w:pPr>
      <w:r>
        <w:rPr>
          <w:rFonts w:hint="eastAsia"/>
          <w:szCs w:val="21"/>
        </w:rPr>
        <w:t>配套增强图传模块：支持ASDIV（发射天线选择）</w:t>
      </w:r>
    </w:p>
    <w:p>
      <w:pPr>
        <w:pStyle w:val="3"/>
        <w:spacing w:before="0" w:after="0" w:line="360" w:lineRule="auto"/>
        <w:rPr>
          <w:rFonts w:hint="eastAsia" w:ascii="黑体" w:hAnsi="黑体" w:eastAsia="黑体"/>
          <w:b w:val="0"/>
          <w:bCs/>
          <w:szCs w:val="21"/>
        </w:rPr>
      </w:pPr>
      <w:bookmarkStart w:id="121" w:name="_Toc5003"/>
      <w:bookmarkStart w:id="122" w:name="_Toc222987408"/>
      <w:r>
        <w:rPr>
          <w:rFonts w:ascii="黑体" w:hAnsi="黑体" w:eastAsia="黑体"/>
          <w:b w:val="0"/>
          <w:bCs/>
          <w:szCs w:val="21"/>
        </w:rPr>
        <w:t xml:space="preserve">5.8 </w:t>
      </w:r>
      <w:r>
        <w:rPr>
          <w:rFonts w:hint="eastAsia" w:ascii="黑体" w:hAnsi="黑体" w:eastAsia="黑体"/>
          <w:b w:val="0"/>
          <w:bCs/>
          <w:szCs w:val="21"/>
        </w:rPr>
        <w:t>多旋翼无人机技术要求</w:t>
      </w:r>
      <w:bookmarkEnd w:id="121"/>
      <w:bookmarkEnd w:id="122"/>
    </w:p>
    <w:p>
      <w:pPr>
        <w:pStyle w:val="102"/>
        <w:numPr>
          <w:ilvl w:val="0"/>
          <w:numId w:val="34"/>
        </w:numPr>
        <w:tabs>
          <w:tab w:val="left" w:pos="851"/>
        </w:tabs>
        <w:spacing w:line="360" w:lineRule="auto"/>
        <w:ind w:firstLineChars="0"/>
        <w:rPr>
          <w:rFonts w:ascii="Times New Roman" w:hAnsi="Times New Roman"/>
          <w:szCs w:val="21"/>
        </w:rPr>
      </w:pPr>
      <w:r>
        <w:rPr>
          <w:rFonts w:hint="eastAsia" w:ascii="Times New Roman" w:hAnsi="Times New Roman"/>
          <w:szCs w:val="21"/>
        </w:rPr>
        <w:t>轴数：≥4个</w:t>
      </w:r>
    </w:p>
    <w:p>
      <w:pPr>
        <w:pStyle w:val="102"/>
        <w:numPr>
          <w:ilvl w:val="0"/>
          <w:numId w:val="34"/>
        </w:numPr>
        <w:tabs>
          <w:tab w:val="left" w:pos="851"/>
        </w:tabs>
        <w:spacing w:line="360" w:lineRule="auto"/>
        <w:ind w:firstLineChars="0"/>
        <w:rPr>
          <w:rFonts w:ascii="Times New Roman" w:hAnsi="Times New Roman"/>
          <w:szCs w:val="21"/>
        </w:rPr>
      </w:pPr>
      <w:r>
        <w:rPr>
          <w:rFonts w:hint="eastAsia" w:ascii="Times New Roman" w:hAnsi="Times New Roman"/>
          <w:szCs w:val="21"/>
        </w:rPr>
        <w:t>尺寸：折叠（不带桨）：长257.6毫米，宽124.8毫米，高103.4毫米</w:t>
      </w:r>
    </w:p>
    <w:p>
      <w:pPr>
        <w:pStyle w:val="102"/>
        <w:tabs>
          <w:tab w:val="left" w:pos="851"/>
        </w:tabs>
        <w:spacing w:line="360" w:lineRule="auto"/>
        <w:ind w:left="420" w:firstLine="1050" w:firstLineChars="500"/>
        <w:rPr>
          <w:rFonts w:ascii="Times New Roman" w:hAnsi="Times New Roman"/>
          <w:szCs w:val="21"/>
        </w:rPr>
      </w:pPr>
      <w:r>
        <w:rPr>
          <w:rFonts w:hint="eastAsia" w:ascii="Times New Roman" w:hAnsi="Times New Roman"/>
          <w:szCs w:val="21"/>
        </w:rPr>
        <w:t>展开（含桨叶）：长328.7毫米，宽390.5毫米，高135.2毫米</w:t>
      </w:r>
    </w:p>
    <w:p>
      <w:pPr>
        <w:pStyle w:val="102"/>
        <w:numPr>
          <w:ilvl w:val="0"/>
          <w:numId w:val="34"/>
        </w:numPr>
        <w:tabs>
          <w:tab w:val="left" w:pos="851"/>
        </w:tabs>
        <w:spacing w:line="360" w:lineRule="auto"/>
        <w:ind w:firstLineChars="0"/>
        <w:rPr>
          <w:rFonts w:ascii="Times New Roman" w:hAnsi="Times New Roman"/>
          <w:szCs w:val="21"/>
        </w:rPr>
      </w:pPr>
      <w:r>
        <w:rPr>
          <w:rFonts w:hint="eastAsia" w:ascii="Times New Roman" w:hAnsi="Times New Roman"/>
          <w:szCs w:val="21"/>
        </w:rPr>
        <w:t>最大上升速度：≥10m/s</w:t>
      </w:r>
    </w:p>
    <w:p>
      <w:pPr>
        <w:pStyle w:val="102"/>
        <w:numPr>
          <w:ilvl w:val="0"/>
          <w:numId w:val="34"/>
        </w:numPr>
        <w:tabs>
          <w:tab w:val="left" w:pos="851"/>
        </w:tabs>
        <w:spacing w:line="360" w:lineRule="auto"/>
        <w:ind w:firstLineChars="0"/>
        <w:rPr>
          <w:rFonts w:ascii="Times New Roman" w:hAnsi="Times New Roman"/>
          <w:szCs w:val="21"/>
        </w:rPr>
      </w:pPr>
      <w:r>
        <w:rPr>
          <w:rFonts w:hint="eastAsia" w:ascii="Times New Roman" w:hAnsi="Times New Roman"/>
          <w:szCs w:val="21"/>
        </w:rPr>
        <w:t>最大下降速度</w:t>
      </w:r>
      <w:r>
        <w:rPr>
          <w:rFonts w:ascii="Times New Roman" w:hAnsi="Times New Roman"/>
          <w:szCs w:val="21"/>
        </w:rPr>
        <w:t>：</w:t>
      </w:r>
      <w:r>
        <w:rPr>
          <w:rFonts w:hint="eastAsia" w:ascii="Times New Roman" w:hAnsi="Times New Roman"/>
          <w:szCs w:val="21"/>
        </w:rPr>
        <w:t>≥8m/s</w:t>
      </w:r>
    </w:p>
    <w:p>
      <w:pPr>
        <w:pStyle w:val="102"/>
        <w:numPr>
          <w:ilvl w:val="0"/>
          <w:numId w:val="34"/>
        </w:numPr>
        <w:tabs>
          <w:tab w:val="left" w:pos="851"/>
        </w:tabs>
        <w:spacing w:line="360" w:lineRule="auto"/>
        <w:ind w:firstLineChars="0"/>
        <w:rPr>
          <w:rFonts w:ascii="Times New Roman" w:hAnsi="Times New Roman"/>
          <w:szCs w:val="21"/>
        </w:rPr>
      </w:pPr>
      <w:r>
        <w:rPr>
          <w:rFonts w:hint="eastAsia" w:ascii="Times New Roman" w:hAnsi="Times New Roman"/>
          <w:szCs w:val="21"/>
        </w:rPr>
        <w:t>最大水平飞行速度</w:t>
      </w:r>
      <w:r>
        <w:rPr>
          <w:rFonts w:ascii="Times New Roman" w:hAnsi="Times New Roman"/>
          <w:szCs w:val="21"/>
        </w:rPr>
        <w:t>：</w:t>
      </w:r>
      <w:r>
        <w:rPr>
          <w:rFonts w:hint="eastAsia" w:ascii="Times New Roman" w:hAnsi="Times New Roman"/>
          <w:szCs w:val="21"/>
        </w:rPr>
        <w:t>≥64km/h</w:t>
      </w:r>
    </w:p>
    <w:p>
      <w:pPr>
        <w:pStyle w:val="102"/>
        <w:numPr>
          <w:ilvl w:val="0"/>
          <w:numId w:val="34"/>
        </w:numPr>
        <w:adjustRightInd w:val="0"/>
        <w:spacing w:line="360" w:lineRule="auto"/>
        <w:ind w:firstLineChars="0"/>
        <w:rPr>
          <w:rFonts w:ascii="Times New Roman" w:hAnsi="Times New Roman"/>
          <w:szCs w:val="21"/>
        </w:rPr>
      </w:pPr>
      <w:r>
        <w:rPr>
          <w:rFonts w:ascii="Times New Roman" w:hAnsi="Times New Roman"/>
          <w:szCs w:val="21"/>
        </w:rPr>
        <w:t>最大飞行海拔高度：</w:t>
      </w:r>
      <w:r>
        <w:rPr>
          <w:rFonts w:hint="eastAsia" w:ascii="Times New Roman" w:hAnsi="Times New Roman"/>
          <w:szCs w:val="21"/>
        </w:rPr>
        <w:t>≥4500m</w:t>
      </w:r>
    </w:p>
    <w:p>
      <w:pPr>
        <w:pStyle w:val="102"/>
        <w:numPr>
          <w:ilvl w:val="0"/>
          <w:numId w:val="34"/>
        </w:numPr>
        <w:adjustRightInd w:val="0"/>
        <w:spacing w:line="360" w:lineRule="auto"/>
        <w:ind w:firstLineChars="0"/>
        <w:rPr>
          <w:rFonts w:ascii="Times New Roman" w:hAnsi="Times New Roman"/>
          <w:szCs w:val="21"/>
        </w:rPr>
      </w:pPr>
      <w:r>
        <w:rPr>
          <w:rFonts w:ascii="Times New Roman" w:hAnsi="Times New Roman"/>
          <w:szCs w:val="21"/>
        </w:rPr>
        <w:t>最大可承受风速：</w:t>
      </w:r>
      <w:r>
        <w:rPr>
          <w:rFonts w:hint="eastAsia" w:ascii="Times New Roman" w:hAnsi="Times New Roman"/>
          <w:szCs w:val="21"/>
        </w:rPr>
        <w:t>≥12m/s</w:t>
      </w:r>
    </w:p>
    <w:p>
      <w:pPr>
        <w:pStyle w:val="102"/>
        <w:numPr>
          <w:ilvl w:val="0"/>
          <w:numId w:val="34"/>
        </w:numPr>
        <w:adjustRightInd w:val="0"/>
        <w:spacing w:line="360" w:lineRule="auto"/>
        <w:ind w:firstLineChars="0"/>
        <w:rPr>
          <w:rFonts w:ascii="Times New Roman" w:hAnsi="Times New Roman"/>
          <w:szCs w:val="21"/>
        </w:rPr>
      </w:pPr>
      <w:r>
        <w:rPr>
          <w:rFonts w:hint="eastAsia" w:ascii="Times New Roman" w:hAnsi="Times New Roman"/>
          <w:szCs w:val="21"/>
        </w:rPr>
        <w:t>最长飞行</w:t>
      </w:r>
      <w:r>
        <w:rPr>
          <w:rFonts w:ascii="Times New Roman" w:hAnsi="Times New Roman"/>
          <w:szCs w:val="21"/>
        </w:rPr>
        <w:t>时间：</w:t>
      </w:r>
      <w:r>
        <w:rPr>
          <w:rFonts w:hint="eastAsia" w:ascii="Times New Roman" w:hAnsi="Times New Roman"/>
          <w:szCs w:val="21"/>
        </w:rPr>
        <w:t>≥51</w:t>
      </w:r>
      <w:r>
        <w:rPr>
          <w:rFonts w:ascii="Times New Roman" w:hAnsi="Times New Roman"/>
          <w:szCs w:val="21"/>
        </w:rPr>
        <w:t>min</w:t>
      </w:r>
    </w:p>
    <w:p>
      <w:pPr>
        <w:pStyle w:val="102"/>
        <w:numPr>
          <w:ilvl w:val="0"/>
          <w:numId w:val="34"/>
        </w:numPr>
        <w:adjustRightInd w:val="0"/>
        <w:spacing w:line="360" w:lineRule="auto"/>
        <w:ind w:firstLineChars="0"/>
        <w:rPr>
          <w:rFonts w:ascii="Times New Roman" w:hAnsi="Times New Roman"/>
          <w:szCs w:val="21"/>
        </w:rPr>
      </w:pPr>
      <w:r>
        <w:rPr>
          <w:rFonts w:hint="eastAsia" w:ascii="Times New Roman" w:hAnsi="Times New Roman"/>
          <w:szCs w:val="21"/>
        </w:rPr>
        <w:t>抗电磁干扰性能（辐射抗扰度、静电放电抗扰度、脉冲磁场抗扰度）：</w:t>
      </w:r>
      <w:r>
        <w:rPr>
          <w:rFonts w:ascii="Times New Roman" w:hAnsi="Times New Roman"/>
          <w:szCs w:val="21"/>
        </w:rPr>
        <w:t>A</w:t>
      </w:r>
      <w:r>
        <w:rPr>
          <w:rFonts w:hint="eastAsia" w:ascii="Times New Roman" w:hAnsi="Times New Roman"/>
          <w:szCs w:val="21"/>
        </w:rPr>
        <w:t>级</w:t>
      </w:r>
    </w:p>
    <w:p>
      <w:pPr>
        <w:pStyle w:val="102"/>
        <w:numPr>
          <w:ilvl w:val="0"/>
          <w:numId w:val="34"/>
        </w:numPr>
        <w:adjustRightInd w:val="0"/>
        <w:spacing w:line="360" w:lineRule="auto"/>
        <w:ind w:firstLineChars="0"/>
        <w:rPr>
          <w:rFonts w:ascii="Times New Roman" w:hAnsi="Times New Roman"/>
          <w:szCs w:val="21"/>
        </w:rPr>
      </w:pPr>
      <w:r>
        <w:rPr>
          <w:rFonts w:ascii="Times New Roman" w:hAnsi="Times New Roman"/>
          <w:szCs w:val="21"/>
        </w:rPr>
        <w:t>工作环境温度：</w:t>
      </w:r>
      <w:r>
        <w:rPr>
          <w:rFonts w:hint="eastAsia" w:ascii="Times New Roman" w:hAnsi="Times New Roman"/>
          <w:szCs w:val="21"/>
        </w:rPr>
        <w:t>-20℃至50℃</w:t>
      </w:r>
    </w:p>
    <w:p>
      <w:pPr>
        <w:pStyle w:val="102"/>
        <w:numPr>
          <w:ilvl w:val="0"/>
          <w:numId w:val="34"/>
        </w:numPr>
        <w:adjustRightInd w:val="0"/>
        <w:spacing w:line="360" w:lineRule="auto"/>
        <w:ind w:firstLineChars="0"/>
        <w:rPr>
          <w:rFonts w:ascii="Times New Roman" w:hAnsi="Times New Roman"/>
          <w:szCs w:val="21"/>
        </w:rPr>
      </w:pPr>
      <w:r>
        <w:rPr>
          <w:rFonts w:ascii="Times New Roman" w:hAnsi="Times New Roman"/>
          <w:szCs w:val="21"/>
        </w:rPr>
        <w:t>卫星</w:t>
      </w:r>
      <w:r>
        <w:rPr>
          <w:rFonts w:hint="eastAsia" w:ascii="Times New Roman" w:hAnsi="Times New Roman"/>
          <w:szCs w:val="21"/>
        </w:rPr>
        <w:t>系统</w:t>
      </w:r>
      <w:r>
        <w:rPr>
          <w:rFonts w:ascii="Times New Roman" w:hAnsi="Times New Roman"/>
          <w:szCs w:val="21"/>
        </w:rPr>
        <w:t>：仅支持BDS且兼容北斗3号及以下卫星系</w:t>
      </w:r>
      <w:r>
        <w:rPr>
          <w:rFonts w:hint="eastAsia" w:ascii="Times New Roman" w:hAnsi="Times New Roman"/>
          <w:szCs w:val="21"/>
        </w:rPr>
        <w:t>统</w:t>
      </w:r>
    </w:p>
    <w:p>
      <w:pPr>
        <w:pStyle w:val="102"/>
        <w:numPr>
          <w:ilvl w:val="0"/>
          <w:numId w:val="34"/>
        </w:numPr>
        <w:adjustRightInd w:val="0"/>
        <w:spacing w:line="360" w:lineRule="auto"/>
        <w:ind w:firstLineChars="0"/>
        <w:rPr>
          <w:rFonts w:ascii="Times New Roman" w:hAnsi="Times New Roman"/>
          <w:szCs w:val="21"/>
        </w:rPr>
      </w:pPr>
      <w:r>
        <w:rPr>
          <w:rFonts w:hint="eastAsia" w:ascii="宋体" w:hAnsi="宋体" w:cs="宋体"/>
          <w:szCs w:val="21"/>
        </w:rPr>
        <w:t>影像传感器：哈苏相机：4/3CMOS，有效像素1亿</w:t>
      </w:r>
    </w:p>
    <w:p>
      <w:pPr>
        <w:pStyle w:val="102"/>
        <w:adjustRightInd w:val="0"/>
        <w:spacing w:line="360" w:lineRule="auto"/>
        <w:ind w:left="420" w:firstLine="1680" w:firstLineChars="800"/>
        <w:rPr>
          <w:rFonts w:hint="eastAsia" w:ascii="宋体" w:hAnsi="宋体" w:cs="宋体"/>
          <w:szCs w:val="21"/>
        </w:rPr>
      </w:pPr>
      <w:r>
        <w:rPr>
          <w:rFonts w:hint="eastAsia" w:ascii="宋体" w:hAnsi="宋体" w:cs="宋体"/>
          <w:szCs w:val="21"/>
        </w:rPr>
        <w:t>中长焦相机：1/1.3英寸CMOS，有效像素4800万长焦相机</w:t>
      </w:r>
    </w:p>
    <w:p>
      <w:pPr>
        <w:pStyle w:val="102"/>
        <w:adjustRightInd w:val="0"/>
        <w:spacing w:line="360" w:lineRule="auto"/>
        <w:ind w:left="420" w:firstLine="1680" w:firstLineChars="800"/>
        <w:rPr>
          <w:rFonts w:ascii="Times New Roman" w:hAnsi="Times New Roman"/>
          <w:szCs w:val="21"/>
        </w:rPr>
      </w:pPr>
      <w:r>
        <w:rPr>
          <w:rFonts w:hint="eastAsia" w:ascii="宋体" w:hAnsi="宋体" w:cs="宋体"/>
          <w:szCs w:val="21"/>
        </w:rPr>
        <w:t>1/1.5英寸CMOS，有效像素5000万</w:t>
      </w:r>
    </w:p>
    <w:p>
      <w:pPr>
        <w:pStyle w:val="3"/>
        <w:spacing w:before="0" w:after="0" w:line="360" w:lineRule="auto"/>
        <w:rPr>
          <w:rFonts w:hint="eastAsia" w:ascii="黑体" w:hAnsi="黑体" w:eastAsia="黑体"/>
          <w:b w:val="0"/>
          <w:bCs/>
          <w:szCs w:val="21"/>
        </w:rPr>
      </w:pPr>
      <w:bookmarkStart w:id="123" w:name="_Toc18423"/>
      <w:bookmarkStart w:id="124" w:name="_Toc222987409"/>
      <w:r>
        <w:rPr>
          <w:rFonts w:ascii="黑体" w:hAnsi="黑体" w:eastAsia="黑体"/>
          <w:b w:val="0"/>
          <w:bCs/>
          <w:szCs w:val="21"/>
        </w:rPr>
        <w:t xml:space="preserve">5.9 </w:t>
      </w:r>
      <w:r>
        <w:rPr>
          <w:rFonts w:hint="eastAsia" w:ascii="黑体" w:hAnsi="黑体" w:eastAsia="黑体"/>
          <w:b w:val="0"/>
          <w:bCs/>
          <w:szCs w:val="21"/>
        </w:rPr>
        <w:t>多旋翼无人机遥控器技术要求</w:t>
      </w:r>
      <w:bookmarkEnd w:id="123"/>
      <w:bookmarkEnd w:id="124"/>
    </w:p>
    <w:p>
      <w:pPr>
        <w:pStyle w:val="102"/>
        <w:numPr>
          <w:ilvl w:val="0"/>
          <w:numId w:val="35"/>
        </w:numPr>
        <w:adjustRightInd w:val="0"/>
        <w:spacing w:line="360" w:lineRule="auto"/>
        <w:ind w:firstLineChars="0"/>
        <w:rPr>
          <w:rFonts w:ascii="Times New Roman" w:hAnsi="Times New Roman"/>
          <w:szCs w:val="21"/>
        </w:rPr>
      </w:pPr>
      <w:r>
        <w:rPr>
          <w:rFonts w:hint="eastAsia" w:ascii="宋体" w:hAnsi="宋体" w:cs="宋体"/>
          <w:szCs w:val="21"/>
        </w:rPr>
        <w:t>遥控器：支持2.4G、5.8G图传；工作温度范围覆盖-20℃至50℃</w:t>
      </w:r>
    </w:p>
    <w:p>
      <w:pPr>
        <w:pStyle w:val="3"/>
        <w:spacing w:before="0" w:after="0" w:line="360" w:lineRule="auto"/>
        <w:rPr>
          <w:rFonts w:hint="eastAsia" w:ascii="黑体" w:hAnsi="黑体" w:eastAsia="黑体"/>
          <w:b w:val="0"/>
          <w:bCs/>
          <w:szCs w:val="21"/>
        </w:rPr>
      </w:pPr>
      <w:bookmarkStart w:id="125" w:name="_Toc13288"/>
      <w:bookmarkStart w:id="126" w:name="_Toc222987410"/>
      <w:r>
        <w:rPr>
          <w:rFonts w:ascii="黑体" w:hAnsi="黑体" w:eastAsia="黑体"/>
          <w:b w:val="0"/>
          <w:bCs/>
          <w:szCs w:val="21"/>
        </w:rPr>
        <w:t xml:space="preserve">5.10 </w:t>
      </w:r>
      <w:r>
        <w:rPr>
          <w:rFonts w:hint="eastAsia" w:ascii="黑体" w:hAnsi="黑体" w:eastAsia="黑体"/>
          <w:b w:val="0"/>
          <w:bCs/>
          <w:szCs w:val="21"/>
        </w:rPr>
        <w:t>多旋翼无人机电池技术要求</w:t>
      </w:r>
      <w:bookmarkEnd w:id="125"/>
      <w:bookmarkEnd w:id="126"/>
    </w:p>
    <w:p>
      <w:pPr>
        <w:pStyle w:val="102"/>
        <w:numPr>
          <w:ilvl w:val="0"/>
          <w:numId w:val="36"/>
        </w:numPr>
        <w:adjustRightInd w:val="0"/>
        <w:spacing w:line="360" w:lineRule="auto"/>
        <w:ind w:firstLineChars="0"/>
        <w:rPr>
          <w:rFonts w:ascii="Times New Roman" w:hAnsi="Times New Roman"/>
          <w:szCs w:val="21"/>
        </w:rPr>
      </w:pPr>
      <w:r>
        <w:rPr>
          <w:rFonts w:hint="eastAsia" w:ascii="宋体" w:hAnsi="宋体" w:cs="宋体"/>
          <w:szCs w:val="21"/>
        </w:rPr>
        <w:t>容量：≥6654毫安时</w:t>
      </w:r>
    </w:p>
    <w:p>
      <w:pPr>
        <w:pStyle w:val="102"/>
        <w:numPr>
          <w:ilvl w:val="0"/>
          <w:numId w:val="36"/>
        </w:numPr>
        <w:adjustRightInd w:val="0"/>
        <w:spacing w:line="360" w:lineRule="auto"/>
        <w:ind w:firstLineChars="0"/>
        <w:rPr>
          <w:rFonts w:ascii="Times New Roman" w:hAnsi="Times New Roman"/>
          <w:szCs w:val="21"/>
        </w:rPr>
      </w:pPr>
      <w:r>
        <w:rPr>
          <w:rFonts w:hint="eastAsia" w:ascii="Times New Roman" w:hAnsi="Times New Roman"/>
          <w:szCs w:val="21"/>
        </w:rPr>
        <w:t>充电环境温度：</w:t>
      </w:r>
      <w:r>
        <w:rPr>
          <w:rFonts w:hint="eastAsia" w:ascii="宋体" w:hAnsi="宋体" w:cs="宋体"/>
          <w:szCs w:val="21"/>
        </w:rPr>
        <w:t>5℃至40℃</w:t>
      </w:r>
    </w:p>
    <w:p>
      <w:pPr>
        <w:pStyle w:val="3"/>
        <w:spacing w:before="0" w:after="0" w:line="360" w:lineRule="auto"/>
        <w:rPr>
          <w:rFonts w:hint="eastAsia" w:ascii="黑体" w:hAnsi="黑体" w:eastAsia="黑体"/>
          <w:b w:val="0"/>
          <w:bCs/>
          <w:szCs w:val="21"/>
        </w:rPr>
      </w:pPr>
      <w:bookmarkStart w:id="127" w:name="_Toc11365"/>
      <w:bookmarkStart w:id="128" w:name="_Toc222987411"/>
      <w:r>
        <w:rPr>
          <w:rFonts w:ascii="黑体" w:hAnsi="黑体" w:eastAsia="黑体"/>
          <w:b w:val="0"/>
          <w:bCs/>
          <w:szCs w:val="21"/>
        </w:rPr>
        <w:t xml:space="preserve">5.11 </w:t>
      </w:r>
      <w:r>
        <w:rPr>
          <w:rFonts w:hint="eastAsia" w:ascii="黑体" w:hAnsi="黑体" w:eastAsia="黑体"/>
          <w:b w:val="0"/>
          <w:bCs/>
          <w:szCs w:val="21"/>
        </w:rPr>
        <w:t>多旋翼无人机充电管家技术要求</w:t>
      </w:r>
      <w:bookmarkEnd w:id="127"/>
      <w:bookmarkEnd w:id="128"/>
    </w:p>
    <w:p>
      <w:pPr>
        <w:pStyle w:val="102"/>
        <w:numPr>
          <w:ilvl w:val="0"/>
          <w:numId w:val="37"/>
        </w:numPr>
        <w:adjustRightInd w:val="0"/>
        <w:spacing w:line="360" w:lineRule="auto"/>
        <w:ind w:firstLineChars="0"/>
        <w:rPr>
          <w:rFonts w:ascii="Times New Roman" w:hAnsi="Times New Roman"/>
          <w:szCs w:val="21"/>
        </w:rPr>
      </w:pPr>
      <w:r>
        <w:rPr>
          <w:rFonts w:hint="eastAsia" w:ascii="宋体" w:hAnsi="宋体" w:cs="宋体"/>
          <w:szCs w:val="21"/>
        </w:rPr>
        <w:t>充电输出：电池接口：10伏至17.2伏，最高12安</w:t>
      </w:r>
    </w:p>
    <w:p>
      <w:pPr>
        <w:pStyle w:val="102"/>
        <w:numPr>
          <w:ilvl w:val="0"/>
          <w:numId w:val="37"/>
        </w:numPr>
        <w:adjustRightInd w:val="0"/>
        <w:spacing w:line="360" w:lineRule="auto"/>
        <w:ind w:firstLineChars="0"/>
        <w:rPr>
          <w:rFonts w:ascii="Times New Roman" w:hAnsi="Times New Roman"/>
          <w:szCs w:val="21"/>
        </w:rPr>
      </w:pPr>
      <w:r>
        <w:rPr>
          <w:rFonts w:hint="eastAsia" w:ascii="Times New Roman" w:hAnsi="Times New Roman"/>
          <w:szCs w:val="21"/>
        </w:rPr>
        <w:t>最大输出功率：≥100W</w:t>
      </w:r>
    </w:p>
    <w:p>
      <w:pPr>
        <w:pStyle w:val="3"/>
        <w:spacing w:before="0" w:after="0" w:line="360" w:lineRule="auto"/>
        <w:rPr>
          <w:rFonts w:hint="eastAsia" w:ascii="黑体" w:hAnsi="黑体" w:eastAsia="黑体"/>
          <w:b w:val="0"/>
          <w:bCs/>
          <w:szCs w:val="21"/>
        </w:rPr>
      </w:pPr>
      <w:bookmarkStart w:id="129" w:name="_Toc17967"/>
      <w:bookmarkStart w:id="130" w:name="_Toc222987412"/>
      <w:r>
        <w:rPr>
          <w:rFonts w:ascii="黑体" w:hAnsi="黑体" w:eastAsia="黑体"/>
          <w:b w:val="0"/>
          <w:bCs/>
          <w:szCs w:val="21"/>
        </w:rPr>
        <w:t xml:space="preserve">5.12 </w:t>
      </w:r>
      <w:r>
        <w:rPr>
          <w:rFonts w:hint="eastAsia" w:ascii="黑体" w:hAnsi="黑体" w:eastAsia="黑体"/>
          <w:b w:val="0"/>
          <w:bCs/>
          <w:szCs w:val="21"/>
        </w:rPr>
        <w:t>多旋翼无人机带屏遥控器技术要求</w:t>
      </w:r>
      <w:bookmarkEnd w:id="129"/>
      <w:bookmarkEnd w:id="130"/>
    </w:p>
    <w:p>
      <w:pPr>
        <w:numPr>
          <w:ilvl w:val="0"/>
          <w:numId w:val="38"/>
        </w:numPr>
        <w:tabs>
          <w:tab w:val="left" w:pos="420"/>
          <w:tab w:val="clear" w:pos="840"/>
        </w:tabs>
      </w:pPr>
      <w:r>
        <w:rPr>
          <w:rFonts w:hint="eastAsia" w:ascii="宋体" w:hAnsi="宋体" w:cs="宋体"/>
          <w:szCs w:val="21"/>
        </w:rPr>
        <w:t>续航时长≥4小时（含外置电源）；7英寸高亮Mini-LED屏幕；内置128GB存储，支持SD卡扩展</w:t>
      </w:r>
    </w:p>
    <w:p>
      <w:pPr>
        <w:pStyle w:val="3"/>
        <w:spacing w:before="0" w:after="0" w:line="360" w:lineRule="auto"/>
        <w:rPr>
          <w:rFonts w:hint="eastAsia" w:ascii="黑体" w:hAnsi="黑体" w:eastAsia="黑体"/>
          <w:b w:val="0"/>
          <w:bCs/>
          <w:szCs w:val="21"/>
        </w:rPr>
      </w:pPr>
      <w:bookmarkStart w:id="131" w:name="_Toc222987413"/>
      <w:r>
        <w:rPr>
          <w:rFonts w:ascii="黑体" w:hAnsi="黑体" w:eastAsia="黑体"/>
          <w:b w:val="0"/>
          <w:bCs/>
          <w:szCs w:val="21"/>
        </w:rPr>
        <w:t xml:space="preserve">5.13 </w:t>
      </w:r>
      <w:r>
        <w:rPr>
          <w:rFonts w:hint="eastAsia" w:ascii="黑体" w:hAnsi="黑体" w:eastAsia="黑体"/>
          <w:b w:val="0"/>
          <w:bCs/>
          <w:szCs w:val="21"/>
        </w:rPr>
        <w:t>多旋翼无人机配套配件技术要求</w:t>
      </w:r>
      <w:bookmarkEnd w:id="131"/>
    </w:p>
    <w:p>
      <w:pPr>
        <w:pStyle w:val="102"/>
        <w:numPr>
          <w:ilvl w:val="0"/>
          <w:numId w:val="39"/>
        </w:numPr>
        <w:tabs>
          <w:tab w:val="left" w:pos="851"/>
        </w:tabs>
        <w:spacing w:line="360" w:lineRule="auto"/>
        <w:ind w:firstLineChars="0"/>
        <w:rPr>
          <w:rFonts w:ascii="Times New Roman" w:hAnsi="Times New Roman"/>
          <w:szCs w:val="21"/>
        </w:rPr>
      </w:pPr>
      <w:r>
        <w:rPr>
          <w:rFonts w:hint="eastAsia" w:ascii="宋体" w:hAnsi="宋体" w:cs="宋体"/>
          <w:kern w:val="0"/>
          <w:szCs w:val="21"/>
          <w:lang w:bidi="ar"/>
        </w:rPr>
        <w:t>桨叶保护罩重量：单边94克，一套188克</w:t>
      </w:r>
    </w:p>
    <w:p>
      <w:pPr>
        <w:pStyle w:val="102"/>
        <w:numPr>
          <w:ilvl w:val="0"/>
          <w:numId w:val="39"/>
        </w:numPr>
        <w:tabs>
          <w:tab w:val="left" w:pos="851"/>
        </w:tabs>
        <w:spacing w:line="360" w:lineRule="auto"/>
        <w:ind w:firstLineChars="0"/>
        <w:rPr>
          <w:rFonts w:ascii="Times New Roman" w:hAnsi="Times New Roman"/>
          <w:szCs w:val="21"/>
        </w:rPr>
      </w:pPr>
      <w:r>
        <w:rPr>
          <w:rFonts w:hint="eastAsia" w:ascii="Times New Roman" w:hAnsi="Times New Roman"/>
          <w:szCs w:val="21"/>
        </w:rPr>
        <w:t>配套ND镜套装：ND8/ND16/ND32/ND64重量（单个）：约5.1克</w:t>
      </w:r>
    </w:p>
    <w:bookmarkEnd w:id="119"/>
    <w:bookmarkEnd w:id="120"/>
    <w:p>
      <w:pPr>
        <w:pStyle w:val="3"/>
        <w:spacing w:before="0" w:after="0" w:line="360" w:lineRule="auto"/>
        <w:rPr>
          <w:rFonts w:hint="eastAsia" w:ascii="黑体" w:hAnsi="黑体" w:eastAsia="黑体"/>
          <w:b w:val="0"/>
          <w:bCs/>
          <w:szCs w:val="21"/>
        </w:rPr>
      </w:pPr>
      <w:bookmarkStart w:id="132" w:name="_Toc222987414"/>
      <w:bookmarkStart w:id="133" w:name="_Toc15425"/>
      <w:bookmarkStart w:id="134" w:name="_Toc20375"/>
      <w:bookmarkStart w:id="135" w:name="_Toc23428"/>
      <w:bookmarkStart w:id="136" w:name="_Toc72859325"/>
      <w:bookmarkStart w:id="137" w:name="_Toc18016"/>
      <w:bookmarkStart w:id="138" w:name="_Toc76025495"/>
      <w:r>
        <w:rPr>
          <w:rFonts w:ascii="黑体" w:hAnsi="黑体" w:eastAsia="黑体"/>
          <w:b w:val="0"/>
          <w:bCs/>
          <w:szCs w:val="21"/>
        </w:rPr>
        <w:t xml:space="preserve">5.14 </w:t>
      </w:r>
      <w:r>
        <w:rPr>
          <w:rFonts w:hint="eastAsia" w:ascii="黑体" w:hAnsi="黑体" w:eastAsia="黑体"/>
          <w:b w:val="0"/>
          <w:bCs/>
          <w:szCs w:val="21"/>
        </w:rPr>
        <w:t>多旋翼无人机配套</w:t>
      </w:r>
      <w:r>
        <w:rPr>
          <w:rFonts w:ascii="黑体" w:hAnsi="黑体" w:eastAsia="黑体"/>
          <w:b w:val="0"/>
          <w:bCs/>
          <w:szCs w:val="21"/>
        </w:rPr>
        <w:t xml:space="preserve">240W </w:t>
      </w:r>
      <w:r>
        <w:rPr>
          <w:rFonts w:hint="eastAsia" w:ascii="黑体" w:hAnsi="黑体" w:eastAsia="黑体"/>
          <w:b w:val="0"/>
          <w:bCs/>
          <w:szCs w:val="21"/>
        </w:rPr>
        <w:t>桌面充电器技术要求</w:t>
      </w:r>
      <w:bookmarkEnd w:id="132"/>
    </w:p>
    <w:p>
      <w:pPr>
        <w:pStyle w:val="102"/>
        <w:numPr>
          <w:ilvl w:val="0"/>
          <w:numId w:val="40"/>
        </w:numPr>
        <w:tabs>
          <w:tab w:val="left" w:pos="851"/>
        </w:tabs>
        <w:spacing w:line="360" w:lineRule="auto"/>
        <w:ind w:firstLineChars="0"/>
        <w:rPr>
          <w:rFonts w:ascii="Times New Roman" w:hAnsi="Times New Roman"/>
          <w:szCs w:val="21"/>
        </w:rPr>
      </w:pPr>
      <w:r>
        <w:rPr>
          <w:rFonts w:hint="eastAsia" w:ascii="Times New Roman" w:hAnsi="Times New Roman"/>
          <w:szCs w:val="21"/>
        </w:rPr>
        <w:t>功率：支持240瓦功率输出，可同时为电池和遥控器快速充电，还可为USB-C接口的移动设备快速充电。体积小巧，自带Mini SDC充电线，可配合DJI户外电源使用。输入100-240伏交流电，50-60 Hz，最大3安；输出：最大240瓦（总共），最大65瓦（USB-C）。</w:t>
      </w:r>
    </w:p>
    <w:p>
      <w:pPr>
        <w:pStyle w:val="3"/>
        <w:spacing w:before="0" w:after="0" w:line="360" w:lineRule="auto"/>
        <w:rPr>
          <w:rFonts w:hint="eastAsia" w:ascii="黑体" w:hAnsi="黑体" w:eastAsia="黑体"/>
          <w:bCs/>
          <w:szCs w:val="21"/>
          <w:lang w:bidi="ar"/>
        </w:rPr>
      </w:pPr>
      <w:r>
        <w:rPr>
          <w:rFonts w:ascii="黑体" w:hAnsi="黑体" w:eastAsia="黑体"/>
          <w:b w:val="0"/>
          <w:bCs/>
          <w:szCs w:val="21"/>
        </w:rPr>
        <w:t xml:space="preserve">5.15 </w:t>
      </w:r>
      <w:r>
        <w:rPr>
          <w:rFonts w:hint="eastAsia" w:ascii="黑体" w:hAnsi="黑体" w:eastAsia="黑体" w:cs="宋体"/>
          <w:b w:val="0"/>
          <w:bCs/>
          <w:kern w:val="0"/>
          <w:szCs w:val="21"/>
          <w:lang w:bidi="ar"/>
        </w:rPr>
        <w:t>多旋翼无人机</w:t>
      </w:r>
      <w:r>
        <w:rPr>
          <w:rFonts w:hint="eastAsia" w:ascii="黑体" w:hAnsi="黑体" w:eastAsia="黑体"/>
          <w:b w:val="0"/>
          <w:bCs/>
          <w:szCs w:val="21"/>
          <w:lang w:bidi="ar"/>
        </w:rPr>
        <w:t>配套配件技术要求</w:t>
      </w:r>
    </w:p>
    <w:p>
      <w:pPr>
        <w:pStyle w:val="102"/>
        <w:numPr>
          <w:ilvl w:val="0"/>
          <w:numId w:val="41"/>
        </w:numPr>
        <w:tabs>
          <w:tab w:val="left" w:pos="420"/>
          <w:tab w:val="left" w:pos="851"/>
          <w:tab w:val="clear" w:pos="840"/>
        </w:tabs>
        <w:spacing w:line="360" w:lineRule="auto"/>
        <w:ind w:firstLine="420"/>
        <w:rPr>
          <w:rFonts w:ascii="Times New Roman" w:hAnsi="Times New Roman"/>
          <w:szCs w:val="21"/>
        </w:rPr>
      </w:pPr>
      <w:r>
        <w:rPr>
          <w:rFonts w:hint="eastAsia" w:ascii="Times New Roman" w:hAnsi="Times New Roman"/>
          <w:szCs w:val="21"/>
        </w:rPr>
        <w:t>配套增强图传模块：内置两套射频单元，支持双卡双通，可有效改善以往单一运营商网络下的卡顿现象，且均为eSIM，无需安装物理SIM卡</w:t>
      </w:r>
    </w:p>
    <w:p>
      <w:pPr>
        <w:pStyle w:val="102"/>
        <w:numPr>
          <w:ilvl w:val="0"/>
          <w:numId w:val="41"/>
        </w:numPr>
        <w:tabs>
          <w:tab w:val="left" w:pos="420"/>
          <w:tab w:val="left" w:pos="851"/>
          <w:tab w:val="clear" w:pos="840"/>
        </w:tabs>
        <w:spacing w:line="360" w:lineRule="auto"/>
        <w:ind w:firstLine="420"/>
        <w:rPr>
          <w:rFonts w:ascii="Times New Roman" w:hAnsi="Times New Roman"/>
          <w:szCs w:val="21"/>
        </w:rPr>
      </w:pPr>
      <w:r>
        <w:rPr>
          <w:rFonts w:hint="eastAsia" w:ascii="Times New Roman" w:hAnsi="Times New Roman"/>
          <w:szCs w:val="21"/>
        </w:rPr>
        <w:t>配套ND镜：ND8/ND16/ND32/ND64重量（单个）：约5.1克</w:t>
      </w:r>
    </w:p>
    <w:p>
      <w:pPr>
        <w:pStyle w:val="102"/>
        <w:numPr>
          <w:ilvl w:val="0"/>
          <w:numId w:val="41"/>
        </w:numPr>
        <w:tabs>
          <w:tab w:val="left" w:pos="420"/>
          <w:tab w:val="left" w:pos="851"/>
          <w:tab w:val="clear" w:pos="840"/>
        </w:tabs>
        <w:spacing w:line="360" w:lineRule="auto"/>
        <w:ind w:firstLine="420"/>
        <w:rPr>
          <w:rFonts w:ascii="Times New Roman" w:hAnsi="Times New Roman"/>
          <w:szCs w:val="21"/>
        </w:rPr>
      </w:pPr>
      <w:r>
        <w:rPr>
          <w:rFonts w:hint="eastAsia" w:ascii="Times New Roman" w:hAnsi="Times New Roman"/>
          <w:szCs w:val="21"/>
        </w:rPr>
        <w:t>配套桨叶保护罩：重量：单边94克，一套188克</w:t>
      </w:r>
    </w:p>
    <w:p>
      <w:pPr>
        <w:pStyle w:val="3"/>
        <w:spacing w:before="0" w:after="0" w:line="360" w:lineRule="auto"/>
        <w:rPr>
          <w:rFonts w:hint="eastAsia" w:ascii="黑体" w:hAnsi="黑体" w:eastAsia="黑体"/>
          <w:b w:val="0"/>
          <w:bCs/>
          <w:szCs w:val="21"/>
        </w:rPr>
      </w:pPr>
      <w:bookmarkStart w:id="139" w:name="_Toc222987415"/>
      <w:r>
        <w:rPr>
          <w:rFonts w:ascii="黑体" w:hAnsi="黑体" w:eastAsia="黑体"/>
          <w:b w:val="0"/>
          <w:bCs/>
          <w:szCs w:val="21"/>
        </w:rPr>
        <w:t xml:space="preserve">5.16 </w:t>
      </w:r>
      <w:r>
        <w:rPr>
          <w:rFonts w:hint="eastAsia" w:ascii="黑体" w:hAnsi="黑体" w:eastAsia="黑体"/>
          <w:b w:val="0"/>
          <w:bCs/>
          <w:szCs w:val="21"/>
        </w:rPr>
        <w:t>迷你多旋翼可见光无人机要求</w:t>
      </w:r>
      <w:bookmarkEnd w:id="139"/>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起飞重量：≥249.9克</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最大起飞重量：≥310克</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折叠后尺寸（长×宽×高）：</w:t>
      </w:r>
      <w:r>
        <w:rPr>
          <w:rFonts w:hint="eastAsia" w:ascii="宋体" w:hAnsi="宋体" w:cs="宋体"/>
          <w:szCs w:val="21"/>
        </w:rPr>
        <w:t>≤</w:t>
      </w:r>
      <w:bookmarkStart w:id="244" w:name="_GoBack"/>
      <w:bookmarkEnd w:id="244"/>
      <w:r>
        <w:rPr>
          <w:rFonts w:hint="eastAsia" w:ascii="宋体" w:hAnsi="宋体" w:cs="宋体"/>
          <w:bCs/>
          <w:szCs w:val="21"/>
        </w:rPr>
        <w:t>157×95×68毫米</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最大上升速度：≥10米/秒</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最大下降速度：≥8米/秒</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最大水平飞行速度：≥19米/秒</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最大起飞海拔高度：≥6000米</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最长飞行时间：≥36min</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最大续航里程：≥21公里</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最大抗风速度：≥12米/秒</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工作环境温度：-20℃至50℃</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卫星系统：仅支持BDS且兼容北斗3号及以下卫星系统</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机载内存：≥42GB</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影像传感器：1英寸CMOS，有效像素5000万</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图片格式：JPEG/DNG（RAW）</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数字变焦：1200万像素拍照：1至3倍/4K：1至3倍/FHD：1至4倍</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云台稳定系统：三轴机械云台（俯仰、横滚、偏航）</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感知系统类型：全向双目视觉系统，辅以机身前视激光雷达和底部红外传感器</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有效使用环境：前、后、左、右、上方：表面有丰富纹理，光照条件充足（大于1 lux）下方：表面有丰富纹理，光照条件充足（大于1 lux），表面为漫反射材质且反射率大于20%（如墙面、树木、人等）。</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三维红外测距传感器：前视激光雷达</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：测距范围：夜间0.5米至25米（反射率大于10% ）</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：视角（FOV）：上下60°，左右60°</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：下视红外测距传感器</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：测距范围：0.3米至8米（反射率大于10%）</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：视角（FOV）：前后60°，左右60°</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实时图传质量：遥控器1080p/30fps，1080p/60fps</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工作频段：2.400GHz至2.4835GHz、5.170GHz 至5.250GHz、5.725GHz至5.850GHz</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最大信号有效距离：≥20公里</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最低延时：飞行器+遥控器：约120毫秒</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智能飞行电池容量：智能飞行电池：2788毫安时</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充电环境温度：5℃至40℃</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充电管家输出：电池接口：5伏至15伏，最高2安</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充电方式：智能飞行电池：2块电池并充；长续航智能飞行电池：3块电池轮充</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配套遥控器续航时长：≥3.5小时</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充电环境温度：5℃至40℃</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充电时间：2小时</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配套遥控器重量：320克</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配套带屏遥控器存储空间：32GB</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屏幕：1920×1080全高清5.5英寸显示屏，支持700尼特的高亮度持续显示</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长续航智能飞行电池：4680毫安时</w:t>
      </w:r>
    </w:p>
    <w:p>
      <w:pPr>
        <w:pStyle w:val="102"/>
        <w:numPr>
          <w:ilvl w:val="0"/>
          <w:numId w:val="42"/>
        </w:numPr>
        <w:adjustRightInd w:val="0"/>
        <w:spacing w:line="360" w:lineRule="auto"/>
        <w:ind w:firstLineChars="0"/>
        <w:rPr>
          <w:rFonts w:hint="eastAsia" w:ascii="宋体" w:hAnsi="宋体" w:cs="宋体"/>
          <w:bCs/>
          <w:szCs w:val="21"/>
        </w:rPr>
      </w:pPr>
      <w:r>
        <w:rPr>
          <w:rFonts w:hint="eastAsia" w:ascii="宋体" w:hAnsi="宋体" w:cs="宋体"/>
          <w:bCs/>
          <w:szCs w:val="21"/>
        </w:rPr>
        <w:t>配套ND镜：包含ND8/32/128</w:t>
      </w:r>
    </w:p>
    <w:p>
      <w:pPr>
        <w:pStyle w:val="102"/>
        <w:numPr>
          <w:ilvl w:val="0"/>
          <w:numId w:val="42"/>
        </w:numPr>
        <w:adjustRightInd w:val="0"/>
        <w:spacing w:line="360" w:lineRule="auto"/>
        <w:ind w:firstLineChars="0"/>
        <w:rPr>
          <w:rFonts w:ascii="Times New Roman" w:hAnsi="Times New Roman" w:eastAsia="黑体"/>
          <w:bCs/>
          <w:szCs w:val="21"/>
        </w:rPr>
      </w:pPr>
      <w:r>
        <w:rPr>
          <w:rFonts w:hint="eastAsia" w:ascii="宋体" w:hAnsi="宋体" w:cs="宋体"/>
          <w:bCs/>
          <w:szCs w:val="21"/>
        </w:rPr>
        <w:t>配套增强图传模块：支持ASDIV（发射天线选择）</w:t>
      </w:r>
    </w:p>
    <w:p>
      <w:pPr>
        <w:pStyle w:val="3"/>
        <w:spacing w:before="0" w:after="0" w:line="360" w:lineRule="auto"/>
        <w:rPr>
          <w:rFonts w:hint="eastAsia" w:ascii="黑体" w:hAnsi="黑体" w:eastAsia="黑体"/>
          <w:b w:val="0"/>
          <w:bCs/>
          <w:szCs w:val="21"/>
        </w:rPr>
      </w:pPr>
      <w:bookmarkStart w:id="140" w:name="_Toc222987416"/>
      <w:bookmarkStart w:id="141" w:name="_Toc1666"/>
      <w:r>
        <w:rPr>
          <w:rFonts w:ascii="黑体" w:hAnsi="黑体" w:eastAsia="黑体"/>
          <w:b w:val="0"/>
          <w:bCs/>
          <w:szCs w:val="21"/>
        </w:rPr>
        <w:t xml:space="preserve">5.17 </w:t>
      </w:r>
      <w:r>
        <w:rPr>
          <w:rFonts w:hint="eastAsia" w:ascii="黑体" w:hAnsi="黑体" w:eastAsia="黑体"/>
          <w:b w:val="0"/>
          <w:bCs/>
          <w:szCs w:val="21"/>
        </w:rPr>
        <w:t>网络安全要求</w:t>
      </w:r>
      <w:bookmarkEnd w:id="133"/>
      <w:bookmarkEnd w:id="134"/>
      <w:bookmarkEnd w:id="135"/>
      <w:bookmarkEnd w:id="136"/>
      <w:bookmarkEnd w:id="137"/>
      <w:bookmarkEnd w:id="138"/>
      <w:bookmarkEnd w:id="140"/>
      <w:bookmarkEnd w:id="141"/>
    </w:p>
    <w:p>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pPr>
        <w:tabs>
          <w:tab w:val="left" w:pos="1985"/>
        </w:tabs>
        <w:spacing w:line="360" w:lineRule="auto"/>
        <w:ind w:firstLine="420"/>
        <w:rPr>
          <w:szCs w:val="21"/>
        </w:rPr>
      </w:pPr>
      <w:r>
        <w:rPr>
          <w:rFonts w:hint="eastAsia"/>
          <w:szCs w:val="21"/>
        </w:rPr>
        <w:t>8）未通过招标方测试、备案的软件系统和设备不得私自上线运行；</w:t>
      </w:r>
    </w:p>
    <w:p>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pPr>
        <w:spacing w:line="480" w:lineRule="auto"/>
        <w:outlineLvl w:val="0"/>
        <w:rPr>
          <w:rFonts w:hint="eastAsia" w:ascii="黑体" w:hAnsi="黑体" w:eastAsia="黑体"/>
          <w:b/>
          <w:bCs/>
          <w:szCs w:val="21"/>
        </w:rPr>
      </w:pPr>
      <w:bookmarkStart w:id="142" w:name="_Toc5665"/>
      <w:bookmarkStart w:id="143" w:name="_Toc781"/>
      <w:bookmarkStart w:id="144" w:name="_Toc76025496"/>
      <w:bookmarkStart w:id="145" w:name="_Toc28430"/>
      <w:bookmarkStart w:id="146" w:name="_Toc222987417"/>
      <w:r>
        <w:rPr>
          <w:rFonts w:ascii="黑体" w:hAnsi="黑体" w:eastAsia="黑体"/>
          <w:b/>
          <w:bCs/>
          <w:szCs w:val="21"/>
        </w:rPr>
        <w:t xml:space="preserve">6 </w:t>
      </w:r>
      <w:r>
        <w:rPr>
          <w:rFonts w:hint="eastAsia" w:ascii="黑体" w:hAnsi="黑体" w:eastAsia="黑体"/>
          <w:b/>
          <w:bCs/>
          <w:szCs w:val="21"/>
        </w:rPr>
        <w:t>试验项目及要求</w:t>
      </w:r>
      <w:bookmarkEnd w:id="142"/>
      <w:bookmarkEnd w:id="143"/>
      <w:bookmarkEnd w:id="144"/>
      <w:bookmarkEnd w:id="145"/>
      <w:bookmarkEnd w:id="146"/>
    </w:p>
    <w:p>
      <w:pPr>
        <w:pStyle w:val="3"/>
        <w:rPr>
          <w:rFonts w:hint="eastAsia" w:ascii="黑体" w:hAnsi="黑体" w:eastAsia="黑体"/>
          <w:bCs/>
        </w:rPr>
      </w:pPr>
      <w:bookmarkStart w:id="147" w:name="_Toc356999079"/>
      <w:bookmarkStart w:id="148" w:name="_Toc347154881"/>
      <w:bookmarkStart w:id="149" w:name="_Toc265313593"/>
      <w:r>
        <w:rPr>
          <w:rFonts w:ascii="黑体" w:hAnsi="黑体" w:eastAsia="黑体"/>
          <w:b w:val="0"/>
          <w:bCs/>
        </w:rPr>
        <w:t xml:space="preserve">6.1 </w:t>
      </w:r>
      <w:r>
        <w:rPr>
          <w:rFonts w:hint="eastAsia" w:ascii="黑体" w:hAnsi="黑体" w:eastAsia="黑体"/>
          <w:b w:val="0"/>
          <w:bCs/>
        </w:rPr>
        <w:t>结构和外观检查</w:t>
      </w:r>
    </w:p>
    <w:p>
      <w:pPr>
        <w:adjustRightInd w:val="0"/>
        <w:snapToGrid w:val="0"/>
        <w:spacing w:line="360" w:lineRule="auto"/>
        <w:ind w:firstLine="420" w:firstLineChars="200"/>
        <w:jc w:val="left"/>
        <w:rPr>
          <w:szCs w:val="21"/>
        </w:rPr>
      </w:pPr>
      <w:r>
        <w:rPr>
          <w:rFonts w:hint="eastAsia"/>
          <w:szCs w:val="21"/>
        </w:rPr>
        <w:t>（1）试验方法</w:t>
      </w:r>
    </w:p>
    <w:p>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pPr>
        <w:adjustRightInd w:val="0"/>
        <w:snapToGrid w:val="0"/>
        <w:spacing w:line="360" w:lineRule="auto"/>
        <w:ind w:firstLine="420" w:firstLineChars="200"/>
        <w:jc w:val="left"/>
        <w:rPr>
          <w:szCs w:val="21"/>
        </w:rPr>
      </w:pPr>
      <w:r>
        <w:rPr>
          <w:rFonts w:hint="eastAsia"/>
          <w:szCs w:val="21"/>
        </w:rPr>
        <w:t>（2）判定准则</w:t>
      </w:r>
    </w:p>
    <w:p>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pPr>
        <w:pStyle w:val="3"/>
        <w:rPr>
          <w:rFonts w:hint="eastAsia" w:ascii="黑体" w:hAnsi="黑体" w:eastAsia="黑体"/>
          <w:bCs/>
          <w:szCs w:val="21"/>
        </w:rPr>
      </w:pPr>
      <w:r>
        <w:rPr>
          <w:rFonts w:ascii="黑体" w:hAnsi="黑体" w:eastAsia="黑体"/>
          <w:b w:val="0"/>
          <w:bCs/>
          <w:szCs w:val="21"/>
        </w:rPr>
        <w:t xml:space="preserve">6.2 </w:t>
      </w:r>
      <w:r>
        <w:rPr>
          <w:rFonts w:hint="eastAsia" w:ascii="黑体" w:hAnsi="黑体" w:eastAsia="黑体"/>
          <w:b w:val="0"/>
          <w:bCs/>
          <w:szCs w:val="21"/>
        </w:rPr>
        <w:t>环境试验</w:t>
      </w:r>
    </w:p>
    <w:p>
      <w:pPr>
        <w:spacing w:line="360" w:lineRule="auto"/>
        <w:ind w:firstLine="420" w:firstLineChars="200"/>
        <w:rPr>
          <w:szCs w:val="21"/>
        </w:rPr>
      </w:pPr>
      <w:r>
        <w:rPr>
          <w:rFonts w:hint="eastAsia"/>
          <w:szCs w:val="21"/>
        </w:rPr>
        <w:t>6.2.1 低温环境适应性试验</w:t>
      </w:r>
    </w:p>
    <w:p>
      <w:pPr>
        <w:adjustRightInd w:val="0"/>
        <w:snapToGrid w:val="0"/>
        <w:spacing w:line="360" w:lineRule="auto"/>
        <w:ind w:firstLine="420" w:firstLineChars="200"/>
        <w:jc w:val="left"/>
      </w:pPr>
      <w:r>
        <w:rPr>
          <w:rFonts w:hint="eastAsia"/>
          <w:szCs w:val="21"/>
        </w:rPr>
        <w:t>按照、 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pPr>
        <w:pStyle w:val="3"/>
        <w:rPr>
          <w:rFonts w:hint="eastAsia" w:ascii="黑体" w:hAnsi="黑体" w:eastAsia="黑体"/>
          <w:bCs/>
          <w:szCs w:val="21"/>
        </w:rPr>
      </w:pPr>
      <w:r>
        <w:rPr>
          <w:rFonts w:ascii="黑体" w:hAnsi="黑体" w:eastAsia="黑体"/>
          <w:b w:val="0"/>
          <w:bCs/>
          <w:szCs w:val="21"/>
        </w:rPr>
        <w:t xml:space="preserve">6.3 </w:t>
      </w:r>
      <w:r>
        <w:rPr>
          <w:rFonts w:hint="eastAsia" w:ascii="黑体" w:hAnsi="黑体" w:eastAsia="黑体"/>
          <w:b w:val="0"/>
          <w:bCs/>
          <w:szCs w:val="21"/>
        </w:rPr>
        <w:t>功能试验</w:t>
      </w:r>
    </w:p>
    <w:p>
      <w:pPr>
        <w:spacing w:line="360" w:lineRule="auto"/>
        <w:ind w:firstLine="420" w:firstLineChars="200"/>
        <w:rPr>
          <w:szCs w:val="21"/>
        </w:rPr>
      </w:pPr>
      <w:r>
        <w:rPr>
          <w:rFonts w:hint="eastAsia"/>
          <w:szCs w:val="21"/>
        </w:rPr>
        <w:t>6.3.1 自检功能</w:t>
      </w:r>
      <w:r>
        <w:rPr>
          <w:szCs w:val="21"/>
        </w:rPr>
        <w:t>试验</w:t>
      </w:r>
    </w:p>
    <w:p>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pPr>
        <w:adjustRightInd w:val="0"/>
        <w:snapToGrid w:val="0"/>
        <w:spacing w:line="360" w:lineRule="auto"/>
        <w:ind w:firstLine="420" w:firstLineChars="200"/>
        <w:jc w:val="left"/>
      </w:pPr>
      <w:r>
        <w:rPr>
          <w:rFonts w:hint="eastAsia"/>
        </w:rPr>
        <w:t>6.3.10 飞行区域限制功能试验</w:t>
      </w:r>
    </w:p>
    <w:p>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pPr>
        <w:adjustRightInd w:val="0"/>
        <w:snapToGrid w:val="0"/>
        <w:spacing w:line="360" w:lineRule="auto"/>
        <w:ind w:firstLine="420" w:firstLineChars="200"/>
        <w:jc w:val="left"/>
      </w:pPr>
      <w:r>
        <w:rPr>
          <w:rFonts w:hint="eastAsia"/>
        </w:rPr>
        <w:t>6.3.11 低电压报警功能试验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pPr>
        <w:adjustRightInd w:val="0"/>
        <w:snapToGrid w:val="0"/>
        <w:spacing w:line="360" w:lineRule="auto"/>
        <w:ind w:firstLine="420" w:firstLineChars="200"/>
        <w:jc w:val="left"/>
      </w:pPr>
      <w:r>
        <w:rPr>
          <w:rFonts w:hint="eastAsia"/>
        </w:rPr>
        <w:t>6.3.12 位置追踪功能试验</w:t>
      </w:r>
    </w:p>
    <w:p>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pPr>
        <w:adjustRightInd w:val="0"/>
        <w:snapToGrid w:val="0"/>
        <w:spacing w:line="360" w:lineRule="auto"/>
        <w:ind w:firstLine="420" w:firstLineChars="200"/>
        <w:jc w:val="left"/>
      </w:pPr>
      <w:r>
        <w:rPr>
          <w:rFonts w:hint="eastAsia"/>
        </w:rPr>
        <w:t>6.3.13 拍照功能试验</w:t>
      </w:r>
    </w:p>
    <w:p>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pPr>
        <w:adjustRightInd w:val="0"/>
        <w:snapToGrid w:val="0"/>
        <w:spacing w:line="360" w:lineRule="auto"/>
        <w:ind w:firstLine="420" w:firstLineChars="200"/>
        <w:jc w:val="left"/>
      </w:pPr>
      <w:r>
        <w:rPr>
          <w:rFonts w:hint="eastAsia"/>
        </w:rPr>
        <w:t>6.3.14 转动功能试验</w:t>
      </w:r>
    </w:p>
    <w:p>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应至少具备水平和俯仰两个方向的转动性能，各方向转动最大角速度不小于30°/s。水平转动范围宜为n</w:t>
      </w:r>
      <w:r>
        <w:rPr>
          <w:rFonts w:ascii="Arial" w:hAnsi="Arial" w:cs="Arial"/>
        </w:rPr>
        <w:t>×</w:t>
      </w:r>
      <w:r>
        <w:rPr>
          <w:rFonts w:hint="eastAsia"/>
        </w:rPr>
        <w:t>360°也可为-180°~+180°;俯仰转动范围至少为-60°~+30°。</w:t>
      </w:r>
    </w:p>
    <w:p>
      <w:pPr>
        <w:adjustRightInd w:val="0"/>
        <w:snapToGrid w:val="0"/>
        <w:spacing w:line="360" w:lineRule="auto"/>
        <w:ind w:firstLine="420" w:firstLineChars="200"/>
        <w:jc w:val="left"/>
      </w:pPr>
      <w:r>
        <w:rPr>
          <w:rFonts w:hint="eastAsia"/>
        </w:rPr>
        <w:t>6.3.15 稳像精度试验</w:t>
      </w:r>
    </w:p>
    <w:p>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稳像精度不应低于2.0mrad。</w:t>
      </w:r>
    </w:p>
    <w:p>
      <w:pPr>
        <w:adjustRightInd w:val="0"/>
        <w:snapToGrid w:val="0"/>
        <w:spacing w:line="360" w:lineRule="auto"/>
        <w:ind w:firstLine="420" w:firstLineChars="200"/>
        <w:jc w:val="left"/>
      </w:pPr>
      <w:r>
        <w:rPr>
          <w:rFonts w:hint="eastAsia"/>
        </w:rPr>
        <w:t>6.3.16 可见光成像性能试验</w:t>
      </w:r>
    </w:p>
    <w:p>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万，具备变焦功能和自动对焦功能，在距离不小于20m处拍摄的影像中可清晰分辨</w:t>
      </w:r>
      <w:r>
        <w:rPr>
          <w:lang w:bidi="ar"/>
        </w:rPr>
        <w:t>Φ</w:t>
      </w:r>
      <w:r>
        <w:rPr>
          <w:rFonts w:hint="eastAsia"/>
          <w:lang w:bidi="ar"/>
        </w:rPr>
        <w:t>4mm目标，目标轮廓清晰可辨。</w:t>
      </w:r>
    </w:p>
    <w:p>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、精度不低于土2°或测量值乘以±2%（取绝对值大者）</w:t>
      </w:r>
      <w:r>
        <w:rPr>
          <w:rFonts w:hint="eastAsia"/>
          <w:lang w:bidi="ar"/>
        </w:rPr>
        <w:t>。</w:t>
      </w:r>
    </w:p>
    <w:p>
      <w:pPr>
        <w:adjustRightInd w:val="0"/>
        <w:snapToGrid w:val="0"/>
        <w:spacing w:line="360" w:lineRule="auto"/>
        <w:ind w:firstLine="420" w:firstLineChars="200"/>
        <w:jc w:val="left"/>
      </w:pPr>
      <w:r>
        <w:rPr>
          <w:rFonts w:hint="eastAsia"/>
        </w:rPr>
        <w:t>6.3.18 跟踪精度试验</w:t>
      </w:r>
    </w:p>
    <w:p>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pPr>
        <w:pStyle w:val="3"/>
        <w:rPr>
          <w:rFonts w:hint="eastAsia" w:ascii="黑体" w:hAnsi="黑体" w:eastAsia="黑体"/>
          <w:bCs/>
        </w:rPr>
      </w:pPr>
      <w:r>
        <w:rPr>
          <w:rFonts w:ascii="黑体" w:hAnsi="黑体" w:eastAsia="黑体"/>
          <w:b w:val="0"/>
          <w:bCs/>
        </w:rPr>
        <w:t xml:space="preserve">6.4 </w:t>
      </w:r>
      <w:r>
        <w:rPr>
          <w:rFonts w:hint="eastAsia" w:ascii="黑体" w:hAnsi="黑体" w:eastAsia="黑体"/>
          <w:b w:val="0"/>
          <w:bCs/>
        </w:rPr>
        <w:t>电磁兼容试验</w:t>
      </w:r>
    </w:p>
    <w:p>
      <w:pPr>
        <w:adjustRightInd w:val="0"/>
        <w:snapToGrid w:val="0"/>
        <w:spacing w:line="360" w:lineRule="auto"/>
        <w:ind w:firstLine="420" w:firstLineChars="200"/>
        <w:jc w:val="left"/>
      </w:pPr>
      <w:r>
        <w:rPr>
          <w:rFonts w:hint="eastAsia"/>
        </w:rPr>
        <w:t>6.4.1 射频电磁场辐射抗扰度试验</w:t>
      </w:r>
    </w:p>
    <w:p>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pPr>
        <w:adjustRightInd w:val="0"/>
        <w:snapToGrid w:val="0"/>
        <w:spacing w:line="360" w:lineRule="auto"/>
        <w:ind w:firstLine="420" w:firstLineChars="200"/>
        <w:jc w:val="left"/>
      </w:pPr>
      <w:r>
        <w:rPr>
          <w:rFonts w:hint="eastAsia"/>
        </w:rPr>
        <w:t>6.4.2 静电放电抗扰度</w:t>
      </w:r>
    </w:p>
    <w:p>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pPr>
        <w:adjustRightInd w:val="0"/>
        <w:snapToGrid w:val="0"/>
        <w:spacing w:line="360" w:lineRule="auto"/>
        <w:ind w:firstLine="420" w:firstLineChars="200"/>
        <w:jc w:val="left"/>
      </w:pPr>
      <w:r>
        <w:rPr>
          <w:rFonts w:hint="eastAsia"/>
        </w:rPr>
        <w:t>6.4.3 脉冲磁场抗扰度</w:t>
      </w:r>
    </w:p>
    <w:p>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pPr>
        <w:adjustRightInd w:val="0"/>
        <w:snapToGrid w:val="0"/>
        <w:spacing w:line="360" w:lineRule="auto"/>
        <w:ind w:firstLine="420" w:firstLineChars="200"/>
        <w:jc w:val="left"/>
      </w:pPr>
      <w:r>
        <w:rPr>
          <w:rFonts w:hint="eastAsia"/>
        </w:rPr>
        <w:t>6.4.4 工频磁场抗扰度</w:t>
      </w:r>
    </w:p>
    <w:p>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pPr>
        <w:pStyle w:val="3"/>
        <w:rPr>
          <w:rFonts w:hint="eastAsia" w:ascii="黑体" w:hAnsi="黑体" w:eastAsia="黑体"/>
          <w:bCs/>
        </w:rPr>
      </w:pPr>
      <w:r>
        <w:rPr>
          <w:rFonts w:ascii="黑体" w:hAnsi="黑体" w:eastAsia="黑体"/>
          <w:b w:val="0"/>
          <w:bCs/>
        </w:rPr>
        <w:t xml:space="preserve">6.5 </w:t>
      </w:r>
      <w:r>
        <w:rPr>
          <w:rFonts w:hint="eastAsia" w:ascii="黑体" w:hAnsi="黑体" w:eastAsia="黑体"/>
          <w:b w:val="0"/>
          <w:bCs/>
        </w:rPr>
        <w:t>性能试验</w:t>
      </w:r>
    </w:p>
    <w:p>
      <w:pPr>
        <w:adjustRightInd w:val="0"/>
        <w:snapToGrid w:val="0"/>
        <w:spacing w:line="360" w:lineRule="auto"/>
        <w:ind w:firstLine="420" w:firstLineChars="200"/>
        <w:jc w:val="left"/>
      </w:pPr>
      <w:r>
        <w:rPr>
          <w:rFonts w:hint="eastAsia"/>
        </w:rPr>
        <w:t xml:space="preserve">6.5.1 </w:t>
      </w:r>
      <w:r>
        <w:rPr>
          <w:kern w:val="0"/>
          <w:szCs w:val="21"/>
        </w:rPr>
        <w:t>地面站软件性能试验</w:t>
      </w:r>
    </w:p>
    <w:p>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pPr>
        <w:adjustRightInd w:val="0"/>
        <w:snapToGrid w:val="0"/>
        <w:spacing w:line="360" w:lineRule="auto"/>
        <w:ind w:firstLine="420" w:firstLineChars="200"/>
        <w:jc w:val="left"/>
        <w:rPr>
          <w:kern w:val="0"/>
          <w:szCs w:val="21"/>
        </w:rPr>
      </w:pPr>
      <w:r>
        <w:rPr>
          <w:rFonts w:hint="eastAsia"/>
          <w:kern w:val="0"/>
          <w:szCs w:val="21"/>
        </w:rPr>
        <w:t>6.5.2 动力电池性能试验</w:t>
      </w:r>
    </w:p>
    <w:p>
      <w:pPr>
        <w:adjustRightInd w:val="0"/>
        <w:snapToGrid w:val="0"/>
        <w:spacing w:line="360" w:lineRule="auto"/>
        <w:ind w:firstLine="420" w:firstLineChars="200"/>
        <w:jc w:val="left"/>
      </w:pP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pPr>
        <w:adjustRightInd w:val="0"/>
        <w:snapToGrid w:val="0"/>
        <w:spacing w:line="360" w:lineRule="auto"/>
        <w:ind w:firstLine="420" w:firstLineChars="200"/>
        <w:jc w:val="left"/>
      </w:pPr>
      <w:r>
        <w:rPr>
          <w:rFonts w:hint="eastAsia"/>
        </w:rPr>
        <w:t>6.5.4 跌落</w:t>
      </w:r>
      <w:r>
        <w:rPr>
          <w:rFonts w:hint="eastAsia"/>
          <w:kern w:val="0"/>
          <w:szCs w:val="21"/>
        </w:rPr>
        <w:t>性能试验</w:t>
      </w:r>
    </w:p>
    <w:p>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147"/>
    <w:bookmarkEnd w:id="148"/>
    <w:bookmarkEnd w:id="149"/>
    <w:p>
      <w:pPr>
        <w:spacing w:line="480" w:lineRule="auto"/>
        <w:outlineLvl w:val="0"/>
        <w:rPr>
          <w:rFonts w:hint="eastAsia" w:ascii="黑体" w:hAnsi="黑体" w:eastAsia="黑体"/>
          <w:b/>
          <w:bCs/>
          <w:szCs w:val="21"/>
        </w:rPr>
      </w:pPr>
      <w:bookmarkStart w:id="150" w:name="_Toc18540"/>
      <w:bookmarkStart w:id="151" w:name="_Toc222987418"/>
      <w:bookmarkStart w:id="152" w:name="_Toc66780575"/>
      <w:bookmarkStart w:id="153" w:name="_Toc76025497"/>
      <w:bookmarkStart w:id="154" w:name="_Toc21680"/>
      <w:bookmarkStart w:id="155" w:name="_Toc11570"/>
      <w:bookmarkStart w:id="156" w:name="_Toc5506"/>
      <w:r>
        <w:rPr>
          <w:rFonts w:ascii="黑体" w:hAnsi="黑体" w:eastAsia="黑体"/>
          <w:b/>
          <w:bCs/>
          <w:szCs w:val="21"/>
        </w:rPr>
        <w:t xml:space="preserve">7 </w:t>
      </w:r>
      <w:r>
        <w:rPr>
          <w:rFonts w:hint="eastAsia" w:ascii="黑体" w:hAnsi="黑体" w:eastAsia="黑体"/>
          <w:b/>
          <w:bCs/>
          <w:szCs w:val="21"/>
        </w:rPr>
        <w:t>检验规则</w:t>
      </w:r>
      <w:bookmarkEnd w:id="150"/>
      <w:bookmarkEnd w:id="151"/>
    </w:p>
    <w:p>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152"/>
      <w:bookmarkEnd w:id="153"/>
      <w:bookmarkEnd w:id="154"/>
      <w:bookmarkEnd w:id="155"/>
      <w:bookmarkEnd w:id="156"/>
    </w:p>
    <w:p>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pPr>
              <w:jc w:val="center"/>
              <w:rPr>
                <w:kern w:val="0"/>
                <w:sz w:val="20"/>
                <w:szCs w:val="20"/>
              </w:rPr>
            </w:pPr>
            <w:r>
              <w:rPr>
                <w:kern w:val="0"/>
                <w:sz w:val="20"/>
                <w:szCs w:val="20"/>
              </w:rPr>
              <w:t>试验项目</w:t>
            </w:r>
          </w:p>
        </w:tc>
        <w:tc>
          <w:tcPr>
            <w:tcW w:w="5362" w:type="dxa"/>
            <w:gridSpan w:val="6"/>
            <w:vAlign w:val="center"/>
          </w:tcPr>
          <w:p>
            <w:pPr>
              <w:jc w:val="center"/>
              <w:rPr>
                <w:kern w:val="0"/>
                <w:sz w:val="20"/>
                <w:szCs w:val="20"/>
              </w:rPr>
            </w:pPr>
            <w:r>
              <w:rPr>
                <w:rFonts w:hint="eastAsia"/>
                <w:kern w:val="0"/>
                <w:sz w:val="20"/>
                <w:szCs w:val="20"/>
              </w:rPr>
              <w:t>试验类型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pPr>
              <w:widowControl/>
              <w:jc w:val="center"/>
              <w:rPr>
                <w:kern w:val="0"/>
                <w:sz w:val="20"/>
                <w:szCs w:val="20"/>
              </w:rPr>
            </w:pPr>
          </w:p>
        </w:tc>
        <w:tc>
          <w:tcPr>
            <w:tcW w:w="917" w:type="dxa"/>
            <w:vAlign w:val="center"/>
          </w:tcPr>
          <w:p>
            <w:pPr>
              <w:jc w:val="center"/>
              <w:rPr>
                <w:kern w:val="0"/>
                <w:sz w:val="20"/>
                <w:szCs w:val="20"/>
              </w:rPr>
            </w:pPr>
            <w:r>
              <w:rPr>
                <w:rFonts w:hint="eastAsia"/>
                <w:kern w:val="0"/>
                <w:sz w:val="20"/>
                <w:szCs w:val="20"/>
              </w:rPr>
              <w:t>依据条款</w:t>
            </w:r>
          </w:p>
        </w:tc>
        <w:tc>
          <w:tcPr>
            <w:tcW w:w="960" w:type="dxa"/>
            <w:vAlign w:val="center"/>
          </w:tcPr>
          <w:p>
            <w:pPr>
              <w:jc w:val="center"/>
              <w:rPr>
                <w:kern w:val="0"/>
                <w:sz w:val="20"/>
                <w:szCs w:val="20"/>
              </w:rPr>
            </w:pPr>
            <w:r>
              <w:rPr>
                <w:rFonts w:hint="eastAsia"/>
                <w:kern w:val="0"/>
                <w:sz w:val="20"/>
                <w:szCs w:val="20"/>
              </w:rPr>
              <w:t>型式试验</w:t>
            </w:r>
          </w:p>
        </w:tc>
        <w:tc>
          <w:tcPr>
            <w:tcW w:w="845" w:type="dxa"/>
            <w:vAlign w:val="center"/>
          </w:tcPr>
          <w:p>
            <w:pPr>
              <w:jc w:val="center"/>
              <w:rPr>
                <w:kern w:val="0"/>
                <w:sz w:val="20"/>
                <w:szCs w:val="20"/>
              </w:rPr>
            </w:pPr>
            <w:r>
              <w:rPr>
                <w:rFonts w:hint="eastAsia"/>
                <w:kern w:val="0"/>
                <w:sz w:val="20"/>
                <w:szCs w:val="20"/>
              </w:rPr>
              <w:t>出厂试验</w:t>
            </w:r>
          </w:p>
        </w:tc>
        <w:tc>
          <w:tcPr>
            <w:tcW w:w="880" w:type="dxa"/>
            <w:vAlign w:val="center"/>
          </w:tcPr>
          <w:p>
            <w:pPr>
              <w:jc w:val="center"/>
              <w:rPr>
                <w:kern w:val="0"/>
                <w:sz w:val="20"/>
                <w:szCs w:val="20"/>
              </w:rPr>
            </w:pPr>
            <w:r>
              <w:rPr>
                <w:rFonts w:hint="eastAsia"/>
                <w:kern w:val="0"/>
                <w:sz w:val="20"/>
                <w:szCs w:val="20"/>
              </w:rPr>
              <w:t>送样检测</w:t>
            </w:r>
          </w:p>
        </w:tc>
        <w:tc>
          <w:tcPr>
            <w:tcW w:w="880" w:type="dxa"/>
            <w:vAlign w:val="center"/>
          </w:tcPr>
          <w:p>
            <w:pPr>
              <w:jc w:val="center"/>
              <w:rPr>
                <w:kern w:val="0"/>
                <w:sz w:val="20"/>
                <w:szCs w:val="20"/>
              </w:rPr>
            </w:pPr>
            <w:r>
              <w:rPr>
                <w:rFonts w:hint="eastAsia"/>
                <w:kern w:val="0"/>
                <w:sz w:val="20"/>
                <w:szCs w:val="20"/>
              </w:rPr>
              <w:t>专项抽检</w:t>
            </w:r>
          </w:p>
        </w:tc>
        <w:tc>
          <w:tcPr>
            <w:tcW w:w="880" w:type="dxa"/>
            <w:vAlign w:val="center"/>
          </w:tcPr>
          <w:p>
            <w:pPr>
              <w:jc w:val="center"/>
              <w:rPr>
                <w:kern w:val="0"/>
                <w:sz w:val="20"/>
                <w:szCs w:val="20"/>
              </w:rPr>
            </w:pPr>
            <w:r>
              <w:rPr>
                <w:rFonts w:hint="eastAsia"/>
                <w:kern w:val="0"/>
                <w:sz w:val="20"/>
                <w:szCs w:val="20"/>
              </w:rPr>
              <w:t>到货抽检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pPr>
              <w:widowControl/>
              <w:jc w:val="center"/>
              <w:rPr>
                <w:kern w:val="0"/>
                <w:sz w:val="20"/>
                <w:szCs w:val="20"/>
              </w:rPr>
            </w:pPr>
            <w:r>
              <w:rPr>
                <w:kern w:val="0"/>
                <w:sz w:val="20"/>
                <w:szCs w:val="20"/>
              </w:rPr>
              <w:t>一般要求</w:t>
            </w:r>
          </w:p>
        </w:tc>
        <w:tc>
          <w:tcPr>
            <w:tcW w:w="3427" w:type="dxa"/>
            <w:gridSpan w:val="2"/>
            <w:vAlign w:val="center"/>
          </w:tcPr>
          <w:p>
            <w:pPr>
              <w:widowControl/>
              <w:jc w:val="center"/>
              <w:rPr>
                <w:kern w:val="0"/>
                <w:sz w:val="20"/>
                <w:szCs w:val="20"/>
              </w:rPr>
            </w:pPr>
            <w:r>
              <w:rPr>
                <w:kern w:val="0"/>
                <w:sz w:val="20"/>
                <w:szCs w:val="20"/>
              </w:rPr>
              <w:t>外观特性试验</w:t>
            </w:r>
          </w:p>
        </w:tc>
        <w:tc>
          <w:tcPr>
            <w:tcW w:w="917" w:type="dxa"/>
            <w:vAlign w:val="center"/>
          </w:tcPr>
          <w:p>
            <w:pPr>
              <w:widowControl/>
              <w:jc w:val="center"/>
              <w:rPr>
                <w:kern w:val="0"/>
                <w:sz w:val="20"/>
                <w:szCs w:val="20"/>
              </w:rPr>
            </w:pPr>
            <w:r>
              <w:rPr>
                <w:rFonts w:hint="eastAsia"/>
                <w:kern w:val="0"/>
                <w:sz w:val="20"/>
                <w:szCs w:val="20"/>
              </w:rPr>
              <w:t>6.1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pPr>
              <w:widowControl/>
              <w:jc w:val="center"/>
              <w:rPr>
                <w:kern w:val="0"/>
                <w:sz w:val="20"/>
                <w:szCs w:val="20"/>
              </w:rPr>
            </w:pPr>
          </w:p>
        </w:tc>
        <w:tc>
          <w:tcPr>
            <w:tcW w:w="970" w:type="dxa"/>
            <w:vMerge w:val="restart"/>
            <w:vAlign w:val="center"/>
          </w:tcPr>
          <w:p>
            <w:pPr>
              <w:widowControl/>
              <w:jc w:val="center"/>
              <w:rPr>
                <w:kern w:val="0"/>
                <w:sz w:val="20"/>
                <w:szCs w:val="20"/>
              </w:rPr>
            </w:pPr>
            <w:r>
              <w:rPr>
                <w:kern w:val="0"/>
                <w:sz w:val="20"/>
                <w:szCs w:val="20"/>
              </w:rPr>
              <w:t>环境适应性</w:t>
            </w:r>
          </w:p>
        </w:tc>
        <w:tc>
          <w:tcPr>
            <w:tcW w:w="2457" w:type="dxa"/>
            <w:vAlign w:val="center"/>
          </w:tcPr>
          <w:p>
            <w:pPr>
              <w:widowControl/>
              <w:jc w:val="center"/>
              <w:rPr>
                <w:kern w:val="0"/>
                <w:sz w:val="20"/>
                <w:szCs w:val="20"/>
              </w:rPr>
            </w:pPr>
            <w:r>
              <w:rPr>
                <w:kern w:val="0"/>
                <w:sz w:val="20"/>
                <w:szCs w:val="20"/>
              </w:rPr>
              <w:t>低温环境适应性</w:t>
            </w:r>
          </w:p>
        </w:tc>
        <w:tc>
          <w:tcPr>
            <w:tcW w:w="917" w:type="dxa"/>
            <w:vAlign w:val="center"/>
          </w:tcPr>
          <w:p>
            <w:pPr>
              <w:jc w:val="center"/>
              <w:rPr>
                <w:sz w:val="20"/>
                <w:szCs w:val="22"/>
              </w:rPr>
            </w:pPr>
            <w:r>
              <w:rPr>
                <w:rFonts w:hint="eastAsia"/>
                <w:szCs w:val="21"/>
              </w:rPr>
              <w:t>6.2.1</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高温环境适应性</w:t>
            </w:r>
          </w:p>
        </w:tc>
        <w:tc>
          <w:tcPr>
            <w:tcW w:w="917" w:type="dxa"/>
            <w:vAlign w:val="center"/>
          </w:tcPr>
          <w:p>
            <w:pPr>
              <w:jc w:val="center"/>
              <w:rPr>
                <w:sz w:val="20"/>
                <w:szCs w:val="22"/>
              </w:rPr>
            </w:pPr>
            <w:r>
              <w:rPr>
                <w:rFonts w:hint="eastAsia"/>
                <w:szCs w:val="21"/>
              </w:rPr>
              <w:t>6.2.2</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温湿度振动综合环境适应性</w:t>
            </w:r>
          </w:p>
        </w:tc>
        <w:tc>
          <w:tcPr>
            <w:tcW w:w="917" w:type="dxa"/>
            <w:vAlign w:val="center"/>
          </w:tcPr>
          <w:p>
            <w:pPr>
              <w:jc w:val="center"/>
              <w:rPr>
                <w:sz w:val="20"/>
                <w:szCs w:val="22"/>
              </w:rPr>
            </w:pPr>
            <w:r>
              <w:rPr>
                <w:rFonts w:hint="eastAsia"/>
                <w:szCs w:val="21"/>
              </w:rPr>
              <w:t>6.2.3</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海拔适应性能试验</w:t>
            </w:r>
          </w:p>
        </w:tc>
        <w:tc>
          <w:tcPr>
            <w:tcW w:w="917" w:type="dxa"/>
            <w:vAlign w:val="center"/>
          </w:tcPr>
          <w:p>
            <w:pPr>
              <w:jc w:val="center"/>
              <w:rPr>
                <w:sz w:val="20"/>
                <w:szCs w:val="22"/>
              </w:rPr>
            </w:pPr>
            <w:r>
              <w:rPr>
                <w:rFonts w:hint="eastAsia"/>
                <w:szCs w:val="21"/>
              </w:rPr>
              <w:t>6.2.4</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抗风飞行性能试验</w:t>
            </w:r>
          </w:p>
        </w:tc>
        <w:tc>
          <w:tcPr>
            <w:tcW w:w="917" w:type="dxa"/>
            <w:vAlign w:val="center"/>
          </w:tcPr>
          <w:p>
            <w:pPr>
              <w:jc w:val="center"/>
              <w:rPr>
                <w:sz w:val="20"/>
                <w:szCs w:val="22"/>
              </w:rPr>
            </w:pPr>
            <w:r>
              <w:rPr>
                <w:rFonts w:hint="eastAsia"/>
                <w:szCs w:val="21"/>
              </w:rPr>
              <w:t>6.2.5</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抗雨飞行性能试验</w:t>
            </w:r>
          </w:p>
        </w:tc>
        <w:tc>
          <w:tcPr>
            <w:tcW w:w="917" w:type="dxa"/>
            <w:vAlign w:val="center"/>
          </w:tcPr>
          <w:p>
            <w:pPr>
              <w:jc w:val="center"/>
              <w:rPr>
                <w:sz w:val="20"/>
                <w:szCs w:val="22"/>
              </w:rPr>
            </w:pPr>
            <w:r>
              <w:rPr>
                <w:rFonts w:hint="eastAsia"/>
                <w:szCs w:val="21"/>
              </w:rPr>
              <w:t>6.2.6</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pPr>
              <w:jc w:val="center"/>
              <w:rPr>
                <w:sz w:val="20"/>
                <w:szCs w:val="22"/>
              </w:rPr>
            </w:pPr>
            <w:r>
              <w:rPr>
                <w:rFonts w:hint="eastAsia"/>
                <w:szCs w:val="21"/>
              </w:rPr>
              <w:t>6.2.7</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pPr>
              <w:widowControl/>
              <w:jc w:val="center"/>
              <w:rPr>
                <w:kern w:val="0"/>
                <w:sz w:val="20"/>
                <w:szCs w:val="20"/>
              </w:rPr>
            </w:pPr>
            <w:r>
              <w:rPr>
                <w:kern w:val="0"/>
                <w:sz w:val="20"/>
                <w:szCs w:val="20"/>
              </w:rPr>
              <w:t>功能要求</w:t>
            </w:r>
          </w:p>
        </w:tc>
        <w:tc>
          <w:tcPr>
            <w:tcW w:w="970" w:type="dxa"/>
            <w:vMerge w:val="restart"/>
            <w:vAlign w:val="center"/>
          </w:tcPr>
          <w:p>
            <w:pPr>
              <w:widowControl/>
              <w:jc w:val="center"/>
              <w:rPr>
                <w:kern w:val="0"/>
                <w:sz w:val="20"/>
                <w:szCs w:val="20"/>
              </w:rPr>
            </w:pPr>
            <w:r>
              <w:rPr>
                <w:rFonts w:hint="eastAsia"/>
                <w:kern w:val="0"/>
                <w:sz w:val="20"/>
                <w:szCs w:val="20"/>
              </w:rPr>
              <w:t>功能试验</w:t>
            </w:r>
          </w:p>
        </w:tc>
        <w:tc>
          <w:tcPr>
            <w:tcW w:w="2457" w:type="dxa"/>
            <w:vAlign w:val="center"/>
          </w:tcPr>
          <w:p>
            <w:pPr>
              <w:widowControl/>
              <w:jc w:val="center"/>
              <w:rPr>
                <w:kern w:val="0"/>
                <w:sz w:val="20"/>
                <w:szCs w:val="20"/>
              </w:rPr>
            </w:pPr>
            <w:r>
              <w:rPr>
                <w:kern w:val="0"/>
                <w:sz w:val="20"/>
                <w:szCs w:val="20"/>
              </w:rPr>
              <w:t>自检功能试验</w:t>
            </w:r>
          </w:p>
        </w:tc>
        <w:tc>
          <w:tcPr>
            <w:tcW w:w="917" w:type="dxa"/>
            <w:vAlign w:val="center"/>
          </w:tcPr>
          <w:p>
            <w:pPr>
              <w:widowControl/>
              <w:jc w:val="center"/>
              <w:rPr>
                <w:kern w:val="0"/>
                <w:sz w:val="20"/>
                <w:szCs w:val="20"/>
              </w:rPr>
            </w:pPr>
            <w:r>
              <w:rPr>
                <w:rFonts w:hint="eastAsia"/>
                <w:szCs w:val="21"/>
              </w:rPr>
              <w:t>6.3.1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任务规划功能试验</w:t>
            </w:r>
          </w:p>
        </w:tc>
        <w:tc>
          <w:tcPr>
            <w:tcW w:w="917" w:type="dxa"/>
            <w:vAlign w:val="center"/>
          </w:tcPr>
          <w:p>
            <w:pPr>
              <w:widowControl/>
              <w:jc w:val="center"/>
              <w:rPr>
                <w:kern w:val="0"/>
                <w:sz w:val="20"/>
                <w:szCs w:val="20"/>
              </w:rPr>
            </w:pPr>
            <w:r>
              <w:rPr>
                <w:rFonts w:hint="eastAsia"/>
                <w:szCs w:val="21"/>
              </w:rPr>
              <w:t>6.3.2</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飞行模式及切换功能试验</w:t>
            </w:r>
          </w:p>
        </w:tc>
        <w:tc>
          <w:tcPr>
            <w:tcW w:w="917" w:type="dxa"/>
            <w:vAlign w:val="center"/>
          </w:tcPr>
          <w:p>
            <w:pPr>
              <w:widowControl/>
              <w:jc w:val="center"/>
              <w:rPr>
                <w:kern w:val="0"/>
                <w:sz w:val="20"/>
                <w:szCs w:val="20"/>
              </w:rPr>
            </w:pPr>
            <w:r>
              <w:rPr>
                <w:rFonts w:hint="eastAsia"/>
                <w:szCs w:val="21"/>
              </w:rPr>
              <w:t>6.3.3</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导航定位偏差试验</w:t>
            </w:r>
          </w:p>
        </w:tc>
        <w:tc>
          <w:tcPr>
            <w:tcW w:w="917" w:type="dxa"/>
            <w:vAlign w:val="center"/>
          </w:tcPr>
          <w:p>
            <w:pPr>
              <w:widowControl/>
              <w:jc w:val="center"/>
              <w:rPr>
                <w:kern w:val="0"/>
                <w:sz w:val="20"/>
                <w:szCs w:val="20"/>
              </w:rPr>
            </w:pPr>
            <w:r>
              <w:rPr>
                <w:rFonts w:hint="eastAsia"/>
                <w:szCs w:val="21"/>
              </w:rPr>
              <w:t>6.3.4</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飞行控制偏差试验</w:t>
            </w:r>
          </w:p>
        </w:tc>
        <w:tc>
          <w:tcPr>
            <w:tcW w:w="917" w:type="dxa"/>
            <w:vAlign w:val="center"/>
          </w:tcPr>
          <w:p>
            <w:pPr>
              <w:widowControl/>
              <w:jc w:val="center"/>
              <w:rPr>
                <w:kern w:val="0"/>
                <w:sz w:val="20"/>
                <w:szCs w:val="20"/>
              </w:rPr>
            </w:pPr>
            <w:r>
              <w:rPr>
                <w:rFonts w:hint="eastAsia"/>
                <w:szCs w:val="21"/>
              </w:rPr>
              <w:t>6.3.5</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悬停控制偏差试验</w:t>
            </w:r>
          </w:p>
        </w:tc>
        <w:tc>
          <w:tcPr>
            <w:tcW w:w="917" w:type="dxa"/>
            <w:vAlign w:val="center"/>
          </w:tcPr>
          <w:p>
            <w:pPr>
              <w:widowControl/>
              <w:jc w:val="center"/>
              <w:rPr>
                <w:kern w:val="0"/>
                <w:sz w:val="20"/>
                <w:szCs w:val="20"/>
              </w:rPr>
            </w:pPr>
            <w:r>
              <w:rPr>
                <w:rFonts w:hint="eastAsia"/>
                <w:szCs w:val="21"/>
              </w:rPr>
              <w:t>6.3.6</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机头重定向功能试验</w:t>
            </w:r>
          </w:p>
        </w:tc>
        <w:tc>
          <w:tcPr>
            <w:tcW w:w="917" w:type="dxa"/>
            <w:vAlign w:val="center"/>
          </w:tcPr>
          <w:p>
            <w:pPr>
              <w:widowControl/>
              <w:jc w:val="center"/>
              <w:rPr>
                <w:kern w:val="0"/>
                <w:sz w:val="20"/>
                <w:szCs w:val="20"/>
              </w:rPr>
            </w:pPr>
            <w:r>
              <w:rPr>
                <w:rFonts w:hint="eastAsia"/>
                <w:szCs w:val="21"/>
              </w:rPr>
              <w:t>6.3.7</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一键返航功能试验</w:t>
            </w:r>
          </w:p>
        </w:tc>
        <w:tc>
          <w:tcPr>
            <w:tcW w:w="917" w:type="dxa"/>
            <w:vAlign w:val="center"/>
          </w:tcPr>
          <w:p>
            <w:pPr>
              <w:widowControl/>
              <w:jc w:val="center"/>
              <w:rPr>
                <w:kern w:val="0"/>
                <w:sz w:val="20"/>
                <w:szCs w:val="20"/>
              </w:rPr>
            </w:pPr>
            <w:r>
              <w:rPr>
                <w:rFonts w:hint="eastAsia"/>
                <w:szCs w:val="21"/>
              </w:rPr>
              <w:t>6.3.8</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链路中断返航功能试验</w:t>
            </w:r>
          </w:p>
        </w:tc>
        <w:tc>
          <w:tcPr>
            <w:tcW w:w="917" w:type="dxa"/>
            <w:vAlign w:val="center"/>
          </w:tcPr>
          <w:p>
            <w:pPr>
              <w:widowControl/>
              <w:jc w:val="center"/>
              <w:rPr>
                <w:kern w:val="0"/>
                <w:sz w:val="20"/>
                <w:szCs w:val="20"/>
              </w:rPr>
            </w:pPr>
            <w:r>
              <w:rPr>
                <w:rFonts w:hint="eastAsia"/>
                <w:szCs w:val="21"/>
              </w:rPr>
              <w:t>6.3.9</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飞行区域限制功能试验</w:t>
            </w:r>
          </w:p>
        </w:tc>
        <w:tc>
          <w:tcPr>
            <w:tcW w:w="917" w:type="dxa"/>
            <w:vAlign w:val="center"/>
          </w:tcPr>
          <w:p>
            <w:pPr>
              <w:widowControl/>
              <w:jc w:val="center"/>
              <w:rPr>
                <w:kern w:val="0"/>
                <w:sz w:val="20"/>
                <w:szCs w:val="20"/>
              </w:rPr>
            </w:pPr>
            <w:r>
              <w:rPr>
                <w:rFonts w:hint="eastAsia"/>
                <w:szCs w:val="21"/>
              </w:rPr>
              <w:t>6.3.10</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低电压报警功能试验</w:t>
            </w:r>
          </w:p>
        </w:tc>
        <w:tc>
          <w:tcPr>
            <w:tcW w:w="917" w:type="dxa"/>
            <w:vAlign w:val="center"/>
          </w:tcPr>
          <w:p>
            <w:pPr>
              <w:widowControl/>
              <w:jc w:val="center"/>
              <w:rPr>
                <w:kern w:val="0"/>
                <w:sz w:val="20"/>
                <w:szCs w:val="20"/>
              </w:rPr>
            </w:pPr>
            <w:r>
              <w:rPr>
                <w:rFonts w:hint="eastAsia"/>
                <w:szCs w:val="21"/>
              </w:rPr>
              <w:t>6.3.11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位置追踪功能试验</w:t>
            </w:r>
          </w:p>
        </w:tc>
        <w:tc>
          <w:tcPr>
            <w:tcW w:w="917" w:type="dxa"/>
            <w:vAlign w:val="center"/>
          </w:tcPr>
          <w:p>
            <w:pPr>
              <w:widowControl/>
              <w:jc w:val="center"/>
              <w:rPr>
                <w:kern w:val="0"/>
                <w:sz w:val="20"/>
                <w:szCs w:val="20"/>
              </w:rPr>
            </w:pPr>
            <w:r>
              <w:rPr>
                <w:rFonts w:hint="eastAsia"/>
                <w:szCs w:val="21"/>
              </w:rPr>
              <w:t>6.3.12</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拍照功能试验</w:t>
            </w:r>
          </w:p>
        </w:tc>
        <w:tc>
          <w:tcPr>
            <w:tcW w:w="917" w:type="dxa"/>
            <w:vAlign w:val="center"/>
          </w:tcPr>
          <w:p>
            <w:pPr>
              <w:widowControl/>
              <w:jc w:val="center"/>
              <w:rPr>
                <w:kern w:val="0"/>
                <w:sz w:val="20"/>
                <w:szCs w:val="20"/>
              </w:rPr>
            </w:pPr>
            <w:r>
              <w:rPr>
                <w:rFonts w:hint="eastAsia"/>
                <w:szCs w:val="21"/>
              </w:rPr>
              <w:t>6.3.13</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转动功能试验</w:t>
            </w:r>
          </w:p>
        </w:tc>
        <w:tc>
          <w:tcPr>
            <w:tcW w:w="917" w:type="dxa"/>
            <w:vAlign w:val="center"/>
          </w:tcPr>
          <w:p>
            <w:pPr>
              <w:widowControl/>
              <w:jc w:val="center"/>
              <w:rPr>
                <w:kern w:val="0"/>
                <w:sz w:val="20"/>
                <w:szCs w:val="20"/>
              </w:rPr>
            </w:pPr>
            <w:r>
              <w:rPr>
                <w:rFonts w:hint="eastAsia"/>
                <w:szCs w:val="21"/>
              </w:rPr>
              <w:t>6.3.14</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稳像精度试验</w:t>
            </w:r>
          </w:p>
        </w:tc>
        <w:tc>
          <w:tcPr>
            <w:tcW w:w="917" w:type="dxa"/>
            <w:vAlign w:val="center"/>
          </w:tcPr>
          <w:p>
            <w:pPr>
              <w:widowControl/>
              <w:jc w:val="center"/>
              <w:rPr>
                <w:kern w:val="0"/>
                <w:sz w:val="20"/>
                <w:szCs w:val="20"/>
              </w:rPr>
            </w:pPr>
            <w:r>
              <w:rPr>
                <w:rFonts w:hint="eastAsia"/>
                <w:szCs w:val="21"/>
              </w:rPr>
              <w:t>6.3.15</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可见光成像性能试验</w:t>
            </w:r>
          </w:p>
        </w:tc>
        <w:tc>
          <w:tcPr>
            <w:tcW w:w="917" w:type="dxa"/>
            <w:vAlign w:val="center"/>
          </w:tcPr>
          <w:p>
            <w:pPr>
              <w:widowControl/>
              <w:jc w:val="center"/>
              <w:rPr>
                <w:kern w:val="0"/>
                <w:sz w:val="20"/>
                <w:szCs w:val="20"/>
              </w:rPr>
            </w:pPr>
            <w:r>
              <w:rPr>
                <w:rFonts w:hint="eastAsia"/>
                <w:szCs w:val="21"/>
              </w:rPr>
              <w:t>6.3.16</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红外成像性能试验</w:t>
            </w:r>
          </w:p>
        </w:tc>
        <w:tc>
          <w:tcPr>
            <w:tcW w:w="917" w:type="dxa"/>
            <w:vAlign w:val="center"/>
          </w:tcPr>
          <w:p>
            <w:pPr>
              <w:widowControl/>
              <w:jc w:val="center"/>
              <w:rPr>
                <w:szCs w:val="21"/>
              </w:rPr>
            </w:pPr>
            <w:r>
              <w:rPr>
                <w:rFonts w:hint="eastAsia"/>
                <w:szCs w:val="21"/>
              </w:rPr>
              <w:t>6.3.17</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b/>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跟踪精度试验</w:t>
            </w:r>
          </w:p>
        </w:tc>
        <w:tc>
          <w:tcPr>
            <w:tcW w:w="917" w:type="dxa"/>
            <w:vAlign w:val="center"/>
          </w:tcPr>
          <w:p>
            <w:pPr>
              <w:widowControl/>
              <w:jc w:val="center"/>
              <w:rPr>
                <w:kern w:val="0"/>
                <w:sz w:val="20"/>
                <w:szCs w:val="20"/>
              </w:rPr>
            </w:pPr>
            <w:r>
              <w:rPr>
                <w:rFonts w:hint="eastAsia"/>
                <w:szCs w:val="21"/>
              </w:rPr>
              <w:t>6.3.18</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pPr>
              <w:widowControl/>
              <w:jc w:val="center"/>
              <w:rPr>
                <w:kern w:val="0"/>
                <w:sz w:val="20"/>
                <w:szCs w:val="20"/>
              </w:rPr>
            </w:pPr>
            <w:r>
              <w:rPr>
                <w:kern w:val="0"/>
                <w:sz w:val="20"/>
                <w:szCs w:val="20"/>
              </w:rPr>
              <w:t>性能要求</w:t>
            </w:r>
          </w:p>
        </w:tc>
        <w:tc>
          <w:tcPr>
            <w:tcW w:w="970" w:type="dxa"/>
            <w:vMerge w:val="restart"/>
            <w:vAlign w:val="center"/>
          </w:tcPr>
          <w:p>
            <w:pPr>
              <w:widowControl/>
              <w:jc w:val="center"/>
              <w:rPr>
                <w:kern w:val="0"/>
                <w:sz w:val="20"/>
                <w:szCs w:val="20"/>
              </w:rPr>
            </w:pPr>
            <w:r>
              <w:rPr>
                <w:kern w:val="0"/>
                <w:sz w:val="20"/>
                <w:szCs w:val="20"/>
              </w:rPr>
              <w:t>抗电磁干扰性能</w:t>
            </w:r>
          </w:p>
        </w:tc>
        <w:tc>
          <w:tcPr>
            <w:tcW w:w="2457" w:type="dxa"/>
            <w:vAlign w:val="center"/>
          </w:tcPr>
          <w:p>
            <w:pPr>
              <w:widowControl/>
              <w:jc w:val="center"/>
              <w:rPr>
                <w:kern w:val="0"/>
                <w:sz w:val="20"/>
                <w:szCs w:val="20"/>
              </w:rPr>
            </w:pPr>
            <w:r>
              <w:rPr>
                <w:kern w:val="0"/>
                <w:sz w:val="20"/>
                <w:szCs w:val="20"/>
              </w:rPr>
              <w:t>射频电磁场辐射抗扰度</w:t>
            </w:r>
          </w:p>
        </w:tc>
        <w:tc>
          <w:tcPr>
            <w:tcW w:w="917" w:type="dxa"/>
            <w:vAlign w:val="center"/>
          </w:tcPr>
          <w:p>
            <w:pPr>
              <w:widowControl/>
              <w:jc w:val="center"/>
              <w:rPr>
                <w:sz w:val="20"/>
                <w:szCs w:val="22"/>
              </w:rPr>
            </w:pPr>
            <w:r>
              <w:rPr>
                <w:rFonts w:hint="eastAsia"/>
                <w:szCs w:val="21"/>
              </w:rPr>
              <w:t>6.4.1</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静电放电抗扰度</w:t>
            </w:r>
          </w:p>
        </w:tc>
        <w:tc>
          <w:tcPr>
            <w:tcW w:w="917" w:type="dxa"/>
            <w:vAlign w:val="center"/>
          </w:tcPr>
          <w:p>
            <w:pPr>
              <w:jc w:val="center"/>
              <w:rPr>
                <w:sz w:val="20"/>
                <w:szCs w:val="22"/>
              </w:rPr>
            </w:pPr>
            <w:r>
              <w:rPr>
                <w:rFonts w:hint="eastAsia"/>
                <w:szCs w:val="21"/>
              </w:rPr>
              <w:t>6.4.2</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脉冲磁场抗扰度</w:t>
            </w:r>
          </w:p>
        </w:tc>
        <w:tc>
          <w:tcPr>
            <w:tcW w:w="917" w:type="dxa"/>
            <w:vAlign w:val="center"/>
          </w:tcPr>
          <w:p>
            <w:pPr>
              <w:jc w:val="center"/>
              <w:rPr>
                <w:sz w:val="20"/>
                <w:szCs w:val="22"/>
              </w:rPr>
            </w:pPr>
            <w:r>
              <w:rPr>
                <w:rFonts w:hint="eastAsia"/>
                <w:szCs w:val="21"/>
              </w:rPr>
              <w:t>6.4.3</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工频磁场抗扰度</w:t>
            </w:r>
          </w:p>
        </w:tc>
        <w:tc>
          <w:tcPr>
            <w:tcW w:w="917" w:type="dxa"/>
            <w:vAlign w:val="center"/>
          </w:tcPr>
          <w:p>
            <w:pPr>
              <w:jc w:val="center"/>
              <w:rPr>
                <w:sz w:val="20"/>
                <w:szCs w:val="22"/>
              </w:rPr>
            </w:pPr>
            <w:r>
              <w:rPr>
                <w:rFonts w:hint="eastAsia"/>
                <w:szCs w:val="21"/>
              </w:rPr>
              <w:t>6.4.4</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pPr>
              <w:widowControl/>
              <w:jc w:val="center"/>
              <w:rPr>
                <w:kern w:val="0"/>
                <w:sz w:val="20"/>
                <w:szCs w:val="20"/>
              </w:rPr>
            </w:pPr>
          </w:p>
        </w:tc>
        <w:tc>
          <w:tcPr>
            <w:tcW w:w="970" w:type="dxa"/>
            <w:vMerge w:val="restart"/>
            <w:vAlign w:val="center"/>
          </w:tcPr>
          <w:p>
            <w:pPr>
              <w:widowControl/>
              <w:jc w:val="center"/>
              <w:rPr>
                <w:kern w:val="0"/>
                <w:sz w:val="20"/>
                <w:szCs w:val="20"/>
              </w:rPr>
            </w:pPr>
            <w:r>
              <w:rPr>
                <w:rFonts w:hint="eastAsia"/>
                <w:kern w:val="0"/>
                <w:sz w:val="20"/>
                <w:szCs w:val="20"/>
              </w:rPr>
              <w:t>性能试验</w:t>
            </w:r>
          </w:p>
        </w:tc>
        <w:tc>
          <w:tcPr>
            <w:tcW w:w="2457" w:type="dxa"/>
            <w:vAlign w:val="center"/>
          </w:tcPr>
          <w:p>
            <w:pPr>
              <w:widowControl/>
              <w:jc w:val="center"/>
              <w:rPr>
                <w:kern w:val="0"/>
                <w:sz w:val="20"/>
                <w:szCs w:val="20"/>
              </w:rPr>
            </w:pPr>
            <w:r>
              <w:rPr>
                <w:kern w:val="0"/>
                <w:sz w:val="20"/>
                <w:szCs w:val="20"/>
              </w:rPr>
              <w:t>地面站软件性能试验</w:t>
            </w:r>
          </w:p>
        </w:tc>
        <w:tc>
          <w:tcPr>
            <w:tcW w:w="917" w:type="dxa"/>
            <w:vAlign w:val="center"/>
          </w:tcPr>
          <w:p>
            <w:pPr>
              <w:widowControl/>
              <w:jc w:val="center"/>
              <w:rPr>
                <w:szCs w:val="21"/>
              </w:rPr>
            </w:pPr>
            <w:r>
              <w:rPr>
                <w:rFonts w:hint="eastAsia"/>
                <w:szCs w:val="21"/>
              </w:rPr>
              <w:t>6.5.1</w:t>
            </w:r>
          </w:p>
        </w:tc>
        <w:tc>
          <w:tcPr>
            <w:tcW w:w="960" w:type="dxa"/>
            <w:vAlign w:val="center"/>
          </w:tcPr>
          <w:p>
            <w:pPr>
              <w:widowControl/>
              <w:jc w:val="center"/>
              <w:rPr>
                <w:kern w:val="0"/>
                <w:sz w:val="20"/>
                <w:szCs w:val="20"/>
              </w:rPr>
            </w:pPr>
            <w:r>
              <w:rPr>
                <w:sz w:val="16"/>
                <w:szCs w:val="16"/>
              </w:rPr>
              <w:t>●</w:t>
            </w:r>
          </w:p>
        </w:tc>
        <w:tc>
          <w:tcPr>
            <w:tcW w:w="845" w:type="dxa"/>
            <w:vAlign w:val="center"/>
          </w:tcPr>
          <w:p>
            <w:pPr>
              <w:widowControl/>
              <w:jc w:val="center"/>
              <w:rPr>
                <w:kern w:val="0"/>
                <w:sz w:val="20"/>
                <w:szCs w:val="20"/>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c>
          <w:tcPr>
            <w:tcW w:w="880" w:type="dxa"/>
            <w:vAlign w:val="center"/>
          </w:tcPr>
          <w:p>
            <w:pPr>
              <w:widowControl/>
              <w:jc w:val="center"/>
              <w:rPr>
                <w:sz w:val="16"/>
                <w:szCs w:val="16"/>
              </w:rPr>
            </w:pPr>
            <w:r>
              <w:rPr>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pPr>
              <w:widowControl/>
              <w:jc w:val="center"/>
              <w:rPr>
                <w:szCs w:val="21"/>
              </w:rPr>
            </w:pPr>
            <w:r>
              <w:rPr>
                <w:rFonts w:hint="eastAsia"/>
                <w:szCs w:val="21"/>
              </w:rPr>
              <w:t>6.5.2</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pPr>
              <w:widowControl/>
              <w:jc w:val="center"/>
              <w:rPr>
                <w:szCs w:val="21"/>
              </w:rPr>
            </w:pPr>
            <w:r>
              <w:rPr>
                <w:rFonts w:hint="eastAsia"/>
                <w:szCs w:val="21"/>
              </w:rPr>
              <w:t>6.5.3</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pPr>
              <w:widowControl/>
              <w:jc w:val="center"/>
              <w:rPr>
                <w:kern w:val="0"/>
                <w:sz w:val="20"/>
                <w:szCs w:val="20"/>
              </w:rPr>
            </w:pPr>
          </w:p>
        </w:tc>
        <w:tc>
          <w:tcPr>
            <w:tcW w:w="970" w:type="dxa"/>
            <w:vMerge w:val="continue"/>
            <w:vAlign w:val="center"/>
          </w:tcPr>
          <w:p>
            <w:pPr>
              <w:widowControl/>
              <w:jc w:val="center"/>
              <w:rPr>
                <w:kern w:val="0"/>
                <w:sz w:val="20"/>
                <w:szCs w:val="20"/>
              </w:rPr>
            </w:pPr>
          </w:p>
        </w:tc>
        <w:tc>
          <w:tcPr>
            <w:tcW w:w="2457" w:type="dxa"/>
            <w:vAlign w:val="center"/>
          </w:tcPr>
          <w:p>
            <w:pPr>
              <w:widowControl/>
              <w:jc w:val="center"/>
              <w:rPr>
                <w:kern w:val="0"/>
                <w:sz w:val="20"/>
                <w:szCs w:val="20"/>
              </w:rPr>
            </w:pPr>
            <w:r>
              <w:rPr>
                <w:rFonts w:hint="eastAsia"/>
                <w:kern w:val="0"/>
                <w:sz w:val="20"/>
                <w:szCs w:val="20"/>
              </w:rPr>
              <w:t>跌落性能试验</w:t>
            </w:r>
          </w:p>
        </w:tc>
        <w:tc>
          <w:tcPr>
            <w:tcW w:w="917" w:type="dxa"/>
            <w:vAlign w:val="center"/>
          </w:tcPr>
          <w:p>
            <w:pPr>
              <w:widowControl/>
              <w:jc w:val="center"/>
              <w:rPr>
                <w:szCs w:val="21"/>
              </w:rPr>
            </w:pPr>
            <w:r>
              <w:rPr>
                <w:rFonts w:hint="eastAsia"/>
                <w:szCs w:val="21"/>
              </w:rPr>
              <w:t>6.5.4</w:t>
            </w:r>
          </w:p>
        </w:tc>
        <w:tc>
          <w:tcPr>
            <w:tcW w:w="960" w:type="dxa"/>
            <w:vAlign w:val="center"/>
          </w:tcPr>
          <w:p>
            <w:pPr>
              <w:jc w:val="center"/>
              <w:rPr>
                <w:sz w:val="20"/>
                <w:szCs w:val="22"/>
              </w:rPr>
            </w:pPr>
            <w:r>
              <w:rPr>
                <w:sz w:val="16"/>
                <w:szCs w:val="16"/>
              </w:rPr>
              <w:t>●</w:t>
            </w:r>
          </w:p>
        </w:tc>
        <w:tc>
          <w:tcPr>
            <w:tcW w:w="845" w:type="dxa"/>
            <w:vAlign w:val="center"/>
          </w:tcPr>
          <w:p>
            <w:pPr>
              <w:jc w:val="center"/>
              <w:rPr>
                <w:sz w:val="20"/>
                <w:szCs w:val="22"/>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c>
          <w:tcPr>
            <w:tcW w:w="880" w:type="dxa"/>
            <w:vAlign w:val="center"/>
          </w:tcPr>
          <w:p>
            <w:pPr>
              <w:jc w:val="center"/>
              <w:rPr>
                <w:b/>
                <w:sz w:val="16"/>
                <w:szCs w:val="16"/>
              </w:rPr>
            </w:pPr>
            <w:r>
              <w:rPr>
                <w:b/>
                <w:sz w:val="16"/>
                <w:szCs w:val="16"/>
              </w:rPr>
              <w:t>○</w:t>
            </w:r>
          </w:p>
        </w:tc>
      </w:tr>
    </w:tbl>
    <w:p>
      <w:pPr>
        <w:pStyle w:val="452"/>
        <w:numPr>
          <w:ilvl w:val="0"/>
          <w:numId w:val="0"/>
        </w:numPr>
        <w:ind w:left="425"/>
        <w:rPr>
          <w:rFonts w:cs="Times New Roman"/>
          <w:color w:val="auto"/>
        </w:rPr>
      </w:pPr>
      <w:r>
        <w:rPr>
          <w:rFonts w:cs="Times New Roman"/>
          <w:color w:val="auto"/>
        </w:rPr>
        <w:t>备注：</w:t>
      </w:r>
    </w:p>
    <w:p>
      <w:pPr>
        <w:pStyle w:val="452"/>
        <w:numPr>
          <w:ilvl w:val="0"/>
          <w:numId w:val="43"/>
        </w:numPr>
        <w:tabs>
          <w:tab w:val="clear" w:pos="900"/>
        </w:tabs>
        <w:spacing w:before="0" w:after="0" w:line="240" w:lineRule="auto"/>
        <w:ind w:left="780" w:hanging="360"/>
        <w:rPr>
          <w:rFonts w:cs="Times New Roman"/>
          <w:color w:val="auto"/>
          <w:sz w:val="18"/>
          <w:szCs w:val="18"/>
        </w:rPr>
      </w:pPr>
      <w:r>
        <w:rPr>
          <w:rFonts w:cs="Times New Roman"/>
          <w:color w:val="auto"/>
          <w:sz w:val="18"/>
          <w:szCs w:val="18"/>
        </w:rPr>
        <w:t>●为必须开展的试验项目；</w:t>
      </w:r>
      <w:r>
        <w:rPr>
          <w:rFonts w:cs="Times New Roman"/>
          <w:b/>
          <w:color w:val="auto"/>
          <w:sz w:val="18"/>
          <w:szCs w:val="18"/>
        </w:rPr>
        <w:t>○</w:t>
      </w:r>
      <w:r>
        <w:rPr>
          <w:rFonts w:cs="Times New Roman"/>
          <w:color w:val="auto"/>
          <w:sz w:val="18"/>
          <w:szCs w:val="18"/>
        </w:rPr>
        <w:t>为选做试验项目（由项目单位决定试验方案）；</w:t>
      </w:r>
      <w:r>
        <w:rPr>
          <w:rFonts w:cs="Times New Roman"/>
          <w:b/>
          <w:color w:val="auto"/>
          <w:sz w:val="18"/>
          <w:szCs w:val="18"/>
        </w:rPr>
        <w:t>×</w:t>
      </w:r>
      <w:r>
        <w:rPr>
          <w:rFonts w:cs="Times New Roman"/>
          <w:color w:val="auto"/>
          <w:sz w:val="18"/>
          <w:szCs w:val="18"/>
        </w:rPr>
        <w:t>为无需开展的试验项目。</w:t>
      </w:r>
    </w:p>
    <w:p>
      <w:pPr>
        <w:pStyle w:val="452"/>
        <w:numPr>
          <w:ilvl w:val="0"/>
          <w:numId w:val="43"/>
        </w:numPr>
        <w:tabs>
          <w:tab w:val="clear" w:pos="900"/>
        </w:tabs>
        <w:spacing w:before="0" w:after="0" w:line="240" w:lineRule="auto"/>
        <w:ind w:left="780" w:hanging="360"/>
        <w:rPr>
          <w:rFonts w:cs="Times New Roman"/>
          <w:color w:val="auto"/>
        </w:rPr>
      </w:pPr>
      <w:r>
        <w:rPr>
          <w:rFonts w:cs="Times New Roman"/>
          <w:color w:val="auto"/>
          <w:sz w:val="18"/>
          <w:szCs w:val="18"/>
        </w:rPr>
        <w:t>第三方试验由具备相应试验项目资质的机构开展。</w:t>
      </w:r>
    </w:p>
    <w:p>
      <w:pPr>
        <w:adjustRightInd w:val="0"/>
        <w:snapToGrid w:val="0"/>
        <w:spacing w:line="360" w:lineRule="auto"/>
        <w:ind w:firstLine="360" w:firstLineChars="200"/>
        <w:rPr>
          <w:szCs w:val="21"/>
        </w:rPr>
      </w:pPr>
      <w:r>
        <w:rPr>
          <w:sz w:val="18"/>
          <w:szCs w:val="18"/>
        </w:rPr>
        <w:t>出厂试验由供货方开展</w:t>
      </w:r>
      <w:r>
        <w:rPr>
          <w:rFonts w:hint="eastAsia"/>
          <w:szCs w:val="21"/>
        </w:rPr>
        <w:t>。</w:t>
      </w:r>
    </w:p>
    <w:p>
      <w:pPr>
        <w:spacing w:line="480" w:lineRule="auto"/>
        <w:outlineLvl w:val="0"/>
        <w:rPr>
          <w:rFonts w:hint="eastAsia" w:ascii="黑体" w:hAnsi="黑体" w:eastAsia="黑体"/>
          <w:b/>
          <w:bCs/>
          <w:szCs w:val="21"/>
        </w:rPr>
      </w:pPr>
      <w:bookmarkStart w:id="157" w:name="_Toc76025498"/>
      <w:bookmarkStart w:id="158" w:name="_Toc21828"/>
      <w:bookmarkStart w:id="159" w:name="_Toc27494"/>
      <w:bookmarkStart w:id="160" w:name="_Toc9628"/>
      <w:bookmarkStart w:id="161" w:name="_Toc222987419"/>
      <w:r>
        <w:rPr>
          <w:rFonts w:ascii="黑体" w:hAnsi="黑体" w:eastAsia="黑体"/>
          <w:b/>
          <w:bCs/>
          <w:szCs w:val="21"/>
        </w:rPr>
        <w:t xml:space="preserve">8 </w:t>
      </w:r>
      <w:r>
        <w:rPr>
          <w:rFonts w:hint="eastAsia" w:ascii="黑体" w:hAnsi="黑体" w:eastAsia="黑体"/>
          <w:b/>
          <w:bCs/>
          <w:szCs w:val="21"/>
        </w:rPr>
        <w:t>技术联络、技术培训及售后服务</w:t>
      </w:r>
      <w:bookmarkEnd w:id="157"/>
      <w:bookmarkEnd w:id="158"/>
      <w:bookmarkEnd w:id="159"/>
      <w:bookmarkEnd w:id="160"/>
      <w:bookmarkEnd w:id="161"/>
    </w:p>
    <w:p>
      <w:pPr>
        <w:pStyle w:val="3"/>
        <w:spacing w:before="0" w:after="0" w:line="360" w:lineRule="auto"/>
        <w:rPr>
          <w:rFonts w:hint="eastAsia" w:ascii="黑体" w:hAnsi="黑体" w:eastAsia="黑体"/>
          <w:b w:val="0"/>
          <w:bCs/>
          <w:szCs w:val="21"/>
        </w:rPr>
      </w:pPr>
      <w:bookmarkStart w:id="162" w:name="_Toc2212"/>
      <w:bookmarkStart w:id="163" w:name="_Toc222987420"/>
      <w:bookmarkStart w:id="164" w:name="_Toc76025499"/>
      <w:bookmarkStart w:id="165" w:name="_Toc11779"/>
      <w:bookmarkStart w:id="166" w:name="_Toc11986"/>
      <w:r>
        <w:rPr>
          <w:rFonts w:ascii="黑体" w:hAnsi="黑体" w:eastAsia="黑体"/>
          <w:b w:val="0"/>
          <w:bCs/>
          <w:szCs w:val="21"/>
        </w:rPr>
        <w:t xml:space="preserve">8.1 </w:t>
      </w:r>
      <w:r>
        <w:rPr>
          <w:rFonts w:hint="eastAsia" w:ascii="黑体" w:hAnsi="黑体" w:eastAsia="黑体"/>
          <w:b w:val="0"/>
          <w:bCs/>
          <w:szCs w:val="21"/>
        </w:rPr>
        <w:t>技术培训</w:t>
      </w:r>
      <w:bookmarkEnd w:id="162"/>
      <w:bookmarkEnd w:id="163"/>
      <w:bookmarkEnd w:id="164"/>
      <w:bookmarkEnd w:id="165"/>
      <w:bookmarkEnd w:id="166"/>
    </w:p>
    <w:p>
      <w:pPr>
        <w:spacing w:line="360" w:lineRule="auto"/>
        <w:ind w:firstLine="420" w:firstLineChars="200"/>
        <w:rPr>
          <w:szCs w:val="21"/>
        </w:rPr>
      </w:pPr>
      <w:r>
        <w:rPr>
          <w:rFonts w:hint="eastAsia"/>
          <w:szCs w:val="21"/>
        </w:rPr>
        <w:t>8.1.1 投标方应对用户提供技术培训和操作指导，投标方负责培训全部费用。</w:t>
      </w:r>
    </w:p>
    <w:p>
      <w:pPr>
        <w:spacing w:line="360" w:lineRule="auto"/>
        <w:ind w:firstLine="420" w:firstLineChars="200"/>
        <w:rPr>
          <w:szCs w:val="21"/>
        </w:rPr>
      </w:pPr>
      <w:r>
        <w:rPr>
          <w:rFonts w:hint="eastAsia"/>
          <w:szCs w:val="21"/>
        </w:rPr>
        <w:t>8.1.2 投标方提供培训应分为工厂培训和现场培训两种；</w:t>
      </w:r>
    </w:p>
    <w:p>
      <w:pPr>
        <w:spacing w:line="360" w:lineRule="auto"/>
        <w:ind w:firstLine="420" w:firstLineChars="200"/>
        <w:rPr>
          <w:szCs w:val="21"/>
        </w:rPr>
      </w:pPr>
      <w:r>
        <w:rPr>
          <w:rFonts w:hint="eastAsia"/>
          <w:szCs w:val="21"/>
        </w:rPr>
        <w:t>8.1.3 投标方提供培训教师、培训安排、培训教材及培训设备；</w:t>
      </w:r>
    </w:p>
    <w:p>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pPr>
        <w:spacing w:line="360" w:lineRule="auto"/>
        <w:ind w:firstLine="420" w:firstLineChars="200"/>
        <w:rPr>
          <w:szCs w:val="21"/>
        </w:rPr>
      </w:pPr>
      <w:r>
        <w:rPr>
          <w:rFonts w:hint="eastAsia"/>
          <w:szCs w:val="21"/>
        </w:rPr>
        <w:t>8.1.6 培训人员每次不少3人；</w:t>
      </w:r>
    </w:p>
    <w:p>
      <w:pPr>
        <w:pStyle w:val="3"/>
        <w:spacing w:before="0" w:after="0" w:line="360" w:lineRule="auto"/>
        <w:rPr>
          <w:rFonts w:hint="eastAsia" w:ascii="黑体" w:hAnsi="黑体" w:eastAsia="黑体"/>
          <w:b w:val="0"/>
          <w:bCs/>
          <w:szCs w:val="21"/>
        </w:rPr>
      </w:pPr>
      <w:bookmarkStart w:id="167" w:name="_Toc23280"/>
      <w:bookmarkStart w:id="168" w:name="_Toc76025500"/>
      <w:bookmarkStart w:id="169" w:name="_Toc222987421"/>
      <w:bookmarkStart w:id="170" w:name="_Toc16410"/>
      <w:bookmarkStart w:id="171" w:name="_Toc9885"/>
      <w:r>
        <w:rPr>
          <w:rFonts w:ascii="黑体" w:hAnsi="黑体" w:eastAsia="黑体"/>
          <w:b w:val="0"/>
          <w:bCs/>
          <w:szCs w:val="21"/>
        </w:rPr>
        <w:t xml:space="preserve">8.2 </w:t>
      </w:r>
      <w:r>
        <w:rPr>
          <w:rFonts w:hint="eastAsia" w:ascii="黑体" w:hAnsi="黑体" w:eastAsia="黑体"/>
          <w:b w:val="0"/>
          <w:bCs/>
          <w:szCs w:val="21"/>
        </w:rPr>
        <w:t>现场及远程技术服务</w:t>
      </w:r>
      <w:bookmarkEnd w:id="167"/>
      <w:bookmarkEnd w:id="168"/>
      <w:bookmarkEnd w:id="169"/>
      <w:bookmarkEnd w:id="170"/>
      <w:bookmarkEnd w:id="171"/>
    </w:p>
    <w:p>
      <w:pPr>
        <w:spacing w:line="360" w:lineRule="auto"/>
        <w:ind w:firstLine="420" w:firstLineChars="200"/>
        <w:rPr>
          <w:szCs w:val="21"/>
        </w:rPr>
      </w:pPr>
      <w:r>
        <w:rPr>
          <w:rFonts w:hint="eastAsia"/>
          <w:szCs w:val="21"/>
        </w:rPr>
        <w:t>8.2.1 投标方派出的工程师，在设备的安装接线、调试和测试期间，应负责指导。</w:t>
      </w:r>
    </w:p>
    <w:p>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pPr>
        <w:pStyle w:val="3"/>
        <w:spacing w:before="0" w:after="0" w:line="360" w:lineRule="auto"/>
        <w:rPr>
          <w:rFonts w:hint="eastAsia" w:ascii="黑体" w:hAnsi="黑体" w:eastAsia="黑体"/>
          <w:b w:val="0"/>
          <w:bCs/>
          <w:szCs w:val="21"/>
        </w:rPr>
      </w:pPr>
      <w:bookmarkStart w:id="172" w:name="_Toc3146"/>
      <w:bookmarkStart w:id="173" w:name="_Toc76025501"/>
      <w:bookmarkStart w:id="174" w:name="_Toc222987422"/>
      <w:bookmarkStart w:id="175" w:name="_Toc26710"/>
      <w:bookmarkStart w:id="176" w:name="_Toc29243"/>
      <w:r>
        <w:rPr>
          <w:rFonts w:ascii="黑体" w:hAnsi="黑体" w:eastAsia="黑体"/>
          <w:b w:val="0"/>
          <w:bCs/>
          <w:szCs w:val="21"/>
        </w:rPr>
        <w:t xml:space="preserve">8.3 </w:t>
      </w:r>
      <w:r>
        <w:rPr>
          <w:rFonts w:hint="eastAsia" w:ascii="黑体" w:hAnsi="黑体" w:eastAsia="黑体"/>
          <w:b w:val="0"/>
          <w:bCs/>
          <w:szCs w:val="21"/>
        </w:rPr>
        <w:t>售后服务</w:t>
      </w:r>
      <w:bookmarkEnd w:id="172"/>
      <w:bookmarkEnd w:id="173"/>
      <w:bookmarkEnd w:id="174"/>
      <w:bookmarkEnd w:id="175"/>
      <w:bookmarkEnd w:id="176"/>
    </w:p>
    <w:p>
      <w:pPr>
        <w:spacing w:line="360" w:lineRule="auto"/>
        <w:ind w:firstLine="420" w:firstLineChars="200"/>
        <w:rPr>
          <w:szCs w:val="21"/>
        </w:rPr>
      </w:pPr>
      <w:r>
        <w:rPr>
          <w:rFonts w:hint="eastAsia"/>
          <w:szCs w:val="21"/>
        </w:rPr>
        <w:t>8.3.1 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pPr>
        <w:spacing w:line="360" w:lineRule="auto"/>
        <w:ind w:firstLine="420" w:firstLineChars="200"/>
        <w:rPr>
          <w:szCs w:val="21"/>
        </w:rPr>
      </w:pPr>
      <w:r>
        <w:rPr>
          <w:rFonts w:hint="eastAsia"/>
          <w:szCs w:val="21"/>
        </w:rPr>
        <w:t>8.3.2 在接到招标方通知后，投标方虽努力改进，但仍不满足相关要求，招标方可处理或更换这些设备，由此引起的一切费用由投标方承担。</w:t>
      </w:r>
    </w:p>
    <w:p>
      <w:pPr>
        <w:spacing w:line="360" w:lineRule="auto"/>
        <w:ind w:firstLine="420" w:firstLineChars="200"/>
        <w:rPr>
          <w:szCs w:val="21"/>
        </w:rPr>
      </w:pPr>
      <w:r>
        <w:rPr>
          <w:rFonts w:hint="eastAsia"/>
          <w:szCs w:val="21"/>
        </w:rPr>
        <w:t>8.3.</w:t>
      </w:r>
      <w:r>
        <w:rPr>
          <w:rFonts w:hint="eastAsia"/>
          <w:szCs w:val="21"/>
          <w:lang w:val="en-US" w:eastAsia="zh-CN"/>
        </w:rPr>
        <w:t>3</w:t>
      </w:r>
      <w:r>
        <w:rPr>
          <w:rFonts w:hint="eastAsia"/>
          <w:szCs w:val="21"/>
        </w:rPr>
        <w:t xml:space="preserve"> 投标单位应提高售后处理服务水平和质量，质保期内在接到使用单位报障后，应在15日内处理完毕，确保使用单位策略按时完成。</w:t>
      </w:r>
    </w:p>
    <w:p>
      <w:pPr>
        <w:spacing w:line="480" w:lineRule="auto"/>
        <w:outlineLvl w:val="0"/>
        <w:rPr>
          <w:rFonts w:hint="eastAsia" w:ascii="黑体" w:hAnsi="黑体" w:eastAsia="黑体"/>
          <w:b/>
          <w:bCs/>
          <w:szCs w:val="21"/>
        </w:rPr>
      </w:pPr>
      <w:bookmarkStart w:id="177" w:name="_Toc347154882"/>
      <w:bookmarkStart w:id="178" w:name="_Toc356999080"/>
      <w:bookmarkStart w:id="179" w:name="_Toc76025502"/>
      <w:bookmarkStart w:id="180" w:name="_Toc222987423"/>
      <w:bookmarkStart w:id="181" w:name="_Toc20285"/>
      <w:bookmarkStart w:id="182" w:name="_Toc30030"/>
      <w:bookmarkStart w:id="183" w:name="_Toc28748"/>
      <w:bookmarkStart w:id="184" w:name="_Toc265313600"/>
      <w:r>
        <w:rPr>
          <w:rFonts w:ascii="黑体" w:hAnsi="黑体" w:eastAsia="黑体"/>
          <w:b/>
          <w:bCs/>
          <w:szCs w:val="21"/>
        </w:rPr>
        <w:t xml:space="preserve">9 </w:t>
      </w:r>
      <w:r>
        <w:rPr>
          <w:rFonts w:hint="eastAsia" w:ascii="黑体" w:hAnsi="黑体" w:eastAsia="黑体"/>
          <w:b/>
          <w:bCs/>
          <w:szCs w:val="21"/>
        </w:rPr>
        <w:t>标志、包装、运输、贮存</w:t>
      </w:r>
      <w:bookmarkEnd w:id="177"/>
      <w:bookmarkEnd w:id="178"/>
      <w:bookmarkEnd w:id="179"/>
      <w:bookmarkEnd w:id="180"/>
      <w:bookmarkEnd w:id="181"/>
      <w:bookmarkEnd w:id="182"/>
      <w:bookmarkEnd w:id="183"/>
    </w:p>
    <w:bookmarkEnd w:id="184"/>
    <w:p>
      <w:pPr>
        <w:pStyle w:val="3"/>
        <w:keepNext w:val="0"/>
        <w:tabs>
          <w:tab w:val="left" w:pos="576"/>
        </w:tabs>
        <w:adjustRightInd w:val="0"/>
        <w:snapToGrid w:val="0"/>
        <w:spacing w:before="0" w:after="0" w:line="360" w:lineRule="auto"/>
        <w:rPr>
          <w:rFonts w:hint="eastAsia" w:ascii="黑体" w:hAnsi="黑体" w:eastAsia="黑体"/>
          <w:b w:val="0"/>
          <w:bCs/>
          <w:szCs w:val="21"/>
        </w:rPr>
      </w:pPr>
      <w:bookmarkStart w:id="185" w:name="_Toc276301528"/>
      <w:bookmarkStart w:id="186" w:name="_Toc76025503"/>
      <w:bookmarkStart w:id="187" w:name="_Toc26560"/>
      <w:bookmarkStart w:id="188" w:name="_Toc282993364"/>
      <w:bookmarkStart w:id="189" w:name="_Toc22883"/>
      <w:bookmarkStart w:id="190" w:name="_Toc276490918"/>
      <w:bookmarkStart w:id="191" w:name="_Toc222987424"/>
      <w:bookmarkStart w:id="192" w:name="_Toc279695209"/>
      <w:bookmarkStart w:id="193" w:name="_Toc20607"/>
      <w:bookmarkStart w:id="194" w:name="_Toc282433760"/>
      <w:bookmarkStart w:id="195" w:name="_Toc387609309"/>
      <w:bookmarkStart w:id="196" w:name="_Toc276492436"/>
      <w:bookmarkStart w:id="197" w:name="_Toc322681878"/>
      <w:bookmarkStart w:id="198" w:name="_Toc441508857"/>
      <w:bookmarkStart w:id="199" w:name="_Toc66780580"/>
      <w:r>
        <w:rPr>
          <w:rFonts w:ascii="黑体" w:hAnsi="黑体" w:eastAsia="黑体"/>
          <w:b w:val="0"/>
          <w:bCs/>
          <w:szCs w:val="21"/>
        </w:rPr>
        <w:t xml:space="preserve">9.1 </w:t>
      </w:r>
      <w:r>
        <w:rPr>
          <w:rFonts w:hint="eastAsia" w:ascii="黑体" w:hAnsi="黑体" w:eastAsia="黑体"/>
          <w:b w:val="0"/>
          <w:bCs/>
          <w:szCs w:val="21"/>
        </w:rPr>
        <w:t>包装</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adjustRightInd w:val="0"/>
        <w:snapToGrid w:val="0"/>
        <w:spacing w:line="360" w:lineRule="auto"/>
        <w:ind w:firstLine="420" w:firstLineChars="200"/>
        <w:rPr>
          <w:szCs w:val="21"/>
        </w:rPr>
      </w:pPr>
      <w:bookmarkStart w:id="200" w:name="_Toc276492437"/>
      <w:bookmarkStart w:id="201" w:name="_Toc276301529"/>
      <w:bookmarkStart w:id="202" w:name="_Toc27649091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pPr>
        <w:adjustRightInd w:val="0"/>
        <w:snapToGrid w:val="0"/>
        <w:spacing w:line="360" w:lineRule="auto"/>
        <w:ind w:firstLine="630" w:firstLineChars="300"/>
        <w:rPr>
          <w:szCs w:val="21"/>
        </w:rPr>
      </w:pPr>
      <w:r>
        <w:rPr>
          <w:rFonts w:hint="eastAsia"/>
          <w:szCs w:val="21"/>
        </w:rPr>
        <w:t>a.合同号</w:t>
      </w:r>
      <w:r>
        <w:rPr>
          <w:szCs w:val="21"/>
        </w:rPr>
        <w:t>；</w:t>
      </w:r>
    </w:p>
    <w:p>
      <w:pPr>
        <w:adjustRightInd w:val="0"/>
        <w:snapToGrid w:val="0"/>
        <w:spacing w:line="360" w:lineRule="auto"/>
        <w:ind w:firstLine="630" w:firstLineChars="300"/>
        <w:rPr>
          <w:szCs w:val="21"/>
        </w:rPr>
      </w:pPr>
      <w:r>
        <w:rPr>
          <w:rFonts w:hint="eastAsia"/>
          <w:szCs w:val="21"/>
        </w:rPr>
        <w:t>d.收货人及代码</w:t>
      </w:r>
      <w:r>
        <w:rPr>
          <w:szCs w:val="21"/>
        </w:rPr>
        <w:t>；</w:t>
      </w:r>
    </w:p>
    <w:p>
      <w:pPr>
        <w:adjustRightInd w:val="0"/>
        <w:snapToGrid w:val="0"/>
        <w:spacing w:line="360" w:lineRule="auto"/>
        <w:ind w:firstLine="630" w:firstLineChars="300"/>
        <w:rPr>
          <w:szCs w:val="21"/>
        </w:rPr>
      </w:pPr>
      <w:r>
        <w:rPr>
          <w:rFonts w:hint="eastAsia"/>
          <w:szCs w:val="21"/>
        </w:rPr>
        <w:t>e.设备名称和项目号</w:t>
      </w:r>
      <w:r>
        <w:rPr>
          <w:szCs w:val="21"/>
        </w:rPr>
        <w:t>；</w:t>
      </w:r>
    </w:p>
    <w:p>
      <w:pPr>
        <w:adjustRightInd w:val="0"/>
        <w:snapToGrid w:val="0"/>
        <w:spacing w:line="360" w:lineRule="auto"/>
        <w:ind w:firstLine="630" w:firstLineChars="300"/>
        <w:rPr>
          <w:szCs w:val="21"/>
        </w:rPr>
      </w:pPr>
      <w:r>
        <w:rPr>
          <w:rFonts w:hint="eastAsia"/>
          <w:szCs w:val="21"/>
        </w:rPr>
        <w:t>f.箱号</w:t>
      </w:r>
      <w:r>
        <w:rPr>
          <w:szCs w:val="21"/>
        </w:rPr>
        <w:t>；</w:t>
      </w:r>
    </w:p>
    <w:p>
      <w:pPr>
        <w:adjustRightInd w:val="0"/>
        <w:snapToGrid w:val="0"/>
        <w:spacing w:line="360" w:lineRule="auto"/>
        <w:ind w:firstLine="630" w:firstLineChars="300"/>
        <w:rPr>
          <w:szCs w:val="21"/>
        </w:rPr>
      </w:pPr>
      <w:r>
        <w:rPr>
          <w:rFonts w:hint="eastAsia"/>
          <w:szCs w:val="21"/>
        </w:rPr>
        <w:t>g.毛重与净重</w:t>
      </w:r>
      <w:r>
        <w:rPr>
          <w:szCs w:val="21"/>
        </w:rPr>
        <w:t>；</w:t>
      </w:r>
    </w:p>
    <w:p>
      <w:pPr>
        <w:adjustRightInd w:val="0"/>
        <w:snapToGrid w:val="0"/>
        <w:spacing w:line="360" w:lineRule="auto"/>
        <w:ind w:firstLine="630" w:firstLineChars="300"/>
        <w:rPr>
          <w:szCs w:val="21"/>
        </w:rPr>
      </w:pPr>
      <w:r>
        <w:rPr>
          <w:rFonts w:hint="eastAsia"/>
          <w:szCs w:val="21"/>
        </w:rPr>
        <w:t>h.外形尺寸</w:t>
      </w:r>
      <w:r>
        <w:rPr>
          <w:szCs w:val="21"/>
        </w:rPr>
        <w:t>；</w:t>
      </w:r>
    </w:p>
    <w:p>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pPr>
        <w:adjustRightInd w:val="0"/>
        <w:snapToGrid w:val="0"/>
        <w:spacing w:line="360" w:lineRule="auto"/>
        <w:ind w:firstLine="630" w:firstLineChars="300"/>
        <w:rPr>
          <w:szCs w:val="21"/>
        </w:rPr>
      </w:pPr>
      <w:r>
        <w:rPr>
          <w:rFonts w:hint="eastAsia"/>
          <w:szCs w:val="21"/>
        </w:rPr>
        <w:t>a.合同号</w:t>
      </w:r>
      <w:r>
        <w:rPr>
          <w:szCs w:val="21"/>
        </w:rPr>
        <w:t>；</w:t>
      </w:r>
    </w:p>
    <w:p>
      <w:pPr>
        <w:adjustRightInd w:val="0"/>
        <w:snapToGrid w:val="0"/>
        <w:spacing w:line="360" w:lineRule="auto"/>
        <w:ind w:firstLine="630" w:firstLineChars="300"/>
        <w:rPr>
          <w:szCs w:val="21"/>
        </w:rPr>
      </w:pPr>
      <w:r>
        <w:rPr>
          <w:rFonts w:hint="eastAsia"/>
          <w:szCs w:val="21"/>
        </w:rPr>
        <w:t>b.收货人</w:t>
      </w:r>
      <w:r>
        <w:rPr>
          <w:szCs w:val="21"/>
        </w:rPr>
        <w:t>；</w:t>
      </w:r>
    </w:p>
    <w:p>
      <w:pPr>
        <w:adjustRightInd w:val="0"/>
        <w:snapToGrid w:val="0"/>
        <w:spacing w:line="360" w:lineRule="auto"/>
        <w:ind w:firstLine="630" w:firstLineChars="300"/>
        <w:rPr>
          <w:szCs w:val="21"/>
        </w:rPr>
      </w:pPr>
      <w:r>
        <w:rPr>
          <w:rFonts w:hint="eastAsia"/>
          <w:szCs w:val="21"/>
        </w:rPr>
        <w:t>c.目的地</w:t>
      </w:r>
      <w:r>
        <w:rPr>
          <w:szCs w:val="21"/>
        </w:rPr>
        <w:t>；</w:t>
      </w:r>
    </w:p>
    <w:p>
      <w:pPr>
        <w:adjustRightInd w:val="0"/>
        <w:snapToGrid w:val="0"/>
        <w:spacing w:line="360" w:lineRule="auto"/>
        <w:ind w:firstLine="630" w:firstLineChars="300"/>
        <w:rPr>
          <w:szCs w:val="21"/>
        </w:rPr>
      </w:pPr>
      <w:r>
        <w:rPr>
          <w:rFonts w:hint="eastAsia"/>
          <w:szCs w:val="21"/>
        </w:rPr>
        <w:t>d.毛重</w:t>
      </w:r>
      <w:r>
        <w:rPr>
          <w:szCs w:val="21"/>
        </w:rPr>
        <w:t>；</w:t>
      </w:r>
    </w:p>
    <w:p>
      <w:pPr>
        <w:adjustRightInd w:val="0"/>
        <w:snapToGrid w:val="0"/>
        <w:spacing w:line="360" w:lineRule="auto"/>
        <w:ind w:firstLine="630" w:firstLineChars="300"/>
        <w:rPr>
          <w:szCs w:val="21"/>
        </w:rPr>
      </w:pPr>
      <w:r>
        <w:rPr>
          <w:rFonts w:hint="eastAsia"/>
          <w:szCs w:val="21"/>
        </w:rPr>
        <w:t>e.箱号。</w:t>
      </w:r>
    </w:p>
    <w:p>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pPr>
        <w:adjustRightInd w:val="0"/>
        <w:snapToGrid w:val="0"/>
        <w:spacing w:line="360" w:lineRule="auto"/>
        <w:ind w:firstLine="630" w:firstLineChars="300"/>
        <w:rPr>
          <w:szCs w:val="21"/>
        </w:rPr>
      </w:pPr>
      <w:r>
        <w:rPr>
          <w:rFonts w:hint="eastAsia"/>
          <w:szCs w:val="21"/>
        </w:rPr>
        <w:t>a.设备名称</w:t>
      </w:r>
      <w:r>
        <w:rPr>
          <w:szCs w:val="21"/>
        </w:rPr>
        <w:t>；</w:t>
      </w:r>
    </w:p>
    <w:p>
      <w:pPr>
        <w:adjustRightInd w:val="0"/>
        <w:snapToGrid w:val="0"/>
        <w:spacing w:line="360" w:lineRule="auto"/>
        <w:ind w:firstLine="630" w:firstLineChars="300"/>
        <w:rPr>
          <w:szCs w:val="21"/>
        </w:rPr>
      </w:pPr>
      <w:r>
        <w:rPr>
          <w:rFonts w:hint="eastAsia"/>
          <w:szCs w:val="21"/>
        </w:rPr>
        <w:t>b.件数、件号、重量</w:t>
      </w:r>
      <w:r>
        <w:rPr>
          <w:szCs w:val="21"/>
        </w:rPr>
        <w:t>；</w:t>
      </w:r>
    </w:p>
    <w:p>
      <w:pPr>
        <w:adjustRightInd w:val="0"/>
        <w:snapToGrid w:val="0"/>
        <w:spacing w:line="360" w:lineRule="auto"/>
        <w:ind w:firstLine="630" w:firstLineChars="300"/>
        <w:rPr>
          <w:szCs w:val="21"/>
        </w:rPr>
      </w:pPr>
      <w:r>
        <w:rPr>
          <w:rFonts w:hint="eastAsia"/>
          <w:szCs w:val="21"/>
        </w:rPr>
        <w:t>c.合同号</w:t>
      </w:r>
      <w:r>
        <w:rPr>
          <w:szCs w:val="21"/>
        </w:rPr>
        <w:t>；</w:t>
      </w:r>
    </w:p>
    <w:p>
      <w:pPr>
        <w:adjustRightInd w:val="0"/>
        <w:snapToGrid w:val="0"/>
        <w:spacing w:line="360" w:lineRule="auto"/>
        <w:ind w:firstLine="630" w:firstLineChars="300"/>
        <w:rPr>
          <w:szCs w:val="21"/>
        </w:rPr>
      </w:pPr>
      <w:r>
        <w:rPr>
          <w:rFonts w:hint="eastAsia"/>
          <w:szCs w:val="21"/>
        </w:rPr>
        <w:t>d.货运单号</w:t>
      </w:r>
      <w:r>
        <w:rPr>
          <w:szCs w:val="21"/>
        </w:rPr>
        <w:t>；</w:t>
      </w:r>
    </w:p>
    <w:p>
      <w:pPr>
        <w:adjustRightInd w:val="0"/>
        <w:snapToGrid w:val="0"/>
        <w:spacing w:line="360" w:lineRule="auto"/>
        <w:ind w:firstLine="630" w:firstLineChars="300"/>
        <w:rPr>
          <w:szCs w:val="21"/>
        </w:rPr>
      </w:pPr>
      <w:r>
        <w:rPr>
          <w:rFonts w:hint="eastAsia"/>
          <w:szCs w:val="21"/>
        </w:rPr>
        <w:t>f.设备发出日期。</w:t>
      </w:r>
    </w:p>
    <w:p>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pPr>
        <w:pStyle w:val="3"/>
        <w:keepNext w:val="0"/>
        <w:numPr>
          <w:ilvl w:val="255"/>
          <w:numId w:val="0"/>
        </w:numPr>
        <w:spacing w:before="0" w:after="0" w:line="360" w:lineRule="auto"/>
        <w:rPr>
          <w:rFonts w:hint="eastAsia" w:ascii="黑体" w:hAnsi="黑体" w:eastAsia="黑体"/>
          <w:b w:val="0"/>
          <w:bCs/>
          <w:szCs w:val="21"/>
        </w:rPr>
      </w:pPr>
      <w:bookmarkStart w:id="203" w:name="_Toc21787"/>
      <w:bookmarkStart w:id="204" w:name="_Toc282993365"/>
      <w:bookmarkStart w:id="205" w:name="_Toc322681879"/>
      <w:bookmarkStart w:id="206" w:name="_Toc222987425"/>
      <w:bookmarkStart w:id="207" w:name="_Toc282433761"/>
      <w:bookmarkStart w:id="208" w:name="_Toc279695210"/>
      <w:bookmarkStart w:id="209" w:name="_Toc441508858"/>
      <w:bookmarkStart w:id="210" w:name="_Toc387609310"/>
      <w:bookmarkStart w:id="211" w:name="_Toc28140"/>
      <w:bookmarkStart w:id="212" w:name="_Toc9547"/>
      <w:bookmarkStart w:id="213" w:name="_Toc66780581"/>
      <w:bookmarkStart w:id="214" w:name="_Toc76025504"/>
      <w:r>
        <w:rPr>
          <w:rFonts w:ascii="黑体" w:hAnsi="黑体" w:eastAsia="黑体"/>
          <w:b w:val="0"/>
          <w:bCs/>
          <w:szCs w:val="21"/>
        </w:rPr>
        <w:t xml:space="preserve">9.2 </w:t>
      </w:r>
      <w:r>
        <w:rPr>
          <w:rFonts w:hint="eastAsia" w:ascii="黑体" w:hAnsi="黑体" w:eastAsia="黑体"/>
          <w:b w:val="0"/>
          <w:bCs/>
          <w:szCs w:val="21"/>
        </w:rPr>
        <w:t>运输</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pPr>
        <w:pStyle w:val="3"/>
        <w:keepNext w:val="0"/>
        <w:numPr>
          <w:ilvl w:val="255"/>
          <w:numId w:val="0"/>
        </w:numPr>
        <w:spacing w:before="0" w:after="0" w:line="360" w:lineRule="auto"/>
        <w:rPr>
          <w:rFonts w:hint="eastAsia" w:ascii="黑体" w:hAnsi="黑体" w:eastAsia="黑体"/>
          <w:b w:val="0"/>
          <w:bCs/>
          <w:szCs w:val="21"/>
        </w:rPr>
      </w:pPr>
      <w:bookmarkStart w:id="215" w:name="_Toc276492438"/>
      <w:bookmarkStart w:id="216" w:name="_Toc276301530"/>
      <w:bookmarkStart w:id="217" w:name="_Toc276490920"/>
      <w:bookmarkStart w:id="218" w:name="_Toc387609311"/>
      <w:bookmarkStart w:id="219" w:name="_Toc441508859"/>
      <w:bookmarkStart w:id="220" w:name="_Toc66780582"/>
      <w:bookmarkStart w:id="221" w:name="_Toc322681880"/>
      <w:bookmarkStart w:id="222" w:name="_Toc282993366"/>
      <w:bookmarkStart w:id="223" w:name="_Toc282433762"/>
      <w:bookmarkStart w:id="224" w:name="_Toc29575"/>
      <w:bookmarkStart w:id="225" w:name="_Toc76025505"/>
      <w:bookmarkStart w:id="226" w:name="_Toc279695211"/>
      <w:bookmarkStart w:id="227" w:name="_Toc19897"/>
      <w:bookmarkStart w:id="228" w:name="_Toc22501"/>
      <w:bookmarkStart w:id="229" w:name="_Toc222987426"/>
      <w:r>
        <w:rPr>
          <w:rFonts w:ascii="黑体" w:hAnsi="黑体" w:eastAsia="黑体"/>
          <w:b w:val="0"/>
          <w:bCs/>
          <w:szCs w:val="21"/>
        </w:rPr>
        <w:t xml:space="preserve">9.3 </w:t>
      </w:r>
      <w:r>
        <w:rPr>
          <w:rFonts w:hint="eastAsia" w:ascii="黑体" w:hAnsi="黑体" w:eastAsia="黑体"/>
          <w:b w:val="0"/>
          <w:bCs/>
          <w:szCs w:val="21"/>
        </w:rPr>
        <w:t>组装</w:t>
      </w:r>
      <w:bookmarkEnd w:id="215"/>
      <w:bookmarkEnd w:id="216"/>
      <w:bookmarkEnd w:id="217"/>
      <w:r>
        <w:rPr>
          <w:rFonts w:hint="eastAsia" w:ascii="黑体" w:hAnsi="黑体" w:eastAsia="黑体"/>
          <w:b w:val="0"/>
          <w:bCs/>
          <w:szCs w:val="21"/>
        </w:rPr>
        <w:t>指导</w:t>
      </w:r>
      <w:bookmarkEnd w:id="218"/>
      <w:bookmarkEnd w:id="219"/>
      <w:bookmarkEnd w:id="220"/>
      <w:bookmarkEnd w:id="221"/>
      <w:bookmarkEnd w:id="222"/>
      <w:bookmarkEnd w:id="223"/>
      <w:bookmarkEnd w:id="224"/>
      <w:bookmarkEnd w:id="225"/>
      <w:bookmarkEnd w:id="226"/>
      <w:bookmarkEnd w:id="227"/>
      <w:bookmarkEnd w:id="228"/>
      <w:bookmarkEnd w:id="229"/>
    </w:p>
    <w:p>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pPr>
        <w:pStyle w:val="3"/>
        <w:keepNext w:val="0"/>
        <w:numPr>
          <w:ilvl w:val="255"/>
          <w:numId w:val="0"/>
        </w:numPr>
        <w:spacing w:before="0" w:after="0" w:line="360" w:lineRule="auto"/>
        <w:rPr>
          <w:rFonts w:hint="eastAsia" w:ascii="黑体" w:hAnsi="黑体" w:eastAsia="黑体"/>
          <w:b w:val="0"/>
          <w:bCs/>
          <w:szCs w:val="21"/>
        </w:rPr>
      </w:pPr>
      <w:bookmarkStart w:id="230" w:name="_Toc16709"/>
      <w:bookmarkStart w:id="231" w:name="_Toc3697"/>
      <w:bookmarkStart w:id="232" w:name="_Toc282993367"/>
      <w:bookmarkStart w:id="233" w:name="_Toc25635"/>
      <w:bookmarkStart w:id="234" w:name="_Toc222987427"/>
      <w:bookmarkStart w:id="235" w:name="_Toc76025506"/>
      <w:bookmarkStart w:id="236" w:name="_Toc441508860"/>
      <w:bookmarkStart w:id="237" w:name="_Toc282433763"/>
      <w:bookmarkStart w:id="238" w:name="_Toc66780583"/>
      <w:bookmarkStart w:id="239" w:name="_Toc322681881"/>
      <w:bookmarkStart w:id="240" w:name="_Toc387609312"/>
      <w:r>
        <w:rPr>
          <w:rFonts w:ascii="黑体" w:hAnsi="黑体" w:eastAsia="黑体"/>
          <w:b w:val="0"/>
          <w:bCs/>
          <w:szCs w:val="21"/>
        </w:rPr>
        <w:t xml:space="preserve">9.4 </w:t>
      </w:r>
      <w:r>
        <w:rPr>
          <w:rFonts w:hint="eastAsia" w:ascii="黑体" w:hAnsi="黑体" w:eastAsia="黑体"/>
          <w:b w:val="0"/>
          <w:bCs/>
          <w:szCs w:val="21"/>
        </w:rPr>
        <w:t>质量保证</w:t>
      </w:r>
      <w:bookmarkEnd w:id="230"/>
      <w:bookmarkEnd w:id="231"/>
      <w:bookmarkEnd w:id="232"/>
      <w:bookmarkEnd w:id="233"/>
      <w:bookmarkEnd w:id="234"/>
      <w:bookmarkEnd w:id="235"/>
      <w:bookmarkEnd w:id="236"/>
      <w:bookmarkEnd w:id="237"/>
      <w:bookmarkEnd w:id="238"/>
      <w:bookmarkEnd w:id="239"/>
      <w:bookmarkEnd w:id="240"/>
    </w:p>
    <w:p>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pPr>
        <w:adjustRightInd w:val="0"/>
        <w:snapToGrid w:val="0"/>
        <w:spacing w:line="360" w:lineRule="auto"/>
        <w:ind w:firstLine="420" w:firstLineChars="200"/>
        <w:rPr>
          <w:szCs w:val="21"/>
        </w:rPr>
      </w:pPr>
      <w:r>
        <w:rPr>
          <w:rFonts w:hint="eastAsia"/>
          <w:szCs w:val="21"/>
        </w:rPr>
        <w:t>2）</w:t>
      </w:r>
      <w:r>
        <w:rPr>
          <w:szCs w:val="21"/>
        </w:rPr>
        <w:t>在产品质保期为</w:t>
      </w:r>
      <w:r>
        <w:rPr>
          <w:rFonts w:hint="eastAsia"/>
          <w:szCs w:val="21"/>
        </w:rPr>
        <w:t>自对账单全部设备到货验收合格并移交之日起不短于正常运行一年内为质保期（供方承诺的质保期若长于上述时间，则按承诺时间执行）。质保期内所有零部件发生非人为原因损坏时，投标方负责免费维修或更换。之后如发生产品损坏，投标方应及时为本套系统提供维修部件和服务，并按最近的投标价提供。</w:t>
      </w:r>
    </w:p>
    <w:p>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pPr>
        <w:pStyle w:val="3"/>
        <w:rPr>
          <w:rFonts w:hint="eastAsia" w:ascii="黑体" w:hAnsi="黑体" w:eastAsia="黑体"/>
          <w:b w:val="0"/>
          <w:bCs/>
        </w:rPr>
      </w:pPr>
      <w:bookmarkStart w:id="241" w:name="_Toc23887"/>
      <w:bookmarkStart w:id="242" w:name="_Toc222987428"/>
      <w:bookmarkStart w:id="243" w:name="_Toc21661"/>
      <w:r>
        <w:rPr>
          <w:rFonts w:ascii="黑体" w:hAnsi="黑体" w:eastAsia="黑体"/>
          <w:b w:val="0"/>
          <w:bCs/>
        </w:rPr>
        <w:t xml:space="preserve">9.5 </w:t>
      </w:r>
      <w:r>
        <w:rPr>
          <w:rFonts w:hint="eastAsia" w:ascii="黑体" w:hAnsi="黑体" w:eastAsia="黑体"/>
          <w:b w:val="0"/>
          <w:bCs/>
        </w:rPr>
        <w:t>设备验收</w:t>
      </w:r>
      <w:bookmarkEnd w:id="241"/>
      <w:bookmarkEnd w:id="242"/>
      <w:bookmarkEnd w:id="243"/>
    </w:p>
    <w:p>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pPr>
        <w:spacing w:line="360" w:lineRule="auto"/>
        <w:ind w:left="630" w:hanging="630" w:hangingChars="3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pPr>
        <w:spacing w:line="360" w:lineRule="auto"/>
        <w:jc w:val="left"/>
        <w:rPr>
          <w:rFonts w:hint="eastAsia" w:ascii="宋体" w:hAnsi="宋体" w:cs="宋体"/>
          <w:szCs w:val="21"/>
        </w:rPr>
      </w:pPr>
      <w:r>
        <w:rPr>
          <w:rFonts w:hint="eastAsia" w:ascii="宋体" w:hAnsi="宋体" w:cs="宋体"/>
          <w:szCs w:val="21"/>
        </w:rPr>
        <w:t>c.验收时若发现设备或附件存在由中标方造成的缺陷或不符合本技术条件要求时，中标方应无条件更换设备或附件。</w:t>
      </w:r>
    </w:p>
    <w:sectPr>
      <w:headerReference r:id="rId10" w:type="default"/>
      <w:footerReference r:id="rId11"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宋体"/>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pPr>
          <w:pStyle w:val="36"/>
          <w:jc w:val="center"/>
        </w:pPr>
        <w:r>
          <w:fldChar w:fldCharType="begin"/>
        </w:r>
        <w:r>
          <w:instrText xml:space="preserve">PAGE   \* MERGEFORMAT</w:instrText>
        </w:r>
        <w:r>
          <w:fldChar w:fldCharType="separate"/>
        </w:r>
        <w:r>
          <w:rPr>
            <w:lang w:val="zh-CN"/>
          </w:rPr>
          <w:t>6</w:t>
        </w:r>
        <w:r>
          <w:fldChar w:fldCharType="end"/>
        </w:r>
      </w:p>
    </w:sdtContent>
  </w:sdt>
  <w:p>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outlineLvl w:val="8"/>
    </w:pPr>
    <w:r>
      <w:rPr>
        <w:rFonts w:hint="eastAsia"/>
      </w:rPr>
      <w:t>中等负载仿线飞行无人机设备及多旋翼无人机技术规范书（通用部分）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rPr>
        <w:rFonts w:hint="eastAsia"/>
      </w:rPr>
      <w:t>中等负载仿线飞行无人机设备及多旋翼无人机技术规范书（通用部分）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outlineLvl w:val="8"/>
    </w:pPr>
    <w:r>
      <w:rPr>
        <w:rFonts w:hint="eastAsia"/>
      </w:rPr>
      <w:t>中等负载仿线飞行无人机设备及多旋翼无人机技术规范书（通用部分）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A4C7F"/>
    <w:multiLevelType w:val="singleLevel"/>
    <w:tmpl w:val="9A4A4C7F"/>
    <w:lvl w:ilvl="0" w:tentative="0">
      <w:start w:val="1"/>
      <w:numFmt w:val="lowerLetter"/>
      <w:lvlText w:val="%1)"/>
      <w:lvlJc w:val="left"/>
      <w:pPr>
        <w:tabs>
          <w:tab w:val="left" w:pos="420"/>
        </w:tabs>
        <w:ind w:left="425" w:hanging="425"/>
      </w:pPr>
      <w:rPr>
        <w:rFonts w:hint="default"/>
      </w:rPr>
    </w:lvl>
  </w:abstractNum>
  <w:abstractNum w:abstractNumId="1">
    <w:nsid w:val="D1D32518"/>
    <w:multiLevelType w:val="singleLevel"/>
    <w:tmpl w:val="D1D32518"/>
    <w:lvl w:ilvl="0" w:tentative="0">
      <w:start w:val="1"/>
      <w:numFmt w:val="lowerLetter"/>
      <w:lvlText w:val="%1）"/>
      <w:lvlJc w:val="left"/>
    </w:lvl>
  </w:abstractNum>
  <w:abstractNum w:abstractNumId="2">
    <w:nsid w:val="D885AE28"/>
    <w:multiLevelType w:val="singleLevel"/>
    <w:tmpl w:val="D885AE28"/>
    <w:lvl w:ilvl="0" w:tentative="0">
      <w:start w:val="1"/>
      <w:numFmt w:val="lowerLetter"/>
      <w:lvlText w:val="%1)"/>
      <w:lvlJc w:val="left"/>
      <w:pPr>
        <w:tabs>
          <w:tab w:val="left" w:pos="840"/>
        </w:tabs>
        <w:ind w:left="845" w:hanging="425"/>
      </w:pPr>
      <w:rPr>
        <w:rFonts w:hint="default"/>
      </w:rPr>
    </w:lvl>
  </w:abstractNum>
  <w:abstractNum w:abstractNumId="3">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4">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6">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14"/>
    <w:multiLevelType w:val="multilevel"/>
    <w:tmpl w:val="00000014"/>
    <w:lvl w:ilvl="0" w:tentative="0">
      <w:start w:val="1"/>
      <w:numFmt w:val="decimal"/>
      <w:lvlText w:val="%1)"/>
      <w:lvlJc w:val="left"/>
      <w:pPr>
        <w:tabs>
          <w:tab w:val="left" w:pos="900"/>
        </w:tabs>
        <w:ind w:left="900" w:hanging="420"/>
      </w:pPr>
      <w:rPr>
        <w:rFonts w:ascii="宋体" w:hAnsi="宋体" w:eastAsia="宋体"/>
        <w:sz w:val="18"/>
        <w:szCs w:val="18"/>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8">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1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5">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6">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7">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263A664B"/>
    <w:multiLevelType w:val="singleLevel"/>
    <w:tmpl w:val="263A664B"/>
    <w:lvl w:ilvl="0" w:tentative="0">
      <w:start w:val="1"/>
      <w:numFmt w:val="lowerLetter"/>
      <w:lvlText w:val="%1)"/>
      <w:lvlJc w:val="left"/>
      <w:pPr>
        <w:tabs>
          <w:tab w:val="left" w:pos="840"/>
        </w:tabs>
        <w:ind w:left="845" w:hanging="425"/>
      </w:pPr>
      <w:rPr>
        <w:rFonts w:hint="default"/>
      </w:rPr>
    </w:lvl>
  </w:abstractNum>
  <w:abstractNum w:abstractNumId="20">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1">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2">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3">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5">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7">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9">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0">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1">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4">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5">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5"/>
  </w:num>
  <w:num w:numId="2">
    <w:abstractNumId w:val="3"/>
  </w:num>
  <w:num w:numId="3">
    <w:abstractNumId w:val="4"/>
  </w:num>
  <w:num w:numId="4">
    <w:abstractNumId w:val="5"/>
  </w:num>
  <w:num w:numId="5">
    <w:abstractNumId w:val="24"/>
  </w:num>
  <w:num w:numId="6">
    <w:abstractNumId w:val="21"/>
  </w:num>
  <w:num w:numId="7">
    <w:abstractNumId w:val="13"/>
  </w:num>
  <w:num w:numId="8">
    <w:abstractNumId w:val="11"/>
  </w:num>
  <w:num w:numId="9">
    <w:abstractNumId w:val="27"/>
  </w:num>
  <w:num w:numId="10">
    <w:abstractNumId w:val="18"/>
  </w:num>
  <w:num w:numId="11">
    <w:abstractNumId w:val="16"/>
  </w:num>
  <w:num w:numId="12">
    <w:abstractNumId w:val="32"/>
  </w:num>
  <w:num w:numId="13">
    <w:abstractNumId w:val="30"/>
  </w:num>
  <w:num w:numId="14">
    <w:abstractNumId w:val="34"/>
  </w:num>
  <w:num w:numId="15">
    <w:abstractNumId w:val="20"/>
  </w:num>
  <w:num w:numId="16">
    <w:abstractNumId w:val="29"/>
  </w:num>
  <w:num w:numId="17">
    <w:abstractNumId w:val="12"/>
  </w:num>
  <w:num w:numId="18">
    <w:abstractNumId w:val="26"/>
  </w:num>
  <w:num w:numId="19">
    <w:abstractNumId w:val="31"/>
  </w:num>
  <w:num w:numId="20">
    <w:abstractNumId w:val="33"/>
  </w:num>
  <w:num w:numId="21">
    <w:abstractNumId w:val="28"/>
  </w:num>
  <w:num w:numId="22">
    <w:abstractNumId w:val="9"/>
  </w:num>
  <w:num w:numId="23">
    <w:abstractNumId w:val="15"/>
  </w:num>
  <w:num w:numId="24">
    <w:abstractNumId w:val="10"/>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6"/>
  </w:num>
  <w:num w:numId="31">
    <w:abstractNumId w:val="8"/>
  </w:num>
  <w:num w:numId="32">
    <w:abstractNumId w:val="1"/>
  </w:num>
  <w:num w:numId="33">
    <w:abstractNumId w:val="0"/>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63F3"/>
    <w:rsid w:val="00036675"/>
    <w:rsid w:val="000406CD"/>
    <w:rsid w:val="000454E9"/>
    <w:rsid w:val="0005317E"/>
    <w:rsid w:val="00062943"/>
    <w:rsid w:val="00064EF5"/>
    <w:rsid w:val="00065403"/>
    <w:rsid w:val="0006624D"/>
    <w:rsid w:val="0006686C"/>
    <w:rsid w:val="0007012F"/>
    <w:rsid w:val="00073D69"/>
    <w:rsid w:val="00075737"/>
    <w:rsid w:val="00075B71"/>
    <w:rsid w:val="0007661F"/>
    <w:rsid w:val="00083BA3"/>
    <w:rsid w:val="00091372"/>
    <w:rsid w:val="0009630E"/>
    <w:rsid w:val="000B0DA2"/>
    <w:rsid w:val="000B3B04"/>
    <w:rsid w:val="000C30EA"/>
    <w:rsid w:val="000C7FF6"/>
    <w:rsid w:val="000D07D9"/>
    <w:rsid w:val="000D494A"/>
    <w:rsid w:val="000E0721"/>
    <w:rsid w:val="000E0F43"/>
    <w:rsid w:val="000E120E"/>
    <w:rsid w:val="000E53A3"/>
    <w:rsid w:val="000F0E79"/>
    <w:rsid w:val="000F4FA6"/>
    <w:rsid w:val="001014E1"/>
    <w:rsid w:val="00106C86"/>
    <w:rsid w:val="00110C50"/>
    <w:rsid w:val="00114F96"/>
    <w:rsid w:val="00117DAA"/>
    <w:rsid w:val="0013498C"/>
    <w:rsid w:val="0014399F"/>
    <w:rsid w:val="00182A1B"/>
    <w:rsid w:val="001901EA"/>
    <w:rsid w:val="00192EF9"/>
    <w:rsid w:val="001946A1"/>
    <w:rsid w:val="001A1D16"/>
    <w:rsid w:val="001C424E"/>
    <w:rsid w:val="001C65F2"/>
    <w:rsid w:val="001E10B8"/>
    <w:rsid w:val="001F71EB"/>
    <w:rsid w:val="002027D6"/>
    <w:rsid w:val="002044C9"/>
    <w:rsid w:val="002101BA"/>
    <w:rsid w:val="00235C57"/>
    <w:rsid w:val="00246C26"/>
    <w:rsid w:val="00252B17"/>
    <w:rsid w:val="00257B4B"/>
    <w:rsid w:val="002650A9"/>
    <w:rsid w:val="002730C9"/>
    <w:rsid w:val="002837E5"/>
    <w:rsid w:val="0029334C"/>
    <w:rsid w:val="002B6C4E"/>
    <w:rsid w:val="002C784E"/>
    <w:rsid w:val="002D4D5A"/>
    <w:rsid w:val="002D7FB3"/>
    <w:rsid w:val="002E646C"/>
    <w:rsid w:val="002E7690"/>
    <w:rsid w:val="002F1A5C"/>
    <w:rsid w:val="002F34E6"/>
    <w:rsid w:val="00300A42"/>
    <w:rsid w:val="00304806"/>
    <w:rsid w:val="00310E29"/>
    <w:rsid w:val="00316AD4"/>
    <w:rsid w:val="003205FB"/>
    <w:rsid w:val="00324E79"/>
    <w:rsid w:val="00333EC9"/>
    <w:rsid w:val="00342AA0"/>
    <w:rsid w:val="00342ABF"/>
    <w:rsid w:val="00354281"/>
    <w:rsid w:val="00366D72"/>
    <w:rsid w:val="00372C5D"/>
    <w:rsid w:val="0038584C"/>
    <w:rsid w:val="003A686D"/>
    <w:rsid w:val="003B7C3F"/>
    <w:rsid w:val="003C59B0"/>
    <w:rsid w:val="003D79DF"/>
    <w:rsid w:val="0040271C"/>
    <w:rsid w:val="00405A29"/>
    <w:rsid w:val="00414F67"/>
    <w:rsid w:val="004312C3"/>
    <w:rsid w:val="00435272"/>
    <w:rsid w:val="00440743"/>
    <w:rsid w:val="004451B7"/>
    <w:rsid w:val="00455882"/>
    <w:rsid w:val="0045598E"/>
    <w:rsid w:val="00466526"/>
    <w:rsid w:val="00483D35"/>
    <w:rsid w:val="00496BC4"/>
    <w:rsid w:val="00496C03"/>
    <w:rsid w:val="004A5565"/>
    <w:rsid w:val="004B1EFC"/>
    <w:rsid w:val="004B3196"/>
    <w:rsid w:val="004B3F99"/>
    <w:rsid w:val="004C7FB9"/>
    <w:rsid w:val="004E44E7"/>
    <w:rsid w:val="004F6BA4"/>
    <w:rsid w:val="0050274F"/>
    <w:rsid w:val="0050321C"/>
    <w:rsid w:val="005111F0"/>
    <w:rsid w:val="00515111"/>
    <w:rsid w:val="00517F33"/>
    <w:rsid w:val="00524C30"/>
    <w:rsid w:val="005550B8"/>
    <w:rsid w:val="00556EB6"/>
    <w:rsid w:val="00573A1E"/>
    <w:rsid w:val="00581BFB"/>
    <w:rsid w:val="00583D17"/>
    <w:rsid w:val="00590CDB"/>
    <w:rsid w:val="00594663"/>
    <w:rsid w:val="005B4370"/>
    <w:rsid w:val="005B76C7"/>
    <w:rsid w:val="005C2FE0"/>
    <w:rsid w:val="005C61CC"/>
    <w:rsid w:val="005D0610"/>
    <w:rsid w:val="005D0FB4"/>
    <w:rsid w:val="005D12C6"/>
    <w:rsid w:val="005D2E49"/>
    <w:rsid w:val="005D6366"/>
    <w:rsid w:val="005D77CC"/>
    <w:rsid w:val="005E33BF"/>
    <w:rsid w:val="005E4648"/>
    <w:rsid w:val="005E4C4B"/>
    <w:rsid w:val="005F1287"/>
    <w:rsid w:val="005F7CCC"/>
    <w:rsid w:val="00607930"/>
    <w:rsid w:val="00607B7D"/>
    <w:rsid w:val="00613DA8"/>
    <w:rsid w:val="006148CE"/>
    <w:rsid w:val="0063086C"/>
    <w:rsid w:val="0063510B"/>
    <w:rsid w:val="00635A9A"/>
    <w:rsid w:val="00645DC1"/>
    <w:rsid w:val="00662FB2"/>
    <w:rsid w:val="0067034B"/>
    <w:rsid w:val="00684D89"/>
    <w:rsid w:val="00686781"/>
    <w:rsid w:val="006937BE"/>
    <w:rsid w:val="00696726"/>
    <w:rsid w:val="00696E4F"/>
    <w:rsid w:val="006B420F"/>
    <w:rsid w:val="006B566B"/>
    <w:rsid w:val="006B761E"/>
    <w:rsid w:val="006B78F0"/>
    <w:rsid w:val="006D30EB"/>
    <w:rsid w:val="006D4D03"/>
    <w:rsid w:val="006D5F55"/>
    <w:rsid w:val="006F4C5E"/>
    <w:rsid w:val="006F63B3"/>
    <w:rsid w:val="00700A7D"/>
    <w:rsid w:val="00732E12"/>
    <w:rsid w:val="00742382"/>
    <w:rsid w:val="0074278E"/>
    <w:rsid w:val="00763D16"/>
    <w:rsid w:val="007741D2"/>
    <w:rsid w:val="00795748"/>
    <w:rsid w:val="007C1493"/>
    <w:rsid w:val="007C2D44"/>
    <w:rsid w:val="007E6F66"/>
    <w:rsid w:val="007F1334"/>
    <w:rsid w:val="007F6693"/>
    <w:rsid w:val="00824C9D"/>
    <w:rsid w:val="00826C56"/>
    <w:rsid w:val="00827F61"/>
    <w:rsid w:val="00843848"/>
    <w:rsid w:val="0084452F"/>
    <w:rsid w:val="00847F5E"/>
    <w:rsid w:val="00855AEB"/>
    <w:rsid w:val="00887145"/>
    <w:rsid w:val="008918E4"/>
    <w:rsid w:val="00895867"/>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4F56"/>
    <w:rsid w:val="009853E4"/>
    <w:rsid w:val="009869D0"/>
    <w:rsid w:val="00994E41"/>
    <w:rsid w:val="00995FE8"/>
    <w:rsid w:val="00997986"/>
    <w:rsid w:val="009A066D"/>
    <w:rsid w:val="009A5174"/>
    <w:rsid w:val="009C0B7A"/>
    <w:rsid w:val="009C2F85"/>
    <w:rsid w:val="009C3250"/>
    <w:rsid w:val="009C5708"/>
    <w:rsid w:val="009D0A63"/>
    <w:rsid w:val="009D4951"/>
    <w:rsid w:val="009E0653"/>
    <w:rsid w:val="009E136D"/>
    <w:rsid w:val="009E2451"/>
    <w:rsid w:val="009E3359"/>
    <w:rsid w:val="009E6F15"/>
    <w:rsid w:val="009E7720"/>
    <w:rsid w:val="009E78CC"/>
    <w:rsid w:val="009F009B"/>
    <w:rsid w:val="00A15F72"/>
    <w:rsid w:val="00A163F6"/>
    <w:rsid w:val="00A23B9F"/>
    <w:rsid w:val="00A3191C"/>
    <w:rsid w:val="00A40B3B"/>
    <w:rsid w:val="00A42682"/>
    <w:rsid w:val="00A42CB2"/>
    <w:rsid w:val="00A53839"/>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D5F"/>
    <w:rsid w:val="00AC49A8"/>
    <w:rsid w:val="00AC4AB0"/>
    <w:rsid w:val="00AE2D2E"/>
    <w:rsid w:val="00B15B81"/>
    <w:rsid w:val="00B30138"/>
    <w:rsid w:val="00B44B9B"/>
    <w:rsid w:val="00B559E2"/>
    <w:rsid w:val="00B55B88"/>
    <w:rsid w:val="00B73A7B"/>
    <w:rsid w:val="00B870EF"/>
    <w:rsid w:val="00B87934"/>
    <w:rsid w:val="00B91207"/>
    <w:rsid w:val="00B9260F"/>
    <w:rsid w:val="00B94A17"/>
    <w:rsid w:val="00B96679"/>
    <w:rsid w:val="00BA3534"/>
    <w:rsid w:val="00BB6896"/>
    <w:rsid w:val="00BC35B8"/>
    <w:rsid w:val="00BE6BB0"/>
    <w:rsid w:val="00BF0409"/>
    <w:rsid w:val="00BF3B1D"/>
    <w:rsid w:val="00BF6FF2"/>
    <w:rsid w:val="00C02145"/>
    <w:rsid w:val="00C05007"/>
    <w:rsid w:val="00C16D98"/>
    <w:rsid w:val="00C175FC"/>
    <w:rsid w:val="00C372AA"/>
    <w:rsid w:val="00C37748"/>
    <w:rsid w:val="00C412C7"/>
    <w:rsid w:val="00C4167F"/>
    <w:rsid w:val="00C419D7"/>
    <w:rsid w:val="00C43A3C"/>
    <w:rsid w:val="00C51F28"/>
    <w:rsid w:val="00C738B0"/>
    <w:rsid w:val="00C764F9"/>
    <w:rsid w:val="00C81C7C"/>
    <w:rsid w:val="00C91C66"/>
    <w:rsid w:val="00CA2C59"/>
    <w:rsid w:val="00CA5C7B"/>
    <w:rsid w:val="00CB2ED6"/>
    <w:rsid w:val="00CD1C5B"/>
    <w:rsid w:val="00CD4712"/>
    <w:rsid w:val="00CF095F"/>
    <w:rsid w:val="00CF1575"/>
    <w:rsid w:val="00D00FAF"/>
    <w:rsid w:val="00D04242"/>
    <w:rsid w:val="00D062EC"/>
    <w:rsid w:val="00D121F6"/>
    <w:rsid w:val="00D13237"/>
    <w:rsid w:val="00D1747E"/>
    <w:rsid w:val="00D214B5"/>
    <w:rsid w:val="00D2157E"/>
    <w:rsid w:val="00D339E8"/>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C687F"/>
    <w:rsid w:val="00DD12D1"/>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5249C"/>
    <w:rsid w:val="00E60D7D"/>
    <w:rsid w:val="00E6130B"/>
    <w:rsid w:val="00E8537D"/>
    <w:rsid w:val="00E9698D"/>
    <w:rsid w:val="00EA25D5"/>
    <w:rsid w:val="00EB715D"/>
    <w:rsid w:val="00EC2BA8"/>
    <w:rsid w:val="00EE5D25"/>
    <w:rsid w:val="00EE72E1"/>
    <w:rsid w:val="00EF2397"/>
    <w:rsid w:val="00EF352B"/>
    <w:rsid w:val="00EF5C23"/>
    <w:rsid w:val="00F124B1"/>
    <w:rsid w:val="00F209E3"/>
    <w:rsid w:val="00F20B90"/>
    <w:rsid w:val="00F23D57"/>
    <w:rsid w:val="00F30954"/>
    <w:rsid w:val="00F33579"/>
    <w:rsid w:val="00F63748"/>
    <w:rsid w:val="00F80315"/>
    <w:rsid w:val="00F8487D"/>
    <w:rsid w:val="00F85343"/>
    <w:rsid w:val="00F860FB"/>
    <w:rsid w:val="00F87738"/>
    <w:rsid w:val="00F92C8A"/>
    <w:rsid w:val="00FA1F0E"/>
    <w:rsid w:val="00FB6D46"/>
    <w:rsid w:val="00FC21BC"/>
    <w:rsid w:val="00FC5D6B"/>
    <w:rsid w:val="00FD323B"/>
    <w:rsid w:val="00FF044D"/>
    <w:rsid w:val="00FF430C"/>
    <w:rsid w:val="01E142BF"/>
    <w:rsid w:val="029F1B50"/>
    <w:rsid w:val="02D85CD0"/>
    <w:rsid w:val="03217B55"/>
    <w:rsid w:val="0323032B"/>
    <w:rsid w:val="03341A8A"/>
    <w:rsid w:val="033F75CA"/>
    <w:rsid w:val="03537125"/>
    <w:rsid w:val="03571091"/>
    <w:rsid w:val="05267332"/>
    <w:rsid w:val="05B120C2"/>
    <w:rsid w:val="05D17F7F"/>
    <w:rsid w:val="063704B1"/>
    <w:rsid w:val="065019DC"/>
    <w:rsid w:val="066817EE"/>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5D579B"/>
    <w:rsid w:val="0B62753A"/>
    <w:rsid w:val="0B64569E"/>
    <w:rsid w:val="0BB72438"/>
    <w:rsid w:val="0BB95E74"/>
    <w:rsid w:val="0CD028C8"/>
    <w:rsid w:val="0D1B342A"/>
    <w:rsid w:val="0D5C4E50"/>
    <w:rsid w:val="0D886883"/>
    <w:rsid w:val="0D923F0A"/>
    <w:rsid w:val="0DF450C4"/>
    <w:rsid w:val="0E2A7E0F"/>
    <w:rsid w:val="0E8444C2"/>
    <w:rsid w:val="0E853D73"/>
    <w:rsid w:val="0E941A03"/>
    <w:rsid w:val="0E965C31"/>
    <w:rsid w:val="0EC81BD1"/>
    <w:rsid w:val="0F986C50"/>
    <w:rsid w:val="0FB20FE0"/>
    <w:rsid w:val="103C5FE2"/>
    <w:rsid w:val="106B2580"/>
    <w:rsid w:val="10D123CD"/>
    <w:rsid w:val="11763776"/>
    <w:rsid w:val="11AA3420"/>
    <w:rsid w:val="11CE5EAA"/>
    <w:rsid w:val="1202500A"/>
    <w:rsid w:val="122A61B9"/>
    <w:rsid w:val="1236016D"/>
    <w:rsid w:val="12600D6D"/>
    <w:rsid w:val="12BE5DCE"/>
    <w:rsid w:val="12DE1EBF"/>
    <w:rsid w:val="13551C50"/>
    <w:rsid w:val="13BC146C"/>
    <w:rsid w:val="14717675"/>
    <w:rsid w:val="149F6ADD"/>
    <w:rsid w:val="151E1FA2"/>
    <w:rsid w:val="154676C6"/>
    <w:rsid w:val="1557408A"/>
    <w:rsid w:val="15EE5E19"/>
    <w:rsid w:val="15F119AD"/>
    <w:rsid w:val="16422B9A"/>
    <w:rsid w:val="168667C2"/>
    <w:rsid w:val="16C51013"/>
    <w:rsid w:val="16DF0DFB"/>
    <w:rsid w:val="176D2108"/>
    <w:rsid w:val="177477F9"/>
    <w:rsid w:val="17B103C8"/>
    <w:rsid w:val="17B74452"/>
    <w:rsid w:val="17BF0ACA"/>
    <w:rsid w:val="17D84B0F"/>
    <w:rsid w:val="180A1CE8"/>
    <w:rsid w:val="19CA7C5E"/>
    <w:rsid w:val="19D8745C"/>
    <w:rsid w:val="19E1538A"/>
    <w:rsid w:val="1AD75285"/>
    <w:rsid w:val="1ADB749B"/>
    <w:rsid w:val="1B2E11D7"/>
    <w:rsid w:val="1C0202A6"/>
    <w:rsid w:val="1C282170"/>
    <w:rsid w:val="1C516953"/>
    <w:rsid w:val="1CAF43EA"/>
    <w:rsid w:val="1CC96E50"/>
    <w:rsid w:val="1D7671EF"/>
    <w:rsid w:val="1DF11734"/>
    <w:rsid w:val="1E88099A"/>
    <w:rsid w:val="1EE305D1"/>
    <w:rsid w:val="1F9A42FC"/>
    <w:rsid w:val="20216D23"/>
    <w:rsid w:val="203D5583"/>
    <w:rsid w:val="204A02A8"/>
    <w:rsid w:val="20A3401D"/>
    <w:rsid w:val="21851EDD"/>
    <w:rsid w:val="21D86C54"/>
    <w:rsid w:val="21E7529B"/>
    <w:rsid w:val="22C91F18"/>
    <w:rsid w:val="23512729"/>
    <w:rsid w:val="23863CED"/>
    <w:rsid w:val="238A3A61"/>
    <w:rsid w:val="23B1799A"/>
    <w:rsid w:val="249843DE"/>
    <w:rsid w:val="24C54DF9"/>
    <w:rsid w:val="257830E1"/>
    <w:rsid w:val="265732FB"/>
    <w:rsid w:val="26D63B64"/>
    <w:rsid w:val="26E46B93"/>
    <w:rsid w:val="271C56D8"/>
    <w:rsid w:val="27494ED1"/>
    <w:rsid w:val="276C0EEB"/>
    <w:rsid w:val="27C15702"/>
    <w:rsid w:val="28200983"/>
    <w:rsid w:val="284F054C"/>
    <w:rsid w:val="285275E8"/>
    <w:rsid w:val="28C037FD"/>
    <w:rsid w:val="295919AA"/>
    <w:rsid w:val="29641AD1"/>
    <w:rsid w:val="29D47539"/>
    <w:rsid w:val="29E2706C"/>
    <w:rsid w:val="2A3119E5"/>
    <w:rsid w:val="2A9B7F19"/>
    <w:rsid w:val="2AA40A22"/>
    <w:rsid w:val="2ACD5484"/>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3567FD8"/>
    <w:rsid w:val="33656B7F"/>
    <w:rsid w:val="33B91941"/>
    <w:rsid w:val="33E365F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CF37F4F"/>
    <w:rsid w:val="3D345779"/>
    <w:rsid w:val="3D80608A"/>
    <w:rsid w:val="3D8F5E13"/>
    <w:rsid w:val="3DA855F0"/>
    <w:rsid w:val="3DDE74ED"/>
    <w:rsid w:val="3E6333DC"/>
    <w:rsid w:val="3E8D7AD0"/>
    <w:rsid w:val="3EB053C8"/>
    <w:rsid w:val="3FFF1571"/>
    <w:rsid w:val="40425005"/>
    <w:rsid w:val="413B6A9C"/>
    <w:rsid w:val="41A75074"/>
    <w:rsid w:val="41D80E67"/>
    <w:rsid w:val="42013932"/>
    <w:rsid w:val="423559AB"/>
    <w:rsid w:val="43AE16F4"/>
    <w:rsid w:val="43C23388"/>
    <w:rsid w:val="43DB1093"/>
    <w:rsid w:val="44E0101F"/>
    <w:rsid w:val="44FB78A9"/>
    <w:rsid w:val="44FF7003"/>
    <w:rsid w:val="454E16BF"/>
    <w:rsid w:val="45882CEA"/>
    <w:rsid w:val="459238EC"/>
    <w:rsid w:val="459563A2"/>
    <w:rsid w:val="4603113E"/>
    <w:rsid w:val="466E44C1"/>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DF9350A"/>
    <w:rsid w:val="4E382B88"/>
    <w:rsid w:val="4E520189"/>
    <w:rsid w:val="4E634E8B"/>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A5521A"/>
    <w:rsid w:val="53DE1CD8"/>
    <w:rsid w:val="54363555"/>
    <w:rsid w:val="54E770DC"/>
    <w:rsid w:val="552558DD"/>
    <w:rsid w:val="556F44C2"/>
    <w:rsid w:val="55CE557F"/>
    <w:rsid w:val="55E40C90"/>
    <w:rsid w:val="560B22E6"/>
    <w:rsid w:val="563444D6"/>
    <w:rsid w:val="56891C6B"/>
    <w:rsid w:val="56B97997"/>
    <w:rsid w:val="570365C4"/>
    <w:rsid w:val="57060082"/>
    <w:rsid w:val="574474B6"/>
    <w:rsid w:val="576B41D2"/>
    <w:rsid w:val="578B6AAF"/>
    <w:rsid w:val="579E24E3"/>
    <w:rsid w:val="590B5B88"/>
    <w:rsid w:val="59ED4FE7"/>
    <w:rsid w:val="5A5D05FC"/>
    <w:rsid w:val="5AC36BC5"/>
    <w:rsid w:val="5AC63E1F"/>
    <w:rsid w:val="5AD46BC2"/>
    <w:rsid w:val="5B1E248F"/>
    <w:rsid w:val="5B2751ED"/>
    <w:rsid w:val="5B4342F6"/>
    <w:rsid w:val="5C651EB1"/>
    <w:rsid w:val="5C7B0F63"/>
    <w:rsid w:val="5CAE3391"/>
    <w:rsid w:val="5DCA7B72"/>
    <w:rsid w:val="5DE00E55"/>
    <w:rsid w:val="5E1F54F4"/>
    <w:rsid w:val="5F5F65C0"/>
    <w:rsid w:val="5F7B2BB2"/>
    <w:rsid w:val="5F8E6ECA"/>
    <w:rsid w:val="5FA85AEC"/>
    <w:rsid w:val="60525445"/>
    <w:rsid w:val="607344EC"/>
    <w:rsid w:val="60C33D90"/>
    <w:rsid w:val="613A0C69"/>
    <w:rsid w:val="617E451D"/>
    <w:rsid w:val="61FD3181"/>
    <w:rsid w:val="62042942"/>
    <w:rsid w:val="627E5EDD"/>
    <w:rsid w:val="62847485"/>
    <w:rsid w:val="62B25F0D"/>
    <w:rsid w:val="62CE433B"/>
    <w:rsid w:val="636F5846"/>
    <w:rsid w:val="636F7422"/>
    <w:rsid w:val="638A1A8C"/>
    <w:rsid w:val="63EE4A68"/>
    <w:rsid w:val="642C45B4"/>
    <w:rsid w:val="649C5530"/>
    <w:rsid w:val="64AF3298"/>
    <w:rsid w:val="64B7773D"/>
    <w:rsid w:val="64EB6B26"/>
    <w:rsid w:val="655B1B6E"/>
    <w:rsid w:val="65A469D1"/>
    <w:rsid w:val="65BD7C07"/>
    <w:rsid w:val="65ED4F2A"/>
    <w:rsid w:val="65F647F4"/>
    <w:rsid w:val="662777BC"/>
    <w:rsid w:val="66381786"/>
    <w:rsid w:val="666D4068"/>
    <w:rsid w:val="667A42E4"/>
    <w:rsid w:val="66B35EF8"/>
    <w:rsid w:val="672B633E"/>
    <w:rsid w:val="674041D4"/>
    <w:rsid w:val="6773145F"/>
    <w:rsid w:val="6796433E"/>
    <w:rsid w:val="67C033E3"/>
    <w:rsid w:val="67DD453C"/>
    <w:rsid w:val="67E37ACA"/>
    <w:rsid w:val="68212AC2"/>
    <w:rsid w:val="683F7FFE"/>
    <w:rsid w:val="68816128"/>
    <w:rsid w:val="688E2F9F"/>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E52595A"/>
    <w:rsid w:val="6E5F6F10"/>
    <w:rsid w:val="6EF776E0"/>
    <w:rsid w:val="6F0926A9"/>
    <w:rsid w:val="6F0A22FE"/>
    <w:rsid w:val="6F210F48"/>
    <w:rsid w:val="6F710B18"/>
    <w:rsid w:val="6F7E74CB"/>
    <w:rsid w:val="6FA8287C"/>
    <w:rsid w:val="70EB1D9A"/>
    <w:rsid w:val="70EE44D3"/>
    <w:rsid w:val="71203B39"/>
    <w:rsid w:val="713759CB"/>
    <w:rsid w:val="717C4B53"/>
    <w:rsid w:val="717E2315"/>
    <w:rsid w:val="71924844"/>
    <w:rsid w:val="719B775E"/>
    <w:rsid w:val="71AB77EE"/>
    <w:rsid w:val="71F4319C"/>
    <w:rsid w:val="724A7A48"/>
    <w:rsid w:val="724C4830"/>
    <w:rsid w:val="72695C00"/>
    <w:rsid w:val="72DE56EC"/>
    <w:rsid w:val="72F92942"/>
    <w:rsid w:val="731660CF"/>
    <w:rsid w:val="731A3E4E"/>
    <w:rsid w:val="73686E30"/>
    <w:rsid w:val="73E92500"/>
    <w:rsid w:val="74CE2C64"/>
    <w:rsid w:val="74E91D98"/>
    <w:rsid w:val="76291C01"/>
    <w:rsid w:val="7636003D"/>
    <w:rsid w:val="76584CD4"/>
    <w:rsid w:val="76667B2F"/>
    <w:rsid w:val="778301A2"/>
    <w:rsid w:val="78AA5252"/>
    <w:rsid w:val="78D10791"/>
    <w:rsid w:val="7A400C26"/>
    <w:rsid w:val="7B247238"/>
    <w:rsid w:val="7B862ABD"/>
    <w:rsid w:val="7BE15920"/>
    <w:rsid w:val="7C0C54CA"/>
    <w:rsid w:val="7C197358"/>
    <w:rsid w:val="7C713E55"/>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2850</Words>
  <Characters>16246</Characters>
  <Lines>135</Lines>
  <Paragraphs>38</Paragraphs>
  <TotalTime>0</TotalTime>
  <ScaleCrop>false</ScaleCrop>
  <LinksUpToDate>false</LinksUpToDate>
  <CharactersWithSpaces>19058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wx-yuxiaohong</cp:lastModifiedBy>
  <dcterms:modified xsi:type="dcterms:W3CDTF">2026-05-14T04:36:04Z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465BF523A1C9479A82883E810CFF87F2_13</vt:lpwstr>
  </property>
  <property fmtid="{D5CDD505-2E9C-101B-9397-08002B2CF9AE}" pid="4" name="KSOTemplateDocerSaveRecord">
    <vt:lpwstr>eyJoZGlkIjoiZWRlNWQ4ZWMzOGM3MTBjZjU0NTEzNGUzY2NmM2U4ZDIiLCJ1c2VySWQiOiI3ODU5OTg3MjYifQ==</vt:lpwstr>
  </property>
</Properties>
</file>