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9657B3">
      <w:pPr>
        <w:spacing w:before="480" w:beforeLines="200"/>
        <w:jc w:val="center"/>
        <w:rPr>
          <w:rFonts w:eastAsia="黑体"/>
          <w:b/>
          <w:sz w:val="52"/>
        </w:rPr>
      </w:pPr>
      <w:bookmarkStart w:id="0" w:name="_Toc224469826"/>
      <w:bookmarkStart w:id="1" w:name="_Toc224531918"/>
      <w:bookmarkStart w:id="2" w:name="_Toc224470066"/>
      <w:r>
        <w:rPr>
          <w:rFonts w:eastAsia="微软雅黑"/>
          <w:b/>
          <w:sz w:val="44"/>
          <w:szCs w:val="21"/>
        </w:rPr>
        <w:drawing>
          <wp:anchor distT="0" distB="0" distL="114300" distR="114300" simplePos="0" relativeHeight="251659264" behindDoc="1" locked="0" layoutInCell="1" allowOverlap="1">
            <wp:simplePos x="0" y="0"/>
            <wp:positionH relativeFrom="column">
              <wp:posOffset>-996315</wp:posOffset>
            </wp:positionH>
            <wp:positionV relativeFrom="paragraph">
              <wp:posOffset>-914400</wp:posOffset>
            </wp:positionV>
            <wp:extent cx="7567930" cy="2495550"/>
            <wp:effectExtent l="0" t="0" r="0" b="0"/>
            <wp:wrapTight wrapText="bothSides">
              <wp:wrapPolygon>
                <wp:start x="0" y="0"/>
                <wp:lineTo x="0" y="21518"/>
                <wp:lineTo x="21586" y="21518"/>
                <wp:lineTo x="21586" y="0"/>
                <wp:lineTo x="0" y="0"/>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567930" cy="2495550"/>
                    </a:xfrm>
                    <a:prstGeom prst="rect">
                      <a:avLst/>
                    </a:prstGeom>
                    <a:noFill/>
                    <a:ln>
                      <a:noFill/>
                    </a:ln>
                  </pic:spPr>
                </pic:pic>
              </a:graphicData>
            </a:graphic>
          </wp:anchor>
        </w:drawing>
      </w:r>
    </w:p>
    <w:p w14:paraId="43AF18A9">
      <w:pPr>
        <w:spacing w:before="480" w:beforeLines="200"/>
        <w:jc w:val="center"/>
        <w:rPr>
          <w:rFonts w:eastAsia="黑体"/>
          <w:b/>
          <w:sz w:val="52"/>
        </w:rPr>
      </w:pPr>
    </w:p>
    <w:p w14:paraId="2F51F2CC">
      <w:pPr>
        <w:spacing w:before="480" w:beforeLines="200"/>
        <w:jc w:val="center"/>
        <w:rPr>
          <w:rFonts w:eastAsia="黑体"/>
          <w:b/>
          <w:sz w:val="52"/>
        </w:rPr>
      </w:pPr>
      <w:r>
        <w:rPr>
          <w:rFonts w:hint="eastAsia" w:eastAsia="黑体"/>
          <w:b/>
          <w:sz w:val="52"/>
        </w:rPr>
        <w:t>重载无人机技术规范书</w:t>
      </w:r>
    </w:p>
    <w:p w14:paraId="75DC490F">
      <w:pPr>
        <w:spacing w:before="480" w:beforeLines="200" w:line="360" w:lineRule="auto"/>
        <w:ind w:left="420" w:hanging="420"/>
        <w:jc w:val="center"/>
        <w:rPr>
          <w:rFonts w:eastAsia="黑体"/>
          <w:b/>
          <w:sz w:val="52"/>
        </w:rPr>
      </w:pPr>
      <w:r>
        <w:rPr>
          <w:rFonts w:hint="eastAsia" w:eastAsia="黑体"/>
          <w:b/>
          <w:sz w:val="52"/>
        </w:rPr>
        <w:t>（通用部分）</w:t>
      </w:r>
    </w:p>
    <w:p w14:paraId="1EEBB332">
      <w:pPr>
        <w:spacing w:before="480" w:beforeLines="200" w:line="360" w:lineRule="auto"/>
        <w:jc w:val="center"/>
        <w:rPr>
          <w:rFonts w:eastAsia="黑体"/>
          <w:b/>
          <w:sz w:val="36"/>
        </w:rPr>
      </w:pPr>
      <w:r>
        <w:rPr>
          <w:rFonts w:hint="eastAsia" w:eastAsia="黑体"/>
          <w:b/>
          <w:sz w:val="36"/>
        </w:rPr>
        <w:t>版本号：</w:t>
      </w:r>
      <w:r>
        <w:rPr>
          <w:rFonts w:eastAsia="黑体"/>
          <w:b/>
          <w:sz w:val="36"/>
        </w:rPr>
        <w:t>20</w:t>
      </w:r>
      <w:r>
        <w:rPr>
          <w:rFonts w:hint="eastAsia" w:eastAsia="黑体"/>
          <w:b/>
          <w:sz w:val="36"/>
        </w:rPr>
        <w:t>26</w:t>
      </w:r>
      <w:r>
        <w:rPr>
          <w:rFonts w:eastAsia="黑体"/>
          <w:b/>
          <w:sz w:val="36"/>
        </w:rPr>
        <w:t>版V</w:t>
      </w:r>
      <w:r>
        <w:rPr>
          <w:rFonts w:hint="eastAsia" w:eastAsia="黑体"/>
          <w:b/>
          <w:sz w:val="36"/>
        </w:rPr>
        <w:t>1</w:t>
      </w:r>
      <w:r>
        <w:rPr>
          <w:rFonts w:eastAsia="黑体"/>
          <w:b/>
          <w:sz w:val="36"/>
        </w:rPr>
        <w:t>.0</w:t>
      </w:r>
    </w:p>
    <w:p w14:paraId="53464A9F">
      <w:pPr>
        <w:spacing w:line="360" w:lineRule="auto"/>
        <w:ind w:firstLine="2530" w:firstLineChars="700"/>
        <w:rPr>
          <w:rFonts w:eastAsia="黑体"/>
          <w:b/>
          <w:sz w:val="36"/>
        </w:rPr>
      </w:pPr>
      <w:r>
        <w:rPr>
          <w:rFonts w:hint="eastAsia" w:eastAsia="黑体"/>
          <w:b/>
          <w:sz w:val="36"/>
        </w:rPr>
        <w:t>编号：</w:t>
      </w:r>
    </w:p>
    <w:p w14:paraId="4AA99E36">
      <w:pPr>
        <w:spacing w:before="480" w:beforeLines="200" w:line="360" w:lineRule="auto"/>
        <w:ind w:left="420" w:firstLine="2873" w:firstLineChars="795"/>
        <w:jc w:val="left"/>
        <w:rPr>
          <w:rFonts w:eastAsia="黑体"/>
          <w:b/>
          <w:sz w:val="36"/>
        </w:rPr>
      </w:pPr>
    </w:p>
    <w:p w14:paraId="68275F65">
      <w:pPr>
        <w:spacing w:before="480" w:beforeLines="200" w:line="360" w:lineRule="auto"/>
        <w:ind w:left="420" w:firstLine="2873" w:firstLineChars="795"/>
        <w:jc w:val="left"/>
        <w:rPr>
          <w:rFonts w:eastAsia="黑体"/>
          <w:b/>
          <w:sz w:val="36"/>
        </w:rPr>
      </w:pPr>
    </w:p>
    <w:p w14:paraId="4983A778">
      <w:pPr>
        <w:spacing w:before="480" w:beforeLines="200"/>
        <w:ind w:left="413" w:hanging="415" w:hangingChars="93"/>
        <w:jc w:val="center"/>
        <w:rPr>
          <w:rFonts w:eastAsia="黑体"/>
          <w:b/>
          <w:spacing w:val="20"/>
          <w:w w:val="135"/>
          <w:sz w:val="30"/>
        </w:rPr>
      </w:pPr>
      <w:r>
        <w:rPr>
          <w:rFonts w:eastAsia="黑体"/>
          <w:b/>
          <w:spacing w:val="20"/>
          <w:w w:val="135"/>
          <w:sz w:val="30"/>
        </w:rPr>
        <w:t>中国南方电网有限责任公司</w:t>
      </w:r>
    </w:p>
    <w:p w14:paraId="5ABC7125">
      <w:pPr>
        <w:jc w:val="center"/>
        <w:rPr>
          <w:rFonts w:eastAsia="黑体"/>
          <w:b/>
          <w:szCs w:val="28"/>
        </w:rPr>
        <w:sectPr>
          <w:headerReference r:id="rId5" w:type="first"/>
          <w:headerReference r:id="rId3" w:type="default"/>
          <w:footerReference r:id="rId6" w:type="default"/>
          <w:headerReference r:id="rId4" w:type="even"/>
          <w:pgSz w:w="11907" w:h="16840"/>
          <w:pgMar w:top="1440" w:right="1616" w:bottom="1440" w:left="1576" w:header="720" w:footer="720" w:gutter="0"/>
          <w:pgNumType w:fmt="decimalFullWidth" w:start="0"/>
          <w:cols w:space="720" w:num="1"/>
          <w:titlePg/>
          <w:docGrid w:linePitch="326" w:charSpace="0"/>
        </w:sectPr>
      </w:pPr>
      <w:r>
        <w:rPr>
          <w:rFonts w:eastAsia="黑体"/>
          <w:b/>
          <w:spacing w:val="20"/>
          <w:w w:val="135"/>
          <w:sz w:val="30"/>
        </w:rPr>
        <w:t>202</w:t>
      </w:r>
      <w:r>
        <w:rPr>
          <w:rFonts w:hint="eastAsia" w:eastAsia="黑体"/>
          <w:b/>
          <w:spacing w:val="20"/>
          <w:w w:val="135"/>
          <w:sz w:val="30"/>
        </w:rPr>
        <w:t>6</w:t>
      </w:r>
      <w:r>
        <w:rPr>
          <w:rFonts w:eastAsia="黑体"/>
          <w:b/>
          <w:spacing w:val="20"/>
          <w:w w:val="135"/>
          <w:sz w:val="30"/>
        </w:rPr>
        <w:t>年</w:t>
      </w:r>
      <w:r>
        <w:rPr>
          <w:rFonts w:hint="eastAsia" w:eastAsia="黑体"/>
          <w:b/>
          <w:spacing w:val="20"/>
          <w:w w:val="135"/>
          <w:sz w:val="30"/>
        </w:rPr>
        <w:t>1</w:t>
      </w:r>
      <w:r>
        <w:rPr>
          <w:rFonts w:eastAsia="黑体"/>
          <w:b/>
          <w:spacing w:val="20"/>
          <w:w w:val="135"/>
          <w:sz w:val="30"/>
        </w:rPr>
        <w:t>月</w:t>
      </w:r>
    </w:p>
    <w:p w14:paraId="0A4D8E62">
      <w:pPr>
        <w:snapToGrid w:val="0"/>
        <w:jc w:val="center"/>
        <w:rPr>
          <w:rFonts w:eastAsia="黑体"/>
          <w:sz w:val="32"/>
          <w:szCs w:val="28"/>
        </w:rPr>
      </w:pPr>
      <w:r>
        <w:rPr>
          <w:rFonts w:hint="eastAsia" w:eastAsia="黑体"/>
          <w:sz w:val="32"/>
          <w:szCs w:val="28"/>
        </w:rPr>
        <w:t>本技术规范书对应的通用部分目录</w:t>
      </w:r>
    </w:p>
    <w:tbl>
      <w:tblPr>
        <w:tblStyle w:val="57"/>
        <w:tblW w:w="893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01"/>
        <w:gridCol w:w="5106"/>
        <w:gridCol w:w="2724"/>
      </w:tblGrid>
      <w:tr w14:paraId="49B7A3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01" w:type="dxa"/>
          </w:tcPr>
          <w:p w14:paraId="5C5BF554">
            <w:pPr>
              <w:spacing w:line="360" w:lineRule="auto"/>
              <w:jc w:val="center"/>
              <w:rPr>
                <w:sz w:val="24"/>
              </w:rPr>
            </w:pPr>
            <w:r>
              <w:rPr>
                <w:sz w:val="24"/>
              </w:rPr>
              <w:t>序号</w:t>
            </w:r>
          </w:p>
        </w:tc>
        <w:tc>
          <w:tcPr>
            <w:tcW w:w="5106" w:type="dxa"/>
          </w:tcPr>
          <w:p w14:paraId="4EDF8C67">
            <w:pPr>
              <w:spacing w:line="360" w:lineRule="auto"/>
              <w:jc w:val="center"/>
              <w:rPr>
                <w:sz w:val="24"/>
              </w:rPr>
            </w:pPr>
            <w:r>
              <w:rPr>
                <w:sz w:val="24"/>
              </w:rPr>
              <w:t>名称</w:t>
            </w:r>
          </w:p>
        </w:tc>
        <w:tc>
          <w:tcPr>
            <w:tcW w:w="2724" w:type="dxa"/>
          </w:tcPr>
          <w:p w14:paraId="711A330B">
            <w:pPr>
              <w:spacing w:line="360" w:lineRule="auto"/>
              <w:jc w:val="center"/>
              <w:rPr>
                <w:sz w:val="24"/>
              </w:rPr>
            </w:pPr>
            <w:r>
              <w:rPr>
                <w:sz w:val="24"/>
              </w:rPr>
              <w:t>品类优化清单</w:t>
            </w:r>
          </w:p>
          <w:p w14:paraId="15250EDB">
            <w:pPr>
              <w:spacing w:line="360" w:lineRule="auto"/>
              <w:jc w:val="center"/>
              <w:rPr>
                <w:sz w:val="24"/>
              </w:rPr>
            </w:pPr>
            <w:r>
              <w:rPr>
                <w:sz w:val="24"/>
              </w:rPr>
              <w:t>对应型号</w:t>
            </w:r>
          </w:p>
        </w:tc>
      </w:tr>
      <w:tr w14:paraId="6D1C16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01" w:type="dxa"/>
            <w:vAlign w:val="center"/>
          </w:tcPr>
          <w:p w14:paraId="2510EAF1">
            <w:pPr>
              <w:spacing w:line="360" w:lineRule="auto"/>
              <w:jc w:val="center"/>
              <w:rPr>
                <w:sz w:val="24"/>
              </w:rPr>
            </w:pPr>
            <w:r>
              <w:rPr>
                <w:sz w:val="24"/>
              </w:rPr>
              <w:t>1</w:t>
            </w:r>
          </w:p>
        </w:tc>
        <w:tc>
          <w:tcPr>
            <w:tcW w:w="5106" w:type="dxa"/>
          </w:tcPr>
          <w:p w14:paraId="1511E743">
            <w:pPr>
              <w:numPr>
                <w:ilvl w:val="255"/>
                <w:numId w:val="0"/>
              </w:numPr>
              <w:spacing w:line="360" w:lineRule="auto"/>
              <w:jc w:val="center"/>
              <w:rPr>
                <w:sz w:val="24"/>
              </w:rPr>
            </w:pPr>
            <w:bookmarkStart w:id="3" w:name="_Toc50889640"/>
            <w:bookmarkStart w:id="4" w:name="_Toc15656"/>
            <w:r>
              <w:rPr>
                <w:rFonts w:hint="eastAsia"/>
                <w:sz w:val="24"/>
              </w:rPr>
              <w:t>重载无人机</w:t>
            </w:r>
            <w:r>
              <w:rPr>
                <w:sz w:val="24"/>
              </w:rPr>
              <w:t>技术规范书（</w:t>
            </w:r>
            <w:r>
              <w:rPr>
                <w:rFonts w:hint="eastAsia"/>
                <w:sz w:val="24"/>
              </w:rPr>
              <w:t>通</w:t>
            </w:r>
            <w:r>
              <w:rPr>
                <w:sz w:val="24"/>
              </w:rPr>
              <w:t>用部分）</w:t>
            </w:r>
            <w:bookmarkEnd w:id="3"/>
            <w:bookmarkEnd w:id="4"/>
          </w:p>
        </w:tc>
        <w:tc>
          <w:tcPr>
            <w:tcW w:w="2724" w:type="dxa"/>
          </w:tcPr>
          <w:p w14:paraId="6AE1A24B">
            <w:pPr>
              <w:spacing w:line="360" w:lineRule="auto"/>
              <w:jc w:val="center"/>
              <w:rPr>
                <w:sz w:val="24"/>
              </w:rPr>
            </w:pPr>
            <w:r>
              <w:rPr>
                <w:rFonts w:hint="eastAsia"/>
                <w:sz w:val="24"/>
              </w:rPr>
              <w:t>/</w:t>
            </w:r>
          </w:p>
        </w:tc>
      </w:tr>
    </w:tbl>
    <w:p w14:paraId="69A5698E">
      <w:pPr>
        <w:spacing w:line="360" w:lineRule="auto"/>
        <w:jc w:val="center"/>
        <w:rPr>
          <w:rFonts w:eastAsia="黑体"/>
          <w:bCs/>
          <w:sz w:val="36"/>
          <w:szCs w:val="36"/>
        </w:rPr>
      </w:pPr>
      <w:r>
        <w:rPr>
          <w:rFonts w:eastAsia="黑体"/>
          <w:sz w:val="32"/>
          <w:szCs w:val="20"/>
        </w:rPr>
        <w:br w:type="page"/>
      </w:r>
      <w:r>
        <w:rPr>
          <w:rFonts w:eastAsia="黑体"/>
          <w:bCs/>
          <w:sz w:val="36"/>
          <w:szCs w:val="36"/>
        </w:rPr>
        <w:t>目    录</w:t>
      </w:r>
      <w:bookmarkEnd w:id="0"/>
      <w:bookmarkEnd w:id="1"/>
      <w:bookmarkEnd w:id="2"/>
    </w:p>
    <w:p w14:paraId="09CF6DFE">
      <w:pPr>
        <w:spacing w:line="360" w:lineRule="auto"/>
        <w:jc w:val="center"/>
        <w:rPr>
          <w:rFonts w:eastAsia="黑体"/>
          <w:bCs/>
          <w:sz w:val="36"/>
          <w:szCs w:val="36"/>
        </w:rPr>
      </w:pPr>
    </w:p>
    <w:p w14:paraId="75BB50FC">
      <w:pPr>
        <w:pStyle w:val="38"/>
        <w:tabs>
          <w:tab w:val="right" w:leader="dot" w:pos="9113"/>
        </w:tabs>
        <w:rPr>
          <w:rFonts w:hint="eastAsia" w:asciiTheme="minorHAnsi" w:hAnsiTheme="minorHAnsi" w:eastAsiaTheme="minorEastAsia" w:cstheme="minorBidi"/>
          <w:sz w:val="22"/>
          <w14:ligatures w14:val="standardContextual"/>
        </w:rPr>
      </w:pPr>
      <w:r>
        <w:rPr>
          <w:rFonts w:hint="eastAsia" w:ascii="黑体" w:hAnsi="黑体" w:eastAsia="黑体" w:cs="黑体"/>
          <w:b/>
          <w:bCs/>
          <w:sz w:val="24"/>
          <w:szCs w:val="21"/>
        </w:rPr>
        <w:fldChar w:fldCharType="begin"/>
      </w:r>
      <w:r>
        <w:rPr>
          <w:rFonts w:hint="eastAsia" w:ascii="黑体" w:hAnsi="黑体" w:eastAsia="黑体" w:cs="黑体"/>
          <w:b/>
          <w:bCs/>
          <w:sz w:val="24"/>
        </w:rPr>
        <w:instrText xml:space="preserve"> TOC \o "1-2" \h \z \u </w:instrText>
      </w:r>
      <w:r>
        <w:rPr>
          <w:rFonts w:hint="eastAsia" w:ascii="黑体" w:hAnsi="黑体" w:eastAsia="黑体" w:cs="黑体"/>
          <w:b/>
          <w:bCs/>
          <w:sz w:val="24"/>
          <w:szCs w:val="21"/>
        </w:rPr>
        <w:fldChar w:fldCharType="separate"/>
      </w:r>
      <w:r>
        <w:fldChar w:fldCharType="begin"/>
      </w:r>
      <w:r>
        <w:instrText xml:space="preserve"> HYPERLINK \l "_Toc222993061" </w:instrText>
      </w:r>
      <w:r>
        <w:fldChar w:fldCharType="separate"/>
      </w:r>
      <w:r>
        <w:rPr>
          <w:rStyle w:val="65"/>
          <w:rFonts w:hint="eastAsia" w:eastAsia="黑体"/>
          <w:b/>
          <w:bCs/>
        </w:rPr>
        <w:t>1 总则</w:t>
      </w:r>
      <w:r>
        <w:rPr>
          <w:rFonts w:hint="eastAsia"/>
        </w:rPr>
        <w:tab/>
      </w:r>
      <w:r>
        <w:rPr>
          <w:rFonts w:hint="eastAsia"/>
        </w:rPr>
        <w:fldChar w:fldCharType="begin"/>
      </w:r>
      <w:r>
        <w:rPr>
          <w:rFonts w:hint="eastAsia"/>
        </w:rPr>
        <w:instrText xml:space="preserve"> </w:instrText>
      </w:r>
      <w:r>
        <w:instrText xml:space="preserve">PAGEREF _Toc222993061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E1EB7BA">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"_Toc222993062" </w:instrText>
      </w:r>
      <w:r>
        <w:fldChar w:fldCharType="separate"/>
      </w:r>
      <w:r>
        <w:rPr>
          <w:rStyle w:val="65"/>
          <w:rFonts w:hint="eastAsia" w:eastAsia="黑体"/>
          <w:b/>
          <w:bCs/>
        </w:rPr>
        <w:t>2 工作范围</w:t>
      </w:r>
      <w:r>
        <w:rPr>
          <w:rFonts w:hint="eastAsia"/>
        </w:rPr>
        <w:tab/>
      </w:r>
      <w:r>
        <w:rPr>
          <w:rFonts w:hint="eastAsia"/>
        </w:rPr>
        <w:fldChar w:fldCharType="begin"/>
      </w:r>
      <w:r>
        <w:rPr>
          <w:rFonts w:hint="eastAsia"/>
        </w:rPr>
        <w:instrText xml:space="preserve"> </w:instrText>
      </w:r>
      <w:r>
        <w:instrText xml:space="preserve">PAGEREF _Toc222993062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B7B2EDD">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"_Toc222993063" </w:instrText>
      </w:r>
      <w:r>
        <w:fldChar w:fldCharType="separate"/>
      </w:r>
      <w:r>
        <w:rPr>
          <w:rStyle w:val="65"/>
          <w:rFonts w:hint="eastAsia" w:eastAsia="黑体"/>
          <w:bCs/>
        </w:rPr>
        <w:t>2.1 供货范围</w:t>
      </w:r>
      <w:r>
        <w:rPr>
          <w:rFonts w:hint="eastAsia"/>
        </w:rPr>
        <w:tab/>
      </w:r>
      <w:r>
        <w:rPr>
          <w:rFonts w:hint="eastAsia"/>
        </w:rPr>
        <w:fldChar w:fldCharType="begin"/>
      </w:r>
      <w:r>
        <w:rPr>
          <w:rFonts w:hint="eastAsia"/>
        </w:rPr>
        <w:instrText xml:space="preserve"> </w:instrText>
      </w:r>
      <w:r>
        <w:instrText xml:space="preserve">PAGEREF _Toc222993063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FC1BB62">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"_Toc222993064" </w:instrText>
      </w:r>
      <w:r>
        <w:fldChar w:fldCharType="separate"/>
      </w:r>
      <w:r>
        <w:rPr>
          <w:rStyle w:val="65"/>
          <w:rFonts w:hint="eastAsia" w:eastAsia="黑体"/>
          <w:bCs/>
        </w:rPr>
        <w:t>2.2 服务界限</w:t>
      </w:r>
      <w:r>
        <w:rPr>
          <w:rFonts w:hint="eastAsia"/>
        </w:rPr>
        <w:tab/>
      </w:r>
      <w:r>
        <w:rPr>
          <w:rFonts w:hint="eastAsia"/>
        </w:rPr>
        <w:fldChar w:fldCharType="begin"/>
      </w:r>
      <w:r>
        <w:rPr>
          <w:rFonts w:hint="eastAsia"/>
        </w:rPr>
        <w:instrText xml:space="preserve"> </w:instrText>
      </w:r>
      <w:r>
        <w:instrText xml:space="preserve">PAGEREF _Toc222993064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63E9C67">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"_Toc222993065" </w:instrText>
      </w:r>
      <w:r>
        <w:fldChar w:fldCharType="separate"/>
      </w:r>
      <w:r>
        <w:rPr>
          <w:rStyle w:val="65"/>
          <w:rFonts w:hint="eastAsia" w:eastAsia="黑体"/>
          <w:bCs/>
        </w:rPr>
        <w:t>2.3 技术文件</w:t>
      </w:r>
      <w:r>
        <w:rPr>
          <w:rFonts w:hint="eastAsia"/>
        </w:rPr>
        <w:tab/>
      </w:r>
      <w:r>
        <w:rPr>
          <w:rFonts w:hint="eastAsia"/>
        </w:rPr>
        <w:fldChar w:fldCharType="begin"/>
      </w:r>
      <w:r>
        <w:rPr>
          <w:rFonts w:hint="eastAsia"/>
        </w:rPr>
        <w:instrText xml:space="preserve"> </w:instrText>
      </w:r>
      <w:r>
        <w:instrText xml:space="preserve">PAGEREF _Toc222993065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B031AB8">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"_Toc222993066" </w:instrText>
      </w:r>
      <w:r>
        <w:fldChar w:fldCharType="separate"/>
      </w:r>
      <w:r>
        <w:rPr>
          <w:rStyle w:val="65"/>
          <w:rFonts w:hint="eastAsia"/>
        </w:rPr>
        <w:t>技术文件的组成</w:t>
      </w:r>
      <w:r>
        <w:rPr>
          <w:rFonts w:hint="eastAsia"/>
        </w:rPr>
        <w:tab/>
      </w:r>
      <w:r>
        <w:rPr>
          <w:rFonts w:hint="eastAsia"/>
        </w:rPr>
        <w:fldChar w:fldCharType="begin"/>
      </w:r>
      <w:r>
        <w:rPr>
          <w:rFonts w:hint="eastAsia"/>
        </w:rPr>
        <w:instrText xml:space="preserve"> </w:instrText>
      </w:r>
      <w:r>
        <w:instrText xml:space="preserve">PAGEREF _Toc222993066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124F610">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"_Toc222993067" </w:instrText>
      </w:r>
      <w:r>
        <w:fldChar w:fldCharType="separate"/>
      </w:r>
      <w:r>
        <w:rPr>
          <w:rStyle w:val="65"/>
          <w:rFonts w:hint="eastAsia" w:eastAsia="黑体"/>
          <w:b/>
          <w:bCs/>
        </w:rPr>
        <w:t>3 应遵循的主要标准</w:t>
      </w:r>
      <w:r>
        <w:rPr>
          <w:rFonts w:hint="eastAsia"/>
        </w:rPr>
        <w:tab/>
      </w:r>
      <w:r>
        <w:rPr>
          <w:rFonts w:hint="eastAsia"/>
        </w:rPr>
        <w:fldChar w:fldCharType="begin"/>
      </w:r>
      <w:r>
        <w:rPr>
          <w:rFonts w:hint="eastAsia"/>
        </w:rPr>
        <w:instrText xml:space="preserve"> </w:instrText>
      </w:r>
      <w:r>
        <w:instrText xml:space="preserve">PAGEREF _Toc222993067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220088E6">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"_Toc222993068" </w:instrText>
      </w:r>
      <w:r>
        <w:fldChar w:fldCharType="separate"/>
      </w:r>
      <w:r>
        <w:rPr>
          <w:rStyle w:val="65"/>
          <w:rFonts w:hint="eastAsia" w:eastAsia="黑体"/>
          <w:b/>
          <w:bCs/>
        </w:rPr>
        <w:t>4 使用条件</w:t>
      </w:r>
      <w:r>
        <w:rPr>
          <w:rFonts w:hint="eastAsia"/>
        </w:rPr>
        <w:tab/>
      </w:r>
      <w:r>
        <w:rPr>
          <w:rFonts w:hint="eastAsia"/>
        </w:rPr>
        <w:fldChar w:fldCharType="begin"/>
      </w:r>
      <w:r>
        <w:rPr>
          <w:rFonts w:hint="eastAsia"/>
        </w:rPr>
        <w:instrText xml:space="preserve"> </w:instrText>
      </w:r>
      <w:r>
        <w:instrText xml:space="preserve">PAGEREF _Toc222993068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0990A52B">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"_Toc222993069" </w:instrText>
      </w:r>
      <w:r>
        <w:fldChar w:fldCharType="separate"/>
      </w:r>
      <w:r>
        <w:rPr>
          <w:rStyle w:val="65"/>
          <w:rFonts w:hint="eastAsia" w:eastAsia="黑体"/>
        </w:rPr>
        <w:t>4.1 正常使用条件</w:t>
      </w:r>
      <w:r>
        <w:rPr>
          <w:rFonts w:hint="eastAsia"/>
        </w:rPr>
        <w:tab/>
      </w:r>
      <w:r>
        <w:rPr>
          <w:rFonts w:hint="eastAsia"/>
        </w:rPr>
        <w:fldChar w:fldCharType="begin"/>
      </w:r>
      <w:r>
        <w:rPr>
          <w:rFonts w:hint="eastAsia"/>
        </w:rPr>
        <w:instrText xml:space="preserve"> </w:instrText>
      </w:r>
      <w:r>
        <w:instrText xml:space="preserve">PAGEREF _Toc222993069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0D1D0C49">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"_Toc222993070" </w:instrText>
      </w:r>
      <w:r>
        <w:fldChar w:fldCharType="separate"/>
      </w:r>
      <w:r>
        <w:rPr>
          <w:rStyle w:val="65"/>
          <w:rFonts w:hint="eastAsia" w:eastAsia="黑体"/>
        </w:rPr>
        <w:t>4.2 特殊使用条件</w:t>
      </w:r>
      <w:r>
        <w:rPr>
          <w:rFonts w:hint="eastAsia"/>
        </w:rPr>
        <w:tab/>
      </w:r>
      <w:r>
        <w:rPr>
          <w:rFonts w:hint="eastAsia"/>
        </w:rPr>
        <w:fldChar w:fldCharType="begin"/>
      </w:r>
      <w:r>
        <w:rPr>
          <w:rFonts w:hint="eastAsia"/>
        </w:rPr>
        <w:instrText xml:space="preserve"> </w:instrText>
      </w:r>
      <w:r>
        <w:instrText xml:space="preserve">PAGEREF _Toc222993070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E6CFFB2">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"_Toc222993071" </w:instrText>
      </w:r>
      <w:r>
        <w:fldChar w:fldCharType="separate"/>
      </w:r>
      <w:r>
        <w:rPr>
          <w:rStyle w:val="65"/>
          <w:rFonts w:hint="eastAsia" w:eastAsia="黑体"/>
        </w:rPr>
        <w:t>5 技术要求</w:t>
      </w:r>
      <w:r>
        <w:rPr>
          <w:rFonts w:hint="eastAsia"/>
        </w:rPr>
        <w:tab/>
      </w:r>
      <w:r>
        <w:rPr>
          <w:rFonts w:hint="eastAsia"/>
        </w:rPr>
        <w:fldChar w:fldCharType="begin"/>
      </w:r>
      <w:r>
        <w:rPr>
          <w:rFonts w:hint="eastAsia"/>
        </w:rPr>
        <w:instrText xml:space="preserve"> </w:instrText>
      </w:r>
      <w:r>
        <w:instrText xml:space="preserve">PAGEREF _Toc222993071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69A2BD4">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"_Toc222993072" </w:instrText>
      </w:r>
      <w:r>
        <w:fldChar w:fldCharType="separate"/>
      </w:r>
      <w:r>
        <w:rPr>
          <w:rStyle w:val="65"/>
          <w:rFonts w:hint="eastAsia" w:ascii="黑体" w:hAnsi="黑体" w:eastAsia="黑体"/>
          <w:bCs/>
        </w:rPr>
        <w:t>5.1 功能要求</w:t>
      </w:r>
      <w:r>
        <w:rPr>
          <w:rFonts w:hint="eastAsia"/>
        </w:rPr>
        <w:tab/>
      </w:r>
      <w:r>
        <w:rPr>
          <w:rFonts w:hint="eastAsia"/>
        </w:rPr>
        <w:fldChar w:fldCharType="begin"/>
      </w:r>
      <w:r>
        <w:rPr>
          <w:rFonts w:hint="eastAsia"/>
        </w:rPr>
        <w:instrText xml:space="preserve"> </w:instrText>
      </w:r>
      <w:r>
        <w:instrText xml:space="preserve">PAGEREF _Toc222993072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03902788">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"_Toc222993073" </w:instrText>
      </w:r>
      <w:r>
        <w:fldChar w:fldCharType="separate"/>
      </w:r>
      <w:r>
        <w:rPr>
          <w:rStyle w:val="65"/>
          <w:rFonts w:hint="eastAsia" w:eastAsia="黑体"/>
          <w:bCs/>
        </w:rPr>
        <w:t>5.2 网络安全要求</w:t>
      </w:r>
      <w:r>
        <w:rPr>
          <w:rFonts w:hint="eastAsia"/>
        </w:rPr>
        <w:tab/>
      </w:r>
      <w:r>
        <w:rPr>
          <w:rFonts w:hint="eastAsia"/>
        </w:rPr>
        <w:fldChar w:fldCharType="begin"/>
      </w:r>
      <w:r>
        <w:rPr>
          <w:rFonts w:hint="eastAsia"/>
        </w:rPr>
        <w:instrText xml:space="preserve"> </w:instrText>
      </w:r>
      <w:r>
        <w:instrText xml:space="preserve">PAGEREF _Toc222993073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4C4932C5">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"_Toc222993074" </w:instrText>
      </w:r>
      <w:r>
        <w:fldChar w:fldCharType="separate"/>
      </w:r>
      <w:r>
        <w:rPr>
          <w:rStyle w:val="65"/>
          <w:rFonts w:hint="eastAsia" w:eastAsia="黑体"/>
          <w:b/>
          <w:bCs/>
        </w:rPr>
        <w:t>6 试验项目及要求</w:t>
      </w:r>
      <w:r>
        <w:rPr>
          <w:rFonts w:hint="eastAsia"/>
        </w:rPr>
        <w:tab/>
      </w:r>
      <w:r>
        <w:rPr>
          <w:rFonts w:hint="eastAsia"/>
        </w:rPr>
        <w:fldChar w:fldCharType="begin"/>
      </w:r>
      <w:r>
        <w:rPr>
          <w:rFonts w:hint="eastAsia"/>
        </w:rPr>
        <w:instrText xml:space="preserve"> </w:instrText>
      </w:r>
      <w:r>
        <w:instrText xml:space="preserve">PAGEREF _Toc222993074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2F2D8968">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"_Toc222993075" </w:instrText>
      </w:r>
      <w:r>
        <w:fldChar w:fldCharType="separate"/>
      </w:r>
      <w:r>
        <w:rPr>
          <w:rStyle w:val="65"/>
          <w:rFonts w:hint="eastAsia" w:eastAsia="黑体"/>
          <w:b/>
          <w:bCs/>
        </w:rPr>
        <w:t>7 检验规则</w:t>
      </w:r>
      <w:r>
        <w:rPr>
          <w:rFonts w:hint="eastAsia"/>
        </w:rPr>
        <w:tab/>
      </w:r>
      <w:r>
        <w:rPr>
          <w:rFonts w:hint="eastAsia"/>
        </w:rPr>
        <w:fldChar w:fldCharType="begin"/>
      </w:r>
      <w:r>
        <w:rPr>
          <w:rFonts w:hint="eastAsia"/>
        </w:rPr>
        <w:instrText xml:space="preserve"> </w:instrText>
      </w:r>
      <w:r>
        <w:instrText xml:space="preserve">PAGEREF _Toc222993075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00FD2C75">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"_Toc222993076" </w:instrText>
      </w:r>
      <w:r>
        <w:fldChar w:fldCharType="separate"/>
      </w:r>
      <w:r>
        <w:rPr>
          <w:rStyle w:val="65"/>
          <w:rFonts w:hint="eastAsia" w:eastAsia="黑体"/>
          <w:b/>
          <w:bCs/>
        </w:rPr>
        <w:t>8 技术联络、技术培训及售后服务</w:t>
      </w:r>
      <w:r>
        <w:rPr>
          <w:rFonts w:hint="eastAsia"/>
        </w:rPr>
        <w:tab/>
      </w:r>
      <w:r>
        <w:rPr>
          <w:rFonts w:hint="eastAsia"/>
        </w:rPr>
        <w:fldChar w:fldCharType="begin"/>
      </w:r>
      <w:r>
        <w:rPr>
          <w:rFonts w:hint="eastAsia"/>
        </w:rPr>
        <w:instrText xml:space="preserve"> </w:instrText>
      </w:r>
      <w:r>
        <w:instrText xml:space="preserve">PAGEREF _Toc222993076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0B9F3789">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"_Toc222993077" </w:instrText>
      </w:r>
      <w:r>
        <w:fldChar w:fldCharType="separate"/>
      </w:r>
      <w:r>
        <w:rPr>
          <w:rStyle w:val="65"/>
          <w:rFonts w:hint="eastAsia" w:eastAsia="黑体"/>
          <w:bCs/>
        </w:rPr>
        <w:t>8.1 技术培训</w:t>
      </w:r>
      <w:r>
        <w:rPr>
          <w:rFonts w:hint="eastAsia"/>
        </w:rPr>
        <w:tab/>
      </w:r>
      <w:r>
        <w:rPr>
          <w:rFonts w:hint="eastAsia"/>
        </w:rPr>
        <w:fldChar w:fldCharType="begin"/>
      </w:r>
      <w:r>
        <w:rPr>
          <w:rFonts w:hint="eastAsia"/>
        </w:rPr>
        <w:instrText xml:space="preserve"> </w:instrText>
      </w:r>
      <w:r>
        <w:instrText xml:space="preserve">PAGEREF _Toc222993077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76222AA1">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"_Toc222993078" </w:instrText>
      </w:r>
      <w:r>
        <w:fldChar w:fldCharType="separate"/>
      </w:r>
      <w:r>
        <w:rPr>
          <w:rStyle w:val="65"/>
          <w:rFonts w:hint="eastAsia" w:eastAsia="黑体"/>
          <w:bCs/>
        </w:rPr>
        <w:t>8.2 现场及远程技术服务</w:t>
      </w:r>
      <w:r>
        <w:rPr>
          <w:rFonts w:hint="eastAsia"/>
        </w:rPr>
        <w:tab/>
      </w:r>
      <w:r>
        <w:rPr>
          <w:rFonts w:hint="eastAsia"/>
        </w:rPr>
        <w:fldChar w:fldCharType="begin"/>
      </w:r>
      <w:r>
        <w:rPr>
          <w:rFonts w:hint="eastAsia"/>
        </w:rPr>
        <w:instrText xml:space="preserve"> </w:instrText>
      </w:r>
      <w:r>
        <w:instrText xml:space="preserve">PAGEREF _Toc222993078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17CA601C">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"_Toc222993079" </w:instrText>
      </w:r>
      <w:r>
        <w:fldChar w:fldCharType="separate"/>
      </w:r>
      <w:r>
        <w:rPr>
          <w:rStyle w:val="65"/>
          <w:rFonts w:hint="eastAsia" w:eastAsia="黑体"/>
          <w:bCs/>
        </w:rPr>
        <w:t>8.3 售后服务</w:t>
      </w:r>
      <w:r>
        <w:rPr>
          <w:rFonts w:hint="eastAsia"/>
        </w:rPr>
        <w:tab/>
      </w:r>
      <w:r>
        <w:rPr>
          <w:rFonts w:hint="eastAsia"/>
        </w:rPr>
        <w:fldChar w:fldCharType="begin"/>
      </w:r>
      <w:r>
        <w:rPr>
          <w:rFonts w:hint="eastAsia"/>
        </w:rPr>
        <w:instrText xml:space="preserve"> </w:instrText>
      </w:r>
      <w:r>
        <w:instrText xml:space="preserve">PAGEREF _Toc222993079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49D5C68C">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"_Toc222993080" </w:instrText>
      </w:r>
      <w:r>
        <w:fldChar w:fldCharType="separate"/>
      </w:r>
      <w:r>
        <w:rPr>
          <w:rStyle w:val="65"/>
          <w:rFonts w:hint="eastAsia" w:eastAsia="黑体"/>
          <w:b/>
          <w:bCs/>
        </w:rPr>
        <w:t>9 标志、包装、运输、贮存</w:t>
      </w:r>
      <w:r>
        <w:rPr>
          <w:rFonts w:hint="eastAsia"/>
        </w:rPr>
        <w:tab/>
      </w:r>
      <w:r>
        <w:rPr>
          <w:rFonts w:hint="eastAsia"/>
        </w:rPr>
        <w:fldChar w:fldCharType="begin"/>
      </w:r>
      <w:r>
        <w:rPr>
          <w:rFonts w:hint="eastAsia"/>
        </w:rPr>
        <w:instrText xml:space="preserve"> </w:instrText>
      </w:r>
      <w:r>
        <w:instrText xml:space="preserve">PAGEREF _Toc222993080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292EC16D">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"_Toc222993081" </w:instrText>
      </w:r>
      <w:r>
        <w:fldChar w:fldCharType="separate"/>
      </w:r>
      <w:r>
        <w:rPr>
          <w:rStyle w:val="65"/>
          <w:rFonts w:hint="eastAsia" w:ascii="黑体" w:hAnsi="黑体" w:eastAsia="黑体"/>
        </w:rPr>
        <w:t>9.1 包装</w:t>
      </w:r>
      <w:r>
        <w:rPr>
          <w:rFonts w:hint="eastAsia"/>
        </w:rPr>
        <w:tab/>
      </w:r>
      <w:r>
        <w:rPr>
          <w:rFonts w:hint="eastAsia"/>
        </w:rPr>
        <w:fldChar w:fldCharType="begin"/>
      </w:r>
      <w:r>
        <w:rPr>
          <w:rFonts w:hint="eastAsia"/>
        </w:rPr>
        <w:instrText xml:space="preserve"> </w:instrText>
      </w:r>
      <w:r>
        <w:instrText xml:space="preserve">PAGEREF _Toc222993081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01BF40E7">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"_Toc222993082" </w:instrText>
      </w:r>
      <w:r>
        <w:fldChar w:fldCharType="separate"/>
      </w:r>
      <w:r>
        <w:rPr>
          <w:rStyle w:val="65"/>
          <w:rFonts w:hint="eastAsia" w:ascii="黑体" w:hAnsi="黑体" w:eastAsia="黑体"/>
        </w:rPr>
        <w:t>9.2 运输</w:t>
      </w:r>
      <w:r>
        <w:rPr>
          <w:rFonts w:hint="eastAsia"/>
        </w:rPr>
        <w:tab/>
      </w:r>
      <w:r>
        <w:rPr>
          <w:rFonts w:hint="eastAsia"/>
        </w:rPr>
        <w:fldChar w:fldCharType="begin"/>
      </w:r>
      <w:r>
        <w:rPr>
          <w:rFonts w:hint="eastAsia"/>
        </w:rPr>
        <w:instrText xml:space="preserve"> </w:instrText>
      </w:r>
      <w:r>
        <w:instrText xml:space="preserve">PAGEREF _Toc222993082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21298A47">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"_Toc222993083" </w:instrText>
      </w:r>
      <w:r>
        <w:fldChar w:fldCharType="separate"/>
      </w:r>
      <w:r>
        <w:rPr>
          <w:rStyle w:val="65"/>
          <w:rFonts w:hint="eastAsia" w:ascii="黑体" w:hAnsi="黑体" w:eastAsia="黑体"/>
        </w:rPr>
        <w:t>9.3 组装指导</w:t>
      </w:r>
      <w:r>
        <w:rPr>
          <w:rFonts w:hint="eastAsia"/>
        </w:rPr>
        <w:tab/>
      </w:r>
      <w:r>
        <w:rPr>
          <w:rFonts w:hint="eastAsia"/>
        </w:rPr>
        <w:fldChar w:fldCharType="begin"/>
      </w:r>
      <w:r>
        <w:rPr>
          <w:rFonts w:hint="eastAsia"/>
        </w:rPr>
        <w:instrText xml:space="preserve"> </w:instrText>
      </w:r>
      <w:r>
        <w:instrText xml:space="preserve">PAGEREF _Toc222993083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51AA8DA7">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"_Toc222993084" </w:instrText>
      </w:r>
      <w:r>
        <w:fldChar w:fldCharType="separate"/>
      </w:r>
      <w:r>
        <w:rPr>
          <w:rStyle w:val="65"/>
          <w:rFonts w:hint="eastAsia" w:ascii="黑体" w:hAnsi="黑体" w:eastAsia="黑体"/>
        </w:rPr>
        <w:t>9.4 质量保证</w:t>
      </w:r>
      <w:r>
        <w:rPr>
          <w:rFonts w:hint="eastAsia"/>
        </w:rPr>
        <w:tab/>
      </w:r>
      <w:r>
        <w:rPr>
          <w:rFonts w:hint="eastAsia"/>
        </w:rPr>
        <w:fldChar w:fldCharType="begin"/>
      </w:r>
      <w:r>
        <w:rPr>
          <w:rFonts w:hint="eastAsia"/>
        </w:rPr>
        <w:instrText xml:space="preserve"> </w:instrText>
      </w:r>
      <w:r>
        <w:instrText xml:space="preserve">PAGEREF _Toc222993084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17091191">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"_Toc222993085" </w:instrText>
      </w:r>
      <w:r>
        <w:fldChar w:fldCharType="separate"/>
      </w:r>
      <w:r>
        <w:rPr>
          <w:rStyle w:val="65"/>
          <w:rFonts w:hint="eastAsia" w:ascii="黑体" w:hAnsi="黑体" w:eastAsia="黑体"/>
        </w:rPr>
        <w:t>9.5 设备验收</w:t>
      </w:r>
      <w:r>
        <w:rPr>
          <w:rFonts w:hint="eastAsia"/>
        </w:rPr>
        <w:tab/>
      </w:r>
      <w:r>
        <w:rPr>
          <w:rFonts w:hint="eastAsia"/>
        </w:rPr>
        <w:fldChar w:fldCharType="begin"/>
      </w:r>
      <w:r>
        <w:rPr>
          <w:rFonts w:hint="eastAsia"/>
        </w:rPr>
        <w:instrText xml:space="preserve"> </w:instrText>
      </w:r>
      <w:r>
        <w:instrText xml:space="preserve">PAGEREF _Toc222993085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51F3AF9B">
      <w:pPr>
        <w:pStyle w:val="29"/>
        <w:spacing w:line="360" w:lineRule="auto"/>
        <w:rPr>
          <w:rFonts w:ascii="Times New Roman" w:hAnsi="Times New Roman"/>
          <w:szCs w:val="21"/>
        </w:rPr>
      </w:pPr>
      <w:r>
        <w:rPr>
          <w:rFonts w:hint="eastAsia" w:ascii="黑体" w:hAnsi="黑体" w:eastAsia="黑体" w:cs="黑体"/>
          <w:b/>
          <w:bCs/>
          <w:sz w:val="24"/>
          <w:szCs w:val="24"/>
        </w:rPr>
        <w:fldChar w:fldCharType="end"/>
      </w:r>
    </w:p>
    <w:p w14:paraId="0CA4B58A">
      <w:pPr>
        <w:snapToGrid w:val="0"/>
        <w:spacing w:line="360" w:lineRule="auto"/>
        <w:ind w:firstLine="560"/>
        <w:outlineLvl w:val="0"/>
        <w:rPr>
          <w:szCs w:val="21"/>
        </w:rPr>
        <w:sectPr>
          <w:footerReference r:id="rId7" w:type="default"/>
          <w:footerReference r:id="rId8" w:type="even"/>
          <w:pgSz w:w="11906" w:h="16838"/>
          <w:pgMar w:top="1418" w:right="1418" w:bottom="1418" w:left="1365" w:header="851" w:footer="992" w:gutter="0"/>
          <w:cols w:space="425" w:num="1"/>
          <w:titlePg/>
          <w:docGrid w:type="lines" w:linePitch="312" w:charSpace="0"/>
        </w:sectPr>
      </w:pPr>
    </w:p>
    <w:p w14:paraId="25D515A6">
      <w:pPr>
        <w:spacing w:line="480" w:lineRule="auto"/>
        <w:outlineLvl w:val="0"/>
        <w:rPr>
          <w:rFonts w:eastAsia="黑体"/>
          <w:b/>
          <w:bCs/>
          <w:szCs w:val="21"/>
        </w:rPr>
      </w:pPr>
      <w:bookmarkStart w:id="5" w:name="_Toc224274558"/>
      <w:bookmarkStart w:id="6" w:name="_Toc222993061"/>
      <w:bookmarkStart w:id="7" w:name="_Toc76025478"/>
      <w:bookmarkStart w:id="8" w:name="_Toc224531919"/>
      <w:bookmarkStart w:id="9" w:name="_Toc23837"/>
      <w:bookmarkStart w:id="10" w:name="_Toc22168"/>
      <w:r>
        <w:rPr>
          <w:rFonts w:eastAsia="黑体"/>
          <w:b/>
          <w:bCs/>
          <w:szCs w:val="21"/>
        </w:rPr>
        <w:t>1 总则</w:t>
      </w:r>
      <w:bookmarkEnd w:id="5"/>
      <w:bookmarkEnd w:id="6"/>
      <w:bookmarkEnd w:id="7"/>
      <w:bookmarkEnd w:id="8"/>
      <w:bookmarkEnd w:id="9"/>
      <w:bookmarkEnd w:id="10"/>
    </w:p>
    <w:p w14:paraId="7AAC42B7">
      <w:pPr>
        <w:pStyle w:val="29"/>
        <w:spacing w:line="360" w:lineRule="auto"/>
        <w:rPr>
          <w:rFonts w:ascii="Times New Roman" w:hAnsi="Times New Roman"/>
          <w:kern w:val="0"/>
          <w:szCs w:val="21"/>
        </w:rPr>
      </w:pPr>
      <w:r>
        <w:rPr>
          <w:rFonts w:ascii="Times New Roman" w:hAnsi="Times New Roman"/>
          <w:kern w:val="0"/>
          <w:szCs w:val="21"/>
        </w:rPr>
        <w:t>1.1</w:t>
      </w:r>
      <w:r>
        <w:rPr>
          <w:rFonts w:hint="eastAsia" w:ascii="Times New Roman" w:hAnsi="Times New Roman"/>
          <w:kern w:val="0"/>
          <w:szCs w:val="21"/>
        </w:rPr>
        <w:t>本技术规范书适用于中国南方电网公司电网设备采购的重载无人机设备，提出了该类装置的功能设计、结构、性能、安装和试验等方面的技术要求。</w:t>
      </w:r>
    </w:p>
    <w:p w14:paraId="3D885646">
      <w:pPr>
        <w:pStyle w:val="29"/>
        <w:spacing w:line="360" w:lineRule="auto"/>
        <w:rPr>
          <w:rFonts w:ascii="Times New Roman" w:hAnsi="Times New Roman"/>
          <w:kern w:val="0"/>
          <w:szCs w:val="21"/>
        </w:rPr>
      </w:pPr>
      <w:r>
        <w:rPr>
          <w:rFonts w:ascii="Times New Roman" w:hAnsi="Times New Roman"/>
          <w:kern w:val="0"/>
          <w:szCs w:val="21"/>
        </w:rPr>
        <w:t>1.2</w:t>
      </w:r>
      <w:r>
        <w:rPr>
          <w:rFonts w:hint="eastAsia" w:ascii="Times New Roman" w:hAnsi="Times New Roman"/>
          <w:kern w:val="0"/>
          <w:szCs w:val="21"/>
        </w:rPr>
        <w:t>本技术条件提出的是最低限度的技术要求。凡本技术条件中未规定，但在相关设备的国家标准或</w:t>
      </w:r>
      <w:r>
        <w:rPr>
          <w:rFonts w:ascii="Times New Roman" w:hAnsi="Times New Roman"/>
          <w:kern w:val="0"/>
          <w:szCs w:val="21"/>
        </w:rPr>
        <w:t>IEC</w:t>
      </w:r>
      <w:r>
        <w:rPr>
          <w:rFonts w:hint="eastAsia" w:ascii="Times New Roman" w:hAnsi="Times New Roman"/>
          <w:kern w:val="0"/>
          <w:szCs w:val="21"/>
        </w:rPr>
        <w:t>标准中有规定的规范条文，投标方应按相应标准的条文进行设备设计、制造、试验和安装。对国家有关安全、环保等强制性标准，必须满足其要求。</w:t>
      </w:r>
    </w:p>
    <w:p w14:paraId="32629592">
      <w:pPr>
        <w:pStyle w:val="29"/>
        <w:spacing w:line="360" w:lineRule="auto"/>
        <w:rPr>
          <w:rFonts w:ascii="Times New Roman" w:hAnsi="Times New Roman"/>
          <w:kern w:val="0"/>
          <w:szCs w:val="21"/>
        </w:rPr>
      </w:pPr>
      <w:r>
        <w:rPr>
          <w:rFonts w:ascii="Times New Roman" w:hAnsi="Times New Roman"/>
          <w:kern w:val="0"/>
          <w:szCs w:val="21"/>
        </w:rPr>
        <w:t>1.3</w:t>
      </w:r>
      <w:r>
        <w:rPr>
          <w:rFonts w:hint="eastAsia" w:ascii="Times New Roman" w:hAnsi="Times New Roman"/>
          <w:kern w:val="0"/>
          <w:szCs w:val="21"/>
        </w:rPr>
        <w:t>如果投标方没有以书面形式对本规范书的条文提出异议，则意味着投标方提供的设备完全符合本规范书的要求。如有异议，不管多么微小，都应在报价书中以</w:t>
      </w:r>
      <w:r>
        <w:rPr>
          <w:rFonts w:ascii="Times New Roman" w:hAnsi="Times New Roman"/>
          <w:kern w:val="0"/>
          <w:szCs w:val="21"/>
        </w:rPr>
        <w:t>“</w:t>
      </w:r>
      <w:r>
        <w:rPr>
          <w:rFonts w:hint="eastAsia" w:ascii="Times New Roman" w:hAnsi="Times New Roman"/>
          <w:kern w:val="0"/>
          <w:szCs w:val="21"/>
        </w:rPr>
        <w:t>对规范书的意见和同规范书的差异</w:t>
      </w:r>
      <w:r>
        <w:rPr>
          <w:rFonts w:ascii="Times New Roman" w:hAnsi="Times New Roman"/>
          <w:kern w:val="0"/>
          <w:szCs w:val="21"/>
        </w:rPr>
        <w:t>”</w:t>
      </w:r>
      <w:r>
        <w:rPr>
          <w:rFonts w:hint="eastAsia" w:ascii="Times New Roman" w:hAnsi="Times New Roman"/>
          <w:kern w:val="0"/>
          <w:szCs w:val="21"/>
        </w:rPr>
        <w:t>为标题的专门章节中加以详细描述。</w:t>
      </w:r>
    </w:p>
    <w:p w14:paraId="0B10C939">
      <w:pPr>
        <w:pStyle w:val="29"/>
        <w:spacing w:line="360" w:lineRule="auto"/>
        <w:rPr>
          <w:rFonts w:ascii="Times New Roman" w:hAnsi="Times New Roman"/>
          <w:kern w:val="0"/>
          <w:szCs w:val="21"/>
        </w:rPr>
      </w:pPr>
      <w:r>
        <w:rPr>
          <w:rFonts w:ascii="Times New Roman" w:hAnsi="Times New Roman"/>
          <w:kern w:val="0"/>
          <w:szCs w:val="21"/>
        </w:rPr>
        <w:t>1.4</w:t>
      </w:r>
      <w:r>
        <w:rPr>
          <w:rFonts w:hint="eastAsia" w:ascii="Times New Roman" w:hAnsi="Times New Roman"/>
          <w:kern w:val="0"/>
          <w:szCs w:val="21"/>
        </w:rPr>
        <w:t>本技术规范书所使用的标准如遇与投标方所执行的标准不一致时，按较高标准执行。</w:t>
      </w:r>
    </w:p>
    <w:p w14:paraId="1E04589D">
      <w:pPr>
        <w:pStyle w:val="29"/>
        <w:spacing w:line="360" w:lineRule="auto"/>
        <w:rPr>
          <w:rFonts w:ascii="Times New Roman" w:hAnsi="Times New Roman"/>
          <w:kern w:val="0"/>
          <w:szCs w:val="21"/>
        </w:rPr>
      </w:pPr>
      <w:r>
        <w:rPr>
          <w:rFonts w:ascii="Times New Roman" w:hAnsi="Times New Roman"/>
          <w:kern w:val="0"/>
          <w:szCs w:val="21"/>
        </w:rPr>
        <w:t>1.</w:t>
      </w:r>
      <w:r>
        <w:rPr>
          <w:rFonts w:hint="eastAsia" w:ascii="Times New Roman" w:hAnsi="Times New Roman"/>
          <w:kern w:val="0"/>
          <w:szCs w:val="21"/>
        </w:rPr>
        <w:t>5本技术规范书经招标方、投标方双方确认后作为订货合同的技术附件，与合同正文具有同等的法律效力。</w:t>
      </w:r>
    </w:p>
    <w:p w14:paraId="27C84EC3">
      <w:pPr>
        <w:pStyle w:val="29"/>
        <w:spacing w:line="360" w:lineRule="auto"/>
        <w:rPr>
          <w:rFonts w:ascii="Times New Roman" w:hAnsi="Times New Roman"/>
          <w:kern w:val="0"/>
          <w:szCs w:val="21"/>
        </w:rPr>
      </w:pPr>
      <w:r>
        <w:rPr>
          <w:rFonts w:ascii="Times New Roman" w:hAnsi="Times New Roman"/>
          <w:kern w:val="0"/>
          <w:szCs w:val="21"/>
        </w:rPr>
        <w:t>1.6</w:t>
      </w:r>
      <w:r>
        <w:rPr>
          <w:rFonts w:hint="eastAsia" w:ascii="Times New Roman" w:hAnsi="Times New Roman"/>
          <w:kern w:val="0"/>
          <w:szCs w:val="21"/>
        </w:rPr>
        <w:t>投标方在应标技术条件中应如实反映应标产品与本技术条件的技术差异。如果投标方没有提出技术差异，而在执行合同的过程中，招标方发现投标方提供的产品与其应标技术规范的条文存在差异，招标方有权利要求退货，并将对下一年度的评标工作有不同程度的影响。</w:t>
      </w:r>
    </w:p>
    <w:p w14:paraId="4A824C81">
      <w:pPr>
        <w:pStyle w:val="29"/>
        <w:spacing w:line="360" w:lineRule="auto"/>
        <w:rPr>
          <w:rFonts w:ascii="Times New Roman" w:hAnsi="Times New Roman"/>
          <w:kern w:val="0"/>
          <w:szCs w:val="21"/>
        </w:rPr>
      </w:pPr>
      <w:r>
        <w:rPr>
          <w:rFonts w:hint="eastAsia" w:hAnsi="宋体" w:cs="宋体"/>
          <w:szCs w:val="21"/>
        </w:rPr>
        <w:t>投标人投标设备的技术参数如与招标书“技术要求”不符，应在 “差异表”（附表）中如实澄清，否则视为废标。</w:t>
      </w:r>
    </w:p>
    <w:p w14:paraId="03BDDD83">
      <w:pPr>
        <w:pStyle w:val="29"/>
        <w:spacing w:line="360" w:lineRule="auto"/>
        <w:rPr>
          <w:rFonts w:ascii="Times New Roman" w:hAnsi="Times New Roman"/>
          <w:kern w:val="0"/>
          <w:szCs w:val="21"/>
        </w:rPr>
      </w:pPr>
      <w:r>
        <w:rPr>
          <w:rFonts w:ascii="Times New Roman" w:hAnsi="Times New Roman"/>
          <w:kern w:val="0"/>
          <w:szCs w:val="21"/>
        </w:rPr>
        <w:t>1.7</w:t>
      </w:r>
      <w:r>
        <w:rPr>
          <w:rFonts w:hint="eastAsia" w:ascii="Times New Roman" w:hAnsi="Times New Roman"/>
          <w:kern w:val="0"/>
          <w:szCs w:val="21"/>
        </w:rPr>
        <w:t>投标方应在应标技术部分按本技术条件的要求如实详细的填写应标设备的标准配置表，并在应标商务部分按此标准配置进行报价，如发现二者有矛盾之处，将对评标工作有不同程度的影响。</w:t>
      </w:r>
    </w:p>
    <w:p w14:paraId="25E7AC9B">
      <w:pPr>
        <w:pStyle w:val="29"/>
        <w:spacing w:line="360" w:lineRule="auto"/>
        <w:rPr>
          <w:rFonts w:ascii="Times New Roman" w:hAnsi="Times New Roman"/>
          <w:kern w:val="0"/>
          <w:szCs w:val="21"/>
        </w:rPr>
      </w:pPr>
      <w:r>
        <w:rPr>
          <w:rFonts w:ascii="Times New Roman" w:hAnsi="Times New Roman"/>
          <w:kern w:val="0"/>
          <w:szCs w:val="21"/>
        </w:rPr>
        <w:t>1.8</w:t>
      </w:r>
      <w:r>
        <w:rPr>
          <w:rFonts w:hint="eastAsia" w:ascii="Times New Roman" w:hAnsi="Times New Roman"/>
          <w:kern w:val="0"/>
          <w:szCs w:val="21"/>
        </w:rPr>
        <w:t>投标方应充分理解本技术条件并按本技术条件的具体条款、格式要求填写应标的技术文件，如发现应标的技术文件条款、格式不符合本技术条件的要求，则认为应标不严肃，在评标时将有不同程度的扣分。</w:t>
      </w:r>
    </w:p>
    <w:p w14:paraId="43D56AC2">
      <w:pPr>
        <w:pStyle w:val="29"/>
        <w:spacing w:line="360" w:lineRule="auto"/>
        <w:rPr>
          <w:rFonts w:ascii="Times New Roman" w:hAnsi="Times New Roman"/>
          <w:kern w:val="0"/>
          <w:szCs w:val="21"/>
        </w:rPr>
      </w:pPr>
      <w:r>
        <w:rPr>
          <w:rFonts w:hint="eastAsia" w:hAnsi="宋体" w:cs="宋体"/>
          <w:szCs w:val="21"/>
        </w:rPr>
        <w:t>投标人应按照本技术条件书中的要求提供相应文件及响应，如文件不全或不响应，应视为废标。</w:t>
      </w:r>
    </w:p>
    <w:p w14:paraId="6D6D7402">
      <w:pPr>
        <w:pStyle w:val="29"/>
        <w:spacing w:line="360" w:lineRule="auto"/>
        <w:rPr>
          <w:rFonts w:ascii="Times New Roman" w:hAnsi="Times New Roman"/>
          <w:kern w:val="0"/>
          <w:szCs w:val="21"/>
        </w:rPr>
      </w:pPr>
      <w:r>
        <w:rPr>
          <w:rFonts w:ascii="Times New Roman" w:hAnsi="Times New Roman"/>
          <w:kern w:val="0"/>
          <w:szCs w:val="21"/>
        </w:rPr>
        <w:t>1.9</w:t>
      </w:r>
      <w:r>
        <w:rPr>
          <w:rFonts w:hint="eastAsia" w:ascii="Times New Roman" w:hAnsi="Times New Roman"/>
          <w:kern w:val="0"/>
          <w:szCs w:val="21"/>
        </w:rPr>
        <w:t>本技术规范书未尽事宜，由招标方、投标方双方协商确定。</w:t>
      </w:r>
    </w:p>
    <w:p w14:paraId="1B086145">
      <w:pPr>
        <w:pStyle w:val="29"/>
        <w:spacing w:line="360" w:lineRule="auto"/>
        <w:rPr>
          <w:rFonts w:ascii="Times New Roman" w:hAnsi="Times New Roman"/>
          <w:kern w:val="0"/>
          <w:szCs w:val="21"/>
        </w:rPr>
      </w:pPr>
      <w:r>
        <w:rPr>
          <w:rFonts w:ascii="Times New Roman" w:hAnsi="Times New Roman"/>
          <w:kern w:val="0"/>
          <w:szCs w:val="21"/>
        </w:rPr>
        <w:t>1.10</w:t>
      </w:r>
      <w:r>
        <w:rPr>
          <w:rFonts w:hint="eastAsia" w:ascii="Times New Roman" w:hAnsi="Times New Roman"/>
          <w:kern w:val="0"/>
          <w:szCs w:val="21"/>
        </w:rPr>
        <w:t>投标方应提供不少于1年的产品质量保证期。</w:t>
      </w:r>
    </w:p>
    <w:p w14:paraId="2B886750">
      <w:pPr>
        <w:spacing w:line="360" w:lineRule="auto"/>
        <w:rPr>
          <w:rFonts w:hint="eastAsia" w:ascii="宋体" w:hAnsi="宋体" w:cs="宋体"/>
          <w:szCs w:val="21"/>
        </w:rPr>
      </w:pPr>
      <w:r>
        <w:rPr>
          <w:rFonts w:hint="eastAsia" w:ascii="宋体" w:hAnsi="宋体" w:cs="宋体"/>
          <w:szCs w:val="21"/>
        </w:rPr>
        <w:t>1.11投标人负责提供投标设备的现场测试、调试工作，如向第三方外购设备或配件时，投标人应对质量负责。</w:t>
      </w:r>
    </w:p>
    <w:p w14:paraId="2AF03A56">
      <w:pPr>
        <w:spacing w:line="360" w:lineRule="auto"/>
        <w:rPr>
          <w:rFonts w:hint="eastAsia" w:ascii="宋体" w:hAnsi="宋体" w:cs="宋体"/>
          <w:szCs w:val="21"/>
        </w:rPr>
      </w:pPr>
      <w:r>
        <w:rPr>
          <w:rFonts w:hint="eastAsia" w:ascii="宋体" w:hAnsi="宋体" w:cs="宋体"/>
          <w:szCs w:val="21"/>
        </w:rPr>
        <w:t>1.12投标人应负责为上述设备提供设备参数、培训、技术服务、质量保证等各方面工作。并提供不低于所供产品技术要求的证书及试验报告。</w:t>
      </w:r>
    </w:p>
    <w:p w14:paraId="5CFAB9A6">
      <w:pPr>
        <w:spacing w:line="360" w:lineRule="auto"/>
        <w:rPr>
          <w:rFonts w:hint="eastAsia" w:ascii="宋体" w:hAnsi="宋体" w:cs="宋体"/>
          <w:szCs w:val="21"/>
        </w:rPr>
      </w:pPr>
      <w:r>
        <w:rPr>
          <w:rFonts w:hint="eastAsia" w:ascii="宋体" w:hAnsi="宋体" w:cs="宋体"/>
          <w:szCs w:val="21"/>
        </w:rPr>
        <w:t>1.13投标人投标设备应在工厂内通过完善、严格的测试检验。</w:t>
      </w:r>
    </w:p>
    <w:p w14:paraId="19B10F4A">
      <w:pPr>
        <w:spacing w:line="360" w:lineRule="auto"/>
        <w:rPr>
          <w:rFonts w:hint="eastAsia" w:ascii="宋体" w:hAnsi="宋体" w:cs="宋体"/>
          <w:szCs w:val="21"/>
        </w:rPr>
      </w:pPr>
      <w:r>
        <w:rPr>
          <w:rFonts w:hint="eastAsia" w:ascii="宋体" w:hAnsi="宋体" w:cs="宋体"/>
          <w:szCs w:val="21"/>
        </w:rPr>
        <w:t>1.14所有资料、文件、图纸要求以中文书写（原厂商的资料如果有英文资料则需要将其附带），所有计算、说明、图纸、文件、手册等采用国际单位制。</w:t>
      </w:r>
    </w:p>
    <w:p w14:paraId="38A458A2">
      <w:pPr>
        <w:pStyle w:val="29"/>
        <w:spacing w:line="360" w:lineRule="auto"/>
        <w:rPr>
          <w:rFonts w:ascii="Times New Roman" w:hAnsi="Times New Roman"/>
          <w:kern w:val="0"/>
          <w:szCs w:val="21"/>
        </w:rPr>
      </w:pPr>
      <w:r>
        <w:rPr>
          <w:rFonts w:hint="eastAsia" w:hAnsi="宋体" w:cs="宋体"/>
          <w:szCs w:val="21"/>
        </w:rPr>
        <w:t>1.15本技术规范书的解释权属于南方电网通用航空服务有限公司。技术规范书未经南方电网通用航空服务有限公司同意，任何个人和单位不得做出任何修改。</w:t>
      </w:r>
    </w:p>
    <w:p w14:paraId="13E91506">
      <w:pPr>
        <w:spacing w:line="480" w:lineRule="auto"/>
        <w:outlineLvl w:val="0"/>
        <w:rPr>
          <w:rFonts w:eastAsia="黑体"/>
          <w:b/>
          <w:bCs/>
          <w:szCs w:val="21"/>
        </w:rPr>
      </w:pPr>
      <w:bookmarkStart w:id="11" w:name="_Toc76025479"/>
      <w:bookmarkStart w:id="12" w:name="_Toc222993062"/>
      <w:bookmarkStart w:id="13" w:name="_Toc4714"/>
      <w:bookmarkStart w:id="14" w:name="_Toc23296"/>
      <w:r>
        <w:rPr>
          <w:rFonts w:eastAsia="黑体"/>
          <w:b/>
          <w:bCs/>
          <w:szCs w:val="21"/>
        </w:rPr>
        <w:t>2 工作范围</w:t>
      </w:r>
      <w:bookmarkEnd w:id="11"/>
      <w:bookmarkEnd w:id="12"/>
      <w:bookmarkEnd w:id="13"/>
      <w:bookmarkEnd w:id="14"/>
    </w:p>
    <w:p w14:paraId="6FD8364F">
      <w:pPr>
        <w:pStyle w:val="3"/>
        <w:spacing w:before="0" w:after="0" w:line="360" w:lineRule="auto"/>
        <w:rPr>
          <w:rFonts w:ascii="Times New Roman" w:hAnsi="Times New Roman" w:eastAsia="黑体"/>
          <w:b w:val="0"/>
          <w:bCs/>
          <w:szCs w:val="21"/>
        </w:rPr>
      </w:pPr>
      <w:bookmarkStart w:id="15" w:name="_Toc28530"/>
      <w:bookmarkStart w:id="16" w:name="_Toc76025480"/>
      <w:bookmarkStart w:id="17" w:name="_Toc11781"/>
      <w:bookmarkStart w:id="18" w:name="_Toc222993063"/>
      <w:r>
        <w:rPr>
          <w:rFonts w:ascii="Times New Roman" w:hAnsi="Times New Roman" w:eastAsia="黑体"/>
          <w:b w:val="0"/>
          <w:bCs/>
          <w:szCs w:val="21"/>
        </w:rPr>
        <w:t xml:space="preserve">2.1 </w:t>
      </w:r>
      <w:r>
        <w:rPr>
          <w:rFonts w:hint="eastAsia" w:ascii="Times New Roman" w:hAnsi="Times New Roman" w:eastAsia="黑体"/>
          <w:b w:val="0"/>
          <w:bCs/>
          <w:szCs w:val="21"/>
        </w:rPr>
        <w:t>供货范围</w:t>
      </w:r>
      <w:bookmarkEnd w:id="15"/>
      <w:bookmarkEnd w:id="16"/>
      <w:bookmarkEnd w:id="17"/>
      <w:bookmarkEnd w:id="18"/>
    </w:p>
    <w:p w14:paraId="54A85834">
      <w:pPr>
        <w:snapToGrid w:val="0"/>
        <w:spacing w:line="360" w:lineRule="auto"/>
        <w:ind w:firstLine="420" w:firstLineChars="200"/>
        <w:rPr>
          <w:rFonts w:hint="eastAsia" w:ascii="宋体" w:hAnsi="宋体"/>
          <w:color w:val="000000"/>
        </w:rPr>
      </w:pPr>
      <w:r>
        <w:rPr>
          <w:rFonts w:hint="eastAsia" w:ascii="宋体" w:hAnsi="宋体"/>
          <w:color w:val="000000"/>
        </w:rPr>
        <w:t>合同供货范围为重载无人机，详见专用部分附表2.2。</w:t>
      </w:r>
    </w:p>
    <w:p w14:paraId="594CA51F">
      <w:pPr>
        <w:pStyle w:val="3"/>
        <w:spacing w:before="0" w:after="0" w:line="360" w:lineRule="auto"/>
        <w:rPr>
          <w:rFonts w:ascii="Times New Roman" w:hAnsi="Times New Roman" w:eastAsia="黑体"/>
          <w:b w:val="0"/>
          <w:bCs/>
          <w:szCs w:val="21"/>
        </w:rPr>
      </w:pPr>
      <w:bookmarkStart w:id="19" w:name="_Toc76025481"/>
      <w:bookmarkStart w:id="20" w:name="_Toc26638"/>
      <w:bookmarkStart w:id="21" w:name="_Toc23836"/>
      <w:bookmarkStart w:id="22" w:name="_Toc222993064"/>
      <w:r>
        <w:rPr>
          <w:rFonts w:ascii="Times New Roman" w:hAnsi="Times New Roman" w:eastAsia="黑体"/>
          <w:b w:val="0"/>
          <w:bCs/>
          <w:szCs w:val="21"/>
        </w:rPr>
        <w:t xml:space="preserve">2.2 </w:t>
      </w:r>
      <w:r>
        <w:rPr>
          <w:rFonts w:hint="eastAsia" w:ascii="Times New Roman" w:hAnsi="Times New Roman" w:eastAsia="黑体"/>
          <w:b w:val="0"/>
          <w:bCs/>
          <w:szCs w:val="21"/>
        </w:rPr>
        <w:t>服务界限</w:t>
      </w:r>
      <w:bookmarkEnd w:id="19"/>
      <w:bookmarkEnd w:id="20"/>
      <w:bookmarkEnd w:id="21"/>
      <w:bookmarkEnd w:id="22"/>
    </w:p>
    <w:p w14:paraId="6C67751E">
      <w:pPr>
        <w:adjustRightInd w:val="0"/>
        <w:snapToGrid w:val="0"/>
        <w:spacing w:line="360" w:lineRule="auto"/>
        <w:ind w:firstLine="424" w:firstLineChars="202"/>
        <w:rPr>
          <w:rFonts w:eastAsia="方正书宋简体"/>
          <w:szCs w:val="21"/>
        </w:rPr>
      </w:pPr>
      <w:r>
        <w:rPr>
          <w:rFonts w:eastAsia="方正书宋简体"/>
          <w:szCs w:val="21"/>
        </w:rPr>
        <w:t>1） 本技术规范书适用于</w:t>
      </w:r>
      <w:r>
        <w:rPr>
          <w:rFonts w:hint="eastAsia" w:eastAsia="方正书宋简体"/>
          <w:szCs w:val="21"/>
        </w:rPr>
        <w:t>重载</w:t>
      </w:r>
      <w:r>
        <w:rPr>
          <w:rFonts w:hint="eastAsia"/>
          <w:color w:val="000000"/>
        </w:rPr>
        <w:t>无人机</w:t>
      </w:r>
      <w:r>
        <w:rPr>
          <w:rFonts w:hint="eastAsia"/>
          <w:kern w:val="0"/>
          <w:szCs w:val="21"/>
        </w:rPr>
        <w:t>设备</w:t>
      </w:r>
      <w:r>
        <w:rPr>
          <w:szCs w:val="21"/>
        </w:rPr>
        <w:t>的设计</w:t>
      </w:r>
      <w:r>
        <w:rPr>
          <w:rFonts w:hint="eastAsia"/>
          <w:szCs w:val="21"/>
        </w:rPr>
        <w:t>、</w:t>
      </w:r>
      <w:r>
        <w:rPr>
          <w:szCs w:val="21"/>
        </w:rPr>
        <w:t>制造</w:t>
      </w:r>
      <w:r>
        <w:rPr>
          <w:rFonts w:hint="eastAsia"/>
          <w:szCs w:val="21"/>
        </w:rPr>
        <w:t>、</w:t>
      </w:r>
      <w:r>
        <w:rPr>
          <w:szCs w:val="21"/>
        </w:rPr>
        <w:t>装配</w:t>
      </w:r>
      <w:r>
        <w:rPr>
          <w:rFonts w:hint="eastAsia"/>
          <w:szCs w:val="21"/>
        </w:rPr>
        <w:t>、</w:t>
      </w:r>
      <w:r>
        <w:rPr>
          <w:szCs w:val="21"/>
        </w:rPr>
        <w:t>工厂试验</w:t>
      </w:r>
      <w:r>
        <w:rPr>
          <w:rFonts w:hint="eastAsia"/>
          <w:szCs w:val="21"/>
        </w:rPr>
        <w:t>、</w:t>
      </w:r>
      <w:r>
        <w:rPr>
          <w:szCs w:val="21"/>
        </w:rPr>
        <w:t>交付</w:t>
      </w:r>
      <w:r>
        <w:rPr>
          <w:rFonts w:hint="eastAsia"/>
          <w:szCs w:val="21"/>
        </w:rPr>
        <w:t>、</w:t>
      </w:r>
      <w:r>
        <w:rPr>
          <w:szCs w:val="21"/>
        </w:rPr>
        <w:t>现场安装和试验的指导、监督以及试运行工作</w:t>
      </w:r>
      <w:r>
        <w:rPr>
          <w:rFonts w:eastAsia="方正书宋简体"/>
          <w:szCs w:val="21"/>
        </w:rPr>
        <w:t>。</w:t>
      </w:r>
    </w:p>
    <w:p w14:paraId="5804FE74">
      <w:pPr>
        <w:adjustRightInd w:val="0"/>
        <w:snapToGrid w:val="0"/>
        <w:spacing w:line="360" w:lineRule="auto"/>
        <w:ind w:firstLine="424" w:firstLineChars="202"/>
        <w:rPr>
          <w:szCs w:val="21"/>
        </w:rPr>
      </w:pPr>
      <w:r>
        <w:rPr>
          <w:rFonts w:eastAsia="方正书宋简体"/>
          <w:szCs w:val="21"/>
        </w:rPr>
        <w:t>2）本技术规范书未说明，但又与设计、制造、装配、试验、运输、包装、保管、安装和运行维护有关的技术要求，按条款3所规定的有关标准执行。</w:t>
      </w:r>
    </w:p>
    <w:p w14:paraId="52A27A09">
      <w:pPr>
        <w:pStyle w:val="3"/>
        <w:spacing w:before="0" w:after="0" w:line="360" w:lineRule="auto"/>
        <w:rPr>
          <w:rFonts w:ascii="Times New Roman" w:hAnsi="Times New Roman" w:eastAsia="黑体"/>
          <w:b w:val="0"/>
          <w:bCs/>
          <w:szCs w:val="21"/>
        </w:rPr>
      </w:pPr>
      <w:bookmarkStart w:id="23" w:name="_Toc222993065"/>
      <w:bookmarkStart w:id="24" w:name="_Toc19342"/>
      <w:bookmarkStart w:id="25" w:name="_Toc76025482"/>
      <w:bookmarkStart w:id="26" w:name="_Toc27859"/>
      <w:r>
        <w:rPr>
          <w:rFonts w:ascii="Times New Roman" w:hAnsi="Times New Roman" w:eastAsia="黑体"/>
          <w:b w:val="0"/>
          <w:bCs/>
          <w:szCs w:val="21"/>
        </w:rPr>
        <w:t xml:space="preserve">2.3 </w:t>
      </w:r>
      <w:r>
        <w:rPr>
          <w:rFonts w:hint="eastAsia" w:ascii="Times New Roman" w:hAnsi="Times New Roman" w:eastAsia="黑体"/>
          <w:b w:val="0"/>
          <w:bCs/>
          <w:szCs w:val="21"/>
        </w:rPr>
        <w:t>技术文件</w:t>
      </w:r>
      <w:bookmarkEnd w:id="23"/>
      <w:bookmarkEnd w:id="24"/>
      <w:bookmarkEnd w:id="25"/>
      <w:bookmarkEnd w:id="26"/>
    </w:p>
    <w:p w14:paraId="3E309990">
      <w:pPr>
        <w:pStyle w:val="451"/>
        <w:adjustRightInd w:val="0"/>
        <w:snapToGrid w:val="0"/>
        <w:spacing w:line="360" w:lineRule="auto"/>
        <w:ind w:firstLine="424" w:firstLineChars="202"/>
        <w:rPr>
          <w:rFonts w:cs="Times New Roman"/>
          <w:szCs w:val="21"/>
        </w:rPr>
      </w:pPr>
      <w:bookmarkStart w:id="27" w:name="_Toc81989605"/>
      <w:bookmarkStart w:id="28" w:name="_Toc82140158"/>
      <w:r>
        <w:rPr>
          <w:rFonts w:cs="Times New Roman"/>
          <w:szCs w:val="21"/>
        </w:rPr>
        <w:t>1）  投标方应按本技术规范书的要求提供全新的、合格的</w:t>
      </w:r>
      <w:r>
        <w:rPr>
          <w:rFonts w:hint="eastAsia" w:cs="Times New Roman"/>
          <w:szCs w:val="21"/>
        </w:rPr>
        <w:t>重载</w:t>
      </w:r>
      <w:r>
        <w:rPr>
          <w:rFonts w:hint="eastAsia"/>
          <w:color w:val="000000"/>
        </w:rPr>
        <w:t>无人机</w:t>
      </w:r>
      <w:r>
        <w:rPr>
          <w:rFonts w:eastAsia="宋体" w:cs="Times New Roman"/>
          <w:szCs w:val="21"/>
        </w:rPr>
        <w:t>及其附属设备、备品备件、专用工具和仪器。</w:t>
      </w:r>
    </w:p>
    <w:p w14:paraId="69801189">
      <w:pPr>
        <w:pStyle w:val="451"/>
        <w:adjustRightInd w:val="0"/>
        <w:snapToGrid w:val="0"/>
        <w:spacing w:line="360" w:lineRule="auto"/>
        <w:ind w:firstLine="424" w:firstLineChars="202"/>
        <w:rPr>
          <w:rFonts w:cs="Times New Roman"/>
          <w:szCs w:val="21"/>
        </w:rPr>
      </w:pPr>
      <w:r>
        <w:rPr>
          <w:rFonts w:cs="Times New Roman"/>
          <w:szCs w:val="21"/>
        </w:rPr>
        <w:t>2）投标方所提供的组件或附件如需向第三方外购时，投标方应对质量向招标方负责，并提供相应出厂和验收证明。</w:t>
      </w:r>
    </w:p>
    <w:p w14:paraId="712DA802">
      <w:pPr>
        <w:pStyle w:val="451"/>
        <w:adjustRightInd w:val="0"/>
        <w:snapToGrid w:val="0"/>
        <w:spacing w:line="360" w:lineRule="auto"/>
        <w:ind w:firstLine="424" w:firstLineChars="202"/>
        <w:rPr>
          <w:rFonts w:cs="Times New Roman"/>
          <w:szCs w:val="21"/>
        </w:rPr>
      </w:pPr>
      <w:r>
        <w:rPr>
          <w:rFonts w:cs="Times New Roman"/>
          <w:szCs w:val="21"/>
        </w:rPr>
        <w:t>3） 工厂试验由投标方在生产厂家内完成, 但应有招标方代表参加, 参加工厂验收的人数及天数等根据招标方需要由招投标双方协商进行确定。</w:t>
      </w:r>
    </w:p>
    <w:p w14:paraId="7F933C80">
      <w:pPr>
        <w:pStyle w:val="451"/>
        <w:adjustRightInd w:val="0"/>
        <w:snapToGrid w:val="0"/>
        <w:spacing w:line="360" w:lineRule="auto"/>
        <w:ind w:firstLine="424" w:firstLineChars="202"/>
        <w:rPr>
          <w:rFonts w:cs="Times New Roman"/>
          <w:szCs w:val="21"/>
        </w:rPr>
      </w:pPr>
      <w:r>
        <w:rPr>
          <w:rFonts w:cs="Times New Roman"/>
          <w:szCs w:val="21"/>
        </w:rPr>
        <w:t xml:space="preserve">4） </w:t>
      </w:r>
      <w:r>
        <w:rPr>
          <w:rFonts w:hint="eastAsia"/>
          <w:szCs w:val="21"/>
        </w:rPr>
        <w:t>装置从生产厂家到安装位置的运输全部由投标方完成，现场调试和安装在招标方指导下由投标方完成</w:t>
      </w:r>
      <w:r>
        <w:t>。</w:t>
      </w:r>
      <w:r>
        <w:rPr>
          <w:rFonts w:cs="Times New Roman"/>
          <w:szCs w:val="21"/>
        </w:rPr>
        <w:t>, 投标方协助招标方按标准检查安装质量, 处理调试投运过程中出现的问题，并提供备品、备件，做好销售服务工作。投标方应选派有经验的技术人员，对安装和运行人员免费培训。安装指导及培训的工作范围及人数和天数等根据招标方需要由招投标双方协商进行确定。</w:t>
      </w:r>
    </w:p>
    <w:p w14:paraId="4E84EA5E">
      <w:pPr>
        <w:pStyle w:val="451"/>
        <w:adjustRightInd w:val="0"/>
        <w:snapToGrid w:val="0"/>
        <w:spacing w:line="360" w:lineRule="auto"/>
        <w:ind w:firstLine="424" w:firstLineChars="202"/>
        <w:rPr>
          <w:rFonts w:cs="Times New Roman"/>
          <w:szCs w:val="21"/>
        </w:rPr>
      </w:pPr>
      <w:r>
        <w:rPr>
          <w:rFonts w:cs="Times New Roman"/>
          <w:szCs w:val="21"/>
        </w:rPr>
        <w:t>5） 投标方应协助招标方解决设备运行中出现的问题。并及时排除故障恢复运行。投标方应免费提供远程技术服务，远程技术服务项目期限不受限于保修期，远程技术服务在设备报废前有效。</w:t>
      </w:r>
    </w:p>
    <w:p w14:paraId="5C1FF954">
      <w:pPr>
        <w:pStyle w:val="3"/>
      </w:pPr>
      <w:bookmarkStart w:id="29" w:name="_Toc30637"/>
      <w:bookmarkStart w:id="30" w:name="_Toc222993066"/>
      <w:bookmarkStart w:id="31" w:name="_Toc6217"/>
      <w:r>
        <w:rPr>
          <w:rFonts w:hint="eastAsia"/>
        </w:rPr>
        <w:t>技术文件的组成</w:t>
      </w:r>
      <w:bookmarkEnd w:id="29"/>
      <w:bookmarkEnd w:id="30"/>
      <w:bookmarkEnd w:id="31"/>
    </w:p>
    <w:p w14:paraId="51ACFBE8">
      <w:pPr>
        <w:numPr>
          <w:ilvl w:val="255"/>
          <w:numId w:val="0"/>
        </w:numPr>
        <w:suppressAutoHyphens/>
        <w:spacing w:line="360" w:lineRule="auto"/>
        <w:rPr>
          <w:rFonts w:hint="eastAsia" w:ascii="宋体" w:hAnsi="宋体" w:cs="宋体"/>
          <w:szCs w:val="21"/>
        </w:rPr>
      </w:pPr>
      <w:r>
        <w:rPr>
          <w:rFonts w:hint="eastAsia" w:ascii="宋体" w:hAnsi="宋体" w:cs="宋体"/>
          <w:szCs w:val="21"/>
        </w:rPr>
        <w:t>1.投标设备的详细供货清单</w:t>
      </w:r>
    </w:p>
    <w:p w14:paraId="7448DECD">
      <w:pPr>
        <w:numPr>
          <w:ilvl w:val="255"/>
          <w:numId w:val="0"/>
        </w:numPr>
        <w:suppressAutoHyphens/>
        <w:spacing w:line="360" w:lineRule="auto"/>
        <w:rPr>
          <w:rFonts w:hint="eastAsia" w:ascii="宋体" w:hAnsi="宋体" w:cs="宋体"/>
          <w:szCs w:val="21"/>
        </w:rPr>
      </w:pPr>
      <w:r>
        <w:rPr>
          <w:rFonts w:hint="eastAsia" w:ascii="宋体" w:hAnsi="宋体" w:cs="宋体"/>
          <w:szCs w:val="21"/>
        </w:rPr>
        <w:t>2.技术应答书，应逐条“点对点”回应本标书的技术规范；</w:t>
      </w:r>
    </w:p>
    <w:p w14:paraId="2A98516A">
      <w:pPr>
        <w:numPr>
          <w:ilvl w:val="255"/>
          <w:numId w:val="0"/>
        </w:numPr>
        <w:suppressAutoHyphens/>
        <w:spacing w:line="360" w:lineRule="auto"/>
        <w:rPr>
          <w:rFonts w:hint="eastAsia" w:ascii="宋体" w:hAnsi="宋体" w:cs="宋体"/>
          <w:szCs w:val="21"/>
        </w:rPr>
      </w:pPr>
      <w:r>
        <w:rPr>
          <w:rFonts w:hint="eastAsia" w:ascii="宋体" w:hAnsi="宋体" w:cs="宋体"/>
          <w:szCs w:val="21"/>
        </w:rPr>
        <w:t>3.差异表（格式见附表）；</w:t>
      </w:r>
    </w:p>
    <w:p w14:paraId="30781B90">
      <w:pPr>
        <w:numPr>
          <w:ilvl w:val="255"/>
          <w:numId w:val="0"/>
        </w:numPr>
        <w:suppressAutoHyphens/>
        <w:spacing w:line="360" w:lineRule="auto"/>
        <w:rPr>
          <w:rFonts w:hint="eastAsia" w:ascii="宋体" w:hAnsi="宋体" w:cs="宋体"/>
          <w:szCs w:val="21"/>
        </w:rPr>
      </w:pPr>
      <w:r>
        <w:rPr>
          <w:rFonts w:hint="eastAsia" w:ascii="宋体" w:hAnsi="宋体" w:cs="宋体"/>
          <w:szCs w:val="21"/>
        </w:rPr>
        <w:t>4.售后服务保证相关证书，包括产品合格证书、产品三包凭证和保修卡；</w:t>
      </w:r>
    </w:p>
    <w:p w14:paraId="0AC624CE">
      <w:pPr>
        <w:numPr>
          <w:ilvl w:val="255"/>
          <w:numId w:val="0"/>
        </w:numPr>
        <w:suppressAutoHyphens/>
        <w:spacing w:line="360" w:lineRule="auto"/>
        <w:rPr>
          <w:rFonts w:hint="eastAsia" w:ascii="宋体" w:hAnsi="宋体" w:cs="宋体"/>
          <w:szCs w:val="21"/>
        </w:rPr>
      </w:pPr>
      <w:r>
        <w:rPr>
          <w:rFonts w:hint="eastAsia" w:ascii="宋体" w:hAnsi="宋体" w:cs="宋体"/>
          <w:szCs w:val="21"/>
        </w:rPr>
        <w:t>5.产品出厂检测报告；</w:t>
      </w:r>
    </w:p>
    <w:p w14:paraId="6E7E9CDE">
      <w:pPr>
        <w:pStyle w:val="451"/>
        <w:adjustRightInd w:val="0"/>
        <w:snapToGrid w:val="0"/>
        <w:spacing w:line="360" w:lineRule="auto"/>
        <w:ind w:firstLine="0" w:firstLineChars="0"/>
        <w:rPr>
          <w:rFonts w:cs="Times New Roman"/>
          <w:szCs w:val="21"/>
        </w:rPr>
      </w:pPr>
      <w:r>
        <w:rPr>
          <w:rFonts w:hint="eastAsia" w:ascii="宋体" w:hAnsi="宋体" w:eastAsia="宋体"/>
          <w:szCs w:val="21"/>
        </w:rPr>
        <w:t>6.提供中文操作手册和维护手册。</w:t>
      </w:r>
    </w:p>
    <w:p w14:paraId="0A54ED08">
      <w:pPr>
        <w:spacing w:line="480" w:lineRule="auto"/>
        <w:outlineLvl w:val="0"/>
        <w:rPr>
          <w:rFonts w:eastAsia="黑体"/>
          <w:b/>
          <w:bCs/>
          <w:szCs w:val="21"/>
        </w:rPr>
      </w:pPr>
      <w:bookmarkStart w:id="32" w:name="_Toc76025483"/>
      <w:bookmarkStart w:id="33" w:name="_Toc222993067"/>
      <w:bookmarkStart w:id="34" w:name="_Toc26216"/>
      <w:bookmarkStart w:id="35" w:name="_Toc964"/>
      <w:r>
        <w:rPr>
          <w:rFonts w:eastAsia="黑体"/>
          <w:b/>
          <w:bCs/>
          <w:szCs w:val="21"/>
        </w:rPr>
        <w:t>3 应遵循的主要标准</w:t>
      </w:r>
      <w:bookmarkEnd w:id="27"/>
      <w:bookmarkEnd w:id="28"/>
      <w:bookmarkEnd w:id="32"/>
      <w:bookmarkEnd w:id="33"/>
      <w:bookmarkEnd w:id="34"/>
      <w:bookmarkEnd w:id="35"/>
    </w:p>
    <w:p w14:paraId="77161376">
      <w:pPr>
        <w:pStyle w:val="451"/>
        <w:adjustRightInd w:val="0"/>
        <w:snapToGrid w:val="0"/>
        <w:spacing w:line="360" w:lineRule="auto"/>
        <w:rPr>
          <w:rFonts w:cs="Times New Roman"/>
          <w:szCs w:val="21"/>
        </w:rPr>
      </w:pPr>
      <w:bookmarkStart w:id="36" w:name="_Toc384340981"/>
      <w:bookmarkStart w:id="37" w:name="_Toc282993250"/>
      <w:r>
        <w:rPr>
          <w:rFonts w:cs="Times New Roman"/>
          <w:szCs w:val="21"/>
        </w:rPr>
        <w:t>除本技术规范书特殊规定外, 投标方所提供的设备均按规定的标准和规程的最新版本进行设计、制造、试验和安装。如果这些标准内容有矛盾时, 应按最高标准的条款执行或按双方商定的标准执行。如果投标方选用本技术规范书规定以外的标准时, 则需提交这种替换标准供审查和分析。仅在投标方已证明替换标准相当或优于技术规范书规定的标准, 并从招标方处获得书面的认可才能使用。提交供审查的标准应为中文或英文版本。</w:t>
      </w:r>
      <w:r>
        <w:rPr>
          <w:rFonts w:hint="eastAsia" w:cs="Times New Roman"/>
          <w:szCs w:val="21"/>
        </w:rPr>
        <w:t>凡是未注明日期的引用标准，其最新版适用于本技术规范书。</w:t>
      </w:r>
      <w:r>
        <w:rPr>
          <w:rFonts w:cs="Times New Roman"/>
          <w:szCs w:val="21"/>
        </w:rPr>
        <w:t>主要引用标准如下：</w:t>
      </w:r>
    </w:p>
    <w:p w14:paraId="24F5819E">
      <w:pPr>
        <w:snapToGrid w:val="0"/>
        <w:spacing w:line="360" w:lineRule="auto"/>
        <w:ind w:firstLine="420" w:firstLineChars="200"/>
        <w:rPr>
          <w:szCs w:val="21"/>
        </w:rPr>
      </w:pPr>
      <w:r>
        <w:rPr>
          <w:rFonts w:hint="eastAsia"/>
          <w:szCs w:val="21"/>
        </w:rPr>
        <w:t>GB 4208-2017</w:t>
      </w:r>
      <w:r>
        <w:rPr>
          <w:rFonts w:hint="eastAsia"/>
          <w:szCs w:val="21"/>
        </w:rPr>
        <w:tab/>
      </w:r>
      <w:r>
        <w:rPr>
          <w:rFonts w:hint="eastAsia"/>
          <w:szCs w:val="21"/>
        </w:rPr>
        <w:tab/>
      </w:r>
      <w:r>
        <w:rPr>
          <w:rFonts w:hint="eastAsia"/>
          <w:szCs w:val="21"/>
        </w:rPr>
        <w:t>外壳防护等级（IP代码）</w:t>
      </w:r>
      <w:r>
        <w:rPr>
          <w:rFonts w:hint="eastAsia"/>
          <w:szCs w:val="21"/>
        </w:rPr>
        <w:tab/>
      </w:r>
    </w:p>
    <w:p w14:paraId="797A45AA">
      <w:pPr>
        <w:snapToGrid w:val="0"/>
        <w:spacing w:line="360" w:lineRule="auto"/>
        <w:ind w:firstLine="420" w:firstLineChars="200"/>
        <w:rPr>
          <w:szCs w:val="21"/>
        </w:rPr>
      </w:pPr>
      <w:r>
        <w:rPr>
          <w:rFonts w:hint="eastAsia"/>
          <w:szCs w:val="21"/>
        </w:rPr>
        <w:t>GB/T 191-2008</w:t>
      </w:r>
      <w:r>
        <w:rPr>
          <w:rFonts w:hint="eastAsia"/>
          <w:szCs w:val="21"/>
        </w:rPr>
        <w:tab/>
      </w:r>
      <w:r>
        <w:rPr>
          <w:rFonts w:hint="eastAsia"/>
          <w:szCs w:val="21"/>
        </w:rPr>
        <w:t>包装储运图示标志</w:t>
      </w:r>
    </w:p>
    <w:p w14:paraId="62CF7E98">
      <w:pPr>
        <w:snapToGrid w:val="0"/>
        <w:spacing w:line="360" w:lineRule="auto"/>
        <w:ind w:firstLine="420" w:firstLineChars="200"/>
        <w:rPr>
          <w:szCs w:val="21"/>
        </w:rPr>
      </w:pPr>
      <w:r>
        <w:rPr>
          <w:rFonts w:hint="eastAsia"/>
          <w:szCs w:val="21"/>
        </w:rPr>
        <w:t>GJB 2347-1995</w:t>
      </w:r>
      <w:r>
        <w:rPr>
          <w:rFonts w:hint="eastAsia"/>
          <w:szCs w:val="21"/>
        </w:rPr>
        <w:tab/>
      </w:r>
      <w:r>
        <w:rPr>
          <w:rFonts w:hint="eastAsia"/>
          <w:szCs w:val="21"/>
        </w:rPr>
        <w:t>无人机通用规范</w:t>
      </w:r>
    </w:p>
    <w:p w14:paraId="4D388687">
      <w:pPr>
        <w:snapToGrid w:val="0"/>
        <w:spacing w:line="360" w:lineRule="auto"/>
        <w:ind w:firstLine="420" w:firstLineChars="200"/>
        <w:rPr>
          <w:szCs w:val="21"/>
        </w:rPr>
      </w:pPr>
      <w:r>
        <w:rPr>
          <w:rFonts w:hint="eastAsia"/>
          <w:szCs w:val="21"/>
        </w:rPr>
        <w:t>GJB 5433-2005</w:t>
      </w:r>
      <w:r>
        <w:rPr>
          <w:rFonts w:hint="eastAsia"/>
          <w:szCs w:val="21"/>
        </w:rPr>
        <w:tab/>
      </w:r>
      <w:r>
        <w:rPr>
          <w:rFonts w:hint="eastAsia"/>
          <w:szCs w:val="21"/>
        </w:rPr>
        <w:t>无人机系统通用要求</w:t>
      </w:r>
    </w:p>
    <w:p w14:paraId="0C8DC5CF">
      <w:pPr>
        <w:snapToGrid w:val="0"/>
        <w:spacing w:line="360" w:lineRule="auto"/>
        <w:ind w:firstLine="420" w:firstLineChars="200"/>
        <w:rPr>
          <w:szCs w:val="21"/>
        </w:rPr>
      </w:pPr>
      <w:r>
        <w:rPr>
          <w:rFonts w:hint="eastAsia"/>
          <w:szCs w:val="21"/>
        </w:rPr>
        <w:t>GJB/Z105-98</w:t>
      </w:r>
      <w:r>
        <w:rPr>
          <w:rFonts w:hint="eastAsia"/>
          <w:szCs w:val="21"/>
        </w:rPr>
        <w:tab/>
      </w:r>
      <w:r>
        <w:rPr>
          <w:rFonts w:hint="eastAsia"/>
          <w:szCs w:val="21"/>
        </w:rPr>
        <w:t>电子产品防静电放电控制手册</w:t>
      </w:r>
    </w:p>
    <w:p w14:paraId="35EA44BB">
      <w:pPr>
        <w:snapToGrid w:val="0"/>
        <w:spacing w:line="360" w:lineRule="auto"/>
        <w:ind w:firstLine="420" w:firstLineChars="200"/>
        <w:rPr>
          <w:szCs w:val="21"/>
        </w:rPr>
      </w:pPr>
      <w:r>
        <w:rPr>
          <w:rFonts w:hint="eastAsia"/>
          <w:szCs w:val="21"/>
        </w:rPr>
        <w:t>HB 6167</w:t>
      </w:r>
      <w:r>
        <w:rPr>
          <w:rFonts w:hint="eastAsia"/>
          <w:szCs w:val="21"/>
        </w:rPr>
        <w:tab/>
      </w:r>
      <w:r>
        <w:rPr>
          <w:rFonts w:hint="eastAsia"/>
          <w:szCs w:val="21"/>
        </w:rPr>
        <w:tab/>
      </w:r>
      <w:r>
        <w:rPr>
          <w:rFonts w:hint="eastAsia"/>
          <w:szCs w:val="21"/>
        </w:rPr>
        <w:t>民用飞机机载设备环境条件和试验方法</w:t>
      </w:r>
    </w:p>
    <w:p w14:paraId="775B8C0D">
      <w:pPr>
        <w:snapToGrid w:val="0"/>
        <w:spacing w:line="360" w:lineRule="auto"/>
        <w:ind w:firstLine="420" w:firstLineChars="200"/>
        <w:rPr>
          <w:szCs w:val="21"/>
        </w:rPr>
      </w:pPr>
      <w:r>
        <w:rPr>
          <w:rFonts w:hint="eastAsia"/>
          <w:szCs w:val="21"/>
        </w:rPr>
        <w:t>QJ 2245</w:t>
      </w:r>
      <w:r>
        <w:rPr>
          <w:rFonts w:hint="eastAsia"/>
          <w:szCs w:val="21"/>
        </w:rPr>
        <w:tab/>
      </w:r>
      <w:r>
        <w:rPr>
          <w:rFonts w:hint="eastAsia"/>
          <w:szCs w:val="21"/>
        </w:rPr>
        <w:tab/>
      </w:r>
      <w:r>
        <w:rPr>
          <w:rFonts w:hint="eastAsia"/>
          <w:szCs w:val="21"/>
        </w:rPr>
        <w:t>电子仪器和设备防静电要求</w:t>
      </w:r>
    </w:p>
    <w:p w14:paraId="0E18D1ED">
      <w:pPr>
        <w:snapToGrid w:val="0"/>
        <w:spacing w:line="360" w:lineRule="auto"/>
        <w:ind w:firstLine="420" w:firstLineChars="200"/>
        <w:rPr>
          <w:szCs w:val="21"/>
        </w:rPr>
      </w:pPr>
      <w:r>
        <w:rPr>
          <w:rFonts w:hint="eastAsia"/>
          <w:szCs w:val="21"/>
        </w:rPr>
        <w:t>RTCA/DO-178C</w:t>
      </w:r>
      <w:r>
        <w:rPr>
          <w:rFonts w:hint="eastAsia"/>
          <w:szCs w:val="21"/>
        </w:rPr>
        <w:tab/>
      </w:r>
      <w:r>
        <w:rPr>
          <w:rFonts w:hint="eastAsia"/>
          <w:szCs w:val="21"/>
        </w:rPr>
        <w:t xml:space="preserve">  机载系统和设备合格审定中的软件考虑</w:t>
      </w:r>
    </w:p>
    <w:p w14:paraId="693A26AB">
      <w:pPr>
        <w:snapToGrid w:val="0"/>
        <w:spacing w:line="360" w:lineRule="auto"/>
        <w:ind w:firstLine="420" w:firstLineChars="200"/>
      </w:pPr>
      <w:r>
        <w:rPr>
          <w:szCs w:val="21"/>
        </w:rPr>
        <w:t>RTCA/DO-160     Environmental Conditions and Test Procedures for Airborne Equipment</w:t>
      </w:r>
    </w:p>
    <w:p w14:paraId="76EA6973">
      <w:pPr>
        <w:snapToGrid w:val="0"/>
        <w:spacing w:line="360" w:lineRule="auto"/>
        <w:ind w:firstLine="420" w:firstLineChars="200"/>
        <w:rPr>
          <w:szCs w:val="21"/>
        </w:rPr>
      </w:pPr>
      <w:r>
        <w:rPr>
          <w:rFonts w:hint="eastAsia"/>
          <w:szCs w:val="21"/>
        </w:rPr>
        <w:t>Q/CSG 1205020.10-2018 架空输电线路机巡标准第10部分：直升机/无人机巡检设备性能检测规范</w:t>
      </w:r>
    </w:p>
    <w:p w14:paraId="19DC603C">
      <w:pPr>
        <w:snapToGrid w:val="0"/>
        <w:spacing w:line="360" w:lineRule="auto"/>
        <w:ind w:firstLine="420" w:firstLineChars="200"/>
        <w:rPr>
          <w:szCs w:val="21"/>
        </w:rPr>
      </w:pPr>
      <w:r>
        <w:rPr>
          <w:rFonts w:hint="eastAsia"/>
          <w:szCs w:val="21"/>
        </w:rPr>
        <w:t>DL/T 1578-2021</w:t>
      </w:r>
      <w:r>
        <w:rPr>
          <w:rFonts w:hint="eastAsia"/>
          <w:szCs w:val="21"/>
        </w:rPr>
        <w:tab/>
      </w:r>
      <w:r>
        <w:rPr>
          <w:rFonts w:hint="eastAsia"/>
          <w:szCs w:val="21"/>
        </w:rPr>
        <w:t>架空电力线路多旋翼无人机巡检系统</w:t>
      </w:r>
    </w:p>
    <w:p w14:paraId="36649039">
      <w:pPr>
        <w:snapToGrid w:val="0"/>
        <w:spacing w:line="360" w:lineRule="auto"/>
        <w:ind w:firstLine="420" w:firstLineChars="200"/>
        <w:rPr>
          <w:szCs w:val="21"/>
        </w:rPr>
      </w:pPr>
      <w:r>
        <w:rPr>
          <w:rFonts w:hint="eastAsia"/>
          <w:szCs w:val="21"/>
        </w:rPr>
        <w:t>GB/T 2423.1-2008 电工电子产品环境试验第2部分：试验方法 试验A：低温</w:t>
      </w:r>
    </w:p>
    <w:p w14:paraId="4AFDBDE9">
      <w:pPr>
        <w:snapToGrid w:val="0"/>
        <w:spacing w:line="360" w:lineRule="auto"/>
        <w:ind w:firstLine="420" w:firstLineChars="200"/>
        <w:rPr>
          <w:szCs w:val="21"/>
        </w:rPr>
      </w:pPr>
      <w:r>
        <w:rPr>
          <w:rFonts w:hint="eastAsia"/>
          <w:szCs w:val="21"/>
        </w:rPr>
        <w:t>GB/T 2423.2-2008 电工电子产品环境试验第2部分：试验方法 试验B：高温</w:t>
      </w:r>
    </w:p>
    <w:p w14:paraId="036B805F">
      <w:pPr>
        <w:snapToGrid w:val="0"/>
        <w:spacing w:line="360" w:lineRule="auto"/>
        <w:ind w:firstLine="420" w:firstLineChars="200"/>
        <w:rPr>
          <w:szCs w:val="21"/>
        </w:rPr>
      </w:pPr>
      <w:r>
        <w:rPr>
          <w:rFonts w:hint="eastAsia"/>
          <w:szCs w:val="21"/>
        </w:rPr>
        <w:t>GB/T 2423.2-2008 电工电子产品环境试验第2部分：试验方法 试验Fc：振动（正弦）</w:t>
      </w:r>
    </w:p>
    <w:p w14:paraId="4E285F21">
      <w:pPr>
        <w:snapToGrid w:val="0"/>
        <w:spacing w:line="360" w:lineRule="auto"/>
        <w:ind w:firstLine="420" w:firstLineChars="200"/>
        <w:rPr>
          <w:szCs w:val="21"/>
        </w:rPr>
      </w:pPr>
      <w:r>
        <w:rPr>
          <w:rFonts w:hint="eastAsia"/>
          <w:szCs w:val="21"/>
        </w:rPr>
        <w:t>GB/T 2423.3-2016 环境试验 第2部分：试验方法 试验Cab：恒定湿热试验</w:t>
      </w:r>
    </w:p>
    <w:p w14:paraId="7DD64BAD">
      <w:pPr>
        <w:snapToGrid w:val="0"/>
        <w:spacing w:line="360" w:lineRule="auto"/>
        <w:ind w:firstLine="420" w:firstLineChars="200"/>
        <w:rPr>
          <w:szCs w:val="21"/>
        </w:rPr>
      </w:pPr>
      <w:r>
        <w:rPr>
          <w:rFonts w:hint="eastAsia"/>
          <w:szCs w:val="21"/>
        </w:rPr>
        <w:t>GB/T 2423.21-2008 电工电子产品环境试验 第2部分：试验方法 试验M：低气压</w:t>
      </w:r>
    </w:p>
    <w:p w14:paraId="2122321F">
      <w:pPr>
        <w:snapToGrid w:val="0"/>
        <w:spacing w:line="360" w:lineRule="auto"/>
        <w:ind w:firstLine="420" w:firstLineChars="200"/>
        <w:rPr>
          <w:szCs w:val="21"/>
        </w:rPr>
      </w:pPr>
      <w:r>
        <w:rPr>
          <w:rFonts w:hint="eastAsia"/>
          <w:szCs w:val="21"/>
        </w:rPr>
        <w:t>GB/T 2423.25-2008 电工电子产品 环境试验 第2部分：试验方法 试验Z/AM：低温/低气压综合试验</w:t>
      </w:r>
    </w:p>
    <w:p w14:paraId="37E995EB">
      <w:pPr>
        <w:snapToGrid w:val="0"/>
        <w:spacing w:line="360" w:lineRule="auto"/>
        <w:ind w:firstLine="420" w:firstLineChars="200"/>
        <w:rPr>
          <w:szCs w:val="21"/>
        </w:rPr>
      </w:pPr>
      <w:r>
        <w:rPr>
          <w:rFonts w:hint="eastAsia"/>
          <w:szCs w:val="21"/>
        </w:rPr>
        <w:t>GB/T 2423.26-2008 电工电子产品 环境试验 第2部分：试验方法 试验Z/BM：高温/低气压综合试验</w:t>
      </w:r>
    </w:p>
    <w:p w14:paraId="17293D3A">
      <w:pPr>
        <w:snapToGrid w:val="0"/>
        <w:spacing w:line="360" w:lineRule="auto"/>
        <w:ind w:firstLine="420" w:firstLineChars="200"/>
        <w:rPr>
          <w:szCs w:val="21"/>
        </w:rPr>
      </w:pPr>
      <w:r>
        <w:rPr>
          <w:rFonts w:hint="eastAsia"/>
          <w:szCs w:val="21"/>
        </w:rPr>
        <w:t>GB/T 2423.27-2005 电工电子产品环境试验 第2部分：试验方法 试验Z/AMD：低温/低气压/湿热连续综合试验</w:t>
      </w:r>
    </w:p>
    <w:p w14:paraId="241EA048">
      <w:pPr>
        <w:snapToGrid w:val="0"/>
        <w:spacing w:line="360" w:lineRule="auto"/>
        <w:ind w:firstLine="420" w:firstLineChars="200"/>
        <w:rPr>
          <w:szCs w:val="21"/>
          <w:lang w:bidi="ar"/>
        </w:rPr>
      </w:pPr>
      <w:r>
        <w:rPr>
          <w:rFonts w:hint="eastAsia"/>
          <w:szCs w:val="21"/>
          <w:lang w:bidi="ar"/>
        </w:rPr>
        <w:t>GB/T 38930-2020 民用轻小型无人机系统抗风性要求及试验方法</w:t>
      </w:r>
    </w:p>
    <w:p w14:paraId="45F7A533">
      <w:pPr>
        <w:snapToGrid w:val="0"/>
        <w:spacing w:line="360" w:lineRule="auto"/>
        <w:ind w:firstLine="420" w:firstLineChars="200"/>
        <w:rPr>
          <w:szCs w:val="21"/>
          <w:lang w:bidi="ar"/>
        </w:rPr>
      </w:pPr>
      <w:r>
        <w:rPr>
          <w:rFonts w:hint="eastAsia"/>
          <w:szCs w:val="21"/>
          <w:lang w:bidi="ar"/>
        </w:rPr>
        <w:t>YD/T4182-2023 低速无人系统导航定位通用指标及测试方法</w:t>
      </w:r>
    </w:p>
    <w:p w14:paraId="48897476">
      <w:pPr>
        <w:snapToGrid w:val="0"/>
        <w:spacing w:line="360" w:lineRule="auto"/>
        <w:ind w:firstLine="420" w:firstLineChars="200"/>
        <w:rPr>
          <w:lang w:bidi="ar"/>
        </w:rPr>
      </w:pPr>
      <w:r>
        <w:rPr>
          <w:rFonts w:hint="eastAsia"/>
          <w:lang w:bidi="ar"/>
        </w:rPr>
        <w:t>GB/T 17626.3-2016 电磁兼容 试验和测量技术射频电磁场辐射抗扰度试验</w:t>
      </w:r>
    </w:p>
    <w:p w14:paraId="5C45B206">
      <w:pPr>
        <w:snapToGrid w:val="0"/>
        <w:spacing w:line="360" w:lineRule="auto"/>
        <w:ind w:firstLine="420" w:firstLineChars="200"/>
        <w:rPr>
          <w:lang w:bidi="ar"/>
        </w:rPr>
      </w:pPr>
      <w:r>
        <w:rPr>
          <w:rFonts w:hint="eastAsia"/>
          <w:lang w:bidi="ar"/>
        </w:rPr>
        <w:t>GB/T 17626.2-2018 电磁兼容 试验和测量技术 静电放电抗扰度试验</w:t>
      </w:r>
    </w:p>
    <w:p w14:paraId="78CB843E">
      <w:pPr>
        <w:snapToGrid w:val="0"/>
        <w:spacing w:line="360" w:lineRule="auto"/>
        <w:ind w:firstLine="420" w:firstLineChars="200"/>
        <w:rPr>
          <w:lang w:bidi="ar"/>
        </w:rPr>
      </w:pPr>
      <w:r>
        <w:rPr>
          <w:rFonts w:hint="eastAsia"/>
          <w:lang w:bidi="ar"/>
        </w:rPr>
        <w:t>GB/T 17626.9-2011 电磁兼容 试验和测量技术 脉冲磁场抗扰度试验</w:t>
      </w:r>
    </w:p>
    <w:p w14:paraId="329D263A">
      <w:pPr>
        <w:snapToGrid w:val="0"/>
        <w:spacing w:line="360" w:lineRule="auto"/>
        <w:ind w:firstLine="420" w:firstLineChars="200"/>
        <w:rPr>
          <w:lang w:bidi="ar"/>
        </w:rPr>
      </w:pPr>
      <w:r>
        <w:rPr>
          <w:rFonts w:hint="eastAsia"/>
          <w:lang w:bidi="ar"/>
        </w:rPr>
        <w:t>GB/T 17626.8-2006 电磁兼容 试验和测量技术 工频磁场抗扰度试验</w:t>
      </w:r>
    </w:p>
    <w:p w14:paraId="51D04188">
      <w:pPr>
        <w:snapToGrid w:val="0"/>
        <w:spacing w:line="360" w:lineRule="auto"/>
        <w:ind w:firstLine="420" w:firstLineChars="200"/>
        <w:rPr>
          <w:szCs w:val="21"/>
        </w:rPr>
      </w:pPr>
      <w:r>
        <w:rPr>
          <w:rFonts w:hint="eastAsia"/>
          <w:szCs w:val="21"/>
        </w:rPr>
        <w:t>中国南方电网有限责任公司送样检测业务指导书</w:t>
      </w:r>
    </w:p>
    <w:p w14:paraId="3D6EDCAB">
      <w:pPr>
        <w:snapToGrid w:val="0"/>
        <w:spacing w:line="360" w:lineRule="auto"/>
        <w:ind w:firstLine="420" w:firstLineChars="200"/>
        <w:rPr>
          <w:szCs w:val="21"/>
        </w:rPr>
      </w:pPr>
      <w:r>
        <w:rPr>
          <w:rFonts w:hint="eastAsia"/>
          <w:szCs w:val="21"/>
        </w:rPr>
        <w:t>中国南方电网有限责任公司到货抽检业务指导书</w:t>
      </w:r>
    </w:p>
    <w:p w14:paraId="611452ED">
      <w:pPr>
        <w:snapToGrid w:val="0"/>
        <w:spacing w:line="360" w:lineRule="auto"/>
        <w:ind w:firstLine="420" w:firstLineChars="200"/>
        <w:rPr>
          <w:szCs w:val="21"/>
        </w:rPr>
      </w:pPr>
      <w:r>
        <w:rPr>
          <w:rFonts w:hint="eastAsia"/>
          <w:szCs w:val="21"/>
        </w:rPr>
        <w:t>中国南方电网有限责任公司专项抽检业务指导书</w:t>
      </w:r>
    </w:p>
    <w:bookmarkEnd w:id="36"/>
    <w:bookmarkEnd w:id="37"/>
    <w:p w14:paraId="63BE40E3">
      <w:pPr>
        <w:spacing w:line="480" w:lineRule="auto"/>
        <w:outlineLvl w:val="0"/>
        <w:rPr>
          <w:rFonts w:eastAsia="黑体"/>
          <w:b/>
          <w:bCs/>
          <w:szCs w:val="21"/>
        </w:rPr>
      </w:pPr>
      <w:bookmarkStart w:id="38" w:name="_Toc76025484"/>
      <w:bookmarkStart w:id="39" w:name="_Toc4845"/>
      <w:bookmarkStart w:id="40" w:name="_Toc222993068"/>
      <w:bookmarkStart w:id="41" w:name="_Toc16488"/>
      <w:r>
        <w:rPr>
          <w:rFonts w:eastAsia="黑体"/>
          <w:b/>
          <w:bCs/>
          <w:szCs w:val="21"/>
        </w:rPr>
        <w:t>4 使用条件</w:t>
      </w:r>
      <w:bookmarkEnd w:id="38"/>
      <w:bookmarkEnd w:id="39"/>
      <w:bookmarkEnd w:id="40"/>
      <w:bookmarkEnd w:id="41"/>
    </w:p>
    <w:p w14:paraId="14CC28CC">
      <w:pPr>
        <w:adjustRightInd w:val="0"/>
        <w:snapToGrid w:val="0"/>
        <w:spacing w:line="360" w:lineRule="auto"/>
        <w:outlineLvl w:val="1"/>
        <w:rPr>
          <w:rFonts w:eastAsia="黑体"/>
          <w:szCs w:val="21"/>
        </w:rPr>
      </w:pPr>
      <w:bookmarkStart w:id="42" w:name="_Toc426040192"/>
      <w:bookmarkStart w:id="43" w:name="_Toc296961937"/>
      <w:bookmarkStart w:id="44" w:name="_Toc349034886"/>
      <w:bookmarkStart w:id="45" w:name="_Toc494551787"/>
      <w:bookmarkStart w:id="46" w:name="_Toc296359207"/>
      <w:bookmarkStart w:id="47" w:name="_Toc279769036"/>
      <w:bookmarkStart w:id="48" w:name="_Toc222993069"/>
      <w:bookmarkStart w:id="49" w:name="_Toc76025485"/>
      <w:bookmarkStart w:id="50" w:name="_Toc66780566"/>
      <w:bookmarkStart w:id="51" w:name="_Toc264460811"/>
      <w:bookmarkStart w:id="52" w:name="_Toc322532854"/>
      <w:bookmarkStart w:id="53" w:name="_Toc264380123"/>
      <w:bookmarkStart w:id="54" w:name="_Toc322527759"/>
      <w:bookmarkStart w:id="55" w:name="_Toc24133"/>
      <w:bookmarkStart w:id="56" w:name="_Toc23392"/>
      <w:r>
        <w:rPr>
          <w:rFonts w:eastAsia="黑体"/>
          <w:szCs w:val="21"/>
        </w:rPr>
        <w:t>4.1 正常使用条件</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745D5E6">
      <w:pPr>
        <w:snapToGrid w:val="0"/>
        <w:spacing w:line="360" w:lineRule="auto"/>
        <w:ind w:firstLine="420" w:firstLineChars="200"/>
        <w:rPr>
          <w:szCs w:val="21"/>
        </w:rPr>
      </w:pPr>
      <w:r>
        <w:rPr>
          <w:rFonts w:hint="eastAsia"/>
          <w:szCs w:val="21"/>
        </w:rPr>
        <w:t>1）海拔高度：</w:t>
      </w:r>
      <w:r>
        <w:rPr>
          <w:rFonts w:hint="eastAsia"/>
          <w:szCs w:val="21"/>
          <w:lang w:val="en-US" w:eastAsia="zh-CN"/>
        </w:rPr>
        <w:t>≥</w:t>
      </w:r>
      <w:r>
        <w:rPr>
          <w:rFonts w:hint="eastAsia"/>
          <w:szCs w:val="21"/>
        </w:rPr>
        <w:t>6000m。</w:t>
      </w:r>
    </w:p>
    <w:p w14:paraId="4D2BD6CF">
      <w:pPr>
        <w:widowControl/>
        <w:snapToGrid w:val="0"/>
        <w:spacing w:line="360" w:lineRule="auto"/>
        <w:ind w:firstLine="420" w:firstLineChars="200"/>
        <w:rPr>
          <w:szCs w:val="21"/>
        </w:rPr>
      </w:pPr>
      <w:r>
        <w:rPr>
          <w:rFonts w:hint="eastAsia"/>
          <w:szCs w:val="21"/>
        </w:rPr>
        <w:t>2）环境温度：最低温度：-20℃，最高温度：+5</w:t>
      </w:r>
      <w:r>
        <w:rPr>
          <w:rFonts w:hint="eastAsia"/>
          <w:szCs w:val="21"/>
          <w:lang w:val="en-US" w:eastAsia="zh-CN"/>
        </w:rPr>
        <w:t>5</w:t>
      </w:r>
      <w:r>
        <w:rPr>
          <w:rFonts w:hint="eastAsia"/>
          <w:szCs w:val="21"/>
        </w:rPr>
        <w:t>℃；环境湿度：0-100%。</w:t>
      </w:r>
    </w:p>
    <w:p w14:paraId="25DC9F96">
      <w:pPr>
        <w:widowControl/>
        <w:snapToGrid w:val="0"/>
        <w:spacing w:line="360" w:lineRule="auto"/>
        <w:ind w:firstLine="420" w:firstLineChars="200"/>
        <w:rPr>
          <w:szCs w:val="21"/>
        </w:rPr>
      </w:pPr>
      <w:r>
        <w:rPr>
          <w:rFonts w:hint="eastAsia"/>
          <w:szCs w:val="21"/>
        </w:rPr>
        <w:t>3）环境适应能力：在用户所在地区及环境条件下，性能应可靠稳定。</w:t>
      </w:r>
    </w:p>
    <w:p w14:paraId="1BE315E9">
      <w:pPr>
        <w:widowControl/>
        <w:snapToGrid w:val="0"/>
        <w:spacing w:line="360" w:lineRule="auto"/>
        <w:ind w:firstLine="420" w:firstLineChars="200"/>
        <w:rPr>
          <w:szCs w:val="21"/>
        </w:rPr>
      </w:pPr>
      <w:r>
        <w:rPr>
          <w:rFonts w:hint="eastAsia"/>
          <w:szCs w:val="21"/>
        </w:rPr>
        <w:t>4）卫星系统技术要求：仅支持BDS且兼容北斗3号及以下卫星系统。</w:t>
      </w:r>
    </w:p>
    <w:p w14:paraId="71CC4C01">
      <w:pPr>
        <w:adjustRightInd w:val="0"/>
        <w:snapToGrid w:val="0"/>
        <w:spacing w:line="360" w:lineRule="auto"/>
        <w:outlineLvl w:val="1"/>
        <w:rPr>
          <w:rFonts w:eastAsia="黑体"/>
          <w:szCs w:val="21"/>
        </w:rPr>
      </w:pPr>
      <w:bookmarkStart w:id="57" w:name="_Toc28986"/>
      <w:bookmarkStart w:id="58" w:name="_Toc66780567"/>
      <w:bookmarkStart w:id="59" w:name="_Toc76025486"/>
      <w:bookmarkStart w:id="60" w:name="_Toc22529"/>
      <w:bookmarkStart w:id="61" w:name="_Toc494551788"/>
      <w:bookmarkStart w:id="62" w:name="_Toc322527760"/>
      <w:bookmarkStart w:id="63" w:name="_Toc296359208"/>
      <w:bookmarkStart w:id="64" w:name="_Toc322532855"/>
      <w:bookmarkStart w:id="65" w:name="_Toc426040193"/>
      <w:bookmarkStart w:id="66" w:name="_Toc264450245"/>
      <w:bookmarkStart w:id="67" w:name="_Toc264460812"/>
      <w:bookmarkStart w:id="68" w:name="_Toc349034887"/>
      <w:bookmarkStart w:id="69" w:name="_Toc296961938"/>
      <w:bookmarkStart w:id="70" w:name="_Toc264380124"/>
      <w:bookmarkStart w:id="71" w:name="_Toc222993070"/>
      <w:r>
        <w:rPr>
          <w:rFonts w:eastAsia="黑体"/>
          <w:szCs w:val="21"/>
        </w:rPr>
        <w:t>4</w:t>
      </w:r>
      <w:r>
        <w:rPr>
          <w:rFonts w:hint="eastAsia" w:eastAsia="黑体"/>
          <w:szCs w:val="21"/>
        </w:rPr>
        <w:t>.2 特殊使用条件</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58CC3B1">
      <w:pPr>
        <w:snapToGrid w:val="0"/>
        <w:spacing w:line="360" w:lineRule="auto"/>
        <w:ind w:firstLine="420" w:firstLineChars="200"/>
        <w:rPr>
          <w:szCs w:val="21"/>
        </w:rPr>
      </w:pPr>
      <w:r>
        <w:rPr>
          <w:rFonts w:hint="eastAsia"/>
          <w:szCs w:val="21"/>
        </w:rPr>
        <w:t>凡不满足4.1条正常使用条件之外的特殊条件，如环境温度、海拔、污秽等级等条件项目单位应明确，且应在技术规范书的相应技术条款中对有关技术参数及要求加以修正、说明，并在提交需求计划及招技术规范书时向物资部门特别明确。</w:t>
      </w:r>
    </w:p>
    <w:p w14:paraId="443C248F">
      <w:pPr>
        <w:spacing w:line="360" w:lineRule="auto"/>
        <w:outlineLvl w:val="0"/>
        <w:rPr>
          <w:rFonts w:eastAsia="黑体"/>
          <w:szCs w:val="21"/>
        </w:rPr>
      </w:pPr>
      <w:bookmarkStart w:id="72" w:name="_Toc222993071"/>
      <w:bookmarkStart w:id="73" w:name="_Toc76025487"/>
      <w:bookmarkStart w:id="74" w:name="_Toc24623"/>
      <w:bookmarkStart w:id="75" w:name="_Toc31508"/>
      <w:r>
        <w:rPr>
          <w:rFonts w:hint="eastAsia" w:eastAsia="黑体"/>
          <w:szCs w:val="21"/>
        </w:rPr>
        <w:t>5</w:t>
      </w:r>
      <w:r>
        <w:rPr>
          <w:rFonts w:eastAsia="黑体"/>
          <w:szCs w:val="21"/>
        </w:rPr>
        <w:t xml:space="preserve"> </w:t>
      </w:r>
      <w:r>
        <w:rPr>
          <w:rFonts w:hint="eastAsia" w:eastAsia="黑体"/>
          <w:szCs w:val="21"/>
        </w:rPr>
        <w:t>技术要求</w:t>
      </w:r>
      <w:bookmarkEnd w:id="72"/>
      <w:bookmarkEnd w:id="73"/>
      <w:bookmarkEnd w:id="74"/>
      <w:bookmarkEnd w:id="75"/>
    </w:p>
    <w:p w14:paraId="525351D2">
      <w:pPr>
        <w:pStyle w:val="3"/>
        <w:spacing w:before="0" w:after="0" w:line="360" w:lineRule="auto"/>
        <w:rPr>
          <w:rFonts w:hint="eastAsia" w:ascii="黑体" w:hAnsi="黑体"/>
          <w:szCs w:val="21"/>
        </w:rPr>
      </w:pPr>
      <w:bookmarkStart w:id="76" w:name="_Toc22879"/>
      <w:bookmarkStart w:id="77" w:name="_Toc222991615"/>
      <w:bookmarkStart w:id="78" w:name="_Toc76025488"/>
      <w:bookmarkStart w:id="79" w:name="_Toc28742"/>
      <w:bookmarkStart w:id="80" w:name="_Toc222993073"/>
      <w:bookmarkStart w:id="81" w:name="_Toc18016"/>
      <w:bookmarkStart w:id="82" w:name="_Toc15425"/>
      <w:bookmarkStart w:id="83" w:name="_Toc76025495"/>
      <w:bookmarkStart w:id="84" w:name="_Toc20375"/>
      <w:bookmarkStart w:id="85" w:name="_Toc23428"/>
      <w:bookmarkStart w:id="86" w:name="_Toc72859325"/>
      <w:r>
        <w:rPr>
          <w:rFonts w:hint="eastAsia" w:ascii="黑体" w:hAnsi="黑体"/>
          <w:b w:val="0"/>
          <w:bCs/>
          <w:szCs w:val="21"/>
        </w:rPr>
        <w:t>5</w:t>
      </w:r>
      <w:r>
        <w:rPr>
          <w:rFonts w:ascii="黑体" w:hAnsi="黑体"/>
          <w:b w:val="0"/>
          <w:bCs/>
          <w:szCs w:val="21"/>
        </w:rPr>
        <w:t>.1</w:t>
      </w:r>
      <w:r>
        <w:rPr>
          <w:rFonts w:hint="eastAsia" w:ascii="黑体" w:hAnsi="黑体"/>
          <w:b w:val="0"/>
          <w:bCs/>
          <w:szCs w:val="21"/>
        </w:rPr>
        <w:t xml:space="preserve"> 飞行器技术要求</w:t>
      </w:r>
      <w:bookmarkEnd w:id="76"/>
      <w:bookmarkEnd w:id="77"/>
      <w:bookmarkEnd w:id="78"/>
      <w:bookmarkEnd w:id="79"/>
    </w:p>
    <w:p w14:paraId="6176D741">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color w:val="000000"/>
          <w:kern w:val="0"/>
          <w:szCs w:val="21"/>
          <w:lang w:bidi="ar"/>
        </w:rPr>
        <w:t>空机重量：≥120千克（吊运负载不含电池）</w:t>
      </w:r>
    </w:p>
    <w:p w14:paraId="272CBD05">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color w:val="000000"/>
          <w:kern w:val="0"/>
          <w:szCs w:val="21"/>
          <w:lang w:bidi="ar"/>
        </w:rPr>
        <w:t>最大起飞重量：≥500千克</w:t>
      </w:r>
    </w:p>
    <w:p w14:paraId="7A5C2B93">
      <w:pPr>
        <w:pStyle w:val="102"/>
        <w:numPr>
          <w:ilvl w:val="0"/>
          <w:numId w:val="26"/>
        </w:numPr>
        <w:tabs>
          <w:tab w:val="left" w:pos="851"/>
        </w:tabs>
        <w:spacing w:line="360" w:lineRule="auto"/>
        <w:ind w:firstLineChars="0"/>
        <w:rPr>
          <w:rFonts w:ascii="Times New Roman" w:hAnsi="Times New Roman"/>
          <w:szCs w:val="21"/>
        </w:rPr>
      </w:pPr>
      <w:r>
        <w:rPr>
          <w:rFonts w:hint="eastAsia" w:ascii="Times New Roman" w:hAnsi="Times New Roman"/>
          <w:szCs w:val="21"/>
        </w:rPr>
        <w:t>最大有效载荷：≥300kg</w:t>
      </w:r>
    </w:p>
    <w:p w14:paraId="3D00A089">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color w:val="000000"/>
          <w:kern w:val="0"/>
          <w:szCs w:val="21"/>
          <w:lang w:bidi="ar"/>
        </w:rPr>
        <w:t>轴距：≥4200 毫米 （对角线），轴数：6</w:t>
      </w:r>
    </w:p>
    <w:p w14:paraId="5C1B849B">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color w:val="000000"/>
          <w:kern w:val="0"/>
          <w:szCs w:val="21"/>
          <w:lang w:bidi="ar"/>
        </w:rPr>
        <w:t>机载电池数量：支持三电、六电</w:t>
      </w:r>
    </w:p>
    <w:p w14:paraId="26BB0A2C">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color w:val="000000"/>
          <w:kern w:val="0"/>
          <w:szCs w:val="21"/>
          <w:lang w:bidi="ar"/>
        </w:rPr>
        <w:t>最大飞行距离：最大起飞重量下：六电≥7千米、三电≥4千米</w:t>
      </w:r>
    </w:p>
    <w:p w14:paraId="708207FB">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最大悬停时间：最大起飞重量下：六电≥8分钟、三电≥5分钟</w:t>
      </w:r>
    </w:p>
    <w:p w14:paraId="47792BC2">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最大飞行时间：最大起飞重量下：六电≥9分钟、三电≥6分钟</w:t>
      </w:r>
    </w:p>
    <w:p w14:paraId="5A03F6AF">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防护等级：≥IP55</w:t>
      </w:r>
    </w:p>
    <w:p w14:paraId="651B76A8">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悬停精度：启用RTK：±10 厘米（水平），±10厘米 （垂直）未启用 RTK：±60厘米（水平），±30厘米 （垂直）</w:t>
      </w:r>
    </w:p>
    <w:p w14:paraId="69A3F820">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GNSS</w:t>
      </w:r>
      <w:r>
        <w:rPr>
          <w:rFonts w:hint="eastAsia" w:ascii="Times New Roman" w:hAnsi="Times New Roman"/>
          <w:szCs w:val="21"/>
        </w:rPr>
        <w:t>：</w:t>
      </w:r>
      <w:r>
        <w:rPr>
          <w:rFonts w:ascii="宋体" w:hAnsi="宋体" w:cs="宋体"/>
          <w:color w:val="000000"/>
          <w:kern w:val="0"/>
          <w:szCs w:val="21"/>
          <w:lang w:bidi="ar"/>
        </w:rPr>
        <w:t>仅支持BDS且兼容北斗3号及以下卫星系统</w:t>
      </w:r>
    </w:p>
    <w:p w14:paraId="5272CF72">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最大上升速度</w:t>
      </w:r>
      <w:r>
        <w:rPr>
          <w:rFonts w:hint="eastAsia" w:ascii="Times New Roman" w:hAnsi="Times New Roman"/>
          <w:szCs w:val="21"/>
        </w:rPr>
        <w:t>：</w:t>
      </w:r>
      <w:r>
        <w:rPr>
          <w:rFonts w:hint="eastAsia" w:ascii="宋体" w:hAnsi="宋体" w:cs="宋体"/>
          <w:color w:val="000000"/>
          <w:kern w:val="0"/>
          <w:szCs w:val="21"/>
          <w:lang w:bidi="ar"/>
        </w:rPr>
        <w:t>≥5米/秒</w:t>
      </w:r>
    </w:p>
    <w:p w14:paraId="198D30DE">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最大下降速度：≥3米/秒</w:t>
      </w:r>
    </w:p>
    <w:p w14:paraId="58987011">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最大水平飞行速度：1≥3.8米/秒</w:t>
      </w:r>
    </w:p>
    <w:p w14:paraId="6B101796">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最大飞行海拔高度：≥6000米</w:t>
      </w:r>
    </w:p>
    <w:p w14:paraId="6365C668">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最大抗风速度：12米/秒</w:t>
      </w:r>
    </w:p>
    <w:p w14:paraId="527979CB">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旋翼数量</w:t>
      </w:r>
      <w:r>
        <w:rPr>
          <w:rFonts w:hint="eastAsia" w:ascii="Times New Roman" w:hAnsi="Times New Roman"/>
          <w:szCs w:val="21"/>
        </w:rPr>
        <w:t>：12</w:t>
      </w:r>
      <w:r>
        <w:rPr>
          <w:rFonts w:hint="eastAsia" w:ascii="宋体" w:hAnsi="宋体" w:cs="宋体"/>
          <w:color w:val="000000"/>
          <w:kern w:val="0"/>
          <w:szCs w:val="21"/>
          <w:lang w:bidi="ar"/>
        </w:rPr>
        <w:t>对</w:t>
      </w:r>
    </w:p>
    <w:p w14:paraId="19423DCF">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桨叶：尺寸：70英寸（双叶折叠桨）</w:t>
      </w:r>
    </w:p>
    <w:p w14:paraId="1D49F89B">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安全系统：前毫米波雷达，后视雷达（单板），下视雷达（单板），激光雷达，FPV</w:t>
      </w:r>
    </w:p>
    <w:p w14:paraId="39D313F2">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最大信号有效距离：≥20公里（4G融合模式）</w:t>
      </w:r>
    </w:p>
    <w:p w14:paraId="71B1093F">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工作频率：2.4GHz &amp; 5.8GHz</w:t>
      </w:r>
    </w:p>
    <w:p w14:paraId="2FBCAA07">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实时图传质量：720p/30fps</w:t>
      </w:r>
    </w:p>
    <w:p w14:paraId="73D396FF">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天线：2天线</w:t>
      </w:r>
    </w:p>
    <w:p w14:paraId="1754A748">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照明灯：前方</w:t>
      </w:r>
    </w:p>
    <w:p w14:paraId="25A22556">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安全降落装置：具备降落伞；最低安全开伞高度：100米；开伞方式：手动、自动开伞</w:t>
      </w:r>
    </w:p>
    <w:p w14:paraId="587F2636">
      <w:pPr>
        <w:pStyle w:val="3"/>
        <w:spacing w:before="0" w:after="0" w:line="360" w:lineRule="auto"/>
        <w:rPr>
          <w:rFonts w:hint="eastAsia" w:ascii="黑体" w:hAnsi="黑体"/>
          <w:b w:val="0"/>
          <w:bCs/>
          <w:szCs w:val="21"/>
        </w:rPr>
      </w:pPr>
      <w:bookmarkStart w:id="87" w:name="_Toc1947"/>
      <w:bookmarkStart w:id="88" w:name="_Toc76025489"/>
      <w:bookmarkStart w:id="89" w:name="_Toc21715"/>
      <w:bookmarkStart w:id="90" w:name="_Toc222991616"/>
      <w:r>
        <w:rPr>
          <w:rFonts w:ascii="黑体" w:hAnsi="黑体"/>
          <w:b w:val="0"/>
          <w:bCs/>
          <w:szCs w:val="21"/>
        </w:rPr>
        <w:t>5.2</w:t>
      </w:r>
      <w:r>
        <w:rPr>
          <w:rFonts w:hint="eastAsia" w:ascii="黑体" w:hAnsi="黑体"/>
          <w:b w:val="0"/>
          <w:bCs/>
          <w:szCs w:val="21"/>
        </w:rPr>
        <w:t xml:space="preserve"> 遥控器技术要求</w:t>
      </w:r>
      <w:bookmarkEnd w:id="87"/>
      <w:bookmarkEnd w:id="88"/>
      <w:bookmarkEnd w:id="89"/>
      <w:bookmarkEnd w:id="90"/>
    </w:p>
    <w:p w14:paraId="20E9DAE2">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宋体" w:hAnsi="宋体" w:cs="宋体"/>
          <w:color w:val="000000"/>
          <w:kern w:val="0"/>
          <w:szCs w:val="21"/>
          <w:lang w:bidi="ar"/>
        </w:rPr>
        <w:t>显示屏：8</w:t>
      </w:r>
      <w:r>
        <w:rPr>
          <w:rFonts w:hint="eastAsia" w:ascii="宋体" w:hAnsi="宋体" w:cs="宋体"/>
          <w:szCs w:val="21"/>
        </w:rPr>
        <w:t xml:space="preserve"> 英寸触控液晶显示屏，分辨率 1920 × 1200，亮度 1500 cd/m²</w:t>
      </w:r>
    </w:p>
    <w:p w14:paraId="467ECDD8">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宋体" w:hAnsi="宋体" w:cs="宋体"/>
          <w:color w:val="000000"/>
          <w:kern w:val="0"/>
          <w:szCs w:val="21"/>
          <w:lang w:bidi="ar"/>
        </w:rPr>
        <w:t>充电环境温度：</w:t>
      </w:r>
      <w:r>
        <w:rPr>
          <w:rFonts w:hint="eastAsia" w:ascii="宋体" w:hAnsi="宋体" w:cs="宋体"/>
          <w:szCs w:val="21"/>
        </w:rPr>
        <w:t>5℃ 至40℃</w:t>
      </w:r>
    </w:p>
    <w:p w14:paraId="09ABA4B9">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宋体" w:hAnsi="宋体" w:cs="宋体"/>
          <w:color w:val="000000"/>
          <w:kern w:val="0"/>
          <w:szCs w:val="21"/>
          <w:lang w:bidi="ar"/>
        </w:rPr>
        <w:t xml:space="preserve">续航时间： </w:t>
      </w:r>
      <w:r>
        <w:rPr>
          <w:rFonts w:hint="eastAsia" w:ascii="宋体" w:hAnsi="宋体" w:cs="宋体"/>
          <w:szCs w:val="21"/>
        </w:rPr>
        <w:t>内置电池：3小时；外置电池：2小时</w:t>
      </w:r>
    </w:p>
    <w:p w14:paraId="18DB0B1A">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宋体" w:hAnsi="宋体" w:cs="宋体"/>
          <w:color w:val="000000"/>
          <w:kern w:val="0"/>
          <w:szCs w:val="21"/>
          <w:lang w:bidi="ar"/>
        </w:rPr>
        <w:t>充电时间：</w:t>
      </w:r>
      <w:r>
        <w:rPr>
          <w:rFonts w:hint="eastAsia" w:ascii="宋体" w:hAnsi="宋体" w:cs="宋体"/>
          <w:szCs w:val="21"/>
        </w:rPr>
        <w:t>2小时</w:t>
      </w:r>
    </w:p>
    <w:p w14:paraId="26459946">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宋体" w:hAnsi="宋体" w:cs="宋体"/>
          <w:color w:val="000000"/>
          <w:kern w:val="0"/>
          <w:szCs w:val="21"/>
          <w:lang w:bidi="ar"/>
        </w:rPr>
        <w:t>4G增强图传：</w:t>
      </w:r>
      <w:r>
        <w:rPr>
          <w:rFonts w:hint="eastAsia" w:ascii="宋体" w:hAnsi="宋体" w:cs="宋体"/>
          <w:szCs w:val="21"/>
        </w:rPr>
        <w:t>支持</w:t>
      </w:r>
    </w:p>
    <w:p w14:paraId="5715C814">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宋体" w:hAnsi="宋体" w:cs="宋体"/>
          <w:color w:val="000000"/>
          <w:kern w:val="0"/>
          <w:szCs w:val="21"/>
          <w:lang w:bidi="ar"/>
        </w:rPr>
        <w:t>RTK高精度定位模块：</w:t>
      </w:r>
      <w:r>
        <w:rPr>
          <w:rFonts w:hint="eastAsia" w:ascii="宋体" w:hAnsi="宋体" w:cs="宋体"/>
          <w:szCs w:val="21"/>
        </w:rPr>
        <w:t>支持</w:t>
      </w:r>
    </w:p>
    <w:p w14:paraId="79A98333">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宋体" w:hAnsi="宋体" w:cs="宋体"/>
          <w:color w:val="000000"/>
          <w:kern w:val="0"/>
          <w:szCs w:val="21"/>
          <w:lang w:bidi="ar"/>
        </w:rPr>
        <w:t>工作环境温度</w:t>
      </w:r>
      <w:r>
        <w:rPr>
          <w:rFonts w:hint="eastAsia" w:ascii="Times New Roman" w:hAnsi="Times New Roman"/>
          <w:szCs w:val="21"/>
        </w:rPr>
        <w:t>：</w:t>
      </w:r>
      <w:r>
        <w:rPr>
          <w:rFonts w:hint="eastAsia" w:ascii="宋体" w:hAnsi="宋体" w:cs="宋体"/>
          <w:szCs w:val="21"/>
        </w:rPr>
        <w:t>-20℃至50℃</w:t>
      </w:r>
    </w:p>
    <w:p w14:paraId="771B36DB">
      <w:pPr>
        <w:pStyle w:val="3"/>
        <w:spacing w:before="0" w:after="0" w:line="360" w:lineRule="auto"/>
        <w:rPr>
          <w:rFonts w:hint="eastAsia" w:ascii="黑体" w:hAnsi="黑体"/>
          <w:b w:val="0"/>
          <w:bCs/>
          <w:szCs w:val="21"/>
        </w:rPr>
      </w:pPr>
      <w:bookmarkStart w:id="91" w:name="_Toc3918"/>
      <w:bookmarkStart w:id="92" w:name="_Toc6365"/>
      <w:bookmarkStart w:id="93" w:name="_Toc76025490"/>
      <w:bookmarkStart w:id="94" w:name="_Toc222991617"/>
      <w:r>
        <w:rPr>
          <w:rFonts w:hint="eastAsia" w:ascii="黑体" w:hAnsi="黑体"/>
          <w:b w:val="0"/>
          <w:bCs/>
          <w:szCs w:val="21"/>
        </w:rPr>
        <w:t>5</w:t>
      </w:r>
      <w:r>
        <w:rPr>
          <w:rFonts w:ascii="黑体" w:hAnsi="黑体"/>
          <w:b w:val="0"/>
          <w:bCs/>
          <w:szCs w:val="21"/>
        </w:rPr>
        <w:t xml:space="preserve">.3 </w:t>
      </w:r>
      <w:r>
        <w:rPr>
          <w:rFonts w:hint="eastAsia" w:ascii="黑体" w:hAnsi="黑体"/>
          <w:b w:val="0"/>
          <w:bCs/>
          <w:szCs w:val="21"/>
        </w:rPr>
        <w:t>电池技术要求</w:t>
      </w:r>
      <w:bookmarkEnd w:id="91"/>
      <w:bookmarkEnd w:id="92"/>
      <w:bookmarkEnd w:id="93"/>
      <w:bookmarkEnd w:id="94"/>
    </w:p>
    <w:p w14:paraId="6A146F29">
      <w:pPr>
        <w:numPr>
          <w:ilvl w:val="0"/>
          <w:numId w:val="29"/>
        </w:numPr>
        <w:tabs>
          <w:tab w:val="left" w:pos="851"/>
          <w:tab w:val="clear" w:pos="840"/>
        </w:tabs>
        <w:adjustRightInd w:val="0"/>
        <w:spacing w:line="360" w:lineRule="auto"/>
        <w:ind w:left="420" w:firstLine="0"/>
        <w:rPr>
          <w:szCs w:val="21"/>
        </w:rPr>
      </w:pPr>
      <w:r>
        <w:rPr>
          <w:rFonts w:hint="eastAsia" w:ascii="宋体" w:hAnsi="宋体" w:cs="宋体"/>
          <w:color w:val="000000"/>
          <w:kern w:val="0"/>
          <w:szCs w:val="21"/>
          <w:lang w:bidi="ar"/>
        </w:rPr>
        <w:t>重量：≥20千克</w:t>
      </w:r>
    </w:p>
    <w:p w14:paraId="2CF95E9F">
      <w:pPr>
        <w:numPr>
          <w:ilvl w:val="0"/>
          <w:numId w:val="29"/>
        </w:numPr>
        <w:tabs>
          <w:tab w:val="left" w:pos="851"/>
          <w:tab w:val="clear" w:pos="840"/>
        </w:tabs>
        <w:adjustRightInd w:val="0"/>
        <w:spacing w:line="360" w:lineRule="auto"/>
        <w:ind w:left="420" w:firstLine="0"/>
        <w:rPr>
          <w:szCs w:val="21"/>
        </w:rPr>
      </w:pPr>
      <w:r>
        <w:rPr>
          <w:rFonts w:hint="eastAsia" w:ascii="宋体" w:hAnsi="宋体" w:cs="宋体"/>
          <w:color w:val="000000"/>
          <w:kern w:val="0"/>
          <w:szCs w:val="21"/>
          <w:lang w:bidi="ar"/>
        </w:rPr>
        <w:t>容量：≥38Ah</w:t>
      </w:r>
    </w:p>
    <w:p w14:paraId="75AFD4B9">
      <w:pPr>
        <w:numPr>
          <w:ilvl w:val="0"/>
          <w:numId w:val="29"/>
        </w:numPr>
        <w:adjustRightInd w:val="0"/>
        <w:spacing w:line="360" w:lineRule="auto"/>
        <w:rPr>
          <w:szCs w:val="21"/>
        </w:rPr>
      </w:pPr>
      <w:r>
        <w:rPr>
          <w:rFonts w:hint="eastAsia" w:ascii="宋体" w:hAnsi="宋体" w:cs="宋体"/>
          <w:color w:val="000000"/>
          <w:kern w:val="0"/>
          <w:szCs w:val="21"/>
          <w:lang w:bidi="ar"/>
        </w:rPr>
        <w:t>标称电压：≥90V</w:t>
      </w:r>
    </w:p>
    <w:p w14:paraId="7580AAAD">
      <w:pPr>
        <w:numPr>
          <w:ilvl w:val="0"/>
          <w:numId w:val="29"/>
        </w:numPr>
        <w:adjustRightInd w:val="0"/>
        <w:spacing w:line="360" w:lineRule="auto"/>
        <w:rPr>
          <w:szCs w:val="21"/>
        </w:rPr>
      </w:pPr>
      <w:r>
        <w:rPr>
          <w:rFonts w:hint="eastAsia" w:ascii="宋体" w:hAnsi="宋体" w:cs="宋体"/>
          <w:color w:val="000000"/>
          <w:kern w:val="0"/>
          <w:szCs w:val="21"/>
          <w:lang w:bidi="ar"/>
        </w:rPr>
        <w:t>循环寿命</w:t>
      </w:r>
      <w:r>
        <w:rPr>
          <w:rFonts w:hint="eastAsia"/>
          <w:szCs w:val="21"/>
        </w:rPr>
        <w:t>：</w:t>
      </w:r>
      <w:r>
        <w:rPr>
          <w:rFonts w:hint="eastAsia" w:ascii="宋体" w:hAnsi="宋体" w:cs="宋体"/>
          <w:color w:val="000000"/>
          <w:kern w:val="0"/>
          <w:szCs w:val="21"/>
          <w:lang w:bidi="ar"/>
        </w:rPr>
        <w:t>≥1200次/12个月</w:t>
      </w:r>
    </w:p>
    <w:p w14:paraId="64209739">
      <w:pPr>
        <w:pStyle w:val="3"/>
        <w:spacing w:before="0" w:after="0" w:line="360" w:lineRule="auto"/>
        <w:rPr>
          <w:rFonts w:hint="eastAsia" w:ascii="黑体" w:hAnsi="黑体"/>
          <w:b w:val="0"/>
          <w:bCs/>
          <w:szCs w:val="21"/>
        </w:rPr>
      </w:pPr>
      <w:bookmarkStart w:id="95" w:name="_Toc14285"/>
      <w:bookmarkStart w:id="96" w:name="_Toc76025491"/>
      <w:bookmarkStart w:id="97" w:name="_Toc222991618"/>
      <w:bookmarkStart w:id="98" w:name="_Toc10050"/>
      <w:r>
        <w:rPr>
          <w:rFonts w:hint="eastAsia" w:ascii="黑体" w:hAnsi="黑体"/>
          <w:b w:val="0"/>
          <w:bCs/>
          <w:szCs w:val="21"/>
        </w:rPr>
        <w:t>5</w:t>
      </w:r>
      <w:r>
        <w:rPr>
          <w:rFonts w:ascii="黑体" w:hAnsi="黑体"/>
          <w:b w:val="0"/>
          <w:bCs/>
          <w:szCs w:val="21"/>
        </w:rPr>
        <w:t>.</w:t>
      </w:r>
      <w:r>
        <w:rPr>
          <w:rFonts w:hint="eastAsia" w:ascii="黑体" w:hAnsi="黑体"/>
          <w:b w:val="0"/>
          <w:bCs/>
          <w:szCs w:val="21"/>
        </w:rPr>
        <w:t>4</w:t>
      </w:r>
      <w:r>
        <w:rPr>
          <w:rFonts w:ascii="黑体" w:hAnsi="黑体"/>
          <w:b w:val="0"/>
          <w:bCs/>
          <w:szCs w:val="21"/>
        </w:rPr>
        <w:t xml:space="preserve"> </w:t>
      </w:r>
      <w:r>
        <w:rPr>
          <w:rFonts w:hint="eastAsia" w:ascii="黑体" w:hAnsi="黑体"/>
          <w:b w:val="0"/>
          <w:bCs/>
          <w:szCs w:val="21"/>
        </w:rPr>
        <w:t>智能充电器技术要求</w:t>
      </w:r>
      <w:bookmarkEnd w:id="95"/>
      <w:bookmarkEnd w:id="96"/>
      <w:bookmarkEnd w:id="97"/>
      <w:bookmarkEnd w:id="98"/>
    </w:p>
    <w:p w14:paraId="51564098">
      <w:pPr>
        <w:tabs>
          <w:tab w:val="left" w:pos="851"/>
        </w:tabs>
        <w:adjustRightInd w:val="0"/>
        <w:spacing w:line="360" w:lineRule="auto"/>
        <w:ind w:left="420"/>
        <w:rPr>
          <w:rFonts w:hint="eastAsia" w:ascii="宋体" w:hAnsi="宋体" w:cs="宋体"/>
          <w:szCs w:val="21"/>
        </w:rPr>
      </w:pPr>
      <w:r>
        <w:rPr>
          <w:rFonts w:hint="eastAsia" w:ascii="宋体" w:hAnsi="宋体" w:cs="宋体"/>
          <w:szCs w:val="21"/>
        </w:rPr>
        <w:t xml:space="preserve">a）  </w:t>
      </w:r>
      <w:r>
        <w:rPr>
          <w:rFonts w:hint="eastAsia" w:ascii="宋体" w:hAnsi="宋体" w:cs="宋体"/>
          <w:color w:val="000000"/>
          <w:kern w:val="0"/>
          <w:szCs w:val="21"/>
          <w:lang w:bidi="ar"/>
        </w:rPr>
        <w:t>重量： ≥23</w:t>
      </w:r>
      <w:r>
        <w:rPr>
          <w:rFonts w:hint="eastAsia" w:ascii="宋体" w:hAnsi="宋体" w:cs="宋体"/>
          <w:szCs w:val="21"/>
        </w:rPr>
        <w:t>千克。</w:t>
      </w:r>
    </w:p>
    <w:p w14:paraId="74F8EDB8">
      <w:pPr>
        <w:tabs>
          <w:tab w:val="left" w:pos="851"/>
        </w:tabs>
        <w:adjustRightInd w:val="0"/>
        <w:spacing w:line="360" w:lineRule="auto"/>
        <w:ind w:left="420"/>
        <w:rPr>
          <w:rFonts w:hint="eastAsia" w:ascii="宋体" w:hAnsi="宋体" w:cs="宋体"/>
          <w:color w:val="000000"/>
          <w:kern w:val="0"/>
          <w:szCs w:val="21"/>
          <w:lang w:bidi="ar"/>
        </w:rPr>
      </w:pPr>
      <w:r>
        <w:rPr>
          <w:rFonts w:hint="eastAsia" w:ascii="宋体" w:hAnsi="宋体" w:cs="宋体"/>
          <w:szCs w:val="21"/>
        </w:rPr>
        <w:t xml:space="preserve">b）  </w:t>
      </w:r>
      <w:r>
        <w:rPr>
          <w:rFonts w:hint="eastAsia" w:ascii="宋体" w:hAnsi="宋体" w:cs="宋体"/>
          <w:color w:val="000000"/>
          <w:kern w:val="0"/>
          <w:szCs w:val="21"/>
          <w:lang w:bidi="ar"/>
        </w:rPr>
        <w:t>输入电压： 三相交流电输入：110-380V；</w:t>
      </w:r>
    </w:p>
    <w:p w14:paraId="0CC49845">
      <w:pPr>
        <w:tabs>
          <w:tab w:val="left" w:pos="851"/>
        </w:tabs>
        <w:adjustRightInd w:val="0"/>
        <w:spacing w:line="360" w:lineRule="auto"/>
        <w:ind w:left="420"/>
        <w:rPr>
          <w:rFonts w:hint="eastAsia" w:ascii="宋体" w:hAnsi="宋体" w:cs="宋体"/>
          <w:color w:val="000000"/>
          <w:kern w:val="0"/>
          <w:szCs w:val="21"/>
          <w:lang w:bidi="ar"/>
        </w:rPr>
      </w:pPr>
      <w:r>
        <w:rPr>
          <w:rFonts w:hint="eastAsia" w:ascii="宋体" w:hAnsi="宋体" w:cs="宋体"/>
          <w:color w:val="000000"/>
          <w:kern w:val="0"/>
          <w:szCs w:val="21"/>
          <w:lang w:bidi="ar"/>
        </w:rPr>
        <w:t>c）  额定功率： 16000W（三相 380V 输入）；3000W（单相 220V 输入）。</w:t>
      </w:r>
    </w:p>
    <w:p w14:paraId="6D123C3F">
      <w:pPr>
        <w:tabs>
          <w:tab w:val="left" w:pos="851"/>
        </w:tabs>
        <w:adjustRightInd w:val="0"/>
        <w:spacing w:line="360" w:lineRule="auto"/>
        <w:ind w:left="420"/>
        <w:rPr>
          <w:rFonts w:hint="eastAsia" w:ascii="宋体" w:hAnsi="宋体" w:cs="宋体"/>
          <w:szCs w:val="21"/>
        </w:rPr>
      </w:pPr>
      <w:r>
        <w:rPr>
          <w:rFonts w:hint="eastAsia" w:ascii="宋体" w:hAnsi="宋体" w:cs="宋体"/>
          <w:color w:val="000000"/>
          <w:kern w:val="0"/>
          <w:szCs w:val="21"/>
          <w:lang w:bidi="ar"/>
        </w:rPr>
        <w:t>d）  充电时间： 30%～95%约8分钟</w:t>
      </w:r>
    </w:p>
    <w:p w14:paraId="6F9E2B07">
      <w:pPr>
        <w:tabs>
          <w:tab w:val="left" w:pos="851"/>
        </w:tabs>
        <w:adjustRightInd w:val="0"/>
        <w:spacing w:line="360" w:lineRule="auto"/>
        <w:ind w:left="420"/>
        <w:rPr>
          <w:rFonts w:hint="eastAsia" w:ascii="宋体" w:hAnsi="宋体" w:cs="宋体"/>
          <w:szCs w:val="21"/>
        </w:rPr>
      </w:pPr>
      <w:r>
        <w:rPr>
          <w:rFonts w:hint="eastAsia" w:ascii="宋体" w:hAnsi="宋体" w:cs="宋体"/>
          <w:szCs w:val="21"/>
        </w:rPr>
        <w:t xml:space="preserve">e）  </w:t>
      </w:r>
      <w:r>
        <w:rPr>
          <w:rFonts w:hint="eastAsia" w:ascii="宋体" w:hAnsi="宋体" w:cs="宋体"/>
          <w:color w:val="000000"/>
          <w:kern w:val="0"/>
          <w:szCs w:val="21"/>
          <w:lang w:bidi="ar"/>
        </w:rPr>
        <w:t>工作环境温度： -2</w:t>
      </w:r>
      <w:r>
        <w:rPr>
          <w:rFonts w:hint="eastAsia" w:ascii="宋体" w:hAnsi="宋体" w:cs="宋体"/>
          <w:szCs w:val="21"/>
        </w:rPr>
        <w:t>0℃ 至 50℃。</w:t>
      </w:r>
    </w:p>
    <w:p w14:paraId="21E5AC59">
      <w:pPr>
        <w:pStyle w:val="3"/>
        <w:spacing w:before="0" w:after="0" w:line="360" w:lineRule="auto"/>
        <w:rPr>
          <w:rFonts w:hint="eastAsia" w:ascii="黑体" w:hAnsi="黑体"/>
          <w:b w:val="0"/>
          <w:bCs/>
          <w:szCs w:val="21"/>
        </w:rPr>
      </w:pPr>
      <w:bookmarkStart w:id="99" w:name="_Toc222991620"/>
      <w:bookmarkStart w:id="100" w:name="_Toc21486"/>
      <w:bookmarkStart w:id="101" w:name="_Toc76025493"/>
      <w:bookmarkStart w:id="102" w:name="_Toc30011"/>
      <w:r>
        <w:rPr>
          <w:rFonts w:hint="eastAsia" w:ascii="黑体" w:hAnsi="黑体"/>
          <w:b w:val="0"/>
          <w:bCs/>
          <w:szCs w:val="21"/>
        </w:rPr>
        <w:t>5</w:t>
      </w:r>
      <w:r>
        <w:rPr>
          <w:rFonts w:ascii="黑体" w:hAnsi="黑体"/>
          <w:b w:val="0"/>
          <w:bCs/>
          <w:szCs w:val="21"/>
        </w:rPr>
        <w:t>.</w:t>
      </w:r>
      <w:r>
        <w:rPr>
          <w:rFonts w:hint="eastAsia" w:ascii="黑体" w:hAnsi="黑体"/>
          <w:b w:val="0"/>
          <w:bCs/>
          <w:szCs w:val="21"/>
        </w:rPr>
        <w:t>5</w:t>
      </w:r>
      <w:r>
        <w:rPr>
          <w:rFonts w:ascii="黑体" w:hAnsi="黑体"/>
          <w:b w:val="0"/>
          <w:bCs/>
          <w:szCs w:val="21"/>
        </w:rPr>
        <w:t xml:space="preserve"> </w:t>
      </w:r>
      <w:r>
        <w:rPr>
          <w:rFonts w:hint="eastAsia" w:ascii="黑体" w:hAnsi="黑体"/>
          <w:b w:val="0"/>
          <w:bCs/>
          <w:szCs w:val="21"/>
        </w:rPr>
        <w:t>吊运系统技术要求</w:t>
      </w:r>
      <w:bookmarkEnd w:id="99"/>
      <w:bookmarkEnd w:id="100"/>
      <w:bookmarkEnd w:id="101"/>
      <w:bookmarkEnd w:id="102"/>
    </w:p>
    <w:p w14:paraId="03118F1A">
      <w:pPr>
        <w:tabs>
          <w:tab w:val="left" w:pos="851"/>
        </w:tabs>
        <w:adjustRightInd w:val="0"/>
        <w:spacing w:line="360" w:lineRule="auto"/>
        <w:ind w:left="420"/>
        <w:rPr>
          <w:szCs w:val="21"/>
        </w:rPr>
      </w:pPr>
      <w:r>
        <w:rPr>
          <w:rFonts w:hint="eastAsia"/>
          <w:szCs w:val="21"/>
        </w:rPr>
        <w:t>a）</w:t>
      </w:r>
      <w:r>
        <w:rPr>
          <w:rFonts w:hint="eastAsia"/>
          <w:szCs w:val="21"/>
        </w:rPr>
        <w:tab/>
      </w:r>
      <w:r>
        <w:rPr>
          <w:rFonts w:hint="eastAsia"/>
          <w:szCs w:val="21"/>
        </w:rPr>
        <w:t>最大载荷</w:t>
      </w:r>
      <w:r>
        <w:rPr>
          <w:rFonts w:hint="eastAsia" w:ascii="宋体" w:hAnsi="宋体" w:cs="宋体"/>
          <w:bCs/>
          <w:kern w:val="0"/>
          <w:szCs w:val="21"/>
        </w:rPr>
        <w:t>： ≥300kg。</w:t>
      </w:r>
    </w:p>
    <w:p w14:paraId="53AB97D5">
      <w:pPr>
        <w:tabs>
          <w:tab w:val="left" w:pos="851"/>
        </w:tabs>
        <w:adjustRightInd w:val="0"/>
        <w:spacing w:line="360" w:lineRule="auto"/>
        <w:ind w:left="420"/>
        <w:rPr>
          <w:rFonts w:hint="eastAsia" w:ascii="宋体" w:hAnsi="宋体" w:cs="宋体"/>
          <w:bCs/>
          <w:kern w:val="0"/>
          <w:szCs w:val="21"/>
        </w:rPr>
      </w:pPr>
      <w:r>
        <w:rPr>
          <w:rFonts w:hint="eastAsia"/>
          <w:szCs w:val="21"/>
        </w:rPr>
        <w:t>b）</w:t>
      </w:r>
      <w:r>
        <w:rPr>
          <w:rFonts w:hint="eastAsia"/>
          <w:szCs w:val="21"/>
        </w:rPr>
        <w:tab/>
      </w:r>
      <w:r>
        <w:rPr>
          <w:rFonts w:hint="eastAsia" w:ascii="宋体" w:hAnsi="宋体" w:cs="宋体"/>
          <w:bCs/>
          <w:kern w:val="0"/>
          <w:szCs w:val="21"/>
        </w:rPr>
        <w:t>吊绳长度： 15m。</w:t>
      </w:r>
    </w:p>
    <w:p w14:paraId="78ECB9D8">
      <w:pPr>
        <w:tabs>
          <w:tab w:val="left" w:pos="851"/>
        </w:tabs>
        <w:adjustRightInd w:val="0"/>
        <w:spacing w:line="360" w:lineRule="auto"/>
        <w:ind w:left="420"/>
        <w:rPr>
          <w:rFonts w:hint="eastAsia" w:ascii="宋体" w:hAnsi="宋体" w:cs="宋体"/>
          <w:bCs/>
          <w:kern w:val="0"/>
          <w:szCs w:val="21"/>
        </w:rPr>
      </w:pPr>
      <w:r>
        <w:rPr>
          <w:rFonts w:hint="eastAsia" w:ascii="宋体" w:hAnsi="宋体" w:cs="宋体"/>
          <w:bCs/>
          <w:kern w:val="0"/>
          <w:szCs w:val="21"/>
        </w:rPr>
        <w:t>c）  应急脱困模式： 一键脱落。</w:t>
      </w:r>
    </w:p>
    <w:p w14:paraId="2CA280CA">
      <w:pPr>
        <w:tabs>
          <w:tab w:val="left" w:pos="851"/>
        </w:tabs>
        <w:adjustRightInd w:val="0"/>
        <w:spacing w:line="360" w:lineRule="auto"/>
        <w:ind w:left="420"/>
        <w:rPr>
          <w:rFonts w:hint="eastAsia" w:ascii="宋体" w:hAnsi="宋体" w:cs="宋体"/>
          <w:bCs/>
          <w:kern w:val="0"/>
          <w:szCs w:val="21"/>
        </w:rPr>
      </w:pPr>
      <w:r>
        <w:rPr>
          <w:rFonts w:hint="eastAsia" w:ascii="宋体" w:hAnsi="宋体" w:cs="宋体"/>
          <w:bCs/>
          <w:kern w:val="0"/>
          <w:szCs w:val="21"/>
        </w:rPr>
        <w:t>d）  消摆功能： 支持。</w:t>
      </w:r>
    </w:p>
    <w:p w14:paraId="71339FD2">
      <w:pPr>
        <w:tabs>
          <w:tab w:val="left" w:pos="851"/>
        </w:tabs>
        <w:adjustRightInd w:val="0"/>
        <w:spacing w:line="360" w:lineRule="auto"/>
        <w:ind w:left="420"/>
        <w:rPr>
          <w:szCs w:val="21"/>
        </w:rPr>
      </w:pPr>
      <w:r>
        <w:rPr>
          <w:rFonts w:hint="eastAsia" w:ascii="宋体" w:hAnsi="宋体" w:cs="宋体"/>
          <w:bCs/>
          <w:kern w:val="0"/>
          <w:szCs w:val="21"/>
        </w:rPr>
        <w:t>e）  称重功能： 支持。</w:t>
      </w:r>
    </w:p>
    <w:p w14:paraId="64871E58">
      <w:pPr>
        <w:pStyle w:val="3"/>
        <w:spacing w:before="0" w:after="0" w:line="360" w:lineRule="auto"/>
        <w:rPr>
          <w:rFonts w:hint="eastAsia" w:ascii="黑体" w:hAnsi="黑体"/>
          <w:b w:val="0"/>
          <w:bCs/>
          <w:szCs w:val="21"/>
        </w:rPr>
      </w:pPr>
      <w:bookmarkStart w:id="103" w:name="_Toc20768"/>
      <w:bookmarkStart w:id="104" w:name="_Toc222991621"/>
      <w:bookmarkStart w:id="105" w:name="_Toc76025494"/>
      <w:bookmarkStart w:id="106" w:name="_Toc8648"/>
      <w:r>
        <w:rPr>
          <w:rFonts w:ascii="黑体" w:hAnsi="黑体"/>
          <w:b w:val="0"/>
          <w:bCs/>
          <w:szCs w:val="21"/>
        </w:rPr>
        <w:t>5.</w:t>
      </w:r>
      <w:r>
        <w:rPr>
          <w:rFonts w:hint="eastAsia" w:ascii="黑体" w:hAnsi="黑体"/>
          <w:b w:val="0"/>
          <w:bCs/>
          <w:szCs w:val="21"/>
        </w:rPr>
        <w:t>6</w:t>
      </w:r>
      <w:r>
        <w:rPr>
          <w:rFonts w:ascii="黑体" w:hAnsi="黑体"/>
          <w:b w:val="0"/>
          <w:bCs/>
          <w:szCs w:val="21"/>
        </w:rPr>
        <w:t xml:space="preserve"> </w:t>
      </w:r>
      <w:r>
        <w:rPr>
          <w:rFonts w:hint="eastAsia" w:ascii="黑体" w:hAnsi="黑体"/>
          <w:b w:val="0"/>
          <w:bCs/>
          <w:szCs w:val="21"/>
        </w:rPr>
        <w:t>车载充电器技术要求</w:t>
      </w:r>
      <w:bookmarkEnd w:id="103"/>
      <w:bookmarkEnd w:id="104"/>
    </w:p>
    <w:p w14:paraId="2EA3F4E7">
      <w:pPr>
        <w:tabs>
          <w:tab w:val="left" w:pos="851"/>
        </w:tabs>
        <w:adjustRightInd w:val="0"/>
        <w:spacing w:line="360" w:lineRule="auto"/>
        <w:ind w:left="420"/>
        <w:rPr>
          <w:szCs w:val="21"/>
        </w:rPr>
      </w:pPr>
      <w:r>
        <w:rPr>
          <w:rFonts w:hint="eastAsia"/>
          <w:szCs w:val="21"/>
        </w:rPr>
        <w:t>a）</w:t>
      </w:r>
      <w:r>
        <w:rPr>
          <w:rFonts w:hint="eastAsia"/>
          <w:szCs w:val="21"/>
        </w:rPr>
        <w:tab/>
      </w:r>
      <w:r>
        <w:rPr>
          <w:rFonts w:hint="eastAsia" w:ascii="宋体" w:hAnsi="宋体" w:cs="宋体"/>
          <w:kern w:val="0"/>
          <w:sz w:val="22"/>
          <w:szCs w:val="22"/>
          <w:lang w:bidi="ar"/>
        </w:rPr>
        <w:t>输入电压： 车载400/800V平台；</w:t>
      </w:r>
    </w:p>
    <w:p w14:paraId="62F72113">
      <w:pPr>
        <w:tabs>
          <w:tab w:val="left" w:pos="851"/>
        </w:tabs>
        <w:adjustRightInd w:val="0"/>
        <w:spacing w:line="360" w:lineRule="auto"/>
        <w:ind w:left="420"/>
        <w:rPr>
          <w:szCs w:val="21"/>
        </w:rPr>
      </w:pPr>
      <w:r>
        <w:rPr>
          <w:rFonts w:hint="eastAsia"/>
          <w:szCs w:val="21"/>
        </w:rPr>
        <w:t>b）</w:t>
      </w:r>
      <w:r>
        <w:rPr>
          <w:rFonts w:hint="eastAsia"/>
          <w:szCs w:val="21"/>
        </w:rPr>
        <w:tab/>
      </w:r>
      <w:r>
        <w:rPr>
          <w:rFonts w:hint="eastAsia" w:ascii="宋体" w:hAnsi="宋体" w:cs="宋体"/>
          <w:kern w:val="0"/>
          <w:sz w:val="22"/>
          <w:szCs w:val="22"/>
          <w:lang w:bidi="ar"/>
        </w:rPr>
        <w:t>最大输入电流：≥100A；</w:t>
      </w:r>
    </w:p>
    <w:p w14:paraId="3DBCC9F7">
      <w:pPr>
        <w:tabs>
          <w:tab w:val="left" w:pos="851"/>
        </w:tabs>
        <w:adjustRightInd w:val="0"/>
        <w:spacing w:line="360" w:lineRule="auto"/>
        <w:ind w:left="420"/>
        <w:rPr>
          <w:szCs w:val="21"/>
        </w:rPr>
      </w:pPr>
      <w:r>
        <w:rPr>
          <w:rFonts w:hint="eastAsia"/>
          <w:szCs w:val="21"/>
        </w:rPr>
        <w:t>c）</w:t>
      </w:r>
      <w:r>
        <w:rPr>
          <w:rFonts w:hint="eastAsia"/>
          <w:szCs w:val="21"/>
        </w:rPr>
        <w:tab/>
      </w:r>
      <w:r>
        <w:rPr>
          <w:rFonts w:hint="eastAsia" w:ascii="宋体" w:hAnsi="宋体" w:cs="宋体"/>
          <w:kern w:val="0"/>
          <w:sz w:val="22"/>
          <w:szCs w:val="22"/>
          <w:lang w:bidi="ar"/>
        </w:rPr>
        <w:t>协议：国标GB/T 27930快充协议；</w:t>
      </w:r>
    </w:p>
    <w:p w14:paraId="0E9CF06F">
      <w:pPr>
        <w:tabs>
          <w:tab w:val="left" w:pos="851"/>
        </w:tabs>
        <w:adjustRightInd w:val="0"/>
        <w:spacing w:line="360" w:lineRule="auto"/>
        <w:ind w:left="420"/>
        <w:rPr>
          <w:szCs w:val="21"/>
        </w:rPr>
      </w:pPr>
      <w:r>
        <w:rPr>
          <w:rFonts w:hint="eastAsia"/>
          <w:szCs w:val="21"/>
        </w:rPr>
        <w:t>d）</w:t>
      </w:r>
      <w:r>
        <w:rPr>
          <w:rFonts w:hint="eastAsia"/>
          <w:szCs w:val="21"/>
        </w:rPr>
        <w:tab/>
      </w:r>
      <w:r>
        <w:rPr>
          <w:rFonts w:hint="eastAsia" w:ascii="宋体" w:hAnsi="宋体" w:cs="宋体"/>
          <w:kern w:val="0"/>
          <w:sz w:val="22"/>
          <w:szCs w:val="22"/>
          <w:lang w:bidi="ar"/>
        </w:rPr>
        <w:t>输出电压：400V；</w:t>
      </w:r>
    </w:p>
    <w:p w14:paraId="35C094C9">
      <w:pPr>
        <w:tabs>
          <w:tab w:val="left" w:pos="851"/>
        </w:tabs>
        <w:adjustRightInd w:val="0"/>
        <w:spacing w:line="360" w:lineRule="auto"/>
        <w:ind w:left="420"/>
        <w:rPr>
          <w:szCs w:val="21"/>
        </w:rPr>
      </w:pPr>
      <w:r>
        <w:rPr>
          <w:rFonts w:hint="eastAsia"/>
          <w:szCs w:val="21"/>
        </w:rPr>
        <w:t xml:space="preserve">e）  </w:t>
      </w:r>
      <w:bookmarkEnd w:id="105"/>
      <w:bookmarkEnd w:id="106"/>
      <w:r>
        <w:rPr>
          <w:rFonts w:hint="eastAsia" w:ascii="宋体" w:hAnsi="宋体" w:cs="宋体"/>
          <w:kern w:val="0"/>
          <w:sz w:val="22"/>
          <w:szCs w:val="22"/>
          <w:lang w:bidi="ar"/>
        </w:rPr>
        <w:t>最大功率：≥24KW；</w:t>
      </w:r>
    </w:p>
    <w:p w14:paraId="3818C148">
      <w:pPr>
        <w:tabs>
          <w:tab w:val="left" w:pos="851"/>
        </w:tabs>
        <w:adjustRightInd w:val="0"/>
        <w:spacing w:line="360" w:lineRule="auto"/>
        <w:ind w:left="420"/>
        <w:rPr>
          <w:rFonts w:hint="eastAsia" w:ascii="宋体" w:hAnsi="宋体" w:cs="宋体"/>
          <w:bCs/>
          <w:kern w:val="0"/>
          <w:szCs w:val="21"/>
        </w:rPr>
      </w:pPr>
      <w:r>
        <w:rPr>
          <w:rFonts w:hint="eastAsia"/>
          <w:szCs w:val="21"/>
        </w:rPr>
        <w:t xml:space="preserve">f）  </w:t>
      </w:r>
      <w:r>
        <w:rPr>
          <w:rFonts w:hint="eastAsia" w:ascii="宋体" w:hAnsi="宋体" w:cs="宋体"/>
          <w:kern w:val="0"/>
          <w:sz w:val="22"/>
          <w:szCs w:val="22"/>
          <w:lang w:bidi="ar"/>
        </w:rPr>
        <w:t>支持充电数量：≥2；</w:t>
      </w:r>
    </w:p>
    <w:p w14:paraId="28BBADF7">
      <w:pPr>
        <w:pStyle w:val="3"/>
        <w:spacing w:before="0" w:after="0" w:line="360" w:lineRule="auto"/>
        <w:rPr>
          <w:rFonts w:hint="eastAsia" w:ascii="黑体" w:hAnsi="黑体"/>
          <w:b w:val="0"/>
          <w:bCs/>
          <w:szCs w:val="21"/>
        </w:rPr>
      </w:pPr>
      <w:bookmarkStart w:id="107" w:name="_Toc222991623"/>
      <w:r>
        <w:rPr>
          <w:rFonts w:hint="eastAsia" w:ascii="黑体" w:hAnsi="黑体"/>
          <w:b w:val="0"/>
          <w:bCs/>
          <w:szCs w:val="21"/>
        </w:rPr>
        <w:t>5</w:t>
      </w:r>
      <w:r>
        <w:rPr>
          <w:rFonts w:ascii="黑体" w:hAnsi="黑体"/>
          <w:b w:val="0"/>
          <w:bCs/>
          <w:szCs w:val="21"/>
        </w:rPr>
        <w:t>.</w:t>
      </w:r>
      <w:r>
        <w:rPr>
          <w:rFonts w:hint="eastAsia" w:ascii="黑体" w:hAnsi="黑体"/>
          <w:b w:val="0"/>
          <w:bCs/>
          <w:szCs w:val="21"/>
        </w:rPr>
        <w:t>7</w:t>
      </w:r>
      <w:r>
        <w:rPr>
          <w:rFonts w:ascii="黑体" w:hAnsi="黑体"/>
          <w:b w:val="0"/>
          <w:bCs/>
          <w:szCs w:val="21"/>
        </w:rPr>
        <w:t xml:space="preserve"> </w:t>
      </w:r>
      <w:r>
        <w:rPr>
          <w:rFonts w:hint="eastAsia" w:ascii="黑体" w:hAnsi="黑体"/>
          <w:b w:val="0"/>
          <w:bCs/>
          <w:szCs w:val="21"/>
        </w:rPr>
        <w:t>配件技术要求</w:t>
      </w:r>
      <w:bookmarkEnd w:id="107"/>
    </w:p>
    <w:p w14:paraId="430DA928">
      <w:pPr>
        <w:tabs>
          <w:tab w:val="left" w:pos="851"/>
        </w:tabs>
        <w:adjustRightInd w:val="0"/>
        <w:spacing w:line="360" w:lineRule="auto"/>
        <w:ind w:left="420"/>
        <w:rPr>
          <w:rFonts w:hint="eastAsia" w:ascii="宋体" w:hAnsi="宋体" w:cs="宋体"/>
          <w:bCs/>
          <w:kern w:val="0"/>
          <w:szCs w:val="21"/>
        </w:rPr>
      </w:pPr>
      <w:r>
        <w:rPr>
          <w:rFonts w:hint="eastAsia" w:ascii="宋体" w:hAnsi="宋体" w:cs="宋体"/>
          <w:szCs w:val="21"/>
        </w:rPr>
        <w:t xml:space="preserve">a）  </w:t>
      </w:r>
      <w:r>
        <w:rPr>
          <w:rFonts w:hint="eastAsia" w:ascii="宋体" w:hAnsi="宋体" w:cs="宋体"/>
          <w:bCs/>
          <w:kern w:val="0"/>
          <w:szCs w:val="21"/>
        </w:rPr>
        <w:t>配套RTK高精度定位模块：可</w:t>
      </w:r>
      <w:r>
        <w:rPr>
          <w:rFonts w:hint="eastAsia" w:ascii="宋体" w:hAnsi="宋体" w:cs="宋体"/>
          <w:szCs w:val="21"/>
        </w:rPr>
        <w:t>配合遥控器进行使用，利用遥控器进行精准定位打点</w:t>
      </w:r>
    </w:p>
    <w:p w14:paraId="7E1F47DB">
      <w:pPr>
        <w:tabs>
          <w:tab w:val="left" w:pos="851"/>
        </w:tabs>
        <w:adjustRightInd w:val="0"/>
        <w:spacing w:line="360" w:lineRule="auto"/>
        <w:ind w:left="420"/>
        <w:rPr>
          <w:rFonts w:hint="eastAsia" w:ascii="宋体" w:hAnsi="宋体" w:cs="宋体"/>
          <w:bCs/>
          <w:kern w:val="0"/>
          <w:szCs w:val="21"/>
        </w:rPr>
      </w:pPr>
      <w:r>
        <w:rPr>
          <w:rFonts w:hint="eastAsia" w:ascii="宋体" w:hAnsi="宋体" w:cs="宋体"/>
          <w:szCs w:val="21"/>
        </w:rPr>
        <w:t xml:space="preserve">b）  </w:t>
      </w:r>
      <w:r>
        <w:rPr>
          <w:rFonts w:hint="eastAsia" w:ascii="宋体" w:hAnsi="宋体" w:cs="宋体"/>
          <w:bCs/>
          <w:kern w:val="0"/>
          <w:szCs w:val="21"/>
        </w:rPr>
        <w:t>配套4G增强图传套件：</w:t>
      </w:r>
      <w:r>
        <w:rPr>
          <w:rFonts w:hint="eastAsia" w:ascii="宋体" w:hAnsi="宋体" w:cs="宋体"/>
          <w:szCs w:val="21"/>
        </w:rPr>
        <w:t>可自动切换为移动网络传输，从容应对山体遮挡等复杂场景。</w:t>
      </w:r>
    </w:p>
    <w:p w14:paraId="1114A515">
      <w:pPr>
        <w:pStyle w:val="3"/>
        <w:spacing w:before="0" w:after="0" w:line="360" w:lineRule="auto"/>
        <w:rPr>
          <w:rFonts w:hint="eastAsia" w:ascii="黑体" w:hAnsi="黑体"/>
          <w:b w:val="0"/>
          <w:bCs/>
          <w:szCs w:val="21"/>
        </w:rPr>
      </w:pPr>
      <w:bookmarkStart w:id="108" w:name="_Toc222991624"/>
      <w:r>
        <w:rPr>
          <w:rFonts w:hint="eastAsia" w:ascii="黑体" w:hAnsi="黑体"/>
          <w:b w:val="0"/>
          <w:bCs/>
          <w:szCs w:val="21"/>
        </w:rPr>
        <w:t>5</w:t>
      </w:r>
      <w:r>
        <w:rPr>
          <w:rFonts w:ascii="黑体" w:hAnsi="黑体"/>
          <w:b w:val="0"/>
          <w:bCs/>
          <w:szCs w:val="21"/>
        </w:rPr>
        <w:t>.</w:t>
      </w:r>
      <w:r>
        <w:rPr>
          <w:rFonts w:hint="eastAsia" w:ascii="黑体" w:hAnsi="黑体"/>
          <w:b w:val="0"/>
          <w:bCs/>
          <w:szCs w:val="21"/>
        </w:rPr>
        <w:t>8</w:t>
      </w:r>
      <w:r>
        <w:rPr>
          <w:rFonts w:ascii="黑体" w:hAnsi="黑体"/>
          <w:b w:val="0"/>
          <w:bCs/>
          <w:szCs w:val="21"/>
        </w:rPr>
        <w:t xml:space="preserve"> </w:t>
      </w:r>
      <w:r>
        <w:rPr>
          <w:rFonts w:hint="eastAsia" w:ascii="黑体" w:hAnsi="黑体"/>
          <w:b w:val="0"/>
          <w:bCs/>
          <w:szCs w:val="21"/>
        </w:rPr>
        <w:t>中继站技术要求</w:t>
      </w:r>
      <w:bookmarkEnd w:id="108"/>
    </w:p>
    <w:p w14:paraId="600DC84E">
      <w:pPr>
        <w:tabs>
          <w:tab w:val="left" w:pos="851"/>
        </w:tabs>
        <w:adjustRightInd w:val="0"/>
        <w:spacing w:line="360" w:lineRule="auto"/>
        <w:ind w:left="420"/>
        <w:rPr>
          <w:rFonts w:hint="eastAsia" w:ascii="宋体" w:hAnsi="宋体" w:cs="宋体"/>
          <w:bCs/>
          <w:kern w:val="0"/>
          <w:szCs w:val="21"/>
        </w:rPr>
      </w:pPr>
      <w:r>
        <w:rPr>
          <w:rFonts w:hint="eastAsia"/>
          <w:szCs w:val="21"/>
        </w:rPr>
        <w:t>a）</w:t>
      </w:r>
      <w:r>
        <w:rPr>
          <w:rFonts w:hint="eastAsia"/>
          <w:szCs w:val="21"/>
        </w:rPr>
        <w:tab/>
      </w:r>
      <w:r>
        <w:rPr>
          <w:rFonts w:hint="eastAsia" w:ascii="宋体" w:hAnsi="宋体" w:cs="宋体"/>
          <w:kern w:val="0"/>
          <w:sz w:val="22"/>
          <w:szCs w:val="22"/>
          <w:lang w:bidi="ar"/>
        </w:rPr>
        <w:t>尺寸：≤ Φ165 毫米 × 65 毫米（不含天线）；</w:t>
      </w:r>
    </w:p>
    <w:p w14:paraId="0BCA4296">
      <w:pPr>
        <w:tabs>
          <w:tab w:val="left" w:pos="851"/>
        </w:tabs>
        <w:adjustRightInd w:val="0"/>
        <w:spacing w:line="360" w:lineRule="auto"/>
        <w:ind w:left="420"/>
        <w:rPr>
          <w:rFonts w:hint="eastAsia" w:ascii="宋体" w:hAnsi="宋体" w:cs="宋体"/>
          <w:bCs/>
          <w:kern w:val="0"/>
          <w:szCs w:val="21"/>
        </w:rPr>
      </w:pPr>
      <w:r>
        <w:rPr>
          <w:rFonts w:hint="eastAsia"/>
          <w:szCs w:val="21"/>
        </w:rPr>
        <w:t>b）</w:t>
      </w:r>
      <w:r>
        <w:rPr>
          <w:rFonts w:hint="eastAsia"/>
          <w:szCs w:val="21"/>
        </w:rPr>
        <w:tab/>
      </w:r>
      <w:r>
        <w:rPr>
          <w:rFonts w:hint="eastAsia" w:ascii="宋体" w:hAnsi="宋体" w:cs="宋体"/>
          <w:kern w:val="0"/>
          <w:sz w:val="22"/>
          <w:szCs w:val="22"/>
          <w:lang w:bidi="ar"/>
        </w:rPr>
        <w:t>重量：≤ 1.3千克；</w:t>
      </w:r>
    </w:p>
    <w:p w14:paraId="69693DB2">
      <w:pPr>
        <w:tabs>
          <w:tab w:val="left" w:pos="851"/>
        </w:tabs>
        <w:adjustRightInd w:val="0"/>
        <w:spacing w:line="360" w:lineRule="auto"/>
        <w:ind w:left="420"/>
        <w:rPr>
          <w:szCs w:val="21"/>
        </w:rPr>
      </w:pPr>
      <w:r>
        <w:rPr>
          <w:rFonts w:hint="eastAsia"/>
          <w:szCs w:val="21"/>
        </w:rPr>
        <w:t>c）</w:t>
      </w:r>
      <w:r>
        <w:rPr>
          <w:rFonts w:hint="eastAsia"/>
          <w:szCs w:val="21"/>
        </w:rPr>
        <w:tab/>
      </w:r>
      <w:r>
        <w:rPr>
          <w:rFonts w:hint="eastAsia" w:ascii="宋体" w:hAnsi="宋体" w:cs="宋体"/>
          <w:kern w:val="0"/>
          <w:sz w:val="22"/>
          <w:szCs w:val="22"/>
          <w:lang w:bidi="ar"/>
        </w:rPr>
        <w:t>工作频率：2.4 GHz/5.8 GHz/5G（B1/B4）；</w:t>
      </w:r>
    </w:p>
    <w:p w14:paraId="0570C144">
      <w:pPr>
        <w:tabs>
          <w:tab w:val="left" w:pos="851"/>
        </w:tabs>
        <w:adjustRightInd w:val="0"/>
        <w:spacing w:line="360" w:lineRule="auto"/>
        <w:ind w:left="420"/>
        <w:rPr>
          <w:rFonts w:hint="eastAsia" w:ascii="宋体" w:hAnsi="宋体" w:cs="宋体"/>
          <w:kern w:val="0"/>
          <w:sz w:val="22"/>
          <w:szCs w:val="22"/>
          <w:lang w:bidi="ar"/>
        </w:rPr>
      </w:pPr>
      <w:r>
        <w:rPr>
          <w:rFonts w:hint="eastAsia"/>
          <w:szCs w:val="21"/>
        </w:rPr>
        <w:t>d）</w:t>
      </w:r>
      <w:r>
        <w:rPr>
          <w:rFonts w:hint="eastAsia"/>
          <w:szCs w:val="21"/>
        </w:rPr>
        <w:tab/>
      </w:r>
      <w:r>
        <w:rPr>
          <w:rFonts w:hint="eastAsia" w:ascii="宋体" w:hAnsi="宋体" w:cs="宋体"/>
          <w:kern w:val="0"/>
          <w:sz w:val="22"/>
          <w:szCs w:val="22"/>
          <w:lang w:bidi="ar"/>
        </w:rPr>
        <w:t>中继站增距效果：解决严重遮挡（比如建筑物、山体）：3倍至5倍性能提升；解决轻微遮挡（树木、玻璃）：1倍至 3 倍性能提升；中继站需部署于无干扰、无遮挡的高处地点；</w:t>
      </w:r>
    </w:p>
    <w:p w14:paraId="51B2FAE2">
      <w:pPr>
        <w:tabs>
          <w:tab w:val="left" w:pos="851"/>
        </w:tabs>
        <w:adjustRightInd w:val="0"/>
        <w:spacing w:line="360" w:lineRule="auto"/>
        <w:ind w:left="420"/>
        <w:rPr>
          <w:szCs w:val="21"/>
        </w:rPr>
      </w:pPr>
      <w:r>
        <w:rPr>
          <w:rFonts w:hint="eastAsia"/>
          <w:szCs w:val="21"/>
        </w:rPr>
        <w:t>e）</w:t>
      </w:r>
      <w:r>
        <w:rPr>
          <w:rFonts w:hint="eastAsia"/>
          <w:szCs w:val="21"/>
        </w:rPr>
        <w:tab/>
      </w:r>
      <w:r>
        <w:rPr>
          <w:rFonts w:hint="eastAsia" w:ascii="宋体" w:hAnsi="宋体" w:cs="宋体"/>
          <w:kern w:val="0"/>
          <w:sz w:val="22"/>
          <w:szCs w:val="22"/>
          <w:lang w:bidi="ar"/>
        </w:rPr>
        <w:t>内置电池工作时间（常温）：≥9小时；</w:t>
      </w:r>
    </w:p>
    <w:p w14:paraId="5A4F9E3F">
      <w:pPr>
        <w:tabs>
          <w:tab w:val="left" w:pos="851"/>
        </w:tabs>
        <w:adjustRightInd w:val="0"/>
        <w:spacing w:line="360" w:lineRule="auto"/>
        <w:ind w:left="420"/>
        <w:rPr>
          <w:rFonts w:hint="eastAsia" w:ascii="宋体" w:hAnsi="宋体" w:cs="宋体"/>
          <w:kern w:val="0"/>
          <w:sz w:val="22"/>
          <w:szCs w:val="22"/>
          <w:lang w:bidi="ar"/>
        </w:rPr>
      </w:pPr>
      <w:r>
        <w:rPr>
          <w:rFonts w:hint="eastAsia"/>
          <w:szCs w:val="21"/>
        </w:rPr>
        <w:t>f）</w:t>
      </w:r>
      <w:r>
        <w:rPr>
          <w:rFonts w:hint="eastAsia"/>
          <w:szCs w:val="21"/>
        </w:rPr>
        <w:tab/>
      </w:r>
      <w:r>
        <w:rPr>
          <w:rFonts w:hint="eastAsia" w:ascii="宋体" w:hAnsi="宋体" w:cs="宋体"/>
          <w:kern w:val="0"/>
          <w:sz w:val="22"/>
          <w:szCs w:val="22"/>
          <w:lang w:bidi="ar"/>
        </w:rPr>
        <w:t>防护等级：</w:t>
      </w:r>
      <w:r>
        <w:rPr>
          <w:rFonts w:hint="eastAsia" w:ascii="宋体" w:hAnsi="宋体" w:cs="宋体"/>
          <w:color w:val="000000"/>
          <w:kern w:val="0"/>
          <w:szCs w:val="21"/>
          <w:lang w:bidi="ar"/>
        </w:rPr>
        <w:t>≥</w:t>
      </w:r>
      <w:r>
        <w:rPr>
          <w:rFonts w:hint="eastAsia" w:ascii="宋体" w:hAnsi="宋体" w:cs="宋体"/>
          <w:kern w:val="0"/>
          <w:sz w:val="22"/>
          <w:szCs w:val="22"/>
          <w:lang w:bidi="ar"/>
        </w:rPr>
        <w:t>IP55。</w:t>
      </w:r>
    </w:p>
    <w:p w14:paraId="3B76B12D">
      <w:pPr>
        <w:pStyle w:val="3"/>
        <w:keepNext w:val="0"/>
        <w:keepLines w:val="0"/>
        <w:spacing w:before="0" w:after="0" w:line="360" w:lineRule="auto"/>
        <w:rPr>
          <w:rFonts w:hint="eastAsia" w:ascii="黑体" w:hAnsi="黑体"/>
          <w:b w:val="0"/>
          <w:bCs/>
          <w:szCs w:val="21"/>
        </w:rPr>
      </w:pPr>
      <w:bookmarkStart w:id="109" w:name="_Toc222991625"/>
      <w:r>
        <w:rPr>
          <w:rFonts w:hint="eastAsia" w:ascii="黑体" w:hAnsi="黑体"/>
          <w:b w:val="0"/>
          <w:bCs/>
          <w:szCs w:val="21"/>
        </w:rPr>
        <w:t>5</w:t>
      </w:r>
      <w:r>
        <w:rPr>
          <w:rFonts w:ascii="黑体" w:hAnsi="黑体"/>
          <w:b w:val="0"/>
          <w:bCs/>
          <w:szCs w:val="21"/>
        </w:rPr>
        <w:t>.</w:t>
      </w:r>
      <w:r>
        <w:rPr>
          <w:rFonts w:hint="eastAsia" w:ascii="黑体" w:hAnsi="黑体"/>
          <w:b w:val="0"/>
          <w:bCs/>
          <w:szCs w:val="21"/>
        </w:rPr>
        <w:t>9</w:t>
      </w:r>
      <w:r>
        <w:rPr>
          <w:rFonts w:ascii="黑体" w:hAnsi="黑体"/>
          <w:b w:val="0"/>
          <w:bCs/>
          <w:szCs w:val="21"/>
        </w:rPr>
        <w:t xml:space="preserve"> </w:t>
      </w:r>
      <w:r>
        <w:rPr>
          <w:rFonts w:hint="eastAsia" w:ascii="黑体" w:hAnsi="黑体"/>
          <w:b w:val="0"/>
          <w:bCs/>
          <w:szCs w:val="21"/>
        </w:rPr>
        <w:t>保障服务</w:t>
      </w:r>
      <w:bookmarkEnd w:id="109"/>
    </w:p>
    <w:p w14:paraId="5377E077">
      <w:pPr>
        <w:numPr>
          <w:ilvl w:val="255"/>
          <w:numId w:val="0"/>
        </w:numPr>
        <w:tabs>
          <w:tab w:val="left" w:pos="851"/>
        </w:tabs>
        <w:adjustRightInd w:val="0"/>
        <w:spacing w:line="360" w:lineRule="auto"/>
        <w:ind w:left="420"/>
        <w:rPr>
          <w:rFonts w:hint="eastAsia" w:ascii="宋体" w:hAnsi="宋体" w:cs="宋体"/>
          <w:bCs/>
          <w:kern w:val="0"/>
          <w:szCs w:val="21"/>
        </w:rPr>
      </w:pPr>
      <w:r>
        <w:rPr>
          <w:rFonts w:hint="eastAsia" w:ascii="宋体" w:hAnsi="宋体" w:cs="宋体"/>
          <w:bCs/>
          <w:kern w:val="0"/>
          <w:szCs w:val="21"/>
        </w:rPr>
        <w:t xml:space="preserve">a）  </w:t>
      </w:r>
      <w:r>
        <w:rPr>
          <w:rFonts w:hint="eastAsia" w:ascii="宋体" w:hAnsi="宋体" w:cs="宋体"/>
          <w:szCs w:val="21"/>
        </w:rPr>
        <w:t>三者险保障服务</w:t>
      </w:r>
      <w:r>
        <w:rPr>
          <w:rFonts w:hint="eastAsia" w:ascii="宋体" w:hAnsi="宋体" w:cs="宋体"/>
          <w:bCs/>
          <w:kern w:val="0"/>
          <w:szCs w:val="21"/>
        </w:rPr>
        <w:t>： 配备≥100万三者险额度；</w:t>
      </w:r>
    </w:p>
    <w:p w14:paraId="38EB1C42">
      <w:pPr>
        <w:numPr>
          <w:ilvl w:val="255"/>
          <w:numId w:val="0"/>
        </w:numPr>
        <w:tabs>
          <w:tab w:val="left" w:pos="851"/>
        </w:tabs>
        <w:adjustRightInd w:val="0"/>
        <w:spacing w:line="360" w:lineRule="auto"/>
        <w:ind w:left="420"/>
        <w:rPr>
          <w:szCs w:val="21"/>
        </w:rPr>
      </w:pPr>
      <w:r>
        <w:rPr>
          <w:rFonts w:hint="eastAsia" w:ascii="宋体" w:hAnsi="宋体" w:cs="宋体"/>
          <w:szCs w:val="21"/>
        </w:rPr>
        <w:t>b）  机损保障服务</w:t>
      </w:r>
      <w:r>
        <w:rPr>
          <w:rFonts w:hint="eastAsia" w:ascii="宋体" w:hAnsi="宋体" w:cs="宋体"/>
          <w:bCs/>
          <w:kern w:val="0"/>
          <w:szCs w:val="21"/>
        </w:rPr>
        <w:t>： 每台配备全额机身险（含电池）；</w:t>
      </w:r>
    </w:p>
    <w:p w14:paraId="2EA7E073">
      <w:pPr>
        <w:pStyle w:val="3"/>
        <w:spacing w:before="0" w:after="0" w:line="360" w:lineRule="auto"/>
        <w:rPr>
          <w:rFonts w:ascii="Times New Roman" w:hAnsi="Times New Roman" w:eastAsia="黑体"/>
          <w:b w:val="0"/>
          <w:bCs/>
          <w:szCs w:val="21"/>
        </w:rPr>
      </w:pPr>
      <w:r>
        <w:rPr>
          <w:rFonts w:ascii="Times New Roman" w:hAnsi="Times New Roman" w:eastAsia="黑体"/>
          <w:b w:val="0"/>
          <w:bCs/>
          <w:szCs w:val="21"/>
        </w:rPr>
        <w:t>5.</w:t>
      </w:r>
      <w:r>
        <w:rPr>
          <w:rFonts w:hint="eastAsia" w:ascii="Times New Roman" w:hAnsi="Times New Roman" w:eastAsia="黑体"/>
          <w:b w:val="0"/>
          <w:bCs/>
          <w:szCs w:val="21"/>
        </w:rPr>
        <w:t>10 网络安全要求</w:t>
      </w:r>
      <w:bookmarkEnd w:id="80"/>
      <w:bookmarkEnd w:id="81"/>
      <w:bookmarkEnd w:id="82"/>
      <w:bookmarkEnd w:id="83"/>
      <w:bookmarkEnd w:id="84"/>
      <w:bookmarkEnd w:id="85"/>
      <w:bookmarkEnd w:id="86"/>
    </w:p>
    <w:p w14:paraId="795A78C3">
      <w:pPr>
        <w:tabs>
          <w:tab w:val="left" w:pos="1985"/>
        </w:tabs>
        <w:spacing w:line="360" w:lineRule="auto"/>
        <w:ind w:firstLine="420"/>
        <w:rPr>
          <w:szCs w:val="21"/>
        </w:rPr>
      </w:pPr>
      <w:r>
        <w:rPr>
          <w:rFonts w:hint="eastAsia"/>
          <w:szCs w:val="21"/>
        </w:rPr>
        <w:t>投标方提供软硬件产品或技术服务过程中，按照有关法律法规和程序开展工作，严格执行国家的有关方针、政策，并遵守以下规定：</w:t>
      </w:r>
    </w:p>
    <w:p w14:paraId="1ED7BAA4">
      <w:pPr>
        <w:tabs>
          <w:tab w:val="left" w:pos="1985"/>
        </w:tabs>
        <w:spacing w:line="360" w:lineRule="auto"/>
        <w:ind w:firstLine="420"/>
        <w:rPr>
          <w:szCs w:val="21"/>
        </w:rPr>
      </w:pPr>
      <w:r>
        <w:rPr>
          <w:rFonts w:hint="eastAsia"/>
          <w:szCs w:val="21"/>
        </w:rPr>
        <w:t>1）不利用招标方网络与信息系统从事危害国家安全、泄露国家秘密、侵犯公民、法人、招标方和其他组织的利益，或其它违法犯罪活动；</w:t>
      </w:r>
    </w:p>
    <w:p w14:paraId="551FEB56">
      <w:pPr>
        <w:tabs>
          <w:tab w:val="left" w:pos="1985"/>
        </w:tabs>
        <w:spacing w:line="360" w:lineRule="auto"/>
        <w:ind w:firstLine="420"/>
        <w:rPr>
          <w:szCs w:val="21"/>
        </w:rPr>
      </w:pPr>
      <w:r>
        <w:rPr>
          <w:rFonts w:hint="eastAsia"/>
          <w:szCs w:val="21"/>
        </w:rPr>
        <w:t>2）不利用项目工作便利获取和留存招标方业务数据，不利用招标方业务数据谋取利益或从事其他与项目无关工作；</w:t>
      </w:r>
    </w:p>
    <w:p w14:paraId="44942034">
      <w:pPr>
        <w:tabs>
          <w:tab w:val="left" w:pos="1985"/>
        </w:tabs>
        <w:spacing w:line="360" w:lineRule="auto"/>
        <w:ind w:firstLine="420"/>
        <w:rPr>
          <w:szCs w:val="21"/>
        </w:rPr>
      </w:pPr>
      <w:r>
        <w:rPr>
          <w:rFonts w:hint="eastAsia"/>
          <w:szCs w:val="21"/>
        </w:rPr>
        <w:t>3）交付的软硬件产品须满足招标方安全策略要求，不得含有后门、木马、已知漏洞等安全隐患。在其产品投运前，投标方应将产品有关的功能服务台帐、特权账号等建设运维文档全部移交给招标方；</w:t>
      </w:r>
    </w:p>
    <w:p w14:paraId="01A43C31">
      <w:pPr>
        <w:tabs>
          <w:tab w:val="left" w:pos="1985"/>
        </w:tabs>
        <w:spacing w:line="360" w:lineRule="auto"/>
        <w:ind w:firstLine="420"/>
        <w:rPr>
          <w:szCs w:val="21"/>
        </w:rPr>
      </w:pPr>
      <w:r>
        <w:rPr>
          <w:rFonts w:hint="eastAsia"/>
          <w:szCs w:val="21"/>
        </w:rPr>
        <w:t>4）遵循招标方软件开发规范、安全合规要求开展系统开发部署及运行维护工作，配合招标方开展源代码审计工作；</w:t>
      </w:r>
    </w:p>
    <w:p w14:paraId="14A5DA5A">
      <w:pPr>
        <w:tabs>
          <w:tab w:val="left" w:pos="1985"/>
        </w:tabs>
        <w:spacing w:line="360" w:lineRule="auto"/>
        <w:ind w:firstLine="420"/>
        <w:rPr>
          <w:szCs w:val="21"/>
        </w:rPr>
      </w:pPr>
      <w:r>
        <w:rPr>
          <w:rFonts w:hint="eastAsia"/>
          <w:szCs w:val="21"/>
        </w:rPr>
        <w:t>5）因投标方产品设计、开发缺陷造成其交付的产品在运行中出现安全隐患时，投标方应按招标方要求开展整改，并配合招标方开展其它支撑平台的安全整改；</w:t>
      </w:r>
    </w:p>
    <w:p w14:paraId="39B66B2A">
      <w:pPr>
        <w:tabs>
          <w:tab w:val="left" w:pos="1985"/>
        </w:tabs>
        <w:spacing w:line="360" w:lineRule="auto"/>
        <w:ind w:firstLine="420"/>
        <w:rPr>
          <w:szCs w:val="21"/>
        </w:rPr>
      </w:pPr>
      <w:r>
        <w:rPr>
          <w:rFonts w:hint="eastAsia"/>
          <w:szCs w:val="21"/>
        </w:rPr>
        <w:t>6）未经招标方许可，投标方不得将项目涉及的源代码、数据文件上传至互联网共享平台，或提供给其他组织和个人；</w:t>
      </w:r>
    </w:p>
    <w:p w14:paraId="2639FFA4">
      <w:pPr>
        <w:tabs>
          <w:tab w:val="left" w:pos="1985"/>
        </w:tabs>
        <w:spacing w:line="360" w:lineRule="auto"/>
        <w:ind w:firstLine="420"/>
        <w:rPr>
          <w:szCs w:val="21"/>
        </w:rPr>
      </w:pPr>
      <w:r>
        <w:rPr>
          <w:rFonts w:hint="eastAsia"/>
          <w:szCs w:val="21"/>
        </w:rPr>
        <w:t>7）投标方的开发测试环境中不得留存包含招标方企业名称、真实业务数据等信息。未经招标方许可，投标方不得在互联网上搭建与项目有关的测试、演示系统，确因工作需要开展测试演示的，测试环境中不得包含招标方企业名称、业务数据等信息，并在测试演示完成之后及时清理相关系统和数据；</w:t>
      </w:r>
    </w:p>
    <w:p w14:paraId="1A10FC6A">
      <w:pPr>
        <w:tabs>
          <w:tab w:val="left" w:pos="1985"/>
        </w:tabs>
        <w:spacing w:line="360" w:lineRule="auto"/>
        <w:ind w:firstLine="420"/>
        <w:rPr>
          <w:szCs w:val="21"/>
        </w:rPr>
      </w:pPr>
      <w:r>
        <w:rPr>
          <w:rFonts w:hint="eastAsia"/>
          <w:szCs w:val="21"/>
        </w:rPr>
        <w:t>8）未通过招标方测试、备案的软件系统和设备不得私自上线运行；</w:t>
      </w:r>
    </w:p>
    <w:p w14:paraId="18B02D13">
      <w:pPr>
        <w:tabs>
          <w:tab w:val="left" w:pos="1985"/>
        </w:tabs>
        <w:spacing w:line="360" w:lineRule="auto"/>
        <w:ind w:firstLine="420"/>
        <w:rPr>
          <w:szCs w:val="21"/>
        </w:rPr>
      </w:pPr>
      <w:r>
        <w:rPr>
          <w:rFonts w:hint="eastAsia"/>
          <w:szCs w:val="21"/>
        </w:rPr>
        <w:t>9）为招标方开展安全测试、安全加固等服务工作时，应及时清除服务过程产生的文件、服务、账号等信息，不得在招标方生产及测试环境留存病毒、木马文件及系统特权账号；</w:t>
      </w:r>
    </w:p>
    <w:p w14:paraId="39BDFF14">
      <w:pPr>
        <w:tabs>
          <w:tab w:val="left" w:pos="1985"/>
        </w:tabs>
        <w:spacing w:line="360" w:lineRule="auto"/>
        <w:ind w:firstLine="420"/>
        <w:rPr>
          <w:szCs w:val="21"/>
        </w:rPr>
      </w:pPr>
      <w:r>
        <w:rPr>
          <w:rFonts w:hint="eastAsia"/>
          <w:szCs w:val="21"/>
        </w:rPr>
        <w:t>10）投标方应将本协议的条款以书面方式告知项目相关人员，并对项目相关人员进行网络安全培训。</w:t>
      </w:r>
    </w:p>
    <w:p w14:paraId="48EF7F8D">
      <w:pPr>
        <w:tabs>
          <w:tab w:val="left" w:pos="1985"/>
        </w:tabs>
        <w:spacing w:line="360" w:lineRule="auto"/>
        <w:ind w:firstLine="420"/>
        <w:rPr>
          <w:szCs w:val="21"/>
        </w:rPr>
      </w:pPr>
      <w:r>
        <w:rPr>
          <w:rFonts w:hint="eastAsia"/>
          <w:szCs w:val="21"/>
        </w:rPr>
        <w:t>1</w:t>
      </w:r>
      <w:r>
        <w:rPr>
          <w:szCs w:val="21"/>
        </w:rPr>
        <w:t>1</w:t>
      </w:r>
      <w:r>
        <w:rPr>
          <w:rFonts w:hint="eastAsia"/>
          <w:szCs w:val="21"/>
        </w:rPr>
        <w:t>）投标方负责质保期内对交付产品的补丁更新、安全加固、漏洞整改，并配合招标方完成网络安全应急响应及处置。</w:t>
      </w:r>
    </w:p>
    <w:p w14:paraId="26FD2389">
      <w:pPr>
        <w:spacing w:line="480" w:lineRule="auto"/>
        <w:outlineLvl w:val="0"/>
        <w:rPr>
          <w:rFonts w:eastAsia="黑体"/>
          <w:b/>
          <w:bCs/>
          <w:szCs w:val="21"/>
        </w:rPr>
      </w:pPr>
      <w:bookmarkStart w:id="110" w:name="_Toc781"/>
      <w:bookmarkStart w:id="111" w:name="_Toc76025496"/>
      <w:bookmarkStart w:id="112" w:name="_Toc28430"/>
      <w:bookmarkStart w:id="113" w:name="_Toc222993074"/>
      <w:r>
        <w:rPr>
          <w:rFonts w:eastAsia="黑体"/>
          <w:b/>
          <w:bCs/>
          <w:szCs w:val="21"/>
        </w:rPr>
        <w:t>6 试验项目及要求</w:t>
      </w:r>
      <w:bookmarkEnd w:id="110"/>
      <w:bookmarkEnd w:id="111"/>
      <w:bookmarkEnd w:id="112"/>
      <w:bookmarkEnd w:id="113"/>
    </w:p>
    <w:p w14:paraId="5848F40B">
      <w:pPr>
        <w:spacing w:line="360" w:lineRule="auto"/>
        <w:ind w:firstLine="420" w:firstLineChars="200"/>
        <w:rPr>
          <w:szCs w:val="21"/>
        </w:rPr>
      </w:pPr>
      <w:bookmarkStart w:id="114" w:name="_Toc347154881"/>
      <w:bookmarkStart w:id="115" w:name="_Toc265313593"/>
      <w:bookmarkStart w:id="116" w:name="_Toc356999079"/>
      <w:r>
        <w:rPr>
          <w:rFonts w:hint="eastAsia"/>
          <w:szCs w:val="21"/>
        </w:rPr>
        <w:t>6.1 结构和外观检查</w:t>
      </w:r>
    </w:p>
    <w:p w14:paraId="01C72975">
      <w:pPr>
        <w:adjustRightInd w:val="0"/>
        <w:snapToGrid w:val="0"/>
        <w:spacing w:line="360" w:lineRule="auto"/>
        <w:ind w:firstLine="420" w:firstLineChars="200"/>
        <w:jc w:val="left"/>
        <w:rPr>
          <w:szCs w:val="21"/>
        </w:rPr>
      </w:pPr>
      <w:r>
        <w:rPr>
          <w:rFonts w:hint="eastAsia"/>
          <w:szCs w:val="21"/>
        </w:rPr>
        <w:t>（1）试验方法</w:t>
      </w:r>
    </w:p>
    <w:p w14:paraId="508E30B7">
      <w:pPr>
        <w:adjustRightInd w:val="0"/>
        <w:snapToGrid w:val="0"/>
        <w:spacing w:line="360" w:lineRule="auto"/>
        <w:ind w:firstLine="420" w:firstLineChars="200"/>
        <w:jc w:val="left"/>
        <w:rPr>
          <w:szCs w:val="21"/>
        </w:rPr>
      </w:pPr>
      <w:r>
        <w:rPr>
          <w:rFonts w:hint="eastAsia"/>
          <w:szCs w:val="21"/>
        </w:rPr>
        <w:t>通过目测对无人机设备进行外观、重量和结构方面的检查。</w:t>
      </w:r>
    </w:p>
    <w:p w14:paraId="79EFB3B2">
      <w:pPr>
        <w:adjustRightInd w:val="0"/>
        <w:snapToGrid w:val="0"/>
        <w:spacing w:line="360" w:lineRule="auto"/>
        <w:ind w:firstLine="420" w:firstLineChars="200"/>
        <w:jc w:val="left"/>
        <w:rPr>
          <w:szCs w:val="21"/>
        </w:rPr>
      </w:pPr>
      <w:r>
        <w:rPr>
          <w:rFonts w:hint="eastAsia"/>
          <w:szCs w:val="21"/>
        </w:rPr>
        <w:t>（2）判定准则</w:t>
      </w:r>
    </w:p>
    <w:p w14:paraId="7BCDB4FD">
      <w:pPr>
        <w:adjustRightInd w:val="0"/>
        <w:snapToGrid w:val="0"/>
        <w:spacing w:line="360" w:lineRule="auto"/>
        <w:ind w:firstLine="420" w:firstLineChars="200"/>
        <w:jc w:val="left"/>
        <w:rPr>
          <w:spacing w:val="-3"/>
          <w:szCs w:val="21"/>
        </w:rPr>
      </w:pPr>
      <w:r>
        <w:rPr>
          <w:rFonts w:hint="eastAsia"/>
          <w:szCs w:val="21"/>
        </w:rPr>
        <w:t>应满足本技术规范书中规定的相关技术要求</w:t>
      </w:r>
      <w:r>
        <w:rPr>
          <w:rFonts w:hint="eastAsia"/>
          <w:spacing w:val="-3"/>
          <w:szCs w:val="21"/>
        </w:rPr>
        <w:t>。</w:t>
      </w:r>
    </w:p>
    <w:p w14:paraId="1DA53B88">
      <w:pPr>
        <w:spacing w:line="360" w:lineRule="auto"/>
        <w:ind w:firstLine="420" w:firstLineChars="200"/>
        <w:rPr>
          <w:szCs w:val="21"/>
        </w:rPr>
      </w:pPr>
      <w:r>
        <w:rPr>
          <w:szCs w:val="21"/>
        </w:rPr>
        <w:t>6.</w:t>
      </w:r>
      <w:r>
        <w:rPr>
          <w:rFonts w:hint="eastAsia"/>
          <w:szCs w:val="21"/>
        </w:rPr>
        <w:t>2</w:t>
      </w:r>
      <w:r>
        <w:rPr>
          <w:szCs w:val="21"/>
        </w:rPr>
        <w:t xml:space="preserve"> </w:t>
      </w:r>
      <w:r>
        <w:rPr>
          <w:rFonts w:hint="eastAsia"/>
          <w:szCs w:val="21"/>
        </w:rPr>
        <w:t>环境试验</w:t>
      </w:r>
    </w:p>
    <w:p w14:paraId="66E9A05A">
      <w:pPr>
        <w:spacing w:line="360" w:lineRule="auto"/>
        <w:ind w:firstLine="420" w:firstLineChars="200"/>
        <w:rPr>
          <w:szCs w:val="21"/>
        </w:rPr>
      </w:pPr>
      <w:r>
        <w:rPr>
          <w:rFonts w:hint="eastAsia"/>
          <w:szCs w:val="21"/>
        </w:rPr>
        <w:t>6.2.1 低温环境适应性试验</w:t>
      </w:r>
    </w:p>
    <w:p w14:paraId="2BB995A2">
      <w:pPr>
        <w:adjustRightInd w:val="0"/>
        <w:snapToGrid w:val="0"/>
        <w:spacing w:line="360" w:lineRule="auto"/>
        <w:ind w:firstLine="420" w:firstLineChars="200"/>
        <w:jc w:val="left"/>
      </w:pPr>
      <w:r>
        <w:rPr>
          <w:rFonts w:hint="eastAsia"/>
          <w:szCs w:val="21"/>
        </w:rPr>
        <w:t>按照、 GB/T 2423.1</w:t>
      </w:r>
      <w:r>
        <w:rPr>
          <w:rFonts w:hint="eastAsia"/>
          <w:szCs w:val="21"/>
          <w:lang w:bidi="ar"/>
        </w:rPr>
        <w:t>/DL/T1578</w:t>
      </w:r>
      <w:r>
        <w:rPr>
          <w:rFonts w:hint="eastAsia"/>
          <w:szCs w:val="21"/>
        </w:rPr>
        <w:t xml:space="preserve"> 相关条款方法进行相应等级试验，试验</w:t>
      </w:r>
      <w:r>
        <w:rPr>
          <w:rFonts w:hint="eastAsia"/>
        </w:rPr>
        <w:t>温度为-10</w:t>
      </w:r>
      <w:r>
        <w:t xml:space="preserve"> </w:t>
      </w:r>
      <w:r>
        <w:rPr>
          <w:rFonts w:hint="eastAsia"/>
        </w:rPr>
        <w:t>℃，试验持续时间为2h。试验期间被试样机处于通电待机工作状态，试验期间与试验结束后被试样机无变形和裂纹等现象，插接件、紧固件等无开裂、松脱等现象，显示屏无变形、开裂、花屏等现象，地面站软件工作正常。样机操控响应正常，任务设备转动、拍摄等</w:t>
      </w:r>
      <w:r>
        <w:rPr>
          <w:rFonts w:hint="eastAsia"/>
          <w:szCs w:val="21"/>
        </w:rPr>
        <w:t>功能正常。</w:t>
      </w:r>
    </w:p>
    <w:p w14:paraId="09AE21C6">
      <w:pPr>
        <w:spacing w:line="360" w:lineRule="auto"/>
        <w:ind w:firstLine="420" w:firstLineChars="200"/>
        <w:rPr>
          <w:szCs w:val="21"/>
        </w:rPr>
      </w:pPr>
      <w:r>
        <w:rPr>
          <w:szCs w:val="21"/>
        </w:rPr>
        <w:t>6.</w:t>
      </w:r>
      <w:r>
        <w:rPr>
          <w:rFonts w:hint="eastAsia"/>
          <w:szCs w:val="21"/>
        </w:rPr>
        <w:t>2.2</w:t>
      </w:r>
      <w:r>
        <w:rPr>
          <w:szCs w:val="21"/>
        </w:rPr>
        <w:t xml:space="preserve"> </w:t>
      </w:r>
      <w:r>
        <w:rPr>
          <w:rFonts w:hint="eastAsia"/>
          <w:szCs w:val="21"/>
        </w:rPr>
        <w:t>高温环境适应性试验</w:t>
      </w:r>
    </w:p>
    <w:p w14:paraId="78526C10">
      <w:pPr>
        <w:widowControl/>
        <w:adjustRightInd w:val="0"/>
        <w:snapToGrid w:val="0"/>
        <w:spacing w:line="360" w:lineRule="auto"/>
        <w:ind w:firstLine="420" w:firstLineChars="200"/>
        <w:jc w:val="left"/>
      </w:pPr>
      <w:r>
        <w:rPr>
          <w:rFonts w:hint="eastAsia"/>
          <w:szCs w:val="21"/>
          <w:lang w:bidi="ar"/>
        </w:rPr>
        <w:t>按照 GB/T 2423.2/DL/T1578 相关条款方法进行相应等级试验</w:t>
      </w:r>
      <w:r>
        <w:rPr>
          <w:rFonts w:hint="eastAsia"/>
          <w:szCs w:val="21"/>
        </w:rPr>
        <w:t>，试验</w:t>
      </w:r>
      <w:r>
        <w:rPr>
          <w:rFonts w:hint="eastAsia"/>
        </w:rPr>
        <w:t>温度为40</w:t>
      </w:r>
      <w:r>
        <w:t xml:space="preserve"> </w:t>
      </w:r>
      <w:r>
        <w:rPr>
          <w:rFonts w:hint="eastAsia"/>
        </w:rPr>
        <w:t>℃，试验持续时间为4h。试验期间被试样机处于通电待机工作状态，试验期间与试验结束后被试样机无变形和裂纹等现象，插接件、紧固件等无开裂、松脱等现象，显示屏无变形、开裂、花屏等现象，地面站软件工作正常。样机操控响应正常，任务设备转动、拍摄等</w:t>
      </w:r>
      <w:r>
        <w:rPr>
          <w:rFonts w:hint="eastAsia"/>
          <w:szCs w:val="21"/>
        </w:rPr>
        <w:t>功能正常。</w:t>
      </w:r>
    </w:p>
    <w:p w14:paraId="0D08986D">
      <w:pPr>
        <w:spacing w:line="360" w:lineRule="auto"/>
        <w:ind w:firstLine="420" w:firstLineChars="200"/>
        <w:rPr>
          <w:szCs w:val="21"/>
        </w:rPr>
      </w:pPr>
      <w:r>
        <w:rPr>
          <w:szCs w:val="21"/>
        </w:rPr>
        <w:t>6.</w:t>
      </w:r>
      <w:r>
        <w:rPr>
          <w:rFonts w:hint="eastAsia"/>
          <w:szCs w:val="21"/>
        </w:rPr>
        <w:t>2.</w:t>
      </w:r>
      <w:r>
        <w:rPr>
          <w:szCs w:val="21"/>
        </w:rPr>
        <w:t xml:space="preserve">3 </w:t>
      </w:r>
      <w:r>
        <w:rPr>
          <w:rFonts w:hint="eastAsia"/>
          <w:szCs w:val="21"/>
        </w:rPr>
        <w:t>温度湿度振动综合环境适应性试验</w:t>
      </w:r>
    </w:p>
    <w:p w14:paraId="1DCC55C2">
      <w:pPr>
        <w:widowControl/>
        <w:adjustRightInd w:val="0"/>
        <w:snapToGrid w:val="0"/>
        <w:spacing w:line="360" w:lineRule="auto"/>
        <w:ind w:firstLine="420" w:firstLineChars="200"/>
        <w:jc w:val="left"/>
        <w:rPr>
          <w:szCs w:val="21"/>
          <w:lang w:bidi="ar"/>
        </w:rPr>
      </w:pPr>
      <w:r>
        <w:rPr>
          <w:rFonts w:hint="eastAsia"/>
          <w:szCs w:val="21"/>
          <w:lang w:bidi="ar"/>
        </w:rPr>
        <w:t>按照 GB/T 2423.3/DL/T1578 相关条款方法进行相应等级试验，试验</w:t>
      </w:r>
      <w:r>
        <w:rPr>
          <w:rFonts w:hint="eastAsia"/>
        </w:rPr>
        <w:t>温度为40</w:t>
      </w:r>
      <w:r>
        <w:t xml:space="preserve"> </w:t>
      </w:r>
      <w:r>
        <w:rPr>
          <w:rFonts w:hint="eastAsia"/>
        </w:rPr>
        <w:t>℃，试验相对湿度95±3%，振动频率5~150Hz，振动加速度2g，振动初始振幅1mm，试验持续时间为12h。试验期间被试样机处于通电待机工作状态，试验期间与试验结束后被试样机无变形和裂纹等现象，插接件、紧固件等无开裂、松脱等现象，显示屏无变形、开裂、花屏等现象，地面站软件工作正常。样机操控响应正常，任务设备转动、拍摄等</w:t>
      </w:r>
      <w:r>
        <w:rPr>
          <w:rFonts w:hint="eastAsia"/>
          <w:szCs w:val="21"/>
        </w:rPr>
        <w:t>功能正常</w:t>
      </w:r>
      <w:r>
        <w:rPr>
          <w:rFonts w:hint="eastAsia"/>
          <w:szCs w:val="21"/>
          <w:lang w:bidi="ar"/>
        </w:rPr>
        <w:t>。</w:t>
      </w:r>
    </w:p>
    <w:p w14:paraId="4302A3E1">
      <w:pPr>
        <w:spacing w:line="360" w:lineRule="auto"/>
        <w:ind w:firstLine="420" w:firstLineChars="200"/>
        <w:rPr>
          <w:szCs w:val="21"/>
        </w:rPr>
      </w:pPr>
      <w:r>
        <w:rPr>
          <w:szCs w:val="21"/>
        </w:rPr>
        <w:t>6.</w:t>
      </w:r>
      <w:r>
        <w:rPr>
          <w:rFonts w:hint="eastAsia"/>
          <w:szCs w:val="21"/>
        </w:rPr>
        <w:t>2.4</w:t>
      </w:r>
      <w:r>
        <w:rPr>
          <w:szCs w:val="21"/>
        </w:rPr>
        <w:t xml:space="preserve"> </w:t>
      </w:r>
      <w:r>
        <w:rPr>
          <w:rFonts w:hint="eastAsia"/>
          <w:szCs w:val="21"/>
        </w:rPr>
        <w:t>海拔适应性能试验</w:t>
      </w:r>
    </w:p>
    <w:p w14:paraId="5755D59D">
      <w:pPr>
        <w:adjustRightInd w:val="0"/>
        <w:snapToGrid w:val="0"/>
        <w:spacing w:line="360" w:lineRule="auto"/>
        <w:ind w:firstLine="420" w:firstLineChars="200"/>
        <w:jc w:val="left"/>
        <w:rPr>
          <w:szCs w:val="21"/>
          <w:lang w:bidi="ar"/>
        </w:rPr>
      </w:pPr>
      <w:r>
        <w:rPr>
          <w:rFonts w:hint="eastAsia"/>
          <w:szCs w:val="21"/>
          <w:lang w:bidi="ar"/>
        </w:rPr>
        <w:t>按照 GB/T 2423.21/GB/T 2423.25~27/DL/T1578相关条款方法进行相应等级试验，</w:t>
      </w:r>
      <w:r>
        <w:rPr>
          <w:rFonts w:hint="eastAsia"/>
        </w:rPr>
        <w:t>试验期间被试样机处于通电待机工作状态</w:t>
      </w:r>
      <w:r>
        <w:rPr>
          <w:rFonts w:hint="eastAsia"/>
          <w:szCs w:val="21"/>
          <w:lang w:bidi="ar"/>
        </w:rPr>
        <w:t>，样机巡检系统在-10℃、海拔4000m的环境中无地效悬停时间需大于30min，悬停过程中样机操控响应正常，任务设备转动、拍摄等功能正常。</w:t>
      </w:r>
    </w:p>
    <w:p w14:paraId="12F0D0F0">
      <w:pPr>
        <w:spacing w:line="360" w:lineRule="auto"/>
        <w:ind w:firstLine="420" w:firstLineChars="200"/>
        <w:rPr>
          <w:szCs w:val="21"/>
        </w:rPr>
      </w:pPr>
      <w:r>
        <w:rPr>
          <w:szCs w:val="21"/>
        </w:rPr>
        <w:t>6.</w:t>
      </w:r>
      <w:r>
        <w:rPr>
          <w:rFonts w:hint="eastAsia"/>
          <w:szCs w:val="21"/>
        </w:rPr>
        <w:t>2.5</w:t>
      </w:r>
      <w:r>
        <w:rPr>
          <w:szCs w:val="21"/>
        </w:rPr>
        <w:t xml:space="preserve"> </w:t>
      </w:r>
      <w:r>
        <w:rPr>
          <w:rFonts w:hint="eastAsia"/>
          <w:szCs w:val="21"/>
        </w:rPr>
        <w:t>抗风飞行性能试验</w:t>
      </w:r>
    </w:p>
    <w:p w14:paraId="3B8C460E">
      <w:pPr>
        <w:adjustRightInd w:val="0"/>
        <w:snapToGrid w:val="0"/>
        <w:spacing w:line="360" w:lineRule="auto"/>
        <w:ind w:firstLine="420" w:firstLineChars="200"/>
        <w:jc w:val="left"/>
        <w:rPr>
          <w:szCs w:val="21"/>
          <w:lang w:bidi="ar"/>
        </w:rPr>
      </w:pPr>
      <w:r>
        <w:rPr>
          <w:rFonts w:hint="eastAsia"/>
          <w:szCs w:val="21"/>
          <w:lang w:bidi="ar"/>
        </w:rPr>
        <w:t>按照 GB/T 38930/DL/T1578相关条款方法进行相应等级试验，试验应满足本标准4.2、4.3规定的要求，在瞬时风速不大于 3 m/ 环境条件下可稳定飞行和悬停，且各项功能正常。悬停时水平偏移不大于 1.5m、标准差不大于 0.75m ，垂直偏移不大于 3m、标准差不大于 1.5m 。三轴姿态角变化量最大均不超过 30° ，变化量标准差均不大于 15°。</w:t>
      </w:r>
    </w:p>
    <w:p w14:paraId="0F6849C7">
      <w:pPr>
        <w:spacing w:line="360" w:lineRule="auto"/>
        <w:ind w:firstLine="420" w:firstLineChars="200"/>
        <w:rPr>
          <w:szCs w:val="21"/>
        </w:rPr>
      </w:pPr>
      <w:r>
        <w:rPr>
          <w:szCs w:val="21"/>
        </w:rPr>
        <w:t>6.</w:t>
      </w:r>
      <w:r>
        <w:rPr>
          <w:rFonts w:hint="eastAsia"/>
          <w:szCs w:val="21"/>
        </w:rPr>
        <w:t>2.6</w:t>
      </w:r>
      <w:r>
        <w:rPr>
          <w:szCs w:val="21"/>
        </w:rPr>
        <w:t xml:space="preserve"> </w:t>
      </w:r>
      <w:r>
        <w:rPr>
          <w:rFonts w:hint="eastAsia"/>
          <w:szCs w:val="21"/>
        </w:rPr>
        <w:t>抗雨飞行性能试验</w:t>
      </w:r>
    </w:p>
    <w:p w14:paraId="2EE2FDBC">
      <w:pPr>
        <w:adjustRightInd w:val="0"/>
        <w:snapToGrid w:val="0"/>
        <w:spacing w:line="360" w:lineRule="auto"/>
        <w:ind w:firstLine="420" w:firstLineChars="200"/>
        <w:jc w:val="left"/>
        <w:rPr>
          <w:szCs w:val="21"/>
          <w:lang w:bidi="ar"/>
        </w:rPr>
      </w:pPr>
      <w:r>
        <w:rPr>
          <w:rFonts w:hint="eastAsia"/>
          <w:szCs w:val="21"/>
          <w:lang w:bidi="ar"/>
        </w:rPr>
        <w:t>按照 GB/T 38924.9/DL/T1578相关条款方法进行相应等级试验，在小雨环境条件下（雨强不大于 2.5mm/h）可稳定飞行的时间不小于 5min 。增稳飞行模式下，无人机飞行状态稳定、姿态正常；稳定悬停时，无人机操控响应正常；静置30min后，飞行后各电气接口不存在明显短路风险，各项功能正常。</w:t>
      </w:r>
    </w:p>
    <w:p w14:paraId="552CCFBD">
      <w:pPr>
        <w:spacing w:line="360" w:lineRule="auto"/>
        <w:ind w:firstLine="420" w:firstLineChars="200"/>
        <w:rPr>
          <w:szCs w:val="21"/>
        </w:rPr>
      </w:pPr>
      <w:r>
        <w:rPr>
          <w:szCs w:val="21"/>
        </w:rPr>
        <w:t>6.</w:t>
      </w:r>
      <w:r>
        <w:rPr>
          <w:rFonts w:hint="eastAsia"/>
          <w:szCs w:val="21"/>
        </w:rPr>
        <w:t>2.7</w:t>
      </w:r>
      <w:r>
        <w:rPr>
          <w:szCs w:val="21"/>
        </w:rPr>
        <w:t xml:space="preserve"> </w:t>
      </w:r>
      <w:r>
        <w:rPr>
          <w:rFonts w:hint="eastAsia"/>
          <w:szCs w:val="21"/>
        </w:rPr>
        <w:t>防护性能试验</w:t>
      </w:r>
    </w:p>
    <w:p w14:paraId="332A7993">
      <w:pPr>
        <w:adjustRightInd w:val="0"/>
        <w:snapToGrid w:val="0"/>
        <w:spacing w:line="360" w:lineRule="auto"/>
        <w:ind w:firstLine="420" w:firstLineChars="200"/>
        <w:jc w:val="left"/>
        <w:rPr>
          <w:szCs w:val="21"/>
          <w:lang w:bidi="ar"/>
        </w:rPr>
      </w:pPr>
      <w:r>
        <w:rPr>
          <w:rFonts w:hint="eastAsia"/>
          <w:szCs w:val="21"/>
          <w:lang w:bidi="ar"/>
        </w:rPr>
        <w:t>按GB/T 4208中规定的试验方法进行，被试样机的外壳防护等级应满足本标准5.1规定的要求，试验结束后被试样机通电运行，各项功能应正常。</w:t>
      </w:r>
    </w:p>
    <w:p w14:paraId="7F86D62A">
      <w:pPr>
        <w:spacing w:line="360" w:lineRule="auto"/>
        <w:ind w:firstLine="420" w:firstLineChars="200"/>
        <w:rPr>
          <w:szCs w:val="21"/>
        </w:rPr>
      </w:pPr>
      <w:r>
        <w:rPr>
          <w:szCs w:val="21"/>
        </w:rPr>
        <w:t>6.</w:t>
      </w:r>
      <w:r>
        <w:rPr>
          <w:rFonts w:hint="eastAsia"/>
          <w:szCs w:val="21"/>
        </w:rPr>
        <w:t>3</w:t>
      </w:r>
      <w:r>
        <w:rPr>
          <w:szCs w:val="21"/>
        </w:rPr>
        <w:t xml:space="preserve"> </w:t>
      </w:r>
      <w:r>
        <w:rPr>
          <w:rFonts w:hint="eastAsia"/>
          <w:szCs w:val="21"/>
        </w:rPr>
        <w:t>功能试验</w:t>
      </w:r>
    </w:p>
    <w:p w14:paraId="72D2FA52">
      <w:pPr>
        <w:spacing w:line="360" w:lineRule="auto"/>
        <w:ind w:firstLine="420" w:firstLineChars="200"/>
        <w:rPr>
          <w:szCs w:val="21"/>
        </w:rPr>
      </w:pPr>
      <w:r>
        <w:rPr>
          <w:rFonts w:hint="eastAsia"/>
          <w:szCs w:val="21"/>
        </w:rPr>
        <w:t>6.3.1 自检功能</w:t>
      </w:r>
      <w:r>
        <w:rPr>
          <w:szCs w:val="21"/>
        </w:rPr>
        <w:t>试验</w:t>
      </w:r>
    </w:p>
    <w:p w14:paraId="22DA1FBD">
      <w:pPr>
        <w:adjustRightInd w:val="0"/>
        <w:snapToGrid w:val="0"/>
        <w:spacing w:line="360" w:lineRule="auto"/>
        <w:ind w:firstLine="420" w:firstLineChars="200"/>
        <w:jc w:val="left"/>
        <w:rPr>
          <w:szCs w:val="21"/>
          <w:lang w:bidi="ar"/>
        </w:rPr>
      </w:pPr>
      <w:r>
        <w:rPr>
          <w:rFonts w:hint="eastAsia"/>
          <w:szCs w:val="21"/>
          <w:lang w:bidi="ar"/>
        </w:rPr>
        <w:t>按照 DL/T1578相关条款方法进行相应等级试验，样机应满足自检项目至少包括动力电池电压（或电量）、遥测遥控、导航定位和磁罗盘预警功能。以上任一项自检项目不满足要求，均能在地面站或遥控手柄上以明显的声（或光）信号或其他方式进行报警提示，且飞控系统锁死。宜具有根据报警提示直接确定故障部位或原因的功能。</w:t>
      </w:r>
    </w:p>
    <w:p w14:paraId="25006A8E">
      <w:pPr>
        <w:spacing w:line="360" w:lineRule="auto"/>
        <w:ind w:firstLine="420" w:firstLineChars="200"/>
        <w:rPr>
          <w:szCs w:val="21"/>
        </w:rPr>
      </w:pPr>
      <w:r>
        <w:rPr>
          <w:szCs w:val="21"/>
        </w:rPr>
        <w:t>6.</w:t>
      </w:r>
      <w:r>
        <w:rPr>
          <w:rFonts w:hint="eastAsia"/>
          <w:szCs w:val="21"/>
        </w:rPr>
        <w:t>3.2</w:t>
      </w:r>
      <w:r>
        <w:rPr>
          <w:szCs w:val="21"/>
        </w:rPr>
        <w:t xml:space="preserve"> </w:t>
      </w:r>
      <w:r>
        <w:rPr>
          <w:rFonts w:hint="eastAsia"/>
          <w:szCs w:val="21"/>
        </w:rPr>
        <w:t>任务规划功能</w:t>
      </w:r>
      <w:r>
        <w:rPr>
          <w:szCs w:val="21"/>
        </w:rPr>
        <w:t>试验</w:t>
      </w:r>
    </w:p>
    <w:p w14:paraId="1C049BB6">
      <w:pPr>
        <w:widowControl/>
        <w:tabs>
          <w:tab w:val="left" w:pos="1985"/>
        </w:tabs>
        <w:spacing w:line="360" w:lineRule="auto"/>
        <w:ind w:firstLine="420" w:firstLineChars="200"/>
        <w:jc w:val="left"/>
        <w:rPr>
          <w:szCs w:val="21"/>
          <w:lang w:bidi="ar"/>
        </w:rPr>
      </w:pPr>
      <w:r>
        <w:rPr>
          <w:rFonts w:hint="eastAsia"/>
          <w:szCs w:val="21"/>
          <w:lang w:bidi="ar"/>
        </w:rPr>
        <w:t>按照 DL/T1578相关条款方法进行相应等级试验，应满足可对起降方式、转弯方式、飞行速度及航点信息等进行设置，转弯时应采用定点转弯方式。在飞行过程中可实时修改航点。</w:t>
      </w:r>
    </w:p>
    <w:p w14:paraId="77D64B96">
      <w:pPr>
        <w:adjustRightInd w:val="0"/>
        <w:snapToGrid w:val="0"/>
        <w:spacing w:line="360" w:lineRule="auto"/>
        <w:ind w:firstLine="420" w:firstLineChars="200"/>
        <w:jc w:val="left"/>
      </w:pPr>
      <w:r>
        <w:rPr>
          <w:szCs w:val="21"/>
        </w:rPr>
        <w:t>6.</w:t>
      </w:r>
      <w:r>
        <w:rPr>
          <w:rFonts w:hint="eastAsia"/>
          <w:szCs w:val="21"/>
        </w:rPr>
        <w:t>3.3</w:t>
      </w:r>
      <w:r>
        <w:rPr>
          <w:szCs w:val="21"/>
        </w:rPr>
        <w:t xml:space="preserve"> </w:t>
      </w:r>
      <w:r>
        <w:rPr>
          <w:kern w:val="0"/>
          <w:szCs w:val="21"/>
        </w:rPr>
        <w:t>飞行模式及切换功能试验</w:t>
      </w:r>
    </w:p>
    <w:p w14:paraId="731EBBB7">
      <w:pPr>
        <w:widowControl/>
        <w:tabs>
          <w:tab w:val="left" w:pos="1985"/>
        </w:tabs>
        <w:spacing w:line="360" w:lineRule="auto"/>
        <w:ind w:firstLine="420" w:firstLineChars="200"/>
        <w:jc w:val="left"/>
        <w:rPr>
          <w:szCs w:val="21"/>
          <w:lang w:bidi="ar"/>
        </w:rPr>
      </w:pPr>
      <w:r>
        <w:rPr>
          <w:rFonts w:hint="eastAsia"/>
          <w:szCs w:val="21"/>
          <w:lang w:bidi="ar"/>
        </w:rPr>
        <w:t>按照 DL/T1578相关条款方法进行相应等级试验，样机应具有手动、增稳和全自主三种飞行模式。三种飞行模式可相互切换，切换过程中飞行状态应保持平稳。</w:t>
      </w:r>
    </w:p>
    <w:p w14:paraId="7D144FFE">
      <w:pPr>
        <w:adjustRightInd w:val="0"/>
        <w:snapToGrid w:val="0"/>
        <w:spacing w:line="360" w:lineRule="auto"/>
        <w:ind w:firstLine="420" w:firstLineChars="200"/>
        <w:jc w:val="left"/>
      </w:pPr>
      <w:r>
        <w:rPr>
          <w:szCs w:val="21"/>
        </w:rPr>
        <w:t>6.</w:t>
      </w:r>
      <w:r>
        <w:rPr>
          <w:rFonts w:hint="eastAsia"/>
          <w:szCs w:val="21"/>
        </w:rPr>
        <w:t>3.4</w:t>
      </w:r>
      <w:r>
        <w:rPr>
          <w:szCs w:val="21"/>
        </w:rPr>
        <w:t xml:space="preserve"> </w:t>
      </w:r>
      <w:r>
        <w:rPr>
          <w:rFonts w:hint="eastAsia"/>
          <w:kern w:val="0"/>
          <w:szCs w:val="21"/>
        </w:rPr>
        <w:t>导航定位偏差</w:t>
      </w:r>
      <w:r>
        <w:rPr>
          <w:kern w:val="0"/>
          <w:szCs w:val="21"/>
        </w:rPr>
        <w:t>试验</w:t>
      </w:r>
    </w:p>
    <w:p w14:paraId="0F4DAE80">
      <w:pPr>
        <w:adjustRightInd w:val="0"/>
        <w:snapToGrid w:val="0"/>
        <w:spacing w:line="360" w:lineRule="auto"/>
        <w:ind w:firstLine="420" w:firstLineChars="200"/>
        <w:jc w:val="left"/>
      </w:pPr>
      <w:r>
        <w:rPr>
          <w:rFonts w:hint="eastAsia"/>
          <w:szCs w:val="21"/>
          <w:lang w:bidi="ar"/>
        </w:rPr>
        <w:t>按照 DL/T1578/YD/T4182相关条款方法进行相应等级试验，样机应具备实时动态定位（real-time kinematic,RTK）功能，导航定位精度水平方向不应低于10cm、垂直方向不低于20 cm。</w:t>
      </w:r>
    </w:p>
    <w:p w14:paraId="322C1548">
      <w:pPr>
        <w:adjustRightInd w:val="0"/>
        <w:snapToGrid w:val="0"/>
        <w:spacing w:line="360" w:lineRule="auto"/>
        <w:ind w:firstLine="420" w:firstLineChars="200"/>
        <w:jc w:val="left"/>
      </w:pPr>
      <w:r>
        <w:rPr>
          <w:szCs w:val="21"/>
        </w:rPr>
        <w:t>6.</w:t>
      </w:r>
      <w:r>
        <w:rPr>
          <w:rFonts w:hint="eastAsia"/>
          <w:szCs w:val="21"/>
        </w:rPr>
        <w:t>3.5</w:t>
      </w:r>
      <w:r>
        <w:rPr>
          <w:szCs w:val="21"/>
        </w:rPr>
        <w:t xml:space="preserve"> </w:t>
      </w:r>
      <w:r>
        <w:rPr>
          <w:rFonts w:hint="eastAsia"/>
          <w:kern w:val="0"/>
          <w:szCs w:val="21"/>
        </w:rPr>
        <w:t>飞行控制偏差</w:t>
      </w:r>
      <w:r>
        <w:rPr>
          <w:kern w:val="0"/>
          <w:szCs w:val="21"/>
        </w:rPr>
        <w:t>试验</w:t>
      </w:r>
    </w:p>
    <w:p w14:paraId="60392825">
      <w:pPr>
        <w:adjustRightInd w:val="0"/>
        <w:snapToGrid w:val="0"/>
        <w:spacing w:line="360" w:lineRule="auto"/>
        <w:ind w:firstLine="420" w:firstLineChars="200"/>
        <w:jc w:val="left"/>
      </w:pPr>
      <w:r>
        <w:rPr>
          <w:rFonts w:hint="eastAsia"/>
          <w:szCs w:val="21"/>
          <w:lang w:bidi="ar"/>
        </w:rPr>
        <w:t>按照 DL/T1578相关条款方法进行相应等级试验，</w:t>
      </w:r>
      <w:r>
        <w:rPr>
          <w:rFonts w:hint="eastAsia"/>
        </w:rPr>
        <w:t>距地面2m高的环境瞬时风速不大于3m/s的条件下，飞行控制偏差应满足与规划航线的飞行控制偏差水平方向不大于1m、标准差不大于0.5m,垂直方向不大于1m、标准差不大于0.5m。</w:t>
      </w:r>
    </w:p>
    <w:p w14:paraId="0BC60E1A">
      <w:pPr>
        <w:adjustRightInd w:val="0"/>
        <w:snapToGrid w:val="0"/>
        <w:spacing w:line="360" w:lineRule="auto"/>
        <w:ind w:firstLine="420" w:firstLineChars="200"/>
        <w:jc w:val="left"/>
      </w:pPr>
      <w:r>
        <w:rPr>
          <w:szCs w:val="21"/>
        </w:rPr>
        <w:t>6.</w:t>
      </w:r>
      <w:r>
        <w:rPr>
          <w:rFonts w:hint="eastAsia"/>
          <w:szCs w:val="21"/>
        </w:rPr>
        <w:t>3.6</w:t>
      </w:r>
      <w:r>
        <w:rPr>
          <w:szCs w:val="21"/>
        </w:rPr>
        <w:t xml:space="preserve"> </w:t>
      </w:r>
      <w:r>
        <w:rPr>
          <w:rFonts w:hint="eastAsia"/>
          <w:kern w:val="0"/>
          <w:szCs w:val="21"/>
        </w:rPr>
        <w:t>悬停控制偏差</w:t>
      </w:r>
      <w:r>
        <w:rPr>
          <w:kern w:val="0"/>
          <w:szCs w:val="21"/>
        </w:rPr>
        <w:t>试验</w:t>
      </w:r>
    </w:p>
    <w:p w14:paraId="4817BC2F">
      <w:pPr>
        <w:adjustRightInd w:val="0"/>
        <w:snapToGrid w:val="0"/>
        <w:spacing w:line="360" w:lineRule="auto"/>
        <w:ind w:firstLine="420" w:firstLineChars="200"/>
        <w:jc w:val="left"/>
      </w:pPr>
      <w:r>
        <w:rPr>
          <w:rFonts w:hint="eastAsia"/>
          <w:szCs w:val="21"/>
          <w:lang w:bidi="ar"/>
        </w:rPr>
        <w:t>按照 DL/T1578相关条款方法进行相应等级试验，</w:t>
      </w:r>
      <w:r>
        <w:rPr>
          <w:rFonts w:hint="eastAsia"/>
        </w:rPr>
        <w:t>通过全自主飞行模式到达预设的悬停点后，无须操作人员干预，可稳定悬停。悬停控制偏差水平方向不大于1.5m、标准差不大于0.75m,垂直方向不大于2m、标准差不大于1m。</w:t>
      </w:r>
    </w:p>
    <w:p w14:paraId="519B2E84">
      <w:pPr>
        <w:adjustRightInd w:val="0"/>
        <w:snapToGrid w:val="0"/>
        <w:spacing w:line="360" w:lineRule="auto"/>
        <w:ind w:firstLine="420" w:firstLineChars="200"/>
        <w:jc w:val="left"/>
      </w:pPr>
      <w:r>
        <w:rPr>
          <w:szCs w:val="21"/>
        </w:rPr>
        <w:t>6.</w:t>
      </w:r>
      <w:r>
        <w:rPr>
          <w:rFonts w:hint="eastAsia"/>
          <w:szCs w:val="21"/>
        </w:rPr>
        <w:t>3.7</w:t>
      </w:r>
      <w:r>
        <w:rPr>
          <w:szCs w:val="21"/>
        </w:rPr>
        <w:t xml:space="preserve"> </w:t>
      </w:r>
      <w:r>
        <w:rPr>
          <w:rFonts w:hint="eastAsia"/>
          <w:kern w:val="0"/>
          <w:szCs w:val="21"/>
        </w:rPr>
        <w:t>机头重定向功能</w:t>
      </w:r>
      <w:r>
        <w:rPr>
          <w:kern w:val="0"/>
          <w:szCs w:val="21"/>
        </w:rPr>
        <w:t>试验</w:t>
      </w:r>
    </w:p>
    <w:p w14:paraId="495456D1">
      <w:pPr>
        <w:adjustRightInd w:val="0"/>
        <w:snapToGrid w:val="0"/>
        <w:spacing w:line="360" w:lineRule="auto"/>
        <w:ind w:firstLine="420" w:firstLineChars="200"/>
        <w:jc w:val="left"/>
      </w:pPr>
      <w:r>
        <w:rPr>
          <w:rFonts w:hint="eastAsia"/>
          <w:szCs w:val="21"/>
          <w:lang w:bidi="ar"/>
        </w:rPr>
        <w:t>按照 DL/T1578相关条款方法进行相应等级试验，样机应</w:t>
      </w:r>
      <w:r>
        <w:rPr>
          <w:rFonts w:hint="eastAsia"/>
        </w:rPr>
        <w:t>具备机头重定向功能。</w:t>
      </w:r>
    </w:p>
    <w:p w14:paraId="43937A19">
      <w:pPr>
        <w:adjustRightInd w:val="0"/>
        <w:snapToGrid w:val="0"/>
        <w:spacing w:line="360" w:lineRule="auto"/>
        <w:ind w:firstLine="420" w:firstLineChars="200"/>
        <w:jc w:val="left"/>
      </w:pPr>
      <w:r>
        <w:rPr>
          <w:szCs w:val="21"/>
        </w:rPr>
        <w:t>6.</w:t>
      </w:r>
      <w:r>
        <w:rPr>
          <w:rFonts w:hint="eastAsia"/>
          <w:szCs w:val="21"/>
        </w:rPr>
        <w:t>3.8</w:t>
      </w:r>
      <w:r>
        <w:rPr>
          <w:szCs w:val="21"/>
        </w:rPr>
        <w:t xml:space="preserve"> </w:t>
      </w:r>
      <w:r>
        <w:rPr>
          <w:kern w:val="0"/>
          <w:szCs w:val="21"/>
        </w:rPr>
        <w:t>一键返航功能试验</w:t>
      </w:r>
    </w:p>
    <w:p w14:paraId="0BBFF9AF">
      <w:pPr>
        <w:adjustRightInd w:val="0"/>
        <w:snapToGrid w:val="0"/>
        <w:spacing w:line="360" w:lineRule="auto"/>
        <w:ind w:firstLine="420" w:firstLineChars="200"/>
        <w:jc w:val="left"/>
      </w:pPr>
      <w:r>
        <w:rPr>
          <w:rFonts w:hint="eastAsia"/>
        </w:rPr>
        <w:t>设置返航路径，并以自主方式放飞无人机，待无人机短时飞行后，启动一键返航功能，观察无人机安全返航策略及等待无人机返回，应至少可预先设置返航降落点，宜可设置返航航线、速度等参数。</w:t>
      </w:r>
    </w:p>
    <w:p w14:paraId="5EDA77ED">
      <w:pPr>
        <w:adjustRightInd w:val="0"/>
        <w:snapToGrid w:val="0"/>
        <w:spacing w:line="360" w:lineRule="auto"/>
        <w:ind w:firstLine="420" w:firstLineChars="200"/>
        <w:jc w:val="left"/>
      </w:pPr>
      <w:r>
        <w:rPr>
          <w:szCs w:val="21"/>
        </w:rPr>
        <w:t>6.</w:t>
      </w:r>
      <w:r>
        <w:rPr>
          <w:rFonts w:hint="eastAsia"/>
          <w:szCs w:val="21"/>
        </w:rPr>
        <w:t>3.9</w:t>
      </w:r>
      <w:r>
        <w:rPr>
          <w:szCs w:val="21"/>
        </w:rPr>
        <w:t xml:space="preserve"> </w:t>
      </w:r>
      <w:r>
        <w:rPr>
          <w:kern w:val="0"/>
          <w:szCs w:val="21"/>
        </w:rPr>
        <w:t>链路中断返航功能试验</w:t>
      </w:r>
    </w:p>
    <w:p w14:paraId="7E37B8A1">
      <w:pPr>
        <w:adjustRightInd w:val="0"/>
        <w:snapToGrid w:val="0"/>
        <w:spacing w:line="360" w:lineRule="auto"/>
        <w:ind w:firstLine="420" w:firstLineChars="200"/>
        <w:jc w:val="left"/>
      </w:pPr>
      <w:r>
        <w:rPr>
          <w:rFonts w:hint="eastAsia"/>
        </w:rPr>
        <w:t>设置返航路径及返航策略，并以自主方式放飞无人机，待无人机短时飞行后，断开遥控器电源，观察无人机安全返航策略及等待无人机返回，应至少可预先设置返航降落点，宜可设置返航航线、速度等参数。</w:t>
      </w:r>
    </w:p>
    <w:p w14:paraId="3AB2EA28">
      <w:pPr>
        <w:adjustRightInd w:val="0"/>
        <w:snapToGrid w:val="0"/>
        <w:spacing w:line="360" w:lineRule="auto"/>
        <w:ind w:firstLine="420" w:firstLineChars="200"/>
        <w:jc w:val="left"/>
      </w:pPr>
      <w:r>
        <w:rPr>
          <w:rFonts w:hint="eastAsia"/>
        </w:rPr>
        <w:t>6.3.10 飞行区域限制功能试验</w:t>
      </w:r>
    </w:p>
    <w:p w14:paraId="7CCDC922">
      <w:pPr>
        <w:adjustRightInd w:val="0"/>
        <w:snapToGrid w:val="0"/>
        <w:spacing w:line="360" w:lineRule="auto"/>
        <w:ind w:firstLine="420" w:firstLineChars="200"/>
        <w:jc w:val="left"/>
      </w:pPr>
      <w:r>
        <w:rPr>
          <w:rFonts w:hint="eastAsia"/>
          <w:szCs w:val="21"/>
          <w:lang w:bidi="ar"/>
        </w:rPr>
        <w:t>按照 DL/T1578相关条款方法进行相应等级试验，应</w:t>
      </w:r>
      <w:r>
        <w:rPr>
          <w:rFonts w:hint="eastAsia"/>
        </w:rPr>
        <w:t>可设置允许样机飞行的区域范围，在航线规划时，可对超出范围的飞行航线进行报警提示，且飞控系统锁死;在飞行过程中，当接近区域范围时可在地面站或遥控手柄上报警提示，且有防止飞越措施。</w:t>
      </w:r>
    </w:p>
    <w:p w14:paraId="7DAA1DED">
      <w:pPr>
        <w:adjustRightInd w:val="0"/>
        <w:snapToGrid w:val="0"/>
        <w:spacing w:line="360" w:lineRule="auto"/>
        <w:ind w:firstLine="420" w:firstLineChars="200"/>
        <w:jc w:val="left"/>
      </w:pPr>
      <w:r>
        <w:rPr>
          <w:rFonts w:hint="eastAsia"/>
        </w:rPr>
        <w:t>6.3.11 低电压报警功能试验</w:t>
      </w:r>
    </w:p>
    <w:p w14:paraId="024B019E">
      <w:pPr>
        <w:adjustRightInd w:val="0"/>
        <w:snapToGrid w:val="0"/>
        <w:spacing w:line="360" w:lineRule="auto"/>
        <w:ind w:firstLine="420" w:firstLineChars="200"/>
        <w:jc w:val="left"/>
      </w:pPr>
      <w:r>
        <w:rPr>
          <w:rFonts w:hint="eastAsia"/>
          <w:szCs w:val="21"/>
          <w:lang w:bidi="ar"/>
        </w:rPr>
        <w:t>按照 DL/T1578相关条款方法进行相应等级试验，</w:t>
      </w:r>
      <w:r>
        <w:rPr>
          <w:rFonts w:hint="eastAsia"/>
        </w:rPr>
        <w:t>在飞行过程中，当电池电压（或电量）低于预设告警电压（或电量）时，可在地面站或遥控手柄上报警提示。</w:t>
      </w:r>
    </w:p>
    <w:p w14:paraId="1289A8E6">
      <w:pPr>
        <w:adjustRightInd w:val="0"/>
        <w:snapToGrid w:val="0"/>
        <w:spacing w:line="360" w:lineRule="auto"/>
        <w:ind w:firstLine="420" w:firstLineChars="200"/>
        <w:jc w:val="left"/>
      </w:pPr>
      <w:r>
        <w:rPr>
          <w:rFonts w:hint="eastAsia"/>
        </w:rPr>
        <w:t>6.3.12 位置追踪功能试验</w:t>
      </w:r>
    </w:p>
    <w:p w14:paraId="46213043">
      <w:pPr>
        <w:adjustRightInd w:val="0"/>
        <w:snapToGrid w:val="0"/>
        <w:spacing w:line="360" w:lineRule="auto"/>
        <w:ind w:firstLine="420" w:firstLineChars="200"/>
        <w:jc w:val="left"/>
      </w:pPr>
      <w:r>
        <w:rPr>
          <w:rFonts w:hint="eastAsia"/>
          <w:szCs w:val="21"/>
          <w:lang w:bidi="ar"/>
        </w:rPr>
        <w:t>按照 DL/T1578相关条款方法进行相应等级试验，</w:t>
      </w:r>
      <w:r>
        <w:rPr>
          <w:rFonts w:hint="eastAsia"/>
        </w:rPr>
        <w:t>可不依赖于机载电源和数传电台，以定时自动或受控应答方式向工作人员发送多旋翼无人机位置信息：且定位偏差水平方向不大于 5m，垂直方向不大于 10m。</w:t>
      </w:r>
    </w:p>
    <w:p w14:paraId="0245475F">
      <w:pPr>
        <w:adjustRightInd w:val="0"/>
        <w:snapToGrid w:val="0"/>
        <w:spacing w:line="360" w:lineRule="auto"/>
        <w:ind w:firstLine="420" w:firstLineChars="200"/>
        <w:jc w:val="left"/>
      </w:pPr>
      <w:r>
        <w:rPr>
          <w:rFonts w:hint="eastAsia"/>
        </w:rPr>
        <w:t>6.3.13 拍照功能试验</w:t>
      </w:r>
    </w:p>
    <w:p w14:paraId="36CFB080">
      <w:pPr>
        <w:widowControl/>
        <w:adjustRightInd w:val="0"/>
        <w:snapToGrid w:val="0"/>
        <w:spacing w:line="360" w:lineRule="auto"/>
        <w:ind w:firstLine="420" w:firstLineChars="200"/>
        <w:jc w:val="left"/>
      </w:pPr>
      <w:r>
        <w:rPr>
          <w:rFonts w:hint="eastAsia"/>
          <w:szCs w:val="21"/>
          <w:lang w:bidi="ar"/>
        </w:rPr>
        <w:t>按照 DL/T1578相关条款方法进行相应等级试验，样机应</w:t>
      </w:r>
      <w:r>
        <w:rPr>
          <w:rFonts w:hint="eastAsia"/>
          <w:lang w:bidi="ar"/>
        </w:rPr>
        <w:t>具备手动拍照和定点自动拍照功能。</w:t>
      </w:r>
    </w:p>
    <w:p w14:paraId="58B2DFB0">
      <w:pPr>
        <w:adjustRightInd w:val="0"/>
        <w:snapToGrid w:val="0"/>
        <w:spacing w:line="360" w:lineRule="auto"/>
        <w:ind w:firstLine="420" w:firstLineChars="200"/>
        <w:jc w:val="left"/>
      </w:pPr>
      <w:r>
        <w:rPr>
          <w:rFonts w:hint="eastAsia"/>
        </w:rPr>
        <w:t>6.3.14 转动功能试验</w:t>
      </w:r>
    </w:p>
    <w:p w14:paraId="613C54D4">
      <w:pPr>
        <w:adjustRightInd w:val="0"/>
        <w:snapToGrid w:val="0"/>
        <w:spacing w:line="360" w:lineRule="auto"/>
        <w:ind w:firstLine="420" w:firstLineChars="200"/>
        <w:jc w:val="left"/>
      </w:pPr>
      <w:r>
        <w:rPr>
          <w:rFonts w:hint="eastAsia"/>
          <w:szCs w:val="21"/>
          <w:lang w:bidi="ar"/>
        </w:rPr>
        <w:t>按照 DL/T1578相关条款方法进行相应等级试验，样机</w:t>
      </w:r>
      <w:r>
        <w:rPr>
          <w:rFonts w:hint="eastAsia"/>
        </w:rPr>
        <w:t>应至少具备水平和俯仰两个方向的转动性能，各方向转动最大角速度不小于 30 °/s 。水平转动范围宜为 n</w:t>
      </w:r>
      <w:r>
        <w:rPr>
          <w:rFonts w:ascii="Arial" w:hAnsi="Arial" w:cs="Arial"/>
        </w:rPr>
        <w:t>×</w:t>
      </w:r>
      <w:r>
        <w:rPr>
          <w:rFonts w:hint="eastAsia"/>
        </w:rPr>
        <w:t>360° 也可为一180°~+180°; 俯仰转动范围至少为-60°~+30°。</w:t>
      </w:r>
    </w:p>
    <w:p w14:paraId="628F2673">
      <w:pPr>
        <w:adjustRightInd w:val="0"/>
        <w:snapToGrid w:val="0"/>
        <w:spacing w:line="360" w:lineRule="auto"/>
        <w:ind w:firstLine="420" w:firstLineChars="200"/>
        <w:jc w:val="left"/>
      </w:pPr>
      <w:r>
        <w:rPr>
          <w:rFonts w:hint="eastAsia"/>
        </w:rPr>
        <w:t>6.3.15 稳像精度试验</w:t>
      </w:r>
    </w:p>
    <w:p w14:paraId="28C2F706">
      <w:pPr>
        <w:adjustRightInd w:val="0"/>
        <w:snapToGrid w:val="0"/>
        <w:spacing w:line="360" w:lineRule="auto"/>
        <w:ind w:firstLine="420" w:firstLineChars="200"/>
        <w:jc w:val="left"/>
      </w:pPr>
      <w:r>
        <w:rPr>
          <w:rFonts w:hint="eastAsia"/>
          <w:szCs w:val="21"/>
          <w:lang w:bidi="ar"/>
        </w:rPr>
        <w:t>按照 DL/T1578相关条款方法进行相应等级试验，样机</w:t>
      </w:r>
      <w:r>
        <w:rPr>
          <w:rFonts w:hint="eastAsia"/>
        </w:rPr>
        <w:t>稳像精度不应低于2.0 mrad。</w:t>
      </w:r>
    </w:p>
    <w:p w14:paraId="5A8B7493">
      <w:pPr>
        <w:adjustRightInd w:val="0"/>
        <w:snapToGrid w:val="0"/>
        <w:spacing w:line="360" w:lineRule="auto"/>
        <w:ind w:firstLine="420" w:firstLineChars="200"/>
        <w:jc w:val="left"/>
      </w:pPr>
      <w:r>
        <w:rPr>
          <w:rFonts w:hint="eastAsia"/>
        </w:rPr>
        <w:t>6.3.16 可见光成像性能试验</w:t>
      </w:r>
    </w:p>
    <w:p w14:paraId="33040B9D">
      <w:pPr>
        <w:adjustRightInd w:val="0"/>
        <w:snapToGrid w:val="0"/>
        <w:spacing w:line="360" w:lineRule="auto"/>
        <w:ind w:firstLine="420" w:firstLineChars="200"/>
        <w:jc w:val="left"/>
        <w:rPr>
          <w:lang w:bidi="ar"/>
        </w:rPr>
      </w:pPr>
      <w:r>
        <w:rPr>
          <w:rFonts w:hint="eastAsia"/>
          <w:szCs w:val="21"/>
          <w:lang w:bidi="ar"/>
        </w:rPr>
        <w:t>按照 DL/T1578相关条款方法进行相应等级试验，样机挂载的</w:t>
      </w:r>
      <w:r>
        <w:rPr>
          <w:rFonts w:hint="eastAsia"/>
          <w:lang w:bidi="ar"/>
        </w:rPr>
        <w:t>可见光传感器有效像素数不低于 2000 万，具备变焦功能和自动对焦功能，在距离不小于 20m 处拍摄的影像中可清晰分辨功 .4 mm 目标，目标轮廓清晰可辨。</w:t>
      </w:r>
    </w:p>
    <w:p w14:paraId="3D3E4234">
      <w:pPr>
        <w:adjustRightInd w:val="0"/>
        <w:snapToGrid w:val="0"/>
        <w:spacing w:line="360" w:lineRule="auto"/>
        <w:ind w:firstLine="420" w:firstLineChars="200"/>
        <w:jc w:val="left"/>
        <w:rPr>
          <w:szCs w:val="21"/>
          <w:lang w:bidi="ar"/>
        </w:rPr>
      </w:pPr>
      <w:r>
        <w:rPr>
          <w:rFonts w:hint="eastAsia"/>
        </w:rPr>
        <w:t xml:space="preserve">6.3.17 </w:t>
      </w:r>
      <w:r>
        <w:rPr>
          <w:rFonts w:hint="eastAsia"/>
          <w:szCs w:val="21"/>
          <w:lang w:bidi="ar"/>
        </w:rPr>
        <w:t>红外成像性能试验</w:t>
      </w:r>
    </w:p>
    <w:p w14:paraId="187E9943">
      <w:pPr>
        <w:adjustRightInd w:val="0"/>
        <w:snapToGrid w:val="0"/>
        <w:spacing w:line="360" w:lineRule="auto"/>
        <w:ind w:firstLine="420" w:firstLineChars="200"/>
        <w:jc w:val="left"/>
      </w:pPr>
      <w:r>
        <w:rPr>
          <w:rFonts w:hint="eastAsia"/>
          <w:szCs w:val="21"/>
          <w:lang w:bidi="ar"/>
        </w:rPr>
        <w:t>按照 DL/T1578相关条款方法进行相应等级试验，样机挂载的红外传感器可为单独型式或与可见光传感器一体化型式。红外传感器的有效像素数不低于30万：具备自动对焦功能：测温范围不小于 10°~150° 、精度不低于土2° 或测量值乘以±2% （取绝对值大者）。</w:t>
      </w:r>
      <w:r>
        <w:rPr>
          <w:rFonts w:hint="eastAsia"/>
          <w:lang w:bidi="ar"/>
        </w:rPr>
        <w:t>。</w:t>
      </w:r>
    </w:p>
    <w:p w14:paraId="4BCA670C">
      <w:pPr>
        <w:adjustRightInd w:val="0"/>
        <w:snapToGrid w:val="0"/>
        <w:spacing w:line="360" w:lineRule="auto"/>
        <w:ind w:firstLine="420" w:firstLineChars="200"/>
        <w:jc w:val="left"/>
      </w:pPr>
      <w:r>
        <w:rPr>
          <w:rFonts w:hint="eastAsia"/>
        </w:rPr>
        <w:t>6.3.18 跟踪精度试验</w:t>
      </w:r>
    </w:p>
    <w:p w14:paraId="2EE00AAE">
      <w:pPr>
        <w:adjustRightInd w:val="0"/>
        <w:snapToGrid w:val="0"/>
        <w:spacing w:line="360" w:lineRule="auto"/>
        <w:ind w:firstLine="420" w:firstLineChars="200"/>
        <w:jc w:val="left"/>
        <w:rPr>
          <w:lang w:bidi="ar"/>
        </w:rPr>
      </w:pPr>
      <w:r>
        <w:rPr>
          <w:rFonts w:hint="eastAsia"/>
          <w:szCs w:val="21"/>
          <w:lang w:bidi="ar"/>
        </w:rPr>
        <w:t>按照 DL/T1578相关条款方法进行相应等级试验，样机</w:t>
      </w:r>
      <w:r>
        <w:rPr>
          <w:rFonts w:hint="eastAsia"/>
          <w:lang w:bidi="ar"/>
        </w:rPr>
        <w:t>宜具备跟踪功能，跟踪精度不低于 4.0mrad。</w:t>
      </w:r>
    </w:p>
    <w:p w14:paraId="64068E73">
      <w:pPr>
        <w:adjustRightInd w:val="0"/>
        <w:snapToGrid w:val="0"/>
        <w:spacing w:line="360" w:lineRule="auto"/>
        <w:ind w:firstLine="420" w:firstLineChars="200"/>
        <w:jc w:val="left"/>
      </w:pPr>
      <w:r>
        <w:rPr>
          <w:rFonts w:hint="eastAsia"/>
        </w:rPr>
        <w:t xml:space="preserve">6.4 </w:t>
      </w:r>
      <w:r>
        <w:t>电磁兼容试验</w:t>
      </w:r>
    </w:p>
    <w:p w14:paraId="6A93B86D">
      <w:pPr>
        <w:adjustRightInd w:val="0"/>
        <w:snapToGrid w:val="0"/>
        <w:spacing w:line="360" w:lineRule="auto"/>
        <w:ind w:firstLine="420" w:firstLineChars="200"/>
        <w:jc w:val="left"/>
      </w:pPr>
      <w:r>
        <w:rPr>
          <w:rFonts w:hint="eastAsia"/>
        </w:rPr>
        <w:t>6.4.1 射频电磁场辐射抗扰度试验</w:t>
      </w:r>
    </w:p>
    <w:p w14:paraId="401727F5">
      <w:pPr>
        <w:adjustRightInd w:val="0"/>
        <w:snapToGrid w:val="0"/>
        <w:spacing w:line="360" w:lineRule="auto"/>
        <w:ind w:firstLine="420" w:firstLineChars="200"/>
        <w:jc w:val="left"/>
        <w:rPr>
          <w:lang w:bidi="ar"/>
        </w:rPr>
      </w:pPr>
      <w:r>
        <w:rPr>
          <w:rFonts w:hint="eastAsia"/>
          <w:lang w:bidi="ar"/>
        </w:rPr>
        <w:t>按照 GB/T 17626.3 /</w:t>
      </w:r>
      <w:r>
        <w:rPr>
          <w:rFonts w:hint="eastAsia"/>
          <w:szCs w:val="21"/>
          <w:lang w:bidi="ar"/>
        </w:rPr>
        <w:t>DL/T1578</w:t>
      </w:r>
      <w:r>
        <w:rPr>
          <w:rFonts w:hint="eastAsia"/>
          <w:lang w:bidi="ar"/>
        </w:rPr>
        <w:t>的相关条款方法进行试验，</w:t>
      </w:r>
      <w:r>
        <w:rPr>
          <w:rFonts w:hint="eastAsia"/>
          <w:szCs w:val="21"/>
          <w:lang w:bidi="ar"/>
        </w:rPr>
        <w:t>样机</w:t>
      </w:r>
      <w:r>
        <w:rPr>
          <w:rFonts w:hint="eastAsia"/>
          <w:lang w:bidi="ar"/>
        </w:rPr>
        <w:t>试验结果不低于B级。</w:t>
      </w:r>
    </w:p>
    <w:p w14:paraId="5364AD3B">
      <w:pPr>
        <w:adjustRightInd w:val="0"/>
        <w:snapToGrid w:val="0"/>
        <w:spacing w:line="360" w:lineRule="auto"/>
        <w:ind w:firstLine="420" w:firstLineChars="200"/>
        <w:jc w:val="left"/>
      </w:pPr>
      <w:r>
        <w:rPr>
          <w:rFonts w:hint="eastAsia"/>
        </w:rPr>
        <w:t>6.4.2 静电放电抗扰度</w:t>
      </w:r>
    </w:p>
    <w:p w14:paraId="5856985C">
      <w:pPr>
        <w:adjustRightInd w:val="0"/>
        <w:snapToGrid w:val="0"/>
        <w:spacing w:line="360" w:lineRule="auto"/>
        <w:ind w:firstLine="420" w:firstLineChars="200"/>
        <w:jc w:val="left"/>
        <w:rPr>
          <w:lang w:bidi="ar"/>
        </w:rPr>
      </w:pPr>
      <w:r>
        <w:rPr>
          <w:rFonts w:hint="eastAsia"/>
          <w:lang w:bidi="ar"/>
        </w:rPr>
        <w:t>按照 GB/T 17626.2/</w:t>
      </w:r>
      <w:r>
        <w:rPr>
          <w:rFonts w:hint="eastAsia"/>
          <w:szCs w:val="21"/>
          <w:lang w:bidi="ar"/>
        </w:rPr>
        <w:t>DL/T1578</w:t>
      </w:r>
      <w:r>
        <w:rPr>
          <w:rFonts w:hint="eastAsia"/>
          <w:lang w:bidi="ar"/>
        </w:rPr>
        <w:t xml:space="preserve"> 的相关条款方法进行试验，</w:t>
      </w:r>
      <w:r>
        <w:rPr>
          <w:rFonts w:hint="eastAsia"/>
          <w:szCs w:val="21"/>
          <w:lang w:bidi="ar"/>
        </w:rPr>
        <w:t>样机</w:t>
      </w:r>
      <w:r>
        <w:rPr>
          <w:rFonts w:hint="eastAsia"/>
          <w:lang w:bidi="ar"/>
        </w:rPr>
        <w:t>试验结果不低于A级。</w:t>
      </w:r>
    </w:p>
    <w:p w14:paraId="0D1FD8CB">
      <w:pPr>
        <w:adjustRightInd w:val="0"/>
        <w:snapToGrid w:val="0"/>
        <w:spacing w:line="360" w:lineRule="auto"/>
        <w:ind w:firstLine="420" w:firstLineChars="200"/>
        <w:jc w:val="left"/>
      </w:pPr>
      <w:r>
        <w:rPr>
          <w:rFonts w:hint="eastAsia"/>
        </w:rPr>
        <w:t>6.4.3 脉冲磁场抗扰度</w:t>
      </w:r>
    </w:p>
    <w:p w14:paraId="19CC8F48">
      <w:pPr>
        <w:adjustRightInd w:val="0"/>
        <w:snapToGrid w:val="0"/>
        <w:spacing w:line="360" w:lineRule="auto"/>
        <w:ind w:firstLine="420" w:firstLineChars="200"/>
        <w:jc w:val="left"/>
        <w:rPr>
          <w:lang w:bidi="ar"/>
        </w:rPr>
      </w:pPr>
      <w:r>
        <w:rPr>
          <w:rFonts w:hint="eastAsia"/>
          <w:lang w:bidi="ar"/>
        </w:rPr>
        <w:t>按照 GB/T 17626.9 /</w:t>
      </w:r>
      <w:r>
        <w:rPr>
          <w:rFonts w:hint="eastAsia"/>
          <w:szCs w:val="21"/>
          <w:lang w:bidi="ar"/>
        </w:rPr>
        <w:t>DL/T1578</w:t>
      </w:r>
      <w:r>
        <w:rPr>
          <w:rFonts w:hint="eastAsia"/>
          <w:lang w:bidi="ar"/>
        </w:rPr>
        <w:t>的相关条款方法进行试验，</w:t>
      </w:r>
      <w:r>
        <w:rPr>
          <w:rFonts w:hint="eastAsia"/>
          <w:szCs w:val="21"/>
          <w:lang w:bidi="ar"/>
        </w:rPr>
        <w:t>样机</w:t>
      </w:r>
      <w:r>
        <w:rPr>
          <w:rFonts w:hint="eastAsia"/>
          <w:lang w:bidi="ar"/>
        </w:rPr>
        <w:t>试验结果不低于A级。</w:t>
      </w:r>
    </w:p>
    <w:p w14:paraId="57A18516">
      <w:pPr>
        <w:adjustRightInd w:val="0"/>
        <w:snapToGrid w:val="0"/>
        <w:spacing w:line="360" w:lineRule="auto"/>
        <w:ind w:firstLine="420" w:firstLineChars="200"/>
        <w:jc w:val="left"/>
      </w:pPr>
      <w:r>
        <w:rPr>
          <w:rFonts w:hint="eastAsia"/>
        </w:rPr>
        <w:t>6.4.4 工频磁场抗扰度</w:t>
      </w:r>
    </w:p>
    <w:p w14:paraId="6A7B8537">
      <w:pPr>
        <w:adjustRightInd w:val="0"/>
        <w:snapToGrid w:val="0"/>
        <w:spacing w:line="360" w:lineRule="auto"/>
        <w:ind w:firstLine="420" w:firstLineChars="200"/>
        <w:jc w:val="left"/>
        <w:rPr>
          <w:lang w:bidi="ar"/>
        </w:rPr>
      </w:pPr>
      <w:r>
        <w:rPr>
          <w:rFonts w:hint="eastAsia"/>
          <w:lang w:bidi="ar"/>
        </w:rPr>
        <w:t>按照 GB 17626.8/</w:t>
      </w:r>
      <w:r>
        <w:rPr>
          <w:rFonts w:hint="eastAsia"/>
          <w:szCs w:val="21"/>
          <w:lang w:bidi="ar"/>
        </w:rPr>
        <w:t>DL/T1578</w:t>
      </w:r>
      <w:r>
        <w:rPr>
          <w:rFonts w:hint="eastAsia"/>
          <w:lang w:bidi="ar"/>
        </w:rPr>
        <w:t xml:space="preserve"> 的相关条款方法进行试验，</w:t>
      </w:r>
      <w:r>
        <w:rPr>
          <w:rFonts w:hint="eastAsia"/>
          <w:szCs w:val="21"/>
          <w:lang w:bidi="ar"/>
        </w:rPr>
        <w:t>样机</w:t>
      </w:r>
      <w:r>
        <w:rPr>
          <w:rFonts w:hint="eastAsia"/>
          <w:lang w:bidi="ar"/>
        </w:rPr>
        <w:t>试验结果不低于A级。</w:t>
      </w:r>
    </w:p>
    <w:p w14:paraId="1FB28239">
      <w:pPr>
        <w:adjustRightInd w:val="0"/>
        <w:snapToGrid w:val="0"/>
        <w:spacing w:line="360" w:lineRule="auto"/>
        <w:ind w:firstLine="420" w:firstLineChars="200"/>
        <w:jc w:val="left"/>
      </w:pPr>
      <w:r>
        <w:rPr>
          <w:rFonts w:hint="eastAsia"/>
        </w:rPr>
        <w:t>6.5 性能试验</w:t>
      </w:r>
    </w:p>
    <w:p w14:paraId="1E3A861F">
      <w:pPr>
        <w:adjustRightInd w:val="0"/>
        <w:snapToGrid w:val="0"/>
        <w:spacing w:line="360" w:lineRule="auto"/>
        <w:ind w:firstLine="420" w:firstLineChars="200"/>
        <w:jc w:val="left"/>
      </w:pPr>
      <w:r>
        <w:rPr>
          <w:rFonts w:hint="eastAsia"/>
        </w:rPr>
        <w:t xml:space="preserve">6.5.1 </w:t>
      </w:r>
      <w:r>
        <w:rPr>
          <w:kern w:val="0"/>
          <w:szCs w:val="21"/>
        </w:rPr>
        <w:t>地面站软件性能试验</w:t>
      </w:r>
    </w:p>
    <w:p w14:paraId="46381CB1">
      <w:pPr>
        <w:adjustRightInd w:val="0"/>
        <w:snapToGrid w:val="0"/>
        <w:spacing w:line="360" w:lineRule="auto"/>
        <w:ind w:firstLine="420" w:firstLineChars="200"/>
        <w:jc w:val="left"/>
      </w:pPr>
      <w:r>
        <w:rPr>
          <w:rFonts w:hint="eastAsia"/>
        </w:rPr>
        <w:t xml:space="preserve">（1） </w:t>
      </w:r>
      <w:r>
        <w:rPr>
          <w:rFonts w:hint="eastAsia"/>
          <w:szCs w:val="21"/>
          <w:lang w:bidi="ar"/>
        </w:rPr>
        <w:t>按照 DL/T1578相关条款方法进行相应等级试验，</w:t>
      </w:r>
      <w:r>
        <w:rPr>
          <w:rFonts w:hint="eastAsia"/>
        </w:rPr>
        <w:t>样机应具备当前位置坐标、飞行高度（可为相对高度，也可为绝对高度;相对高度可为负值，绝对高度采用 CGCS2000 坐标系高度）、飞行速度、飞行航向和航迹、剩余电量、导航定位信号强度等参数的实时显示和记录。</w:t>
      </w:r>
    </w:p>
    <w:p w14:paraId="71B18C70">
      <w:pPr>
        <w:adjustRightInd w:val="0"/>
        <w:snapToGrid w:val="0"/>
        <w:spacing w:line="360" w:lineRule="auto"/>
        <w:ind w:firstLine="420" w:firstLineChars="200"/>
        <w:jc w:val="left"/>
      </w:pPr>
      <w:r>
        <w:rPr>
          <w:rFonts w:hint="eastAsia"/>
        </w:rPr>
        <w:t xml:space="preserve">（2） </w:t>
      </w:r>
      <w:r>
        <w:rPr>
          <w:rFonts w:hint="eastAsia"/>
          <w:szCs w:val="21"/>
          <w:lang w:bidi="ar"/>
        </w:rPr>
        <w:t>按照 DL/T1578相关条款方法进行相应等级试验，地面站软件应</w:t>
      </w:r>
      <w:r>
        <w:rPr>
          <w:rFonts w:hint="eastAsia"/>
        </w:rPr>
        <w:t>具备电池实时监控管理功能，可对电池电压、充放电次数等进行实时查询和管理。</w:t>
      </w:r>
    </w:p>
    <w:p w14:paraId="4365923C">
      <w:pPr>
        <w:adjustRightInd w:val="0"/>
        <w:snapToGrid w:val="0"/>
        <w:spacing w:line="360" w:lineRule="auto"/>
        <w:ind w:firstLine="420" w:firstLineChars="200"/>
        <w:jc w:val="left"/>
      </w:pPr>
      <w:r>
        <w:rPr>
          <w:rFonts w:hint="eastAsia"/>
        </w:rPr>
        <w:t xml:space="preserve">（3） </w:t>
      </w:r>
      <w:r>
        <w:rPr>
          <w:rFonts w:hint="eastAsia"/>
          <w:szCs w:val="21"/>
          <w:lang w:bidi="ar"/>
        </w:rPr>
        <w:t>按照 DL/T1578相关条款方法进行相应等级试验，地面站软件应对</w:t>
      </w:r>
      <w:r>
        <w:rPr>
          <w:rFonts w:hint="eastAsia"/>
        </w:rPr>
        <w:t>拍摄的可见光影像、红外影像（含热图数据）及飞行日志数据可存储、导出和分析。</w:t>
      </w:r>
    </w:p>
    <w:p w14:paraId="2AA7D0DB">
      <w:pPr>
        <w:adjustRightInd w:val="0"/>
        <w:snapToGrid w:val="0"/>
        <w:spacing w:line="360" w:lineRule="auto"/>
        <w:ind w:firstLine="420" w:firstLineChars="200"/>
        <w:jc w:val="left"/>
      </w:pPr>
      <w:r>
        <w:rPr>
          <w:rFonts w:hint="eastAsia"/>
          <w:lang w:bidi="ar"/>
        </w:rPr>
        <w:t>（4） 多旋翼无人机位置及偏离角、云台俯仰角及偏转角等信息宜记录至拍摄影像的属性中</w:t>
      </w:r>
      <w:r>
        <w:rPr>
          <w:rFonts w:hint="eastAsia"/>
        </w:rPr>
        <w:t>。</w:t>
      </w:r>
    </w:p>
    <w:p w14:paraId="030418DC">
      <w:pPr>
        <w:adjustRightInd w:val="0"/>
        <w:snapToGrid w:val="0"/>
        <w:spacing w:line="360" w:lineRule="auto"/>
        <w:ind w:firstLine="420" w:firstLineChars="200"/>
        <w:jc w:val="left"/>
        <w:rPr>
          <w:kern w:val="0"/>
          <w:szCs w:val="21"/>
        </w:rPr>
      </w:pPr>
      <w:r>
        <w:rPr>
          <w:rFonts w:hint="eastAsia"/>
          <w:kern w:val="0"/>
          <w:szCs w:val="21"/>
        </w:rPr>
        <w:t>6.5.2 动力电池性能试验</w:t>
      </w:r>
    </w:p>
    <w:p w14:paraId="4F3A6558">
      <w:pPr>
        <w:adjustRightInd w:val="0"/>
        <w:snapToGrid w:val="0"/>
        <w:spacing w:line="360" w:lineRule="auto"/>
        <w:ind w:firstLine="420" w:firstLineChars="200"/>
        <w:jc w:val="left"/>
      </w:pPr>
      <w:r>
        <w:rPr>
          <w:rFonts w:hint="eastAsia"/>
        </w:rPr>
        <w:t xml:space="preserve"> </w:t>
      </w:r>
      <w:r>
        <w:rPr>
          <w:rFonts w:hint="eastAsia"/>
          <w:lang w:bidi="ar"/>
        </w:rPr>
        <w:t>按照 DL/T1578相关条</w:t>
      </w:r>
      <w:r>
        <w:rPr>
          <w:rFonts w:hint="eastAsia"/>
          <w:szCs w:val="21"/>
          <w:lang w:bidi="ar"/>
        </w:rPr>
        <w:t>款方法进行相应等级试验，</w:t>
      </w:r>
      <w:r>
        <w:rPr>
          <w:rFonts w:hint="eastAsia"/>
        </w:rPr>
        <w:t>样机动力电池外观特性应具有电源正负极标识，电池接头采取防松脱、防误插措施；在电性能试验中，23°快速放电容量试验不低于电池规格书规定的额定值，且不高于额定值的110%，-20°快速放电容量试验不低于电池规格书规定的额定值的70%，55°快速放电容量试验不低于电池规格书规定的额定值的95%，循环寿命的循环次数不小于300；在环境适应性的低气压试验、温度冲击试验、耐振动性试验中，电池均不出现变形、鼓包、漏液、破裂、起火、爆炸等现象；在安全性的过电压充电试验、欠电压放电试验、外部短路试验、挤压试验、加速度冲击试验、跌落试验中，电池均不出现变形、鼓包、漏液、破裂、起火、爆炸等现象。</w:t>
      </w:r>
    </w:p>
    <w:p w14:paraId="0E4ECE5F">
      <w:pPr>
        <w:adjustRightInd w:val="0"/>
        <w:snapToGrid w:val="0"/>
        <w:spacing w:line="360" w:lineRule="auto"/>
        <w:ind w:firstLine="420" w:firstLineChars="200"/>
        <w:jc w:val="left"/>
      </w:pPr>
      <w:r>
        <w:rPr>
          <w:rFonts w:hint="eastAsia"/>
        </w:rPr>
        <w:t xml:space="preserve">6.5.3 </w:t>
      </w:r>
      <w:r>
        <w:rPr>
          <w:rFonts w:hint="eastAsia"/>
          <w:kern w:val="0"/>
          <w:szCs w:val="21"/>
        </w:rPr>
        <w:t>机械耐受性能试验</w:t>
      </w:r>
    </w:p>
    <w:p w14:paraId="004FBE20">
      <w:pPr>
        <w:adjustRightInd w:val="0"/>
        <w:snapToGrid w:val="0"/>
        <w:spacing w:line="360" w:lineRule="auto"/>
        <w:ind w:firstLine="420" w:firstLineChars="200"/>
        <w:jc w:val="left"/>
      </w:pPr>
      <w:r>
        <w:rPr>
          <w:rFonts w:hint="eastAsia"/>
          <w:lang w:bidi="ar"/>
        </w:rPr>
        <w:t xml:space="preserve">按照 </w:t>
      </w:r>
      <w:r>
        <w:rPr>
          <w:rFonts w:hint="eastAsia"/>
          <w:szCs w:val="21"/>
          <w:lang w:bidi="ar"/>
        </w:rPr>
        <w:t>DL/T1578</w:t>
      </w:r>
      <w:r>
        <w:rPr>
          <w:rFonts w:hint="eastAsia"/>
          <w:lang w:bidi="ar"/>
        </w:rPr>
        <w:t xml:space="preserve"> 的相关条款方法进行试验，样机无变形和裂纹等现象，插接件、紧固件等无开裂、松落等现象，显示屏无变形、开裂、花屏等现象，样机操控响应正常，任务设备转动、拍摄等功能正常。</w:t>
      </w:r>
    </w:p>
    <w:p w14:paraId="0E3D7A2A">
      <w:pPr>
        <w:adjustRightInd w:val="0"/>
        <w:snapToGrid w:val="0"/>
        <w:spacing w:line="360" w:lineRule="auto"/>
        <w:ind w:firstLine="420" w:firstLineChars="200"/>
        <w:jc w:val="left"/>
      </w:pPr>
      <w:r>
        <w:rPr>
          <w:rFonts w:hint="eastAsia"/>
        </w:rPr>
        <w:t>6.5.4 跌落</w:t>
      </w:r>
      <w:r>
        <w:rPr>
          <w:rFonts w:hint="eastAsia"/>
          <w:kern w:val="0"/>
          <w:szCs w:val="21"/>
        </w:rPr>
        <w:t>性能试验</w:t>
      </w:r>
    </w:p>
    <w:p w14:paraId="67845B00">
      <w:pPr>
        <w:adjustRightInd w:val="0"/>
        <w:snapToGrid w:val="0"/>
        <w:spacing w:line="360" w:lineRule="auto"/>
        <w:ind w:firstLine="420" w:firstLineChars="200"/>
        <w:rPr>
          <w:lang w:bidi="ar"/>
        </w:rPr>
      </w:pPr>
      <w:r>
        <w:rPr>
          <w:rFonts w:hint="eastAsia"/>
          <w:lang w:bidi="ar"/>
        </w:rPr>
        <w:t xml:space="preserve">按照 </w:t>
      </w:r>
      <w:r>
        <w:rPr>
          <w:rFonts w:hint="eastAsia"/>
          <w:szCs w:val="21"/>
          <w:lang w:bidi="ar"/>
        </w:rPr>
        <w:t>DL/T1578</w:t>
      </w:r>
      <w:r>
        <w:rPr>
          <w:rFonts w:hint="eastAsia"/>
          <w:lang w:bidi="ar"/>
        </w:rPr>
        <w:t xml:space="preserve"> 的相关条款方法进行试验，</w:t>
      </w:r>
      <w:r>
        <w:rPr>
          <w:rFonts w:hint="eastAsia"/>
          <w:szCs w:val="21"/>
          <w:lang w:bidi="ar"/>
        </w:rPr>
        <w:t>储运包</w:t>
      </w:r>
      <w:r>
        <w:rPr>
          <w:rFonts w:hint="eastAsia"/>
          <w:lang w:bidi="ar"/>
        </w:rPr>
        <w:t>无变形、裂纹和破损屏等现像，样机无变形和裂纹等现象，插接件、紧固件等无开裂、松落等现象，显示屏无变形、开裂、花屏等现象，样机操控响应正常，任务设备转动、拍摄等功能正常。</w:t>
      </w:r>
    </w:p>
    <w:bookmarkEnd w:id="114"/>
    <w:bookmarkEnd w:id="115"/>
    <w:bookmarkEnd w:id="116"/>
    <w:p w14:paraId="5BA3EA9E">
      <w:pPr>
        <w:spacing w:line="480" w:lineRule="auto"/>
        <w:outlineLvl w:val="0"/>
        <w:rPr>
          <w:rFonts w:eastAsia="黑体"/>
          <w:b/>
          <w:bCs/>
          <w:szCs w:val="21"/>
        </w:rPr>
      </w:pPr>
      <w:bookmarkStart w:id="117" w:name="_Toc222993075"/>
      <w:bookmarkStart w:id="118" w:name="_Toc66780575"/>
      <w:bookmarkStart w:id="119" w:name="_Toc5506"/>
      <w:bookmarkStart w:id="120" w:name="_Toc11570"/>
      <w:bookmarkStart w:id="121" w:name="_Toc21680"/>
      <w:bookmarkStart w:id="122" w:name="_Toc76025497"/>
      <w:r>
        <w:rPr>
          <w:rFonts w:eastAsia="黑体"/>
          <w:b/>
          <w:bCs/>
          <w:szCs w:val="21"/>
        </w:rPr>
        <w:t xml:space="preserve">7 </w:t>
      </w:r>
      <w:r>
        <w:rPr>
          <w:rFonts w:hint="eastAsia" w:eastAsia="黑体"/>
          <w:b/>
          <w:bCs/>
          <w:szCs w:val="21"/>
        </w:rPr>
        <w:t>检验规则</w:t>
      </w:r>
      <w:bookmarkEnd w:id="117"/>
    </w:p>
    <w:p w14:paraId="3A6C96BA">
      <w:pPr>
        <w:adjustRightInd w:val="0"/>
        <w:snapToGrid w:val="0"/>
        <w:spacing w:line="360" w:lineRule="auto"/>
        <w:ind w:firstLine="420" w:firstLineChars="200"/>
      </w:pPr>
      <w:r>
        <w:rPr>
          <w:rFonts w:hint="eastAsia"/>
        </w:rPr>
        <w:t>试验按IEC、GB、DL、中国南方电网企业标准和其他有关标准进行，本技术条件要求的试验，其试验费用由供货方承担。试验应出具详细记载试验方法、测试过程数据和正式的试验报告。</w:t>
      </w:r>
    </w:p>
    <w:p w14:paraId="72DF238D">
      <w:pPr>
        <w:snapToGrid w:val="0"/>
        <w:spacing w:line="360" w:lineRule="auto"/>
        <w:ind w:firstLine="420" w:firstLineChars="200"/>
        <w:jc w:val="left"/>
      </w:pPr>
      <w:r>
        <w:rPr>
          <w:rFonts w:hint="eastAsia"/>
        </w:rPr>
        <w:t>无人机试验</w:t>
      </w:r>
      <w:r>
        <w:t>分为</w:t>
      </w:r>
      <w:r>
        <w:rPr>
          <w:rFonts w:hint="eastAsia"/>
        </w:rPr>
        <w:t>型式试验、</w:t>
      </w:r>
      <w:r>
        <w:t>出厂试验</w:t>
      </w:r>
      <w:r>
        <w:rPr>
          <w:rFonts w:hint="eastAsia"/>
        </w:rPr>
        <w:t>、送样检测、专项抽检和到货抽检，具体检测项目如表7.1所示，试验方法和要求参照</w:t>
      </w:r>
      <w:r>
        <w:rPr>
          <w:rFonts w:hint="eastAsia"/>
          <w:szCs w:val="21"/>
        </w:rPr>
        <w:t>DL/T 1578-2021</w:t>
      </w:r>
      <w:r>
        <w:rPr>
          <w:rFonts w:hint="eastAsia"/>
          <w:szCs w:val="21"/>
        </w:rPr>
        <w:tab/>
      </w:r>
      <w:r>
        <w:rPr>
          <w:rFonts w:hint="eastAsia"/>
          <w:szCs w:val="21"/>
        </w:rPr>
        <w:t>架空电力线路多旋翼无人机巡检系统等</w:t>
      </w:r>
      <w:r>
        <w:rPr>
          <w:rFonts w:hint="eastAsia"/>
        </w:rPr>
        <w:t>相关标准执行。</w:t>
      </w:r>
    </w:p>
    <w:p w14:paraId="7563CB16">
      <w:pPr>
        <w:adjustRightInd w:val="0"/>
        <w:snapToGrid w:val="0"/>
        <w:spacing w:line="360" w:lineRule="auto"/>
        <w:ind w:firstLine="420" w:firstLineChars="200"/>
        <w:rPr>
          <w:szCs w:val="21"/>
        </w:rPr>
      </w:pPr>
      <w:r>
        <w:rPr>
          <w:rFonts w:hint="eastAsia"/>
        </w:rPr>
        <w:t>验收检验在合同规定时间内</w:t>
      </w:r>
      <w:r>
        <w:rPr>
          <w:rFonts w:hint="eastAsia"/>
          <w:lang w:val="zh-CN"/>
        </w:rPr>
        <w:t>所有性能指标达到本规范技术要求时，方可进行验收；投标方根据招标方的要求提供建议及做好验收前的相关准备工作，验收过程中投标方在投标文件中声明响应的指标任意一项未通过测试，则视为不合格；验收测试合格后方能交付项目单位，同时双方签署验收证明，对于验收整改问题需按招标方要求限期整改或更换。</w:t>
      </w:r>
      <w:bookmarkEnd w:id="118"/>
      <w:bookmarkEnd w:id="119"/>
      <w:bookmarkEnd w:id="120"/>
      <w:bookmarkEnd w:id="121"/>
      <w:bookmarkEnd w:id="122"/>
    </w:p>
    <w:p w14:paraId="1072F65E">
      <w:pPr>
        <w:jc w:val="center"/>
      </w:pPr>
      <w:r>
        <w:rPr>
          <w:szCs w:val="21"/>
        </w:rPr>
        <w:t>表</w:t>
      </w:r>
      <w:r>
        <w:rPr>
          <w:rFonts w:hint="eastAsia"/>
          <w:szCs w:val="21"/>
        </w:rPr>
        <w:t>7</w:t>
      </w:r>
      <w:r>
        <w:rPr>
          <w:szCs w:val="21"/>
        </w:rPr>
        <w:t xml:space="preserve">.1  </w:t>
      </w:r>
      <w:r>
        <w:rPr>
          <w:szCs w:val="21"/>
        </w:rPr>
        <w:tab/>
      </w:r>
      <w:r>
        <w:rPr>
          <w:rFonts w:hint="eastAsia"/>
        </w:rPr>
        <w:t>无人机</w:t>
      </w:r>
      <w:r>
        <w:rPr>
          <w:rFonts w:hint="eastAsia"/>
          <w:szCs w:val="21"/>
        </w:rPr>
        <w:t>检测项目</w:t>
      </w:r>
    </w:p>
    <w:tbl>
      <w:tblPr>
        <w:tblStyle w:val="57"/>
        <w:tblW w:w="934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58"/>
        <w:gridCol w:w="970"/>
        <w:gridCol w:w="2457"/>
        <w:gridCol w:w="917"/>
        <w:gridCol w:w="960"/>
        <w:gridCol w:w="845"/>
        <w:gridCol w:w="880"/>
        <w:gridCol w:w="880"/>
        <w:gridCol w:w="880"/>
      </w:tblGrid>
      <w:tr w14:paraId="74C8D5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88" w:hRule="atLeast"/>
          <w:jc w:val="center"/>
        </w:trPr>
        <w:tc>
          <w:tcPr>
            <w:tcW w:w="3985" w:type="dxa"/>
            <w:gridSpan w:val="3"/>
            <w:vMerge w:val="restart"/>
            <w:vAlign w:val="center"/>
          </w:tcPr>
          <w:p w14:paraId="256232DE">
            <w:pPr>
              <w:jc w:val="center"/>
              <w:rPr>
                <w:kern w:val="0"/>
                <w:sz w:val="20"/>
                <w:szCs w:val="20"/>
              </w:rPr>
            </w:pPr>
            <w:r>
              <w:rPr>
                <w:kern w:val="0"/>
                <w:sz w:val="20"/>
                <w:szCs w:val="20"/>
              </w:rPr>
              <w:t>试验项目</w:t>
            </w:r>
          </w:p>
        </w:tc>
        <w:tc>
          <w:tcPr>
            <w:tcW w:w="5362" w:type="dxa"/>
            <w:gridSpan w:val="6"/>
            <w:vAlign w:val="center"/>
          </w:tcPr>
          <w:p w14:paraId="43462366">
            <w:pPr>
              <w:jc w:val="center"/>
              <w:rPr>
                <w:kern w:val="0"/>
                <w:sz w:val="20"/>
                <w:szCs w:val="20"/>
              </w:rPr>
            </w:pPr>
            <w:r>
              <w:rPr>
                <w:rFonts w:hint="eastAsia"/>
                <w:kern w:val="0"/>
                <w:sz w:val="20"/>
                <w:szCs w:val="20"/>
              </w:rPr>
              <w:t>试验类型</w:t>
            </w:r>
          </w:p>
        </w:tc>
      </w:tr>
      <w:tr w14:paraId="32C212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88" w:hRule="atLeast"/>
          <w:jc w:val="center"/>
        </w:trPr>
        <w:tc>
          <w:tcPr>
            <w:tcW w:w="3985" w:type="dxa"/>
            <w:gridSpan w:val="3"/>
            <w:vMerge w:val="continue"/>
            <w:vAlign w:val="center"/>
          </w:tcPr>
          <w:p w14:paraId="57A40024">
            <w:pPr>
              <w:widowControl/>
              <w:jc w:val="center"/>
              <w:rPr>
                <w:kern w:val="0"/>
                <w:sz w:val="20"/>
                <w:szCs w:val="20"/>
              </w:rPr>
            </w:pPr>
          </w:p>
        </w:tc>
        <w:tc>
          <w:tcPr>
            <w:tcW w:w="917" w:type="dxa"/>
            <w:vAlign w:val="center"/>
          </w:tcPr>
          <w:p w14:paraId="49A639D2">
            <w:pPr>
              <w:jc w:val="center"/>
              <w:rPr>
                <w:kern w:val="0"/>
                <w:sz w:val="20"/>
                <w:szCs w:val="20"/>
              </w:rPr>
            </w:pPr>
            <w:r>
              <w:rPr>
                <w:rFonts w:hint="eastAsia"/>
                <w:kern w:val="0"/>
                <w:sz w:val="20"/>
                <w:szCs w:val="20"/>
              </w:rPr>
              <w:t>依据条款</w:t>
            </w:r>
          </w:p>
        </w:tc>
        <w:tc>
          <w:tcPr>
            <w:tcW w:w="960" w:type="dxa"/>
            <w:vAlign w:val="center"/>
          </w:tcPr>
          <w:p w14:paraId="090517D7">
            <w:pPr>
              <w:jc w:val="center"/>
              <w:rPr>
                <w:kern w:val="0"/>
                <w:sz w:val="20"/>
                <w:szCs w:val="20"/>
              </w:rPr>
            </w:pPr>
            <w:r>
              <w:rPr>
                <w:rFonts w:hint="eastAsia"/>
                <w:kern w:val="0"/>
                <w:sz w:val="20"/>
                <w:szCs w:val="20"/>
              </w:rPr>
              <w:t>型式试验</w:t>
            </w:r>
          </w:p>
        </w:tc>
        <w:tc>
          <w:tcPr>
            <w:tcW w:w="845" w:type="dxa"/>
            <w:vAlign w:val="center"/>
          </w:tcPr>
          <w:p w14:paraId="237051D3">
            <w:pPr>
              <w:jc w:val="center"/>
              <w:rPr>
                <w:kern w:val="0"/>
                <w:sz w:val="20"/>
                <w:szCs w:val="20"/>
              </w:rPr>
            </w:pPr>
            <w:r>
              <w:rPr>
                <w:rFonts w:hint="eastAsia"/>
                <w:kern w:val="0"/>
                <w:sz w:val="20"/>
                <w:szCs w:val="20"/>
              </w:rPr>
              <w:t>出厂试验</w:t>
            </w:r>
          </w:p>
        </w:tc>
        <w:tc>
          <w:tcPr>
            <w:tcW w:w="880" w:type="dxa"/>
            <w:vAlign w:val="center"/>
          </w:tcPr>
          <w:p w14:paraId="26FFC067">
            <w:pPr>
              <w:jc w:val="center"/>
              <w:rPr>
                <w:kern w:val="0"/>
                <w:sz w:val="20"/>
                <w:szCs w:val="20"/>
              </w:rPr>
            </w:pPr>
            <w:r>
              <w:rPr>
                <w:rFonts w:hint="eastAsia"/>
                <w:kern w:val="0"/>
                <w:sz w:val="20"/>
                <w:szCs w:val="20"/>
              </w:rPr>
              <w:t>送样检测</w:t>
            </w:r>
          </w:p>
        </w:tc>
        <w:tc>
          <w:tcPr>
            <w:tcW w:w="880" w:type="dxa"/>
            <w:vAlign w:val="center"/>
          </w:tcPr>
          <w:p w14:paraId="3C850476">
            <w:pPr>
              <w:jc w:val="center"/>
              <w:rPr>
                <w:kern w:val="0"/>
                <w:sz w:val="20"/>
                <w:szCs w:val="20"/>
              </w:rPr>
            </w:pPr>
            <w:r>
              <w:rPr>
                <w:rFonts w:hint="eastAsia"/>
                <w:kern w:val="0"/>
                <w:sz w:val="20"/>
                <w:szCs w:val="20"/>
              </w:rPr>
              <w:t>专项抽检</w:t>
            </w:r>
          </w:p>
        </w:tc>
        <w:tc>
          <w:tcPr>
            <w:tcW w:w="880" w:type="dxa"/>
            <w:vAlign w:val="center"/>
          </w:tcPr>
          <w:p w14:paraId="560902ED">
            <w:pPr>
              <w:jc w:val="center"/>
              <w:rPr>
                <w:kern w:val="0"/>
                <w:sz w:val="20"/>
                <w:szCs w:val="20"/>
              </w:rPr>
            </w:pPr>
            <w:r>
              <w:rPr>
                <w:rFonts w:hint="eastAsia"/>
                <w:kern w:val="0"/>
                <w:sz w:val="20"/>
                <w:szCs w:val="20"/>
              </w:rPr>
              <w:t>到货抽检</w:t>
            </w:r>
          </w:p>
        </w:tc>
      </w:tr>
      <w:tr w14:paraId="52509B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jc w:val="center"/>
        </w:trPr>
        <w:tc>
          <w:tcPr>
            <w:tcW w:w="558" w:type="dxa"/>
            <w:vMerge w:val="restart"/>
            <w:vAlign w:val="center"/>
          </w:tcPr>
          <w:p w14:paraId="5A53ECE9">
            <w:pPr>
              <w:widowControl/>
              <w:jc w:val="center"/>
              <w:rPr>
                <w:kern w:val="0"/>
                <w:sz w:val="20"/>
                <w:szCs w:val="20"/>
              </w:rPr>
            </w:pPr>
            <w:r>
              <w:rPr>
                <w:kern w:val="0"/>
                <w:sz w:val="20"/>
                <w:szCs w:val="20"/>
              </w:rPr>
              <w:t>一般要求</w:t>
            </w:r>
          </w:p>
        </w:tc>
        <w:tc>
          <w:tcPr>
            <w:tcW w:w="3427" w:type="dxa"/>
            <w:gridSpan w:val="2"/>
            <w:vAlign w:val="center"/>
          </w:tcPr>
          <w:p w14:paraId="60B493F7">
            <w:pPr>
              <w:widowControl/>
              <w:jc w:val="center"/>
              <w:rPr>
                <w:kern w:val="0"/>
                <w:sz w:val="20"/>
                <w:szCs w:val="20"/>
              </w:rPr>
            </w:pPr>
            <w:r>
              <w:rPr>
                <w:kern w:val="0"/>
                <w:sz w:val="20"/>
                <w:szCs w:val="20"/>
              </w:rPr>
              <w:t>外观特性试验</w:t>
            </w:r>
          </w:p>
        </w:tc>
        <w:tc>
          <w:tcPr>
            <w:tcW w:w="917" w:type="dxa"/>
            <w:vAlign w:val="center"/>
          </w:tcPr>
          <w:p w14:paraId="0A9D4519">
            <w:pPr>
              <w:widowControl/>
              <w:jc w:val="center"/>
              <w:rPr>
                <w:kern w:val="0"/>
                <w:sz w:val="20"/>
                <w:szCs w:val="20"/>
              </w:rPr>
            </w:pPr>
            <w:r>
              <w:rPr>
                <w:rFonts w:hint="eastAsia"/>
                <w:kern w:val="0"/>
                <w:sz w:val="20"/>
                <w:szCs w:val="20"/>
              </w:rPr>
              <w:t>6.1</w:t>
            </w:r>
          </w:p>
        </w:tc>
        <w:tc>
          <w:tcPr>
            <w:tcW w:w="960" w:type="dxa"/>
            <w:vAlign w:val="center"/>
          </w:tcPr>
          <w:p w14:paraId="4E7085CE">
            <w:pPr>
              <w:widowControl/>
              <w:jc w:val="center"/>
              <w:rPr>
                <w:kern w:val="0"/>
                <w:sz w:val="20"/>
                <w:szCs w:val="20"/>
              </w:rPr>
            </w:pPr>
            <w:r>
              <w:rPr>
                <w:sz w:val="16"/>
                <w:szCs w:val="16"/>
              </w:rPr>
              <w:t>●</w:t>
            </w:r>
          </w:p>
        </w:tc>
        <w:tc>
          <w:tcPr>
            <w:tcW w:w="845" w:type="dxa"/>
            <w:vAlign w:val="center"/>
          </w:tcPr>
          <w:p w14:paraId="4DCA12BE">
            <w:pPr>
              <w:widowControl/>
              <w:jc w:val="center"/>
              <w:rPr>
                <w:kern w:val="0"/>
                <w:sz w:val="20"/>
                <w:szCs w:val="20"/>
              </w:rPr>
            </w:pPr>
            <w:r>
              <w:rPr>
                <w:sz w:val="16"/>
                <w:szCs w:val="16"/>
              </w:rPr>
              <w:t>●</w:t>
            </w:r>
          </w:p>
        </w:tc>
        <w:tc>
          <w:tcPr>
            <w:tcW w:w="880" w:type="dxa"/>
            <w:vAlign w:val="center"/>
          </w:tcPr>
          <w:p w14:paraId="5C3DD3DF">
            <w:pPr>
              <w:widowControl/>
              <w:jc w:val="center"/>
              <w:rPr>
                <w:sz w:val="16"/>
                <w:szCs w:val="16"/>
              </w:rPr>
            </w:pPr>
            <w:r>
              <w:rPr>
                <w:sz w:val="16"/>
                <w:szCs w:val="16"/>
              </w:rPr>
              <w:t>●</w:t>
            </w:r>
          </w:p>
        </w:tc>
        <w:tc>
          <w:tcPr>
            <w:tcW w:w="880" w:type="dxa"/>
            <w:vAlign w:val="center"/>
          </w:tcPr>
          <w:p w14:paraId="4AF5EB7A">
            <w:pPr>
              <w:widowControl/>
              <w:jc w:val="center"/>
              <w:rPr>
                <w:sz w:val="16"/>
                <w:szCs w:val="16"/>
              </w:rPr>
            </w:pPr>
            <w:r>
              <w:rPr>
                <w:sz w:val="16"/>
                <w:szCs w:val="16"/>
              </w:rPr>
              <w:t>●</w:t>
            </w:r>
          </w:p>
        </w:tc>
        <w:tc>
          <w:tcPr>
            <w:tcW w:w="880" w:type="dxa"/>
            <w:vAlign w:val="center"/>
          </w:tcPr>
          <w:p w14:paraId="57577C83">
            <w:pPr>
              <w:widowControl/>
              <w:jc w:val="center"/>
              <w:rPr>
                <w:sz w:val="16"/>
                <w:szCs w:val="16"/>
              </w:rPr>
            </w:pPr>
            <w:r>
              <w:rPr>
                <w:sz w:val="16"/>
                <w:szCs w:val="16"/>
              </w:rPr>
              <w:t>●</w:t>
            </w:r>
          </w:p>
        </w:tc>
      </w:tr>
      <w:tr w14:paraId="5DB0E1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2" w:hRule="atLeast"/>
          <w:jc w:val="center"/>
        </w:trPr>
        <w:tc>
          <w:tcPr>
            <w:tcW w:w="558" w:type="dxa"/>
            <w:vMerge w:val="continue"/>
            <w:vAlign w:val="center"/>
          </w:tcPr>
          <w:p w14:paraId="796D95D7">
            <w:pPr>
              <w:widowControl/>
              <w:jc w:val="center"/>
              <w:rPr>
                <w:kern w:val="0"/>
                <w:sz w:val="20"/>
                <w:szCs w:val="20"/>
              </w:rPr>
            </w:pPr>
          </w:p>
        </w:tc>
        <w:tc>
          <w:tcPr>
            <w:tcW w:w="970" w:type="dxa"/>
            <w:vMerge w:val="restart"/>
            <w:vAlign w:val="center"/>
          </w:tcPr>
          <w:p w14:paraId="7C1A5CD3">
            <w:pPr>
              <w:widowControl/>
              <w:jc w:val="center"/>
              <w:rPr>
                <w:kern w:val="0"/>
                <w:sz w:val="20"/>
                <w:szCs w:val="20"/>
              </w:rPr>
            </w:pPr>
            <w:r>
              <w:rPr>
                <w:kern w:val="0"/>
                <w:sz w:val="20"/>
                <w:szCs w:val="20"/>
              </w:rPr>
              <w:t>环境适应性</w:t>
            </w:r>
          </w:p>
        </w:tc>
        <w:tc>
          <w:tcPr>
            <w:tcW w:w="2457" w:type="dxa"/>
            <w:vAlign w:val="center"/>
          </w:tcPr>
          <w:p w14:paraId="1A681772">
            <w:pPr>
              <w:widowControl/>
              <w:jc w:val="center"/>
              <w:rPr>
                <w:kern w:val="0"/>
                <w:sz w:val="20"/>
                <w:szCs w:val="20"/>
              </w:rPr>
            </w:pPr>
            <w:r>
              <w:rPr>
                <w:kern w:val="0"/>
                <w:sz w:val="20"/>
                <w:szCs w:val="20"/>
              </w:rPr>
              <w:t>低温环境适应性</w:t>
            </w:r>
          </w:p>
        </w:tc>
        <w:tc>
          <w:tcPr>
            <w:tcW w:w="917" w:type="dxa"/>
            <w:vAlign w:val="center"/>
          </w:tcPr>
          <w:p w14:paraId="26582F95">
            <w:pPr>
              <w:jc w:val="center"/>
              <w:rPr>
                <w:sz w:val="20"/>
                <w:szCs w:val="22"/>
              </w:rPr>
            </w:pPr>
            <w:r>
              <w:rPr>
                <w:rFonts w:hint="eastAsia"/>
                <w:szCs w:val="21"/>
              </w:rPr>
              <w:t>6.2.1</w:t>
            </w:r>
          </w:p>
        </w:tc>
        <w:tc>
          <w:tcPr>
            <w:tcW w:w="960" w:type="dxa"/>
            <w:vAlign w:val="center"/>
          </w:tcPr>
          <w:p w14:paraId="20261F54">
            <w:pPr>
              <w:jc w:val="center"/>
              <w:rPr>
                <w:sz w:val="20"/>
                <w:szCs w:val="22"/>
              </w:rPr>
            </w:pPr>
            <w:r>
              <w:rPr>
                <w:sz w:val="16"/>
                <w:szCs w:val="16"/>
              </w:rPr>
              <w:t>●</w:t>
            </w:r>
          </w:p>
        </w:tc>
        <w:tc>
          <w:tcPr>
            <w:tcW w:w="845" w:type="dxa"/>
            <w:vAlign w:val="center"/>
          </w:tcPr>
          <w:p w14:paraId="718C95D5">
            <w:pPr>
              <w:jc w:val="center"/>
              <w:rPr>
                <w:sz w:val="20"/>
                <w:szCs w:val="22"/>
              </w:rPr>
            </w:pPr>
            <w:r>
              <w:rPr>
                <w:b/>
                <w:sz w:val="16"/>
                <w:szCs w:val="16"/>
              </w:rPr>
              <w:t>○</w:t>
            </w:r>
          </w:p>
        </w:tc>
        <w:tc>
          <w:tcPr>
            <w:tcW w:w="880" w:type="dxa"/>
            <w:vAlign w:val="center"/>
          </w:tcPr>
          <w:p w14:paraId="395CEEB0">
            <w:pPr>
              <w:jc w:val="center"/>
              <w:rPr>
                <w:b/>
                <w:sz w:val="16"/>
                <w:szCs w:val="16"/>
              </w:rPr>
            </w:pPr>
            <w:r>
              <w:rPr>
                <w:b/>
                <w:sz w:val="16"/>
                <w:szCs w:val="16"/>
              </w:rPr>
              <w:t>○</w:t>
            </w:r>
          </w:p>
        </w:tc>
        <w:tc>
          <w:tcPr>
            <w:tcW w:w="880" w:type="dxa"/>
            <w:vAlign w:val="center"/>
          </w:tcPr>
          <w:p w14:paraId="3D3D9567">
            <w:pPr>
              <w:jc w:val="center"/>
              <w:rPr>
                <w:b/>
                <w:sz w:val="16"/>
                <w:szCs w:val="16"/>
              </w:rPr>
            </w:pPr>
            <w:r>
              <w:rPr>
                <w:b/>
                <w:sz w:val="16"/>
                <w:szCs w:val="16"/>
              </w:rPr>
              <w:t>○</w:t>
            </w:r>
          </w:p>
        </w:tc>
        <w:tc>
          <w:tcPr>
            <w:tcW w:w="880" w:type="dxa"/>
            <w:vAlign w:val="center"/>
          </w:tcPr>
          <w:p w14:paraId="7E99647C">
            <w:pPr>
              <w:jc w:val="center"/>
              <w:rPr>
                <w:b/>
                <w:sz w:val="16"/>
                <w:szCs w:val="16"/>
              </w:rPr>
            </w:pPr>
            <w:r>
              <w:rPr>
                <w:b/>
                <w:sz w:val="16"/>
                <w:szCs w:val="16"/>
              </w:rPr>
              <w:t>○</w:t>
            </w:r>
          </w:p>
        </w:tc>
      </w:tr>
      <w:tr w14:paraId="73349D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65CBDB30">
            <w:pPr>
              <w:widowControl/>
              <w:jc w:val="center"/>
              <w:rPr>
                <w:kern w:val="0"/>
                <w:sz w:val="20"/>
                <w:szCs w:val="20"/>
              </w:rPr>
            </w:pPr>
          </w:p>
        </w:tc>
        <w:tc>
          <w:tcPr>
            <w:tcW w:w="970" w:type="dxa"/>
            <w:vMerge w:val="continue"/>
            <w:vAlign w:val="center"/>
          </w:tcPr>
          <w:p w14:paraId="58A49F25">
            <w:pPr>
              <w:widowControl/>
              <w:jc w:val="center"/>
              <w:rPr>
                <w:kern w:val="0"/>
                <w:sz w:val="20"/>
                <w:szCs w:val="20"/>
              </w:rPr>
            </w:pPr>
          </w:p>
        </w:tc>
        <w:tc>
          <w:tcPr>
            <w:tcW w:w="2457" w:type="dxa"/>
            <w:vAlign w:val="center"/>
          </w:tcPr>
          <w:p w14:paraId="3E7A3F0F">
            <w:pPr>
              <w:widowControl/>
              <w:jc w:val="center"/>
              <w:rPr>
                <w:kern w:val="0"/>
                <w:sz w:val="20"/>
                <w:szCs w:val="20"/>
              </w:rPr>
            </w:pPr>
            <w:r>
              <w:rPr>
                <w:kern w:val="0"/>
                <w:sz w:val="20"/>
                <w:szCs w:val="20"/>
              </w:rPr>
              <w:t>高温环境适应性</w:t>
            </w:r>
          </w:p>
        </w:tc>
        <w:tc>
          <w:tcPr>
            <w:tcW w:w="917" w:type="dxa"/>
            <w:vAlign w:val="center"/>
          </w:tcPr>
          <w:p w14:paraId="72D1FC83">
            <w:pPr>
              <w:jc w:val="center"/>
              <w:rPr>
                <w:sz w:val="20"/>
                <w:szCs w:val="22"/>
              </w:rPr>
            </w:pPr>
            <w:r>
              <w:rPr>
                <w:rFonts w:hint="eastAsia"/>
                <w:szCs w:val="21"/>
              </w:rPr>
              <w:t>6.2.2</w:t>
            </w:r>
          </w:p>
        </w:tc>
        <w:tc>
          <w:tcPr>
            <w:tcW w:w="960" w:type="dxa"/>
            <w:vAlign w:val="center"/>
          </w:tcPr>
          <w:p w14:paraId="7CD1142A">
            <w:pPr>
              <w:jc w:val="center"/>
              <w:rPr>
                <w:sz w:val="20"/>
                <w:szCs w:val="22"/>
              </w:rPr>
            </w:pPr>
            <w:r>
              <w:rPr>
                <w:sz w:val="16"/>
                <w:szCs w:val="16"/>
              </w:rPr>
              <w:t>●</w:t>
            </w:r>
          </w:p>
        </w:tc>
        <w:tc>
          <w:tcPr>
            <w:tcW w:w="845" w:type="dxa"/>
            <w:vAlign w:val="center"/>
          </w:tcPr>
          <w:p w14:paraId="7BFF82B8">
            <w:pPr>
              <w:jc w:val="center"/>
              <w:rPr>
                <w:sz w:val="20"/>
                <w:szCs w:val="22"/>
              </w:rPr>
            </w:pPr>
            <w:r>
              <w:rPr>
                <w:b/>
                <w:sz w:val="16"/>
                <w:szCs w:val="16"/>
              </w:rPr>
              <w:t>○</w:t>
            </w:r>
          </w:p>
        </w:tc>
        <w:tc>
          <w:tcPr>
            <w:tcW w:w="880" w:type="dxa"/>
            <w:vAlign w:val="center"/>
          </w:tcPr>
          <w:p w14:paraId="1446C99A">
            <w:pPr>
              <w:jc w:val="center"/>
              <w:rPr>
                <w:b/>
                <w:sz w:val="16"/>
                <w:szCs w:val="16"/>
              </w:rPr>
            </w:pPr>
            <w:r>
              <w:rPr>
                <w:b/>
                <w:sz w:val="16"/>
                <w:szCs w:val="16"/>
              </w:rPr>
              <w:t>○</w:t>
            </w:r>
          </w:p>
        </w:tc>
        <w:tc>
          <w:tcPr>
            <w:tcW w:w="880" w:type="dxa"/>
            <w:vAlign w:val="center"/>
          </w:tcPr>
          <w:p w14:paraId="7AB0DD0D">
            <w:pPr>
              <w:jc w:val="center"/>
              <w:rPr>
                <w:b/>
                <w:sz w:val="16"/>
                <w:szCs w:val="16"/>
              </w:rPr>
            </w:pPr>
            <w:r>
              <w:rPr>
                <w:b/>
                <w:sz w:val="16"/>
                <w:szCs w:val="16"/>
              </w:rPr>
              <w:t>○</w:t>
            </w:r>
          </w:p>
        </w:tc>
        <w:tc>
          <w:tcPr>
            <w:tcW w:w="880" w:type="dxa"/>
            <w:vAlign w:val="center"/>
          </w:tcPr>
          <w:p w14:paraId="6E1D4032">
            <w:pPr>
              <w:jc w:val="center"/>
              <w:rPr>
                <w:b/>
                <w:sz w:val="16"/>
                <w:szCs w:val="16"/>
              </w:rPr>
            </w:pPr>
            <w:r>
              <w:rPr>
                <w:b/>
                <w:sz w:val="16"/>
                <w:szCs w:val="16"/>
              </w:rPr>
              <w:t>○</w:t>
            </w:r>
          </w:p>
        </w:tc>
      </w:tr>
      <w:tr w14:paraId="43C050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4" w:hRule="atLeast"/>
          <w:jc w:val="center"/>
        </w:trPr>
        <w:tc>
          <w:tcPr>
            <w:tcW w:w="558" w:type="dxa"/>
            <w:vMerge w:val="continue"/>
            <w:vAlign w:val="center"/>
          </w:tcPr>
          <w:p w14:paraId="448726CC">
            <w:pPr>
              <w:widowControl/>
              <w:jc w:val="center"/>
              <w:rPr>
                <w:kern w:val="0"/>
                <w:sz w:val="20"/>
                <w:szCs w:val="20"/>
              </w:rPr>
            </w:pPr>
          </w:p>
        </w:tc>
        <w:tc>
          <w:tcPr>
            <w:tcW w:w="970" w:type="dxa"/>
            <w:vMerge w:val="continue"/>
            <w:vAlign w:val="center"/>
          </w:tcPr>
          <w:p w14:paraId="0FE84ABC">
            <w:pPr>
              <w:widowControl/>
              <w:jc w:val="center"/>
              <w:rPr>
                <w:kern w:val="0"/>
                <w:sz w:val="20"/>
                <w:szCs w:val="20"/>
              </w:rPr>
            </w:pPr>
          </w:p>
        </w:tc>
        <w:tc>
          <w:tcPr>
            <w:tcW w:w="2457" w:type="dxa"/>
            <w:vAlign w:val="center"/>
          </w:tcPr>
          <w:p w14:paraId="5D87D3FB">
            <w:pPr>
              <w:widowControl/>
              <w:jc w:val="center"/>
              <w:rPr>
                <w:kern w:val="0"/>
                <w:sz w:val="20"/>
                <w:szCs w:val="20"/>
              </w:rPr>
            </w:pPr>
            <w:r>
              <w:rPr>
                <w:kern w:val="0"/>
                <w:sz w:val="20"/>
                <w:szCs w:val="20"/>
              </w:rPr>
              <w:t>温湿度振动综合环境适应性</w:t>
            </w:r>
          </w:p>
        </w:tc>
        <w:tc>
          <w:tcPr>
            <w:tcW w:w="917" w:type="dxa"/>
            <w:vAlign w:val="center"/>
          </w:tcPr>
          <w:p w14:paraId="3EDC1B2D">
            <w:pPr>
              <w:jc w:val="center"/>
              <w:rPr>
                <w:sz w:val="20"/>
                <w:szCs w:val="22"/>
              </w:rPr>
            </w:pPr>
            <w:r>
              <w:rPr>
                <w:rFonts w:hint="eastAsia"/>
                <w:szCs w:val="21"/>
              </w:rPr>
              <w:t>6.2.3</w:t>
            </w:r>
          </w:p>
        </w:tc>
        <w:tc>
          <w:tcPr>
            <w:tcW w:w="960" w:type="dxa"/>
            <w:vAlign w:val="center"/>
          </w:tcPr>
          <w:p w14:paraId="1D0B62C5">
            <w:pPr>
              <w:jc w:val="center"/>
              <w:rPr>
                <w:sz w:val="20"/>
                <w:szCs w:val="22"/>
              </w:rPr>
            </w:pPr>
            <w:r>
              <w:rPr>
                <w:sz w:val="16"/>
                <w:szCs w:val="16"/>
              </w:rPr>
              <w:t>●</w:t>
            </w:r>
          </w:p>
        </w:tc>
        <w:tc>
          <w:tcPr>
            <w:tcW w:w="845" w:type="dxa"/>
            <w:vAlign w:val="center"/>
          </w:tcPr>
          <w:p w14:paraId="58D8D5BD">
            <w:pPr>
              <w:jc w:val="center"/>
              <w:rPr>
                <w:sz w:val="20"/>
                <w:szCs w:val="22"/>
              </w:rPr>
            </w:pPr>
            <w:r>
              <w:rPr>
                <w:b/>
                <w:sz w:val="16"/>
                <w:szCs w:val="16"/>
              </w:rPr>
              <w:t>○</w:t>
            </w:r>
          </w:p>
        </w:tc>
        <w:tc>
          <w:tcPr>
            <w:tcW w:w="880" w:type="dxa"/>
            <w:vAlign w:val="center"/>
          </w:tcPr>
          <w:p w14:paraId="118C9A04">
            <w:pPr>
              <w:jc w:val="center"/>
              <w:rPr>
                <w:b/>
                <w:sz w:val="16"/>
                <w:szCs w:val="16"/>
              </w:rPr>
            </w:pPr>
            <w:r>
              <w:rPr>
                <w:b/>
                <w:sz w:val="16"/>
                <w:szCs w:val="16"/>
              </w:rPr>
              <w:t>○</w:t>
            </w:r>
          </w:p>
        </w:tc>
        <w:tc>
          <w:tcPr>
            <w:tcW w:w="880" w:type="dxa"/>
            <w:vAlign w:val="center"/>
          </w:tcPr>
          <w:p w14:paraId="59FD4393">
            <w:pPr>
              <w:jc w:val="center"/>
              <w:rPr>
                <w:b/>
                <w:sz w:val="16"/>
                <w:szCs w:val="16"/>
              </w:rPr>
            </w:pPr>
            <w:r>
              <w:rPr>
                <w:b/>
                <w:sz w:val="16"/>
                <w:szCs w:val="16"/>
              </w:rPr>
              <w:t>○</w:t>
            </w:r>
          </w:p>
        </w:tc>
        <w:tc>
          <w:tcPr>
            <w:tcW w:w="880" w:type="dxa"/>
            <w:vAlign w:val="center"/>
          </w:tcPr>
          <w:p w14:paraId="64163A1D">
            <w:pPr>
              <w:jc w:val="center"/>
              <w:rPr>
                <w:b/>
                <w:sz w:val="16"/>
                <w:szCs w:val="16"/>
              </w:rPr>
            </w:pPr>
            <w:r>
              <w:rPr>
                <w:b/>
                <w:sz w:val="16"/>
                <w:szCs w:val="16"/>
              </w:rPr>
              <w:t>○</w:t>
            </w:r>
          </w:p>
        </w:tc>
      </w:tr>
      <w:tr w14:paraId="1A18DF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8" w:hRule="atLeast"/>
          <w:jc w:val="center"/>
        </w:trPr>
        <w:tc>
          <w:tcPr>
            <w:tcW w:w="558" w:type="dxa"/>
            <w:vMerge w:val="continue"/>
            <w:vAlign w:val="center"/>
          </w:tcPr>
          <w:p w14:paraId="43EED2D2">
            <w:pPr>
              <w:widowControl/>
              <w:jc w:val="center"/>
              <w:rPr>
                <w:kern w:val="0"/>
                <w:sz w:val="20"/>
                <w:szCs w:val="20"/>
              </w:rPr>
            </w:pPr>
          </w:p>
        </w:tc>
        <w:tc>
          <w:tcPr>
            <w:tcW w:w="970" w:type="dxa"/>
            <w:vMerge w:val="continue"/>
            <w:vAlign w:val="center"/>
          </w:tcPr>
          <w:p w14:paraId="3C1A99E1">
            <w:pPr>
              <w:widowControl/>
              <w:jc w:val="center"/>
              <w:rPr>
                <w:kern w:val="0"/>
                <w:sz w:val="20"/>
                <w:szCs w:val="20"/>
              </w:rPr>
            </w:pPr>
          </w:p>
        </w:tc>
        <w:tc>
          <w:tcPr>
            <w:tcW w:w="2457" w:type="dxa"/>
            <w:vAlign w:val="center"/>
          </w:tcPr>
          <w:p w14:paraId="638E338A">
            <w:pPr>
              <w:widowControl/>
              <w:jc w:val="center"/>
              <w:rPr>
                <w:kern w:val="0"/>
                <w:sz w:val="20"/>
                <w:szCs w:val="20"/>
              </w:rPr>
            </w:pPr>
            <w:r>
              <w:rPr>
                <w:kern w:val="0"/>
                <w:sz w:val="20"/>
                <w:szCs w:val="20"/>
              </w:rPr>
              <w:t>海拔适应性能试验</w:t>
            </w:r>
          </w:p>
        </w:tc>
        <w:tc>
          <w:tcPr>
            <w:tcW w:w="917" w:type="dxa"/>
            <w:vAlign w:val="center"/>
          </w:tcPr>
          <w:p w14:paraId="615C1710">
            <w:pPr>
              <w:jc w:val="center"/>
              <w:rPr>
                <w:sz w:val="20"/>
                <w:szCs w:val="22"/>
              </w:rPr>
            </w:pPr>
            <w:r>
              <w:rPr>
                <w:rFonts w:hint="eastAsia"/>
                <w:szCs w:val="21"/>
              </w:rPr>
              <w:t>6.2.4</w:t>
            </w:r>
          </w:p>
        </w:tc>
        <w:tc>
          <w:tcPr>
            <w:tcW w:w="960" w:type="dxa"/>
            <w:vAlign w:val="center"/>
          </w:tcPr>
          <w:p w14:paraId="24EDAA2A">
            <w:pPr>
              <w:jc w:val="center"/>
              <w:rPr>
                <w:sz w:val="20"/>
                <w:szCs w:val="22"/>
              </w:rPr>
            </w:pPr>
            <w:r>
              <w:rPr>
                <w:sz w:val="16"/>
                <w:szCs w:val="16"/>
              </w:rPr>
              <w:t>●</w:t>
            </w:r>
          </w:p>
        </w:tc>
        <w:tc>
          <w:tcPr>
            <w:tcW w:w="845" w:type="dxa"/>
            <w:vAlign w:val="center"/>
          </w:tcPr>
          <w:p w14:paraId="4CA5CF92">
            <w:pPr>
              <w:jc w:val="center"/>
              <w:rPr>
                <w:sz w:val="20"/>
                <w:szCs w:val="22"/>
              </w:rPr>
            </w:pPr>
            <w:r>
              <w:rPr>
                <w:b/>
                <w:sz w:val="16"/>
                <w:szCs w:val="16"/>
              </w:rPr>
              <w:t>○</w:t>
            </w:r>
          </w:p>
        </w:tc>
        <w:tc>
          <w:tcPr>
            <w:tcW w:w="880" w:type="dxa"/>
            <w:vAlign w:val="center"/>
          </w:tcPr>
          <w:p w14:paraId="1018E45E">
            <w:pPr>
              <w:jc w:val="center"/>
              <w:rPr>
                <w:b/>
                <w:sz w:val="16"/>
                <w:szCs w:val="16"/>
              </w:rPr>
            </w:pPr>
            <w:r>
              <w:rPr>
                <w:b/>
                <w:sz w:val="16"/>
                <w:szCs w:val="16"/>
              </w:rPr>
              <w:t>○</w:t>
            </w:r>
          </w:p>
        </w:tc>
        <w:tc>
          <w:tcPr>
            <w:tcW w:w="880" w:type="dxa"/>
            <w:vAlign w:val="center"/>
          </w:tcPr>
          <w:p w14:paraId="25FD92D6">
            <w:pPr>
              <w:jc w:val="center"/>
              <w:rPr>
                <w:b/>
                <w:sz w:val="16"/>
                <w:szCs w:val="16"/>
              </w:rPr>
            </w:pPr>
            <w:r>
              <w:rPr>
                <w:b/>
                <w:sz w:val="16"/>
                <w:szCs w:val="16"/>
              </w:rPr>
              <w:t>○</w:t>
            </w:r>
          </w:p>
        </w:tc>
        <w:tc>
          <w:tcPr>
            <w:tcW w:w="880" w:type="dxa"/>
            <w:vAlign w:val="center"/>
          </w:tcPr>
          <w:p w14:paraId="0BF6E76C">
            <w:pPr>
              <w:jc w:val="center"/>
              <w:rPr>
                <w:b/>
                <w:sz w:val="16"/>
                <w:szCs w:val="16"/>
              </w:rPr>
            </w:pPr>
            <w:r>
              <w:rPr>
                <w:b/>
                <w:sz w:val="16"/>
                <w:szCs w:val="16"/>
              </w:rPr>
              <w:t>○</w:t>
            </w:r>
          </w:p>
        </w:tc>
      </w:tr>
      <w:tr w14:paraId="288898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14:paraId="47393287">
            <w:pPr>
              <w:widowControl/>
              <w:jc w:val="center"/>
              <w:rPr>
                <w:kern w:val="0"/>
                <w:sz w:val="20"/>
                <w:szCs w:val="20"/>
              </w:rPr>
            </w:pPr>
          </w:p>
        </w:tc>
        <w:tc>
          <w:tcPr>
            <w:tcW w:w="970" w:type="dxa"/>
            <w:vMerge w:val="continue"/>
            <w:vAlign w:val="center"/>
          </w:tcPr>
          <w:p w14:paraId="7854392F">
            <w:pPr>
              <w:widowControl/>
              <w:jc w:val="center"/>
              <w:rPr>
                <w:kern w:val="0"/>
                <w:sz w:val="20"/>
                <w:szCs w:val="20"/>
              </w:rPr>
            </w:pPr>
          </w:p>
        </w:tc>
        <w:tc>
          <w:tcPr>
            <w:tcW w:w="2457" w:type="dxa"/>
            <w:vAlign w:val="center"/>
          </w:tcPr>
          <w:p w14:paraId="5222BF9A">
            <w:pPr>
              <w:widowControl/>
              <w:jc w:val="center"/>
              <w:rPr>
                <w:kern w:val="0"/>
                <w:sz w:val="20"/>
                <w:szCs w:val="20"/>
              </w:rPr>
            </w:pPr>
            <w:r>
              <w:rPr>
                <w:kern w:val="0"/>
                <w:sz w:val="20"/>
                <w:szCs w:val="20"/>
              </w:rPr>
              <w:t>抗风飞行性能试验</w:t>
            </w:r>
          </w:p>
        </w:tc>
        <w:tc>
          <w:tcPr>
            <w:tcW w:w="917" w:type="dxa"/>
            <w:vAlign w:val="center"/>
          </w:tcPr>
          <w:p w14:paraId="1A1D56C8">
            <w:pPr>
              <w:jc w:val="center"/>
              <w:rPr>
                <w:sz w:val="20"/>
                <w:szCs w:val="22"/>
              </w:rPr>
            </w:pPr>
            <w:r>
              <w:rPr>
                <w:rFonts w:hint="eastAsia"/>
                <w:szCs w:val="21"/>
              </w:rPr>
              <w:t>6.2.5</w:t>
            </w:r>
          </w:p>
        </w:tc>
        <w:tc>
          <w:tcPr>
            <w:tcW w:w="960" w:type="dxa"/>
            <w:vAlign w:val="center"/>
          </w:tcPr>
          <w:p w14:paraId="7296F658">
            <w:pPr>
              <w:jc w:val="center"/>
              <w:rPr>
                <w:sz w:val="20"/>
                <w:szCs w:val="22"/>
              </w:rPr>
            </w:pPr>
            <w:r>
              <w:rPr>
                <w:sz w:val="16"/>
                <w:szCs w:val="16"/>
              </w:rPr>
              <w:t>●</w:t>
            </w:r>
          </w:p>
        </w:tc>
        <w:tc>
          <w:tcPr>
            <w:tcW w:w="845" w:type="dxa"/>
            <w:vAlign w:val="center"/>
          </w:tcPr>
          <w:p w14:paraId="247576F2">
            <w:pPr>
              <w:jc w:val="center"/>
              <w:rPr>
                <w:sz w:val="20"/>
                <w:szCs w:val="22"/>
              </w:rPr>
            </w:pPr>
            <w:r>
              <w:rPr>
                <w:b/>
                <w:sz w:val="16"/>
                <w:szCs w:val="16"/>
              </w:rPr>
              <w:t>○</w:t>
            </w:r>
          </w:p>
        </w:tc>
        <w:tc>
          <w:tcPr>
            <w:tcW w:w="880" w:type="dxa"/>
            <w:vAlign w:val="center"/>
          </w:tcPr>
          <w:p w14:paraId="4960E7D2">
            <w:pPr>
              <w:jc w:val="center"/>
              <w:rPr>
                <w:b/>
                <w:sz w:val="16"/>
                <w:szCs w:val="16"/>
              </w:rPr>
            </w:pPr>
            <w:r>
              <w:rPr>
                <w:b/>
                <w:sz w:val="16"/>
                <w:szCs w:val="16"/>
              </w:rPr>
              <w:t>○</w:t>
            </w:r>
          </w:p>
        </w:tc>
        <w:tc>
          <w:tcPr>
            <w:tcW w:w="880" w:type="dxa"/>
            <w:vAlign w:val="center"/>
          </w:tcPr>
          <w:p w14:paraId="25AA4F30">
            <w:pPr>
              <w:jc w:val="center"/>
              <w:rPr>
                <w:b/>
                <w:sz w:val="16"/>
                <w:szCs w:val="16"/>
              </w:rPr>
            </w:pPr>
            <w:r>
              <w:rPr>
                <w:b/>
                <w:sz w:val="16"/>
                <w:szCs w:val="16"/>
              </w:rPr>
              <w:t>○</w:t>
            </w:r>
          </w:p>
        </w:tc>
        <w:tc>
          <w:tcPr>
            <w:tcW w:w="880" w:type="dxa"/>
            <w:vAlign w:val="center"/>
          </w:tcPr>
          <w:p w14:paraId="11ACAD7F">
            <w:pPr>
              <w:jc w:val="center"/>
              <w:rPr>
                <w:b/>
                <w:sz w:val="16"/>
                <w:szCs w:val="16"/>
              </w:rPr>
            </w:pPr>
            <w:r>
              <w:rPr>
                <w:b/>
                <w:sz w:val="16"/>
                <w:szCs w:val="16"/>
              </w:rPr>
              <w:t>○</w:t>
            </w:r>
          </w:p>
        </w:tc>
      </w:tr>
      <w:tr w14:paraId="57726B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1B4CB61D">
            <w:pPr>
              <w:widowControl/>
              <w:jc w:val="center"/>
              <w:rPr>
                <w:kern w:val="0"/>
                <w:sz w:val="20"/>
                <w:szCs w:val="20"/>
              </w:rPr>
            </w:pPr>
          </w:p>
        </w:tc>
        <w:tc>
          <w:tcPr>
            <w:tcW w:w="970" w:type="dxa"/>
            <w:vMerge w:val="continue"/>
            <w:vAlign w:val="center"/>
          </w:tcPr>
          <w:p w14:paraId="68F33D91">
            <w:pPr>
              <w:widowControl/>
              <w:jc w:val="center"/>
              <w:rPr>
                <w:kern w:val="0"/>
                <w:sz w:val="20"/>
                <w:szCs w:val="20"/>
              </w:rPr>
            </w:pPr>
          </w:p>
        </w:tc>
        <w:tc>
          <w:tcPr>
            <w:tcW w:w="2457" w:type="dxa"/>
            <w:vAlign w:val="center"/>
          </w:tcPr>
          <w:p w14:paraId="568DC502">
            <w:pPr>
              <w:widowControl/>
              <w:jc w:val="center"/>
              <w:rPr>
                <w:kern w:val="0"/>
                <w:sz w:val="20"/>
                <w:szCs w:val="20"/>
              </w:rPr>
            </w:pPr>
            <w:r>
              <w:rPr>
                <w:kern w:val="0"/>
                <w:sz w:val="20"/>
                <w:szCs w:val="20"/>
              </w:rPr>
              <w:t>抗雨飞行性能试验</w:t>
            </w:r>
          </w:p>
        </w:tc>
        <w:tc>
          <w:tcPr>
            <w:tcW w:w="917" w:type="dxa"/>
            <w:vAlign w:val="center"/>
          </w:tcPr>
          <w:p w14:paraId="17CBB5B2">
            <w:pPr>
              <w:jc w:val="center"/>
              <w:rPr>
                <w:sz w:val="20"/>
                <w:szCs w:val="22"/>
              </w:rPr>
            </w:pPr>
            <w:r>
              <w:rPr>
                <w:rFonts w:hint="eastAsia"/>
                <w:szCs w:val="21"/>
              </w:rPr>
              <w:t>6.2.6</w:t>
            </w:r>
          </w:p>
        </w:tc>
        <w:tc>
          <w:tcPr>
            <w:tcW w:w="960" w:type="dxa"/>
            <w:vAlign w:val="center"/>
          </w:tcPr>
          <w:p w14:paraId="7D062A94">
            <w:pPr>
              <w:jc w:val="center"/>
              <w:rPr>
                <w:sz w:val="20"/>
                <w:szCs w:val="22"/>
              </w:rPr>
            </w:pPr>
            <w:r>
              <w:rPr>
                <w:sz w:val="16"/>
                <w:szCs w:val="16"/>
              </w:rPr>
              <w:t>●</w:t>
            </w:r>
          </w:p>
        </w:tc>
        <w:tc>
          <w:tcPr>
            <w:tcW w:w="845" w:type="dxa"/>
            <w:vAlign w:val="center"/>
          </w:tcPr>
          <w:p w14:paraId="709C6374">
            <w:pPr>
              <w:jc w:val="center"/>
              <w:rPr>
                <w:sz w:val="20"/>
                <w:szCs w:val="22"/>
              </w:rPr>
            </w:pPr>
            <w:r>
              <w:rPr>
                <w:b/>
                <w:sz w:val="16"/>
                <w:szCs w:val="16"/>
              </w:rPr>
              <w:t>○</w:t>
            </w:r>
          </w:p>
        </w:tc>
        <w:tc>
          <w:tcPr>
            <w:tcW w:w="880" w:type="dxa"/>
            <w:vAlign w:val="center"/>
          </w:tcPr>
          <w:p w14:paraId="3AA0445D">
            <w:pPr>
              <w:jc w:val="center"/>
              <w:rPr>
                <w:b/>
                <w:sz w:val="16"/>
                <w:szCs w:val="16"/>
              </w:rPr>
            </w:pPr>
            <w:r>
              <w:rPr>
                <w:b/>
                <w:sz w:val="16"/>
                <w:szCs w:val="16"/>
              </w:rPr>
              <w:t>○</w:t>
            </w:r>
          </w:p>
        </w:tc>
        <w:tc>
          <w:tcPr>
            <w:tcW w:w="880" w:type="dxa"/>
            <w:vAlign w:val="center"/>
          </w:tcPr>
          <w:p w14:paraId="316B7AEE">
            <w:pPr>
              <w:jc w:val="center"/>
              <w:rPr>
                <w:b/>
                <w:sz w:val="16"/>
                <w:szCs w:val="16"/>
              </w:rPr>
            </w:pPr>
            <w:r>
              <w:rPr>
                <w:b/>
                <w:sz w:val="16"/>
                <w:szCs w:val="16"/>
              </w:rPr>
              <w:t>○</w:t>
            </w:r>
          </w:p>
        </w:tc>
        <w:tc>
          <w:tcPr>
            <w:tcW w:w="880" w:type="dxa"/>
            <w:vAlign w:val="center"/>
          </w:tcPr>
          <w:p w14:paraId="0357B975">
            <w:pPr>
              <w:jc w:val="center"/>
              <w:rPr>
                <w:b/>
                <w:sz w:val="16"/>
                <w:szCs w:val="16"/>
              </w:rPr>
            </w:pPr>
            <w:r>
              <w:rPr>
                <w:b/>
                <w:sz w:val="16"/>
                <w:szCs w:val="16"/>
              </w:rPr>
              <w:t>○</w:t>
            </w:r>
          </w:p>
        </w:tc>
      </w:tr>
      <w:tr w14:paraId="0C4E78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5B90686D">
            <w:pPr>
              <w:widowControl/>
              <w:jc w:val="center"/>
              <w:rPr>
                <w:kern w:val="0"/>
                <w:sz w:val="20"/>
                <w:szCs w:val="20"/>
              </w:rPr>
            </w:pPr>
          </w:p>
        </w:tc>
        <w:tc>
          <w:tcPr>
            <w:tcW w:w="970" w:type="dxa"/>
            <w:vMerge w:val="continue"/>
            <w:vAlign w:val="center"/>
          </w:tcPr>
          <w:p w14:paraId="4E02F50A">
            <w:pPr>
              <w:widowControl/>
              <w:jc w:val="center"/>
              <w:rPr>
                <w:kern w:val="0"/>
                <w:sz w:val="20"/>
                <w:szCs w:val="20"/>
              </w:rPr>
            </w:pPr>
          </w:p>
        </w:tc>
        <w:tc>
          <w:tcPr>
            <w:tcW w:w="2457" w:type="dxa"/>
            <w:vAlign w:val="center"/>
          </w:tcPr>
          <w:p w14:paraId="627F597F">
            <w:pPr>
              <w:widowControl/>
              <w:jc w:val="center"/>
              <w:rPr>
                <w:kern w:val="0"/>
                <w:sz w:val="20"/>
                <w:szCs w:val="20"/>
              </w:rPr>
            </w:pPr>
            <w:r>
              <w:rPr>
                <w:rFonts w:hint="eastAsia"/>
                <w:kern w:val="0"/>
                <w:sz w:val="20"/>
                <w:szCs w:val="20"/>
              </w:rPr>
              <w:t>防护</w:t>
            </w:r>
            <w:r>
              <w:rPr>
                <w:kern w:val="0"/>
                <w:sz w:val="20"/>
                <w:szCs w:val="20"/>
              </w:rPr>
              <w:t>性能试验</w:t>
            </w:r>
          </w:p>
        </w:tc>
        <w:tc>
          <w:tcPr>
            <w:tcW w:w="917" w:type="dxa"/>
            <w:vAlign w:val="center"/>
          </w:tcPr>
          <w:p w14:paraId="4A99474F">
            <w:pPr>
              <w:jc w:val="center"/>
              <w:rPr>
                <w:sz w:val="20"/>
                <w:szCs w:val="22"/>
              </w:rPr>
            </w:pPr>
            <w:r>
              <w:rPr>
                <w:rFonts w:hint="eastAsia"/>
                <w:szCs w:val="21"/>
              </w:rPr>
              <w:t>6.2.7</w:t>
            </w:r>
          </w:p>
        </w:tc>
        <w:tc>
          <w:tcPr>
            <w:tcW w:w="960" w:type="dxa"/>
            <w:vAlign w:val="center"/>
          </w:tcPr>
          <w:p w14:paraId="75518A4C">
            <w:pPr>
              <w:jc w:val="center"/>
              <w:rPr>
                <w:sz w:val="20"/>
                <w:szCs w:val="22"/>
              </w:rPr>
            </w:pPr>
            <w:r>
              <w:rPr>
                <w:sz w:val="16"/>
                <w:szCs w:val="16"/>
              </w:rPr>
              <w:t>●</w:t>
            </w:r>
          </w:p>
        </w:tc>
        <w:tc>
          <w:tcPr>
            <w:tcW w:w="845" w:type="dxa"/>
            <w:vAlign w:val="center"/>
          </w:tcPr>
          <w:p w14:paraId="54337554">
            <w:pPr>
              <w:jc w:val="center"/>
              <w:rPr>
                <w:sz w:val="20"/>
                <w:szCs w:val="22"/>
              </w:rPr>
            </w:pPr>
            <w:r>
              <w:rPr>
                <w:b/>
                <w:sz w:val="16"/>
                <w:szCs w:val="16"/>
              </w:rPr>
              <w:t>○</w:t>
            </w:r>
          </w:p>
        </w:tc>
        <w:tc>
          <w:tcPr>
            <w:tcW w:w="880" w:type="dxa"/>
            <w:vAlign w:val="center"/>
          </w:tcPr>
          <w:p w14:paraId="5528EAC3">
            <w:pPr>
              <w:jc w:val="center"/>
              <w:rPr>
                <w:b/>
                <w:sz w:val="16"/>
                <w:szCs w:val="16"/>
              </w:rPr>
            </w:pPr>
            <w:r>
              <w:rPr>
                <w:b/>
                <w:sz w:val="16"/>
                <w:szCs w:val="16"/>
              </w:rPr>
              <w:t>○</w:t>
            </w:r>
          </w:p>
        </w:tc>
        <w:tc>
          <w:tcPr>
            <w:tcW w:w="880" w:type="dxa"/>
            <w:vAlign w:val="center"/>
          </w:tcPr>
          <w:p w14:paraId="1DC30D1D">
            <w:pPr>
              <w:jc w:val="center"/>
              <w:rPr>
                <w:b/>
                <w:sz w:val="16"/>
                <w:szCs w:val="16"/>
              </w:rPr>
            </w:pPr>
            <w:r>
              <w:rPr>
                <w:b/>
                <w:sz w:val="16"/>
                <w:szCs w:val="16"/>
              </w:rPr>
              <w:t>○</w:t>
            </w:r>
          </w:p>
        </w:tc>
        <w:tc>
          <w:tcPr>
            <w:tcW w:w="880" w:type="dxa"/>
            <w:vAlign w:val="center"/>
          </w:tcPr>
          <w:p w14:paraId="5EDAD5F1">
            <w:pPr>
              <w:jc w:val="center"/>
              <w:rPr>
                <w:b/>
                <w:sz w:val="16"/>
                <w:szCs w:val="16"/>
              </w:rPr>
            </w:pPr>
            <w:r>
              <w:rPr>
                <w:b/>
                <w:sz w:val="16"/>
                <w:szCs w:val="16"/>
              </w:rPr>
              <w:t>○</w:t>
            </w:r>
          </w:p>
        </w:tc>
      </w:tr>
      <w:tr w14:paraId="75B976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3" w:hRule="atLeast"/>
          <w:jc w:val="center"/>
        </w:trPr>
        <w:tc>
          <w:tcPr>
            <w:tcW w:w="558" w:type="dxa"/>
            <w:vMerge w:val="restart"/>
            <w:vAlign w:val="center"/>
          </w:tcPr>
          <w:p w14:paraId="3972EE85">
            <w:pPr>
              <w:widowControl/>
              <w:jc w:val="center"/>
              <w:rPr>
                <w:kern w:val="0"/>
                <w:sz w:val="20"/>
                <w:szCs w:val="20"/>
              </w:rPr>
            </w:pPr>
            <w:r>
              <w:rPr>
                <w:kern w:val="0"/>
                <w:sz w:val="20"/>
                <w:szCs w:val="20"/>
              </w:rPr>
              <w:t>功能要求</w:t>
            </w:r>
          </w:p>
        </w:tc>
        <w:tc>
          <w:tcPr>
            <w:tcW w:w="970" w:type="dxa"/>
            <w:vMerge w:val="restart"/>
            <w:vAlign w:val="center"/>
          </w:tcPr>
          <w:p w14:paraId="09353A7D">
            <w:pPr>
              <w:widowControl/>
              <w:jc w:val="center"/>
              <w:rPr>
                <w:kern w:val="0"/>
                <w:sz w:val="20"/>
                <w:szCs w:val="20"/>
              </w:rPr>
            </w:pPr>
            <w:r>
              <w:rPr>
                <w:rFonts w:hint="eastAsia"/>
                <w:kern w:val="0"/>
                <w:sz w:val="20"/>
                <w:szCs w:val="20"/>
              </w:rPr>
              <w:t>功能试验</w:t>
            </w:r>
          </w:p>
        </w:tc>
        <w:tc>
          <w:tcPr>
            <w:tcW w:w="2457" w:type="dxa"/>
            <w:vAlign w:val="center"/>
          </w:tcPr>
          <w:p w14:paraId="5A117C8A">
            <w:pPr>
              <w:widowControl/>
              <w:jc w:val="center"/>
              <w:rPr>
                <w:kern w:val="0"/>
                <w:sz w:val="20"/>
                <w:szCs w:val="20"/>
              </w:rPr>
            </w:pPr>
            <w:r>
              <w:rPr>
                <w:kern w:val="0"/>
                <w:sz w:val="20"/>
                <w:szCs w:val="20"/>
              </w:rPr>
              <w:t>自检功能试验</w:t>
            </w:r>
          </w:p>
        </w:tc>
        <w:tc>
          <w:tcPr>
            <w:tcW w:w="917" w:type="dxa"/>
            <w:vAlign w:val="center"/>
          </w:tcPr>
          <w:p w14:paraId="6BE39DA3">
            <w:pPr>
              <w:widowControl/>
              <w:jc w:val="center"/>
              <w:rPr>
                <w:kern w:val="0"/>
                <w:sz w:val="20"/>
                <w:szCs w:val="20"/>
              </w:rPr>
            </w:pPr>
            <w:r>
              <w:rPr>
                <w:rFonts w:hint="eastAsia"/>
                <w:szCs w:val="21"/>
              </w:rPr>
              <w:t>6.3.1</w:t>
            </w:r>
          </w:p>
        </w:tc>
        <w:tc>
          <w:tcPr>
            <w:tcW w:w="960" w:type="dxa"/>
            <w:vAlign w:val="center"/>
          </w:tcPr>
          <w:p w14:paraId="16235873">
            <w:pPr>
              <w:widowControl/>
              <w:jc w:val="center"/>
              <w:rPr>
                <w:kern w:val="0"/>
                <w:sz w:val="20"/>
                <w:szCs w:val="20"/>
              </w:rPr>
            </w:pPr>
            <w:r>
              <w:rPr>
                <w:sz w:val="16"/>
                <w:szCs w:val="16"/>
              </w:rPr>
              <w:t>●</w:t>
            </w:r>
          </w:p>
        </w:tc>
        <w:tc>
          <w:tcPr>
            <w:tcW w:w="845" w:type="dxa"/>
            <w:vAlign w:val="center"/>
          </w:tcPr>
          <w:p w14:paraId="6504EC59">
            <w:pPr>
              <w:widowControl/>
              <w:jc w:val="center"/>
              <w:rPr>
                <w:kern w:val="0"/>
                <w:sz w:val="20"/>
                <w:szCs w:val="20"/>
              </w:rPr>
            </w:pPr>
            <w:r>
              <w:rPr>
                <w:sz w:val="16"/>
                <w:szCs w:val="16"/>
              </w:rPr>
              <w:t>●</w:t>
            </w:r>
          </w:p>
        </w:tc>
        <w:tc>
          <w:tcPr>
            <w:tcW w:w="880" w:type="dxa"/>
            <w:vAlign w:val="center"/>
          </w:tcPr>
          <w:p w14:paraId="08EBF17F">
            <w:pPr>
              <w:widowControl/>
              <w:jc w:val="center"/>
              <w:rPr>
                <w:sz w:val="16"/>
                <w:szCs w:val="16"/>
              </w:rPr>
            </w:pPr>
            <w:r>
              <w:rPr>
                <w:sz w:val="16"/>
                <w:szCs w:val="16"/>
              </w:rPr>
              <w:t>●</w:t>
            </w:r>
          </w:p>
        </w:tc>
        <w:tc>
          <w:tcPr>
            <w:tcW w:w="880" w:type="dxa"/>
            <w:vAlign w:val="center"/>
          </w:tcPr>
          <w:p w14:paraId="5E9C3C79">
            <w:pPr>
              <w:widowControl/>
              <w:jc w:val="center"/>
              <w:rPr>
                <w:sz w:val="16"/>
                <w:szCs w:val="16"/>
              </w:rPr>
            </w:pPr>
            <w:r>
              <w:rPr>
                <w:sz w:val="16"/>
                <w:szCs w:val="16"/>
              </w:rPr>
              <w:t>●</w:t>
            </w:r>
          </w:p>
        </w:tc>
        <w:tc>
          <w:tcPr>
            <w:tcW w:w="880" w:type="dxa"/>
            <w:vAlign w:val="center"/>
          </w:tcPr>
          <w:p w14:paraId="2AC8D5A9">
            <w:pPr>
              <w:widowControl/>
              <w:jc w:val="center"/>
              <w:rPr>
                <w:sz w:val="16"/>
                <w:szCs w:val="16"/>
              </w:rPr>
            </w:pPr>
            <w:r>
              <w:rPr>
                <w:sz w:val="16"/>
                <w:szCs w:val="16"/>
              </w:rPr>
              <w:t>●</w:t>
            </w:r>
          </w:p>
        </w:tc>
      </w:tr>
      <w:tr w14:paraId="0986E7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67118DD1">
            <w:pPr>
              <w:widowControl/>
              <w:jc w:val="center"/>
              <w:rPr>
                <w:kern w:val="0"/>
                <w:sz w:val="20"/>
                <w:szCs w:val="20"/>
              </w:rPr>
            </w:pPr>
          </w:p>
        </w:tc>
        <w:tc>
          <w:tcPr>
            <w:tcW w:w="970" w:type="dxa"/>
            <w:vMerge w:val="continue"/>
            <w:vAlign w:val="center"/>
          </w:tcPr>
          <w:p w14:paraId="277A783F">
            <w:pPr>
              <w:widowControl/>
              <w:jc w:val="center"/>
              <w:rPr>
                <w:kern w:val="0"/>
                <w:sz w:val="20"/>
                <w:szCs w:val="20"/>
              </w:rPr>
            </w:pPr>
          </w:p>
        </w:tc>
        <w:tc>
          <w:tcPr>
            <w:tcW w:w="2457" w:type="dxa"/>
            <w:vAlign w:val="center"/>
          </w:tcPr>
          <w:p w14:paraId="2063E341">
            <w:pPr>
              <w:widowControl/>
              <w:jc w:val="center"/>
              <w:rPr>
                <w:kern w:val="0"/>
                <w:sz w:val="20"/>
                <w:szCs w:val="20"/>
              </w:rPr>
            </w:pPr>
            <w:r>
              <w:rPr>
                <w:kern w:val="0"/>
                <w:sz w:val="20"/>
                <w:szCs w:val="20"/>
              </w:rPr>
              <w:t>任务规划功能试验</w:t>
            </w:r>
          </w:p>
        </w:tc>
        <w:tc>
          <w:tcPr>
            <w:tcW w:w="917" w:type="dxa"/>
            <w:vAlign w:val="center"/>
          </w:tcPr>
          <w:p w14:paraId="3311EA57">
            <w:pPr>
              <w:widowControl/>
              <w:jc w:val="center"/>
              <w:rPr>
                <w:kern w:val="0"/>
                <w:sz w:val="20"/>
                <w:szCs w:val="20"/>
              </w:rPr>
            </w:pPr>
            <w:r>
              <w:rPr>
                <w:rFonts w:hint="eastAsia"/>
                <w:szCs w:val="21"/>
              </w:rPr>
              <w:t>6.3.2</w:t>
            </w:r>
          </w:p>
        </w:tc>
        <w:tc>
          <w:tcPr>
            <w:tcW w:w="960" w:type="dxa"/>
            <w:vAlign w:val="center"/>
          </w:tcPr>
          <w:p w14:paraId="5157C826">
            <w:pPr>
              <w:widowControl/>
              <w:jc w:val="center"/>
              <w:rPr>
                <w:kern w:val="0"/>
                <w:sz w:val="20"/>
                <w:szCs w:val="20"/>
              </w:rPr>
            </w:pPr>
            <w:r>
              <w:rPr>
                <w:sz w:val="16"/>
                <w:szCs w:val="16"/>
              </w:rPr>
              <w:t>●</w:t>
            </w:r>
          </w:p>
        </w:tc>
        <w:tc>
          <w:tcPr>
            <w:tcW w:w="845" w:type="dxa"/>
            <w:vAlign w:val="center"/>
          </w:tcPr>
          <w:p w14:paraId="2FA62AA7">
            <w:pPr>
              <w:widowControl/>
              <w:jc w:val="center"/>
              <w:rPr>
                <w:kern w:val="0"/>
                <w:sz w:val="20"/>
                <w:szCs w:val="20"/>
              </w:rPr>
            </w:pPr>
            <w:r>
              <w:rPr>
                <w:sz w:val="16"/>
                <w:szCs w:val="16"/>
              </w:rPr>
              <w:t>●</w:t>
            </w:r>
          </w:p>
        </w:tc>
        <w:tc>
          <w:tcPr>
            <w:tcW w:w="880" w:type="dxa"/>
            <w:vAlign w:val="center"/>
          </w:tcPr>
          <w:p w14:paraId="14BF2223">
            <w:pPr>
              <w:widowControl/>
              <w:jc w:val="center"/>
              <w:rPr>
                <w:sz w:val="16"/>
                <w:szCs w:val="16"/>
              </w:rPr>
            </w:pPr>
            <w:r>
              <w:rPr>
                <w:sz w:val="16"/>
                <w:szCs w:val="16"/>
              </w:rPr>
              <w:t>●</w:t>
            </w:r>
          </w:p>
        </w:tc>
        <w:tc>
          <w:tcPr>
            <w:tcW w:w="880" w:type="dxa"/>
            <w:vAlign w:val="center"/>
          </w:tcPr>
          <w:p w14:paraId="038D478D">
            <w:pPr>
              <w:widowControl/>
              <w:jc w:val="center"/>
              <w:rPr>
                <w:sz w:val="16"/>
                <w:szCs w:val="16"/>
              </w:rPr>
            </w:pPr>
            <w:r>
              <w:rPr>
                <w:sz w:val="16"/>
                <w:szCs w:val="16"/>
              </w:rPr>
              <w:t>●</w:t>
            </w:r>
          </w:p>
        </w:tc>
        <w:tc>
          <w:tcPr>
            <w:tcW w:w="880" w:type="dxa"/>
            <w:vAlign w:val="center"/>
          </w:tcPr>
          <w:p w14:paraId="5DFE8D7D">
            <w:pPr>
              <w:widowControl/>
              <w:jc w:val="center"/>
              <w:rPr>
                <w:sz w:val="16"/>
                <w:szCs w:val="16"/>
              </w:rPr>
            </w:pPr>
            <w:r>
              <w:rPr>
                <w:sz w:val="16"/>
                <w:szCs w:val="16"/>
              </w:rPr>
              <w:t>●</w:t>
            </w:r>
          </w:p>
        </w:tc>
      </w:tr>
      <w:tr w14:paraId="05C2CD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 w:hRule="atLeast"/>
          <w:jc w:val="center"/>
        </w:trPr>
        <w:tc>
          <w:tcPr>
            <w:tcW w:w="558" w:type="dxa"/>
            <w:vMerge w:val="continue"/>
            <w:vAlign w:val="center"/>
          </w:tcPr>
          <w:p w14:paraId="175D93FD">
            <w:pPr>
              <w:widowControl/>
              <w:jc w:val="center"/>
              <w:rPr>
                <w:kern w:val="0"/>
                <w:sz w:val="20"/>
                <w:szCs w:val="20"/>
              </w:rPr>
            </w:pPr>
          </w:p>
        </w:tc>
        <w:tc>
          <w:tcPr>
            <w:tcW w:w="970" w:type="dxa"/>
            <w:vMerge w:val="continue"/>
            <w:vAlign w:val="center"/>
          </w:tcPr>
          <w:p w14:paraId="7C0310D2">
            <w:pPr>
              <w:widowControl/>
              <w:jc w:val="center"/>
              <w:rPr>
                <w:kern w:val="0"/>
                <w:sz w:val="20"/>
                <w:szCs w:val="20"/>
              </w:rPr>
            </w:pPr>
          </w:p>
        </w:tc>
        <w:tc>
          <w:tcPr>
            <w:tcW w:w="2457" w:type="dxa"/>
            <w:vAlign w:val="center"/>
          </w:tcPr>
          <w:p w14:paraId="1CA9462C">
            <w:pPr>
              <w:widowControl/>
              <w:jc w:val="center"/>
              <w:rPr>
                <w:kern w:val="0"/>
                <w:sz w:val="20"/>
                <w:szCs w:val="20"/>
              </w:rPr>
            </w:pPr>
            <w:r>
              <w:rPr>
                <w:kern w:val="0"/>
                <w:sz w:val="20"/>
                <w:szCs w:val="20"/>
              </w:rPr>
              <w:t>飞行模式及切换功能试验</w:t>
            </w:r>
          </w:p>
        </w:tc>
        <w:tc>
          <w:tcPr>
            <w:tcW w:w="917" w:type="dxa"/>
            <w:vAlign w:val="center"/>
          </w:tcPr>
          <w:p w14:paraId="24F5BF75">
            <w:pPr>
              <w:widowControl/>
              <w:jc w:val="center"/>
              <w:rPr>
                <w:kern w:val="0"/>
                <w:sz w:val="20"/>
                <w:szCs w:val="20"/>
              </w:rPr>
            </w:pPr>
            <w:r>
              <w:rPr>
                <w:rFonts w:hint="eastAsia"/>
                <w:szCs w:val="21"/>
              </w:rPr>
              <w:t>6.3.3</w:t>
            </w:r>
          </w:p>
        </w:tc>
        <w:tc>
          <w:tcPr>
            <w:tcW w:w="960" w:type="dxa"/>
            <w:vAlign w:val="center"/>
          </w:tcPr>
          <w:p w14:paraId="02BEAB32">
            <w:pPr>
              <w:widowControl/>
              <w:jc w:val="center"/>
              <w:rPr>
                <w:kern w:val="0"/>
                <w:sz w:val="20"/>
                <w:szCs w:val="20"/>
              </w:rPr>
            </w:pPr>
            <w:r>
              <w:rPr>
                <w:sz w:val="16"/>
                <w:szCs w:val="16"/>
              </w:rPr>
              <w:t>●</w:t>
            </w:r>
          </w:p>
        </w:tc>
        <w:tc>
          <w:tcPr>
            <w:tcW w:w="845" w:type="dxa"/>
            <w:vAlign w:val="center"/>
          </w:tcPr>
          <w:p w14:paraId="67BA5FC6">
            <w:pPr>
              <w:widowControl/>
              <w:jc w:val="center"/>
              <w:rPr>
                <w:kern w:val="0"/>
                <w:sz w:val="20"/>
                <w:szCs w:val="20"/>
              </w:rPr>
            </w:pPr>
            <w:r>
              <w:rPr>
                <w:sz w:val="16"/>
                <w:szCs w:val="16"/>
              </w:rPr>
              <w:t>●</w:t>
            </w:r>
          </w:p>
        </w:tc>
        <w:tc>
          <w:tcPr>
            <w:tcW w:w="880" w:type="dxa"/>
            <w:vAlign w:val="center"/>
          </w:tcPr>
          <w:p w14:paraId="73F91B20">
            <w:pPr>
              <w:widowControl/>
              <w:jc w:val="center"/>
              <w:rPr>
                <w:sz w:val="16"/>
                <w:szCs w:val="16"/>
              </w:rPr>
            </w:pPr>
            <w:r>
              <w:rPr>
                <w:sz w:val="16"/>
                <w:szCs w:val="16"/>
              </w:rPr>
              <w:t>●</w:t>
            </w:r>
          </w:p>
        </w:tc>
        <w:tc>
          <w:tcPr>
            <w:tcW w:w="880" w:type="dxa"/>
            <w:vAlign w:val="center"/>
          </w:tcPr>
          <w:p w14:paraId="3692968F">
            <w:pPr>
              <w:widowControl/>
              <w:jc w:val="center"/>
              <w:rPr>
                <w:sz w:val="16"/>
                <w:szCs w:val="16"/>
              </w:rPr>
            </w:pPr>
            <w:r>
              <w:rPr>
                <w:sz w:val="16"/>
                <w:szCs w:val="16"/>
              </w:rPr>
              <w:t>●</w:t>
            </w:r>
          </w:p>
        </w:tc>
        <w:tc>
          <w:tcPr>
            <w:tcW w:w="880" w:type="dxa"/>
            <w:vAlign w:val="center"/>
          </w:tcPr>
          <w:p w14:paraId="30A6B036">
            <w:pPr>
              <w:widowControl/>
              <w:jc w:val="center"/>
              <w:rPr>
                <w:sz w:val="16"/>
                <w:szCs w:val="16"/>
              </w:rPr>
            </w:pPr>
            <w:r>
              <w:rPr>
                <w:sz w:val="16"/>
                <w:szCs w:val="16"/>
              </w:rPr>
              <w:t>●</w:t>
            </w:r>
          </w:p>
        </w:tc>
      </w:tr>
      <w:tr w14:paraId="05174C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8" w:hRule="atLeast"/>
          <w:jc w:val="center"/>
        </w:trPr>
        <w:tc>
          <w:tcPr>
            <w:tcW w:w="558" w:type="dxa"/>
            <w:vMerge w:val="continue"/>
            <w:vAlign w:val="center"/>
          </w:tcPr>
          <w:p w14:paraId="1D4AD9F8">
            <w:pPr>
              <w:widowControl/>
              <w:jc w:val="center"/>
              <w:rPr>
                <w:kern w:val="0"/>
                <w:sz w:val="20"/>
                <w:szCs w:val="20"/>
              </w:rPr>
            </w:pPr>
          </w:p>
        </w:tc>
        <w:tc>
          <w:tcPr>
            <w:tcW w:w="970" w:type="dxa"/>
            <w:vMerge w:val="continue"/>
            <w:vAlign w:val="center"/>
          </w:tcPr>
          <w:p w14:paraId="5B98AE26">
            <w:pPr>
              <w:widowControl/>
              <w:jc w:val="center"/>
              <w:rPr>
                <w:kern w:val="0"/>
                <w:sz w:val="20"/>
                <w:szCs w:val="20"/>
              </w:rPr>
            </w:pPr>
          </w:p>
        </w:tc>
        <w:tc>
          <w:tcPr>
            <w:tcW w:w="2457" w:type="dxa"/>
            <w:vAlign w:val="center"/>
          </w:tcPr>
          <w:p w14:paraId="0B5DC458">
            <w:pPr>
              <w:widowControl/>
              <w:jc w:val="center"/>
              <w:rPr>
                <w:kern w:val="0"/>
                <w:sz w:val="20"/>
                <w:szCs w:val="20"/>
              </w:rPr>
            </w:pPr>
            <w:r>
              <w:rPr>
                <w:kern w:val="0"/>
                <w:sz w:val="20"/>
                <w:szCs w:val="20"/>
              </w:rPr>
              <w:t>导航定位偏差试验</w:t>
            </w:r>
          </w:p>
        </w:tc>
        <w:tc>
          <w:tcPr>
            <w:tcW w:w="917" w:type="dxa"/>
            <w:vAlign w:val="center"/>
          </w:tcPr>
          <w:p w14:paraId="274223F6">
            <w:pPr>
              <w:widowControl/>
              <w:jc w:val="center"/>
              <w:rPr>
                <w:kern w:val="0"/>
                <w:sz w:val="20"/>
                <w:szCs w:val="20"/>
              </w:rPr>
            </w:pPr>
            <w:r>
              <w:rPr>
                <w:rFonts w:hint="eastAsia"/>
                <w:szCs w:val="21"/>
              </w:rPr>
              <w:t>6.3.4</w:t>
            </w:r>
          </w:p>
        </w:tc>
        <w:tc>
          <w:tcPr>
            <w:tcW w:w="960" w:type="dxa"/>
            <w:vAlign w:val="center"/>
          </w:tcPr>
          <w:p w14:paraId="2F6A4C7D">
            <w:pPr>
              <w:widowControl/>
              <w:jc w:val="center"/>
              <w:rPr>
                <w:kern w:val="0"/>
                <w:sz w:val="20"/>
                <w:szCs w:val="20"/>
              </w:rPr>
            </w:pPr>
            <w:r>
              <w:rPr>
                <w:sz w:val="16"/>
                <w:szCs w:val="16"/>
              </w:rPr>
              <w:t>●</w:t>
            </w:r>
          </w:p>
        </w:tc>
        <w:tc>
          <w:tcPr>
            <w:tcW w:w="845" w:type="dxa"/>
            <w:vAlign w:val="center"/>
          </w:tcPr>
          <w:p w14:paraId="1C053320">
            <w:pPr>
              <w:widowControl/>
              <w:jc w:val="center"/>
              <w:rPr>
                <w:kern w:val="0"/>
                <w:sz w:val="20"/>
                <w:szCs w:val="20"/>
              </w:rPr>
            </w:pPr>
            <w:r>
              <w:rPr>
                <w:sz w:val="16"/>
                <w:szCs w:val="16"/>
              </w:rPr>
              <w:t>●</w:t>
            </w:r>
          </w:p>
        </w:tc>
        <w:tc>
          <w:tcPr>
            <w:tcW w:w="880" w:type="dxa"/>
            <w:vAlign w:val="center"/>
          </w:tcPr>
          <w:p w14:paraId="0E8712B1">
            <w:pPr>
              <w:widowControl/>
              <w:jc w:val="center"/>
              <w:rPr>
                <w:sz w:val="16"/>
                <w:szCs w:val="16"/>
              </w:rPr>
            </w:pPr>
            <w:r>
              <w:rPr>
                <w:sz w:val="16"/>
                <w:szCs w:val="16"/>
              </w:rPr>
              <w:t>●</w:t>
            </w:r>
          </w:p>
        </w:tc>
        <w:tc>
          <w:tcPr>
            <w:tcW w:w="880" w:type="dxa"/>
            <w:vAlign w:val="center"/>
          </w:tcPr>
          <w:p w14:paraId="6EE4CF63">
            <w:pPr>
              <w:widowControl/>
              <w:jc w:val="center"/>
              <w:rPr>
                <w:sz w:val="16"/>
                <w:szCs w:val="16"/>
              </w:rPr>
            </w:pPr>
            <w:r>
              <w:rPr>
                <w:sz w:val="16"/>
                <w:szCs w:val="16"/>
              </w:rPr>
              <w:t>●</w:t>
            </w:r>
          </w:p>
        </w:tc>
        <w:tc>
          <w:tcPr>
            <w:tcW w:w="880" w:type="dxa"/>
            <w:vAlign w:val="center"/>
          </w:tcPr>
          <w:p w14:paraId="5AF506EB">
            <w:pPr>
              <w:widowControl/>
              <w:jc w:val="center"/>
              <w:rPr>
                <w:sz w:val="16"/>
                <w:szCs w:val="16"/>
              </w:rPr>
            </w:pPr>
            <w:r>
              <w:rPr>
                <w:sz w:val="16"/>
                <w:szCs w:val="16"/>
              </w:rPr>
              <w:t>●</w:t>
            </w:r>
          </w:p>
        </w:tc>
      </w:tr>
      <w:tr w14:paraId="13893B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14:paraId="69D4F5C9">
            <w:pPr>
              <w:widowControl/>
              <w:jc w:val="center"/>
              <w:rPr>
                <w:kern w:val="0"/>
                <w:sz w:val="20"/>
                <w:szCs w:val="20"/>
              </w:rPr>
            </w:pPr>
          </w:p>
        </w:tc>
        <w:tc>
          <w:tcPr>
            <w:tcW w:w="970" w:type="dxa"/>
            <w:vMerge w:val="continue"/>
            <w:vAlign w:val="center"/>
          </w:tcPr>
          <w:p w14:paraId="29E60540">
            <w:pPr>
              <w:widowControl/>
              <w:jc w:val="center"/>
              <w:rPr>
                <w:kern w:val="0"/>
                <w:sz w:val="20"/>
                <w:szCs w:val="20"/>
              </w:rPr>
            </w:pPr>
          </w:p>
        </w:tc>
        <w:tc>
          <w:tcPr>
            <w:tcW w:w="2457" w:type="dxa"/>
            <w:vAlign w:val="center"/>
          </w:tcPr>
          <w:p w14:paraId="78642AEF">
            <w:pPr>
              <w:widowControl/>
              <w:jc w:val="center"/>
              <w:rPr>
                <w:kern w:val="0"/>
                <w:sz w:val="20"/>
                <w:szCs w:val="20"/>
              </w:rPr>
            </w:pPr>
            <w:r>
              <w:rPr>
                <w:kern w:val="0"/>
                <w:sz w:val="20"/>
                <w:szCs w:val="20"/>
              </w:rPr>
              <w:t>飞行控制偏差试验</w:t>
            </w:r>
          </w:p>
        </w:tc>
        <w:tc>
          <w:tcPr>
            <w:tcW w:w="917" w:type="dxa"/>
            <w:vAlign w:val="center"/>
          </w:tcPr>
          <w:p w14:paraId="35D005FD">
            <w:pPr>
              <w:widowControl/>
              <w:jc w:val="center"/>
              <w:rPr>
                <w:kern w:val="0"/>
                <w:sz w:val="20"/>
                <w:szCs w:val="20"/>
              </w:rPr>
            </w:pPr>
            <w:r>
              <w:rPr>
                <w:rFonts w:hint="eastAsia"/>
                <w:szCs w:val="21"/>
              </w:rPr>
              <w:t>6.3.5</w:t>
            </w:r>
          </w:p>
        </w:tc>
        <w:tc>
          <w:tcPr>
            <w:tcW w:w="960" w:type="dxa"/>
            <w:vAlign w:val="center"/>
          </w:tcPr>
          <w:p w14:paraId="08829BCC">
            <w:pPr>
              <w:widowControl/>
              <w:jc w:val="center"/>
              <w:rPr>
                <w:kern w:val="0"/>
                <w:sz w:val="20"/>
                <w:szCs w:val="20"/>
              </w:rPr>
            </w:pPr>
            <w:r>
              <w:rPr>
                <w:sz w:val="16"/>
                <w:szCs w:val="16"/>
              </w:rPr>
              <w:t>●</w:t>
            </w:r>
          </w:p>
        </w:tc>
        <w:tc>
          <w:tcPr>
            <w:tcW w:w="845" w:type="dxa"/>
            <w:vAlign w:val="center"/>
          </w:tcPr>
          <w:p w14:paraId="159F8F45">
            <w:pPr>
              <w:widowControl/>
              <w:jc w:val="center"/>
              <w:rPr>
                <w:kern w:val="0"/>
                <w:sz w:val="20"/>
                <w:szCs w:val="20"/>
              </w:rPr>
            </w:pPr>
            <w:r>
              <w:rPr>
                <w:sz w:val="16"/>
                <w:szCs w:val="16"/>
              </w:rPr>
              <w:t>●</w:t>
            </w:r>
          </w:p>
        </w:tc>
        <w:tc>
          <w:tcPr>
            <w:tcW w:w="880" w:type="dxa"/>
            <w:vAlign w:val="center"/>
          </w:tcPr>
          <w:p w14:paraId="2547F959">
            <w:pPr>
              <w:widowControl/>
              <w:jc w:val="center"/>
              <w:rPr>
                <w:sz w:val="16"/>
                <w:szCs w:val="16"/>
              </w:rPr>
            </w:pPr>
            <w:r>
              <w:rPr>
                <w:sz w:val="16"/>
                <w:szCs w:val="16"/>
              </w:rPr>
              <w:t>●</w:t>
            </w:r>
          </w:p>
        </w:tc>
        <w:tc>
          <w:tcPr>
            <w:tcW w:w="880" w:type="dxa"/>
            <w:vAlign w:val="center"/>
          </w:tcPr>
          <w:p w14:paraId="55359669">
            <w:pPr>
              <w:widowControl/>
              <w:jc w:val="center"/>
              <w:rPr>
                <w:sz w:val="16"/>
                <w:szCs w:val="16"/>
              </w:rPr>
            </w:pPr>
            <w:r>
              <w:rPr>
                <w:sz w:val="16"/>
                <w:szCs w:val="16"/>
              </w:rPr>
              <w:t>●</w:t>
            </w:r>
          </w:p>
        </w:tc>
        <w:tc>
          <w:tcPr>
            <w:tcW w:w="880" w:type="dxa"/>
            <w:vAlign w:val="center"/>
          </w:tcPr>
          <w:p w14:paraId="03D81423">
            <w:pPr>
              <w:widowControl/>
              <w:jc w:val="center"/>
              <w:rPr>
                <w:sz w:val="16"/>
                <w:szCs w:val="16"/>
              </w:rPr>
            </w:pPr>
            <w:r>
              <w:rPr>
                <w:sz w:val="16"/>
                <w:szCs w:val="16"/>
              </w:rPr>
              <w:t>●</w:t>
            </w:r>
          </w:p>
        </w:tc>
      </w:tr>
      <w:tr w14:paraId="1CE4CD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8" w:hRule="atLeast"/>
          <w:jc w:val="center"/>
        </w:trPr>
        <w:tc>
          <w:tcPr>
            <w:tcW w:w="558" w:type="dxa"/>
            <w:vMerge w:val="continue"/>
            <w:vAlign w:val="center"/>
          </w:tcPr>
          <w:p w14:paraId="12CE1D85">
            <w:pPr>
              <w:widowControl/>
              <w:jc w:val="center"/>
              <w:rPr>
                <w:kern w:val="0"/>
                <w:sz w:val="20"/>
                <w:szCs w:val="20"/>
              </w:rPr>
            </w:pPr>
          </w:p>
        </w:tc>
        <w:tc>
          <w:tcPr>
            <w:tcW w:w="970" w:type="dxa"/>
            <w:vMerge w:val="continue"/>
            <w:vAlign w:val="center"/>
          </w:tcPr>
          <w:p w14:paraId="084F1FEE">
            <w:pPr>
              <w:widowControl/>
              <w:jc w:val="center"/>
              <w:rPr>
                <w:kern w:val="0"/>
                <w:sz w:val="20"/>
                <w:szCs w:val="20"/>
              </w:rPr>
            </w:pPr>
          </w:p>
        </w:tc>
        <w:tc>
          <w:tcPr>
            <w:tcW w:w="2457" w:type="dxa"/>
            <w:vAlign w:val="center"/>
          </w:tcPr>
          <w:p w14:paraId="5E88B22B">
            <w:pPr>
              <w:widowControl/>
              <w:jc w:val="center"/>
              <w:rPr>
                <w:kern w:val="0"/>
                <w:sz w:val="20"/>
                <w:szCs w:val="20"/>
              </w:rPr>
            </w:pPr>
            <w:r>
              <w:rPr>
                <w:kern w:val="0"/>
                <w:sz w:val="20"/>
                <w:szCs w:val="20"/>
              </w:rPr>
              <w:t>悬停控制偏差试验</w:t>
            </w:r>
          </w:p>
        </w:tc>
        <w:tc>
          <w:tcPr>
            <w:tcW w:w="917" w:type="dxa"/>
            <w:vAlign w:val="center"/>
          </w:tcPr>
          <w:p w14:paraId="3D280B1D">
            <w:pPr>
              <w:widowControl/>
              <w:jc w:val="center"/>
              <w:rPr>
                <w:kern w:val="0"/>
                <w:sz w:val="20"/>
                <w:szCs w:val="20"/>
              </w:rPr>
            </w:pPr>
            <w:r>
              <w:rPr>
                <w:rFonts w:hint="eastAsia"/>
                <w:szCs w:val="21"/>
              </w:rPr>
              <w:t>6.3.6</w:t>
            </w:r>
          </w:p>
        </w:tc>
        <w:tc>
          <w:tcPr>
            <w:tcW w:w="960" w:type="dxa"/>
            <w:vAlign w:val="center"/>
          </w:tcPr>
          <w:p w14:paraId="443F3C2A">
            <w:pPr>
              <w:widowControl/>
              <w:jc w:val="center"/>
              <w:rPr>
                <w:kern w:val="0"/>
                <w:sz w:val="20"/>
                <w:szCs w:val="20"/>
              </w:rPr>
            </w:pPr>
            <w:r>
              <w:rPr>
                <w:sz w:val="16"/>
                <w:szCs w:val="16"/>
              </w:rPr>
              <w:t>●</w:t>
            </w:r>
          </w:p>
        </w:tc>
        <w:tc>
          <w:tcPr>
            <w:tcW w:w="845" w:type="dxa"/>
            <w:vAlign w:val="center"/>
          </w:tcPr>
          <w:p w14:paraId="48F3EEEC">
            <w:pPr>
              <w:widowControl/>
              <w:jc w:val="center"/>
              <w:rPr>
                <w:kern w:val="0"/>
                <w:sz w:val="20"/>
                <w:szCs w:val="20"/>
              </w:rPr>
            </w:pPr>
            <w:r>
              <w:rPr>
                <w:sz w:val="16"/>
                <w:szCs w:val="16"/>
              </w:rPr>
              <w:t>●</w:t>
            </w:r>
          </w:p>
        </w:tc>
        <w:tc>
          <w:tcPr>
            <w:tcW w:w="880" w:type="dxa"/>
            <w:vAlign w:val="center"/>
          </w:tcPr>
          <w:p w14:paraId="5121C181">
            <w:pPr>
              <w:widowControl/>
              <w:jc w:val="center"/>
              <w:rPr>
                <w:sz w:val="16"/>
                <w:szCs w:val="16"/>
              </w:rPr>
            </w:pPr>
            <w:r>
              <w:rPr>
                <w:sz w:val="16"/>
                <w:szCs w:val="16"/>
              </w:rPr>
              <w:t>●</w:t>
            </w:r>
          </w:p>
        </w:tc>
        <w:tc>
          <w:tcPr>
            <w:tcW w:w="880" w:type="dxa"/>
            <w:vAlign w:val="center"/>
          </w:tcPr>
          <w:p w14:paraId="17094FAD">
            <w:pPr>
              <w:widowControl/>
              <w:jc w:val="center"/>
              <w:rPr>
                <w:sz w:val="16"/>
                <w:szCs w:val="16"/>
              </w:rPr>
            </w:pPr>
            <w:r>
              <w:rPr>
                <w:sz w:val="16"/>
                <w:szCs w:val="16"/>
              </w:rPr>
              <w:t>●</w:t>
            </w:r>
          </w:p>
        </w:tc>
        <w:tc>
          <w:tcPr>
            <w:tcW w:w="880" w:type="dxa"/>
            <w:vAlign w:val="center"/>
          </w:tcPr>
          <w:p w14:paraId="5B426335">
            <w:pPr>
              <w:widowControl/>
              <w:jc w:val="center"/>
              <w:rPr>
                <w:sz w:val="16"/>
                <w:szCs w:val="16"/>
              </w:rPr>
            </w:pPr>
            <w:r>
              <w:rPr>
                <w:sz w:val="16"/>
                <w:szCs w:val="16"/>
              </w:rPr>
              <w:t>●</w:t>
            </w:r>
          </w:p>
        </w:tc>
      </w:tr>
      <w:tr w14:paraId="4E8678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61" w:hRule="atLeast"/>
          <w:jc w:val="center"/>
        </w:trPr>
        <w:tc>
          <w:tcPr>
            <w:tcW w:w="558" w:type="dxa"/>
            <w:vMerge w:val="continue"/>
            <w:vAlign w:val="center"/>
          </w:tcPr>
          <w:p w14:paraId="10A8F0DE">
            <w:pPr>
              <w:widowControl/>
              <w:jc w:val="center"/>
              <w:rPr>
                <w:kern w:val="0"/>
                <w:sz w:val="20"/>
                <w:szCs w:val="20"/>
              </w:rPr>
            </w:pPr>
          </w:p>
        </w:tc>
        <w:tc>
          <w:tcPr>
            <w:tcW w:w="970" w:type="dxa"/>
            <w:vMerge w:val="continue"/>
            <w:vAlign w:val="center"/>
          </w:tcPr>
          <w:p w14:paraId="3C2D1F35">
            <w:pPr>
              <w:widowControl/>
              <w:jc w:val="center"/>
              <w:rPr>
                <w:kern w:val="0"/>
                <w:sz w:val="20"/>
                <w:szCs w:val="20"/>
              </w:rPr>
            </w:pPr>
          </w:p>
        </w:tc>
        <w:tc>
          <w:tcPr>
            <w:tcW w:w="2457" w:type="dxa"/>
            <w:vAlign w:val="center"/>
          </w:tcPr>
          <w:p w14:paraId="2A1314B0">
            <w:pPr>
              <w:widowControl/>
              <w:jc w:val="center"/>
              <w:rPr>
                <w:kern w:val="0"/>
                <w:sz w:val="20"/>
                <w:szCs w:val="20"/>
              </w:rPr>
            </w:pPr>
            <w:r>
              <w:rPr>
                <w:kern w:val="0"/>
                <w:sz w:val="20"/>
                <w:szCs w:val="20"/>
              </w:rPr>
              <w:t>机头重定向功能试验</w:t>
            </w:r>
          </w:p>
        </w:tc>
        <w:tc>
          <w:tcPr>
            <w:tcW w:w="917" w:type="dxa"/>
            <w:vAlign w:val="center"/>
          </w:tcPr>
          <w:p w14:paraId="390D7503">
            <w:pPr>
              <w:widowControl/>
              <w:jc w:val="center"/>
              <w:rPr>
                <w:kern w:val="0"/>
                <w:sz w:val="20"/>
                <w:szCs w:val="20"/>
              </w:rPr>
            </w:pPr>
            <w:r>
              <w:rPr>
                <w:rFonts w:hint="eastAsia"/>
                <w:szCs w:val="21"/>
              </w:rPr>
              <w:t>6.3.7</w:t>
            </w:r>
          </w:p>
        </w:tc>
        <w:tc>
          <w:tcPr>
            <w:tcW w:w="960" w:type="dxa"/>
            <w:vAlign w:val="center"/>
          </w:tcPr>
          <w:p w14:paraId="544EBC18">
            <w:pPr>
              <w:widowControl/>
              <w:jc w:val="center"/>
              <w:rPr>
                <w:kern w:val="0"/>
                <w:sz w:val="20"/>
                <w:szCs w:val="20"/>
              </w:rPr>
            </w:pPr>
            <w:r>
              <w:rPr>
                <w:sz w:val="16"/>
                <w:szCs w:val="16"/>
              </w:rPr>
              <w:t>●</w:t>
            </w:r>
          </w:p>
        </w:tc>
        <w:tc>
          <w:tcPr>
            <w:tcW w:w="845" w:type="dxa"/>
            <w:vAlign w:val="center"/>
          </w:tcPr>
          <w:p w14:paraId="6B92D3E9">
            <w:pPr>
              <w:widowControl/>
              <w:jc w:val="center"/>
              <w:rPr>
                <w:kern w:val="0"/>
                <w:sz w:val="20"/>
                <w:szCs w:val="20"/>
              </w:rPr>
            </w:pPr>
            <w:r>
              <w:rPr>
                <w:sz w:val="16"/>
                <w:szCs w:val="16"/>
              </w:rPr>
              <w:t>●</w:t>
            </w:r>
          </w:p>
        </w:tc>
        <w:tc>
          <w:tcPr>
            <w:tcW w:w="880" w:type="dxa"/>
            <w:vAlign w:val="center"/>
          </w:tcPr>
          <w:p w14:paraId="7AD880C3">
            <w:pPr>
              <w:widowControl/>
              <w:jc w:val="center"/>
              <w:rPr>
                <w:sz w:val="16"/>
                <w:szCs w:val="16"/>
              </w:rPr>
            </w:pPr>
            <w:r>
              <w:rPr>
                <w:sz w:val="16"/>
                <w:szCs w:val="16"/>
              </w:rPr>
              <w:t>●</w:t>
            </w:r>
          </w:p>
        </w:tc>
        <w:tc>
          <w:tcPr>
            <w:tcW w:w="880" w:type="dxa"/>
            <w:vAlign w:val="center"/>
          </w:tcPr>
          <w:p w14:paraId="5ED0A110">
            <w:pPr>
              <w:widowControl/>
              <w:jc w:val="center"/>
              <w:rPr>
                <w:sz w:val="16"/>
                <w:szCs w:val="16"/>
              </w:rPr>
            </w:pPr>
            <w:r>
              <w:rPr>
                <w:sz w:val="16"/>
                <w:szCs w:val="16"/>
              </w:rPr>
              <w:t>●</w:t>
            </w:r>
          </w:p>
        </w:tc>
        <w:tc>
          <w:tcPr>
            <w:tcW w:w="880" w:type="dxa"/>
            <w:vAlign w:val="center"/>
          </w:tcPr>
          <w:p w14:paraId="04BFD622">
            <w:pPr>
              <w:widowControl/>
              <w:jc w:val="center"/>
              <w:rPr>
                <w:sz w:val="16"/>
                <w:szCs w:val="16"/>
              </w:rPr>
            </w:pPr>
            <w:r>
              <w:rPr>
                <w:sz w:val="16"/>
                <w:szCs w:val="16"/>
              </w:rPr>
              <w:t>●</w:t>
            </w:r>
          </w:p>
        </w:tc>
      </w:tr>
      <w:tr w14:paraId="792B1C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 w:hRule="atLeast"/>
          <w:jc w:val="center"/>
        </w:trPr>
        <w:tc>
          <w:tcPr>
            <w:tcW w:w="558" w:type="dxa"/>
            <w:vMerge w:val="continue"/>
            <w:vAlign w:val="center"/>
          </w:tcPr>
          <w:p w14:paraId="17C499D3">
            <w:pPr>
              <w:widowControl/>
              <w:jc w:val="center"/>
              <w:rPr>
                <w:kern w:val="0"/>
                <w:sz w:val="20"/>
                <w:szCs w:val="20"/>
              </w:rPr>
            </w:pPr>
          </w:p>
        </w:tc>
        <w:tc>
          <w:tcPr>
            <w:tcW w:w="970" w:type="dxa"/>
            <w:vMerge w:val="continue"/>
            <w:vAlign w:val="center"/>
          </w:tcPr>
          <w:p w14:paraId="6C4DE7CD">
            <w:pPr>
              <w:widowControl/>
              <w:jc w:val="center"/>
              <w:rPr>
                <w:kern w:val="0"/>
                <w:sz w:val="20"/>
                <w:szCs w:val="20"/>
              </w:rPr>
            </w:pPr>
          </w:p>
        </w:tc>
        <w:tc>
          <w:tcPr>
            <w:tcW w:w="2457" w:type="dxa"/>
            <w:vAlign w:val="center"/>
          </w:tcPr>
          <w:p w14:paraId="03C28D80">
            <w:pPr>
              <w:widowControl/>
              <w:jc w:val="center"/>
              <w:rPr>
                <w:kern w:val="0"/>
                <w:sz w:val="20"/>
                <w:szCs w:val="20"/>
              </w:rPr>
            </w:pPr>
            <w:r>
              <w:rPr>
                <w:kern w:val="0"/>
                <w:sz w:val="20"/>
                <w:szCs w:val="20"/>
              </w:rPr>
              <w:t>一键返航功能试验</w:t>
            </w:r>
          </w:p>
        </w:tc>
        <w:tc>
          <w:tcPr>
            <w:tcW w:w="917" w:type="dxa"/>
            <w:vAlign w:val="center"/>
          </w:tcPr>
          <w:p w14:paraId="59BB1BE0">
            <w:pPr>
              <w:widowControl/>
              <w:jc w:val="center"/>
              <w:rPr>
                <w:kern w:val="0"/>
                <w:sz w:val="20"/>
                <w:szCs w:val="20"/>
              </w:rPr>
            </w:pPr>
            <w:r>
              <w:rPr>
                <w:rFonts w:hint="eastAsia"/>
                <w:szCs w:val="21"/>
              </w:rPr>
              <w:t>6.3.8</w:t>
            </w:r>
          </w:p>
        </w:tc>
        <w:tc>
          <w:tcPr>
            <w:tcW w:w="960" w:type="dxa"/>
            <w:vAlign w:val="center"/>
          </w:tcPr>
          <w:p w14:paraId="7A2938F0">
            <w:pPr>
              <w:widowControl/>
              <w:jc w:val="center"/>
              <w:rPr>
                <w:kern w:val="0"/>
                <w:sz w:val="20"/>
                <w:szCs w:val="20"/>
              </w:rPr>
            </w:pPr>
            <w:r>
              <w:rPr>
                <w:sz w:val="16"/>
                <w:szCs w:val="16"/>
              </w:rPr>
              <w:t>●</w:t>
            </w:r>
          </w:p>
        </w:tc>
        <w:tc>
          <w:tcPr>
            <w:tcW w:w="845" w:type="dxa"/>
            <w:vAlign w:val="center"/>
          </w:tcPr>
          <w:p w14:paraId="1A7A43DA">
            <w:pPr>
              <w:widowControl/>
              <w:jc w:val="center"/>
              <w:rPr>
                <w:kern w:val="0"/>
                <w:sz w:val="20"/>
                <w:szCs w:val="20"/>
              </w:rPr>
            </w:pPr>
            <w:r>
              <w:rPr>
                <w:sz w:val="16"/>
                <w:szCs w:val="16"/>
              </w:rPr>
              <w:t>●</w:t>
            </w:r>
          </w:p>
        </w:tc>
        <w:tc>
          <w:tcPr>
            <w:tcW w:w="880" w:type="dxa"/>
            <w:vAlign w:val="center"/>
          </w:tcPr>
          <w:p w14:paraId="5F89D4FD">
            <w:pPr>
              <w:widowControl/>
              <w:jc w:val="center"/>
              <w:rPr>
                <w:sz w:val="16"/>
                <w:szCs w:val="16"/>
              </w:rPr>
            </w:pPr>
            <w:r>
              <w:rPr>
                <w:sz w:val="16"/>
                <w:szCs w:val="16"/>
              </w:rPr>
              <w:t>●</w:t>
            </w:r>
          </w:p>
        </w:tc>
        <w:tc>
          <w:tcPr>
            <w:tcW w:w="880" w:type="dxa"/>
            <w:vAlign w:val="center"/>
          </w:tcPr>
          <w:p w14:paraId="45BCE319">
            <w:pPr>
              <w:widowControl/>
              <w:jc w:val="center"/>
              <w:rPr>
                <w:sz w:val="16"/>
                <w:szCs w:val="16"/>
              </w:rPr>
            </w:pPr>
            <w:r>
              <w:rPr>
                <w:sz w:val="16"/>
                <w:szCs w:val="16"/>
              </w:rPr>
              <w:t>●</w:t>
            </w:r>
          </w:p>
        </w:tc>
        <w:tc>
          <w:tcPr>
            <w:tcW w:w="880" w:type="dxa"/>
            <w:vAlign w:val="center"/>
          </w:tcPr>
          <w:p w14:paraId="7A611337">
            <w:pPr>
              <w:widowControl/>
              <w:jc w:val="center"/>
              <w:rPr>
                <w:sz w:val="16"/>
                <w:szCs w:val="16"/>
              </w:rPr>
            </w:pPr>
            <w:r>
              <w:rPr>
                <w:sz w:val="16"/>
                <w:szCs w:val="16"/>
              </w:rPr>
              <w:t>●</w:t>
            </w:r>
          </w:p>
        </w:tc>
      </w:tr>
      <w:tr w14:paraId="42F35D2B">
        <w:tblPrEx>
          <w:tblCellMar>
            <w:top w:w="0" w:type="dxa"/>
            <w:left w:w="108" w:type="dxa"/>
            <w:bottom w:w="0" w:type="dxa"/>
            <w:right w:w="108" w:type="dxa"/>
          </w:tblCellMar>
        </w:tblPrEx>
        <w:trPr>
          <w:trHeight w:val="346" w:hRule="atLeast"/>
          <w:jc w:val="center"/>
        </w:trPr>
        <w:tc>
          <w:tcPr>
            <w:tcW w:w="558" w:type="dxa"/>
            <w:vMerge w:val="continue"/>
            <w:vAlign w:val="center"/>
          </w:tcPr>
          <w:p w14:paraId="05F97C83">
            <w:pPr>
              <w:widowControl/>
              <w:jc w:val="center"/>
              <w:rPr>
                <w:kern w:val="0"/>
                <w:sz w:val="20"/>
                <w:szCs w:val="20"/>
              </w:rPr>
            </w:pPr>
          </w:p>
        </w:tc>
        <w:tc>
          <w:tcPr>
            <w:tcW w:w="970" w:type="dxa"/>
            <w:vMerge w:val="continue"/>
            <w:vAlign w:val="center"/>
          </w:tcPr>
          <w:p w14:paraId="4F2A73F2">
            <w:pPr>
              <w:widowControl/>
              <w:jc w:val="center"/>
              <w:rPr>
                <w:kern w:val="0"/>
                <w:sz w:val="20"/>
                <w:szCs w:val="20"/>
              </w:rPr>
            </w:pPr>
          </w:p>
        </w:tc>
        <w:tc>
          <w:tcPr>
            <w:tcW w:w="2457" w:type="dxa"/>
            <w:vAlign w:val="center"/>
          </w:tcPr>
          <w:p w14:paraId="2AAEFA42">
            <w:pPr>
              <w:widowControl/>
              <w:jc w:val="center"/>
              <w:rPr>
                <w:kern w:val="0"/>
                <w:sz w:val="20"/>
                <w:szCs w:val="20"/>
              </w:rPr>
            </w:pPr>
            <w:r>
              <w:rPr>
                <w:kern w:val="0"/>
                <w:sz w:val="20"/>
                <w:szCs w:val="20"/>
              </w:rPr>
              <w:t>链路中断返航功能试验</w:t>
            </w:r>
          </w:p>
        </w:tc>
        <w:tc>
          <w:tcPr>
            <w:tcW w:w="917" w:type="dxa"/>
            <w:vAlign w:val="center"/>
          </w:tcPr>
          <w:p w14:paraId="15C38CAC">
            <w:pPr>
              <w:widowControl/>
              <w:jc w:val="center"/>
              <w:rPr>
                <w:kern w:val="0"/>
                <w:sz w:val="20"/>
                <w:szCs w:val="20"/>
              </w:rPr>
            </w:pPr>
            <w:r>
              <w:rPr>
                <w:rFonts w:hint="eastAsia"/>
                <w:szCs w:val="21"/>
              </w:rPr>
              <w:t>6.3.9</w:t>
            </w:r>
          </w:p>
        </w:tc>
        <w:tc>
          <w:tcPr>
            <w:tcW w:w="960" w:type="dxa"/>
            <w:vAlign w:val="center"/>
          </w:tcPr>
          <w:p w14:paraId="09F85C08">
            <w:pPr>
              <w:widowControl/>
              <w:jc w:val="center"/>
              <w:rPr>
                <w:kern w:val="0"/>
                <w:sz w:val="20"/>
                <w:szCs w:val="20"/>
              </w:rPr>
            </w:pPr>
            <w:r>
              <w:rPr>
                <w:sz w:val="16"/>
                <w:szCs w:val="16"/>
              </w:rPr>
              <w:t>●</w:t>
            </w:r>
          </w:p>
        </w:tc>
        <w:tc>
          <w:tcPr>
            <w:tcW w:w="845" w:type="dxa"/>
            <w:vAlign w:val="center"/>
          </w:tcPr>
          <w:p w14:paraId="17EF6591">
            <w:pPr>
              <w:widowControl/>
              <w:jc w:val="center"/>
              <w:rPr>
                <w:kern w:val="0"/>
                <w:sz w:val="20"/>
                <w:szCs w:val="20"/>
              </w:rPr>
            </w:pPr>
            <w:r>
              <w:rPr>
                <w:sz w:val="16"/>
                <w:szCs w:val="16"/>
              </w:rPr>
              <w:t>●</w:t>
            </w:r>
          </w:p>
        </w:tc>
        <w:tc>
          <w:tcPr>
            <w:tcW w:w="880" w:type="dxa"/>
            <w:vAlign w:val="center"/>
          </w:tcPr>
          <w:p w14:paraId="56182A2A">
            <w:pPr>
              <w:widowControl/>
              <w:jc w:val="center"/>
              <w:rPr>
                <w:sz w:val="16"/>
                <w:szCs w:val="16"/>
              </w:rPr>
            </w:pPr>
            <w:r>
              <w:rPr>
                <w:sz w:val="16"/>
                <w:szCs w:val="16"/>
              </w:rPr>
              <w:t>●</w:t>
            </w:r>
          </w:p>
        </w:tc>
        <w:tc>
          <w:tcPr>
            <w:tcW w:w="880" w:type="dxa"/>
            <w:vAlign w:val="center"/>
          </w:tcPr>
          <w:p w14:paraId="781679D3">
            <w:pPr>
              <w:widowControl/>
              <w:jc w:val="center"/>
              <w:rPr>
                <w:sz w:val="16"/>
                <w:szCs w:val="16"/>
              </w:rPr>
            </w:pPr>
            <w:r>
              <w:rPr>
                <w:sz w:val="16"/>
                <w:szCs w:val="16"/>
              </w:rPr>
              <w:t>●</w:t>
            </w:r>
          </w:p>
        </w:tc>
        <w:tc>
          <w:tcPr>
            <w:tcW w:w="880" w:type="dxa"/>
            <w:vAlign w:val="center"/>
          </w:tcPr>
          <w:p w14:paraId="114C9B6D">
            <w:pPr>
              <w:widowControl/>
              <w:jc w:val="center"/>
              <w:rPr>
                <w:sz w:val="16"/>
                <w:szCs w:val="16"/>
              </w:rPr>
            </w:pPr>
            <w:r>
              <w:rPr>
                <w:sz w:val="16"/>
                <w:szCs w:val="16"/>
              </w:rPr>
              <w:t>●</w:t>
            </w:r>
          </w:p>
        </w:tc>
      </w:tr>
      <w:tr w14:paraId="1C4468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6" w:hRule="atLeast"/>
          <w:jc w:val="center"/>
        </w:trPr>
        <w:tc>
          <w:tcPr>
            <w:tcW w:w="558" w:type="dxa"/>
            <w:vMerge w:val="continue"/>
            <w:vAlign w:val="center"/>
          </w:tcPr>
          <w:p w14:paraId="0D4A19C9">
            <w:pPr>
              <w:widowControl/>
              <w:jc w:val="center"/>
              <w:rPr>
                <w:kern w:val="0"/>
                <w:sz w:val="20"/>
                <w:szCs w:val="20"/>
              </w:rPr>
            </w:pPr>
          </w:p>
        </w:tc>
        <w:tc>
          <w:tcPr>
            <w:tcW w:w="970" w:type="dxa"/>
            <w:vMerge w:val="continue"/>
            <w:vAlign w:val="center"/>
          </w:tcPr>
          <w:p w14:paraId="6ECBDB5B">
            <w:pPr>
              <w:widowControl/>
              <w:jc w:val="center"/>
              <w:rPr>
                <w:kern w:val="0"/>
                <w:sz w:val="20"/>
                <w:szCs w:val="20"/>
              </w:rPr>
            </w:pPr>
          </w:p>
        </w:tc>
        <w:tc>
          <w:tcPr>
            <w:tcW w:w="2457" w:type="dxa"/>
            <w:vAlign w:val="center"/>
          </w:tcPr>
          <w:p w14:paraId="1DAB19C3">
            <w:pPr>
              <w:widowControl/>
              <w:jc w:val="center"/>
              <w:rPr>
                <w:kern w:val="0"/>
                <w:sz w:val="20"/>
                <w:szCs w:val="20"/>
              </w:rPr>
            </w:pPr>
            <w:r>
              <w:rPr>
                <w:kern w:val="0"/>
                <w:sz w:val="20"/>
                <w:szCs w:val="20"/>
              </w:rPr>
              <w:t>飞行区域限制功能试验</w:t>
            </w:r>
          </w:p>
        </w:tc>
        <w:tc>
          <w:tcPr>
            <w:tcW w:w="917" w:type="dxa"/>
            <w:vAlign w:val="center"/>
          </w:tcPr>
          <w:p w14:paraId="4808104D">
            <w:pPr>
              <w:widowControl/>
              <w:jc w:val="center"/>
              <w:rPr>
                <w:kern w:val="0"/>
                <w:sz w:val="20"/>
                <w:szCs w:val="20"/>
              </w:rPr>
            </w:pPr>
            <w:r>
              <w:rPr>
                <w:rFonts w:hint="eastAsia"/>
                <w:szCs w:val="21"/>
              </w:rPr>
              <w:t>6.3.10</w:t>
            </w:r>
          </w:p>
        </w:tc>
        <w:tc>
          <w:tcPr>
            <w:tcW w:w="960" w:type="dxa"/>
            <w:vAlign w:val="center"/>
          </w:tcPr>
          <w:p w14:paraId="7866383B">
            <w:pPr>
              <w:widowControl/>
              <w:jc w:val="center"/>
              <w:rPr>
                <w:kern w:val="0"/>
                <w:sz w:val="20"/>
                <w:szCs w:val="20"/>
              </w:rPr>
            </w:pPr>
            <w:r>
              <w:rPr>
                <w:sz w:val="16"/>
                <w:szCs w:val="16"/>
              </w:rPr>
              <w:t>●</w:t>
            </w:r>
          </w:p>
        </w:tc>
        <w:tc>
          <w:tcPr>
            <w:tcW w:w="845" w:type="dxa"/>
            <w:vAlign w:val="center"/>
          </w:tcPr>
          <w:p w14:paraId="04881C9C">
            <w:pPr>
              <w:widowControl/>
              <w:jc w:val="center"/>
              <w:rPr>
                <w:kern w:val="0"/>
                <w:sz w:val="20"/>
                <w:szCs w:val="20"/>
              </w:rPr>
            </w:pPr>
            <w:r>
              <w:rPr>
                <w:sz w:val="16"/>
                <w:szCs w:val="16"/>
              </w:rPr>
              <w:t>●</w:t>
            </w:r>
          </w:p>
        </w:tc>
        <w:tc>
          <w:tcPr>
            <w:tcW w:w="880" w:type="dxa"/>
            <w:vAlign w:val="center"/>
          </w:tcPr>
          <w:p w14:paraId="74BE32CF">
            <w:pPr>
              <w:widowControl/>
              <w:jc w:val="center"/>
              <w:rPr>
                <w:sz w:val="16"/>
                <w:szCs w:val="16"/>
              </w:rPr>
            </w:pPr>
            <w:r>
              <w:rPr>
                <w:sz w:val="16"/>
                <w:szCs w:val="16"/>
              </w:rPr>
              <w:t>●</w:t>
            </w:r>
          </w:p>
        </w:tc>
        <w:tc>
          <w:tcPr>
            <w:tcW w:w="880" w:type="dxa"/>
            <w:vAlign w:val="center"/>
          </w:tcPr>
          <w:p w14:paraId="3FB01A7F">
            <w:pPr>
              <w:widowControl/>
              <w:jc w:val="center"/>
              <w:rPr>
                <w:sz w:val="16"/>
                <w:szCs w:val="16"/>
              </w:rPr>
            </w:pPr>
            <w:r>
              <w:rPr>
                <w:sz w:val="16"/>
                <w:szCs w:val="16"/>
              </w:rPr>
              <w:t>●</w:t>
            </w:r>
          </w:p>
        </w:tc>
        <w:tc>
          <w:tcPr>
            <w:tcW w:w="880" w:type="dxa"/>
            <w:vAlign w:val="center"/>
          </w:tcPr>
          <w:p w14:paraId="61F5582C">
            <w:pPr>
              <w:widowControl/>
              <w:jc w:val="center"/>
              <w:rPr>
                <w:sz w:val="16"/>
                <w:szCs w:val="16"/>
              </w:rPr>
            </w:pPr>
            <w:r>
              <w:rPr>
                <w:sz w:val="16"/>
                <w:szCs w:val="16"/>
              </w:rPr>
              <w:t>●</w:t>
            </w:r>
          </w:p>
        </w:tc>
      </w:tr>
      <w:tr w14:paraId="5837AE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1" w:hRule="atLeast"/>
          <w:jc w:val="center"/>
        </w:trPr>
        <w:tc>
          <w:tcPr>
            <w:tcW w:w="558" w:type="dxa"/>
            <w:vMerge w:val="continue"/>
            <w:vAlign w:val="center"/>
          </w:tcPr>
          <w:p w14:paraId="0760380B">
            <w:pPr>
              <w:widowControl/>
              <w:jc w:val="center"/>
              <w:rPr>
                <w:kern w:val="0"/>
                <w:sz w:val="20"/>
                <w:szCs w:val="20"/>
              </w:rPr>
            </w:pPr>
          </w:p>
        </w:tc>
        <w:tc>
          <w:tcPr>
            <w:tcW w:w="970" w:type="dxa"/>
            <w:vMerge w:val="continue"/>
            <w:vAlign w:val="center"/>
          </w:tcPr>
          <w:p w14:paraId="1152BAD7">
            <w:pPr>
              <w:widowControl/>
              <w:jc w:val="center"/>
              <w:rPr>
                <w:kern w:val="0"/>
                <w:sz w:val="20"/>
                <w:szCs w:val="20"/>
              </w:rPr>
            </w:pPr>
          </w:p>
        </w:tc>
        <w:tc>
          <w:tcPr>
            <w:tcW w:w="2457" w:type="dxa"/>
            <w:vAlign w:val="center"/>
          </w:tcPr>
          <w:p w14:paraId="2DD69077">
            <w:pPr>
              <w:widowControl/>
              <w:jc w:val="center"/>
              <w:rPr>
                <w:kern w:val="0"/>
                <w:sz w:val="20"/>
                <w:szCs w:val="20"/>
              </w:rPr>
            </w:pPr>
            <w:r>
              <w:rPr>
                <w:kern w:val="0"/>
                <w:sz w:val="20"/>
                <w:szCs w:val="20"/>
              </w:rPr>
              <w:t>低电压报警功能试验</w:t>
            </w:r>
          </w:p>
        </w:tc>
        <w:tc>
          <w:tcPr>
            <w:tcW w:w="917" w:type="dxa"/>
            <w:vAlign w:val="center"/>
          </w:tcPr>
          <w:p w14:paraId="1B70EE37">
            <w:pPr>
              <w:widowControl/>
              <w:jc w:val="center"/>
              <w:rPr>
                <w:kern w:val="0"/>
                <w:sz w:val="20"/>
                <w:szCs w:val="20"/>
              </w:rPr>
            </w:pPr>
            <w:r>
              <w:rPr>
                <w:rFonts w:hint="eastAsia"/>
                <w:szCs w:val="21"/>
              </w:rPr>
              <w:t>6.3.11</w:t>
            </w:r>
          </w:p>
        </w:tc>
        <w:tc>
          <w:tcPr>
            <w:tcW w:w="960" w:type="dxa"/>
            <w:vAlign w:val="center"/>
          </w:tcPr>
          <w:p w14:paraId="566F644F">
            <w:pPr>
              <w:widowControl/>
              <w:jc w:val="center"/>
              <w:rPr>
                <w:kern w:val="0"/>
                <w:sz w:val="20"/>
                <w:szCs w:val="20"/>
              </w:rPr>
            </w:pPr>
            <w:r>
              <w:rPr>
                <w:sz w:val="16"/>
                <w:szCs w:val="16"/>
              </w:rPr>
              <w:t>●</w:t>
            </w:r>
          </w:p>
        </w:tc>
        <w:tc>
          <w:tcPr>
            <w:tcW w:w="845" w:type="dxa"/>
            <w:vAlign w:val="center"/>
          </w:tcPr>
          <w:p w14:paraId="0A680A9C">
            <w:pPr>
              <w:widowControl/>
              <w:jc w:val="center"/>
              <w:rPr>
                <w:kern w:val="0"/>
                <w:sz w:val="20"/>
                <w:szCs w:val="20"/>
              </w:rPr>
            </w:pPr>
            <w:r>
              <w:rPr>
                <w:sz w:val="16"/>
                <w:szCs w:val="16"/>
              </w:rPr>
              <w:t>●</w:t>
            </w:r>
          </w:p>
        </w:tc>
        <w:tc>
          <w:tcPr>
            <w:tcW w:w="880" w:type="dxa"/>
            <w:vAlign w:val="center"/>
          </w:tcPr>
          <w:p w14:paraId="546BC954">
            <w:pPr>
              <w:widowControl/>
              <w:jc w:val="center"/>
              <w:rPr>
                <w:sz w:val="16"/>
                <w:szCs w:val="16"/>
              </w:rPr>
            </w:pPr>
            <w:r>
              <w:rPr>
                <w:sz w:val="16"/>
                <w:szCs w:val="16"/>
              </w:rPr>
              <w:t>●</w:t>
            </w:r>
          </w:p>
        </w:tc>
        <w:tc>
          <w:tcPr>
            <w:tcW w:w="880" w:type="dxa"/>
            <w:vAlign w:val="center"/>
          </w:tcPr>
          <w:p w14:paraId="4617805E">
            <w:pPr>
              <w:widowControl/>
              <w:jc w:val="center"/>
              <w:rPr>
                <w:sz w:val="16"/>
                <w:szCs w:val="16"/>
              </w:rPr>
            </w:pPr>
            <w:r>
              <w:rPr>
                <w:sz w:val="16"/>
                <w:szCs w:val="16"/>
              </w:rPr>
              <w:t>●</w:t>
            </w:r>
          </w:p>
        </w:tc>
        <w:tc>
          <w:tcPr>
            <w:tcW w:w="880" w:type="dxa"/>
            <w:vAlign w:val="center"/>
          </w:tcPr>
          <w:p w14:paraId="0EA482B9">
            <w:pPr>
              <w:widowControl/>
              <w:jc w:val="center"/>
              <w:rPr>
                <w:sz w:val="16"/>
                <w:szCs w:val="16"/>
              </w:rPr>
            </w:pPr>
            <w:r>
              <w:rPr>
                <w:sz w:val="16"/>
                <w:szCs w:val="16"/>
              </w:rPr>
              <w:t>●</w:t>
            </w:r>
          </w:p>
        </w:tc>
      </w:tr>
      <w:tr w14:paraId="407340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14:paraId="6B24AC2F">
            <w:pPr>
              <w:widowControl/>
              <w:jc w:val="center"/>
              <w:rPr>
                <w:kern w:val="0"/>
                <w:sz w:val="20"/>
                <w:szCs w:val="20"/>
              </w:rPr>
            </w:pPr>
          </w:p>
        </w:tc>
        <w:tc>
          <w:tcPr>
            <w:tcW w:w="970" w:type="dxa"/>
            <w:vMerge w:val="continue"/>
            <w:vAlign w:val="center"/>
          </w:tcPr>
          <w:p w14:paraId="78EE663B">
            <w:pPr>
              <w:widowControl/>
              <w:jc w:val="center"/>
              <w:rPr>
                <w:kern w:val="0"/>
                <w:sz w:val="20"/>
                <w:szCs w:val="20"/>
              </w:rPr>
            </w:pPr>
          </w:p>
        </w:tc>
        <w:tc>
          <w:tcPr>
            <w:tcW w:w="2457" w:type="dxa"/>
            <w:vAlign w:val="center"/>
          </w:tcPr>
          <w:p w14:paraId="6CD4D9A5">
            <w:pPr>
              <w:widowControl/>
              <w:jc w:val="center"/>
              <w:rPr>
                <w:kern w:val="0"/>
                <w:sz w:val="20"/>
                <w:szCs w:val="20"/>
              </w:rPr>
            </w:pPr>
            <w:r>
              <w:rPr>
                <w:kern w:val="0"/>
                <w:sz w:val="20"/>
                <w:szCs w:val="20"/>
              </w:rPr>
              <w:t>位置追踪功能试验</w:t>
            </w:r>
          </w:p>
        </w:tc>
        <w:tc>
          <w:tcPr>
            <w:tcW w:w="917" w:type="dxa"/>
            <w:vAlign w:val="center"/>
          </w:tcPr>
          <w:p w14:paraId="3CAE84A7">
            <w:pPr>
              <w:widowControl/>
              <w:jc w:val="center"/>
              <w:rPr>
                <w:kern w:val="0"/>
                <w:sz w:val="20"/>
                <w:szCs w:val="20"/>
              </w:rPr>
            </w:pPr>
            <w:r>
              <w:rPr>
                <w:rFonts w:hint="eastAsia"/>
                <w:szCs w:val="21"/>
              </w:rPr>
              <w:t>6.3.12</w:t>
            </w:r>
          </w:p>
        </w:tc>
        <w:tc>
          <w:tcPr>
            <w:tcW w:w="960" w:type="dxa"/>
            <w:vAlign w:val="center"/>
          </w:tcPr>
          <w:p w14:paraId="0E23E24C">
            <w:pPr>
              <w:widowControl/>
              <w:jc w:val="center"/>
              <w:rPr>
                <w:kern w:val="0"/>
                <w:sz w:val="20"/>
                <w:szCs w:val="20"/>
              </w:rPr>
            </w:pPr>
            <w:r>
              <w:rPr>
                <w:sz w:val="16"/>
                <w:szCs w:val="16"/>
              </w:rPr>
              <w:t>●</w:t>
            </w:r>
          </w:p>
        </w:tc>
        <w:tc>
          <w:tcPr>
            <w:tcW w:w="845" w:type="dxa"/>
            <w:vAlign w:val="center"/>
          </w:tcPr>
          <w:p w14:paraId="11AD391B">
            <w:pPr>
              <w:widowControl/>
              <w:jc w:val="center"/>
              <w:rPr>
                <w:kern w:val="0"/>
                <w:sz w:val="20"/>
                <w:szCs w:val="20"/>
              </w:rPr>
            </w:pPr>
            <w:r>
              <w:rPr>
                <w:sz w:val="16"/>
                <w:szCs w:val="16"/>
              </w:rPr>
              <w:t>●</w:t>
            </w:r>
          </w:p>
        </w:tc>
        <w:tc>
          <w:tcPr>
            <w:tcW w:w="880" w:type="dxa"/>
            <w:vAlign w:val="center"/>
          </w:tcPr>
          <w:p w14:paraId="3D747CD4">
            <w:pPr>
              <w:widowControl/>
              <w:jc w:val="center"/>
              <w:rPr>
                <w:sz w:val="16"/>
                <w:szCs w:val="16"/>
              </w:rPr>
            </w:pPr>
            <w:r>
              <w:rPr>
                <w:sz w:val="16"/>
                <w:szCs w:val="16"/>
              </w:rPr>
              <w:t>●</w:t>
            </w:r>
          </w:p>
        </w:tc>
        <w:tc>
          <w:tcPr>
            <w:tcW w:w="880" w:type="dxa"/>
            <w:vAlign w:val="center"/>
          </w:tcPr>
          <w:p w14:paraId="38E59773">
            <w:pPr>
              <w:widowControl/>
              <w:jc w:val="center"/>
              <w:rPr>
                <w:sz w:val="16"/>
                <w:szCs w:val="16"/>
              </w:rPr>
            </w:pPr>
            <w:r>
              <w:rPr>
                <w:sz w:val="16"/>
                <w:szCs w:val="16"/>
              </w:rPr>
              <w:t>●</w:t>
            </w:r>
          </w:p>
        </w:tc>
        <w:tc>
          <w:tcPr>
            <w:tcW w:w="880" w:type="dxa"/>
            <w:vAlign w:val="center"/>
          </w:tcPr>
          <w:p w14:paraId="5AEFE6B9">
            <w:pPr>
              <w:widowControl/>
              <w:jc w:val="center"/>
              <w:rPr>
                <w:sz w:val="16"/>
                <w:szCs w:val="16"/>
              </w:rPr>
            </w:pPr>
            <w:r>
              <w:rPr>
                <w:sz w:val="16"/>
                <w:szCs w:val="16"/>
              </w:rPr>
              <w:t>●</w:t>
            </w:r>
          </w:p>
        </w:tc>
      </w:tr>
      <w:tr w14:paraId="539786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3" w:hRule="atLeast"/>
          <w:jc w:val="center"/>
        </w:trPr>
        <w:tc>
          <w:tcPr>
            <w:tcW w:w="558" w:type="dxa"/>
            <w:vMerge w:val="continue"/>
            <w:vAlign w:val="center"/>
          </w:tcPr>
          <w:p w14:paraId="2070855D">
            <w:pPr>
              <w:widowControl/>
              <w:jc w:val="center"/>
              <w:rPr>
                <w:kern w:val="0"/>
                <w:sz w:val="20"/>
                <w:szCs w:val="20"/>
              </w:rPr>
            </w:pPr>
          </w:p>
        </w:tc>
        <w:tc>
          <w:tcPr>
            <w:tcW w:w="970" w:type="dxa"/>
            <w:vMerge w:val="continue"/>
            <w:vAlign w:val="center"/>
          </w:tcPr>
          <w:p w14:paraId="17B903EC">
            <w:pPr>
              <w:widowControl/>
              <w:jc w:val="center"/>
              <w:rPr>
                <w:kern w:val="0"/>
                <w:sz w:val="20"/>
                <w:szCs w:val="20"/>
              </w:rPr>
            </w:pPr>
          </w:p>
        </w:tc>
        <w:tc>
          <w:tcPr>
            <w:tcW w:w="2457" w:type="dxa"/>
            <w:vAlign w:val="center"/>
          </w:tcPr>
          <w:p w14:paraId="2FD844FC">
            <w:pPr>
              <w:widowControl/>
              <w:jc w:val="center"/>
              <w:rPr>
                <w:kern w:val="0"/>
                <w:sz w:val="20"/>
                <w:szCs w:val="20"/>
              </w:rPr>
            </w:pPr>
            <w:r>
              <w:rPr>
                <w:kern w:val="0"/>
                <w:sz w:val="20"/>
                <w:szCs w:val="20"/>
              </w:rPr>
              <w:t>拍照功能试验</w:t>
            </w:r>
          </w:p>
        </w:tc>
        <w:tc>
          <w:tcPr>
            <w:tcW w:w="917" w:type="dxa"/>
            <w:vAlign w:val="center"/>
          </w:tcPr>
          <w:p w14:paraId="16DB3FA1">
            <w:pPr>
              <w:widowControl/>
              <w:jc w:val="center"/>
              <w:rPr>
                <w:kern w:val="0"/>
                <w:sz w:val="20"/>
                <w:szCs w:val="20"/>
              </w:rPr>
            </w:pPr>
            <w:r>
              <w:rPr>
                <w:rFonts w:hint="eastAsia"/>
                <w:szCs w:val="21"/>
              </w:rPr>
              <w:t>6.3.13</w:t>
            </w:r>
          </w:p>
        </w:tc>
        <w:tc>
          <w:tcPr>
            <w:tcW w:w="960" w:type="dxa"/>
            <w:vAlign w:val="center"/>
          </w:tcPr>
          <w:p w14:paraId="7424D349">
            <w:pPr>
              <w:widowControl/>
              <w:jc w:val="center"/>
              <w:rPr>
                <w:kern w:val="0"/>
                <w:sz w:val="20"/>
                <w:szCs w:val="20"/>
              </w:rPr>
            </w:pPr>
            <w:r>
              <w:rPr>
                <w:sz w:val="16"/>
                <w:szCs w:val="16"/>
              </w:rPr>
              <w:t>●</w:t>
            </w:r>
          </w:p>
        </w:tc>
        <w:tc>
          <w:tcPr>
            <w:tcW w:w="845" w:type="dxa"/>
            <w:vAlign w:val="center"/>
          </w:tcPr>
          <w:p w14:paraId="43CA8284">
            <w:pPr>
              <w:widowControl/>
              <w:jc w:val="center"/>
              <w:rPr>
                <w:kern w:val="0"/>
                <w:sz w:val="20"/>
                <w:szCs w:val="20"/>
              </w:rPr>
            </w:pPr>
            <w:r>
              <w:rPr>
                <w:b/>
                <w:sz w:val="16"/>
                <w:szCs w:val="16"/>
              </w:rPr>
              <w:t>○</w:t>
            </w:r>
          </w:p>
        </w:tc>
        <w:tc>
          <w:tcPr>
            <w:tcW w:w="880" w:type="dxa"/>
            <w:vAlign w:val="center"/>
          </w:tcPr>
          <w:p w14:paraId="4AFDEA7A">
            <w:pPr>
              <w:widowControl/>
              <w:jc w:val="center"/>
              <w:rPr>
                <w:sz w:val="16"/>
                <w:szCs w:val="16"/>
              </w:rPr>
            </w:pPr>
            <w:r>
              <w:rPr>
                <w:sz w:val="16"/>
                <w:szCs w:val="16"/>
              </w:rPr>
              <w:t>●</w:t>
            </w:r>
          </w:p>
        </w:tc>
        <w:tc>
          <w:tcPr>
            <w:tcW w:w="880" w:type="dxa"/>
            <w:vAlign w:val="center"/>
          </w:tcPr>
          <w:p w14:paraId="0A193313">
            <w:pPr>
              <w:widowControl/>
              <w:jc w:val="center"/>
              <w:rPr>
                <w:sz w:val="16"/>
                <w:szCs w:val="16"/>
              </w:rPr>
            </w:pPr>
            <w:r>
              <w:rPr>
                <w:sz w:val="16"/>
                <w:szCs w:val="16"/>
              </w:rPr>
              <w:t>●</w:t>
            </w:r>
          </w:p>
        </w:tc>
        <w:tc>
          <w:tcPr>
            <w:tcW w:w="880" w:type="dxa"/>
            <w:vAlign w:val="center"/>
          </w:tcPr>
          <w:p w14:paraId="03C910D6">
            <w:pPr>
              <w:widowControl/>
              <w:jc w:val="center"/>
              <w:rPr>
                <w:sz w:val="16"/>
                <w:szCs w:val="16"/>
              </w:rPr>
            </w:pPr>
            <w:r>
              <w:rPr>
                <w:sz w:val="16"/>
                <w:szCs w:val="16"/>
              </w:rPr>
              <w:t>●</w:t>
            </w:r>
          </w:p>
        </w:tc>
      </w:tr>
      <w:tr w14:paraId="45FBC0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3" w:hRule="atLeast"/>
          <w:jc w:val="center"/>
        </w:trPr>
        <w:tc>
          <w:tcPr>
            <w:tcW w:w="558" w:type="dxa"/>
            <w:vMerge w:val="continue"/>
            <w:vAlign w:val="center"/>
          </w:tcPr>
          <w:p w14:paraId="770850C0">
            <w:pPr>
              <w:widowControl/>
              <w:jc w:val="center"/>
              <w:rPr>
                <w:kern w:val="0"/>
                <w:sz w:val="20"/>
                <w:szCs w:val="20"/>
              </w:rPr>
            </w:pPr>
          </w:p>
        </w:tc>
        <w:tc>
          <w:tcPr>
            <w:tcW w:w="970" w:type="dxa"/>
            <w:vMerge w:val="continue"/>
            <w:vAlign w:val="center"/>
          </w:tcPr>
          <w:p w14:paraId="150EBD9B">
            <w:pPr>
              <w:widowControl/>
              <w:jc w:val="center"/>
              <w:rPr>
                <w:kern w:val="0"/>
                <w:sz w:val="20"/>
                <w:szCs w:val="20"/>
              </w:rPr>
            </w:pPr>
          </w:p>
        </w:tc>
        <w:tc>
          <w:tcPr>
            <w:tcW w:w="2457" w:type="dxa"/>
            <w:vAlign w:val="center"/>
          </w:tcPr>
          <w:p w14:paraId="718C8D7E">
            <w:pPr>
              <w:widowControl/>
              <w:jc w:val="center"/>
              <w:rPr>
                <w:kern w:val="0"/>
                <w:sz w:val="20"/>
                <w:szCs w:val="20"/>
              </w:rPr>
            </w:pPr>
            <w:r>
              <w:rPr>
                <w:kern w:val="0"/>
                <w:sz w:val="20"/>
                <w:szCs w:val="20"/>
              </w:rPr>
              <w:t>转动功能试验</w:t>
            </w:r>
          </w:p>
        </w:tc>
        <w:tc>
          <w:tcPr>
            <w:tcW w:w="917" w:type="dxa"/>
            <w:vAlign w:val="center"/>
          </w:tcPr>
          <w:p w14:paraId="381CFEBB">
            <w:pPr>
              <w:widowControl/>
              <w:jc w:val="center"/>
              <w:rPr>
                <w:kern w:val="0"/>
                <w:sz w:val="20"/>
                <w:szCs w:val="20"/>
              </w:rPr>
            </w:pPr>
            <w:r>
              <w:rPr>
                <w:rFonts w:hint="eastAsia"/>
                <w:szCs w:val="21"/>
              </w:rPr>
              <w:t>6.3.14</w:t>
            </w:r>
          </w:p>
        </w:tc>
        <w:tc>
          <w:tcPr>
            <w:tcW w:w="960" w:type="dxa"/>
            <w:vAlign w:val="center"/>
          </w:tcPr>
          <w:p w14:paraId="4B650B66">
            <w:pPr>
              <w:widowControl/>
              <w:jc w:val="center"/>
              <w:rPr>
                <w:kern w:val="0"/>
                <w:sz w:val="20"/>
                <w:szCs w:val="20"/>
              </w:rPr>
            </w:pPr>
            <w:r>
              <w:rPr>
                <w:sz w:val="16"/>
                <w:szCs w:val="16"/>
              </w:rPr>
              <w:t>●</w:t>
            </w:r>
          </w:p>
        </w:tc>
        <w:tc>
          <w:tcPr>
            <w:tcW w:w="845" w:type="dxa"/>
            <w:vAlign w:val="center"/>
          </w:tcPr>
          <w:p w14:paraId="7E731C1F">
            <w:pPr>
              <w:widowControl/>
              <w:jc w:val="center"/>
              <w:rPr>
                <w:kern w:val="0"/>
                <w:sz w:val="20"/>
                <w:szCs w:val="20"/>
              </w:rPr>
            </w:pPr>
            <w:r>
              <w:rPr>
                <w:b/>
                <w:sz w:val="16"/>
                <w:szCs w:val="16"/>
              </w:rPr>
              <w:t>○</w:t>
            </w:r>
          </w:p>
        </w:tc>
        <w:tc>
          <w:tcPr>
            <w:tcW w:w="880" w:type="dxa"/>
            <w:vAlign w:val="center"/>
          </w:tcPr>
          <w:p w14:paraId="210AC9D3">
            <w:pPr>
              <w:widowControl/>
              <w:jc w:val="center"/>
              <w:rPr>
                <w:sz w:val="16"/>
                <w:szCs w:val="16"/>
              </w:rPr>
            </w:pPr>
            <w:r>
              <w:rPr>
                <w:sz w:val="16"/>
                <w:szCs w:val="16"/>
              </w:rPr>
              <w:t>●</w:t>
            </w:r>
          </w:p>
        </w:tc>
        <w:tc>
          <w:tcPr>
            <w:tcW w:w="880" w:type="dxa"/>
            <w:vAlign w:val="center"/>
          </w:tcPr>
          <w:p w14:paraId="35ED612B">
            <w:pPr>
              <w:widowControl/>
              <w:jc w:val="center"/>
              <w:rPr>
                <w:sz w:val="16"/>
                <w:szCs w:val="16"/>
              </w:rPr>
            </w:pPr>
            <w:r>
              <w:rPr>
                <w:sz w:val="16"/>
                <w:szCs w:val="16"/>
              </w:rPr>
              <w:t>●</w:t>
            </w:r>
          </w:p>
        </w:tc>
        <w:tc>
          <w:tcPr>
            <w:tcW w:w="880" w:type="dxa"/>
            <w:vAlign w:val="center"/>
          </w:tcPr>
          <w:p w14:paraId="6EB58D54">
            <w:pPr>
              <w:widowControl/>
              <w:jc w:val="center"/>
              <w:rPr>
                <w:sz w:val="16"/>
                <w:szCs w:val="16"/>
              </w:rPr>
            </w:pPr>
            <w:r>
              <w:rPr>
                <w:sz w:val="16"/>
                <w:szCs w:val="16"/>
              </w:rPr>
              <w:t>●</w:t>
            </w:r>
          </w:p>
        </w:tc>
      </w:tr>
      <w:tr w14:paraId="315CE6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 w:hRule="atLeast"/>
          <w:jc w:val="center"/>
        </w:trPr>
        <w:tc>
          <w:tcPr>
            <w:tcW w:w="558" w:type="dxa"/>
            <w:vMerge w:val="continue"/>
            <w:vAlign w:val="center"/>
          </w:tcPr>
          <w:p w14:paraId="6606B27D">
            <w:pPr>
              <w:widowControl/>
              <w:jc w:val="center"/>
              <w:rPr>
                <w:kern w:val="0"/>
                <w:sz w:val="20"/>
                <w:szCs w:val="20"/>
              </w:rPr>
            </w:pPr>
          </w:p>
        </w:tc>
        <w:tc>
          <w:tcPr>
            <w:tcW w:w="970" w:type="dxa"/>
            <w:vMerge w:val="continue"/>
            <w:vAlign w:val="center"/>
          </w:tcPr>
          <w:p w14:paraId="29FA52F5">
            <w:pPr>
              <w:widowControl/>
              <w:jc w:val="center"/>
              <w:rPr>
                <w:kern w:val="0"/>
                <w:sz w:val="20"/>
                <w:szCs w:val="20"/>
              </w:rPr>
            </w:pPr>
          </w:p>
        </w:tc>
        <w:tc>
          <w:tcPr>
            <w:tcW w:w="2457" w:type="dxa"/>
            <w:vAlign w:val="center"/>
          </w:tcPr>
          <w:p w14:paraId="034D49EA">
            <w:pPr>
              <w:widowControl/>
              <w:jc w:val="center"/>
              <w:rPr>
                <w:kern w:val="0"/>
                <w:sz w:val="20"/>
                <w:szCs w:val="20"/>
              </w:rPr>
            </w:pPr>
            <w:r>
              <w:rPr>
                <w:kern w:val="0"/>
                <w:sz w:val="20"/>
                <w:szCs w:val="20"/>
              </w:rPr>
              <w:t>稳像精度试验</w:t>
            </w:r>
          </w:p>
        </w:tc>
        <w:tc>
          <w:tcPr>
            <w:tcW w:w="917" w:type="dxa"/>
            <w:vAlign w:val="center"/>
          </w:tcPr>
          <w:p w14:paraId="47193F5E">
            <w:pPr>
              <w:widowControl/>
              <w:jc w:val="center"/>
              <w:rPr>
                <w:kern w:val="0"/>
                <w:sz w:val="20"/>
                <w:szCs w:val="20"/>
              </w:rPr>
            </w:pPr>
            <w:r>
              <w:rPr>
                <w:rFonts w:hint="eastAsia"/>
                <w:szCs w:val="21"/>
              </w:rPr>
              <w:t>6.3.15</w:t>
            </w:r>
          </w:p>
        </w:tc>
        <w:tc>
          <w:tcPr>
            <w:tcW w:w="960" w:type="dxa"/>
            <w:vAlign w:val="center"/>
          </w:tcPr>
          <w:p w14:paraId="2EA0DD2E">
            <w:pPr>
              <w:widowControl/>
              <w:jc w:val="center"/>
              <w:rPr>
                <w:kern w:val="0"/>
                <w:sz w:val="20"/>
                <w:szCs w:val="20"/>
              </w:rPr>
            </w:pPr>
            <w:r>
              <w:rPr>
                <w:sz w:val="16"/>
                <w:szCs w:val="16"/>
              </w:rPr>
              <w:t>●</w:t>
            </w:r>
          </w:p>
        </w:tc>
        <w:tc>
          <w:tcPr>
            <w:tcW w:w="845" w:type="dxa"/>
            <w:vAlign w:val="center"/>
          </w:tcPr>
          <w:p w14:paraId="6C520AFF">
            <w:pPr>
              <w:widowControl/>
              <w:jc w:val="center"/>
              <w:rPr>
                <w:kern w:val="0"/>
                <w:sz w:val="20"/>
                <w:szCs w:val="20"/>
              </w:rPr>
            </w:pPr>
            <w:r>
              <w:rPr>
                <w:b/>
                <w:sz w:val="16"/>
                <w:szCs w:val="16"/>
              </w:rPr>
              <w:t>○</w:t>
            </w:r>
          </w:p>
        </w:tc>
        <w:tc>
          <w:tcPr>
            <w:tcW w:w="880" w:type="dxa"/>
            <w:vAlign w:val="center"/>
          </w:tcPr>
          <w:p w14:paraId="227CB7F3">
            <w:pPr>
              <w:widowControl/>
              <w:jc w:val="center"/>
              <w:rPr>
                <w:sz w:val="16"/>
                <w:szCs w:val="16"/>
              </w:rPr>
            </w:pPr>
            <w:r>
              <w:rPr>
                <w:sz w:val="16"/>
                <w:szCs w:val="16"/>
              </w:rPr>
              <w:t>●</w:t>
            </w:r>
          </w:p>
        </w:tc>
        <w:tc>
          <w:tcPr>
            <w:tcW w:w="880" w:type="dxa"/>
            <w:vAlign w:val="center"/>
          </w:tcPr>
          <w:p w14:paraId="25A99A8E">
            <w:pPr>
              <w:widowControl/>
              <w:jc w:val="center"/>
              <w:rPr>
                <w:sz w:val="16"/>
                <w:szCs w:val="16"/>
              </w:rPr>
            </w:pPr>
            <w:r>
              <w:rPr>
                <w:sz w:val="16"/>
                <w:szCs w:val="16"/>
              </w:rPr>
              <w:t>●</w:t>
            </w:r>
          </w:p>
        </w:tc>
        <w:tc>
          <w:tcPr>
            <w:tcW w:w="880" w:type="dxa"/>
            <w:vAlign w:val="center"/>
          </w:tcPr>
          <w:p w14:paraId="769AF2AE">
            <w:pPr>
              <w:widowControl/>
              <w:jc w:val="center"/>
              <w:rPr>
                <w:sz w:val="16"/>
                <w:szCs w:val="16"/>
              </w:rPr>
            </w:pPr>
            <w:r>
              <w:rPr>
                <w:sz w:val="16"/>
                <w:szCs w:val="16"/>
              </w:rPr>
              <w:t>●</w:t>
            </w:r>
          </w:p>
        </w:tc>
      </w:tr>
      <w:tr w14:paraId="028BA6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jc w:val="center"/>
        </w:trPr>
        <w:tc>
          <w:tcPr>
            <w:tcW w:w="558" w:type="dxa"/>
            <w:vMerge w:val="continue"/>
            <w:vAlign w:val="center"/>
          </w:tcPr>
          <w:p w14:paraId="540E844F">
            <w:pPr>
              <w:widowControl/>
              <w:jc w:val="center"/>
              <w:rPr>
                <w:kern w:val="0"/>
                <w:sz w:val="20"/>
                <w:szCs w:val="20"/>
              </w:rPr>
            </w:pPr>
          </w:p>
        </w:tc>
        <w:tc>
          <w:tcPr>
            <w:tcW w:w="970" w:type="dxa"/>
            <w:vMerge w:val="continue"/>
            <w:vAlign w:val="center"/>
          </w:tcPr>
          <w:p w14:paraId="4BF6BBFE">
            <w:pPr>
              <w:widowControl/>
              <w:jc w:val="center"/>
              <w:rPr>
                <w:kern w:val="0"/>
                <w:sz w:val="20"/>
                <w:szCs w:val="20"/>
              </w:rPr>
            </w:pPr>
          </w:p>
        </w:tc>
        <w:tc>
          <w:tcPr>
            <w:tcW w:w="2457" w:type="dxa"/>
            <w:vAlign w:val="center"/>
          </w:tcPr>
          <w:p w14:paraId="5396CB53">
            <w:pPr>
              <w:widowControl/>
              <w:jc w:val="center"/>
              <w:rPr>
                <w:kern w:val="0"/>
                <w:sz w:val="20"/>
                <w:szCs w:val="20"/>
              </w:rPr>
            </w:pPr>
            <w:r>
              <w:rPr>
                <w:kern w:val="0"/>
                <w:sz w:val="20"/>
                <w:szCs w:val="20"/>
              </w:rPr>
              <w:t>可见光成像性能试验</w:t>
            </w:r>
          </w:p>
        </w:tc>
        <w:tc>
          <w:tcPr>
            <w:tcW w:w="917" w:type="dxa"/>
            <w:vAlign w:val="center"/>
          </w:tcPr>
          <w:p w14:paraId="5B031700">
            <w:pPr>
              <w:widowControl/>
              <w:jc w:val="center"/>
              <w:rPr>
                <w:kern w:val="0"/>
                <w:sz w:val="20"/>
                <w:szCs w:val="20"/>
              </w:rPr>
            </w:pPr>
            <w:r>
              <w:rPr>
                <w:rFonts w:hint="eastAsia"/>
                <w:szCs w:val="21"/>
              </w:rPr>
              <w:t>6.3.16</w:t>
            </w:r>
          </w:p>
        </w:tc>
        <w:tc>
          <w:tcPr>
            <w:tcW w:w="960" w:type="dxa"/>
            <w:vAlign w:val="center"/>
          </w:tcPr>
          <w:p w14:paraId="209651C3">
            <w:pPr>
              <w:widowControl/>
              <w:jc w:val="center"/>
              <w:rPr>
                <w:kern w:val="0"/>
                <w:sz w:val="20"/>
                <w:szCs w:val="20"/>
              </w:rPr>
            </w:pPr>
            <w:r>
              <w:rPr>
                <w:sz w:val="16"/>
                <w:szCs w:val="16"/>
              </w:rPr>
              <w:t>●</w:t>
            </w:r>
          </w:p>
        </w:tc>
        <w:tc>
          <w:tcPr>
            <w:tcW w:w="845" w:type="dxa"/>
            <w:vAlign w:val="center"/>
          </w:tcPr>
          <w:p w14:paraId="41CB7BDC">
            <w:pPr>
              <w:widowControl/>
              <w:jc w:val="center"/>
              <w:rPr>
                <w:kern w:val="0"/>
                <w:sz w:val="20"/>
                <w:szCs w:val="20"/>
              </w:rPr>
            </w:pPr>
            <w:r>
              <w:rPr>
                <w:b/>
                <w:sz w:val="16"/>
                <w:szCs w:val="16"/>
              </w:rPr>
              <w:t>○</w:t>
            </w:r>
          </w:p>
        </w:tc>
        <w:tc>
          <w:tcPr>
            <w:tcW w:w="880" w:type="dxa"/>
            <w:vAlign w:val="center"/>
          </w:tcPr>
          <w:p w14:paraId="365B6E7B">
            <w:pPr>
              <w:widowControl/>
              <w:jc w:val="center"/>
              <w:rPr>
                <w:sz w:val="16"/>
                <w:szCs w:val="16"/>
              </w:rPr>
            </w:pPr>
            <w:r>
              <w:rPr>
                <w:sz w:val="16"/>
                <w:szCs w:val="16"/>
              </w:rPr>
              <w:t>●</w:t>
            </w:r>
          </w:p>
        </w:tc>
        <w:tc>
          <w:tcPr>
            <w:tcW w:w="880" w:type="dxa"/>
            <w:vAlign w:val="center"/>
          </w:tcPr>
          <w:p w14:paraId="6CAA2A11">
            <w:pPr>
              <w:widowControl/>
              <w:jc w:val="center"/>
              <w:rPr>
                <w:sz w:val="16"/>
                <w:szCs w:val="16"/>
              </w:rPr>
            </w:pPr>
            <w:r>
              <w:rPr>
                <w:sz w:val="16"/>
                <w:szCs w:val="16"/>
              </w:rPr>
              <w:t>●</w:t>
            </w:r>
          </w:p>
        </w:tc>
        <w:tc>
          <w:tcPr>
            <w:tcW w:w="880" w:type="dxa"/>
            <w:vAlign w:val="center"/>
          </w:tcPr>
          <w:p w14:paraId="571CAFA8">
            <w:pPr>
              <w:widowControl/>
              <w:jc w:val="center"/>
              <w:rPr>
                <w:sz w:val="16"/>
                <w:szCs w:val="16"/>
              </w:rPr>
            </w:pPr>
            <w:r>
              <w:rPr>
                <w:sz w:val="16"/>
                <w:szCs w:val="16"/>
              </w:rPr>
              <w:t>●</w:t>
            </w:r>
          </w:p>
        </w:tc>
      </w:tr>
      <w:tr w14:paraId="6ABC0F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jc w:val="center"/>
        </w:trPr>
        <w:tc>
          <w:tcPr>
            <w:tcW w:w="558" w:type="dxa"/>
            <w:vMerge w:val="continue"/>
            <w:vAlign w:val="center"/>
          </w:tcPr>
          <w:p w14:paraId="426C7CBC">
            <w:pPr>
              <w:widowControl/>
              <w:jc w:val="center"/>
              <w:rPr>
                <w:kern w:val="0"/>
                <w:sz w:val="20"/>
                <w:szCs w:val="20"/>
              </w:rPr>
            </w:pPr>
          </w:p>
        </w:tc>
        <w:tc>
          <w:tcPr>
            <w:tcW w:w="970" w:type="dxa"/>
            <w:vMerge w:val="continue"/>
            <w:vAlign w:val="center"/>
          </w:tcPr>
          <w:p w14:paraId="56FA0241">
            <w:pPr>
              <w:widowControl/>
              <w:jc w:val="center"/>
              <w:rPr>
                <w:kern w:val="0"/>
                <w:sz w:val="20"/>
                <w:szCs w:val="20"/>
              </w:rPr>
            </w:pPr>
          </w:p>
        </w:tc>
        <w:tc>
          <w:tcPr>
            <w:tcW w:w="2457" w:type="dxa"/>
            <w:vAlign w:val="center"/>
          </w:tcPr>
          <w:p w14:paraId="50354CCE">
            <w:pPr>
              <w:widowControl/>
              <w:jc w:val="center"/>
              <w:rPr>
                <w:kern w:val="0"/>
                <w:sz w:val="20"/>
                <w:szCs w:val="20"/>
              </w:rPr>
            </w:pPr>
            <w:r>
              <w:rPr>
                <w:rFonts w:hint="eastAsia"/>
                <w:kern w:val="0"/>
                <w:sz w:val="20"/>
                <w:szCs w:val="20"/>
              </w:rPr>
              <w:t>红外成像性能试验</w:t>
            </w:r>
          </w:p>
        </w:tc>
        <w:tc>
          <w:tcPr>
            <w:tcW w:w="917" w:type="dxa"/>
            <w:vAlign w:val="center"/>
          </w:tcPr>
          <w:p w14:paraId="27D068D5">
            <w:pPr>
              <w:widowControl/>
              <w:jc w:val="center"/>
              <w:rPr>
                <w:szCs w:val="21"/>
              </w:rPr>
            </w:pPr>
            <w:r>
              <w:rPr>
                <w:rFonts w:hint="eastAsia"/>
                <w:szCs w:val="21"/>
              </w:rPr>
              <w:t>6.3.17</w:t>
            </w:r>
          </w:p>
        </w:tc>
        <w:tc>
          <w:tcPr>
            <w:tcW w:w="960" w:type="dxa"/>
            <w:vAlign w:val="center"/>
          </w:tcPr>
          <w:p w14:paraId="01527FBC">
            <w:pPr>
              <w:widowControl/>
              <w:jc w:val="center"/>
              <w:rPr>
                <w:kern w:val="0"/>
                <w:sz w:val="20"/>
                <w:szCs w:val="20"/>
              </w:rPr>
            </w:pPr>
            <w:r>
              <w:rPr>
                <w:sz w:val="16"/>
                <w:szCs w:val="16"/>
              </w:rPr>
              <w:t>●</w:t>
            </w:r>
          </w:p>
        </w:tc>
        <w:tc>
          <w:tcPr>
            <w:tcW w:w="845" w:type="dxa"/>
            <w:vAlign w:val="center"/>
          </w:tcPr>
          <w:p w14:paraId="54FB064B">
            <w:pPr>
              <w:widowControl/>
              <w:jc w:val="center"/>
              <w:rPr>
                <w:kern w:val="0"/>
                <w:sz w:val="20"/>
                <w:szCs w:val="20"/>
              </w:rPr>
            </w:pPr>
            <w:r>
              <w:rPr>
                <w:b/>
                <w:sz w:val="16"/>
                <w:szCs w:val="16"/>
              </w:rPr>
              <w:t>○</w:t>
            </w:r>
          </w:p>
        </w:tc>
        <w:tc>
          <w:tcPr>
            <w:tcW w:w="880" w:type="dxa"/>
            <w:vAlign w:val="center"/>
          </w:tcPr>
          <w:p w14:paraId="3D2D5186">
            <w:pPr>
              <w:widowControl/>
              <w:jc w:val="center"/>
              <w:rPr>
                <w:sz w:val="16"/>
                <w:szCs w:val="16"/>
              </w:rPr>
            </w:pPr>
            <w:r>
              <w:rPr>
                <w:sz w:val="16"/>
                <w:szCs w:val="16"/>
              </w:rPr>
              <w:t>●</w:t>
            </w:r>
          </w:p>
        </w:tc>
        <w:tc>
          <w:tcPr>
            <w:tcW w:w="880" w:type="dxa"/>
            <w:vAlign w:val="center"/>
          </w:tcPr>
          <w:p w14:paraId="0E9D64AA">
            <w:pPr>
              <w:widowControl/>
              <w:jc w:val="center"/>
              <w:rPr>
                <w:sz w:val="16"/>
                <w:szCs w:val="16"/>
              </w:rPr>
            </w:pPr>
            <w:r>
              <w:rPr>
                <w:sz w:val="16"/>
                <w:szCs w:val="16"/>
              </w:rPr>
              <w:t>●</w:t>
            </w:r>
          </w:p>
        </w:tc>
        <w:tc>
          <w:tcPr>
            <w:tcW w:w="880" w:type="dxa"/>
            <w:vAlign w:val="center"/>
          </w:tcPr>
          <w:p w14:paraId="472B7F36">
            <w:pPr>
              <w:widowControl/>
              <w:jc w:val="center"/>
              <w:rPr>
                <w:sz w:val="16"/>
                <w:szCs w:val="16"/>
              </w:rPr>
            </w:pPr>
            <w:r>
              <w:rPr>
                <w:sz w:val="16"/>
                <w:szCs w:val="16"/>
              </w:rPr>
              <w:t>●</w:t>
            </w:r>
          </w:p>
        </w:tc>
      </w:tr>
      <w:tr w14:paraId="00EA0E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14:paraId="4BBD25EF">
            <w:pPr>
              <w:widowControl/>
              <w:jc w:val="center"/>
              <w:rPr>
                <w:kern w:val="0"/>
                <w:sz w:val="20"/>
                <w:szCs w:val="20"/>
              </w:rPr>
            </w:pPr>
          </w:p>
        </w:tc>
        <w:tc>
          <w:tcPr>
            <w:tcW w:w="970" w:type="dxa"/>
            <w:vMerge w:val="continue"/>
            <w:vAlign w:val="center"/>
          </w:tcPr>
          <w:p w14:paraId="32652C4C">
            <w:pPr>
              <w:widowControl/>
              <w:jc w:val="center"/>
              <w:rPr>
                <w:kern w:val="0"/>
                <w:sz w:val="20"/>
                <w:szCs w:val="20"/>
              </w:rPr>
            </w:pPr>
          </w:p>
        </w:tc>
        <w:tc>
          <w:tcPr>
            <w:tcW w:w="2457" w:type="dxa"/>
            <w:vAlign w:val="center"/>
          </w:tcPr>
          <w:p w14:paraId="6E613DB8">
            <w:pPr>
              <w:widowControl/>
              <w:jc w:val="center"/>
              <w:rPr>
                <w:kern w:val="0"/>
                <w:sz w:val="20"/>
                <w:szCs w:val="20"/>
              </w:rPr>
            </w:pPr>
            <w:r>
              <w:rPr>
                <w:kern w:val="0"/>
                <w:sz w:val="20"/>
                <w:szCs w:val="20"/>
              </w:rPr>
              <w:t>跟踪精度试验</w:t>
            </w:r>
          </w:p>
        </w:tc>
        <w:tc>
          <w:tcPr>
            <w:tcW w:w="917" w:type="dxa"/>
            <w:vAlign w:val="center"/>
          </w:tcPr>
          <w:p w14:paraId="23899B14">
            <w:pPr>
              <w:widowControl/>
              <w:jc w:val="center"/>
              <w:rPr>
                <w:kern w:val="0"/>
                <w:sz w:val="20"/>
                <w:szCs w:val="20"/>
              </w:rPr>
            </w:pPr>
            <w:r>
              <w:rPr>
                <w:rFonts w:hint="eastAsia"/>
                <w:szCs w:val="21"/>
              </w:rPr>
              <w:t>6.3.18</w:t>
            </w:r>
          </w:p>
        </w:tc>
        <w:tc>
          <w:tcPr>
            <w:tcW w:w="960" w:type="dxa"/>
            <w:vAlign w:val="center"/>
          </w:tcPr>
          <w:p w14:paraId="710F2302">
            <w:pPr>
              <w:jc w:val="center"/>
              <w:rPr>
                <w:sz w:val="20"/>
                <w:szCs w:val="22"/>
              </w:rPr>
            </w:pPr>
            <w:r>
              <w:rPr>
                <w:sz w:val="16"/>
                <w:szCs w:val="16"/>
              </w:rPr>
              <w:t>●</w:t>
            </w:r>
          </w:p>
        </w:tc>
        <w:tc>
          <w:tcPr>
            <w:tcW w:w="845" w:type="dxa"/>
            <w:vAlign w:val="center"/>
          </w:tcPr>
          <w:p w14:paraId="6CBEEE46">
            <w:pPr>
              <w:jc w:val="center"/>
              <w:rPr>
                <w:sz w:val="20"/>
                <w:szCs w:val="22"/>
              </w:rPr>
            </w:pPr>
            <w:r>
              <w:rPr>
                <w:b/>
                <w:sz w:val="16"/>
                <w:szCs w:val="16"/>
              </w:rPr>
              <w:t>○</w:t>
            </w:r>
          </w:p>
        </w:tc>
        <w:tc>
          <w:tcPr>
            <w:tcW w:w="880" w:type="dxa"/>
            <w:vAlign w:val="center"/>
          </w:tcPr>
          <w:p w14:paraId="73C7D8A8">
            <w:pPr>
              <w:jc w:val="center"/>
              <w:rPr>
                <w:b/>
                <w:sz w:val="16"/>
                <w:szCs w:val="16"/>
              </w:rPr>
            </w:pPr>
            <w:r>
              <w:rPr>
                <w:b/>
                <w:sz w:val="16"/>
                <w:szCs w:val="16"/>
              </w:rPr>
              <w:t>○</w:t>
            </w:r>
          </w:p>
        </w:tc>
        <w:tc>
          <w:tcPr>
            <w:tcW w:w="880" w:type="dxa"/>
            <w:vAlign w:val="center"/>
          </w:tcPr>
          <w:p w14:paraId="54CF8E28">
            <w:pPr>
              <w:jc w:val="center"/>
              <w:rPr>
                <w:b/>
                <w:sz w:val="16"/>
                <w:szCs w:val="16"/>
              </w:rPr>
            </w:pPr>
            <w:r>
              <w:rPr>
                <w:sz w:val="16"/>
                <w:szCs w:val="16"/>
              </w:rPr>
              <w:t>●</w:t>
            </w:r>
          </w:p>
        </w:tc>
        <w:tc>
          <w:tcPr>
            <w:tcW w:w="880" w:type="dxa"/>
            <w:vAlign w:val="center"/>
          </w:tcPr>
          <w:p w14:paraId="398D6860">
            <w:pPr>
              <w:jc w:val="center"/>
              <w:rPr>
                <w:b/>
                <w:sz w:val="16"/>
                <w:szCs w:val="16"/>
              </w:rPr>
            </w:pPr>
            <w:r>
              <w:rPr>
                <w:b/>
                <w:sz w:val="16"/>
                <w:szCs w:val="16"/>
              </w:rPr>
              <w:t>○</w:t>
            </w:r>
          </w:p>
        </w:tc>
      </w:tr>
      <w:tr w14:paraId="0B7DCA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6" w:hRule="atLeast"/>
          <w:jc w:val="center"/>
        </w:trPr>
        <w:tc>
          <w:tcPr>
            <w:tcW w:w="558" w:type="dxa"/>
            <w:vMerge w:val="restart"/>
            <w:vAlign w:val="center"/>
          </w:tcPr>
          <w:p w14:paraId="2E3C4136">
            <w:pPr>
              <w:widowControl/>
              <w:jc w:val="center"/>
              <w:rPr>
                <w:kern w:val="0"/>
                <w:sz w:val="20"/>
                <w:szCs w:val="20"/>
              </w:rPr>
            </w:pPr>
            <w:r>
              <w:rPr>
                <w:kern w:val="0"/>
                <w:sz w:val="20"/>
                <w:szCs w:val="20"/>
              </w:rPr>
              <w:t>性能要求</w:t>
            </w:r>
          </w:p>
        </w:tc>
        <w:tc>
          <w:tcPr>
            <w:tcW w:w="970" w:type="dxa"/>
            <w:vMerge w:val="restart"/>
            <w:vAlign w:val="center"/>
          </w:tcPr>
          <w:p w14:paraId="589E8B3C">
            <w:pPr>
              <w:widowControl/>
              <w:jc w:val="center"/>
              <w:rPr>
                <w:kern w:val="0"/>
                <w:sz w:val="20"/>
                <w:szCs w:val="20"/>
              </w:rPr>
            </w:pPr>
            <w:r>
              <w:rPr>
                <w:kern w:val="0"/>
                <w:sz w:val="20"/>
                <w:szCs w:val="20"/>
              </w:rPr>
              <w:t>抗电磁干扰性能</w:t>
            </w:r>
          </w:p>
        </w:tc>
        <w:tc>
          <w:tcPr>
            <w:tcW w:w="2457" w:type="dxa"/>
            <w:vAlign w:val="center"/>
          </w:tcPr>
          <w:p w14:paraId="5550613D">
            <w:pPr>
              <w:widowControl/>
              <w:jc w:val="center"/>
              <w:rPr>
                <w:kern w:val="0"/>
                <w:sz w:val="20"/>
                <w:szCs w:val="20"/>
              </w:rPr>
            </w:pPr>
            <w:r>
              <w:rPr>
                <w:kern w:val="0"/>
                <w:sz w:val="20"/>
                <w:szCs w:val="20"/>
              </w:rPr>
              <w:t>射频电磁场辐射抗扰度</w:t>
            </w:r>
          </w:p>
        </w:tc>
        <w:tc>
          <w:tcPr>
            <w:tcW w:w="917" w:type="dxa"/>
            <w:vAlign w:val="center"/>
          </w:tcPr>
          <w:p w14:paraId="07AF3AA1">
            <w:pPr>
              <w:widowControl/>
              <w:jc w:val="center"/>
              <w:rPr>
                <w:sz w:val="20"/>
                <w:szCs w:val="22"/>
              </w:rPr>
            </w:pPr>
            <w:r>
              <w:rPr>
                <w:rFonts w:hint="eastAsia"/>
                <w:szCs w:val="21"/>
              </w:rPr>
              <w:t>6.4.1</w:t>
            </w:r>
          </w:p>
        </w:tc>
        <w:tc>
          <w:tcPr>
            <w:tcW w:w="960" w:type="dxa"/>
            <w:vAlign w:val="center"/>
          </w:tcPr>
          <w:p w14:paraId="6868E151">
            <w:pPr>
              <w:jc w:val="center"/>
              <w:rPr>
                <w:sz w:val="20"/>
                <w:szCs w:val="22"/>
              </w:rPr>
            </w:pPr>
            <w:r>
              <w:rPr>
                <w:sz w:val="16"/>
                <w:szCs w:val="16"/>
              </w:rPr>
              <w:t>●</w:t>
            </w:r>
          </w:p>
        </w:tc>
        <w:tc>
          <w:tcPr>
            <w:tcW w:w="845" w:type="dxa"/>
            <w:vAlign w:val="center"/>
          </w:tcPr>
          <w:p w14:paraId="1A98CE6C">
            <w:pPr>
              <w:jc w:val="center"/>
              <w:rPr>
                <w:sz w:val="20"/>
                <w:szCs w:val="22"/>
              </w:rPr>
            </w:pPr>
            <w:r>
              <w:rPr>
                <w:b/>
                <w:sz w:val="16"/>
                <w:szCs w:val="16"/>
              </w:rPr>
              <w:t>○</w:t>
            </w:r>
          </w:p>
        </w:tc>
        <w:tc>
          <w:tcPr>
            <w:tcW w:w="880" w:type="dxa"/>
            <w:vAlign w:val="center"/>
          </w:tcPr>
          <w:p w14:paraId="7333D195">
            <w:pPr>
              <w:jc w:val="center"/>
              <w:rPr>
                <w:b/>
                <w:sz w:val="16"/>
                <w:szCs w:val="16"/>
              </w:rPr>
            </w:pPr>
            <w:r>
              <w:rPr>
                <w:b/>
                <w:sz w:val="16"/>
                <w:szCs w:val="16"/>
              </w:rPr>
              <w:t>○</w:t>
            </w:r>
          </w:p>
        </w:tc>
        <w:tc>
          <w:tcPr>
            <w:tcW w:w="880" w:type="dxa"/>
            <w:vAlign w:val="center"/>
          </w:tcPr>
          <w:p w14:paraId="25FC44DB">
            <w:pPr>
              <w:jc w:val="center"/>
              <w:rPr>
                <w:b/>
                <w:sz w:val="16"/>
                <w:szCs w:val="16"/>
              </w:rPr>
            </w:pPr>
            <w:r>
              <w:rPr>
                <w:sz w:val="16"/>
                <w:szCs w:val="16"/>
              </w:rPr>
              <w:t>●</w:t>
            </w:r>
          </w:p>
        </w:tc>
        <w:tc>
          <w:tcPr>
            <w:tcW w:w="880" w:type="dxa"/>
            <w:vAlign w:val="center"/>
          </w:tcPr>
          <w:p w14:paraId="59EA459F">
            <w:pPr>
              <w:jc w:val="center"/>
              <w:rPr>
                <w:b/>
                <w:sz w:val="16"/>
                <w:szCs w:val="16"/>
              </w:rPr>
            </w:pPr>
            <w:r>
              <w:rPr>
                <w:b/>
                <w:sz w:val="16"/>
                <w:szCs w:val="16"/>
              </w:rPr>
              <w:t>○</w:t>
            </w:r>
          </w:p>
        </w:tc>
      </w:tr>
      <w:tr w14:paraId="6CA9A0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3" w:hRule="atLeast"/>
          <w:jc w:val="center"/>
        </w:trPr>
        <w:tc>
          <w:tcPr>
            <w:tcW w:w="558" w:type="dxa"/>
            <w:vMerge w:val="continue"/>
            <w:vAlign w:val="center"/>
          </w:tcPr>
          <w:p w14:paraId="73C37792">
            <w:pPr>
              <w:widowControl/>
              <w:jc w:val="center"/>
              <w:rPr>
                <w:kern w:val="0"/>
                <w:sz w:val="20"/>
                <w:szCs w:val="20"/>
              </w:rPr>
            </w:pPr>
          </w:p>
        </w:tc>
        <w:tc>
          <w:tcPr>
            <w:tcW w:w="970" w:type="dxa"/>
            <w:vMerge w:val="continue"/>
            <w:vAlign w:val="center"/>
          </w:tcPr>
          <w:p w14:paraId="2CCF02D8">
            <w:pPr>
              <w:widowControl/>
              <w:jc w:val="center"/>
              <w:rPr>
                <w:kern w:val="0"/>
                <w:sz w:val="20"/>
                <w:szCs w:val="20"/>
              </w:rPr>
            </w:pPr>
          </w:p>
        </w:tc>
        <w:tc>
          <w:tcPr>
            <w:tcW w:w="2457" w:type="dxa"/>
            <w:vAlign w:val="center"/>
          </w:tcPr>
          <w:p w14:paraId="1CACD40A">
            <w:pPr>
              <w:widowControl/>
              <w:jc w:val="center"/>
              <w:rPr>
                <w:kern w:val="0"/>
                <w:sz w:val="20"/>
                <w:szCs w:val="20"/>
              </w:rPr>
            </w:pPr>
            <w:r>
              <w:rPr>
                <w:kern w:val="0"/>
                <w:sz w:val="20"/>
                <w:szCs w:val="20"/>
              </w:rPr>
              <w:t>静电放电抗扰度</w:t>
            </w:r>
          </w:p>
        </w:tc>
        <w:tc>
          <w:tcPr>
            <w:tcW w:w="917" w:type="dxa"/>
            <w:vAlign w:val="center"/>
          </w:tcPr>
          <w:p w14:paraId="2D4F469F">
            <w:pPr>
              <w:jc w:val="center"/>
              <w:rPr>
                <w:sz w:val="20"/>
                <w:szCs w:val="22"/>
              </w:rPr>
            </w:pPr>
            <w:r>
              <w:rPr>
                <w:rFonts w:hint="eastAsia"/>
                <w:szCs w:val="21"/>
              </w:rPr>
              <w:t>6.4.2</w:t>
            </w:r>
          </w:p>
        </w:tc>
        <w:tc>
          <w:tcPr>
            <w:tcW w:w="960" w:type="dxa"/>
            <w:vAlign w:val="center"/>
          </w:tcPr>
          <w:p w14:paraId="55550413">
            <w:pPr>
              <w:jc w:val="center"/>
              <w:rPr>
                <w:sz w:val="20"/>
                <w:szCs w:val="22"/>
              </w:rPr>
            </w:pPr>
            <w:r>
              <w:rPr>
                <w:sz w:val="16"/>
                <w:szCs w:val="16"/>
              </w:rPr>
              <w:t>●</w:t>
            </w:r>
          </w:p>
        </w:tc>
        <w:tc>
          <w:tcPr>
            <w:tcW w:w="845" w:type="dxa"/>
            <w:vAlign w:val="center"/>
          </w:tcPr>
          <w:p w14:paraId="398A1D3A">
            <w:pPr>
              <w:jc w:val="center"/>
              <w:rPr>
                <w:sz w:val="20"/>
                <w:szCs w:val="22"/>
              </w:rPr>
            </w:pPr>
            <w:r>
              <w:rPr>
                <w:b/>
                <w:sz w:val="16"/>
                <w:szCs w:val="16"/>
              </w:rPr>
              <w:t>○</w:t>
            </w:r>
          </w:p>
        </w:tc>
        <w:tc>
          <w:tcPr>
            <w:tcW w:w="880" w:type="dxa"/>
            <w:vAlign w:val="center"/>
          </w:tcPr>
          <w:p w14:paraId="02900920">
            <w:pPr>
              <w:jc w:val="center"/>
              <w:rPr>
                <w:b/>
                <w:sz w:val="16"/>
                <w:szCs w:val="16"/>
              </w:rPr>
            </w:pPr>
            <w:r>
              <w:rPr>
                <w:b/>
                <w:sz w:val="16"/>
                <w:szCs w:val="16"/>
              </w:rPr>
              <w:t>○</w:t>
            </w:r>
          </w:p>
        </w:tc>
        <w:tc>
          <w:tcPr>
            <w:tcW w:w="880" w:type="dxa"/>
            <w:vAlign w:val="center"/>
          </w:tcPr>
          <w:p w14:paraId="6ABAB5F0">
            <w:pPr>
              <w:jc w:val="center"/>
              <w:rPr>
                <w:b/>
                <w:sz w:val="16"/>
                <w:szCs w:val="16"/>
              </w:rPr>
            </w:pPr>
            <w:r>
              <w:rPr>
                <w:sz w:val="16"/>
                <w:szCs w:val="16"/>
              </w:rPr>
              <w:t>●</w:t>
            </w:r>
          </w:p>
        </w:tc>
        <w:tc>
          <w:tcPr>
            <w:tcW w:w="880" w:type="dxa"/>
            <w:vAlign w:val="center"/>
          </w:tcPr>
          <w:p w14:paraId="17E2A391">
            <w:pPr>
              <w:jc w:val="center"/>
              <w:rPr>
                <w:b/>
                <w:sz w:val="16"/>
                <w:szCs w:val="16"/>
              </w:rPr>
            </w:pPr>
            <w:r>
              <w:rPr>
                <w:b/>
                <w:sz w:val="16"/>
                <w:szCs w:val="16"/>
              </w:rPr>
              <w:t>○</w:t>
            </w:r>
          </w:p>
        </w:tc>
      </w:tr>
      <w:tr w14:paraId="03A26017">
        <w:tblPrEx>
          <w:tblCellMar>
            <w:top w:w="0" w:type="dxa"/>
            <w:left w:w="108" w:type="dxa"/>
            <w:bottom w:w="0" w:type="dxa"/>
            <w:right w:w="108" w:type="dxa"/>
          </w:tblCellMar>
        </w:tblPrEx>
        <w:trPr>
          <w:trHeight w:val="238" w:hRule="atLeast"/>
          <w:jc w:val="center"/>
        </w:trPr>
        <w:tc>
          <w:tcPr>
            <w:tcW w:w="558" w:type="dxa"/>
            <w:vMerge w:val="continue"/>
            <w:vAlign w:val="center"/>
          </w:tcPr>
          <w:p w14:paraId="4290A215">
            <w:pPr>
              <w:widowControl/>
              <w:jc w:val="center"/>
              <w:rPr>
                <w:kern w:val="0"/>
                <w:sz w:val="20"/>
                <w:szCs w:val="20"/>
              </w:rPr>
            </w:pPr>
          </w:p>
        </w:tc>
        <w:tc>
          <w:tcPr>
            <w:tcW w:w="970" w:type="dxa"/>
            <w:vMerge w:val="continue"/>
            <w:vAlign w:val="center"/>
          </w:tcPr>
          <w:p w14:paraId="41A6D9C5">
            <w:pPr>
              <w:widowControl/>
              <w:jc w:val="center"/>
              <w:rPr>
                <w:kern w:val="0"/>
                <w:sz w:val="20"/>
                <w:szCs w:val="20"/>
              </w:rPr>
            </w:pPr>
          </w:p>
        </w:tc>
        <w:tc>
          <w:tcPr>
            <w:tcW w:w="2457" w:type="dxa"/>
            <w:vAlign w:val="center"/>
          </w:tcPr>
          <w:p w14:paraId="38FD21C0">
            <w:pPr>
              <w:widowControl/>
              <w:jc w:val="center"/>
              <w:rPr>
                <w:kern w:val="0"/>
                <w:sz w:val="20"/>
                <w:szCs w:val="20"/>
              </w:rPr>
            </w:pPr>
            <w:r>
              <w:rPr>
                <w:kern w:val="0"/>
                <w:sz w:val="20"/>
                <w:szCs w:val="20"/>
              </w:rPr>
              <w:t>脉冲磁场抗扰度</w:t>
            </w:r>
          </w:p>
        </w:tc>
        <w:tc>
          <w:tcPr>
            <w:tcW w:w="917" w:type="dxa"/>
            <w:vAlign w:val="center"/>
          </w:tcPr>
          <w:p w14:paraId="62048BA7">
            <w:pPr>
              <w:jc w:val="center"/>
              <w:rPr>
                <w:sz w:val="20"/>
                <w:szCs w:val="22"/>
              </w:rPr>
            </w:pPr>
            <w:r>
              <w:rPr>
                <w:rFonts w:hint="eastAsia"/>
                <w:szCs w:val="21"/>
              </w:rPr>
              <w:t>6.4.3</w:t>
            </w:r>
          </w:p>
        </w:tc>
        <w:tc>
          <w:tcPr>
            <w:tcW w:w="960" w:type="dxa"/>
            <w:vAlign w:val="center"/>
          </w:tcPr>
          <w:p w14:paraId="636E7BC1">
            <w:pPr>
              <w:jc w:val="center"/>
              <w:rPr>
                <w:sz w:val="20"/>
                <w:szCs w:val="22"/>
              </w:rPr>
            </w:pPr>
            <w:r>
              <w:rPr>
                <w:sz w:val="16"/>
                <w:szCs w:val="16"/>
              </w:rPr>
              <w:t>●</w:t>
            </w:r>
          </w:p>
        </w:tc>
        <w:tc>
          <w:tcPr>
            <w:tcW w:w="845" w:type="dxa"/>
            <w:vAlign w:val="center"/>
          </w:tcPr>
          <w:p w14:paraId="208E7F25">
            <w:pPr>
              <w:jc w:val="center"/>
              <w:rPr>
                <w:sz w:val="20"/>
                <w:szCs w:val="22"/>
              </w:rPr>
            </w:pPr>
            <w:r>
              <w:rPr>
                <w:b/>
                <w:sz w:val="16"/>
                <w:szCs w:val="16"/>
              </w:rPr>
              <w:t>○</w:t>
            </w:r>
          </w:p>
        </w:tc>
        <w:tc>
          <w:tcPr>
            <w:tcW w:w="880" w:type="dxa"/>
            <w:vAlign w:val="center"/>
          </w:tcPr>
          <w:p w14:paraId="15B074BA">
            <w:pPr>
              <w:jc w:val="center"/>
              <w:rPr>
                <w:b/>
                <w:sz w:val="16"/>
                <w:szCs w:val="16"/>
              </w:rPr>
            </w:pPr>
            <w:r>
              <w:rPr>
                <w:b/>
                <w:sz w:val="16"/>
                <w:szCs w:val="16"/>
              </w:rPr>
              <w:t>○</w:t>
            </w:r>
          </w:p>
        </w:tc>
        <w:tc>
          <w:tcPr>
            <w:tcW w:w="880" w:type="dxa"/>
            <w:vAlign w:val="center"/>
          </w:tcPr>
          <w:p w14:paraId="2D7AC595">
            <w:pPr>
              <w:jc w:val="center"/>
              <w:rPr>
                <w:b/>
                <w:sz w:val="16"/>
                <w:szCs w:val="16"/>
              </w:rPr>
            </w:pPr>
            <w:r>
              <w:rPr>
                <w:sz w:val="16"/>
                <w:szCs w:val="16"/>
              </w:rPr>
              <w:t>●</w:t>
            </w:r>
          </w:p>
        </w:tc>
        <w:tc>
          <w:tcPr>
            <w:tcW w:w="880" w:type="dxa"/>
            <w:vAlign w:val="center"/>
          </w:tcPr>
          <w:p w14:paraId="59FABFF1">
            <w:pPr>
              <w:jc w:val="center"/>
              <w:rPr>
                <w:b/>
                <w:sz w:val="16"/>
                <w:szCs w:val="16"/>
              </w:rPr>
            </w:pPr>
            <w:r>
              <w:rPr>
                <w:b/>
                <w:sz w:val="16"/>
                <w:szCs w:val="16"/>
              </w:rPr>
              <w:t>○</w:t>
            </w:r>
          </w:p>
        </w:tc>
      </w:tr>
      <w:tr w14:paraId="40A5B6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8" w:hRule="atLeast"/>
          <w:jc w:val="center"/>
        </w:trPr>
        <w:tc>
          <w:tcPr>
            <w:tcW w:w="558" w:type="dxa"/>
            <w:vMerge w:val="continue"/>
            <w:vAlign w:val="center"/>
          </w:tcPr>
          <w:p w14:paraId="074CF62D">
            <w:pPr>
              <w:widowControl/>
              <w:jc w:val="center"/>
              <w:rPr>
                <w:kern w:val="0"/>
                <w:sz w:val="20"/>
                <w:szCs w:val="20"/>
              </w:rPr>
            </w:pPr>
          </w:p>
        </w:tc>
        <w:tc>
          <w:tcPr>
            <w:tcW w:w="970" w:type="dxa"/>
            <w:vMerge w:val="continue"/>
            <w:vAlign w:val="center"/>
          </w:tcPr>
          <w:p w14:paraId="2E8CC915">
            <w:pPr>
              <w:widowControl/>
              <w:jc w:val="center"/>
              <w:rPr>
                <w:kern w:val="0"/>
                <w:sz w:val="20"/>
                <w:szCs w:val="20"/>
              </w:rPr>
            </w:pPr>
          </w:p>
        </w:tc>
        <w:tc>
          <w:tcPr>
            <w:tcW w:w="2457" w:type="dxa"/>
            <w:vAlign w:val="center"/>
          </w:tcPr>
          <w:p w14:paraId="6A0AEEF6">
            <w:pPr>
              <w:widowControl/>
              <w:jc w:val="center"/>
              <w:rPr>
                <w:kern w:val="0"/>
                <w:sz w:val="20"/>
                <w:szCs w:val="20"/>
              </w:rPr>
            </w:pPr>
            <w:r>
              <w:rPr>
                <w:kern w:val="0"/>
                <w:sz w:val="20"/>
                <w:szCs w:val="20"/>
              </w:rPr>
              <w:t>工频磁场抗扰度</w:t>
            </w:r>
          </w:p>
        </w:tc>
        <w:tc>
          <w:tcPr>
            <w:tcW w:w="917" w:type="dxa"/>
            <w:vAlign w:val="center"/>
          </w:tcPr>
          <w:p w14:paraId="407E4662">
            <w:pPr>
              <w:jc w:val="center"/>
              <w:rPr>
                <w:sz w:val="20"/>
                <w:szCs w:val="22"/>
              </w:rPr>
            </w:pPr>
            <w:r>
              <w:rPr>
                <w:rFonts w:hint="eastAsia"/>
                <w:szCs w:val="21"/>
              </w:rPr>
              <w:t>6.4.4</w:t>
            </w:r>
          </w:p>
        </w:tc>
        <w:tc>
          <w:tcPr>
            <w:tcW w:w="960" w:type="dxa"/>
            <w:vAlign w:val="center"/>
          </w:tcPr>
          <w:p w14:paraId="475EF079">
            <w:pPr>
              <w:jc w:val="center"/>
              <w:rPr>
                <w:sz w:val="20"/>
                <w:szCs w:val="22"/>
              </w:rPr>
            </w:pPr>
            <w:r>
              <w:rPr>
                <w:sz w:val="16"/>
                <w:szCs w:val="16"/>
              </w:rPr>
              <w:t>●</w:t>
            </w:r>
          </w:p>
        </w:tc>
        <w:tc>
          <w:tcPr>
            <w:tcW w:w="845" w:type="dxa"/>
            <w:vAlign w:val="center"/>
          </w:tcPr>
          <w:p w14:paraId="203C27C1">
            <w:pPr>
              <w:jc w:val="center"/>
              <w:rPr>
                <w:sz w:val="20"/>
                <w:szCs w:val="22"/>
              </w:rPr>
            </w:pPr>
            <w:r>
              <w:rPr>
                <w:sz w:val="16"/>
                <w:szCs w:val="16"/>
              </w:rPr>
              <w:t>●</w:t>
            </w:r>
          </w:p>
        </w:tc>
        <w:tc>
          <w:tcPr>
            <w:tcW w:w="880" w:type="dxa"/>
            <w:vAlign w:val="center"/>
          </w:tcPr>
          <w:p w14:paraId="3ECDC9C4">
            <w:pPr>
              <w:jc w:val="center"/>
              <w:rPr>
                <w:b/>
                <w:sz w:val="16"/>
                <w:szCs w:val="16"/>
              </w:rPr>
            </w:pPr>
            <w:r>
              <w:rPr>
                <w:b/>
                <w:sz w:val="16"/>
                <w:szCs w:val="16"/>
              </w:rPr>
              <w:t>○</w:t>
            </w:r>
          </w:p>
        </w:tc>
        <w:tc>
          <w:tcPr>
            <w:tcW w:w="880" w:type="dxa"/>
            <w:vAlign w:val="center"/>
          </w:tcPr>
          <w:p w14:paraId="77C235F2">
            <w:pPr>
              <w:jc w:val="center"/>
              <w:rPr>
                <w:b/>
                <w:sz w:val="16"/>
                <w:szCs w:val="16"/>
              </w:rPr>
            </w:pPr>
            <w:r>
              <w:rPr>
                <w:sz w:val="16"/>
                <w:szCs w:val="16"/>
              </w:rPr>
              <w:t>●</w:t>
            </w:r>
          </w:p>
        </w:tc>
        <w:tc>
          <w:tcPr>
            <w:tcW w:w="880" w:type="dxa"/>
            <w:vAlign w:val="center"/>
          </w:tcPr>
          <w:p w14:paraId="709C8BA2">
            <w:pPr>
              <w:jc w:val="center"/>
              <w:rPr>
                <w:b/>
                <w:sz w:val="16"/>
                <w:szCs w:val="16"/>
              </w:rPr>
            </w:pPr>
            <w:r>
              <w:rPr>
                <w:b/>
                <w:sz w:val="16"/>
                <w:szCs w:val="16"/>
              </w:rPr>
              <w:t>○</w:t>
            </w:r>
          </w:p>
        </w:tc>
      </w:tr>
      <w:tr w14:paraId="77B5DF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6" w:hRule="atLeast"/>
          <w:jc w:val="center"/>
        </w:trPr>
        <w:tc>
          <w:tcPr>
            <w:tcW w:w="558" w:type="dxa"/>
            <w:vMerge w:val="continue"/>
            <w:vAlign w:val="center"/>
          </w:tcPr>
          <w:p w14:paraId="3055F3BC">
            <w:pPr>
              <w:widowControl/>
              <w:jc w:val="center"/>
              <w:rPr>
                <w:kern w:val="0"/>
                <w:sz w:val="20"/>
                <w:szCs w:val="20"/>
              </w:rPr>
            </w:pPr>
          </w:p>
        </w:tc>
        <w:tc>
          <w:tcPr>
            <w:tcW w:w="970" w:type="dxa"/>
            <w:vMerge w:val="restart"/>
            <w:vAlign w:val="center"/>
          </w:tcPr>
          <w:p w14:paraId="6C743A7A">
            <w:pPr>
              <w:widowControl/>
              <w:jc w:val="center"/>
              <w:rPr>
                <w:kern w:val="0"/>
                <w:sz w:val="20"/>
                <w:szCs w:val="20"/>
              </w:rPr>
            </w:pPr>
            <w:r>
              <w:rPr>
                <w:rFonts w:hint="eastAsia"/>
                <w:kern w:val="0"/>
                <w:sz w:val="20"/>
                <w:szCs w:val="20"/>
              </w:rPr>
              <w:t>性能试验</w:t>
            </w:r>
          </w:p>
        </w:tc>
        <w:tc>
          <w:tcPr>
            <w:tcW w:w="2457" w:type="dxa"/>
            <w:vAlign w:val="center"/>
          </w:tcPr>
          <w:p w14:paraId="41F44997">
            <w:pPr>
              <w:widowControl/>
              <w:jc w:val="center"/>
              <w:rPr>
                <w:kern w:val="0"/>
                <w:sz w:val="20"/>
                <w:szCs w:val="20"/>
              </w:rPr>
            </w:pPr>
            <w:r>
              <w:rPr>
                <w:kern w:val="0"/>
                <w:sz w:val="20"/>
                <w:szCs w:val="20"/>
              </w:rPr>
              <w:t>地面站软件性能试验</w:t>
            </w:r>
          </w:p>
        </w:tc>
        <w:tc>
          <w:tcPr>
            <w:tcW w:w="917" w:type="dxa"/>
            <w:vAlign w:val="center"/>
          </w:tcPr>
          <w:p w14:paraId="53B7F5A7">
            <w:pPr>
              <w:widowControl/>
              <w:jc w:val="center"/>
              <w:rPr>
                <w:szCs w:val="21"/>
              </w:rPr>
            </w:pPr>
            <w:r>
              <w:rPr>
                <w:rFonts w:hint="eastAsia"/>
                <w:szCs w:val="21"/>
              </w:rPr>
              <w:t>6.5.1</w:t>
            </w:r>
          </w:p>
        </w:tc>
        <w:tc>
          <w:tcPr>
            <w:tcW w:w="960" w:type="dxa"/>
            <w:vAlign w:val="center"/>
          </w:tcPr>
          <w:p w14:paraId="5357F2AA">
            <w:pPr>
              <w:widowControl/>
              <w:jc w:val="center"/>
              <w:rPr>
                <w:kern w:val="0"/>
                <w:sz w:val="20"/>
                <w:szCs w:val="20"/>
              </w:rPr>
            </w:pPr>
            <w:r>
              <w:rPr>
                <w:sz w:val="16"/>
                <w:szCs w:val="16"/>
              </w:rPr>
              <w:t>●</w:t>
            </w:r>
          </w:p>
        </w:tc>
        <w:tc>
          <w:tcPr>
            <w:tcW w:w="845" w:type="dxa"/>
            <w:vAlign w:val="center"/>
          </w:tcPr>
          <w:p w14:paraId="70054C48">
            <w:pPr>
              <w:widowControl/>
              <w:jc w:val="center"/>
              <w:rPr>
                <w:kern w:val="0"/>
                <w:sz w:val="20"/>
                <w:szCs w:val="20"/>
              </w:rPr>
            </w:pPr>
            <w:r>
              <w:rPr>
                <w:sz w:val="16"/>
                <w:szCs w:val="16"/>
              </w:rPr>
              <w:t>●</w:t>
            </w:r>
          </w:p>
        </w:tc>
        <w:tc>
          <w:tcPr>
            <w:tcW w:w="880" w:type="dxa"/>
            <w:vAlign w:val="center"/>
          </w:tcPr>
          <w:p w14:paraId="164C4EE9">
            <w:pPr>
              <w:widowControl/>
              <w:jc w:val="center"/>
              <w:rPr>
                <w:sz w:val="16"/>
                <w:szCs w:val="16"/>
              </w:rPr>
            </w:pPr>
            <w:r>
              <w:rPr>
                <w:sz w:val="16"/>
                <w:szCs w:val="16"/>
              </w:rPr>
              <w:t>●</w:t>
            </w:r>
          </w:p>
        </w:tc>
        <w:tc>
          <w:tcPr>
            <w:tcW w:w="880" w:type="dxa"/>
            <w:vAlign w:val="center"/>
          </w:tcPr>
          <w:p w14:paraId="087BF1BA">
            <w:pPr>
              <w:widowControl/>
              <w:jc w:val="center"/>
              <w:rPr>
                <w:sz w:val="16"/>
                <w:szCs w:val="16"/>
              </w:rPr>
            </w:pPr>
            <w:r>
              <w:rPr>
                <w:sz w:val="16"/>
                <w:szCs w:val="16"/>
              </w:rPr>
              <w:t>●</w:t>
            </w:r>
          </w:p>
        </w:tc>
        <w:tc>
          <w:tcPr>
            <w:tcW w:w="880" w:type="dxa"/>
            <w:vAlign w:val="center"/>
          </w:tcPr>
          <w:p w14:paraId="15F51F13">
            <w:pPr>
              <w:widowControl/>
              <w:jc w:val="center"/>
              <w:rPr>
                <w:sz w:val="16"/>
                <w:szCs w:val="16"/>
              </w:rPr>
            </w:pPr>
            <w:r>
              <w:rPr>
                <w:sz w:val="16"/>
                <w:szCs w:val="16"/>
              </w:rPr>
              <w:t>●</w:t>
            </w:r>
          </w:p>
        </w:tc>
      </w:tr>
      <w:tr w14:paraId="1B0CE4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jc w:val="center"/>
        </w:trPr>
        <w:tc>
          <w:tcPr>
            <w:tcW w:w="558" w:type="dxa"/>
            <w:vMerge w:val="continue"/>
            <w:vAlign w:val="center"/>
          </w:tcPr>
          <w:p w14:paraId="175431B8">
            <w:pPr>
              <w:widowControl/>
              <w:jc w:val="center"/>
              <w:rPr>
                <w:kern w:val="0"/>
                <w:sz w:val="20"/>
                <w:szCs w:val="20"/>
              </w:rPr>
            </w:pPr>
          </w:p>
        </w:tc>
        <w:tc>
          <w:tcPr>
            <w:tcW w:w="970" w:type="dxa"/>
            <w:vMerge w:val="continue"/>
            <w:vAlign w:val="center"/>
          </w:tcPr>
          <w:p w14:paraId="14042934">
            <w:pPr>
              <w:widowControl/>
              <w:jc w:val="center"/>
              <w:rPr>
                <w:kern w:val="0"/>
                <w:sz w:val="20"/>
                <w:szCs w:val="20"/>
              </w:rPr>
            </w:pPr>
          </w:p>
        </w:tc>
        <w:tc>
          <w:tcPr>
            <w:tcW w:w="2457" w:type="dxa"/>
            <w:vAlign w:val="center"/>
          </w:tcPr>
          <w:p w14:paraId="7EAD5CB2">
            <w:pPr>
              <w:widowControl/>
              <w:jc w:val="center"/>
              <w:rPr>
                <w:kern w:val="0"/>
                <w:sz w:val="20"/>
                <w:szCs w:val="20"/>
              </w:rPr>
            </w:pPr>
            <w:r>
              <w:rPr>
                <w:kern w:val="0"/>
                <w:sz w:val="20"/>
                <w:szCs w:val="20"/>
              </w:rPr>
              <w:t>动力电池性能</w:t>
            </w:r>
            <w:r>
              <w:rPr>
                <w:rFonts w:hint="eastAsia"/>
                <w:kern w:val="0"/>
                <w:sz w:val="20"/>
                <w:szCs w:val="20"/>
              </w:rPr>
              <w:t>试验</w:t>
            </w:r>
          </w:p>
        </w:tc>
        <w:tc>
          <w:tcPr>
            <w:tcW w:w="917" w:type="dxa"/>
            <w:vAlign w:val="center"/>
          </w:tcPr>
          <w:p w14:paraId="5BCA0A54">
            <w:pPr>
              <w:widowControl/>
              <w:jc w:val="center"/>
              <w:rPr>
                <w:szCs w:val="21"/>
              </w:rPr>
            </w:pPr>
            <w:r>
              <w:rPr>
                <w:rFonts w:hint="eastAsia"/>
                <w:szCs w:val="21"/>
              </w:rPr>
              <w:t>6.5.2</w:t>
            </w:r>
          </w:p>
        </w:tc>
        <w:tc>
          <w:tcPr>
            <w:tcW w:w="960" w:type="dxa"/>
            <w:vAlign w:val="center"/>
          </w:tcPr>
          <w:p w14:paraId="70FB277B">
            <w:pPr>
              <w:jc w:val="center"/>
              <w:rPr>
                <w:sz w:val="20"/>
                <w:szCs w:val="22"/>
              </w:rPr>
            </w:pPr>
            <w:r>
              <w:rPr>
                <w:sz w:val="16"/>
                <w:szCs w:val="16"/>
              </w:rPr>
              <w:t>●</w:t>
            </w:r>
          </w:p>
        </w:tc>
        <w:tc>
          <w:tcPr>
            <w:tcW w:w="845" w:type="dxa"/>
            <w:vAlign w:val="center"/>
          </w:tcPr>
          <w:p w14:paraId="6E269A42">
            <w:pPr>
              <w:jc w:val="center"/>
              <w:rPr>
                <w:sz w:val="20"/>
                <w:szCs w:val="22"/>
              </w:rPr>
            </w:pPr>
            <w:r>
              <w:rPr>
                <w:sz w:val="16"/>
                <w:szCs w:val="16"/>
              </w:rPr>
              <w:t>●</w:t>
            </w:r>
          </w:p>
        </w:tc>
        <w:tc>
          <w:tcPr>
            <w:tcW w:w="880" w:type="dxa"/>
            <w:vAlign w:val="center"/>
          </w:tcPr>
          <w:p w14:paraId="59F8CA7D">
            <w:pPr>
              <w:jc w:val="center"/>
              <w:rPr>
                <w:b/>
                <w:sz w:val="16"/>
                <w:szCs w:val="16"/>
              </w:rPr>
            </w:pPr>
            <w:r>
              <w:rPr>
                <w:b/>
                <w:sz w:val="16"/>
                <w:szCs w:val="16"/>
              </w:rPr>
              <w:t>○</w:t>
            </w:r>
          </w:p>
        </w:tc>
        <w:tc>
          <w:tcPr>
            <w:tcW w:w="880" w:type="dxa"/>
            <w:vAlign w:val="center"/>
          </w:tcPr>
          <w:p w14:paraId="387D08A2">
            <w:pPr>
              <w:jc w:val="center"/>
              <w:rPr>
                <w:b/>
                <w:sz w:val="16"/>
                <w:szCs w:val="16"/>
              </w:rPr>
            </w:pPr>
            <w:r>
              <w:rPr>
                <w:sz w:val="16"/>
                <w:szCs w:val="16"/>
              </w:rPr>
              <w:t>●</w:t>
            </w:r>
          </w:p>
        </w:tc>
        <w:tc>
          <w:tcPr>
            <w:tcW w:w="880" w:type="dxa"/>
            <w:vAlign w:val="center"/>
          </w:tcPr>
          <w:p w14:paraId="2FC105EB">
            <w:pPr>
              <w:jc w:val="center"/>
              <w:rPr>
                <w:b/>
                <w:sz w:val="16"/>
                <w:szCs w:val="16"/>
              </w:rPr>
            </w:pPr>
            <w:r>
              <w:rPr>
                <w:b/>
                <w:sz w:val="16"/>
                <w:szCs w:val="16"/>
              </w:rPr>
              <w:t>○</w:t>
            </w:r>
          </w:p>
        </w:tc>
      </w:tr>
      <w:tr w14:paraId="51D377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jc w:val="center"/>
        </w:trPr>
        <w:tc>
          <w:tcPr>
            <w:tcW w:w="558" w:type="dxa"/>
            <w:vMerge w:val="continue"/>
            <w:vAlign w:val="center"/>
          </w:tcPr>
          <w:p w14:paraId="58B0BEE4">
            <w:pPr>
              <w:widowControl/>
              <w:jc w:val="center"/>
              <w:rPr>
                <w:kern w:val="0"/>
                <w:sz w:val="20"/>
                <w:szCs w:val="20"/>
              </w:rPr>
            </w:pPr>
          </w:p>
        </w:tc>
        <w:tc>
          <w:tcPr>
            <w:tcW w:w="970" w:type="dxa"/>
            <w:vMerge w:val="continue"/>
            <w:vAlign w:val="center"/>
          </w:tcPr>
          <w:p w14:paraId="0F98178F">
            <w:pPr>
              <w:widowControl/>
              <w:jc w:val="center"/>
              <w:rPr>
                <w:kern w:val="0"/>
                <w:sz w:val="20"/>
                <w:szCs w:val="20"/>
              </w:rPr>
            </w:pPr>
          </w:p>
        </w:tc>
        <w:tc>
          <w:tcPr>
            <w:tcW w:w="2457" w:type="dxa"/>
            <w:vAlign w:val="center"/>
          </w:tcPr>
          <w:p w14:paraId="58CC7D8C">
            <w:pPr>
              <w:widowControl/>
              <w:jc w:val="center"/>
              <w:rPr>
                <w:kern w:val="0"/>
                <w:sz w:val="20"/>
                <w:szCs w:val="20"/>
              </w:rPr>
            </w:pPr>
            <w:r>
              <w:rPr>
                <w:rFonts w:hint="eastAsia"/>
                <w:kern w:val="0"/>
                <w:sz w:val="20"/>
                <w:szCs w:val="20"/>
              </w:rPr>
              <w:t>机械耐受</w:t>
            </w:r>
            <w:r>
              <w:rPr>
                <w:kern w:val="0"/>
                <w:sz w:val="20"/>
                <w:szCs w:val="20"/>
              </w:rPr>
              <w:t>性能</w:t>
            </w:r>
            <w:r>
              <w:rPr>
                <w:rFonts w:hint="eastAsia"/>
                <w:kern w:val="0"/>
                <w:sz w:val="20"/>
                <w:szCs w:val="20"/>
              </w:rPr>
              <w:t>试验</w:t>
            </w:r>
          </w:p>
        </w:tc>
        <w:tc>
          <w:tcPr>
            <w:tcW w:w="917" w:type="dxa"/>
            <w:vAlign w:val="center"/>
          </w:tcPr>
          <w:p w14:paraId="37F95155">
            <w:pPr>
              <w:widowControl/>
              <w:jc w:val="center"/>
              <w:rPr>
                <w:szCs w:val="21"/>
              </w:rPr>
            </w:pPr>
            <w:r>
              <w:rPr>
                <w:rFonts w:hint="eastAsia"/>
                <w:szCs w:val="21"/>
              </w:rPr>
              <w:t>6.5.3</w:t>
            </w:r>
          </w:p>
        </w:tc>
        <w:tc>
          <w:tcPr>
            <w:tcW w:w="960" w:type="dxa"/>
            <w:vAlign w:val="center"/>
          </w:tcPr>
          <w:p w14:paraId="72B1EBD0">
            <w:pPr>
              <w:jc w:val="center"/>
              <w:rPr>
                <w:sz w:val="20"/>
                <w:szCs w:val="22"/>
              </w:rPr>
            </w:pPr>
            <w:r>
              <w:rPr>
                <w:sz w:val="16"/>
                <w:szCs w:val="16"/>
              </w:rPr>
              <w:t>●</w:t>
            </w:r>
          </w:p>
        </w:tc>
        <w:tc>
          <w:tcPr>
            <w:tcW w:w="845" w:type="dxa"/>
            <w:vAlign w:val="center"/>
          </w:tcPr>
          <w:p w14:paraId="2EB084C6">
            <w:pPr>
              <w:jc w:val="center"/>
              <w:rPr>
                <w:sz w:val="20"/>
                <w:szCs w:val="22"/>
              </w:rPr>
            </w:pPr>
            <w:r>
              <w:rPr>
                <w:b/>
                <w:sz w:val="16"/>
                <w:szCs w:val="16"/>
              </w:rPr>
              <w:t>○</w:t>
            </w:r>
          </w:p>
        </w:tc>
        <w:tc>
          <w:tcPr>
            <w:tcW w:w="880" w:type="dxa"/>
            <w:vAlign w:val="center"/>
          </w:tcPr>
          <w:p w14:paraId="44E25D4C">
            <w:pPr>
              <w:jc w:val="center"/>
              <w:rPr>
                <w:b/>
                <w:sz w:val="16"/>
                <w:szCs w:val="16"/>
              </w:rPr>
            </w:pPr>
            <w:r>
              <w:rPr>
                <w:b/>
                <w:sz w:val="16"/>
                <w:szCs w:val="16"/>
              </w:rPr>
              <w:t>○</w:t>
            </w:r>
          </w:p>
        </w:tc>
        <w:tc>
          <w:tcPr>
            <w:tcW w:w="880" w:type="dxa"/>
            <w:vAlign w:val="center"/>
          </w:tcPr>
          <w:p w14:paraId="3B21FD62">
            <w:pPr>
              <w:jc w:val="center"/>
              <w:rPr>
                <w:b/>
                <w:sz w:val="16"/>
                <w:szCs w:val="16"/>
              </w:rPr>
            </w:pPr>
            <w:r>
              <w:rPr>
                <w:b/>
                <w:sz w:val="16"/>
                <w:szCs w:val="16"/>
              </w:rPr>
              <w:t>○</w:t>
            </w:r>
          </w:p>
        </w:tc>
        <w:tc>
          <w:tcPr>
            <w:tcW w:w="880" w:type="dxa"/>
            <w:vAlign w:val="center"/>
          </w:tcPr>
          <w:p w14:paraId="22026B1A">
            <w:pPr>
              <w:jc w:val="center"/>
              <w:rPr>
                <w:b/>
                <w:sz w:val="16"/>
                <w:szCs w:val="16"/>
              </w:rPr>
            </w:pPr>
            <w:r>
              <w:rPr>
                <w:b/>
                <w:sz w:val="16"/>
                <w:szCs w:val="16"/>
              </w:rPr>
              <w:t>○</w:t>
            </w:r>
          </w:p>
        </w:tc>
      </w:tr>
      <w:tr w14:paraId="6B3379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38984B50">
            <w:pPr>
              <w:widowControl/>
              <w:jc w:val="center"/>
              <w:rPr>
                <w:kern w:val="0"/>
                <w:sz w:val="20"/>
                <w:szCs w:val="20"/>
              </w:rPr>
            </w:pPr>
          </w:p>
        </w:tc>
        <w:tc>
          <w:tcPr>
            <w:tcW w:w="970" w:type="dxa"/>
            <w:vMerge w:val="continue"/>
            <w:vAlign w:val="center"/>
          </w:tcPr>
          <w:p w14:paraId="458E0BF0">
            <w:pPr>
              <w:widowControl/>
              <w:jc w:val="center"/>
              <w:rPr>
                <w:kern w:val="0"/>
                <w:sz w:val="20"/>
                <w:szCs w:val="20"/>
              </w:rPr>
            </w:pPr>
          </w:p>
        </w:tc>
        <w:tc>
          <w:tcPr>
            <w:tcW w:w="2457" w:type="dxa"/>
            <w:vAlign w:val="center"/>
          </w:tcPr>
          <w:p w14:paraId="756CC1CA">
            <w:pPr>
              <w:widowControl/>
              <w:jc w:val="center"/>
              <w:rPr>
                <w:kern w:val="0"/>
                <w:sz w:val="20"/>
                <w:szCs w:val="20"/>
              </w:rPr>
            </w:pPr>
            <w:r>
              <w:rPr>
                <w:rFonts w:hint="eastAsia"/>
                <w:kern w:val="0"/>
                <w:sz w:val="20"/>
                <w:szCs w:val="20"/>
              </w:rPr>
              <w:t>跌落性能试验</w:t>
            </w:r>
          </w:p>
        </w:tc>
        <w:tc>
          <w:tcPr>
            <w:tcW w:w="917" w:type="dxa"/>
            <w:vAlign w:val="center"/>
          </w:tcPr>
          <w:p w14:paraId="685346C9">
            <w:pPr>
              <w:widowControl/>
              <w:jc w:val="center"/>
              <w:rPr>
                <w:szCs w:val="21"/>
              </w:rPr>
            </w:pPr>
            <w:r>
              <w:rPr>
                <w:rFonts w:hint="eastAsia"/>
                <w:szCs w:val="21"/>
              </w:rPr>
              <w:t>6.5.4</w:t>
            </w:r>
          </w:p>
        </w:tc>
        <w:tc>
          <w:tcPr>
            <w:tcW w:w="960" w:type="dxa"/>
            <w:vAlign w:val="center"/>
          </w:tcPr>
          <w:p w14:paraId="5DCF7624">
            <w:pPr>
              <w:jc w:val="center"/>
              <w:rPr>
                <w:sz w:val="20"/>
                <w:szCs w:val="22"/>
              </w:rPr>
            </w:pPr>
            <w:r>
              <w:rPr>
                <w:sz w:val="16"/>
                <w:szCs w:val="16"/>
              </w:rPr>
              <w:t>●</w:t>
            </w:r>
          </w:p>
        </w:tc>
        <w:tc>
          <w:tcPr>
            <w:tcW w:w="845" w:type="dxa"/>
            <w:vAlign w:val="center"/>
          </w:tcPr>
          <w:p w14:paraId="7AF43D35">
            <w:pPr>
              <w:jc w:val="center"/>
              <w:rPr>
                <w:sz w:val="20"/>
                <w:szCs w:val="22"/>
              </w:rPr>
            </w:pPr>
            <w:r>
              <w:rPr>
                <w:b/>
                <w:sz w:val="16"/>
                <w:szCs w:val="16"/>
              </w:rPr>
              <w:t>○</w:t>
            </w:r>
          </w:p>
        </w:tc>
        <w:tc>
          <w:tcPr>
            <w:tcW w:w="880" w:type="dxa"/>
            <w:vAlign w:val="center"/>
          </w:tcPr>
          <w:p w14:paraId="06DD1D4F">
            <w:pPr>
              <w:jc w:val="center"/>
              <w:rPr>
                <w:b/>
                <w:sz w:val="16"/>
                <w:szCs w:val="16"/>
              </w:rPr>
            </w:pPr>
            <w:r>
              <w:rPr>
                <w:b/>
                <w:sz w:val="16"/>
                <w:szCs w:val="16"/>
              </w:rPr>
              <w:t>○</w:t>
            </w:r>
          </w:p>
        </w:tc>
        <w:tc>
          <w:tcPr>
            <w:tcW w:w="880" w:type="dxa"/>
            <w:vAlign w:val="center"/>
          </w:tcPr>
          <w:p w14:paraId="6BBA0755">
            <w:pPr>
              <w:jc w:val="center"/>
              <w:rPr>
                <w:b/>
                <w:sz w:val="16"/>
                <w:szCs w:val="16"/>
              </w:rPr>
            </w:pPr>
            <w:r>
              <w:rPr>
                <w:b/>
                <w:sz w:val="16"/>
                <w:szCs w:val="16"/>
              </w:rPr>
              <w:t>○</w:t>
            </w:r>
          </w:p>
        </w:tc>
        <w:tc>
          <w:tcPr>
            <w:tcW w:w="880" w:type="dxa"/>
            <w:vAlign w:val="center"/>
          </w:tcPr>
          <w:p w14:paraId="5AB84B74">
            <w:pPr>
              <w:jc w:val="center"/>
              <w:rPr>
                <w:b/>
                <w:sz w:val="16"/>
                <w:szCs w:val="16"/>
              </w:rPr>
            </w:pPr>
            <w:r>
              <w:rPr>
                <w:b/>
                <w:sz w:val="16"/>
                <w:szCs w:val="16"/>
              </w:rPr>
              <w:t>○</w:t>
            </w:r>
          </w:p>
        </w:tc>
      </w:tr>
    </w:tbl>
    <w:p w14:paraId="30C84371">
      <w:pPr>
        <w:pStyle w:val="452"/>
        <w:numPr>
          <w:ilvl w:val="0"/>
          <w:numId w:val="0"/>
        </w:numPr>
        <w:ind w:left="425"/>
        <w:rPr>
          <w:rFonts w:cs="Times New Roman"/>
          <w:color w:val="auto"/>
        </w:rPr>
      </w:pPr>
      <w:r>
        <w:rPr>
          <w:rFonts w:cs="Times New Roman"/>
          <w:color w:val="auto"/>
        </w:rPr>
        <w:t>备注：</w:t>
      </w:r>
    </w:p>
    <w:p w14:paraId="0DD0254A">
      <w:pPr>
        <w:pStyle w:val="452"/>
        <w:numPr>
          <w:ilvl w:val="0"/>
          <w:numId w:val="33"/>
        </w:numPr>
        <w:tabs>
          <w:tab w:val="clear" w:pos="900"/>
        </w:tabs>
        <w:spacing w:before="0" w:after="0" w:line="240" w:lineRule="auto"/>
        <w:ind w:left="780" w:hanging="360"/>
        <w:rPr>
          <w:rFonts w:cs="Times New Roman"/>
          <w:color w:val="auto"/>
          <w:sz w:val="18"/>
          <w:szCs w:val="18"/>
        </w:rPr>
      </w:pPr>
      <w:r>
        <w:rPr>
          <w:rFonts w:cs="Times New Roman"/>
          <w:color w:val="auto"/>
          <w:sz w:val="18"/>
          <w:szCs w:val="18"/>
        </w:rPr>
        <w:t>●为必须开展的试验项目；</w:t>
      </w:r>
      <w:r>
        <w:rPr>
          <w:rFonts w:cs="Times New Roman"/>
          <w:b/>
          <w:color w:val="auto"/>
          <w:sz w:val="18"/>
          <w:szCs w:val="18"/>
        </w:rPr>
        <w:t>○</w:t>
      </w:r>
      <w:r>
        <w:rPr>
          <w:rFonts w:cs="Times New Roman"/>
          <w:color w:val="auto"/>
          <w:sz w:val="18"/>
          <w:szCs w:val="18"/>
        </w:rPr>
        <w:t>为选做试验项目（由项目单位决定试验方案）；</w:t>
      </w:r>
      <w:r>
        <w:rPr>
          <w:rFonts w:cs="Times New Roman"/>
          <w:b/>
          <w:color w:val="auto"/>
          <w:sz w:val="18"/>
          <w:szCs w:val="18"/>
        </w:rPr>
        <w:t>×</w:t>
      </w:r>
      <w:r>
        <w:rPr>
          <w:rFonts w:cs="Times New Roman"/>
          <w:color w:val="auto"/>
          <w:sz w:val="18"/>
          <w:szCs w:val="18"/>
        </w:rPr>
        <w:t>为无需开展的试验项目。</w:t>
      </w:r>
    </w:p>
    <w:p w14:paraId="05333631">
      <w:pPr>
        <w:pStyle w:val="452"/>
        <w:numPr>
          <w:ilvl w:val="0"/>
          <w:numId w:val="33"/>
        </w:numPr>
        <w:tabs>
          <w:tab w:val="clear" w:pos="900"/>
        </w:tabs>
        <w:spacing w:before="0" w:after="0" w:line="240" w:lineRule="auto"/>
        <w:ind w:left="780" w:hanging="360"/>
        <w:rPr>
          <w:rFonts w:cs="Times New Roman"/>
          <w:color w:val="auto"/>
        </w:rPr>
      </w:pPr>
      <w:r>
        <w:rPr>
          <w:rFonts w:cs="Times New Roman"/>
          <w:color w:val="auto"/>
          <w:sz w:val="18"/>
          <w:szCs w:val="18"/>
        </w:rPr>
        <w:t>第三方试验由具备相应试验项目资质的机构开展。</w:t>
      </w:r>
    </w:p>
    <w:p w14:paraId="18B2B305">
      <w:pPr>
        <w:adjustRightInd w:val="0"/>
        <w:snapToGrid w:val="0"/>
        <w:spacing w:line="360" w:lineRule="auto"/>
        <w:ind w:firstLine="360" w:firstLineChars="200"/>
        <w:rPr>
          <w:szCs w:val="21"/>
        </w:rPr>
      </w:pPr>
      <w:r>
        <w:rPr>
          <w:sz w:val="18"/>
          <w:szCs w:val="18"/>
        </w:rPr>
        <w:t>出厂试验由供货方开展</w:t>
      </w:r>
      <w:r>
        <w:rPr>
          <w:rFonts w:hint="eastAsia"/>
          <w:szCs w:val="21"/>
        </w:rPr>
        <w:t>。</w:t>
      </w:r>
    </w:p>
    <w:p w14:paraId="1A8A89A8">
      <w:pPr>
        <w:spacing w:line="480" w:lineRule="auto"/>
        <w:outlineLvl w:val="0"/>
        <w:rPr>
          <w:rFonts w:eastAsia="黑体"/>
          <w:b/>
          <w:bCs/>
          <w:szCs w:val="21"/>
        </w:rPr>
      </w:pPr>
      <w:bookmarkStart w:id="123" w:name="_Toc222993076"/>
      <w:bookmarkStart w:id="124" w:name="_Toc27494"/>
      <w:bookmarkStart w:id="125" w:name="_Toc9628"/>
      <w:bookmarkStart w:id="126" w:name="_Toc76025498"/>
      <w:r>
        <w:rPr>
          <w:rFonts w:eastAsia="黑体"/>
          <w:b/>
          <w:bCs/>
          <w:szCs w:val="21"/>
        </w:rPr>
        <w:t>8 技术联络、技术培训及售后服务</w:t>
      </w:r>
      <w:bookmarkEnd w:id="123"/>
      <w:bookmarkEnd w:id="124"/>
      <w:bookmarkEnd w:id="125"/>
      <w:bookmarkEnd w:id="126"/>
    </w:p>
    <w:p w14:paraId="4FCFA668">
      <w:pPr>
        <w:pStyle w:val="3"/>
        <w:spacing w:before="0" w:after="0" w:line="360" w:lineRule="auto"/>
        <w:rPr>
          <w:rFonts w:ascii="Times New Roman" w:hAnsi="Times New Roman" w:eastAsia="黑体"/>
          <w:b w:val="0"/>
          <w:bCs/>
          <w:szCs w:val="21"/>
        </w:rPr>
      </w:pPr>
      <w:bookmarkStart w:id="127" w:name="_Toc2212"/>
      <w:bookmarkStart w:id="128" w:name="_Toc11986"/>
      <w:bookmarkStart w:id="129" w:name="_Toc222993077"/>
      <w:bookmarkStart w:id="130" w:name="_Toc76025499"/>
      <w:r>
        <w:rPr>
          <w:rFonts w:hint="eastAsia" w:ascii="Times New Roman" w:hAnsi="Times New Roman" w:eastAsia="黑体"/>
          <w:b w:val="0"/>
          <w:bCs/>
          <w:szCs w:val="21"/>
        </w:rPr>
        <w:t>8.1 技术培训</w:t>
      </w:r>
      <w:bookmarkEnd w:id="127"/>
      <w:bookmarkEnd w:id="128"/>
      <w:bookmarkEnd w:id="129"/>
      <w:bookmarkEnd w:id="130"/>
    </w:p>
    <w:p w14:paraId="6C2FBC58">
      <w:pPr>
        <w:spacing w:line="360" w:lineRule="auto"/>
        <w:ind w:firstLine="420" w:firstLineChars="200"/>
        <w:rPr>
          <w:szCs w:val="21"/>
        </w:rPr>
      </w:pPr>
      <w:r>
        <w:rPr>
          <w:rFonts w:hint="eastAsia"/>
          <w:szCs w:val="21"/>
        </w:rPr>
        <w:t>8.1.1 投标方应对用户提供技术培训和操作指导，投标方负责培训全部费用。招标方为南方电网公司下属相应的分子公司免费提供远程技术服务，远程技术服务项目期限不受限于保修期，远程技术服务在设备报废前有效。</w:t>
      </w:r>
    </w:p>
    <w:p w14:paraId="7E5970A1">
      <w:pPr>
        <w:spacing w:line="360" w:lineRule="auto"/>
        <w:ind w:firstLine="420" w:firstLineChars="200"/>
        <w:rPr>
          <w:szCs w:val="21"/>
        </w:rPr>
      </w:pPr>
      <w:r>
        <w:rPr>
          <w:rFonts w:hint="eastAsia"/>
          <w:szCs w:val="21"/>
        </w:rPr>
        <w:t>8.1.2 投标方提供培训应分为工厂培训和现场培训两种；</w:t>
      </w:r>
    </w:p>
    <w:p w14:paraId="4842C9A6">
      <w:pPr>
        <w:spacing w:line="360" w:lineRule="auto"/>
        <w:ind w:firstLine="420" w:firstLineChars="200"/>
        <w:rPr>
          <w:szCs w:val="21"/>
        </w:rPr>
      </w:pPr>
      <w:r>
        <w:rPr>
          <w:rFonts w:hint="eastAsia"/>
          <w:szCs w:val="21"/>
        </w:rPr>
        <w:t>8.1.3 投标方提供培训教师、培训安排、培训教材及培训设备；</w:t>
      </w:r>
    </w:p>
    <w:p w14:paraId="453EB434">
      <w:pPr>
        <w:spacing w:line="360" w:lineRule="auto"/>
        <w:ind w:firstLine="420" w:firstLineChars="200"/>
        <w:rPr>
          <w:szCs w:val="21"/>
        </w:rPr>
      </w:pPr>
      <w:r>
        <w:rPr>
          <w:rFonts w:hint="eastAsia"/>
          <w:szCs w:val="21"/>
        </w:rPr>
        <w:t>8.1.4 投标方应设计专门的培训课程，重点包括飞行器的整体使用方法，数据上传处理，常见故障排查处理等。培训内容包括以上但不限于此。</w:t>
      </w:r>
    </w:p>
    <w:p w14:paraId="119412FF">
      <w:pPr>
        <w:spacing w:line="360" w:lineRule="auto"/>
        <w:ind w:firstLine="420" w:firstLineChars="200"/>
        <w:rPr>
          <w:szCs w:val="21"/>
        </w:rPr>
      </w:pPr>
      <w:r>
        <w:rPr>
          <w:rFonts w:hint="eastAsia"/>
          <w:szCs w:val="21"/>
        </w:rPr>
        <w:t>8.1.5 培训时间不少2天。其中，交货后招标方所需开展培训的分子公司、基层单位、班站所各进行不少于2天时间的培训。</w:t>
      </w:r>
    </w:p>
    <w:p w14:paraId="78A98DE2">
      <w:pPr>
        <w:spacing w:line="360" w:lineRule="auto"/>
        <w:ind w:firstLine="420" w:firstLineChars="200"/>
        <w:rPr>
          <w:szCs w:val="21"/>
        </w:rPr>
      </w:pPr>
      <w:r>
        <w:rPr>
          <w:rFonts w:hint="eastAsia"/>
          <w:szCs w:val="21"/>
        </w:rPr>
        <w:t>8.1.6 培训人员每次不少3人。</w:t>
      </w:r>
    </w:p>
    <w:p w14:paraId="1BB521B9">
      <w:pPr>
        <w:pStyle w:val="3"/>
        <w:spacing w:before="0" w:after="0" w:line="360" w:lineRule="auto"/>
        <w:rPr>
          <w:rFonts w:ascii="Times New Roman" w:hAnsi="Times New Roman" w:eastAsia="黑体"/>
          <w:b w:val="0"/>
          <w:bCs/>
          <w:szCs w:val="21"/>
        </w:rPr>
      </w:pPr>
      <w:bookmarkStart w:id="131" w:name="_Toc16410"/>
      <w:bookmarkStart w:id="132" w:name="_Toc222993078"/>
      <w:bookmarkStart w:id="133" w:name="_Toc76025500"/>
      <w:bookmarkStart w:id="134" w:name="_Toc23280"/>
      <w:r>
        <w:rPr>
          <w:rFonts w:hint="eastAsia" w:ascii="Times New Roman" w:hAnsi="Times New Roman" w:eastAsia="黑体"/>
          <w:b w:val="0"/>
          <w:bCs/>
          <w:szCs w:val="21"/>
        </w:rPr>
        <w:t>8.2 现场及远程技术服务</w:t>
      </w:r>
      <w:bookmarkEnd w:id="131"/>
      <w:bookmarkEnd w:id="132"/>
      <w:bookmarkEnd w:id="133"/>
      <w:bookmarkEnd w:id="134"/>
    </w:p>
    <w:p w14:paraId="0EDB6B2F">
      <w:pPr>
        <w:spacing w:line="360" w:lineRule="auto"/>
        <w:ind w:firstLine="420" w:firstLineChars="200"/>
        <w:rPr>
          <w:szCs w:val="21"/>
        </w:rPr>
      </w:pPr>
      <w:r>
        <w:rPr>
          <w:rFonts w:hint="eastAsia"/>
          <w:szCs w:val="21"/>
        </w:rPr>
        <w:t>8.2.1 投标方派出的工程师，在设备的安装接线、调试和测试期间，应负责指导。</w:t>
      </w:r>
    </w:p>
    <w:p w14:paraId="12ABADAA">
      <w:pPr>
        <w:spacing w:line="360" w:lineRule="auto"/>
        <w:ind w:firstLine="420" w:firstLineChars="200"/>
        <w:rPr>
          <w:szCs w:val="21"/>
        </w:rPr>
      </w:pPr>
      <w:r>
        <w:rPr>
          <w:rFonts w:hint="eastAsia"/>
          <w:szCs w:val="21"/>
        </w:rPr>
        <w:t>8.2.2 投标方派出的工程师，还应负责对买方的安装及维护人员进行现场培训，教会他们如何启动、操作及维护设备。</w:t>
      </w:r>
    </w:p>
    <w:p w14:paraId="5F320016">
      <w:pPr>
        <w:spacing w:line="360" w:lineRule="auto"/>
        <w:ind w:firstLine="420" w:firstLineChars="200"/>
        <w:rPr>
          <w:szCs w:val="21"/>
        </w:rPr>
      </w:pPr>
      <w:r>
        <w:rPr>
          <w:rFonts w:hint="eastAsia"/>
          <w:szCs w:val="21"/>
        </w:rPr>
        <w:t>8.2.3 投标方应免费提供远程技术服务，远程技术服务项目期限不受限于保修期，远程技术服务在设备报废前有效。</w:t>
      </w:r>
    </w:p>
    <w:p w14:paraId="1C3A4813">
      <w:pPr>
        <w:spacing w:line="360" w:lineRule="auto"/>
        <w:ind w:firstLine="420" w:firstLineChars="200"/>
        <w:rPr>
          <w:szCs w:val="21"/>
        </w:rPr>
      </w:pPr>
      <w:r>
        <w:rPr>
          <w:rFonts w:hint="eastAsia"/>
          <w:szCs w:val="21"/>
        </w:rPr>
        <w:t xml:space="preserve">8.2.4 </w:t>
      </w:r>
      <w:r>
        <w:rPr>
          <w:rFonts w:hint="eastAsia" w:ascii="宋体" w:hAnsi="宋体" w:cs="宋体"/>
          <w:szCs w:val="21"/>
        </w:rPr>
        <w:t>招标方通过网络直播等方式每年组织1次设备使用及日常维护培训课程。</w:t>
      </w:r>
    </w:p>
    <w:p w14:paraId="02EBD2F4">
      <w:pPr>
        <w:pStyle w:val="3"/>
        <w:spacing w:before="0" w:after="0" w:line="360" w:lineRule="auto"/>
        <w:rPr>
          <w:rFonts w:ascii="Times New Roman" w:hAnsi="Times New Roman" w:eastAsia="黑体"/>
          <w:b w:val="0"/>
          <w:bCs/>
          <w:szCs w:val="21"/>
        </w:rPr>
      </w:pPr>
      <w:bookmarkStart w:id="135" w:name="_Toc76025501"/>
      <w:bookmarkStart w:id="136" w:name="_Toc26710"/>
      <w:bookmarkStart w:id="137" w:name="_Toc222993079"/>
      <w:bookmarkStart w:id="138" w:name="_Toc3146"/>
      <w:r>
        <w:rPr>
          <w:rFonts w:ascii="Times New Roman" w:hAnsi="Times New Roman" w:eastAsia="黑体"/>
          <w:b w:val="0"/>
          <w:bCs/>
          <w:szCs w:val="21"/>
        </w:rPr>
        <w:t xml:space="preserve">8.3 </w:t>
      </w:r>
      <w:r>
        <w:rPr>
          <w:rFonts w:hint="eastAsia" w:ascii="Times New Roman" w:hAnsi="Times New Roman" w:eastAsia="黑体"/>
          <w:b w:val="0"/>
          <w:bCs/>
          <w:szCs w:val="21"/>
        </w:rPr>
        <w:t>售后服务</w:t>
      </w:r>
      <w:bookmarkEnd w:id="135"/>
      <w:bookmarkEnd w:id="136"/>
      <w:bookmarkEnd w:id="137"/>
      <w:bookmarkEnd w:id="138"/>
    </w:p>
    <w:p w14:paraId="2C088A26">
      <w:pPr>
        <w:spacing w:line="360" w:lineRule="auto"/>
        <w:ind w:firstLine="420" w:firstLineChars="200"/>
        <w:rPr>
          <w:szCs w:val="21"/>
        </w:rPr>
      </w:pPr>
      <w:r>
        <w:rPr>
          <w:rFonts w:hint="eastAsia"/>
          <w:szCs w:val="21"/>
        </w:rPr>
        <w:t>8.3.1设备的质保期为自对账单全部设备到货验收合格并移交之日起不短于正常运行12个月内为质保期（供方承诺的质保期若长于上述时间，则按承诺时间执行）。设备在规定的质保期内，发生缺陷，或者由于设计错误、材料、工艺、制造、装配、发送等原因造成的损坏，或是不满足合同的要求，招标方以书面方式同事投标方，投标方应立即免费更换这些有损坏和缺陷的设备。</w:t>
      </w:r>
    </w:p>
    <w:p w14:paraId="5EA88D6D">
      <w:pPr>
        <w:spacing w:line="360" w:lineRule="auto"/>
        <w:ind w:firstLine="420" w:firstLineChars="200"/>
        <w:rPr>
          <w:szCs w:val="21"/>
        </w:rPr>
      </w:pPr>
      <w:r>
        <w:rPr>
          <w:rFonts w:hint="eastAsia"/>
          <w:szCs w:val="21"/>
        </w:rPr>
        <w:t>8.3.2在接到招标方通知后，投标方虽努力改进，但仍不满足相关要求，招标方可处理或更换这些设备，由此引起的一切费用由投标方承担。</w:t>
      </w:r>
    </w:p>
    <w:p w14:paraId="40BF4FBD">
      <w:pPr>
        <w:spacing w:line="360" w:lineRule="auto"/>
        <w:ind w:firstLine="420" w:firstLineChars="200"/>
        <w:rPr>
          <w:szCs w:val="21"/>
        </w:rPr>
      </w:pPr>
      <w:r>
        <w:rPr>
          <w:rFonts w:hint="eastAsia"/>
          <w:szCs w:val="21"/>
        </w:rPr>
        <w:t>8.3.</w:t>
      </w:r>
      <w:r>
        <w:rPr>
          <w:rFonts w:hint="eastAsia"/>
          <w:szCs w:val="21"/>
          <w:lang w:val="en-US" w:eastAsia="zh-CN"/>
        </w:rPr>
        <w:t>3</w:t>
      </w:r>
      <w:bookmarkStart w:id="201" w:name="_GoBack"/>
      <w:bookmarkEnd w:id="201"/>
      <w:r>
        <w:rPr>
          <w:rFonts w:hint="eastAsia"/>
          <w:szCs w:val="21"/>
        </w:rPr>
        <w:t xml:space="preserve"> 投标单位应提高售后处理服务水平和质量，质保期内在接到使用单位报障后，应在15日内处理完毕，确保使用单位策略按时完成。</w:t>
      </w:r>
    </w:p>
    <w:p w14:paraId="0662CD13">
      <w:pPr>
        <w:spacing w:line="480" w:lineRule="auto"/>
        <w:outlineLvl w:val="0"/>
        <w:rPr>
          <w:rFonts w:eastAsia="黑体"/>
          <w:b/>
          <w:bCs/>
          <w:szCs w:val="21"/>
        </w:rPr>
      </w:pPr>
      <w:bookmarkStart w:id="139" w:name="_Toc76025502"/>
      <w:bookmarkStart w:id="140" w:name="_Toc20285"/>
      <w:bookmarkStart w:id="141" w:name="_Toc347154882"/>
      <w:bookmarkStart w:id="142" w:name="_Toc356999080"/>
      <w:bookmarkStart w:id="143" w:name="_Toc28748"/>
      <w:bookmarkStart w:id="144" w:name="_Toc222993080"/>
      <w:bookmarkStart w:id="145" w:name="_Toc265313600"/>
      <w:r>
        <w:rPr>
          <w:rFonts w:eastAsia="黑体"/>
          <w:b/>
          <w:bCs/>
          <w:szCs w:val="21"/>
        </w:rPr>
        <w:t>9 标志、包装、运输、贮存</w:t>
      </w:r>
      <w:bookmarkEnd w:id="139"/>
      <w:bookmarkEnd w:id="140"/>
      <w:bookmarkEnd w:id="141"/>
      <w:bookmarkEnd w:id="142"/>
      <w:bookmarkEnd w:id="143"/>
      <w:bookmarkEnd w:id="144"/>
    </w:p>
    <w:bookmarkEnd w:id="145"/>
    <w:p w14:paraId="1761F9FE">
      <w:pPr>
        <w:pStyle w:val="3"/>
        <w:keepNext w:val="0"/>
        <w:tabs>
          <w:tab w:val="left" w:pos="576"/>
        </w:tabs>
        <w:adjustRightInd w:val="0"/>
        <w:snapToGrid w:val="0"/>
        <w:spacing w:before="0" w:after="0" w:line="360" w:lineRule="auto"/>
        <w:rPr>
          <w:rFonts w:hint="eastAsia" w:ascii="黑体" w:hAnsi="黑体" w:eastAsia="黑体"/>
          <w:szCs w:val="21"/>
        </w:rPr>
      </w:pPr>
      <w:bookmarkStart w:id="146" w:name="_Toc20607"/>
      <w:bookmarkStart w:id="147" w:name="_Toc322681878"/>
      <w:bookmarkStart w:id="148" w:name="_Toc76025503"/>
      <w:bookmarkStart w:id="149" w:name="_Toc282433760"/>
      <w:bookmarkStart w:id="150" w:name="_Toc22883"/>
      <w:bookmarkStart w:id="151" w:name="_Toc276301528"/>
      <w:bookmarkStart w:id="152" w:name="_Toc279695209"/>
      <w:bookmarkStart w:id="153" w:name="_Toc276492436"/>
      <w:bookmarkStart w:id="154" w:name="_Toc276490918"/>
      <w:bookmarkStart w:id="155" w:name="_Toc441508857"/>
      <w:bookmarkStart w:id="156" w:name="_Toc282993364"/>
      <w:bookmarkStart w:id="157" w:name="_Toc387609309"/>
      <w:bookmarkStart w:id="158" w:name="_Toc66780580"/>
      <w:bookmarkStart w:id="159" w:name="_Toc222993081"/>
      <w:r>
        <w:rPr>
          <w:rFonts w:ascii="黑体" w:hAnsi="黑体" w:eastAsia="黑体"/>
          <w:szCs w:val="21"/>
        </w:rPr>
        <w:t xml:space="preserve">9.1 </w:t>
      </w:r>
      <w:r>
        <w:rPr>
          <w:rFonts w:hint="eastAsia" w:ascii="黑体" w:hAnsi="黑体" w:eastAsia="黑体"/>
          <w:szCs w:val="21"/>
        </w:rPr>
        <w:t>包装</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24C03F92">
      <w:pPr>
        <w:adjustRightInd w:val="0"/>
        <w:snapToGrid w:val="0"/>
        <w:spacing w:line="360" w:lineRule="auto"/>
        <w:ind w:firstLine="420" w:firstLineChars="200"/>
        <w:rPr>
          <w:szCs w:val="21"/>
        </w:rPr>
      </w:pPr>
      <w:bookmarkStart w:id="160" w:name="_Toc276492437"/>
      <w:bookmarkStart w:id="161" w:name="_Toc276490919"/>
      <w:bookmarkStart w:id="162" w:name="_Toc276301529"/>
      <w:r>
        <w:rPr>
          <w:rFonts w:hint="eastAsia"/>
          <w:szCs w:val="21"/>
        </w:rPr>
        <w:t>1）投标方应根据双方商定好的标准和招标方的实际运输条件</w:t>
      </w:r>
      <w:r>
        <w:rPr>
          <w:szCs w:val="21"/>
        </w:rPr>
        <w:t>，</w:t>
      </w:r>
      <w:r>
        <w:rPr>
          <w:rFonts w:hint="eastAsia"/>
          <w:szCs w:val="21"/>
        </w:rPr>
        <w:t>将所有零部件包装好</w:t>
      </w:r>
      <w:r>
        <w:rPr>
          <w:szCs w:val="21"/>
        </w:rPr>
        <w:t>，</w:t>
      </w:r>
      <w:r>
        <w:rPr>
          <w:rFonts w:hint="eastAsia"/>
          <w:szCs w:val="21"/>
        </w:rPr>
        <w:t>并将全套使用说明书</w:t>
      </w:r>
      <w:r>
        <w:rPr>
          <w:szCs w:val="21"/>
        </w:rPr>
        <w:t>，</w:t>
      </w:r>
      <w:r>
        <w:rPr>
          <w:rFonts w:hint="eastAsia"/>
          <w:szCs w:val="21"/>
        </w:rPr>
        <w:t>产品合格证明书、产品外形尺寸图、运输尺寸图、产品拆卸件一览表、装箱单、铭牌图或铭牌标志图及备件一览表等包装好</w:t>
      </w:r>
      <w:r>
        <w:rPr>
          <w:szCs w:val="21"/>
        </w:rPr>
        <w:t>，</w:t>
      </w:r>
      <w:r>
        <w:rPr>
          <w:rFonts w:hint="eastAsia"/>
          <w:szCs w:val="21"/>
        </w:rPr>
        <w:t>防止受潮。从投标方发货至招标方收到期间</w:t>
      </w:r>
      <w:r>
        <w:rPr>
          <w:szCs w:val="21"/>
        </w:rPr>
        <w:t>，</w:t>
      </w:r>
      <w:r>
        <w:rPr>
          <w:rFonts w:hint="eastAsia"/>
          <w:szCs w:val="21"/>
        </w:rPr>
        <w:t>设备和资料应完好无损。</w:t>
      </w:r>
    </w:p>
    <w:p w14:paraId="7E5383A6">
      <w:pPr>
        <w:adjustRightInd w:val="0"/>
        <w:snapToGrid w:val="0"/>
        <w:spacing w:line="360" w:lineRule="auto"/>
        <w:ind w:firstLine="420" w:firstLineChars="200"/>
        <w:rPr>
          <w:szCs w:val="21"/>
        </w:rPr>
      </w:pPr>
      <w:r>
        <w:rPr>
          <w:rFonts w:hint="eastAsia"/>
          <w:szCs w:val="21"/>
        </w:rPr>
        <w:t>2）包装箱应连续编号</w:t>
      </w:r>
      <w:r>
        <w:rPr>
          <w:szCs w:val="21"/>
        </w:rPr>
        <w:t>，</w:t>
      </w:r>
      <w:r>
        <w:rPr>
          <w:rFonts w:hint="eastAsia"/>
          <w:szCs w:val="21"/>
        </w:rPr>
        <w:t>不能有重号。</w:t>
      </w:r>
    </w:p>
    <w:p w14:paraId="64EE7FAC">
      <w:pPr>
        <w:adjustRightInd w:val="0"/>
        <w:snapToGrid w:val="0"/>
        <w:spacing w:line="360" w:lineRule="auto"/>
        <w:ind w:firstLine="420" w:firstLineChars="200"/>
        <w:rPr>
          <w:szCs w:val="21"/>
        </w:rPr>
      </w:pPr>
      <w:r>
        <w:rPr>
          <w:rFonts w:hint="eastAsia"/>
          <w:szCs w:val="21"/>
        </w:rPr>
        <w:t>零部件、材料启运前投标方应按下述内容在箱面上写不褪色的醒目标志</w:t>
      </w:r>
      <w:r>
        <w:rPr>
          <w:szCs w:val="21"/>
        </w:rPr>
        <w:t>：</w:t>
      </w:r>
    </w:p>
    <w:p w14:paraId="2CA4D9CE">
      <w:pPr>
        <w:adjustRightInd w:val="0"/>
        <w:snapToGrid w:val="0"/>
        <w:spacing w:line="360" w:lineRule="auto"/>
        <w:ind w:firstLine="630" w:firstLineChars="300"/>
        <w:rPr>
          <w:szCs w:val="21"/>
        </w:rPr>
      </w:pPr>
      <w:r>
        <w:rPr>
          <w:rFonts w:hint="eastAsia"/>
          <w:szCs w:val="21"/>
        </w:rPr>
        <w:t>a.合同号</w:t>
      </w:r>
      <w:r>
        <w:rPr>
          <w:szCs w:val="21"/>
        </w:rPr>
        <w:t>；</w:t>
      </w:r>
    </w:p>
    <w:p w14:paraId="4B447207">
      <w:pPr>
        <w:adjustRightInd w:val="0"/>
        <w:snapToGrid w:val="0"/>
        <w:spacing w:line="360" w:lineRule="auto"/>
        <w:ind w:firstLine="630" w:firstLineChars="300"/>
        <w:rPr>
          <w:szCs w:val="21"/>
        </w:rPr>
      </w:pPr>
      <w:r>
        <w:rPr>
          <w:rFonts w:hint="eastAsia"/>
          <w:szCs w:val="21"/>
        </w:rPr>
        <w:t>d.收货人及代码</w:t>
      </w:r>
      <w:r>
        <w:rPr>
          <w:szCs w:val="21"/>
        </w:rPr>
        <w:t>；</w:t>
      </w:r>
    </w:p>
    <w:p w14:paraId="1BD7473E">
      <w:pPr>
        <w:adjustRightInd w:val="0"/>
        <w:snapToGrid w:val="0"/>
        <w:spacing w:line="360" w:lineRule="auto"/>
        <w:ind w:firstLine="630" w:firstLineChars="300"/>
        <w:rPr>
          <w:szCs w:val="21"/>
        </w:rPr>
      </w:pPr>
      <w:r>
        <w:rPr>
          <w:rFonts w:hint="eastAsia"/>
          <w:szCs w:val="21"/>
        </w:rPr>
        <w:t>e.设备名称和项目号</w:t>
      </w:r>
      <w:r>
        <w:rPr>
          <w:szCs w:val="21"/>
        </w:rPr>
        <w:t>；</w:t>
      </w:r>
    </w:p>
    <w:p w14:paraId="2CD4E10D">
      <w:pPr>
        <w:adjustRightInd w:val="0"/>
        <w:snapToGrid w:val="0"/>
        <w:spacing w:line="360" w:lineRule="auto"/>
        <w:ind w:firstLine="630" w:firstLineChars="300"/>
        <w:rPr>
          <w:szCs w:val="21"/>
        </w:rPr>
      </w:pPr>
      <w:r>
        <w:rPr>
          <w:rFonts w:hint="eastAsia"/>
          <w:szCs w:val="21"/>
        </w:rPr>
        <w:t>f.箱号</w:t>
      </w:r>
      <w:r>
        <w:rPr>
          <w:szCs w:val="21"/>
        </w:rPr>
        <w:t>；</w:t>
      </w:r>
    </w:p>
    <w:p w14:paraId="7DCA8D28">
      <w:pPr>
        <w:adjustRightInd w:val="0"/>
        <w:snapToGrid w:val="0"/>
        <w:spacing w:line="360" w:lineRule="auto"/>
        <w:ind w:firstLine="630" w:firstLineChars="300"/>
        <w:rPr>
          <w:szCs w:val="21"/>
        </w:rPr>
      </w:pPr>
      <w:r>
        <w:rPr>
          <w:rFonts w:hint="eastAsia"/>
          <w:szCs w:val="21"/>
        </w:rPr>
        <w:t>g.毛重与净重</w:t>
      </w:r>
      <w:r>
        <w:rPr>
          <w:szCs w:val="21"/>
        </w:rPr>
        <w:t>；</w:t>
      </w:r>
    </w:p>
    <w:p w14:paraId="5E9624C6">
      <w:pPr>
        <w:adjustRightInd w:val="0"/>
        <w:snapToGrid w:val="0"/>
        <w:spacing w:line="360" w:lineRule="auto"/>
        <w:ind w:firstLine="630" w:firstLineChars="300"/>
        <w:rPr>
          <w:szCs w:val="21"/>
        </w:rPr>
      </w:pPr>
      <w:r>
        <w:rPr>
          <w:rFonts w:hint="eastAsia"/>
          <w:szCs w:val="21"/>
        </w:rPr>
        <w:t>h.外形尺寸</w:t>
      </w:r>
      <w:r>
        <w:rPr>
          <w:szCs w:val="21"/>
        </w:rPr>
        <w:t>；</w:t>
      </w:r>
    </w:p>
    <w:p w14:paraId="410DB9D7">
      <w:pPr>
        <w:adjustRightInd w:val="0"/>
        <w:snapToGrid w:val="0"/>
        <w:spacing w:line="360" w:lineRule="auto"/>
        <w:ind w:firstLine="630" w:firstLineChars="300"/>
        <w:rPr>
          <w:szCs w:val="21"/>
        </w:rPr>
      </w:pPr>
      <w:r>
        <w:rPr>
          <w:rFonts w:hint="eastAsia"/>
          <w:szCs w:val="21"/>
        </w:rPr>
        <w:t>i.在设备的包装箱外面应标上“重心”、“起吊点”、“小心搬运”、“正面向上”、“防止受潮”、“勿倒”、“勿倾斜”、“防火”等字样。</w:t>
      </w:r>
    </w:p>
    <w:p w14:paraId="469F34E3">
      <w:pPr>
        <w:adjustRightInd w:val="0"/>
        <w:snapToGrid w:val="0"/>
        <w:spacing w:line="360" w:lineRule="auto"/>
        <w:ind w:firstLine="420" w:firstLineChars="200"/>
        <w:rPr>
          <w:szCs w:val="21"/>
        </w:rPr>
      </w:pPr>
      <w:r>
        <w:rPr>
          <w:rFonts w:hint="eastAsia"/>
          <w:szCs w:val="21"/>
        </w:rPr>
        <w:t>3）投标方提供的技术文件的包装内外表面上应有如下中文标志</w:t>
      </w:r>
      <w:r>
        <w:rPr>
          <w:szCs w:val="21"/>
        </w:rPr>
        <w:t>：</w:t>
      </w:r>
    </w:p>
    <w:p w14:paraId="64BCC2C0">
      <w:pPr>
        <w:adjustRightInd w:val="0"/>
        <w:snapToGrid w:val="0"/>
        <w:spacing w:line="360" w:lineRule="auto"/>
        <w:ind w:firstLine="630" w:firstLineChars="300"/>
        <w:rPr>
          <w:szCs w:val="21"/>
        </w:rPr>
      </w:pPr>
      <w:r>
        <w:rPr>
          <w:rFonts w:hint="eastAsia"/>
          <w:szCs w:val="21"/>
        </w:rPr>
        <w:t>a.合同号</w:t>
      </w:r>
      <w:r>
        <w:rPr>
          <w:szCs w:val="21"/>
        </w:rPr>
        <w:t>；</w:t>
      </w:r>
    </w:p>
    <w:p w14:paraId="38883B3C">
      <w:pPr>
        <w:adjustRightInd w:val="0"/>
        <w:snapToGrid w:val="0"/>
        <w:spacing w:line="360" w:lineRule="auto"/>
        <w:ind w:firstLine="630" w:firstLineChars="300"/>
        <w:rPr>
          <w:szCs w:val="21"/>
        </w:rPr>
      </w:pPr>
      <w:r>
        <w:rPr>
          <w:rFonts w:hint="eastAsia"/>
          <w:szCs w:val="21"/>
        </w:rPr>
        <w:t>b.收货人</w:t>
      </w:r>
      <w:r>
        <w:rPr>
          <w:szCs w:val="21"/>
        </w:rPr>
        <w:t>；</w:t>
      </w:r>
    </w:p>
    <w:p w14:paraId="5D552D75">
      <w:pPr>
        <w:adjustRightInd w:val="0"/>
        <w:snapToGrid w:val="0"/>
        <w:spacing w:line="360" w:lineRule="auto"/>
        <w:ind w:firstLine="630" w:firstLineChars="300"/>
        <w:rPr>
          <w:szCs w:val="21"/>
        </w:rPr>
      </w:pPr>
      <w:r>
        <w:rPr>
          <w:rFonts w:hint="eastAsia"/>
          <w:szCs w:val="21"/>
        </w:rPr>
        <w:t>c.目的地</w:t>
      </w:r>
      <w:r>
        <w:rPr>
          <w:szCs w:val="21"/>
        </w:rPr>
        <w:t>；</w:t>
      </w:r>
    </w:p>
    <w:p w14:paraId="27BDD858">
      <w:pPr>
        <w:adjustRightInd w:val="0"/>
        <w:snapToGrid w:val="0"/>
        <w:spacing w:line="360" w:lineRule="auto"/>
        <w:ind w:firstLine="630" w:firstLineChars="300"/>
        <w:rPr>
          <w:szCs w:val="21"/>
        </w:rPr>
      </w:pPr>
      <w:r>
        <w:rPr>
          <w:rFonts w:hint="eastAsia"/>
          <w:szCs w:val="21"/>
        </w:rPr>
        <w:t>d.毛重</w:t>
      </w:r>
      <w:r>
        <w:rPr>
          <w:szCs w:val="21"/>
        </w:rPr>
        <w:t>；</w:t>
      </w:r>
    </w:p>
    <w:p w14:paraId="39215E98">
      <w:pPr>
        <w:adjustRightInd w:val="0"/>
        <w:snapToGrid w:val="0"/>
        <w:spacing w:line="360" w:lineRule="auto"/>
        <w:ind w:firstLine="630" w:firstLineChars="300"/>
        <w:rPr>
          <w:szCs w:val="21"/>
        </w:rPr>
      </w:pPr>
      <w:r>
        <w:rPr>
          <w:rFonts w:hint="eastAsia"/>
          <w:szCs w:val="21"/>
        </w:rPr>
        <w:t>e.箱号。</w:t>
      </w:r>
    </w:p>
    <w:p w14:paraId="5036B0A7">
      <w:pPr>
        <w:adjustRightInd w:val="0"/>
        <w:snapToGrid w:val="0"/>
        <w:spacing w:line="360" w:lineRule="auto"/>
        <w:ind w:firstLine="420" w:firstLineChars="200"/>
        <w:rPr>
          <w:szCs w:val="21"/>
        </w:rPr>
      </w:pPr>
      <w:r>
        <w:rPr>
          <w:rFonts w:hint="eastAsia"/>
          <w:szCs w:val="21"/>
        </w:rPr>
        <w:t>4）招投标双方应在合同中明确规定多旋翼无人机巡检系统各部件的保管期应在合同中明确规定。</w:t>
      </w:r>
    </w:p>
    <w:p w14:paraId="5D23E2CA">
      <w:pPr>
        <w:adjustRightInd w:val="0"/>
        <w:snapToGrid w:val="0"/>
        <w:spacing w:line="360" w:lineRule="auto"/>
        <w:ind w:firstLine="420" w:firstLineChars="200"/>
        <w:rPr>
          <w:szCs w:val="21"/>
        </w:rPr>
      </w:pPr>
      <w:r>
        <w:rPr>
          <w:rFonts w:hint="eastAsia"/>
          <w:szCs w:val="21"/>
        </w:rPr>
        <w:t>5）在设备启运后一周内</w:t>
      </w:r>
      <w:r>
        <w:rPr>
          <w:szCs w:val="21"/>
        </w:rPr>
        <w:t>，</w:t>
      </w:r>
      <w:r>
        <w:rPr>
          <w:rFonts w:hint="eastAsia"/>
          <w:szCs w:val="21"/>
        </w:rPr>
        <w:t>投标方应以最快捷的方式通知招标方以下内容</w:t>
      </w:r>
      <w:r>
        <w:rPr>
          <w:szCs w:val="21"/>
        </w:rPr>
        <w:t>：</w:t>
      </w:r>
    </w:p>
    <w:p w14:paraId="44C03D58">
      <w:pPr>
        <w:adjustRightInd w:val="0"/>
        <w:snapToGrid w:val="0"/>
        <w:spacing w:line="360" w:lineRule="auto"/>
        <w:ind w:firstLine="630" w:firstLineChars="300"/>
        <w:rPr>
          <w:szCs w:val="21"/>
        </w:rPr>
      </w:pPr>
      <w:r>
        <w:rPr>
          <w:rFonts w:hint="eastAsia"/>
          <w:szCs w:val="21"/>
        </w:rPr>
        <w:t>a.设备名称</w:t>
      </w:r>
      <w:r>
        <w:rPr>
          <w:szCs w:val="21"/>
        </w:rPr>
        <w:t>；</w:t>
      </w:r>
    </w:p>
    <w:p w14:paraId="1DFE2A45">
      <w:pPr>
        <w:adjustRightInd w:val="0"/>
        <w:snapToGrid w:val="0"/>
        <w:spacing w:line="360" w:lineRule="auto"/>
        <w:ind w:firstLine="630" w:firstLineChars="300"/>
        <w:rPr>
          <w:szCs w:val="21"/>
        </w:rPr>
      </w:pPr>
      <w:r>
        <w:rPr>
          <w:rFonts w:hint="eastAsia"/>
          <w:szCs w:val="21"/>
        </w:rPr>
        <w:t>b.件数、件号、重量</w:t>
      </w:r>
      <w:r>
        <w:rPr>
          <w:szCs w:val="21"/>
        </w:rPr>
        <w:t>；</w:t>
      </w:r>
    </w:p>
    <w:p w14:paraId="3AA84F9D">
      <w:pPr>
        <w:adjustRightInd w:val="0"/>
        <w:snapToGrid w:val="0"/>
        <w:spacing w:line="360" w:lineRule="auto"/>
        <w:ind w:firstLine="630" w:firstLineChars="300"/>
        <w:rPr>
          <w:szCs w:val="21"/>
        </w:rPr>
      </w:pPr>
      <w:r>
        <w:rPr>
          <w:rFonts w:hint="eastAsia"/>
          <w:szCs w:val="21"/>
        </w:rPr>
        <w:t>c.合同号</w:t>
      </w:r>
      <w:r>
        <w:rPr>
          <w:szCs w:val="21"/>
        </w:rPr>
        <w:t>；</w:t>
      </w:r>
    </w:p>
    <w:p w14:paraId="66031CDD">
      <w:pPr>
        <w:adjustRightInd w:val="0"/>
        <w:snapToGrid w:val="0"/>
        <w:spacing w:line="360" w:lineRule="auto"/>
        <w:ind w:firstLine="630" w:firstLineChars="300"/>
        <w:rPr>
          <w:szCs w:val="21"/>
        </w:rPr>
      </w:pPr>
      <w:r>
        <w:rPr>
          <w:rFonts w:hint="eastAsia"/>
          <w:szCs w:val="21"/>
        </w:rPr>
        <w:t>d.货运单号</w:t>
      </w:r>
      <w:r>
        <w:rPr>
          <w:szCs w:val="21"/>
        </w:rPr>
        <w:t>；</w:t>
      </w:r>
    </w:p>
    <w:p w14:paraId="20773A88">
      <w:pPr>
        <w:adjustRightInd w:val="0"/>
        <w:snapToGrid w:val="0"/>
        <w:spacing w:line="360" w:lineRule="auto"/>
        <w:ind w:firstLine="630" w:firstLineChars="300"/>
        <w:rPr>
          <w:szCs w:val="21"/>
        </w:rPr>
      </w:pPr>
      <w:r>
        <w:rPr>
          <w:rFonts w:hint="eastAsia"/>
          <w:szCs w:val="21"/>
        </w:rPr>
        <w:t>f.设备发出日期。</w:t>
      </w:r>
    </w:p>
    <w:p w14:paraId="190D2AA2">
      <w:pPr>
        <w:adjustRightInd w:val="0"/>
        <w:snapToGrid w:val="0"/>
        <w:spacing w:line="360" w:lineRule="auto"/>
        <w:ind w:firstLine="420" w:firstLineChars="200"/>
        <w:rPr>
          <w:szCs w:val="21"/>
        </w:rPr>
      </w:pPr>
      <w:r>
        <w:rPr>
          <w:szCs w:val="21"/>
        </w:rPr>
        <w:t>6</w:t>
      </w:r>
      <w:r>
        <w:rPr>
          <w:rFonts w:hint="eastAsia"/>
          <w:szCs w:val="21"/>
        </w:rPr>
        <w:t>）运输、贮存直到交付使用时应保护所有组、部件不得损坏、不得进水和受潮。</w:t>
      </w:r>
    </w:p>
    <w:p w14:paraId="2929374F">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投标方所供的设备和附件，在货运途中需外包防雨防潮胶袋，用纸皮箱包封运输，纸皮箱间需加塞泡沫防震层，采取有效的防雨、防潮、防震措施，以适应远途运输的要求。</w:t>
      </w:r>
    </w:p>
    <w:p w14:paraId="2D3B9CDB">
      <w:pPr>
        <w:adjustRightInd w:val="0"/>
        <w:snapToGrid w:val="0"/>
        <w:spacing w:line="360" w:lineRule="auto"/>
        <w:ind w:firstLine="420" w:firstLineChars="200"/>
        <w:rPr>
          <w:rFonts w:hint="eastAsia" w:ascii="宋体" w:hAnsi="宋体" w:cs="宋体"/>
          <w:szCs w:val="21"/>
        </w:rPr>
      </w:pPr>
      <w:r>
        <w:rPr>
          <w:rFonts w:hint="eastAsia"/>
          <w:szCs w:val="21"/>
        </w:rPr>
        <w:t>7）</w:t>
      </w:r>
      <w:r>
        <w:rPr>
          <w:rFonts w:hint="eastAsia" w:ascii="宋体" w:hAnsi="宋体" w:cs="宋体"/>
          <w:szCs w:val="21"/>
        </w:rPr>
        <w:t>所有设备分别包装、装箱、或采取其他防护措施，以避免设备在运输过程中散失、损坏或被盗。</w:t>
      </w:r>
    </w:p>
    <w:p w14:paraId="62FD3827">
      <w:pPr>
        <w:pStyle w:val="3"/>
        <w:keepNext w:val="0"/>
        <w:numPr>
          <w:ilvl w:val="255"/>
          <w:numId w:val="0"/>
        </w:numPr>
        <w:spacing w:before="0" w:after="0" w:line="360" w:lineRule="auto"/>
        <w:rPr>
          <w:rFonts w:hint="eastAsia" w:ascii="黑体" w:hAnsi="黑体" w:eastAsia="黑体"/>
          <w:szCs w:val="21"/>
        </w:rPr>
      </w:pPr>
      <w:bookmarkStart w:id="163" w:name="_Toc28140"/>
      <w:bookmarkStart w:id="164" w:name="_Toc282993365"/>
      <w:bookmarkStart w:id="165" w:name="_Toc279695210"/>
      <w:bookmarkStart w:id="166" w:name="_Toc222993082"/>
      <w:bookmarkStart w:id="167" w:name="_Toc66780581"/>
      <w:bookmarkStart w:id="168" w:name="_Toc76025504"/>
      <w:bookmarkStart w:id="169" w:name="_Toc441508858"/>
      <w:bookmarkStart w:id="170" w:name="_Toc282433761"/>
      <w:bookmarkStart w:id="171" w:name="_Toc387609310"/>
      <w:bookmarkStart w:id="172" w:name="_Toc322681879"/>
      <w:bookmarkStart w:id="173" w:name="_Toc9547"/>
      <w:r>
        <w:rPr>
          <w:rFonts w:ascii="黑体" w:hAnsi="黑体" w:eastAsia="黑体"/>
          <w:szCs w:val="21"/>
        </w:rPr>
        <w:t>9.2</w:t>
      </w:r>
      <w:r>
        <w:rPr>
          <w:rFonts w:hint="eastAsia" w:ascii="黑体" w:hAnsi="黑体" w:eastAsia="黑体"/>
          <w:szCs w:val="21"/>
        </w:rPr>
        <w:t xml:space="preserve"> 运输</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27600BA8">
      <w:pPr>
        <w:adjustRightInd w:val="0"/>
        <w:snapToGrid w:val="0"/>
        <w:spacing w:line="360" w:lineRule="auto"/>
        <w:ind w:firstLine="420" w:firstLineChars="200"/>
        <w:rPr>
          <w:szCs w:val="21"/>
        </w:rPr>
      </w:pPr>
      <w:r>
        <w:rPr>
          <w:rFonts w:hint="eastAsia"/>
          <w:szCs w:val="21"/>
        </w:rPr>
        <w:t>a.制造厂应充分考虑运输条件及路、桥运输重量，并应编制运输方案、确定最大单件的尺寸及运输单重。</w:t>
      </w:r>
    </w:p>
    <w:p w14:paraId="2AABFD8E">
      <w:pPr>
        <w:adjustRightInd w:val="0"/>
        <w:snapToGrid w:val="0"/>
        <w:spacing w:line="360" w:lineRule="auto"/>
        <w:ind w:firstLine="420" w:firstLineChars="200"/>
        <w:rPr>
          <w:szCs w:val="21"/>
        </w:rPr>
      </w:pPr>
      <w:r>
        <w:rPr>
          <w:rFonts w:hint="eastAsia"/>
          <w:szCs w:val="21"/>
        </w:rPr>
        <w:t>b.制造厂负责将设备安全地运到运行单位指定地点，并负责设备卸车落地。制造厂应做到设备在任何运输过程中不受损坏。制造厂应考虑到设备在船运和陆运运输中，可能受到的最大加速度所产生的冲击力而不松动、不损坏、不变形。</w:t>
      </w:r>
    </w:p>
    <w:p w14:paraId="232AFC0A">
      <w:pPr>
        <w:adjustRightInd w:val="0"/>
        <w:snapToGrid w:val="0"/>
        <w:spacing w:line="360" w:lineRule="auto"/>
        <w:ind w:firstLine="420" w:firstLineChars="200"/>
        <w:rPr>
          <w:szCs w:val="21"/>
        </w:rPr>
      </w:pPr>
      <w:r>
        <w:rPr>
          <w:rFonts w:hint="eastAsia"/>
          <w:szCs w:val="21"/>
        </w:rPr>
        <w:t>c.备品备件、专用工具和仪器应与附属设备同时装运，并明显标记，以便与提供的其它设备相区别。</w:t>
      </w:r>
    </w:p>
    <w:p w14:paraId="4313E21A">
      <w:pPr>
        <w:adjustRightInd w:val="0"/>
        <w:snapToGrid w:val="0"/>
        <w:spacing w:line="360" w:lineRule="auto"/>
        <w:ind w:firstLine="420" w:firstLineChars="200"/>
        <w:rPr>
          <w:rFonts w:hint="eastAsia" w:ascii="宋体" w:hAnsi="宋体" w:cs="宋体"/>
          <w:szCs w:val="21"/>
        </w:rPr>
      </w:pPr>
      <w:r>
        <w:rPr>
          <w:rFonts w:hint="eastAsia"/>
          <w:szCs w:val="21"/>
        </w:rPr>
        <w:t>d.</w:t>
      </w:r>
      <w:r>
        <w:rPr>
          <w:rFonts w:hint="eastAsia" w:ascii="宋体" w:hAnsi="宋体" w:cs="宋体"/>
          <w:szCs w:val="21"/>
        </w:rPr>
        <w:t>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14:paraId="6CD5CA72">
      <w:pPr>
        <w:adjustRightInd w:val="0"/>
        <w:snapToGrid w:val="0"/>
        <w:spacing w:line="360" w:lineRule="auto"/>
        <w:ind w:firstLine="420" w:firstLineChars="200"/>
        <w:rPr>
          <w:szCs w:val="21"/>
        </w:rPr>
      </w:pPr>
      <w:r>
        <w:rPr>
          <w:rFonts w:hint="eastAsia" w:ascii="宋体" w:hAnsi="宋体" w:cs="宋体"/>
          <w:szCs w:val="21"/>
        </w:rPr>
        <w:t>e.从投标方到用户方指定的目的地的运输由投标方负责。</w:t>
      </w:r>
    </w:p>
    <w:p w14:paraId="60C470CC">
      <w:pPr>
        <w:pStyle w:val="3"/>
        <w:keepNext w:val="0"/>
        <w:numPr>
          <w:ilvl w:val="255"/>
          <w:numId w:val="0"/>
        </w:numPr>
        <w:spacing w:before="0" w:after="0" w:line="360" w:lineRule="auto"/>
        <w:rPr>
          <w:rFonts w:hint="eastAsia" w:ascii="黑体" w:hAnsi="黑体" w:eastAsia="黑体"/>
          <w:szCs w:val="21"/>
        </w:rPr>
      </w:pPr>
      <w:bookmarkStart w:id="174" w:name="_Toc276490920"/>
      <w:bookmarkStart w:id="175" w:name="_Toc276492438"/>
      <w:bookmarkStart w:id="176" w:name="_Toc276301530"/>
      <w:bookmarkStart w:id="177" w:name="_Toc322681880"/>
      <w:bookmarkStart w:id="178" w:name="_Toc29575"/>
      <w:bookmarkStart w:id="179" w:name="_Toc222993083"/>
      <w:bookmarkStart w:id="180" w:name="_Toc19897"/>
      <w:bookmarkStart w:id="181" w:name="_Toc441508859"/>
      <w:bookmarkStart w:id="182" w:name="_Toc279695211"/>
      <w:bookmarkStart w:id="183" w:name="_Toc282433762"/>
      <w:bookmarkStart w:id="184" w:name="_Toc387609311"/>
      <w:bookmarkStart w:id="185" w:name="_Toc282993366"/>
      <w:bookmarkStart w:id="186" w:name="_Toc76025505"/>
      <w:bookmarkStart w:id="187" w:name="_Toc66780582"/>
      <w:r>
        <w:rPr>
          <w:rFonts w:ascii="黑体" w:hAnsi="黑体" w:eastAsia="黑体"/>
          <w:szCs w:val="21"/>
        </w:rPr>
        <w:t>9.3</w:t>
      </w:r>
      <w:r>
        <w:rPr>
          <w:rFonts w:hint="eastAsia" w:ascii="黑体" w:hAnsi="黑体" w:eastAsia="黑体"/>
          <w:szCs w:val="21"/>
        </w:rPr>
        <w:t xml:space="preserve"> 组装</w:t>
      </w:r>
      <w:bookmarkEnd w:id="174"/>
      <w:bookmarkEnd w:id="175"/>
      <w:bookmarkEnd w:id="176"/>
      <w:r>
        <w:rPr>
          <w:rFonts w:hint="eastAsia" w:ascii="黑体" w:hAnsi="黑体" w:eastAsia="黑体"/>
          <w:szCs w:val="21"/>
        </w:rPr>
        <w:t>指导</w:t>
      </w:r>
      <w:bookmarkEnd w:id="177"/>
      <w:bookmarkEnd w:id="178"/>
      <w:bookmarkEnd w:id="179"/>
      <w:bookmarkEnd w:id="180"/>
      <w:bookmarkEnd w:id="181"/>
      <w:bookmarkEnd w:id="182"/>
      <w:bookmarkEnd w:id="183"/>
      <w:bookmarkEnd w:id="184"/>
      <w:bookmarkEnd w:id="185"/>
      <w:bookmarkEnd w:id="186"/>
      <w:bookmarkEnd w:id="187"/>
    </w:p>
    <w:p w14:paraId="6B2825D6">
      <w:pPr>
        <w:adjustRightInd w:val="0"/>
        <w:snapToGrid w:val="0"/>
        <w:spacing w:line="360" w:lineRule="auto"/>
        <w:ind w:firstLine="420" w:firstLineChars="200"/>
        <w:rPr>
          <w:szCs w:val="21"/>
        </w:rPr>
      </w:pPr>
      <w:r>
        <w:rPr>
          <w:rFonts w:hint="eastAsia"/>
          <w:szCs w:val="21"/>
        </w:rPr>
        <w:t>制造厂在组装和初期（至少3个架次）使用时应安排技术人员提供现场组装指导服务，提出技术建议，并有对运行人员提供相关培训的义务。</w:t>
      </w:r>
    </w:p>
    <w:p w14:paraId="7E4079E0">
      <w:pPr>
        <w:pStyle w:val="3"/>
        <w:keepNext w:val="0"/>
        <w:numPr>
          <w:ilvl w:val="255"/>
          <w:numId w:val="0"/>
        </w:numPr>
        <w:spacing w:before="0" w:after="0" w:line="360" w:lineRule="auto"/>
        <w:rPr>
          <w:rFonts w:hint="eastAsia" w:ascii="黑体" w:hAnsi="黑体" w:eastAsia="黑体"/>
          <w:szCs w:val="21"/>
        </w:rPr>
      </w:pPr>
      <w:bookmarkStart w:id="188" w:name="_Toc76025506"/>
      <w:bookmarkStart w:id="189" w:name="_Toc282993367"/>
      <w:bookmarkStart w:id="190" w:name="_Toc282433763"/>
      <w:bookmarkStart w:id="191" w:name="_Toc3697"/>
      <w:bookmarkStart w:id="192" w:name="_Toc387609312"/>
      <w:bookmarkStart w:id="193" w:name="_Toc222993084"/>
      <w:bookmarkStart w:id="194" w:name="_Toc66780583"/>
      <w:bookmarkStart w:id="195" w:name="_Toc16709"/>
      <w:bookmarkStart w:id="196" w:name="_Toc441508860"/>
      <w:bookmarkStart w:id="197" w:name="_Toc322681881"/>
      <w:r>
        <w:rPr>
          <w:rFonts w:ascii="黑体" w:hAnsi="黑体" w:eastAsia="黑体"/>
          <w:szCs w:val="21"/>
        </w:rPr>
        <w:t>9.4</w:t>
      </w:r>
      <w:r>
        <w:rPr>
          <w:rFonts w:hint="eastAsia" w:ascii="黑体" w:hAnsi="黑体" w:eastAsia="黑体"/>
          <w:szCs w:val="21"/>
        </w:rPr>
        <w:t xml:space="preserve"> 质量保证</w:t>
      </w:r>
      <w:bookmarkEnd w:id="188"/>
      <w:bookmarkEnd w:id="189"/>
      <w:bookmarkEnd w:id="190"/>
      <w:bookmarkEnd w:id="191"/>
      <w:bookmarkEnd w:id="192"/>
      <w:bookmarkEnd w:id="193"/>
      <w:bookmarkEnd w:id="194"/>
      <w:bookmarkEnd w:id="195"/>
      <w:bookmarkEnd w:id="196"/>
      <w:bookmarkEnd w:id="197"/>
    </w:p>
    <w:p w14:paraId="0A907F63">
      <w:pPr>
        <w:adjustRightInd w:val="0"/>
        <w:snapToGrid w:val="0"/>
        <w:spacing w:line="360" w:lineRule="auto"/>
        <w:ind w:firstLine="420" w:firstLineChars="200"/>
        <w:rPr>
          <w:szCs w:val="21"/>
        </w:rPr>
      </w:pPr>
      <w:r>
        <w:rPr>
          <w:rFonts w:hint="eastAsia"/>
          <w:szCs w:val="21"/>
        </w:rPr>
        <w:t>1）全部设备必须是全新的， 持久耐用的，应满足作为一个完整产品所能满足的全部要求。投标方应保证设备在规定的使用条件下使用、并按使用说明书进行组装和维护，设备的预期寿命应不少于8年</w:t>
      </w:r>
      <w:r>
        <w:rPr>
          <w:szCs w:val="21"/>
        </w:rPr>
        <w:t>。</w:t>
      </w:r>
    </w:p>
    <w:p w14:paraId="6473B9ED">
      <w:pPr>
        <w:adjustRightInd w:val="0"/>
        <w:snapToGrid w:val="0"/>
        <w:spacing w:line="360" w:lineRule="auto"/>
        <w:ind w:firstLine="420" w:firstLineChars="200"/>
        <w:rPr>
          <w:szCs w:val="21"/>
        </w:rPr>
      </w:pPr>
      <w:r>
        <w:rPr>
          <w:rFonts w:hint="eastAsia"/>
          <w:szCs w:val="21"/>
        </w:rPr>
        <w:t>2）产品质保期为自对账单全部设备到货验收合格并移交之日起不短于正常运行一年内（供方承诺的质保期若长于上述时间，则按承诺时间执行）。质保期内所有零部件发生非人为原因损坏时，投标方负责免费维修或更换。之后如发生产品损坏，投标方应及时为本套系统提供维修部件和服务，并按最近的投标价提供。</w:t>
      </w:r>
    </w:p>
    <w:p w14:paraId="46B0A572">
      <w:pPr>
        <w:adjustRightInd w:val="0"/>
        <w:snapToGrid w:val="0"/>
        <w:spacing w:line="360" w:lineRule="auto"/>
        <w:ind w:firstLine="420" w:firstLineChars="200"/>
        <w:rPr>
          <w:szCs w:val="21"/>
        </w:rPr>
      </w:pPr>
      <w:r>
        <w:rPr>
          <w:rFonts w:hint="eastAsia"/>
          <w:szCs w:val="21"/>
        </w:rPr>
        <w:t>3）投标方应保证制造过程中的所有工艺、材料试验等</w:t>
      </w:r>
      <w:r>
        <w:rPr>
          <w:szCs w:val="21"/>
        </w:rPr>
        <w:t>（</w:t>
      </w:r>
      <w:r>
        <w:rPr>
          <w:rFonts w:hint="eastAsia"/>
          <w:szCs w:val="21"/>
        </w:rPr>
        <w:t>包括投标方的外购件在内</w:t>
      </w:r>
      <w:r>
        <w:rPr>
          <w:szCs w:val="21"/>
        </w:rPr>
        <w:t>）</w:t>
      </w:r>
      <w:r>
        <w:rPr>
          <w:rFonts w:hint="eastAsia"/>
          <w:szCs w:val="21"/>
        </w:rPr>
        <w:t>均应符合本标准的规定。若招标方根据使用经验指定投标方提供某种外购零部件</w:t>
      </w:r>
      <w:r>
        <w:rPr>
          <w:szCs w:val="21"/>
        </w:rPr>
        <w:t>，</w:t>
      </w:r>
      <w:r>
        <w:rPr>
          <w:rFonts w:hint="eastAsia"/>
          <w:szCs w:val="21"/>
        </w:rPr>
        <w:t>投标方应积极配合。</w:t>
      </w:r>
    </w:p>
    <w:p w14:paraId="01C7D2EC">
      <w:pPr>
        <w:adjustRightInd w:val="0"/>
        <w:snapToGrid w:val="0"/>
        <w:spacing w:line="360" w:lineRule="auto"/>
        <w:ind w:firstLine="420" w:firstLineChars="200"/>
        <w:rPr>
          <w:szCs w:val="21"/>
        </w:rPr>
      </w:pPr>
      <w:r>
        <w:rPr>
          <w:rFonts w:hint="eastAsia"/>
          <w:szCs w:val="21"/>
        </w:rPr>
        <w:t>4）附属及配套设备必须满足有关行业标准的要求</w:t>
      </w:r>
      <w:r>
        <w:rPr>
          <w:szCs w:val="21"/>
        </w:rPr>
        <w:t>，</w:t>
      </w:r>
      <w:r>
        <w:rPr>
          <w:rFonts w:hint="eastAsia"/>
          <w:szCs w:val="21"/>
        </w:rPr>
        <w:t>并提供试验报告和产品合格证。</w:t>
      </w:r>
    </w:p>
    <w:p w14:paraId="69F3464E">
      <w:pPr>
        <w:adjustRightInd w:val="0"/>
        <w:snapToGrid w:val="0"/>
        <w:spacing w:line="360" w:lineRule="auto"/>
        <w:ind w:firstLine="420" w:firstLineChars="200"/>
        <w:rPr>
          <w:szCs w:val="21"/>
        </w:rPr>
      </w:pPr>
      <w:r>
        <w:rPr>
          <w:rFonts w:hint="eastAsia" w:ascii="宋体" w:hAnsi="宋体" w:cs="宋体"/>
          <w:szCs w:val="21"/>
        </w:rPr>
        <w:t>投标方应根据国家标准和制造厂标准进行出厂试验，对其所供的设备进行全面的检查与试验，并提供出厂试验报告。</w:t>
      </w:r>
    </w:p>
    <w:p w14:paraId="34DCFC60">
      <w:pPr>
        <w:adjustRightInd w:val="0"/>
        <w:snapToGrid w:val="0"/>
        <w:spacing w:line="360" w:lineRule="auto"/>
        <w:ind w:firstLine="420" w:firstLineChars="200"/>
        <w:rPr>
          <w:szCs w:val="21"/>
        </w:rPr>
      </w:pPr>
      <w:r>
        <w:rPr>
          <w:rFonts w:hint="eastAsia"/>
          <w:szCs w:val="21"/>
        </w:rPr>
        <w:t>5）投标方应有遵守本标准中各条款和工作项目的</w:t>
      </w:r>
      <w:r>
        <w:rPr>
          <w:szCs w:val="21"/>
        </w:rPr>
        <w:t>ISO900</w:t>
      </w:r>
      <w:r>
        <w:rPr>
          <w:rFonts w:hint="eastAsia"/>
          <w:szCs w:val="21"/>
        </w:rPr>
        <w:t>0-</w:t>
      </w:r>
      <w:r>
        <w:rPr>
          <w:szCs w:val="21"/>
        </w:rPr>
        <w:t>GB/T1900</w:t>
      </w:r>
      <w:r>
        <w:rPr>
          <w:rFonts w:hint="eastAsia"/>
          <w:szCs w:val="21"/>
        </w:rPr>
        <w:t>0质量保证体系</w:t>
      </w:r>
      <w:r>
        <w:rPr>
          <w:szCs w:val="21"/>
        </w:rPr>
        <w:t xml:space="preserve">， </w:t>
      </w:r>
      <w:r>
        <w:rPr>
          <w:rFonts w:hint="eastAsia"/>
          <w:szCs w:val="21"/>
        </w:rPr>
        <w:t>该质量保证体系已经通过国家认证并在正常运转。</w:t>
      </w:r>
    </w:p>
    <w:p w14:paraId="1CCAB7C8">
      <w:pPr>
        <w:adjustRightInd w:val="0"/>
        <w:snapToGrid w:val="0"/>
        <w:spacing w:line="360" w:lineRule="auto"/>
        <w:ind w:firstLine="420" w:firstLineChars="200"/>
        <w:rPr>
          <w:szCs w:val="21"/>
        </w:rPr>
      </w:pPr>
      <w:r>
        <w:rPr>
          <w:rFonts w:hint="eastAsia"/>
          <w:szCs w:val="21"/>
        </w:rPr>
        <w:t>6）投标方所供的设备应可接入招标方机巡管理等相关系统进行实时定位监控，符合国家及招标方飞行动态数据管理、实时动态监控、安全管控、巡检航线任务执行等要求。</w:t>
      </w:r>
    </w:p>
    <w:p w14:paraId="27F94362">
      <w:pPr>
        <w:pStyle w:val="3"/>
        <w:rPr>
          <w:rFonts w:hint="eastAsia" w:ascii="黑体" w:hAnsi="黑体" w:eastAsia="黑体"/>
        </w:rPr>
      </w:pPr>
      <w:bookmarkStart w:id="198" w:name="_Toc21661"/>
      <w:bookmarkStart w:id="199" w:name="_Toc222993085"/>
      <w:bookmarkStart w:id="200" w:name="_Toc23887"/>
      <w:r>
        <w:rPr>
          <w:rFonts w:ascii="黑体" w:hAnsi="黑体" w:eastAsia="黑体"/>
        </w:rPr>
        <w:t xml:space="preserve">9.5 </w:t>
      </w:r>
      <w:r>
        <w:rPr>
          <w:rFonts w:hint="eastAsia" w:ascii="黑体" w:hAnsi="黑体" w:eastAsia="黑体"/>
        </w:rPr>
        <w:t>设备验收</w:t>
      </w:r>
      <w:bookmarkEnd w:id="198"/>
      <w:bookmarkEnd w:id="199"/>
      <w:bookmarkEnd w:id="200"/>
    </w:p>
    <w:p w14:paraId="209AC445">
      <w:pPr>
        <w:spacing w:line="360" w:lineRule="auto"/>
        <w:ind w:firstLine="420" w:firstLineChars="200"/>
        <w:jc w:val="left"/>
        <w:rPr>
          <w:rFonts w:hint="eastAsia" w:ascii="宋体" w:hAnsi="宋体" w:cs="宋体"/>
          <w:szCs w:val="21"/>
        </w:rPr>
      </w:pPr>
      <w:r>
        <w:rPr>
          <w:rFonts w:hint="eastAsia" w:ascii="宋体" w:hAnsi="宋体" w:cs="宋体"/>
          <w:szCs w:val="21"/>
        </w:rPr>
        <w:t>1）中标方应在合同规定时间内，将招标范围内所界定的工作完成，并将完整的成套设备及附件和技术文件通过双方认可的验收后，交付给采购的分子公司，其中包括：</w:t>
      </w:r>
    </w:p>
    <w:p w14:paraId="6C685159">
      <w:pPr>
        <w:spacing w:line="360" w:lineRule="auto"/>
        <w:ind w:firstLine="420" w:firstLineChars="200"/>
        <w:jc w:val="left"/>
        <w:rPr>
          <w:rFonts w:hint="eastAsia" w:ascii="宋体" w:hAnsi="宋体" w:cs="宋体"/>
          <w:szCs w:val="21"/>
        </w:rPr>
      </w:pPr>
      <w:r>
        <w:rPr>
          <w:rFonts w:hint="eastAsia" w:ascii="宋体" w:hAnsi="宋体" w:cs="宋体"/>
          <w:szCs w:val="21"/>
        </w:rPr>
        <w:t>a.满足本文件的项目目标和相应的技术要求、业务要求的完整的可最终良好运行的设备和附件；</w:t>
      </w:r>
    </w:p>
    <w:p w14:paraId="7905ABB4">
      <w:pPr>
        <w:spacing w:line="360" w:lineRule="auto"/>
        <w:ind w:left="630" w:leftChars="200" w:hanging="210" w:hangingChars="100"/>
        <w:jc w:val="left"/>
        <w:rPr>
          <w:rFonts w:hint="eastAsia" w:ascii="宋体" w:hAnsi="宋体" w:cs="宋体"/>
          <w:szCs w:val="21"/>
        </w:rPr>
      </w:pPr>
      <w:r>
        <w:rPr>
          <w:rFonts w:hint="eastAsia" w:ascii="宋体" w:hAnsi="宋体" w:cs="宋体"/>
          <w:szCs w:val="21"/>
        </w:rPr>
        <w:t>b.应包括但不限于满足确保设备正常运行所需的操作及维护有关的全套技术文件。</w:t>
      </w:r>
    </w:p>
    <w:p w14:paraId="699919A4">
      <w:pPr>
        <w:spacing w:line="20" w:lineRule="atLeast"/>
        <w:rPr>
          <w:sz w:val="2"/>
          <w:szCs w:val="2"/>
        </w:rPr>
      </w:pPr>
      <w:r>
        <w:rPr>
          <w:rFonts w:hint="eastAsia" w:ascii="宋体" w:hAnsi="宋体" w:cs="宋体"/>
          <w:szCs w:val="21"/>
        </w:rPr>
        <w:t>c.验收时若发现设备或附件存在由中标方造成的缺陷或不符合本技术条件要求时，中标方应无条件更换设备或附件。</w:t>
      </w:r>
    </w:p>
    <w:sectPr>
      <w:footerReference r:id="rId9" w:type="default"/>
      <w:pgSz w:w="11906" w:h="16838"/>
      <w:pgMar w:top="1418" w:right="1418" w:bottom="1418"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ˎ̥">
    <w:altName w:val="宋体"/>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长城仿宋">
    <w:altName w:val="宋体"/>
    <w:panose1 w:val="00000000000000000000"/>
    <w:charset w:val="86"/>
    <w:family w:val="modern"/>
    <w:pitch w:val="default"/>
    <w:sig w:usb0="00000000" w:usb1="00000000" w:usb2="00000010" w:usb3="00000000" w:csb0="00040000"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Arial Narrow">
    <w:altName w:val="Arial"/>
    <w:panose1 w:val="020B0606020202030204"/>
    <w:charset w:val="00"/>
    <w:family w:val="swiss"/>
    <w:pitch w:val="default"/>
    <w:sig w:usb0="00000000" w:usb1="00000000" w:usb2="00000000" w:usb3="00000000" w:csb0="0000009F" w:csb1="00000000"/>
  </w:font>
  <w:font w:name="E-F1">
    <w:altName w:val="Malgun Gothic"/>
    <w:panose1 w:val="00000000000000000000"/>
    <w:charset w:val="81"/>
    <w:family w:val="modern"/>
    <w:pitch w:val="default"/>
    <w:sig w:usb0="00000000" w:usb1="00000000" w:usb2="00000033" w:usb3="00000000" w:csb0="00080000" w:csb1="00000000"/>
  </w:font>
  <w:font w:name="EU-F1">
    <w:altName w:val="宋体"/>
    <w:panose1 w:val="00000000000000000000"/>
    <w:charset w:val="86"/>
    <w:family w:val="auto"/>
    <w:pitch w:val="default"/>
    <w:sig w:usb0="00000000" w:usb1="00000000" w:usb2="00000010" w:usb3="00000000" w:csb0="00040000" w:csb1="00000000"/>
  </w:font>
  <w:font w:name="方正书宋简体">
    <w:altName w:val="宋体"/>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98E25">
    <w:pPr>
      <w:pStyle w:val="36"/>
      <w:jc w:val="center"/>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１</w:t>
    </w:r>
    <w:r>
      <w:rPr>
        <w:rFonts w:ascii="宋体" w:hAnsi="宋体"/>
      </w:rPr>
      <w:fldChar w:fldCharType="end"/>
    </w:r>
  </w:p>
  <w:p w14:paraId="201EE16F">
    <w:pPr>
      <w:pStyle w:val="3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5F7D8">
    <w:pPr>
      <w:pStyle w:val="36"/>
      <w:framePr w:wrap="around" w:vAnchor="text" w:hAnchor="margin" w:xAlign="right" w:y="1"/>
      <w:rPr>
        <w:rStyle w:val="62"/>
      </w:rPr>
    </w:pPr>
    <w:r>
      <w:rPr>
        <w:rStyle w:val="62"/>
      </w:rPr>
      <w:fldChar w:fldCharType="begin"/>
    </w:r>
    <w:r>
      <w:rPr>
        <w:rStyle w:val="62"/>
      </w:rPr>
      <w:instrText xml:space="preserve">PAGE  </w:instrText>
    </w:r>
    <w:r>
      <w:rPr>
        <w:rStyle w:val="62"/>
      </w:rPr>
      <w:fldChar w:fldCharType="separate"/>
    </w:r>
    <w:r>
      <w:rPr>
        <w:rStyle w:val="62"/>
      </w:rPr>
      <w:t>2</w:t>
    </w:r>
    <w:r>
      <w:rPr>
        <w:rStyle w:val="62"/>
      </w:rPr>
      <w:fldChar w:fldCharType="end"/>
    </w:r>
  </w:p>
  <w:p w14:paraId="0461DC75">
    <w:pPr>
      <w:pStyle w:val="3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72E2D">
    <w:pPr>
      <w:pStyle w:val="36"/>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14:paraId="5BB34BF0">
    <w:pPr>
      <w:pStyle w:val="36"/>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6168693"/>
    </w:sdtPr>
    <w:sdtContent>
      <w:p w14:paraId="486AC040">
        <w:pPr>
          <w:pStyle w:val="36"/>
          <w:jc w:val="center"/>
        </w:pPr>
        <w:r>
          <w:fldChar w:fldCharType="begin"/>
        </w:r>
        <w:r>
          <w:instrText xml:space="preserve">PAGE   \* MERGEFORMAT</w:instrText>
        </w:r>
        <w:r>
          <w:fldChar w:fldCharType="separate"/>
        </w:r>
        <w:r>
          <w:rPr>
            <w:lang w:val="zh-CN"/>
          </w:rPr>
          <w:t>6</w:t>
        </w:r>
        <w:r>
          <w:fldChar w:fldCharType="end"/>
        </w:r>
      </w:p>
    </w:sdtContent>
  </w:sdt>
  <w:p w14:paraId="425E264D">
    <w:pPr>
      <w:pStyle w:val="3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837DB">
    <w:pPr>
      <w:pStyle w:val="37"/>
      <w:outlineLvl w:val="8"/>
    </w:pPr>
    <w:r>
      <w:rPr>
        <w:rFonts w:hint="eastAsia"/>
      </w:rPr>
      <w:t>重载无人机技术规范书（通用部分）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92D73">
    <w:r>
      <w:rPr>
        <w:rFonts w:hAnsi="宋体"/>
        <w:bCs/>
        <w:szCs w:val="21"/>
      </w:rPr>
      <w:t>Q/GD1 1130.12-2009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F4C21">
    <w:pPr>
      <w:pStyle w:val="37"/>
    </w:pPr>
    <w:r>
      <w:rPr>
        <w:rFonts w:hint="eastAsia"/>
      </w:rPr>
      <w:t>重载无人机技术规范书（通用部分）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D32518"/>
    <w:multiLevelType w:val="singleLevel"/>
    <w:tmpl w:val="D1D32518"/>
    <w:lvl w:ilvl="0" w:tentative="0">
      <w:start w:val="1"/>
      <w:numFmt w:val="lowerLetter"/>
      <w:lvlText w:val="%1）"/>
      <w:lvlJc w:val="left"/>
    </w:lvl>
  </w:abstractNum>
  <w:abstractNum w:abstractNumId="1">
    <w:nsid w:val="FFFFFF7F"/>
    <w:multiLevelType w:val="singleLevel"/>
    <w:tmpl w:val="FFFFFF7F"/>
    <w:lvl w:ilvl="0" w:tentative="0">
      <w:start w:val="1"/>
      <w:numFmt w:val="decimal"/>
      <w:pStyle w:val="12"/>
      <w:lvlText w:val="%1."/>
      <w:lvlJc w:val="left"/>
      <w:pPr>
        <w:tabs>
          <w:tab w:val="left" w:pos="780"/>
        </w:tabs>
        <w:ind w:left="780" w:leftChars="200" w:hanging="360" w:hangingChars="200"/>
      </w:pPr>
    </w:lvl>
  </w:abstractNum>
  <w:abstractNum w:abstractNumId="2">
    <w:nsid w:val="FFFFFF88"/>
    <w:multiLevelType w:val="singleLevel"/>
    <w:tmpl w:val="FFFFFF88"/>
    <w:lvl w:ilvl="0" w:tentative="0">
      <w:start w:val="1"/>
      <w:numFmt w:val="decimal"/>
      <w:pStyle w:val="15"/>
      <w:lvlText w:val="%1."/>
      <w:lvlJc w:val="left"/>
      <w:pPr>
        <w:tabs>
          <w:tab w:val="left" w:pos="3763"/>
        </w:tabs>
        <w:ind w:left="3763" w:hanging="360" w:hangingChars="200"/>
      </w:pPr>
    </w:lvl>
  </w:abstractNum>
  <w:abstractNum w:abstractNumId="3">
    <w:nsid w:val="FFFFFF89"/>
    <w:multiLevelType w:val="singleLevel"/>
    <w:tmpl w:val="FFFFFF89"/>
    <w:lvl w:ilvl="0" w:tentative="0">
      <w:start w:val="1"/>
      <w:numFmt w:val="bullet"/>
      <w:pStyle w:val="19"/>
      <w:lvlText w:val=""/>
      <w:lvlJc w:val="left"/>
      <w:pPr>
        <w:tabs>
          <w:tab w:val="left" w:pos="360"/>
        </w:tabs>
        <w:ind w:left="360" w:hanging="360"/>
      </w:pPr>
      <w:rPr>
        <w:rFonts w:hint="default" w:ascii="Wingdings" w:hAnsi="Wingdings"/>
      </w:rPr>
    </w:lvl>
  </w:abstractNum>
  <w:abstractNum w:abstractNumId="4">
    <w:nsid w:val="0000000F"/>
    <w:multiLevelType w:val="multilevel"/>
    <w:tmpl w:val="0000000F"/>
    <w:lvl w:ilvl="0" w:tentative="0">
      <w:start w:val="1"/>
      <w:numFmt w:val="none"/>
      <w:pStyle w:val="448"/>
      <w:lvlText w:val="表"/>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14"/>
    <w:multiLevelType w:val="multilevel"/>
    <w:tmpl w:val="00000014"/>
    <w:lvl w:ilvl="0" w:tentative="0">
      <w:start w:val="1"/>
      <w:numFmt w:val="decimal"/>
      <w:lvlText w:val="%1)"/>
      <w:lvlJc w:val="left"/>
      <w:pPr>
        <w:tabs>
          <w:tab w:val="left" w:pos="900"/>
        </w:tabs>
        <w:ind w:left="900" w:hanging="420"/>
      </w:pPr>
      <w:rPr>
        <w:sz w:val="18"/>
        <w:szCs w:val="18"/>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6">
    <w:nsid w:val="00000015"/>
    <w:multiLevelType w:val="multilevel"/>
    <w:tmpl w:val="00000015"/>
    <w:lvl w:ilvl="0" w:tentative="0">
      <w:start w:val="1"/>
      <w:numFmt w:val="decimal"/>
      <w:lvlText w:val="%1"/>
      <w:lvlJc w:val="left"/>
      <w:pPr>
        <w:ind w:left="425" w:hanging="425"/>
      </w:pPr>
      <w:rPr>
        <w:rFonts w:hint="eastAsia"/>
        <w:sz w:val="21"/>
        <w:szCs w:val="21"/>
      </w:rPr>
    </w:lvl>
    <w:lvl w:ilvl="1" w:tentative="0">
      <w:start w:val="1"/>
      <w:numFmt w:val="decimal"/>
      <w:pStyle w:val="452"/>
      <w:lvlText w:val="%1.%2"/>
      <w:lvlJc w:val="left"/>
      <w:pPr>
        <w:ind w:left="567" w:hanging="425"/>
      </w:pPr>
      <w:rPr>
        <w:rFonts w:hint="eastAsia"/>
        <w:sz w:val="21"/>
        <w:szCs w:val="21"/>
      </w:rPr>
    </w:lvl>
    <w:lvl w:ilvl="2" w:tentative="0">
      <w:start w:val="1"/>
      <w:numFmt w:val="decimal"/>
      <w:lvlText w:val="%1.%2.%3"/>
      <w:lvlJc w:val="left"/>
      <w:pPr>
        <w:ind w:left="851" w:hanging="851"/>
      </w:pPr>
      <w:rPr>
        <w:rFonts w:hint="eastAsia"/>
        <w:sz w:val="21"/>
        <w:szCs w:val="21"/>
      </w:rPr>
    </w:lvl>
    <w:lvl w:ilvl="3" w:tentative="0">
      <w:start w:val="1"/>
      <w:numFmt w:val="decimal"/>
      <w:lvlText w:val="%1.%2.%3.%4"/>
      <w:lvlJc w:val="left"/>
      <w:pPr>
        <w:ind w:left="1276" w:hanging="1276"/>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02B339D0"/>
    <w:multiLevelType w:val="multilevel"/>
    <w:tmpl w:val="02B339D0"/>
    <w:lvl w:ilvl="0" w:tentative="0">
      <w:start w:val="1"/>
      <w:numFmt w:val="decimal"/>
      <w:lvlText w:val="%1."/>
      <w:lvlJc w:val="left"/>
      <w:pPr>
        <w:tabs>
          <w:tab w:val="left" w:pos="795"/>
        </w:tabs>
        <w:ind w:left="795" w:hanging="795"/>
      </w:pPr>
      <w:rPr>
        <w:rFonts w:hint="default"/>
      </w:rPr>
    </w:lvl>
    <w:lvl w:ilvl="1" w:tentative="0">
      <w:start w:val="1"/>
      <w:numFmt w:val="bullet"/>
      <w:pStyle w:val="241"/>
      <w:lvlText w:val=""/>
      <w:lvlJc w:val="left"/>
      <w:pPr>
        <w:tabs>
          <w:tab w:val="left" w:pos="840"/>
        </w:tabs>
        <w:ind w:left="840" w:hanging="360"/>
      </w:pPr>
      <w:rPr>
        <w:rFonts w:hint="default" w:ascii="Symbol" w:hAnsi="Symbol" w:cs="Symbol"/>
        <w:color w:val="auto"/>
      </w:rPr>
    </w:lvl>
    <w:lvl w:ilvl="2" w:tentative="0">
      <w:start w:val="1"/>
      <w:numFmt w:val="decimal"/>
      <w:lvlText w:val="%1.%2.%3."/>
      <w:lvlJc w:val="left"/>
      <w:pPr>
        <w:tabs>
          <w:tab w:val="left" w:pos="1755"/>
        </w:tabs>
        <w:ind w:left="1755" w:hanging="795"/>
      </w:pPr>
      <w:rPr>
        <w:rFonts w:hint="default"/>
      </w:rPr>
    </w:lvl>
    <w:lvl w:ilvl="3" w:tentative="0">
      <w:start w:val="1"/>
      <w:numFmt w:val="decimal"/>
      <w:lvlText w:val="%1.%2.%3.%4."/>
      <w:lvlJc w:val="left"/>
      <w:pPr>
        <w:tabs>
          <w:tab w:val="left" w:pos="2520"/>
        </w:tabs>
        <w:ind w:left="2520" w:hanging="1080"/>
      </w:pPr>
      <w:rPr>
        <w:rFonts w:hint="default"/>
      </w:rPr>
    </w:lvl>
    <w:lvl w:ilvl="4" w:tentative="0">
      <w:start w:val="1"/>
      <w:numFmt w:val="decimal"/>
      <w:lvlText w:val="%1.%2.%3.%4.%5."/>
      <w:lvlJc w:val="left"/>
      <w:pPr>
        <w:tabs>
          <w:tab w:val="left" w:pos="3000"/>
        </w:tabs>
        <w:ind w:left="3000" w:hanging="1080"/>
      </w:pPr>
      <w:rPr>
        <w:rFonts w:hint="default"/>
      </w:rPr>
    </w:lvl>
    <w:lvl w:ilvl="5" w:tentative="0">
      <w:start w:val="1"/>
      <w:numFmt w:val="decimal"/>
      <w:lvlText w:val="%1.%2.%3.%4.%5.%6."/>
      <w:lvlJc w:val="left"/>
      <w:pPr>
        <w:tabs>
          <w:tab w:val="left" w:pos="3840"/>
        </w:tabs>
        <w:ind w:left="3840" w:hanging="1440"/>
      </w:pPr>
      <w:rPr>
        <w:rFonts w:hint="default"/>
      </w:rPr>
    </w:lvl>
    <w:lvl w:ilvl="6" w:tentative="0">
      <w:start w:val="1"/>
      <w:numFmt w:val="decimal"/>
      <w:lvlText w:val="%1.%2.%3.%4.%5.%6.%7."/>
      <w:lvlJc w:val="left"/>
      <w:pPr>
        <w:tabs>
          <w:tab w:val="left" w:pos="4320"/>
        </w:tabs>
        <w:ind w:left="4320" w:hanging="1440"/>
      </w:pPr>
      <w:rPr>
        <w:rFonts w:hint="default"/>
      </w:rPr>
    </w:lvl>
    <w:lvl w:ilvl="7" w:tentative="0">
      <w:start w:val="1"/>
      <w:numFmt w:val="decimal"/>
      <w:lvlText w:val="%1.%2.%3.%4.%5.%6.%7.%8."/>
      <w:lvlJc w:val="left"/>
      <w:pPr>
        <w:tabs>
          <w:tab w:val="left" w:pos="5160"/>
        </w:tabs>
        <w:ind w:left="5160" w:hanging="1800"/>
      </w:pPr>
      <w:rPr>
        <w:rFonts w:hint="default"/>
      </w:rPr>
    </w:lvl>
    <w:lvl w:ilvl="8" w:tentative="0">
      <w:start w:val="1"/>
      <w:numFmt w:val="decimal"/>
      <w:lvlText w:val="%1.%2.%3.%4.%5.%6.%7.%8.%9."/>
      <w:lvlJc w:val="left"/>
      <w:pPr>
        <w:tabs>
          <w:tab w:val="left" w:pos="6000"/>
        </w:tabs>
        <w:ind w:left="6000" w:hanging="2160"/>
      </w:pPr>
      <w:rPr>
        <w:rFonts w:hint="default"/>
      </w:rPr>
    </w:lvl>
  </w:abstractNum>
  <w:abstractNum w:abstractNumId="8">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60"/>
      <w:suff w:val="nothing"/>
      <w:lvlText w:val="%1%2.%3　"/>
      <w:lvlJc w:val="left"/>
      <w:pPr>
        <w:ind w:left="0" w:firstLine="0"/>
      </w:pPr>
      <w:rPr>
        <w:rFonts w:hint="eastAsia" w:ascii="黑体" w:hAnsi="Times New Roman" w:eastAsia="黑体"/>
        <w:b w:val="0"/>
        <w:i w:val="0"/>
        <w:sz w:val="21"/>
      </w:rPr>
    </w:lvl>
    <w:lvl w:ilvl="3" w:tentative="0">
      <w:start w:val="1"/>
      <w:numFmt w:val="decimal"/>
      <w:pStyle w:val="256"/>
      <w:suff w:val="nothing"/>
      <w:lvlText w:val="%1%2.%3.%4　"/>
      <w:lvlJc w:val="left"/>
      <w:pPr>
        <w:ind w:left="0" w:firstLine="0"/>
      </w:pPr>
      <w:rPr>
        <w:rFonts w:hint="eastAsia" w:ascii="黑体" w:hAnsi="Times New Roman" w:eastAsia="黑体"/>
        <w:b w:val="0"/>
        <w:i w:val="0"/>
        <w:sz w:val="21"/>
      </w:rPr>
    </w:lvl>
    <w:lvl w:ilvl="4" w:tentative="0">
      <w:start w:val="1"/>
      <w:numFmt w:val="decimal"/>
      <w:pStyle w:val="257"/>
      <w:suff w:val="nothing"/>
      <w:lvlText w:val="%1%2.%3.%4.%5　"/>
      <w:lvlJc w:val="left"/>
      <w:pPr>
        <w:ind w:left="0" w:firstLine="0"/>
      </w:pPr>
      <w:rPr>
        <w:rFonts w:hint="eastAsia" w:ascii="黑体" w:hAnsi="Times New Roman" w:eastAsia="黑体"/>
        <w:b w:val="0"/>
        <w:i w:val="0"/>
        <w:sz w:val="21"/>
      </w:rPr>
    </w:lvl>
    <w:lvl w:ilvl="5" w:tentative="0">
      <w:start w:val="1"/>
      <w:numFmt w:val="decimal"/>
      <w:pStyle w:val="258"/>
      <w:suff w:val="nothing"/>
      <w:lvlText w:val="%1%2.%3.%4.%5.%6　"/>
      <w:lvlJc w:val="left"/>
      <w:pPr>
        <w:ind w:left="0" w:firstLine="0"/>
      </w:pPr>
      <w:rPr>
        <w:rFonts w:hint="eastAsia" w:ascii="黑体" w:hAnsi="Times New Roman" w:eastAsia="黑体"/>
        <w:b w:val="0"/>
        <w:i w:val="0"/>
        <w:sz w:val="21"/>
      </w:rPr>
    </w:lvl>
    <w:lvl w:ilvl="6" w:tentative="0">
      <w:start w:val="1"/>
      <w:numFmt w:val="decimal"/>
      <w:pStyle w:val="25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079102AD"/>
    <w:multiLevelType w:val="multilevel"/>
    <w:tmpl w:val="079102AD"/>
    <w:lvl w:ilvl="0" w:tentative="0">
      <w:start w:val="1"/>
      <w:numFmt w:val="decimal"/>
      <w:pStyle w:val="15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0">
    <w:nsid w:val="093C6778"/>
    <w:multiLevelType w:val="multilevel"/>
    <w:tmpl w:val="093C6778"/>
    <w:lvl w:ilvl="0" w:tentative="0">
      <w:start w:val="1"/>
      <w:numFmt w:val="decimal"/>
      <w:pStyle w:val="210"/>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
    <w:nsid w:val="0AE367E9"/>
    <w:multiLevelType w:val="multilevel"/>
    <w:tmpl w:val="0AE367E9"/>
    <w:lvl w:ilvl="0" w:tentative="0">
      <w:start w:val="1"/>
      <w:numFmt w:val="none"/>
      <w:pStyle w:val="14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2">
    <w:nsid w:val="12CD65E8"/>
    <w:multiLevelType w:val="multilevel"/>
    <w:tmpl w:val="12CD65E8"/>
    <w:lvl w:ilvl="0" w:tentative="0">
      <w:start w:val="1"/>
      <w:numFmt w:val="decimal"/>
      <w:pStyle w:val="366"/>
      <w:lvlText w:val="5.%1"/>
      <w:lvlJc w:val="left"/>
      <w:pPr>
        <w:tabs>
          <w:tab w:val="left" w:pos="425"/>
        </w:tabs>
        <w:ind w:left="425" w:hanging="425"/>
      </w:pPr>
      <w:rPr>
        <w:rFonts w:hint="default" w:ascii="Arial" w:hAnsi="Arial" w:cs="Times New Roman"/>
      </w:rPr>
    </w:lvl>
    <w:lvl w:ilvl="1" w:tentative="0">
      <w:start w:val="1"/>
      <w:numFmt w:val="decimal"/>
      <w:lvlRestart w:val="0"/>
      <w:lvlText w:val="2.%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3">
    <w:nsid w:val="1B652225"/>
    <w:multiLevelType w:val="multilevel"/>
    <w:tmpl w:val="1B652225"/>
    <w:lvl w:ilvl="0" w:tentative="0">
      <w:start w:val="1"/>
      <w:numFmt w:val="decimal"/>
      <w:lvlText w:val="%1"/>
      <w:lvlJc w:val="left"/>
      <w:pPr>
        <w:tabs>
          <w:tab w:val="left" w:pos="708"/>
        </w:tabs>
        <w:ind w:left="708" w:hanging="425"/>
      </w:pPr>
      <w:rPr>
        <w:rFonts w:hint="default" w:ascii="Times New Roman" w:hAnsi="Times New Roman" w:cs="Times New Roman"/>
      </w:rPr>
    </w:lvl>
    <w:lvl w:ilvl="1" w:tentative="0">
      <w:start w:val="1"/>
      <w:numFmt w:val="decimal"/>
      <w:pStyle w:val="249"/>
      <w:lvlText w:val="%1.%2"/>
      <w:lvlJc w:val="left"/>
      <w:pPr>
        <w:tabs>
          <w:tab w:val="left" w:pos="1275"/>
        </w:tabs>
        <w:ind w:left="1275" w:hanging="567"/>
      </w:pPr>
      <w:rPr>
        <w:rFonts w:hint="default" w:ascii="Times New Roman" w:hAnsi="Times New Roman" w:cs="Times New Roman"/>
      </w:rPr>
    </w:lvl>
    <w:lvl w:ilvl="2" w:tentative="0">
      <w:start w:val="1"/>
      <w:numFmt w:val="decimal"/>
      <w:lvlText w:val="%1.%2.%3"/>
      <w:lvlJc w:val="left"/>
      <w:pPr>
        <w:tabs>
          <w:tab w:val="left" w:pos="1854"/>
        </w:tabs>
        <w:ind w:left="1701" w:hanging="567"/>
      </w:pPr>
      <w:rPr>
        <w:rFonts w:hint="default" w:ascii="Times New Roman" w:hAnsi="Times New Roman" w:cs="Times New Roman"/>
      </w:rPr>
    </w:lvl>
    <w:lvl w:ilvl="3" w:tentative="0">
      <w:start w:val="1"/>
      <w:numFmt w:val="decimal"/>
      <w:lvlText w:val="%1.%2.%3.%4"/>
      <w:lvlJc w:val="left"/>
      <w:pPr>
        <w:tabs>
          <w:tab w:val="left" w:pos="2639"/>
        </w:tabs>
        <w:ind w:left="2267" w:hanging="708"/>
      </w:pPr>
    </w:lvl>
    <w:lvl w:ilvl="4" w:tentative="0">
      <w:start w:val="1"/>
      <w:numFmt w:val="decimal"/>
      <w:lvlText w:val="%1.%2.%3.%4.%5"/>
      <w:lvlJc w:val="left"/>
      <w:pPr>
        <w:tabs>
          <w:tab w:val="left" w:pos="3064"/>
        </w:tabs>
        <w:ind w:left="2834" w:hanging="850"/>
      </w:pPr>
    </w:lvl>
    <w:lvl w:ilvl="5" w:tentative="0">
      <w:start w:val="1"/>
      <w:numFmt w:val="decimal"/>
      <w:lvlText w:val="%1.%2.%3.%4.%5.%6"/>
      <w:lvlJc w:val="left"/>
      <w:pPr>
        <w:tabs>
          <w:tab w:val="left" w:pos="3849"/>
        </w:tabs>
        <w:ind w:left="3543" w:hanging="1134"/>
      </w:pPr>
    </w:lvl>
    <w:lvl w:ilvl="6" w:tentative="0">
      <w:start w:val="1"/>
      <w:numFmt w:val="decimal"/>
      <w:lvlText w:val="%1.%2.%3.%4.%5.%6.%7"/>
      <w:lvlJc w:val="left"/>
      <w:pPr>
        <w:tabs>
          <w:tab w:val="left" w:pos="4634"/>
        </w:tabs>
        <w:ind w:left="4110" w:hanging="1276"/>
      </w:pPr>
    </w:lvl>
    <w:lvl w:ilvl="7" w:tentative="0">
      <w:start w:val="1"/>
      <w:numFmt w:val="decimal"/>
      <w:lvlText w:val="%1.%2.%3.%4.%5.%6.%7.%8"/>
      <w:lvlJc w:val="left"/>
      <w:pPr>
        <w:tabs>
          <w:tab w:val="left" w:pos="5059"/>
        </w:tabs>
        <w:ind w:left="4677" w:hanging="1418"/>
      </w:pPr>
    </w:lvl>
    <w:lvl w:ilvl="8" w:tentative="0">
      <w:start w:val="1"/>
      <w:numFmt w:val="decimal"/>
      <w:lvlText w:val="%1.%2.%3.%4.%5.%6.%7.%8.%9"/>
      <w:lvlJc w:val="left"/>
      <w:pPr>
        <w:tabs>
          <w:tab w:val="left" w:pos="5845"/>
        </w:tabs>
        <w:ind w:left="5385" w:hanging="1700"/>
      </w:pPr>
    </w:lvl>
  </w:abstractNum>
  <w:abstractNum w:abstractNumId="14">
    <w:nsid w:val="1DBF583A"/>
    <w:multiLevelType w:val="multilevel"/>
    <w:tmpl w:val="1DBF583A"/>
    <w:lvl w:ilvl="0" w:tentative="0">
      <w:start w:val="1"/>
      <w:numFmt w:val="decimal"/>
      <w:pStyle w:val="16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5">
    <w:nsid w:val="1E7515B2"/>
    <w:multiLevelType w:val="multilevel"/>
    <w:tmpl w:val="1E7515B2"/>
    <w:lvl w:ilvl="0" w:tentative="0">
      <w:start w:val="1"/>
      <w:numFmt w:val="lowerLetter"/>
      <w:pStyle w:val="36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6">
    <w:nsid w:val="1FE246FA"/>
    <w:multiLevelType w:val="multilevel"/>
    <w:tmpl w:val="1FE246FA"/>
    <w:lvl w:ilvl="0" w:tentative="0">
      <w:start w:val="1"/>
      <w:numFmt w:val="lowerLetter"/>
      <w:pStyle w:val="158"/>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2A8F7113"/>
    <w:multiLevelType w:val="multilevel"/>
    <w:tmpl w:val="2A8F7113"/>
    <w:lvl w:ilvl="0" w:tentative="0">
      <w:start w:val="1"/>
      <w:numFmt w:val="upperLetter"/>
      <w:pStyle w:val="190"/>
      <w:suff w:val="space"/>
      <w:lvlText w:val="%1"/>
      <w:lvlJc w:val="left"/>
      <w:pPr>
        <w:ind w:left="623" w:hanging="425"/>
      </w:pPr>
      <w:rPr>
        <w:rFonts w:hint="eastAsia"/>
      </w:rPr>
    </w:lvl>
    <w:lvl w:ilvl="1" w:tentative="0">
      <w:start w:val="1"/>
      <w:numFmt w:val="decimal"/>
      <w:pStyle w:val="191"/>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8">
    <w:nsid w:val="2C5917C3"/>
    <w:multiLevelType w:val="multilevel"/>
    <w:tmpl w:val="2C5917C3"/>
    <w:lvl w:ilvl="0" w:tentative="0">
      <w:start w:val="1"/>
      <w:numFmt w:val="none"/>
      <w:pStyle w:val="146"/>
      <w:suff w:val="nothing"/>
      <w:lvlText w:val="%1——"/>
      <w:lvlJc w:val="left"/>
      <w:pPr>
        <w:ind w:left="833" w:hanging="408"/>
      </w:pPr>
      <w:rPr>
        <w:rFonts w:hint="eastAsia"/>
      </w:rPr>
    </w:lvl>
    <w:lvl w:ilvl="1" w:tentative="0">
      <w:start w:val="1"/>
      <w:numFmt w:val="bullet"/>
      <w:pStyle w:val="147"/>
      <w:lvlText w:val=""/>
      <w:lvlJc w:val="left"/>
      <w:pPr>
        <w:tabs>
          <w:tab w:val="left" w:pos="760"/>
        </w:tabs>
        <w:ind w:left="1264" w:hanging="413"/>
      </w:pPr>
      <w:rPr>
        <w:rFonts w:hint="default" w:ascii="Symbol" w:hAnsi="Symbol"/>
        <w:color w:val="auto"/>
      </w:rPr>
    </w:lvl>
    <w:lvl w:ilvl="2" w:tentative="0">
      <w:start w:val="1"/>
      <w:numFmt w:val="bullet"/>
      <w:pStyle w:val="15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9">
    <w:nsid w:val="38862E23"/>
    <w:multiLevelType w:val="multilevel"/>
    <w:tmpl w:val="38862E23"/>
    <w:lvl w:ilvl="0" w:tentative="0">
      <w:start w:val="1"/>
      <w:numFmt w:val="decimal"/>
      <w:pStyle w:val="364"/>
      <w:lvlText w:val="1.%1"/>
      <w:lvlJc w:val="left"/>
      <w:pPr>
        <w:tabs>
          <w:tab w:val="left" w:pos="425"/>
        </w:tabs>
        <w:ind w:left="425" w:hanging="425"/>
      </w:pPr>
      <w:rPr>
        <w:rFonts w:hint="default" w:ascii="Arial" w:hAnsi="Arial" w:cs="Times New Roman"/>
      </w:rPr>
    </w:lvl>
    <w:lvl w:ilvl="1" w:tentative="0">
      <w:start w:val="1"/>
      <w:numFmt w:val="decimal"/>
      <w:lvlRestart w:val="0"/>
      <w:lvlText w:val="%1.%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0">
    <w:nsid w:val="390B2C3D"/>
    <w:multiLevelType w:val="multilevel"/>
    <w:tmpl w:val="390B2C3D"/>
    <w:lvl w:ilvl="0" w:tentative="0">
      <w:start w:val="1"/>
      <w:numFmt w:val="lowerLetter"/>
      <w:pStyle w:val="344"/>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1">
    <w:nsid w:val="3D733618"/>
    <w:multiLevelType w:val="multilevel"/>
    <w:tmpl w:val="3D733618"/>
    <w:lvl w:ilvl="0" w:tentative="0">
      <w:start w:val="1"/>
      <w:numFmt w:val="decimal"/>
      <w:pStyle w:val="4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2">
    <w:nsid w:val="407E65F9"/>
    <w:multiLevelType w:val="multilevel"/>
    <w:tmpl w:val="407E65F9"/>
    <w:lvl w:ilvl="0" w:tentative="0">
      <w:start w:val="1"/>
      <w:numFmt w:val="none"/>
      <w:pStyle w:val="310"/>
      <w:lvlText w:val="%1·　"/>
      <w:lvlJc w:val="left"/>
      <w:pPr>
        <w:tabs>
          <w:tab w:val="left" w:pos="2715"/>
        </w:tabs>
        <w:ind w:left="2312" w:hanging="317"/>
      </w:pPr>
      <w:rPr>
        <w:rFonts w:hint="eastAsia" w:ascii="宋体" w:hAnsi="Times New Roman" w:eastAsia="宋体"/>
        <w:b w:val="0"/>
        <w:i w:val="0"/>
        <w:sz w:val="21"/>
      </w:rPr>
    </w:lvl>
    <w:lvl w:ilvl="1" w:tentative="0">
      <w:start w:val="1"/>
      <w:numFmt w:val="lowerLetter"/>
      <w:lvlRestart w:val="0"/>
      <w:lvlText w:val="%2)"/>
      <w:lvlJc w:val="left"/>
      <w:pPr>
        <w:tabs>
          <w:tab w:val="left" w:pos="839"/>
        </w:tabs>
        <w:ind w:left="839" w:hanging="419"/>
      </w:pPr>
      <w:rPr>
        <w:b w:val="0"/>
        <w:i w:val="0"/>
        <w:sz w:val="21"/>
      </w:rPr>
    </w:lvl>
    <w:lvl w:ilvl="2" w:tentative="0">
      <w:start w:val="1"/>
      <w:numFmt w:val="lowerLetter"/>
      <w:lvlRestart w:val="0"/>
      <w:lvlText w:val="%3)"/>
      <w:lvlJc w:val="left"/>
      <w:pPr>
        <w:tabs>
          <w:tab w:val="left" w:pos="1259"/>
        </w:tabs>
        <w:ind w:left="1259" w:hanging="419"/>
      </w:pPr>
      <w:rPr>
        <w:b w:val="0"/>
        <w:i w:val="0"/>
        <w:sz w:val="21"/>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3">
    <w:nsid w:val="456E57A8"/>
    <w:multiLevelType w:val="multilevel"/>
    <w:tmpl w:val="456E57A8"/>
    <w:lvl w:ilvl="0" w:tentative="0">
      <w:start w:val="1"/>
      <w:numFmt w:val="lowerLetter"/>
      <w:pStyle w:val="213"/>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4">
    <w:nsid w:val="53553391"/>
    <w:multiLevelType w:val="multilevel"/>
    <w:tmpl w:val="53553391"/>
    <w:lvl w:ilvl="0" w:tentative="0">
      <w:start w:val="1"/>
      <w:numFmt w:val="decimal"/>
      <w:pStyle w:val="154"/>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5B621A86"/>
    <w:multiLevelType w:val="multilevel"/>
    <w:tmpl w:val="5B621A86"/>
    <w:lvl w:ilvl="0" w:tentative="0">
      <w:start w:val="1"/>
      <w:numFmt w:val="bullet"/>
      <w:pStyle w:val="237"/>
      <w:lvlText w:val=""/>
      <w:lvlJc w:val="left"/>
      <w:pPr>
        <w:tabs>
          <w:tab w:val="left" w:pos="1260"/>
        </w:tabs>
        <w:ind w:left="420" w:firstLine="420"/>
      </w:pPr>
      <w:rPr>
        <w:rFonts w:hint="default" w:ascii="Wingdings" w:hAnsi="Wingdings"/>
      </w:rPr>
    </w:lvl>
    <w:lvl w:ilvl="1" w:tentative="0">
      <w:start w:val="1"/>
      <w:numFmt w:val="none"/>
      <w:lvlRestart w:val="0"/>
      <w:lvlText w:val="%2"/>
      <w:lvlJc w:val="left"/>
      <w:pPr>
        <w:tabs>
          <w:tab w:val="left" w:pos="420"/>
        </w:tabs>
        <w:ind w:left="420" w:firstLine="0"/>
      </w:pPr>
      <w:rPr>
        <w:rFonts w:hint="eastAsia"/>
      </w:rPr>
    </w:lvl>
    <w:lvl w:ilvl="2" w:tentative="0">
      <w:start w:val="1"/>
      <w:numFmt w:val="none"/>
      <w:lvlRestart w:val="0"/>
      <w:lvlText w:val=""/>
      <w:lvlJc w:val="left"/>
      <w:pPr>
        <w:tabs>
          <w:tab w:val="left" w:pos="420"/>
        </w:tabs>
        <w:ind w:left="420" w:firstLine="0"/>
      </w:pPr>
      <w:rPr>
        <w:rFonts w:hint="eastAsia"/>
      </w:rPr>
    </w:lvl>
    <w:lvl w:ilvl="3" w:tentative="0">
      <w:start w:val="1"/>
      <w:numFmt w:val="none"/>
      <w:lvlRestart w:val="0"/>
      <w:lvlText w:val=""/>
      <w:lvlJc w:val="right"/>
      <w:pPr>
        <w:tabs>
          <w:tab w:val="left" w:pos="420"/>
        </w:tabs>
        <w:ind w:left="420" w:firstLine="0"/>
      </w:pPr>
      <w:rPr>
        <w:rFonts w:hint="eastAsia"/>
      </w:rPr>
    </w:lvl>
    <w:lvl w:ilvl="4" w:tentative="0">
      <w:start w:val="1"/>
      <w:numFmt w:val="none"/>
      <w:lvlRestart w:val="0"/>
      <w:lvlText w:val="%5"/>
      <w:lvlJc w:val="left"/>
      <w:pPr>
        <w:tabs>
          <w:tab w:val="left" w:pos="420"/>
        </w:tabs>
        <w:ind w:left="420" w:firstLine="0"/>
      </w:pPr>
      <w:rPr>
        <w:rFonts w:hint="eastAsia"/>
      </w:rPr>
    </w:lvl>
    <w:lvl w:ilvl="5" w:tentative="0">
      <w:start w:val="1"/>
      <w:numFmt w:val="none"/>
      <w:lvlRestart w:val="0"/>
      <w:lvlText w:val="%6"/>
      <w:lvlJc w:val="left"/>
      <w:pPr>
        <w:tabs>
          <w:tab w:val="left" w:pos="420"/>
        </w:tabs>
        <w:ind w:left="420" w:firstLine="0"/>
      </w:pPr>
      <w:rPr>
        <w:rFonts w:hint="eastAsia"/>
      </w:rPr>
    </w:lvl>
    <w:lvl w:ilvl="6" w:tentative="0">
      <w:start w:val="1"/>
      <w:numFmt w:val="none"/>
      <w:lvlRestart w:val="0"/>
      <w:lvlText w:val="%7"/>
      <w:lvlJc w:val="right"/>
      <w:pPr>
        <w:tabs>
          <w:tab w:val="left" w:pos="420"/>
        </w:tabs>
        <w:ind w:left="420" w:firstLine="0"/>
      </w:pPr>
      <w:rPr>
        <w:rFonts w:hint="eastAsia"/>
      </w:rPr>
    </w:lvl>
    <w:lvl w:ilvl="7" w:tentative="0">
      <w:start w:val="1"/>
      <w:numFmt w:val="none"/>
      <w:lvlRestart w:val="0"/>
      <w:lvlText w:val="%8"/>
      <w:lvlJc w:val="left"/>
      <w:pPr>
        <w:tabs>
          <w:tab w:val="left" w:pos="420"/>
        </w:tabs>
        <w:ind w:left="420" w:firstLine="0"/>
      </w:pPr>
      <w:rPr>
        <w:rFonts w:hint="eastAsia"/>
      </w:rPr>
    </w:lvl>
    <w:lvl w:ilvl="8" w:tentative="0">
      <w:start w:val="1"/>
      <w:numFmt w:val="none"/>
      <w:lvlRestart w:val="0"/>
      <w:lvlText w:val="%9"/>
      <w:lvlJc w:val="right"/>
      <w:pPr>
        <w:tabs>
          <w:tab w:val="left" w:pos="420"/>
        </w:tabs>
        <w:ind w:left="420" w:firstLine="0"/>
      </w:pPr>
      <w:rPr>
        <w:rFonts w:hint="eastAsia"/>
      </w:rPr>
    </w:lvl>
  </w:abstractNum>
  <w:abstractNum w:abstractNumId="26">
    <w:nsid w:val="5CAD2364"/>
    <w:multiLevelType w:val="multilevel"/>
    <w:tmpl w:val="5CAD2364"/>
    <w:lvl w:ilvl="0" w:tentative="0">
      <w:start w:val="1"/>
      <w:numFmt w:val="lowerLetter"/>
      <w:pStyle w:val="208"/>
      <w:lvlText w:val="%1)"/>
      <w:lvlJc w:val="left"/>
      <w:pPr>
        <w:ind w:left="1050" w:hanging="4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7">
    <w:nsid w:val="60B55DC2"/>
    <w:multiLevelType w:val="multilevel"/>
    <w:tmpl w:val="60B55DC2"/>
    <w:lvl w:ilvl="0" w:tentative="0">
      <w:start w:val="1"/>
      <w:numFmt w:val="upperLetter"/>
      <w:pStyle w:val="178"/>
      <w:lvlText w:val="%1"/>
      <w:lvlJc w:val="left"/>
      <w:pPr>
        <w:tabs>
          <w:tab w:val="left" w:pos="0"/>
        </w:tabs>
        <w:ind w:left="0" w:hanging="425"/>
      </w:pPr>
      <w:rPr>
        <w:rFonts w:hint="eastAsia"/>
      </w:rPr>
    </w:lvl>
    <w:lvl w:ilvl="1" w:tentative="0">
      <w:start w:val="1"/>
      <w:numFmt w:val="decimal"/>
      <w:pStyle w:val="17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8">
    <w:nsid w:val="646260FA"/>
    <w:multiLevelType w:val="multilevel"/>
    <w:tmpl w:val="646260FA"/>
    <w:lvl w:ilvl="0" w:tentative="0">
      <w:start w:val="1"/>
      <w:numFmt w:val="decimal"/>
      <w:pStyle w:val="22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657D3FBC"/>
    <w:multiLevelType w:val="multilevel"/>
    <w:tmpl w:val="657D3FBC"/>
    <w:lvl w:ilvl="0" w:tentative="0">
      <w:start w:val="1"/>
      <w:numFmt w:val="upperLetter"/>
      <w:pStyle w:val="17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9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95"/>
      <w:suff w:val="nothing"/>
      <w:lvlText w:val="%1.%2.%3　"/>
      <w:lvlJc w:val="left"/>
      <w:pPr>
        <w:ind w:left="0" w:firstLine="0"/>
      </w:pPr>
      <w:rPr>
        <w:rFonts w:hint="eastAsia" w:ascii="黑体" w:hAnsi="Times New Roman" w:eastAsia="黑体"/>
        <w:b w:val="0"/>
        <w:i w:val="0"/>
        <w:sz w:val="21"/>
      </w:rPr>
    </w:lvl>
    <w:lvl w:ilvl="3" w:tentative="0">
      <w:start w:val="1"/>
      <w:numFmt w:val="decimal"/>
      <w:pStyle w:val="180"/>
      <w:suff w:val="nothing"/>
      <w:lvlText w:val="%1.%2.%3.%4　"/>
      <w:lvlJc w:val="left"/>
      <w:pPr>
        <w:ind w:left="0" w:firstLine="0"/>
      </w:pPr>
      <w:rPr>
        <w:rFonts w:hint="eastAsia" w:ascii="黑体" w:hAnsi="Times New Roman" w:eastAsia="黑体"/>
        <w:b w:val="0"/>
        <w:i w:val="0"/>
        <w:sz w:val="21"/>
      </w:rPr>
    </w:lvl>
    <w:lvl w:ilvl="4" w:tentative="0">
      <w:start w:val="1"/>
      <w:numFmt w:val="decimal"/>
      <w:pStyle w:val="185"/>
      <w:suff w:val="nothing"/>
      <w:lvlText w:val="%1.%2.%3.%4.%5　"/>
      <w:lvlJc w:val="left"/>
      <w:pPr>
        <w:ind w:left="0" w:firstLine="0"/>
      </w:pPr>
      <w:rPr>
        <w:rFonts w:hint="eastAsia" w:ascii="黑体" w:hAnsi="Times New Roman" w:eastAsia="黑体"/>
        <w:b w:val="0"/>
        <w:i w:val="0"/>
        <w:sz w:val="21"/>
      </w:rPr>
    </w:lvl>
    <w:lvl w:ilvl="5" w:tentative="0">
      <w:start w:val="1"/>
      <w:numFmt w:val="decimal"/>
      <w:pStyle w:val="188"/>
      <w:suff w:val="nothing"/>
      <w:lvlText w:val="%1.%2.%3.%4.%5.%6　"/>
      <w:lvlJc w:val="left"/>
      <w:pPr>
        <w:ind w:left="0" w:firstLine="0"/>
      </w:pPr>
      <w:rPr>
        <w:rFonts w:hint="eastAsia" w:ascii="黑体" w:hAnsi="Times New Roman" w:eastAsia="黑体"/>
        <w:b w:val="0"/>
        <w:i w:val="0"/>
        <w:sz w:val="21"/>
      </w:rPr>
    </w:lvl>
    <w:lvl w:ilvl="6" w:tentative="0">
      <w:start w:val="1"/>
      <w:numFmt w:val="decimal"/>
      <w:pStyle w:val="19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6883480C"/>
    <w:multiLevelType w:val="multilevel"/>
    <w:tmpl w:val="6883480C"/>
    <w:lvl w:ilvl="0" w:tentative="0">
      <w:start w:val="1"/>
      <w:numFmt w:val="decimal"/>
      <w:pStyle w:val="235"/>
      <w:lvlText w:val="%1)"/>
      <w:lvlJc w:val="left"/>
      <w:pPr>
        <w:tabs>
          <w:tab w:val="left" w:pos="839"/>
        </w:tabs>
        <w:ind w:left="0" w:firstLine="420"/>
      </w:pPr>
      <w:rPr>
        <w:rFonts w:hint="eastAsia"/>
      </w:rPr>
    </w:lvl>
    <w:lvl w:ilvl="1" w:tentative="0">
      <w:start w:val="1"/>
      <w:numFmt w:val="lowerLetter"/>
      <w:pStyle w:val="236"/>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31">
    <w:nsid w:val="6D6C07CD"/>
    <w:multiLevelType w:val="multilevel"/>
    <w:tmpl w:val="6D6C07CD"/>
    <w:lvl w:ilvl="0" w:tentative="0">
      <w:start w:val="1"/>
      <w:numFmt w:val="lowerLetter"/>
      <w:pStyle w:val="197"/>
      <w:lvlText w:val="%1)"/>
      <w:lvlJc w:val="left"/>
      <w:pPr>
        <w:tabs>
          <w:tab w:val="left" w:pos="839"/>
        </w:tabs>
        <w:ind w:left="839" w:hanging="419"/>
      </w:pPr>
      <w:rPr>
        <w:rFonts w:hint="eastAsia" w:ascii="宋体" w:eastAsia="宋体"/>
        <w:b w:val="0"/>
        <w:i w:val="0"/>
        <w:sz w:val="21"/>
      </w:rPr>
    </w:lvl>
    <w:lvl w:ilvl="1" w:tentative="0">
      <w:start w:val="1"/>
      <w:numFmt w:val="decimal"/>
      <w:pStyle w:val="187"/>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32">
    <w:nsid w:val="7F4C59D3"/>
    <w:multiLevelType w:val="multilevel"/>
    <w:tmpl w:val="7F4C59D3"/>
    <w:lvl w:ilvl="0" w:tentative="0">
      <w:start w:val="1"/>
      <w:numFmt w:val="lowerLetter"/>
      <w:pStyle w:val="149"/>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pStyle w:val="5"/>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32"/>
  </w:num>
  <w:num w:numId="2">
    <w:abstractNumId w:val="1"/>
  </w:num>
  <w:num w:numId="3">
    <w:abstractNumId w:val="2"/>
  </w:num>
  <w:num w:numId="4">
    <w:abstractNumId w:val="3"/>
  </w:num>
  <w:num w:numId="5">
    <w:abstractNumId w:val="21"/>
  </w:num>
  <w:num w:numId="6">
    <w:abstractNumId w:val="18"/>
  </w:num>
  <w:num w:numId="7">
    <w:abstractNumId w:val="11"/>
  </w:num>
  <w:num w:numId="8">
    <w:abstractNumId w:val="9"/>
  </w:num>
  <w:num w:numId="9">
    <w:abstractNumId w:val="24"/>
  </w:num>
  <w:num w:numId="10">
    <w:abstractNumId w:val="16"/>
  </w:num>
  <w:num w:numId="11">
    <w:abstractNumId w:val="14"/>
  </w:num>
  <w:num w:numId="12">
    <w:abstractNumId w:val="29"/>
  </w:num>
  <w:num w:numId="13">
    <w:abstractNumId w:val="27"/>
  </w:num>
  <w:num w:numId="14">
    <w:abstractNumId w:val="31"/>
  </w:num>
  <w:num w:numId="15">
    <w:abstractNumId w:val="17"/>
  </w:num>
  <w:num w:numId="16">
    <w:abstractNumId w:val="26"/>
  </w:num>
  <w:num w:numId="17">
    <w:abstractNumId w:val="10"/>
  </w:num>
  <w:num w:numId="18">
    <w:abstractNumId w:val="23"/>
  </w:num>
  <w:num w:numId="19">
    <w:abstractNumId w:val="28"/>
  </w:num>
  <w:num w:numId="20">
    <w:abstractNumId w:val="30"/>
  </w:num>
  <w:num w:numId="21">
    <w:abstractNumId w:val="25"/>
  </w:num>
  <w:num w:numId="22">
    <w:abstractNumId w:val="7"/>
  </w:num>
  <w:num w:numId="23">
    <w:abstractNumId w:val="13"/>
  </w:num>
  <w:num w:numId="24">
    <w:abstractNumId w:val="8"/>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4"/>
  </w:num>
  <w:num w:numId="31">
    <w:abstractNumId w:val="6"/>
  </w:num>
  <w:num w:numId="32">
    <w:abstractNumId w:val="0"/>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4NWIzYTkxMDQyMTJkMjljMGE2ZDM3MmU2NzY1YjQifQ=="/>
  </w:docVars>
  <w:rsids>
    <w:rsidRoot w:val="001014E1"/>
    <w:rsid w:val="00004757"/>
    <w:rsid w:val="0001141F"/>
    <w:rsid w:val="00022BC9"/>
    <w:rsid w:val="000263F3"/>
    <w:rsid w:val="00036675"/>
    <w:rsid w:val="000406CD"/>
    <w:rsid w:val="000454E9"/>
    <w:rsid w:val="0005317E"/>
    <w:rsid w:val="00062943"/>
    <w:rsid w:val="00065403"/>
    <w:rsid w:val="0006624D"/>
    <w:rsid w:val="0007012F"/>
    <w:rsid w:val="00073D69"/>
    <w:rsid w:val="00075737"/>
    <w:rsid w:val="00075B71"/>
    <w:rsid w:val="0007661F"/>
    <w:rsid w:val="00083BA3"/>
    <w:rsid w:val="00091372"/>
    <w:rsid w:val="00092A05"/>
    <w:rsid w:val="0009630E"/>
    <w:rsid w:val="000A4E3E"/>
    <w:rsid w:val="000B0DA2"/>
    <w:rsid w:val="000B3B04"/>
    <w:rsid w:val="000C7FF6"/>
    <w:rsid w:val="000D07D9"/>
    <w:rsid w:val="000D494A"/>
    <w:rsid w:val="000E0721"/>
    <w:rsid w:val="000E0F43"/>
    <w:rsid w:val="000E120E"/>
    <w:rsid w:val="000E53A3"/>
    <w:rsid w:val="000F0E79"/>
    <w:rsid w:val="000F4FA6"/>
    <w:rsid w:val="001014E1"/>
    <w:rsid w:val="00106C86"/>
    <w:rsid w:val="00110C50"/>
    <w:rsid w:val="00114F96"/>
    <w:rsid w:val="00117DAA"/>
    <w:rsid w:val="0014399F"/>
    <w:rsid w:val="00182A1B"/>
    <w:rsid w:val="001901EA"/>
    <w:rsid w:val="00192EF9"/>
    <w:rsid w:val="001946A1"/>
    <w:rsid w:val="001A1D16"/>
    <w:rsid w:val="001B6486"/>
    <w:rsid w:val="001C424E"/>
    <w:rsid w:val="001E10B8"/>
    <w:rsid w:val="001F71EB"/>
    <w:rsid w:val="002027D6"/>
    <w:rsid w:val="002044C9"/>
    <w:rsid w:val="002101BA"/>
    <w:rsid w:val="00235C57"/>
    <w:rsid w:val="00246C26"/>
    <w:rsid w:val="00252B17"/>
    <w:rsid w:val="002650A9"/>
    <w:rsid w:val="0029334C"/>
    <w:rsid w:val="002B6C4E"/>
    <w:rsid w:val="002C784E"/>
    <w:rsid w:val="002D7FB3"/>
    <w:rsid w:val="002E646C"/>
    <w:rsid w:val="002E7690"/>
    <w:rsid w:val="002F1A5C"/>
    <w:rsid w:val="002F34E6"/>
    <w:rsid w:val="002F3D71"/>
    <w:rsid w:val="00300A42"/>
    <w:rsid w:val="00304806"/>
    <w:rsid w:val="00310E29"/>
    <w:rsid w:val="00316AD4"/>
    <w:rsid w:val="00324E79"/>
    <w:rsid w:val="00333EC9"/>
    <w:rsid w:val="003344EE"/>
    <w:rsid w:val="00342AA0"/>
    <w:rsid w:val="00354281"/>
    <w:rsid w:val="00366D72"/>
    <w:rsid w:val="00372C5D"/>
    <w:rsid w:val="0038584C"/>
    <w:rsid w:val="00390C04"/>
    <w:rsid w:val="003A686D"/>
    <w:rsid w:val="003B7C3F"/>
    <w:rsid w:val="003C59B0"/>
    <w:rsid w:val="003D79DF"/>
    <w:rsid w:val="0040271C"/>
    <w:rsid w:val="00405A29"/>
    <w:rsid w:val="00414F67"/>
    <w:rsid w:val="004312C3"/>
    <w:rsid w:val="00435272"/>
    <w:rsid w:val="00440743"/>
    <w:rsid w:val="004451B7"/>
    <w:rsid w:val="00455882"/>
    <w:rsid w:val="00466526"/>
    <w:rsid w:val="00496C03"/>
    <w:rsid w:val="004A5565"/>
    <w:rsid w:val="004B1EFC"/>
    <w:rsid w:val="004B3196"/>
    <w:rsid w:val="004B3F99"/>
    <w:rsid w:val="004C7FB9"/>
    <w:rsid w:val="004D2C12"/>
    <w:rsid w:val="004E44E7"/>
    <w:rsid w:val="004F6BA4"/>
    <w:rsid w:val="0050274F"/>
    <w:rsid w:val="005111F0"/>
    <w:rsid w:val="00517F33"/>
    <w:rsid w:val="00524C30"/>
    <w:rsid w:val="0052797D"/>
    <w:rsid w:val="00547C5F"/>
    <w:rsid w:val="005550B8"/>
    <w:rsid w:val="00556EB6"/>
    <w:rsid w:val="00573553"/>
    <w:rsid w:val="00573A1E"/>
    <w:rsid w:val="00581BFB"/>
    <w:rsid w:val="00583D17"/>
    <w:rsid w:val="00590CDB"/>
    <w:rsid w:val="00592D00"/>
    <w:rsid w:val="00594663"/>
    <w:rsid w:val="005B4370"/>
    <w:rsid w:val="005B76C7"/>
    <w:rsid w:val="005C61CC"/>
    <w:rsid w:val="005D0610"/>
    <w:rsid w:val="005D0FB4"/>
    <w:rsid w:val="005D12C6"/>
    <w:rsid w:val="005D2E49"/>
    <w:rsid w:val="005D6366"/>
    <w:rsid w:val="005D77CC"/>
    <w:rsid w:val="005E33BF"/>
    <w:rsid w:val="005E4648"/>
    <w:rsid w:val="005E4C4B"/>
    <w:rsid w:val="005F1287"/>
    <w:rsid w:val="005F7CCC"/>
    <w:rsid w:val="00607930"/>
    <w:rsid w:val="00607B7D"/>
    <w:rsid w:val="00613DA8"/>
    <w:rsid w:val="006148CE"/>
    <w:rsid w:val="0063510B"/>
    <w:rsid w:val="00635A9A"/>
    <w:rsid w:val="00662FB2"/>
    <w:rsid w:val="0067034B"/>
    <w:rsid w:val="00696E4F"/>
    <w:rsid w:val="006B420F"/>
    <w:rsid w:val="006B566B"/>
    <w:rsid w:val="006B761E"/>
    <w:rsid w:val="006B78F0"/>
    <w:rsid w:val="006D30EB"/>
    <w:rsid w:val="006D4D03"/>
    <w:rsid w:val="006D5F55"/>
    <w:rsid w:val="006F4C5E"/>
    <w:rsid w:val="006F63B3"/>
    <w:rsid w:val="00700A7D"/>
    <w:rsid w:val="00707651"/>
    <w:rsid w:val="00732E12"/>
    <w:rsid w:val="00742382"/>
    <w:rsid w:val="0074278E"/>
    <w:rsid w:val="00763D16"/>
    <w:rsid w:val="007741D2"/>
    <w:rsid w:val="00785139"/>
    <w:rsid w:val="00795748"/>
    <w:rsid w:val="007C1493"/>
    <w:rsid w:val="007C2D44"/>
    <w:rsid w:val="007E6F66"/>
    <w:rsid w:val="007F1334"/>
    <w:rsid w:val="007F6693"/>
    <w:rsid w:val="00826C56"/>
    <w:rsid w:val="00827F61"/>
    <w:rsid w:val="00843848"/>
    <w:rsid w:val="0084452F"/>
    <w:rsid w:val="008450D1"/>
    <w:rsid w:val="00847F5E"/>
    <w:rsid w:val="00887145"/>
    <w:rsid w:val="008965AF"/>
    <w:rsid w:val="008A3860"/>
    <w:rsid w:val="008A666B"/>
    <w:rsid w:val="008B7582"/>
    <w:rsid w:val="008E316A"/>
    <w:rsid w:val="008E4620"/>
    <w:rsid w:val="008E5EBC"/>
    <w:rsid w:val="008F044C"/>
    <w:rsid w:val="008F38AE"/>
    <w:rsid w:val="009039B0"/>
    <w:rsid w:val="009047A9"/>
    <w:rsid w:val="00907262"/>
    <w:rsid w:val="0090759A"/>
    <w:rsid w:val="00911C44"/>
    <w:rsid w:val="00913A19"/>
    <w:rsid w:val="009225B6"/>
    <w:rsid w:val="00922EBB"/>
    <w:rsid w:val="0092390F"/>
    <w:rsid w:val="00927867"/>
    <w:rsid w:val="009279E5"/>
    <w:rsid w:val="0093077A"/>
    <w:rsid w:val="009345DB"/>
    <w:rsid w:val="0093478B"/>
    <w:rsid w:val="00934896"/>
    <w:rsid w:val="00942BD5"/>
    <w:rsid w:val="009446E7"/>
    <w:rsid w:val="00955B87"/>
    <w:rsid w:val="00976C50"/>
    <w:rsid w:val="00981BA3"/>
    <w:rsid w:val="009853E4"/>
    <w:rsid w:val="009869D0"/>
    <w:rsid w:val="00994E41"/>
    <w:rsid w:val="00997986"/>
    <w:rsid w:val="009A066D"/>
    <w:rsid w:val="009A5174"/>
    <w:rsid w:val="009C0B7A"/>
    <w:rsid w:val="009C2F85"/>
    <w:rsid w:val="009C3250"/>
    <w:rsid w:val="009C5708"/>
    <w:rsid w:val="009D0A63"/>
    <w:rsid w:val="009E0653"/>
    <w:rsid w:val="009E136D"/>
    <w:rsid w:val="009E2451"/>
    <w:rsid w:val="009E3359"/>
    <w:rsid w:val="009E78CC"/>
    <w:rsid w:val="00A15F72"/>
    <w:rsid w:val="00A163F6"/>
    <w:rsid w:val="00A3191C"/>
    <w:rsid w:val="00A42682"/>
    <w:rsid w:val="00A53839"/>
    <w:rsid w:val="00A67DF9"/>
    <w:rsid w:val="00A7143E"/>
    <w:rsid w:val="00A74544"/>
    <w:rsid w:val="00A77A18"/>
    <w:rsid w:val="00AA0029"/>
    <w:rsid w:val="00AA0F83"/>
    <w:rsid w:val="00AA1228"/>
    <w:rsid w:val="00AA1C07"/>
    <w:rsid w:val="00AA23E7"/>
    <w:rsid w:val="00AA6450"/>
    <w:rsid w:val="00AA6BF7"/>
    <w:rsid w:val="00AB245B"/>
    <w:rsid w:val="00AB25AA"/>
    <w:rsid w:val="00AB3975"/>
    <w:rsid w:val="00AC16D1"/>
    <w:rsid w:val="00AC2D5F"/>
    <w:rsid w:val="00AC49A8"/>
    <w:rsid w:val="00AC4AB0"/>
    <w:rsid w:val="00AD79EE"/>
    <w:rsid w:val="00AE2D2E"/>
    <w:rsid w:val="00B15B81"/>
    <w:rsid w:val="00B30138"/>
    <w:rsid w:val="00B44B9B"/>
    <w:rsid w:val="00B559E2"/>
    <w:rsid w:val="00B55B88"/>
    <w:rsid w:val="00B628B4"/>
    <w:rsid w:val="00B73A7B"/>
    <w:rsid w:val="00B83249"/>
    <w:rsid w:val="00B870EF"/>
    <w:rsid w:val="00B87934"/>
    <w:rsid w:val="00B91207"/>
    <w:rsid w:val="00B912F0"/>
    <w:rsid w:val="00B9260F"/>
    <w:rsid w:val="00B94A17"/>
    <w:rsid w:val="00BA3534"/>
    <w:rsid w:val="00BB6896"/>
    <w:rsid w:val="00BC35B8"/>
    <w:rsid w:val="00BE130B"/>
    <w:rsid w:val="00BF0409"/>
    <w:rsid w:val="00BF3B1D"/>
    <w:rsid w:val="00BF4722"/>
    <w:rsid w:val="00BF6FF2"/>
    <w:rsid w:val="00C02E2D"/>
    <w:rsid w:val="00C05007"/>
    <w:rsid w:val="00C16D98"/>
    <w:rsid w:val="00C175FC"/>
    <w:rsid w:val="00C37748"/>
    <w:rsid w:val="00C412C7"/>
    <w:rsid w:val="00C4167F"/>
    <w:rsid w:val="00C419D7"/>
    <w:rsid w:val="00C43A3C"/>
    <w:rsid w:val="00C51F28"/>
    <w:rsid w:val="00C738B0"/>
    <w:rsid w:val="00C764F9"/>
    <w:rsid w:val="00C81C7C"/>
    <w:rsid w:val="00C91C66"/>
    <w:rsid w:val="00CA2C59"/>
    <w:rsid w:val="00CA5C7B"/>
    <w:rsid w:val="00CB2ED6"/>
    <w:rsid w:val="00CD4712"/>
    <w:rsid w:val="00CF095F"/>
    <w:rsid w:val="00CF1575"/>
    <w:rsid w:val="00CF5D43"/>
    <w:rsid w:val="00CF6A90"/>
    <w:rsid w:val="00D00FAF"/>
    <w:rsid w:val="00D121F6"/>
    <w:rsid w:val="00D13237"/>
    <w:rsid w:val="00D1747E"/>
    <w:rsid w:val="00D214B5"/>
    <w:rsid w:val="00D2157E"/>
    <w:rsid w:val="00D431DD"/>
    <w:rsid w:val="00D546DD"/>
    <w:rsid w:val="00D54D31"/>
    <w:rsid w:val="00D557AE"/>
    <w:rsid w:val="00D76F40"/>
    <w:rsid w:val="00D81C65"/>
    <w:rsid w:val="00D85F8D"/>
    <w:rsid w:val="00D9108D"/>
    <w:rsid w:val="00D926A1"/>
    <w:rsid w:val="00D92FF6"/>
    <w:rsid w:val="00D933D1"/>
    <w:rsid w:val="00D9703F"/>
    <w:rsid w:val="00DA266B"/>
    <w:rsid w:val="00DB463E"/>
    <w:rsid w:val="00DC42C4"/>
    <w:rsid w:val="00DD12D1"/>
    <w:rsid w:val="00DE3CBA"/>
    <w:rsid w:val="00DE4FA6"/>
    <w:rsid w:val="00DE614A"/>
    <w:rsid w:val="00DF0266"/>
    <w:rsid w:val="00DF143F"/>
    <w:rsid w:val="00DF7D20"/>
    <w:rsid w:val="00E013FC"/>
    <w:rsid w:val="00E10DA4"/>
    <w:rsid w:val="00E12837"/>
    <w:rsid w:val="00E13969"/>
    <w:rsid w:val="00E170E8"/>
    <w:rsid w:val="00E24699"/>
    <w:rsid w:val="00E36EBF"/>
    <w:rsid w:val="00E43633"/>
    <w:rsid w:val="00E5249C"/>
    <w:rsid w:val="00E60D7D"/>
    <w:rsid w:val="00E6130B"/>
    <w:rsid w:val="00E8537D"/>
    <w:rsid w:val="00EA25D5"/>
    <w:rsid w:val="00EB715D"/>
    <w:rsid w:val="00EC2BA8"/>
    <w:rsid w:val="00EE3C1E"/>
    <w:rsid w:val="00EE72E1"/>
    <w:rsid w:val="00EF00AE"/>
    <w:rsid w:val="00EF2397"/>
    <w:rsid w:val="00EF5C23"/>
    <w:rsid w:val="00F124B1"/>
    <w:rsid w:val="00F209E3"/>
    <w:rsid w:val="00F20B90"/>
    <w:rsid w:val="00F23D57"/>
    <w:rsid w:val="00F30954"/>
    <w:rsid w:val="00F321EB"/>
    <w:rsid w:val="00F33579"/>
    <w:rsid w:val="00F4151D"/>
    <w:rsid w:val="00F56891"/>
    <w:rsid w:val="00F63748"/>
    <w:rsid w:val="00F80315"/>
    <w:rsid w:val="00F8487D"/>
    <w:rsid w:val="00F85343"/>
    <w:rsid w:val="00F860FB"/>
    <w:rsid w:val="00F87738"/>
    <w:rsid w:val="00F92C8A"/>
    <w:rsid w:val="00FA1F0E"/>
    <w:rsid w:val="00FB1E51"/>
    <w:rsid w:val="00FB6D46"/>
    <w:rsid w:val="00FC21BC"/>
    <w:rsid w:val="00FC5D6B"/>
    <w:rsid w:val="00FD323B"/>
    <w:rsid w:val="00FF044D"/>
    <w:rsid w:val="00FF430C"/>
    <w:rsid w:val="01E142BF"/>
    <w:rsid w:val="029F1B50"/>
    <w:rsid w:val="02D85CD0"/>
    <w:rsid w:val="03217B55"/>
    <w:rsid w:val="0323032B"/>
    <w:rsid w:val="03341A8A"/>
    <w:rsid w:val="03571091"/>
    <w:rsid w:val="05B120C2"/>
    <w:rsid w:val="05D17F7F"/>
    <w:rsid w:val="060D3665"/>
    <w:rsid w:val="063704B1"/>
    <w:rsid w:val="065019DC"/>
    <w:rsid w:val="06560E62"/>
    <w:rsid w:val="06E97165"/>
    <w:rsid w:val="0732492C"/>
    <w:rsid w:val="073D4236"/>
    <w:rsid w:val="084F2E8D"/>
    <w:rsid w:val="085B36B1"/>
    <w:rsid w:val="08A02C69"/>
    <w:rsid w:val="08A41184"/>
    <w:rsid w:val="08D6478F"/>
    <w:rsid w:val="08DB66F2"/>
    <w:rsid w:val="093B7E5E"/>
    <w:rsid w:val="098C2B7B"/>
    <w:rsid w:val="09DB3207"/>
    <w:rsid w:val="0A1F71CE"/>
    <w:rsid w:val="0A5903EC"/>
    <w:rsid w:val="0AAF10FD"/>
    <w:rsid w:val="0AEB5310"/>
    <w:rsid w:val="0B62753A"/>
    <w:rsid w:val="0B64569E"/>
    <w:rsid w:val="0BB72438"/>
    <w:rsid w:val="0BB95E74"/>
    <w:rsid w:val="0CD028C8"/>
    <w:rsid w:val="0D1B342A"/>
    <w:rsid w:val="0D5C4E50"/>
    <w:rsid w:val="0D886883"/>
    <w:rsid w:val="0D923F0A"/>
    <w:rsid w:val="0E2A7E0F"/>
    <w:rsid w:val="0E853D73"/>
    <w:rsid w:val="0E941A03"/>
    <w:rsid w:val="0E965C31"/>
    <w:rsid w:val="0EC81BD1"/>
    <w:rsid w:val="0F986C50"/>
    <w:rsid w:val="0FAF53F9"/>
    <w:rsid w:val="0FB20FE0"/>
    <w:rsid w:val="0FE70840"/>
    <w:rsid w:val="103C5FE2"/>
    <w:rsid w:val="106B2580"/>
    <w:rsid w:val="10D123CD"/>
    <w:rsid w:val="11763776"/>
    <w:rsid w:val="11AA3420"/>
    <w:rsid w:val="11CE5EAA"/>
    <w:rsid w:val="1202500A"/>
    <w:rsid w:val="122A61B9"/>
    <w:rsid w:val="12600D6D"/>
    <w:rsid w:val="12BE5DCE"/>
    <w:rsid w:val="12DE1EBF"/>
    <w:rsid w:val="1333286A"/>
    <w:rsid w:val="13551C50"/>
    <w:rsid w:val="13BC146C"/>
    <w:rsid w:val="14717675"/>
    <w:rsid w:val="151E1FA2"/>
    <w:rsid w:val="154676C6"/>
    <w:rsid w:val="1557408A"/>
    <w:rsid w:val="15EE5E19"/>
    <w:rsid w:val="15F119AD"/>
    <w:rsid w:val="16422B9A"/>
    <w:rsid w:val="168667C2"/>
    <w:rsid w:val="16C51013"/>
    <w:rsid w:val="16DF0DFB"/>
    <w:rsid w:val="176D2108"/>
    <w:rsid w:val="177477F9"/>
    <w:rsid w:val="17B103C8"/>
    <w:rsid w:val="17B74452"/>
    <w:rsid w:val="17BF0ACA"/>
    <w:rsid w:val="17D84B0F"/>
    <w:rsid w:val="180A1CE8"/>
    <w:rsid w:val="19CA7C5E"/>
    <w:rsid w:val="19E1538A"/>
    <w:rsid w:val="1AD75285"/>
    <w:rsid w:val="1ADB749B"/>
    <w:rsid w:val="1B2E11D7"/>
    <w:rsid w:val="1C0202A6"/>
    <w:rsid w:val="1C282170"/>
    <w:rsid w:val="1C516953"/>
    <w:rsid w:val="1CAF43EA"/>
    <w:rsid w:val="1CC96E50"/>
    <w:rsid w:val="1D7671EF"/>
    <w:rsid w:val="1DF11734"/>
    <w:rsid w:val="1EE305D1"/>
    <w:rsid w:val="1F9A42FC"/>
    <w:rsid w:val="20216D23"/>
    <w:rsid w:val="203D5583"/>
    <w:rsid w:val="204A02A8"/>
    <w:rsid w:val="20A3401D"/>
    <w:rsid w:val="21851EDD"/>
    <w:rsid w:val="21E7529B"/>
    <w:rsid w:val="22C91F18"/>
    <w:rsid w:val="23512729"/>
    <w:rsid w:val="23863CED"/>
    <w:rsid w:val="238A3A61"/>
    <w:rsid w:val="23B1799A"/>
    <w:rsid w:val="249843DE"/>
    <w:rsid w:val="26E46B93"/>
    <w:rsid w:val="271C56D8"/>
    <w:rsid w:val="27494ED1"/>
    <w:rsid w:val="276C0EEB"/>
    <w:rsid w:val="27C15702"/>
    <w:rsid w:val="28200983"/>
    <w:rsid w:val="284F054C"/>
    <w:rsid w:val="285275E8"/>
    <w:rsid w:val="28C037FD"/>
    <w:rsid w:val="29641AD1"/>
    <w:rsid w:val="29D47539"/>
    <w:rsid w:val="29E2706C"/>
    <w:rsid w:val="2A3119E5"/>
    <w:rsid w:val="2A9B7F19"/>
    <w:rsid w:val="2AA40A22"/>
    <w:rsid w:val="2ACD5484"/>
    <w:rsid w:val="2B4F2AAC"/>
    <w:rsid w:val="2BB07175"/>
    <w:rsid w:val="2BFE40AE"/>
    <w:rsid w:val="2C5069BA"/>
    <w:rsid w:val="2C6C7D95"/>
    <w:rsid w:val="2C876F1D"/>
    <w:rsid w:val="2D303E35"/>
    <w:rsid w:val="2D921CB7"/>
    <w:rsid w:val="2DB6793F"/>
    <w:rsid w:val="2E164A40"/>
    <w:rsid w:val="2E21074A"/>
    <w:rsid w:val="2E245E99"/>
    <w:rsid w:val="2E3654DC"/>
    <w:rsid w:val="2E4538A7"/>
    <w:rsid w:val="2E487E15"/>
    <w:rsid w:val="2E526349"/>
    <w:rsid w:val="2F3C4A48"/>
    <w:rsid w:val="2F876E0B"/>
    <w:rsid w:val="2FAF1CBA"/>
    <w:rsid w:val="2FCF39FA"/>
    <w:rsid w:val="3055446E"/>
    <w:rsid w:val="30D23EA1"/>
    <w:rsid w:val="30DB6B67"/>
    <w:rsid w:val="31092EFB"/>
    <w:rsid w:val="314459DC"/>
    <w:rsid w:val="314B20D2"/>
    <w:rsid w:val="31583180"/>
    <w:rsid w:val="31783438"/>
    <w:rsid w:val="33567FD8"/>
    <w:rsid w:val="33B91941"/>
    <w:rsid w:val="34563252"/>
    <w:rsid w:val="367F4771"/>
    <w:rsid w:val="36AC5113"/>
    <w:rsid w:val="36B655C5"/>
    <w:rsid w:val="37311481"/>
    <w:rsid w:val="374750E9"/>
    <w:rsid w:val="38174D54"/>
    <w:rsid w:val="3850267B"/>
    <w:rsid w:val="38775208"/>
    <w:rsid w:val="39246858"/>
    <w:rsid w:val="39355DE8"/>
    <w:rsid w:val="39E6796D"/>
    <w:rsid w:val="3A39451B"/>
    <w:rsid w:val="3A5D7BEB"/>
    <w:rsid w:val="3A8D3F59"/>
    <w:rsid w:val="3ABF1E22"/>
    <w:rsid w:val="3AFC6AA1"/>
    <w:rsid w:val="3B6E7EA5"/>
    <w:rsid w:val="3B833376"/>
    <w:rsid w:val="3C491113"/>
    <w:rsid w:val="3C614E61"/>
    <w:rsid w:val="3C646ED6"/>
    <w:rsid w:val="3CAD2B1E"/>
    <w:rsid w:val="3D80608A"/>
    <w:rsid w:val="3D8F5E13"/>
    <w:rsid w:val="3DA855F0"/>
    <w:rsid w:val="3DDE74ED"/>
    <w:rsid w:val="3E6333DC"/>
    <w:rsid w:val="3E8D7AD0"/>
    <w:rsid w:val="3EB053C8"/>
    <w:rsid w:val="3FFF1571"/>
    <w:rsid w:val="40425005"/>
    <w:rsid w:val="413B6A9C"/>
    <w:rsid w:val="41A75074"/>
    <w:rsid w:val="41D80E67"/>
    <w:rsid w:val="42013932"/>
    <w:rsid w:val="423559AB"/>
    <w:rsid w:val="43AE16F4"/>
    <w:rsid w:val="43DB1093"/>
    <w:rsid w:val="44E0101F"/>
    <w:rsid w:val="44FB78A9"/>
    <w:rsid w:val="44FF7003"/>
    <w:rsid w:val="454E16BF"/>
    <w:rsid w:val="45882CEA"/>
    <w:rsid w:val="459238EC"/>
    <w:rsid w:val="4603113E"/>
    <w:rsid w:val="46AC65D6"/>
    <w:rsid w:val="46F2073D"/>
    <w:rsid w:val="47630C85"/>
    <w:rsid w:val="476F1AD2"/>
    <w:rsid w:val="47A05873"/>
    <w:rsid w:val="47BF410C"/>
    <w:rsid w:val="47FC7EFD"/>
    <w:rsid w:val="47FF3D8A"/>
    <w:rsid w:val="481B29F2"/>
    <w:rsid w:val="48571022"/>
    <w:rsid w:val="485D508A"/>
    <w:rsid w:val="48714C78"/>
    <w:rsid w:val="48842CB5"/>
    <w:rsid w:val="4885410E"/>
    <w:rsid w:val="48B94B63"/>
    <w:rsid w:val="494123B1"/>
    <w:rsid w:val="4A366994"/>
    <w:rsid w:val="4A5C032F"/>
    <w:rsid w:val="4AB337D6"/>
    <w:rsid w:val="4B297F9B"/>
    <w:rsid w:val="4B330F70"/>
    <w:rsid w:val="4B43150A"/>
    <w:rsid w:val="4B9A5AE5"/>
    <w:rsid w:val="4BB85DEB"/>
    <w:rsid w:val="4BC80B0C"/>
    <w:rsid w:val="4BE1052B"/>
    <w:rsid w:val="4BF330B8"/>
    <w:rsid w:val="4C544FD1"/>
    <w:rsid w:val="4C852A54"/>
    <w:rsid w:val="4C971150"/>
    <w:rsid w:val="4D6B16DA"/>
    <w:rsid w:val="4D80575E"/>
    <w:rsid w:val="4D9D3C7E"/>
    <w:rsid w:val="4DF74CEE"/>
    <w:rsid w:val="4E382B88"/>
    <w:rsid w:val="4E520189"/>
    <w:rsid w:val="4EA869BD"/>
    <w:rsid w:val="4ED11355"/>
    <w:rsid w:val="4F4B2111"/>
    <w:rsid w:val="4F954625"/>
    <w:rsid w:val="503E2860"/>
    <w:rsid w:val="5091072F"/>
    <w:rsid w:val="516F09B6"/>
    <w:rsid w:val="519A5ED2"/>
    <w:rsid w:val="51BB0830"/>
    <w:rsid w:val="51D23F1D"/>
    <w:rsid w:val="51DA398B"/>
    <w:rsid w:val="525434C6"/>
    <w:rsid w:val="527640EF"/>
    <w:rsid w:val="52B72988"/>
    <w:rsid w:val="52D23F0A"/>
    <w:rsid w:val="52E70C6A"/>
    <w:rsid w:val="532208E1"/>
    <w:rsid w:val="532979BA"/>
    <w:rsid w:val="534C2062"/>
    <w:rsid w:val="53600ABC"/>
    <w:rsid w:val="537F15EB"/>
    <w:rsid w:val="53DA34ED"/>
    <w:rsid w:val="53DE1CD8"/>
    <w:rsid w:val="54363555"/>
    <w:rsid w:val="54E770DC"/>
    <w:rsid w:val="552558DD"/>
    <w:rsid w:val="556F44C2"/>
    <w:rsid w:val="55CE557F"/>
    <w:rsid w:val="55E40C90"/>
    <w:rsid w:val="560B22E6"/>
    <w:rsid w:val="563444D6"/>
    <w:rsid w:val="56891C6B"/>
    <w:rsid w:val="56B97997"/>
    <w:rsid w:val="56C14C91"/>
    <w:rsid w:val="570365C4"/>
    <w:rsid w:val="57060082"/>
    <w:rsid w:val="574474B6"/>
    <w:rsid w:val="576B41D2"/>
    <w:rsid w:val="579E24E3"/>
    <w:rsid w:val="590B5B88"/>
    <w:rsid w:val="59ED4FE7"/>
    <w:rsid w:val="5A5D05FC"/>
    <w:rsid w:val="5AC36BC5"/>
    <w:rsid w:val="5AC63E1F"/>
    <w:rsid w:val="5AD46BC2"/>
    <w:rsid w:val="5B1E248F"/>
    <w:rsid w:val="5B2751ED"/>
    <w:rsid w:val="5B4342F6"/>
    <w:rsid w:val="5C651EB1"/>
    <w:rsid w:val="5C7B0F63"/>
    <w:rsid w:val="5CAE3391"/>
    <w:rsid w:val="5DCA7B72"/>
    <w:rsid w:val="5DE00E55"/>
    <w:rsid w:val="5E1F54F4"/>
    <w:rsid w:val="5F5F65C0"/>
    <w:rsid w:val="5F7B2BB2"/>
    <w:rsid w:val="5F8E6ECA"/>
    <w:rsid w:val="5FA85AEC"/>
    <w:rsid w:val="60525445"/>
    <w:rsid w:val="607344EC"/>
    <w:rsid w:val="60C33D90"/>
    <w:rsid w:val="613A0C69"/>
    <w:rsid w:val="617E451D"/>
    <w:rsid w:val="61FD3181"/>
    <w:rsid w:val="62042942"/>
    <w:rsid w:val="62847485"/>
    <w:rsid w:val="62B25F0D"/>
    <w:rsid w:val="62CE433B"/>
    <w:rsid w:val="636F5846"/>
    <w:rsid w:val="638A1A8C"/>
    <w:rsid w:val="63BB6D72"/>
    <w:rsid w:val="63BF4077"/>
    <w:rsid w:val="63EE4A68"/>
    <w:rsid w:val="649C5530"/>
    <w:rsid w:val="64AF3298"/>
    <w:rsid w:val="64B7773D"/>
    <w:rsid w:val="64EB6B26"/>
    <w:rsid w:val="650F31B2"/>
    <w:rsid w:val="655B1B6E"/>
    <w:rsid w:val="65A469D1"/>
    <w:rsid w:val="65BD7C07"/>
    <w:rsid w:val="65ED4F2A"/>
    <w:rsid w:val="65F647F4"/>
    <w:rsid w:val="666D4068"/>
    <w:rsid w:val="66B35EF8"/>
    <w:rsid w:val="672B633E"/>
    <w:rsid w:val="674041D4"/>
    <w:rsid w:val="6773145F"/>
    <w:rsid w:val="6796433E"/>
    <w:rsid w:val="67C033E3"/>
    <w:rsid w:val="67DD453C"/>
    <w:rsid w:val="67E37ACA"/>
    <w:rsid w:val="683F7FFE"/>
    <w:rsid w:val="68816128"/>
    <w:rsid w:val="688E2F9F"/>
    <w:rsid w:val="6946190A"/>
    <w:rsid w:val="696819F8"/>
    <w:rsid w:val="698D5697"/>
    <w:rsid w:val="6A3177DD"/>
    <w:rsid w:val="6A8B4135"/>
    <w:rsid w:val="6A915403"/>
    <w:rsid w:val="6A9D0048"/>
    <w:rsid w:val="6AA62A7A"/>
    <w:rsid w:val="6AC82F1E"/>
    <w:rsid w:val="6AD409EE"/>
    <w:rsid w:val="6AEA6A79"/>
    <w:rsid w:val="6B1B5C25"/>
    <w:rsid w:val="6B1C2219"/>
    <w:rsid w:val="6C547C8E"/>
    <w:rsid w:val="6CB03CCD"/>
    <w:rsid w:val="6D617A39"/>
    <w:rsid w:val="6DB83390"/>
    <w:rsid w:val="6E52595A"/>
    <w:rsid w:val="6E5F6F10"/>
    <w:rsid w:val="6EF776E0"/>
    <w:rsid w:val="6F0926A9"/>
    <w:rsid w:val="6F0A22FE"/>
    <w:rsid w:val="6F210F48"/>
    <w:rsid w:val="6F710B18"/>
    <w:rsid w:val="6F7E74CB"/>
    <w:rsid w:val="6FA8287C"/>
    <w:rsid w:val="70EE44D3"/>
    <w:rsid w:val="71203B39"/>
    <w:rsid w:val="717C4B53"/>
    <w:rsid w:val="71924844"/>
    <w:rsid w:val="719B775E"/>
    <w:rsid w:val="71AB77EE"/>
    <w:rsid w:val="724A7A48"/>
    <w:rsid w:val="724C4830"/>
    <w:rsid w:val="72695C00"/>
    <w:rsid w:val="72DE56EC"/>
    <w:rsid w:val="72F92942"/>
    <w:rsid w:val="731660CF"/>
    <w:rsid w:val="73686E30"/>
    <w:rsid w:val="73E92500"/>
    <w:rsid w:val="74CE2C64"/>
    <w:rsid w:val="74E91D98"/>
    <w:rsid w:val="76291C01"/>
    <w:rsid w:val="7636003D"/>
    <w:rsid w:val="76584CD4"/>
    <w:rsid w:val="76667B2F"/>
    <w:rsid w:val="778301A2"/>
    <w:rsid w:val="78925340"/>
    <w:rsid w:val="78AA5252"/>
    <w:rsid w:val="78D10791"/>
    <w:rsid w:val="7A400C26"/>
    <w:rsid w:val="7BE15920"/>
    <w:rsid w:val="7C0C54CA"/>
    <w:rsid w:val="7C197358"/>
    <w:rsid w:val="7C713E55"/>
    <w:rsid w:val="7D3E6A83"/>
    <w:rsid w:val="7D3F0058"/>
    <w:rsid w:val="7DF82266"/>
    <w:rsid w:val="7E435833"/>
    <w:rsid w:val="7E53537B"/>
    <w:rsid w:val="7E61214D"/>
    <w:rsid w:val="7EA82723"/>
    <w:rsid w:val="7EB610B9"/>
    <w:rsid w:val="7ECD1840"/>
    <w:rsid w:val="7F0D6C7E"/>
    <w:rsid w:val="7F336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qFormat="1" w:unhideWhenUsed="0" w:uiPriority="0" w:semiHidden="0"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0" w:semiHidden="0"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qFormat="1" w:unhideWhenUsed="0" w:uiPriority="0" w:semiHidden="0"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70"/>
    <w:qFormat/>
    <w:uiPriority w:val="0"/>
    <w:pPr>
      <w:autoSpaceDE w:val="0"/>
      <w:autoSpaceDN w:val="0"/>
      <w:adjustRightInd w:val="0"/>
      <w:spacing w:before="340" w:after="330" w:line="578" w:lineRule="atLeast"/>
      <w:jc w:val="left"/>
      <w:textAlignment w:val="baseline"/>
      <w:outlineLvl w:val="0"/>
    </w:pPr>
    <w:rPr>
      <w:kern w:val="0"/>
      <w:sz w:val="44"/>
    </w:rPr>
  </w:style>
  <w:style w:type="paragraph" w:styleId="3">
    <w:name w:val="heading 2"/>
    <w:basedOn w:val="1"/>
    <w:next w:val="1"/>
    <w:link w:val="72"/>
    <w:qFormat/>
    <w:uiPriority w:val="9"/>
    <w:pPr>
      <w:keepNext/>
      <w:keepLines/>
      <w:spacing w:before="260" w:after="260"/>
      <w:outlineLvl w:val="1"/>
    </w:pPr>
    <w:rPr>
      <w:rFonts w:ascii="Arial" w:hAnsi="Arial" w:eastAsiaTheme="minorEastAsia"/>
      <w:b/>
      <w:szCs w:val="20"/>
    </w:rPr>
  </w:style>
  <w:style w:type="paragraph" w:styleId="4">
    <w:name w:val="heading 3"/>
    <w:basedOn w:val="1"/>
    <w:next w:val="1"/>
    <w:link w:val="73"/>
    <w:qFormat/>
    <w:uiPriority w:val="9"/>
    <w:pPr>
      <w:keepNext/>
      <w:keepLines/>
      <w:autoSpaceDE w:val="0"/>
      <w:autoSpaceDN w:val="0"/>
      <w:adjustRightInd w:val="0"/>
      <w:spacing w:before="260" w:after="260" w:line="416" w:lineRule="atLeast"/>
      <w:jc w:val="left"/>
      <w:textAlignment w:val="baseline"/>
      <w:outlineLvl w:val="2"/>
    </w:pPr>
    <w:rPr>
      <w:rFonts w:eastAsiaTheme="minorEastAsia"/>
      <w:b/>
      <w:kern w:val="0"/>
      <w:szCs w:val="20"/>
    </w:rPr>
  </w:style>
  <w:style w:type="paragraph" w:styleId="5">
    <w:name w:val="heading 4"/>
    <w:basedOn w:val="1"/>
    <w:next w:val="1"/>
    <w:link w:val="74"/>
    <w:qFormat/>
    <w:uiPriority w:val="0"/>
    <w:pPr>
      <w:keepNext/>
      <w:keepLines/>
      <w:numPr>
        <w:ilvl w:val="3"/>
        <w:numId w:val="1"/>
      </w:numPr>
      <w:topLinePunct/>
      <w:spacing w:before="50" w:beforeLines="50" w:after="50" w:afterLines="50" w:line="480" w:lineRule="exact"/>
      <w:textAlignment w:val="center"/>
      <w:outlineLvl w:val="3"/>
    </w:pPr>
    <w:rPr>
      <w:rFonts w:eastAsiaTheme="minorEastAsia"/>
      <w:b/>
      <w:bCs/>
      <w:lang w:val="sv-SE"/>
    </w:rPr>
  </w:style>
  <w:style w:type="paragraph" w:styleId="6">
    <w:name w:val="heading 5"/>
    <w:basedOn w:val="1"/>
    <w:next w:val="1"/>
    <w:link w:val="138"/>
    <w:qFormat/>
    <w:uiPriority w:val="9"/>
    <w:pPr>
      <w:keepNext/>
      <w:keepLines/>
      <w:tabs>
        <w:tab w:val="left" w:pos="1008"/>
      </w:tabs>
      <w:topLinePunct/>
      <w:adjustRightInd w:val="0"/>
      <w:snapToGrid w:val="0"/>
      <w:ind w:left="1008" w:hanging="1008"/>
      <w:outlineLvl w:val="4"/>
    </w:pPr>
    <w:rPr>
      <w:rFonts w:ascii="宋体" w:hAnsi="宋体"/>
      <w:bCs/>
      <w:sz w:val="24"/>
    </w:rPr>
  </w:style>
  <w:style w:type="paragraph" w:styleId="7">
    <w:name w:val="heading 6"/>
    <w:basedOn w:val="1"/>
    <w:next w:val="1"/>
    <w:link w:val="139"/>
    <w:qFormat/>
    <w:uiPriority w:val="0"/>
    <w:pPr>
      <w:keepNext/>
      <w:keepLines/>
      <w:tabs>
        <w:tab w:val="left" w:pos="1152"/>
      </w:tabs>
      <w:adjustRightInd w:val="0"/>
      <w:spacing w:before="240" w:after="64" w:line="320" w:lineRule="atLeast"/>
      <w:ind w:left="1152" w:hanging="1152"/>
      <w:textAlignment w:val="baseline"/>
      <w:outlineLvl w:val="5"/>
    </w:pPr>
    <w:rPr>
      <w:rFonts w:ascii="Arial" w:hAnsi="Arial" w:eastAsia="黑体"/>
      <w:b/>
      <w:kern w:val="0"/>
      <w:sz w:val="24"/>
      <w:szCs w:val="21"/>
    </w:rPr>
  </w:style>
  <w:style w:type="paragraph" w:styleId="8">
    <w:name w:val="heading 7"/>
    <w:basedOn w:val="1"/>
    <w:next w:val="1"/>
    <w:link w:val="140"/>
    <w:qFormat/>
    <w:uiPriority w:val="0"/>
    <w:pPr>
      <w:keepNext/>
      <w:keepLines/>
      <w:tabs>
        <w:tab w:val="left" w:pos="1296"/>
      </w:tabs>
      <w:adjustRightInd w:val="0"/>
      <w:spacing w:before="240" w:after="64" w:line="320" w:lineRule="atLeast"/>
      <w:ind w:left="1296" w:hanging="1296"/>
      <w:textAlignment w:val="baseline"/>
      <w:outlineLvl w:val="6"/>
    </w:pPr>
    <w:rPr>
      <w:rFonts w:ascii="宋体" w:hAnsi="宋体"/>
      <w:b/>
      <w:kern w:val="0"/>
      <w:sz w:val="24"/>
      <w:szCs w:val="21"/>
    </w:rPr>
  </w:style>
  <w:style w:type="paragraph" w:styleId="9">
    <w:name w:val="heading 8"/>
    <w:basedOn w:val="1"/>
    <w:next w:val="1"/>
    <w:link w:val="75"/>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link w:val="142"/>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60">
    <w:name w:val="Default Paragraph Font"/>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tabs>
        <w:tab w:val="right" w:leader="dot" w:pos="9241"/>
      </w:tabs>
      <w:ind w:firstLine="505" w:firstLineChars="500"/>
      <w:jc w:val="left"/>
    </w:pPr>
    <w:rPr>
      <w:rFonts w:ascii="宋体"/>
      <w:szCs w:val="21"/>
    </w:rPr>
  </w:style>
  <w:style w:type="paragraph" w:styleId="12">
    <w:name w:val="List Number 2"/>
    <w:basedOn w:val="1"/>
    <w:qFormat/>
    <w:uiPriority w:val="0"/>
    <w:pPr>
      <w:numPr>
        <w:ilvl w:val="0"/>
        <w:numId w:val="2"/>
      </w:numPr>
    </w:pPr>
  </w:style>
  <w:style w:type="paragraph" w:styleId="13">
    <w:name w:val="List Bullet 4"/>
    <w:basedOn w:val="1"/>
    <w:qFormat/>
    <w:uiPriority w:val="0"/>
    <w:pPr>
      <w:tabs>
        <w:tab w:val="left" w:pos="420"/>
      </w:tabs>
      <w:ind w:left="420" w:hanging="420"/>
    </w:pPr>
    <w:rPr>
      <w:szCs w:val="20"/>
    </w:rPr>
  </w:style>
  <w:style w:type="paragraph" w:styleId="14">
    <w:name w:val="index 8"/>
    <w:basedOn w:val="1"/>
    <w:next w:val="1"/>
    <w:qFormat/>
    <w:uiPriority w:val="0"/>
    <w:pPr>
      <w:ind w:left="1680" w:hanging="210"/>
      <w:jc w:val="left"/>
    </w:pPr>
    <w:rPr>
      <w:rFonts w:ascii="Calibri" w:hAnsi="Calibri"/>
      <w:sz w:val="20"/>
      <w:szCs w:val="20"/>
    </w:rPr>
  </w:style>
  <w:style w:type="paragraph" w:styleId="15">
    <w:name w:val="List Number"/>
    <w:basedOn w:val="1"/>
    <w:qFormat/>
    <w:uiPriority w:val="0"/>
    <w:pPr>
      <w:numPr>
        <w:ilvl w:val="0"/>
        <w:numId w:val="3"/>
      </w:numPr>
    </w:pPr>
  </w:style>
  <w:style w:type="paragraph" w:styleId="16">
    <w:name w:val="Normal Indent"/>
    <w:basedOn w:val="1"/>
    <w:link w:val="71"/>
    <w:qFormat/>
    <w:uiPriority w:val="0"/>
    <w:pPr>
      <w:ind w:firstLine="420"/>
    </w:pPr>
    <w:rPr>
      <w:szCs w:val="20"/>
    </w:rPr>
  </w:style>
  <w:style w:type="paragraph" w:styleId="17">
    <w:name w:val="caption"/>
    <w:basedOn w:val="1"/>
    <w:next w:val="1"/>
    <w:qFormat/>
    <w:uiPriority w:val="0"/>
    <w:pPr>
      <w:spacing w:before="152" w:after="160"/>
    </w:pPr>
    <w:rPr>
      <w:rFonts w:ascii="Arial" w:hAnsi="Arial" w:eastAsia="黑体" w:cs="Arial"/>
      <w:sz w:val="20"/>
      <w:szCs w:val="20"/>
    </w:rPr>
  </w:style>
  <w:style w:type="paragraph" w:styleId="18">
    <w:name w:val="index 5"/>
    <w:basedOn w:val="1"/>
    <w:next w:val="1"/>
    <w:qFormat/>
    <w:uiPriority w:val="0"/>
    <w:pPr>
      <w:ind w:left="1050" w:hanging="210"/>
      <w:jc w:val="left"/>
    </w:pPr>
    <w:rPr>
      <w:rFonts w:ascii="Calibri" w:hAnsi="Calibri"/>
      <w:sz w:val="20"/>
      <w:szCs w:val="20"/>
    </w:rPr>
  </w:style>
  <w:style w:type="paragraph" w:styleId="19">
    <w:name w:val="List Bullet"/>
    <w:basedOn w:val="1"/>
    <w:qFormat/>
    <w:uiPriority w:val="0"/>
    <w:pPr>
      <w:numPr>
        <w:ilvl w:val="0"/>
        <w:numId w:val="4"/>
      </w:numPr>
    </w:pPr>
    <w:rPr>
      <w:szCs w:val="20"/>
    </w:rPr>
  </w:style>
  <w:style w:type="paragraph" w:styleId="20">
    <w:name w:val="Document Map"/>
    <w:basedOn w:val="1"/>
    <w:link w:val="96"/>
    <w:qFormat/>
    <w:uiPriority w:val="0"/>
    <w:pPr>
      <w:shd w:val="clear" w:color="auto" w:fill="000080"/>
    </w:pPr>
  </w:style>
  <w:style w:type="paragraph" w:styleId="21">
    <w:name w:val="annotation text"/>
    <w:basedOn w:val="1"/>
    <w:link w:val="99"/>
    <w:qFormat/>
    <w:uiPriority w:val="99"/>
    <w:pPr>
      <w:ind w:firstLine="200" w:firstLineChars="200"/>
      <w:jc w:val="left"/>
    </w:pPr>
    <w:rPr>
      <w:rFonts w:cstheme="minorBidi"/>
    </w:rPr>
  </w:style>
  <w:style w:type="paragraph" w:styleId="22">
    <w:name w:val="index 6"/>
    <w:basedOn w:val="1"/>
    <w:next w:val="1"/>
    <w:qFormat/>
    <w:uiPriority w:val="0"/>
    <w:pPr>
      <w:ind w:left="1260" w:hanging="210"/>
      <w:jc w:val="left"/>
    </w:pPr>
    <w:rPr>
      <w:rFonts w:ascii="Calibri" w:hAnsi="Calibri"/>
      <w:sz w:val="20"/>
      <w:szCs w:val="20"/>
    </w:rPr>
  </w:style>
  <w:style w:type="paragraph" w:styleId="23">
    <w:name w:val="Body Text"/>
    <w:basedOn w:val="1"/>
    <w:link w:val="83"/>
    <w:qFormat/>
    <w:uiPriority w:val="0"/>
    <w:pPr>
      <w:spacing w:after="120"/>
    </w:pPr>
    <w:rPr>
      <w:szCs w:val="20"/>
    </w:rPr>
  </w:style>
  <w:style w:type="paragraph" w:styleId="24">
    <w:name w:val="Body Text Indent"/>
    <w:basedOn w:val="1"/>
    <w:link w:val="285"/>
    <w:qFormat/>
    <w:uiPriority w:val="0"/>
    <w:pPr>
      <w:adjustRightInd w:val="0"/>
      <w:spacing w:after="60" w:line="60" w:lineRule="atLeast"/>
      <w:ind w:firstLine="454"/>
      <w:textAlignment w:val="baseline"/>
    </w:pPr>
    <w:rPr>
      <w:rFonts w:ascii="宋体" w:hAnsi="宋体"/>
      <w:szCs w:val="21"/>
    </w:rPr>
  </w:style>
  <w:style w:type="paragraph" w:styleId="25">
    <w:name w:val="Block Text"/>
    <w:basedOn w:val="1"/>
    <w:unhideWhenUsed/>
    <w:qFormat/>
    <w:uiPriority w:val="0"/>
    <w:pPr>
      <w:adjustRightInd w:val="0"/>
      <w:snapToGrid w:val="0"/>
      <w:ind w:left="899" w:leftChars="428" w:right="198" w:firstLine="360" w:firstLineChars="171"/>
    </w:pPr>
    <w:rPr>
      <w:rFonts w:ascii="黑体" w:eastAsia="黑体"/>
      <w:b/>
      <w:bCs/>
    </w:rPr>
  </w:style>
  <w:style w:type="paragraph" w:styleId="26">
    <w:name w:val="index 4"/>
    <w:basedOn w:val="1"/>
    <w:next w:val="1"/>
    <w:qFormat/>
    <w:uiPriority w:val="0"/>
    <w:pPr>
      <w:ind w:left="840" w:hanging="210"/>
      <w:jc w:val="left"/>
    </w:pPr>
    <w:rPr>
      <w:rFonts w:ascii="Calibri" w:hAnsi="Calibri"/>
      <w:sz w:val="20"/>
      <w:szCs w:val="20"/>
    </w:rPr>
  </w:style>
  <w:style w:type="paragraph" w:styleId="27">
    <w:name w:val="toc 5"/>
    <w:basedOn w:val="1"/>
    <w:next w:val="1"/>
    <w:qFormat/>
    <w:uiPriority w:val="39"/>
    <w:pPr>
      <w:tabs>
        <w:tab w:val="right" w:leader="dot" w:pos="9241"/>
      </w:tabs>
      <w:ind w:firstLine="300" w:firstLineChars="300"/>
      <w:jc w:val="left"/>
    </w:pPr>
    <w:rPr>
      <w:rFonts w:ascii="宋体"/>
      <w:szCs w:val="21"/>
    </w:rPr>
  </w:style>
  <w:style w:type="paragraph" w:styleId="28">
    <w:name w:val="toc 3"/>
    <w:basedOn w:val="1"/>
    <w:next w:val="1"/>
    <w:qFormat/>
    <w:uiPriority w:val="39"/>
    <w:pPr>
      <w:ind w:left="840" w:leftChars="400"/>
    </w:pPr>
  </w:style>
  <w:style w:type="paragraph" w:styleId="29">
    <w:name w:val="Plain Text"/>
    <w:basedOn w:val="1"/>
    <w:link w:val="79"/>
    <w:qFormat/>
    <w:uiPriority w:val="99"/>
    <w:rPr>
      <w:rFonts w:ascii="宋体" w:hAnsi="Courier New"/>
      <w:szCs w:val="20"/>
    </w:rPr>
  </w:style>
  <w:style w:type="paragraph" w:styleId="30">
    <w:name w:val="toc 8"/>
    <w:basedOn w:val="1"/>
    <w:next w:val="1"/>
    <w:qFormat/>
    <w:uiPriority w:val="39"/>
    <w:pPr>
      <w:tabs>
        <w:tab w:val="right" w:leader="dot" w:pos="9241"/>
      </w:tabs>
      <w:ind w:firstLine="607" w:firstLineChars="600"/>
      <w:jc w:val="left"/>
    </w:pPr>
    <w:rPr>
      <w:rFonts w:ascii="宋体"/>
      <w:szCs w:val="21"/>
    </w:rPr>
  </w:style>
  <w:style w:type="paragraph" w:styleId="31">
    <w:name w:val="index 3"/>
    <w:basedOn w:val="1"/>
    <w:next w:val="1"/>
    <w:qFormat/>
    <w:uiPriority w:val="0"/>
    <w:pPr>
      <w:ind w:left="630" w:hanging="210"/>
      <w:jc w:val="left"/>
    </w:pPr>
    <w:rPr>
      <w:rFonts w:ascii="Calibri" w:hAnsi="Calibri"/>
      <w:sz w:val="20"/>
      <w:szCs w:val="20"/>
    </w:rPr>
  </w:style>
  <w:style w:type="paragraph" w:styleId="32">
    <w:name w:val="Date"/>
    <w:basedOn w:val="1"/>
    <w:next w:val="1"/>
    <w:link w:val="78"/>
    <w:qFormat/>
    <w:uiPriority w:val="0"/>
    <w:pPr>
      <w:ind w:left="100" w:leftChars="2500"/>
    </w:pPr>
    <w:rPr>
      <w:rFonts w:ascii="宋体" w:hAnsi="宋体"/>
      <w:b/>
      <w:color w:val="FF0000"/>
      <w:sz w:val="36"/>
      <w:szCs w:val="30"/>
    </w:rPr>
  </w:style>
  <w:style w:type="paragraph" w:styleId="33">
    <w:name w:val="Body Text Indent 2"/>
    <w:basedOn w:val="1"/>
    <w:link w:val="82"/>
    <w:qFormat/>
    <w:uiPriority w:val="0"/>
    <w:pPr>
      <w:spacing w:after="120" w:line="480" w:lineRule="auto"/>
      <w:ind w:left="420" w:leftChars="200"/>
    </w:pPr>
    <w:rPr>
      <w:szCs w:val="20"/>
    </w:rPr>
  </w:style>
  <w:style w:type="paragraph" w:styleId="34">
    <w:name w:val="endnote text"/>
    <w:basedOn w:val="1"/>
    <w:link w:val="216"/>
    <w:semiHidden/>
    <w:qFormat/>
    <w:uiPriority w:val="0"/>
    <w:pPr>
      <w:snapToGrid w:val="0"/>
      <w:jc w:val="left"/>
    </w:pPr>
  </w:style>
  <w:style w:type="paragraph" w:styleId="35">
    <w:name w:val="Balloon Text"/>
    <w:basedOn w:val="1"/>
    <w:link w:val="85"/>
    <w:qFormat/>
    <w:uiPriority w:val="0"/>
    <w:rPr>
      <w:sz w:val="18"/>
      <w:szCs w:val="18"/>
    </w:rPr>
  </w:style>
  <w:style w:type="paragraph" w:styleId="36">
    <w:name w:val="footer"/>
    <w:basedOn w:val="1"/>
    <w:link w:val="86"/>
    <w:qFormat/>
    <w:uiPriority w:val="99"/>
    <w:pPr>
      <w:tabs>
        <w:tab w:val="center" w:pos="4153"/>
        <w:tab w:val="right" w:pos="8306"/>
      </w:tabs>
      <w:snapToGrid w:val="0"/>
      <w:jc w:val="left"/>
    </w:pPr>
    <w:rPr>
      <w:sz w:val="18"/>
      <w:szCs w:val="18"/>
    </w:rPr>
  </w:style>
  <w:style w:type="paragraph" w:styleId="37">
    <w:name w:val="header"/>
    <w:basedOn w:val="1"/>
    <w:link w:val="94"/>
    <w:qFormat/>
    <w:uiPriority w:val="99"/>
    <w:pPr>
      <w:pBdr>
        <w:bottom w:val="single" w:color="auto" w:sz="6" w:space="1"/>
      </w:pBdr>
      <w:tabs>
        <w:tab w:val="center" w:pos="4153"/>
        <w:tab w:val="right" w:pos="8306"/>
      </w:tabs>
      <w:snapToGrid w:val="0"/>
      <w:jc w:val="center"/>
    </w:pPr>
    <w:rPr>
      <w:sz w:val="18"/>
      <w:szCs w:val="18"/>
    </w:rPr>
  </w:style>
  <w:style w:type="paragraph" w:styleId="38">
    <w:name w:val="toc 1"/>
    <w:basedOn w:val="1"/>
    <w:next w:val="1"/>
    <w:qFormat/>
    <w:uiPriority w:val="39"/>
  </w:style>
  <w:style w:type="paragraph" w:styleId="39">
    <w:name w:val="toc 4"/>
    <w:basedOn w:val="1"/>
    <w:next w:val="1"/>
    <w:qFormat/>
    <w:uiPriority w:val="39"/>
    <w:pPr>
      <w:tabs>
        <w:tab w:val="right" w:leader="dot" w:pos="9241"/>
      </w:tabs>
      <w:ind w:firstLine="198" w:firstLineChars="200"/>
      <w:jc w:val="left"/>
    </w:pPr>
    <w:rPr>
      <w:rFonts w:ascii="宋体"/>
      <w:szCs w:val="21"/>
    </w:rPr>
  </w:style>
  <w:style w:type="paragraph" w:styleId="40">
    <w:name w:val="index heading"/>
    <w:basedOn w:val="1"/>
    <w:next w:val="41"/>
    <w:qFormat/>
    <w:uiPriority w:val="0"/>
    <w:pPr>
      <w:spacing w:before="120" w:after="120"/>
      <w:jc w:val="center"/>
    </w:pPr>
    <w:rPr>
      <w:rFonts w:ascii="Calibri" w:hAnsi="Calibri"/>
      <w:b/>
      <w:bCs/>
      <w:iCs/>
      <w:szCs w:val="20"/>
    </w:rPr>
  </w:style>
  <w:style w:type="paragraph" w:styleId="41">
    <w:name w:val="index 1"/>
    <w:basedOn w:val="1"/>
    <w:next w:val="42"/>
    <w:qFormat/>
    <w:uiPriority w:val="0"/>
    <w:pPr>
      <w:tabs>
        <w:tab w:val="right" w:leader="dot" w:pos="9299"/>
      </w:tabs>
      <w:jc w:val="left"/>
    </w:pPr>
    <w:rPr>
      <w:rFonts w:ascii="宋体"/>
      <w:szCs w:val="21"/>
    </w:rPr>
  </w:style>
  <w:style w:type="paragraph" w:customStyle="1" w:styleId="42">
    <w:name w:val="段"/>
    <w:link w:val="108"/>
    <w:qFormat/>
    <w:uiPriority w:val="0"/>
    <w:pPr>
      <w:ind w:firstLine="200" w:firstLineChars="200"/>
      <w:jc w:val="both"/>
    </w:pPr>
    <w:rPr>
      <w:rFonts w:ascii="宋体" w:hAnsi="Times New Roman" w:eastAsia="宋体" w:cs="Times New Roman"/>
      <w:sz w:val="21"/>
      <w:lang w:val="en-US" w:eastAsia="zh-CN" w:bidi="ar-SA"/>
    </w:rPr>
  </w:style>
  <w:style w:type="paragraph" w:styleId="43">
    <w:name w:val="Subtitle"/>
    <w:basedOn w:val="1"/>
    <w:next w:val="1"/>
    <w:link w:val="279"/>
    <w:qFormat/>
    <w:uiPriority w:val="0"/>
    <w:pPr>
      <w:spacing w:before="240" w:after="60" w:line="312" w:lineRule="auto"/>
      <w:jc w:val="center"/>
      <w:outlineLvl w:val="1"/>
    </w:pPr>
    <w:rPr>
      <w:rFonts w:ascii="Cambria" w:hAnsi="Cambria"/>
      <w:b/>
      <w:bCs/>
      <w:kern w:val="28"/>
      <w:sz w:val="32"/>
      <w:szCs w:val="32"/>
    </w:rPr>
  </w:style>
  <w:style w:type="paragraph" w:styleId="44">
    <w:name w:val="footnote text"/>
    <w:basedOn w:val="1"/>
    <w:link w:val="199"/>
    <w:qFormat/>
    <w:uiPriority w:val="0"/>
    <w:pPr>
      <w:numPr>
        <w:ilvl w:val="0"/>
        <w:numId w:val="5"/>
      </w:numPr>
      <w:snapToGrid w:val="0"/>
      <w:jc w:val="left"/>
    </w:pPr>
    <w:rPr>
      <w:rFonts w:ascii="宋体"/>
      <w:sz w:val="18"/>
      <w:szCs w:val="18"/>
    </w:rPr>
  </w:style>
  <w:style w:type="paragraph" w:styleId="45">
    <w:name w:val="toc 6"/>
    <w:basedOn w:val="1"/>
    <w:next w:val="1"/>
    <w:qFormat/>
    <w:uiPriority w:val="39"/>
    <w:pPr>
      <w:tabs>
        <w:tab w:val="right" w:leader="dot" w:pos="9241"/>
      </w:tabs>
      <w:ind w:firstLine="403" w:firstLineChars="400"/>
      <w:jc w:val="left"/>
    </w:pPr>
    <w:rPr>
      <w:rFonts w:ascii="宋体"/>
      <w:szCs w:val="21"/>
    </w:rPr>
  </w:style>
  <w:style w:type="paragraph" w:styleId="46">
    <w:name w:val="Body Text Indent 3"/>
    <w:basedOn w:val="1"/>
    <w:link w:val="288"/>
    <w:unhideWhenUsed/>
    <w:qFormat/>
    <w:uiPriority w:val="0"/>
    <w:pPr>
      <w:spacing w:line="520" w:lineRule="exact"/>
      <w:ind w:firstLine="570"/>
    </w:pPr>
    <w:rPr>
      <w:rFonts w:ascii="宋体" w:hAnsi="宋体"/>
      <w:color w:val="000000"/>
      <w:sz w:val="24"/>
      <w:szCs w:val="21"/>
    </w:rPr>
  </w:style>
  <w:style w:type="paragraph" w:styleId="47">
    <w:name w:val="index 7"/>
    <w:basedOn w:val="1"/>
    <w:next w:val="1"/>
    <w:qFormat/>
    <w:uiPriority w:val="0"/>
    <w:pPr>
      <w:ind w:left="1470" w:hanging="210"/>
      <w:jc w:val="left"/>
    </w:pPr>
    <w:rPr>
      <w:rFonts w:ascii="Calibri" w:hAnsi="Calibri"/>
      <w:sz w:val="20"/>
      <w:szCs w:val="20"/>
    </w:rPr>
  </w:style>
  <w:style w:type="paragraph" w:styleId="48">
    <w:name w:val="index 9"/>
    <w:basedOn w:val="1"/>
    <w:next w:val="1"/>
    <w:qFormat/>
    <w:uiPriority w:val="0"/>
    <w:pPr>
      <w:ind w:left="1890" w:hanging="210"/>
      <w:jc w:val="left"/>
    </w:pPr>
    <w:rPr>
      <w:rFonts w:ascii="Calibri" w:hAnsi="Calibri"/>
      <w:sz w:val="20"/>
      <w:szCs w:val="20"/>
    </w:rPr>
  </w:style>
  <w:style w:type="paragraph" w:styleId="49">
    <w:name w:val="toc 2"/>
    <w:basedOn w:val="1"/>
    <w:next w:val="1"/>
    <w:qFormat/>
    <w:uiPriority w:val="39"/>
    <w:pPr>
      <w:ind w:left="420" w:leftChars="200"/>
    </w:pPr>
  </w:style>
  <w:style w:type="paragraph" w:styleId="50">
    <w:name w:val="toc 9"/>
    <w:basedOn w:val="1"/>
    <w:next w:val="1"/>
    <w:qFormat/>
    <w:uiPriority w:val="39"/>
    <w:pPr>
      <w:ind w:left="1470"/>
      <w:jc w:val="left"/>
    </w:pPr>
    <w:rPr>
      <w:sz w:val="20"/>
      <w:szCs w:val="20"/>
    </w:rPr>
  </w:style>
  <w:style w:type="paragraph" w:styleId="51">
    <w:name w:val="Normal (Web)"/>
    <w:basedOn w:val="1"/>
    <w:qFormat/>
    <w:uiPriority w:val="0"/>
    <w:rPr>
      <w:sz w:val="24"/>
    </w:rPr>
  </w:style>
  <w:style w:type="paragraph" w:styleId="52">
    <w:name w:val="index 2"/>
    <w:basedOn w:val="1"/>
    <w:next w:val="1"/>
    <w:qFormat/>
    <w:uiPriority w:val="0"/>
    <w:pPr>
      <w:ind w:left="420" w:hanging="210"/>
      <w:jc w:val="left"/>
    </w:pPr>
    <w:rPr>
      <w:rFonts w:ascii="Calibri" w:hAnsi="Calibri"/>
      <w:sz w:val="20"/>
      <w:szCs w:val="20"/>
    </w:rPr>
  </w:style>
  <w:style w:type="paragraph" w:styleId="53">
    <w:name w:val="Title"/>
    <w:basedOn w:val="1"/>
    <w:next w:val="1"/>
    <w:link w:val="385"/>
    <w:qFormat/>
    <w:uiPriority w:val="0"/>
    <w:pPr>
      <w:spacing w:before="240" w:after="60"/>
      <w:jc w:val="center"/>
      <w:outlineLvl w:val="0"/>
    </w:pPr>
    <w:rPr>
      <w:rFonts w:ascii="Cambria" w:hAnsi="Cambria"/>
      <w:b/>
      <w:sz w:val="32"/>
      <w:szCs w:val="21"/>
    </w:rPr>
  </w:style>
  <w:style w:type="paragraph" w:styleId="54">
    <w:name w:val="annotation subject"/>
    <w:basedOn w:val="21"/>
    <w:next w:val="21"/>
    <w:link w:val="103"/>
    <w:qFormat/>
    <w:uiPriority w:val="0"/>
    <w:pPr>
      <w:ind w:firstLine="0" w:firstLineChars="0"/>
    </w:pPr>
    <w:rPr>
      <w:b/>
      <w:bCs/>
    </w:rPr>
  </w:style>
  <w:style w:type="paragraph" w:styleId="55">
    <w:name w:val="Body Text First Indent"/>
    <w:basedOn w:val="23"/>
    <w:link w:val="282"/>
    <w:unhideWhenUsed/>
    <w:qFormat/>
    <w:uiPriority w:val="0"/>
    <w:pPr>
      <w:adjustRightInd w:val="0"/>
      <w:spacing w:line="300" w:lineRule="auto"/>
      <w:ind w:firstLine="420" w:firstLineChars="200"/>
    </w:pPr>
    <w:rPr>
      <w:rFonts w:ascii="宋体" w:hAnsi="宋体"/>
      <w:sz w:val="24"/>
      <w:szCs w:val="24"/>
    </w:rPr>
  </w:style>
  <w:style w:type="paragraph" w:styleId="56">
    <w:name w:val="Body Text First Indent 2"/>
    <w:basedOn w:val="24"/>
    <w:link w:val="284"/>
    <w:unhideWhenUsed/>
    <w:qFormat/>
    <w:uiPriority w:val="0"/>
    <w:pPr>
      <w:spacing w:after="120" w:line="300" w:lineRule="auto"/>
      <w:ind w:left="420" w:leftChars="200" w:firstLine="420" w:firstLineChars="200"/>
      <w:textAlignment w:val="auto"/>
    </w:pPr>
    <w:rPr>
      <w:sz w:val="24"/>
    </w:rPr>
  </w:style>
  <w:style w:type="table" w:styleId="58">
    <w:name w:val="Table Grid"/>
    <w:basedOn w:val="5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9">
    <w:name w:val="Table List 1"/>
    <w:basedOn w:val="57"/>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character" w:styleId="61">
    <w:name w:val="endnote reference"/>
    <w:semiHidden/>
    <w:qFormat/>
    <w:uiPriority w:val="0"/>
    <w:rPr>
      <w:vertAlign w:val="superscript"/>
    </w:rPr>
  </w:style>
  <w:style w:type="character" w:styleId="62">
    <w:name w:val="page number"/>
    <w:basedOn w:val="60"/>
    <w:qFormat/>
    <w:uiPriority w:val="0"/>
  </w:style>
  <w:style w:type="character" w:styleId="63">
    <w:name w:val="FollowedHyperlink"/>
    <w:basedOn w:val="60"/>
    <w:unhideWhenUsed/>
    <w:qFormat/>
    <w:uiPriority w:val="99"/>
    <w:rPr>
      <w:color w:val="954F72" w:themeColor="followedHyperlink"/>
      <w:u w:val="single"/>
      <w14:textFill>
        <w14:solidFill>
          <w14:schemeClr w14:val="folHlink"/>
        </w14:solidFill>
      </w14:textFill>
    </w:rPr>
  </w:style>
  <w:style w:type="character" w:styleId="64">
    <w:name w:val="Emphasis"/>
    <w:qFormat/>
    <w:uiPriority w:val="20"/>
    <w:rPr>
      <w:rFonts w:eastAsia="宋体"/>
      <w:iCs/>
      <w:sz w:val="18"/>
    </w:rPr>
  </w:style>
  <w:style w:type="character" w:styleId="65">
    <w:name w:val="Hyperlink"/>
    <w:qFormat/>
    <w:uiPriority w:val="99"/>
    <w:rPr>
      <w:color w:val="0000FF"/>
      <w:u w:val="single"/>
    </w:rPr>
  </w:style>
  <w:style w:type="character" w:styleId="66">
    <w:name w:val="HTML Code"/>
    <w:unhideWhenUsed/>
    <w:qFormat/>
    <w:uiPriority w:val="0"/>
    <w:rPr>
      <w:rFonts w:hint="default" w:ascii="Courier New" w:hAnsi="Courier New" w:eastAsia="宋体" w:cs="Times New Roman"/>
      <w:sz w:val="24"/>
      <w:szCs w:val="21"/>
      <w:lang w:val="en-US" w:eastAsia="zh-CN" w:bidi="ar-SA"/>
    </w:rPr>
  </w:style>
  <w:style w:type="character" w:styleId="67">
    <w:name w:val="annotation reference"/>
    <w:qFormat/>
    <w:uiPriority w:val="0"/>
    <w:rPr>
      <w:sz w:val="21"/>
      <w:szCs w:val="21"/>
    </w:rPr>
  </w:style>
  <w:style w:type="character" w:styleId="68">
    <w:name w:val="footnote reference"/>
    <w:semiHidden/>
    <w:qFormat/>
    <w:uiPriority w:val="0"/>
    <w:rPr>
      <w:vertAlign w:val="superscript"/>
    </w:rPr>
  </w:style>
  <w:style w:type="character" w:styleId="69">
    <w:name w:val="HTML Sample"/>
    <w:qFormat/>
    <w:uiPriority w:val="0"/>
    <w:rPr>
      <w:rFonts w:ascii="Courier New" w:hAnsi="Courier New"/>
    </w:rPr>
  </w:style>
  <w:style w:type="character" w:customStyle="1" w:styleId="70">
    <w:name w:val="标题 1 字符"/>
    <w:basedOn w:val="60"/>
    <w:link w:val="2"/>
    <w:qFormat/>
    <w:uiPriority w:val="0"/>
    <w:rPr>
      <w:rFonts w:cs="Times New Roman"/>
      <w:b/>
      <w:kern w:val="0"/>
      <w:sz w:val="44"/>
      <w:szCs w:val="20"/>
    </w:rPr>
  </w:style>
  <w:style w:type="character" w:customStyle="1" w:styleId="71">
    <w:name w:val="正文缩进 字符"/>
    <w:link w:val="16"/>
    <w:qFormat/>
    <w:uiPriority w:val="0"/>
    <w:rPr>
      <w:rFonts w:cs="Times New Roman"/>
      <w:sz w:val="21"/>
      <w:szCs w:val="20"/>
    </w:rPr>
  </w:style>
  <w:style w:type="character" w:customStyle="1" w:styleId="72">
    <w:name w:val="标题 2 字符"/>
    <w:basedOn w:val="60"/>
    <w:link w:val="3"/>
    <w:qFormat/>
    <w:uiPriority w:val="9"/>
    <w:rPr>
      <w:rFonts w:ascii="Arial" w:hAnsi="Arial" w:cs="Times New Roman" w:eastAsiaTheme="minorEastAsia"/>
      <w:b/>
      <w:sz w:val="21"/>
      <w:szCs w:val="20"/>
    </w:rPr>
  </w:style>
  <w:style w:type="character" w:customStyle="1" w:styleId="73">
    <w:name w:val="标题 3 字符"/>
    <w:basedOn w:val="60"/>
    <w:link w:val="4"/>
    <w:qFormat/>
    <w:uiPriority w:val="9"/>
    <w:rPr>
      <w:rFonts w:ascii="Times New Roman" w:hAnsi="Times New Roman" w:cs="Times New Roman" w:eastAsiaTheme="minorEastAsia"/>
      <w:b/>
      <w:kern w:val="0"/>
      <w:sz w:val="21"/>
      <w:szCs w:val="20"/>
    </w:rPr>
  </w:style>
  <w:style w:type="character" w:customStyle="1" w:styleId="74">
    <w:name w:val="标题 4 字符1"/>
    <w:link w:val="5"/>
    <w:qFormat/>
    <w:uiPriority w:val="0"/>
    <w:rPr>
      <w:rFonts w:ascii="Times New Roman" w:hAnsi="Times New Roman" w:eastAsiaTheme="minorEastAsia"/>
      <w:b/>
      <w:bCs/>
      <w:kern w:val="2"/>
      <w:sz w:val="21"/>
      <w:szCs w:val="24"/>
      <w:lang w:val="sv-SE"/>
    </w:rPr>
  </w:style>
  <w:style w:type="character" w:customStyle="1" w:styleId="75">
    <w:name w:val="标题 8 字符1"/>
    <w:link w:val="9"/>
    <w:qFormat/>
    <w:uiPriority w:val="0"/>
    <w:rPr>
      <w:rFonts w:ascii="Arial" w:hAnsi="Arial" w:eastAsia="黑体" w:cs="Times New Roman"/>
      <w:szCs w:val="24"/>
    </w:rPr>
  </w:style>
  <w:style w:type="character" w:customStyle="1" w:styleId="76">
    <w:name w:val="标题 4 字符"/>
    <w:basedOn w:val="60"/>
    <w:qFormat/>
    <w:uiPriority w:val="0"/>
    <w:rPr>
      <w:rFonts w:asciiTheme="majorHAnsi" w:hAnsiTheme="majorHAnsi" w:eastAsiaTheme="majorEastAsia" w:cstheme="majorBidi"/>
      <w:b/>
      <w:bCs/>
      <w:sz w:val="28"/>
      <w:szCs w:val="28"/>
    </w:rPr>
  </w:style>
  <w:style w:type="character" w:customStyle="1" w:styleId="77">
    <w:name w:val="标题 8 字符"/>
    <w:basedOn w:val="60"/>
    <w:qFormat/>
    <w:uiPriority w:val="0"/>
    <w:rPr>
      <w:rFonts w:asciiTheme="majorHAnsi" w:hAnsiTheme="majorHAnsi" w:eastAsiaTheme="majorEastAsia" w:cstheme="majorBidi"/>
      <w:szCs w:val="24"/>
    </w:rPr>
  </w:style>
  <w:style w:type="character" w:customStyle="1" w:styleId="78">
    <w:name w:val="日期 字符"/>
    <w:basedOn w:val="60"/>
    <w:link w:val="32"/>
    <w:qFormat/>
    <w:uiPriority w:val="0"/>
    <w:rPr>
      <w:rFonts w:ascii="宋体" w:hAnsi="宋体" w:cs="Times New Roman"/>
      <w:b/>
      <w:color w:val="FF0000"/>
      <w:sz w:val="36"/>
      <w:szCs w:val="30"/>
    </w:rPr>
  </w:style>
  <w:style w:type="character" w:customStyle="1" w:styleId="79">
    <w:name w:val="纯文本 字符1"/>
    <w:link w:val="29"/>
    <w:qFormat/>
    <w:uiPriority w:val="0"/>
    <w:rPr>
      <w:rFonts w:ascii="宋体" w:hAnsi="Courier New" w:cs="Times New Roman"/>
      <w:sz w:val="21"/>
      <w:szCs w:val="20"/>
    </w:rPr>
  </w:style>
  <w:style w:type="character" w:customStyle="1" w:styleId="80">
    <w:name w:val="纯文本 字符"/>
    <w:basedOn w:val="60"/>
    <w:qFormat/>
    <w:uiPriority w:val="0"/>
    <w:rPr>
      <w:rFonts w:hAnsi="Courier New" w:cs="Courier New" w:asciiTheme="minorEastAsia" w:eastAsiaTheme="minorEastAsia"/>
      <w:sz w:val="21"/>
      <w:szCs w:val="24"/>
    </w:rPr>
  </w:style>
  <w:style w:type="paragraph" w:customStyle="1" w:styleId="81">
    <w:name w:val="B"/>
    <w:basedOn w:val="1"/>
    <w:qFormat/>
    <w:uiPriority w:val="0"/>
    <w:pPr>
      <w:adjustRightInd w:val="0"/>
      <w:spacing w:line="480" w:lineRule="atLeast"/>
      <w:ind w:firstLine="601"/>
      <w:jc w:val="center"/>
      <w:textAlignment w:val="baseline"/>
    </w:pPr>
    <w:rPr>
      <w:rFonts w:ascii="宋体"/>
      <w:kern w:val="0"/>
      <w:sz w:val="32"/>
      <w:szCs w:val="20"/>
    </w:rPr>
  </w:style>
  <w:style w:type="character" w:customStyle="1" w:styleId="82">
    <w:name w:val="正文文本缩进 2 字符"/>
    <w:basedOn w:val="60"/>
    <w:link w:val="33"/>
    <w:qFormat/>
    <w:uiPriority w:val="0"/>
    <w:rPr>
      <w:rFonts w:cs="Times New Roman"/>
      <w:sz w:val="21"/>
      <w:szCs w:val="20"/>
    </w:rPr>
  </w:style>
  <w:style w:type="character" w:customStyle="1" w:styleId="83">
    <w:name w:val="正文文本 字符"/>
    <w:basedOn w:val="60"/>
    <w:link w:val="23"/>
    <w:qFormat/>
    <w:uiPriority w:val="0"/>
    <w:rPr>
      <w:rFonts w:cs="Times New Roman"/>
      <w:sz w:val="21"/>
      <w:szCs w:val="20"/>
    </w:rPr>
  </w:style>
  <w:style w:type="paragraph" w:customStyle="1" w:styleId="84">
    <w:name w:val="A"/>
    <w:basedOn w:val="1"/>
    <w:qFormat/>
    <w:uiPriority w:val="0"/>
    <w:pPr>
      <w:adjustRightInd w:val="0"/>
      <w:spacing w:line="480" w:lineRule="atLeast"/>
      <w:ind w:firstLine="601"/>
      <w:jc w:val="center"/>
      <w:textAlignment w:val="baseline"/>
    </w:pPr>
    <w:rPr>
      <w:rFonts w:ascii="宋体"/>
      <w:kern w:val="0"/>
      <w:sz w:val="28"/>
      <w:szCs w:val="20"/>
    </w:rPr>
  </w:style>
  <w:style w:type="character" w:customStyle="1" w:styleId="85">
    <w:name w:val="批注框文本 字符"/>
    <w:basedOn w:val="60"/>
    <w:link w:val="35"/>
    <w:qFormat/>
    <w:uiPriority w:val="0"/>
    <w:rPr>
      <w:rFonts w:cs="Times New Roman"/>
      <w:sz w:val="18"/>
      <w:szCs w:val="18"/>
    </w:rPr>
  </w:style>
  <w:style w:type="character" w:customStyle="1" w:styleId="86">
    <w:name w:val="页脚 字符1"/>
    <w:link w:val="36"/>
    <w:qFormat/>
    <w:uiPriority w:val="99"/>
    <w:rPr>
      <w:rFonts w:cs="Times New Roman"/>
      <w:sz w:val="18"/>
      <w:szCs w:val="18"/>
    </w:rPr>
  </w:style>
  <w:style w:type="character" w:customStyle="1" w:styleId="87">
    <w:name w:val="页脚 字符"/>
    <w:basedOn w:val="60"/>
    <w:qFormat/>
    <w:uiPriority w:val="0"/>
    <w:rPr>
      <w:rFonts w:cs="Times New Roman"/>
      <w:sz w:val="18"/>
      <w:szCs w:val="18"/>
    </w:rPr>
  </w:style>
  <w:style w:type="paragraph" w:customStyle="1" w:styleId="88">
    <w:name w:val="目次、标准名称标题"/>
    <w:basedOn w:val="1"/>
    <w:next w:val="1"/>
    <w:qFormat/>
    <w:uiPriority w:val="0"/>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89">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9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91">
    <w:name w:val="Char Char1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92">
    <w:name w:val="实施日期"/>
    <w:basedOn w:val="90"/>
    <w:qFormat/>
    <w:uiPriority w:val="0"/>
    <w:pPr>
      <w:framePr w:hSpace="0" w:wrap="around" w:xAlign="right"/>
      <w:jc w:val="right"/>
    </w:pPr>
  </w:style>
  <w:style w:type="paragraph" w:customStyle="1" w:styleId="93">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character" w:customStyle="1" w:styleId="94">
    <w:name w:val="页眉 字符1"/>
    <w:link w:val="37"/>
    <w:qFormat/>
    <w:uiPriority w:val="99"/>
    <w:rPr>
      <w:rFonts w:cs="Times New Roman"/>
      <w:sz w:val="18"/>
      <w:szCs w:val="18"/>
    </w:rPr>
  </w:style>
  <w:style w:type="character" w:customStyle="1" w:styleId="95">
    <w:name w:val="页眉 字符"/>
    <w:basedOn w:val="60"/>
    <w:qFormat/>
    <w:uiPriority w:val="99"/>
    <w:rPr>
      <w:rFonts w:cs="Times New Roman"/>
      <w:sz w:val="18"/>
      <w:szCs w:val="18"/>
    </w:rPr>
  </w:style>
  <w:style w:type="character" w:customStyle="1" w:styleId="96">
    <w:name w:val="文档结构图 字符"/>
    <w:basedOn w:val="60"/>
    <w:link w:val="20"/>
    <w:qFormat/>
    <w:uiPriority w:val="0"/>
    <w:rPr>
      <w:rFonts w:cs="Times New Roman"/>
      <w:sz w:val="21"/>
      <w:szCs w:val="24"/>
      <w:shd w:val="clear" w:color="auto" w:fill="000080"/>
    </w:rPr>
  </w:style>
  <w:style w:type="paragraph" w:customStyle="1" w:styleId="97">
    <w:name w:val="p0"/>
    <w:basedOn w:val="1"/>
    <w:qFormat/>
    <w:uiPriority w:val="0"/>
    <w:pPr>
      <w:widowControl/>
    </w:pPr>
    <w:rPr>
      <w:kern w:val="0"/>
      <w:szCs w:val="21"/>
    </w:rPr>
  </w:style>
  <w:style w:type="character" w:customStyle="1" w:styleId="98">
    <w:name w:val="不明显强调1"/>
    <w:qFormat/>
    <w:uiPriority w:val="0"/>
    <w:rPr>
      <w:rFonts w:eastAsia="黑体"/>
      <w:iCs/>
      <w:color w:val="auto"/>
      <w:sz w:val="21"/>
    </w:rPr>
  </w:style>
  <w:style w:type="character" w:customStyle="1" w:styleId="99">
    <w:name w:val="批注文字 字符1"/>
    <w:link w:val="21"/>
    <w:qFormat/>
    <w:uiPriority w:val="0"/>
    <w:rPr>
      <w:sz w:val="21"/>
      <w:szCs w:val="24"/>
    </w:rPr>
  </w:style>
  <w:style w:type="character" w:customStyle="1" w:styleId="100">
    <w:name w:val="批注文字 字符"/>
    <w:basedOn w:val="60"/>
    <w:qFormat/>
    <w:uiPriority w:val="0"/>
    <w:rPr>
      <w:rFonts w:cs="Times New Roman"/>
      <w:sz w:val="21"/>
      <w:szCs w:val="24"/>
    </w:rPr>
  </w:style>
  <w:style w:type="character" w:customStyle="1" w:styleId="101">
    <w:name w:val="不明显强调2"/>
    <w:qFormat/>
    <w:uiPriority w:val="0"/>
    <w:rPr>
      <w:i/>
      <w:iCs/>
      <w:color w:val="808080"/>
    </w:rPr>
  </w:style>
  <w:style w:type="paragraph" w:customStyle="1" w:styleId="102">
    <w:name w:val="列出段落1"/>
    <w:basedOn w:val="1"/>
    <w:qFormat/>
    <w:uiPriority w:val="99"/>
    <w:pPr>
      <w:ind w:firstLine="420" w:firstLineChars="200"/>
    </w:pPr>
    <w:rPr>
      <w:rFonts w:ascii="Calibri" w:hAnsi="Calibri"/>
      <w:szCs w:val="22"/>
    </w:rPr>
  </w:style>
  <w:style w:type="character" w:customStyle="1" w:styleId="103">
    <w:name w:val="批注主题 字符1"/>
    <w:link w:val="54"/>
    <w:qFormat/>
    <w:uiPriority w:val="0"/>
    <w:rPr>
      <w:b/>
      <w:bCs/>
      <w:sz w:val="21"/>
      <w:szCs w:val="24"/>
    </w:rPr>
  </w:style>
  <w:style w:type="character" w:customStyle="1" w:styleId="104">
    <w:name w:val="批注主题 字符"/>
    <w:basedOn w:val="100"/>
    <w:qFormat/>
    <w:uiPriority w:val="0"/>
    <w:rPr>
      <w:rFonts w:cs="Times New Roman"/>
      <w:b/>
      <w:bCs/>
      <w:sz w:val="21"/>
      <w:szCs w:val="24"/>
    </w:rPr>
  </w:style>
  <w:style w:type="paragraph" w:customStyle="1" w:styleId="105">
    <w:name w:val="Char Char Char Char Char Char Char"/>
    <w:basedOn w:val="1"/>
    <w:qFormat/>
    <w:uiPriority w:val="0"/>
    <w:rPr>
      <w:rFonts w:ascii="Tahoma" w:hAnsi="Tahoma"/>
      <w:sz w:val="24"/>
    </w:rPr>
  </w:style>
  <w:style w:type="character" w:customStyle="1" w:styleId="106">
    <w:name w:val="Char Char2"/>
    <w:qFormat/>
    <w:uiPriority w:val="0"/>
    <w:rPr>
      <w:kern w:val="2"/>
      <w:sz w:val="21"/>
      <w:szCs w:val="24"/>
    </w:rPr>
  </w:style>
  <w:style w:type="paragraph" w:customStyle="1" w:styleId="107">
    <w:name w:val="WW-正文缩进"/>
    <w:basedOn w:val="1"/>
    <w:qFormat/>
    <w:uiPriority w:val="0"/>
    <w:pPr>
      <w:widowControl/>
      <w:suppressAutoHyphens/>
      <w:spacing w:line="360" w:lineRule="auto"/>
      <w:ind w:firstLine="420"/>
      <w:jc w:val="left"/>
    </w:pPr>
    <w:rPr>
      <w:rFonts w:ascii="Arial" w:hAnsi="Arial" w:cs="Calibri"/>
      <w:kern w:val="1"/>
      <w:lang w:eastAsia="ar-SA"/>
    </w:rPr>
  </w:style>
  <w:style w:type="character" w:customStyle="1" w:styleId="108">
    <w:name w:val="段 Char"/>
    <w:link w:val="42"/>
    <w:qFormat/>
    <w:uiPriority w:val="0"/>
    <w:rPr>
      <w:rFonts w:ascii="宋体" w:cs="Times New Roman"/>
      <w:kern w:val="0"/>
      <w:sz w:val="21"/>
      <w:szCs w:val="20"/>
    </w:rPr>
  </w:style>
  <w:style w:type="paragraph" w:customStyle="1" w:styleId="109">
    <w:name w:val="Char Char Char"/>
    <w:basedOn w:val="1"/>
    <w:qFormat/>
    <w:uiPriority w:val="0"/>
  </w:style>
  <w:style w:type="paragraph" w:customStyle="1" w:styleId="110">
    <w:name w:val="Char Char1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1">
    <w:name w:val="Char1 Char Char Char"/>
    <w:basedOn w:val="1"/>
    <w:qFormat/>
    <w:uiPriority w:val="0"/>
  </w:style>
  <w:style w:type="paragraph" w:customStyle="1" w:styleId="112">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1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14">
    <w:name w:val="标准书眉一"/>
    <w:qFormat/>
    <w:uiPriority w:val="0"/>
    <w:pPr>
      <w:jc w:val="both"/>
    </w:pPr>
    <w:rPr>
      <w:rFonts w:ascii="Times New Roman" w:hAnsi="Times New Roman" w:eastAsia="宋体" w:cs="Times New Roman"/>
      <w:lang w:val="en-US" w:eastAsia="zh-CN" w:bidi="ar-SA"/>
    </w:rPr>
  </w:style>
  <w:style w:type="paragraph" w:customStyle="1" w:styleId="115">
    <w:name w:val="章标题"/>
    <w:next w:val="42"/>
    <w:link w:val="440"/>
    <w:qFormat/>
    <w:uiPriority w:val="0"/>
    <w:pPr>
      <w:tabs>
        <w:tab w:val="left" w:pos="360"/>
      </w:tabs>
      <w:spacing w:beforeLines="50" w:afterLines="50"/>
      <w:jc w:val="both"/>
      <w:outlineLvl w:val="1"/>
    </w:pPr>
    <w:rPr>
      <w:rFonts w:ascii="黑体" w:hAnsi="Times New Roman" w:eastAsia="黑体" w:cs="Times New Roman"/>
      <w:sz w:val="21"/>
      <w:lang w:val="en-US" w:eastAsia="zh-CN" w:bidi="ar-SA"/>
    </w:rPr>
  </w:style>
  <w:style w:type="paragraph" w:customStyle="1" w:styleId="116">
    <w:name w:val="一级条标题"/>
    <w:basedOn w:val="115"/>
    <w:next w:val="42"/>
    <w:qFormat/>
    <w:uiPriority w:val="0"/>
    <w:pPr>
      <w:spacing w:beforeLines="0" w:afterLines="0"/>
      <w:outlineLvl w:val="2"/>
    </w:pPr>
  </w:style>
  <w:style w:type="paragraph" w:customStyle="1" w:styleId="117">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18">
    <w:name w:val="无标题条"/>
    <w:next w:val="42"/>
    <w:qFormat/>
    <w:uiPriority w:val="0"/>
    <w:pPr>
      <w:jc w:val="both"/>
    </w:pPr>
    <w:rPr>
      <w:rFonts w:ascii="Times New Roman" w:hAnsi="Times New Roman" w:eastAsia="宋体" w:cs="Times New Roman"/>
      <w:sz w:val="21"/>
      <w:lang w:val="en-US" w:eastAsia="zh-CN" w:bidi="ar-SA"/>
    </w:rPr>
  </w:style>
  <w:style w:type="paragraph" w:customStyle="1" w:styleId="119">
    <w:name w:val="2 Char"/>
    <w:basedOn w:val="1"/>
    <w:qFormat/>
    <w:uiPriority w:val="0"/>
  </w:style>
  <w:style w:type="paragraph" w:customStyle="1" w:styleId="120">
    <w:name w:val="Char Char Char Char Char Char Char Char Char Char Char Char Char Char Char Char Char Char Char Char Char Char Char Char"/>
    <w:basedOn w:val="1"/>
    <w:qFormat/>
    <w:uiPriority w:val="0"/>
    <w:pPr>
      <w:spacing w:line="360" w:lineRule="auto"/>
    </w:pPr>
  </w:style>
  <w:style w:type="character" w:customStyle="1" w:styleId="121">
    <w:name w:val="t141"/>
    <w:qFormat/>
    <w:uiPriority w:val="0"/>
    <w:rPr>
      <w:rFonts w:ascii="宋体" w:hAnsi="宋体" w:eastAsia="宋体"/>
      <w:sz w:val="24"/>
      <w:szCs w:val="24"/>
      <w:lang w:val="en-US" w:eastAsia="zh-CN" w:bidi="ar-SA"/>
    </w:rPr>
  </w:style>
  <w:style w:type="paragraph" w:customStyle="1" w:styleId="122">
    <w:name w:val="TOC 标题1"/>
    <w:basedOn w:val="2"/>
    <w:next w:val="1"/>
    <w:qFormat/>
    <w:uiPriority w:val="39"/>
    <w:pPr>
      <w:widowControl/>
      <w:autoSpaceDE/>
      <w:autoSpaceDN/>
      <w:adjustRightInd/>
      <w:spacing w:before="480" w:after="0" w:line="276" w:lineRule="auto"/>
      <w:textAlignment w:val="auto"/>
      <w:outlineLvl w:val="9"/>
    </w:pPr>
    <w:rPr>
      <w:rFonts w:ascii="Cambria" w:hAnsi="Cambria"/>
      <w:bCs/>
      <w:color w:val="365F91"/>
      <w:sz w:val="28"/>
      <w:szCs w:val="28"/>
    </w:rPr>
  </w:style>
  <w:style w:type="paragraph" w:customStyle="1" w:styleId="123">
    <w:name w:val="默认段落字体 Para Char Char Char Char"/>
    <w:basedOn w:val="1"/>
    <w:qFormat/>
    <w:uiPriority w:val="0"/>
    <w:pPr>
      <w:spacing w:line="500" w:lineRule="exact"/>
    </w:pPr>
    <w:rPr>
      <w:rFonts w:ascii="Arial" w:hAnsi="Arial" w:cs="Arial"/>
      <w:sz w:val="24"/>
      <w:szCs w:val="21"/>
    </w:rPr>
  </w:style>
  <w:style w:type="paragraph" w:customStyle="1" w:styleId="124">
    <w:name w:val="表格内容-左"/>
    <w:basedOn w:val="1"/>
    <w:qFormat/>
    <w:uiPriority w:val="0"/>
    <w:pPr>
      <w:widowControl/>
      <w:spacing w:line="288" w:lineRule="auto"/>
      <w:jc w:val="left"/>
    </w:pPr>
    <w:rPr>
      <w:rFonts w:cs="宋体"/>
      <w:color w:val="000000"/>
      <w:kern w:val="0"/>
      <w:sz w:val="18"/>
      <w:szCs w:val="18"/>
    </w:rPr>
  </w:style>
  <w:style w:type="paragraph" w:customStyle="1" w:styleId="125">
    <w:name w:val="_Style 8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6">
    <w:name w:val="列出段落11"/>
    <w:basedOn w:val="1"/>
    <w:qFormat/>
    <w:uiPriority w:val="0"/>
    <w:pPr>
      <w:ind w:firstLine="420" w:firstLineChars="200"/>
    </w:pPr>
    <w:rPr>
      <w:rFonts w:ascii="Calibri" w:hAnsi="Calibri"/>
    </w:rPr>
  </w:style>
  <w:style w:type="paragraph" w:customStyle="1" w:styleId="127">
    <w:name w:val="_Style 49"/>
    <w:next w:val="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8">
    <w:name w:val="标题 5 字符"/>
    <w:basedOn w:val="60"/>
    <w:qFormat/>
    <w:uiPriority w:val="9"/>
    <w:rPr>
      <w:rFonts w:cs="Times New Roman"/>
      <w:b/>
      <w:bCs/>
      <w:sz w:val="28"/>
      <w:szCs w:val="28"/>
    </w:rPr>
  </w:style>
  <w:style w:type="character" w:customStyle="1" w:styleId="129">
    <w:name w:val="标题 6 字符"/>
    <w:basedOn w:val="60"/>
    <w:qFormat/>
    <w:uiPriority w:val="0"/>
    <w:rPr>
      <w:rFonts w:asciiTheme="majorHAnsi" w:hAnsiTheme="majorHAnsi" w:eastAsiaTheme="majorEastAsia" w:cstheme="majorBidi"/>
      <w:b/>
      <w:bCs/>
      <w:szCs w:val="24"/>
    </w:rPr>
  </w:style>
  <w:style w:type="character" w:customStyle="1" w:styleId="130">
    <w:name w:val="标题 7 字符"/>
    <w:basedOn w:val="60"/>
    <w:qFormat/>
    <w:uiPriority w:val="0"/>
    <w:rPr>
      <w:rFonts w:cs="Times New Roman"/>
      <w:b/>
      <w:bCs/>
      <w:szCs w:val="24"/>
    </w:rPr>
  </w:style>
  <w:style w:type="character" w:customStyle="1" w:styleId="131">
    <w:name w:val="标题 9 字符"/>
    <w:basedOn w:val="60"/>
    <w:qFormat/>
    <w:uiPriority w:val="0"/>
    <w:rPr>
      <w:rFonts w:asciiTheme="majorHAnsi" w:hAnsiTheme="majorHAnsi" w:eastAsiaTheme="majorEastAsia" w:cstheme="majorBidi"/>
      <w:sz w:val="21"/>
      <w:szCs w:val="21"/>
    </w:rPr>
  </w:style>
  <w:style w:type="character" w:customStyle="1" w:styleId="132">
    <w:name w:val="页眉 Char"/>
    <w:qFormat/>
    <w:uiPriority w:val="99"/>
    <w:rPr>
      <w:sz w:val="18"/>
      <w:szCs w:val="18"/>
    </w:rPr>
  </w:style>
  <w:style w:type="character" w:customStyle="1" w:styleId="133">
    <w:name w:val="页脚 Char"/>
    <w:qFormat/>
    <w:uiPriority w:val="99"/>
    <w:rPr>
      <w:sz w:val="18"/>
      <w:szCs w:val="18"/>
    </w:rPr>
  </w:style>
  <w:style w:type="character" w:customStyle="1" w:styleId="134">
    <w:name w:val="标题 1 Char"/>
    <w:qFormat/>
    <w:uiPriority w:val="0"/>
    <w:rPr>
      <w:rFonts w:ascii="宋体" w:hAnsi="宋体" w:eastAsia="黑体"/>
      <w:b/>
      <w:bCs/>
      <w:kern w:val="44"/>
      <w:sz w:val="24"/>
      <w:szCs w:val="44"/>
    </w:rPr>
  </w:style>
  <w:style w:type="character" w:customStyle="1" w:styleId="135">
    <w:name w:val="标题 2 Char"/>
    <w:qFormat/>
    <w:uiPriority w:val="9"/>
    <w:rPr>
      <w:rFonts w:ascii="宋体" w:hAnsi="Arial"/>
      <w:bCs/>
      <w:kern w:val="2"/>
      <w:sz w:val="21"/>
      <w:szCs w:val="21"/>
    </w:rPr>
  </w:style>
  <w:style w:type="character" w:customStyle="1" w:styleId="136">
    <w:name w:val="标题 3 Char"/>
    <w:qFormat/>
    <w:uiPriority w:val="9"/>
    <w:rPr>
      <w:rFonts w:ascii="黑体" w:hAnsi="宋体"/>
      <w:bCs/>
      <w:kern w:val="2"/>
      <w:sz w:val="21"/>
      <w:szCs w:val="24"/>
    </w:rPr>
  </w:style>
  <w:style w:type="character" w:customStyle="1" w:styleId="137">
    <w:name w:val="标题 4 Char"/>
    <w:qFormat/>
    <w:uiPriority w:val="0"/>
    <w:rPr>
      <w:rFonts w:ascii="黑体" w:hAnsi="宋体"/>
      <w:kern w:val="2"/>
      <w:sz w:val="21"/>
      <w:szCs w:val="24"/>
    </w:rPr>
  </w:style>
  <w:style w:type="character" w:customStyle="1" w:styleId="138">
    <w:name w:val="标题 5 字符1"/>
    <w:link w:val="6"/>
    <w:qFormat/>
    <w:uiPriority w:val="9"/>
    <w:rPr>
      <w:rFonts w:ascii="宋体" w:hAnsi="宋体" w:cs="Times New Roman"/>
      <w:bCs/>
      <w:szCs w:val="24"/>
    </w:rPr>
  </w:style>
  <w:style w:type="character" w:customStyle="1" w:styleId="139">
    <w:name w:val="标题 6 字符1"/>
    <w:link w:val="7"/>
    <w:qFormat/>
    <w:uiPriority w:val="0"/>
    <w:rPr>
      <w:rFonts w:ascii="Arial" w:hAnsi="Arial" w:eastAsia="黑体" w:cs="Times New Roman"/>
      <w:b/>
      <w:kern w:val="0"/>
      <w:szCs w:val="21"/>
    </w:rPr>
  </w:style>
  <w:style w:type="character" w:customStyle="1" w:styleId="140">
    <w:name w:val="标题 7 字符1"/>
    <w:link w:val="8"/>
    <w:qFormat/>
    <w:uiPriority w:val="0"/>
    <w:rPr>
      <w:rFonts w:ascii="宋体" w:hAnsi="宋体" w:cs="Times New Roman"/>
      <w:b/>
      <w:kern w:val="0"/>
      <w:szCs w:val="21"/>
    </w:rPr>
  </w:style>
  <w:style w:type="character" w:customStyle="1" w:styleId="141">
    <w:name w:val="标题 8 Char"/>
    <w:qFormat/>
    <w:uiPriority w:val="0"/>
    <w:rPr>
      <w:rFonts w:ascii="Arial" w:hAnsi="Arial" w:eastAsia="黑体"/>
      <w:sz w:val="24"/>
      <w:szCs w:val="21"/>
    </w:rPr>
  </w:style>
  <w:style w:type="character" w:customStyle="1" w:styleId="142">
    <w:name w:val="标题 9 字符1"/>
    <w:link w:val="10"/>
    <w:qFormat/>
    <w:uiPriority w:val="0"/>
    <w:rPr>
      <w:rFonts w:ascii="Arial" w:hAnsi="Arial" w:eastAsia="黑体" w:cs="Times New Roman"/>
      <w:kern w:val="0"/>
      <w:sz w:val="21"/>
      <w:szCs w:val="21"/>
    </w:rPr>
  </w:style>
  <w:style w:type="paragraph" w:customStyle="1" w:styleId="14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4">
    <w:name w:val="二级条标题"/>
    <w:basedOn w:val="116"/>
    <w:next w:val="42"/>
    <w:qFormat/>
    <w:uiPriority w:val="0"/>
    <w:pPr>
      <w:spacing w:beforeLines="50" w:afterLines="50"/>
      <w:jc w:val="left"/>
      <w:outlineLvl w:val="3"/>
    </w:pPr>
    <w:rPr>
      <w:szCs w:val="21"/>
    </w:rPr>
  </w:style>
  <w:style w:type="paragraph" w:customStyle="1" w:styleId="14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46">
    <w:name w:val="列项——（一级）"/>
    <w:qFormat/>
    <w:uiPriority w:val="0"/>
    <w:pPr>
      <w:widowControl w:val="0"/>
      <w:numPr>
        <w:ilvl w:val="0"/>
        <w:numId w:val="6"/>
      </w:numPr>
      <w:jc w:val="both"/>
    </w:pPr>
    <w:rPr>
      <w:rFonts w:ascii="宋体" w:hAnsi="Times New Roman" w:eastAsia="宋体" w:cs="Times New Roman"/>
      <w:sz w:val="21"/>
      <w:lang w:val="en-US" w:eastAsia="zh-CN" w:bidi="ar-SA"/>
    </w:rPr>
  </w:style>
  <w:style w:type="paragraph" w:customStyle="1" w:styleId="147">
    <w:name w:val="列项●（二级）"/>
    <w:qFormat/>
    <w:uiPriority w:val="0"/>
    <w:pPr>
      <w:numPr>
        <w:ilvl w:val="1"/>
        <w:numId w:val="6"/>
      </w:numPr>
      <w:tabs>
        <w:tab w:val="left" w:pos="840"/>
      </w:tabs>
      <w:jc w:val="both"/>
    </w:pPr>
    <w:rPr>
      <w:rFonts w:ascii="宋体" w:hAnsi="Times New Roman" w:eastAsia="宋体" w:cs="Times New Roman"/>
      <w:sz w:val="21"/>
      <w:lang w:val="en-US" w:eastAsia="zh-CN" w:bidi="ar-SA"/>
    </w:rPr>
  </w:style>
  <w:style w:type="paragraph" w:customStyle="1" w:styleId="148">
    <w:name w:val="三级条标题"/>
    <w:basedOn w:val="144"/>
    <w:next w:val="42"/>
    <w:qFormat/>
    <w:uiPriority w:val="0"/>
    <w:pPr>
      <w:numPr>
        <w:ilvl w:val="0"/>
        <w:numId w:val="7"/>
      </w:numPr>
      <w:ind w:firstLine="0"/>
      <w:outlineLvl w:val="4"/>
    </w:pPr>
  </w:style>
  <w:style w:type="paragraph" w:customStyle="1" w:styleId="149">
    <w:name w:val="示例"/>
    <w:next w:val="150"/>
    <w:qFormat/>
    <w:uiPriority w:val="0"/>
    <w:pPr>
      <w:widowControl w:val="0"/>
      <w:numPr>
        <w:ilvl w:val="0"/>
        <w:numId w:val="1"/>
      </w:numPr>
      <w:jc w:val="both"/>
    </w:pPr>
    <w:rPr>
      <w:rFonts w:ascii="宋体" w:hAnsi="Times New Roman" w:eastAsia="宋体" w:cs="Times New Roman"/>
      <w:sz w:val="18"/>
      <w:szCs w:val="18"/>
      <w:lang w:val="en-US" w:eastAsia="zh-CN" w:bidi="ar-SA"/>
    </w:rPr>
  </w:style>
  <w:style w:type="paragraph" w:customStyle="1" w:styleId="15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51">
    <w:name w:val="四级条标题"/>
    <w:basedOn w:val="148"/>
    <w:next w:val="42"/>
    <w:qFormat/>
    <w:uiPriority w:val="0"/>
    <w:pPr>
      <w:outlineLvl w:val="5"/>
    </w:pPr>
  </w:style>
  <w:style w:type="paragraph" w:customStyle="1" w:styleId="152">
    <w:name w:val="五级条标题"/>
    <w:basedOn w:val="151"/>
    <w:next w:val="42"/>
    <w:qFormat/>
    <w:uiPriority w:val="0"/>
    <w:pPr>
      <w:outlineLvl w:val="6"/>
    </w:pPr>
  </w:style>
  <w:style w:type="paragraph" w:customStyle="1" w:styleId="153">
    <w:name w:val="注："/>
    <w:next w:val="42"/>
    <w:qFormat/>
    <w:uiPriority w:val="0"/>
    <w:pPr>
      <w:widowControl w:val="0"/>
      <w:numPr>
        <w:ilvl w:val="0"/>
        <w:numId w:val="8"/>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154">
    <w:name w:val="注×："/>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155">
    <w:name w:val="字母编号列项（一级）"/>
    <w:qFormat/>
    <w:uiPriority w:val="0"/>
    <w:pPr>
      <w:jc w:val="both"/>
    </w:pPr>
    <w:rPr>
      <w:rFonts w:ascii="宋体" w:hAnsi="Times New Roman" w:eastAsia="宋体" w:cs="Times New Roman"/>
      <w:sz w:val="21"/>
      <w:lang w:val="en-US" w:eastAsia="zh-CN" w:bidi="ar-SA"/>
    </w:rPr>
  </w:style>
  <w:style w:type="paragraph" w:customStyle="1" w:styleId="156">
    <w:name w:val="列项◆（三级）"/>
    <w:basedOn w:val="1"/>
    <w:qFormat/>
    <w:uiPriority w:val="0"/>
    <w:pPr>
      <w:numPr>
        <w:ilvl w:val="2"/>
        <w:numId w:val="6"/>
      </w:numPr>
    </w:pPr>
    <w:rPr>
      <w:rFonts w:ascii="宋体"/>
      <w:szCs w:val="21"/>
    </w:rPr>
  </w:style>
  <w:style w:type="paragraph" w:customStyle="1" w:styleId="157">
    <w:name w:val="编号列项（三级）"/>
    <w:qFormat/>
    <w:uiPriority w:val="0"/>
    <w:pPr>
      <w:tabs>
        <w:tab w:val="left" w:pos="0"/>
      </w:tabs>
      <w:ind w:left="1679" w:hanging="420"/>
    </w:pPr>
    <w:rPr>
      <w:rFonts w:ascii="宋体" w:hAnsi="Times New Roman" w:eastAsia="宋体" w:cs="Times New Roman"/>
      <w:sz w:val="21"/>
      <w:lang w:val="en-US" w:eastAsia="zh-CN" w:bidi="ar-SA"/>
    </w:rPr>
  </w:style>
  <w:style w:type="paragraph" w:customStyle="1" w:styleId="158">
    <w:name w:val="示例×："/>
    <w:basedOn w:val="115"/>
    <w:qFormat/>
    <w:uiPriority w:val="0"/>
    <w:pPr>
      <w:numPr>
        <w:ilvl w:val="0"/>
        <w:numId w:val="10"/>
      </w:numPr>
      <w:spacing w:beforeLines="0" w:afterLines="0"/>
      <w:outlineLvl w:val="9"/>
    </w:pPr>
    <w:rPr>
      <w:rFonts w:ascii="宋体" w:eastAsia="宋体"/>
      <w:sz w:val="18"/>
      <w:szCs w:val="18"/>
    </w:rPr>
  </w:style>
  <w:style w:type="paragraph" w:customStyle="1" w:styleId="159">
    <w:name w:val="二级无"/>
    <w:basedOn w:val="144"/>
    <w:qFormat/>
    <w:uiPriority w:val="0"/>
    <w:pPr>
      <w:spacing w:beforeLines="0" w:afterLines="0"/>
    </w:pPr>
    <w:rPr>
      <w:rFonts w:ascii="宋体" w:eastAsia="宋体"/>
    </w:rPr>
  </w:style>
  <w:style w:type="paragraph" w:customStyle="1" w:styleId="160">
    <w:name w:val="注：（正文）"/>
    <w:basedOn w:val="153"/>
    <w:next w:val="42"/>
    <w:qFormat/>
    <w:uiPriority w:val="0"/>
  </w:style>
  <w:style w:type="paragraph" w:customStyle="1" w:styleId="161">
    <w:name w:val="注×：（正文）"/>
    <w:qFormat/>
    <w:uiPriority w:val="0"/>
    <w:pPr>
      <w:numPr>
        <w:ilvl w:val="0"/>
        <w:numId w:val="11"/>
      </w:numPr>
      <w:jc w:val="both"/>
    </w:pPr>
    <w:rPr>
      <w:rFonts w:ascii="宋体" w:hAnsi="Times New Roman" w:eastAsia="宋体" w:cs="Times New Roman"/>
      <w:sz w:val="18"/>
      <w:szCs w:val="18"/>
      <w:lang w:val="en-US" w:eastAsia="zh-CN" w:bidi="ar-SA"/>
    </w:rPr>
  </w:style>
  <w:style w:type="paragraph" w:customStyle="1" w:styleId="16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63">
    <w:name w:val="标准书眉_偶数页"/>
    <w:basedOn w:val="143"/>
    <w:next w:val="1"/>
    <w:qFormat/>
    <w:uiPriority w:val="0"/>
    <w:pPr>
      <w:jc w:val="left"/>
    </w:pPr>
  </w:style>
  <w:style w:type="paragraph" w:customStyle="1" w:styleId="164">
    <w:name w:val="参考文献"/>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65">
    <w:name w:val="参考文献、索引标题"/>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166">
    <w:name w:val="发布"/>
    <w:qFormat/>
    <w:uiPriority w:val="0"/>
    <w:rPr>
      <w:rFonts w:ascii="黑体" w:eastAsia="黑体"/>
      <w:spacing w:val="85"/>
      <w:w w:val="100"/>
      <w:position w:val="3"/>
      <w:sz w:val="28"/>
      <w:szCs w:val="28"/>
    </w:rPr>
  </w:style>
  <w:style w:type="paragraph" w:customStyle="1" w:styleId="167">
    <w:name w:val="发布部门"/>
    <w:next w:val="42"/>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68">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6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7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1">
    <w:name w:val="封面标准英文名称"/>
    <w:basedOn w:val="170"/>
    <w:qFormat/>
    <w:uiPriority w:val="0"/>
    <w:pPr>
      <w:framePr w:wrap="around"/>
      <w:spacing w:before="370" w:line="400" w:lineRule="exact"/>
    </w:pPr>
    <w:rPr>
      <w:rFonts w:ascii="Times New Roman"/>
      <w:sz w:val="28"/>
      <w:szCs w:val="28"/>
    </w:rPr>
  </w:style>
  <w:style w:type="paragraph" w:customStyle="1" w:styleId="172">
    <w:name w:val="封面一致性程度标识"/>
    <w:basedOn w:val="171"/>
    <w:qFormat/>
    <w:uiPriority w:val="0"/>
    <w:pPr>
      <w:framePr w:wrap="around"/>
      <w:spacing w:before="440"/>
    </w:pPr>
    <w:rPr>
      <w:rFonts w:ascii="宋体" w:eastAsia="宋体"/>
    </w:rPr>
  </w:style>
  <w:style w:type="paragraph" w:customStyle="1" w:styleId="173">
    <w:name w:val="封面标准文稿类别"/>
    <w:basedOn w:val="172"/>
    <w:qFormat/>
    <w:uiPriority w:val="0"/>
    <w:pPr>
      <w:framePr w:wrap="around"/>
      <w:spacing w:after="160" w:line="240" w:lineRule="auto"/>
    </w:pPr>
    <w:rPr>
      <w:sz w:val="24"/>
    </w:rPr>
  </w:style>
  <w:style w:type="paragraph" w:customStyle="1" w:styleId="174">
    <w:name w:val="封面标准文稿编辑信息"/>
    <w:basedOn w:val="173"/>
    <w:qFormat/>
    <w:uiPriority w:val="0"/>
    <w:pPr>
      <w:framePr w:wrap="around"/>
      <w:spacing w:before="180" w:line="180" w:lineRule="exact"/>
    </w:pPr>
    <w:rPr>
      <w:sz w:val="21"/>
    </w:rPr>
  </w:style>
  <w:style w:type="paragraph" w:customStyle="1" w:styleId="175">
    <w:name w:val="封面正文"/>
    <w:qFormat/>
    <w:uiPriority w:val="0"/>
    <w:pPr>
      <w:jc w:val="both"/>
    </w:pPr>
    <w:rPr>
      <w:rFonts w:ascii="Times New Roman" w:hAnsi="Times New Roman" w:eastAsia="宋体" w:cs="Times New Roman"/>
      <w:lang w:val="en-US" w:eastAsia="zh-CN" w:bidi="ar-SA"/>
    </w:rPr>
  </w:style>
  <w:style w:type="paragraph" w:customStyle="1" w:styleId="176">
    <w:name w:val="附录标识"/>
    <w:basedOn w:val="1"/>
    <w:next w:val="42"/>
    <w:link w:val="444"/>
    <w:qFormat/>
    <w:uiPriority w:val="0"/>
    <w:pPr>
      <w:keepNext/>
      <w:widowControl/>
      <w:numPr>
        <w:ilvl w:val="0"/>
        <w:numId w:val="1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77">
    <w:name w:val="附录标题"/>
    <w:basedOn w:val="42"/>
    <w:next w:val="42"/>
    <w:qFormat/>
    <w:uiPriority w:val="0"/>
    <w:pPr>
      <w:tabs>
        <w:tab w:val="center" w:pos="4201"/>
        <w:tab w:val="right" w:leader="dot" w:pos="9298"/>
      </w:tabs>
      <w:autoSpaceDE w:val="0"/>
      <w:autoSpaceDN w:val="0"/>
      <w:ind w:firstLine="0" w:firstLineChars="0"/>
      <w:jc w:val="center"/>
    </w:pPr>
    <w:rPr>
      <w:rFonts w:ascii="黑体" w:eastAsia="黑体"/>
    </w:rPr>
  </w:style>
  <w:style w:type="paragraph" w:customStyle="1" w:styleId="178">
    <w:name w:val="附录表标号"/>
    <w:basedOn w:val="1"/>
    <w:next w:val="42"/>
    <w:qFormat/>
    <w:uiPriority w:val="0"/>
    <w:pPr>
      <w:numPr>
        <w:ilvl w:val="0"/>
        <w:numId w:val="13"/>
      </w:numPr>
      <w:tabs>
        <w:tab w:val="clear" w:pos="0"/>
      </w:tabs>
      <w:spacing w:line="14" w:lineRule="exact"/>
      <w:ind w:left="811" w:hanging="448"/>
      <w:jc w:val="center"/>
      <w:outlineLvl w:val="0"/>
    </w:pPr>
    <w:rPr>
      <w:color w:val="FFFFFF"/>
    </w:rPr>
  </w:style>
  <w:style w:type="paragraph" w:customStyle="1" w:styleId="179">
    <w:name w:val="附录表标题"/>
    <w:basedOn w:val="1"/>
    <w:next w:val="42"/>
    <w:qFormat/>
    <w:uiPriority w:val="0"/>
    <w:pPr>
      <w:numPr>
        <w:ilvl w:val="1"/>
        <w:numId w:val="13"/>
      </w:numPr>
      <w:tabs>
        <w:tab w:val="left" w:pos="180"/>
      </w:tabs>
      <w:spacing w:beforeLines="50" w:afterLines="50"/>
      <w:ind w:left="0" w:firstLine="0"/>
      <w:jc w:val="center"/>
    </w:pPr>
    <w:rPr>
      <w:rFonts w:ascii="黑体" w:eastAsia="黑体"/>
      <w:szCs w:val="21"/>
    </w:rPr>
  </w:style>
  <w:style w:type="paragraph" w:customStyle="1" w:styleId="180">
    <w:name w:val="附录二级条标题"/>
    <w:basedOn w:val="1"/>
    <w:next w:val="42"/>
    <w:qFormat/>
    <w:uiPriority w:val="0"/>
    <w:pPr>
      <w:widowControl/>
      <w:numPr>
        <w:ilvl w:val="3"/>
        <w:numId w:val="12"/>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81">
    <w:name w:val="附录二级无"/>
    <w:basedOn w:val="180"/>
    <w:qFormat/>
    <w:uiPriority w:val="0"/>
    <w:pPr>
      <w:tabs>
        <w:tab w:val="clear" w:pos="360"/>
      </w:tabs>
      <w:spacing w:beforeLines="0" w:afterLines="0"/>
    </w:pPr>
    <w:rPr>
      <w:rFonts w:ascii="宋体" w:eastAsia="宋体"/>
      <w:szCs w:val="21"/>
    </w:rPr>
  </w:style>
  <w:style w:type="paragraph" w:customStyle="1" w:styleId="182">
    <w:name w:val="附录公式"/>
    <w:basedOn w:val="42"/>
    <w:next w:val="42"/>
    <w:link w:val="183"/>
    <w:qFormat/>
    <w:uiPriority w:val="0"/>
    <w:pPr>
      <w:tabs>
        <w:tab w:val="center" w:pos="4201"/>
        <w:tab w:val="right" w:leader="dot" w:pos="9298"/>
      </w:tabs>
      <w:autoSpaceDE w:val="0"/>
      <w:autoSpaceDN w:val="0"/>
      <w:ind w:firstLine="420"/>
    </w:pPr>
  </w:style>
  <w:style w:type="character" w:customStyle="1" w:styleId="183">
    <w:name w:val="附录公式 Char"/>
    <w:link w:val="182"/>
    <w:qFormat/>
    <w:uiPriority w:val="0"/>
    <w:rPr>
      <w:rFonts w:ascii="宋体" w:cs="Times New Roman"/>
      <w:kern w:val="0"/>
      <w:sz w:val="21"/>
      <w:szCs w:val="20"/>
    </w:rPr>
  </w:style>
  <w:style w:type="paragraph" w:customStyle="1" w:styleId="184">
    <w:name w:val="附录公式编号制表符"/>
    <w:basedOn w:val="1"/>
    <w:next w:val="42"/>
    <w:qFormat/>
    <w:uiPriority w:val="0"/>
    <w:pPr>
      <w:widowControl/>
      <w:tabs>
        <w:tab w:val="center" w:pos="4201"/>
        <w:tab w:val="right" w:leader="dot" w:pos="9298"/>
      </w:tabs>
      <w:autoSpaceDE w:val="0"/>
      <w:autoSpaceDN w:val="0"/>
    </w:pPr>
    <w:rPr>
      <w:rFonts w:ascii="宋体"/>
      <w:kern w:val="0"/>
      <w:szCs w:val="20"/>
    </w:rPr>
  </w:style>
  <w:style w:type="paragraph" w:customStyle="1" w:styleId="185">
    <w:name w:val="附录三级条标题"/>
    <w:basedOn w:val="180"/>
    <w:next w:val="42"/>
    <w:qFormat/>
    <w:uiPriority w:val="0"/>
    <w:pPr>
      <w:numPr>
        <w:ilvl w:val="4"/>
      </w:numPr>
      <w:outlineLvl w:val="4"/>
    </w:pPr>
  </w:style>
  <w:style w:type="paragraph" w:customStyle="1" w:styleId="186">
    <w:name w:val="附录三级无"/>
    <w:basedOn w:val="185"/>
    <w:qFormat/>
    <w:uiPriority w:val="0"/>
    <w:pPr>
      <w:tabs>
        <w:tab w:val="clear" w:pos="360"/>
      </w:tabs>
      <w:spacing w:beforeLines="0" w:afterLines="0"/>
    </w:pPr>
    <w:rPr>
      <w:rFonts w:ascii="宋体" w:eastAsia="宋体"/>
      <w:szCs w:val="21"/>
    </w:rPr>
  </w:style>
  <w:style w:type="paragraph" w:customStyle="1" w:styleId="187">
    <w:name w:val="附录数字编号列项（二级）"/>
    <w:qFormat/>
    <w:uiPriority w:val="0"/>
    <w:pPr>
      <w:numPr>
        <w:ilvl w:val="1"/>
        <w:numId w:val="14"/>
      </w:numPr>
    </w:pPr>
    <w:rPr>
      <w:rFonts w:ascii="宋体" w:hAnsi="Times New Roman" w:eastAsia="宋体" w:cs="Times New Roman"/>
      <w:sz w:val="21"/>
      <w:lang w:val="en-US" w:eastAsia="zh-CN" w:bidi="ar-SA"/>
    </w:rPr>
  </w:style>
  <w:style w:type="paragraph" w:customStyle="1" w:styleId="188">
    <w:name w:val="附录四级条标题"/>
    <w:basedOn w:val="185"/>
    <w:next w:val="42"/>
    <w:qFormat/>
    <w:uiPriority w:val="0"/>
    <w:pPr>
      <w:numPr>
        <w:ilvl w:val="5"/>
      </w:numPr>
      <w:outlineLvl w:val="5"/>
    </w:pPr>
  </w:style>
  <w:style w:type="paragraph" w:customStyle="1" w:styleId="189">
    <w:name w:val="附录四级无"/>
    <w:basedOn w:val="188"/>
    <w:qFormat/>
    <w:uiPriority w:val="0"/>
    <w:pPr>
      <w:tabs>
        <w:tab w:val="clear" w:pos="360"/>
      </w:tabs>
      <w:spacing w:beforeLines="0" w:afterLines="0"/>
    </w:pPr>
    <w:rPr>
      <w:rFonts w:ascii="宋体" w:eastAsia="宋体"/>
      <w:szCs w:val="21"/>
    </w:rPr>
  </w:style>
  <w:style w:type="paragraph" w:customStyle="1" w:styleId="190">
    <w:name w:val="附录图标号"/>
    <w:basedOn w:val="1"/>
    <w:qFormat/>
    <w:uiPriority w:val="0"/>
    <w:pPr>
      <w:keepNext/>
      <w:pageBreakBefore/>
      <w:widowControl/>
      <w:numPr>
        <w:ilvl w:val="0"/>
        <w:numId w:val="15"/>
      </w:numPr>
      <w:spacing w:line="14" w:lineRule="exact"/>
      <w:ind w:left="0" w:firstLine="363"/>
      <w:jc w:val="center"/>
      <w:outlineLvl w:val="0"/>
    </w:pPr>
    <w:rPr>
      <w:color w:val="FFFFFF"/>
    </w:rPr>
  </w:style>
  <w:style w:type="paragraph" w:customStyle="1" w:styleId="191">
    <w:name w:val="附录图标题"/>
    <w:basedOn w:val="1"/>
    <w:next w:val="42"/>
    <w:qFormat/>
    <w:uiPriority w:val="0"/>
    <w:pPr>
      <w:numPr>
        <w:ilvl w:val="1"/>
        <w:numId w:val="15"/>
      </w:numPr>
      <w:tabs>
        <w:tab w:val="left" w:pos="363"/>
      </w:tabs>
      <w:spacing w:beforeLines="50" w:afterLines="50"/>
      <w:ind w:left="0" w:firstLine="0"/>
      <w:jc w:val="center"/>
    </w:pPr>
    <w:rPr>
      <w:rFonts w:ascii="黑体" w:eastAsia="黑体"/>
      <w:szCs w:val="21"/>
    </w:rPr>
  </w:style>
  <w:style w:type="paragraph" w:customStyle="1" w:styleId="192">
    <w:name w:val="附录五级条标题"/>
    <w:basedOn w:val="188"/>
    <w:next w:val="42"/>
    <w:qFormat/>
    <w:uiPriority w:val="0"/>
    <w:pPr>
      <w:numPr>
        <w:ilvl w:val="6"/>
      </w:numPr>
      <w:outlineLvl w:val="6"/>
    </w:pPr>
  </w:style>
  <w:style w:type="paragraph" w:customStyle="1" w:styleId="193">
    <w:name w:val="附录五级无"/>
    <w:basedOn w:val="192"/>
    <w:qFormat/>
    <w:uiPriority w:val="0"/>
    <w:pPr>
      <w:tabs>
        <w:tab w:val="clear" w:pos="360"/>
      </w:tabs>
      <w:spacing w:beforeLines="0" w:afterLines="0"/>
    </w:pPr>
    <w:rPr>
      <w:rFonts w:ascii="宋体" w:eastAsia="宋体"/>
      <w:szCs w:val="21"/>
    </w:rPr>
  </w:style>
  <w:style w:type="paragraph" w:customStyle="1" w:styleId="194">
    <w:name w:val="附录章标题"/>
    <w:next w:val="42"/>
    <w:qFormat/>
    <w:uiPriority w:val="0"/>
    <w:pPr>
      <w:numPr>
        <w:ilvl w:val="1"/>
        <w:numId w:val="12"/>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95">
    <w:name w:val="附录一级条标题"/>
    <w:basedOn w:val="194"/>
    <w:next w:val="42"/>
    <w:qFormat/>
    <w:uiPriority w:val="0"/>
    <w:pPr>
      <w:numPr>
        <w:ilvl w:val="2"/>
      </w:numPr>
      <w:autoSpaceDN w:val="0"/>
      <w:spacing w:beforeLines="50" w:afterLines="50"/>
      <w:outlineLvl w:val="2"/>
    </w:pPr>
  </w:style>
  <w:style w:type="paragraph" w:customStyle="1" w:styleId="196">
    <w:name w:val="附录一级无"/>
    <w:basedOn w:val="195"/>
    <w:qFormat/>
    <w:uiPriority w:val="0"/>
    <w:pPr>
      <w:tabs>
        <w:tab w:val="clear" w:pos="360"/>
      </w:tabs>
      <w:spacing w:beforeLines="0" w:afterLines="0"/>
    </w:pPr>
    <w:rPr>
      <w:rFonts w:ascii="宋体" w:eastAsia="宋体"/>
      <w:szCs w:val="21"/>
    </w:rPr>
  </w:style>
  <w:style w:type="paragraph" w:customStyle="1" w:styleId="197">
    <w:name w:val="附录字母编号列项（一级）"/>
    <w:qFormat/>
    <w:uiPriority w:val="0"/>
    <w:pPr>
      <w:numPr>
        <w:ilvl w:val="0"/>
        <w:numId w:val="14"/>
      </w:numPr>
    </w:pPr>
    <w:rPr>
      <w:rFonts w:ascii="宋体" w:hAnsi="Times New Roman" w:eastAsia="宋体" w:cs="Times New Roman"/>
      <w:sz w:val="21"/>
      <w:lang w:val="en-US" w:eastAsia="zh-CN" w:bidi="ar-SA"/>
    </w:rPr>
  </w:style>
  <w:style w:type="character" w:customStyle="1" w:styleId="198">
    <w:name w:val="脚注文本 字符"/>
    <w:basedOn w:val="60"/>
    <w:semiHidden/>
    <w:qFormat/>
    <w:uiPriority w:val="99"/>
    <w:rPr>
      <w:rFonts w:cs="Times New Roman"/>
      <w:sz w:val="18"/>
      <w:szCs w:val="18"/>
    </w:rPr>
  </w:style>
  <w:style w:type="character" w:customStyle="1" w:styleId="199">
    <w:name w:val="脚注文本 字符1"/>
    <w:link w:val="44"/>
    <w:qFormat/>
    <w:uiPriority w:val="0"/>
    <w:rPr>
      <w:rFonts w:ascii="宋体"/>
      <w:kern w:val="2"/>
      <w:sz w:val="18"/>
      <w:szCs w:val="18"/>
    </w:rPr>
  </w:style>
  <w:style w:type="paragraph" w:customStyle="1" w:styleId="200">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01">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20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03">
    <w:name w:val="其他标准标志"/>
    <w:basedOn w:val="162"/>
    <w:qFormat/>
    <w:uiPriority w:val="0"/>
    <w:pPr>
      <w:framePr w:w="6101" w:wrap="around" w:vAnchor="page" w:hAnchor="page" w:x="4673" w:y="942"/>
    </w:pPr>
    <w:rPr>
      <w:w w:val="130"/>
    </w:rPr>
  </w:style>
  <w:style w:type="paragraph" w:customStyle="1" w:styleId="20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05">
    <w:name w:val="前言、引言标题"/>
    <w:next w:val="42"/>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06">
    <w:name w:val="三级无"/>
    <w:basedOn w:val="148"/>
    <w:qFormat/>
    <w:uiPriority w:val="0"/>
    <w:pPr>
      <w:spacing w:beforeLines="0" w:afterLines="0"/>
    </w:pPr>
    <w:rPr>
      <w:rFonts w:ascii="宋体" w:eastAsia="宋体"/>
    </w:rPr>
  </w:style>
  <w:style w:type="paragraph" w:customStyle="1" w:styleId="207">
    <w:name w:val="示例后文字"/>
    <w:basedOn w:val="42"/>
    <w:next w:val="42"/>
    <w:qFormat/>
    <w:uiPriority w:val="0"/>
    <w:pPr>
      <w:tabs>
        <w:tab w:val="center" w:pos="4201"/>
        <w:tab w:val="right" w:leader="dot" w:pos="9298"/>
      </w:tabs>
      <w:autoSpaceDE w:val="0"/>
      <w:autoSpaceDN w:val="0"/>
      <w:ind w:firstLine="360"/>
    </w:pPr>
    <w:rPr>
      <w:sz w:val="18"/>
    </w:rPr>
  </w:style>
  <w:style w:type="paragraph" w:customStyle="1" w:styleId="208">
    <w:name w:val="首示例"/>
    <w:next w:val="42"/>
    <w:link w:val="209"/>
    <w:qFormat/>
    <w:uiPriority w:val="0"/>
    <w:pPr>
      <w:numPr>
        <w:ilvl w:val="0"/>
        <w:numId w:val="16"/>
      </w:numPr>
      <w:tabs>
        <w:tab w:val="left" w:pos="360"/>
      </w:tabs>
      <w:ind w:firstLine="0"/>
    </w:pPr>
    <w:rPr>
      <w:rFonts w:ascii="宋体" w:hAnsi="宋体" w:eastAsia="宋体" w:cs="Times New Roman"/>
      <w:kern w:val="2"/>
      <w:sz w:val="18"/>
      <w:szCs w:val="18"/>
      <w:lang w:val="en-US" w:eastAsia="zh-CN" w:bidi="ar-SA"/>
    </w:rPr>
  </w:style>
  <w:style w:type="character" w:customStyle="1" w:styleId="209">
    <w:name w:val="首示例 Char"/>
    <w:link w:val="208"/>
    <w:qFormat/>
    <w:uiPriority w:val="0"/>
    <w:rPr>
      <w:rFonts w:ascii="宋体" w:hAnsi="宋体"/>
      <w:kern w:val="2"/>
      <w:sz w:val="18"/>
      <w:szCs w:val="18"/>
    </w:rPr>
  </w:style>
  <w:style w:type="paragraph" w:customStyle="1" w:styleId="210">
    <w:name w:val="四级无"/>
    <w:basedOn w:val="151"/>
    <w:qFormat/>
    <w:uiPriority w:val="0"/>
    <w:pPr>
      <w:numPr>
        <w:ilvl w:val="0"/>
        <w:numId w:val="17"/>
      </w:numPr>
      <w:spacing w:beforeLines="0" w:afterLines="0"/>
      <w:ind w:firstLine="0"/>
    </w:pPr>
    <w:rPr>
      <w:rFonts w:ascii="宋体" w:eastAsia="宋体"/>
    </w:rPr>
  </w:style>
  <w:style w:type="paragraph" w:customStyle="1" w:styleId="211">
    <w:name w:val="条文脚注"/>
    <w:basedOn w:val="44"/>
    <w:qFormat/>
    <w:uiPriority w:val="0"/>
    <w:pPr>
      <w:numPr>
        <w:numId w:val="0"/>
      </w:numPr>
      <w:jc w:val="both"/>
    </w:pPr>
  </w:style>
  <w:style w:type="paragraph" w:customStyle="1" w:styleId="212">
    <w:name w:val="图标脚注说明"/>
    <w:basedOn w:val="42"/>
    <w:qFormat/>
    <w:uiPriority w:val="0"/>
    <w:pPr>
      <w:tabs>
        <w:tab w:val="center" w:pos="4201"/>
        <w:tab w:val="right" w:leader="dot" w:pos="9298"/>
      </w:tabs>
      <w:autoSpaceDE w:val="0"/>
      <w:autoSpaceDN w:val="0"/>
      <w:ind w:left="840" w:hanging="420" w:firstLineChars="0"/>
    </w:pPr>
    <w:rPr>
      <w:sz w:val="18"/>
      <w:szCs w:val="18"/>
    </w:rPr>
  </w:style>
  <w:style w:type="paragraph" w:customStyle="1" w:styleId="213">
    <w:name w:val="图表脚注说明"/>
    <w:basedOn w:val="1"/>
    <w:qFormat/>
    <w:uiPriority w:val="0"/>
    <w:pPr>
      <w:numPr>
        <w:ilvl w:val="0"/>
        <w:numId w:val="18"/>
      </w:numPr>
    </w:pPr>
    <w:rPr>
      <w:rFonts w:ascii="宋体"/>
      <w:sz w:val="18"/>
      <w:szCs w:val="18"/>
    </w:rPr>
  </w:style>
  <w:style w:type="paragraph" w:customStyle="1" w:styleId="214">
    <w:name w:val="图的脚注"/>
    <w:next w:val="42"/>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character" w:customStyle="1" w:styleId="215">
    <w:name w:val="尾注文本 字符"/>
    <w:basedOn w:val="60"/>
    <w:semiHidden/>
    <w:qFormat/>
    <w:uiPriority w:val="99"/>
    <w:rPr>
      <w:rFonts w:cs="Times New Roman"/>
      <w:sz w:val="21"/>
      <w:szCs w:val="24"/>
    </w:rPr>
  </w:style>
  <w:style w:type="character" w:customStyle="1" w:styleId="216">
    <w:name w:val="尾注文本 字符1"/>
    <w:link w:val="34"/>
    <w:semiHidden/>
    <w:qFormat/>
    <w:uiPriority w:val="0"/>
    <w:rPr>
      <w:rFonts w:cs="Times New Roman"/>
      <w:sz w:val="21"/>
      <w:szCs w:val="24"/>
    </w:rPr>
  </w:style>
  <w:style w:type="character" w:customStyle="1" w:styleId="217">
    <w:name w:val="文档结构图 Char"/>
    <w:qFormat/>
    <w:uiPriority w:val="0"/>
    <w:rPr>
      <w:rFonts w:ascii="Times New Roman" w:hAnsi="Times New Roman"/>
      <w:kern w:val="2"/>
      <w:sz w:val="21"/>
      <w:szCs w:val="24"/>
      <w:shd w:val="clear" w:color="auto" w:fill="000080"/>
    </w:rPr>
  </w:style>
  <w:style w:type="paragraph" w:customStyle="1" w:styleId="218">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219">
    <w:name w:val="五级无"/>
    <w:basedOn w:val="152"/>
    <w:qFormat/>
    <w:uiPriority w:val="0"/>
    <w:pPr>
      <w:spacing w:beforeLines="0" w:afterLines="0"/>
    </w:pPr>
    <w:rPr>
      <w:rFonts w:ascii="宋体" w:eastAsia="宋体"/>
    </w:rPr>
  </w:style>
  <w:style w:type="paragraph" w:customStyle="1" w:styleId="220">
    <w:name w:val="一级无"/>
    <w:basedOn w:val="116"/>
    <w:qFormat/>
    <w:uiPriority w:val="0"/>
    <w:pPr>
      <w:jc w:val="left"/>
    </w:pPr>
    <w:rPr>
      <w:rFonts w:ascii="宋体" w:eastAsia="宋体"/>
      <w:szCs w:val="21"/>
    </w:rPr>
  </w:style>
  <w:style w:type="paragraph" w:customStyle="1" w:styleId="221">
    <w:name w:val="正文表标题"/>
    <w:next w:val="42"/>
    <w:qFormat/>
    <w:uiPriority w:val="0"/>
    <w:pPr>
      <w:numPr>
        <w:ilvl w:val="0"/>
        <w:numId w:val="19"/>
      </w:numPr>
      <w:spacing w:beforeLines="50" w:afterLines="50"/>
      <w:jc w:val="center"/>
    </w:pPr>
    <w:rPr>
      <w:rFonts w:ascii="黑体" w:hAnsi="Times New Roman" w:eastAsia="黑体" w:cs="Times New Roman"/>
      <w:sz w:val="21"/>
      <w:lang w:val="en-US" w:eastAsia="zh-CN" w:bidi="ar-SA"/>
    </w:rPr>
  </w:style>
  <w:style w:type="paragraph" w:customStyle="1" w:styleId="222">
    <w:name w:val="正文公式编号制表符"/>
    <w:basedOn w:val="42"/>
    <w:next w:val="42"/>
    <w:qFormat/>
    <w:uiPriority w:val="0"/>
    <w:pPr>
      <w:tabs>
        <w:tab w:val="center" w:pos="4201"/>
        <w:tab w:val="right" w:leader="dot" w:pos="9298"/>
      </w:tabs>
      <w:autoSpaceDE w:val="0"/>
      <w:autoSpaceDN w:val="0"/>
      <w:ind w:firstLine="0" w:firstLineChars="0"/>
    </w:pPr>
  </w:style>
  <w:style w:type="paragraph" w:customStyle="1" w:styleId="223">
    <w:name w:val="正文图标题"/>
    <w:next w:val="42"/>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224">
    <w:name w:val="终结线"/>
    <w:basedOn w:val="1"/>
    <w:qFormat/>
    <w:uiPriority w:val="0"/>
    <w:pPr>
      <w:framePr w:hSpace="181" w:vSpace="181" w:wrap="around" w:vAnchor="text" w:hAnchor="margin" w:xAlign="center" w:y="285"/>
    </w:pPr>
  </w:style>
  <w:style w:type="paragraph" w:customStyle="1" w:styleId="225">
    <w:name w:val="其他发布日期"/>
    <w:basedOn w:val="90"/>
    <w:qFormat/>
    <w:uiPriority w:val="0"/>
    <w:pPr>
      <w:framePr w:w="3997" w:h="471" w:hRule="exact" w:hSpace="0" w:vSpace="181" w:wrap="around" w:vAnchor="page" w:hAnchor="page" w:x="1419" w:y="14097"/>
    </w:pPr>
  </w:style>
  <w:style w:type="paragraph" w:customStyle="1" w:styleId="226">
    <w:name w:val="其他实施日期"/>
    <w:basedOn w:val="92"/>
    <w:qFormat/>
    <w:uiPriority w:val="0"/>
    <w:pPr>
      <w:framePr w:w="3997" w:h="471" w:hRule="exact" w:vSpace="181" w:wrap="around" w:vAnchor="page" w:hAnchor="page" w:x="7089" w:y="14097"/>
    </w:pPr>
  </w:style>
  <w:style w:type="paragraph" w:customStyle="1" w:styleId="227">
    <w:name w:val="封面标准名称2"/>
    <w:basedOn w:val="170"/>
    <w:qFormat/>
    <w:uiPriority w:val="0"/>
    <w:pPr>
      <w:framePr w:wrap="around" w:y="4469"/>
      <w:spacing w:beforeLines="630"/>
    </w:pPr>
  </w:style>
  <w:style w:type="paragraph" w:customStyle="1" w:styleId="228">
    <w:name w:val="封面标准英文名称2"/>
    <w:basedOn w:val="171"/>
    <w:qFormat/>
    <w:uiPriority w:val="0"/>
    <w:pPr>
      <w:framePr w:wrap="around" w:y="4469"/>
    </w:pPr>
  </w:style>
  <w:style w:type="paragraph" w:customStyle="1" w:styleId="229">
    <w:name w:val="封面一致性程度标识2"/>
    <w:basedOn w:val="172"/>
    <w:qFormat/>
    <w:uiPriority w:val="0"/>
    <w:pPr>
      <w:framePr w:wrap="around" w:y="4469"/>
    </w:pPr>
  </w:style>
  <w:style w:type="paragraph" w:customStyle="1" w:styleId="230">
    <w:name w:val="封面标准文稿类别2"/>
    <w:basedOn w:val="173"/>
    <w:qFormat/>
    <w:uiPriority w:val="0"/>
    <w:pPr>
      <w:framePr w:wrap="around" w:y="4469"/>
    </w:pPr>
  </w:style>
  <w:style w:type="paragraph" w:customStyle="1" w:styleId="231">
    <w:name w:val="封面标准文稿编辑信息2"/>
    <w:basedOn w:val="174"/>
    <w:qFormat/>
    <w:uiPriority w:val="0"/>
    <w:pPr>
      <w:framePr w:wrap="around" w:y="4469"/>
    </w:pPr>
  </w:style>
  <w:style w:type="paragraph" w:customStyle="1" w:styleId="232">
    <w:name w:val="Char Char Char Char"/>
    <w:basedOn w:val="115"/>
    <w:qFormat/>
    <w:uiPriority w:val="0"/>
    <w:pPr>
      <w:spacing w:before="156" w:after="156" w:line="360" w:lineRule="auto"/>
    </w:pPr>
    <w:rPr>
      <w:rFonts w:ascii="宋体" w:hAnsi="宋体" w:eastAsia="宋体"/>
      <w:szCs w:val="21"/>
    </w:rPr>
  </w:style>
  <w:style w:type="character" w:customStyle="1" w:styleId="233">
    <w:name w:val="txt"/>
    <w:qFormat/>
    <w:uiPriority w:val="0"/>
    <w:rPr>
      <w:rFonts w:ascii="宋体" w:hAnsi="宋体" w:eastAsia="宋体"/>
      <w:sz w:val="21"/>
      <w:szCs w:val="21"/>
      <w:lang w:val="en-US" w:eastAsia="zh-CN" w:bidi="ar-SA"/>
    </w:rPr>
  </w:style>
  <w:style w:type="character" w:customStyle="1" w:styleId="234">
    <w:name w:val="mc1"/>
    <w:qFormat/>
    <w:uiPriority w:val="0"/>
    <w:rPr>
      <w:rFonts w:ascii="宋体" w:hAnsi="宋体" w:eastAsia="宋体"/>
      <w:b/>
      <w:bCs/>
      <w:color w:val="009900"/>
      <w:sz w:val="21"/>
      <w:szCs w:val="21"/>
      <w:lang w:val="en-US" w:eastAsia="zh-CN" w:bidi="ar-SA"/>
    </w:rPr>
  </w:style>
  <w:style w:type="paragraph" w:customStyle="1" w:styleId="235">
    <w:name w:val="1级列项"/>
    <w:basedOn w:val="1"/>
    <w:qFormat/>
    <w:uiPriority w:val="0"/>
    <w:pPr>
      <w:numPr>
        <w:ilvl w:val="0"/>
        <w:numId w:val="20"/>
      </w:numPr>
      <w:spacing w:line="480" w:lineRule="exact"/>
    </w:pPr>
    <w:rPr>
      <w:sz w:val="24"/>
    </w:rPr>
  </w:style>
  <w:style w:type="paragraph" w:customStyle="1" w:styleId="236">
    <w:name w:val="2级列项"/>
    <w:basedOn w:val="235"/>
    <w:qFormat/>
    <w:uiPriority w:val="0"/>
    <w:pPr>
      <w:numPr>
        <w:ilvl w:val="1"/>
      </w:numPr>
    </w:pPr>
  </w:style>
  <w:style w:type="paragraph" w:customStyle="1" w:styleId="237">
    <w:name w:val="项目符号"/>
    <w:basedOn w:val="1"/>
    <w:qFormat/>
    <w:uiPriority w:val="0"/>
    <w:pPr>
      <w:numPr>
        <w:ilvl w:val="0"/>
        <w:numId w:val="21"/>
      </w:numPr>
      <w:spacing w:line="480" w:lineRule="exact"/>
    </w:pPr>
    <w:rPr>
      <w:sz w:val="24"/>
    </w:rPr>
  </w:style>
  <w:style w:type="paragraph" w:customStyle="1" w:styleId="238">
    <w:name w:val="表头"/>
    <w:basedOn w:val="1"/>
    <w:link w:val="290"/>
    <w:qFormat/>
    <w:uiPriority w:val="0"/>
    <w:pPr>
      <w:autoSpaceDE w:val="0"/>
      <w:autoSpaceDN w:val="0"/>
      <w:adjustRightInd w:val="0"/>
      <w:jc w:val="center"/>
    </w:pPr>
    <w:rPr>
      <w:rFonts w:ascii="Arial" w:hAnsi="Arial"/>
      <w:kern w:val="0"/>
      <w:sz w:val="18"/>
      <w:szCs w:val="18"/>
    </w:rPr>
  </w:style>
  <w:style w:type="paragraph" w:customStyle="1" w:styleId="239">
    <w:name w:val="缺省文本"/>
    <w:basedOn w:val="1"/>
    <w:qFormat/>
    <w:uiPriority w:val="0"/>
    <w:pPr>
      <w:autoSpaceDE w:val="0"/>
      <w:autoSpaceDN w:val="0"/>
      <w:adjustRightInd w:val="0"/>
      <w:jc w:val="left"/>
    </w:pPr>
    <w:rPr>
      <w:kern w:val="0"/>
      <w:sz w:val="24"/>
      <w:szCs w:val="20"/>
    </w:rPr>
  </w:style>
  <w:style w:type="paragraph" w:customStyle="1" w:styleId="240">
    <w:name w:val="表样式"/>
    <w:basedOn w:val="1"/>
    <w:qFormat/>
    <w:uiPriority w:val="0"/>
    <w:pPr>
      <w:autoSpaceDE w:val="0"/>
      <w:autoSpaceDN w:val="0"/>
      <w:adjustRightInd w:val="0"/>
      <w:spacing w:before="90" w:after="90"/>
      <w:jc w:val="left"/>
    </w:pPr>
    <w:rPr>
      <w:rFonts w:ascii="Arial" w:hAnsi="Arial"/>
      <w:kern w:val="0"/>
      <w:sz w:val="18"/>
      <w:szCs w:val="20"/>
    </w:rPr>
  </w:style>
  <w:style w:type="paragraph" w:customStyle="1" w:styleId="241">
    <w:name w:val="样式 样式 我的正文首行缩进 + 首行缩进:  2 字符 + 首行缩进:  2 字符 Char"/>
    <w:basedOn w:val="1"/>
    <w:qFormat/>
    <w:uiPriority w:val="0"/>
    <w:pPr>
      <w:numPr>
        <w:ilvl w:val="1"/>
        <w:numId w:val="22"/>
      </w:numPr>
    </w:pPr>
    <w:rPr>
      <w:szCs w:val="20"/>
    </w:rPr>
  </w:style>
  <w:style w:type="character" w:customStyle="1" w:styleId="242">
    <w:name w:val="正文文本缩进 字符"/>
    <w:basedOn w:val="60"/>
    <w:qFormat/>
    <w:uiPriority w:val="0"/>
    <w:rPr>
      <w:rFonts w:cs="Times New Roman"/>
      <w:sz w:val="21"/>
      <w:szCs w:val="24"/>
    </w:rPr>
  </w:style>
  <w:style w:type="character" w:customStyle="1" w:styleId="243">
    <w:name w:val="正文文本缩进 Char"/>
    <w:qFormat/>
    <w:uiPriority w:val="0"/>
    <w:rPr>
      <w:kern w:val="2"/>
      <w:sz w:val="21"/>
      <w:szCs w:val="22"/>
    </w:rPr>
  </w:style>
  <w:style w:type="character" w:customStyle="1" w:styleId="244">
    <w:name w:val="正文文字样式 Char Char"/>
    <w:link w:val="245"/>
    <w:qFormat/>
    <w:uiPriority w:val="0"/>
    <w:rPr>
      <w:rFonts w:ascii="宋体" w:hAnsi="宋体"/>
      <w:szCs w:val="24"/>
    </w:rPr>
  </w:style>
  <w:style w:type="paragraph" w:customStyle="1" w:styleId="245">
    <w:name w:val="正文文字样式"/>
    <w:basedOn w:val="1"/>
    <w:link w:val="244"/>
    <w:qFormat/>
    <w:uiPriority w:val="0"/>
    <w:pPr>
      <w:spacing w:line="480" w:lineRule="exact"/>
      <w:ind w:firstLine="480" w:firstLineChars="200"/>
    </w:pPr>
    <w:rPr>
      <w:rFonts w:ascii="宋体" w:hAnsi="宋体" w:cstheme="minorBidi"/>
      <w:sz w:val="24"/>
    </w:rPr>
  </w:style>
  <w:style w:type="character" w:customStyle="1" w:styleId="246">
    <w:name w:val="批注文字 Char"/>
    <w:qFormat/>
    <w:uiPriority w:val="99"/>
    <w:rPr>
      <w:rFonts w:ascii="宋体" w:hAnsi="宋体"/>
      <w:kern w:val="2"/>
      <w:sz w:val="21"/>
      <w:szCs w:val="24"/>
    </w:rPr>
  </w:style>
  <w:style w:type="character" w:customStyle="1" w:styleId="247">
    <w:name w:val="批注主题 Char"/>
    <w:qFormat/>
    <w:uiPriority w:val="0"/>
    <w:rPr>
      <w:rFonts w:ascii="宋体" w:hAnsi="宋体"/>
      <w:b/>
      <w:bCs/>
      <w:kern w:val="2"/>
      <w:sz w:val="21"/>
      <w:szCs w:val="24"/>
    </w:rPr>
  </w:style>
  <w:style w:type="character" w:customStyle="1" w:styleId="248">
    <w:name w:val="批注框文本 Char"/>
    <w:qFormat/>
    <w:uiPriority w:val="0"/>
    <w:rPr>
      <w:rFonts w:ascii="宋体" w:hAnsi="宋体"/>
      <w:kern w:val="2"/>
      <w:sz w:val="18"/>
      <w:szCs w:val="18"/>
    </w:rPr>
  </w:style>
  <w:style w:type="paragraph" w:customStyle="1" w:styleId="249">
    <w:name w:val="标题2"/>
    <w:basedOn w:val="51"/>
    <w:qFormat/>
    <w:uiPriority w:val="0"/>
    <w:pPr>
      <w:widowControl/>
      <w:numPr>
        <w:ilvl w:val="1"/>
        <w:numId w:val="23"/>
      </w:numPr>
      <w:spacing w:before="100" w:beforeAutospacing="1" w:after="100" w:afterAutospacing="1" w:line="360" w:lineRule="auto"/>
      <w:jc w:val="left"/>
      <w:outlineLvl w:val="1"/>
    </w:pPr>
    <w:rPr>
      <w:kern w:val="0"/>
      <w:sz w:val="21"/>
      <w:szCs w:val="32"/>
    </w:rPr>
  </w:style>
  <w:style w:type="paragraph" w:customStyle="1" w:styleId="250">
    <w:name w:val="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51">
    <w:name w:val="f-10"/>
    <w:qFormat/>
    <w:uiPriority w:val="0"/>
    <w:rPr>
      <w:rFonts w:ascii="宋体" w:hAnsi="宋体" w:eastAsia="宋体"/>
      <w:sz w:val="21"/>
      <w:szCs w:val="21"/>
      <w:lang w:val="en-US" w:eastAsia="zh-CN" w:bidi="ar-SA"/>
    </w:rPr>
  </w:style>
  <w:style w:type="paragraph" w:customStyle="1" w:styleId="252">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53">
    <w:name w:val="样式3 Char"/>
    <w:link w:val="254"/>
    <w:qFormat/>
    <w:locked/>
    <w:uiPriority w:val="0"/>
    <w:rPr>
      <w:rFonts w:ascii="黑体" w:hAnsi="宋体" w:eastAsia="黑体"/>
      <w:sz w:val="21"/>
      <w:szCs w:val="21"/>
    </w:rPr>
  </w:style>
  <w:style w:type="paragraph" w:customStyle="1" w:styleId="254">
    <w:name w:val="样式3"/>
    <w:basedOn w:val="1"/>
    <w:link w:val="253"/>
    <w:qFormat/>
    <w:uiPriority w:val="0"/>
    <w:pPr>
      <w:widowControl/>
      <w:outlineLvl w:val="4"/>
    </w:pPr>
    <w:rPr>
      <w:rFonts w:ascii="黑体" w:hAnsi="宋体" w:eastAsia="黑体" w:cstheme="minorBidi"/>
      <w:szCs w:val="21"/>
    </w:rPr>
  </w:style>
  <w:style w:type="paragraph" w:customStyle="1" w:styleId="255">
    <w:name w:val="图表脚注"/>
    <w:next w:val="42"/>
    <w:qFormat/>
    <w:uiPriority w:val="0"/>
    <w:pPr>
      <w:tabs>
        <w:tab w:val="left" w:pos="1440"/>
      </w:tabs>
      <w:ind w:left="300" w:leftChars="200" w:hanging="100" w:hangingChars="100"/>
      <w:jc w:val="both"/>
    </w:pPr>
    <w:rPr>
      <w:rFonts w:ascii="宋体" w:hAnsi="Times New Roman" w:eastAsia="宋体" w:cs="Times New Roman"/>
      <w:sz w:val="18"/>
      <w:lang w:val="en-US" w:eastAsia="zh-CN" w:bidi="ar-SA"/>
    </w:rPr>
  </w:style>
  <w:style w:type="paragraph" w:customStyle="1" w:styleId="256">
    <w:name w:val="二级无标题条"/>
    <w:basedOn w:val="1"/>
    <w:qFormat/>
    <w:uiPriority w:val="0"/>
    <w:pPr>
      <w:numPr>
        <w:ilvl w:val="3"/>
        <w:numId w:val="24"/>
      </w:numPr>
    </w:pPr>
  </w:style>
  <w:style w:type="paragraph" w:customStyle="1" w:styleId="257">
    <w:name w:val="三级无标题条"/>
    <w:basedOn w:val="1"/>
    <w:qFormat/>
    <w:uiPriority w:val="0"/>
    <w:pPr>
      <w:numPr>
        <w:ilvl w:val="4"/>
        <w:numId w:val="24"/>
      </w:numPr>
    </w:pPr>
  </w:style>
  <w:style w:type="paragraph" w:customStyle="1" w:styleId="258">
    <w:name w:val="四级无标题条"/>
    <w:basedOn w:val="1"/>
    <w:qFormat/>
    <w:uiPriority w:val="0"/>
    <w:pPr>
      <w:numPr>
        <w:ilvl w:val="5"/>
        <w:numId w:val="24"/>
      </w:numPr>
    </w:pPr>
  </w:style>
  <w:style w:type="paragraph" w:customStyle="1" w:styleId="259">
    <w:name w:val="五级无标题条"/>
    <w:basedOn w:val="1"/>
    <w:qFormat/>
    <w:uiPriority w:val="0"/>
    <w:pPr>
      <w:numPr>
        <w:ilvl w:val="6"/>
        <w:numId w:val="24"/>
      </w:numPr>
    </w:pPr>
  </w:style>
  <w:style w:type="paragraph" w:customStyle="1" w:styleId="260">
    <w:name w:val="一级无标题条"/>
    <w:basedOn w:val="1"/>
    <w:qFormat/>
    <w:uiPriority w:val="0"/>
    <w:pPr>
      <w:numPr>
        <w:ilvl w:val="2"/>
        <w:numId w:val="24"/>
      </w:numPr>
    </w:pPr>
  </w:style>
  <w:style w:type="paragraph" w:customStyle="1" w:styleId="261">
    <w:name w:val="编写建议"/>
    <w:basedOn w:val="1"/>
    <w:qFormat/>
    <w:uiPriority w:val="0"/>
    <w:pPr>
      <w:autoSpaceDE w:val="0"/>
      <w:autoSpaceDN w:val="0"/>
      <w:adjustRightInd w:val="0"/>
      <w:spacing w:line="360" w:lineRule="auto"/>
      <w:ind w:firstLine="420" w:firstLineChars="200"/>
      <w:jc w:val="left"/>
    </w:pPr>
    <w:rPr>
      <w:rFonts w:cs="Arial"/>
      <w:i/>
      <w:color w:val="0000FF"/>
      <w:kern w:val="0"/>
      <w:szCs w:val="21"/>
    </w:rPr>
  </w:style>
  <w:style w:type="paragraph" w:customStyle="1" w:styleId="262">
    <w:name w:val="Default"/>
    <w:qFormat/>
    <w:uiPriority w:val="0"/>
    <w:pPr>
      <w:widowControl w:val="0"/>
      <w:autoSpaceDE w:val="0"/>
      <w:autoSpaceDN w:val="0"/>
      <w:adjustRightInd w:val="0"/>
    </w:pPr>
    <w:rPr>
      <w:rFonts w:ascii="Arial" w:hAnsi="Arial" w:eastAsia="宋体" w:cs="Times New Roman"/>
      <w:color w:val="000000"/>
      <w:sz w:val="24"/>
      <w:szCs w:val="24"/>
      <w:lang w:val="en-US" w:eastAsia="zh-CN" w:bidi="ar-SA"/>
    </w:rPr>
  </w:style>
  <w:style w:type="character" w:customStyle="1" w:styleId="263">
    <w:name w:val="标题 1 Char1"/>
    <w:qFormat/>
    <w:uiPriority w:val="0"/>
    <w:rPr>
      <w:rFonts w:hint="eastAsia" w:ascii="宋体" w:hAnsi="宋体" w:eastAsia="宋体"/>
      <w:b/>
      <w:kern w:val="44"/>
      <w:sz w:val="44"/>
      <w:szCs w:val="21"/>
      <w:lang w:val="en-US" w:eastAsia="zh-CN" w:bidi="ar-SA"/>
    </w:rPr>
  </w:style>
  <w:style w:type="character" w:customStyle="1" w:styleId="264">
    <w:name w:val="标题 2 Char1"/>
    <w:semiHidden/>
    <w:qFormat/>
    <w:uiPriority w:val="0"/>
    <w:rPr>
      <w:rFonts w:ascii="Cambria" w:hAnsi="Cambria" w:eastAsia="宋体" w:cs="Times New Roman"/>
      <w:b/>
      <w:bCs/>
      <w:kern w:val="2"/>
      <w:sz w:val="32"/>
      <w:szCs w:val="32"/>
      <w:lang w:val="en-US" w:eastAsia="zh-CN" w:bidi="ar-SA"/>
    </w:rPr>
  </w:style>
  <w:style w:type="character" w:customStyle="1" w:styleId="265">
    <w:name w:val="标题 3 Char1"/>
    <w:semiHidden/>
    <w:qFormat/>
    <w:uiPriority w:val="0"/>
    <w:rPr>
      <w:rFonts w:ascii="宋体" w:hAnsi="宋体" w:eastAsia="宋体"/>
      <w:b/>
      <w:bCs/>
      <w:kern w:val="2"/>
      <w:sz w:val="32"/>
      <w:szCs w:val="32"/>
      <w:lang w:val="en-US" w:eastAsia="zh-CN" w:bidi="ar-SA"/>
    </w:rPr>
  </w:style>
  <w:style w:type="character" w:customStyle="1" w:styleId="266">
    <w:name w:val="标题 4 Char1"/>
    <w:semiHidden/>
    <w:qFormat/>
    <w:uiPriority w:val="0"/>
    <w:rPr>
      <w:rFonts w:ascii="Cambria" w:hAnsi="Cambria" w:eastAsia="宋体" w:cs="Times New Roman"/>
      <w:b/>
      <w:bCs/>
      <w:kern w:val="2"/>
      <w:sz w:val="28"/>
      <w:szCs w:val="28"/>
      <w:lang w:val="en-US" w:eastAsia="zh-CN" w:bidi="ar-SA"/>
    </w:rPr>
  </w:style>
  <w:style w:type="character" w:customStyle="1" w:styleId="267">
    <w:name w:val="标题 5 Char1"/>
    <w:semiHidden/>
    <w:qFormat/>
    <w:uiPriority w:val="0"/>
    <w:rPr>
      <w:rFonts w:ascii="宋体" w:hAnsi="宋体" w:eastAsia="宋体"/>
      <w:b/>
      <w:bCs/>
      <w:kern w:val="2"/>
      <w:sz w:val="28"/>
      <w:szCs w:val="28"/>
      <w:lang w:val="en-US" w:eastAsia="zh-CN" w:bidi="ar-SA"/>
    </w:rPr>
  </w:style>
  <w:style w:type="character" w:customStyle="1" w:styleId="268">
    <w:name w:val="标题 6 Char1"/>
    <w:semiHidden/>
    <w:qFormat/>
    <w:uiPriority w:val="0"/>
    <w:rPr>
      <w:rFonts w:ascii="Cambria" w:hAnsi="Cambria" w:eastAsia="宋体" w:cs="Times New Roman"/>
      <w:b/>
      <w:bCs/>
      <w:kern w:val="2"/>
      <w:sz w:val="24"/>
      <w:szCs w:val="24"/>
      <w:lang w:val="en-US" w:eastAsia="zh-CN" w:bidi="ar-SA"/>
    </w:rPr>
  </w:style>
  <w:style w:type="character" w:customStyle="1" w:styleId="269">
    <w:name w:val="标题 7 Char1"/>
    <w:semiHidden/>
    <w:qFormat/>
    <w:uiPriority w:val="0"/>
    <w:rPr>
      <w:rFonts w:ascii="宋体" w:hAnsi="宋体" w:eastAsia="宋体"/>
      <w:b/>
      <w:bCs/>
      <w:kern w:val="2"/>
      <w:sz w:val="24"/>
      <w:szCs w:val="24"/>
      <w:lang w:val="en-US" w:eastAsia="zh-CN" w:bidi="ar-SA"/>
    </w:rPr>
  </w:style>
  <w:style w:type="character" w:customStyle="1" w:styleId="270">
    <w:name w:val="标题 8 Char1"/>
    <w:semiHidden/>
    <w:qFormat/>
    <w:uiPriority w:val="0"/>
    <w:rPr>
      <w:rFonts w:ascii="Cambria" w:hAnsi="Cambria" w:eastAsia="宋体" w:cs="Times New Roman"/>
      <w:kern w:val="2"/>
      <w:sz w:val="24"/>
      <w:szCs w:val="24"/>
      <w:lang w:val="en-US" w:eastAsia="zh-CN" w:bidi="ar-SA"/>
    </w:rPr>
  </w:style>
  <w:style w:type="character" w:customStyle="1" w:styleId="271">
    <w:name w:val="标题 9 Char1"/>
    <w:semiHidden/>
    <w:qFormat/>
    <w:uiPriority w:val="0"/>
    <w:rPr>
      <w:rFonts w:ascii="Cambria" w:hAnsi="Cambria" w:eastAsia="宋体" w:cs="Times New Roman"/>
      <w:kern w:val="2"/>
      <w:sz w:val="21"/>
      <w:szCs w:val="21"/>
      <w:lang w:val="en-US" w:eastAsia="zh-CN" w:bidi="ar-SA"/>
    </w:rPr>
  </w:style>
  <w:style w:type="character" w:customStyle="1" w:styleId="272">
    <w:name w:val="页眉 Char1"/>
    <w:semiHidden/>
    <w:qFormat/>
    <w:uiPriority w:val="0"/>
    <w:rPr>
      <w:rFonts w:ascii="宋体" w:hAnsi="宋体" w:eastAsia="宋体"/>
      <w:kern w:val="2"/>
      <w:sz w:val="18"/>
      <w:szCs w:val="18"/>
      <w:lang w:val="en-US" w:eastAsia="zh-CN" w:bidi="ar-SA"/>
    </w:rPr>
  </w:style>
  <w:style w:type="character" w:customStyle="1" w:styleId="273">
    <w:name w:val="页脚 Char1"/>
    <w:semiHidden/>
    <w:qFormat/>
    <w:uiPriority w:val="0"/>
    <w:rPr>
      <w:rFonts w:ascii="宋体" w:hAnsi="宋体" w:eastAsia="宋体"/>
      <w:kern w:val="2"/>
      <w:sz w:val="18"/>
      <w:szCs w:val="18"/>
      <w:lang w:val="en-US" w:eastAsia="zh-CN" w:bidi="ar-SA"/>
    </w:rPr>
  </w:style>
  <w:style w:type="character" w:customStyle="1" w:styleId="274">
    <w:name w:val="标题 字符"/>
    <w:basedOn w:val="60"/>
    <w:qFormat/>
    <w:uiPriority w:val="0"/>
    <w:rPr>
      <w:rFonts w:asciiTheme="majorHAnsi" w:hAnsiTheme="majorHAnsi" w:eastAsiaTheme="majorEastAsia" w:cstheme="majorBidi"/>
      <w:b/>
      <w:bCs/>
      <w:sz w:val="32"/>
      <w:szCs w:val="32"/>
    </w:rPr>
  </w:style>
  <w:style w:type="character" w:customStyle="1" w:styleId="275">
    <w:name w:val="标题 Char"/>
    <w:qFormat/>
    <w:uiPriority w:val="0"/>
    <w:rPr>
      <w:rFonts w:ascii="Cambria" w:hAnsi="Cambria" w:cs="Times New Roman"/>
      <w:b/>
      <w:bCs/>
      <w:kern w:val="2"/>
      <w:sz w:val="32"/>
      <w:szCs w:val="32"/>
    </w:rPr>
  </w:style>
  <w:style w:type="character" w:customStyle="1" w:styleId="276">
    <w:name w:val="正文文本 Char"/>
    <w:qFormat/>
    <w:locked/>
    <w:uiPriority w:val="0"/>
    <w:rPr>
      <w:rFonts w:ascii="宋体" w:hAnsi="宋体"/>
      <w:kern w:val="2"/>
      <w:sz w:val="21"/>
      <w:szCs w:val="24"/>
    </w:rPr>
  </w:style>
  <w:style w:type="character" w:customStyle="1" w:styleId="277">
    <w:name w:val="正文文本 Char1"/>
    <w:qFormat/>
    <w:uiPriority w:val="0"/>
    <w:rPr>
      <w:kern w:val="2"/>
      <w:sz w:val="21"/>
      <w:szCs w:val="22"/>
    </w:rPr>
  </w:style>
  <w:style w:type="character" w:customStyle="1" w:styleId="278">
    <w:name w:val="副标题 字符"/>
    <w:basedOn w:val="60"/>
    <w:qFormat/>
    <w:uiPriority w:val="11"/>
    <w:rPr>
      <w:rFonts w:asciiTheme="minorHAnsi" w:hAnsiTheme="minorHAnsi" w:eastAsiaTheme="minorEastAsia"/>
      <w:b/>
      <w:bCs/>
      <w:kern w:val="28"/>
      <w:sz w:val="32"/>
      <w:szCs w:val="32"/>
    </w:rPr>
  </w:style>
  <w:style w:type="character" w:customStyle="1" w:styleId="279">
    <w:name w:val="副标题 字符1"/>
    <w:link w:val="43"/>
    <w:qFormat/>
    <w:uiPriority w:val="0"/>
    <w:rPr>
      <w:rFonts w:ascii="Cambria" w:hAnsi="Cambria" w:cs="Times New Roman"/>
      <w:b/>
      <w:bCs/>
      <w:kern w:val="28"/>
      <w:sz w:val="32"/>
      <w:szCs w:val="32"/>
    </w:rPr>
  </w:style>
  <w:style w:type="character" w:customStyle="1" w:styleId="280">
    <w:name w:val="日期 Char"/>
    <w:qFormat/>
    <w:uiPriority w:val="0"/>
    <w:rPr>
      <w:kern w:val="2"/>
      <w:sz w:val="21"/>
      <w:szCs w:val="21"/>
    </w:rPr>
  </w:style>
  <w:style w:type="character" w:customStyle="1" w:styleId="281">
    <w:name w:val="正文首行缩进 字符"/>
    <w:basedOn w:val="83"/>
    <w:semiHidden/>
    <w:qFormat/>
    <w:uiPriority w:val="99"/>
    <w:rPr>
      <w:rFonts w:cs="Times New Roman"/>
      <w:sz w:val="21"/>
      <w:szCs w:val="24"/>
    </w:rPr>
  </w:style>
  <w:style w:type="character" w:customStyle="1" w:styleId="282">
    <w:name w:val="正文文本首行缩进 字符"/>
    <w:link w:val="55"/>
    <w:qFormat/>
    <w:uiPriority w:val="0"/>
    <w:rPr>
      <w:rFonts w:ascii="宋体" w:hAnsi="宋体" w:cs="Times New Roman"/>
      <w:szCs w:val="24"/>
    </w:rPr>
  </w:style>
  <w:style w:type="character" w:customStyle="1" w:styleId="283">
    <w:name w:val="正文首行缩进 2 字符"/>
    <w:basedOn w:val="242"/>
    <w:semiHidden/>
    <w:qFormat/>
    <w:uiPriority w:val="99"/>
    <w:rPr>
      <w:rFonts w:cs="Times New Roman"/>
      <w:sz w:val="21"/>
      <w:szCs w:val="24"/>
    </w:rPr>
  </w:style>
  <w:style w:type="character" w:customStyle="1" w:styleId="284">
    <w:name w:val="正文文本首行缩进 2 字符"/>
    <w:link w:val="56"/>
    <w:qFormat/>
    <w:uiPriority w:val="0"/>
    <w:rPr>
      <w:rFonts w:ascii="宋体" w:hAnsi="宋体" w:cs="Times New Roman"/>
      <w:szCs w:val="21"/>
    </w:rPr>
  </w:style>
  <w:style w:type="character" w:customStyle="1" w:styleId="285">
    <w:name w:val="正文文本缩进 字符1"/>
    <w:link w:val="24"/>
    <w:qFormat/>
    <w:uiPriority w:val="0"/>
    <w:rPr>
      <w:rFonts w:ascii="宋体" w:hAnsi="宋体" w:cs="Times New Roman"/>
      <w:sz w:val="21"/>
      <w:szCs w:val="21"/>
    </w:rPr>
  </w:style>
  <w:style w:type="character" w:customStyle="1" w:styleId="286">
    <w:name w:val="正文文本缩进 2 Char"/>
    <w:qFormat/>
    <w:uiPriority w:val="0"/>
    <w:rPr>
      <w:rFonts w:ascii="宋体" w:hAnsi="宋体"/>
      <w:kern w:val="2"/>
      <w:sz w:val="24"/>
      <w:szCs w:val="21"/>
    </w:rPr>
  </w:style>
  <w:style w:type="character" w:customStyle="1" w:styleId="287">
    <w:name w:val="正文文本缩进 3 字符"/>
    <w:basedOn w:val="60"/>
    <w:qFormat/>
    <w:uiPriority w:val="0"/>
    <w:rPr>
      <w:rFonts w:cs="Times New Roman"/>
      <w:sz w:val="16"/>
      <w:szCs w:val="16"/>
    </w:rPr>
  </w:style>
  <w:style w:type="character" w:customStyle="1" w:styleId="288">
    <w:name w:val="正文文本缩进 3 字符1"/>
    <w:link w:val="46"/>
    <w:qFormat/>
    <w:uiPriority w:val="0"/>
    <w:rPr>
      <w:rFonts w:ascii="宋体" w:hAnsi="宋体" w:cs="Times New Roman"/>
      <w:color w:val="000000"/>
      <w:szCs w:val="21"/>
    </w:rPr>
  </w:style>
  <w:style w:type="character" w:customStyle="1" w:styleId="289">
    <w:name w:val="纯文本 Char"/>
    <w:qFormat/>
    <w:uiPriority w:val="99"/>
    <w:rPr>
      <w:rFonts w:ascii="宋体" w:hAnsi="Courier New"/>
      <w:kern w:val="2"/>
      <w:sz w:val="21"/>
      <w:szCs w:val="21"/>
    </w:rPr>
  </w:style>
  <w:style w:type="character" w:customStyle="1" w:styleId="290">
    <w:name w:val="表头 Char"/>
    <w:link w:val="238"/>
    <w:qFormat/>
    <w:locked/>
    <w:uiPriority w:val="0"/>
    <w:rPr>
      <w:rFonts w:ascii="Arial" w:hAnsi="Arial" w:cs="Times New Roman"/>
      <w:kern w:val="0"/>
      <w:sz w:val="18"/>
      <w:szCs w:val="18"/>
    </w:rPr>
  </w:style>
  <w:style w:type="paragraph" w:customStyle="1" w:styleId="291">
    <w:name w:val="术语定义二级条标题"/>
    <w:basedOn w:val="1"/>
    <w:next w:val="42"/>
    <w:qFormat/>
    <w:uiPriority w:val="0"/>
    <w:pPr>
      <w:widowControl/>
      <w:tabs>
        <w:tab w:val="left" w:pos="420"/>
        <w:tab w:val="left" w:pos="918"/>
      </w:tabs>
      <w:jc w:val="left"/>
    </w:pPr>
    <w:rPr>
      <w:rFonts w:ascii="黑体" w:eastAsia="黑体"/>
      <w:b/>
      <w:kern w:val="0"/>
      <w:szCs w:val="20"/>
    </w:rPr>
  </w:style>
  <w:style w:type="paragraph" w:customStyle="1" w:styleId="292">
    <w:name w:val="标书应答"/>
    <w:basedOn w:val="1"/>
    <w:qFormat/>
    <w:uiPriority w:val="0"/>
    <w:pPr>
      <w:pBdr>
        <w:top w:val="dotted" w:color="auto" w:sz="4" w:space="1"/>
        <w:left w:val="dotted" w:color="auto" w:sz="4" w:space="4"/>
        <w:bottom w:val="dotted" w:color="auto" w:sz="4" w:space="1"/>
        <w:right w:val="dotted" w:color="auto" w:sz="4" w:space="4"/>
      </w:pBdr>
      <w:shd w:val="pct10" w:color="000000" w:fill="FFFFFF"/>
      <w:autoSpaceDE w:val="0"/>
      <w:autoSpaceDN w:val="0"/>
      <w:adjustRightInd w:val="0"/>
      <w:spacing w:line="360" w:lineRule="auto"/>
      <w:ind w:firstLine="414" w:firstLineChars="200"/>
      <w:jc w:val="left"/>
    </w:pPr>
    <w:rPr>
      <w:b/>
      <w:kern w:val="0"/>
      <w:szCs w:val="20"/>
    </w:rPr>
  </w:style>
  <w:style w:type="character" w:customStyle="1" w:styleId="293">
    <w:name w:val="文档正文 Char1"/>
    <w:link w:val="294"/>
    <w:qFormat/>
    <w:locked/>
    <w:uiPriority w:val="0"/>
    <w:rPr>
      <w:rFonts w:ascii="楷体_GB2312" w:hAnsi="宋体" w:eastAsia="楷体_GB2312"/>
      <w:sz w:val="28"/>
      <w:szCs w:val="21"/>
    </w:rPr>
  </w:style>
  <w:style w:type="paragraph" w:customStyle="1" w:styleId="294">
    <w:name w:val="文档正文"/>
    <w:basedOn w:val="1"/>
    <w:link w:val="293"/>
    <w:qFormat/>
    <w:uiPriority w:val="0"/>
    <w:pPr>
      <w:spacing w:line="480" w:lineRule="atLeast"/>
      <w:ind w:firstLine="567"/>
    </w:pPr>
    <w:rPr>
      <w:rFonts w:ascii="楷体_GB2312" w:hAnsi="宋体" w:eastAsia="楷体_GB2312" w:cstheme="minorBidi"/>
      <w:sz w:val="28"/>
      <w:szCs w:val="21"/>
    </w:rPr>
  </w:style>
  <w:style w:type="paragraph" w:customStyle="1" w:styleId="295">
    <w:name w:val="CM29"/>
    <w:basedOn w:val="262"/>
    <w:next w:val="262"/>
    <w:qFormat/>
    <w:uiPriority w:val="0"/>
    <w:pPr>
      <w:spacing w:after="250"/>
    </w:pPr>
    <w:rPr>
      <w:color w:val="auto"/>
      <w:szCs w:val="20"/>
    </w:rPr>
  </w:style>
  <w:style w:type="paragraph" w:customStyle="1" w:styleId="296">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297">
    <w:name w:val="GHT-列表2"/>
    <w:qFormat/>
    <w:uiPriority w:val="0"/>
    <w:pPr>
      <w:tabs>
        <w:tab w:val="left" w:pos="624"/>
      </w:tabs>
      <w:spacing w:line="400" w:lineRule="exact"/>
      <w:ind w:left="420" w:hanging="420"/>
    </w:pPr>
    <w:rPr>
      <w:rFonts w:ascii="Times New Roman" w:hAnsi="Times New Roman" w:eastAsia="宋体" w:cs="Times New Roman"/>
      <w:color w:val="000000"/>
      <w:spacing w:val="10"/>
      <w:sz w:val="24"/>
      <w:lang w:val="en-US" w:eastAsia="zh-CN" w:bidi="ar-SA"/>
    </w:rPr>
  </w:style>
  <w:style w:type="paragraph" w:customStyle="1" w:styleId="298">
    <w:name w:val="默认段落字体 Para Char Char Char Char Char Char Char Char Char"/>
    <w:basedOn w:val="1"/>
    <w:qFormat/>
    <w:uiPriority w:val="0"/>
    <w:rPr>
      <w:rFonts w:ascii="Tahoma" w:hAnsi="Tahoma"/>
      <w:sz w:val="24"/>
      <w:szCs w:val="20"/>
    </w:rPr>
  </w:style>
  <w:style w:type="paragraph" w:customStyle="1" w:styleId="299">
    <w:name w:val="tabletext"/>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300">
    <w:name w:val="正文1"/>
    <w:basedOn w:val="1"/>
    <w:qFormat/>
    <w:uiPriority w:val="0"/>
    <w:pPr>
      <w:ind w:firstLine="540" w:firstLineChars="257"/>
    </w:pPr>
    <w:rPr>
      <w:szCs w:val="20"/>
    </w:rPr>
  </w:style>
  <w:style w:type="paragraph" w:customStyle="1" w:styleId="301">
    <w:name w:val="我的标题4"/>
    <w:basedOn w:val="4"/>
    <w:qFormat/>
    <w:uiPriority w:val="0"/>
    <w:pPr>
      <w:keepLines w:val="0"/>
      <w:widowControl/>
      <w:autoSpaceDE/>
      <w:autoSpaceDN/>
      <w:adjustRightInd/>
      <w:spacing w:before="240" w:after="240" w:line="240" w:lineRule="auto"/>
      <w:jc w:val="both"/>
      <w:textAlignment w:val="auto"/>
    </w:pPr>
    <w:rPr>
      <w:rFonts w:ascii="Arial" w:hAnsi="Arial" w:eastAsia="黑体"/>
      <w:b w:val="0"/>
      <w:kern w:val="2"/>
      <w:sz w:val="30"/>
    </w:rPr>
  </w:style>
  <w:style w:type="paragraph" w:customStyle="1" w:styleId="302">
    <w:name w:val="列项——"/>
    <w:qFormat/>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paragraph" w:customStyle="1" w:styleId="303">
    <w:name w:val="我的标题5"/>
    <w:basedOn w:val="301"/>
    <w:qFormat/>
    <w:uiPriority w:val="0"/>
  </w:style>
  <w:style w:type="paragraph" w:customStyle="1" w:styleId="304">
    <w:name w:val="Char1"/>
    <w:basedOn w:val="1"/>
    <w:qFormat/>
    <w:uiPriority w:val="0"/>
    <w:pPr>
      <w:spacing w:line="300" w:lineRule="auto"/>
    </w:pPr>
    <w:rPr>
      <w:rFonts w:ascii="Tahoma" w:hAnsi="Tahoma"/>
      <w:sz w:val="24"/>
      <w:szCs w:val="20"/>
    </w:rPr>
  </w:style>
  <w:style w:type="paragraph" w:customStyle="1" w:styleId="305">
    <w:name w:val="Table Description"/>
    <w:basedOn w:val="1"/>
    <w:qFormat/>
    <w:uiPriority w:val="0"/>
    <w:pPr>
      <w:ind w:left="1701"/>
    </w:pPr>
    <w:rPr>
      <w:szCs w:val="20"/>
    </w:rPr>
  </w:style>
  <w:style w:type="character" w:customStyle="1" w:styleId="306">
    <w:name w:val="GHT-正文 Char"/>
    <w:link w:val="307"/>
    <w:qFormat/>
    <w:locked/>
    <w:uiPriority w:val="0"/>
    <w:rPr>
      <w:rFonts w:ascii="宋体" w:hAnsi="宋体"/>
      <w:color w:val="000000"/>
      <w:spacing w:val="10"/>
      <w:szCs w:val="21"/>
    </w:rPr>
  </w:style>
  <w:style w:type="paragraph" w:customStyle="1" w:styleId="307">
    <w:name w:val="GHT-正文"/>
    <w:basedOn w:val="1"/>
    <w:link w:val="306"/>
    <w:qFormat/>
    <w:uiPriority w:val="0"/>
    <w:pPr>
      <w:adjustRightInd w:val="0"/>
      <w:spacing w:line="400" w:lineRule="exact"/>
      <w:ind w:firstLine="520" w:firstLineChars="200"/>
    </w:pPr>
    <w:rPr>
      <w:rFonts w:ascii="宋体" w:hAnsi="宋体" w:cstheme="minorBidi"/>
      <w:color w:val="000000"/>
      <w:spacing w:val="10"/>
      <w:sz w:val="24"/>
      <w:szCs w:val="21"/>
    </w:rPr>
  </w:style>
  <w:style w:type="paragraph" w:customStyle="1" w:styleId="308">
    <w:name w:val="Char Char Char Char Char Char Char Char Char Char Char Char1"/>
    <w:basedOn w:val="1"/>
    <w:qFormat/>
    <w:uiPriority w:val="0"/>
    <w:rPr>
      <w:rFonts w:ascii="Tahoma" w:hAnsi="Tahoma"/>
      <w:sz w:val="24"/>
      <w:szCs w:val="20"/>
    </w:rPr>
  </w:style>
  <w:style w:type="paragraph" w:customStyle="1" w:styleId="309">
    <w:name w:val="Figure Description"/>
    <w:basedOn w:val="1"/>
    <w:qFormat/>
    <w:uiPriority w:val="0"/>
    <w:pPr>
      <w:ind w:left="1701"/>
    </w:pPr>
    <w:rPr>
      <w:szCs w:val="20"/>
    </w:rPr>
  </w:style>
  <w:style w:type="paragraph" w:customStyle="1" w:styleId="310">
    <w:name w:val="列项·"/>
    <w:qFormat/>
    <w:uiPriority w:val="0"/>
    <w:pPr>
      <w:numPr>
        <w:ilvl w:val="0"/>
        <w:numId w:val="25"/>
      </w:numPr>
      <w:tabs>
        <w:tab w:val="left" w:pos="840"/>
      </w:tabs>
      <w:jc w:val="both"/>
    </w:pPr>
    <w:rPr>
      <w:rFonts w:ascii="宋体" w:hAnsi="Times New Roman" w:eastAsia="宋体" w:cs="Times New Roman"/>
      <w:sz w:val="21"/>
      <w:lang w:val="en-US" w:eastAsia="zh-CN" w:bidi="ar-SA"/>
    </w:rPr>
  </w:style>
  <w:style w:type="paragraph" w:customStyle="1" w:styleId="311">
    <w:name w:val="名称"/>
    <w:basedOn w:val="205"/>
    <w:next w:val="42"/>
    <w:qFormat/>
    <w:uiPriority w:val="0"/>
    <w:pPr>
      <w:keepNext w:val="0"/>
      <w:pageBreakBefore w:val="0"/>
      <w:shd w:val="clear" w:color="auto" w:fill="FFFFFF"/>
      <w:spacing w:line="460" w:lineRule="exact"/>
      <w:outlineLvl w:val="9"/>
    </w:pPr>
    <w:rPr>
      <w:b/>
    </w:rPr>
  </w:style>
  <w:style w:type="paragraph" w:customStyle="1" w:styleId="312">
    <w:name w:val="Char Char Char Char Char Char Char Char Char Char Char Char Char Char Char Char Char1"/>
    <w:basedOn w:val="1"/>
    <w:qFormat/>
    <w:uiPriority w:val="0"/>
    <w:pPr>
      <w:snapToGrid w:val="0"/>
      <w:spacing w:line="360" w:lineRule="auto"/>
    </w:pPr>
    <w:rPr>
      <w:rFonts w:ascii="Tahoma" w:hAnsi="Tahoma" w:eastAsia="仿宋_GB2312"/>
      <w:b/>
      <w:sz w:val="24"/>
      <w:szCs w:val="20"/>
    </w:rPr>
  </w:style>
  <w:style w:type="paragraph" w:customStyle="1" w:styleId="313">
    <w:name w:val="题头内容"/>
    <w:basedOn w:val="1"/>
    <w:qFormat/>
    <w:uiPriority w:val="0"/>
    <w:pPr>
      <w:adjustRightInd w:val="0"/>
      <w:spacing w:before="120" w:after="120" w:line="312" w:lineRule="atLeast"/>
      <w:ind w:right="879" w:firstLine="839" w:firstLineChars="200"/>
      <w:jc w:val="center"/>
    </w:pPr>
    <w:rPr>
      <w:rFonts w:ascii="黑体" w:eastAsia="黑体"/>
      <w:kern w:val="0"/>
      <w:sz w:val="32"/>
      <w:szCs w:val="20"/>
    </w:rPr>
  </w:style>
  <w:style w:type="paragraph" w:customStyle="1" w:styleId="314">
    <w:name w:val="目录"/>
    <w:basedOn w:val="1"/>
    <w:next w:val="294"/>
    <w:qFormat/>
    <w:uiPriority w:val="0"/>
    <w:pPr>
      <w:adjustRightInd w:val="0"/>
      <w:spacing w:before="360" w:after="360" w:line="312" w:lineRule="atLeast"/>
      <w:ind w:firstLine="480" w:firstLineChars="200"/>
      <w:jc w:val="center"/>
    </w:pPr>
    <w:rPr>
      <w:rFonts w:ascii="黑体" w:eastAsia="黑体"/>
      <w:spacing w:val="20"/>
      <w:kern w:val="0"/>
      <w:sz w:val="32"/>
      <w:szCs w:val="20"/>
    </w:rPr>
  </w:style>
  <w:style w:type="paragraph" w:customStyle="1" w:styleId="315">
    <w:name w:val="表格(五号)"/>
    <w:basedOn w:val="1"/>
    <w:qFormat/>
    <w:uiPriority w:val="0"/>
    <w:pPr>
      <w:adjustRightInd w:val="0"/>
      <w:snapToGrid w:val="0"/>
      <w:spacing w:before="60" w:after="60"/>
      <w:ind w:left="11"/>
      <w:jc w:val="center"/>
    </w:pPr>
    <w:rPr>
      <w:kern w:val="0"/>
      <w:szCs w:val="20"/>
    </w:rPr>
  </w:style>
  <w:style w:type="paragraph" w:customStyle="1" w:styleId="316">
    <w:name w:val="表格标题"/>
    <w:basedOn w:val="4"/>
    <w:qFormat/>
    <w:uiPriority w:val="0"/>
    <w:pPr>
      <w:tabs>
        <w:tab w:val="left" w:pos="6946"/>
      </w:tabs>
      <w:autoSpaceDE/>
      <w:autoSpaceDN/>
      <w:snapToGrid w:val="0"/>
      <w:spacing w:before="0" w:after="0" w:line="300" w:lineRule="auto"/>
      <w:ind w:firstLine="454"/>
      <w:jc w:val="both"/>
      <w:textAlignment w:val="auto"/>
      <w:outlineLvl w:val="3"/>
    </w:pPr>
    <w:rPr>
      <w:rFonts w:hAnsi="宋体" w:eastAsia="黑体"/>
      <w:b w:val="0"/>
      <w:bCs/>
      <w:color w:val="000000"/>
      <w:sz w:val="24"/>
    </w:rPr>
  </w:style>
  <w:style w:type="paragraph" w:customStyle="1" w:styleId="317">
    <w:name w:val="表格标题(居中)"/>
    <w:basedOn w:val="1"/>
    <w:qFormat/>
    <w:uiPriority w:val="0"/>
    <w:pPr>
      <w:snapToGrid w:val="0"/>
      <w:spacing w:line="300" w:lineRule="auto"/>
      <w:jc w:val="center"/>
    </w:pPr>
    <w:rPr>
      <w:rFonts w:eastAsia="黑体"/>
      <w:sz w:val="24"/>
      <w:szCs w:val="20"/>
    </w:rPr>
  </w:style>
  <w:style w:type="paragraph" w:customStyle="1" w:styleId="318">
    <w:name w:val="表格正文"/>
    <w:basedOn w:val="1"/>
    <w:qFormat/>
    <w:uiPriority w:val="0"/>
    <w:pPr>
      <w:adjustRightInd w:val="0"/>
      <w:snapToGrid w:val="0"/>
      <w:spacing w:before="60" w:after="60"/>
      <w:jc w:val="center"/>
    </w:pPr>
    <w:rPr>
      <w:kern w:val="0"/>
      <w:sz w:val="24"/>
      <w:szCs w:val="20"/>
    </w:rPr>
  </w:style>
  <w:style w:type="paragraph" w:customStyle="1" w:styleId="319">
    <w:name w:val="插图说明"/>
    <w:basedOn w:val="1"/>
    <w:qFormat/>
    <w:uiPriority w:val="0"/>
    <w:pPr>
      <w:adjustRightInd w:val="0"/>
      <w:spacing w:after="240"/>
      <w:ind w:firstLine="200" w:firstLineChars="200"/>
      <w:jc w:val="center"/>
    </w:pPr>
    <w:rPr>
      <w:rFonts w:eastAsia="黑体"/>
      <w:kern w:val="0"/>
      <w:sz w:val="24"/>
      <w:szCs w:val="20"/>
    </w:rPr>
  </w:style>
  <w:style w:type="paragraph" w:customStyle="1" w:styleId="320">
    <w:name w:val="封面标题"/>
    <w:qFormat/>
    <w:uiPriority w:val="0"/>
    <w:pPr>
      <w:spacing w:line="360" w:lineRule="auto"/>
      <w:jc w:val="center"/>
    </w:pPr>
    <w:rPr>
      <w:rFonts w:ascii="Times New Roman" w:hAnsi="Times New Roman" w:eastAsia="宋体" w:cs="Times New Roman"/>
      <w:b/>
      <w:color w:val="000000"/>
      <w:sz w:val="44"/>
      <w:lang w:val="en-US" w:eastAsia="zh-CN" w:bidi="ar-SA"/>
    </w:rPr>
  </w:style>
  <w:style w:type="paragraph" w:customStyle="1" w:styleId="321">
    <w:name w:val="封面落款"/>
    <w:basedOn w:val="1"/>
    <w:qFormat/>
    <w:uiPriority w:val="0"/>
    <w:pPr>
      <w:adjustRightInd w:val="0"/>
      <w:spacing w:line="300" w:lineRule="auto"/>
      <w:jc w:val="center"/>
    </w:pPr>
    <w:rPr>
      <w:spacing w:val="10"/>
      <w:kern w:val="0"/>
      <w:sz w:val="30"/>
      <w:szCs w:val="20"/>
    </w:rPr>
  </w:style>
  <w:style w:type="paragraph" w:customStyle="1" w:styleId="322">
    <w:name w:val="目录0"/>
    <w:basedOn w:val="38"/>
    <w:qFormat/>
    <w:uiPriority w:val="0"/>
    <w:pPr>
      <w:widowControl/>
      <w:tabs>
        <w:tab w:val="right" w:leader="middleDot" w:pos="8931"/>
      </w:tabs>
      <w:spacing w:before="120" w:line="300" w:lineRule="auto"/>
      <w:jc w:val="center"/>
    </w:pPr>
    <w:rPr>
      <w:rFonts w:eastAsia="黑体"/>
      <w:bCs/>
      <w:caps/>
      <w:color w:val="000000"/>
      <w:kern w:val="0"/>
      <w:sz w:val="32"/>
      <w:szCs w:val="28"/>
    </w:rPr>
  </w:style>
  <w:style w:type="paragraph" w:customStyle="1" w:styleId="323">
    <w:name w:val="??"/>
    <w:qFormat/>
    <w:uiPriority w:val="0"/>
    <w:pPr>
      <w:widowControl w:val="0"/>
      <w:overflowPunct w:val="0"/>
      <w:autoSpaceDE w:val="0"/>
      <w:autoSpaceDN w:val="0"/>
      <w:adjustRightInd w:val="0"/>
    </w:pPr>
    <w:rPr>
      <w:rFonts w:ascii="Times New Roman" w:hAnsi="Times New Roman" w:eastAsia="宋体" w:cs="Times New Roman"/>
      <w:lang w:val="en-US" w:eastAsia="zh-CN" w:bidi="ar-SA"/>
    </w:rPr>
  </w:style>
  <w:style w:type="paragraph" w:customStyle="1" w:styleId="324">
    <w:name w:val="正文文本 21"/>
    <w:basedOn w:val="323"/>
    <w:qFormat/>
    <w:uiPriority w:val="0"/>
    <w:pPr>
      <w:tabs>
        <w:tab w:val="left" w:pos="1260"/>
        <w:tab w:val="left" w:pos="2160"/>
        <w:tab w:val="left" w:pos="7920"/>
      </w:tabs>
      <w:ind w:left="720"/>
      <w:jc w:val="both"/>
    </w:pPr>
    <w:rPr>
      <w:sz w:val="24"/>
    </w:rPr>
  </w:style>
  <w:style w:type="paragraph" w:customStyle="1" w:styleId="325">
    <w:name w:val="正文文本缩进 21"/>
    <w:basedOn w:val="323"/>
    <w:qFormat/>
    <w:uiPriority w:val="0"/>
    <w:pPr>
      <w:ind w:left="1440"/>
      <w:jc w:val="both"/>
    </w:pPr>
    <w:rPr>
      <w:sz w:val="24"/>
    </w:rPr>
  </w:style>
  <w:style w:type="paragraph" w:customStyle="1" w:styleId="326">
    <w:name w:val="?? 1"/>
    <w:basedOn w:val="323"/>
    <w:next w:val="323"/>
    <w:qFormat/>
    <w:uiPriority w:val="0"/>
    <w:pPr>
      <w:keepNext/>
      <w:jc w:val="center"/>
    </w:pPr>
    <w:rPr>
      <w:b/>
      <w:sz w:val="32"/>
    </w:rPr>
  </w:style>
  <w:style w:type="paragraph" w:customStyle="1" w:styleId="327">
    <w:name w:val="????"/>
    <w:basedOn w:val="323"/>
    <w:qFormat/>
    <w:uiPriority w:val="0"/>
    <w:pPr>
      <w:jc w:val="both"/>
    </w:pPr>
    <w:rPr>
      <w:sz w:val="22"/>
    </w:rPr>
  </w:style>
  <w:style w:type="paragraph" w:customStyle="1" w:styleId="328">
    <w:name w:val="?? 6"/>
    <w:basedOn w:val="323"/>
    <w:next w:val="323"/>
    <w:qFormat/>
    <w:uiPriority w:val="0"/>
    <w:pPr>
      <w:keepNext/>
      <w:tabs>
        <w:tab w:val="left" w:pos="5040"/>
      </w:tabs>
      <w:ind w:left="720"/>
      <w:jc w:val="both"/>
    </w:pPr>
    <w:rPr>
      <w:sz w:val="24"/>
    </w:rPr>
  </w:style>
  <w:style w:type="paragraph" w:customStyle="1" w:styleId="329">
    <w:name w:val="正文 0"/>
    <w:basedOn w:val="1"/>
    <w:qFormat/>
    <w:uiPriority w:val="0"/>
    <w:pPr>
      <w:tabs>
        <w:tab w:val="left" w:pos="540"/>
        <w:tab w:val="left" w:pos="1620"/>
        <w:tab w:val="left" w:pos="2700"/>
        <w:tab w:val="left" w:pos="3780"/>
        <w:tab w:val="left" w:pos="4860"/>
        <w:tab w:val="left" w:pos="5940"/>
        <w:tab w:val="left" w:pos="7020"/>
        <w:tab w:val="left" w:pos="8100"/>
      </w:tabs>
      <w:ind w:firstLine="480"/>
    </w:pPr>
    <w:rPr>
      <w:kern w:val="0"/>
    </w:rPr>
  </w:style>
  <w:style w:type="paragraph" w:customStyle="1" w:styleId="330">
    <w:name w:val="文档正文 Char"/>
    <w:basedOn w:val="1"/>
    <w:qFormat/>
    <w:uiPriority w:val="0"/>
    <w:pPr>
      <w:adjustRightInd w:val="0"/>
      <w:spacing w:line="480" w:lineRule="atLeast"/>
      <w:ind w:firstLine="567"/>
    </w:pPr>
    <w:rPr>
      <w:rFonts w:ascii="仿宋_GB2312" w:eastAsia="仿宋_GB2312"/>
      <w:sz w:val="28"/>
      <w:szCs w:val="28"/>
    </w:rPr>
  </w:style>
  <w:style w:type="character" w:customStyle="1" w:styleId="331">
    <w:name w:val="SJ-标题2 Char"/>
    <w:link w:val="332"/>
    <w:qFormat/>
    <w:locked/>
    <w:uiPriority w:val="0"/>
    <w:rPr>
      <w:rFonts w:ascii="宋体" w:hAnsi="宋体" w:eastAsia="黑体"/>
      <w:szCs w:val="24"/>
    </w:rPr>
  </w:style>
  <w:style w:type="paragraph" w:customStyle="1" w:styleId="332">
    <w:name w:val="SJ-标题2"/>
    <w:link w:val="331"/>
    <w:qFormat/>
    <w:uiPriority w:val="0"/>
    <w:pPr>
      <w:keepLines/>
      <w:widowControl w:val="0"/>
      <w:spacing w:before="200" w:after="200"/>
      <w:ind w:left="-28" w:firstLine="454"/>
      <w:outlineLvl w:val="1"/>
    </w:pPr>
    <w:rPr>
      <w:rFonts w:ascii="宋体" w:hAnsi="宋体" w:eastAsia="黑体" w:cstheme="minorBidi"/>
      <w:kern w:val="2"/>
      <w:sz w:val="24"/>
      <w:szCs w:val="24"/>
      <w:lang w:val="en-US" w:eastAsia="zh-CN" w:bidi="ar-SA"/>
    </w:rPr>
  </w:style>
  <w:style w:type="character" w:customStyle="1" w:styleId="333">
    <w:name w:val="表格内容 Char"/>
    <w:link w:val="334"/>
    <w:qFormat/>
    <w:locked/>
    <w:uiPriority w:val="0"/>
    <w:rPr>
      <w:rFonts w:ascii="仿宋_GB2312" w:hAnsi="宋体" w:eastAsia="仿宋_GB2312" w:cs="宋体"/>
      <w:szCs w:val="24"/>
    </w:rPr>
  </w:style>
  <w:style w:type="paragraph" w:customStyle="1" w:styleId="334">
    <w:name w:val="表格内容"/>
    <w:basedOn w:val="1"/>
    <w:link w:val="333"/>
    <w:qFormat/>
    <w:uiPriority w:val="0"/>
    <w:pPr>
      <w:adjustRightInd w:val="0"/>
      <w:spacing w:before="40" w:after="40"/>
      <w:jc w:val="center"/>
    </w:pPr>
    <w:rPr>
      <w:rFonts w:ascii="仿宋_GB2312" w:hAnsi="宋体" w:eastAsia="仿宋_GB2312" w:cs="宋体"/>
      <w:sz w:val="24"/>
    </w:rPr>
  </w:style>
  <w:style w:type="paragraph" w:customStyle="1" w:styleId="335">
    <w:name w:val="样式 表格内容 + 首行缩进:  0 厘米"/>
    <w:basedOn w:val="1"/>
    <w:qFormat/>
    <w:uiPriority w:val="0"/>
    <w:pPr>
      <w:autoSpaceDE w:val="0"/>
      <w:autoSpaceDN w:val="0"/>
      <w:adjustRightInd w:val="0"/>
      <w:spacing w:before="40" w:after="40"/>
      <w:jc w:val="center"/>
    </w:pPr>
    <w:rPr>
      <w:rFonts w:eastAsia="仿宋_GB2312" w:cs="宋体"/>
      <w:kern w:val="24"/>
      <w:sz w:val="24"/>
      <w:szCs w:val="20"/>
    </w:rPr>
  </w:style>
  <w:style w:type="paragraph" w:customStyle="1" w:styleId="336">
    <w:name w:val="默认段落字体 Para Char Char Char Char Char Char Char Char Char Char Char Char Char"/>
    <w:basedOn w:val="20"/>
    <w:qFormat/>
    <w:uiPriority w:val="0"/>
    <w:pPr>
      <w:tabs>
        <w:tab w:val="left" w:pos="980"/>
        <w:tab w:val="left" w:pos="1400"/>
      </w:tabs>
      <w:ind w:firstLine="200" w:firstLineChars="200"/>
      <w:jc w:val="left"/>
      <w:outlineLvl w:val="2"/>
    </w:pPr>
    <w:rPr>
      <w:rFonts w:ascii="Tahoma" w:hAnsi="Tahoma" w:eastAsia="仿宋_GB2312"/>
      <w:sz w:val="24"/>
    </w:rPr>
  </w:style>
  <w:style w:type="paragraph" w:customStyle="1" w:styleId="337">
    <w:name w:val="6"/>
    <w:basedOn w:val="1"/>
    <w:qFormat/>
    <w:uiPriority w:val="0"/>
    <w:pPr>
      <w:widowControl/>
      <w:spacing w:after="160" w:line="240" w:lineRule="exact"/>
      <w:jc w:val="left"/>
    </w:pPr>
    <w:rPr>
      <w:rFonts w:ascii="Verdana" w:hAnsi="Verdana"/>
      <w:kern w:val="0"/>
      <w:sz w:val="20"/>
      <w:szCs w:val="20"/>
      <w:lang w:eastAsia="en-US"/>
    </w:rPr>
  </w:style>
  <w:style w:type="paragraph" w:customStyle="1" w:styleId="338">
    <w:name w:val="图形文字"/>
    <w:basedOn w:val="1"/>
    <w:qFormat/>
    <w:uiPriority w:val="0"/>
    <w:pPr>
      <w:tabs>
        <w:tab w:val="left" w:pos="900"/>
      </w:tabs>
      <w:spacing w:line="360" w:lineRule="auto"/>
      <w:ind w:left="900" w:hanging="420"/>
    </w:pPr>
    <w:rPr>
      <w:rFonts w:ascii="宋体" w:hAnsi="宋体"/>
      <w:spacing w:val="10"/>
      <w:szCs w:val="20"/>
    </w:rPr>
  </w:style>
  <w:style w:type="paragraph" w:customStyle="1" w:styleId="339">
    <w:name w:val="Char"/>
    <w:basedOn w:val="20"/>
    <w:qFormat/>
    <w:uiPriority w:val="0"/>
    <w:pPr>
      <w:tabs>
        <w:tab w:val="left" w:pos="360"/>
      </w:tabs>
      <w:snapToGrid w:val="0"/>
      <w:ind w:firstLine="200" w:firstLineChars="200"/>
      <w:jc w:val="left"/>
    </w:pPr>
    <w:rPr>
      <w:rFonts w:ascii="Tahoma" w:hAnsi="Tahoma"/>
      <w:sz w:val="24"/>
    </w:rPr>
  </w:style>
  <w:style w:type="paragraph" w:customStyle="1" w:styleId="340">
    <w:name w:val="1234 Char"/>
    <w:basedOn w:val="56"/>
    <w:next w:val="1"/>
    <w:qFormat/>
    <w:uiPriority w:val="0"/>
    <w:pPr>
      <w:adjustRightInd/>
      <w:spacing w:line="360" w:lineRule="auto"/>
      <w:ind w:firstLine="482"/>
    </w:pPr>
    <w:rPr>
      <w:b/>
      <w:szCs w:val="24"/>
    </w:rPr>
  </w:style>
  <w:style w:type="paragraph" w:customStyle="1" w:styleId="341">
    <w:name w:val="样式 Tahoma 行距: 单倍行距"/>
    <w:basedOn w:val="1"/>
    <w:qFormat/>
    <w:uiPriority w:val="0"/>
    <w:pPr>
      <w:ind w:firstLine="420" w:firstLineChars="200"/>
    </w:pPr>
    <w:rPr>
      <w:rFonts w:ascii="Tahoma" w:hAnsi="Tahoma" w:cs="宋体"/>
      <w:szCs w:val="21"/>
    </w:rPr>
  </w:style>
  <w:style w:type="character" w:customStyle="1" w:styleId="342">
    <w:name w:val="Item List Char1"/>
    <w:link w:val="343"/>
    <w:qFormat/>
    <w:locked/>
    <w:uiPriority w:val="0"/>
    <w:rPr>
      <w:rFonts w:ascii="Arial" w:hAnsi="Arial" w:cs="Arial"/>
      <w:sz w:val="21"/>
      <w:szCs w:val="21"/>
    </w:rPr>
  </w:style>
  <w:style w:type="paragraph" w:customStyle="1" w:styleId="343">
    <w:name w:val="Item List"/>
    <w:link w:val="342"/>
    <w:qFormat/>
    <w:uiPriority w:val="0"/>
    <w:pPr>
      <w:spacing w:line="300" w:lineRule="auto"/>
      <w:ind w:left="420" w:hanging="420"/>
      <w:jc w:val="both"/>
    </w:pPr>
    <w:rPr>
      <w:rFonts w:ascii="Arial" w:hAnsi="Arial" w:eastAsia="宋体" w:cs="Arial"/>
      <w:kern w:val="2"/>
      <w:sz w:val="21"/>
      <w:szCs w:val="21"/>
      <w:lang w:val="en-US" w:eastAsia="zh-CN" w:bidi="ar-SA"/>
    </w:rPr>
  </w:style>
  <w:style w:type="paragraph" w:customStyle="1" w:styleId="344">
    <w:name w:val="IN Step"/>
    <w:basedOn w:val="1"/>
    <w:qFormat/>
    <w:uiPriority w:val="0"/>
    <w:pPr>
      <w:keepLines/>
      <w:widowControl/>
      <w:numPr>
        <w:ilvl w:val="0"/>
        <w:numId w:val="26"/>
      </w:numPr>
      <w:tabs>
        <w:tab w:val="left" w:pos="1134"/>
      </w:tabs>
      <w:spacing w:before="80" w:after="80" w:line="300" w:lineRule="auto"/>
      <w:ind w:left="1134" w:hanging="907"/>
      <w:outlineLvl w:val="8"/>
    </w:pPr>
    <w:rPr>
      <w:rFonts w:ascii="Arial" w:hAnsi="Arial" w:cs="Arial"/>
      <w:kern w:val="0"/>
      <w:szCs w:val="21"/>
    </w:rPr>
  </w:style>
  <w:style w:type="paragraph" w:customStyle="1" w:styleId="345">
    <w:name w:val="IN Feature"/>
    <w:next w:val="344"/>
    <w:qFormat/>
    <w:uiPriority w:val="0"/>
    <w:pPr>
      <w:keepNext/>
      <w:keepLines/>
      <w:spacing w:before="240" w:after="240"/>
      <w:outlineLvl w:val="7"/>
    </w:pPr>
    <w:rPr>
      <w:rFonts w:ascii="Arial" w:hAnsi="Arial" w:eastAsia="黑体" w:cs="Arial"/>
      <w:sz w:val="21"/>
      <w:szCs w:val="21"/>
      <w:lang w:val="en-US" w:eastAsia="zh-CN" w:bidi="ar-SA"/>
    </w:rPr>
  </w:style>
  <w:style w:type="paragraph" w:customStyle="1" w:styleId="346">
    <w:name w:val="Item Step"/>
    <w:qFormat/>
    <w:uiPriority w:val="0"/>
    <w:pPr>
      <w:tabs>
        <w:tab w:val="left" w:pos="1644"/>
      </w:tabs>
      <w:spacing w:line="300" w:lineRule="auto"/>
      <w:ind w:left="1644" w:hanging="510"/>
      <w:jc w:val="both"/>
      <w:outlineLvl w:val="4"/>
    </w:pPr>
    <w:rPr>
      <w:rFonts w:ascii="Arial" w:hAnsi="Arial" w:eastAsia="宋体" w:cs="Arial"/>
      <w:sz w:val="21"/>
      <w:szCs w:val="21"/>
      <w:lang w:val="en-US" w:eastAsia="zh-CN" w:bidi="ar-SA"/>
    </w:rPr>
  </w:style>
  <w:style w:type="paragraph" w:customStyle="1" w:styleId="347">
    <w:name w:val="样式 正文首行缩进 + 首行缩进:  2 字符"/>
    <w:basedOn w:val="55"/>
    <w:qFormat/>
    <w:uiPriority w:val="0"/>
    <w:pPr>
      <w:autoSpaceDE w:val="0"/>
      <w:autoSpaceDN w:val="0"/>
      <w:spacing w:after="0" w:line="360" w:lineRule="auto"/>
      <w:ind w:firstLine="200"/>
    </w:pPr>
    <w:rPr>
      <w:rFonts w:ascii="Arial" w:hAnsi="Arial" w:cs="宋体"/>
      <w:sz w:val="21"/>
    </w:rPr>
  </w:style>
  <w:style w:type="paragraph" w:customStyle="1" w:styleId="348">
    <w:name w:val="SJ-标题一"/>
    <w:qFormat/>
    <w:uiPriority w:val="0"/>
    <w:pPr>
      <w:keepLines/>
      <w:widowControl w:val="0"/>
      <w:spacing w:before="360" w:after="360" w:line="348" w:lineRule="auto"/>
      <w:outlineLvl w:val="0"/>
    </w:pPr>
    <w:rPr>
      <w:rFonts w:ascii="宋体" w:hAnsi="宋体" w:eastAsia="黑体" w:cs="Times New Roman"/>
      <w:kern w:val="2"/>
      <w:sz w:val="32"/>
      <w:szCs w:val="32"/>
      <w:lang w:val="en-US" w:eastAsia="zh-CN" w:bidi="ar-SA"/>
    </w:rPr>
  </w:style>
  <w:style w:type="paragraph" w:customStyle="1" w:styleId="349">
    <w:name w:val="SJ-标题3"/>
    <w:basedOn w:val="332"/>
    <w:qFormat/>
    <w:uiPriority w:val="0"/>
    <w:pPr>
      <w:tabs>
        <w:tab w:val="left" w:pos="1200"/>
      </w:tabs>
      <w:ind w:left="1200" w:hanging="360"/>
      <w:outlineLvl w:val="2"/>
    </w:pPr>
  </w:style>
  <w:style w:type="paragraph" w:customStyle="1" w:styleId="350">
    <w:name w:val="SJ-标题4"/>
    <w:basedOn w:val="349"/>
    <w:qFormat/>
    <w:uiPriority w:val="0"/>
    <w:pPr>
      <w:tabs>
        <w:tab w:val="left" w:pos="1680"/>
        <w:tab w:val="clear" w:pos="1200"/>
      </w:tabs>
      <w:spacing w:before="120" w:after="120"/>
      <w:ind w:left="1680" w:hanging="420"/>
      <w:outlineLvl w:val="3"/>
    </w:pPr>
  </w:style>
  <w:style w:type="paragraph" w:customStyle="1" w:styleId="351">
    <w:name w:val="SJ-标题5"/>
    <w:qFormat/>
    <w:uiPriority w:val="0"/>
    <w:pPr>
      <w:spacing w:before="120" w:after="120"/>
      <w:ind w:firstLine="454"/>
      <w:outlineLvl w:val="4"/>
    </w:pPr>
    <w:rPr>
      <w:rFonts w:ascii="宋体" w:hAnsi="宋体" w:eastAsia="宋体" w:cs="Times New Roman"/>
      <w:kern w:val="2"/>
      <w:sz w:val="24"/>
      <w:szCs w:val="24"/>
      <w:lang w:val="en-US" w:eastAsia="zh-CN" w:bidi="ar-SA"/>
    </w:rPr>
  </w:style>
  <w:style w:type="paragraph" w:customStyle="1" w:styleId="352">
    <w:name w:val="SJ-标题6"/>
    <w:basedOn w:val="1"/>
    <w:qFormat/>
    <w:uiPriority w:val="0"/>
    <w:pPr>
      <w:widowControl/>
      <w:ind w:firstLine="454"/>
    </w:pPr>
    <w:rPr>
      <w:sz w:val="24"/>
    </w:rPr>
  </w:style>
  <w:style w:type="paragraph" w:customStyle="1" w:styleId="353">
    <w:name w:val="SJ-图"/>
    <w:basedOn w:val="332"/>
    <w:qFormat/>
    <w:uiPriority w:val="0"/>
    <w:pPr>
      <w:tabs>
        <w:tab w:val="left" w:pos="3360"/>
      </w:tabs>
      <w:ind w:left="3360" w:hanging="420"/>
      <w:jc w:val="center"/>
      <w:outlineLvl w:val="7"/>
    </w:pPr>
    <w:rPr>
      <w:b/>
    </w:rPr>
  </w:style>
  <w:style w:type="paragraph" w:customStyle="1" w:styleId="354">
    <w:name w:val="SJ-表"/>
    <w:basedOn w:val="1"/>
    <w:qFormat/>
    <w:uiPriority w:val="0"/>
    <w:pPr>
      <w:widowControl/>
      <w:tabs>
        <w:tab w:val="left" w:pos="0"/>
      </w:tabs>
      <w:jc w:val="left"/>
    </w:pPr>
    <w:rPr>
      <w:sz w:val="24"/>
    </w:rPr>
  </w:style>
  <w:style w:type="paragraph" w:customStyle="1" w:styleId="355">
    <w:name w:val="SJ-a)"/>
    <w:basedOn w:val="1"/>
    <w:qFormat/>
    <w:uiPriority w:val="0"/>
    <w:pPr>
      <w:widowControl/>
      <w:ind w:firstLine="680"/>
      <w:jc w:val="left"/>
    </w:pPr>
    <w:rPr>
      <w:sz w:val="24"/>
    </w:rPr>
  </w:style>
  <w:style w:type="paragraph" w:customStyle="1" w:styleId="356">
    <w:name w:val="工程全称"/>
    <w:qFormat/>
    <w:uiPriority w:val="0"/>
    <w:pPr>
      <w:widowControl w:val="0"/>
      <w:adjustRightInd w:val="0"/>
      <w:spacing w:before="120" w:after="120" w:line="312" w:lineRule="atLeast"/>
      <w:ind w:right="879" w:firstLine="839"/>
      <w:jc w:val="center"/>
    </w:pPr>
    <w:rPr>
      <w:rFonts w:ascii="华文中宋" w:hAnsi="华文中宋" w:eastAsia="华文中宋" w:cs="Times New Roman"/>
      <w:b/>
      <w:color w:val="000000"/>
      <w:sz w:val="44"/>
      <w:szCs w:val="44"/>
      <w:lang w:val="en-US" w:eastAsia="zh-CN" w:bidi="ar-SA"/>
    </w:rPr>
  </w:style>
  <w:style w:type="paragraph" w:customStyle="1" w:styleId="357">
    <w:name w:val="默认段落字体 Para Char Char Char Char Char Char Char"/>
    <w:basedOn w:val="1"/>
    <w:qFormat/>
    <w:uiPriority w:val="0"/>
    <w:rPr>
      <w:rFonts w:eastAsia="仿宋_GB2312"/>
      <w:color w:val="000000"/>
      <w:kern w:val="0"/>
      <w:sz w:val="28"/>
      <w:szCs w:val="20"/>
    </w:rPr>
  </w:style>
  <w:style w:type="paragraph" w:customStyle="1" w:styleId="358">
    <w:name w:val="表格（小四号字）"/>
    <w:basedOn w:val="1"/>
    <w:qFormat/>
    <w:uiPriority w:val="0"/>
    <w:pPr>
      <w:keepNext/>
      <w:adjustRightInd w:val="0"/>
      <w:spacing w:before="40" w:after="40"/>
      <w:jc w:val="center"/>
    </w:pPr>
    <w:rPr>
      <w:rFonts w:eastAsia="仿宋_GB2312"/>
      <w:color w:val="000000"/>
      <w:kern w:val="0"/>
      <w:sz w:val="24"/>
      <w:szCs w:val="20"/>
    </w:rPr>
  </w:style>
  <w:style w:type="paragraph" w:customStyle="1" w:styleId="359">
    <w:name w:val="表格"/>
    <w:basedOn w:val="1"/>
    <w:qFormat/>
    <w:uiPriority w:val="0"/>
    <w:pPr>
      <w:adjustRightInd w:val="0"/>
      <w:spacing w:line="360" w:lineRule="atLeast"/>
      <w:ind w:left="-20" w:right="-20"/>
      <w:jc w:val="center"/>
    </w:pPr>
    <w:rPr>
      <w:kern w:val="0"/>
      <w:szCs w:val="20"/>
    </w:rPr>
  </w:style>
  <w:style w:type="paragraph" w:customStyle="1" w:styleId="360">
    <w:name w:val="本正文"/>
    <w:basedOn w:val="294"/>
    <w:qFormat/>
    <w:uiPriority w:val="0"/>
    <w:pPr>
      <w:adjustRightInd w:val="0"/>
      <w:spacing w:line="360" w:lineRule="auto"/>
      <w:ind w:firstLine="360"/>
      <w:jc w:val="left"/>
    </w:pPr>
    <w:rPr>
      <w:rFonts w:ascii="长城仿宋" w:eastAsia="长城仿宋"/>
      <w:spacing w:val="10"/>
    </w:rPr>
  </w:style>
  <w:style w:type="paragraph" w:customStyle="1" w:styleId="361">
    <w:name w:val="23"/>
    <w:basedOn w:val="1"/>
    <w:qFormat/>
    <w:uiPriority w:val="0"/>
    <w:rPr>
      <w:rFonts w:eastAsia="Arial" w:cs="Arial"/>
      <w:sz w:val="24"/>
    </w:rPr>
  </w:style>
  <w:style w:type="paragraph" w:customStyle="1" w:styleId="362">
    <w:name w:val="21"/>
    <w:basedOn w:val="1"/>
    <w:qFormat/>
    <w:uiPriority w:val="0"/>
    <w:pPr>
      <w:autoSpaceDE w:val="0"/>
      <w:autoSpaceDN w:val="0"/>
      <w:adjustRightInd w:val="0"/>
      <w:spacing w:line="360" w:lineRule="auto"/>
      <w:jc w:val="left"/>
    </w:pPr>
    <w:rPr>
      <w:rFonts w:ascii="Arial" w:hAnsi="Arial" w:eastAsia="Arial" w:cs="Arial"/>
      <w:sz w:val="24"/>
    </w:rPr>
  </w:style>
  <w:style w:type="paragraph" w:customStyle="1" w:styleId="363">
    <w:name w:val="样式2"/>
    <w:basedOn w:val="1"/>
    <w:qFormat/>
    <w:uiPriority w:val="0"/>
    <w:pPr>
      <w:autoSpaceDE w:val="0"/>
      <w:autoSpaceDN w:val="0"/>
      <w:adjustRightInd w:val="0"/>
      <w:spacing w:line="360" w:lineRule="auto"/>
      <w:ind w:left="1050" w:hanging="420"/>
      <w:jc w:val="left"/>
    </w:pPr>
    <w:rPr>
      <w:rFonts w:ascii="Arial" w:hAnsi="Arial" w:eastAsia="Arial" w:cs="Arial"/>
      <w:sz w:val="24"/>
    </w:rPr>
  </w:style>
  <w:style w:type="paragraph" w:customStyle="1" w:styleId="364">
    <w:name w:val="Table Heading"/>
    <w:basedOn w:val="1"/>
    <w:qFormat/>
    <w:uiPriority w:val="0"/>
    <w:pPr>
      <w:keepNext/>
      <w:numPr>
        <w:ilvl w:val="0"/>
        <w:numId w:val="27"/>
      </w:numPr>
      <w:topLinePunct/>
      <w:adjustRightInd w:val="0"/>
      <w:snapToGrid w:val="0"/>
      <w:spacing w:before="80" w:after="80" w:line="240" w:lineRule="atLeast"/>
      <w:ind w:left="0" w:firstLine="0"/>
      <w:jc w:val="left"/>
    </w:pPr>
    <w:rPr>
      <w:rFonts w:ascii="Book Antiqua" w:hAnsi="Book Antiqua" w:eastAsia="黑体" w:cs="Book Antiqua"/>
      <w:bCs/>
      <w:kern w:val="0"/>
      <w:szCs w:val="21"/>
    </w:rPr>
  </w:style>
  <w:style w:type="character" w:customStyle="1" w:styleId="365">
    <w:name w:val="Table Text Char1"/>
    <w:link w:val="366"/>
    <w:qFormat/>
    <w:locked/>
    <w:uiPriority w:val="0"/>
    <w:rPr>
      <w:rFonts w:ascii="宋体" w:hAnsi="宋体" w:cstheme="minorBidi"/>
      <w:kern w:val="2"/>
      <w:sz w:val="21"/>
      <w:szCs w:val="21"/>
    </w:rPr>
  </w:style>
  <w:style w:type="paragraph" w:customStyle="1" w:styleId="366">
    <w:name w:val="Table Text"/>
    <w:basedOn w:val="1"/>
    <w:link w:val="365"/>
    <w:qFormat/>
    <w:uiPriority w:val="0"/>
    <w:pPr>
      <w:numPr>
        <w:ilvl w:val="0"/>
        <w:numId w:val="28"/>
      </w:numPr>
      <w:topLinePunct/>
      <w:adjustRightInd w:val="0"/>
      <w:snapToGrid w:val="0"/>
      <w:spacing w:before="80" w:after="80" w:line="240" w:lineRule="atLeast"/>
      <w:ind w:left="0" w:firstLine="0"/>
      <w:jc w:val="left"/>
    </w:pPr>
    <w:rPr>
      <w:rFonts w:ascii="宋体" w:hAnsi="宋体" w:cstheme="minorBidi"/>
      <w:szCs w:val="21"/>
    </w:rPr>
  </w:style>
  <w:style w:type="paragraph" w:customStyle="1" w:styleId="367">
    <w:name w:val="TEST"/>
    <w:basedOn w:val="343"/>
    <w:qFormat/>
    <w:uiPriority w:val="0"/>
    <w:pPr>
      <w:numPr>
        <w:ilvl w:val="0"/>
        <w:numId w:val="29"/>
      </w:numPr>
      <w:spacing w:line="360" w:lineRule="auto"/>
    </w:pPr>
    <w:rPr>
      <w:sz w:val="24"/>
      <w:szCs w:val="24"/>
    </w:rPr>
  </w:style>
  <w:style w:type="paragraph" w:customStyle="1" w:styleId="368">
    <w:name w:val="32"/>
    <w:basedOn w:val="1"/>
    <w:qFormat/>
    <w:uiPriority w:val="0"/>
    <w:pPr>
      <w:tabs>
        <w:tab w:val="left" w:pos="840"/>
      </w:tabs>
      <w:autoSpaceDE w:val="0"/>
      <w:autoSpaceDN w:val="0"/>
      <w:adjustRightInd w:val="0"/>
      <w:spacing w:beforeLines="100" w:afterLines="100" w:line="360" w:lineRule="auto"/>
      <w:ind w:left="840" w:hanging="420"/>
      <w:jc w:val="left"/>
    </w:pPr>
    <w:rPr>
      <w:rFonts w:ascii="Arial" w:hAnsi="Arial" w:eastAsia="Arial" w:cs="Arial"/>
      <w:sz w:val="24"/>
    </w:rPr>
  </w:style>
  <w:style w:type="paragraph" w:customStyle="1" w:styleId="369">
    <w:name w:val="注标题"/>
    <w:basedOn w:val="1"/>
    <w:qFormat/>
    <w:uiPriority w:val="0"/>
    <w:pPr>
      <w:topLinePunct/>
    </w:pPr>
    <w:rPr>
      <w:sz w:val="18"/>
      <w:szCs w:val="18"/>
    </w:rPr>
  </w:style>
  <w:style w:type="character" w:customStyle="1" w:styleId="370">
    <w:name w:val="正文格式 Char"/>
    <w:link w:val="371"/>
    <w:qFormat/>
    <w:locked/>
    <w:uiPriority w:val="0"/>
    <w:rPr>
      <w:rFonts w:ascii="宋体" w:hAnsi="宋体"/>
      <w:bCs/>
      <w:sz w:val="21"/>
      <w:szCs w:val="21"/>
    </w:rPr>
  </w:style>
  <w:style w:type="paragraph" w:customStyle="1" w:styleId="371">
    <w:name w:val="正文格式"/>
    <w:basedOn w:val="1"/>
    <w:link w:val="370"/>
    <w:qFormat/>
    <w:uiPriority w:val="0"/>
    <w:pPr>
      <w:topLinePunct/>
      <w:ind w:firstLine="420" w:firstLineChars="200"/>
    </w:pPr>
    <w:rPr>
      <w:rFonts w:ascii="宋体" w:hAnsi="宋体" w:cstheme="minorBidi"/>
      <w:bCs/>
      <w:szCs w:val="21"/>
    </w:rPr>
  </w:style>
  <w:style w:type="character" w:customStyle="1" w:styleId="372">
    <w:name w:val="样式 (西文) 仿宋_GB2312 黑色"/>
    <w:qFormat/>
    <w:uiPriority w:val="0"/>
    <w:rPr>
      <w:rFonts w:hint="eastAsia" w:ascii="宋体" w:hAnsi="宋体" w:eastAsia="宋体"/>
      <w:color w:val="000000"/>
      <w:sz w:val="21"/>
      <w:szCs w:val="21"/>
      <w:lang w:val="en-US" w:eastAsia="zh-CN" w:bidi="ar-SA"/>
    </w:rPr>
  </w:style>
  <w:style w:type="character" w:customStyle="1" w:styleId="373">
    <w:name w:val="Char Char3"/>
    <w:qFormat/>
    <w:uiPriority w:val="0"/>
    <w:rPr>
      <w:rFonts w:hint="eastAsia" w:ascii="宋体" w:hAnsi="宋体" w:eastAsia="宋体"/>
      <w:sz w:val="18"/>
      <w:szCs w:val="21"/>
      <w:lang w:val="en-US" w:eastAsia="zh-CN" w:bidi="ar-SA"/>
    </w:rPr>
  </w:style>
  <w:style w:type="character" w:customStyle="1" w:styleId="374">
    <w:name w:val="Char Char4"/>
    <w:qFormat/>
    <w:uiPriority w:val="0"/>
    <w:rPr>
      <w:rFonts w:hint="eastAsia" w:ascii="宋体" w:hAnsi="宋体" w:eastAsia="宋体"/>
      <w:sz w:val="18"/>
      <w:szCs w:val="21"/>
      <w:lang w:val="en-US" w:eastAsia="zh-CN" w:bidi="ar-SA"/>
    </w:rPr>
  </w:style>
  <w:style w:type="character" w:customStyle="1" w:styleId="375">
    <w:name w:val="首行缩进 Char"/>
    <w:qFormat/>
    <w:uiPriority w:val="0"/>
    <w:rPr>
      <w:rFonts w:hint="default" w:ascii="Times" w:hAnsi="Times" w:eastAsia="宋体" w:cs="Times"/>
      <w:sz w:val="24"/>
      <w:szCs w:val="21"/>
      <w:lang w:val="en-GB" w:eastAsia="zh-CN" w:bidi="ar-SA"/>
    </w:rPr>
  </w:style>
  <w:style w:type="character" w:customStyle="1" w:styleId="376">
    <w:name w:val="Char Char"/>
    <w:qFormat/>
    <w:uiPriority w:val="0"/>
    <w:rPr>
      <w:rFonts w:hint="eastAsia" w:ascii="宋体" w:hAnsi="宋体" w:eastAsia="宋体"/>
      <w:kern w:val="2"/>
      <w:sz w:val="28"/>
      <w:szCs w:val="21"/>
      <w:lang w:val="en-US" w:eastAsia="zh-CN" w:bidi="ar-SA"/>
    </w:rPr>
  </w:style>
  <w:style w:type="character" w:customStyle="1" w:styleId="377">
    <w:name w:val="Char Char6"/>
    <w:qFormat/>
    <w:uiPriority w:val="0"/>
    <w:rPr>
      <w:rFonts w:hint="eastAsia" w:ascii="宋体" w:hAnsi="宋体" w:eastAsia="宋体"/>
      <w:b/>
      <w:kern w:val="2"/>
      <w:sz w:val="32"/>
      <w:szCs w:val="21"/>
      <w:lang w:val="en-US" w:eastAsia="zh-CN" w:bidi="ar-SA"/>
    </w:rPr>
  </w:style>
  <w:style w:type="character" w:customStyle="1" w:styleId="378">
    <w:name w:val="SC.9.135216"/>
    <w:qFormat/>
    <w:uiPriority w:val="0"/>
    <w:rPr>
      <w:color w:val="000000"/>
      <w:sz w:val="16"/>
    </w:rPr>
  </w:style>
  <w:style w:type="character" w:customStyle="1" w:styleId="379">
    <w:name w:val="Char Char7"/>
    <w:qFormat/>
    <w:uiPriority w:val="0"/>
    <w:rPr>
      <w:rFonts w:hint="default" w:ascii="Arial" w:hAnsi="Arial" w:eastAsia="黑体" w:cs="Arial"/>
      <w:b/>
      <w:kern w:val="2"/>
      <w:sz w:val="32"/>
      <w:szCs w:val="21"/>
      <w:lang w:val="en-US" w:eastAsia="zh-CN" w:bidi="ar-SA"/>
    </w:rPr>
  </w:style>
  <w:style w:type="character" w:customStyle="1" w:styleId="380">
    <w:name w:val="± Char"/>
    <w:qFormat/>
    <w:uiPriority w:val="0"/>
    <w:rPr>
      <w:rFonts w:hint="default" w:ascii="Times" w:hAnsi="Times" w:eastAsia="宋体" w:cs="Times"/>
      <w:sz w:val="24"/>
      <w:szCs w:val="21"/>
      <w:lang w:val="en-GB" w:eastAsia="zh-CN" w:bidi="ar-SA"/>
    </w:rPr>
  </w:style>
  <w:style w:type="character" w:customStyle="1" w:styleId="381">
    <w:name w:val="Char Char1"/>
    <w:qFormat/>
    <w:uiPriority w:val="0"/>
    <w:rPr>
      <w:rFonts w:hint="default" w:ascii="Calibri" w:hAnsi="Calibri" w:eastAsia="宋体"/>
      <w:kern w:val="2"/>
      <w:sz w:val="21"/>
      <w:szCs w:val="21"/>
      <w:lang w:val="en-US" w:eastAsia="zh-CN" w:bidi="ar-SA"/>
    </w:rPr>
  </w:style>
  <w:style w:type="character" w:customStyle="1" w:styleId="382">
    <w:name w:val="Char Char5"/>
    <w:qFormat/>
    <w:uiPriority w:val="0"/>
    <w:rPr>
      <w:rFonts w:hint="default" w:ascii="Arial" w:hAnsi="Arial" w:eastAsia="黑体" w:cs="Arial"/>
      <w:kern w:val="2"/>
      <w:sz w:val="21"/>
      <w:szCs w:val="21"/>
      <w:lang w:val="en-US" w:eastAsia="zh-CN" w:bidi="ar-SA"/>
    </w:rPr>
  </w:style>
  <w:style w:type="character" w:customStyle="1" w:styleId="383">
    <w:name w:val="Not Bold Char"/>
    <w:qFormat/>
    <w:uiPriority w:val="0"/>
    <w:rPr>
      <w:rFonts w:hint="eastAsia" w:ascii="宋体" w:hAnsi="宋体" w:eastAsia="宋体"/>
      <w:b/>
      <w:kern w:val="44"/>
      <w:sz w:val="44"/>
      <w:szCs w:val="21"/>
      <w:lang w:val="en-US" w:eastAsia="zh-CN" w:bidi="ar-SA"/>
    </w:rPr>
  </w:style>
  <w:style w:type="character" w:customStyle="1" w:styleId="384">
    <w:name w:val="Char2"/>
    <w:qFormat/>
    <w:uiPriority w:val="0"/>
    <w:rPr>
      <w:rFonts w:hint="eastAsia" w:ascii="宋体" w:hAnsi="宋体" w:eastAsia="宋体"/>
      <w:sz w:val="18"/>
      <w:szCs w:val="21"/>
      <w:lang w:val="en-US" w:eastAsia="zh-CN" w:bidi="ar-SA"/>
    </w:rPr>
  </w:style>
  <w:style w:type="character" w:customStyle="1" w:styleId="385">
    <w:name w:val="标题 字符1"/>
    <w:link w:val="53"/>
    <w:qFormat/>
    <w:locked/>
    <w:uiPriority w:val="0"/>
    <w:rPr>
      <w:rFonts w:ascii="Cambria" w:hAnsi="Cambria" w:cs="Times New Roman"/>
      <w:b/>
      <w:sz w:val="32"/>
      <w:szCs w:val="21"/>
    </w:rPr>
  </w:style>
  <w:style w:type="character" w:customStyle="1" w:styleId="386">
    <w:name w:val="Alt+J Char Char"/>
    <w:qFormat/>
    <w:uiPriority w:val="0"/>
    <w:rPr>
      <w:rFonts w:hint="default" w:ascii="Arial Narrow" w:hAnsi="Arial Narrow" w:eastAsia="宋体" w:cs="Arial"/>
      <w:sz w:val="21"/>
      <w:szCs w:val="21"/>
      <w:lang w:val="en-US" w:eastAsia="zh-CN" w:bidi="ar-SA"/>
    </w:rPr>
  </w:style>
  <w:style w:type="character" w:customStyle="1" w:styleId="387">
    <w:name w:val="封面说明"/>
    <w:qFormat/>
    <w:uiPriority w:val="0"/>
    <w:rPr>
      <w:rFonts w:hint="default" w:ascii="Times New Roman" w:hAnsi="Times New Roman" w:eastAsia="宋体" w:cs="Times New Roman"/>
      <w:bCs/>
      <w:color w:val="auto"/>
      <w:kern w:val="0"/>
      <w:sz w:val="36"/>
      <w:szCs w:val="36"/>
      <w:u w:val="none"/>
      <w:vertAlign w:val="baseline"/>
      <w:lang w:val="en-US" w:eastAsia="zh-CN" w:bidi="ar-SA"/>
    </w:rPr>
  </w:style>
  <w:style w:type="character" w:customStyle="1" w:styleId="388">
    <w:name w:val="封面黑体内容 Char"/>
    <w:qFormat/>
    <w:uiPriority w:val="0"/>
    <w:rPr>
      <w:rFonts w:hint="eastAsia" w:ascii="黑体" w:hAnsi="宋体" w:eastAsia="黑体"/>
      <w:sz w:val="32"/>
      <w:szCs w:val="32"/>
      <w:lang w:val="en-US" w:eastAsia="zh-CN" w:bidi="ar-SA"/>
    </w:rPr>
  </w:style>
  <w:style w:type="paragraph" w:customStyle="1" w:styleId="389">
    <w:name w:val="a3"/>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a0"/>
    <w:basedOn w:val="1"/>
    <w:qFormat/>
    <w:uiPriority w:val="0"/>
    <w:pPr>
      <w:widowControl/>
      <w:spacing w:before="100" w:beforeAutospacing="1" w:after="100" w:afterAutospacing="1"/>
      <w:jc w:val="left"/>
    </w:pPr>
    <w:rPr>
      <w:rFonts w:ascii="宋体" w:hAnsi="宋体" w:cs="宋体"/>
      <w:kern w:val="0"/>
      <w:sz w:val="24"/>
    </w:rPr>
  </w:style>
  <w:style w:type="character" w:customStyle="1" w:styleId="391">
    <w:name w:val="文档结构图 Char1"/>
    <w:semiHidden/>
    <w:qFormat/>
    <w:uiPriority w:val="0"/>
    <w:rPr>
      <w:rFonts w:hint="eastAsia" w:ascii="宋体" w:hAnsi="宋体" w:eastAsia="宋体"/>
      <w:kern w:val="2"/>
      <w:sz w:val="18"/>
      <w:szCs w:val="18"/>
    </w:rPr>
  </w:style>
  <w:style w:type="character" w:customStyle="1" w:styleId="392">
    <w:name w:val="正文文本 Char2"/>
    <w:semiHidden/>
    <w:qFormat/>
    <w:uiPriority w:val="0"/>
    <w:rPr>
      <w:kern w:val="2"/>
      <w:sz w:val="21"/>
      <w:szCs w:val="24"/>
    </w:rPr>
  </w:style>
  <w:style w:type="character" w:customStyle="1" w:styleId="393">
    <w:name w:val="批注文字 Char1"/>
    <w:semiHidden/>
    <w:qFormat/>
    <w:locked/>
    <w:uiPriority w:val="99"/>
    <w:rPr>
      <w:kern w:val="2"/>
      <w:sz w:val="21"/>
      <w:szCs w:val="24"/>
    </w:rPr>
  </w:style>
  <w:style w:type="character" w:customStyle="1" w:styleId="394">
    <w:name w:val="批注主题 Char1"/>
    <w:semiHidden/>
    <w:qFormat/>
    <w:uiPriority w:val="0"/>
    <w:rPr>
      <w:b/>
      <w:bCs/>
      <w:kern w:val="2"/>
      <w:sz w:val="21"/>
      <w:szCs w:val="24"/>
    </w:rPr>
  </w:style>
  <w:style w:type="character" w:customStyle="1" w:styleId="395">
    <w:name w:val="正文文本缩进 Char2"/>
    <w:semiHidden/>
    <w:qFormat/>
    <w:locked/>
    <w:uiPriority w:val="0"/>
    <w:rPr>
      <w:kern w:val="2"/>
      <w:sz w:val="21"/>
      <w:szCs w:val="24"/>
    </w:rPr>
  </w:style>
  <w:style w:type="character" w:customStyle="1" w:styleId="396">
    <w:name w:val="正文首行缩进 2 Char1"/>
    <w:semiHidden/>
    <w:qFormat/>
    <w:uiPriority w:val="0"/>
  </w:style>
  <w:style w:type="character" w:customStyle="1" w:styleId="397">
    <w:name w:val="日期 Char1"/>
    <w:semiHidden/>
    <w:qFormat/>
    <w:uiPriority w:val="0"/>
    <w:rPr>
      <w:kern w:val="2"/>
      <w:sz w:val="21"/>
      <w:szCs w:val="24"/>
    </w:rPr>
  </w:style>
  <w:style w:type="character" w:customStyle="1" w:styleId="398">
    <w:name w:val="正文文本缩进 3 Char1"/>
    <w:semiHidden/>
    <w:qFormat/>
    <w:uiPriority w:val="0"/>
    <w:rPr>
      <w:kern w:val="2"/>
      <w:sz w:val="16"/>
      <w:szCs w:val="16"/>
    </w:rPr>
  </w:style>
  <w:style w:type="character" w:customStyle="1" w:styleId="399">
    <w:name w:val="副标题 Char1"/>
    <w:qFormat/>
    <w:uiPriority w:val="0"/>
    <w:rPr>
      <w:rFonts w:hint="default" w:ascii="Cambria" w:hAnsi="Cambria" w:cs="Times New Roman"/>
      <w:b/>
      <w:bCs/>
      <w:kern w:val="28"/>
      <w:sz w:val="32"/>
      <w:szCs w:val="32"/>
    </w:rPr>
  </w:style>
  <w:style w:type="character" w:customStyle="1" w:styleId="400">
    <w:name w:val="纯文本 Char1"/>
    <w:semiHidden/>
    <w:qFormat/>
    <w:uiPriority w:val="0"/>
    <w:rPr>
      <w:rFonts w:hint="eastAsia" w:ascii="宋体" w:hAnsi="Courier New" w:eastAsia="宋体" w:cs="Courier New"/>
      <w:kern w:val="2"/>
      <w:sz w:val="21"/>
      <w:szCs w:val="21"/>
    </w:rPr>
  </w:style>
  <w:style w:type="character" w:customStyle="1" w:styleId="401">
    <w:name w:val="正文首行缩进 Char1"/>
    <w:semiHidden/>
    <w:qFormat/>
    <w:uiPriority w:val="0"/>
  </w:style>
  <w:style w:type="character" w:customStyle="1" w:styleId="402">
    <w:name w:val="批注框文本 Char1"/>
    <w:semiHidden/>
    <w:qFormat/>
    <w:uiPriority w:val="0"/>
    <w:rPr>
      <w:kern w:val="2"/>
      <w:sz w:val="18"/>
      <w:szCs w:val="18"/>
    </w:rPr>
  </w:style>
  <w:style w:type="character" w:customStyle="1" w:styleId="403">
    <w:name w:val="正文文本缩进 2 Char1"/>
    <w:semiHidden/>
    <w:qFormat/>
    <w:uiPriority w:val="0"/>
    <w:rPr>
      <w:kern w:val="2"/>
      <w:sz w:val="21"/>
      <w:szCs w:val="24"/>
    </w:rPr>
  </w:style>
  <w:style w:type="character" w:customStyle="1" w:styleId="404">
    <w:name w:val="页脚 Char2"/>
    <w:semiHidden/>
    <w:qFormat/>
    <w:uiPriority w:val="0"/>
    <w:rPr>
      <w:kern w:val="2"/>
      <w:sz w:val="18"/>
      <w:szCs w:val="18"/>
    </w:rPr>
  </w:style>
  <w:style w:type="character" w:customStyle="1" w:styleId="405">
    <w:name w:val="标题 Char2"/>
    <w:qFormat/>
    <w:uiPriority w:val="0"/>
    <w:rPr>
      <w:rFonts w:hint="default" w:ascii="Cambria" w:hAnsi="Cambria" w:cs="Times New Roman"/>
      <w:b/>
      <w:bCs/>
      <w:kern w:val="2"/>
      <w:sz w:val="32"/>
      <w:szCs w:val="32"/>
    </w:rPr>
  </w:style>
  <w:style w:type="character" w:customStyle="1" w:styleId="406">
    <w:name w:val="页眉 Char2"/>
    <w:semiHidden/>
    <w:qFormat/>
    <w:uiPriority w:val="0"/>
    <w:rPr>
      <w:kern w:val="2"/>
      <w:sz w:val="18"/>
      <w:szCs w:val="18"/>
    </w:rPr>
  </w:style>
  <w:style w:type="character" w:customStyle="1" w:styleId="407">
    <w:name w:val="脚注文本 Char1"/>
    <w:semiHidden/>
    <w:qFormat/>
    <w:uiPriority w:val="0"/>
    <w:rPr>
      <w:kern w:val="2"/>
      <w:sz w:val="18"/>
      <w:szCs w:val="18"/>
    </w:rPr>
  </w:style>
  <w:style w:type="character" w:customStyle="1" w:styleId="408">
    <w:name w:val="段 Char Char"/>
    <w:qFormat/>
    <w:uiPriority w:val="0"/>
    <w:rPr>
      <w:rFonts w:ascii="宋体" w:eastAsia="宋体"/>
      <w:sz w:val="24"/>
      <w:lang w:val="en-US" w:eastAsia="zh-CN"/>
    </w:rPr>
  </w:style>
  <w:style w:type="table" w:customStyle="1" w:styleId="409">
    <w:name w:val="网格型1"/>
    <w:basedOn w:val="57"/>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10">
    <w:name w:val="C标准-字母列项 Char Char"/>
    <w:link w:val="411"/>
    <w:qFormat/>
    <w:uiPriority w:val="0"/>
    <w:rPr>
      <w:szCs w:val="24"/>
    </w:rPr>
  </w:style>
  <w:style w:type="paragraph" w:customStyle="1" w:styleId="411">
    <w:name w:val="C标准-字母列项"/>
    <w:basedOn w:val="1"/>
    <w:link w:val="410"/>
    <w:qFormat/>
    <w:uiPriority w:val="0"/>
    <w:pPr>
      <w:tabs>
        <w:tab w:val="left" w:pos="0"/>
      </w:tabs>
      <w:spacing w:beforeLines="50" w:line="360" w:lineRule="auto"/>
    </w:pPr>
    <w:rPr>
      <w:rFonts w:cstheme="minorBidi"/>
      <w:sz w:val="24"/>
    </w:rPr>
  </w:style>
  <w:style w:type="paragraph" w:customStyle="1" w:styleId="412">
    <w:name w:val="样式 段 + 首行缩进:  2 字符"/>
    <w:basedOn w:val="42"/>
    <w:qFormat/>
    <w:uiPriority w:val="0"/>
    <w:pPr>
      <w:ind w:firstLine="0" w:firstLineChars="0"/>
    </w:pPr>
    <w:rPr>
      <w:rFonts w:eastAsia="仿宋_GB2312" w:cs="宋体"/>
      <w:sz w:val="32"/>
    </w:rPr>
  </w:style>
  <w:style w:type="paragraph" w:customStyle="1" w:styleId="413">
    <w:name w:val="术语定义条标题"/>
    <w:basedOn w:val="115"/>
    <w:next w:val="42"/>
    <w:qFormat/>
    <w:uiPriority w:val="0"/>
    <w:pPr>
      <w:tabs>
        <w:tab w:val="left" w:pos="525"/>
      </w:tabs>
      <w:spacing w:beforeLines="0" w:afterLines="0"/>
      <w:jc w:val="left"/>
      <w:outlineLvl w:val="9"/>
    </w:pPr>
    <w:rPr>
      <w:rFonts w:hAnsi="Calibri"/>
      <w:color w:val="000000"/>
    </w:rPr>
  </w:style>
  <w:style w:type="paragraph" w:customStyle="1" w:styleId="414">
    <w:name w:val="p16"/>
    <w:basedOn w:val="1"/>
    <w:qFormat/>
    <w:uiPriority w:val="0"/>
    <w:pPr>
      <w:widowControl/>
      <w:spacing w:line="560" w:lineRule="exact"/>
      <w:ind w:firstLine="420"/>
      <w:jc w:val="left"/>
    </w:pPr>
    <w:rPr>
      <w:rFonts w:ascii="宋体" w:hAnsi="宋体" w:eastAsia="仿宋_GB2312" w:cs="宋体"/>
      <w:kern w:val="0"/>
      <w:sz w:val="32"/>
      <w:szCs w:val="21"/>
    </w:rPr>
  </w:style>
  <w:style w:type="paragraph" w:customStyle="1" w:styleId="415">
    <w:name w:val="附录二"/>
    <w:basedOn w:val="1"/>
    <w:qFormat/>
    <w:uiPriority w:val="0"/>
    <w:pPr>
      <w:widowControl/>
      <w:spacing w:line="312" w:lineRule="exact"/>
      <w:jc w:val="left"/>
    </w:pPr>
    <w:rPr>
      <w:rFonts w:ascii="E-F1" w:eastAsia="黑体"/>
      <w:kern w:val="21"/>
      <w:sz w:val="32"/>
      <w:szCs w:val="20"/>
    </w:rPr>
  </w:style>
  <w:style w:type="paragraph" w:customStyle="1" w:styleId="416">
    <w:name w:val="朱表头"/>
    <w:basedOn w:val="1"/>
    <w:qFormat/>
    <w:uiPriority w:val="0"/>
    <w:pPr>
      <w:widowControl/>
      <w:topLinePunct/>
      <w:spacing w:before="160" w:after="60" w:line="312" w:lineRule="exact"/>
      <w:jc w:val="center"/>
    </w:pPr>
    <w:rPr>
      <w:rFonts w:ascii="EU-F1" w:eastAsia="黑体"/>
      <w:snapToGrid w:val="0"/>
      <w:kern w:val="0"/>
      <w:sz w:val="32"/>
      <w:szCs w:val="20"/>
    </w:rPr>
  </w:style>
  <w:style w:type="character" w:customStyle="1" w:styleId="417">
    <w:name w:val="“上标”样式"/>
    <w:qFormat/>
    <w:uiPriority w:val="0"/>
    <w:rPr>
      <w:rFonts w:ascii="Times New Roman" w:hAnsi="Times New Roman" w:eastAsia="宋体"/>
      <w:sz w:val="24"/>
      <w:vertAlign w:val="superscript"/>
    </w:rPr>
  </w:style>
  <w:style w:type="character" w:customStyle="1" w:styleId="418">
    <w:name w:val="“下标”样式"/>
    <w:qFormat/>
    <w:uiPriority w:val="0"/>
    <w:rPr>
      <w:vertAlign w:val="subscript"/>
    </w:rPr>
  </w:style>
  <w:style w:type="paragraph" w:customStyle="1" w:styleId="419">
    <w:name w:val="封面一级标题文字"/>
    <w:basedOn w:val="245"/>
    <w:semiHidden/>
    <w:qFormat/>
    <w:uiPriority w:val="0"/>
    <w:pPr>
      <w:spacing w:line="640" w:lineRule="exact"/>
      <w:ind w:firstLine="0" w:firstLineChars="0"/>
      <w:jc w:val="center"/>
    </w:pPr>
    <w:rPr>
      <w:rFonts w:ascii="黑体" w:hAnsi="黑体" w:eastAsia="黑体"/>
      <w:b/>
      <w:bCs/>
      <w:sz w:val="52"/>
    </w:rPr>
  </w:style>
  <w:style w:type="paragraph" w:customStyle="1" w:styleId="420">
    <w:name w:val="封面二级标题文字"/>
    <w:basedOn w:val="245"/>
    <w:semiHidden/>
    <w:qFormat/>
    <w:uiPriority w:val="0"/>
    <w:pPr>
      <w:ind w:firstLine="0" w:firstLineChars="0"/>
      <w:jc w:val="center"/>
    </w:pPr>
    <w:rPr>
      <w:rFonts w:ascii="黑体" w:eastAsia="黑体"/>
      <w:b/>
      <w:sz w:val="44"/>
      <w:szCs w:val="44"/>
    </w:rPr>
  </w:style>
  <w:style w:type="paragraph" w:customStyle="1" w:styleId="421">
    <w:name w:val="封面文档编号"/>
    <w:basedOn w:val="245"/>
    <w:semiHidden/>
    <w:qFormat/>
    <w:uiPriority w:val="0"/>
    <w:pPr>
      <w:spacing w:line="640" w:lineRule="exact"/>
      <w:ind w:firstLine="0" w:firstLineChars="0"/>
      <w:jc w:val="center"/>
    </w:pPr>
    <w:rPr>
      <w:rFonts w:ascii="黑体" w:eastAsia="黑体"/>
      <w:b/>
      <w:sz w:val="32"/>
      <w:szCs w:val="32"/>
    </w:rPr>
  </w:style>
  <w:style w:type="paragraph" w:customStyle="1" w:styleId="422">
    <w:name w:val="封面“EPC联合体”中文文字"/>
    <w:basedOn w:val="245"/>
    <w:link w:val="423"/>
    <w:semiHidden/>
    <w:qFormat/>
    <w:uiPriority w:val="0"/>
    <w:pPr>
      <w:ind w:firstLine="0" w:firstLineChars="0"/>
      <w:jc w:val="center"/>
    </w:pPr>
    <w:rPr>
      <w:b/>
      <w:sz w:val="32"/>
      <w:szCs w:val="32"/>
    </w:rPr>
  </w:style>
  <w:style w:type="character" w:customStyle="1" w:styleId="423">
    <w:name w:val="封面“EPC联合体”中文文字 Char Char"/>
    <w:link w:val="422"/>
    <w:semiHidden/>
    <w:qFormat/>
    <w:uiPriority w:val="0"/>
    <w:rPr>
      <w:rFonts w:ascii="宋体" w:hAnsi="宋体"/>
      <w:b/>
      <w:sz w:val="32"/>
      <w:szCs w:val="32"/>
    </w:rPr>
  </w:style>
  <w:style w:type="paragraph" w:customStyle="1" w:styleId="424">
    <w:name w:val="封面日期地点文字"/>
    <w:basedOn w:val="245"/>
    <w:semiHidden/>
    <w:qFormat/>
    <w:uiPriority w:val="0"/>
    <w:pPr>
      <w:spacing w:line="360" w:lineRule="exact"/>
      <w:ind w:firstLine="0" w:firstLineChars="0"/>
      <w:jc w:val="center"/>
    </w:pPr>
    <w:rPr>
      <w:sz w:val="32"/>
      <w:szCs w:val="32"/>
    </w:rPr>
  </w:style>
  <w:style w:type="paragraph" w:customStyle="1" w:styleId="425">
    <w:name w:val="封面“EPC联合体”西文文字"/>
    <w:basedOn w:val="422"/>
    <w:link w:val="426"/>
    <w:semiHidden/>
    <w:qFormat/>
    <w:uiPriority w:val="0"/>
    <w:rPr>
      <w:rFonts w:hAnsi="Times New Roman"/>
    </w:rPr>
  </w:style>
  <w:style w:type="character" w:customStyle="1" w:styleId="426">
    <w:name w:val="封面“EPC联合体”西文文字 Char Char"/>
    <w:link w:val="425"/>
    <w:semiHidden/>
    <w:qFormat/>
    <w:uiPriority w:val="0"/>
    <w:rPr>
      <w:rFonts w:ascii="宋体"/>
      <w:b/>
      <w:sz w:val="32"/>
      <w:szCs w:val="32"/>
    </w:rPr>
  </w:style>
  <w:style w:type="paragraph" w:customStyle="1" w:styleId="427">
    <w:name w:val="签名页文字"/>
    <w:basedOn w:val="245"/>
    <w:semiHidden/>
    <w:qFormat/>
    <w:uiPriority w:val="0"/>
    <w:pPr>
      <w:spacing w:line="600" w:lineRule="exact"/>
      <w:ind w:left="1100" w:leftChars="1100" w:firstLine="0" w:firstLineChars="0"/>
    </w:pPr>
    <w:rPr>
      <w:sz w:val="32"/>
      <w:szCs w:val="32"/>
    </w:rPr>
  </w:style>
  <w:style w:type="paragraph" w:customStyle="1" w:styleId="428">
    <w:name w:val="版本记录标题文字"/>
    <w:basedOn w:val="1"/>
    <w:semiHidden/>
    <w:qFormat/>
    <w:uiPriority w:val="0"/>
    <w:pPr>
      <w:spacing w:line="480" w:lineRule="exact"/>
    </w:pPr>
    <w:rPr>
      <w:sz w:val="24"/>
    </w:rPr>
  </w:style>
  <w:style w:type="paragraph" w:customStyle="1" w:styleId="429">
    <w:name w:val="版本记录表格内文字"/>
    <w:basedOn w:val="1"/>
    <w:semiHidden/>
    <w:qFormat/>
    <w:uiPriority w:val="0"/>
    <w:pPr>
      <w:spacing w:line="360" w:lineRule="auto"/>
      <w:jc w:val="center"/>
    </w:pPr>
    <w:rPr>
      <w:sz w:val="24"/>
    </w:rPr>
  </w:style>
  <w:style w:type="paragraph" w:customStyle="1" w:styleId="430">
    <w:name w:val="“目录”"/>
    <w:basedOn w:val="245"/>
    <w:semiHidden/>
    <w:qFormat/>
    <w:uiPriority w:val="0"/>
    <w:pPr>
      <w:ind w:firstLine="0" w:firstLineChars="0"/>
      <w:jc w:val="center"/>
    </w:pPr>
    <w:rPr>
      <w:b/>
      <w:sz w:val="44"/>
    </w:rPr>
  </w:style>
  <w:style w:type="paragraph" w:customStyle="1" w:styleId="431">
    <w:name w:val="图名/表名/表头样式"/>
    <w:basedOn w:val="245"/>
    <w:qFormat/>
    <w:uiPriority w:val="0"/>
    <w:pPr>
      <w:ind w:firstLine="0" w:firstLineChars="0"/>
      <w:jc w:val="center"/>
    </w:pPr>
    <w:rPr>
      <w:b/>
      <w:sz w:val="21"/>
      <w:szCs w:val="21"/>
    </w:rPr>
  </w:style>
  <w:style w:type="paragraph" w:customStyle="1" w:styleId="432">
    <w:name w:val="表格文字样式"/>
    <w:basedOn w:val="245"/>
    <w:qFormat/>
    <w:uiPriority w:val="0"/>
    <w:pPr>
      <w:ind w:firstLine="0" w:firstLineChars="0"/>
    </w:pPr>
    <w:rPr>
      <w:sz w:val="21"/>
      <w:szCs w:val="21"/>
    </w:rPr>
  </w:style>
  <w:style w:type="paragraph" w:customStyle="1" w:styleId="433">
    <w:name w:val="Char Char Char Char Char"/>
    <w:basedOn w:val="1"/>
    <w:qFormat/>
    <w:uiPriority w:val="0"/>
  </w:style>
  <w:style w:type="paragraph" w:customStyle="1" w:styleId="434">
    <w:name w:val="样式 小四 首行缩进:  2 字符"/>
    <w:basedOn w:val="1"/>
    <w:next w:val="29"/>
    <w:qFormat/>
    <w:uiPriority w:val="0"/>
    <w:pPr>
      <w:ind w:firstLine="480" w:firstLineChars="200"/>
    </w:pPr>
    <w:rPr>
      <w:rFonts w:cs="宋体"/>
      <w:sz w:val="24"/>
      <w:szCs w:val="20"/>
    </w:rPr>
  </w:style>
  <w:style w:type="paragraph" w:customStyle="1" w:styleId="435">
    <w:name w:val="样式 行距: 多倍行距 1.25 字行"/>
    <w:basedOn w:val="1"/>
    <w:qFormat/>
    <w:uiPriority w:val="0"/>
    <w:pPr>
      <w:spacing w:line="300" w:lineRule="auto"/>
      <w:ind w:firstLine="480" w:firstLineChars="200"/>
    </w:pPr>
    <w:rPr>
      <w:rFonts w:cs="宋体"/>
      <w:sz w:val="24"/>
      <w:szCs w:val="20"/>
    </w:rPr>
  </w:style>
  <w:style w:type="paragraph" w:customStyle="1" w:styleId="436">
    <w:name w:val="样式 首行缩进:  0.74 厘米"/>
    <w:basedOn w:val="1"/>
    <w:qFormat/>
    <w:uiPriority w:val="0"/>
    <w:pPr>
      <w:spacing w:line="360" w:lineRule="auto"/>
      <w:ind w:firstLine="420"/>
    </w:pPr>
    <w:rPr>
      <w:rFonts w:cs="宋体"/>
      <w:sz w:val="24"/>
    </w:rPr>
  </w:style>
  <w:style w:type="paragraph" w:customStyle="1" w:styleId="437">
    <w:name w:val="附件标题"/>
    <w:basedOn w:val="1"/>
    <w:qFormat/>
    <w:uiPriority w:val="0"/>
    <w:pPr>
      <w:spacing w:line="360" w:lineRule="auto"/>
      <w:jc w:val="center"/>
    </w:pPr>
    <w:rPr>
      <w:rFonts w:ascii="Arial" w:hAnsi="Arial" w:eastAsia="黑体"/>
      <w:sz w:val="24"/>
      <w:szCs w:val="20"/>
    </w:rPr>
  </w:style>
  <w:style w:type="paragraph" w:customStyle="1" w:styleId="438">
    <w:name w:val="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439">
    <w:name w:val="默认段落字体 Para Char Char Char Char Char Char1 Char"/>
    <w:basedOn w:val="1"/>
    <w:qFormat/>
    <w:uiPriority w:val="0"/>
    <w:pPr>
      <w:spacing w:line="360" w:lineRule="auto"/>
      <w:ind w:firstLine="630"/>
      <w:textAlignment w:val="top"/>
    </w:pPr>
    <w:rPr>
      <w:rFonts w:ascii="Tahoma" w:hAnsi="Tahoma"/>
      <w:sz w:val="28"/>
      <w:szCs w:val="20"/>
    </w:rPr>
  </w:style>
  <w:style w:type="character" w:customStyle="1" w:styleId="440">
    <w:name w:val="章标题 Char"/>
    <w:link w:val="115"/>
    <w:qFormat/>
    <w:uiPriority w:val="0"/>
    <w:rPr>
      <w:rFonts w:ascii="黑体" w:eastAsia="黑体" w:cs="Times New Roman"/>
      <w:kern w:val="0"/>
      <w:sz w:val="21"/>
      <w:szCs w:val="20"/>
    </w:rPr>
  </w:style>
  <w:style w:type="paragraph" w:customStyle="1" w:styleId="441">
    <w:name w:val="Char Char Char Char Char Char"/>
    <w:basedOn w:val="1"/>
    <w:qFormat/>
    <w:uiPriority w:val="0"/>
    <w:rPr>
      <w:rFonts w:ascii="Tahoma" w:hAnsi="Tahoma"/>
      <w:sz w:val="24"/>
      <w:szCs w:val="20"/>
    </w:rPr>
  </w:style>
  <w:style w:type="paragraph" w:customStyle="1" w:styleId="442">
    <w:name w:val="Char Char Char Char Char Char Char Char Char Char Char Char Char"/>
    <w:basedOn w:val="1"/>
    <w:qFormat/>
    <w:uiPriority w:val="0"/>
    <w:pPr>
      <w:spacing w:line="360" w:lineRule="auto"/>
    </w:pPr>
    <w:rPr>
      <w:rFonts w:ascii="Tahoma" w:hAnsi="Tahoma"/>
      <w:sz w:val="24"/>
      <w:szCs w:val="20"/>
    </w:rPr>
  </w:style>
  <w:style w:type="paragraph" w:customStyle="1" w:styleId="443">
    <w:name w:val="附录"/>
    <w:basedOn w:val="176"/>
    <w:link w:val="445"/>
    <w:qFormat/>
    <w:uiPriority w:val="0"/>
    <w:pPr>
      <w:keepNext w:val="0"/>
      <w:numPr>
        <w:numId w:val="0"/>
      </w:numPr>
      <w:tabs>
        <w:tab w:val="clear" w:pos="6405"/>
      </w:tabs>
      <w:spacing w:before="240" w:after="200" w:line="360" w:lineRule="auto"/>
      <w:jc w:val="both"/>
    </w:pPr>
    <w:rPr>
      <w:rFonts w:ascii="Times New Roman" w:hAnsi="宋体" w:eastAsia="宋体"/>
      <w:b/>
      <w:color w:val="000000"/>
      <w:szCs w:val="21"/>
    </w:rPr>
  </w:style>
  <w:style w:type="character" w:customStyle="1" w:styleId="444">
    <w:name w:val="附录标识 Char"/>
    <w:link w:val="176"/>
    <w:qFormat/>
    <w:uiPriority w:val="0"/>
    <w:rPr>
      <w:rFonts w:ascii="黑体" w:eastAsia="黑体"/>
      <w:sz w:val="21"/>
      <w:shd w:val="clear" w:color="FFFFFF" w:fill="FFFFFF"/>
    </w:rPr>
  </w:style>
  <w:style w:type="character" w:customStyle="1" w:styleId="445">
    <w:name w:val="附录 Char"/>
    <w:link w:val="443"/>
    <w:qFormat/>
    <w:uiPriority w:val="0"/>
    <w:rPr>
      <w:rFonts w:hAnsi="宋体" w:cs="Times New Roman"/>
      <w:b/>
      <w:color w:val="000000"/>
      <w:kern w:val="0"/>
      <w:sz w:val="21"/>
      <w:szCs w:val="21"/>
      <w:shd w:val="clear" w:color="FFFFFF" w:fill="FFFFFF"/>
    </w:rPr>
  </w:style>
  <w:style w:type="character" w:customStyle="1" w:styleId="446">
    <w:name w:val="占位符文本1"/>
    <w:semiHidden/>
    <w:qFormat/>
    <w:uiPriority w:val="99"/>
    <w:rPr>
      <w:color w:val="808080"/>
    </w:rPr>
  </w:style>
  <w:style w:type="paragraph" w:customStyle="1" w:styleId="447">
    <w:name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8">
    <w:name w:val="附录表标题续表"/>
    <w:basedOn w:val="179"/>
    <w:next w:val="42"/>
    <w:qFormat/>
    <w:uiPriority w:val="0"/>
    <w:pPr>
      <w:widowControl/>
      <w:numPr>
        <w:ilvl w:val="0"/>
        <w:numId w:val="30"/>
      </w:numPr>
      <w:spacing w:beforeLines="0" w:afterLines="0" w:line="360" w:lineRule="auto"/>
      <w:textAlignment w:val="baseline"/>
    </w:pPr>
    <w:rPr>
      <w:rFonts w:ascii="宋体" w:eastAsia="宋体"/>
      <w:kern w:val="21"/>
      <w:szCs w:val="20"/>
    </w:rPr>
  </w:style>
  <w:style w:type="character" w:customStyle="1" w:styleId="449">
    <w:name w:val="未处理的提及1"/>
    <w:basedOn w:val="60"/>
    <w:unhideWhenUsed/>
    <w:qFormat/>
    <w:uiPriority w:val="99"/>
    <w:rPr>
      <w:color w:val="605E5C"/>
      <w:shd w:val="clear" w:color="auto" w:fill="E1DFDD"/>
    </w:rPr>
  </w:style>
  <w:style w:type="paragraph" w:customStyle="1" w:styleId="450">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451">
    <w:name w:val="首行缩进"/>
    <w:basedOn w:val="1"/>
    <w:qFormat/>
    <w:uiPriority w:val="0"/>
    <w:pPr>
      <w:spacing w:line="300" w:lineRule="auto"/>
      <w:ind w:firstLine="420" w:firstLineChars="200"/>
    </w:pPr>
    <w:rPr>
      <w:rFonts w:eastAsia="方正书宋简体" w:cs="宋体"/>
      <w:szCs w:val="20"/>
    </w:rPr>
  </w:style>
  <w:style w:type="paragraph" w:customStyle="1" w:styleId="452">
    <w:name w:val="标准规范2级"/>
    <w:basedOn w:val="1"/>
    <w:qFormat/>
    <w:uiPriority w:val="0"/>
    <w:pPr>
      <w:numPr>
        <w:ilvl w:val="1"/>
        <w:numId w:val="31"/>
      </w:numPr>
      <w:spacing w:before="120" w:after="160" w:line="360" w:lineRule="auto"/>
    </w:pPr>
    <w:rPr>
      <w:rFonts w:cs="宋体"/>
      <w:color w:val="000000"/>
      <w:sz w:val="24"/>
      <w:szCs w:val="20"/>
    </w:rPr>
  </w:style>
  <w:style w:type="paragraph" w:styleId="453">
    <w:name w:val="List Paragraph"/>
    <w:basedOn w:val="1"/>
    <w:unhideWhenUsed/>
    <w:qFormat/>
    <w:uiPriority w:val="99"/>
    <w:pPr>
      <w:ind w:firstLine="420" w:firstLineChars="200"/>
    </w:pPr>
  </w:style>
  <w:style w:type="paragraph" w:customStyle="1" w:styleId="454">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455">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456">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457">
    <w:name w:val="修订6"/>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DB168-8EFD-4CA9-8B7D-80C13EDDAF2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2456</Words>
  <Characters>14001</Characters>
  <Lines>116</Lines>
  <Paragraphs>32</Paragraphs>
  <TotalTime>8</TotalTime>
  <ScaleCrop>false</ScaleCrop>
  <LinksUpToDate>false</LinksUpToDate>
  <CharactersWithSpaces>16425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2017-11-23T14:07:00Z</dcterms:created>
  <dc:creator>魏瑞增</dc:creator>
  <cp:lastModifiedBy>俞汶希</cp:lastModifiedBy>
  <dcterms:modified xsi:type="dcterms:W3CDTF">2026-05-14T03:35:53Z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204F5CD65C624DC883A28BACEC5C37AB_13</vt:lpwstr>
  </property>
  <property fmtid="{D5CDD505-2E9C-101B-9397-08002B2CF9AE}" pid="4" name="KSOTemplateDocerSaveRecord">
    <vt:lpwstr>eyJoZGlkIjoiY2VjNzgwM2ZmOTcyZmY3OWI3NjUwZTgyZTllNTNmMzgiLCJ1c2VySWQiOiIxNTE3NDg3MzE1In0=</vt:lpwstr>
  </property>
</Properties>
</file>