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F6837B">
      <w:pPr>
        <w:spacing w:before="480" w:beforeLines="200"/>
        <w:jc w:val="center"/>
        <w:rPr>
          <w:rFonts w:eastAsia="黑体"/>
          <w:b/>
          <w:sz w:val="52"/>
        </w:rPr>
      </w:pPr>
      <w:bookmarkStart w:id="0" w:name="_Toc224470066"/>
      <w:bookmarkStart w:id="1" w:name="_Toc224469826"/>
      <w:bookmarkStart w:id="2" w:name="_Toc224531918"/>
      <w:r>
        <w:rPr>
          <w:rFonts w:eastAsia="微软雅黑"/>
          <w:b/>
          <w:sz w:val="44"/>
          <w:szCs w:val="21"/>
        </w:rPr>
        <w:drawing>
          <wp:anchor distT="0" distB="0" distL="114300" distR="114300" simplePos="0" relativeHeight="251659264" behindDoc="1" locked="0" layoutInCell="1" allowOverlap="1">
            <wp:simplePos x="0" y="0"/>
            <wp:positionH relativeFrom="column">
              <wp:posOffset>-996315</wp:posOffset>
            </wp:positionH>
            <wp:positionV relativeFrom="paragraph">
              <wp:posOffset>-914400</wp:posOffset>
            </wp:positionV>
            <wp:extent cx="7567930" cy="2495550"/>
            <wp:effectExtent l="0" t="0" r="0" b="0"/>
            <wp:wrapTight wrapText="bothSides">
              <wp:wrapPolygon>
                <wp:start x="0" y="0"/>
                <wp:lineTo x="0" y="21518"/>
                <wp:lineTo x="21586" y="21518"/>
                <wp:lineTo x="21586" y="0"/>
                <wp:lineTo x="0" y="0"/>
              </wp:wrapPolygon>
            </wp:wrapTight>
            <wp:docPr id="1" name="图片 1"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模板-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7567930" cy="2495550"/>
                    </a:xfrm>
                    <a:prstGeom prst="rect">
                      <a:avLst/>
                    </a:prstGeom>
                    <a:noFill/>
                    <a:ln>
                      <a:noFill/>
                    </a:ln>
                  </pic:spPr>
                </pic:pic>
              </a:graphicData>
            </a:graphic>
          </wp:anchor>
        </w:drawing>
      </w:r>
    </w:p>
    <w:p w14:paraId="391EBA0F">
      <w:pPr>
        <w:spacing w:before="480" w:beforeLines="200"/>
        <w:jc w:val="center"/>
        <w:rPr>
          <w:rFonts w:eastAsia="黑体"/>
          <w:b/>
          <w:sz w:val="52"/>
        </w:rPr>
      </w:pPr>
    </w:p>
    <w:p w14:paraId="6AD4AA03">
      <w:pPr>
        <w:spacing w:before="480" w:beforeLines="200"/>
        <w:jc w:val="center"/>
        <w:rPr>
          <w:rFonts w:eastAsia="黑体"/>
          <w:b/>
          <w:sz w:val="52"/>
        </w:rPr>
      </w:pPr>
      <w:r>
        <w:rPr>
          <w:rFonts w:hint="eastAsia" w:eastAsia="黑体"/>
          <w:b/>
          <w:sz w:val="52"/>
        </w:rPr>
        <w:t>旗舰重载无人机及大型农业无人机</w:t>
      </w:r>
    </w:p>
    <w:p w14:paraId="7B8B29C0">
      <w:pPr>
        <w:spacing w:before="480" w:beforeLines="200"/>
        <w:jc w:val="center"/>
        <w:rPr>
          <w:rFonts w:eastAsia="黑体"/>
          <w:b/>
          <w:sz w:val="52"/>
        </w:rPr>
      </w:pPr>
      <w:r>
        <w:rPr>
          <w:rFonts w:hint="eastAsia" w:eastAsia="黑体"/>
          <w:b/>
          <w:sz w:val="52"/>
        </w:rPr>
        <w:t>（运载无人机）技术规范书</w:t>
      </w:r>
    </w:p>
    <w:p w14:paraId="24CDA3E9">
      <w:pPr>
        <w:spacing w:before="480" w:beforeLines="200" w:line="360" w:lineRule="auto"/>
        <w:ind w:left="420" w:hanging="420"/>
        <w:jc w:val="center"/>
        <w:rPr>
          <w:rFonts w:eastAsia="黑体"/>
          <w:b/>
          <w:sz w:val="52"/>
        </w:rPr>
      </w:pPr>
      <w:r>
        <w:rPr>
          <w:rFonts w:hint="eastAsia" w:eastAsia="黑体"/>
          <w:b/>
          <w:sz w:val="52"/>
        </w:rPr>
        <w:t>（通用部分）</w:t>
      </w:r>
    </w:p>
    <w:p w14:paraId="0015F08C">
      <w:pPr>
        <w:spacing w:before="480" w:beforeLines="200" w:line="360" w:lineRule="auto"/>
        <w:jc w:val="center"/>
        <w:rPr>
          <w:rFonts w:eastAsia="黑体"/>
          <w:b/>
          <w:sz w:val="36"/>
        </w:rPr>
      </w:pPr>
      <w:r>
        <w:rPr>
          <w:rFonts w:hint="eastAsia" w:eastAsia="黑体"/>
          <w:b/>
          <w:sz w:val="36"/>
        </w:rPr>
        <w:t>版本号：</w:t>
      </w:r>
      <w:r>
        <w:rPr>
          <w:rFonts w:eastAsia="黑体"/>
          <w:b/>
          <w:sz w:val="36"/>
        </w:rPr>
        <w:t>20</w:t>
      </w:r>
      <w:r>
        <w:rPr>
          <w:rFonts w:hint="eastAsia" w:eastAsia="黑体"/>
          <w:b/>
          <w:sz w:val="36"/>
        </w:rPr>
        <w:t>26</w:t>
      </w:r>
      <w:r>
        <w:rPr>
          <w:rFonts w:eastAsia="黑体"/>
          <w:b/>
          <w:sz w:val="36"/>
        </w:rPr>
        <w:t>版V</w:t>
      </w:r>
      <w:r>
        <w:rPr>
          <w:rFonts w:hint="eastAsia" w:eastAsia="黑体"/>
          <w:b/>
          <w:sz w:val="36"/>
        </w:rPr>
        <w:t>1</w:t>
      </w:r>
      <w:r>
        <w:rPr>
          <w:rFonts w:eastAsia="黑体"/>
          <w:b/>
          <w:sz w:val="36"/>
        </w:rPr>
        <w:t>.0</w:t>
      </w:r>
    </w:p>
    <w:p w14:paraId="64B9E899">
      <w:pPr>
        <w:spacing w:line="360" w:lineRule="auto"/>
        <w:ind w:firstLine="2530" w:firstLineChars="700"/>
        <w:rPr>
          <w:rFonts w:eastAsia="黑体"/>
          <w:b/>
          <w:sz w:val="36"/>
        </w:rPr>
      </w:pPr>
      <w:r>
        <w:rPr>
          <w:rFonts w:hint="eastAsia" w:eastAsia="黑体"/>
          <w:b/>
          <w:sz w:val="36"/>
        </w:rPr>
        <w:t>编号：</w:t>
      </w:r>
    </w:p>
    <w:p w14:paraId="4B1D2933">
      <w:pPr>
        <w:spacing w:before="480" w:beforeLines="200" w:line="360" w:lineRule="auto"/>
        <w:jc w:val="left"/>
        <w:rPr>
          <w:rFonts w:eastAsia="黑体"/>
          <w:b/>
          <w:sz w:val="36"/>
        </w:rPr>
      </w:pPr>
    </w:p>
    <w:p w14:paraId="38C2550E">
      <w:pPr>
        <w:spacing w:before="480" w:beforeLines="200"/>
        <w:ind w:left="413" w:hanging="415" w:hangingChars="93"/>
        <w:jc w:val="center"/>
        <w:rPr>
          <w:rFonts w:eastAsia="黑体"/>
          <w:b/>
          <w:spacing w:val="20"/>
          <w:w w:val="135"/>
          <w:sz w:val="30"/>
        </w:rPr>
      </w:pPr>
      <w:r>
        <w:rPr>
          <w:rFonts w:eastAsia="黑体"/>
          <w:b/>
          <w:spacing w:val="20"/>
          <w:w w:val="135"/>
          <w:sz w:val="30"/>
        </w:rPr>
        <w:t>中国南方电网有限责任公司</w:t>
      </w:r>
    </w:p>
    <w:p w14:paraId="1245D786">
      <w:pPr>
        <w:jc w:val="center"/>
        <w:rPr>
          <w:rFonts w:eastAsia="黑体"/>
          <w:b/>
          <w:szCs w:val="28"/>
        </w:rPr>
        <w:sectPr>
          <w:headerReference r:id="rId5" w:type="first"/>
          <w:headerReference r:id="rId3" w:type="default"/>
          <w:footerReference r:id="rId6" w:type="default"/>
          <w:headerReference r:id="rId4" w:type="even"/>
          <w:pgSz w:w="11907" w:h="16840"/>
          <w:pgMar w:top="1440" w:right="1616" w:bottom="1440" w:left="1576" w:header="720" w:footer="720" w:gutter="0"/>
          <w:pgNumType w:fmt="decimalFullWidth" w:start="0"/>
          <w:cols w:space="720" w:num="1"/>
          <w:titlePg/>
          <w:docGrid w:linePitch="326" w:charSpace="0"/>
        </w:sectPr>
      </w:pPr>
      <w:r>
        <w:rPr>
          <w:rFonts w:eastAsia="黑体"/>
          <w:b/>
          <w:spacing w:val="20"/>
          <w:w w:val="135"/>
          <w:sz w:val="30"/>
        </w:rPr>
        <w:t>202</w:t>
      </w:r>
      <w:r>
        <w:rPr>
          <w:rFonts w:hint="eastAsia" w:eastAsia="黑体"/>
          <w:b/>
          <w:spacing w:val="20"/>
          <w:w w:val="135"/>
          <w:sz w:val="30"/>
        </w:rPr>
        <w:t>6</w:t>
      </w:r>
      <w:r>
        <w:rPr>
          <w:rFonts w:eastAsia="黑体"/>
          <w:b/>
          <w:spacing w:val="20"/>
          <w:w w:val="135"/>
          <w:sz w:val="30"/>
        </w:rPr>
        <w:t>年</w:t>
      </w:r>
      <w:r>
        <w:rPr>
          <w:rFonts w:hint="eastAsia" w:eastAsia="黑体"/>
          <w:b/>
          <w:spacing w:val="20"/>
          <w:w w:val="135"/>
          <w:sz w:val="30"/>
        </w:rPr>
        <w:t>1</w:t>
      </w:r>
      <w:r>
        <w:rPr>
          <w:rFonts w:eastAsia="黑体"/>
          <w:b/>
          <w:spacing w:val="20"/>
          <w:w w:val="135"/>
          <w:sz w:val="30"/>
        </w:rPr>
        <w:t>月</w:t>
      </w:r>
    </w:p>
    <w:p w14:paraId="1C69F690">
      <w:pPr>
        <w:snapToGrid w:val="0"/>
        <w:jc w:val="center"/>
        <w:rPr>
          <w:rFonts w:eastAsia="黑体"/>
          <w:sz w:val="32"/>
          <w:szCs w:val="28"/>
        </w:rPr>
      </w:pPr>
      <w:r>
        <w:rPr>
          <w:rFonts w:hint="eastAsia" w:eastAsia="黑体"/>
          <w:sz w:val="32"/>
          <w:szCs w:val="28"/>
        </w:rPr>
        <w:t>本技术规范书对应的专用部分目录</w:t>
      </w:r>
    </w:p>
    <w:tbl>
      <w:tblPr>
        <w:tblStyle w:val="57"/>
        <w:tblW w:w="893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01"/>
        <w:gridCol w:w="5106"/>
        <w:gridCol w:w="2724"/>
      </w:tblGrid>
      <w:tr w14:paraId="3ADA51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101" w:type="dxa"/>
          </w:tcPr>
          <w:p w14:paraId="2824C5B6">
            <w:pPr>
              <w:spacing w:line="360" w:lineRule="auto"/>
              <w:jc w:val="center"/>
              <w:rPr>
                <w:sz w:val="24"/>
              </w:rPr>
            </w:pPr>
            <w:r>
              <w:rPr>
                <w:sz w:val="24"/>
              </w:rPr>
              <w:t>序号</w:t>
            </w:r>
          </w:p>
        </w:tc>
        <w:tc>
          <w:tcPr>
            <w:tcW w:w="5106" w:type="dxa"/>
          </w:tcPr>
          <w:p w14:paraId="25C190F7">
            <w:pPr>
              <w:spacing w:line="360" w:lineRule="auto"/>
              <w:jc w:val="center"/>
              <w:rPr>
                <w:sz w:val="24"/>
              </w:rPr>
            </w:pPr>
            <w:r>
              <w:rPr>
                <w:sz w:val="24"/>
              </w:rPr>
              <w:t>名称</w:t>
            </w:r>
          </w:p>
        </w:tc>
        <w:tc>
          <w:tcPr>
            <w:tcW w:w="2724" w:type="dxa"/>
          </w:tcPr>
          <w:p w14:paraId="0DE30FE7">
            <w:pPr>
              <w:spacing w:line="360" w:lineRule="auto"/>
              <w:jc w:val="center"/>
              <w:rPr>
                <w:sz w:val="24"/>
              </w:rPr>
            </w:pPr>
            <w:r>
              <w:rPr>
                <w:sz w:val="24"/>
              </w:rPr>
              <w:t>品类优化清单</w:t>
            </w:r>
          </w:p>
          <w:p w14:paraId="5AE5BEEC">
            <w:pPr>
              <w:spacing w:line="360" w:lineRule="auto"/>
              <w:jc w:val="center"/>
              <w:rPr>
                <w:sz w:val="24"/>
              </w:rPr>
            </w:pPr>
            <w:r>
              <w:rPr>
                <w:sz w:val="24"/>
              </w:rPr>
              <w:t>对应型号</w:t>
            </w:r>
          </w:p>
        </w:tc>
      </w:tr>
      <w:tr w14:paraId="3CC9DE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101" w:type="dxa"/>
            <w:vAlign w:val="center"/>
          </w:tcPr>
          <w:p w14:paraId="64811F27">
            <w:pPr>
              <w:spacing w:line="360" w:lineRule="auto"/>
              <w:jc w:val="center"/>
              <w:rPr>
                <w:sz w:val="24"/>
              </w:rPr>
            </w:pPr>
            <w:r>
              <w:rPr>
                <w:sz w:val="24"/>
              </w:rPr>
              <w:t>1</w:t>
            </w:r>
          </w:p>
        </w:tc>
        <w:tc>
          <w:tcPr>
            <w:tcW w:w="5106" w:type="dxa"/>
          </w:tcPr>
          <w:p w14:paraId="48951AC5">
            <w:pPr>
              <w:numPr>
                <w:ilvl w:val="255"/>
                <w:numId w:val="0"/>
              </w:numPr>
              <w:spacing w:line="360" w:lineRule="auto"/>
              <w:jc w:val="center"/>
              <w:rPr>
                <w:sz w:val="24"/>
              </w:rPr>
            </w:pPr>
            <w:bookmarkStart w:id="3" w:name="_Toc50889640"/>
            <w:bookmarkStart w:id="4" w:name="_Toc15656"/>
            <w:r>
              <w:rPr>
                <w:rFonts w:hint="eastAsia"/>
                <w:sz w:val="24"/>
              </w:rPr>
              <w:t>旗舰重载无人机及大型农业无人机（运载无人机）</w:t>
            </w:r>
            <w:r>
              <w:rPr>
                <w:sz w:val="24"/>
              </w:rPr>
              <w:t>技术规范书（</w:t>
            </w:r>
            <w:r>
              <w:rPr>
                <w:rFonts w:hint="eastAsia"/>
                <w:sz w:val="24"/>
              </w:rPr>
              <w:t>通用</w:t>
            </w:r>
            <w:r>
              <w:rPr>
                <w:sz w:val="24"/>
              </w:rPr>
              <w:t>部分）</w:t>
            </w:r>
            <w:bookmarkEnd w:id="3"/>
            <w:bookmarkEnd w:id="4"/>
          </w:p>
        </w:tc>
        <w:tc>
          <w:tcPr>
            <w:tcW w:w="2724" w:type="dxa"/>
          </w:tcPr>
          <w:p w14:paraId="1B30DE39">
            <w:pPr>
              <w:spacing w:line="360" w:lineRule="auto"/>
              <w:jc w:val="center"/>
              <w:rPr>
                <w:sz w:val="24"/>
              </w:rPr>
            </w:pPr>
            <w:r>
              <w:rPr>
                <w:rFonts w:hint="eastAsia"/>
                <w:sz w:val="24"/>
              </w:rPr>
              <w:t>/</w:t>
            </w:r>
          </w:p>
        </w:tc>
      </w:tr>
    </w:tbl>
    <w:p w14:paraId="27637AD6">
      <w:pPr>
        <w:spacing w:line="360" w:lineRule="auto"/>
        <w:jc w:val="center"/>
        <w:rPr>
          <w:rFonts w:eastAsia="黑体"/>
          <w:bCs/>
          <w:sz w:val="36"/>
          <w:szCs w:val="36"/>
        </w:rPr>
      </w:pPr>
      <w:r>
        <w:rPr>
          <w:rFonts w:eastAsia="黑体"/>
          <w:sz w:val="32"/>
          <w:szCs w:val="20"/>
        </w:rPr>
        <w:br w:type="page"/>
      </w:r>
      <w:r>
        <w:rPr>
          <w:rFonts w:eastAsia="黑体"/>
          <w:bCs/>
          <w:sz w:val="36"/>
          <w:szCs w:val="36"/>
        </w:rPr>
        <w:t>目    录</w:t>
      </w:r>
      <w:bookmarkEnd w:id="0"/>
      <w:bookmarkEnd w:id="1"/>
      <w:bookmarkEnd w:id="2"/>
    </w:p>
    <w:p w14:paraId="2E6C254E">
      <w:pPr>
        <w:spacing w:line="360" w:lineRule="auto"/>
        <w:jc w:val="center"/>
        <w:rPr>
          <w:rFonts w:eastAsia="黑体"/>
          <w:bCs/>
          <w:sz w:val="36"/>
          <w:szCs w:val="36"/>
        </w:rPr>
      </w:pPr>
    </w:p>
    <w:p w14:paraId="05DFF8B5">
      <w:pPr>
        <w:pStyle w:val="38"/>
        <w:tabs>
          <w:tab w:val="right" w:leader="dot" w:pos="9123"/>
        </w:tabs>
      </w:pPr>
      <w:r>
        <w:rPr>
          <w:rFonts w:hint="eastAsia" w:ascii="黑体" w:hAnsi="黑体" w:eastAsia="黑体" w:cs="黑体"/>
          <w:b/>
          <w:bCs/>
          <w:sz w:val="24"/>
          <w:szCs w:val="21"/>
        </w:rPr>
        <w:fldChar w:fldCharType="begin"/>
      </w:r>
      <w:r>
        <w:rPr>
          <w:rFonts w:hint="eastAsia" w:ascii="黑体" w:hAnsi="黑体" w:eastAsia="黑体" w:cs="黑体"/>
          <w:b/>
          <w:bCs/>
          <w:sz w:val="24"/>
        </w:rPr>
        <w:instrText xml:space="preserve"> TOC \o "1-2" \h \z \u </w:instrText>
      </w:r>
      <w:r>
        <w:rPr>
          <w:rFonts w:hint="eastAsia" w:ascii="黑体" w:hAnsi="黑体" w:eastAsia="黑体" w:cs="黑体"/>
          <w:b/>
          <w:bCs/>
          <w:sz w:val="24"/>
          <w:szCs w:val="21"/>
        </w:rPr>
        <w:fldChar w:fldCharType="separate"/>
      </w:r>
      <w:r>
        <w:fldChar w:fldCharType="begin"/>
      </w:r>
      <w:r>
        <w:instrText xml:space="preserve"> HYPERLINK \l "_Toc11448" </w:instrText>
      </w:r>
      <w:r>
        <w:fldChar w:fldCharType="separate"/>
      </w:r>
      <w:r>
        <w:rPr>
          <w:rFonts w:eastAsia="黑体"/>
          <w:bCs/>
          <w:szCs w:val="21"/>
        </w:rPr>
        <w:t>1 总则</w:t>
      </w:r>
      <w:r>
        <w:tab/>
      </w:r>
      <w:r>
        <w:fldChar w:fldCharType="begin"/>
      </w:r>
      <w:r>
        <w:instrText xml:space="preserve"> PAGEREF _Toc11448 \h </w:instrText>
      </w:r>
      <w:r>
        <w:fldChar w:fldCharType="separate"/>
      </w:r>
      <w:r>
        <w:t>1</w:t>
      </w:r>
      <w:r>
        <w:fldChar w:fldCharType="end"/>
      </w:r>
      <w:r>
        <w:fldChar w:fldCharType="end"/>
      </w:r>
    </w:p>
    <w:p w14:paraId="7C54E349">
      <w:pPr>
        <w:pStyle w:val="38"/>
        <w:tabs>
          <w:tab w:val="right" w:leader="dot" w:pos="9123"/>
        </w:tabs>
      </w:pPr>
      <w:r>
        <w:fldChar w:fldCharType="begin"/>
      </w:r>
      <w:r>
        <w:instrText xml:space="preserve"> HYPERLINK \l "_Toc21667" </w:instrText>
      </w:r>
      <w:r>
        <w:fldChar w:fldCharType="separate"/>
      </w:r>
      <w:r>
        <w:rPr>
          <w:rFonts w:eastAsia="黑体"/>
          <w:bCs/>
          <w:szCs w:val="21"/>
        </w:rPr>
        <w:t>2 工作范围</w:t>
      </w:r>
      <w:r>
        <w:tab/>
      </w:r>
      <w:r>
        <w:fldChar w:fldCharType="begin"/>
      </w:r>
      <w:r>
        <w:instrText xml:space="preserve"> PAGEREF _Toc21667 \h </w:instrText>
      </w:r>
      <w:r>
        <w:fldChar w:fldCharType="separate"/>
      </w:r>
      <w:r>
        <w:t>2</w:t>
      </w:r>
      <w:r>
        <w:fldChar w:fldCharType="end"/>
      </w:r>
      <w:r>
        <w:fldChar w:fldCharType="end"/>
      </w:r>
    </w:p>
    <w:p w14:paraId="5FA055D0">
      <w:pPr>
        <w:pStyle w:val="49"/>
        <w:tabs>
          <w:tab w:val="right" w:leader="dot" w:pos="9123"/>
        </w:tabs>
      </w:pPr>
      <w:r>
        <w:fldChar w:fldCharType="begin"/>
      </w:r>
      <w:r>
        <w:instrText xml:space="preserve"> HYPERLINK \l "_Toc9786" </w:instrText>
      </w:r>
      <w:r>
        <w:fldChar w:fldCharType="separate"/>
      </w:r>
      <w:r>
        <w:rPr>
          <w:rFonts w:ascii="黑体" w:hAnsi="黑体"/>
          <w:bCs/>
          <w:szCs w:val="21"/>
        </w:rPr>
        <w:t xml:space="preserve">2.1 </w:t>
      </w:r>
      <w:r>
        <w:rPr>
          <w:rFonts w:hint="eastAsia" w:ascii="黑体" w:hAnsi="黑体"/>
          <w:bCs/>
          <w:szCs w:val="21"/>
        </w:rPr>
        <w:t>供货范围</w:t>
      </w:r>
      <w:r>
        <w:tab/>
      </w:r>
      <w:r>
        <w:fldChar w:fldCharType="begin"/>
      </w:r>
      <w:r>
        <w:instrText xml:space="preserve"> PAGEREF _Toc9786 \h </w:instrText>
      </w:r>
      <w:r>
        <w:fldChar w:fldCharType="separate"/>
      </w:r>
      <w:r>
        <w:t>2</w:t>
      </w:r>
      <w:r>
        <w:fldChar w:fldCharType="end"/>
      </w:r>
      <w:r>
        <w:fldChar w:fldCharType="end"/>
      </w:r>
    </w:p>
    <w:p w14:paraId="2508F4CA">
      <w:pPr>
        <w:pStyle w:val="49"/>
        <w:tabs>
          <w:tab w:val="right" w:leader="dot" w:pos="9123"/>
        </w:tabs>
      </w:pPr>
      <w:r>
        <w:fldChar w:fldCharType="begin"/>
      </w:r>
      <w:r>
        <w:instrText xml:space="preserve"> HYPERLINK \l "_Toc27040" </w:instrText>
      </w:r>
      <w:r>
        <w:fldChar w:fldCharType="separate"/>
      </w:r>
      <w:r>
        <w:rPr>
          <w:rFonts w:ascii="黑体" w:hAnsi="黑体"/>
          <w:bCs/>
          <w:szCs w:val="21"/>
        </w:rPr>
        <w:t xml:space="preserve">2.2 </w:t>
      </w:r>
      <w:r>
        <w:rPr>
          <w:rFonts w:hint="eastAsia" w:ascii="黑体" w:hAnsi="黑体"/>
          <w:bCs/>
          <w:szCs w:val="21"/>
        </w:rPr>
        <w:t>服务界限</w:t>
      </w:r>
      <w:r>
        <w:tab/>
      </w:r>
      <w:r>
        <w:fldChar w:fldCharType="begin"/>
      </w:r>
      <w:r>
        <w:instrText xml:space="preserve"> PAGEREF _Toc27040 \h </w:instrText>
      </w:r>
      <w:r>
        <w:fldChar w:fldCharType="separate"/>
      </w:r>
      <w:r>
        <w:t>2</w:t>
      </w:r>
      <w:r>
        <w:fldChar w:fldCharType="end"/>
      </w:r>
      <w:r>
        <w:fldChar w:fldCharType="end"/>
      </w:r>
    </w:p>
    <w:p w14:paraId="63A3B642">
      <w:pPr>
        <w:pStyle w:val="49"/>
        <w:tabs>
          <w:tab w:val="right" w:leader="dot" w:pos="9123"/>
        </w:tabs>
      </w:pPr>
      <w:r>
        <w:fldChar w:fldCharType="begin"/>
      </w:r>
      <w:r>
        <w:instrText xml:space="preserve"> HYPERLINK \l "_Toc31326" </w:instrText>
      </w:r>
      <w:r>
        <w:fldChar w:fldCharType="separate"/>
      </w:r>
      <w:r>
        <w:rPr>
          <w:rFonts w:ascii="黑体" w:hAnsi="黑体"/>
          <w:bCs/>
          <w:szCs w:val="21"/>
        </w:rPr>
        <w:t xml:space="preserve">2.3 </w:t>
      </w:r>
      <w:r>
        <w:rPr>
          <w:rFonts w:hint="eastAsia" w:ascii="黑体" w:hAnsi="黑体"/>
          <w:bCs/>
          <w:szCs w:val="21"/>
        </w:rPr>
        <w:t>技术文件</w:t>
      </w:r>
      <w:r>
        <w:tab/>
      </w:r>
      <w:r>
        <w:fldChar w:fldCharType="begin"/>
      </w:r>
      <w:r>
        <w:instrText xml:space="preserve"> PAGEREF _Toc31326 \h </w:instrText>
      </w:r>
      <w:r>
        <w:fldChar w:fldCharType="separate"/>
      </w:r>
      <w:r>
        <w:t>2</w:t>
      </w:r>
      <w:r>
        <w:fldChar w:fldCharType="end"/>
      </w:r>
      <w:r>
        <w:fldChar w:fldCharType="end"/>
      </w:r>
    </w:p>
    <w:p w14:paraId="1A93E9C1">
      <w:pPr>
        <w:pStyle w:val="49"/>
        <w:tabs>
          <w:tab w:val="right" w:leader="dot" w:pos="9123"/>
        </w:tabs>
      </w:pPr>
      <w:r>
        <w:fldChar w:fldCharType="begin"/>
      </w:r>
      <w:r>
        <w:instrText xml:space="preserve"> HYPERLINK \l "_Toc27905" </w:instrText>
      </w:r>
      <w:r>
        <w:fldChar w:fldCharType="separate"/>
      </w:r>
      <w:r>
        <w:rPr>
          <w:rFonts w:hint="eastAsia"/>
        </w:rPr>
        <w:t>技术文件的组成</w:t>
      </w:r>
      <w:r>
        <w:tab/>
      </w:r>
      <w:r>
        <w:fldChar w:fldCharType="begin"/>
      </w:r>
      <w:r>
        <w:instrText xml:space="preserve"> PAGEREF _Toc27905 \h </w:instrText>
      </w:r>
      <w:r>
        <w:fldChar w:fldCharType="separate"/>
      </w:r>
      <w:r>
        <w:t>2</w:t>
      </w:r>
      <w:r>
        <w:fldChar w:fldCharType="end"/>
      </w:r>
      <w:r>
        <w:fldChar w:fldCharType="end"/>
      </w:r>
    </w:p>
    <w:p w14:paraId="377B5A8B">
      <w:pPr>
        <w:pStyle w:val="38"/>
        <w:tabs>
          <w:tab w:val="right" w:leader="dot" w:pos="9123"/>
        </w:tabs>
      </w:pPr>
      <w:r>
        <w:fldChar w:fldCharType="begin"/>
      </w:r>
      <w:r>
        <w:instrText xml:space="preserve"> HYPERLINK \l "_Toc3627" </w:instrText>
      </w:r>
      <w:r>
        <w:fldChar w:fldCharType="separate"/>
      </w:r>
      <w:r>
        <w:rPr>
          <w:rFonts w:eastAsia="黑体"/>
          <w:bCs/>
          <w:szCs w:val="21"/>
        </w:rPr>
        <w:t>3 应遵循的主要标准</w:t>
      </w:r>
      <w:r>
        <w:tab/>
      </w:r>
      <w:r>
        <w:fldChar w:fldCharType="begin"/>
      </w:r>
      <w:r>
        <w:instrText xml:space="preserve"> PAGEREF _Toc3627 \h </w:instrText>
      </w:r>
      <w:r>
        <w:fldChar w:fldCharType="separate"/>
      </w:r>
      <w:r>
        <w:t>3</w:t>
      </w:r>
      <w:r>
        <w:fldChar w:fldCharType="end"/>
      </w:r>
      <w:r>
        <w:fldChar w:fldCharType="end"/>
      </w:r>
    </w:p>
    <w:p w14:paraId="124D60A3">
      <w:pPr>
        <w:pStyle w:val="38"/>
        <w:tabs>
          <w:tab w:val="right" w:leader="dot" w:pos="9123"/>
        </w:tabs>
      </w:pPr>
      <w:r>
        <w:fldChar w:fldCharType="begin"/>
      </w:r>
      <w:r>
        <w:instrText xml:space="preserve"> HYPERLINK \l "_Toc21569" </w:instrText>
      </w:r>
      <w:r>
        <w:fldChar w:fldCharType="separate"/>
      </w:r>
      <w:r>
        <w:rPr>
          <w:rFonts w:eastAsia="黑体"/>
          <w:bCs/>
          <w:szCs w:val="21"/>
        </w:rPr>
        <w:t>4 使用条件</w:t>
      </w:r>
      <w:r>
        <w:tab/>
      </w:r>
      <w:r>
        <w:fldChar w:fldCharType="begin"/>
      </w:r>
      <w:r>
        <w:instrText xml:space="preserve"> PAGEREF _Toc21569 \h </w:instrText>
      </w:r>
      <w:r>
        <w:fldChar w:fldCharType="separate"/>
      </w:r>
      <w:r>
        <w:t>4</w:t>
      </w:r>
      <w:r>
        <w:fldChar w:fldCharType="end"/>
      </w:r>
      <w:r>
        <w:fldChar w:fldCharType="end"/>
      </w:r>
    </w:p>
    <w:p w14:paraId="3D811466">
      <w:pPr>
        <w:pStyle w:val="49"/>
        <w:tabs>
          <w:tab w:val="right" w:leader="dot" w:pos="9123"/>
        </w:tabs>
      </w:pPr>
      <w:r>
        <w:fldChar w:fldCharType="begin"/>
      </w:r>
      <w:r>
        <w:instrText xml:space="preserve"> HYPERLINK \l "_Toc7690" </w:instrText>
      </w:r>
      <w:r>
        <w:fldChar w:fldCharType="separate"/>
      </w:r>
      <w:r>
        <w:rPr>
          <w:rFonts w:ascii="黑体" w:hAnsi="黑体" w:eastAsia="黑体"/>
          <w:szCs w:val="21"/>
        </w:rPr>
        <w:t>4.1 正常使用条件</w:t>
      </w:r>
      <w:r>
        <w:tab/>
      </w:r>
      <w:r>
        <w:fldChar w:fldCharType="begin"/>
      </w:r>
      <w:r>
        <w:instrText xml:space="preserve"> PAGEREF _Toc7690 \h </w:instrText>
      </w:r>
      <w:r>
        <w:fldChar w:fldCharType="separate"/>
      </w:r>
      <w:r>
        <w:t>4</w:t>
      </w:r>
      <w:r>
        <w:fldChar w:fldCharType="end"/>
      </w:r>
      <w:r>
        <w:fldChar w:fldCharType="end"/>
      </w:r>
    </w:p>
    <w:p w14:paraId="1BF855F6">
      <w:pPr>
        <w:pStyle w:val="49"/>
        <w:tabs>
          <w:tab w:val="right" w:leader="dot" w:pos="9123"/>
        </w:tabs>
      </w:pPr>
      <w:r>
        <w:fldChar w:fldCharType="begin"/>
      </w:r>
      <w:r>
        <w:instrText xml:space="preserve"> HYPERLINK \l "_Toc13954" </w:instrText>
      </w:r>
      <w:r>
        <w:fldChar w:fldCharType="separate"/>
      </w:r>
      <w:r>
        <w:rPr>
          <w:rFonts w:ascii="黑体" w:hAnsi="黑体" w:eastAsia="黑体"/>
          <w:szCs w:val="21"/>
        </w:rPr>
        <w:t>4.2 特殊使用条件</w:t>
      </w:r>
      <w:r>
        <w:tab/>
      </w:r>
      <w:r>
        <w:fldChar w:fldCharType="begin"/>
      </w:r>
      <w:r>
        <w:instrText xml:space="preserve"> PAGEREF _Toc13954 \h </w:instrText>
      </w:r>
      <w:r>
        <w:fldChar w:fldCharType="separate"/>
      </w:r>
      <w:r>
        <w:t>4</w:t>
      </w:r>
      <w:r>
        <w:fldChar w:fldCharType="end"/>
      </w:r>
      <w:r>
        <w:fldChar w:fldCharType="end"/>
      </w:r>
    </w:p>
    <w:p w14:paraId="21068E18">
      <w:pPr>
        <w:pStyle w:val="38"/>
        <w:tabs>
          <w:tab w:val="right" w:leader="dot" w:pos="9123"/>
        </w:tabs>
      </w:pPr>
      <w:r>
        <w:fldChar w:fldCharType="begin"/>
      </w:r>
      <w:r>
        <w:instrText xml:space="preserve"> HYPERLINK \l "_Toc28113" </w:instrText>
      </w:r>
      <w:r>
        <w:fldChar w:fldCharType="separate"/>
      </w:r>
      <w:r>
        <w:rPr>
          <w:rFonts w:hint="eastAsia" w:eastAsia="黑体"/>
          <w:bCs/>
          <w:szCs w:val="21"/>
        </w:rPr>
        <w:t>5</w:t>
      </w:r>
      <w:r>
        <w:rPr>
          <w:rFonts w:eastAsia="黑体"/>
          <w:bCs/>
          <w:szCs w:val="21"/>
        </w:rPr>
        <w:t xml:space="preserve"> </w:t>
      </w:r>
      <w:r>
        <w:rPr>
          <w:rFonts w:hint="eastAsia" w:eastAsia="黑体"/>
          <w:bCs/>
          <w:szCs w:val="21"/>
        </w:rPr>
        <w:t>技术要求</w:t>
      </w:r>
      <w:r>
        <w:tab/>
      </w:r>
      <w:r>
        <w:fldChar w:fldCharType="begin"/>
      </w:r>
      <w:r>
        <w:instrText xml:space="preserve"> PAGEREF _Toc28113 \h </w:instrText>
      </w:r>
      <w:r>
        <w:fldChar w:fldCharType="separate"/>
      </w:r>
      <w:r>
        <w:t>4</w:t>
      </w:r>
      <w:r>
        <w:fldChar w:fldCharType="end"/>
      </w:r>
      <w:r>
        <w:fldChar w:fldCharType="end"/>
      </w:r>
    </w:p>
    <w:p w14:paraId="1385EC63">
      <w:pPr>
        <w:pStyle w:val="49"/>
        <w:tabs>
          <w:tab w:val="right" w:leader="dot" w:pos="9123"/>
        </w:tabs>
      </w:pPr>
      <w:r>
        <w:fldChar w:fldCharType="begin"/>
      </w:r>
      <w:r>
        <w:instrText xml:space="preserve"> HYPERLINK \l "_Toc24365" </w:instrText>
      </w:r>
      <w:r>
        <w:fldChar w:fldCharType="separate"/>
      </w:r>
      <w:r>
        <w:rPr>
          <w:rFonts w:hint="eastAsia" w:ascii="黑体" w:hAnsi="黑体"/>
          <w:bCs/>
          <w:szCs w:val="21"/>
        </w:rPr>
        <w:t>5</w:t>
      </w:r>
      <w:r>
        <w:rPr>
          <w:rFonts w:ascii="黑体" w:hAnsi="黑体"/>
          <w:bCs/>
          <w:szCs w:val="21"/>
        </w:rPr>
        <w:t>.1</w:t>
      </w:r>
      <w:r>
        <w:rPr>
          <w:rFonts w:hint="eastAsia" w:ascii="黑体" w:hAnsi="黑体"/>
          <w:bCs/>
          <w:szCs w:val="21"/>
        </w:rPr>
        <w:t xml:space="preserve"> 飞行器技术要求</w:t>
      </w:r>
      <w:r>
        <w:tab/>
      </w:r>
      <w:r>
        <w:fldChar w:fldCharType="begin"/>
      </w:r>
      <w:r>
        <w:instrText xml:space="preserve"> PAGEREF _Toc24365 \h </w:instrText>
      </w:r>
      <w:r>
        <w:fldChar w:fldCharType="separate"/>
      </w:r>
      <w:r>
        <w:t>4</w:t>
      </w:r>
      <w:r>
        <w:fldChar w:fldCharType="end"/>
      </w:r>
      <w:r>
        <w:fldChar w:fldCharType="end"/>
      </w:r>
    </w:p>
    <w:p w14:paraId="13CA5840">
      <w:pPr>
        <w:pStyle w:val="49"/>
        <w:tabs>
          <w:tab w:val="right" w:leader="dot" w:pos="9123"/>
        </w:tabs>
      </w:pPr>
      <w:r>
        <w:fldChar w:fldCharType="begin"/>
      </w:r>
      <w:r>
        <w:instrText xml:space="preserve"> HYPERLINK \l "_Toc14573" </w:instrText>
      </w:r>
      <w:r>
        <w:fldChar w:fldCharType="separate"/>
      </w:r>
      <w:r>
        <w:rPr>
          <w:rFonts w:ascii="黑体" w:hAnsi="黑体"/>
          <w:bCs/>
          <w:szCs w:val="21"/>
        </w:rPr>
        <w:t>5.2</w:t>
      </w:r>
      <w:r>
        <w:rPr>
          <w:rFonts w:hint="eastAsia" w:ascii="黑体" w:hAnsi="黑体"/>
          <w:bCs/>
          <w:szCs w:val="21"/>
        </w:rPr>
        <w:t xml:space="preserve"> 遥控器技术要求</w:t>
      </w:r>
      <w:r>
        <w:tab/>
      </w:r>
      <w:r>
        <w:fldChar w:fldCharType="begin"/>
      </w:r>
      <w:r>
        <w:instrText xml:space="preserve"> PAGEREF _Toc14573 \h </w:instrText>
      </w:r>
      <w:r>
        <w:fldChar w:fldCharType="separate"/>
      </w:r>
      <w:r>
        <w:t>5</w:t>
      </w:r>
      <w:r>
        <w:fldChar w:fldCharType="end"/>
      </w:r>
      <w:r>
        <w:fldChar w:fldCharType="end"/>
      </w:r>
    </w:p>
    <w:p w14:paraId="54A85143">
      <w:pPr>
        <w:pStyle w:val="49"/>
        <w:tabs>
          <w:tab w:val="right" w:leader="dot" w:pos="9123"/>
        </w:tabs>
      </w:pPr>
      <w:r>
        <w:fldChar w:fldCharType="begin"/>
      </w:r>
      <w:r>
        <w:instrText xml:space="preserve"> HYPERLINK \l "_Toc1823" </w:instrText>
      </w:r>
      <w:r>
        <w:fldChar w:fldCharType="separate"/>
      </w:r>
      <w:r>
        <w:rPr>
          <w:rFonts w:hint="eastAsia" w:ascii="黑体" w:hAnsi="黑体"/>
          <w:bCs/>
          <w:szCs w:val="21"/>
        </w:rPr>
        <w:t>5</w:t>
      </w:r>
      <w:r>
        <w:rPr>
          <w:rFonts w:ascii="黑体" w:hAnsi="黑体"/>
          <w:bCs/>
          <w:szCs w:val="21"/>
        </w:rPr>
        <w:t xml:space="preserve">.3 </w:t>
      </w:r>
      <w:r>
        <w:rPr>
          <w:rFonts w:hint="eastAsia" w:ascii="黑体" w:hAnsi="黑体"/>
          <w:bCs/>
          <w:szCs w:val="21"/>
        </w:rPr>
        <w:t>电池技术要求</w:t>
      </w:r>
      <w:r>
        <w:tab/>
      </w:r>
      <w:r>
        <w:fldChar w:fldCharType="begin"/>
      </w:r>
      <w:r>
        <w:instrText xml:space="preserve"> PAGEREF _Toc1823 \h </w:instrText>
      </w:r>
      <w:r>
        <w:fldChar w:fldCharType="separate"/>
      </w:r>
      <w:r>
        <w:t>6</w:t>
      </w:r>
      <w:r>
        <w:fldChar w:fldCharType="end"/>
      </w:r>
      <w:r>
        <w:fldChar w:fldCharType="end"/>
      </w:r>
    </w:p>
    <w:p w14:paraId="58425227">
      <w:pPr>
        <w:pStyle w:val="49"/>
        <w:tabs>
          <w:tab w:val="right" w:leader="dot" w:pos="9123"/>
        </w:tabs>
      </w:pPr>
      <w:r>
        <w:fldChar w:fldCharType="begin"/>
      </w:r>
      <w:r>
        <w:instrText xml:space="preserve"> HYPERLINK \l "_Toc7010" </w:instrText>
      </w:r>
      <w:r>
        <w:fldChar w:fldCharType="separate"/>
      </w:r>
      <w:r>
        <w:rPr>
          <w:rFonts w:hint="eastAsia" w:ascii="黑体" w:hAnsi="黑体"/>
          <w:bCs/>
          <w:szCs w:val="21"/>
        </w:rPr>
        <w:t>5</w:t>
      </w:r>
      <w:r>
        <w:rPr>
          <w:rFonts w:ascii="黑体" w:hAnsi="黑体"/>
          <w:bCs/>
          <w:szCs w:val="21"/>
        </w:rPr>
        <w:t>.</w:t>
      </w:r>
      <w:r>
        <w:rPr>
          <w:rFonts w:hint="eastAsia" w:ascii="黑体" w:hAnsi="黑体"/>
          <w:bCs/>
          <w:szCs w:val="21"/>
        </w:rPr>
        <w:t>4</w:t>
      </w:r>
      <w:r>
        <w:rPr>
          <w:rFonts w:ascii="黑体" w:hAnsi="黑体"/>
          <w:bCs/>
          <w:szCs w:val="21"/>
        </w:rPr>
        <w:t xml:space="preserve"> </w:t>
      </w:r>
      <w:r>
        <w:rPr>
          <w:rFonts w:hint="eastAsia" w:ascii="黑体" w:hAnsi="黑体"/>
          <w:bCs/>
          <w:szCs w:val="21"/>
        </w:rPr>
        <w:t>智能充电器技术要求</w:t>
      </w:r>
      <w:r>
        <w:tab/>
      </w:r>
      <w:r>
        <w:fldChar w:fldCharType="begin"/>
      </w:r>
      <w:r>
        <w:instrText xml:space="preserve"> PAGEREF _Toc7010 \h </w:instrText>
      </w:r>
      <w:r>
        <w:fldChar w:fldCharType="separate"/>
      </w:r>
      <w:r>
        <w:t>6</w:t>
      </w:r>
      <w:r>
        <w:fldChar w:fldCharType="end"/>
      </w:r>
      <w:r>
        <w:fldChar w:fldCharType="end"/>
      </w:r>
    </w:p>
    <w:p w14:paraId="035681B5">
      <w:pPr>
        <w:pStyle w:val="49"/>
        <w:tabs>
          <w:tab w:val="right" w:leader="dot" w:pos="9123"/>
        </w:tabs>
      </w:pPr>
      <w:r>
        <w:fldChar w:fldCharType="begin"/>
      </w:r>
      <w:r>
        <w:instrText xml:space="preserve"> HYPERLINK \l "_Toc28288" </w:instrText>
      </w:r>
      <w:r>
        <w:fldChar w:fldCharType="separate"/>
      </w:r>
      <w:r>
        <w:rPr>
          <w:rFonts w:hint="eastAsia" w:ascii="黑体" w:hAnsi="黑体"/>
          <w:bCs/>
          <w:szCs w:val="21"/>
        </w:rPr>
        <w:t>5</w:t>
      </w:r>
      <w:r>
        <w:rPr>
          <w:rFonts w:ascii="黑体" w:hAnsi="黑体"/>
          <w:bCs/>
          <w:szCs w:val="21"/>
        </w:rPr>
        <w:t>.</w:t>
      </w:r>
      <w:r>
        <w:rPr>
          <w:rFonts w:hint="eastAsia" w:ascii="黑体" w:hAnsi="黑体"/>
          <w:bCs/>
          <w:szCs w:val="21"/>
        </w:rPr>
        <w:t>5</w:t>
      </w:r>
      <w:r>
        <w:rPr>
          <w:rFonts w:ascii="黑体" w:hAnsi="黑体"/>
          <w:bCs/>
          <w:szCs w:val="21"/>
        </w:rPr>
        <w:t xml:space="preserve"> </w:t>
      </w:r>
      <w:r>
        <w:rPr>
          <w:rFonts w:hint="eastAsia" w:ascii="黑体" w:hAnsi="黑体"/>
          <w:bCs/>
          <w:szCs w:val="21"/>
        </w:rPr>
        <w:t>全能变频充电站技术要求</w:t>
      </w:r>
      <w:r>
        <w:tab/>
      </w:r>
      <w:r>
        <w:fldChar w:fldCharType="begin"/>
      </w:r>
      <w:r>
        <w:instrText xml:space="preserve"> PAGEREF _Toc28288 \h </w:instrText>
      </w:r>
      <w:r>
        <w:fldChar w:fldCharType="separate"/>
      </w:r>
      <w:r>
        <w:t>6</w:t>
      </w:r>
      <w:r>
        <w:fldChar w:fldCharType="end"/>
      </w:r>
      <w:r>
        <w:fldChar w:fldCharType="end"/>
      </w:r>
    </w:p>
    <w:p w14:paraId="28BAA092">
      <w:pPr>
        <w:pStyle w:val="49"/>
        <w:tabs>
          <w:tab w:val="right" w:leader="dot" w:pos="9123"/>
        </w:tabs>
      </w:pPr>
      <w:r>
        <w:fldChar w:fldCharType="begin"/>
      </w:r>
      <w:r>
        <w:instrText xml:space="preserve"> HYPERLINK \l "_Toc24610" </w:instrText>
      </w:r>
      <w:r>
        <w:fldChar w:fldCharType="separate"/>
      </w:r>
      <w:r>
        <w:rPr>
          <w:rFonts w:hint="eastAsia" w:ascii="黑体" w:hAnsi="黑体"/>
          <w:bCs/>
          <w:szCs w:val="21"/>
        </w:rPr>
        <w:t>5</w:t>
      </w:r>
      <w:r>
        <w:rPr>
          <w:rFonts w:ascii="黑体" w:hAnsi="黑体"/>
          <w:bCs/>
          <w:szCs w:val="21"/>
        </w:rPr>
        <w:t>.</w:t>
      </w:r>
      <w:r>
        <w:rPr>
          <w:rFonts w:hint="eastAsia" w:ascii="黑体" w:hAnsi="黑体"/>
          <w:bCs/>
          <w:szCs w:val="21"/>
        </w:rPr>
        <w:t>6</w:t>
      </w:r>
      <w:r>
        <w:rPr>
          <w:rFonts w:ascii="黑体" w:hAnsi="黑体"/>
          <w:bCs/>
          <w:szCs w:val="21"/>
        </w:rPr>
        <w:t xml:space="preserve"> </w:t>
      </w:r>
      <w:r>
        <w:rPr>
          <w:rFonts w:hint="eastAsia" w:ascii="黑体" w:hAnsi="黑体"/>
          <w:bCs/>
          <w:szCs w:val="21"/>
        </w:rPr>
        <w:t>吊运系统技术要求</w:t>
      </w:r>
      <w:r>
        <w:tab/>
      </w:r>
      <w:r>
        <w:fldChar w:fldCharType="begin"/>
      </w:r>
      <w:r>
        <w:instrText xml:space="preserve"> PAGEREF _Toc24610 \h </w:instrText>
      </w:r>
      <w:r>
        <w:fldChar w:fldCharType="separate"/>
      </w:r>
      <w:r>
        <w:t>7</w:t>
      </w:r>
      <w:r>
        <w:fldChar w:fldCharType="end"/>
      </w:r>
      <w:r>
        <w:fldChar w:fldCharType="end"/>
      </w:r>
    </w:p>
    <w:p w14:paraId="1AAED423">
      <w:pPr>
        <w:pStyle w:val="49"/>
        <w:tabs>
          <w:tab w:val="right" w:leader="dot" w:pos="9123"/>
        </w:tabs>
      </w:pPr>
      <w:r>
        <w:fldChar w:fldCharType="begin"/>
      </w:r>
      <w:r>
        <w:instrText xml:space="preserve"> HYPERLINK \l "_Toc14906" </w:instrText>
      </w:r>
      <w:r>
        <w:fldChar w:fldCharType="separate"/>
      </w:r>
      <w:r>
        <w:rPr>
          <w:rFonts w:ascii="黑体" w:hAnsi="黑体"/>
          <w:bCs/>
          <w:szCs w:val="21"/>
        </w:rPr>
        <w:t xml:space="preserve">5.7 </w:t>
      </w:r>
      <w:r>
        <w:rPr>
          <w:rFonts w:hint="eastAsia" w:ascii="黑体" w:hAnsi="黑体"/>
          <w:bCs/>
          <w:szCs w:val="21"/>
        </w:rPr>
        <w:t>车载充电器技术要求</w:t>
      </w:r>
      <w:r>
        <w:tab/>
      </w:r>
      <w:r>
        <w:fldChar w:fldCharType="begin"/>
      </w:r>
      <w:r>
        <w:instrText xml:space="preserve"> PAGEREF _Toc14906 \h </w:instrText>
      </w:r>
      <w:r>
        <w:fldChar w:fldCharType="separate"/>
      </w:r>
      <w:r>
        <w:t>8</w:t>
      </w:r>
      <w:r>
        <w:fldChar w:fldCharType="end"/>
      </w:r>
      <w:r>
        <w:fldChar w:fldCharType="end"/>
      </w:r>
    </w:p>
    <w:p w14:paraId="400D070D">
      <w:pPr>
        <w:pStyle w:val="49"/>
        <w:tabs>
          <w:tab w:val="right" w:leader="dot" w:pos="9123"/>
        </w:tabs>
      </w:pPr>
      <w:r>
        <w:fldChar w:fldCharType="begin"/>
      </w:r>
      <w:r>
        <w:instrText xml:space="preserve"> HYPERLINK \l "_Toc3880" </w:instrText>
      </w:r>
      <w:r>
        <w:fldChar w:fldCharType="separate"/>
      </w:r>
      <w:r>
        <w:rPr>
          <w:rFonts w:hint="eastAsia" w:ascii="黑体" w:hAnsi="黑体"/>
          <w:bCs/>
          <w:szCs w:val="21"/>
        </w:rPr>
        <w:t>5</w:t>
      </w:r>
      <w:r>
        <w:rPr>
          <w:rFonts w:ascii="黑体" w:hAnsi="黑体"/>
          <w:bCs/>
          <w:szCs w:val="21"/>
        </w:rPr>
        <w:t>.</w:t>
      </w:r>
      <w:r>
        <w:rPr>
          <w:rFonts w:hint="eastAsia" w:ascii="黑体" w:hAnsi="黑体"/>
          <w:bCs/>
          <w:szCs w:val="21"/>
        </w:rPr>
        <w:t>8</w:t>
      </w:r>
      <w:r>
        <w:rPr>
          <w:rFonts w:ascii="黑体" w:hAnsi="黑体"/>
          <w:bCs/>
          <w:szCs w:val="21"/>
        </w:rPr>
        <w:t xml:space="preserve"> </w:t>
      </w:r>
      <w:r>
        <w:rPr>
          <w:rFonts w:hint="eastAsia" w:ascii="黑体" w:hAnsi="黑体"/>
          <w:bCs/>
          <w:szCs w:val="21"/>
        </w:rPr>
        <w:t>配件技术要求</w:t>
      </w:r>
      <w:r>
        <w:tab/>
      </w:r>
      <w:r>
        <w:fldChar w:fldCharType="begin"/>
      </w:r>
      <w:r>
        <w:instrText xml:space="preserve"> PAGEREF _Toc3880 \h </w:instrText>
      </w:r>
      <w:r>
        <w:fldChar w:fldCharType="separate"/>
      </w:r>
      <w:r>
        <w:t>8</w:t>
      </w:r>
      <w:r>
        <w:fldChar w:fldCharType="end"/>
      </w:r>
      <w:r>
        <w:fldChar w:fldCharType="end"/>
      </w:r>
    </w:p>
    <w:p w14:paraId="4ED44A60">
      <w:pPr>
        <w:pStyle w:val="49"/>
        <w:tabs>
          <w:tab w:val="right" w:leader="dot" w:pos="9123"/>
        </w:tabs>
      </w:pPr>
      <w:r>
        <w:fldChar w:fldCharType="begin"/>
      </w:r>
      <w:r>
        <w:instrText xml:space="preserve"> HYPERLINK \l "_Toc22063" </w:instrText>
      </w:r>
      <w:r>
        <w:fldChar w:fldCharType="separate"/>
      </w:r>
      <w:r>
        <w:rPr>
          <w:rFonts w:hint="eastAsia" w:ascii="黑体" w:hAnsi="黑体"/>
          <w:bCs/>
          <w:szCs w:val="21"/>
        </w:rPr>
        <w:t>5</w:t>
      </w:r>
      <w:r>
        <w:rPr>
          <w:rFonts w:ascii="黑体" w:hAnsi="黑体"/>
          <w:bCs/>
          <w:szCs w:val="21"/>
        </w:rPr>
        <w:t>.</w:t>
      </w:r>
      <w:r>
        <w:rPr>
          <w:rFonts w:hint="eastAsia" w:ascii="黑体" w:hAnsi="黑体"/>
          <w:bCs/>
          <w:szCs w:val="21"/>
        </w:rPr>
        <w:t>9</w:t>
      </w:r>
      <w:r>
        <w:rPr>
          <w:rFonts w:ascii="黑体" w:hAnsi="黑体"/>
          <w:bCs/>
          <w:szCs w:val="21"/>
        </w:rPr>
        <w:t xml:space="preserve"> </w:t>
      </w:r>
      <w:r>
        <w:rPr>
          <w:rFonts w:hint="eastAsia" w:ascii="黑体" w:hAnsi="黑体"/>
          <w:bCs/>
          <w:szCs w:val="21"/>
        </w:rPr>
        <w:t>多功能基站技术要求</w:t>
      </w:r>
      <w:r>
        <w:tab/>
      </w:r>
      <w:r>
        <w:fldChar w:fldCharType="begin"/>
      </w:r>
      <w:r>
        <w:instrText xml:space="preserve"> PAGEREF _Toc22063 \h </w:instrText>
      </w:r>
      <w:r>
        <w:fldChar w:fldCharType="separate"/>
      </w:r>
      <w:r>
        <w:t>8</w:t>
      </w:r>
      <w:r>
        <w:fldChar w:fldCharType="end"/>
      </w:r>
      <w:r>
        <w:fldChar w:fldCharType="end"/>
      </w:r>
    </w:p>
    <w:p w14:paraId="413617BF">
      <w:pPr>
        <w:pStyle w:val="49"/>
        <w:tabs>
          <w:tab w:val="right" w:leader="dot" w:pos="9123"/>
        </w:tabs>
      </w:pPr>
      <w:r>
        <w:fldChar w:fldCharType="begin"/>
      </w:r>
      <w:r>
        <w:instrText xml:space="preserve"> HYPERLINK \l "_Toc8537" </w:instrText>
      </w:r>
      <w:r>
        <w:fldChar w:fldCharType="separate"/>
      </w:r>
      <w:r>
        <w:rPr>
          <w:rFonts w:hint="eastAsia" w:ascii="黑体" w:hAnsi="黑体"/>
          <w:bCs/>
          <w:szCs w:val="21"/>
        </w:rPr>
        <w:t>5</w:t>
      </w:r>
      <w:r>
        <w:rPr>
          <w:rFonts w:ascii="黑体" w:hAnsi="黑体"/>
          <w:bCs/>
          <w:szCs w:val="21"/>
        </w:rPr>
        <w:t>.1</w:t>
      </w:r>
      <w:r>
        <w:rPr>
          <w:rFonts w:hint="eastAsia" w:ascii="黑体" w:hAnsi="黑体"/>
          <w:bCs/>
          <w:szCs w:val="21"/>
        </w:rPr>
        <w:t>0</w:t>
      </w:r>
      <w:r>
        <w:rPr>
          <w:rFonts w:ascii="黑体" w:hAnsi="黑体"/>
          <w:bCs/>
          <w:szCs w:val="21"/>
        </w:rPr>
        <w:t xml:space="preserve"> </w:t>
      </w:r>
      <w:r>
        <w:rPr>
          <w:rFonts w:hint="eastAsia" w:ascii="黑体" w:hAnsi="黑体"/>
          <w:bCs/>
          <w:szCs w:val="21"/>
        </w:rPr>
        <w:t>关怀计划保障服务及计划标准技术要求</w:t>
      </w:r>
      <w:r>
        <w:tab/>
      </w:r>
      <w:r>
        <w:fldChar w:fldCharType="begin"/>
      </w:r>
      <w:r>
        <w:instrText xml:space="preserve"> PAGEREF _Toc8537 \h </w:instrText>
      </w:r>
      <w:r>
        <w:fldChar w:fldCharType="separate"/>
      </w:r>
      <w:r>
        <w:t>9</w:t>
      </w:r>
      <w:r>
        <w:fldChar w:fldCharType="end"/>
      </w:r>
      <w:r>
        <w:fldChar w:fldCharType="end"/>
      </w:r>
    </w:p>
    <w:p w14:paraId="5339D02E">
      <w:pPr>
        <w:pStyle w:val="49"/>
        <w:tabs>
          <w:tab w:val="right" w:leader="dot" w:pos="9123"/>
        </w:tabs>
      </w:pPr>
      <w:r>
        <w:fldChar w:fldCharType="begin"/>
      </w:r>
      <w:r>
        <w:instrText xml:space="preserve"> HYPERLINK \l "_Toc18960" </w:instrText>
      </w:r>
      <w:r>
        <w:fldChar w:fldCharType="separate"/>
      </w:r>
      <w:r>
        <w:rPr>
          <w:rFonts w:ascii="黑体" w:hAnsi="黑体"/>
          <w:bCs/>
          <w:szCs w:val="21"/>
        </w:rPr>
        <w:t>5.1</w:t>
      </w:r>
      <w:r>
        <w:rPr>
          <w:rFonts w:hint="eastAsia" w:ascii="黑体" w:hAnsi="黑体"/>
          <w:bCs/>
          <w:szCs w:val="21"/>
        </w:rPr>
        <w:t>1 网络安全要求</w:t>
      </w:r>
      <w:r>
        <w:tab/>
      </w:r>
      <w:r>
        <w:fldChar w:fldCharType="begin"/>
      </w:r>
      <w:r>
        <w:instrText xml:space="preserve"> PAGEREF _Toc18960 \h </w:instrText>
      </w:r>
      <w:r>
        <w:fldChar w:fldCharType="separate"/>
      </w:r>
      <w:r>
        <w:t>9</w:t>
      </w:r>
      <w:r>
        <w:fldChar w:fldCharType="end"/>
      </w:r>
      <w:r>
        <w:fldChar w:fldCharType="end"/>
      </w:r>
    </w:p>
    <w:p w14:paraId="6BF44DB9">
      <w:pPr>
        <w:pStyle w:val="38"/>
        <w:tabs>
          <w:tab w:val="right" w:leader="dot" w:pos="9123"/>
        </w:tabs>
      </w:pPr>
      <w:r>
        <w:fldChar w:fldCharType="begin"/>
      </w:r>
      <w:r>
        <w:instrText xml:space="preserve"> HYPERLINK \l "_Toc12407" </w:instrText>
      </w:r>
      <w:r>
        <w:fldChar w:fldCharType="separate"/>
      </w:r>
      <w:r>
        <w:rPr>
          <w:rFonts w:eastAsia="黑体"/>
          <w:bCs/>
          <w:szCs w:val="21"/>
        </w:rPr>
        <w:t>6 试验项目及要求</w:t>
      </w:r>
      <w:r>
        <w:tab/>
      </w:r>
      <w:r>
        <w:fldChar w:fldCharType="begin"/>
      </w:r>
      <w:r>
        <w:instrText xml:space="preserve"> PAGEREF _Toc12407 \h </w:instrText>
      </w:r>
      <w:r>
        <w:fldChar w:fldCharType="separate"/>
      </w:r>
      <w:r>
        <w:t>10</w:t>
      </w:r>
      <w:r>
        <w:fldChar w:fldCharType="end"/>
      </w:r>
      <w:r>
        <w:fldChar w:fldCharType="end"/>
      </w:r>
    </w:p>
    <w:p w14:paraId="1656AA52">
      <w:pPr>
        <w:pStyle w:val="49"/>
        <w:tabs>
          <w:tab w:val="right" w:leader="dot" w:pos="9123"/>
        </w:tabs>
      </w:pPr>
      <w:r>
        <w:fldChar w:fldCharType="begin"/>
      </w:r>
      <w:r>
        <w:instrText xml:space="preserve"> HYPERLINK \l "_Toc7689" </w:instrText>
      </w:r>
      <w:r>
        <w:fldChar w:fldCharType="separate"/>
      </w:r>
      <w:r>
        <w:rPr>
          <w:rFonts w:hint="eastAsia" w:ascii="黑体" w:hAnsi="黑体"/>
          <w:bCs/>
          <w:szCs w:val="21"/>
        </w:rPr>
        <w:t>6.1 结构和外观检查</w:t>
      </w:r>
      <w:r>
        <w:tab/>
      </w:r>
      <w:r>
        <w:fldChar w:fldCharType="begin"/>
      </w:r>
      <w:r>
        <w:instrText xml:space="preserve"> PAGEREF _Toc7689 \h </w:instrText>
      </w:r>
      <w:r>
        <w:fldChar w:fldCharType="separate"/>
      </w:r>
      <w:r>
        <w:t>10</w:t>
      </w:r>
      <w:r>
        <w:fldChar w:fldCharType="end"/>
      </w:r>
      <w:r>
        <w:fldChar w:fldCharType="end"/>
      </w:r>
    </w:p>
    <w:p w14:paraId="15D0C5DD">
      <w:pPr>
        <w:pStyle w:val="49"/>
        <w:tabs>
          <w:tab w:val="right" w:leader="dot" w:pos="9123"/>
        </w:tabs>
      </w:pPr>
      <w:r>
        <w:fldChar w:fldCharType="begin"/>
      </w:r>
      <w:r>
        <w:instrText xml:space="preserve"> HYPERLINK \l "_Toc27568" </w:instrText>
      </w:r>
      <w:r>
        <w:fldChar w:fldCharType="separate"/>
      </w:r>
      <w:r>
        <w:rPr>
          <w:rFonts w:ascii="黑体" w:hAnsi="黑体"/>
          <w:bCs/>
          <w:szCs w:val="21"/>
        </w:rPr>
        <w:t>6.</w:t>
      </w:r>
      <w:r>
        <w:rPr>
          <w:rFonts w:hint="eastAsia" w:ascii="黑体" w:hAnsi="黑体"/>
          <w:bCs/>
          <w:szCs w:val="21"/>
        </w:rPr>
        <w:t>2</w:t>
      </w:r>
      <w:r>
        <w:rPr>
          <w:rFonts w:ascii="黑体" w:hAnsi="黑体"/>
          <w:bCs/>
          <w:szCs w:val="21"/>
        </w:rPr>
        <w:t xml:space="preserve"> </w:t>
      </w:r>
      <w:r>
        <w:rPr>
          <w:rFonts w:hint="eastAsia" w:ascii="黑体" w:hAnsi="黑体"/>
          <w:bCs/>
          <w:szCs w:val="21"/>
        </w:rPr>
        <w:t>环境试验</w:t>
      </w:r>
      <w:r>
        <w:tab/>
      </w:r>
      <w:r>
        <w:fldChar w:fldCharType="begin"/>
      </w:r>
      <w:r>
        <w:instrText xml:space="preserve"> PAGEREF _Toc27568 \h </w:instrText>
      </w:r>
      <w:r>
        <w:fldChar w:fldCharType="separate"/>
      </w:r>
      <w:r>
        <w:t>10</w:t>
      </w:r>
      <w:r>
        <w:fldChar w:fldCharType="end"/>
      </w:r>
      <w:r>
        <w:fldChar w:fldCharType="end"/>
      </w:r>
    </w:p>
    <w:p w14:paraId="05435A00">
      <w:pPr>
        <w:pStyle w:val="49"/>
        <w:tabs>
          <w:tab w:val="right" w:leader="dot" w:pos="9123"/>
        </w:tabs>
      </w:pPr>
      <w:r>
        <w:fldChar w:fldCharType="begin"/>
      </w:r>
      <w:r>
        <w:instrText xml:space="preserve"> HYPERLINK \l "_Toc5526" </w:instrText>
      </w:r>
      <w:r>
        <w:fldChar w:fldCharType="separate"/>
      </w:r>
      <w:r>
        <w:rPr>
          <w:rFonts w:ascii="黑体" w:hAnsi="黑体"/>
          <w:bCs/>
          <w:szCs w:val="21"/>
        </w:rPr>
        <w:t>6.</w:t>
      </w:r>
      <w:r>
        <w:rPr>
          <w:rFonts w:hint="eastAsia" w:ascii="黑体" w:hAnsi="黑体"/>
          <w:bCs/>
          <w:szCs w:val="21"/>
        </w:rPr>
        <w:t>3</w:t>
      </w:r>
      <w:r>
        <w:rPr>
          <w:rFonts w:ascii="黑体" w:hAnsi="黑体"/>
          <w:bCs/>
          <w:szCs w:val="21"/>
        </w:rPr>
        <w:t xml:space="preserve"> </w:t>
      </w:r>
      <w:r>
        <w:rPr>
          <w:rFonts w:hint="eastAsia" w:ascii="黑体" w:hAnsi="黑体"/>
          <w:bCs/>
          <w:szCs w:val="21"/>
        </w:rPr>
        <w:t>功能试验</w:t>
      </w:r>
      <w:r>
        <w:tab/>
      </w:r>
      <w:r>
        <w:fldChar w:fldCharType="begin"/>
      </w:r>
      <w:r>
        <w:instrText xml:space="preserve"> PAGEREF _Toc5526 \h </w:instrText>
      </w:r>
      <w:r>
        <w:fldChar w:fldCharType="separate"/>
      </w:r>
      <w:r>
        <w:t>11</w:t>
      </w:r>
      <w:r>
        <w:fldChar w:fldCharType="end"/>
      </w:r>
      <w:r>
        <w:fldChar w:fldCharType="end"/>
      </w:r>
    </w:p>
    <w:p w14:paraId="03E053A6">
      <w:pPr>
        <w:pStyle w:val="49"/>
        <w:tabs>
          <w:tab w:val="right" w:leader="dot" w:pos="9123"/>
        </w:tabs>
      </w:pPr>
      <w:r>
        <w:fldChar w:fldCharType="begin"/>
      </w:r>
      <w:r>
        <w:instrText xml:space="preserve"> HYPERLINK \l "_Toc7557" </w:instrText>
      </w:r>
      <w:r>
        <w:fldChar w:fldCharType="separate"/>
      </w:r>
      <w:r>
        <w:rPr>
          <w:rFonts w:hint="eastAsia" w:ascii="黑体" w:hAnsi="黑体"/>
          <w:bCs/>
          <w:szCs w:val="21"/>
        </w:rPr>
        <w:t xml:space="preserve">6.4 </w:t>
      </w:r>
      <w:r>
        <w:rPr>
          <w:rFonts w:ascii="黑体" w:hAnsi="黑体"/>
          <w:bCs/>
          <w:szCs w:val="21"/>
        </w:rPr>
        <w:t>电磁兼容试验</w:t>
      </w:r>
      <w:r>
        <w:tab/>
      </w:r>
      <w:r>
        <w:fldChar w:fldCharType="begin"/>
      </w:r>
      <w:r>
        <w:instrText xml:space="preserve"> PAGEREF _Toc7557 \h </w:instrText>
      </w:r>
      <w:r>
        <w:fldChar w:fldCharType="separate"/>
      </w:r>
      <w:r>
        <w:t>13</w:t>
      </w:r>
      <w:r>
        <w:fldChar w:fldCharType="end"/>
      </w:r>
      <w:r>
        <w:fldChar w:fldCharType="end"/>
      </w:r>
    </w:p>
    <w:p w14:paraId="4FF5A9C5">
      <w:pPr>
        <w:pStyle w:val="49"/>
        <w:tabs>
          <w:tab w:val="right" w:leader="dot" w:pos="9123"/>
        </w:tabs>
      </w:pPr>
      <w:r>
        <w:fldChar w:fldCharType="begin"/>
      </w:r>
      <w:r>
        <w:instrText xml:space="preserve"> HYPERLINK \l "_Toc31296" </w:instrText>
      </w:r>
      <w:r>
        <w:fldChar w:fldCharType="separate"/>
      </w:r>
      <w:r>
        <w:rPr>
          <w:rFonts w:hint="eastAsia" w:ascii="黑体" w:hAnsi="黑体"/>
          <w:bCs/>
          <w:szCs w:val="21"/>
        </w:rPr>
        <w:t>6.5 性能试验</w:t>
      </w:r>
      <w:r>
        <w:tab/>
      </w:r>
      <w:r>
        <w:fldChar w:fldCharType="begin"/>
      </w:r>
      <w:r>
        <w:instrText xml:space="preserve"> PAGEREF _Toc31296 \h </w:instrText>
      </w:r>
      <w:r>
        <w:fldChar w:fldCharType="separate"/>
      </w:r>
      <w:r>
        <w:t>13</w:t>
      </w:r>
      <w:r>
        <w:fldChar w:fldCharType="end"/>
      </w:r>
      <w:r>
        <w:fldChar w:fldCharType="end"/>
      </w:r>
    </w:p>
    <w:p w14:paraId="1E7ED9B0">
      <w:pPr>
        <w:pStyle w:val="38"/>
        <w:tabs>
          <w:tab w:val="right" w:leader="dot" w:pos="9123"/>
        </w:tabs>
      </w:pPr>
      <w:r>
        <w:fldChar w:fldCharType="begin"/>
      </w:r>
      <w:r>
        <w:instrText xml:space="preserve"> HYPERLINK \l "_Toc15640" </w:instrText>
      </w:r>
      <w:r>
        <w:fldChar w:fldCharType="separate"/>
      </w:r>
      <w:r>
        <w:rPr>
          <w:rFonts w:eastAsia="黑体"/>
          <w:bCs/>
          <w:szCs w:val="21"/>
        </w:rPr>
        <w:t xml:space="preserve">7 </w:t>
      </w:r>
      <w:r>
        <w:rPr>
          <w:rFonts w:hint="eastAsia" w:eastAsia="黑体"/>
          <w:bCs/>
          <w:szCs w:val="21"/>
        </w:rPr>
        <w:t>检验规则</w:t>
      </w:r>
      <w:r>
        <w:tab/>
      </w:r>
      <w:r>
        <w:fldChar w:fldCharType="begin"/>
      </w:r>
      <w:r>
        <w:instrText xml:space="preserve"> PAGEREF _Toc15640 \h </w:instrText>
      </w:r>
      <w:r>
        <w:fldChar w:fldCharType="separate"/>
      </w:r>
      <w:r>
        <w:t>14</w:t>
      </w:r>
      <w:r>
        <w:fldChar w:fldCharType="end"/>
      </w:r>
      <w:r>
        <w:fldChar w:fldCharType="end"/>
      </w:r>
    </w:p>
    <w:p w14:paraId="0371F6BB">
      <w:pPr>
        <w:pStyle w:val="38"/>
        <w:tabs>
          <w:tab w:val="right" w:leader="dot" w:pos="9123"/>
        </w:tabs>
      </w:pPr>
      <w:r>
        <w:fldChar w:fldCharType="begin"/>
      </w:r>
      <w:r>
        <w:instrText xml:space="preserve"> HYPERLINK \l "_Toc9596" </w:instrText>
      </w:r>
      <w:r>
        <w:fldChar w:fldCharType="separate"/>
      </w:r>
      <w:r>
        <w:rPr>
          <w:rFonts w:eastAsia="黑体"/>
          <w:bCs/>
          <w:szCs w:val="21"/>
        </w:rPr>
        <w:t>8 技术联络、技术培训及售后服务</w:t>
      </w:r>
      <w:r>
        <w:tab/>
      </w:r>
      <w:r>
        <w:fldChar w:fldCharType="begin"/>
      </w:r>
      <w:r>
        <w:instrText xml:space="preserve"> PAGEREF _Toc9596 \h </w:instrText>
      </w:r>
      <w:r>
        <w:fldChar w:fldCharType="separate"/>
      </w:r>
      <w:r>
        <w:t>16</w:t>
      </w:r>
      <w:r>
        <w:fldChar w:fldCharType="end"/>
      </w:r>
      <w:r>
        <w:fldChar w:fldCharType="end"/>
      </w:r>
    </w:p>
    <w:p w14:paraId="4613037A">
      <w:pPr>
        <w:pStyle w:val="49"/>
        <w:tabs>
          <w:tab w:val="right" w:leader="dot" w:pos="9123"/>
        </w:tabs>
      </w:pPr>
      <w:r>
        <w:fldChar w:fldCharType="begin"/>
      </w:r>
      <w:r>
        <w:instrText xml:space="preserve"> HYPERLINK \l "_Toc11557" </w:instrText>
      </w:r>
      <w:r>
        <w:fldChar w:fldCharType="separate"/>
      </w:r>
      <w:r>
        <w:rPr>
          <w:rFonts w:hint="eastAsia" w:ascii="黑体" w:hAnsi="黑体"/>
          <w:bCs/>
          <w:szCs w:val="21"/>
        </w:rPr>
        <w:t>8.1 技术培训</w:t>
      </w:r>
      <w:r>
        <w:tab/>
      </w:r>
      <w:r>
        <w:fldChar w:fldCharType="begin"/>
      </w:r>
      <w:r>
        <w:instrText xml:space="preserve"> PAGEREF _Toc11557 \h </w:instrText>
      </w:r>
      <w:r>
        <w:fldChar w:fldCharType="separate"/>
      </w:r>
      <w:r>
        <w:t>16</w:t>
      </w:r>
      <w:r>
        <w:fldChar w:fldCharType="end"/>
      </w:r>
      <w:r>
        <w:fldChar w:fldCharType="end"/>
      </w:r>
    </w:p>
    <w:p w14:paraId="62794B37">
      <w:pPr>
        <w:pStyle w:val="49"/>
        <w:tabs>
          <w:tab w:val="right" w:leader="dot" w:pos="9123"/>
        </w:tabs>
      </w:pPr>
      <w:r>
        <w:fldChar w:fldCharType="begin"/>
      </w:r>
      <w:r>
        <w:instrText xml:space="preserve"> HYPERLINK \l "_Toc27226" </w:instrText>
      </w:r>
      <w:r>
        <w:fldChar w:fldCharType="separate"/>
      </w:r>
      <w:r>
        <w:rPr>
          <w:rFonts w:hint="eastAsia" w:ascii="黑体" w:hAnsi="黑体"/>
          <w:bCs/>
          <w:szCs w:val="21"/>
        </w:rPr>
        <w:t>8.2 现场及远程技术服务</w:t>
      </w:r>
      <w:r>
        <w:tab/>
      </w:r>
      <w:r>
        <w:fldChar w:fldCharType="begin"/>
      </w:r>
      <w:r>
        <w:instrText xml:space="preserve"> PAGEREF _Toc27226 \h </w:instrText>
      </w:r>
      <w:r>
        <w:fldChar w:fldCharType="separate"/>
      </w:r>
      <w:r>
        <w:t>16</w:t>
      </w:r>
      <w:r>
        <w:fldChar w:fldCharType="end"/>
      </w:r>
      <w:r>
        <w:fldChar w:fldCharType="end"/>
      </w:r>
    </w:p>
    <w:p w14:paraId="62476C66">
      <w:pPr>
        <w:pStyle w:val="49"/>
        <w:tabs>
          <w:tab w:val="right" w:leader="dot" w:pos="9123"/>
        </w:tabs>
      </w:pPr>
      <w:r>
        <w:fldChar w:fldCharType="begin"/>
      </w:r>
      <w:r>
        <w:instrText xml:space="preserve"> HYPERLINK \l "_Toc12832" </w:instrText>
      </w:r>
      <w:r>
        <w:fldChar w:fldCharType="separate"/>
      </w:r>
      <w:r>
        <w:rPr>
          <w:rFonts w:ascii="黑体" w:hAnsi="黑体"/>
          <w:bCs/>
          <w:szCs w:val="21"/>
        </w:rPr>
        <w:t xml:space="preserve">8.3 </w:t>
      </w:r>
      <w:r>
        <w:rPr>
          <w:rFonts w:hint="eastAsia" w:ascii="黑体" w:hAnsi="黑体"/>
          <w:bCs/>
          <w:szCs w:val="21"/>
        </w:rPr>
        <w:t>售后服务</w:t>
      </w:r>
      <w:r>
        <w:tab/>
      </w:r>
      <w:r>
        <w:fldChar w:fldCharType="begin"/>
      </w:r>
      <w:r>
        <w:instrText xml:space="preserve"> PAGEREF _Toc12832 \h </w:instrText>
      </w:r>
      <w:r>
        <w:fldChar w:fldCharType="separate"/>
      </w:r>
      <w:r>
        <w:t>16</w:t>
      </w:r>
      <w:r>
        <w:fldChar w:fldCharType="end"/>
      </w:r>
      <w:r>
        <w:fldChar w:fldCharType="end"/>
      </w:r>
    </w:p>
    <w:p w14:paraId="691662B6">
      <w:pPr>
        <w:pStyle w:val="38"/>
        <w:tabs>
          <w:tab w:val="right" w:leader="dot" w:pos="9123"/>
        </w:tabs>
      </w:pPr>
      <w:r>
        <w:fldChar w:fldCharType="begin"/>
      </w:r>
      <w:r>
        <w:instrText xml:space="preserve"> HYPERLINK \l "_Toc10446" </w:instrText>
      </w:r>
      <w:r>
        <w:fldChar w:fldCharType="separate"/>
      </w:r>
      <w:r>
        <w:rPr>
          <w:rFonts w:eastAsia="黑体"/>
          <w:bCs/>
          <w:szCs w:val="21"/>
        </w:rPr>
        <w:t>9 标志、包装、运输、贮存</w:t>
      </w:r>
      <w:r>
        <w:tab/>
      </w:r>
      <w:r>
        <w:fldChar w:fldCharType="begin"/>
      </w:r>
      <w:r>
        <w:instrText xml:space="preserve"> PAGEREF _Toc10446 \h </w:instrText>
      </w:r>
      <w:r>
        <w:fldChar w:fldCharType="separate"/>
      </w:r>
      <w:r>
        <w:t>16</w:t>
      </w:r>
      <w:r>
        <w:fldChar w:fldCharType="end"/>
      </w:r>
      <w:r>
        <w:fldChar w:fldCharType="end"/>
      </w:r>
    </w:p>
    <w:p w14:paraId="1AD5E245">
      <w:pPr>
        <w:pStyle w:val="49"/>
        <w:tabs>
          <w:tab w:val="right" w:leader="dot" w:pos="9123"/>
        </w:tabs>
      </w:pPr>
      <w:r>
        <w:fldChar w:fldCharType="begin"/>
      </w:r>
      <w:r>
        <w:instrText xml:space="preserve"> HYPERLINK \l "_Toc13875" </w:instrText>
      </w:r>
      <w:r>
        <w:fldChar w:fldCharType="separate"/>
      </w:r>
      <w:r>
        <w:rPr>
          <w:rFonts w:ascii="黑体" w:hAnsi="黑体"/>
          <w:bCs/>
          <w:szCs w:val="21"/>
        </w:rPr>
        <w:t>9.1 包装</w:t>
      </w:r>
      <w:r>
        <w:tab/>
      </w:r>
      <w:r>
        <w:fldChar w:fldCharType="begin"/>
      </w:r>
      <w:r>
        <w:instrText xml:space="preserve"> PAGEREF _Toc13875 \h </w:instrText>
      </w:r>
      <w:r>
        <w:fldChar w:fldCharType="separate"/>
      </w:r>
      <w:r>
        <w:t>17</w:t>
      </w:r>
      <w:r>
        <w:fldChar w:fldCharType="end"/>
      </w:r>
      <w:r>
        <w:fldChar w:fldCharType="end"/>
      </w:r>
    </w:p>
    <w:p w14:paraId="1A56381A">
      <w:pPr>
        <w:pStyle w:val="49"/>
        <w:tabs>
          <w:tab w:val="right" w:leader="dot" w:pos="9123"/>
        </w:tabs>
      </w:pPr>
      <w:r>
        <w:fldChar w:fldCharType="begin"/>
      </w:r>
      <w:r>
        <w:instrText xml:space="preserve"> HYPERLINK \l "_Toc26470" </w:instrText>
      </w:r>
      <w:r>
        <w:fldChar w:fldCharType="separate"/>
      </w:r>
      <w:r>
        <w:rPr>
          <w:rFonts w:ascii="黑体" w:hAnsi="黑体"/>
          <w:bCs/>
          <w:szCs w:val="21"/>
        </w:rPr>
        <w:t>9.2</w:t>
      </w:r>
      <w:r>
        <w:rPr>
          <w:rFonts w:hint="eastAsia" w:ascii="黑体" w:hAnsi="黑体"/>
          <w:bCs/>
          <w:szCs w:val="21"/>
        </w:rPr>
        <w:t xml:space="preserve"> </w:t>
      </w:r>
      <w:r>
        <w:rPr>
          <w:rFonts w:ascii="黑体" w:hAnsi="黑体"/>
          <w:bCs/>
          <w:szCs w:val="21"/>
        </w:rPr>
        <w:t>运输</w:t>
      </w:r>
      <w:r>
        <w:tab/>
      </w:r>
      <w:r>
        <w:fldChar w:fldCharType="begin"/>
      </w:r>
      <w:r>
        <w:instrText xml:space="preserve"> PAGEREF _Toc26470 \h </w:instrText>
      </w:r>
      <w:r>
        <w:fldChar w:fldCharType="separate"/>
      </w:r>
      <w:r>
        <w:t>18</w:t>
      </w:r>
      <w:r>
        <w:fldChar w:fldCharType="end"/>
      </w:r>
      <w:r>
        <w:fldChar w:fldCharType="end"/>
      </w:r>
    </w:p>
    <w:p w14:paraId="78B2F869">
      <w:pPr>
        <w:pStyle w:val="49"/>
        <w:tabs>
          <w:tab w:val="right" w:leader="dot" w:pos="9123"/>
        </w:tabs>
      </w:pPr>
      <w:r>
        <w:fldChar w:fldCharType="begin"/>
      </w:r>
      <w:r>
        <w:instrText xml:space="preserve"> HYPERLINK \l "_Toc32409" </w:instrText>
      </w:r>
      <w:r>
        <w:fldChar w:fldCharType="separate"/>
      </w:r>
      <w:r>
        <w:rPr>
          <w:rFonts w:ascii="黑体" w:hAnsi="黑体"/>
          <w:bCs/>
          <w:szCs w:val="21"/>
        </w:rPr>
        <w:t>9.3</w:t>
      </w:r>
      <w:r>
        <w:rPr>
          <w:rFonts w:hint="eastAsia" w:ascii="黑体" w:hAnsi="黑体"/>
          <w:bCs/>
          <w:szCs w:val="21"/>
        </w:rPr>
        <w:t xml:space="preserve"> </w:t>
      </w:r>
      <w:r>
        <w:rPr>
          <w:rFonts w:ascii="黑体" w:hAnsi="黑体"/>
          <w:bCs/>
          <w:szCs w:val="21"/>
        </w:rPr>
        <w:t>组装指导</w:t>
      </w:r>
      <w:r>
        <w:tab/>
      </w:r>
      <w:r>
        <w:fldChar w:fldCharType="begin"/>
      </w:r>
      <w:r>
        <w:instrText xml:space="preserve"> PAGEREF _Toc32409 \h </w:instrText>
      </w:r>
      <w:r>
        <w:fldChar w:fldCharType="separate"/>
      </w:r>
      <w:r>
        <w:t>18</w:t>
      </w:r>
      <w:r>
        <w:fldChar w:fldCharType="end"/>
      </w:r>
      <w:r>
        <w:fldChar w:fldCharType="end"/>
      </w:r>
    </w:p>
    <w:p w14:paraId="04F0D27A">
      <w:pPr>
        <w:pStyle w:val="49"/>
        <w:tabs>
          <w:tab w:val="right" w:leader="dot" w:pos="9123"/>
        </w:tabs>
      </w:pPr>
      <w:r>
        <w:fldChar w:fldCharType="begin"/>
      </w:r>
      <w:r>
        <w:instrText xml:space="preserve"> HYPERLINK \l "_Toc21449" </w:instrText>
      </w:r>
      <w:r>
        <w:fldChar w:fldCharType="separate"/>
      </w:r>
      <w:r>
        <w:rPr>
          <w:rFonts w:ascii="黑体" w:hAnsi="黑体"/>
          <w:bCs/>
          <w:szCs w:val="21"/>
        </w:rPr>
        <w:t>9.4</w:t>
      </w:r>
      <w:r>
        <w:rPr>
          <w:rFonts w:hint="eastAsia" w:ascii="黑体" w:hAnsi="黑体"/>
          <w:bCs/>
          <w:szCs w:val="21"/>
        </w:rPr>
        <w:t xml:space="preserve"> </w:t>
      </w:r>
      <w:r>
        <w:rPr>
          <w:rFonts w:ascii="黑体" w:hAnsi="黑体"/>
          <w:bCs/>
          <w:szCs w:val="21"/>
        </w:rPr>
        <w:t>质量保证</w:t>
      </w:r>
      <w:r>
        <w:tab/>
      </w:r>
      <w:r>
        <w:fldChar w:fldCharType="begin"/>
      </w:r>
      <w:r>
        <w:instrText xml:space="preserve"> PAGEREF _Toc21449 \h </w:instrText>
      </w:r>
      <w:r>
        <w:fldChar w:fldCharType="separate"/>
      </w:r>
      <w:r>
        <w:t>18</w:t>
      </w:r>
      <w:r>
        <w:fldChar w:fldCharType="end"/>
      </w:r>
      <w:r>
        <w:fldChar w:fldCharType="end"/>
      </w:r>
    </w:p>
    <w:p w14:paraId="25C74F64">
      <w:pPr>
        <w:pStyle w:val="49"/>
        <w:tabs>
          <w:tab w:val="right" w:leader="dot" w:pos="9123"/>
        </w:tabs>
      </w:pPr>
      <w:r>
        <w:fldChar w:fldCharType="begin"/>
      </w:r>
      <w:r>
        <w:instrText xml:space="preserve"> HYPERLINK \l "_Toc29263" </w:instrText>
      </w:r>
      <w:r>
        <w:fldChar w:fldCharType="separate"/>
      </w:r>
      <w:r>
        <w:rPr>
          <w:rFonts w:hint="eastAsia" w:ascii="黑体" w:hAnsi="黑体"/>
          <w:bCs/>
          <w:szCs w:val="21"/>
        </w:rPr>
        <w:t>9.5 设备验收</w:t>
      </w:r>
      <w:r>
        <w:tab/>
      </w:r>
      <w:r>
        <w:fldChar w:fldCharType="begin"/>
      </w:r>
      <w:r>
        <w:instrText xml:space="preserve"> PAGEREF _Toc29263 \h </w:instrText>
      </w:r>
      <w:r>
        <w:fldChar w:fldCharType="separate"/>
      </w:r>
      <w:r>
        <w:t>19</w:t>
      </w:r>
      <w:r>
        <w:fldChar w:fldCharType="end"/>
      </w:r>
      <w:r>
        <w:fldChar w:fldCharType="end"/>
      </w:r>
    </w:p>
    <w:p w14:paraId="6A3D643A">
      <w:pPr>
        <w:pStyle w:val="29"/>
        <w:spacing w:line="360" w:lineRule="auto"/>
        <w:rPr>
          <w:rFonts w:ascii="Times New Roman" w:hAnsi="Times New Roman"/>
          <w:szCs w:val="21"/>
        </w:rPr>
      </w:pPr>
      <w:r>
        <w:rPr>
          <w:rFonts w:hint="eastAsia" w:ascii="黑体" w:hAnsi="黑体" w:eastAsia="黑体" w:cs="黑体"/>
          <w:b/>
          <w:bCs/>
          <w:sz w:val="24"/>
          <w:szCs w:val="24"/>
        </w:rPr>
        <w:fldChar w:fldCharType="end"/>
      </w:r>
    </w:p>
    <w:p w14:paraId="503AE80D">
      <w:pPr>
        <w:snapToGrid w:val="0"/>
        <w:spacing w:line="360" w:lineRule="auto"/>
        <w:ind w:firstLine="560"/>
        <w:outlineLvl w:val="0"/>
        <w:rPr>
          <w:szCs w:val="21"/>
        </w:rPr>
        <w:sectPr>
          <w:headerReference r:id="rId7" w:type="default"/>
          <w:footerReference r:id="rId8" w:type="default"/>
          <w:footerReference r:id="rId9" w:type="even"/>
          <w:pgSz w:w="11906" w:h="16838"/>
          <w:pgMar w:top="1418" w:right="1418" w:bottom="1418" w:left="1365" w:header="851" w:footer="992" w:gutter="0"/>
          <w:cols w:space="425" w:num="1"/>
          <w:titlePg/>
          <w:docGrid w:type="lines" w:linePitch="312" w:charSpace="0"/>
        </w:sectPr>
      </w:pPr>
    </w:p>
    <w:p w14:paraId="7EE51289">
      <w:pPr>
        <w:spacing w:line="480" w:lineRule="auto"/>
        <w:outlineLvl w:val="0"/>
        <w:rPr>
          <w:rFonts w:eastAsia="黑体"/>
          <w:b/>
          <w:bCs/>
          <w:szCs w:val="21"/>
        </w:rPr>
      </w:pPr>
      <w:bookmarkStart w:id="5" w:name="_Toc222991604"/>
      <w:bookmarkStart w:id="6" w:name="_Toc76025478"/>
      <w:bookmarkStart w:id="7" w:name="_Toc224531919"/>
      <w:bookmarkStart w:id="8" w:name="_Toc224274558"/>
      <w:bookmarkStart w:id="9" w:name="_Toc11448"/>
      <w:bookmarkStart w:id="10" w:name="_Toc23837"/>
      <w:bookmarkStart w:id="11" w:name="_Toc22168"/>
      <w:r>
        <w:rPr>
          <w:rFonts w:eastAsia="黑体"/>
          <w:b/>
          <w:bCs/>
          <w:szCs w:val="21"/>
        </w:rPr>
        <w:t>1 总则</w:t>
      </w:r>
      <w:bookmarkEnd w:id="5"/>
      <w:bookmarkEnd w:id="6"/>
      <w:bookmarkEnd w:id="7"/>
      <w:bookmarkEnd w:id="8"/>
      <w:bookmarkEnd w:id="9"/>
      <w:bookmarkEnd w:id="10"/>
      <w:bookmarkEnd w:id="11"/>
    </w:p>
    <w:p w14:paraId="35050D7A">
      <w:pPr>
        <w:pStyle w:val="29"/>
        <w:spacing w:line="360" w:lineRule="auto"/>
        <w:rPr>
          <w:rFonts w:hint="eastAsia" w:hAnsi="宋体"/>
          <w:kern w:val="0"/>
          <w:szCs w:val="21"/>
        </w:rPr>
      </w:pPr>
      <w:r>
        <w:rPr>
          <w:rFonts w:hAnsi="宋体"/>
          <w:kern w:val="0"/>
          <w:szCs w:val="21"/>
        </w:rPr>
        <w:t>1.1</w:t>
      </w:r>
      <w:r>
        <w:rPr>
          <w:rFonts w:hint="eastAsia" w:hAnsi="宋体"/>
          <w:kern w:val="0"/>
          <w:szCs w:val="21"/>
        </w:rPr>
        <w:t>本技术规范书适用于中国南方电网公司电网设备采购的旗舰重载无人机及大型农业无人机（载物无人机）设备，提出了该类装置的功能设计、结构、性能、安装和试验等方面的技术要求。</w:t>
      </w:r>
    </w:p>
    <w:p w14:paraId="1DE2D6F7">
      <w:pPr>
        <w:pStyle w:val="29"/>
        <w:spacing w:line="360" w:lineRule="auto"/>
        <w:rPr>
          <w:rFonts w:hint="eastAsia" w:hAnsi="宋体"/>
          <w:kern w:val="0"/>
          <w:szCs w:val="21"/>
        </w:rPr>
      </w:pPr>
      <w:r>
        <w:rPr>
          <w:rFonts w:hAnsi="宋体"/>
          <w:kern w:val="0"/>
          <w:szCs w:val="21"/>
        </w:rPr>
        <w:t>1.2</w:t>
      </w:r>
      <w:r>
        <w:rPr>
          <w:rFonts w:hint="eastAsia" w:hAnsi="宋体"/>
          <w:kern w:val="0"/>
          <w:szCs w:val="21"/>
        </w:rPr>
        <w:t>本技术条件提出的是最低限度的技术要求。凡本技术条件中未规定，但在相关设备的国家标准或</w:t>
      </w:r>
      <w:r>
        <w:rPr>
          <w:rFonts w:hAnsi="宋体"/>
          <w:kern w:val="0"/>
          <w:szCs w:val="21"/>
        </w:rPr>
        <w:t>IEC</w:t>
      </w:r>
      <w:r>
        <w:rPr>
          <w:rFonts w:hint="eastAsia" w:hAnsi="宋体"/>
          <w:kern w:val="0"/>
          <w:szCs w:val="21"/>
        </w:rPr>
        <w:t>标准中有规定的规范条文，投标方应按相应标准的条文进行设备设计、制造、试验和安装。对国家有关安全、环保等强制性标准，必须满足其要求。</w:t>
      </w:r>
    </w:p>
    <w:p w14:paraId="225D8CD0">
      <w:pPr>
        <w:pStyle w:val="29"/>
        <w:spacing w:line="360" w:lineRule="auto"/>
        <w:rPr>
          <w:rFonts w:hint="eastAsia" w:hAnsi="宋体"/>
          <w:kern w:val="0"/>
          <w:szCs w:val="21"/>
        </w:rPr>
      </w:pPr>
      <w:r>
        <w:rPr>
          <w:rFonts w:hAnsi="宋体"/>
          <w:kern w:val="0"/>
          <w:szCs w:val="21"/>
        </w:rPr>
        <w:t>1.3</w:t>
      </w:r>
      <w:r>
        <w:rPr>
          <w:rFonts w:hint="eastAsia" w:hAnsi="宋体"/>
          <w:kern w:val="0"/>
          <w:szCs w:val="21"/>
        </w:rPr>
        <w:t>如果投标方没有以书面形式对本规范书的条文提出异议，则意味着投标方提供的设备完全符合本规范书的要求。如有异议，不管多么微小，都应在报价书中以</w:t>
      </w:r>
      <w:r>
        <w:rPr>
          <w:rFonts w:hAnsi="宋体"/>
          <w:kern w:val="0"/>
          <w:szCs w:val="21"/>
        </w:rPr>
        <w:t>“</w:t>
      </w:r>
      <w:r>
        <w:rPr>
          <w:rFonts w:hint="eastAsia" w:hAnsi="宋体"/>
          <w:kern w:val="0"/>
          <w:szCs w:val="21"/>
        </w:rPr>
        <w:t>对规范书的意见和同规范书的差异</w:t>
      </w:r>
      <w:r>
        <w:rPr>
          <w:rFonts w:hAnsi="宋体"/>
          <w:kern w:val="0"/>
          <w:szCs w:val="21"/>
        </w:rPr>
        <w:t>”</w:t>
      </w:r>
      <w:r>
        <w:rPr>
          <w:rFonts w:hint="eastAsia" w:hAnsi="宋体"/>
          <w:kern w:val="0"/>
          <w:szCs w:val="21"/>
        </w:rPr>
        <w:t>为标题的专门章节中加以详细描述。</w:t>
      </w:r>
    </w:p>
    <w:p w14:paraId="79EFBB2F">
      <w:pPr>
        <w:pStyle w:val="29"/>
        <w:spacing w:line="360" w:lineRule="auto"/>
        <w:rPr>
          <w:rFonts w:hint="eastAsia" w:hAnsi="宋体"/>
          <w:kern w:val="0"/>
          <w:szCs w:val="21"/>
        </w:rPr>
      </w:pPr>
      <w:r>
        <w:rPr>
          <w:rFonts w:hAnsi="宋体"/>
          <w:kern w:val="0"/>
          <w:szCs w:val="21"/>
        </w:rPr>
        <w:t>1.4</w:t>
      </w:r>
      <w:r>
        <w:rPr>
          <w:rFonts w:hint="eastAsia" w:hAnsi="宋体"/>
          <w:kern w:val="0"/>
          <w:szCs w:val="21"/>
        </w:rPr>
        <w:t>本技术规范书所使用的标准如遇与投标方所执行的标准不一致时，按较高标准执行。</w:t>
      </w:r>
    </w:p>
    <w:p w14:paraId="7CED000B">
      <w:pPr>
        <w:pStyle w:val="29"/>
        <w:spacing w:line="360" w:lineRule="auto"/>
        <w:rPr>
          <w:rFonts w:hint="eastAsia" w:hAnsi="宋体"/>
          <w:kern w:val="0"/>
          <w:szCs w:val="21"/>
        </w:rPr>
      </w:pPr>
      <w:r>
        <w:rPr>
          <w:rFonts w:hAnsi="宋体"/>
          <w:kern w:val="0"/>
          <w:szCs w:val="21"/>
        </w:rPr>
        <w:t>1.</w:t>
      </w:r>
      <w:r>
        <w:rPr>
          <w:rFonts w:hint="eastAsia" w:hAnsi="宋体"/>
          <w:kern w:val="0"/>
          <w:szCs w:val="21"/>
        </w:rPr>
        <w:t>5本技术规范书经招标方、投标方双方确认后作为订货合同的技术附件，与合同正文具有同等的法律效力。</w:t>
      </w:r>
    </w:p>
    <w:p w14:paraId="2B279D82">
      <w:pPr>
        <w:pStyle w:val="29"/>
        <w:spacing w:line="360" w:lineRule="auto"/>
        <w:rPr>
          <w:rFonts w:hint="eastAsia" w:hAnsi="宋体"/>
          <w:kern w:val="0"/>
          <w:szCs w:val="21"/>
        </w:rPr>
      </w:pPr>
      <w:r>
        <w:rPr>
          <w:rFonts w:hAnsi="宋体"/>
          <w:kern w:val="0"/>
          <w:szCs w:val="21"/>
        </w:rPr>
        <w:t>1.6</w:t>
      </w:r>
      <w:r>
        <w:rPr>
          <w:rFonts w:hint="eastAsia" w:hAnsi="宋体"/>
          <w:kern w:val="0"/>
          <w:szCs w:val="21"/>
        </w:rPr>
        <w:t>投标方在应标技术条件中应如实反映应标产品与本技术条件的技术差异。如果投标方没有提出技术差异，而在执行合同的过程中，招标方发现投标方提供的产品与其应标技术规范的条文存在差异，招标方有权利要求退货，并将对下一年度的评标工作有不同程度的影响。</w:t>
      </w:r>
      <w:r>
        <w:rPr>
          <w:rFonts w:hint="eastAsia" w:hAnsi="宋体" w:cs="宋体"/>
          <w:szCs w:val="21"/>
        </w:rPr>
        <w:t>投标人投标设备的技术参数如与招标书“技术要求”不符，应在 “差异表”（附表）中如实澄清，否则视为废标。</w:t>
      </w:r>
    </w:p>
    <w:p w14:paraId="29D25347">
      <w:pPr>
        <w:pStyle w:val="29"/>
        <w:spacing w:line="360" w:lineRule="auto"/>
        <w:rPr>
          <w:rFonts w:hint="eastAsia" w:hAnsi="宋体"/>
          <w:kern w:val="0"/>
          <w:szCs w:val="21"/>
        </w:rPr>
      </w:pPr>
      <w:r>
        <w:rPr>
          <w:rFonts w:hAnsi="宋体"/>
          <w:kern w:val="0"/>
          <w:szCs w:val="21"/>
        </w:rPr>
        <w:t>1.7</w:t>
      </w:r>
      <w:r>
        <w:rPr>
          <w:rFonts w:hint="eastAsia" w:hAnsi="宋体"/>
          <w:kern w:val="0"/>
          <w:szCs w:val="21"/>
        </w:rPr>
        <w:t>投标方应在应标技术部分按本技术条件的要求如实详细的填写应标设备的标准配置表，并在应标商务部分按此标准配置进行报价，如发现二者有矛盾之处，将对评标工作有不同程度的影响。</w:t>
      </w:r>
    </w:p>
    <w:p w14:paraId="04D19679">
      <w:pPr>
        <w:pStyle w:val="29"/>
        <w:spacing w:line="360" w:lineRule="auto"/>
        <w:rPr>
          <w:rFonts w:hint="eastAsia" w:hAnsi="宋体"/>
          <w:kern w:val="0"/>
          <w:szCs w:val="21"/>
        </w:rPr>
      </w:pPr>
      <w:r>
        <w:rPr>
          <w:rFonts w:hAnsi="宋体"/>
          <w:kern w:val="0"/>
          <w:szCs w:val="21"/>
        </w:rPr>
        <w:t>1.8</w:t>
      </w:r>
      <w:r>
        <w:rPr>
          <w:rFonts w:hint="eastAsia" w:hAnsi="宋体"/>
          <w:kern w:val="0"/>
          <w:szCs w:val="21"/>
        </w:rPr>
        <w:t>投标方应充分理解本技术条件并按本技术条件的具体条款、格式要求填写应标的技术文件，如发现应标的技术文件条款、格式不符合本技术条件的要求，则认为应标不严肃，在评标时将有不同程度的扣分。</w:t>
      </w:r>
    </w:p>
    <w:p w14:paraId="778664F7">
      <w:pPr>
        <w:pStyle w:val="29"/>
        <w:spacing w:line="360" w:lineRule="auto"/>
        <w:rPr>
          <w:rFonts w:hint="eastAsia" w:hAnsi="宋体"/>
          <w:kern w:val="0"/>
          <w:szCs w:val="21"/>
        </w:rPr>
      </w:pPr>
      <w:r>
        <w:rPr>
          <w:rFonts w:hint="eastAsia" w:hAnsi="宋体" w:cs="宋体"/>
          <w:szCs w:val="21"/>
        </w:rPr>
        <w:t>投标人应按照本技术条件书中的要求提供相应文件及响应，如文件不全或不响应，应视为废标。</w:t>
      </w:r>
    </w:p>
    <w:p w14:paraId="79DC3CBB">
      <w:pPr>
        <w:pStyle w:val="29"/>
        <w:spacing w:line="360" w:lineRule="auto"/>
        <w:rPr>
          <w:rFonts w:hint="eastAsia" w:hAnsi="宋体"/>
          <w:kern w:val="0"/>
          <w:szCs w:val="21"/>
        </w:rPr>
      </w:pPr>
      <w:r>
        <w:rPr>
          <w:rFonts w:hAnsi="宋体"/>
          <w:kern w:val="0"/>
          <w:szCs w:val="21"/>
        </w:rPr>
        <w:t>1.9</w:t>
      </w:r>
      <w:r>
        <w:rPr>
          <w:rFonts w:hint="eastAsia" w:hAnsi="宋体"/>
          <w:kern w:val="0"/>
          <w:szCs w:val="21"/>
        </w:rPr>
        <w:t>本技术规范书未尽事宜，由招标方、投标方双方协商确定。</w:t>
      </w:r>
    </w:p>
    <w:p w14:paraId="1112CC72">
      <w:pPr>
        <w:pStyle w:val="29"/>
        <w:spacing w:line="360" w:lineRule="auto"/>
        <w:rPr>
          <w:rFonts w:hint="eastAsia" w:hAnsi="宋体"/>
          <w:kern w:val="0"/>
          <w:szCs w:val="21"/>
        </w:rPr>
      </w:pPr>
      <w:r>
        <w:rPr>
          <w:rFonts w:hAnsi="宋体"/>
          <w:kern w:val="0"/>
          <w:szCs w:val="21"/>
        </w:rPr>
        <w:t>1.10</w:t>
      </w:r>
      <w:r>
        <w:rPr>
          <w:rFonts w:hint="eastAsia" w:hAnsi="宋体"/>
          <w:kern w:val="0"/>
          <w:szCs w:val="21"/>
        </w:rPr>
        <w:t>投标方应提供不少于1年的产品质量保证期。</w:t>
      </w:r>
    </w:p>
    <w:p w14:paraId="1939E44B">
      <w:pPr>
        <w:spacing w:line="360" w:lineRule="auto"/>
        <w:rPr>
          <w:rFonts w:hint="eastAsia" w:ascii="宋体" w:hAnsi="宋体" w:cs="宋体"/>
          <w:szCs w:val="21"/>
        </w:rPr>
      </w:pPr>
      <w:r>
        <w:rPr>
          <w:rFonts w:hint="eastAsia" w:ascii="宋体" w:hAnsi="宋体" w:cs="宋体"/>
          <w:szCs w:val="21"/>
        </w:rPr>
        <w:t>1.11投标人负责提供投标设备的现场测试、调试工作，如向第三方外购设备或配件时，投标人应对质量负责。</w:t>
      </w:r>
    </w:p>
    <w:p w14:paraId="5CF7D188">
      <w:pPr>
        <w:spacing w:line="360" w:lineRule="auto"/>
        <w:rPr>
          <w:rFonts w:hint="eastAsia" w:ascii="宋体" w:hAnsi="宋体" w:cs="宋体"/>
          <w:szCs w:val="21"/>
        </w:rPr>
      </w:pPr>
      <w:r>
        <w:rPr>
          <w:rFonts w:hint="eastAsia" w:ascii="宋体" w:hAnsi="宋体" w:cs="宋体"/>
          <w:szCs w:val="21"/>
        </w:rPr>
        <w:t>1.12投标人应负责为上述设备提供设备参数、培训、技术服务、质量保证等各方面工作。并提供不低于所供产品技术要求的证书及试验报告。</w:t>
      </w:r>
    </w:p>
    <w:p w14:paraId="2A2E48C4">
      <w:pPr>
        <w:spacing w:line="360" w:lineRule="auto"/>
        <w:rPr>
          <w:rFonts w:hint="eastAsia" w:ascii="宋体" w:hAnsi="宋体" w:cs="宋体"/>
          <w:szCs w:val="21"/>
        </w:rPr>
      </w:pPr>
      <w:r>
        <w:rPr>
          <w:rFonts w:hint="eastAsia" w:ascii="宋体" w:hAnsi="宋体" w:cs="宋体"/>
          <w:szCs w:val="21"/>
        </w:rPr>
        <w:t>1.13投标人投标设备应在工厂内通过完善、严格的测试检验。</w:t>
      </w:r>
    </w:p>
    <w:p w14:paraId="4CAA526E">
      <w:pPr>
        <w:spacing w:line="360" w:lineRule="auto"/>
        <w:rPr>
          <w:rFonts w:hint="eastAsia" w:ascii="宋体" w:hAnsi="宋体" w:cs="宋体"/>
          <w:szCs w:val="21"/>
        </w:rPr>
      </w:pPr>
      <w:r>
        <w:rPr>
          <w:rFonts w:hint="eastAsia" w:ascii="宋体" w:hAnsi="宋体" w:cs="宋体"/>
          <w:szCs w:val="21"/>
        </w:rPr>
        <w:t>1.14所有资料、文件、图纸要求以中文书写（原厂商的资料如果有英文资料则需要将其附带），所有计算、说明、图纸、文件、手册等采用国际单位制。</w:t>
      </w:r>
    </w:p>
    <w:p w14:paraId="3D292DE3">
      <w:pPr>
        <w:pStyle w:val="29"/>
        <w:spacing w:line="360" w:lineRule="auto"/>
        <w:rPr>
          <w:rFonts w:hint="eastAsia" w:hAnsi="宋体"/>
          <w:kern w:val="0"/>
          <w:szCs w:val="21"/>
        </w:rPr>
      </w:pPr>
      <w:r>
        <w:rPr>
          <w:rFonts w:hint="eastAsia" w:hAnsi="宋体" w:cs="宋体"/>
          <w:szCs w:val="21"/>
        </w:rPr>
        <w:t>1.15本技术规范书的解释权属于南方电网通用航空服务有限公司。技术规范书未经南方电网通用航空服务有限公司同意，任何个人和单位不得做出任何修改。</w:t>
      </w:r>
    </w:p>
    <w:p w14:paraId="6FD234D4">
      <w:pPr>
        <w:spacing w:line="480" w:lineRule="auto"/>
        <w:outlineLvl w:val="0"/>
        <w:rPr>
          <w:rFonts w:eastAsia="黑体"/>
          <w:b/>
          <w:bCs/>
          <w:szCs w:val="21"/>
        </w:rPr>
      </w:pPr>
      <w:bookmarkStart w:id="12" w:name="_Toc23296"/>
      <w:bookmarkStart w:id="13" w:name="_Toc21667"/>
      <w:bookmarkStart w:id="14" w:name="_Toc76025479"/>
      <w:bookmarkStart w:id="15" w:name="_Toc4714"/>
      <w:bookmarkStart w:id="16" w:name="_Toc222991605"/>
      <w:r>
        <w:rPr>
          <w:rFonts w:eastAsia="黑体"/>
          <w:b/>
          <w:bCs/>
          <w:szCs w:val="21"/>
        </w:rPr>
        <w:t>2 工作范围</w:t>
      </w:r>
      <w:bookmarkEnd w:id="12"/>
      <w:bookmarkEnd w:id="13"/>
      <w:bookmarkEnd w:id="14"/>
      <w:bookmarkEnd w:id="15"/>
      <w:bookmarkEnd w:id="16"/>
    </w:p>
    <w:p w14:paraId="6E41A146">
      <w:pPr>
        <w:pStyle w:val="3"/>
        <w:spacing w:before="0" w:after="0" w:line="360" w:lineRule="auto"/>
        <w:rPr>
          <w:rFonts w:hint="eastAsia" w:ascii="黑体" w:hAnsi="黑体"/>
          <w:b w:val="0"/>
          <w:bCs/>
          <w:szCs w:val="21"/>
        </w:rPr>
      </w:pPr>
      <w:bookmarkStart w:id="17" w:name="_Toc222991606"/>
      <w:bookmarkStart w:id="18" w:name="_Toc28530"/>
      <w:bookmarkStart w:id="19" w:name="_Toc11781"/>
      <w:bookmarkStart w:id="20" w:name="_Toc76025480"/>
      <w:bookmarkStart w:id="21" w:name="_Toc9786"/>
      <w:r>
        <w:rPr>
          <w:rFonts w:ascii="黑体" w:hAnsi="黑体"/>
          <w:b w:val="0"/>
          <w:bCs/>
          <w:szCs w:val="21"/>
        </w:rPr>
        <w:t xml:space="preserve">2.1 </w:t>
      </w:r>
      <w:r>
        <w:rPr>
          <w:rFonts w:hint="eastAsia" w:ascii="黑体" w:hAnsi="黑体"/>
          <w:b w:val="0"/>
          <w:bCs/>
          <w:szCs w:val="21"/>
        </w:rPr>
        <w:t>供货范围</w:t>
      </w:r>
      <w:bookmarkEnd w:id="17"/>
      <w:bookmarkEnd w:id="18"/>
      <w:bookmarkEnd w:id="19"/>
      <w:bookmarkEnd w:id="20"/>
      <w:bookmarkEnd w:id="21"/>
    </w:p>
    <w:p w14:paraId="66D4E8CC">
      <w:pPr>
        <w:spacing w:line="360" w:lineRule="auto"/>
        <w:ind w:left="210" w:firstLine="210"/>
        <w:rPr>
          <w:szCs w:val="21"/>
        </w:rPr>
      </w:pPr>
      <w:r>
        <w:rPr>
          <w:szCs w:val="21"/>
        </w:rPr>
        <w:t>合同供货范围为</w:t>
      </w:r>
      <w:r>
        <w:rPr>
          <w:rFonts w:hint="eastAsia"/>
          <w:kern w:val="0"/>
          <w:szCs w:val="21"/>
        </w:rPr>
        <w:t>旗舰重载无人机及大型农业无人机（载物无人机）</w:t>
      </w:r>
      <w:r>
        <w:rPr>
          <w:szCs w:val="21"/>
        </w:rPr>
        <w:t>，详见专用部分附表2.2。</w:t>
      </w:r>
    </w:p>
    <w:p w14:paraId="10F3C962">
      <w:pPr>
        <w:pStyle w:val="3"/>
        <w:spacing w:before="0" w:after="0" w:line="360" w:lineRule="auto"/>
        <w:rPr>
          <w:rFonts w:hint="eastAsia" w:ascii="黑体" w:hAnsi="黑体"/>
          <w:b w:val="0"/>
          <w:bCs/>
          <w:szCs w:val="21"/>
        </w:rPr>
      </w:pPr>
      <w:bookmarkStart w:id="22" w:name="_Toc23836"/>
      <w:bookmarkStart w:id="23" w:name="_Toc222991607"/>
      <w:bookmarkStart w:id="24" w:name="_Toc26638"/>
      <w:bookmarkStart w:id="25" w:name="_Toc76025481"/>
      <w:bookmarkStart w:id="26" w:name="_Toc27040"/>
      <w:r>
        <w:rPr>
          <w:rFonts w:ascii="黑体" w:hAnsi="黑体"/>
          <w:b w:val="0"/>
          <w:bCs/>
          <w:szCs w:val="21"/>
        </w:rPr>
        <w:t xml:space="preserve">2.2 </w:t>
      </w:r>
      <w:r>
        <w:rPr>
          <w:rFonts w:hint="eastAsia" w:ascii="黑体" w:hAnsi="黑体"/>
          <w:b w:val="0"/>
          <w:bCs/>
          <w:szCs w:val="21"/>
        </w:rPr>
        <w:t>服务界限</w:t>
      </w:r>
      <w:bookmarkEnd w:id="22"/>
      <w:bookmarkEnd w:id="23"/>
      <w:bookmarkEnd w:id="24"/>
      <w:bookmarkEnd w:id="25"/>
      <w:bookmarkEnd w:id="26"/>
    </w:p>
    <w:p w14:paraId="73815DF6">
      <w:pPr>
        <w:adjustRightInd w:val="0"/>
        <w:snapToGrid w:val="0"/>
        <w:spacing w:line="360" w:lineRule="auto"/>
        <w:ind w:firstLine="424" w:firstLineChars="202"/>
        <w:rPr>
          <w:rFonts w:eastAsia="方正书宋简体"/>
          <w:szCs w:val="21"/>
        </w:rPr>
      </w:pPr>
      <w:r>
        <w:rPr>
          <w:rFonts w:eastAsia="方正书宋简体"/>
          <w:szCs w:val="21"/>
        </w:rPr>
        <w:t>1） 本技术规范书适用于</w:t>
      </w:r>
      <w:r>
        <w:rPr>
          <w:rFonts w:hint="eastAsia" w:eastAsia="方正书宋简体"/>
          <w:szCs w:val="21"/>
        </w:rPr>
        <w:t>旗舰重载无人机及大型农业无人机（载物无人机）</w:t>
      </w:r>
      <w:r>
        <w:rPr>
          <w:rFonts w:hint="eastAsia"/>
          <w:kern w:val="0"/>
          <w:szCs w:val="21"/>
        </w:rPr>
        <w:t>设备</w:t>
      </w:r>
      <w:r>
        <w:rPr>
          <w:szCs w:val="21"/>
        </w:rPr>
        <w:t>的设计</w:t>
      </w:r>
      <w:r>
        <w:rPr>
          <w:rFonts w:hint="eastAsia"/>
          <w:szCs w:val="21"/>
        </w:rPr>
        <w:t>、</w:t>
      </w:r>
      <w:r>
        <w:rPr>
          <w:szCs w:val="21"/>
        </w:rPr>
        <w:t>制造</w:t>
      </w:r>
      <w:r>
        <w:rPr>
          <w:rFonts w:hint="eastAsia"/>
          <w:szCs w:val="21"/>
        </w:rPr>
        <w:t>、</w:t>
      </w:r>
      <w:r>
        <w:rPr>
          <w:szCs w:val="21"/>
        </w:rPr>
        <w:t>装配</w:t>
      </w:r>
      <w:r>
        <w:rPr>
          <w:rFonts w:hint="eastAsia"/>
          <w:szCs w:val="21"/>
        </w:rPr>
        <w:t>、</w:t>
      </w:r>
      <w:r>
        <w:rPr>
          <w:szCs w:val="21"/>
        </w:rPr>
        <w:t>工厂试验</w:t>
      </w:r>
      <w:r>
        <w:rPr>
          <w:rFonts w:hint="eastAsia"/>
          <w:szCs w:val="21"/>
        </w:rPr>
        <w:t>、</w:t>
      </w:r>
      <w:r>
        <w:rPr>
          <w:szCs w:val="21"/>
        </w:rPr>
        <w:t>交付</w:t>
      </w:r>
      <w:r>
        <w:rPr>
          <w:rFonts w:hint="eastAsia"/>
          <w:szCs w:val="21"/>
        </w:rPr>
        <w:t>、</w:t>
      </w:r>
      <w:r>
        <w:rPr>
          <w:szCs w:val="21"/>
        </w:rPr>
        <w:t>现场安装和试验的指导、监督以及试运行工作</w:t>
      </w:r>
      <w:r>
        <w:rPr>
          <w:rFonts w:eastAsia="方正书宋简体"/>
          <w:szCs w:val="21"/>
        </w:rPr>
        <w:t>。</w:t>
      </w:r>
    </w:p>
    <w:p w14:paraId="44FE8A66">
      <w:pPr>
        <w:adjustRightInd w:val="0"/>
        <w:snapToGrid w:val="0"/>
        <w:spacing w:line="360" w:lineRule="auto"/>
        <w:ind w:firstLine="424" w:firstLineChars="202"/>
        <w:rPr>
          <w:szCs w:val="21"/>
        </w:rPr>
      </w:pPr>
      <w:r>
        <w:rPr>
          <w:rFonts w:eastAsia="方正书宋简体"/>
          <w:szCs w:val="21"/>
        </w:rPr>
        <w:t>2）本技术规范书未说明，但又与设计、制造、装配、试验、运输、包装、保管、安装和运行维护有关的技术要求，按条款3所规定的有关标准执行。</w:t>
      </w:r>
    </w:p>
    <w:p w14:paraId="74103169">
      <w:pPr>
        <w:pStyle w:val="3"/>
        <w:spacing w:before="0" w:after="0" w:line="360" w:lineRule="auto"/>
        <w:rPr>
          <w:rFonts w:hint="eastAsia" w:ascii="黑体" w:hAnsi="黑体"/>
          <w:b w:val="0"/>
          <w:bCs/>
          <w:szCs w:val="21"/>
        </w:rPr>
      </w:pPr>
      <w:bookmarkStart w:id="27" w:name="_Toc31326"/>
      <w:bookmarkStart w:id="28" w:name="_Toc19342"/>
      <w:bookmarkStart w:id="29" w:name="_Toc76025482"/>
      <w:bookmarkStart w:id="30" w:name="_Toc222991608"/>
      <w:bookmarkStart w:id="31" w:name="_Toc27859"/>
      <w:r>
        <w:rPr>
          <w:rFonts w:ascii="黑体" w:hAnsi="黑体"/>
          <w:b w:val="0"/>
          <w:bCs/>
          <w:szCs w:val="21"/>
        </w:rPr>
        <w:t xml:space="preserve">2.3 </w:t>
      </w:r>
      <w:r>
        <w:rPr>
          <w:rFonts w:hint="eastAsia" w:ascii="黑体" w:hAnsi="黑体"/>
          <w:b w:val="0"/>
          <w:bCs/>
          <w:szCs w:val="21"/>
        </w:rPr>
        <w:t>技术文件</w:t>
      </w:r>
      <w:bookmarkEnd w:id="27"/>
      <w:bookmarkEnd w:id="28"/>
      <w:bookmarkEnd w:id="29"/>
      <w:bookmarkEnd w:id="30"/>
      <w:bookmarkEnd w:id="31"/>
    </w:p>
    <w:p w14:paraId="2C44787D">
      <w:pPr>
        <w:pStyle w:val="451"/>
        <w:adjustRightInd w:val="0"/>
        <w:snapToGrid w:val="0"/>
        <w:spacing w:line="360" w:lineRule="auto"/>
        <w:ind w:firstLine="424" w:firstLineChars="202"/>
        <w:rPr>
          <w:rFonts w:cs="Times New Roman"/>
          <w:szCs w:val="21"/>
        </w:rPr>
      </w:pPr>
      <w:bookmarkStart w:id="32" w:name="_Toc81989605"/>
      <w:bookmarkStart w:id="33" w:name="_Toc82140158"/>
      <w:r>
        <w:rPr>
          <w:rFonts w:cs="Times New Roman"/>
          <w:szCs w:val="21"/>
        </w:rPr>
        <w:t>1）投标方应按本技术规范书的要求提供全新的、合格的</w:t>
      </w:r>
      <w:r>
        <w:rPr>
          <w:rFonts w:hint="eastAsia" w:cs="Times New Roman"/>
          <w:szCs w:val="21"/>
        </w:rPr>
        <w:t>旗舰重载无人机及大型农业无人机（载物无人机）</w:t>
      </w:r>
      <w:r>
        <w:rPr>
          <w:rFonts w:eastAsia="宋体" w:cs="Times New Roman"/>
          <w:szCs w:val="21"/>
        </w:rPr>
        <w:t>及其附属设备、备品备件、专用工具和仪器。</w:t>
      </w:r>
    </w:p>
    <w:p w14:paraId="59CF2A40">
      <w:pPr>
        <w:pStyle w:val="451"/>
        <w:adjustRightInd w:val="0"/>
        <w:snapToGrid w:val="0"/>
        <w:spacing w:line="360" w:lineRule="auto"/>
        <w:ind w:firstLine="424" w:firstLineChars="202"/>
        <w:rPr>
          <w:rFonts w:cs="Times New Roman"/>
          <w:szCs w:val="21"/>
        </w:rPr>
      </w:pPr>
      <w:r>
        <w:rPr>
          <w:rFonts w:cs="Times New Roman"/>
          <w:szCs w:val="21"/>
        </w:rPr>
        <w:t>2）投标方所提供的组件或附件如需向第三方外购时，投标方应对质量向招标方负责，并提供相应出厂和验收证明。</w:t>
      </w:r>
    </w:p>
    <w:p w14:paraId="7B94C717">
      <w:pPr>
        <w:pStyle w:val="451"/>
        <w:adjustRightInd w:val="0"/>
        <w:snapToGrid w:val="0"/>
        <w:spacing w:line="360" w:lineRule="auto"/>
        <w:ind w:firstLine="424" w:firstLineChars="202"/>
        <w:rPr>
          <w:rFonts w:cs="Times New Roman"/>
          <w:szCs w:val="21"/>
        </w:rPr>
      </w:pPr>
      <w:r>
        <w:rPr>
          <w:rFonts w:cs="Times New Roman"/>
          <w:szCs w:val="21"/>
        </w:rPr>
        <w:t>3）工厂试验由投标方在生产厂家内完成, 但应有招标方代表参加, 参加工厂验收的人数及天数等根据招标方需要由招投标双方协商进行确定。</w:t>
      </w:r>
    </w:p>
    <w:p w14:paraId="15A6C880">
      <w:pPr>
        <w:pStyle w:val="451"/>
        <w:adjustRightInd w:val="0"/>
        <w:snapToGrid w:val="0"/>
        <w:spacing w:line="360" w:lineRule="auto"/>
        <w:ind w:firstLine="424" w:firstLineChars="202"/>
        <w:rPr>
          <w:rFonts w:cs="Times New Roman"/>
          <w:szCs w:val="21"/>
        </w:rPr>
      </w:pPr>
      <w:r>
        <w:rPr>
          <w:rFonts w:cs="Times New Roman"/>
          <w:szCs w:val="21"/>
        </w:rPr>
        <w:t>4）</w:t>
      </w:r>
      <w:r>
        <w:rPr>
          <w:rFonts w:hint="eastAsia"/>
          <w:szCs w:val="21"/>
        </w:rPr>
        <w:t>装置从生产厂家到安装位置的运输全部由投标方完成，现场调试和安装在招标方指导下由投标方完成</w:t>
      </w:r>
      <w:r>
        <w:t>。</w:t>
      </w:r>
      <w:r>
        <w:rPr>
          <w:rFonts w:cs="Times New Roman"/>
          <w:szCs w:val="21"/>
        </w:rPr>
        <w:t>, 投标方协助招标方按标准检查安装质量, 处理调试投运过程中出现的问题，并提供备品、备件，做好销售服务工作。投标方应选派有经验的技术人员，对安装和运行人员免费培训。安装指导及培训的工作范围及人数和天数等根据招标方需要由招投标双方协商进行确定。</w:t>
      </w:r>
    </w:p>
    <w:p w14:paraId="3A6695D1">
      <w:pPr>
        <w:pStyle w:val="451"/>
        <w:adjustRightInd w:val="0"/>
        <w:snapToGrid w:val="0"/>
        <w:spacing w:line="360" w:lineRule="auto"/>
        <w:ind w:firstLine="424" w:firstLineChars="202"/>
        <w:rPr>
          <w:rFonts w:cs="Times New Roman"/>
          <w:szCs w:val="21"/>
        </w:rPr>
      </w:pPr>
      <w:r>
        <w:rPr>
          <w:rFonts w:cs="Times New Roman"/>
          <w:szCs w:val="21"/>
        </w:rPr>
        <w:t>5）投标方应协助招标方解决设备运行中出现的问题。并及时排除故障恢复运行。投标方应免费提供远程技术服务，远程技术服务项目期限不受限于保修期，远程技术服务在设备报废前有效。</w:t>
      </w:r>
    </w:p>
    <w:p w14:paraId="0C8E3910">
      <w:pPr>
        <w:pStyle w:val="3"/>
      </w:pPr>
      <w:bookmarkStart w:id="34" w:name="_Toc27905"/>
      <w:bookmarkStart w:id="35" w:name="_Toc222991609"/>
      <w:bookmarkStart w:id="36" w:name="_Toc6217"/>
      <w:bookmarkStart w:id="37" w:name="_Toc30637"/>
      <w:r>
        <w:rPr>
          <w:rFonts w:hint="eastAsia"/>
        </w:rPr>
        <w:t>技术文件的组成</w:t>
      </w:r>
      <w:bookmarkEnd w:id="34"/>
      <w:bookmarkEnd w:id="35"/>
      <w:bookmarkEnd w:id="36"/>
      <w:bookmarkEnd w:id="37"/>
    </w:p>
    <w:p w14:paraId="472FCEE3">
      <w:pPr>
        <w:numPr>
          <w:ilvl w:val="255"/>
          <w:numId w:val="0"/>
        </w:numPr>
        <w:suppressAutoHyphens/>
        <w:spacing w:line="360" w:lineRule="auto"/>
        <w:rPr>
          <w:rFonts w:hint="eastAsia" w:ascii="宋体" w:hAnsi="宋体" w:cs="宋体"/>
          <w:szCs w:val="21"/>
        </w:rPr>
      </w:pPr>
      <w:r>
        <w:rPr>
          <w:rFonts w:hint="eastAsia" w:ascii="宋体" w:hAnsi="宋体" w:cs="宋体"/>
          <w:szCs w:val="21"/>
        </w:rPr>
        <w:t>1.投标设备的详细供货清单</w:t>
      </w:r>
    </w:p>
    <w:p w14:paraId="1020BD86">
      <w:pPr>
        <w:numPr>
          <w:ilvl w:val="255"/>
          <w:numId w:val="0"/>
        </w:numPr>
        <w:suppressAutoHyphens/>
        <w:spacing w:line="360" w:lineRule="auto"/>
        <w:rPr>
          <w:rFonts w:hint="eastAsia" w:ascii="宋体" w:hAnsi="宋体" w:cs="宋体"/>
          <w:szCs w:val="21"/>
        </w:rPr>
      </w:pPr>
      <w:r>
        <w:rPr>
          <w:rFonts w:hint="eastAsia" w:ascii="宋体" w:hAnsi="宋体" w:cs="宋体"/>
          <w:szCs w:val="21"/>
        </w:rPr>
        <w:t>2.技术应答书，应逐条“点对点”回应本标书的技术规范；</w:t>
      </w:r>
    </w:p>
    <w:p w14:paraId="5313761A">
      <w:pPr>
        <w:numPr>
          <w:ilvl w:val="255"/>
          <w:numId w:val="0"/>
        </w:numPr>
        <w:suppressAutoHyphens/>
        <w:spacing w:line="360" w:lineRule="auto"/>
        <w:rPr>
          <w:rFonts w:hint="eastAsia" w:ascii="宋体" w:hAnsi="宋体" w:cs="宋体"/>
          <w:szCs w:val="21"/>
        </w:rPr>
      </w:pPr>
      <w:r>
        <w:rPr>
          <w:rFonts w:hint="eastAsia" w:ascii="宋体" w:hAnsi="宋体" w:cs="宋体"/>
          <w:szCs w:val="21"/>
        </w:rPr>
        <w:t>3.差异表（格式见附表）；</w:t>
      </w:r>
    </w:p>
    <w:p w14:paraId="2CA694AB">
      <w:pPr>
        <w:numPr>
          <w:ilvl w:val="255"/>
          <w:numId w:val="0"/>
        </w:numPr>
        <w:suppressAutoHyphens/>
        <w:spacing w:line="360" w:lineRule="auto"/>
        <w:rPr>
          <w:rFonts w:hint="eastAsia" w:ascii="宋体" w:hAnsi="宋体" w:cs="宋体"/>
          <w:szCs w:val="21"/>
        </w:rPr>
      </w:pPr>
      <w:r>
        <w:rPr>
          <w:rFonts w:hint="eastAsia" w:ascii="宋体" w:hAnsi="宋体" w:cs="宋体"/>
          <w:szCs w:val="21"/>
        </w:rPr>
        <w:t>4.售后服务保证相关证书，包括产品合格证书、产品三包凭证和保修卡；</w:t>
      </w:r>
    </w:p>
    <w:p w14:paraId="0DA23A11">
      <w:pPr>
        <w:numPr>
          <w:ilvl w:val="255"/>
          <w:numId w:val="0"/>
        </w:numPr>
        <w:suppressAutoHyphens/>
        <w:spacing w:line="360" w:lineRule="auto"/>
        <w:rPr>
          <w:rFonts w:hint="eastAsia" w:ascii="宋体" w:hAnsi="宋体" w:cs="宋体"/>
          <w:szCs w:val="21"/>
        </w:rPr>
      </w:pPr>
      <w:r>
        <w:rPr>
          <w:rFonts w:hint="eastAsia" w:ascii="宋体" w:hAnsi="宋体" w:cs="宋体"/>
          <w:szCs w:val="21"/>
        </w:rPr>
        <w:t>5.产品出厂检测报告；</w:t>
      </w:r>
    </w:p>
    <w:p w14:paraId="239A5EC4">
      <w:pPr>
        <w:pStyle w:val="451"/>
        <w:adjustRightInd w:val="0"/>
        <w:snapToGrid w:val="0"/>
        <w:spacing w:line="360" w:lineRule="auto"/>
        <w:ind w:firstLine="0" w:firstLineChars="0"/>
        <w:rPr>
          <w:rFonts w:cs="Times New Roman"/>
          <w:szCs w:val="21"/>
        </w:rPr>
      </w:pPr>
      <w:r>
        <w:rPr>
          <w:rFonts w:hint="eastAsia" w:ascii="宋体" w:hAnsi="宋体" w:eastAsia="宋体"/>
          <w:szCs w:val="21"/>
        </w:rPr>
        <w:t>6.提供中文操作手册和维护手册。</w:t>
      </w:r>
    </w:p>
    <w:p w14:paraId="74324EB4">
      <w:pPr>
        <w:spacing w:line="480" w:lineRule="auto"/>
        <w:outlineLvl w:val="0"/>
        <w:rPr>
          <w:rFonts w:eastAsia="黑体"/>
          <w:b/>
          <w:bCs/>
          <w:szCs w:val="21"/>
        </w:rPr>
      </w:pPr>
      <w:bookmarkStart w:id="38" w:name="_Toc26216"/>
      <w:bookmarkStart w:id="39" w:name="_Toc3627"/>
      <w:bookmarkStart w:id="40" w:name="_Toc76025483"/>
      <w:bookmarkStart w:id="41" w:name="_Toc222991610"/>
      <w:bookmarkStart w:id="42" w:name="_Toc964"/>
      <w:r>
        <w:rPr>
          <w:rFonts w:eastAsia="黑体"/>
          <w:b/>
          <w:bCs/>
          <w:szCs w:val="21"/>
        </w:rPr>
        <w:t>3 应遵循的主要标准</w:t>
      </w:r>
      <w:bookmarkEnd w:id="32"/>
      <w:bookmarkEnd w:id="33"/>
      <w:bookmarkEnd w:id="38"/>
      <w:bookmarkEnd w:id="39"/>
      <w:bookmarkEnd w:id="40"/>
      <w:bookmarkEnd w:id="41"/>
      <w:bookmarkEnd w:id="42"/>
    </w:p>
    <w:p w14:paraId="490256DC">
      <w:pPr>
        <w:pStyle w:val="451"/>
        <w:adjustRightInd w:val="0"/>
        <w:snapToGrid w:val="0"/>
        <w:spacing w:line="360" w:lineRule="auto"/>
        <w:rPr>
          <w:rFonts w:cs="Times New Roman"/>
          <w:szCs w:val="21"/>
        </w:rPr>
      </w:pPr>
      <w:bookmarkStart w:id="43" w:name="_Toc282993250"/>
      <w:bookmarkStart w:id="44" w:name="_Toc384340981"/>
      <w:r>
        <w:rPr>
          <w:rFonts w:cs="Times New Roman"/>
          <w:szCs w:val="21"/>
        </w:rPr>
        <w:t>除本技术规范书特殊规定外, 投标方所提供的设备均按规定的标准和规程的最新版本进行设计、制造、试验和安装。如果这些标准内容有矛盾时, 应按最高标准的条款执行或按双方商定的标准执行。如果投标方选用本技术规范书规定以外的标准时, 则需提交这种替换标准供审查和分析。仅在投标方已证明替换标准相当或优于技术规范书规定的标准, 并从招标方处获得书面的认可才能使用。提交供审查的标准应为中文或英文版本。</w:t>
      </w:r>
      <w:r>
        <w:rPr>
          <w:rFonts w:hint="eastAsia" w:cs="Times New Roman"/>
          <w:szCs w:val="21"/>
        </w:rPr>
        <w:t>凡是未注明日期的引用标准，其最新版适用于本技术规范书。</w:t>
      </w:r>
      <w:r>
        <w:rPr>
          <w:rFonts w:cs="Times New Roman"/>
          <w:szCs w:val="21"/>
        </w:rPr>
        <w:t>主要引用标准如下：</w:t>
      </w:r>
    </w:p>
    <w:p w14:paraId="79CB1F58">
      <w:pPr>
        <w:snapToGrid w:val="0"/>
        <w:spacing w:line="360" w:lineRule="auto"/>
        <w:ind w:firstLine="420" w:firstLineChars="200"/>
        <w:rPr>
          <w:szCs w:val="21"/>
        </w:rPr>
      </w:pPr>
      <w:r>
        <w:rPr>
          <w:rFonts w:hint="eastAsia"/>
          <w:szCs w:val="21"/>
        </w:rPr>
        <w:t>GB 4208-2017</w:t>
      </w:r>
      <w:r>
        <w:rPr>
          <w:rFonts w:hint="eastAsia"/>
          <w:szCs w:val="21"/>
        </w:rPr>
        <w:tab/>
      </w:r>
      <w:r>
        <w:rPr>
          <w:rFonts w:hint="eastAsia"/>
          <w:szCs w:val="21"/>
        </w:rPr>
        <w:tab/>
      </w:r>
      <w:r>
        <w:rPr>
          <w:rFonts w:hint="eastAsia"/>
          <w:szCs w:val="21"/>
        </w:rPr>
        <w:t>外壳防护等级（IP代码）</w:t>
      </w:r>
      <w:r>
        <w:rPr>
          <w:rFonts w:hint="eastAsia"/>
          <w:szCs w:val="21"/>
        </w:rPr>
        <w:tab/>
      </w:r>
    </w:p>
    <w:p w14:paraId="007E629E">
      <w:pPr>
        <w:snapToGrid w:val="0"/>
        <w:spacing w:line="360" w:lineRule="auto"/>
        <w:ind w:firstLine="420" w:firstLineChars="200"/>
        <w:rPr>
          <w:szCs w:val="21"/>
        </w:rPr>
      </w:pPr>
      <w:r>
        <w:rPr>
          <w:rFonts w:hint="eastAsia"/>
          <w:szCs w:val="21"/>
        </w:rPr>
        <w:t>GB/T 191-2008</w:t>
      </w:r>
      <w:r>
        <w:rPr>
          <w:rFonts w:hint="eastAsia"/>
          <w:szCs w:val="21"/>
        </w:rPr>
        <w:tab/>
      </w:r>
      <w:r>
        <w:rPr>
          <w:rFonts w:hint="eastAsia"/>
          <w:szCs w:val="21"/>
        </w:rPr>
        <w:t>包装储运图示标志</w:t>
      </w:r>
    </w:p>
    <w:p w14:paraId="0B99ED64">
      <w:pPr>
        <w:snapToGrid w:val="0"/>
        <w:spacing w:line="360" w:lineRule="auto"/>
        <w:ind w:firstLine="420" w:firstLineChars="200"/>
        <w:rPr>
          <w:szCs w:val="21"/>
        </w:rPr>
      </w:pPr>
      <w:r>
        <w:rPr>
          <w:rFonts w:hint="eastAsia"/>
          <w:szCs w:val="21"/>
        </w:rPr>
        <w:t>GJB 2347-1995</w:t>
      </w:r>
      <w:r>
        <w:rPr>
          <w:rFonts w:hint="eastAsia"/>
          <w:szCs w:val="21"/>
        </w:rPr>
        <w:tab/>
      </w:r>
      <w:r>
        <w:rPr>
          <w:rFonts w:hint="eastAsia"/>
          <w:szCs w:val="21"/>
        </w:rPr>
        <w:t>无人机通用规范</w:t>
      </w:r>
    </w:p>
    <w:p w14:paraId="2B34CC54">
      <w:pPr>
        <w:snapToGrid w:val="0"/>
        <w:spacing w:line="360" w:lineRule="auto"/>
        <w:ind w:firstLine="420" w:firstLineChars="200"/>
        <w:rPr>
          <w:szCs w:val="21"/>
        </w:rPr>
      </w:pPr>
      <w:r>
        <w:rPr>
          <w:rFonts w:hint="eastAsia"/>
          <w:szCs w:val="21"/>
        </w:rPr>
        <w:t>GJB 5433-2005</w:t>
      </w:r>
      <w:r>
        <w:rPr>
          <w:rFonts w:hint="eastAsia"/>
          <w:szCs w:val="21"/>
        </w:rPr>
        <w:tab/>
      </w:r>
      <w:r>
        <w:rPr>
          <w:rFonts w:hint="eastAsia"/>
          <w:szCs w:val="21"/>
        </w:rPr>
        <w:t>无人机系统通用要求</w:t>
      </w:r>
    </w:p>
    <w:p w14:paraId="238F7DEF">
      <w:pPr>
        <w:snapToGrid w:val="0"/>
        <w:spacing w:line="360" w:lineRule="auto"/>
        <w:ind w:firstLine="420" w:firstLineChars="200"/>
        <w:rPr>
          <w:szCs w:val="21"/>
        </w:rPr>
      </w:pPr>
      <w:r>
        <w:rPr>
          <w:rFonts w:hint="eastAsia"/>
          <w:szCs w:val="21"/>
        </w:rPr>
        <w:t>GJB/Z105-98</w:t>
      </w:r>
      <w:r>
        <w:rPr>
          <w:rFonts w:hint="eastAsia"/>
          <w:szCs w:val="21"/>
        </w:rPr>
        <w:tab/>
      </w:r>
      <w:r>
        <w:rPr>
          <w:rFonts w:hint="eastAsia"/>
          <w:szCs w:val="21"/>
        </w:rPr>
        <w:t>电子产品防静电放电控制手册</w:t>
      </w:r>
    </w:p>
    <w:p w14:paraId="52DEF9A0">
      <w:pPr>
        <w:snapToGrid w:val="0"/>
        <w:spacing w:line="360" w:lineRule="auto"/>
        <w:ind w:firstLine="420" w:firstLineChars="200"/>
        <w:rPr>
          <w:szCs w:val="21"/>
        </w:rPr>
      </w:pPr>
      <w:r>
        <w:rPr>
          <w:rFonts w:hint="eastAsia"/>
          <w:szCs w:val="21"/>
        </w:rPr>
        <w:t>HB 6167</w:t>
      </w:r>
      <w:r>
        <w:rPr>
          <w:rFonts w:hint="eastAsia"/>
          <w:szCs w:val="21"/>
        </w:rPr>
        <w:tab/>
      </w:r>
      <w:r>
        <w:rPr>
          <w:rFonts w:hint="eastAsia"/>
          <w:szCs w:val="21"/>
        </w:rPr>
        <w:tab/>
      </w:r>
      <w:r>
        <w:rPr>
          <w:rFonts w:hint="eastAsia"/>
          <w:szCs w:val="21"/>
        </w:rPr>
        <w:t>民用飞机机载设备环境条件和试验方法</w:t>
      </w:r>
    </w:p>
    <w:p w14:paraId="4F1B4F5F">
      <w:pPr>
        <w:snapToGrid w:val="0"/>
        <w:spacing w:line="360" w:lineRule="auto"/>
        <w:ind w:firstLine="420" w:firstLineChars="200"/>
        <w:rPr>
          <w:szCs w:val="21"/>
        </w:rPr>
      </w:pPr>
      <w:r>
        <w:rPr>
          <w:rFonts w:hint="eastAsia"/>
          <w:szCs w:val="21"/>
        </w:rPr>
        <w:t>QJ 2245</w:t>
      </w:r>
      <w:r>
        <w:rPr>
          <w:rFonts w:hint="eastAsia"/>
          <w:szCs w:val="21"/>
        </w:rPr>
        <w:tab/>
      </w:r>
      <w:r>
        <w:rPr>
          <w:rFonts w:hint="eastAsia"/>
          <w:szCs w:val="21"/>
        </w:rPr>
        <w:tab/>
      </w:r>
      <w:r>
        <w:rPr>
          <w:rFonts w:hint="eastAsia"/>
          <w:szCs w:val="21"/>
        </w:rPr>
        <w:t>电子仪器和设备防静电要求</w:t>
      </w:r>
    </w:p>
    <w:p w14:paraId="65C0C261">
      <w:pPr>
        <w:snapToGrid w:val="0"/>
        <w:spacing w:line="360" w:lineRule="auto"/>
        <w:ind w:firstLine="420" w:firstLineChars="200"/>
        <w:rPr>
          <w:szCs w:val="21"/>
        </w:rPr>
      </w:pPr>
      <w:r>
        <w:rPr>
          <w:rFonts w:hint="eastAsia"/>
          <w:szCs w:val="21"/>
        </w:rPr>
        <w:t>RTCA/DO-178C</w:t>
      </w:r>
      <w:r>
        <w:rPr>
          <w:rFonts w:hint="eastAsia"/>
          <w:szCs w:val="21"/>
        </w:rPr>
        <w:tab/>
      </w:r>
      <w:r>
        <w:rPr>
          <w:rFonts w:hint="eastAsia"/>
          <w:szCs w:val="21"/>
        </w:rPr>
        <w:t xml:space="preserve">  机载系统和设备合格审定中的软件考虑</w:t>
      </w:r>
    </w:p>
    <w:p w14:paraId="2EEDFF65">
      <w:pPr>
        <w:snapToGrid w:val="0"/>
        <w:spacing w:line="360" w:lineRule="auto"/>
        <w:ind w:firstLine="420" w:firstLineChars="200"/>
      </w:pPr>
      <w:r>
        <w:rPr>
          <w:szCs w:val="21"/>
        </w:rPr>
        <w:t>RTCA/DO-160     Environmental Conditions and Test Procedures for Airborne Equipment</w:t>
      </w:r>
    </w:p>
    <w:p w14:paraId="7B6B9EB4">
      <w:pPr>
        <w:snapToGrid w:val="0"/>
        <w:spacing w:line="360" w:lineRule="auto"/>
        <w:ind w:firstLine="420" w:firstLineChars="200"/>
        <w:rPr>
          <w:szCs w:val="21"/>
        </w:rPr>
      </w:pPr>
      <w:r>
        <w:rPr>
          <w:rFonts w:hint="eastAsia"/>
          <w:szCs w:val="21"/>
        </w:rPr>
        <w:t>Q/CSG 1205020.10-2018 架空输电线路机巡标准第10部分：直升机/无人机巡检设备性能检测规范</w:t>
      </w:r>
    </w:p>
    <w:p w14:paraId="6AB45780">
      <w:pPr>
        <w:snapToGrid w:val="0"/>
        <w:spacing w:line="360" w:lineRule="auto"/>
        <w:ind w:firstLine="420" w:firstLineChars="200"/>
        <w:rPr>
          <w:szCs w:val="21"/>
        </w:rPr>
      </w:pPr>
      <w:r>
        <w:rPr>
          <w:rFonts w:hint="eastAsia"/>
          <w:szCs w:val="21"/>
        </w:rPr>
        <w:t>DL/T 1578-2021</w:t>
      </w:r>
      <w:r>
        <w:rPr>
          <w:rFonts w:hint="eastAsia"/>
          <w:szCs w:val="21"/>
        </w:rPr>
        <w:tab/>
      </w:r>
      <w:r>
        <w:rPr>
          <w:rFonts w:hint="eastAsia"/>
          <w:szCs w:val="21"/>
        </w:rPr>
        <w:t>架空电力线路多旋翼无人机巡检系统</w:t>
      </w:r>
    </w:p>
    <w:p w14:paraId="238DA9EF">
      <w:pPr>
        <w:snapToGrid w:val="0"/>
        <w:spacing w:line="360" w:lineRule="auto"/>
        <w:ind w:firstLine="420" w:firstLineChars="200"/>
        <w:rPr>
          <w:szCs w:val="21"/>
        </w:rPr>
      </w:pPr>
      <w:r>
        <w:rPr>
          <w:rFonts w:hint="eastAsia"/>
          <w:szCs w:val="21"/>
        </w:rPr>
        <w:t>GB/T 2423.1-2008 电工电子产品环境试验第2部分：试验方法 试验A：低温</w:t>
      </w:r>
    </w:p>
    <w:p w14:paraId="0CBD06E6">
      <w:pPr>
        <w:snapToGrid w:val="0"/>
        <w:spacing w:line="360" w:lineRule="auto"/>
        <w:ind w:firstLine="420" w:firstLineChars="200"/>
        <w:rPr>
          <w:szCs w:val="21"/>
        </w:rPr>
      </w:pPr>
      <w:r>
        <w:rPr>
          <w:rFonts w:hint="eastAsia"/>
          <w:szCs w:val="21"/>
        </w:rPr>
        <w:t>GB/T 2423.2-2008 电工电子产品环境试验第2部分：试验方法 试验B：高温</w:t>
      </w:r>
    </w:p>
    <w:p w14:paraId="4ABE6D8F">
      <w:pPr>
        <w:snapToGrid w:val="0"/>
        <w:spacing w:line="360" w:lineRule="auto"/>
        <w:ind w:firstLine="420" w:firstLineChars="200"/>
        <w:rPr>
          <w:szCs w:val="21"/>
        </w:rPr>
      </w:pPr>
      <w:r>
        <w:rPr>
          <w:rFonts w:hint="eastAsia"/>
          <w:szCs w:val="21"/>
        </w:rPr>
        <w:t>GB/T 2423.2-2008 电工电子产品环境试验第2部分：试验方法 试验Fc：振动（正弦）</w:t>
      </w:r>
    </w:p>
    <w:p w14:paraId="067DF626">
      <w:pPr>
        <w:snapToGrid w:val="0"/>
        <w:spacing w:line="360" w:lineRule="auto"/>
        <w:ind w:firstLine="420" w:firstLineChars="200"/>
        <w:rPr>
          <w:szCs w:val="21"/>
        </w:rPr>
      </w:pPr>
      <w:r>
        <w:rPr>
          <w:rFonts w:hint="eastAsia"/>
          <w:szCs w:val="21"/>
        </w:rPr>
        <w:t>GB/T 2423.3-2016 环境试验 第2部分：试验方法 试验Cab：恒定湿热试验</w:t>
      </w:r>
    </w:p>
    <w:p w14:paraId="2958B233">
      <w:pPr>
        <w:snapToGrid w:val="0"/>
        <w:spacing w:line="360" w:lineRule="auto"/>
        <w:ind w:firstLine="420" w:firstLineChars="200"/>
        <w:rPr>
          <w:szCs w:val="21"/>
        </w:rPr>
      </w:pPr>
      <w:r>
        <w:rPr>
          <w:rFonts w:hint="eastAsia"/>
          <w:szCs w:val="21"/>
        </w:rPr>
        <w:t>GB/T 2423.21-2008 电工电子产品环境试验 第2部分：试验方法 试验M：低气压</w:t>
      </w:r>
    </w:p>
    <w:p w14:paraId="4AB91050">
      <w:pPr>
        <w:snapToGrid w:val="0"/>
        <w:spacing w:line="360" w:lineRule="auto"/>
        <w:ind w:firstLine="420" w:firstLineChars="200"/>
        <w:rPr>
          <w:szCs w:val="21"/>
        </w:rPr>
      </w:pPr>
      <w:r>
        <w:rPr>
          <w:rFonts w:hint="eastAsia"/>
          <w:szCs w:val="21"/>
        </w:rPr>
        <w:t>GB/T 2423.25-2008 电工电子产品 环境试验 第2部分：试验方法 试验Z/AM：低温/低气压综合试验</w:t>
      </w:r>
    </w:p>
    <w:p w14:paraId="38B3B956">
      <w:pPr>
        <w:snapToGrid w:val="0"/>
        <w:spacing w:line="360" w:lineRule="auto"/>
        <w:ind w:firstLine="420" w:firstLineChars="200"/>
        <w:rPr>
          <w:szCs w:val="21"/>
        </w:rPr>
      </w:pPr>
      <w:r>
        <w:rPr>
          <w:rFonts w:hint="eastAsia"/>
          <w:szCs w:val="21"/>
        </w:rPr>
        <w:t>GB/T 2423.26-2008 电工电子产品 环境试验 第2部分：试验方法 试验Z/BM：高温/低气压综合试验</w:t>
      </w:r>
    </w:p>
    <w:p w14:paraId="61D9DDC6">
      <w:pPr>
        <w:snapToGrid w:val="0"/>
        <w:spacing w:line="360" w:lineRule="auto"/>
        <w:ind w:firstLine="420" w:firstLineChars="200"/>
        <w:rPr>
          <w:szCs w:val="21"/>
        </w:rPr>
      </w:pPr>
      <w:r>
        <w:rPr>
          <w:rFonts w:hint="eastAsia"/>
          <w:szCs w:val="21"/>
        </w:rPr>
        <w:t>GB/T 2423.27-2005 电工电子产品环境试验 第2部分：试验方法 试验Z/AMD：低温/低气压/湿热连续综合试验</w:t>
      </w:r>
    </w:p>
    <w:p w14:paraId="7E1DE458">
      <w:pPr>
        <w:snapToGrid w:val="0"/>
        <w:spacing w:line="360" w:lineRule="auto"/>
        <w:ind w:firstLine="420" w:firstLineChars="200"/>
        <w:rPr>
          <w:szCs w:val="21"/>
          <w:lang w:bidi="ar"/>
        </w:rPr>
      </w:pPr>
      <w:r>
        <w:rPr>
          <w:rFonts w:hint="eastAsia"/>
          <w:szCs w:val="21"/>
          <w:lang w:bidi="ar"/>
        </w:rPr>
        <w:t>GB/T 38930-2020 民用轻小型无人机系统抗风性要求及试验方法</w:t>
      </w:r>
    </w:p>
    <w:p w14:paraId="5BCE07FE">
      <w:pPr>
        <w:snapToGrid w:val="0"/>
        <w:spacing w:line="360" w:lineRule="auto"/>
        <w:ind w:firstLine="420" w:firstLineChars="200"/>
        <w:rPr>
          <w:szCs w:val="21"/>
          <w:lang w:bidi="ar"/>
        </w:rPr>
      </w:pPr>
      <w:r>
        <w:rPr>
          <w:rFonts w:hint="eastAsia"/>
          <w:szCs w:val="21"/>
          <w:lang w:bidi="ar"/>
        </w:rPr>
        <w:t>YD/T4182-2023 低速无人系统导航定位通用指标及测试方法</w:t>
      </w:r>
    </w:p>
    <w:p w14:paraId="0A157737">
      <w:pPr>
        <w:snapToGrid w:val="0"/>
        <w:spacing w:line="360" w:lineRule="auto"/>
        <w:ind w:firstLine="420" w:firstLineChars="200"/>
        <w:rPr>
          <w:lang w:bidi="ar"/>
        </w:rPr>
      </w:pPr>
      <w:r>
        <w:rPr>
          <w:rFonts w:hint="eastAsia"/>
          <w:lang w:bidi="ar"/>
        </w:rPr>
        <w:t>GB/T 17626.3-2016 电磁兼容 试验和测量技术射频电磁场辐射抗扰度试验</w:t>
      </w:r>
    </w:p>
    <w:p w14:paraId="748B2795">
      <w:pPr>
        <w:snapToGrid w:val="0"/>
        <w:spacing w:line="360" w:lineRule="auto"/>
        <w:ind w:firstLine="420" w:firstLineChars="200"/>
        <w:rPr>
          <w:lang w:bidi="ar"/>
        </w:rPr>
      </w:pPr>
      <w:r>
        <w:rPr>
          <w:rFonts w:hint="eastAsia"/>
          <w:lang w:bidi="ar"/>
        </w:rPr>
        <w:t>GB/T 17626.2-2018 电磁兼容 试验和测量技术 静电放电抗扰度试验</w:t>
      </w:r>
    </w:p>
    <w:p w14:paraId="197A7E96">
      <w:pPr>
        <w:snapToGrid w:val="0"/>
        <w:spacing w:line="360" w:lineRule="auto"/>
        <w:ind w:firstLine="420" w:firstLineChars="200"/>
        <w:rPr>
          <w:lang w:bidi="ar"/>
        </w:rPr>
      </w:pPr>
      <w:r>
        <w:rPr>
          <w:rFonts w:hint="eastAsia"/>
          <w:lang w:bidi="ar"/>
        </w:rPr>
        <w:t>GB/T 17626.9-2011 电磁兼容 试验和测量技术 脉冲磁场抗扰度试验</w:t>
      </w:r>
    </w:p>
    <w:p w14:paraId="0B56F2EC">
      <w:pPr>
        <w:snapToGrid w:val="0"/>
        <w:spacing w:line="360" w:lineRule="auto"/>
        <w:ind w:firstLine="420" w:firstLineChars="200"/>
        <w:rPr>
          <w:lang w:bidi="ar"/>
        </w:rPr>
      </w:pPr>
      <w:r>
        <w:rPr>
          <w:rFonts w:hint="eastAsia"/>
          <w:lang w:bidi="ar"/>
        </w:rPr>
        <w:t>GB/T 17626.8-2006 电磁兼容 试验和测量技术 工频磁场抗扰度试验</w:t>
      </w:r>
    </w:p>
    <w:p w14:paraId="21B20494">
      <w:pPr>
        <w:snapToGrid w:val="0"/>
        <w:spacing w:line="360" w:lineRule="auto"/>
        <w:ind w:firstLine="420" w:firstLineChars="200"/>
        <w:rPr>
          <w:szCs w:val="21"/>
        </w:rPr>
      </w:pPr>
      <w:r>
        <w:rPr>
          <w:rFonts w:hint="eastAsia"/>
          <w:szCs w:val="21"/>
        </w:rPr>
        <w:t>中国南方电网有限责任公司送样检测业务指导书</w:t>
      </w:r>
    </w:p>
    <w:p w14:paraId="45666820">
      <w:pPr>
        <w:snapToGrid w:val="0"/>
        <w:spacing w:line="360" w:lineRule="auto"/>
        <w:ind w:firstLine="420" w:firstLineChars="200"/>
        <w:rPr>
          <w:szCs w:val="21"/>
        </w:rPr>
      </w:pPr>
      <w:r>
        <w:rPr>
          <w:rFonts w:hint="eastAsia"/>
          <w:szCs w:val="21"/>
        </w:rPr>
        <w:t>中国南方电网有限责任公司到货抽检业务指导书</w:t>
      </w:r>
    </w:p>
    <w:p w14:paraId="04B55C9C">
      <w:pPr>
        <w:snapToGrid w:val="0"/>
        <w:spacing w:line="360" w:lineRule="auto"/>
        <w:ind w:firstLine="420" w:firstLineChars="200"/>
        <w:rPr>
          <w:szCs w:val="21"/>
        </w:rPr>
      </w:pPr>
      <w:r>
        <w:rPr>
          <w:rFonts w:hint="eastAsia"/>
          <w:szCs w:val="21"/>
        </w:rPr>
        <w:t>中国南方电网有限责任公司专项抽检业务指导书</w:t>
      </w:r>
    </w:p>
    <w:bookmarkEnd w:id="43"/>
    <w:bookmarkEnd w:id="44"/>
    <w:p w14:paraId="3CAE7D00">
      <w:pPr>
        <w:spacing w:line="480" w:lineRule="auto"/>
        <w:outlineLvl w:val="0"/>
        <w:rPr>
          <w:rFonts w:eastAsia="黑体"/>
          <w:b/>
          <w:bCs/>
          <w:szCs w:val="21"/>
        </w:rPr>
      </w:pPr>
      <w:bookmarkStart w:id="45" w:name="_Toc222991611"/>
      <w:bookmarkStart w:id="46" w:name="_Toc21569"/>
      <w:bookmarkStart w:id="47" w:name="_Toc16488"/>
      <w:bookmarkStart w:id="48" w:name="_Toc76025484"/>
      <w:bookmarkStart w:id="49" w:name="_Toc4845"/>
      <w:r>
        <w:rPr>
          <w:rFonts w:eastAsia="黑体"/>
          <w:b/>
          <w:bCs/>
          <w:szCs w:val="21"/>
        </w:rPr>
        <w:t>4 使用条件</w:t>
      </w:r>
      <w:bookmarkEnd w:id="45"/>
      <w:bookmarkEnd w:id="46"/>
      <w:bookmarkEnd w:id="47"/>
      <w:bookmarkEnd w:id="48"/>
      <w:bookmarkEnd w:id="49"/>
    </w:p>
    <w:p w14:paraId="0CFE48E9">
      <w:pPr>
        <w:adjustRightInd w:val="0"/>
        <w:snapToGrid w:val="0"/>
        <w:spacing w:line="360" w:lineRule="auto"/>
        <w:outlineLvl w:val="1"/>
        <w:rPr>
          <w:rFonts w:hint="eastAsia" w:ascii="黑体" w:hAnsi="黑体" w:eastAsia="黑体"/>
          <w:szCs w:val="21"/>
        </w:rPr>
      </w:pPr>
      <w:bookmarkStart w:id="50" w:name="_Toc76025485"/>
      <w:bookmarkStart w:id="51" w:name="_Toc494551787"/>
      <w:bookmarkStart w:id="52" w:name="_Toc322527759"/>
      <w:bookmarkStart w:id="53" w:name="_Toc222991612"/>
      <w:bookmarkStart w:id="54" w:name="_Toc279769036"/>
      <w:bookmarkStart w:id="55" w:name="_Toc23392"/>
      <w:bookmarkStart w:id="56" w:name="_Toc296359207"/>
      <w:bookmarkStart w:id="57" w:name="_Toc322532854"/>
      <w:bookmarkStart w:id="58" w:name="_Toc264380123"/>
      <w:bookmarkStart w:id="59" w:name="_Toc264460811"/>
      <w:bookmarkStart w:id="60" w:name="_Toc349034886"/>
      <w:bookmarkStart w:id="61" w:name="_Toc66780566"/>
      <w:bookmarkStart w:id="62" w:name="_Toc296961937"/>
      <w:bookmarkStart w:id="63" w:name="_Toc426040192"/>
      <w:bookmarkStart w:id="64" w:name="_Toc7690"/>
      <w:bookmarkStart w:id="65" w:name="_Toc24133"/>
      <w:r>
        <w:rPr>
          <w:rFonts w:ascii="黑体" w:hAnsi="黑体" w:eastAsia="黑体"/>
          <w:szCs w:val="21"/>
        </w:rPr>
        <w:t>4.1 正常使用条件</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123FD94E">
      <w:pPr>
        <w:spacing w:line="360" w:lineRule="auto"/>
        <w:ind w:firstLine="420" w:firstLineChars="200"/>
        <w:rPr>
          <w:szCs w:val="21"/>
        </w:rPr>
      </w:pPr>
      <w:r>
        <w:rPr>
          <w:rFonts w:hint="eastAsia"/>
          <w:szCs w:val="21"/>
        </w:rPr>
        <w:t>1）工作温度范围：-20℃～5</w:t>
      </w:r>
      <w:r>
        <w:rPr>
          <w:rFonts w:hint="eastAsia"/>
          <w:szCs w:val="21"/>
          <w:lang w:val="en-US" w:eastAsia="zh-CN"/>
        </w:rPr>
        <w:t>5</w:t>
      </w:r>
      <w:r>
        <w:rPr>
          <w:rFonts w:hint="eastAsia"/>
          <w:szCs w:val="21"/>
        </w:rPr>
        <w:t>℃</w:t>
      </w:r>
    </w:p>
    <w:p w14:paraId="368043D4">
      <w:pPr>
        <w:spacing w:line="360" w:lineRule="auto"/>
        <w:ind w:firstLine="420" w:firstLineChars="200"/>
        <w:rPr>
          <w:szCs w:val="21"/>
        </w:rPr>
      </w:pPr>
      <w:r>
        <w:rPr>
          <w:rFonts w:hint="eastAsia"/>
          <w:szCs w:val="21"/>
        </w:rPr>
        <w:t>2）适用海拔高度：</w:t>
      </w:r>
      <w:r>
        <w:rPr>
          <w:rFonts w:hint="eastAsia"/>
          <w:szCs w:val="21"/>
          <w:lang w:val="en-US" w:eastAsia="zh-CN"/>
        </w:rPr>
        <w:t>≥</w:t>
      </w:r>
      <w:r>
        <w:rPr>
          <w:rFonts w:hint="eastAsia"/>
          <w:szCs w:val="21"/>
        </w:rPr>
        <w:t>6000m所有区域</w:t>
      </w:r>
    </w:p>
    <w:p w14:paraId="71B6E239">
      <w:pPr>
        <w:spacing w:line="360" w:lineRule="auto"/>
        <w:ind w:firstLine="420" w:firstLineChars="200"/>
        <w:rPr>
          <w:szCs w:val="21"/>
        </w:rPr>
      </w:pPr>
      <w:r>
        <w:rPr>
          <w:rFonts w:hint="eastAsia"/>
          <w:szCs w:val="21"/>
        </w:rPr>
        <w:t>3）卫星系统技术要求：仅支持BDS且兼容北斗3号及以下卫星系统</w:t>
      </w:r>
    </w:p>
    <w:p w14:paraId="1011861E">
      <w:pPr>
        <w:adjustRightInd w:val="0"/>
        <w:snapToGrid w:val="0"/>
        <w:spacing w:line="360" w:lineRule="auto"/>
        <w:outlineLvl w:val="1"/>
        <w:rPr>
          <w:rFonts w:hint="eastAsia" w:ascii="黑体" w:hAnsi="黑体" w:eastAsia="黑体"/>
          <w:szCs w:val="21"/>
        </w:rPr>
      </w:pPr>
      <w:bookmarkStart w:id="66" w:name="_Toc264380124"/>
      <w:bookmarkStart w:id="67" w:name="_Toc13954"/>
      <w:bookmarkStart w:id="68" w:name="_Toc296961938"/>
      <w:bookmarkStart w:id="69" w:name="_Toc264450245"/>
      <w:bookmarkStart w:id="70" w:name="_Toc22529"/>
      <w:bookmarkStart w:id="71" w:name="_Toc296359208"/>
      <w:bookmarkStart w:id="72" w:name="_Toc322527760"/>
      <w:bookmarkStart w:id="73" w:name="_Toc28986"/>
      <w:bookmarkStart w:id="74" w:name="_Toc494551788"/>
      <w:bookmarkStart w:id="75" w:name="_Toc322532855"/>
      <w:bookmarkStart w:id="76" w:name="_Toc264460812"/>
      <w:bookmarkStart w:id="77" w:name="_Toc66780567"/>
      <w:bookmarkStart w:id="78" w:name="_Toc426040193"/>
      <w:bookmarkStart w:id="79" w:name="_Toc349034887"/>
      <w:bookmarkStart w:id="80" w:name="_Toc76025486"/>
      <w:bookmarkStart w:id="81" w:name="_Toc222991613"/>
      <w:r>
        <w:rPr>
          <w:rFonts w:ascii="黑体" w:hAnsi="黑体" w:eastAsia="黑体"/>
          <w:szCs w:val="21"/>
        </w:rPr>
        <w:t>4.2 特殊使用条件</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B52E579">
      <w:pPr>
        <w:snapToGrid w:val="0"/>
        <w:spacing w:line="360" w:lineRule="auto"/>
        <w:ind w:firstLine="420" w:firstLineChars="200"/>
        <w:rPr>
          <w:szCs w:val="21"/>
        </w:rPr>
      </w:pPr>
      <w:r>
        <w:rPr>
          <w:rFonts w:hint="eastAsia"/>
          <w:szCs w:val="21"/>
        </w:rPr>
        <w:t>凡不满足4.1条正常使用条件之外的特殊条件，如环境温度、海拔、污秽等级等条件项目单位应明确，且应在技术规范书的相应技术条款中对有关技术参数及要求加以修正、说明，并在提交需求计划及招技术规范书时向物资部门特别明确。</w:t>
      </w:r>
    </w:p>
    <w:p w14:paraId="063A0BC2">
      <w:pPr>
        <w:spacing w:line="480" w:lineRule="auto"/>
        <w:outlineLvl w:val="0"/>
        <w:rPr>
          <w:rFonts w:eastAsia="黑体"/>
          <w:b/>
          <w:bCs/>
          <w:szCs w:val="21"/>
        </w:rPr>
      </w:pPr>
      <w:bookmarkStart w:id="82" w:name="_Toc28113"/>
      <w:bookmarkStart w:id="83" w:name="_Toc31508"/>
      <w:bookmarkStart w:id="84" w:name="_Toc222991614"/>
      <w:bookmarkStart w:id="85" w:name="_Toc24623"/>
      <w:bookmarkStart w:id="86" w:name="_Toc76025487"/>
      <w:r>
        <w:rPr>
          <w:rFonts w:hint="eastAsia" w:eastAsia="黑体"/>
          <w:b/>
          <w:bCs/>
          <w:szCs w:val="21"/>
        </w:rPr>
        <w:t>5</w:t>
      </w:r>
      <w:r>
        <w:rPr>
          <w:rFonts w:eastAsia="黑体"/>
          <w:b/>
          <w:bCs/>
          <w:szCs w:val="21"/>
        </w:rPr>
        <w:t xml:space="preserve"> </w:t>
      </w:r>
      <w:r>
        <w:rPr>
          <w:rFonts w:hint="eastAsia" w:eastAsia="黑体"/>
          <w:b/>
          <w:bCs/>
          <w:szCs w:val="21"/>
        </w:rPr>
        <w:t>技术要求</w:t>
      </w:r>
      <w:bookmarkEnd w:id="82"/>
      <w:bookmarkEnd w:id="83"/>
      <w:bookmarkEnd w:id="84"/>
      <w:bookmarkEnd w:id="85"/>
      <w:bookmarkEnd w:id="86"/>
    </w:p>
    <w:p w14:paraId="7BE1B8D0">
      <w:pPr>
        <w:pStyle w:val="3"/>
        <w:adjustRightInd w:val="0"/>
        <w:spacing w:line="360" w:lineRule="auto"/>
        <w:rPr>
          <w:rFonts w:ascii="Times New Roman" w:hAnsi="Times New Roman"/>
          <w:szCs w:val="21"/>
        </w:rPr>
      </w:pPr>
      <w:bookmarkStart w:id="87" w:name="_Toc76025488"/>
      <w:bookmarkStart w:id="88" w:name="_Toc22879"/>
      <w:bookmarkStart w:id="89" w:name="_Toc28742"/>
      <w:bookmarkStart w:id="90" w:name="_Toc24365"/>
      <w:bookmarkStart w:id="91" w:name="_Toc222991615"/>
      <w:r>
        <w:rPr>
          <w:rFonts w:hint="eastAsia" w:ascii="黑体" w:hAnsi="黑体"/>
          <w:b w:val="0"/>
          <w:bCs/>
          <w:szCs w:val="21"/>
        </w:rPr>
        <w:t>5</w:t>
      </w:r>
      <w:r>
        <w:rPr>
          <w:rFonts w:ascii="黑体" w:hAnsi="黑体"/>
          <w:b w:val="0"/>
          <w:bCs/>
          <w:szCs w:val="21"/>
        </w:rPr>
        <w:t>.1</w:t>
      </w:r>
      <w:r>
        <w:rPr>
          <w:rFonts w:hint="eastAsia" w:ascii="黑体" w:hAnsi="黑体"/>
          <w:b w:val="0"/>
          <w:bCs/>
          <w:szCs w:val="21"/>
        </w:rPr>
        <w:t xml:space="preserve"> 飞行器技术要求</w:t>
      </w:r>
      <w:bookmarkEnd w:id="87"/>
      <w:bookmarkEnd w:id="88"/>
      <w:bookmarkEnd w:id="89"/>
      <w:bookmarkEnd w:id="90"/>
      <w:bookmarkEnd w:id="91"/>
    </w:p>
    <w:p w14:paraId="1D7BEB44">
      <w:pPr>
        <w:pStyle w:val="102"/>
        <w:numPr>
          <w:ilvl w:val="255"/>
          <w:numId w:val="0"/>
        </w:numPr>
        <w:adjustRightInd w:val="0"/>
        <w:spacing w:line="360" w:lineRule="auto"/>
        <w:ind w:left="420"/>
        <w:rPr>
          <w:rFonts w:ascii="Times New Roman" w:hAnsi="Times New Roman"/>
          <w:szCs w:val="21"/>
        </w:rPr>
      </w:pPr>
      <w:r>
        <w:rPr>
          <w:rFonts w:hint="eastAsia" w:ascii="Times New Roman" w:hAnsi="Times New Roman"/>
          <w:szCs w:val="21"/>
        </w:rPr>
        <w:t>旗舰重载无人机</w:t>
      </w:r>
    </w:p>
    <w:p w14:paraId="35FD522A">
      <w:pPr>
        <w:pStyle w:val="102"/>
        <w:numPr>
          <w:ilvl w:val="0"/>
          <w:numId w:val="32"/>
        </w:numPr>
        <w:tabs>
          <w:tab w:val="left" w:pos="420"/>
        </w:tabs>
        <w:adjustRightInd w:val="0"/>
        <w:spacing w:line="360" w:lineRule="auto"/>
        <w:ind w:firstLineChars="0"/>
        <w:rPr>
          <w:rFonts w:ascii="Times New Roman" w:hAnsi="Times New Roman"/>
          <w:szCs w:val="21"/>
        </w:rPr>
      </w:pPr>
      <w:r>
        <w:rPr>
          <w:rFonts w:hint="eastAsia" w:ascii="Times New Roman" w:hAnsi="Times New Roman"/>
          <w:szCs w:val="21"/>
        </w:rPr>
        <w:t>空机重量：≥98.8kg（标准吊运系统）；≥ 103.3kg（旗舰空吊系统）</w:t>
      </w:r>
    </w:p>
    <w:p w14:paraId="5245F384">
      <w:pPr>
        <w:pStyle w:val="102"/>
        <w:numPr>
          <w:ilvl w:val="0"/>
          <w:numId w:val="32"/>
        </w:numPr>
        <w:tabs>
          <w:tab w:val="left" w:pos="420"/>
        </w:tabs>
        <w:adjustRightInd w:val="0"/>
        <w:spacing w:line="360" w:lineRule="auto"/>
        <w:ind w:firstLineChars="0"/>
        <w:rPr>
          <w:rFonts w:ascii="Times New Roman" w:hAnsi="Times New Roman"/>
          <w:szCs w:val="21"/>
        </w:rPr>
      </w:pPr>
      <w:r>
        <w:rPr>
          <w:rFonts w:hint="eastAsia" w:ascii="Times New Roman" w:hAnsi="Times New Roman"/>
          <w:szCs w:val="21"/>
        </w:rPr>
        <w:t>最大轴距：2699mm（对角线）</w:t>
      </w:r>
    </w:p>
    <w:p w14:paraId="609BFC1F">
      <w:pPr>
        <w:pStyle w:val="102"/>
        <w:numPr>
          <w:ilvl w:val="0"/>
          <w:numId w:val="32"/>
        </w:numPr>
        <w:tabs>
          <w:tab w:val="left" w:pos="420"/>
        </w:tabs>
        <w:adjustRightInd w:val="0"/>
        <w:spacing w:line="360" w:lineRule="auto"/>
        <w:ind w:firstLineChars="0"/>
        <w:rPr>
          <w:rFonts w:ascii="Times New Roman" w:hAnsi="Times New Roman"/>
          <w:szCs w:val="21"/>
        </w:rPr>
      </w:pPr>
      <w:r>
        <w:rPr>
          <w:rFonts w:hint="eastAsia" w:ascii="Times New Roman" w:hAnsi="Times New Roman"/>
          <w:szCs w:val="21"/>
        </w:rPr>
        <w:t>尺寸：外形尺寸（展开）≥3334×3055×1045mm；（桨叶折叠）；≥1786×1852×1045mm；（全折叠）≥1154×984×1045mm（无降落伞）/；≥1272×984×1045mm（有降落伞）</w:t>
      </w:r>
    </w:p>
    <w:p w14:paraId="5B24240D">
      <w:pPr>
        <w:pStyle w:val="102"/>
        <w:numPr>
          <w:ilvl w:val="0"/>
          <w:numId w:val="32"/>
        </w:numPr>
        <w:tabs>
          <w:tab w:val="left" w:pos="420"/>
        </w:tabs>
        <w:adjustRightInd w:val="0"/>
        <w:spacing w:line="360" w:lineRule="auto"/>
        <w:ind w:firstLineChars="0"/>
        <w:rPr>
          <w:rFonts w:ascii="Times New Roman" w:hAnsi="Times New Roman"/>
          <w:szCs w:val="21"/>
        </w:rPr>
      </w:pPr>
      <w:r>
        <w:rPr>
          <w:rFonts w:hint="eastAsia" w:ascii="Times New Roman" w:hAnsi="Times New Roman"/>
          <w:szCs w:val="21"/>
        </w:rPr>
        <w:t>电池数量：支持双电、四电</w:t>
      </w:r>
    </w:p>
    <w:p w14:paraId="1487EB0E">
      <w:pPr>
        <w:pStyle w:val="102"/>
        <w:numPr>
          <w:ilvl w:val="0"/>
          <w:numId w:val="32"/>
        </w:numPr>
        <w:tabs>
          <w:tab w:val="left" w:pos="420"/>
        </w:tabs>
        <w:adjustRightInd w:val="0"/>
        <w:spacing w:line="360" w:lineRule="auto"/>
        <w:ind w:firstLineChars="0"/>
        <w:rPr>
          <w:rFonts w:ascii="Times New Roman" w:hAnsi="Times New Roman"/>
          <w:szCs w:val="21"/>
        </w:rPr>
      </w:pPr>
      <w:r>
        <w:rPr>
          <w:rFonts w:hint="eastAsia" w:ascii="Times New Roman" w:hAnsi="Times New Roman"/>
          <w:szCs w:val="21"/>
        </w:rPr>
        <w:t>最大飞行距离：满载：四电10km/双电6km；空载：四电36km/双电24km</w:t>
      </w:r>
    </w:p>
    <w:p w14:paraId="3D5133E1">
      <w:pPr>
        <w:pStyle w:val="102"/>
        <w:numPr>
          <w:ilvl w:val="0"/>
          <w:numId w:val="32"/>
        </w:numPr>
        <w:tabs>
          <w:tab w:val="left" w:pos="420"/>
        </w:tabs>
        <w:adjustRightInd w:val="0"/>
        <w:spacing w:line="360" w:lineRule="auto"/>
        <w:ind w:firstLineChars="0"/>
        <w:rPr>
          <w:rFonts w:ascii="Times New Roman" w:hAnsi="Times New Roman"/>
          <w:szCs w:val="21"/>
        </w:rPr>
      </w:pPr>
      <w:r>
        <w:rPr>
          <w:rFonts w:hint="eastAsia" w:ascii="Times New Roman" w:hAnsi="Times New Roman"/>
          <w:szCs w:val="21"/>
        </w:rPr>
        <w:t>最大悬停时间：满载：四电7min/双电4min；空载：四电25min/双电17min</w:t>
      </w:r>
    </w:p>
    <w:p w14:paraId="08B0FACE">
      <w:pPr>
        <w:pStyle w:val="102"/>
        <w:numPr>
          <w:ilvl w:val="0"/>
          <w:numId w:val="32"/>
        </w:numPr>
        <w:tabs>
          <w:tab w:val="left" w:pos="420"/>
        </w:tabs>
        <w:adjustRightInd w:val="0"/>
        <w:spacing w:line="360" w:lineRule="auto"/>
        <w:ind w:firstLineChars="0"/>
        <w:rPr>
          <w:rFonts w:ascii="Times New Roman" w:hAnsi="Times New Roman"/>
          <w:szCs w:val="21"/>
        </w:rPr>
      </w:pPr>
      <w:r>
        <w:rPr>
          <w:rFonts w:hint="eastAsia" w:ascii="Times New Roman" w:hAnsi="Times New Roman"/>
          <w:szCs w:val="21"/>
        </w:rPr>
        <w:t>防护等级：IP55</w:t>
      </w:r>
    </w:p>
    <w:p w14:paraId="08925BEC">
      <w:pPr>
        <w:pStyle w:val="102"/>
        <w:numPr>
          <w:ilvl w:val="0"/>
          <w:numId w:val="32"/>
        </w:numPr>
        <w:tabs>
          <w:tab w:val="left" w:pos="420"/>
        </w:tabs>
        <w:adjustRightInd w:val="0"/>
        <w:spacing w:line="360" w:lineRule="auto"/>
        <w:ind w:firstLineChars="0"/>
        <w:rPr>
          <w:rFonts w:ascii="Times New Roman" w:hAnsi="Times New Roman"/>
          <w:szCs w:val="21"/>
        </w:rPr>
      </w:pPr>
      <w:r>
        <w:rPr>
          <w:rFonts w:hint="eastAsia" w:ascii="Times New Roman" w:hAnsi="Times New Roman"/>
          <w:szCs w:val="21"/>
        </w:rPr>
        <w:t>最大抗风速度：12m/s</w:t>
      </w:r>
    </w:p>
    <w:p w14:paraId="71DD3137">
      <w:pPr>
        <w:pStyle w:val="102"/>
        <w:numPr>
          <w:ilvl w:val="0"/>
          <w:numId w:val="32"/>
        </w:numPr>
        <w:tabs>
          <w:tab w:val="left" w:pos="420"/>
        </w:tabs>
        <w:adjustRightInd w:val="0"/>
        <w:spacing w:line="360" w:lineRule="auto"/>
        <w:ind w:firstLineChars="0"/>
        <w:rPr>
          <w:rFonts w:ascii="Times New Roman" w:hAnsi="Times New Roman"/>
          <w:szCs w:val="21"/>
        </w:rPr>
      </w:pPr>
      <w:r>
        <w:rPr>
          <w:rFonts w:hint="eastAsia" w:ascii="Times New Roman" w:hAnsi="Times New Roman"/>
          <w:szCs w:val="21"/>
        </w:rPr>
        <w:t>最大上升/下降速度：5m/s</w:t>
      </w:r>
    </w:p>
    <w:p w14:paraId="4DB60BEE">
      <w:pPr>
        <w:pStyle w:val="102"/>
        <w:numPr>
          <w:ilvl w:val="0"/>
          <w:numId w:val="32"/>
        </w:numPr>
        <w:tabs>
          <w:tab w:val="left" w:pos="420"/>
        </w:tabs>
        <w:adjustRightInd w:val="0"/>
        <w:spacing w:line="360" w:lineRule="auto"/>
        <w:ind w:firstLineChars="0"/>
        <w:rPr>
          <w:rFonts w:ascii="Times New Roman" w:hAnsi="Times New Roman"/>
          <w:szCs w:val="21"/>
        </w:rPr>
      </w:pPr>
      <w:r>
        <w:rPr>
          <w:rFonts w:hint="eastAsia" w:ascii="Times New Roman" w:hAnsi="Times New Roman"/>
          <w:szCs w:val="21"/>
        </w:rPr>
        <w:t>最大水平速度：空载25m/s，满载20m/s</w:t>
      </w:r>
    </w:p>
    <w:p w14:paraId="5BF49A87">
      <w:pPr>
        <w:pStyle w:val="102"/>
        <w:numPr>
          <w:ilvl w:val="0"/>
          <w:numId w:val="32"/>
        </w:numPr>
        <w:tabs>
          <w:tab w:val="left" w:pos="420"/>
        </w:tabs>
        <w:adjustRightInd w:val="0"/>
        <w:spacing w:line="360" w:lineRule="auto"/>
        <w:ind w:firstLineChars="0"/>
        <w:rPr>
          <w:rFonts w:ascii="Times New Roman" w:hAnsi="Times New Roman"/>
          <w:szCs w:val="21"/>
        </w:rPr>
      </w:pPr>
      <w:r>
        <w:rPr>
          <w:rFonts w:hint="eastAsia" w:ascii="Times New Roman" w:hAnsi="Times New Roman"/>
          <w:szCs w:val="21"/>
        </w:rPr>
        <w:t>最大飞行海拔：≥6000m（空载）</w:t>
      </w:r>
    </w:p>
    <w:p w14:paraId="51D90A8D">
      <w:pPr>
        <w:pStyle w:val="102"/>
        <w:numPr>
          <w:ilvl w:val="0"/>
          <w:numId w:val="32"/>
        </w:numPr>
        <w:tabs>
          <w:tab w:val="left" w:pos="420"/>
        </w:tabs>
        <w:adjustRightInd w:val="0"/>
        <w:spacing w:line="360" w:lineRule="auto"/>
        <w:ind w:firstLineChars="0"/>
        <w:rPr>
          <w:rFonts w:ascii="Times New Roman" w:hAnsi="Times New Roman"/>
          <w:szCs w:val="21"/>
        </w:rPr>
      </w:pPr>
      <w:r>
        <w:rPr>
          <w:rFonts w:hint="eastAsia" w:ascii="Times New Roman" w:hAnsi="Times New Roman"/>
          <w:szCs w:val="21"/>
        </w:rPr>
        <w:t>安全系统：360度旋转毫米波雷达：后方毫米波雷达：下方毫米波雷达：激光雷达：三目鱼眼视觉：双FPV：后方双目视觉</w:t>
      </w:r>
    </w:p>
    <w:p w14:paraId="0E76B771">
      <w:pPr>
        <w:pStyle w:val="102"/>
        <w:numPr>
          <w:ilvl w:val="0"/>
          <w:numId w:val="32"/>
        </w:numPr>
        <w:tabs>
          <w:tab w:val="left" w:pos="420"/>
        </w:tabs>
        <w:adjustRightInd w:val="0"/>
        <w:spacing w:line="360" w:lineRule="auto"/>
        <w:ind w:firstLineChars="0"/>
        <w:rPr>
          <w:rFonts w:ascii="Times New Roman" w:hAnsi="Times New Roman"/>
          <w:szCs w:val="21"/>
        </w:rPr>
      </w:pPr>
      <w:r>
        <w:rPr>
          <w:rFonts w:hint="eastAsia" w:ascii="Times New Roman" w:hAnsi="Times New Roman"/>
          <w:szCs w:val="21"/>
        </w:rPr>
        <w:t>毫米波雷达：&lt; 20 dBm（ NCC / MIC / KC / CE / FCC ）：&lt; 13 dBm（MIC）</w:t>
      </w:r>
    </w:p>
    <w:p w14:paraId="62AC47F3">
      <w:pPr>
        <w:pStyle w:val="102"/>
        <w:numPr>
          <w:ilvl w:val="0"/>
          <w:numId w:val="32"/>
        </w:numPr>
        <w:tabs>
          <w:tab w:val="left" w:pos="420"/>
        </w:tabs>
        <w:adjustRightInd w:val="0"/>
        <w:spacing w:line="360" w:lineRule="auto"/>
        <w:ind w:firstLineChars="0"/>
        <w:rPr>
          <w:rFonts w:ascii="Times New Roman" w:hAnsi="Times New Roman"/>
          <w:szCs w:val="21"/>
        </w:rPr>
      </w:pPr>
      <w:r>
        <w:rPr>
          <w:rFonts w:hint="eastAsia" w:ascii="Times New Roman" w:hAnsi="Times New Roman"/>
          <w:szCs w:val="21"/>
        </w:rPr>
        <w:t>测距范围：最大120m</w:t>
      </w:r>
    </w:p>
    <w:p w14:paraId="0651145D">
      <w:pPr>
        <w:pStyle w:val="102"/>
        <w:numPr>
          <w:ilvl w:val="0"/>
          <w:numId w:val="32"/>
        </w:numPr>
        <w:tabs>
          <w:tab w:val="left" w:pos="420"/>
        </w:tabs>
        <w:adjustRightInd w:val="0"/>
        <w:spacing w:line="360" w:lineRule="auto"/>
        <w:ind w:firstLineChars="0"/>
        <w:rPr>
          <w:rFonts w:ascii="Times New Roman" w:hAnsi="Times New Roman"/>
          <w:szCs w:val="21"/>
        </w:rPr>
      </w:pPr>
      <w:r>
        <w:rPr>
          <w:rFonts w:hint="eastAsia" w:ascii="Times New Roman" w:hAnsi="Times New Roman"/>
          <w:szCs w:val="21"/>
        </w:rPr>
        <w:t>最大信号有效距离：20公里（CE/SRRC/MIC）：40 公里（FCC）</w:t>
      </w:r>
    </w:p>
    <w:p w14:paraId="6F86FA84">
      <w:pPr>
        <w:pStyle w:val="102"/>
        <w:numPr>
          <w:ilvl w:val="0"/>
          <w:numId w:val="32"/>
        </w:numPr>
        <w:tabs>
          <w:tab w:val="left" w:pos="420"/>
        </w:tabs>
        <w:adjustRightInd w:val="0"/>
        <w:spacing w:line="360" w:lineRule="auto"/>
        <w:ind w:firstLineChars="0"/>
        <w:rPr>
          <w:rFonts w:ascii="Times New Roman" w:hAnsi="Times New Roman"/>
          <w:szCs w:val="21"/>
        </w:rPr>
      </w:pPr>
      <w:r>
        <w:rPr>
          <w:rFonts w:hint="eastAsia" w:ascii="Times New Roman" w:hAnsi="Times New Roman"/>
          <w:szCs w:val="21"/>
        </w:rPr>
        <w:t>照明灯：前方、下方</w:t>
      </w:r>
    </w:p>
    <w:p w14:paraId="284585C7">
      <w:pPr>
        <w:pStyle w:val="102"/>
        <w:numPr>
          <w:ilvl w:val="0"/>
          <w:numId w:val="32"/>
        </w:numPr>
        <w:tabs>
          <w:tab w:val="left" w:pos="420"/>
        </w:tabs>
        <w:adjustRightInd w:val="0"/>
        <w:spacing w:line="360" w:lineRule="auto"/>
        <w:ind w:firstLineChars="0"/>
        <w:rPr>
          <w:rFonts w:ascii="Times New Roman" w:hAnsi="Times New Roman"/>
          <w:szCs w:val="21"/>
        </w:rPr>
      </w:pPr>
      <w:r>
        <w:rPr>
          <w:rFonts w:hint="eastAsia" w:ascii="Times New Roman" w:hAnsi="Times New Roman"/>
          <w:szCs w:val="21"/>
        </w:rPr>
        <w:t>降落伞：最低安全开伞高度：100米；材料：尼龙；报警方式：蜂鸣报警、灯光报警；开伞方式：手动开伞、自动开伞</w:t>
      </w:r>
    </w:p>
    <w:p w14:paraId="0E29E575">
      <w:pPr>
        <w:pStyle w:val="102"/>
        <w:numPr>
          <w:ilvl w:val="0"/>
          <w:numId w:val="32"/>
        </w:numPr>
        <w:tabs>
          <w:tab w:val="left" w:pos="420"/>
        </w:tabs>
        <w:adjustRightInd w:val="0"/>
        <w:spacing w:line="360" w:lineRule="auto"/>
        <w:ind w:firstLineChars="0"/>
        <w:rPr>
          <w:rFonts w:ascii="Times New Roman" w:hAnsi="Times New Roman"/>
          <w:szCs w:val="21"/>
        </w:rPr>
      </w:pPr>
      <w:r>
        <w:rPr>
          <w:rFonts w:hint="eastAsia" w:ascii="Times New Roman" w:hAnsi="Times New Roman"/>
          <w:szCs w:val="21"/>
        </w:rPr>
        <w:t>卫星定位：</w:t>
      </w:r>
      <w:r>
        <w:rPr>
          <w:rFonts w:hint="eastAsia"/>
          <w:szCs w:val="21"/>
        </w:rPr>
        <w:t>仅支持BDS且兼容北斗3号及以下卫星系统</w:t>
      </w:r>
    </w:p>
    <w:p w14:paraId="78547BE3">
      <w:pPr>
        <w:pStyle w:val="102"/>
        <w:numPr>
          <w:ilvl w:val="255"/>
          <w:numId w:val="0"/>
        </w:numPr>
        <w:tabs>
          <w:tab w:val="left" w:pos="420"/>
        </w:tabs>
        <w:adjustRightInd w:val="0"/>
        <w:spacing w:line="360" w:lineRule="auto"/>
        <w:ind w:left="420"/>
        <w:rPr>
          <w:rFonts w:ascii="Times New Roman" w:hAnsi="Times New Roman"/>
          <w:szCs w:val="21"/>
        </w:rPr>
      </w:pPr>
      <w:r>
        <w:rPr>
          <w:rFonts w:hint="eastAsia" w:ascii="Times New Roman" w:hAnsi="Times New Roman"/>
          <w:szCs w:val="21"/>
        </w:rPr>
        <w:t>大型农业无人机</w:t>
      </w:r>
    </w:p>
    <w:p w14:paraId="5C21B11E">
      <w:pPr>
        <w:pStyle w:val="102"/>
        <w:numPr>
          <w:ilvl w:val="0"/>
          <w:numId w:val="33"/>
        </w:numPr>
        <w:tabs>
          <w:tab w:val="left" w:pos="420"/>
        </w:tabs>
        <w:adjustRightInd w:val="0"/>
        <w:spacing w:line="360" w:lineRule="auto"/>
        <w:ind w:firstLineChars="0"/>
        <w:rPr>
          <w:rFonts w:ascii="Times New Roman" w:hAnsi="Times New Roman"/>
          <w:szCs w:val="21"/>
        </w:rPr>
      </w:pPr>
      <w:r>
        <w:rPr>
          <w:rFonts w:ascii="Times New Roman" w:hAnsi="Times New Roman"/>
          <w:szCs w:val="21"/>
        </w:rPr>
        <w:t>空机重量：</w:t>
      </w:r>
      <w:r>
        <w:rPr>
          <w:rFonts w:hint="eastAsia" w:ascii="Times New Roman" w:hAnsi="Times New Roman"/>
          <w:szCs w:val="21"/>
        </w:rPr>
        <w:t>≥</w:t>
      </w:r>
      <w:r>
        <w:rPr>
          <w:rFonts w:ascii="Times New Roman" w:hAnsi="Times New Roman"/>
          <w:szCs w:val="21"/>
        </w:rPr>
        <w:t>92.3kg（配备标准吊运系统，不含降落伞），不含电池</w:t>
      </w:r>
    </w:p>
    <w:p w14:paraId="1394BD45">
      <w:pPr>
        <w:pStyle w:val="102"/>
        <w:numPr>
          <w:ilvl w:val="0"/>
          <w:numId w:val="33"/>
        </w:numPr>
        <w:tabs>
          <w:tab w:val="left" w:pos="420"/>
        </w:tabs>
        <w:adjustRightInd w:val="0"/>
        <w:spacing w:line="360" w:lineRule="auto"/>
        <w:ind w:firstLineChars="0"/>
        <w:rPr>
          <w:rFonts w:ascii="Times New Roman" w:hAnsi="Times New Roman"/>
          <w:szCs w:val="21"/>
        </w:rPr>
      </w:pPr>
      <w:r>
        <w:rPr>
          <w:rFonts w:ascii="Times New Roman" w:hAnsi="Times New Roman"/>
          <w:szCs w:val="21"/>
        </w:rPr>
        <w:t>最大轴距：2699mm（对角线）</w:t>
      </w:r>
    </w:p>
    <w:p w14:paraId="4C2DACB9">
      <w:pPr>
        <w:pStyle w:val="102"/>
        <w:numPr>
          <w:ilvl w:val="0"/>
          <w:numId w:val="33"/>
        </w:numPr>
        <w:tabs>
          <w:tab w:val="left" w:pos="420"/>
        </w:tabs>
        <w:adjustRightInd w:val="0"/>
        <w:spacing w:line="360" w:lineRule="auto"/>
        <w:ind w:firstLineChars="0"/>
        <w:rPr>
          <w:rFonts w:ascii="Times New Roman" w:hAnsi="Times New Roman"/>
          <w:szCs w:val="21"/>
        </w:rPr>
      </w:pPr>
      <w:r>
        <w:rPr>
          <w:rFonts w:ascii="Times New Roman" w:hAnsi="Times New Roman"/>
          <w:szCs w:val="21"/>
        </w:rPr>
        <w:t>外形尺寸：展开：</w:t>
      </w:r>
      <w:r>
        <w:rPr>
          <w:rFonts w:hint="eastAsia" w:ascii="Times New Roman" w:hAnsi="Times New Roman"/>
          <w:szCs w:val="21"/>
        </w:rPr>
        <w:t>≥</w:t>
      </w:r>
      <w:r>
        <w:rPr>
          <w:rFonts w:ascii="Times New Roman" w:hAnsi="Times New Roman"/>
          <w:szCs w:val="21"/>
        </w:rPr>
        <w:t>3334×3055×1045mm</w:t>
      </w:r>
      <w:r>
        <w:rPr>
          <w:rFonts w:hint="eastAsia" w:ascii="Times New Roman" w:hAnsi="Times New Roman"/>
          <w:szCs w:val="21"/>
        </w:rPr>
        <w:t>；</w:t>
      </w:r>
      <w:r>
        <w:rPr>
          <w:rFonts w:ascii="Times New Roman" w:hAnsi="Times New Roman"/>
          <w:szCs w:val="21"/>
        </w:rPr>
        <w:t>桨叶折叠：</w:t>
      </w:r>
      <w:r>
        <w:rPr>
          <w:rFonts w:hint="eastAsia" w:ascii="Times New Roman" w:hAnsi="Times New Roman"/>
          <w:szCs w:val="21"/>
        </w:rPr>
        <w:t>≤</w:t>
      </w:r>
      <w:r>
        <w:rPr>
          <w:rFonts w:ascii="Times New Roman" w:hAnsi="Times New Roman"/>
          <w:szCs w:val="21"/>
        </w:rPr>
        <w:t>1786×1852×1045mm</w:t>
      </w:r>
      <w:r>
        <w:rPr>
          <w:rFonts w:hint="eastAsia" w:ascii="Times New Roman" w:hAnsi="Times New Roman"/>
          <w:szCs w:val="21"/>
        </w:rPr>
        <w:t>；</w:t>
      </w:r>
      <w:r>
        <w:rPr>
          <w:rFonts w:ascii="Times New Roman" w:hAnsi="Times New Roman"/>
          <w:szCs w:val="21"/>
        </w:rPr>
        <w:t>全折叠：</w:t>
      </w:r>
      <w:r>
        <w:rPr>
          <w:rFonts w:hint="eastAsia" w:ascii="Times New Roman" w:hAnsi="Times New Roman"/>
          <w:szCs w:val="21"/>
        </w:rPr>
        <w:t>≤</w:t>
      </w:r>
      <w:r>
        <w:rPr>
          <w:rFonts w:ascii="Times New Roman" w:hAnsi="Times New Roman"/>
          <w:szCs w:val="21"/>
        </w:rPr>
        <w:t>1154×984×1045mm</w:t>
      </w:r>
    </w:p>
    <w:p w14:paraId="0F4818F1">
      <w:pPr>
        <w:pStyle w:val="102"/>
        <w:numPr>
          <w:ilvl w:val="0"/>
          <w:numId w:val="33"/>
        </w:numPr>
        <w:tabs>
          <w:tab w:val="left" w:pos="420"/>
        </w:tabs>
        <w:adjustRightInd w:val="0"/>
        <w:spacing w:line="360" w:lineRule="auto"/>
        <w:ind w:firstLineChars="0"/>
        <w:rPr>
          <w:rFonts w:ascii="Times New Roman" w:hAnsi="Times New Roman"/>
          <w:szCs w:val="21"/>
        </w:rPr>
      </w:pPr>
      <w:r>
        <w:rPr>
          <w:rFonts w:ascii="Times New Roman" w:hAnsi="Times New Roman"/>
          <w:szCs w:val="21"/>
        </w:rPr>
        <w:t>电池数量：支持双电、四电</w:t>
      </w:r>
    </w:p>
    <w:p w14:paraId="5BF17FF5">
      <w:pPr>
        <w:pStyle w:val="102"/>
        <w:numPr>
          <w:ilvl w:val="0"/>
          <w:numId w:val="33"/>
        </w:numPr>
        <w:tabs>
          <w:tab w:val="left" w:pos="420"/>
        </w:tabs>
        <w:adjustRightInd w:val="0"/>
        <w:spacing w:line="360" w:lineRule="auto"/>
        <w:ind w:firstLineChars="0"/>
        <w:rPr>
          <w:rFonts w:ascii="Times New Roman" w:hAnsi="Times New Roman"/>
          <w:szCs w:val="21"/>
        </w:rPr>
      </w:pPr>
      <w:r>
        <w:rPr>
          <w:rFonts w:ascii="Times New Roman" w:hAnsi="Times New Roman"/>
          <w:szCs w:val="21"/>
        </w:rPr>
        <w:t>最大悬停时间：满载：四电7min/双电4min；空载：四电25min/双电17min</w:t>
      </w:r>
    </w:p>
    <w:p w14:paraId="1894419A">
      <w:pPr>
        <w:pStyle w:val="102"/>
        <w:numPr>
          <w:ilvl w:val="0"/>
          <w:numId w:val="33"/>
        </w:numPr>
        <w:tabs>
          <w:tab w:val="left" w:pos="420"/>
        </w:tabs>
        <w:adjustRightInd w:val="0"/>
        <w:spacing w:line="360" w:lineRule="auto"/>
        <w:ind w:firstLineChars="0"/>
        <w:rPr>
          <w:rFonts w:ascii="Times New Roman" w:hAnsi="Times New Roman"/>
          <w:szCs w:val="21"/>
        </w:rPr>
      </w:pPr>
      <w:r>
        <w:rPr>
          <w:rFonts w:ascii="Times New Roman" w:hAnsi="Times New Roman"/>
          <w:szCs w:val="21"/>
        </w:rPr>
        <w:t>防护等级：IP55</w:t>
      </w:r>
    </w:p>
    <w:p w14:paraId="0AA57835">
      <w:pPr>
        <w:pStyle w:val="102"/>
        <w:numPr>
          <w:ilvl w:val="0"/>
          <w:numId w:val="33"/>
        </w:numPr>
        <w:tabs>
          <w:tab w:val="left" w:pos="420"/>
        </w:tabs>
        <w:adjustRightInd w:val="0"/>
        <w:spacing w:line="360" w:lineRule="auto"/>
        <w:ind w:firstLineChars="0"/>
        <w:rPr>
          <w:rFonts w:ascii="Times New Roman" w:hAnsi="Times New Roman"/>
          <w:szCs w:val="21"/>
        </w:rPr>
      </w:pPr>
      <w:r>
        <w:rPr>
          <w:rFonts w:ascii="Times New Roman" w:hAnsi="Times New Roman"/>
          <w:szCs w:val="21"/>
        </w:rPr>
        <w:t>悬停精度：RTK： ±10cm（水平/垂直）/ 普通： ±0.6m（水平）/ ±0.3m（垂直）</w:t>
      </w:r>
    </w:p>
    <w:p w14:paraId="090132C5">
      <w:pPr>
        <w:pStyle w:val="102"/>
        <w:numPr>
          <w:ilvl w:val="0"/>
          <w:numId w:val="33"/>
        </w:numPr>
        <w:tabs>
          <w:tab w:val="left" w:pos="420"/>
        </w:tabs>
        <w:adjustRightInd w:val="0"/>
        <w:spacing w:line="360" w:lineRule="auto"/>
        <w:ind w:firstLineChars="0"/>
        <w:rPr>
          <w:rFonts w:ascii="Times New Roman" w:hAnsi="Times New Roman"/>
          <w:szCs w:val="21"/>
        </w:rPr>
      </w:pPr>
      <w:r>
        <w:rPr>
          <w:rFonts w:ascii="Times New Roman" w:hAnsi="Times New Roman"/>
          <w:szCs w:val="21"/>
        </w:rPr>
        <w:t>最大上升/下降速度：5m/s</w:t>
      </w:r>
    </w:p>
    <w:p w14:paraId="0E0554CF">
      <w:pPr>
        <w:pStyle w:val="102"/>
        <w:numPr>
          <w:ilvl w:val="0"/>
          <w:numId w:val="33"/>
        </w:numPr>
        <w:tabs>
          <w:tab w:val="left" w:pos="420"/>
        </w:tabs>
        <w:adjustRightInd w:val="0"/>
        <w:spacing w:line="360" w:lineRule="auto"/>
        <w:ind w:firstLineChars="0"/>
        <w:rPr>
          <w:rFonts w:ascii="Times New Roman" w:hAnsi="Times New Roman"/>
          <w:szCs w:val="21"/>
        </w:rPr>
      </w:pPr>
      <w:r>
        <w:rPr>
          <w:rFonts w:ascii="Times New Roman" w:hAnsi="Times New Roman"/>
          <w:szCs w:val="21"/>
        </w:rPr>
        <w:t>最大抗风速度：6m/s</w:t>
      </w:r>
    </w:p>
    <w:p w14:paraId="7D93473D">
      <w:pPr>
        <w:pStyle w:val="102"/>
        <w:numPr>
          <w:ilvl w:val="0"/>
          <w:numId w:val="33"/>
        </w:numPr>
        <w:tabs>
          <w:tab w:val="left" w:pos="420"/>
        </w:tabs>
        <w:adjustRightInd w:val="0"/>
        <w:spacing w:line="360" w:lineRule="auto"/>
        <w:ind w:firstLineChars="0"/>
        <w:rPr>
          <w:rFonts w:ascii="Times New Roman" w:hAnsi="Times New Roman"/>
          <w:szCs w:val="21"/>
        </w:rPr>
      </w:pPr>
      <w:r>
        <w:rPr>
          <w:rFonts w:ascii="Times New Roman" w:hAnsi="Times New Roman"/>
          <w:szCs w:val="21"/>
        </w:rPr>
        <w:t>安全系统类型：360度旋转毫米波雷达</w:t>
      </w:r>
      <w:r>
        <w:rPr>
          <w:rFonts w:hint="eastAsia" w:ascii="Times New Roman" w:hAnsi="Times New Roman"/>
          <w:szCs w:val="21"/>
        </w:rPr>
        <w:t>；</w:t>
      </w:r>
      <w:r>
        <w:rPr>
          <w:rFonts w:ascii="Times New Roman" w:hAnsi="Times New Roman"/>
          <w:szCs w:val="21"/>
        </w:rPr>
        <w:t>后方毫米波雷达；下方毫米波雷达；激光雷达；三目鱼眼视觉；双FPV</w:t>
      </w:r>
      <w:r>
        <w:rPr>
          <w:rFonts w:hint="eastAsia" w:ascii="Times New Roman" w:hAnsi="Times New Roman"/>
          <w:szCs w:val="21"/>
        </w:rPr>
        <w:t>；</w:t>
      </w:r>
      <w:r>
        <w:rPr>
          <w:rFonts w:ascii="Times New Roman" w:hAnsi="Times New Roman"/>
          <w:szCs w:val="21"/>
        </w:rPr>
        <w:t>后方双目视觉</w:t>
      </w:r>
    </w:p>
    <w:p w14:paraId="1620D84A">
      <w:pPr>
        <w:pStyle w:val="102"/>
        <w:numPr>
          <w:ilvl w:val="0"/>
          <w:numId w:val="33"/>
        </w:numPr>
        <w:tabs>
          <w:tab w:val="left" w:pos="420"/>
        </w:tabs>
        <w:adjustRightInd w:val="0"/>
        <w:spacing w:line="360" w:lineRule="auto"/>
        <w:ind w:firstLineChars="0"/>
        <w:rPr>
          <w:rFonts w:ascii="Times New Roman" w:hAnsi="Times New Roman"/>
          <w:szCs w:val="21"/>
        </w:rPr>
      </w:pPr>
      <w:r>
        <w:rPr>
          <w:rFonts w:ascii="Times New Roman" w:hAnsi="Times New Roman"/>
          <w:szCs w:val="21"/>
        </w:rPr>
        <w:t>毫米波雷达 EIRP：&lt; 20 dBm（ NCC / MIC / KC / CE / FCC ）</w:t>
      </w:r>
      <w:r>
        <w:rPr>
          <w:rFonts w:hint="eastAsia" w:ascii="Times New Roman" w:hAnsi="Times New Roman"/>
          <w:szCs w:val="21"/>
        </w:rPr>
        <w:t>；</w:t>
      </w:r>
      <w:r>
        <w:rPr>
          <w:rFonts w:ascii="Times New Roman" w:hAnsi="Times New Roman"/>
          <w:szCs w:val="21"/>
        </w:rPr>
        <w:t>&lt; 13 dBm（MIC）</w:t>
      </w:r>
    </w:p>
    <w:p w14:paraId="05163C5E">
      <w:pPr>
        <w:pStyle w:val="102"/>
        <w:numPr>
          <w:ilvl w:val="0"/>
          <w:numId w:val="33"/>
        </w:numPr>
        <w:tabs>
          <w:tab w:val="left" w:pos="420"/>
        </w:tabs>
        <w:adjustRightInd w:val="0"/>
        <w:spacing w:line="360" w:lineRule="auto"/>
        <w:ind w:firstLineChars="0"/>
        <w:rPr>
          <w:rFonts w:ascii="Times New Roman" w:hAnsi="Times New Roman"/>
          <w:szCs w:val="21"/>
        </w:rPr>
      </w:pPr>
      <w:r>
        <w:rPr>
          <w:rFonts w:ascii="Times New Roman" w:hAnsi="Times New Roman"/>
          <w:szCs w:val="21"/>
        </w:rPr>
        <w:t>测距范围：最大120m</w:t>
      </w:r>
    </w:p>
    <w:p w14:paraId="41169F71">
      <w:pPr>
        <w:pStyle w:val="102"/>
        <w:numPr>
          <w:ilvl w:val="0"/>
          <w:numId w:val="33"/>
        </w:numPr>
        <w:tabs>
          <w:tab w:val="left" w:pos="420"/>
        </w:tabs>
        <w:adjustRightInd w:val="0"/>
        <w:spacing w:line="360" w:lineRule="auto"/>
        <w:ind w:firstLineChars="0"/>
        <w:rPr>
          <w:rFonts w:ascii="Times New Roman" w:hAnsi="Times New Roman"/>
          <w:szCs w:val="21"/>
        </w:rPr>
      </w:pPr>
      <w:r>
        <w:rPr>
          <w:rFonts w:ascii="Times New Roman" w:hAnsi="Times New Roman"/>
          <w:szCs w:val="21"/>
        </w:rPr>
        <w:t>照明灯：前方、下方</w:t>
      </w:r>
    </w:p>
    <w:p w14:paraId="1BEF7BDC">
      <w:pPr>
        <w:pStyle w:val="102"/>
        <w:numPr>
          <w:ilvl w:val="0"/>
          <w:numId w:val="33"/>
        </w:numPr>
        <w:tabs>
          <w:tab w:val="left" w:pos="420"/>
        </w:tabs>
        <w:adjustRightInd w:val="0"/>
        <w:spacing w:line="360" w:lineRule="auto"/>
        <w:ind w:firstLineChars="0"/>
        <w:rPr>
          <w:rFonts w:ascii="Times New Roman" w:hAnsi="Times New Roman"/>
          <w:szCs w:val="21"/>
        </w:rPr>
      </w:pPr>
      <w:r>
        <w:rPr>
          <w:rFonts w:hint="eastAsia" w:ascii="Times New Roman" w:hAnsi="Times New Roman"/>
          <w:szCs w:val="21"/>
        </w:rPr>
        <w:t>卫星定位：</w:t>
      </w:r>
      <w:r>
        <w:rPr>
          <w:rFonts w:hint="eastAsia"/>
          <w:szCs w:val="21"/>
        </w:rPr>
        <w:t>仅支持BDS且兼容北斗3号及以下卫星系统</w:t>
      </w:r>
    </w:p>
    <w:p w14:paraId="4D6F572D">
      <w:pPr>
        <w:pStyle w:val="3"/>
        <w:spacing w:before="0" w:after="0" w:line="360" w:lineRule="auto"/>
        <w:rPr>
          <w:rFonts w:hint="eastAsia" w:ascii="黑体" w:hAnsi="黑体"/>
          <w:b w:val="0"/>
          <w:bCs/>
          <w:szCs w:val="21"/>
        </w:rPr>
      </w:pPr>
      <w:bookmarkStart w:id="92" w:name="_Toc14573"/>
      <w:bookmarkStart w:id="93" w:name="_Toc76025489"/>
      <w:bookmarkStart w:id="94" w:name="_Toc1947"/>
      <w:bookmarkStart w:id="95" w:name="_Toc222991616"/>
      <w:bookmarkStart w:id="96" w:name="_Toc21715"/>
      <w:r>
        <w:rPr>
          <w:rFonts w:ascii="黑体" w:hAnsi="黑体"/>
          <w:b w:val="0"/>
          <w:bCs/>
          <w:szCs w:val="21"/>
        </w:rPr>
        <w:t>5.2</w:t>
      </w:r>
      <w:r>
        <w:rPr>
          <w:rFonts w:hint="eastAsia" w:ascii="黑体" w:hAnsi="黑体"/>
          <w:b w:val="0"/>
          <w:bCs/>
          <w:szCs w:val="21"/>
        </w:rPr>
        <w:t xml:space="preserve"> 遥控器技术要求</w:t>
      </w:r>
      <w:bookmarkEnd w:id="92"/>
      <w:bookmarkEnd w:id="93"/>
      <w:bookmarkEnd w:id="94"/>
      <w:bookmarkEnd w:id="95"/>
      <w:bookmarkEnd w:id="96"/>
    </w:p>
    <w:p w14:paraId="4370324A">
      <w:pPr>
        <w:ind w:firstLine="420"/>
      </w:pPr>
      <w:r>
        <w:rPr>
          <w:rFonts w:hint="eastAsia"/>
        </w:rPr>
        <w:t>旗舰重载无人机遥控器</w:t>
      </w:r>
    </w:p>
    <w:p w14:paraId="42460BA9">
      <w:pPr>
        <w:pStyle w:val="102"/>
        <w:numPr>
          <w:ilvl w:val="0"/>
          <w:numId w:val="34"/>
        </w:numPr>
        <w:tabs>
          <w:tab w:val="left" w:pos="851"/>
        </w:tabs>
        <w:spacing w:line="360" w:lineRule="auto"/>
        <w:ind w:left="420" w:firstLine="0" w:firstLineChars="0"/>
        <w:rPr>
          <w:rFonts w:ascii="Times New Roman" w:hAnsi="Times New Roman"/>
          <w:szCs w:val="21"/>
        </w:rPr>
      </w:pPr>
      <w:r>
        <w:rPr>
          <w:rFonts w:hint="eastAsia" w:ascii="宋体" w:hAnsi="宋体" w:cs="宋体"/>
          <w:color w:val="000000"/>
          <w:kern w:val="0"/>
          <w:szCs w:val="21"/>
          <w:lang w:bidi="ar"/>
        </w:rPr>
        <w:t>显示屏：</w:t>
      </w:r>
      <w:r>
        <w:rPr>
          <w:rFonts w:hint="eastAsia" w:ascii="宋体" w:hAnsi="宋体" w:cs="宋体"/>
          <w:szCs w:val="21"/>
        </w:rPr>
        <w:t>7 英寸触控液晶显示屏，分辨率 1920 × 1200，亮度 1400 cd/m²。</w:t>
      </w:r>
    </w:p>
    <w:p w14:paraId="143A36E0">
      <w:pPr>
        <w:pStyle w:val="102"/>
        <w:numPr>
          <w:ilvl w:val="0"/>
          <w:numId w:val="34"/>
        </w:numPr>
        <w:tabs>
          <w:tab w:val="left" w:pos="851"/>
        </w:tabs>
        <w:spacing w:line="360" w:lineRule="auto"/>
        <w:ind w:left="420" w:firstLine="0" w:firstLineChars="0"/>
        <w:rPr>
          <w:rFonts w:ascii="Times New Roman" w:hAnsi="Times New Roman"/>
          <w:szCs w:val="21"/>
        </w:rPr>
      </w:pPr>
      <w:r>
        <w:rPr>
          <w:rFonts w:hint="eastAsia" w:ascii="宋体" w:hAnsi="宋体" w:cs="宋体"/>
          <w:color w:val="000000"/>
          <w:kern w:val="0"/>
          <w:szCs w:val="21"/>
          <w:lang w:bidi="ar"/>
        </w:rPr>
        <w:t>充电环境温度：</w:t>
      </w:r>
      <w:r>
        <w:rPr>
          <w:rFonts w:hint="eastAsia" w:ascii="宋体" w:hAnsi="宋体" w:cs="宋体"/>
          <w:szCs w:val="21"/>
        </w:rPr>
        <w:t>5℃ 至 40℃。</w:t>
      </w:r>
    </w:p>
    <w:p w14:paraId="1857F91B">
      <w:pPr>
        <w:pStyle w:val="102"/>
        <w:numPr>
          <w:ilvl w:val="0"/>
          <w:numId w:val="34"/>
        </w:numPr>
        <w:tabs>
          <w:tab w:val="left" w:pos="851"/>
        </w:tabs>
        <w:spacing w:line="360" w:lineRule="auto"/>
        <w:ind w:left="420" w:firstLine="0" w:firstLineChars="0"/>
        <w:rPr>
          <w:rFonts w:ascii="Times New Roman" w:hAnsi="Times New Roman"/>
          <w:szCs w:val="21"/>
        </w:rPr>
      </w:pPr>
      <w:r>
        <w:rPr>
          <w:rFonts w:hint="eastAsia" w:ascii="宋体" w:hAnsi="宋体" w:cs="宋体"/>
          <w:color w:val="000000"/>
          <w:kern w:val="0"/>
          <w:szCs w:val="21"/>
          <w:lang w:bidi="ar"/>
        </w:rPr>
        <w:t>续航时间： ≥</w:t>
      </w:r>
      <w:r>
        <w:rPr>
          <w:rFonts w:hint="eastAsia" w:ascii="宋体" w:hAnsi="宋体" w:cs="宋体"/>
          <w:szCs w:val="21"/>
        </w:rPr>
        <w:t>内置电池：3.8小时；外置电池：3.2小时。</w:t>
      </w:r>
    </w:p>
    <w:p w14:paraId="01FC5076">
      <w:pPr>
        <w:pStyle w:val="102"/>
        <w:numPr>
          <w:ilvl w:val="0"/>
          <w:numId w:val="34"/>
        </w:numPr>
        <w:tabs>
          <w:tab w:val="left" w:pos="851"/>
        </w:tabs>
        <w:spacing w:line="360" w:lineRule="auto"/>
        <w:ind w:left="420" w:firstLine="0" w:firstLineChars="0"/>
        <w:rPr>
          <w:rFonts w:ascii="Times New Roman" w:hAnsi="Times New Roman"/>
          <w:szCs w:val="21"/>
        </w:rPr>
      </w:pPr>
      <w:r>
        <w:rPr>
          <w:rFonts w:hint="eastAsia" w:ascii="宋体" w:hAnsi="宋体" w:cs="宋体"/>
          <w:color w:val="000000"/>
          <w:kern w:val="0"/>
          <w:szCs w:val="21"/>
          <w:lang w:bidi="ar"/>
        </w:rPr>
        <w:t>充电时间： ≤</w:t>
      </w:r>
      <w:r>
        <w:rPr>
          <w:rFonts w:hint="eastAsia" w:ascii="宋体" w:hAnsi="宋体" w:cs="宋体"/>
          <w:szCs w:val="21"/>
        </w:rPr>
        <w:t>2小时。</w:t>
      </w:r>
    </w:p>
    <w:p w14:paraId="47A77591">
      <w:pPr>
        <w:pStyle w:val="102"/>
        <w:numPr>
          <w:ilvl w:val="0"/>
          <w:numId w:val="34"/>
        </w:numPr>
        <w:tabs>
          <w:tab w:val="left" w:pos="851"/>
        </w:tabs>
        <w:spacing w:line="360" w:lineRule="auto"/>
        <w:ind w:left="420" w:firstLine="0" w:firstLineChars="0"/>
        <w:rPr>
          <w:rFonts w:ascii="Times New Roman" w:hAnsi="Times New Roman"/>
          <w:szCs w:val="21"/>
        </w:rPr>
      </w:pPr>
      <w:r>
        <w:rPr>
          <w:rFonts w:hint="eastAsia" w:ascii="宋体" w:hAnsi="宋体" w:cs="宋体"/>
          <w:color w:val="000000"/>
          <w:kern w:val="0"/>
          <w:szCs w:val="21"/>
          <w:lang w:bidi="ar"/>
        </w:rPr>
        <w:t>4G增强图传：</w:t>
      </w:r>
      <w:r>
        <w:rPr>
          <w:rFonts w:hint="eastAsia" w:ascii="宋体" w:hAnsi="宋体" w:cs="宋体"/>
          <w:szCs w:val="21"/>
        </w:rPr>
        <w:t>支持。</w:t>
      </w:r>
    </w:p>
    <w:p w14:paraId="7E560614">
      <w:pPr>
        <w:pStyle w:val="102"/>
        <w:numPr>
          <w:ilvl w:val="0"/>
          <w:numId w:val="34"/>
        </w:numPr>
        <w:tabs>
          <w:tab w:val="left" w:pos="851"/>
        </w:tabs>
        <w:spacing w:line="360" w:lineRule="auto"/>
        <w:ind w:left="420" w:firstLine="0" w:firstLineChars="0"/>
        <w:rPr>
          <w:rFonts w:ascii="Times New Roman" w:hAnsi="Times New Roman"/>
          <w:szCs w:val="21"/>
        </w:rPr>
      </w:pPr>
      <w:r>
        <w:rPr>
          <w:rFonts w:hint="eastAsia" w:ascii="宋体" w:hAnsi="宋体" w:cs="宋体"/>
          <w:color w:val="000000"/>
          <w:kern w:val="0"/>
          <w:szCs w:val="21"/>
          <w:lang w:bidi="ar"/>
        </w:rPr>
        <w:t>RTK高精度定位模块：</w:t>
      </w:r>
      <w:r>
        <w:rPr>
          <w:rFonts w:hint="eastAsia" w:ascii="宋体" w:hAnsi="宋体" w:cs="宋体"/>
          <w:szCs w:val="21"/>
        </w:rPr>
        <w:t>支持。</w:t>
      </w:r>
    </w:p>
    <w:p w14:paraId="7D932868">
      <w:pPr>
        <w:pStyle w:val="102"/>
        <w:numPr>
          <w:ilvl w:val="0"/>
          <w:numId w:val="34"/>
        </w:numPr>
        <w:tabs>
          <w:tab w:val="left" w:pos="851"/>
        </w:tabs>
        <w:spacing w:line="360" w:lineRule="auto"/>
        <w:ind w:left="420" w:firstLine="0" w:firstLineChars="0"/>
        <w:rPr>
          <w:rFonts w:ascii="Times New Roman" w:hAnsi="Times New Roman"/>
          <w:szCs w:val="21"/>
        </w:rPr>
      </w:pPr>
      <w:r>
        <w:rPr>
          <w:rFonts w:hint="eastAsia" w:ascii="宋体" w:hAnsi="宋体" w:cs="宋体"/>
          <w:szCs w:val="21"/>
        </w:rPr>
        <w:t>App：搭载运载app</w:t>
      </w:r>
    </w:p>
    <w:p w14:paraId="118219B7">
      <w:pPr>
        <w:pStyle w:val="102"/>
        <w:numPr>
          <w:ilvl w:val="255"/>
          <w:numId w:val="0"/>
        </w:numPr>
        <w:tabs>
          <w:tab w:val="left" w:pos="851"/>
        </w:tabs>
        <w:spacing w:line="360" w:lineRule="auto"/>
        <w:ind w:left="420"/>
        <w:rPr>
          <w:rFonts w:ascii="Times New Roman" w:hAnsi="Times New Roman"/>
          <w:szCs w:val="21"/>
        </w:rPr>
      </w:pPr>
      <w:r>
        <w:rPr>
          <w:rFonts w:hint="eastAsia" w:ascii="Times New Roman" w:hAnsi="Times New Roman"/>
          <w:szCs w:val="21"/>
        </w:rPr>
        <w:t>大型农业无人机遥控器</w:t>
      </w:r>
    </w:p>
    <w:p w14:paraId="472145BD">
      <w:pPr>
        <w:pStyle w:val="102"/>
        <w:numPr>
          <w:ilvl w:val="0"/>
          <w:numId w:val="35"/>
        </w:numPr>
        <w:tabs>
          <w:tab w:val="left" w:pos="420"/>
          <w:tab w:val="left" w:pos="851"/>
        </w:tabs>
        <w:spacing w:line="360" w:lineRule="auto"/>
        <w:ind w:firstLineChars="0"/>
        <w:jc w:val="left"/>
        <w:rPr>
          <w:rFonts w:ascii="Times New Roman" w:hAnsi="Times New Roman"/>
          <w:szCs w:val="21"/>
        </w:rPr>
      </w:pPr>
      <w:r>
        <w:rPr>
          <w:rFonts w:hint="eastAsia" w:ascii="Times New Roman" w:hAnsi="Times New Roman"/>
          <w:szCs w:val="21"/>
        </w:rPr>
        <w:t xml:space="preserve">  显示屏：7 英寸触控液晶显示屏，分辨率 1920 × 1200，亮度 1400 cd/m²。</w:t>
      </w:r>
    </w:p>
    <w:p w14:paraId="627D4FB4">
      <w:pPr>
        <w:pStyle w:val="102"/>
        <w:numPr>
          <w:ilvl w:val="0"/>
          <w:numId w:val="35"/>
        </w:numPr>
        <w:tabs>
          <w:tab w:val="left" w:pos="420"/>
          <w:tab w:val="left" w:pos="851"/>
        </w:tabs>
        <w:spacing w:line="360" w:lineRule="auto"/>
        <w:ind w:firstLineChars="0"/>
        <w:jc w:val="left"/>
        <w:rPr>
          <w:rFonts w:ascii="Times New Roman" w:hAnsi="Times New Roman"/>
          <w:szCs w:val="21"/>
        </w:rPr>
      </w:pPr>
      <w:r>
        <w:rPr>
          <w:rFonts w:hint="eastAsia" w:ascii="Times New Roman" w:hAnsi="Times New Roman"/>
          <w:szCs w:val="21"/>
        </w:rPr>
        <w:t xml:space="preserve">  充电环境温度：覆盖范围5℃ 至 40℃。</w:t>
      </w:r>
    </w:p>
    <w:p w14:paraId="7C67A9BE">
      <w:pPr>
        <w:pStyle w:val="102"/>
        <w:numPr>
          <w:ilvl w:val="0"/>
          <w:numId w:val="35"/>
        </w:numPr>
        <w:tabs>
          <w:tab w:val="left" w:pos="420"/>
          <w:tab w:val="left" w:pos="851"/>
        </w:tabs>
        <w:spacing w:line="360" w:lineRule="auto"/>
        <w:ind w:firstLineChars="0"/>
        <w:jc w:val="left"/>
        <w:rPr>
          <w:rFonts w:ascii="Times New Roman" w:hAnsi="Times New Roman"/>
          <w:szCs w:val="21"/>
        </w:rPr>
      </w:pPr>
      <w:r>
        <w:rPr>
          <w:rFonts w:hint="eastAsia" w:ascii="Times New Roman" w:hAnsi="Times New Roman"/>
          <w:szCs w:val="21"/>
        </w:rPr>
        <w:t xml:space="preserve">  续航时间： ≥内置电池：3.8小时；外置电池：3.2小时。</w:t>
      </w:r>
    </w:p>
    <w:p w14:paraId="2FE7D9CE">
      <w:pPr>
        <w:pStyle w:val="102"/>
        <w:numPr>
          <w:ilvl w:val="0"/>
          <w:numId w:val="35"/>
        </w:numPr>
        <w:tabs>
          <w:tab w:val="left" w:pos="420"/>
          <w:tab w:val="left" w:pos="851"/>
        </w:tabs>
        <w:spacing w:line="360" w:lineRule="auto"/>
        <w:ind w:firstLineChars="0"/>
        <w:jc w:val="left"/>
        <w:rPr>
          <w:rFonts w:ascii="Times New Roman" w:hAnsi="Times New Roman"/>
          <w:szCs w:val="21"/>
        </w:rPr>
      </w:pPr>
      <w:r>
        <w:rPr>
          <w:rFonts w:hint="eastAsia" w:ascii="Times New Roman" w:hAnsi="Times New Roman"/>
          <w:szCs w:val="21"/>
        </w:rPr>
        <w:t xml:space="preserve">  充电时间： ≤2小时。</w:t>
      </w:r>
    </w:p>
    <w:p w14:paraId="6C9B905F">
      <w:pPr>
        <w:pStyle w:val="102"/>
        <w:numPr>
          <w:ilvl w:val="0"/>
          <w:numId w:val="35"/>
        </w:numPr>
        <w:tabs>
          <w:tab w:val="left" w:pos="420"/>
          <w:tab w:val="left" w:pos="851"/>
        </w:tabs>
        <w:spacing w:line="360" w:lineRule="auto"/>
        <w:ind w:firstLineChars="0"/>
        <w:jc w:val="left"/>
        <w:rPr>
          <w:rFonts w:ascii="Times New Roman" w:hAnsi="Times New Roman"/>
          <w:szCs w:val="21"/>
        </w:rPr>
      </w:pPr>
      <w:r>
        <w:rPr>
          <w:rFonts w:hint="eastAsia" w:ascii="Times New Roman" w:hAnsi="Times New Roman"/>
          <w:szCs w:val="21"/>
        </w:rPr>
        <w:t xml:space="preserve">  4G增强图传：支持。</w:t>
      </w:r>
    </w:p>
    <w:p w14:paraId="26FE72DE">
      <w:pPr>
        <w:pStyle w:val="102"/>
        <w:numPr>
          <w:ilvl w:val="0"/>
          <w:numId w:val="35"/>
        </w:numPr>
        <w:tabs>
          <w:tab w:val="left" w:pos="420"/>
          <w:tab w:val="left" w:pos="851"/>
        </w:tabs>
        <w:spacing w:line="360" w:lineRule="auto"/>
        <w:ind w:firstLineChars="0"/>
        <w:jc w:val="left"/>
        <w:rPr>
          <w:rFonts w:ascii="Times New Roman" w:hAnsi="Times New Roman"/>
          <w:szCs w:val="21"/>
        </w:rPr>
      </w:pPr>
      <w:r>
        <w:rPr>
          <w:rFonts w:hint="eastAsia" w:ascii="Times New Roman" w:hAnsi="Times New Roman"/>
          <w:szCs w:val="21"/>
        </w:rPr>
        <w:t xml:space="preserve">  RTK高精度定位模块：支持。</w:t>
      </w:r>
    </w:p>
    <w:p w14:paraId="0A8966EC">
      <w:pPr>
        <w:pStyle w:val="102"/>
        <w:numPr>
          <w:ilvl w:val="0"/>
          <w:numId w:val="35"/>
        </w:numPr>
        <w:tabs>
          <w:tab w:val="left" w:pos="420"/>
          <w:tab w:val="left" w:pos="851"/>
        </w:tabs>
        <w:spacing w:line="360" w:lineRule="auto"/>
        <w:ind w:firstLineChars="0"/>
        <w:jc w:val="left"/>
        <w:rPr>
          <w:rFonts w:ascii="Times New Roman" w:hAnsi="Times New Roman"/>
          <w:szCs w:val="21"/>
        </w:rPr>
      </w:pPr>
      <w:r>
        <w:rPr>
          <w:rFonts w:hint="eastAsia" w:ascii="Times New Roman" w:hAnsi="Times New Roman"/>
          <w:szCs w:val="21"/>
        </w:rPr>
        <w:t xml:space="preserve">  工作环境温度：覆盖范围-20℃ 至 50℃</w:t>
      </w:r>
    </w:p>
    <w:p w14:paraId="543E2F05">
      <w:pPr>
        <w:pStyle w:val="102"/>
        <w:numPr>
          <w:ilvl w:val="0"/>
          <w:numId w:val="35"/>
        </w:numPr>
        <w:tabs>
          <w:tab w:val="left" w:pos="420"/>
          <w:tab w:val="left" w:pos="851"/>
        </w:tabs>
        <w:spacing w:line="360" w:lineRule="auto"/>
        <w:ind w:firstLineChars="0"/>
        <w:jc w:val="left"/>
        <w:rPr>
          <w:rFonts w:ascii="Times New Roman" w:hAnsi="Times New Roman"/>
          <w:szCs w:val="21"/>
        </w:rPr>
      </w:pPr>
      <w:r>
        <w:rPr>
          <w:rFonts w:hint="eastAsia" w:ascii="Times New Roman" w:hAnsi="Times New Roman"/>
          <w:szCs w:val="21"/>
        </w:rPr>
        <w:t xml:space="preserve">  App：搭载农业app</w:t>
      </w:r>
    </w:p>
    <w:p w14:paraId="709EB100">
      <w:pPr>
        <w:pStyle w:val="3"/>
        <w:adjustRightInd w:val="0"/>
        <w:spacing w:line="360" w:lineRule="auto"/>
        <w:rPr>
          <w:szCs w:val="21"/>
        </w:rPr>
      </w:pPr>
      <w:bookmarkStart w:id="97" w:name="_Toc3918"/>
      <w:bookmarkStart w:id="98" w:name="_Toc76025490"/>
      <w:bookmarkStart w:id="99" w:name="_Toc6365"/>
      <w:bookmarkStart w:id="100" w:name="_Toc222991617"/>
      <w:bookmarkStart w:id="101" w:name="_Toc1823"/>
      <w:r>
        <w:rPr>
          <w:rFonts w:hint="eastAsia" w:ascii="黑体" w:hAnsi="黑体"/>
          <w:b w:val="0"/>
          <w:bCs/>
          <w:szCs w:val="21"/>
        </w:rPr>
        <w:t>5</w:t>
      </w:r>
      <w:r>
        <w:rPr>
          <w:rFonts w:ascii="黑体" w:hAnsi="黑体"/>
          <w:b w:val="0"/>
          <w:bCs/>
          <w:szCs w:val="21"/>
        </w:rPr>
        <w:t xml:space="preserve">.3 </w:t>
      </w:r>
      <w:r>
        <w:rPr>
          <w:rFonts w:hint="eastAsia" w:ascii="黑体" w:hAnsi="黑体"/>
          <w:b w:val="0"/>
          <w:bCs/>
          <w:szCs w:val="21"/>
        </w:rPr>
        <w:t>电池技术要求</w:t>
      </w:r>
      <w:bookmarkEnd w:id="97"/>
      <w:bookmarkEnd w:id="98"/>
      <w:bookmarkEnd w:id="99"/>
      <w:bookmarkEnd w:id="100"/>
      <w:bookmarkEnd w:id="101"/>
    </w:p>
    <w:p w14:paraId="12F93335">
      <w:pPr>
        <w:numPr>
          <w:ilvl w:val="255"/>
          <w:numId w:val="0"/>
        </w:numPr>
        <w:adjustRightInd w:val="0"/>
        <w:spacing w:line="360" w:lineRule="auto"/>
        <w:rPr>
          <w:szCs w:val="21"/>
        </w:rPr>
      </w:pPr>
      <w:r>
        <w:rPr>
          <w:rFonts w:hint="eastAsia"/>
          <w:szCs w:val="21"/>
        </w:rPr>
        <w:t>旗舰重载无人机及大型植保机智能飞行电池</w:t>
      </w:r>
    </w:p>
    <w:p w14:paraId="7D2E226F">
      <w:pPr>
        <w:numPr>
          <w:ilvl w:val="0"/>
          <w:numId w:val="36"/>
        </w:numPr>
        <w:tabs>
          <w:tab w:val="left" w:pos="420"/>
          <w:tab w:val="clear" w:pos="840"/>
        </w:tabs>
        <w:adjustRightInd w:val="0"/>
        <w:spacing w:line="360" w:lineRule="auto"/>
        <w:rPr>
          <w:szCs w:val="21"/>
        </w:rPr>
      </w:pPr>
      <w:r>
        <w:rPr>
          <w:rFonts w:hint="eastAsia"/>
          <w:szCs w:val="21"/>
        </w:rPr>
        <w:t>重量：16±0.3kg。</w:t>
      </w:r>
    </w:p>
    <w:p w14:paraId="6DEC06A4">
      <w:pPr>
        <w:numPr>
          <w:ilvl w:val="0"/>
          <w:numId w:val="36"/>
        </w:numPr>
        <w:tabs>
          <w:tab w:val="left" w:pos="420"/>
          <w:tab w:val="clear" w:pos="840"/>
        </w:tabs>
        <w:adjustRightInd w:val="0"/>
        <w:spacing w:line="360" w:lineRule="auto"/>
        <w:rPr>
          <w:szCs w:val="21"/>
        </w:rPr>
      </w:pPr>
      <w:r>
        <w:rPr>
          <w:rFonts w:hint="eastAsia"/>
          <w:szCs w:val="21"/>
        </w:rPr>
        <w:t>容量：46Ah。</w:t>
      </w:r>
    </w:p>
    <w:p w14:paraId="12C7A769">
      <w:pPr>
        <w:numPr>
          <w:ilvl w:val="0"/>
          <w:numId w:val="36"/>
        </w:numPr>
        <w:tabs>
          <w:tab w:val="left" w:pos="420"/>
          <w:tab w:val="clear" w:pos="840"/>
        </w:tabs>
        <w:adjustRightInd w:val="0"/>
        <w:spacing w:line="360" w:lineRule="auto"/>
        <w:rPr>
          <w:szCs w:val="21"/>
        </w:rPr>
      </w:pPr>
      <w:r>
        <w:rPr>
          <w:rFonts w:hint="eastAsia"/>
          <w:szCs w:val="21"/>
        </w:rPr>
        <w:t>标称电压：52.22V。</w:t>
      </w:r>
    </w:p>
    <w:p w14:paraId="106E14EE">
      <w:pPr>
        <w:numPr>
          <w:ilvl w:val="0"/>
          <w:numId w:val="36"/>
        </w:numPr>
        <w:tabs>
          <w:tab w:val="left" w:pos="420"/>
          <w:tab w:val="clear" w:pos="840"/>
        </w:tabs>
        <w:adjustRightInd w:val="0"/>
        <w:spacing w:line="360" w:lineRule="auto"/>
        <w:rPr>
          <w:szCs w:val="21"/>
        </w:rPr>
      </w:pPr>
      <w:r>
        <w:rPr>
          <w:rFonts w:hint="eastAsia"/>
          <w:szCs w:val="21"/>
        </w:rPr>
        <w:t>循环寿命：≥1500次/24个月。</w:t>
      </w:r>
    </w:p>
    <w:p w14:paraId="6A25A143">
      <w:pPr>
        <w:pStyle w:val="3"/>
        <w:spacing w:before="0" w:after="0" w:line="360" w:lineRule="auto"/>
        <w:rPr>
          <w:rFonts w:hint="eastAsia" w:ascii="黑体" w:hAnsi="黑体"/>
          <w:b w:val="0"/>
          <w:bCs/>
          <w:szCs w:val="21"/>
        </w:rPr>
      </w:pPr>
      <w:bookmarkStart w:id="102" w:name="_Toc222991618"/>
      <w:bookmarkStart w:id="103" w:name="_Toc14285"/>
      <w:bookmarkStart w:id="104" w:name="_Toc76025491"/>
      <w:bookmarkStart w:id="105" w:name="_Toc10050"/>
      <w:bookmarkStart w:id="106" w:name="_Toc7010"/>
      <w:r>
        <w:rPr>
          <w:rFonts w:hint="eastAsia" w:ascii="黑体" w:hAnsi="黑体"/>
          <w:b w:val="0"/>
          <w:bCs/>
          <w:szCs w:val="21"/>
        </w:rPr>
        <w:t>5</w:t>
      </w:r>
      <w:r>
        <w:rPr>
          <w:rFonts w:ascii="黑体" w:hAnsi="黑体"/>
          <w:b w:val="0"/>
          <w:bCs/>
          <w:szCs w:val="21"/>
        </w:rPr>
        <w:t>.</w:t>
      </w:r>
      <w:r>
        <w:rPr>
          <w:rFonts w:hint="eastAsia" w:ascii="黑体" w:hAnsi="黑体"/>
          <w:b w:val="0"/>
          <w:bCs/>
          <w:szCs w:val="21"/>
        </w:rPr>
        <w:t>4</w:t>
      </w:r>
      <w:r>
        <w:rPr>
          <w:rFonts w:ascii="黑体" w:hAnsi="黑体"/>
          <w:b w:val="0"/>
          <w:bCs/>
          <w:szCs w:val="21"/>
        </w:rPr>
        <w:t xml:space="preserve"> </w:t>
      </w:r>
      <w:r>
        <w:rPr>
          <w:rFonts w:hint="eastAsia" w:ascii="黑体" w:hAnsi="黑体"/>
          <w:b w:val="0"/>
          <w:bCs/>
          <w:szCs w:val="21"/>
        </w:rPr>
        <w:t>智能充电器技术要求</w:t>
      </w:r>
      <w:bookmarkEnd w:id="102"/>
      <w:bookmarkEnd w:id="103"/>
      <w:bookmarkEnd w:id="104"/>
      <w:bookmarkEnd w:id="105"/>
      <w:bookmarkEnd w:id="106"/>
    </w:p>
    <w:p w14:paraId="40A86706">
      <w:pPr>
        <w:tabs>
          <w:tab w:val="left" w:pos="851"/>
        </w:tabs>
        <w:adjustRightInd w:val="0"/>
        <w:spacing w:line="360" w:lineRule="auto"/>
        <w:ind w:left="420"/>
        <w:rPr>
          <w:rFonts w:hint="eastAsia" w:ascii="宋体" w:hAnsi="宋体" w:cs="宋体"/>
          <w:szCs w:val="21"/>
        </w:rPr>
      </w:pPr>
      <w:r>
        <w:rPr>
          <w:rFonts w:hint="eastAsia" w:ascii="宋体" w:hAnsi="宋体" w:cs="宋体"/>
          <w:szCs w:val="21"/>
        </w:rPr>
        <w:t>旗舰重载无人机及大型植保机智能充电器</w:t>
      </w:r>
    </w:p>
    <w:p w14:paraId="1785294C">
      <w:pPr>
        <w:numPr>
          <w:ilvl w:val="0"/>
          <w:numId w:val="37"/>
        </w:numPr>
        <w:tabs>
          <w:tab w:val="left" w:pos="420"/>
          <w:tab w:val="left" w:pos="851"/>
          <w:tab w:val="clear" w:pos="840"/>
        </w:tabs>
        <w:adjustRightInd w:val="0"/>
        <w:spacing w:line="360" w:lineRule="auto"/>
        <w:rPr>
          <w:rFonts w:hint="eastAsia" w:ascii="宋体" w:hAnsi="宋体" w:cs="宋体"/>
          <w:szCs w:val="21"/>
        </w:rPr>
      </w:pPr>
      <w:r>
        <w:rPr>
          <w:rFonts w:hint="eastAsia" w:ascii="宋体" w:hAnsi="宋体" w:cs="宋体"/>
          <w:szCs w:val="21"/>
        </w:rPr>
        <w:t>尺寸：430毫米*540毫米*432毫米</w:t>
      </w:r>
    </w:p>
    <w:p w14:paraId="6A8E1376">
      <w:pPr>
        <w:numPr>
          <w:ilvl w:val="0"/>
          <w:numId w:val="37"/>
        </w:numPr>
        <w:tabs>
          <w:tab w:val="left" w:pos="420"/>
          <w:tab w:val="left" w:pos="851"/>
          <w:tab w:val="clear" w:pos="840"/>
        </w:tabs>
        <w:adjustRightInd w:val="0"/>
        <w:spacing w:line="360" w:lineRule="auto"/>
        <w:rPr>
          <w:rFonts w:hint="eastAsia" w:ascii="宋体" w:hAnsi="宋体" w:cs="宋体"/>
          <w:szCs w:val="21"/>
        </w:rPr>
      </w:pPr>
      <w:r>
        <w:rPr>
          <w:rFonts w:hint="eastAsia" w:ascii="宋体" w:hAnsi="宋体" w:cs="宋体"/>
          <w:szCs w:val="21"/>
        </w:rPr>
        <w:t>重量：24.5千克</w:t>
      </w:r>
    </w:p>
    <w:p w14:paraId="678D8150">
      <w:pPr>
        <w:numPr>
          <w:ilvl w:val="0"/>
          <w:numId w:val="37"/>
        </w:numPr>
        <w:tabs>
          <w:tab w:val="left" w:pos="420"/>
          <w:tab w:val="left" w:pos="851"/>
          <w:tab w:val="clear" w:pos="840"/>
        </w:tabs>
        <w:adjustRightInd w:val="0"/>
        <w:spacing w:line="360" w:lineRule="auto"/>
        <w:rPr>
          <w:rFonts w:hint="eastAsia" w:ascii="宋体" w:hAnsi="宋体" w:cs="宋体"/>
          <w:szCs w:val="21"/>
        </w:rPr>
      </w:pPr>
      <w:r>
        <w:rPr>
          <w:rFonts w:hint="eastAsia" w:ascii="宋体" w:hAnsi="宋体" w:cs="宋体"/>
          <w:szCs w:val="21"/>
        </w:rPr>
        <w:t>输入电压：三相交流电输入：175-530V</w:t>
      </w:r>
    </w:p>
    <w:p w14:paraId="3AA6C609">
      <w:pPr>
        <w:numPr>
          <w:ilvl w:val="0"/>
          <w:numId w:val="37"/>
        </w:numPr>
        <w:tabs>
          <w:tab w:val="left" w:pos="420"/>
          <w:tab w:val="left" w:pos="851"/>
          <w:tab w:val="clear" w:pos="840"/>
        </w:tabs>
        <w:adjustRightInd w:val="0"/>
        <w:spacing w:line="360" w:lineRule="auto"/>
        <w:rPr>
          <w:rFonts w:hint="eastAsia" w:ascii="宋体" w:hAnsi="宋体" w:cs="宋体"/>
          <w:szCs w:val="21"/>
        </w:rPr>
      </w:pPr>
      <w:r>
        <w:rPr>
          <w:rFonts w:hint="eastAsia" w:ascii="宋体" w:hAnsi="宋体" w:cs="宋体"/>
          <w:szCs w:val="21"/>
        </w:rPr>
        <w:t>：单相交流电输入：175-264V</w:t>
      </w:r>
    </w:p>
    <w:p w14:paraId="2B08174B">
      <w:pPr>
        <w:numPr>
          <w:ilvl w:val="0"/>
          <w:numId w:val="37"/>
        </w:numPr>
        <w:tabs>
          <w:tab w:val="left" w:pos="420"/>
          <w:tab w:val="left" w:pos="851"/>
          <w:tab w:val="clear" w:pos="840"/>
        </w:tabs>
        <w:adjustRightInd w:val="0"/>
        <w:spacing w:line="360" w:lineRule="auto"/>
        <w:rPr>
          <w:rFonts w:hint="eastAsia" w:ascii="宋体" w:hAnsi="宋体" w:cs="宋体"/>
          <w:szCs w:val="21"/>
        </w:rPr>
      </w:pPr>
      <w:r>
        <w:rPr>
          <w:rFonts w:hint="eastAsia" w:ascii="宋体" w:hAnsi="宋体" w:cs="宋体"/>
          <w:szCs w:val="21"/>
        </w:rPr>
        <w:t>输出电压：62V</w:t>
      </w:r>
    </w:p>
    <w:p w14:paraId="707271C8">
      <w:pPr>
        <w:numPr>
          <w:ilvl w:val="0"/>
          <w:numId w:val="37"/>
        </w:numPr>
        <w:tabs>
          <w:tab w:val="left" w:pos="420"/>
          <w:tab w:val="left" w:pos="851"/>
          <w:tab w:val="clear" w:pos="840"/>
        </w:tabs>
        <w:adjustRightInd w:val="0"/>
        <w:spacing w:line="360" w:lineRule="auto"/>
        <w:rPr>
          <w:rFonts w:hint="eastAsia" w:ascii="宋体" w:hAnsi="宋体" w:cs="宋体"/>
          <w:szCs w:val="21"/>
        </w:rPr>
      </w:pPr>
      <w:r>
        <w:rPr>
          <w:rFonts w:hint="eastAsia" w:ascii="宋体" w:hAnsi="宋体" w:cs="宋体"/>
          <w:szCs w:val="21"/>
        </w:rPr>
        <w:t>额定功率：18000W（360~510Vac）3000W（200~254Vac）</w:t>
      </w:r>
    </w:p>
    <w:p w14:paraId="7184082E">
      <w:pPr>
        <w:numPr>
          <w:ilvl w:val="0"/>
          <w:numId w:val="37"/>
        </w:numPr>
        <w:tabs>
          <w:tab w:val="left" w:pos="420"/>
          <w:tab w:val="left" w:pos="851"/>
          <w:tab w:val="clear" w:pos="840"/>
        </w:tabs>
        <w:adjustRightInd w:val="0"/>
        <w:spacing w:line="360" w:lineRule="auto"/>
        <w:rPr>
          <w:rFonts w:hint="eastAsia" w:ascii="宋体" w:hAnsi="宋体" w:cs="宋体"/>
          <w:szCs w:val="21"/>
        </w:rPr>
      </w:pPr>
      <w:r>
        <w:rPr>
          <w:rFonts w:hint="eastAsia" w:ascii="宋体" w:hAnsi="宋体" w:cs="宋体"/>
          <w:szCs w:val="21"/>
        </w:rPr>
        <w:t>充电时间：轮充模式：7~8min；并充模式：12~13min</w:t>
      </w:r>
    </w:p>
    <w:p w14:paraId="713AB6BB">
      <w:pPr>
        <w:numPr>
          <w:ilvl w:val="0"/>
          <w:numId w:val="37"/>
        </w:numPr>
        <w:tabs>
          <w:tab w:val="left" w:pos="420"/>
          <w:tab w:val="left" w:pos="851"/>
          <w:tab w:val="clear" w:pos="840"/>
        </w:tabs>
        <w:adjustRightInd w:val="0"/>
        <w:spacing w:line="360" w:lineRule="auto"/>
        <w:rPr>
          <w:rFonts w:hint="eastAsia" w:ascii="宋体" w:hAnsi="宋体" w:cs="宋体"/>
          <w:szCs w:val="21"/>
        </w:rPr>
      </w:pPr>
      <w:r>
        <w:rPr>
          <w:rFonts w:hint="eastAsia" w:ascii="宋体" w:hAnsi="宋体" w:cs="宋体"/>
          <w:szCs w:val="21"/>
        </w:rPr>
        <w:t>保护功能：过温，过压，欠压，过流，风扇堵转等保护功能</w:t>
      </w:r>
    </w:p>
    <w:p w14:paraId="74812508">
      <w:pPr>
        <w:numPr>
          <w:ilvl w:val="0"/>
          <w:numId w:val="37"/>
        </w:numPr>
        <w:tabs>
          <w:tab w:val="left" w:pos="420"/>
          <w:tab w:val="left" w:pos="851"/>
          <w:tab w:val="clear" w:pos="840"/>
        </w:tabs>
        <w:adjustRightInd w:val="0"/>
        <w:spacing w:line="360" w:lineRule="auto"/>
        <w:rPr>
          <w:rFonts w:hint="eastAsia" w:ascii="宋体" w:hAnsi="宋体" w:cs="宋体"/>
          <w:szCs w:val="21"/>
        </w:rPr>
      </w:pPr>
      <w:r>
        <w:rPr>
          <w:rFonts w:hint="eastAsia" w:ascii="宋体" w:hAnsi="宋体" w:cs="宋体"/>
          <w:szCs w:val="21"/>
        </w:rPr>
        <w:t>工作环境温度：覆盖范围-20℃~50℃</w:t>
      </w:r>
    </w:p>
    <w:p w14:paraId="1976A2EA">
      <w:pPr>
        <w:pStyle w:val="3"/>
        <w:spacing w:before="0" w:after="0" w:line="360" w:lineRule="auto"/>
        <w:rPr>
          <w:rFonts w:hint="eastAsia" w:ascii="黑体" w:hAnsi="黑体"/>
          <w:b w:val="0"/>
          <w:bCs/>
          <w:szCs w:val="21"/>
        </w:rPr>
      </w:pPr>
      <w:bookmarkStart w:id="107" w:name="_Toc17782"/>
      <w:bookmarkStart w:id="108" w:name="_Toc76025492"/>
      <w:bookmarkStart w:id="109" w:name="_Toc13171"/>
      <w:bookmarkStart w:id="110" w:name="_Toc28288"/>
      <w:bookmarkStart w:id="111" w:name="_Toc222991619"/>
      <w:r>
        <w:rPr>
          <w:rFonts w:hint="eastAsia" w:ascii="黑体" w:hAnsi="黑体"/>
          <w:b w:val="0"/>
          <w:bCs/>
          <w:szCs w:val="21"/>
        </w:rPr>
        <w:t>5</w:t>
      </w:r>
      <w:r>
        <w:rPr>
          <w:rFonts w:ascii="黑体" w:hAnsi="黑体"/>
          <w:b w:val="0"/>
          <w:bCs/>
          <w:szCs w:val="21"/>
        </w:rPr>
        <w:t>.</w:t>
      </w:r>
      <w:r>
        <w:rPr>
          <w:rFonts w:hint="eastAsia" w:ascii="黑体" w:hAnsi="黑体"/>
          <w:b w:val="0"/>
          <w:bCs/>
          <w:szCs w:val="21"/>
        </w:rPr>
        <w:t>5</w:t>
      </w:r>
      <w:r>
        <w:rPr>
          <w:rFonts w:ascii="黑体" w:hAnsi="黑体"/>
          <w:b w:val="0"/>
          <w:bCs/>
          <w:szCs w:val="21"/>
        </w:rPr>
        <w:t xml:space="preserve"> </w:t>
      </w:r>
      <w:r>
        <w:rPr>
          <w:rFonts w:hint="eastAsia" w:ascii="黑体" w:hAnsi="黑体"/>
          <w:b w:val="0"/>
          <w:bCs/>
          <w:szCs w:val="21"/>
        </w:rPr>
        <w:t>全能变频充电站技术要求</w:t>
      </w:r>
      <w:bookmarkEnd w:id="107"/>
      <w:bookmarkEnd w:id="108"/>
      <w:bookmarkEnd w:id="109"/>
      <w:bookmarkEnd w:id="110"/>
      <w:bookmarkEnd w:id="111"/>
    </w:p>
    <w:p w14:paraId="775499FC">
      <w:pPr>
        <w:numPr>
          <w:ilvl w:val="0"/>
          <w:numId w:val="38"/>
        </w:numPr>
        <w:tabs>
          <w:tab w:val="left" w:pos="420"/>
          <w:tab w:val="left" w:pos="851"/>
          <w:tab w:val="clear" w:pos="840"/>
        </w:tabs>
        <w:adjustRightInd w:val="0"/>
        <w:spacing w:line="360" w:lineRule="auto"/>
        <w:rPr>
          <w:szCs w:val="21"/>
        </w:rPr>
      </w:pPr>
      <w:r>
        <w:rPr>
          <w:rFonts w:hint="eastAsia" w:ascii="宋体" w:hAnsi="宋体" w:cs="宋体"/>
          <w:color w:val="000000"/>
          <w:kern w:val="0"/>
          <w:szCs w:val="21"/>
          <w:lang w:bidi="ar"/>
        </w:rPr>
        <w:t>输出通道： 1. 直流充电输出 42-61.6V/11500W；2. 风冷散热器供电 12V/6A；3. 交流输出 220V/1500W。</w:t>
      </w:r>
    </w:p>
    <w:p w14:paraId="03A4547B">
      <w:pPr>
        <w:numPr>
          <w:ilvl w:val="0"/>
          <w:numId w:val="38"/>
        </w:numPr>
        <w:tabs>
          <w:tab w:val="left" w:pos="420"/>
          <w:tab w:val="left" w:pos="851"/>
          <w:tab w:val="clear" w:pos="840"/>
        </w:tabs>
        <w:adjustRightInd w:val="0"/>
        <w:spacing w:line="360" w:lineRule="auto"/>
        <w:rPr>
          <w:szCs w:val="21"/>
        </w:rPr>
      </w:pPr>
      <w:r>
        <w:rPr>
          <w:rFonts w:hint="eastAsia" w:ascii="宋体" w:hAnsi="宋体" w:cs="宋体"/>
          <w:color w:val="000000"/>
          <w:kern w:val="0"/>
          <w:szCs w:val="21"/>
          <w:lang w:bidi="ar"/>
        </w:rPr>
        <w:t>充电时间：≤</w:t>
      </w:r>
      <w:r>
        <w:rPr>
          <w:rFonts w:hint="eastAsia" w:ascii="宋体" w:hAnsi="宋体" w:cs="宋体"/>
          <w:szCs w:val="21"/>
        </w:rPr>
        <w:t>9分钟。</w:t>
      </w:r>
    </w:p>
    <w:p w14:paraId="5249B6F1">
      <w:pPr>
        <w:numPr>
          <w:ilvl w:val="0"/>
          <w:numId w:val="38"/>
        </w:numPr>
        <w:tabs>
          <w:tab w:val="left" w:pos="420"/>
          <w:tab w:val="left" w:pos="851"/>
          <w:tab w:val="clear" w:pos="840"/>
        </w:tabs>
        <w:adjustRightInd w:val="0"/>
        <w:spacing w:line="360" w:lineRule="auto"/>
        <w:rPr>
          <w:szCs w:val="21"/>
        </w:rPr>
      </w:pPr>
      <w:r>
        <w:rPr>
          <w:rFonts w:hint="eastAsia" w:ascii="宋体" w:hAnsi="宋体" w:cs="宋体"/>
          <w:color w:val="000000"/>
          <w:kern w:val="0"/>
          <w:szCs w:val="21"/>
          <w:lang w:bidi="ar"/>
        </w:rPr>
        <w:t>油箱容量：≥</w:t>
      </w:r>
      <w:r>
        <w:rPr>
          <w:rFonts w:hint="eastAsia" w:ascii="宋体" w:hAnsi="宋体" w:cs="宋体"/>
          <w:szCs w:val="21"/>
        </w:rPr>
        <w:t>30升。</w:t>
      </w:r>
    </w:p>
    <w:p w14:paraId="70FC2798">
      <w:pPr>
        <w:numPr>
          <w:ilvl w:val="0"/>
          <w:numId w:val="38"/>
        </w:numPr>
        <w:tabs>
          <w:tab w:val="left" w:pos="420"/>
          <w:tab w:val="left" w:pos="851"/>
          <w:tab w:val="clear" w:pos="840"/>
        </w:tabs>
        <w:adjustRightInd w:val="0"/>
        <w:spacing w:line="360" w:lineRule="auto"/>
        <w:rPr>
          <w:rFonts w:hint="eastAsia" w:ascii="宋体" w:hAnsi="宋体" w:cs="宋体"/>
          <w:szCs w:val="21"/>
        </w:rPr>
      </w:pPr>
      <w:r>
        <w:rPr>
          <w:rFonts w:hint="eastAsia" w:ascii="宋体" w:hAnsi="宋体" w:cs="宋体"/>
          <w:color w:val="000000"/>
          <w:kern w:val="0"/>
          <w:szCs w:val="21"/>
          <w:lang w:bidi="ar"/>
        </w:rPr>
        <w:t>工作环境温度：覆盖范围-2</w:t>
      </w:r>
      <w:r>
        <w:rPr>
          <w:rFonts w:hint="eastAsia" w:ascii="宋体" w:hAnsi="宋体" w:cs="宋体"/>
          <w:szCs w:val="21"/>
        </w:rPr>
        <w:t>0℃ 至 50℃。</w:t>
      </w:r>
    </w:p>
    <w:p w14:paraId="1487EF94">
      <w:pPr>
        <w:numPr>
          <w:ilvl w:val="0"/>
          <w:numId w:val="38"/>
        </w:numPr>
        <w:tabs>
          <w:tab w:val="left" w:pos="420"/>
          <w:tab w:val="left" w:pos="851"/>
          <w:tab w:val="clear" w:pos="840"/>
        </w:tabs>
        <w:adjustRightInd w:val="0"/>
        <w:spacing w:line="360" w:lineRule="auto"/>
        <w:rPr>
          <w:rFonts w:hint="eastAsia" w:ascii="宋体" w:hAnsi="宋体" w:cs="宋体"/>
          <w:szCs w:val="21"/>
        </w:rPr>
      </w:pPr>
      <w:r>
        <w:rPr>
          <w:rFonts w:hint="eastAsia" w:ascii="宋体" w:hAnsi="宋体" w:cs="宋体"/>
          <w:color w:val="000000"/>
          <w:kern w:val="0"/>
          <w:szCs w:val="21"/>
          <w:lang w:bidi="ar"/>
        </w:rPr>
        <w:t>重量： A版</w:t>
      </w:r>
      <w:r>
        <w:rPr>
          <w:rFonts w:hint="eastAsia" w:ascii="宋体" w:hAnsi="宋体" w:cs="宋体"/>
          <w:szCs w:val="21"/>
        </w:rPr>
        <w:t>85±1 千克、B版83±0.3 千克。</w:t>
      </w:r>
    </w:p>
    <w:p w14:paraId="3DFEAFE5">
      <w:pPr>
        <w:numPr>
          <w:ilvl w:val="0"/>
          <w:numId w:val="38"/>
        </w:numPr>
        <w:tabs>
          <w:tab w:val="left" w:pos="420"/>
          <w:tab w:val="left" w:pos="851"/>
          <w:tab w:val="clear" w:pos="840"/>
        </w:tabs>
        <w:adjustRightInd w:val="0"/>
        <w:spacing w:line="360" w:lineRule="auto"/>
        <w:rPr>
          <w:rFonts w:hint="eastAsia" w:ascii="宋体" w:hAnsi="宋体" w:cs="宋体"/>
          <w:szCs w:val="21"/>
        </w:rPr>
      </w:pPr>
      <w:r>
        <w:rPr>
          <w:rFonts w:hint="eastAsia" w:ascii="宋体" w:hAnsi="宋体" w:cs="宋体"/>
          <w:szCs w:val="21"/>
        </w:rPr>
        <w:t xml:space="preserve"> </w:t>
      </w:r>
      <w:r>
        <w:rPr>
          <w:rFonts w:hint="eastAsia" w:ascii="宋体" w:hAnsi="宋体" w:cs="宋体"/>
          <w:color w:val="000000"/>
          <w:kern w:val="0"/>
          <w:szCs w:val="21"/>
          <w:lang w:bidi="ar"/>
        </w:rPr>
        <w:t xml:space="preserve">燃料类型： </w:t>
      </w:r>
      <w:r>
        <w:rPr>
          <w:rFonts w:hint="eastAsia" w:ascii="宋体" w:hAnsi="宋体" w:cs="宋体"/>
          <w:szCs w:val="21"/>
        </w:rPr>
        <w:t>92# 汽油或以上牌号。</w:t>
      </w:r>
    </w:p>
    <w:p w14:paraId="6EAEC7B2">
      <w:pPr>
        <w:numPr>
          <w:ilvl w:val="0"/>
          <w:numId w:val="38"/>
        </w:numPr>
        <w:tabs>
          <w:tab w:val="left" w:pos="420"/>
          <w:tab w:val="left" w:pos="851"/>
          <w:tab w:val="clear" w:pos="840"/>
        </w:tabs>
        <w:adjustRightInd w:val="0"/>
        <w:spacing w:line="360" w:lineRule="auto"/>
        <w:rPr>
          <w:rFonts w:hint="eastAsia" w:ascii="宋体" w:hAnsi="宋体" w:cs="宋体"/>
          <w:szCs w:val="21"/>
        </w:rPr>
      </w:pPr>
      <w:r>
        <w:rPr>
          <w:rFonts w:hint="eastAsia" w:ascii="宋体" w:hAnsi="宋体" w:cs="宋体"/>
          <w:szCs w:val="21"/>
        </w:rPr>
        <w:t xml:space="preserve"> </w:t>
      </w:r>
      <w:r>
        <w:rPr>
          <w:rFonts w:hint="eastAsia" w:ascii="宋体" w:hAnsi="宋体" w:cs="宋体"/>
          <w:color w:val="000000"/>
          <w:kern w:val="0"/>
          <w:szCs w:val="21"/>
          <w:lang w:bidi="ar"/>
        </w:rPr>
        <w:t xml:space="preserve">油耗： </w:t>
      </w:r>
      <w:r>
        <w:rPr>
          <w:rFonts w:hint="eastAsia" w:ascii="宋体" w:hAnsi="宋体" w:cs="宋体"/>
          <w:szCs w:val="21"/>
        </w:rPr>
        <w:t>500 mL/kWh。</w:t>
      </w:r>
    </w:p>
    <w:p w14:paraId="422FD9E5">
      <w:pPr>
        <w:numPr>
          <w:ilvl w:val="0"/>
          <w:numId w:val="38"/>
        </w:numPr>
        <w:tabs>
          <w:tab w:val="left" w:pos="420"/>
          <w:tab w:val="left" w:pos="851"/>
          <w:tab w:val="clear" w:pos="840"/>
        </w:tabs>
        <w:adjustRightInd w:val="0"/>
        <w:spacing w:line="360" w:lineRule="auto"/>
        <w:rPr>
          <w:rFonts w:hint="eastAsia" w:ascii="宋体" w:hAnsi="宋体" w:cs="宋体"/>
          <w:szCs w:val="21"/>
        </w:rPr>
      </w:pPr>
      <w:r>
        <w:rPr>
          <w:rFonts w:hint="eastAsia" w:ascii="宋体" w:hAnsi="宋体" w:cs="宋体"/>
          <w:szCs w:val="21"/>
        </w:rPr>
        <w:t xml:space="preserve"> </w:t>
      </w:r>
      <w:r>
        <w:rPr>
          <w:rFonts w:hint="eastAsia" w:ascii="宋体" w:hAnsi="宋体" w:cs="宋体"/>
          <w:color w:val="000000"/>
          <w:kern w:val="0"/>
          <w:szCs w:val="21"/>
          <w:lang w:bidi="ar"/>
        </w:rPr>
        <w:t xml:space="preserve">机油容量： </w:t>
      </w:r>
      <w:r>
        <w:rPr>
          <w:rFonts w:hint="eastAsia" w:ascii="宋体" w:hAnsi="宋体" w:cs="宋体"/>
          <w:szCs w:val="21"/>
        </w:rPr>
        <w:t>1.3升。</w:t>
      </w:r>
    </w:p>
    <w:p w14:paraId="40C70520">
      <w:pPr>
        <w:numPr>
          <w:ilvl w:val="0"/>
          <w:numId w:val="38"/>
        </w:numPr>
        <w:tabs>
          <w:tab w:val="left" w:pos="420"/>
          <w:tab w:val="left" w:pos="851"/>
          <w:tab w:val="clear" w:pos="840"/>
        </w:tabs>
        <w:adjustRightInd w:val="0"/>
        <w:spacing w:line="360" w:lineRule="auto"/>
        <w:rPr>
          <w:rFonts w:hint="eastAsia" w:ascii="宋体" w:hAnsi="宋体" w:cs="宋体"/>
          <w:szCs w:val="21"/>
        </w:rPr>
      </w:pPr>
      <w:r>
        <w:rPr>
          <w:rFonts w:hint="eastAsia" w:ascii="宋体" w:hAnsi="宋体" w:cs="宋体"/>
          <w:szCs w:val="21"/>
        </w:rPr>
        <w:t>适配机型：运载无人机（载物无人机）、旗舰重载无人机及大型植保机</w:t>
      </w:r>
    </w:p>
    <w:p w14:paraId="2E1C7BC9">
      <w:pPr>
        <w:pStyle w:val="3"/>
        <w:spacing w:before="0" w:after="0" w:line="360" w:lineRule="auto"/>
        <w:rPr>
          <w:rFonts w:hint="eastAsia" w:ascii="黑体" w:hAnsi="黑体"/>
          <w:b w:val="0"/>
          <w:bCs/>
          <w:szCs w:val="21"/>
        </w:rPr>
      </w:pPr>
      <w:bookmarkStart w:id="112" w:name="_Toc24610"/>
      <w:bookmarkStart w:id="113" w:name="_Toc21486"/>
      <w:bookmarkStart w:id="114" w:name="_Toc30011"/>
      <w:bookmarkStart w:id="115" w:name="_Toc222991620"/>
      <w:bookmarkStart w:id="116" w:name="_Toc76025493"/>
      <w:r>
        <w:rPr>
          <w:rFonts w:hint="eastAsia" w:ascii="黑体" w:hAnsi="黑体"/>
          <w:b w:val="0"/>
          <w:bCs/>
          <w:szCs w:val="21"/>
        </w:rPr>
        <w:t>5</w:t>
      </w:r>
      <w:r>
        <w:rPr>
          <w:rFonts w:ascii="黑体" w:hAnsi="黑体"/>
          <w:b w:val="0"/>
          <w:bCs/>
          <w:szCs w:val="21"/>
        </w:rPr>
        <w:t>.</w:t>
      </w:r>
      <w:r>
        <w:rPr>
          <w:rFonts w:hint="eastAsia" w:ascii="黑体" w:hAnsi="黑体"/>
          <w:b w:val="0"/>
          <w:bCs/>
          <w:szCs w:val="21"/>
        </w:rPr>
        <w:t>6</w:t>
      </w:r>
      <w:r>
        <w:rPr>
          <w:rFonts w:ascii="黑体" w:hAnsi="黑体"/>
          <w:b w:val="0"/>
          <w:bCs/>
          <w:szCs w:val="21"/>
        </w:rPr>
        <w:t xml:space="preserve"> </w:t>
      </w:r>
      <w:r>
        <w:rPr>
          <w:rFonts w:hint="eastAsia" w:ascii="黑体" w:hAnsi="黑体"/>
          <w:b w:val="0"/>
          <w:bCs/>
          <w:szCs w:val="21"/>
        </w:rPr>
        <w:t>吊运系统技术要求</w:t>
      </w:r>
      <w:bookmarkEnd w:id="112"/>
      <w:bookmarkEnd w:id="113"/>
      <w:bookmarkEnd w:id="114"/>
      <w:bookmarkEnd w:id="115"/>
      <w:bookmarkEnd w:id="116"/>
    </w:p>
    <w:p w14:paraId="15C59BB9">
      <w:pPr>
        <w:tabs>
          <w:tab w:val="left" w:pos="851"/>
        </w:tabs>
        <w:adjustRightInd w:val="0"/>
        <w:spacing w:line="360" w:lineRule="auto"/>
        <w:ind w:left="420"/>
        <w:rPr>
          <w:rFonts w:hint="eastAsia" w:ascii="宋体" w:hAnsi="宋体" w:cs="宋体"/>
          <w:bCs/>
          <w:kern w:val="0"/>
          <w:szCs w:val="21"/>
        </w:rPr>
      </w:pPr>
      <w:r>
        <w:rPr>
          <w:rFonts w:hint="eastAsia" w:ascii="宋体" w:hAnsi="宋体" w:cs="宋体"/>
          <w:bCs/>
          <w:kern w:val="0"/>
          <w:szCs w:val="21"/>
        </w:rPr>
        <w:t>标准吊运系统</w:t>
      </w:r>
    </w:p>
    <w:p w14:paraId="58F3C98B">
      <w:pPr>
        <w:numPr>
          <w:ilvl w:val="0"/>
          <w:numId w:val="39"/>
        </w:numPr>
        <w:tabs>
          <w:tab w:val="left" w:pos="420"/>
          <w:tab w:val="left" w:pos="851"/>
          <w:tab w:val="clear" w:pos="840"/>
        </w:tabs>
        <w:adjustRightInd w:val="0"/>
        <w:spacing w:line="360" w:lineRule="auto"/>
        <w:rPr>
          <w:rFonts w:hint="eastAsia" w:ascii="宋体" w:hAnsi="宋体" w:cs="宋体"/>
          <w:bCs/>
          <w:kern w:val="0"/>
          <w:szCs w:val="21"/>
        </w:rPr>
      </w:pPr>
      <w:r>
        <w:rPr>
          <w:rFonts w:ascii="宋体" w:hAnsi="宋体" w:cs="宋体"/>
          <w:bCs/>
          <w:kern w:val="0"/>
          <w:szCs w:val="21"/>
        </w:rPr>
        <w:t>尺寸：994 毫米×677 毫米×690 毫米</w:t>
      </w:r>
    </w:p>
    <w:p w14:paraId="1B87C253">
      <w:pPr>
        <w:numPr>
          <w:ilvl w:val="0"/>
          <w:numId w:val="39"/>
        </w:numPr>
        <w:tabs>
          <w:tab w:val="left" w:pos="420"/>
          <w:tab w:val="left" w:pos="851"/>
          <w:tab w:val="clear" w:pos="840"/>
        </w:tabs>
        <w:adjustRightInd w:val="0"/>
        <w:spacing w:line="360" w:lineRule="auto"/>
        <w:rPr>
          <w:rFonts w:hint="eastAsia" w:ascii="宋体" w:hAnsi="宋体" w:cs="宋体"/>
          <w:bCs/>
          <w:kern w:val="0"/>
          <w:szCs w:val="21"/>
        </w:rPr>
      </w:pPr>
      <w:r>
        <w:rPr>
          <w:rFonts w:ascii="宋体" w:hAnsi="宋体" w:cs="宋体"/>
          <w:bCs/>
          <w:kern w:val="0"/>
          <w:szCs w:val="21"/>
        </w:rPr>
        <w:t>负载能力：</w:t>
      </w:r>
      <w:r>
        <w:rPr>
          <w:rFonts w:hint="eastAsia" w:ascii="宋体" w:hAnsi="宋体" w:cs="宋体"/>
          <w:bCs/>
          <w:kern w:val="0"/>
          <w:szCs w:val="21"/>
        </w:rPr>
        <w:t>≥</w:t>
      </w:r>
      <w:r>
        <w:rPr>
          <w:rFonts w:ascii="宋体" w:hAnsi="宋体" w:cs="宋体"/>
          <w:bCs/>
          <w:kern w:val="0"/>
          <w:szCs w:val="21"/>
        </w:rPr>
        <w:t>200千克</w:t>
      </w:r>
    </w:p>
    <w:p w14:paraId="4236A20D">
      <w:pPr>
        <w:numPr>
          <w:ilvl w:val="0"/>
          <w:numId w:val="39"/>
        </w:numPr>
        <w:tabs>
          <w:tab w:val="left" w:pos="420"/>
          <w:tab w:val="left" w:pos="851"/>
          <w:tab w:val="clear" w:pos="840"/>
        </w:tabs>
        <w:adjustRightInd w:val="0"/>
        <w:spacing w:line="360" w:lineRule="auto"/>
        <w:rPr>
          <w:rFonts w:hint="eastAsia" w:ascii="宋体" w:hAnsi="宋体" w:cs="宋体"/>
          <w:bCs/>
          <w:kern w:val="0"/>
          <w:szCs w:val="21"/>
        </w:rPr>
      </w:pPr>
      <w:r>
        <w:rPr>
          <w:rFonts w:ascii="宋体" w:hAnsi="宋体" w:cs="宋体"/>
          <w:bCs/>
          <w:kern w:val="0"/>
          <w:szCs w:val="21"/>
        </w:rPr>
        <w:t>吊绳长度：</w:t>
      </w:r>
      <w:r>
        <w:rPr>
          <w:rFonts w:hint="eastAsia" w:ascii="宋体" w:hAnsi="宋体" w:cs="宋体"/>
          <w:bCs/>
          <w:kern w:val="0"/>
          <w:szCs w:val="21"/>
        </w:rPr>
        <w:t>≥</w:t>
      </w:r>
      <w:r>
        <w:rPr>
          <w:rFonts w:ascii="宋体" w:hAnsi="宋体" w:cs="宋体"/>
          <w:bCs/>
          <w:kern w:val="0"/>
          <w:szCs w:val="21"/>
        </w:rPr>
        <w:t>15米</w:t>
      </w:r>
    </w:p>
    <w:p w14:paraId="44F39388">
      <w:pPr>
        <w:numPr>
          <w:ilvl w:val="0"/>
          <w:numId w:val="39"/>
        </w:numPr>
        <w:tabs>
          <w:tab w:val="left" w:pos="420"/>
          <w:tab w:val="left" w:pos="851"/>
          <w:tab w:val="clear" w:pos="840"/>
        </w:tabs>
        <w:adjustRightInd w:val="0"/>
        <w:spacing w:line="360" w:lineRule="auto"/>
        <w:rPr>
          <w:rFonts w:hint="eastAsia" w:ascii="宋体" w:hAnsi="宋体" w:cs="宋体"/>
          <w:bCs/>
          <w:kern w:val="0"/>
          <w:szCs w:val="21"/>
        </w:rPr>
      </w:pPr>
      <w:r>
        <w:rPr>
          <w:rFonts w:ascii="宋体" w:hAnsi="宋体" w:cs="宋体"/>
          <w:bCs/>
          <w:kern w:val="0"/>
          <w:szCs w:val="21"/>
        </w:rPr>
        <w:t>应急脱困模式：推杆弃绳脱困</w:t>
      </w:r>
    </w:p>
    <w:p w14:paraId="4F6F94D5">
      <w:pPr>
        <w:numPr>
          <w:ilvl w:val="0"/>
          <w:numId w:val="39"/>
        </w:numPr>
        <w:tabs>
          <w:tab w:val="left" w:pos="420"/>
          <w:tab w:val="left" w:pos="851"/>
          <w:tab w:val="clear" w:pos="840"/>
        </w:tabs>
        <w:adjustRightInd w:val="0"/>
        <w:spacing w:line="360" w:lineRule="auto"/>
        <w:rPr>
          <w:rFonts w:hint="eastAsia" w:ascii="宋体" w:hAnsi="宋体" w:cs="宋体"/>
          <w:bCs/>
          <w:kern w:val="0"/>
          <w:szCs w:val="21"/>
        </w:rPr>
      </w:pPr>
      <w:r>
        <w:rPr>
          <w:rFonts w:ascii="宋体" w:hAnsi="宋体" w:cs="宋体"/>
          <w:bCs/>
          <w:kern w:val="0"/>
          <w:szCs w:val="21"/>
        </w:rPr>
        <w:t>消摆功能：支持</w:t>
      </w:r>
    </w:p>
    <w:p w14:paraId="06AD93B6">
      <w:pPr>
        <w:numPr>
          <w:ilvl w:val="0"/>
          <w:numId w:val="39"/>
        </w:numPr>
        <w:tabs>
          <w:tab w:val="left" w:pos="420"/>
          <w:tab w:val="left" w:pos="851"/>
          <w:tab w:val="clear" w:pos="840"/>
        </w:tabs>
        <w:adjustRightInd w:val="0"/>
        <w:spacing w:line="360" w:lineRule="auto"/>
        <w:rPr>
          <w:rFonts w:hint="eastAsia" w:ascii="宋体" w:hAnsi="宋体" w:cs="宋体"/>
          <w:bCs/>
          <w:kern w:val="0"/>
          <w:szCs w:val="21"/>
        </w:rPr>
      </w:pPr>
      <w:r>
        <w:rPr>
          <w:rFonts w:ascii="宋体" w:hAnsi="宋体" w:cs="宋体"/>
          <w:bCs/>
          <w:kern w:val="0"/>
          <w:szCs w:val="21"/>
        </w:rPr>
        <w:t>称重功能：支持</w:t>
      </w:r>
    </w:p>
    <w:p w14:paraId="4C0868E9">
      <w:pPr>
        <w:numPr>
          <w:ilvl w:val="255"/>
          <w:numId w:val="0"/>
        </w:numPr>
        <w:tabs>
          <w:tab w:val="left" w:pos="420"/>
          <w:tab w:val="left" w:pos="851"/>
        </w:tabs>
        <w:adjustRightInd w:val="0"/>
        <w:spacing w:line="360" w:lineRule="auto"/>
        <w:ind w:left="420"/>
        <w:rPr>
          <w:rFonts w:hint="eastAsia" w:ascii="宋体" w:hAnsi="宋体" w:cs="宋体"/>
          <w:bCs/>
          <w:kern w:val="0"/>
          <w:szCs w:val="21"/>
        </w:rPr>
      </w:pPr>
      <w:r>
        <w:rPr>
          <w:rFonts w:hint="eastAsia" w:ascii="宋体" w:hAnsi="宋体" w:cs="宋体"/>
          <w:bCs/>
          <w:kern w:val="0"/>
          <w:szCs w:val="21"/>
        </w:rPr>
        <w:t>旗舰空吊系统</w:t>
      </w:r>
    </w:p>
    <w:p w14:paraId="79AD8A88">
      <w:pPr>
        <w:numPr>
          <w:ilvl w:val="0"/>
          <w:numId w:val="40"/>
        </w:numPr>
        <w:tabs>
          <w:tab w:val="left" w:pos="420"/>
          <w:tab w:val="left" w:pos="851"/>
          <w:tab w:val="clear" w:pos="840"/>
        </w:tabs>
        <w:adjustRightInd w:val="0"/>
        <w:spacing w:line="360" w:lineRule="auto"/>
        <w:rPr>
          <w:rFonts w:hint="eastAsia" w:ascii="宋体" w:hAnsi="宋体" w:cs="宋体"/>
          <w:bCs/>
          <w:kern w:val="0"/>
          <w:szCs w:val="21"/>
        </w:rPr>
      </w:pPr>
      <w:r>
        <w:rPr>
          <w:rFonts w:ascii="宋体" w:hAnsi="宋体" w:cs="宋体"/>
          <w:bCs/>
          <w:kern w:val="0"/>
          <w:szCs w:val="21"/>
        </w:rPr>
        <w:t>尺寸：994 毫米×677 毫米×690 毫米</w:t>
      </w:r>
    </w:p>
    <w:p w14:paraId="11A88616">
      <w:pPr>
        <w:numPr>
          <w:ilvl w:val="0"/>
          <w:numId w:val="40"/>
        </w:numPr>
        <w:tabs>
          <w:tab w:val="left" w:pos="420"/>
          <w:tab w:val="left" w:pos="851"/>
          <w:tab w:val="clear" w:pos="840"/>
        </w:tabs>
        <w:adjustRightInd w:val="0"/>
        <w:spacing w:line="360" w:lineRule="auto"/>
        <w:rPr>
          <w:rFonts w:hint="eastAsia" w:ascii="宋体" w:hAnsi="宋体" w:cs="宋体"/>
          <w:bCs/>
          <w:kern w:val="0"/>
          <w:szCs w:val="21"/>
        </w:rPr>
      </w:pPr>
      <w:r>
        <w:rPr>
          <w:rFonts w:ascii="宋体" w:hAnsi="宋体" w:cs="宋体"/>
          <w:bCs/>
          <w:kern w:val="0"/>
          <w:szCs w:val="21"/>
        </w:rPr>
        <w:t>挂钩充电方式：无线充电、Type-C 充电</w:t>
      </w:r>
    </w:p>
    <w:p w14:paraId="092CA514">
      <w:pPr>
        <w:numPr>
          <w:ilvl w:val="0"/>
          <w:numId w:val="40"/>
        </w:numPr>
        <w:tabs>
          <w:tab w:val="left" w:pos="420"/>
          <w:tab w:val="left" w:pos="851"/>
          <w:tab w:val="clear" w:pos="840"/>
        </w:tabs>
        <w:adjustRightInd w:val="0"/>
        <w:spacing w:line="360" w:lineRule="auto"/>
        <w:rPr>
          <w:rFonts w:hint="eastAsia" w:ascii="宋体" w:hAnsi="宋体" w:cs="宋体"/>
          <w:bCs/>
          <w:kern w:val="0"/>
          <w:szCs w:val="21"/>
        </w:rPr>
      </w:pPr>
      <w:r>
        <w:rPr>
          <w:rFonts w:ascii="宋体" w:hAnsi="宋体" w:cs="宋体"/>
          <w:bCs/>
          <w:kern w:val="0"/>
          <w:szCs w:val="21"/>
        </w:rPr>
        <w:t>挂钩续航时间：10小时</w:t>
      </w:r>
    </w:p>
    <w:p w14:paraId="10C5B4C1">
      <w:pPr>
        <w:numPr>
          <w:ilvl w:val="0"/>
          <w:numId w:val="40"/>
        </w:numPr>
        <w:tabs>
          <w:tab w:val="left" w:pos="420"/>
          <w:tab w:val="left" w:pos="851"/>
          <w:tab w:val="clear" w:pos="840"/>
        </w:tabs>
        <w:adjustRightInd w:val="0"/>
        <w:spacing w:line="360" w:lineRule="auto"/>
        <w:rPr>
          <w:rFonts w:hint="eastAsia" w:ascii="宋体" w:hAnsi="宋体" w:cs="宋体"/>
          <w:bCs/>
          <w:kern w:val="0"/>
          <w:szCs w:val="21"/>
        </w:rPr>
      </w:pPr>
      <w:r>
        <w:rPr>
          <w:rFonts w:ascii="宋体" w:hAnsi="宋体" w:cs="宋体"/>
          <w:bCs/>
          <w:kern w:val="0"/>
          <w:szCs w:val="21"/>
        </w:rPr>
        <w:t>负载能力：</w:t>
      </w:r>
      <w:r>
        <w:rPr>
          <w:rFonts w:hint="eastAsia" w:ascii="宋体" w:hAnsi="宋体" w:cs="宋体"/>
          <w:bCs/>
          <w:kern w:val="0"/>
          <w:szCs w:val="21"/>
        </w:rPr>
        <w:t>≥</w:t>
      </w:r>
      <w:r>
        <w:rPr>
          <w:rFonts w:ascii="宋体" w:hAnsi="宋体" w:cs="宋体"/>
          <w:bCs/>
          <w:kern w:val="0"/>
          <w:szCs w:val="21"/>
        </w:rPr>
        <w:t>200千克</w:t>
      </w:r>
    </w:p>
    <w:p w14:paraId="0BB40458">
      <w:pPr>
        <w:numPr>
          <w:ilvl w:val="0"/>
          <w:numId w:val="40"/>
        </w:numPr>
        <w:tabs>
          <w:tab w:val="left" w:pos="420"/>
          <w:tab w:val="left" w:pos="851"/>
          <w:tab w:val="clear" w:pos="840"/>
        </w:tabs>
        <w:adjustRightInd w:val="0"/>
        <w:spacing w:line="360" w:lineRule="auto"/>
        <w:rPr>
          <w:rFonts w:hint="eastAsia" w:ascii="宋体" w:hAnsi="宋体" w:cs="宋体"/>
          <w:bCs/>
          <w:kern w:val="0"/>
          <w:szCs w:val="21"/>
        </w:rPr>
      </w:pPr>
      <w:r>
        <w:rPr>
          <w:rFonts w:ascii="宋体" w:hAnsi="宋体" w:cs="宋体"/>
          <w:bCs/>
          <w:kern w:val="0"/>
          <w:szCs w:val="21"/>
        </w:rPr>
        <w:t>线缆长度：0-30 米</w:t>
      </w:r>
    </w:p>
    <w:p w14:paraId="1417483D">
      <w:pPr>
        <w:numPr>
          <w:ilvl w:val="0"/>
          <w:numId w:val="40"/>
        </w:numPr>
        <w:tabs>
          <w:tab w:val="left" w:pos="420"/>
          <w:tab w:val="left" w:pos="851"/>
          <w:tab w:val="clear" w:pos="840"/>
        </w:tabs>
        <w:adjustRightInd w:val="0"/>
        <w:spacing w:line="360" w:lineRule="auto"/>
        <w:rPr>
          <w:rFonts w:hint="eastAsia" w:ascii="宋体" w:hAnsi="宋体" w:cs="宋体"/>
          <w:bCs/>
          <w:kern w:val="0"/>
          <w:szCs w:val="21"/>
        </w:rPr>
      </w:pPr>
      <w:r>
        <w:rPr>
          <w:rFonts w:ascii="宋体" w:hAnsi="宋体" w:cs="宋体"/>
          <w:bCs/>
          <w:kern w:val="0"/>
          <w:szCs w:val="21"/>
        </w:rPr>
        <w:t>最大收放速度：1.2 米/秒</w:t>
      </w:r>
    </w:p>
    <w:p w14:paraId="5C3AFC56">
      <w:pPr>
        <w:numPr>
          <w:ilvl w:val="0"/>
          <w:numId w:val="40"/>
        </w:numPr>
        <w:tabs>
          <w:tab w:val="left" w:pos="420"/>
          <w:tab w:val="left" w:pos="851"/>
          <w:tab w:val="clear" w:pos="840"/>
        </w:tabs>
        <w:adjustRightInd w:val="0"/>
        <w:spacing w:line="360" w:lineRule="auto"/>
        <w:rPr>
          <w:rFonts w:hint="eastAsia" w:ascii="宋体" w:hAnsi="宋体" w:cs="宋体"/>
          <w:bCs/>
          <w:kern w:val="0"/>
          <w:szCs w:val="21"/>
        </w:rPr>
      </w:pPr>
      <w:r>
        <w:rPr>
          <w:rFonts w:ascii="宋体" w:hAnsi="宋体" w:cs="宋体"/>
          <w:bCs/>
          <w:kern w:val="0"/>
          <w:szCs w:val="21"/>
        </w:rPr>
        <w:t>称重功能：支持</w:t>
      </w:r>
    </w:p>
    <w:p w14:paraId="5DEF6793">
      <w:pPr>
        <w:numPr>
          <w:ilvl w:val="0"/>
          <w:numId w:val="40"/>
        </w:numPr>
        <w:tabs>
          <w:tab w:val="left" w:pos="420"/>
          <w:tab w:val="left" w:pos="851"/>
          <w:tab w:val="clear" w:pos="840"/>
        </w:tabs>
        <w:adjustRightInd w:val="0"/>
        <w:spacing w:line="360" w:lineRule="auto"/>
        <w:rPr>
          <w:rFonts w:hint="eastAsia" w:ascii="宋体" w:hAnsi="宋体" w:cs="宋体"/>
          <w:bCs/>
          <w:kern w:val="0"/>
          <w:szCs w:val="21"/>
        </w:rPr>
      </w:pPr>
      <w:r>
        <w:rPr>
          <w:rFonts w:ascii="宋体" w:hAnsi="宋体" w:cs="宋体"/>
          <w:bCs/>
          <w:kern w:val="0"/>
          <w:szCs w:val="21"/>
        </w:rPr>
        <w:t>挂钩开合功能：支持APP或按钮主动控制</w:t>
      </w:r>
    </w:p>
    <w:p w14:paraId="446567AA">
      <w:pPr>
        <w:numPr>
          <w:ilvl w:val="0"/>
          <w:numId w:val="40"/>
        </w:numPr>
        <w:tabs>
          <w:tab w:val="left" w:pos="420"/>
          <w:tab w:val="left" w:pos="851"/>
          <w:tab w:val="clear" w:pos="840"/>
        </w:tabs>
        <w:adjustRightInd w:val="0"/>
        <w:spacing w:line="360" w:lineRule="auto"/>
        <w:rPr>
          <w:rFonts w:hint="eastAsia" w:ascii="宋体" w:hAnsi="宋体" w:cs="宋体"/>
          <w:bCs/>
          <w:kern w:val="0"/>
          <w:szCs w:val="21"/>
        </w:rPr>
      </w:pPr>
      <w:r>
        <w:rPr>
          <w:rFonts w:ascii="宋体" w:hAnsi="宋体" w:cs="宋体"/>
          <w:bCs/>
          <w:kern w:val="0"/>
          <w:szCs w:val="21"/>
        </w:rPr>
        <w:t>应急脱困模式：线缆释放脱困</w:t>
      </w:r>
    </w:p>
    <w:p w14:paraId="0146C8DE">
      <w:pPr>
        <w:numPr>
          <w:ilvl w:val="0"/>
          <w:numId w:val="40"/>
        </w:numPr>
        <w:tabs>
          <w:tab w:val="left" w:pos="420"/>
          <w:tab w:val="left" w:pos="851"/>
          <w:tab w:val="clear" w:pos="840"/>
        </w:tabs>
        <w:adjustRightInd w:val="0"/>
        <w:spacing w:line="360" w:lineRule="auto"/>
        <w:rPr>
          <w:rFonts w:hint="eastAsia" w:ascii="宋体" w:hAnsi="宋体" w:cs="宋体"/>
          <w:bCs/>
          <w:kern w:val="0"/>
          <w:szCs w:val="21"/>
        </w:rPr>
      </w:pPr>
      <w:r>
        <w:rPr>
          <w:rFonts w:ascii="宋体" w:hAnsi="宋体" w:cs="宋体"/>
          <w:bCs/>
          <w:kern w:val="0"/>
          <w:szCs w:val="21"/>
        </w:rPr>
        <w:t>消摆功能：支持</w:t>
      </w:r>
    </w:p>
    <w:p w14:paraId="1394938A">
      <w:pPr>
        <w:numPr>
          <w:ilvl w:val="0"/>
          <w:numId w:val="40"/>
        </w:numPr>
        <w:tabs>
          <w:tab w:val="left" w:pos="420"/>
          <w:tab w:val="left" w:pos="851"/>
          <w:tab w:val="clear" w:pos="840"/>
        </w:tabs>
        <w:adjustRightInd w:val="0"/>
        <w:spacing w:line="360" w:lineRule="auto"/>
        <w:rPr>
          <w:rFonts w:hint="eastAsia" w:ascii="宋体" w:hAnsi="宋体" w:cs="宋体"/>
          <w:bCs/>
          <w:kern w:val="0"/>
          <w:szCs w:val="21"/>
        </w:rPr>
      </w:pPr>
      <w:r>
        <w:rPr>
          <w:rFonts w:ascii="宋体" w:hAnsi="宋体" w:cs="宋体"/>
          <w:bCs/>
          <w:kern w:val="0"/>
          <w:szCs w:val="21"/>
        </w:rPr>
        <w:t>手动波轮收放：支持</w:t>
      </w:r>
    </w:p>
    <w:p w14:paraId="45ECD306">
      <w:pPr>
        <w:numPr>
          <w:ilvl w:val="0"/>
          <w:numId w:val="40"/>
        </w:numPr>
        <w:tabs>
          <w:tab w:val="left" w:pos="420"/>
          <w:tab w:val="left" w:pos="851"/>
          <w:tab w:val="clear" w:pos="840"/>
        </w:tabs>
        <w:adjustRightInd w:val="0"/>
        <w:spacing w:line="360" w:lineRule="auto"/>
        <w:rPr>
          <w:rFonts w:hint="eastAsia" w:ascii="宋体" w:hAnsi="宋体" w:cs="宋体"/>
          <w:bCs/>
          <w:kern w:val="0"/>
          <w:szCs w:val="21"/>
        </w:rPr>
      </w:pPr>
      <w:r>
        <w:rPr>
          <w:rFonts w:ascii="宋体" w:hAnsi="宋体" w:cs="宋体"/>
          <w:bCs/>
          <w:kern w:val="0"/>
          <w:szCs w:val="21"/>
        </w:rPr>
        <w:t>一键收放：支持</w:t>
      </w:r>
    </w:p>
    <w:p w14:paraId="296873DF">
      <w:pPr>
        <w:numPr>
          <w:ilvl w:val="0"/>
          <w:numId w:val="40"/>
        </w:numPr>
        <w:tabs>
          <w:tab w:val="left" w:pos="420"/>
          <w:tab w:val="left" w:pos="851"/>
          <w:tab w:val="clear" w:pos="840"/>
        </w:tabs>
        <w:adjustRightInd w:val="0"/>
        <w:spacing w:line="360" w:lineRule="auto"/>
        <w:rPr>
          <w:rFonts w:hint="eastAsia" w:ascii="宋体" w:hAnsi="宋体" w:cs="宋体"/>
          <w:bCs/>
          <w:kern w:val="0"/>
          <w:szCs w:val="21"/>
        </w:rPr>
      </w:pPr>
      <w:r>
        <w:rPr>
          <w:rFonts w:ascii="宋体" w:hAnsi="宋体" w:cs="宋体"/>
          <w:bCs/>
          <w:kern w:val="0"/>
          <w:szCs w:val="21"/>
        </w:rPr>
        <w:t>智能减速保护：支持</w:t>
      </w:r>
    </w:p>
    <w:p w14:paraId="2731F659">
      <w:pPr>
        <w:pStyle w:val="3"/>
        <w:spacing w:before="0" w:after="0" w:line="360" w:lineRule="auto"/>
        <w:rPr>
          <w:rFonts w:hint="eastAsia" w:ascii="黑体" w:hAnsi="黑体"/>
          <w:b w:val="0"/>
          <w:bCs/>
          <w:szCs w:val="21"/>
        </w:rPr>
      </w:pPr>
      <w:bookmarkStart w:id="117" w:name="_Toc20768"/>
      <w:bookmarkStart w:id="118" w:name="_Toc222991621"/>
      <w:bookmarkStart w:id="119" w:name="_Toc14906"/>
      <w:bookmarkStart w:id="120" w:name="_Toc8648"/>
      <w:bookmarkStart w:id="121" w:name="_Toc76025494"/>
      <w:r>
        <w:rPr>
          <w:rFonts w:ascii="黑体" w:hAnsi="黑体"/>
          <w:b w:val="0"/>
          <w:bCs/>
          <w:szCs w:val="21"/>
        </w:rPr>
        <w:t xml:space="preserve">5.7 </w:t>
      </w:r>
      <w:r>
        <w:rPr>
          <w:rFonts w:hint="eastAsia" w:ascii="黑体" w:hAnsi="黑体"/>
          <w:b w:val="0"/>
          <w:bCs/>
          <w:szCs w:val="21"/>
        </w:rPr>
        <w:t>车载充电器技术要求</w:t>
      </w:r>
      <w:bookmarkEnd w:id="117"/>
      <w:bookmarkEnd w:id="118"/>
      <w:bookmarkEnd w:id="119"/>
    </w:p>
    <w:p w14:paraId="42C480FC">
      <w:pPr>
        <w:tabs>
          <w:tab w:val="left" w:pos="851"/>
        </w:tabs>
        <w:adjustRightInd w:val="0"/>
        <w:spacing w:line="360" w:lineRule="auto"/>
        <w:ind w:left="420"/>
        <w:rPr>
          <w:szCs w:val="21"/>
        </w:rPr>
      </w:pPr>
      <w:r>
        <w:rPr>
          <w:rFonts w:hint="eastAsia"/>
          <w:szCs w:val="21"/>
        </w:rPr>
        <w:t>a）</w:t>
      </w:r>
      <w:r>
        <w:rPr>
          <w:rFonts w:hint="eastAsia"/>
          <w:szCs w:val="21"/>
        </w:rPr>
        <w:tab/>
      </w:r>
      <w:r>
        <w:rPr>
          <w:rFonts w:hint="eastAsia" w:ascii="宋体" w:hAnsi="宋体" w:cs="宋体"/>
          <w:bCs/>
          <w:kern w:val="0"/>
          <w:szCs w:val="21"/>
        </w:rPr>
        <w:t>尺寸： 460mm×310mm×90mm。</w:t>
      </w:r>
    </w:p>
    <w:p w14:paraId="0795166C">
      <w:pPr>
        <w:tabs>
          <w:tab w:val="left" w:pos="851"/>
        </w:tabs>
        <w:adjustRightInd w:val="0"/>
        <w:spacing w:line="360" w:lineRule="auto"/>
        <w:ind w:left="420"/>
        <w:rPr>
          <w:szCs w:val="21"/>
        </w:rPr>
      </w:pPr>
      <w:r>
        <w:rPr>
          <w:rFonts w:hint="eastAsia"/>
          <w:szCs w:val="21"/>
        </w:rPr>
        <w:t>b）</w:t>
      </w:r>
      <w:r>
        <w:rPr>
          <w:rFonts w:hint="eastAsia"/>
          <w:szCs w:val="21"/>
        </w:rPr>
        <w:tab/>
      </w:r>
      <w:r>
        <w:rPr>
          <w:rFonts w:hint="eastAsia" w:ascii="宋体" w:hAnsi="宋体" w:cs="宋体"/>
          <w:bCs/>
          <w:kern w:val="0"/>
          <w:szCs w:val="21"/>
        </w:rPr>
        <w:t>重量： 17千克。</w:t>
      </w:r>
    </w:p>
    <w:p w14:paraId="7D89DCA9">
      <w:pPr>
        <w:tabs>
          <w:tab w:val="left" w:pos="851"/>
        </w:tabs>
        <w:adjustRightInd w:val="0"/>
        <w:spacing w:line="360" w:lineRule="auto"/>
        <w:ind w:left="420"/>
        <w:rPr>
          <w:szCs w:val="21"/>
        </w:rPr>
      </w:pPr>
      <w:r>
        <w:rPr>
          <w:rFonts w:hint="eastAsia"/>
          <w:szCs w:val="21"/>
        </w:rPr>
        <w:t>c）</w:t>
      </w:r>
      <w:r>
        <w:rPr>
          <w:rFonts w:hint="eastAsia"/>
          <w:szCs w:val="21"/>
        </w:rPr>
        <w:tab/>
      </w:r>
      <w:r>
        <w:rPr>
          <w:rFonts w:hint="eastAsia" w:ascii="宋体" w:hAnsi="宋体" w:cs="宋体"/>
          <w:bCs/>
          <w:kern w:val="0"/>
          <w:szCs w:val="21"/>
        </w:rPr>
        <w:t>输入电压：DC：300-500V</w:t>
      </w:r>
    </w:p>
    <w:p w14:paraId="2CE33EC6">
      <w:pPr>
        <w:tabs>
          <w:tab w:val="left" w:pos="851"/>
        </w:tabs>
        <w:adjustRightInd w:val="0"/>
        <w:spacing w:line="360" w:lineRule="auto"/>
        <w:ind w:left="420"/>
        <w:rPr>
          <w:szCs w:val="21"/>
        </w:rPr>
      </w:pPr>
      <w:r>
        <w:rPr>
          <w:rFonts w:hint="eastAsia"/>
          <w:szCs w:val="21"/>
        </w:rPr>
        <w:t>d）</w:t>
      </w:r>
      <w:r>
        <w:rPr>
          <w:rFonts w:hint="eastAsia"/>
          <w:szCs w:val="21"/>
        </w:rPr>
        <w:tab/>
      </w:r>
      <w:r>
        <w:rPr>
          <w:rFonts w:hint="eastAsia" w:ascii="宋体" w:hAnsi="宋体" w:cs="宋体"/>
          <w:bCs/>
          <w:kern w:val="0"/>
          <w:szCs w:val="21"/>
        </w:rPr>
        <w:t>输出电压：62V</w:t>
      </w:r>
    </w:p>
    <w:p w14:paraId="24EC03AE">
      <w:pPr>
        <w:tabs>
          <w:tab w:val="left" w:pos="851"/>
        </w:tabs>
        <w:adjustRightInd w:val="0"/>
        <w:spacing w:line="360" w:lineRule="auto"/>
        <w:ind w:left="420"/>
        <w:rPr>
          <w:szCs w:val="21"/>
        </w:rPr>
      </w:pPr>
      <w:r>
        <w:rPr>
          <w:rFonts w:hint="eastAsia"/>
          <w:szCs w:val="21"/>
        </w:rPr>
        <w:t xml:space="preserve">e）  </w:t>
      </w:r>
      <w:r>
        <w:rPr>
          <w:rFonts w:hint="eastAsia" w:ascii="宋体" w:hAnsi="宋体" w:cs="宋体"/>
          <w:bCs/>
          <w:kern w:val="0"/>
          <w:szCs w:val="21"/>
        </w:rPr>
        <w:t>额定功率： 15000</w:t>
      </w:r>
      <w:bookmarkEnd w:id="120"/>
      <w:bookmarkEnd w:id="121"/>
      <w:r>
        <w:rPr>
          <w:rFonts w:hint="eastAsia"/>
          <w:szCs w:val="21"/>
        </w:rPr>
        <w:t>瓦</w:t>
      </w:r>
    </w:p>
    <w:p w14:paraId="0D55E435">
      <w:pPr>
        <w:tabs>
          <w:tab w:val="left" w:pos="851"/>
        </w:tabs>
        <w:adjustRightInd w:val="0"/>
        <w:spacing w:line="360" w:lineRule="auto"/>
        <w:ind w:left="420"/>
        <w:rPr>
          <w:rFonts w:hint="eastAsia" w:ascii="宋体" w:hAnsi="宋体" w:cs="宋体"/>
          <w:bCs/>
          <w:kern w:val="0"/>
          <w:szCs w:val="21"/>
        </w:rPr>
      </w:pPr>
      <w:r>
        <w:rPr>
          <w:rFonts w:hint="eastAsia"/>
          <w:szCs w:val="21"/>
        </w:rPr>
        <w:t xml:space="preserve">f）  </w:t>
      </w:r>
      <w:r>
        <w:rPr>
          <w:rFonts w:hint="eastAsia" w:ascii="宋体" w:hAnsi="宋体" w:cs="宋体"/>
          <w:bCs/>
          <w:kern w:val="0"/>
          <w:szCs w:val="21"/>
        </w:rPr>
        <w:t>充电时间： 8分钟</w:t>
      </w:r>
    </w:p>
    <w:p w14:paraId="33208F5C">
      <w:pPr>
        <w:tabs>
          <w:tab w:val="left" w:pos="851"/>
        </w:tabs>
        <w:adjustRightInd w:val="0"/>
        <w:spacing w:line="360" w:lineRule="auto"/>
        <w:ind w:left="420"/>
        <w:rPr>
          <w:rFonts w:hint="eastAsia" w:ascii="宋体" w:hAnsi="宋体" w:cs="宋体"/>
          <w:bCs/>
          <w:kern w:val="0"/>
          <w:szCs w:val="21"/>
        </w:rPr>
      </w:pPr>
      <w:r>
        <w:rPr>
          <w:rFonts w:hint="eastAsia" w:ascii="宋体" w:hAnsi="宋体" w:cs="宋体"/>
          <w:bCs/>
          <w:kern w:val="0"/>
          <w:szCs w:val="21"/>
        </w:rPr>
        <w:t>g）  保护功能： 过温、过压、欠压、短路、风扇堵转灯保护功能</w:t>
      </w:r>
    </w:p>
    <w:p w14:paraId="450B51AE">
      <w:pPr>
        <w:pStyle w:val="3"/>
        <w:spacing w:before="0" w:after="0" w:line="360" w:lineRule="auto"/>
        <w:rPr>
          <w:rFonts w:hint="eastAsia" w:ascii="黑体" w:hAnsi="黑体"/>
          <w:b w:val="0"/>
          <w:bCs/>
          <w:szCs w:val="21"/>
        </w:rPr>
      </w:pPr>
      <w:bookmarkStart w:id="122" w:name="_Toc222991623"/>
      <w:bookmarkStart w:id="123" w:name="_Toc3880"/>
      <w:r>
        <w:rPr>
          <w:rFonts w:hint="eastAsia" w:ascii="黑体" w:hAnsi="黑体"/>
          <w:b w:val="0"/>
          <w:bCs/>
          <w:szCs w:val="21"/>
        </w:rPr>
        <w:t>5</w:t>
      </w:r>
      <w:r>
        <w:rPr>
          <w:rFonts w:ascii="黑体" w:hAnsi="黑体"/>
          <w:b w:val="0"/>
          <w:bCs/>
          <w:szCs w:val="21"/>
        </w:rPr>
        <w:t>.</w:t>
      </w:r>
      <w:r>
        <w:rPr>
          <w:rFonts w:hint="eastAsia" w:ascii="黑体" w:hAnsi="黑体"/>
          <w:b w:val="0"/>
          <w:bCs/>
          <w:szCs w:val="21"/>
        </w:rPr>
        <w:t>8</w:t>
      </w:r>
      <w:r>
        <w:rPr>
          <w:rFonts w:ascii="黑体" w:hAnsi="黑体"/>
          <w:b w:val="0"/>
          <w:bCs/>
          <w:szCs w:val="21"/>
        </w:rPr>
        <w:t xml:space="preserve"> </w:t>
      </w:r>
      <w:r>
        <w:rPr>
          <w:rFonts w:hint="eastAsia" w:ascii="黑体" w:hAnsi="黑体"/>
          <w:b w:val="0"/>
          <w:bCs/>
          <w:szCs w:val="21"/>
        </w:rPr>
        <w:t>配件技术要求</w:t>
      </w:r>
      <w:bookmarkEnd w:id="122"/>
      <w:bookmarkEnd w:id="123"/>
    </w:p>
    <w:p w14:paraId="5E494C7D">
      <w:pPr>
        <w:tabs>
          <w:tab w:val="left" w:pos="851"/>
        </w:tabs>
        <w:adjustRightInd w:val="0"/>
        <w:spacing w:line="360" w:lineRule="auto"/>
        <w:ind w:left="420"/>
        <w:rPr>
          <w:rFonts w:hint="eastAsia" w:ascii="宋体" w:hAnsi="宋体" w:cs="宋体"/>
          <w:szCs w:val="21"/>
        </w:rPr>
      </w:pPr>
      <w:r>
        <w:rPr>
          <w:rFonts w:hint="eastAsia" w:ascii="宋体" w:hAnsi="宋体" w:cs="宋体"/>
          <w:color w:val="000000"/>
          <w:kern w:val="0"/>
          <w:szCs w:val="21"/>
          <w:lang w:bidi="ar"/>
        </w:rPr>
        <w:t xml:space="preserve">a）  </w:t>
      </w:r>
      <w:r>
        <w:rPr>
          <w:rFonts w:hint="eastAsia" w:ascii="宋体" w:hAnsi="宋体" w:cs="宋体"/>
          <w:bCs/>
          <w:kern w:val="0"/>
          <w:szCs w:val="21"/>
        </w:rPr>
        <w:t>配套风冷散热器： 充电时快速带走电池热量，实现高效降温；适配运载无人机（载物无人机）、旗舰重载无人机及大型植保机</w:t>
      </w:r>
    </w:p>
    <w:p w14:paraId="3D0844CE">
      <w:pPr>
        <w:tabs>
          <w:tab w:val="left" w:pos="851"/>
        </w:tabs>
        <w:adjustRightInd w:val="0"/>
        <w:spacing w:line="360" w:lineRule="auto"/>
        <w:ind w:left="420"/>
        <w:rPr>
          <w:rFonts w:hint="eastAsia" w:ascii="宋体" w:hAnsi="宋体" w:cs="宋体"/>
          <w:bCs/>
          <w:kern w:val="0"/>
          <w:szCs w:val="21"/>
        </w:rPr>
      </w:pPr>
      <w:r>
        <w:rPr>
          <w:rFonts w:hint="eastAsia" w:ascii="宋体" w:hAnsi="宋体" w:cs="宋体"/>
          <w:szCs w:val="21"/>
        </w:rPr>
        <w:t xml:space="preserve">b）  </w:t>
      </w:r>
      <w:r>
        <w:rPr>
          <w:rFonts w:hint="eastAsia" w:ascii="宋体" w:hAnsi="宋体" w:cs="宋体"/>
          <w:bCs/>
          <w:kern w:val="0"/>
          <w:szCs w:val="21"/>
        </w:rPr>
        <w:t>配套RTK高精度定位模块：可</w:t>
      </w:r>
      <w:r>
        <w:rPr>
          <w:rFonts w:hint="eastAsia" w:ascii="宋体" w:hAnsi="宋体" w:cs="宋体"/>
          <w:szCs w:val="21"/>
        </w:rPr>
        <w:t>配合遥控器进行使用，利用遥控器进行精准定位打点；适配运载无人机（载物无人机）、旗舰重载无人机及大型植保机</w:t>
      </w:r>
    </w:p>
    <w:p w14:paraId="0144742C">
      <w:pPr>
        <w:tabs>
          <w:tab w:val="left" w:pos="851"/>
        </w:tabs>
        <w:adjustRightInd w:val="0"/>
        <w:spacing w:line="360" w:lineRule="auto"/>
        <w:ind w:left="420"/>
        <w:rPr>
          <w:rFonts w:hint="eastAsia" w:ascii="宋体" w:hAnsi="宋体" w:cs="宋体"/>
          <w:szCs w:val="21"/>
        </w:rPr>
      </w:pPr>
      <w:r>
        <w:rPr>
          <w:rFonts w:hint="eastAsia" w:ascii="宋体" w:hAnsi="宋体" w:cs="宋体"/>
          <w:szCs w:val="21"/>
        </w:rPr>
        <w:t xml:space="preserve">c）  </w:t>
      </w:r>
      <w:r>
        <w:rPr>
          <w:rFonts w:hint="eastAsia" w:ascii="宋体" w:hAnsi="宋体" w:cs="宋体"/>
          <w:bCs/>
          <w:kern w:val="0"/>
          <w:szCs w:val="21"/>
        </w:rPr>
        <w:t>配套4G增强图传套件：</w:t>
      </w:r>
      <w:r>
        <w:rPr>
          <w:rFonts w:hint="eastAsia" w:ascii="宋体" w:hAnsi="宋体" w:cs="宋体"/>
          <w:szCs w:val="21"/>
        </w:rPr>
        <w:t>可自动切换为移动网络传输，从容应对山体遮挡等复杂场景；适配运载无人机（载物无人机）、旗舰重载无人机及大型植保机</w:t>
      </w:r>
    </w:p>
    <w:p w14:paraId="3A296D96">
      <w:pPr>
        <w:tabs>
          <w:tab w:val="left" w:pos="851"/>
        </w:tabs>
        <w:adjustRightInd w:val="0"/>
        <w:spacing w:line="360" w:lineRule="auto"/>
        <w:ind w:left="420"/>
        <w:rPr>
          <w:rFonts w:hint="eastAsia" w:ascii="宋体" w:hAnsi="宋体" w:cs="宋体"/>
          <w:szCs w:val="21"/>
        </w:rPr>
      </w:pPr>
      <w:r>
        <w:rPr>
          <w:rFonts w:hint="eastAsia" w:ascii="宋体" w:hAnsi="宋体" w:cs="宋体"/>
          <w:szCs w:val="21"/>
        </w:rPr>
        <w:t>d） PSDK套装：支持3000W接口；通讯接口：2*E-Port 2.0</w:t>
      </w:r>
    </w:p>
    <w:p w14:paraId="625DF6C6">
      <w:pPr>
        <w:tabs>
          <w:tab w:val="left" w:pos="851"/>
        </w:tabs>
        <w:adjustRightInd w:val="0"/>
        <w:spacing w:line="360" w:lineRule="auto"/>
        <w:ind w:left="420"/>
        <w:rPr>
          <w:rFonts w:hint="eastAsia" w:ascii="宋体" w:hAnsi="宋体" w:cs="宋体"/>
          <w:szCs w:val="21"/>
        </w:rPr>
      </w:pPr>
      <w:r>
        <w:rPr>
          <w:rFonts w:hint="eastAsia" w:ascii="宋体" w:hAnsi="宋体" w:cs="宋体"/>
          <w:szCs w:val="21"/>
        </w:rPr>
        <w:t>e） 遥控器图传模块：902 MHz 至 928 MHz：&lt;30 dBm（FCC），&lt;16 dBm（MIC）</w:t>
      </w:r>
    </w:p>
    <w:p w14:paraId="49D0E2B8">
      <w:pPr>
        <w:tabs>
          <w:tab w:val="left" w:pos="851"/>
        </w:tabs>
        <w:adjustRightInd w:val="0"/>
        <w:spacing w:line="360" w:lineRule="auto"/>
        <w:ind w:left="420"/>
        <w:rPr>
          <w:rFonts w:hint="eastAsia" w:ascii="宋体" w:hAnsi="宋体" w:cs="宋体"/>
          <w:szCs w:val="21"/>
        </w:rPr>
      </w:pPr>
      <w:r>
        <w:rPr>
          <w:rFonts w:hint="eastAsia" w:ascii="宋体" w:hAnsi="宋体" w:cs="宋体"/>
          <w:szCs w:val="21"/>
        </w:rPr>
        <w:t>1.430 GHz 至 1.444 GHz：&lt;35 dBm（SRRC）</w:t>
      </w:r>
    </w:p>
    <w:p w14:paraId="6D96900C">
      <w:pPr>
        <w:tabs>
          <w:tab w:val="left" w:pos="851"/>
        </w:tabs>
        <w:adjustRightInd w:val="0"/>
        <w:spacing w:line="360" w:lineRule="auto"/>
        <w:ind w:left="420"/>
        <w:rPr>
          <w:rFonts w:hint="eastAsia" w:ascii="宋体" w:hAnsi="宋体" w:cs="宋体"/>
          <w:szCs w:val="21"/>
        </w:rPr>
      </w:pPr>
      <w:r>
        <w:rPr>
          <w:rFonts w:hint="eastAsia" w:ascii="宋体" w:hAnsi="宋体" w:cs="宋体"/>
          <w:szCs w:val="21"/>
        </w:rPr>
        <w:t>f） 多机协同套件：尺寸：106毫米*62毫米*28毫米</w:t>
      </w:r>
    </w:p>
    <w:p w14:paraId="44210915">
      <w:pPr>
        <w:tabs>
          <w:tab w:val="left" w:pos="851"/>
        </w:tabs>
        <w:adjustRightInd w:val="0"/>
        <w:spacing w:line="360" w:lineRule="auto"/>
        <w:ind w:left="420"/>
        <w:rPr>
          <w:rFonts w:hint="eastAsia" w:ascii="宋体" w:hAnsi="宋体" w:cs="宋体"/>
          <w:bCs/>
          <w:kern w:val="0"/>
          <w:szCs w:val="21"/>
        </w:rPr>
      </w:pPr>
      <w:r>
        <w:rPr>
          <w:rFonts w:hint="eastAsia" w:ascii="宋体" w:hAnsi="宋体" w:cs="宋体"/>
          <w:szCs w:val="21"/>
        </w:rPr>
        <w:t>传输距离：最大30米</w:t>
      </w:r>
    </w:p>
    <w:p w14:paraId="426633AF">
      <w:pPr>
        <w:pStyle w:val="3"/>
        <w:spacing w:before="0" w:after="0" w:line="360" w:lineRule="auto"/>
        <w:rPr>
          <w:rFonts w:hint="eastAsia" w:ascii="黑体" w:hAnsi="黑体"/>
          <w:b w:val="0"/>
          <w:bCs/>
          <w:szCs w:val="21"/>
        </w:rPr>
      </w:pPr>
      <w:bookmarkStart w:id="124" w:name="_Toc222991624"/>
      <w:bookmarkStart w:id="125" w:name="_Toc22063"/>
      <w:r>
        <w:rPr>
          <w:rFonts w:hint="eastAsia" w:ascii="黑体" w:hAnsi="黑体"/>
          <w:b w:val="0"/>
          <w:bCs/>
          <w:szCs w:val="21"/>
        </w:rPr>
        <w:t>5</w:t>
      </w:r>
      <w:r>
        <w:rPr>
          <w:rFonts w:ascii="黑体" w:hAnsi="黑体"/>
          <w:b w:val="0"/>
          <w:bCs/>
          <w:szCs w:val="21"/>
        </w:rPr>
        <w:t>.</w:t>
      </w:r>
      <w:r>
        <w:rPr>
          <w:rFonts w:hint="eastAsia" w:ascii="黑体" w:hAnsi="黑体"/>
          <w:b w:val="0"/>
          <w:bCs/>
          <w:szCs w:val="21"/>
        </w:rPr>
        <w:t>9</w:t>
      </w:r>
      <w:r>
        <w:rPr>
          <w:rFonts w:ascii="黑体" w:hAnsi="黑体"/>
          <w:b w:val="0"/>
          <w:bCs/>
          <w:szCs w:val="21"/>
        </w:rPr>
        <w:t xml:space="preserve"> </w:t>
      </w:r>
      <w:r>
        <w:rPr>
          <w:rFonts w:hint="eastAsia" w:ascii="黑体" w:hAnsi="黑体"/>
          <w:b w:val="0"/>
          <w:bCs/>
          <w:szCs w:val="21"/>
        </w:rPr>
        <w:t>多功能基站技术要求</w:t>
      </w:r>
      <w:bookmarkEnd w:id="124"/>
      <w:bookmarkEnd w:id="125"/>
    </w:p>
    <w:p w14:paraId="65D99E3C">
      <w:pPr>
        <w:tabs>
          <w:tab w:val="left" w:pos="851"/>
        </w:tabs>
        <w:adjustRightInd w:val="0"/>
        <w:spacing w:line="360" w:lineRule="auto"/>
        <w:ind w:left="420"/>
        <w:rPr>
          <w:rFonts w:hint="eastAsia" w:ascii="宋体" w:hAnsi="宋体" w:cs="宋体"/>
          <w:bCs/>
          <w:kern w:val="0"/>
          <w:szCs w:val="21"/>
        </w:rPr>
      </w:pPr>
      <w:r>
        <w:rPr>
          <w:rFonts w:hint="eastAsia"/>
          <w:szCs w:val="21"/>
        </w:rPr>
        <w:t>a）</w:t>
      </w:r>
      <w:r>
        <w:rPr>
          <w:rFonts w:hint="eastAsia"/>
          <w:szCs w:val="21"/>
        </w:rPr>
        <w:tab/>
      </w:r>
      <w:r>
        <w:rPr>
          <w:rFonts w:hint="eastAsia" w:ascii="宋体" w:hAnsi="宋体" w:cs="宋体"/>
          <w:bCs/>
          <w:kern w:val="0"/>
          <w:szCs w:val="21"/>
        </w:rPr>
        <w:t>尺寸： ≥Φ 160 毫米 × 85 毫米（不含 OcuSync 定向天线）</w:t>
      </w:r>
    </w:p>
    <w:p w14:paraId="68983F95">
      <w:pPr>
        <w:tabs>
          <w:tab w:val="left" w:pos="851"/>
        </w:tabs>
        <w:adjustRightInd w:val="0"/>
        <w:spacing w:line="360" w:lineRule="auto"/>
        <w:ind w:left="420"/>
        <w:rPr>
          <w:rFonts w:hint="eastAsia" w:ascii="宋体" w:hAnsi="宋体" w:cs="宋体"/>
          <w:bCs/>
          <w:kern w:val="0"/>
          <w:szCs w:val="21"/>
        </w:rPr>
      </w:pPr>
      <w:r>
        <w:rPr>
          <w:rFonts w:hint="eastAsia"/>
          <w:szCs w:val="21"/>
        </w:rPr>
        <w:t>b）</w:t>
      </w:r>
      <w:r>
        <w:rPr>
          <w:rFonts w:hint="eastAsia"/>
          <w:szCs w:val="21"/>
        </w:rPr>
        <w:tab/>
      </w:r>
      <w:r>
        <w:rPr>
          <w:rFonts w:hint="eastAsia" w:ascii="宋体" w:hAnsi="宋体" w:cs="宋体"/>
          <w:bCs/>
          <w:kern w:val="0"/>
          <w:szCs w:val="21"/>
        </w:rPr>
        <w:t>重量：≤1.5 千克</w:t>
      </w:r>
    </w:p>
    <w:p w14:paraId="33CC2486">
      <w:pPr>
        <w:tabs>
          <w:tab w:val="left" w:pos="851"/>
        </w:tabs>
        <w:adjustRightInd w:val="0"/>
        <w:spacing w:line="360" w:lineRule="auto"/>
        <w:ind w:left="420"/>
        <w:rPr>
          <w:szCs w:val="21"/>
        </w:rPr>
      </w:pPr>
      <w:r>
        <w:rPr>
          <w:rFonts w:hint="eastAsia"/>
          <w:szCs w:val="21"/>
        </w:rPr>
        <w:t>c）</w:t>
      </w:r>
      <w:r>
        <w:rPr>
          <w:rFonts w:hint="eastAsia"/>
          <w:szCs w:val="21"/>
        </w:rPr>
        <w:tab/>
      </w:r>
      <w:r>
        <w:rPr>
          <w:rFonts w:hint="eastAsia" w:ascii="宋体" w:hAnsi="宋体" w:cs="宋体"/>
          <w:bCs/>
          <w:kern w:val="0"/>
          <w:szCs w:val="21"/>
        </w:rPr>
        <w:t>工作频率：继站模式：O4：2.4 GHz/5.2 GHz/5.8 GHz；基准站模式：O4：2.4 GHz/5.8 GHz</w:t>
      </w:r>
    </w:p>
    <w:p w14:paraId="39A20A03">
      <w:pPr>
        <w:tabs>
          <w:tab w:val="left" w:pos="851"/>
        </w:tabs>
        <w:adjustRightInd w:val="0"/>
        <w:spacing w:line="360" w:lineRule="auto"/>
        <w:ind w:left="420"/>
        <w:rPr>
          <w:rFonts w:hint="eastAsia" w:ascii="宋体" w:hAnsi="宋体" w:cs="宋体"/>
          <w:bCs/>
          <w:kern w:val="0"/>
          <w:szCs w:val="21"/>
        </w:rPr>
      </w:pPr>
      <w:r>
        <w:rPr>
          <w:rFonts w:hint="eastAsia"/>
          <w:szCs w:val="21"/>
        </w:rPr>
        <w:t>d）</w:t>
      </w:r>
      <w:r>
        <w:rPr>
          <w:rFonts w:hint="eastAsia"/>
          <w:szCs w:val="21"/>
        </w:rPr>
        <w:tab/>
      </w:r>
      <w:r>
        <w:rPr>
          <w:rFonts w:hint="eastAsia" w:ascii="宋体" w:hAnsi="宋体" w:cs="宋体"/>
          <w:bCs/>
          <w:kern w:val="0"/>
          <w:szCs w:val="21"/>
        </w:rPr>
        <w:t>中继站增距效果：中继站性能提升：解决严重遮挡（比如建筑物、山体）：3 倍至 5 倍性能提升；解决轻微遮挡（树木、玻璃）：1 倍至 3 倍性能提升；中继站需部署于无干扰、无遮挡的高处地点。</w:t>
      </w:r>
      <w:r>
        <w:rPr>
          <w:rFonts w:hint="eastAsia" w:ascii="宋体" w:hAnsi="宋体" w:cs="宋体"/>
          <w:szCs w:val="21"/>
        </w:rPr>
        <w:br w:type="textWrapping"/>
      </w:r>
      <w:r>
        <w:rPr>
          <w:rFonts w:hint="eastAsia" w:ascii="宋体" w:hAnsi="宋体" w:cs="宋体"/>
          <w:szCs w:val="21"/>
        </w:rPr>
        <w:t xml:space="preserve">e）  </w:t>
      </w:r>
      <w:r>
        <w:rPr>
          <w:rFonts w:hint="eastAsia" w:ascii="宋体" w:hAnsi="宋体" w:cs="宋体"/>
          <w:bCs/>
          <w:kern w:val="0"/>
          <w:szCs w:val="21"/>
        </w:rPr>
        <w:t>内置电池工作时间（常温）：多功能基站：中继站：≥4 小时；基准站：≥7 小时；防护等级；≥IP67</w:t>
      </w:r>
    </w:p>
    <w:p w14:paraId="1866ED0F">
      <w:pPr>
        <w:tabs>
          <w:tab w:val="left" w:pos="851"/>
        </w:tabs>
        <w:adjustRightInd w:val="0"/>
        <w:spacing w:line="360" w:lineRule="auto"/>
        <w:ind w:left="420"/>
        <w:rPr>
          <w:rFonts w:hint="eastAsia" w:ascii="宋体" w:hAnsi="宋体" w:cs="宋体"/>
          <w:bCs/>
          <w:kern w:val="0"/>
          <w:szCs w:val="21"/>
        </w:rPr>
      </w:pPr>
      <w:r>
        <w:rPr>
          <w:rFonts w:hint="eastAsia" w:ascii="宋体" w:hAnsi="宋体" w:cs="宋体"/>
          <w:szCs w:val="21"/>
        </w:rPr>
        <w:t xml:space="preserve">f）  </w:t>
      </w:r>
      <w:r>
        <w:rPr>
          <w:rFonts w:hint="eastAsia" w:ascii="宋体" w:hAnsi="宋体" w:cs="宋体"/>
          <w:bCs/>
          <w:kern w:val="0"/>
          <w:szCs w:val="21"/>
        </w:rPr>
        <w:t>定位精度：基准站模式及中继站模式：基站定位误差：单点精度（未标定）：水平：≤1.5 米（RMS）垂直：≤3.0 米（RMS）；星基差分精度：收敛时间：≤20 分钟 水平：≤30 厘米（RMS）垂直：≤40 厘米（RMS）；网络 RTK 标定**：水平：≤1.0 厘米（RMS）+1 ppm垂直：≤3.0 厘米（RMS）+1 ppm；1 ppm：飞机与基站每增加 1 公里，精度变差 1 毫米。例如飞机距离基站 1 公里，则精度为 1.1 厘米。</w:t>
      </w:r>
    </w:p>
    <w:p w14:paraId="3FA1155E">
      <w:pPr>
        <w:tabs>
          <w:tab w:val="left" w:pos="851"/>
        </w:tabs>
        <w:adjustRightInd w:val="0"/>
        <w:spacing w:line="360" w:lineRule="auto"/>
        <w:ind w:left="420"/>
        <w:rPr>
          <w:rFonts w:hint="eastAsia" w:ascii="宋体" w:hAnsi="宋体" w:cs="宋体"/>
          <w:bCs/>
          <w:kern w:val="0"/>
          <w:szCs w:val="21"/>
        </w:rPr>
      </w:pPr>
      <w:r>
        <w:rPr>
          <w:rFonts w:hint="eastAsia" w:ascii="宋体" w:hAnsi="宋体" w:cs="宋体"/>
          <w:szCs w:val="21"/>
        </w:rPr>
        <w:t xml:space="preserve">g）  </w:t>
      </w:r>
      <w:r>
        <w:rPr>
          <w:rFonts w:hint="eastAsia" w:ascii="宋体" w:hAnsi="宋体" w:cs="宋体"/>
          <w:bCs/>
          <w:kern w:val="0"/>
          <w:szCs w:val="21"/>
        </w:rPr>
        <w:t>对中杆三脚架：尺寸：245毫米×245毫米×1398毫米；重量;4.93千克；清单：自锁对中杆×1；双锁三脚架×1</w:t>
      </w:r>
    </w:p>
    <w:p w14:paraId="21BD847A">
      <w:pPr>
        <w:pStyle w:val="3"/>
        <w:keepNext w:val="0"/>
        <w:keepLines w:val="0"/>
        <w:spacing w:before="0" w:after="0" w:line="360" w:lineRule="auto"/>
        <w:rPr>
          <w:rFonts w:hint="eastAsia" w:ascii="黑体" w:hAnsi="黑体"/>
          <w:b w:val="0"/>
          <w:bCs/>
          <w:szCs w:val="21"/>
        </w:rPr>
      </w:pPr>
      <w:bookmarkStart w:id="126" w:name="_Toc8537"/>
      <w:bookmarkStart w:id="127" w:name="_Toc222991625"/>
      <w:r>
        <w:rPr>
          <w:rFonts w:hint="eastAsia" w:ascii="黑体" w:hAnsi="黑体"/>
          <w:b w:val="0"/>
          <w:bCs/>
          <w:szCs w:val="21"/>
        </w:rPr>
        <w:t>5</w:t>
      </w:r>
      <w:r>
        <w:rPr>
          <w:rFonts w:ascii="黑体" w:hAnsi="黑体"/>
          <w:b w:val="0"/>
          <w:bCs/>
          <w:szCs w:val="21"/>
        </w:rPr>
        <w:t>.1</w:t>
      </w:r>
      <w:r>
        <w:rPr>
          <w:rFonts w:hint="eastAsia" w:ascii="黑体" w:hAnsi="黑体"/>
          <w:b w:val="0"/>
          <w:bCs/>
          <w:szCs w:val="21"/>
        </w:rPr>
        <w:t>0</w:t>
      </w:r>
      <w:r>
        <w:rPr>
          <w:rFonts w:ascii="黑体" w:hAnsi="黑体"/>
          <w:b w:val="0"/>
          <w:bCs/>
          <w:szCs w:val="21"/>
        </w:rPr>
        <w:t xml:space="preserve"> </w:t>
      </w:r>
      <w:r>
        <w:rPr>
          <w:rFonts w:hint="eastAsia" w:ascii="黑体" w:hAnsi="黑体"/>
          <w:b w:val="0"/>
          <w:bCs/>
          <w:szCs w:val="21"/>
        </w:rPr>
        <w:t>关怀计划保障服务及计划标准技术要求</w:t>
      </w:r>
      <w:bookmarkEnd w:id="126"/>
      <w:bookmarkEnd w:id="127"/>
    </w:p>
    <w:p w14:paraId="7E90012D">
      <w:pPr>
        <w:numPr>
          <w:ilvl w:val="255"/>
          <w:numId w:val="0"/>
        </w:numPr>
        <w:tabs>
          <w:tab w:val="left" w:pos="851"/>
        </w:tabs>
        <w:adjustRightInd w:val="0"/>
        <w:spacing w:line="360" w:lineRule="auto"/>
        <w:ind w:left="420"/>
        <w:rPr>
          <w:rFonts w:hint="eastAsia" w:ascii="宋体" w:hAnsi="宋体" w:cs="宋体"/>
          <w:bCs/>
          <w:kern w:val="0"/>
          <w:szCs w:val="21"/>
        </w:rPr>
      </w:pPr>
      <w:r>
        <w:rPr>
          <w:rFonts w:hint="eastAsia" w:ascii="宋体" w:hAnsi="宋体" w:cs="宋体"/>
          <w:bCs/>
          <w:kern w:val="0"/>
          <w:szCs w:val="21"/>
        </w:rPr>
        <w:t>a）</w:t>
      </w:r>
      <w:r>
        <w:rPr>
          <w:rFonts w:hint="eastAsia" w:ascii="宋体" w:hAnsi="宋体" w:cs="宋体"/>
          <w:szCs w:val="21"/>
        </w:rPr>
        <w:t>基础版关怀计划保障服务</w:t>
      </w:r>
      <w:r>
        <w:rPr>
          <w:rFonts w:hint="eastAsia" w:ascii="宋体" w:hAnsi="宋体" w:cs="宋体"/>
          <w:bCs/>
          <w:kern w:val="0"/>
          <w:szCs w:val="21"/>
        </w:rPr>
        <w:t>：保障范围包括飞行平台（易损件、电池及自选配件除外）及降落伞，基础维修保障额度为72000元，易损件保障额度为8000元，保障额度内不限维修次数。</w:t>
      </w:r>
    </w:p>
    <w:p w14:paraId="758A18C6">
      <w:pPr>
        <w:numPr>
          <w:ilvl w:val="255"/>
          <w:numId w:val="0"/>
        </w:numPr>
        <w:tabs>
          <w:tab w:val="left" w:pos="851"/>
        </w:tabs>
        <w:adjustRightInd w:val="0"/>
        <w:spacing w:line="360" w:lineRule="auto"/>
        <w:ind w:left="420"/>
        <w:rPr>
          <w:szCs w:val="21"/>
        </w:rPr>
      </w:pPr>
      <w:r>
        <w:rPr>
          <w:rFonts w:hint="eastAsia" w:ascii="宋体" w:hAnsi="宋体" w:cs="宋体"/>
          <w:szCs w:val="21"/>
        </w:rPr>
        <w:t>b）升级版关怀计划保障服务</w:t>
      </w:r>
      <w:r>
        <w:rPr>
          <w:rFonts w:hint="eastAsia" w:ascii="宋体" w:hAnsi="宋体" w:cs="宋体"/>
          <w:bCs/>
          <w:kern w:val="0"/>
          <w:szCs w:val="21"/>
        </w:rPr>
        <w:t>：保障范围包括飞行平台（易损件、电池及自选配件除外）、降落伞及电池维修，基础维修保障额度为115000元，易损件保障额度为25000元，保障额度内不限维修次数。</w:t>
      </w:r>
    </w:p>
    <w:p w14:paraId="4DE566D4">
      <w:pPr>
        <w:tabs>
          <w:tab w:val="left" w:pos="851"/>
        </w:tabs>
        <w:kinsoku w:val="0"/>
        <w:overflowPunct w:val="0"/>
        <w:autoSpaceDE w:val="0"/>
        <w:autoSpaceDN w:val="0"/>
        <w:adjustRightInd w:val="0"/>
        <w:ind w:firstLine="420" w:firstLineChars="200"/>
        <w:rPr>
          <w:rFonts w:hint="eastAsia" w:ascii="宋体" w:hAnsi="宋体" w:cs="宋体"/>
          <w:bCs/>
          <w:kern w:val="0"/>
          <w:szCs w:val="21"/>
        </w:rPr>
      </w:pPr>
      <w:r>
        <w:rPr>
          <w:rFonts w:hint="eastAsia" w:ascii="宋体" w:hAnsi="宋体" w:cs="宋体"/>
          <w:color w:val="000000"/>
          <w:kern w:val="0"/>
          <w:szCs w:val="21"/>
          <w:lang w:bidi="ar"/>
        </w:rPr>
        <w:t>c）智能飞行电池关怀计划：为电池提供保障额度内的免费维修服务，同时再享有1次付费置换机会，有效期为一年，保障额度为5500元。</w:t>
      </w:r>
    </w:p>
    <w:p w14:paraId="74A6B971">
      <w:pPr>
        <w:pStyle w:val="3"/>
        <w:keepNext w:val="0"/>
        <w:keepLines w:val="0"/>
        <w:spacing w:before="0" w:after="0" w:line="360" w:lineRule="auto"/>
        <w:rPr>
          <w:rFonts w:hint="eastAsia" w:ascii="黑体" w:hAnsi="黑体"/>
          <w:b w:val="0"/>
          <w:bCs/>
          <w:szCs w:val="21"/>
        </w:rPr>
      </w:pPr>
      <w:bookmarkStart w:id="128" w:name="_Toc222991628"/>
      <w:bookmarkStart w:id="129" w:name="_Toc18016"/>
      <w:bookmarkStart w:id="130" w:name="_Toc18960"/>
      <w:bookmarkStart w:id="131" w:name="_Toc23428"/>
      <w:bookmarkStart w:id="132" w:name="_Toc15425"/>
      <w:bookmarkStart w:id="133" w:name="_Toc72859325"/>
      <w:bookmarkStart w:id="134" w:name="_Toc76025495"/>
      <w:bookmarkStart w:id="135" w:name="_Toc20375"/>
      <w:r>
        <w:rPr>
          <w:rFonts w:ascii="黑体" w:hAnsi="黑体"/>
          <w:b w:val="0"/>
          <w:bCs/>
          <w:szCs w:val="21"/>
        </w:rPr>
        <w:t>5.1</w:t>
      </w:r>
      <w:r>
        <w:rPr>
          <w:rFonts w:hint="eastAsia" w:ascii="黑体" w:hAnsi="黑体"/>
          <w:b w:val="0"/>
          <w:bCs/>
          <w:szCs w:val="21"/>
        </w:rPr>
        <w:t>1 网络安全要求</w:t>
      </w:r>
      <w:bookmarkEnd w:id="128"/>
      <w:bookmarkEnd w:id="129"/>
      <w:bookmarkEnd w:id="130"/>
      <w:bookmarkEnd w:id="131"/>
      <w:bookmarkEnd w:id="132"/>
      <w:bookmarkEnd w:id="133"/>
      <w:bookmarkEnd w:id="134"/>
      <w:bookmarkEnd w:id="135"/>
    </w:p>
    <w:p w14:paraId="3B250981">
      <w:pPr>
        <w:tabs>
          <w:tab w:val="left" w:pos="1985"/>
        </w:tabs>
        <w:spacing w:line="360" w:lineRule="auto"/>
        <w:ind w:firstLine="420"/>
        <w:rPr>
          <w:szCs w:val="21"/>
        </w:rPr>
      </w:pPr>
      <w:r>
        <w:rPr>
          <w:rFonts w:hint="eastAsia"/>
          <w:szCs w:val="21"/>
        </w:rPr>
        <w:t>投标方提供软硬件产品或技术服务过程中，按照有关法律法规和程序开展工作，严格执行国家的有关方针、政策，并遵守以下规定：</w:t>
      </w:r>
    </w:p>
    <w:p w14:paraId="16EA719B">
      <w:pPr>
        <w:tabs>
          <w:tab w:val="left" w:pos="1985"/>
        </w:tabs>
        <w:spacing w:line="360" w:lineRule="auto"/>
        <w:ind w:firstLine="420"/>
        <w:rPr>
          <w:szCs w:val="21"/>
        </w:rPr>
      </w:pPr>
      <w:r>
        <w:rPr>
          <w:rFonts w:hint="eastAsia"/>
          <w:szCs w:val="21"/>
        </w:rPr>
        <w:t>1）不利用招标方网络与信息系统从事危害国家安全、泄露国家秘密、侵犯公民、法人、招标方和其他组织的利益，或其它违法犯罪活动；</w:t>
      </w:r>
    </w:p>
    <w:p w14:paraId="3B1515AF">
      <w:pPr>
        <w:tabs>
          <w:tab w:val="left" w:pos="1985"/>
        </w:tabs>
        <w:spacing w:line="360" w:lineRule="auto"/>
        <w:ind w:firstLine="420"/>
        <w:rPr>
          <w:szCs w:val="21"/>
        </w:rPr>
      </w:pPr>
      <w:r>
        <w:rPr>
          <w:rFonts w:hint="eastAsia"/>
          <w:szCs w:val="21"/>
        </w:rPr>
        <w:t>2）不利用项目工作便利获取和留存招标方业务数据，不利用招标方业务数据谋取利益或从事其他与项目无关工作；</w:t>
      </w:r>
    </w:p>
    <w:p w14:paraId="32EDB444">
      <w:pPr>
        <w:tabs>
          <w:tab w:val="left" w:pos="1985"/>
        </w:tabs>
        <w:spacing w:line="360" w:lineRule="auto"/>
        <w:ind w:firstLine="420"/>
        <w:rPr>
          <w:szCs w:val="21"/>
        </w:rPr>
      </w:pPr>
      <w:r>
        <w:rPr>
          <w:rFonts w:hint="eastAsia"/>
          <w:szCs w:val="21"/>
        </w:rPr>
        <w:t>3）交付的软硬件产品须满足招标方安全策略要求，不得含有后门、木马、已知漏洞等安全隐患。在其产品投运前，投标方应将产品有关的功能服务台帐、特权账号等建设运维文档全部移交给招标方；</w:t>
      </w:r>
    </w:p>
    <w:p w14:paraId="64295870">
      <w:pPr>
        <w:tabs>
          <w:tab w:val="left" w:pos="1985"/>
        </w:tabs>
        <w:spacing w:line="360" w:lineRule="auto"/>
        <w:ind w:firstLine="420"/>
        <w:rPr>
          <w:szCs w:val="21"/>
        </w:rPr>
      </w:pPr>
      <w:r>
        <w:rPr>
          <w:rFonts w:hint="eastAsia"/>
          <w:szCs w:val="21"/>
        </w:rPr>
        <w:t>4）遵循招标方软件开发规范、安全合规要求开展系统开发部署及运行维护工作，配合招标方开展源代码审计工作；</w:t>
      </w:r>
    </w:p>
    <w:p w14:paraId="2132A252">
      <w:pPr>
        <w:tabs>
          <w:tab w:val="left" w:pos="1985"/>
        </w:tabs>
        <w:spacing w:line="360" w:lineRule="auto"/>
        <w:ind w:firstLine="420"/>
        <w:rPr>
          <w:szCs w:val="21"/>
        </w:rPr>
      </w:pPr>
      <w:r>
        <w:rPr>
          <w:rFonts w:hint="eastAsia"/>
          <w:szCs w:val="21"/>
        </w:rPr>
        <w:t>5）因投标方产品设计、开发缺陷造成其交付的产品在运行中出现安全隐患时，投标方应按招标方要求开展整改，并配合招标方开展其它支撑平台的安全整改；</w:t>
      </w:r>
    </w:p>
    <w:p w14:paraId="2E89F144">
      <w:pPr>
        <w:tabs>
          <w:tab w:val="left" w:pos="1985"/>
        </w:tabs>
        <w:spacing w:line="360" w:lineRule="auto"/>
        <w:ind w:firstLine="420"/>
        <w:rPr>
          <w:szCs w:val="21"/>
        </w:rPr>
      </w:pPr>
      <w:r>
        <w:rPr>
          <w:rFonts w:hint="eastAsia"/>
          <w:szCs w:val="21"/>
        </w:rPr>
        <w:t>6）未经招标方许可，投标方不得将项目涉及的源代码、数据文件上传至互联网共享平台，或提供给其他组织和个人；</w:t>
      </w:r>
    </w:p>
    <w:p w14:paraId="7CF9907F">
      <w:pPr>
        <w:tabs>
          <w:tab w:val="left" w:pos="1985"/>
        </w:tabs>
        <w:spacing w:line="360" w:lineRule="auto"/>
        <w:ind w:firstLine="420"/>
        <w:rPr>
          <w:szCs w:val="21"/>
        </w:rPr>
      </w:pPr>
      <w:r>
        <w:rPr>
          <w:rFonts w:hint="eastAsia"/>
          <w:szCs w:val="21"/>
        </w:rPr>
        <w:t>7）投标方的开发测试环境中不得留存包含招标方企业名称、真实业务数据等信息。未经招标方许可，投标方不得在互联网上搭建与项目有关的测试、演示系统，确因工作需要开展测试演示的，测试环境中不得包含招标方企业名称、业务数据等信息，并在测试演示完成之后及时清理相关系统和数据；</w:t>
      </w:r>
    </w:p>
    <w:p w14:paraId="0D294D54">
      <w:pPr>
        <w:tabs>
          <w:tab w:val="left" w:pos="1985"/>
        </w:tabs>
        <w:spacing w:line="360" w:lineRule="auto"/>
        <w:ind w:firstLine="420"/>
        <w:rPr>
          <w:szCs w:val="21"/>
        </w:rPr>
      </w:pPr>
      <w:r>
        <w:rPr>
          <w:rFonts w:hint="eastAsia"/>
          <w:szCs w:val="21"/>
        </w:rPr>
        <w:t>8）未通过招标方测试、备案的软件系统和设备不得私自上线运行；</w:t>
      </w:r>
    </w:p>
    <w:p w14:paraId="0488464B">
      <w:pPr>
        <w:tabs>
          <w:tab w:val="left" w:pos="1985"/>
        </w:tabs>
        <w:spacing w:line="360" w:lineRule="auto"/>
        <w:ind w:firstLine="420"/>
        <w:rPr>
          <w:szCs w:val="21"/>
        </w:rPr>
      </w:pPr>
      <w:r>
        <w:rPr>
          <w:rFonts w:hint="eastAsia"/>
          <w:szCs w:val="21"/>
        </w:rPr>
        <w:t>9）为招标方开展安全测试、安全加固等服务工作时，应及时清除服务过程产生的文件、服务、账号等信息，不得在招标方生产及测试环境留存病毒、木马文件及系统特权账号；</w:t>
      </w:r>
    </w:p>
    <w:p w14:paraId="7AFD5640">
      <w:pPr>
        <w:tabs>
          <w:tab w:val="left" w:pos="1985"/>
        </w:tabs>
        <w:spacing w:line="360" w:lineRule="auto"/>
        <w:ind w:firstLine="420"/>
        <w:rPr>
          <w:szCs w:val="21"/>
        </w:rPr>
      </w:pPr>
      <w:r>
        <w:rPr>
          <w:rFonts w:hint="eastAsia"/>
          <w:szCs w:val="21"/>
        </w:rPr>
        <w:t>10）投标方应将本协议的条款以书面方式告知项目相关人员，并对项目相关人员进行网络安全培训。</w:t>
      </w:r>
    </w:p>
    <w:p w14:paraId="63E2DF7E">
      <w:pPr>
        <w:tabs>
          <w:tab w:val="left" w:pos="1985"/>
        </w:tabs>
        <w:spacing w:line="360" w:lineRule="auto"/>
        <w:ind w:firstLine="420"/>
        <w:rPr>
          <w:szCs w:val="21"/>
        </w:rPr>
      </w:pPr>
      <w:r>
        <w:rPr>
          <w:rFonts w:hint="eastAsia"/>
          <w:szCs w:val="21"/>
        </w:rPr>
        <w:t>1</w:t>
      </w:r>
      <w:r>
        <w:rPr>
          <w:szCs w:val="21"/>
        </w:rPr>
        <w:t>1</w:t>
      </w:r>
      <w:r>
        <w:rPr>
          <w:rFonts w:hint="eastAsia"/>
          <w:szCs w:val="21"/>
        </w:rPr>
        <w:t>）投标方负责质保期内对交付产品的补丁更新、安全加固、漏洞整改，并配合招标方完成网络安全应急响应及处置。</w:t>
      </w:r>
    </w:p>
    <w:p w14:paraId="11A4C390">
      <w:pPr>
        <w:spacing w:line="480" w:lineRule="auto"/>
        <w:outlineLvl w:val="0"/>
        <w:rPr>
          <w:rFonts w:eastAsia="黑体"/>
          <w:b/>
          <w:bCs/>
          <w:szCs w:val="21"/>
        </w:rPr>
      </w:pPr>
      <w:bookmarkStart w:id="136" w:name="_Toc12407"/>
      <w:bookmarkStart w:id="137" w:name="_Toc781"/>
      <w:bookmarkStart w:id="138" w:name="_Toc76025496"/>
      <w:bookmarkStart w:id="139" w:name="_Toc28430"/>
      <w:bookmarkStart w:id="140" w:name="_Toc222991629"/>
      <w:r>
        <w:rPr>
          <w:rFonts w:eastAsia="黑体"/>
          <w:b/>
          <w:bCs/>
          <w:szCs w:val="21"/>
        </w:rPr>
        <w:t>6 试验项目及要求</w:t>
      </w:r>
      <w:bookmarkEnd w:id="136"/>
      <w:bookmarkEnd w:id="137"/>
      <w:bookmarkEnd w:id="138"/>
      <w:bookmarkEnd w:id="139"/>
      <w:bookmarkEnd w:id="140"/>
    </w:p>
    <w:p w14:paraId="78EF162B">
      <w:pPr>
        <w:pStyle w:val="3"/>
        <w:keepNext w:val="0"/>
        <w:keepLines w:val="0"/>
        <w:spacing w:before="0" w:after="0" w:line="360" w:lineRule="auto"/>
        <w:rPr>
          <w:rFonts w:hint="eastAsia" w:ascii="黑体" w:hAnsi="黑体"/>
          <w:b w:val="0"/>
          <w:bCs/>
          <w:szCs w:val="21"/>
        </w:rPr>
      </w:pPr>
      <w:bookmarkStart w:id="141" w:name="_Toc7689"/>
      <w:bookmarkStart w:id="142" w:name="_Toc222991630"/>
      <w:bookmarkStart w:id="143" w:name="_Toc356999079"/>
      <w:bookmarkStart w:id="144" w:name="_Toc347154881"/>
      <w:bookmarkStart w:id="145" w:name="_Toc265313593"/>
      <w:r>
        <w:rPr>
          <w:rFonts w:hint="eastAsia" w:ascii="黑体" w:hAnsi="黑体"/>
          <w:b w:val="0"/>
          <w:bCs/>
          <w:szCs w:val="21"/>
        </w:rPr>
        <w:t>6.1 结构和外观检查</w:t>
      </w:r>
      <w:bookmarkEnd w:id="141"/>
      <w:bookmarkEnd w:id="142"/>
    </w:p>
    <w:p w14:paraId="07326BEE">
      <w:pPr>
        <w:adjustRightInd w:val="0"/>
        <w:snapToGrid w:val="0"/>
        <w:spacing w:line="360" w:lineRule="auto"/>
        <w:ind w:firstLine="420" w:firstLineChars="200"/>
        <w:jc w:val="left"/>
        <w:rPr>
          <w:szCs w:val="21"/>
        </w:rPr>
      </w:pPr>
      <w:r>
        <w:rPr>
          <w:rFonts w:hint="eastAsia"/>
          <w:szCs w:val="21"/>
        </w:rPr>
        <w:t>（1）试验方法</w:t>
      </w:r>
    </w:p>
    <w:p w14:paraId="34634A20">
      <w:pPr>
        <w:adjustRightInd w:val="0"/>
        <w:snapToGrid w:val="0"/>
        <w:spacing w:line="360" w:lineRule="auto"/>
        <w:ind w:firstLine="420" w:firstLineChars="200"/>
        <w:jc w:val="left"/>
        <w:rPr>
          <w:szCs w:val="21"/>
        </w:rPr>
      </w:pPr>
      <w:r>
        <w:rPr>
          <w:rFonts w:hint="eastAsia"/>
          <w:szCs w:val="21"/>
        </w:rPr>
        <w:t>通过目测对无人机设备进行外观、重量和结构方面的检查。</w:t>
      </w:r>
    </w:p>
    <w:p w14:paraId="601F7E19">
      <w:pPr>
        <w:adjustRightInd w:val="0"/>
        <w:snapToGrid w:val="0"/>
        <w:spacing w:line="360" w:lineRule="auto"/>
        <w:ind w:firstLine="420" w:firstLineChars="200"/>
        <w:jc w:val="left"/>
        <w:rPr>
          <w:szCs w:val="21"/>
        </w:rPr>
      </w:pPr>
      <w:r>
        <w:rPr>
          <w:rFonts w:hint="eastAsia"/>
          <w:szCs w:val="21"/>
        </w:rPr>
        <w:t>（2）判定准则</w:t>
      </w:r>
    </w:p>
    <w:p w14:paraId="33356212">
      <w:pPr>
        <w:adjustRightInd w:val="0"/>
        <w:snapToGrid w:val="0"/>
        <w:spacing w:line="360" w:lineRule="auto"/>
        <w:ind w:firstLine="420" w:firstLineChars="200"/>
        <w:jc w:val="left"/>
        <w:rPr>
          <w:spacing w:val="-3"/>
          <w:szCs w:val="21"/>
        </w:rPr>
      </w:pPr>
      <w:r>
        <w:rPr>
          <w:rFonts w:hint="eastAsia"/>
          <w:szCs w:val="21"/>
        </w:rPr>
        <w:t>应满足本技术规范书中规定的相关技术要求</w:t>
      </w:r>
      <w:r>
        <w:rPr>
          <w:rFonts w:hint="eastAsia"/>
          <w:spacing w:val="-3"/>
          <w:szCs w:val="21"/>
        </w:rPr>
        <w:t>。</w:t>
      </w:r>
    </w:p>
    <w:p w14:paraId="22000FFA">
      <w:pPr>
        <w:pStyle w:val="3"/>
        <w:keepNext w:val="0"/>
        <w:keepLines w:val="0"/>
        <w:spacing w:before="0" w:after="0" w:line="360" w:lineRule="auto"/>
        <w:rPr>
          <w:rFonts w:hint="eastAsia" w:ascii="黑体" w:hAnsi="黑体"/>
          <w:b w:val="0"/>
          <w:bCs/>
          <w:szCs w:val="21"/>
        </w:rPr>
      </w:pPr>
      <w:bookmarkStart w:id="146" w:name="_Toc27568"/>
      <w:bookmarkStart w:id="147" w:name="_Toc222991631"/>
      <w:r>
        <w:rPr>
          <w:rFonts w:ascii="黑体" w:hAnsi="黑体"/>
          <w:b w:val="0"/>
          <w:bCs/>
          <w:szCs w:val="21"/>
        </w:rPr>
        <w:t>6.</w:t>
      </w:r>
      <w:r>
        <w:rPr>
          <w:rFonts w:hint="eastAsia" w:ascii="黑体" w:hAnsi="黑体"/>
          <w:b w:val="0"/>
          <w:bCs/>
          <w:szCs w:val="21"/>
        </w:rPr>
        <w:t>2</w:t>
      </w:r>
      <w:r>
        <w:rPr>
          <w:rFonts w:ascii="黑体" w:hAnsi="黑体"/>
          <w:b w:val="0"/>
          <w:bCs/>
          <w:szCs w:val="21"/>
        </w:rPr>
        <w:t xml:space="preserve"> </w:t>
      </w:r>
      <w:r>
        <w:rPr>
          <w:rFonts w:hint="eastAsia" w:ascii="黑体" w:hAnsi="黑体"/>
          <w:b w:val="0"/>
          <w:bCs/>
          <w:szCs w:val="21"/>
        </w:rPr>
        <w:t>环境试验</w:t>
      </w:r>
      <w:bookmarkEnd w:id="146"/>
      <w:bookmarkEnd w:id="147"/>
    </w:p>
    <w:p w14:paraId="7771AF93">
      <w:pPr>
        <w:spacing w:line="360" w:lineRule="auto"/>
        <w:ind w:firstLine="420" w:firstLineChars="200"/>
        <w:rPr>
          <w:szCs w:val="21"/>
        </w:rPr>
      </w:pPr>
      <w:r>
        <w:rPr>
          <w:rFonts w:hint="eastAsia"/>
          <w:szCs w:val="21"/>
        </w:rPr>
        <w:t>6.2.1 低温环境适应性试验</w:t>
      </w:r>
    </w:p>
    <w:p w14:paraId="5F699EB9">
      <w:pPr>
        <w:adjustRightInd w:val="0"/>
        <w:snapToGrid w:val="0"/>
        <w:spacing w:line="360" w:lineRule="auto"/>
        <w:ind w:firstLine="420" w:firstLineChars="200"/>
        <w:jc w:val="left"/>
      </w:pPr>
      <w:r>
        <w:rPr>
          <w:rFonts w:hint="eastAsia"/>
          <w:szCs w:val="21"/>
        </w:rPr>
        <w:t>按照GB/T 2423.1</w:t>
      </w:r>
      <w:r>
        <w:rPr>
          <w:rFonts w:hint="eastAsia"/>
          <w:szCs w:val="21"/>
          <w:lang w:bidi="ar"/>
        </w:rPr>
        <w:t>/DL/T1578</w:t>
      </w:r>
      <w:r>
        <w:rPr>
          <w:rFonts w:hint="eastAsia"/>
          <w:szCs w:val="21"/>
        </w:rPr>
        <w:t xml:space="preserve"> 相关条款方法进行相应等级试验，试验</w:t>
      </w:r>
      <w:r>
        <w:rPr>
          <w:rFonts w:hint="eastAsia"/>
        </w:rPr>
        <w:t>温度为-10</w:t>
      </w:r>
      <w:r>
        <w:t xml:space="preserve"> </w:t>
      </w:r>
      <w:r>
        <w:rPr>
          <w:rFonts w:hint="eastAsia"/>
        </w:rPr>
        <w:t>℃，试验持续时间为2h。试验期间被试样机处于通电待机工作状态，试验期间与试验结束后被试样机无变形和裂纹等现象，插接件、紧固件等无开裂、松脱等现象，显示屏无变形、开裂、花屏等现象，地面站软件工作正常。样机操控响应正常，任务设备转动、拍摄等</w:t>
      </w:r>
      <w:r>
        <w:rPr>
          <w:rFonts w:hint="eastAsia"/>
          <w:szCs w:val="21"/>
        </w:rPr>
        <w:t>功能正常。</w:t>
      </w:r>
    </w:p>
    <w:p w14:paraId="71FB1704">
      <w:pPr>
        <w:spacing w:line="360" w:lineRule="auto"/>
        <w:ind w:firstLine="420" w:firstLineChars="200"/>
        <w:rPr>
          <w:szCs w:val="21"/>
        </w:rPr>
      </w:pPr>
      <w:r>
        <w:rPr>
          <w:szCs w:val="21"/>
        </w:rPr>
        <w:t>6.</w:t>
      </w:r>
      <w:r>
        <w:rPr>
          <w:rFonts w:hint="eastAsia"/>
          <w:szCs w:val="21"/>
        </w:rPr>
        <w:t>2.2</w:t>
      </w:r>
      <w:r>
        <w:rPr>
          <w:szCs w:val="21"/>
        </w:rPr>
        <w:t xml:space="preserve"> </w:t>
      </w:r>
      <w:r>
        <w:rPr>
          <w:rFonts w:hint="eastAsia"/>
          <w:szCs w:val="21"/>
        </w:rPr>
        <w:t>高温环境适应性试验</w:t>
      </w:r>
    </w:p>
    <w:p w14:paraId="48AEDF4D">
      <w:pPr>
        <w:widowControl/>
        <w:adjustRightInd w:val="0"/>
        <w:snapToGrid w:val="0"/>
        <w:spacing w:line="360" w:lineRule="auto"/>
        <w:ind w:firstLine="420" w:firstLineChars="200"/>
        <w:jc w:val="left"/>
      </w:pPr>
      <w:r>
        <w:rPr>
          <w:rFonts w:hint="eastAsia"/>
          <w:szCs w:val="21"/>
          <w:lang w:bidi="ar"/>
        </w:rPr>
        <w:t>按照 GB/T 2423.2/DL/T1578 相关条款方法进行相应等级试验</w:t>
      </w:r>
      <w:r>
        <w:rPr>
          <w:rFonts w:hint="eastAsia"/>
          <w:szCs w:val="21"/>
        </w:rPr>
        <w:t>，试验</w:t>
      </w:r>
      <w:r>
        <w:rPr>
          <w:rFonts w:hint="eastAsia"/>
        </w:rPr>
        <w:t>温度为40</w:t>
      </w:r>
      <w:r>
        <w:t xml:space="preserve"> </w:t>
      </w:r>
      <w:r>
        <w:rPr>
          <w:rFonts w:hint="eastAsia"/>
        </w:rPr>
        <w:t>℃，试验持续时间为4h。试验期间被试样机处于通电待机工作状态，试验期间与试验结束后被试样机无变形和裂纹等现象，插接件、紧固件等无开裂、松脱等现象，显示屏无变形、开裂、花屏等现象，地面站软件工作正常。样机操控响应正常，任务设备转动、拍摄等</w:t>
      </w:r>
      <w:r>
        <w:rPr>
          <w:rFonts w:hint="eastAsia"/>
          <w:szCs w:val="21"/>
        </w:rPr>
        <w:t>功能正常。</w:t>
      </w:r>
    </w:p>
    <w:p w14:paraId="77B967B5">
      <w:pPr>
        <w:spacing w:line="360" w:lineRule="auto"/>
        <w:ind w:firstLine="420" w:firstLineChars="200"/>
        <w:rPr>
          <w:szCs w:val="21"/>
        </w:rPr>
      </w:pPr>
      <w:r>
        <w:rPr>
          <w:szCs w:val="21"/>
        </w:rPr>
        <w:t>6.</w:t>
      </w:r>
      <w:r>
        <w:rPr>
          <w:rFonts w:hint="eastAsia"/>
          <w:szCs w:val="21"/>
        </w:rPr>
        <w:t>2.</w:t>
      </w:r>
      <w:r>
        <w:rPr>
          <w:szCs w:val="21"/>
        </w:rPr>
        <w:t xml:space="preserve">3 </w:t>
      </w:r>
      <w:r>
        <w:rPr>
          <w:rFonts w:hint="eastAsia"/>
          <w:szCs w:val="21"/>
        </w:rPr>
        <w:t>温度湿度振动综合环境适应性试验</w:t>
      </w:r>
    </w:p>
    <w:p w14:paraId="1ECC89AF">
      <w:pPr>
        <w:widowControl/>
        <w:adjustRightInd w:val="0"/>
        <w:snapToGrid w:val="0"/>
        <w:spacing w:line="360" w:lineRule="auto"/>
        <w:ind w:firstLine="420" w:firstLineChars="200"/>
        <w:jc w:val="left"/>
        <w:rPr>
          <w:szCs w:val="21"/>
          <w:lang w:bidi="ar"/>
        </w:rPr>
      </w:pPr>
      <w:r>
        <w:rPr>
          <w:rFonts w:hint="eastAsia"/>
          <w:szCs w:val="21"/>
          <w:lang w:bidi="ar"/>
        </w:rPr>
        <w:t>按照 GB/T 2423.3/DL/T1578 相关条款方法进行相应等级试验，试验</w:t>
      </w:r>
      <w:r>
        <w:rPr>
          <w:rFonts w:hint="eastAsia"/>
        </w:rPr>
        <w:t>温度为40</w:t>
      </w:r>
      <w:r>
        <w:t xml:space="preserve"> </w:t>
      </w:r>
      <w:r>
        <w:rPr>
          <w:rFonts w:hint="eastAsia"/>
        </w:rPr>
        <w:t>℃，试验相对湿度95±3%，振动频率5~150Hz，振动加速度2g，振动初始振幅1mm，试验持续时间为12h。试验期间被试样机处于通电待机工作状态，试验期间与试验结束后被试样机无变形和裂纹等现象，插接件、紧固件等无开裂、松脱等现象，显示屏无变形、开裂、花屏等现象，地面站软件工作正常。样机操控响应正常，任务设备转动、拍摄等</w:t>
      </w:r>
      <w:r>
        <w:rPr>
          <w:rFonts w:hint="eastAsia"/>
          <w:szCs w:val="21"/>
        </w:rPr>
        <w:t>功能正常</w:t>
      </w:r>
      <w:r>
        <w:rPr>
          <w:rFonts w:hint="eastAsia"/>
          <w:szCs w:val="21"/>
          <w:lang w:bidi="ar"/>
        </w:rPr>
        <w:t>。</w:t>
      </w:r>
    </w:p>
    <w:p w14:paraId="27CACD07">
      <w:pPr>
        <w:spacing w:line="360" w:lineRule="auto"/>
        <w:ind w:firstLine="420" w:firstLineChars="200"/>
        <w:rPr>
          <w:szCs w:val="21"/>
        </w:rPr>
      </w:pPr>
      <w:r>
        <w:rPr>
          <w:szCs w:val="21"/>
        </w:rPr>
        <w:t>6.</w:t>
      </w:r>
      <w:r>
        <w:rPr>
          <w:rFonts w:hint="eastAsia"/>
          <w:szCs w:val="21"/>
        </w:rPr>
        <w:t>2.4</w:t>
      </w:r>
      <w:r>
        <w:rPr>
          <w:szCs w:val="21"/>
        </w:rPr>
        <w:t xml:space="preserve"> </w:t>
      </w:r>
      <w:r>
        <w:rPr>
          <w:rFonts w:hint="eastAsia"/>
          <w:szCs w:val="21"/>
        </w:rPr>
        <w:t>海拔适应性能试验</w:t>
      </w:r>
    </w:p>
    <w:p w14:paraId="2A283FD7">
      <w:pPr>
        <w:adjustRightInd w:val="0"/>
        <w:snapToGrid w:val="0"/>
        <w:spacing w:line="360" w:lineRule="auto"/>
        <w:ind w:firstLine="420" w:firstLineChars="200"/>
        <w:jc w:val="left"/>
        <w:rPr>
          <w:szCs w:val="21"/>
          <w:lang w:bidi="ar"/>
        </w:rPr>
      </w:pPr>
      <w:r>
        <w:rPr>
          <w:rFonts w:hint="eastAsia"/>
          <w:szCs w:val="21"/>
          <w:lang w:bidi="ar"/>
        </w:rPr>
        <w:t>按照 GB/T 2423.21/GB/T 2423.25~27/DL/T1578相关条款方法进行相应等级试验，</w:t>
      </w:r>
      <w:r>
        <w:rPr>
          <w:rFonts w:hint="eastAsia"/>
        </w:rPr>
        <w:t>试验期间被试样机处于通电待机工作状态</w:t>
      </w:r>
      <w:r>
        <w:rPr>
          <w:rFonts w:hint="eastAsia"/>
          <w:szCs w:val="21"/>
          <w:lang w:bidi="ar"/>
        </w:rPr>
        <w:t>，样机巡检系统在-10℃、海拔4000m的环境中无地效悬停时间需大于30min，悬停过程中样机操控响应正常，任务设备转动、拍摄等功能正常。</w:t>
      </w:r>
    </w:p>
    <w:p w14:paraId="6525DAB8">
      <w:pPr>
        <w:spacing w:line="360" w:lineRule="auto"/>
        <w:ind w:firstLine="420" w:firstLineChars="200"/>
        <w:rPr>
          <w:szCs w:val="21"/>
        </w:rPr>
      </w:pPr>
      <w:r>
        <w:rPr>
          <w:szCs w:val="21"/>
        </w:rPr>
        <w:t>6.</w:t>
      </w:r>
      <w:r>
        <w:rPr>
          <w:rFonts w:hint="eastAsia"/>
          <w:szCs w:val="21"/>
        </w:rPr>
        <w:t>2.5</w:t>
      </w:r>
      <w:r>
        <w:rPr>
          <w:szCs w:val="21"/>
        </w:rPr>
        <w:t xml:space="preserve"> </w:t>
      </w:r>
      <w:r>
        <w:rPr>
          <w:rFonts w:hint="eastAsia"/>
          <w:szCs w:val="21"/>
        </w:rPr>
        <w:t>抗风飞行性能试验</w:t>
      </w:r>
    </w:p>
    <w:p w14:paraId="7844A6D9">
      <w:pPr>
        <w:adjustRightInd w:val="0"/>
        <w:snapToGrid w:val="0"/>
        <w:spacing w:line="360" w:lineRule="auto"/>
        <w:ind w:firstLine="420" w:firstLineChars="200"/>
        <w:jc w:val="left"/>
        <w:rPr>
          <w:szCs w:val="21"/>
          <w:lang w:bidi="ar"/>
        </w:rPr>
      </w:pPr>
      <w:r>
        <w:rPr>
          <w:rFonts w:hint="eastAsia"/>
          <w:szCs w:val="21"/>
          <w:lang w:bidi="ar"/>
        </w:rPr>
        <w:t>按照 GB/T 38930/DL/T1578相关条款方法进行相应等级试验，试验应满足本标准4.2、4.3规定的要求，在瞬时风速不大于 3 m/ 环境条件下可稳定飞行和悬停，且各项功能正常。悬停时水平偏移不大于 1.5m、标准差不大于 0.75m ，垂直偏移不大于 3m、标准差不大于 1.5m 。三轴姿态角变化量最大均不超过 30° ，变化量标准差均不大于 15°。</w:t>
      </w:r>
    </w:p>
    <w:p w14:paraId="7CC1C325">
      <w:pPr>
        <w:spacing w:line="360" w:lineRule="auto"/>
        <w:ind w:firstLine="420" w:firstLineChars="200"/>
        <w:rPr>
          <w:szCs w:val="21"/>
        </w:rPr>
      </w:pPr>
      <w:r>
        <w:rPr>
          <w:szCs w:val="21"/>
        </w:rPr>
        <w:t>6.</w:t>
      </w:r>
      <w:r>
        <w:rPr>
          <w:rFonts w:hint="eastAsia"/>
          <w:szCs w:val="21"/>
        </w:rPr>
        <w:t>2.6</w:t>
      </w:r>
      <w:r>
        <w:rPr>
          <w:szCs w:val="21"/>
        </w:rPr>
        <w:t xml:space="preserve"> </w:t>
      </w:r>
      <w:r>
        <w:rPr>
          <w:rFonts w:hint="eastAsia"/>
          <w:szCs w:val="21"/>
        </w:rPr>
        <w:t>抗雨飞行性能试验</w:t>
      </w:r>
    </w:p>
    <w:p w14:paraId="30686D6F">
      <w:pPr>
        <w:adjustRightInd w:val="0"/>
        <w:snapToGrid w:val="0"/>
        <w:spacing w:line="360" w:lineRule="auto"/>
        <w:ind w:firstLine="420" w:firstLineChars="200"/>
        <w:jc w:val="left"/>
        <w:rPr>
          <w:szCs w:val="21"/>
          <w:lang w:bidi="ar"/>
        </w:rPr>
      </w:pPr>
      <w:r>
        <w:rPr>
          <w:rFonts w:hint="eastAsia"/>
          <w:szCs w:val="21"/>
          <w:lang w:bidi="ar"/>
        </w:rPr>
        <w:t>按照 GB/T 38924.9/DL/T1578相关条款方法进行相应等级试验，在小雨环境条件下（雨强不大于 2.5mm/h）可稳定飞行的时间不小于 5min 。增稳飞行模式下，无人机飞行状态稳定、姿态正常；稳定悬停时，无人机操控响应正常；静置30min后，飞行后各电气接口不存在明显短路风险，各项功能正常。</w:t>
      </w:r>
    </w:p>
    <w:p w14:paraId="313B1311">
      <w:pPr>
        <w:spacing w:line="360" w:lineRule="auto"/>
        <w:ind w:firstLine="420" w:firstLineChars="200"/>
        <w:rPr>
          <w:szCs w:val="21"/>
        </w:rPr>
      </w:pPr>
      <w:r>
        <w:rPr>
          <w:szCs w:val="21"/>
        </w:rPr>
        <w:t>6.</w:t>
      </w:r>
      <w:r>
        <w:rPr>
          <w:rFonts w:hint="eastAsia"/>
          <w:szCs w:val="21"/>
        </w:rPr>
        <w:t>2.7</w:t>
      </w:r>
      <w:r>
        <w:rPr>
          <w:szCs w:val="21"/>
        </w:rPr>
        <w:t xml:space="preserve"> </w:t>
      </w:r>
      <w:r>
        <w:rPr>
          <w:rFonts w:hint="eastAsia"/>
          <w:szCs w:val="21"/>
        </w:rPr>
        <w:t>防护性能试验</w:t>
      </w:r>
    </w:p>
    <w:p w14:paraId="4257418D">
      <w:pPr>
        <w:adjustRightInd w:val="0"/>
        <w:snapToGrid w:val="0"/>
        <w:spacing w:line="360" w:lineRule="auto"/>
        <w:ind w:firstLine="420" w:firstLineChars="200"/>
        <w:jc w:val="left"/>
        <w:rPr>
          <w:szCs w:val="21"/>
          <w:lang w:bidi="ar"/>
        </w:rPr>
      </w:pPr>
      <w:r>
        <w:rPr>
          <w:rFonts w:hint="eastAsia"/>
          <w:szCs w:val="21"/>
          <w:lang w:bidi="ar"/>
        </w:rPr>
        <w:t>按GB/T 4208中规定的试验方法进行，被试样机的外壳防护等级应满足本标准5.1规定的要求，试验结束后被试样机通电运行，各项功能应正常。</w:t>
      </w:r>
    </w:p>
    <w:p w14:paraId="287A97EA">
      <w:pPr>
        <w:pStyle w:val="3"/>
        <w:keepNext w:val="0"/>
        <w:keepLines w:val="0"/>
        <w:spacing w:before="0" w:after="0" w:line="360" w:lineRule="auto"/>
        <w:rPr>
          <w:rFonts w:hint="eastAsia" w:ascii="黑体" w:hAnsi="黑体"/>
          <w:b w:val="0"/>
          <w:bCs/>
          <w:szCs w:val="21"/>
        </w:rPr>
      </w:pPr>
      <w:bookmarkStart w:id="148" w:name="_Toc5526"/>
      <w:bookmarkStart w:id="149" w:name="_Toc222991632"/>
      <w:r>
        <w:rPr>
          <w:rFonts w:ascii="黑体" w:hAnsi="黑体"/>
          <w:b w:val="0"/>
          <w:bCs/>
          <w:szCs w:val="21"/>
        </w:rPr>
        <w:t>6.</w:t>
      </w:r>
      <w:r>
        <w:rPr>
          <w:rFonts w:hint="eastAsia" w:ascii="黑体" w:hAnsi="黑体"/>
          <w:b w:val="0"/>
          <w:bCs/>
          <w:szCs w:val="21"/>
        </w:rPr>
        <w:t>3</w:t>
      </w:r>
      <w:r>
        <w:rPr>
          <w:rFonts w:ascii="黑体" w:hAnsi="黑体"/>
          <w:b w:val="0"/>
          <w:bCs/>
          <w:szCs w:val="21"/>
        </w:rPr>
        <w:t xml:space="preserve"> </w:t>
      </w:r>
      <w:r>
        <w:rPr>
          <w:rFonts w:hint="eastAsia" w:ascii="黑体" w:hAnsi="黑体"/>
          <w:b w:val="0"/>
          <w:bCs/>
          <w:szCs w:val="21"/>
        </w:rPr>
        <w:t>功能试验</w:t>
      </w:r>
      <w:bookmarkEnd w:id="148"/>
      <w:bookmarkEnd w:id="149"/>
    </w:p>
    <w:p w14:paraId="0222AFBF">
      <w:pPr>
        <w:spacing w:line="360" w:lineRule="auto"/>
        <w:ind w:firstLine="420" w:firstLineChars="200"/>
        <w:rPr>
          <w:szCs w:val="21"/>
        </w:rPr>
      </w:pPr>
      <w:r>
        <w:rPr>
          <w:rFonts w:hint="eastAsia"/>
          <w:szCs w:val="21"/>
        </w:rPr>
        <w:t>6.3.1 自检功能</w:t>
      </w:r>
      <w:r>
        <w:rPr>
          <w:szCs w:val="21"/>
        </w:rPr>
        <w:t>试验</w:t>
      </w:r>
    </w:p>
    <w:p w14:paraId="07BCEDA9">
      <w:pPr>
        <w:adjustRightInd w:val="0"/>
        <w:snapToGrid w:val="0"/>
        <w:spacing w:line="360" w:lineRule="auto"/>
        <w:ind w:firstLine="420" w:firstLineChars="200"/>
        <w:jc w:val="left"/>
        <w:rPr>
          <w:szCs w:val="21"/>
          <w:lang w:bidi="ar"/>
        </w:rPr>
      </w:pPr>
      <w:r>
        <w:rPr>
          <w:rFonts w:hint="eastAsia"/>
          <w:szCs w:val="21"/>
          <w:lang w:bidi="ar"/>
        </w:rPr>
        <w:t>按照 DL/T1578相关条款方法进行相应等级试验，样机应满足自检项目至少包括动力电池电压（或电量）、遥测遥控、导航定位和磁罗盘预警功能。以上任一项自检项目不满足要求，均能在地面站或遥控手柄上以明显的声（或光）信号或其他方式进行报警提示，且飞控系统锁死。宜具有根据报警提示直接确定故障部位或原因的功能。</w:t>
      </w:r>
    </w:p>
    <w:p w14:paraId="75F61382">
      <w:pPr>
        <w:spacing w:line="360" w:lineRule="auto"/>
        <w:ind w:firstLine="420" w:firstLineChars="200"/>
        <w:rPr>
          <w:szCs w:val="21"/>
        </w:rPr>
      </w:pPr>
      <w:r>
        <w:rPr>
          <w:szCs w:val="21"/>
        </w:rPr>
        <w:t>6.</w:t>
      </w:r>
      <w:r>
        <w:rPr>
          <w:rFonts w:hint="eastAsia"/>
          <w:szCs w:val="21"/>
        </w:rPr>
        <w:t>3.2</w:t>
      </w:r>
      <w:r>
        <w:rPr>
          <w:szCs w:val="21"/>
        </w:rPr>
        <w:t xml:space="preserve"> </w:t>
      </w:r>
      <w:r>
        <w:rPr>
          <w:rFonts w:hint="eastAsia"/>
          <w:szCs w:val="21"/>
        </w:rPr>
        <w:t>任务规划功能</w:t>
      </w:r>
      <w:r>
        <w:rPr>
          <w:szCs w:val="21"/>
        </w:rPr>
        <w:t>试验</w:t>
      </w:r>
    </w:p>
    <w:p w14:paraId="7C574C03">
      <w:pPr>
        <w:widowControl/>
        <w:tabs>
          <w:tab w:val="left" w:pos="1985"/>
        </w:tabs>
        <w:spacing w:line="360" w:lineRule="auto"/>
        <w:ind w:firstLine="420" w:firstLineChars="200"/>
        <w:jc w:val="left"/>
        <w:rPr>
          <w:szCs w:val="21"/>
          <w:lang w:bidi="ar"/>
        </w:rPr>
      </w:pPr>
      <w:r>
        <w:rPr>
          <w:rFonts w:hint="eastAsia"/>
          <w:szCs w:val="21"/>
          <w:lang w:bidi="ar"/>
        </w:rPr>
        <w:t>按照 DL/T1578相关条款方法进行相应等级试验，应满足可对起降方式、转弯方式、飞行速度及航点信息等进行设置，转弯时应采用定点转弯方式。在飞行过程中可实时修改航点。</w:t>
      </w:r>
    </w:p>
    <w:p w14:paraId="3C0C1271">
      <w:pPr>
        <w:adjustRightInd w:val="0"/>
        <w:snapToGrid w:val="0"/>
        <w:spacing w:line="360" w:lineRule="auto"/>
        <w:ind w:firstLine="420" w:firstLineChars="200"/>
        <w:jc w:val="left"/>
      </w:pPr>
      <w:r>
        <w:rPr>
          <w:szCs w:val="21"/>
        </w:rPr>
        <w:t>6.</w:t>
      </w:r>
      <w:r>
        <w:rPr>
          <w:rFonts w:hint="eastAsia"/>
          <w:szCs w:val="21"/>
        </w:rPr>
        <w:t>3.3</w:t>
      </w:r>
      <w:r>
        <w:rPr>
          <w:szCs w:val="21"/>
        </w:rPr>
        <w:t xml:space="preserve"> </w:t>
      </w:r>
      <w:r>
        <w:rPr>
          <w:kern w:val="0"/>
          <w:szCs w:val="21"/>
        </w:rPr>
        <w:t>飞行模式及切换功能试验</w:t>
      </w:r>
    </w:p>
    <w:p w14:paraId="362C3C90">
      <w:pPr>
        <w:widowControl/>
        <w:tabs>
          <w:tab w:val="left" w:pos="1985"/>
        </w:tabs>
        <w:spacing w:line="360" w:lineRule="auto"/>
        <w:ind w:firstLine="420" w:firstLineChars="200"/>
        <w:jc w:val="left"/>
        <w:rPr>
          <w:szCs w:val="21"/>
          <w:lang w:bidi="ar"/>
        </w:rPr>
      </w:pPr>
      <w:r>
        <w:rPr>
          <w:rFonts w:hint="eastAsia"/>
          <w:szCs w:val="21"/>
          <w:lang w:bidi="ar"/>
        </w:rPr>
        <w:t>按照 DL/T1578相关条款方法进行相应等级试验，样机应具有手动、增稳和全自主三种飞行模式。三种飞行模式可相互切换，切换过程中飞行状态应保持平稳。</w:t>
      </w:r>
    </w:p>
    <w:p w14:paraId="5A1C2D0A">
      <w:pPr>
        <w:adjustRightInd w:val="0"/>
        <w:snapToGrid w:val="0"/>
        <w:spacing w:line="360" w:lineRule="auto"/>
        <w:ind w:firstLine="420" w:firstLineChars="200"/>
        <w:jc w:val="left"/>
      </w:pPr>
      <w:r>
        <w:rPr>
          <w:szCs w:val="21"/>
        </w:rPr>
        <w:t>6.</w:t>
      </w:r>
      <w:r>
        <w:rPr>
          <w:rFonts w:hint="eastAsia"/>
          <w:szCs w:val="21"/>
        </w:rPr>
        <w:t>3.4</w:t>
      </w:r>
      <w:r>
        <w:rPr>
          <w:szCs w:val="21"/>
        </w:rPr>
        <w:t xml:space="preserve"> </w:t>
      </w:r>
      <w:r>
        <w:rPr>
          <w:rFonts w:hint="eastAsia"/>
          <w:kern w:val="0"/>
          <w:szCs w:val="21"/>
        </w:rPr>
        <w:t>导航定位偏差</w:t>
      </w:r>
      <w:r>
        <w:rPr>
          <w:kern w:val="0"/>
          <w:szCs w:val="21"/>
        </w:rPr>
        <w:t>试验</w:t>
      </w:r>
    </w:p>
    <w:p w14:paraId="05F8B27A">
      <w:pPr>
        <w:adjustRightInd w:val="0"/>
        <w:snapToGrid w:val="0"/>
        <w:spacing w:line="360" w:lineRule="auto"/>
        <w:ind w:firstLine="420" w:firstLineChars="200"/>
        <w:jc w:val="left"/>
      </w:pPr>
      <w:r>
        <w:rPr>
          <w:rFonts w:hint="eastAsia"/>
          <w:szCs w:val="21"/>
          <w:lang w:bidi="ar"/>
        </w:rPr>
        <w:t>按照 DL/T1578/YD/T4182相关条款方法进行相应等级试验，样机应具备实时动态定位（real-time kinematic,RTK）功能，导航定位精度水平方向不应低于10cm、垂直方向不低于20 cm。</w:t>
      </w:r>
    </w:p>
    <w:p w14:paraId="30E39DA1">
      <w:pPr>
        <w:adjustRightInd w:val="0"/>
        <w:snapToGrid w:val="0"/>
        <w:spacing w:line="360" w:lineRule="auto"/>
        <w:ind w:firstLine="420" w:firstLineChars="200"/>
        <w:jc w:val="left"/>
      </w:pPr>
      <w:r>
        <w:rPr>
          <w:szCs w:val="21"/>
        </w:rPr>
        <w:t>6.</w:t>
      </w:r>
      <w:r>
        <w:rPr>
          <w:rFonts w:hint="eastAsia"/>
          <w:szCs w:val="21"/>
        </w:rPr>
        <w:t>3.5</w:t>
      </w:r>
      <w:r>
        <w:rPr>
          <w:szCs w:val="21"/>
        </w:rPr>
        <w:t xml:space="preserve"> </w:t>
      </w:r>
      <w:r>
        <w:rPr>
          <w:rFonts w:hint="eastAsia"/>
          <w:kern w:val="0"/>
          <w:szCs w:val="21"/>
        </w:rPr>
        <w:t>飞行控制偏差</w:t>
      </w:r>
      <w:r>
        <w:rPr>
          <w:kern w:val="0"/>
          <w:szCs w:val="21"/>
        </w:rPr>
        <w:t>试验</w:t>
      </w:r>
    </w:p>
    <w:p w14:paraId="272302E1">
      <w:pPr>
        <w:adjustRightInd w:val="0"/>
        <w:snapToGrid w:val="0"/>
        <w:spacing w:line="360" w:lineRule="auto"/>
        <w:ind w:firstLine="420" w:firstLineChars="200"/>
        <w:jc w:val="left"/>
      </w:pPr>
      <w:r>
        <w:rPr>
          <w:rFonts w:hint="eastAsia"/>
          <w:szCs w:val="21"/>
          <w:lang w:bidi="ar"/>
        </w:rPr>
        <w:t>按照 DL/T1578相关条款方法进行相应等级试验，</w:t>
      </w:r>
      <w:r>
        <w:rPr>
          <w:rFonts w:hint="eastAsia"/>
        </w:rPr>
        <w:t>距地面2m高的环境瞬时风速不大于3m/s的条件下，飞行控制偏差应满足与规划航线的飞行控制偏差水平方向不大于1m、标准差不大于0.5m,垂直方向不大于1m、标准差不大于0.5m。</w:t>
      </w:r>
    </w:p>
    <w:p w14:paraId="05323FF8">
      <w:pPr>
        <w:adjustRightInd w:val="0"/>
        <w:snapToGrid w:val="0"/>
        <w:spacing w:line="360" w:lineRule="auto"/>
        <w:ind w:firstLine="420" w:firstLineChars="200"/>
        <w:jc w:val="left"/>
      </w:pPr>
      <w:r>
        <w:rPr>
          <w:szCs w:val="21"/>
        </w:rPr>
        <w:t>6.</w:t>
      </w:r>
      <w:r>
        <w:rPr>
          <w:rFonts w:hint="eastAsia"/>
          <w:szCs w:val="21"/>
        </w:rPr>
        <w:t>3.6</w:t>
      </w:r>
      <w:r>
        <w:rPr>
          <w:szCs w:val="21"/>
        </w:rPr>
        <w:t xml:space="preserve"> </w:t>
      </w:r>
      <w:r>
        <w:rPr>
          <w:rFonts w:hint="eastAsia"/>
          <w:kern w:val="0"/>
          <w:szCs w:val="21"/>
        </w:rPr>
        <w:t>悬停控制偏差</w:t>
      </w:r>
      <w:r>
        <w:rPr>
          <w:kern w:val="0"/>
          <w:szCs w:val="21"/>
        </w:rPr>
        <w:t>试验</w:t>
      </w:r>
    </w:p>
    <w:p w14:paraId="73CCB27B">
      <w:pPr>
        <w:adjustRightInd w:val="0"/>
        <w:snapToGrid w:val="0"/>
        <w:spacing w:line="360" w:lineRule="auto"/>
        <w:ind w:firstLine="420" w:firstLineChars="200"/>
        <w:jc w:val="left"/>
      </w:pPr>
      <w:r>
        <w:rPr>
          <w:rFonts w:hint="eastAsia"/>
          <w:szCs w:val="21"/>
          <w:lang w:bidi="ar"/>
        </w:rPr>
        <w:t>按照 DL/T1578相关条款方法进行相应等级试验，</w:t>
      </w:r>
      <w:r>
        <w:rPr>
          <w:rFonts w:hint="eastAsia"/>
        </w:rPr>
        <w:t>通过全自主飞行模式到达预设的悬停点后，无须操作人员干预，可稳定悬停。悬停控制偏差水平方向不大于1.5m、标准差不大于0.75m,垂直方向不大于2m、标准差不大于1m。</w:t>
      </w:r>
    </w:p>
    <w:p w14:paraId="0EE80B07">
      <w:pPr>
        <w:adjustRightInd w:val="0"/>
        <w:snapToGrid w:val="0"/>
        <w:spacing w:line="360" w:lineRule="auto"/>
        <w:ind w:firstLine="420" w:firstLineChars="200"/>
        <w:jc w:val="left"/>
      </w:pPr>
      <w:r>
        <w:rPr>
          <w:szCs w:val="21"/>
        </w:rPr>
        <w:t>6.</w:t>
      </w:r>
      <w:r>
        <w:rPr>
          <w:rFonts w:hint="eastAsia"/>
          <w:szCs w:val="21"/>
        </w:rPr>
        <w:t>3.7</w:t>
      </w:r>
      <w:r>
        <w:rPr>
          <w:szCs w:val="21"/>
        </w:rPr>
        <w:t xml:space="preserve"> </w:t>
      </w:r>
      <w:r>
        <w:rPr>
          <w:rFonts w:hint="eastAsia"/>
          <w:kern w:val="0"/>
          <w:szCs w:val="21"/>
        </w:rPr>
        <w:t>机头重定向功能</w:t>
      </w:r>
      <w:r>
        <w:rPr>
          <w:kern w:val="0"/>
          <w:szCs w:val="21"/>
        </w:rPr>
        <w:t>试验</w:t>
      </w:r>
    </w:p>
    <w:p w14:paraId="76FBC635">
      <w:pPr>
        <w:adjustRightInd w:val="0"/>
        <w:snapToGrid w:val="0"/>
        <w:spacing w:line="360" w:lineRule="auto"/>
        <w:ind w:firstLine="420" w:firstLineChars="200"/>
        <w:jc w:val="left"/>
      </w:pPr>
      <w:r>
        <w:rPr>
          <w:rFonts w:hint="eastAsia"/>
          <w:szCs w:val="21"/>
          <w:lang w:bidi="ar"/>
        </w:rPr>
        <w:t>按照 DL/T1578相关条款方法进行相应等级试验，样机应</w:t>
      </w:r>
      <w:r>
        <w:rPr>
          <w:rFonts w:hint="eastAsia"/>
        </w:rPr>
        <w:t>具备机头重定向功能。</w:t>
      </w:r>
    </w:p>
    <w:p w14:paraId="33EFE813">
      <w:pPr>
        <w:adjustRightInd w:val="0"/>
        <w:snapToGrid w:val="0"/>
        <w:spacing w:line="360" w:lineRule="auto"/>
        <w:ind w:firstLine="420" w:firstLineChars="200"/>
        <w:jc w:val="left"/>
      </w:pPr>
      <w:r>
        <w:rPr>
          <w:szCs w:val="21"/>
        </w:rPr>
        <w:t>6.</w:t>
      </w:r>
      <w:r>
        <w:rPr>
          <w:rFonts w:hint="eastAsia"/>
          <w:szCs w:val="21"/>
        </w:rPr>
        <w:t>3.8</w:t>
      </w:r>
      <w:r>
        <w:rPr>
          <w:szCs w:val="21"/>
        </w:rPr>
        <w:t xml:space="preserve"> </w:t>
      </w:r>
      <w:r>
        <w:rPr>
          <w:kern w:val="0"/>
          <w:szCs w:val="21"/>
        </w:rPr>
        <w:t>一键返航功能试验</w:t>
      </w:r>
    </w:p>
    <w:p w14:paraId="15A6EE75">
      <w:pPr>
        <w:adjustRightInd w:val="0"/>
        <w:snapToGrid w:val="0"/>
        <w:spacing w:line="360" w:lineRule="auto"/>
        <w:ind w:firstLine="420" w:firstLineChars="200"/>
        <w:jc w:val="left"/>
      </w:pPr>
      <w:r>
        <w:rPr>
          <w:rFonts w:hint="eastAsia"/>
        </w:rPr>
        <w:t>设置返航路径，并以自主方式放飞无人机，待无人机短时飞行后，启动一键返航功能，观察无人机安全返航策略及等待无人机返回，应至少可预先设置返航降落点，宜可设置返航航线、速度等参数。</w:t>
      </w:r>
    </w:p>
    <w:p w14:paraId="4016B1E8">
      <w:pPr>
        <w:adjustRightInd w:val="0"/>
        <w:snapToGrid w:val="0"/>
        <w:spacing w:line="360" w:lineRule="auto"/>
        <w:ind w:firstLine="420" w:firstLineChars="200"/>
        <w:jc w:val="left"/>
      </w:pPr>
      <w:r>
        <w:rPr>
          <w:szCs w:val="21"/>
        </w:rPr>
        <w:t>6.</w:t>
      </w:r>
      <w:r>
        <w:rPr>
          <w:rFonts w:hint="eastAsia"/>
          <w:szCs w:val="21"/>
        </w:rPr>
        <w:t>3.9</w:t>
      </w:r>
      <w:r>
        <w:rPr>
          <w:szCs w:val="21"/>
        </w:rPr>
        <w:t xml:space="preserve"> </w:t>
      </w:r>
      <w:r>
        <w:rPr>
          <w:kern w:val="0"/>
          <w:szCs w:val="21"/>
        </w:rPr>
        <w:t>链路中断返航功能试验</w:t>
      </w:r>
    </w:p>
    <w:p w14:paraId="41B3DBFC">
      <w:pPr>
        <w:adjustRightInd w:val="0"/>
        <w:snapToGrid w:val="0"/>
        <w:spacing w:line="360" w:lineRule="auto"/>
        <w:ind w:firstLine="420" w:firstLineChars="200"/>
        <w:jc w:val="left"/>
      </w:pPr>
      <w:r>
        <w:rPr>
          <w:rFonts w:hint="eastAsia"/>
        </w:rPr>
        <w:t>设置返航路径及返航策略，并以自主方式放飞无人机，待无人机短时飞行后，断开遥控器电源，观察无人机安全返航策略及等待无人机返回，应至少可预先设置返航降落点，宜可设置返航航线、速度等参数。</w:t>
      </w:r>
    </w:p>
    <w:p w14:paraId="2C0B300F">
      <w:pPr>
        <w:adjustRightInd w:val="0"/>
        <w:snapToGrid w:val="0"/>
        <w:spacing w:line="360" w:lineRule="auto"/>
        <w:ind w:firstLine="420" w:firstLineChars="200"/>
        <w:jc w:val="left"/>
      </w:pPr>
      <w:r>
        <w:rPr>
          <w:rFonts w:hint="eastAsia"/>
        </w:rPr>
        <w:t>6.3.10 飞行区域限制功能试验</w:t>
      </w:r>
    </w:p>
    <w:p w14:paraId="443F7D4D">
      <w:pPr>
        <w:adjustRightInd w:val="0"/>
        <w:snapToGrid w:val="0"/>
        <w:spacing w:line="360" w:lineRule="auto"/>
        <w:ind w:firstLine="420" w:firstLineChars="200"/>
        <w:jc w:val="left"/>
      </w:pPr>
      <w:r>
        <w:rPr>
          <w:rFonts w:hint="eastAsia"/>
          <w:szCs w:val="21"/>
          <w:lang w:bidi="ar"/>
        </w:rPr>
        <w:t>按照 DL/T1578相关条款方法进行相应等级试验，应</w:t>
      </w:r>
      <w:r>
        <w:rPr>
          <w:rFonts w:hint="eastAsia"/>
        </w:rPr>
        <w:t>可设置允许样机飞行的区域范围，在航线规划时，可对超出范围的飞行航线进行报警提示，且飞控系统锁死;在飞行过程中，当接近区域范围时可在地面站或遥控手柄上报警提示，且有防止飞越措施。</w:t>
      </w:r>
    </w:p>
    <w:p w14:paraId="52B6C23F">
      <w:pPr>
        <w:adjustRightInd w:val="0"/>
        <w:snapToGrid w:val="0"/>
        <w:spacing w:line="360" w:lineRule="auto"/>
        <w:ind w:firstLine="420" w:firstLineChars="200"/>
        <w:jc w:val="left"/>
      </w:pPr>
      <w:r>
        <w:rPr>
          <w:rFonts w:hint="eastAsia"/>
        </w:rPr>
        <w:t>6.3.11 低电压报警功能试验</w:t>
      </w:r>
    </w:p>
    <w:p w14:paraId="4846CB78">
      <w:pPr>
        <w:adjustRightInd w:val="0"/>
        <w:snapToGrid w:val="0"/>
        <w:spacing w:line="360" w:lineRule="auto"/>
        <w:ind w:firstLine="420" w:firstLineChars="200"/>
        <w:jc w:val="left"/>
      </w:pPr>
      <w:r>
        <w:rPr>
          <w:rFonts w:hint="eastAsia"/>
          <w:szCs w:val="21"/>
          <w:lang w:bidi="ar"/>
        </w:rPr>
        <w:t>按照 DL/T1578相关条款方法进行相应等级试验，</w:t>
      </w:r>
      <w:r>
        <w:rPr>
          <w:rFonts w:hint="eastAsia"/>
        </w:rPr>
        <w:t>在飞行过程中，当电池电压（或电量）低于预设告警电压（或电量）时，可在地面站或遥控手柄上报警提示。</w:t>
      </w:r>
    </w:p>
    <w:p w14:paraId="5EF8999A">
      <w:pPr>
        <w:adjustRightInd w:val="0"/>
        <w:snapToGrid w:val="0"/>
        <w:spacing w:line="360" w:lineRule="auto"/>
        <w:ind w:firstLine="420" w:firstLineChars="200"/>
        <w:jc w:val="left"/>
      </w:pPr>
      <w:r>
        <w:rPr>
          <w:rFonts w:hint="eastAsia"/>
        </w:rPr>
        <w:t>6.3.12 位置追踪功能试验</w:t>
      </w:r>
    </w:p>
    <w:p w14:paraId="02298F14">
      <w:pPr>
        <w:adjustRightInd w:val="0"/>
        <w:snapToGrid w:val="0"/>
        <w:spacing w:line="360" w:lineRule="auto"/>
        <w:ind w:firstLine="420" w:firstLineChars="200"/>
        <w:jc w:val="left"/>
      </w:pPr>
      <w:r>
        <w:rPr>
          <w:rFonts w:hint="eastAsia"/>
          <w:szCs w:val="21"/>
          <w:lang w:bidi="ar"/>
        </w:rPr>
        <w:t>按照 DL/T1578相关条款方法进行相应等级试验，</w:t>
      </w:r>
      <w:r>
        <w:rPr>
          <w:rFonts w:hint="eastAsia"/>
        </w:rPr>
        <w:t>可不依赖于机载电源和数传电台，以定时自动或受控应答方式向工作人员发送多旋翼无人机位置信息：且定位偏差水平方向不大于 5m，垂直方向不大于 10m。</w:t>
      </w:r>
    </w:p>
    <w:p w14:paraId="0F62957C">
      <w:pPr>
        <w:adjustRightInd w:val="0"/>
        <w:snapToGrid w:val="0"/>
        <w:spacing w:line="360" w:lineRule="auto"/>
        <w:ind w:firstLine="420" w:firstLineChars="200"/>
        <w:jc w:val="left"/>
      </w:pPr>
      <w:r>
        <w:rPr>
          <w:rFonts w:hint="eastAsia"/>
        </w:rPr>
        <w:t>6.3.13 拍照功能试验</w:t>
      </w:r>
    </w:p>
    <w:p w14:paraId="540D77C3">
      <w:pPr>
        <w:widowControl/>
        <w:adjustRightInd w:val="0"/>
        <w:snapToGrid w:val="0"/>
        <w:spacing w:line="360" w:lineRule="auto"/>
        <w:ind w:firstLine="420" w:firstLineChars="200"/>
        <w:jc w:val="left"/>
      </w:pPr>
      <w:r>
        <w:rPr>
          <w:rFonts w:hint="eastAsia"/>
          <w:szCs w:val="21"/>
          <w:lang w:bidi="ar"/>
        </w:rPr>
        <w:t>按照 DL/T1578相关条款方法进行相应等级试验，样机应</w:t>
      </w:r>
      <w:r>
        <w:rPr>
          <w:rFonts w:hint="eastAsia"/>
          <w:lang w:bidi="ar"/>
        </w:rPr>
        <w:t>具备手动拍照和定点自动拍照功能。</w:t>
      </w:r>
    </w:p>
    <w:p w14:paraId="23B849C9">
      <w:pPr>
        <w:adjustRightInd w:val="0"/>
        <w:snapToGrid w:val="0"/>
        <w:spacing w:line="360" w:lineRule="auto"/>
        <w:ind w:firstLine="420" w:firstLineChars="200"/>
        <w:jc w:val="left"/>
      </w:pPr>
      <w:r>
        <w:rPr>
          <w:rFonts w:hint="eastAsia"/>
        </w:rPr>
        <w:t>6.3.14 转动功能试验</w:t>
      </w:r>
    </w:p>
    <w:p w14:paraId="6FF3649B">
      <w:pPr>
        <w:adjustRightInd w:val="0"/>
        <w:snapToGrid w:val="0"/>
        <w:spacing w:line="360" w:lineRule="auto"/>
        <w:ind w:firstLine="420" w:firstLineChars="200"/>
        <w:jc w:val="left"/>
      </w:pPr>
      <w:r>
        <w:rPr>
          <w:rFonts w:hint="eastAsia"/>
          <w:szCs w:val="21"/>
          <w:lang w:bidi="ar"/>
        </w:rPr>
        <w:t>按照 DL/T1578相关条款方法进行相应等级试验，样机</w:t>
      </w:r>
      <w:r>
        <w:rPr>
          <w:rFonts w:hint="eastAsia"/>
        </w:rPr>
        <w:t>应至少具备水平和俯仰两个方向的转动性能，各方向转动最大角速度不小于 30 °/s 。水平转动范围宜为 n</w:t>
      </w:r>
      <w:r>
        <w:rPr>
          <w:rFonts w:ascii="Arial" w:hAnsi="Arial" w:cs="Arial"/>
        </w:rPr>
        <w:t>×</w:t>
      </w:r>
      <w:r>
        <w:rPr>
          <w:rFonts w:hint="eastAsia"/>
        </w:rPr>
        <w:t>360° 也可为一180°~+180°; 俯仰转动范围至少为-60°~+30°。</w:t>
      </w:r>
    </w:p>
    <w:p w14:paraId="67677E2D">
      <w:pPr>
        <w:adjustRightInd w:val="0"/>
        <w:snapToGrid w:val="0"/>
        <w:spacing w:line="360" w:lineRule="auto"/>
        <w:ind w:firstLine="420" w:firstLineChars="200"/>
        <w:jc w:val="left"/>
      </w:pPr>
      <w:r>
        <w:rPr>
          <w:rFonts w:hint="eastAsia"/>
        </w:rPr>
        <w:t>6.3.15 稳像精度试验</w:t>
      </w:r>
    </w:p>
    <w:p w14:paraId="08606589">
      <w:pPr>
        <w:adjustRightInd w:val="0"/>
        <w:snapToGrid w:val="0"/>
        <w:spacing w:line="360" w:lineRule="auto"/>
        <w:ind w:firstLine="420" w:firstLineChars="200"/>
        <w:jc w:val="left"/>
      </w:pPr>
      <w:r>
        <w:rPr>
          <w:rFonts w:hint="eastAsia"/>
          <w:szCs w:val="21"/>
          <w:lang w:bidi="ar"/>
        </w:rPr>
        <w:t>按照 DL/T1578相关条款方法进行相应等级试验，样机</w:t>
      </w:r>
      <w:r>
        <w:rPr>
          <w:rFonts w:hint="eastAsia"/>
        </w:rPr>
        <w:t>稳像精度不应低于2.0 mrad。</w:t>
      </w:r>
    </w:p>
    <w:p w14:paraId="7523DC6F">
      <w:pPr>
        <w:adjustRightInd w:val="0"/>
        <w:snapToGrid w:val="0"/>
        <w:spacing w:line="360" w:lineRule="auto"/>
        <w:ind w:firstLine="420" w:firstLineChars="200"/>
        <w:jc w:val="left"/>
      </w:pPr>
      <w:r>
        <w:rPr>
          <w:rFonts w:hint="eastAsia"/>
        </w:rPr>
        <w:t>6.3.16 可见光成像性能试验</w:t>
      </w:r>
    </w:p>
    <w:p w14:paraId="7BCC79D8">
      <w:pPr>
        <w:adjustRightInd w:val="0"/>
        <w:snapToGrid w:val="0"/>
        <w:spacing w:line="360" w:lineRule="auto"/>
        <w:ind w:firstLine="420" w:firstLineChars="200"/>
        <w:jc w:val="left"/>
        <w:rPr>
          <w:lang w:bidi="ar"/>
        </w:rPr>
      </w:pPr>
      <w:r>
        <w:rPr>
          <w:rFonts w:hint="eastAsia"/>
          <w:szCs w:val="21"/>
          <w:lang w:bidi="ar"/>
        </w:rPr>
        <w:t>按照 DL/T1578相关条款方法进行相应等级试验，样机挂载的</w:t>
      </w:r>
      <w:r>
        <w:rPr>
          <w:rFonts w:hint="eastAsia"/>
          <w:lang w:bidi="ar"/>
        </w:rPr>
        <w:t>可见光传感器有效像素数不低于 2000 万，具备变焦功能和自动对焦功能，在距离不小于 20m 处拍摄的影像中可清晰分辨功 .4 mm 目标，目标轮廓清晰可辨。</w:t>
      </w:r>
    </w:p>
    <w:p w14:paraId="6E6B467B">
      <w:pPr>
        <w:adjustRightInd w:val="0"/>
        <w:snapToGrid w:val="0"/>
        <w:spacing w:line="360" w:lineRule="auto"/>
        <w:ind w:firstLine="420" w:firstLineChars="200"/>
        <w:jc w:val="left"/>
        <w:rPr>
          <w:szCs w:val="21"/>
          <w:lang w:bidi="ar"/>
        </w:rPr>
      </w:pPr>
      <w:r>
        <w:rPr>
          <w:rFonts w:hint="eastAsia"/>
        </w:rPr>
        <w:t xml:space="preserve">6.3.17 </w:t>
      </w:r>
      <w:r>
        <w:rPr>
          <w:rFonts w:hint="eastAsia"/>
          <w:szCs w:val="21"/>
          <w:lang w:bidi="ar"/>
        </w:rPr>
        <w:t>红外成像性能试验</w:t>
      </w:r>
    </w:p>
    <w:p w14:paraId="247BD5FF">
      <w:pPr>
        <w:adjustRightInd w:val="0"/>
        <w:snapToGrid w:val="0"/>
        <w:spacing w:line="360" w:lineRule="auto"/>
        <w:ind w:firstLine="420" w:firstLineChars="200"/>
        <w:jc w:val="left"/>
      </w:pPr>
      <w:r>
        <w:rPr>
          <w:rFonts w:hint="eastAsia"/>
          <w:szCs w:val="21"/>
          <w:lang w:bidi="ar"/>
        </w:rPr>
        <w:t>按照 DL/T1578相关条款方法进行相应等级试验，样机挂载的红外传感器可为单独型式或与可见光传感器一体化型式。红外传感器的有效像素数不低于30万：具备自动对焦功能：测温范围不小于 10°~150° 、精度不低于土2° 或测量值乘以±2% （取绝对值大者）。</w:t>
      </w:r>
      <w:r>
        <w:rPr>
          <w:rFonts w:hint="eastAsia"/>
          <w:lang w:bidi="ar"/>
        </w:rPr>
        <w:t>。</w:t>
      </w:r>
    </w:p>
    <w:p w14:paraId="3DCD4E1C">
      <w:pPr>
        <w:adjustRightInd w:val="0"/>
        <w:snapToGrid w:val="0"/>
        <w:spacing w:line="360" w:lineRule="auto"/>
        <w:ind w:firstLine="420" w:firstLineChars="200"/>
        <w:jc w:val="left"/>
      </w:pPr>
      <w:r>
        <w:rPr>
          <w:rFonts w:hint="eastAsia"/>
        </w:rPr>
        <w:t>6.3.18 跟踪精度试验</w:t>
      </w:r>
    </w:p>
    <w:p w14:paraId="083A640A">
      <w:pPr>
        <w:adjustRightInd w:val="0"/>
        <w:snapToGrid w:val="0"/>
        <w:spacing w:line="360" w:lineRule="auto"/>
        <w:ind w:firstLine="420" w:firstLineChars="200"/>
        <w:jc w:val="left"/>
        <w:rPr>
          <w:lang w:bidi="ar"/>
        </w:rPr>
      </w:pPr>
      <w:r>
        <w:rPr>
          <w:rFonts w:hint="eastAsia"/>
          <w:szCs w:val="21"/>
          <w:lang w:bidi="ar"/>
        </w:rPr>
        <w:t>按照 DL/T1578相关条款方法进行相应等级试验，样机</w:t>
      </w:r>
      <w:r>
        <w:rPr>
          <w:rFonts w:hint="eastAsia"/>
          <w:lang w:bidi="ar"/>
        </w:rPr>
        <w:t>宜具备跟踪功能，跟踪精度不低于 4.0mrad。</w:t>
      </w:r>
    </w:p>
    <w:p w14:paraId="431C7B45">
      <w:pPr>
        <w:pStyle w:val="3"/>
        <w:keepNext w:val="0"/>
        <w:keepLines w:val="0"/>
        <w:spacing w:before="0" w:after="0" w:line="360" w:lineRule="auto"/>
        <w:rPr>
          <w:rFonts w:hint="eastAsia" w:ascii="黑体" w:hAnsi="黑体"/>
          <w:b w:val="0"/>
          <w:bCs/>
          <w:szCs w:val="21"/>
        </w:rPr>
      </w:pPr>
      <w:bookmarkStart w:id="150" w:name="_Toc222991633"/>
      <w:bookmarkStart w:id="151" w:name="_Toc7557"/>
      <w:r>
        <w:rPr>
          <w:rFonts w:hint="eastAsia" w:ascii="黑体" w:hAnsi="黑体"/>
          <w:b w:val="0"/>
          <w:bCs/>
          <w:szCs w:val="21"/>
        </w:rPr>
        <w:t xml:space="preserve">6.4 </w:t>
      </w:r>
      <w:r>
        <w:rPr>
          <w:rFonts w:ascii="黑体" w:hAnsi="黑体"/>
          <w:b w:val="0"/>
          <w:bCs/>
          <w:szCs w:val="21"/>
        </w:rPr>
        <w:t>电磁兼容试验</w:t>
      </w:r>
      <w:bookmarkEnd w:id="150"/>
      <w:bookmarkEnd w:id="151"/>
    </w:p>
    <w:p w14:paraId="36B1E347">
      <w:pPr>
        <w:adjustRightInd w:val="0"/>
        <w:snapToGrid w:val="0"/>
        <w:spacing w:line="360" w:lineRule="auto"/>
        <w:ind w:firstLine="420" w:firstLineChars="200"/>
        <w:jc w:val="left"/>
      </w:pPr>
      <w:r>
        <w:rPr>
          <w:rFonts w:hint="eastAsia"/>
        </w:rPr>
        <w:t>6.4.1 射频电磁场辐射抗扰度试验</w:t>
      </w:r>
    </w:p>
    <w:p w14:paraId="6168F322">
      <w:pPr>
        <w:adjustRightInd w:val="0"/>
        <w:snapToGrid w:val="0"/>
        <w:spacing w:line="360" w:lineRule="auto"/>
        <w:ind w:firstLine="420" w:firstLineChars="200"/>
        <w:jc w:val="left"/>
        <w:rPr>
          <w:lang w:bidi="ar"/>
        </w:rPr>
      </w:pPr>
      <w:r>
        <w:rPr>
          <w:rFonts w:hint="eastAsia"/>
          <w:lang w:bidi="ar"/>
        </w:rPr>
        <w:t>按照 GB/T 17626.3 /</w:t>
      </w:r>
      <w:r>
        <w:rPr>
          <w:rFonts w:hint="eastAsia"/>
          <w:szCs w:val="21"/>
          <w:lang w:bidi="ar"/>
        </w:rPr>
        <w:t>DL/T1578</w:t>
      </w:r>
      <w:r>
        <w:rPr>
          <w:rFonts w:hint="eastAsia"/>
          <w:lang w:bidi="ar"/>
        </w:rPr>
        <w:t>的相关条款方法进行试验，</w:t>
      </w:r>
      <w:r>
        <w:rPr>
          <w:rFonts w:hint="eastAsia"/>
          <w:szCs w:val="21"/>
          <w:lang w:bidi="ar"/>
        </w:rPr>
        <w:t>样机</w:t>
      </w:r>
      <w:r>
        <w:rPr>
          <w:rFonts w:hint="eastAsia"/>
          <w:lang w:bidi="ar"/>
        </w:rPr>
        <w:t>试验结果不低于B级。</w:t>
      </w:r>
    </w:p>
    <w:p w14:paraId="12443F1D">
      <w:pPr>
        <w:adjustRightInd w:val="0"/>
        <w:snapToGrid w:val="0"/>
        <w:spacing w:line="360" w:lineRule="auto"/>
        <w:ind w:firstLine="420" w:firstLineChars="200"/>
        <w:jc w:val="left"/>
      </w:pPr>
      <w:r>
        <w:rPr>
          <w:rFonts w:hint="eastAsia"/>
        </w:rPr>
        <w:t>6.4.2 静电放电抗扰度</w:t>
      </w:r>
    </w:p>
    <w:p w14:paraId="5F35F441">
      <w:pPr>
        <w:adjustRightInd w:val="0"/>
        <w:snapToGrid w:val="0"/>
        <w:spacing w:line="360" w:lineRule="auto"/>
        <w:ind w:firstLine="420" w:firstLineChars="200"/>
        <w:jc w:val="left"/>
        <w:rPr>
          <w:lang w:bidi="ar"/>
        </w:rPr>
      </w:pPr>
      <w:r>
        <w:rPr>
          <w:rFonts w:hint="eastAsia"/>
          <w:lang w:bidi="ar"/>
        </w:rPr>
        <w:t>按照 GB/T 17626.2/</w:t>
      </w:r>
      <w:r>
        <w:rPr>
          <w:rFonts w:hint="eastAsia"/>
          <w:szCs w:val="21"/>
          <w:lang w:bidi="ar"/>
        </w:rPr>
        <w:t>DL/T1578</w:t>
      </w:r>
      <w:r>
        <w:rPr>
          <w:rFonts w:hint="eastAsia"/>
          <w:lang w:bidi="ar"/>
        </w:rPr>
        <w:t xml:space="preserve"> 的相关条款方法进行试验，</w:t>
      </w:r>
      <w:r>
        <w:rPr>
          <w:rFonts w:hint="eastAsia"/>
          <w:szCs w:val="21"/>
          <w:lang w:bidi="ar"/>
        </w:rPr>
        <w:t>样机</w:t>
      </w:r>
      <w:r>
        <w:rPr>
          <w:rFonts w:hint="eastAsia"/>
          <w:lang w:bidi="ar"/>
        </w:rPr>
        <w:t>试验结果不低于A级。</w:t>
      </w:r>
    </w:p>
    <w:p w14:paraId="33E84EB6">
      <w:pPr>
        <w:adjustRightInd w:val="0"/>
        <w:snapToGrid w:val="0"/>
        <w:spacing w:line="360" w:lineRule="auto"/>
        <w:ind w:firstLine="420" w:firstLineChars="200"/>
        <w:jc w:val="left"/>
      </w:pPr>
      <w:r>
        <w:rPr>
          <w:rFonts w:hint="eastAsia"/>
        </w:rPr>
        <w:t>6.4.3 脉冲磁场抗扰度</w:t>
      </w:r>
    </w:p>
    <w:p w14:paraId="72206193">
      <w:pPr>
        <w:adjustRightInd w:val="0"/>
        <w:snapToGrid w:val="0"/>
        <w:spacing w:line="360" w:lineRule="auto"/>
        <w:ind w:firstLine="420" w:firstLineChars="200"/>
        <w:jc w:val="left"/>
        <w:rPr>
          <w:lang w:bidi="ar"/>
        </w:rPr>
      </w:pPr>
      <w:r>
        <w:rPr>
          <w:rFonts w:hint="eastAsia"/>
          <w:lang w:bidi="ar"/>
        </w:rPr>
        <w:t>按照 GB/T 17626.9 /</w:t>
      </w:r>
      <w:r>
        <w:rPr>
          <w:rFonts w:hint="eastAsia"/>
          <w:szCs w:val="21"/>
          <w:lang w:bidi="ar"/>
        </w:rPr>
        <w:t>DL/T1578</w:t>
      </w:r>
      <w:r>
        <w:rPr>
          <w:rFonts w:hint="eastAsia"/>
          <w:lang w:bidi="ar"/>
        </w:rPr>
        <w:t>的相关条款方法进行试验，</w:t>
      </w:r>
      <w:r>
        <w:rPr>
          <w:rFonts w:hint="eastAsia"/>
          <w:szCs w:val="21"/>
          <w:lang w:bidi="ar"/>
        </w:rPr>
        <w:t>样机</w:t>
      </w:r>
      <w:r>
        <w:rPr>
          <w:rFonts w:hint="eastAsia"/>
          <w:lang w:bidi="ar"/>
        </w:rPr>
        <w:t>试验结果不低于A级。</w:t>
      </w:r>
    </w:p>
    <w:p w14:paraId="5F4C2CDA">
      <w:pPr>
        <w:adjustRightInd w:val="0"/>
        <w:snapToGrid w:val="0"/>
        <w:spacing w:line="360" w:lineRule="auto"/>
        <w:ind w:firstLine="420" w:firstLineChars="200"/>
        <w:jc w:val="left"/>
      </w:pPr>
      <w:r>
        <w:rPr>
          <w:rFonts w:hint="eastAsia"/>
        </w:rPr>
        <w:t>6.4.4 工频磁场抗扰度</w:t>
      </w:r>
    </w:p>
    <w:p w14:paraId="08618921">
      <w:pPr>
        <w:adjustRightInd w:val="0"/>
        <w:snapToGrid w:val="0"/>
        <w:spacing w:line="360" w:lineRule="auto"/>
        <w:ind w:firstLine="420" w:firstLineChars="200"/>
        <w:jc w:val="left"/>
        <w:rPr>
          <w:lang w:bidi="ar"/>
        </w:rPr>
      </w:pPr>
      <w:r>
        <w:rPr>
          <w:rFonts w:hint="eastAsia"/>
          <w:lang w:bidi="ar"/>
        </w:rPr>
        <w:t>按照 GB 17626.8/</w:t>
      </w:r>
      <w:r>
        <w:rPr>
          <w:rFonts w:hint="eastAsia"/>
          <w:szCs w:val="21"/>
          <w:lang w:bidi="ar"/>
        </w:rPr>
        <w:t>DL/T1578</w:t>
      </w:r>
      <w:r>
        <w:rPr>
          <w:rFonts w:hint="eastAsia"/>
          <w:lang w:bidi="ar"/>
        </w:rPr>
        <w:t xml:space="preserve"> 的相关条款方法进行试验，</w:t>
      </w:r>
      <w:r>
        <w:rPr>
          <w:rFonts w:hint="eastAsia"/>
          <w:szCs w:val="21"/>
          <w:lang w:bidi="ar"/>
        </w:rPr>
        <w:t>样机</w:t>
      </w:r>
      <w:r>
        <w:rPr>
          <w:rFonts w:hint="eastAsia"/>
          <w:lang w:bidi="ar"/>
        </w:rPr>
        <w:t>试验结果不低于A级。</w:t>
      </w:r>
    </w:p>
    <w:p w14:paraId="20D679FA">
      <w:pPr>
        <w:pStyle w:val="3"/>
        <w:keepNext w:val="0"/>
        <w:keepLines w:val="0"/>
        <w:spacing w:before="0" w:after="0" w:line="360" w:lineRule="auto"/>
        <w:rPr>
          <w:rFonts w:hint="eastAsia" w:ascii="黑体" w:hAnsi="黑体"/>
          <w:b w:val="0"/>
          <w:bCs/>
          <w:szCs w:val="21"/>
        </w:rPr>
      </w:pPr>
      <w:bookmarkStart w:id="152" w:name="_Toc31296"/>
      <w:bookmarkStart w:id="153" w:name="_Toc222991634"/>
      <w:r>
        <w:rPr>
          <w:rFonts w:hint="eastAsia" w:ascii="黑体" w:hAnsi="黑体"/>
          <w:b w:val="0"/>
          <w:bCs/>
          <w:szCs w:val="21"/>
        </w:rPr>
        <w:t>6.5 性能试验</w:t>
      </w:r>
      <w:bookmarkEnd w:id="152"/>
      <w:bookmarkEnd w:id="153"/>
    </w:p>
    <w:p w14:paraId="5F122E21">
      <w:pPr>
        <w:adjustRightInd w:val="0"/>
        <w:snapToGrid w:val="0"/>
        <w:spacing w:line="360" w:lineRule="auto"/>
        <w:ind w:firstLine="420" w:firstLineChars="200"/>
        <w:jc w:val="left"/>
      </w:pPr>
      <w:r>
        <w:rPr>
          <w:rFonts w:hint="eastAsia"/>
        </w:rPr>
        <w:t xml:space="preserve">6.5.1 </w:t>
      </w:r>
      <w:r>
        <w:rPr>
          <w:kern w:val="0"/>
          <w:szCs w:val="21"/>
        </w:rPr>
        <w:t>地面站软件性能试验</w:t>
      </w:r>
    </w:p>
    <w:p w14:paraId="57809EAC">
      <w:pPr>
        <w:adjustRightInd w:val="0"/>
        <w:snapToGrid w:val="0"/>
        <w:spacing w:line="360" w:lineRule="auto"/>
        <w:ind w:firstLine="420" w:firstLineChars="200"/>
        <w:jc w:val="left"/>
      </w:pPr>
      <w:r>
        <w:rPr>
          <w:rFonts w:hint="eastAsia"/>
        </w:rPr>
        <w:t xml:space="preserve">（1） </w:t>
      </w:r>
      <w:r>
        <w:rPr>
          <w:rFonts w:hint="eastAsia"/>
          <w:szCs w:val="21"/>
          <w:lang w:bidi="ar"/>
        </w:rPr>
        <w:t>按照 DL/T1578相关条款方法进行相应等级试验，</w:t>
      </w:r>
      <w:r>
        <w:rPr>
          <w:rFonts w:hint="eastAsia"/>
        </w:rPr>
        <w:t>样机应具备当前位置坐标、飞行高度（可为相对高度，也可为绝对高度;相对高度可为负值，绝对高度采用 CGCS2000 坐标系高度）、飞行速度、飞行航向和航迹、剩余电量、导航定位信号强度等参数的实时显示和记录。</w:t>
      </w:r>
    </w:p>
    <w:p w14:paraId="7C5421E5">
      <w:pPr>
        <w:adjustRightInd w:val="0"/>
        <w:snapToGrid w:val="0"/>
        <w:spacing w:line="360" w:lineRule="auto"/>
        <w:ind w:firstLine="420" w:firstLineChars="200"/>
        <w:jc w:val="left"/>
      </w:pPr>
      <w:r>
        <w:rPr>
          <w:rFonts w:hint="eastAsia"/>
        </w:rPr>
        <w:t xml:space="preserve">（2） </w:t>
      </w:r>
      <w:r>
        <w:rPr>
          <w:rFonts w:hint="eastAsia"/>
          <w:szCs w:val="21"/>
          <w:lang w:bidi="ar"/>
        </w:rPr>
        <w:t>按照 DL/T1578相关条款方法进行相应等级试验，地面站软件应</w:t>
      </w:r>
      <w:r>
        <w:rPr>
          <w:rFonts w:hint="eastAsia"/>
        </w:rPr>
        <w:t>具备电池实时监控管理功能，可对电池电压、充放电次数等进行实时查询和管理。</w:t>
      </w:r>
    </w:p>
    <w:p w14:paraId="42A5403C">
      <w:pPr>
        <w:adjustRightInd w:val="0"/>
        <w:snapToGrid w:val="0"/>
        <w:spacing w:line="360" w:lineRule="auto"/>
        <w:ind w:firstLine="420" w:firstLineChars="200"/>
        <w:jc w:val="left"/>
      </w:pPr>
      <w:r>
        <w:rPr>
          <w:rFonts w:hint="eastAsia"/>
        </w:rPr>
        <w:t xml:space="preserve">（3） </w:t>
      </w:r>
      <w:r>
        <w:rPr>
          <w:rFonts w:hint="eastAsia"/>
          <w:szCs w:val="21"/>
          <w:lang w:bidi="ar"/>
        </w:rPr>
        <w:t>按照 DL/T1578相关条款方法进行相应等级试验，地面站软件应对</w:t>
      </w:r>
      <w:r>
        <w:rPr>
          <w:rFonts w:hint="eastAsia"/>
        </w:rPr>
        <w:t>拍摄的可见光影像、红外影像（含热图数据）及飞行日志数据可存储、导出和分析。</w:t>
      </w:r>
    </w:p>
    <w:p w14:paraId="589E02F4">
      <w:pPr>
        <w:adjustRightInd w:val="0"/>
        <w:snapToGrid w:val="0"/>
        <w:spacing w:line="360" w:lineRule="auto"/>
        <w:ind w:firstLine="420" w:firstLineChars="200"/>
        <w:jc w:val="left"/>
      </w:pPr>
      <w:r>
        <w:rPr>
          <w:rFonts w:hint="eastAsia"/>
          <w:lang w:bidi="ar"/>
        </w:rPr>
        <w:t>（4） 多旋翼无人机位置及偏离角、云台俯仰角及偏转角等信息宜记录至拍摄影像的属性中</w:t>
      </w:r>
      <w:r>
        <w:rPr>
          <w:rFonts w:hint="eastAsia"/>
        </w:rPr>
        <w:t>。</w:t>
      </w:r>
    </w:p>
    <w:p w14:paraId="40E43D95">
      <w:pPr>
        <w:adjustRightInd w:val="0"/>
        <w:snapToGrid w:val="0"/>
        <w:spacing w:line="360" w:lineRule="auto"/>
        <w:ind w:firstLine="420" w:firstLineChars="200"/>
        <w:jc w:val="left"/>
        <w:rPr>
          <w:kern w:val="0"/>
          <w:szCs w:val="21"/>
        </w:rPr>
      </w:pPr>
      <w:r>
        <w:rPr>
          <w:rFonts w:hint="eastAsia"/>
          <w:kern w:val="0"/>
          <w:szCs w:val="21"/>
        </w:rPr>
        <w:t>6.5.2 动力电池性能试验</w:t>
      </w:r>
    </w:p>
    <w:p w14:paraId="0F1B4909">
      <w:pPr>
        <w:adjustRightInd w:val="0"/>
        <w:snapToGrid w:val="0"/>
        <w:spacing w:line="360" w:lineRule="auto"/>
        <w:ind w:firstLine="420" w:firstLineChars="200"/>
        <w:jc w:val="left"/>
      </w:pPr>
      <w:r>
        <w:rPr>
          <w:rFonts w:hint="eastAsia"/>
          <w:lang w:bidi="ar"/>
        </w:rPr>
        <w:t>按照 DL/T1578相关条</w:t>
      </w:r>
      <w:r>
        <w:rPr>
          <w:rFonts w:hint="eastAsia"/>
          <w:szCs w:val="21"/>
          <w:lang w:bidi="ar"/>
        </w:rPr>
        <w:t>款方法进行相应等级试验，</w:t>
      </w:r>
      <w:r>
        <w:rPr>
          <w:rFonts w:hint="eastAsia"/>
        </w:rPr>
        <w:t>样机动力电池外观特性应具有电源正负极标识，电池接头采取防松脱、防误插措施；在电性能试验中，23°快速放电容量试验不低于电池规格书规定的额定值，且不高于额定值的110%，-20°快速放电容量试验不低于电池规格书规定的额定值的70%，55°快速放电容量试验不低于电池规格书规定的额定值的95%，循环寿命的循环次数不小于300；在环境适应性的低气压试验、温度冲击试验、耐振动性试验中，电池均不出现变形、鼓包、漏液、破裂、起火、爆炸等现象；在安全性的过电压充电试验、欠电压放电试验、外部短路试验、挤压试验、加速度冲击试验、跌落试验中，电池均不出现变形、鼓包、漏液、破裂、起火、爆炸等现象。</w:t>
      </w:r>
    </w:p>
    <w:p w14:paraId="24CD91D2">
      <w:pPr>
        <w:adjustRightInd w:val="0"/>
        <w:snapToGrid w:val="0"/>
        <w:spacing w:line="360" w:lineRule="auto"/>
        <w:ind w:firstLine="420" w:firstLineChars="200"/>
        <w:jc w:val="left"/>
      </w:pPr>
      <w:r>
        <w:rPr>
          <w:rFonts w:hint="eastAsia"/>
        </w:rPr>
        <w:t xml:space="preserve">6.5.3 </w:t>
      </w:r>
      <w:r>
        <w:rPr>
          <w:rFonts w:hint="eastAsia"/>
          <w:kern w:val="0"/>
          <w:szCs w:val="21"/>
        </w:rPr>
        <w:t>机械耐受性能试验</w:t>
      </w:r>
    </w:p>
    <w:p w14:paraId="7D5FFDED">
      <w:pPr>
        <w:adjustRightInd w:val="0"/>
        <w:snapToGrid w:val="0"/>
        <w:spacing w:line="360" w:lineRule="auto"/>
        <w:ind w:firstLine="420" w:firstLineChars="200"/>
        <w:jc w:val="left"/>
      </w:pPr>
      <w:r>
        <w:rPr>
          <w:rFonts w:hint="eastAsia"/>
          <w:lang w:bidi="ar"/>
        </w:rPr>
        <w:t xml:space="preserve">按照 </w:t>
      </w:r>
      <w:r>
        <w:rPr>
          <w:rFonts w:hint="eastAsia"/>
          <w:szCs w:val="21"/>
          <w:lang w:bidi="ar"/>
        </w:rPr>
        <w:t>DL/T1578</w:t>
      </w:r>
      <w:r>
        <w:rPr>
          <w:rFonts w:hint="eastAsia"/>
          <w:lang w:bidi="ar"/>
        </w:rPr>
        <w:t xml:space="preserve"> 的相关条款方法进行试验，样机无变形和裂纹等现象，插接件、紧固件等无开裂、松落等现象，显示屏无变形、开裂、花屏等现象，样机操控响应正常，任务设备转动、拍摄等功能正常。</w:t>
      </w:r>
    </w:p>
    <w:p w14:paraId="669D68BA">
      <w:pPr>
        <w:adjustRightInd w:val="0"/>
        <w:snapToGrid w:val="0"/>
        <w:spacing w:line="360" w:lineRule="auto"/>
        <w:ind w:firstLine="420" w:firstLineChars="200"/>
        <w:jc w:val="left"/>
      </w:pPr>
      <w:r>
        <w:rPr>
          <w:rFonts w:hint="eastAsia"/>
        </w:rPr>
        <w:t>6.5.4 跌落</w:t>
      </w:r>
      <w:r>
        <w:rPr>
          <w:rFonts w:hint="eastAsia"/>
          <w:kern w:val="0"/>
          <w:szCs w:val="21"/>
        </w:rPr>
        <w:t>性能试验</w:t>
      </w:r>
    </w:p>
    <w:p w14:paraId="3FC79CAF">
      <w:pPr>
        <w:adjustRightInd w:val="0"/>
        <w:snapToGrid w:val="0"/>
        <w:spacing w:line="360" w:lineRule="auto"/>
        <w:ind w:firstLine="420" w:firstLineChars="200"/>
        <w:rPr>
          <w:lang w:bidi="ar"/>
        </w:rPr>
      </w:pPr>
      <w:r>
        <w:rPr>
          <w:rFonts w:hint="eastAsia"/>
          <w:lang w:bidi="ar"/>
        </w:rPr>
        <w:t xml:space="preserve">按照 </w:t>
      </w:r>
      <w:r>
        <w:rPr>
          <w:rFonts w:hint="eastAsia"/>
          <w:szCs w:val="21"/>
          <w:lang w:bidi="ar"/>
        </w:rPr>
        <w:t>DL/T1578</w:t>
      </w:r>
      <w:r>
        <w:rPr>
          <w:rFonts w:hint="eastAsia"/>
          <w:lang w:bidi="ar"/>
        </w:rPr>
        <w:t xml:space="preserve"> 的相关条款方法进行试验，</w:t>
      </w:r>
      <w:r>
        <w:rPr>
          <w:rFonts w:hint="eastAsia"/>
          <w:szCs w:val="21"/>
          <w:lang w:bidi="ar"/>
        </w:rPr>
        <w:t>储运包</w:t>
      </w:r>
      <w:r>
        <w:rPr>
          <w:rFonts w:hint="eastAsia"/>
          <w:lang w:bidi="ar"/>
        </w:rPr>
        <w:t>无变形、裂纹和破损屏等现像，样机无变形和裂纹等现象，插接件、紧固件等无开裂、松落等现象，显示屏无变形、开裂、花屏等现象，样机操控响应正常，任务设备转动、拍摄等功能正常。</w:t>
      </w:r>
    </w:p>
    <w:bookmarkEnd w:id="143"/>
    <w:bookmarkEnd w:id="144"/>
    <w:bookmarkEnd w:id="145"/>
    <w:p w14:paraId="67D2BBBD">
      <w:pPr>
        <w:spacing w:line="480" w:lineRule="auto"/>
        <w:outlineLvl w:val="0"/>
        <w:rPr>
          <w:rFonts w:eastAsia="黑体"/>
          <w:b/>
          <w:bCs/>
          <w:szCs w:val="21"/>
        </w:rPr>
      </w:pPr>
      <w:bookmarkStart w:id="154" w:name="_Toc15640"/>
      <w:bookmarkStart w:id="155" w:name="_Toc222991635"/>
      <w:bookmarkStart w:id="156" w:name="_Toc21680"/>
      <w:bookmarkStart w:id="157" w:name="_Toc11570"/>
      <w:bookmarkStart w:id="158" w:name="_Toc66780575"/>
      <w:bookmarkStart w:id="159" w:name="_Toc76025497"/>
      <w:bookmarkStart w:id="160" w:name="_Toc5506"/>
      <w:r>
        <w:rPr>
          <w:rFonts w:eastAsia="黑体"/>
          <w:b/>
          <w:bCs/>
          <w:szCs w:val="21"/>
        </w:rPr>
        <w:t xml:space="preserve">7 </w:t>
      </w:r>
      <w:r>
        <w:rPr>
          <w:rFonts w:hint="eastAsia" w:eastAsia="黑体"/>
          <w:b/>
          <w:bCs/>
          <w:szCs w:val="21"/>
        </w:rPr>
        <w:t>检验规则</w:t>
      </w:r>
      <w:bookmarkEnd w:id="154"/>
      <w:bookmarkEnd w:id="155"/>
    </w:p>
    <w:p w14:paraId="1A793D85">
      <w:pPr>
        <w:adjustRightInd w:val="0"/>
        <w:snapToGrid w:val="0"/>
        <w:spacing w:line="360" w:lineRule="auto"/>
        <w:ind w:firstLine="420" w:firstLineChars="200"/>
      </w:pPr>
      <w:r>
        <w:rPr>
          <w:rFonts w:hint="eastAsia"/>
        </w:rPr>
        <w:t>试验按IEC、GB、DL、中国南方电网企业标准和其他有关标准进行，本技术条件要求的试验，其试验费用由供货方承担。试验应出具详细记载试验方法、测试过程数据和正式的试验报告。</w:t>
      </w:r>
    </w:p>
    <w:p w14:paraId="3839D475">
      <w:pPr>
        <w:snapToGrid w:val="0"/>
        <w:spacing w:line="360" w:lineRule="auto"/>
        <w:ind w:firstLine="420" w:firstLineChars="200"/>
        <w:jc w:val="left"/>
      </w:pPr>
      <w:r>
        <w:rPr>
          <w:rFonts w:hint="eastAsia"/>
        </w:rPr>
        <w:t>无人机试验</w:t>
      </w:r>
      <w:r>
        <w:t>分为</w:t>
      </w:r>
      <w:r>
        <w:rPr>
          <w:rFonts w:hint="eastAsia"/>
        </w:rPr>
        <w:t>型式试验、</w:t>
      </w:r>
      <w:r>
        <w:t>出厂试验</w:t>
      </w:r>
      <w:r>
        <w:rPr>
          <w:rFonts w:hint="eastAsia"/>
        </w:rPr>
        <w:t>、送样检测、专项抽检和到货抽检，具体检测项目如表7.1所示，试验方法和要求参照</w:t>
      </w:r>
      <w:r>
        <w:rPr>
          <w:rFonts w:hint="eastAsia"/>
          <w:szCs w:val="21"/>
        </w:rPr>
        <w:t>DL/T 1578-2021</w:t>
      </w:r>
      <w:r>
        <w:rPr>
          <w:rFonts w:hint="eastAsia"/>
          <w:szCs w:val="21"/>
        </w:rPr>
        <w:tab/>
      </w:r>
      <w:r>
        <w:rPr>
          <w:rFonts w:hint="eastAsia"/>
          <w:szCs w:val="21"/>
        </w:rPr>
        <w:t>架空电力线路多旋翼无人机巡检系统等</w:t>
      </w:r>
      <w:r>
        <w:rPr>
          <w:rFonts w:hint="eastAsia"/>
        </w:rPr>
        <w:t>相关标准执行。</w:t>
      </w:r>
    </w:p>
    <w:p w14:paraId="1D986EBD">
      <w:pPr>
        <w:adjustRightInd w:val="0"/>
        <w:snapToGrid w:val="0"/>
        <w:spacing w:line="360" w:lineRule="auto"/>
        <w:ind w:firstLine="420" w:firstLineChars="200"/>
        <w:rPr>
          <w:szCs w:val="21"/>
        </w:rPr>
      </w:pPr>
      <w:r>
        <w:rPr>
          <w:rFonts w:hint="eastAsia"/>
        </w:rPr>
        <w:t>验收检验在合同规定时间内</w:t>
      </w:r>
      <w:r>
        <w:rPr>
          <w:rFonts w:hint="eastAsia"/>
          <w:lang w:val="zh-CN"/>
        </w:rPr>
        <w:t>所有性能指标达到本规范技术要求时，方可进行验收；投标方根据招标方的要求提供建议及做好验收前的相关准备工作，验收过程中投标方在投标文件中声明响应的指标任意一项未通过测试，则视为不合格；验收测试合格后方能交付项目单位，同时双方签署验收证明，对于验收整改问题需按招标方要求限期整改或更换。</w:t>
      </w:r>
      <w:bookmarkEnd w:id="156"/>
      <w:bookmarkEnd w:id="157"/>
      <w:bookmarkEnd w:id="158"/>
      <w:bookmarkEnd w:id="159"/>
      <w:bookmarkEnd w:id="160"/>
    </w:p>
    <w:p w14:paraId="7BDD0127">
      <w:pPr>
        <w:jc w:val="center"/>
      </w:pPr>
      <w:r>
        <w:rPr>
          <w:szCs w:val="21"/>
        </w:rPr>
        <w:t>表</w:t>
      </w:r>
      <w:r>
        <w:rPr>
          <w:rFonts w:hint="eastAsia"/>
          <w:szCs w:val="21"/>
        </w:rPr>
        <w:t>7</w:t>
      </w:r>
      <w:r>
        <w:rPr>
          <w:szCs w:val="21"/>
        </w:rPr>
        <w:t xml:space="preserve">.1  </w:t>
      </w:r>
      <w:r>
        <w:rPr>
          <w:szCs w:val="21"/>
        </w:rPr>
        <w:tab/>
      </w:r>
      <w:r>
        <w:rPr>
          <w:rFonts w:hint="eastAsia"/>
        </w:rPr>
        <w:t>无人机</w:t>
      </w:r>
      <w:r>
        <w:rPr>
          <w:rFonts w:hint="eastAsia"/>
          <w:szCs w:val="21"/>
        </w:rPr>
        <w:t>检测项目</w:t>
      </w:r>
    </w:p>
    <w:tbl>
      <w:tblPr>
        <w:tblStyle w:val="57"/>
        <w:tblW w:w="9347"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558"/>
        <w:gridCol w:w="970"/>
        <w:gridCol w:w="2457"/>
        <w:gridCol w:w="917"/>
        <w:gridCol w:w="960"/>
        <w:gridCol w:w="845"/>
        <w:gridCol w:w="880"/>
        <w:gridCol w:w="880"/>
        <w:gridCol w:w="880"/>
      </w:tblGrid>
      <w:tr w14:paraId="384E5D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88" w:hRule="atLeast"/>
          <w:jc w:val="center"/>
        </w:trPr>
        <w:tc>
          <w:tcPr>
            <w:tcW w:w="3985" w:type="dxa"/>
            <w:gridSpan w:val="3"/>
            <w:vMerge w:val="restart"/>
            <w:vAlign w:val="center"/>
          </w:tcPr>
          <w:p w14:paraId="688233B8">
            <w:pPr>
              <w:jc w:val="center"/>
              <w:rPr>
                <w:kern w:val="0"/>
                <w:sz w:val="20"/>
                <w:szCs w:val="20"/>
              </w:rPr>
            </w:pPr>
            <w:r>
              <w:rPr>
                <w:kern w:val="0"/>
                <w:sz w:val="20"/>
                <w:szCs w:val="20"/>
              </w:rPr>
              <w:t>试验项目</w:t>
            </w:r>
          </w:p>
        </w:tc>
        <w:tc>
          <w:tcPr>
            <w:tcW w:w="5362" w:type="dxa"/>
            <w:gridSpan w:val="6"/>
            <w:vAlign w:val="center"/>
          </w:tcPr>
          <w:p w14:paraId="6607121A">
            <w:pPr>
              <w:jc w:val="center"/>
              <w:rPr>
                <w:kern w:val="0"/>
                <w:sz w:val="20"/>
                <w:szCs w:val="20"/>
              </w:rPr>
            </w:pPr>
            <w:r>
              <w:rPr>
                <w:rFonts w:hint="eastAsia"/>
                <w:kern w:val="0"/>
                <w:sz w:val="20"/>
                <w:szCs w:val="20"/>
              </w:rPr>
              <w:t>试验类型</w:t>
            </w:r>
          </w:p>
        </w:tc>
      </w:tr>
      <w:tr w14:paraId="318E82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88" w:hRule="atLeast"/>
          <w:jc w:val="center"/>
        </w:trPr>
        <w:tc>
          <w:tcPr>
            <w:tcW w:w="3985" w:type="dxa"/>
            <w:gridSpan w:val="3"/>
            <w:vMerge w:val="continue"/>
            <w:vAlign w:val="center"/>
          </w:tcPr>
          <w:p w14:paraId="316F03E3">
            <w:pPr>
              <w:widowControl/>
              <w:jc w:val="center"/>
              <w:rPr>
                <w:kern w:val="0"/>
                <w:sz w:val="20"/>
                <w:szCs w:val="20"/>
              </w:rPr>
            </w:pPr>
          </w:p>
        </w:tc>
        <w:tc>
          <w:tcPr>
            <w:tcW w:w="917" w:type="dxa"/>
            <w:vAlign w:val="center"/>
          </w:tcPr>
          <w:p w14:paraId="0AF4E858">
            <w:pPr>
              <w:jc w:val="center"/>
              <w:rPr>
                <w:kern w:val="0"/>
                <w:sz w:val="20"/>
                <w:szCs w:val="20"/>
              </w:rPr>
            </w:pPr>
            <w:r>
              <w:rPr>
                <w:rFonts w:hint="eastAsia"/>
                <w:kern w:val="0"/>
                <w:sz w:val="20"/>
                <w:szCs w:val="20"/>
              </w:rPr>
              <w:t>依据条款</w:t>
            </w:r>
          </w:p>
        </w:tc>
        <w:tc>
          <w:tcPr>
            <w:tcW w:w="960" w:type="dxa"/>
            <w:vAlign w:val="center"/>
          </w:tcPr>
          <w:p w14:paraId="70823961">
            <w:pPr>
              <w:jc w:val="center"/>
              <w:rPr>
                <w:kern w:val="0"/>
                <w:sz w:val="20"/>
                <w:szCs w:val="20"/>
              </w:rPr>
            </w:pPr>
            <w:r>
              <w:rPr>
                <w:rFonts w:hint="eastAsia"/>
                <w:kern w:val="0"/>
                <w:sz w:val="20"/>
                <w:szCs w:val="20"/>
              </w:rPr>
              <w:t>型式试验</w:t>
            </w:r>
          </w:p>
        </w:tc>
        <w:tc>
          <w:tcPr>
            <w:tcW w:w="845" w:type="dxa"/>
            <w:vAlign w:val="center"/>
          </w:tcPr>
          <w:p w14:paraId="4EE02E08">
            <w:pPr>
              <w:jc w:val="center"/>
              <w:rPr>
                <w:kern w:val="0"/>
                <w:sz w:val="20"/>
                <w:szCs w:val="20"/>
              </w:rPr>
            </w:pPr>
            <w:r>
              <w:rPr>
                <w:rFonts w:hint="eastAsia"/>
                <w:kern w:val="0"/>
                <w:sz w:val="20"/>
                <w:szCs w:val="20"/>
              </w:rPr>
              <w:t>出厂试验</w:t>
            </w:r>
          </w:p>
        </w:tc>
        <w:tc>
          <w:tcPr>
            <w:tcW w:w="880" w:type="dxa"/>
            <w:vAlign w:val="center"/>
          </w:tcPr>
          <w:p w14:paraId="0952C30C">
            <w:pPr>
              <w:jc w:val="center"/>
              <w:rPr>
                <w:kern w:val="0"/>
                <w:sz w:val="20"/>
                <w:szCs w:val="20"/>
              </w:rPr>
            </w:pPr>
            <w:r>
              <w:rPr>
                <w:rFonts w:hint="eastAsia"/>
                <w:kern w:val="0"/>
                <w:sz w:val="20"/>
                <w:szCs w:val="20"/>
              </w:rPr>
              <w:t>送样检测</w:t>
            </w:r>
          </w:p>
        </w:tc>
        <w:tc>
          <w:tcPr>
            <w:tcW w:w="880" w:type="dxa"/>
            <w:vAlign w:val="center"/>
          </w:tcPr>
          <w:p w14:paraId="47116A8B">
            <w:pPr>
              <w:jc w:val="center"/>
              <w:rPr>
                <w:kern w:val="0"/>
                <w:sz w:val="20"/>
                <w:szCs w:val="20"/>
              </w:rPr>
            </w:pPr>
            <w:r>
              <w:rPr>
                <w:rFonts w:hint="eastAsia"/>
                <w:kern w:val="0"/>
                <w:sz w:val="20"/>
                <w:szCs w:val="20"/>
              </w:rPr>
              <w:t>专项抽检</w:t>
            </w:r>
          </w:p>
        </w:tc>
        <w:tc>
          <w:tcPr>
            <w:tcW w:w="880" w:type="dxa"/>
            <w:vAlign w:val="center"/>
          </w:tcPr>
          <w:p w14:paraId="02311F68">
            <w:pPr>
              <w:jc w:val="center"/>
              <w:rPr>
                <w:kern w:val="0"/>
                <w:sz w:val="20"/>
                <w:szCs w:val="20"/>
              </w:rPr>
            </w:pPr>
            <w:r>
              <w:rPr>
                <w:rFonts w:hint="eastAsia"/>
                <w:kern w:val="0"/>
                <w:sz w:val="20"/>
                <w:szCs w:val="20"/>
              </w:rPr>
              <w:t>到货抽检</w:t>
            </w:r>
          </w:p>
        </w:tc>
      </w:tr>
      <w:tr w14:paraId="09398C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jc w:val="center"/>
        </w:trPr>
        <w:tc>
          <w:tcPr>
            <w:tcW w:w="558" w:type="dxa"/>
            <w:vMerge w:val="restart"/>
            <w:vAlign w:val="center"/>
          </w:tcPr>
          <w:p w14:paraId="4323831C">
            <w:pPr>
              <w:widowControl/>
              <w:jc w:val="center"/>
              <w:rPr>
                <w:kern w:val="0"/>
                <w:sz w:val="20"/>
                <w:szCs w:val="20"/>
              </w:rPr>
            </w:pPr>
            <w:r>
              <w:rPr>
                <w:kern w:val="0"/>
                <w:sz w:val="20"/>
                <w:szCs w:val="20"/>
              </w:rPr>
              <w:t>一般要求</w:t>
            </w:r>
          </w:p>
        </w:tc>
        <w:tc>
          <w:tcPr>
            <w:tcW w:w="3427" w:type="dxa"/>
            <w:gridSpan w:val="2"/>
            <w:vAlign w:val="center"/>
          </w:tcPr>
          <w:p w14:paraId="4469A675">
            <w:pPr>
              <w:widowControl/>
              <w:jc w:val="center"/>
              <w:rPr>
                <w:kern w:val="0"/>
                <w:sz w:val="20"/>
                <w:szCs w:val="20"/>
              </w:rPr>
            </w:pPr>
            <w:r>
              <w:rPr>
                <w:kern w:val="0"/>
                <w:sz w:val="20"/>
                <w:szCs w:val="20"/>
              </w:rPr>
              <w:t>外观特性试验</w:t>
            </w:r>
          </w:p>
        </w:tc>
        <w:tc>
          <w:tcPr>
            <w:tcW w:w="917" w:type="dxa"/>
            <w:vAlign w:val="center"/>
          </w:tcPr>
          <w:p w14:paraId="2423B5D1">
            <w:pPr>
              <w:widowControl/>
              <w:jc w:val="center"/>
              <w:rPr>
                <w:kern w:val="0"/>
                <w:sz w:val="20"/>
                <w:szCs w:val="20"/>
              </w:rPr>
            </w:pPr>
            <w:r>
              <w:rPr>
                <w:rFonts w:hint="eastAsia"/>
                <w:kern w:val="0"/>
                <w:sz w:val="20"/>
                <w:szCs w:val="20"/>
              </w:rPr>
              <w:t>6.1</w:t>
            </w:r>
          </w:p>
        </w:tc>
        <w:tc>
          <w:tcPr>
            <w:tcW w:w="960" w:type="dxa"/>
            <w:vAlign w:val="center"/>
          </w:tcPr>
          <w:p w14:paraId="0902C834">
            <w:pPr>
              <w:widowControl/>
              <w:jc w:val="center"/>
              <w:rPr>
                <w:kern w:val="0"/>
                <w:sz w:val="20"/>
                <w:szCs w:val="20"/>
              </w:rPr>
            </w:pPr>
            <w:r>
              <w:rPr>
                <w:sz w:val="16"/>
                <w:szCs w:val="16"/>
              </w:rPr>
              <w:t>●</w:t>
            </w:r>
          </w:p>
        </w:tc>
        <w:tc>
          <w:tcPr>
            <w:tcW w:w="845" w:type="dxa"/>
            <w:vAlign w:val="center"/>
          </w:tcPr>
          <w:p w14:paraId="4AC72BFC">
            <w:pPr>
              <w:widowControl/>
              <w:jc w:val="center"/>
              <w:rPr>
                <w:kern w:val="0"/>
                <w:sz w:val="20"/>
                <w:szCs w:val="20"/>
              </w:rPr>
            </w:pPr>
            <w:r>
              <w:rPr>
                <w:sz w:val="16"/>
                <w:szCs w:val="16"/>
              </w:rPr>
              <w:t>●</w:t>
            </w:r>
          </w:p>
        </w:tc>
        <w:tc>
          <w:tcPr>
            <w:tcW w:w="880" w:type="dxa"/>
            <w:vAlign w:val="center"/>
          </w:tcPr>
          <w:p w14:paraId="55EF4C1F">
            <w:pPr>
              <w:widowControl/>
              <w:jc w:val="center"/>
              <w:rPr>
                <w:sz w:val="16"/>
                <w:szCs w:val="16"/>
              </w:rPr>
            </w:pPr>
            <w:r>
              <w:rPr>
                <w:sz w:val="16"/>
                <w:szCs w:val="16"/>
              </w:rPr>
              <w:t>●</w:t>
            </w:r>
          </w:p>
        </w:tc>
        <w:tc>
          <w:tcPr>
            <w:tcW w:w="880" w:type="dxa"/>
            <w:vAlign w:val="center"/>
          </w:tcPr>
          <w:p w14:paraId="5848187A">
            <w:pPr>
              <w:widowControl/>
              <w:jc w:val="center"/>
              <w:rPr>
                <w:sz w:val="16"/>
                <w:szCs w:val="16"/>
              </w:rPr>
            </w:pPr>
            <w:r>
              <w:rPr>
                <w:sz w:val="16"/>
                <w:szCs w:val="16"/>
              </w:rPr>
              <w:t>●</w:t>
            </w:r>
          </w:p>
        </w:tc>
        <w:tc>
          <w:tcPr>
            <w:tcW w:w="880" w:type="dxa"/>
            <w:vAlign w:val="center"/>
          </w:tcPr>
          <w:p w14:paraId="60DFEAA4">
            <w:pPr>
              <w:widowControl/>
              <w:jc w:val="center"/>
              <w:rPr>
                <w:sz w:val="16"/>
                <w:szCs w:val="16"/>
              </w:rPr>
            </w:pPr>
            <w:r>
              <w:rPr>
                <w:sz w:val="16"/>
                <w:szCs w:val="16"/>
              </w:rPr>
              <w:t>●</w:t>
            </w:r>
          </w:p>
        </w:tc>
      </w:tr>
      <w:tr w14:paraId="745477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2" w:hRule="atLeast"/>
          <w:jc w:val="center"/>
        </w:trPr>
        <w:tc>
          <w:tcPr>
            <w:tcW w:w="558" w:type="dxa"/>
            <w:vMerge w:val="continue"/>
            <w:vAlign w:val="center"/>
          </w:tcPr>
          <w:p w14:paraId="7FC11C02">
            <w:pPr>
              <w:widowControl/>
              <w:jc w:val="center"/>
              <w:rPr>
                <w:kern w:val="0"/>
                <w:sz w:val="20"/>
                <w:szCs w:val="20"/>
              </w:rPr>
            </w:pPr>
          </w:p>
        </w:tc>
        <w:tc>
          <w:tcPr>
            <w:tcW w:w="970" w:type="dxa"/>
            <w:vMerge w:val="restart"/>
            <w:vAlign w:val="center"/>
          </w:tcPr>
          <w:p w14:paraId="2E5C7303">
            <w:pPr>
              <w:widowControl/>
              <w:jc w:val="center"/>
              <w:rPr>
                <w:kern w:val="0"/>
                <w:sz w:val="20"/>
                <w:szCs w:val="20"/>
              </w:rPr>
            </w:pPr>
            <w:r>
              <w:rPr>
                <w:kern w:val="0"/>
                <w:sz w:val="20"/>
                <w:szCs w:val="20"/>
              </w:rPr>
              <w:t>环境适应性</w:t>
            </w:r>
          </w:p>
        </w:tc>
        <w:tc>
          <w:tcPr>
            <w:tcW w:w="2457" w:type="dxa"/>
            <w:vAlign w:val="center"/>
          </w:tcPr>
          <w:p w14:paraId="2BB4FE5A">
            <w:pPr>
              <w:widowControl/>
              <w:jc w:val="center"/>
              <w:rPr>
                <w:kern w:val="0"/>
                <w:sz w:val="20"/>
                <w:szCs w:val="20"/>
              </w:rPr>
            </w:pPr>
            <w:r>
              <w:rPr>
                <w:kern w:val="0"/>
                <w:sz w:val="20"/>
                <w:szCs w:val="20"/>
              </w:rPr>
              <w:t>低温环境适应性</w:t>
            </w:r>
          </w:p>
        </w:tc>
        <w:tc>
          <w:tcPr>
            <w:tcW w:w="917" w:type="dxa"/>
            <w:vAlign w:val="center"/>
          </w:tcPr>
          <w:p w14:paraId="598E8861">
            <w:pPr>
              <w:jc w:val="center"/>
              <w:rPr>
                <w:sz w:val="20"/>
                <w:szCs w:val="22"/>
              </w:rPr>
            </w:pPr>
            <w:r>
              <w:rPr>
                <w:rFonts w:hint="eastAsia"/>
                <w:szCs w:val="21"/>
              </w:rPr>
              <w:t>6.2.1</w:t>
            </w:r>
          </w:p>
        </w:tc>
        <w:tc>
          <w:tcPr>
            <w:tcW w:w="960" w:type="dxa"/>
            <w:vAlign w:val="center"/>
          </w:tcPr>
          <w:p w14:paraId="4C12C83B">
            <w:pPr>
              <w:jc w:val="center"/>
              <w:rPr>
                <w:sz w:val="20"/>
                <w:szCs w:val="22"/>
              </w:rPr>
            </w:pPr>
            <w:r>
              <w:rPr>
                <w:sz w:val="16"/>
                <w:szCs w:val="16"/>
              </w:rPr>
              <w:t>●</w:t>
            </w:r>
          </w:p>
        </w:tc>
        <w:tc>
          <w:tcPr>
            <w:tcW w:w="845" w:type="dxa"/>
            <w:vAlign w:val="center"/>
          </w:tcPr>
          <w:p w14:paraId="079854DB">
            <w:pPr>
              <w:jc w:val="center"/>
              <w:rPr>
                <w:sz w:val="20"/>
                <w:szCs w:val="22"/>
              </w:rPr>
            </w:pPr>
            <w:r>
              <w:rPr>
                <w:b/>
                <w:sz w:val="16"/>
                <w:szCs w:val="16"/>
              </w:rPr>
              <w:t>○</w:t>
            </w:r>
          </w:p>
        </w:tc>
        <w:tc>
          <w:tcPr>
            <w:tcW w:w="880" w:type="dxa"/>
            <w:vAlign w:val="center"/>
          </w:tcPr>
          <w:p w14:paraId="79FC0BBB">
            <w:pPr>
              <w:jc w:val="center"/>
              <w:rPr>
                <w:b/>
                <w:sz w:val="16"/>
                <w:szCs w:val="16"/>
              </w:rPr>
            </w:pPr>
            <w:r>
              <w:rPr>
                <w:b/>
                <w:sz w:val="16"/>
                <w:szCs w:val="16"/>
              </w:rPr>
              <w:t>○</w:t>
            </w:r>
          </w:p>
        </w:tc>
        <w:tc>
          <w:tcPr>
            <w:tcW w:w="880" w:type="dxa"/>
            <w:vAlign w:val="center"/>
          </w:tcPr>
          <w:p w14:paraId="555AEB49">
            <w:pPr>
              <w:jc w:val="center"/>
              <w:rPr>
                <w:b/>
                <w:sz w:val="16"/>
                <w:szCs w:val="16"/>
              </w:rPr>
            </w:pPr>
            <w:r>
              <w:rPr>
                <w:b/>
                <w:sz w:val="16"/>
                <w:szCs w:val="16"/>
              </w:rPr>
              <w:t>○</w:t>
            </w:r>
          </w:p>
        </w:tc>
        <w:tc>
          <w:tcPr>
            <w:tcW w:w="880" w:type="dxa"/>
            <w:vAlign w:val="center"/>
          </w:tcPr>
          <w:p w14:paraId="1C012E28">
            <w:pPr>
              <w:jc w:val="center"/>
              <w:rPr>
                <w:b/>
                <w:sz w:val="16"/>
                <w:szCs w:val="16"/>
              </w:rPr>
            </w:pPr>
            <w:r>
              <w:rPr>
                <w:b/>
                <w:sz w:val="16"/>
                <w:szCs w:val="16"/>
              </w:rPr>
              <w:t>○</w:t>
            </w:r>
          </w:p>
        </w:tc>
      </w:tr>
      <w:tr w14:paraId="4C276B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558" w:type="dxa"/>
            <w:vMerge w:val="continue"/>
            <w:vAlign w:val="center"/>
          </w:tcPr>
          <w:p w14:paraId="67856B1C">
            <w:pPr>
              <w:widowControl/>
              <w:jc w:val="center"/>
              <w:rPr>
                <w:kern w:val="0"/>
                <w:sz w:val="20"/>
                <w:szCs w:val="20"/>
              </w:rPr>
            </w:pPr>
          </w:p>
        </w:tc>
        <w:tc>
          <w:tcPr>
            <w:tcW w:w="970" w:type="dxa"/>
            <w:vMerge w:val="continue"/>
            <w:vAlign w:val="center"/>
          </w:tcPr>
          <w:p w14:paraId="046AF774">
            <w:pPr>
              <w:widowControl/>
              <w:jc w:val="center"/>
              <w:rPr>
                <w:kern w:val="0"/>
                <w:sz w:val="20"/>
                <w:szCs w:val="20"/>
              </w:rPr>
            </w:pPr>
          </w:p>
        </w:tc>
        <w:tc>
          <w:tcPr>
            <w:tcW w:w="2457" w:type="dxa"/>
            <w:vAlign w:val="center"/>
          </w:tcPr>
          <w:p w14:paraId="16A3CE4C">
            <w:pPr>
              <w:widowControl/>
              <w:jc w:val="center"/>
              <w:rPr>
                <w:kern w:val="0"/>
                <w:sz w:val="20"/>
                <w:szCs w:val="20"/>
              </w:rPr>
            </w:pPr>
            <w:r>
              <w:rPr>
                <w:kern w:val="0"/>
                <w:sz w:val="20"/>
                <w:szCs w:val="20"/>
              </w:rPr>
              <w:t>高温环境适应性</w:t>
            </w:r>
          </w:p>
        </w:tc>
        <w:tc>
          <w:tcPr>
            <w:tcW w:w="917" w:type="dxa"/>
            <w:vAlign w:val="center"/>
          </w:tcPr>
          <w:p w14:paraId="252DF315">
            <w:pPr>
              <w:jc w:val="center"/>
              <w:rPr>
                <w:sz w:val="20"/>
                <w:szCs w:val="22"/>
              </w:rPr>
            </w:pPr>
            <w:r>
              <w:rPr>
                <w:rFonts w:hint="eastAsia"/>
                <w:szCs w:val="21"/>
              </w:rPr>
              <w:t>6.2.2</w:t>
            </w:r>
          </w:p>
        </w:tc>
        <w:tc>
          <w:tcPr>
            <w:tcW w:w="960" w:type="dxa"/>
            <w:vAlign w:val="center"/>
          </w:tcPr>
          <w:p w14:paraId="6ED32C51">
            <w:pPr>
              <w:jc w:val="center"/>
              <w:rPr>
                <w:sz w:val="20"/>
                <w:szCs w:val="22"/>
              </w:rPr>
            </w:pPr>
            <w:r>
              <w:rPr>
                <w:sz w:val="16"/>
                <w:szCs w:val="16"/>
              </w:rPr>
              <w:t>●</w:t>
            </w:r>
          </w:p>
        </w:tc>
        <w:tc>
          <w:tcPr>
            <w:tcW w:w="845" w:type="dxa"/>
            <w:vAlign w:val="center"/>
          </w:tcPr>
          <w:p w14:paraId="36580867">
            <w:pPr>
              <w:jc w:val="center"/>
              <w:rPr>
                <w:sz w:val="20"/>
                <w:szCs w:val="22"/>
              </w:rPr>
            </w:pPr>
            <w:r>
              <w:rPr>
                <w:b/>
                <w:sz w:val="16"/>
                <w:szCs w:val="16"/>
              </w:rPr>
              <w:t>○</w:t>
            </w:r>
          </w:p>
        </w:tc>
        <w:tc>
          <w:tcPr>
            <w:tcW w:w="880" w:type="dxa"/>
            <w:vAlign w:val="center"/>
          </w:tcPr>
          <w:p w14:paraId="6A471D53">
            <w:pPr>
              <w:jc w:val="center"/>
              <w:rPr>
                <w:b/>
                <w:sz w:val="16"/>
                <w:szCs w:val="16"/>
              </w:rPr>
            </w:pPr>
            <w:r>
              <w:rPr>
                <w:b/>
                <w:sz w:val="16"/>
                <w:szCs w:val="16"/>
              </w:rPr>
              <w:t>○</w:t>
            </w:r>
          </w:p>
        </w:tc>
        <w:tc>
          <w:tcPr>
            <w:tcW w:w="880" w:type="dxa"/>
            <w:vAlign w:val="center"/>
          </w:tcPr>
          <w:p w14:paraId="453CE50D">
            <w:pPr>
              <w:jc w:val="center"/>
              <w:rPr>
                <w:b/>
                <w:sz w:val="16"/>
                <w:szCs w:val="16"/>
              </w:rPr>
            </w:pPr>
            <w:r>
              <w:rPr>
                <w:b/>
                <w:sz w:val="16"/>
                <w:szCs w:val="16"/>
              </w:rPr>
              <w:t>○</w:t>
            </w:r>
          </w:p>
        </w:tc>
        <w:tc>
          <w:tcPr>
            <w:tcW w:w="880" w:type="dxa"/>
            <w:vAlign w:val="center"/>
          </w:tcPr>
          <w:p w14:paraId="4C2BECC7">
            <w:pPr>
              <w:jc w:val="center"/>
              <w:rPr>
                <w:b/>
                <w:sz w:val="16"/>
                <w:szCs w:val="16"/>
              </w:rPr>
            </w:pPr>
            <w:r>
              <w:rPr>
                <w:b/>
                <w:sz w:val="16"/>
                <w:szCs w:val="16"/>
              </w:rPr>
              <w:t>○</w:t>
            </w:r>
          </w:p>
        </w:tc>
      </w:tr>
      <w:tr w14:paraId="721002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4" w:hRule="atLeast"/>
          <w:jc w:val="center"/>
        </w:trPr>
        <w:tc>
          <w:tcPr>
            <w:tcW w:w="558" w:type="dxa"/>
            <w:vMerge w:val="continue"/>
            <w:vAlign w:val="center"/>
          </w:tcPr>
          <w:p w14:paraId="1F654B6E">
            <w:pPr>
              <w:widowControl/>
              <w:jc w:val="center"/>
              <w:rPr>
                <w:kern w:val="0"/>
                <w:sz w:val="20"/>
                <w:szCs w:val="20"/>
              </w:rPr>
            </w:pPr>
          </w:p>
        </w:tc>
        <w:tc>
          <w:tcPr>
            <w:tcW w:w="970" w:type="dxa"/>
            <w:vMerge w:val="continue"/>
            <w:vAlign w:val="center"/>
          </w:tcPr>
          <w:p w14:paraId="0C0B81FF">
            <w:pPr>
              <w:widowControl/>
              <w:jc w:val="center"/>
              <w:rPr>
                <w:kern w:val="0"/>
                <w:sz w:val="20"/>
                <w:szCs w:val="20"/>
              </w:rPr>
            </w:pPr>
          </w:p>
        </w:tc>
        <w:tc>
          <w:tcPr>
            <w:tcW w:w="2457" w:type="dxa"/>
            <w:vAlign w:val="center"/>
          </w:tcPr>
          <w:p w14:paraId="3086CE9B">
            <w:pPr>
              <w:widowControl/>
              <w:jc w:val="center"/>
              <w:rPr>
                <w:kern w:val="0"/>
                <w:sz w:val="20"/>
                <w:szCs w:val="20"/>
              </w:rPr>
            </w:pPr>
            <w:r>
              <w:rPr>
                <w:kern w:val="0"/>
                <w:sz w:val="20"/>
                <w:szCs w:val="20"/>
              </w:rPr>
              <w:t>温湿度振动综合环境适应性</w:t>
            </w:r>
          </w:p>
        </w:tc>
        <w:tc>
          <w:tcPr>
            <w:tcW w:w="917" w:type="dxa"/>
            <w:vAlign w:val="center"/>
          </w:tcPr>
          <w:p w14:paraId="3EB0E846">
            <w:pPr>
              <w:jc w:val="center"/>
              <w:rPr>
                <w:sz w:val="20"/>
                <w:szCs w:val="22"/>
              </w:rPr>
            </w:pPr>
            <w:r>
              <w:rPr>
                <w:rFonts w:hint="eastAsia"/>
                <w:szCs w:val="21"/>
              </w:rPr>
              <w:t>6.2.3</w:t>
            </w:r>
          </w:p>
        </w:tc>
        <w:tc>
          <w:tcPr>
            <w:tcW w:w="960" w:type="dxa"/>
            <w:vAlign w:val="center"/>
          </w:tcPr>
          <w:p w14:paraId="23CBA8B6">
            <w:pPr>
              <w:jc w:val="center"/>
              <w:rPr>
                <w:sz w:val="20"/>
                <w:szCs w:val="22"/>
              </w:rPr>
            </w:pPr>
            <w:r>
              <w:rPr>
                <w:sz w:val="16"/>
                <w:szCs w:val="16"/>
              </w:rPr>
              <w:t>●</w:t>
            </w:r>
          </w:p>
        </w:tc>
        <w:tc>
          <w:tcPr>
            <w:tcW w:w="845" w:type="dxa"/>
            <w:vAlign w:val="center"/>
          </w:tcPr>
          <w:p w14:paraId="57141B71">
            <w:pPr>
              <w:jc w:val="center"/>
              <w:rPr>
                <w:sz w:val="20"/>
                <w:szCs w:val="22"/>
              </w:rPr>
            </w:pPr>
            <w:r>
              <w:rPr>
                <w:b/>
                <w:sz w:val="16"/>
                <w:szCs w:val="16"/>
              </w:rPr>
              <w:t>○</w:t>
            </w:r>
          </w:p>
        </w:tc>
        <w:tc>
          <w:tcPr>
            <w:tcW w:w="880" w:type="dxa"/>
            <w:vAlign w:val="center"/>
          </w:tcPr>
          <w:p w14:paraId="396DA946">
            <w:pPr>
              <w:jc w:val="center"/>
              <w:rPr>
                <w:b/>
                <w:sz w:val="16"/>
                <w:szCs w:val="16"/>
              </w:rPr>
            </w:pPr>
            <w:r>
              <w:rPr>
                <w:b/>
                <w:sz w:val="16"/>
                <w:szCs w:val="16"/>
              </w:rPr>
              <w:t>○</w:t>
            </w:r>
          </w:p>
        </w:tc>
        <w:tc>
          <w:tcPr>
            <w:tcW w:w="880" w:type="dxa"/>
            <w:vAlign w:val="center"/>
          </w:tcPr>
          <w:p w14:paraId="3F03B97F">
            <w:pPr>
              <w:jc w:val="center"/>
              <w:rPr>
                <w:b/>
                <w:sz w:val="16"/>
                <w:szCs w:val="16"/>
              </w:rPr>
            </w:pPr>
            <w:r>
              <w:rPr>
                <w:b/>
                <w:sz w:val="16"/>
                <w:szCs w:val="16"/>
              </w:rPr>
              <w:t>○</w:t>
            </w:r>
          </w:p>
        </w:tc>
        <w:tc>
          <w:tcPr>
            <w:tcW w:w="880" w:type="dxa"/>
            <w:vAlign w:val="center"/>
          </w:tcPr>
          <w:p w14:paraId="0CF01987">
            <w:pPr>
              <w:jc w:val="center"/>
              <w:rPr>
                <w:b/>
                <w:sz w:val="16"/>
                <w:szCs w:val="16"/>
              </w:rPr>
            </w:pPr>
            <w:r>
              <w:rPr>
                <w:b/>
                <w:sz w:val="16"/>
                <w:szCs w:val="16"/>
              </w:rPr>
              <w:t>○</w:t>
            </w:r>
          </w:p>
        </w:tc>
      </w:tr>
      <w:tr w14:paraId="148619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8" w:hRule="atLeast"/>
          <w:jc w:val="center"/>
        </w:trPr>
        <w:tc>
          <w:tcPr>
            <w:tcW w:w="558" w:type="dxa"/>
            <w:vMerge w:val="continue"/>
            <w:vAlign w:val="center"/>
          </w:tcPr>
          <w:p w14:paraId="6B2D3971">
            <w:pPr>
              <w:widowControl/>
              <w:jc w:val="center"/>
              <w:rPr>
                <w:kern w:val="0"/>
                <w:sz w:val="20"/>
                <w:szCs w:val="20"/>
              </w:rPr>
            </w:pPr>
          </w:p>
        </w:tc>
        <w:tc>
          <w:tcPr>
            <w:tcW w:w="970" w:type="dxa"/>
            <w:vMerge w:val="continue"/>
            <w:vAlign w:val="center"/>
          </w:tcPr>
          <w:p w14:paraId="4101A574">
            <w:pPr>
              <w:widowControl/>
              <w:jc w:val="center"/>
              <w:rPr>
                <w:kern w:val="0"/>
                <w:sz w:val="20"/>
                <w:szCs w:val="20"/>
              </w:rPr>
            </w:pPr>
          </w:p>
        </w:tc>
        <w:tc>
          <w:tcPr>
            <w:tcW w:w="2457" w:type="dxa"/>
            <w:vAlign w:val="center"/>
          </w:tcPr>
          <w:p w14:paraId="7735214A">
            <w:pPr>
              <w:widowControl/>
              <w:jc w:val="center"/>
              <w:rPr>
                <w:kern w:val="0"/>
                <w:sz w:val="20"/>
                <w:szCs w:val="20"/>
              </w:rPr>
            </w:pPr>
            <w:r>
              <w:rPr>
                <w:kern w:val="0"/>
                <w:sz w:val="20"/>
                <w:szCs w:val="20"/>
              </w:rPr>
              <w:t>海拔适应性能试验</w:t>
            </w:r>
          </w:p>
        </w:tc>
        <w:tc>
          <w:tcPr>
            <w:tcW w:w="917" w:type="dxa"/>
            <w:vAlign w:val="center"/>
          </w:tcPr>
          <w:p w14:paraId="4C4AFF08">
            <w:pPr>
              <w:jc w:val="center"/>
              <w:rPr>
                <w:sz w:val="20"/>
                <w:szCs w:val="22"/>
              </w:rPr>
            </w:pPr>
            <w:r>
              <w:rPr>
                <w:rFonts w:hint="eastAsia"/>
                <w:szCs w:val="21"/>
              </w:rPr>
              <w:t>6.2.4</w:t>
            </w:r>
          </w:p>
        </w:tc>
        <w:tc>
          <w:tcPr>
            <w:tcW w:w="960" w:type="dxa"/>
            <w:vAlign w:val="center"/>
          </w:tcPr>
          <w:p w14:paraId="7426A627">
            <w:pPr>
              <w:jc w:val="center"/>
              <w:rPr>
                <w:sz w:val="20"/>
                <w:szCs w:val="22"/>
              </w:rPr>
            </w:pPr>
            <w:r>
              <w:rPr>
                <w:sz w:val="16"/>
                <w:szCs w:val="16"/>
              </w:rPr>
              <w:t>●</w:t>
            </w:r>
          </w:p>
        </w:tc>
        <w:tc>
          <w:tcPr>
            <w:tcW w:w="845" w:type="dxa"/>
            <w:vAlign w:val="center"/>
          </w:tcPr>
          <w:p w14:paraId="09C1149E">
            <w:pPr>
              <w:jc w:val="center"/>
              <w:rPr>
                <w:sz w:val="20"/>
                <w:szCs w:val="22"/>
              </w:rPr>
            </w:pPr>
            <w:r>
              <w:rPr>
                <w:b/>
                <w:sz w:val="16"/>
                <w:szCs w:val="16"/>
              </w:rPr>
              <w:t>○</w:t>
            </w:r>
          </w:p>
        </w:tc>
        <w:tc>
          <w:tcPr>
            <w:tcW w:w="880" w:type="dxa"/>
            <w:vAlign w:val="center"/>
          </w:tcPr>
          <w:p w14:paraId="4F409AFC">
            <w:pPr>
              <w:jc w:val="center"/>
              <w:rPr>
                <w:b/>
                <w:sz w:val="16"/>
                <w:szCs w:val="16"/>
              </w:rPr>
            </w:pPr>
            <w:r>
              <w:rPr>
                <w:b/>
                <w:sz w:val="16"/>
                <w:szCs w:val="16"/>
              </w:rPr>
              <w:t>○</w:t>
            </w:r>
          </w:p>
        </w:tc>
        <w:tc>
          <w:tcPr>
            <w:tcW w:w="880" w:type="dxa"/>
            <w:vAlign w:val="center"/>
          </w:tcPr>
          <w:p w14:paraId="7C86881D">
            <w:pPr>
              <w:jc w:val="center"/>
              <w:rPr>
                <w:b/>
                <w:sz w:val="16"/>
                <w:szCs w:val="16"/>
              </w:rPr>
            </w:pPr>
            <w:r>
              <w:rPr>
                <w:b/>
                <w:sz w:val="16"/>
                <w:szCs w:val="16"/>
              </w:rPr>
              <w:t>○</w:t>
            </w:r>
          </w:p>
        </w:tc>
        <w:tc>
          <w:tcPr>
            <w:tcW w:w="880" w:type="dxa"/>
            <w:vAlign w:val="center"/>
          </w:tcPr>
          <w:p w14:paraId="5020C72E">
            <w:pPr>
              <w:jc w:val="center"/>
              <w:rPr>
                <w:b/>
                <w:sz w:val="16"/>
                <w:szCs w:val="16"/>
              </w:rPr>
            </w:pPr>
            <w:r>
              <w:rPr>
                <w:b/>
                <w:sz w:val="16"/>
                <w:szCs w:val="16"/>
              </w:rPr>
              <w:t>○</w:t>
            </w:r>
          </w:p>
        </w:tc>
      </w:tr>
      <w:tr w14:paraId="733594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3" w:hRule="atLeast"/>
          <w:jc w:val="center"/>
        </w:trPr>
        <w:tc>
          <w:tcPr>
            <w:tcW w:w="558" w:type="dxa"/>
            <w:vMerge w:val="continue"/>
            <w:vAlign w:val="center"/>
          </w:tcPr>
          <w:p w14:paraId="7784DCBC">
            <w:pPr>
              <w:widowControl/>
              <w:jc w:val="center"/>
              <w:rPr>
                <w:kern w:val="0"/>
                <w:sz w:val="20"/>
                <w:szCs w:val="20"/>
              </w:rPr>
            </w:pPr>
          </w:p>
        </w:tc>
        <w:tc>
          <w:tcPr>
            <w:tcW w:w="970" w:type="dxa"/>
            <w:vMerge w:val="continue"/>
            <w:vAlign w:val="center"/>
          </w:tcPr>
          <w:p w14:paraId="3F15029F">
            <w:pPr>
              <w:widowControl/>
              <w:jc w:val="center"/>
              <w:rPr>
                <w:kern w:val="0"/>
                <w:sz w:val="20"/>
                <w:szCs w:val="20"/>
              </w:rPr>
            </w:pPr>
          </w:p>
        </w:tc>
        <w:tc>
          <w:tcPr>
            <w:tcW w:w="2457" w:type="dxa"/>
            <w:vAlign w:val="center"/>
          </w:tcPr>
          <w:p w14:paraId="24125E03">
            <w:pPr>
              <w:widowControl/>
              <w:jc w:val="center"/>
              <w:rPr>
                <w:kern w:val="0"/>
                <w:sz w:val="20"/>
                <w:szCs w:val="20"/>
              </w:rPr>
            </w:pPr>
            <w:r>
              <w:rPr>
                <w:kern w:val="0"/>
                <w:sz w:val="20"/>
                <w:szCs w:val="20"/>
              </w:rPr>
              <w:t>抗风飞行性能试验</w:t>
            </w:r>
          </w:p>
        </w:tc>
        <w:tc>
          <w:tcPr>
            <w:tcW w:w="917" w:type="dxa"/>
            <w:vAlign w:val="center"/>
          </w:tcPr>
          <w:p w14:paraId="6FAD612B">
            <w:pPr>
              <w:jc w:val="center"/>
              <w:rPr>
                <w:sz w:val="20"/>
                <w:szCs w:val="22"/>
              </w:rPr>
            </w:pPr>
            <w:r>
              <w:rPr>
                <w:rFonts w:hint="eastAsia"/>
                <w:szCs w:val="21"/>
              </w:rPr>
              <w:t>6.2.5</w:t>
            </w:r>
          </w:p>
        </w:tc>
        <w:tc>
          <w:tcPr>
            <w:tcW w:w="960" w:type="dxa"/>
            <w:vAlign w:val="center"/>
          </w:tcPr>
          <w:p w14:paraId="6975A4C8">
            <w:pPr>
              <w:jc w:val="center"/>
              <w:rPr>
                <w:sz w:val="20"/>
                <w:szCs w:val="22"/>
              </w:rPr>
            </w:pPr>
            <w:r>
              <w:rPr>
                <w:sz w:val="16"/>
                <w:szCs w:val="16"/>
              </w:rPr>
              <w:t>●</w:t>
            </w:r>
          </w:p>
        </w:tc>
        <w:tc>
          <w:tcPr>
            <w:tcW w:w="845" w:type="dxa"/>
            <w:vAlign w:val="center"/>
          </w:tcPr>
          <w:p w14:paraId="613F77BA">
            <w:pPr>
              <w:jc w:val="center"/>
              <w:rPr>
                <w:sz w:val="20"/>
                <w:szCs w:val="22"/>
              </w:rPr>
            </w:pPr>
            <w:r>
              <w:rPr>
                <w:b/>
                <w:sz w:val="16"/>
                <w:szCs w:val="16"/>
              </w:rPr>
              <w:t>○</w:t>
            </w:r>
          </w:p>
        </w:tc>
        <w:tc>
          <w:tcPr>
            <w:tcW w:w="880" w:type="dxa"/>
            <w:vAlign w:val="center"/>
          </w:tcPr>
          <w:p w14:paraId="5AE10A10">
            <w:pPr>
              <w:jc w:val="center"/>
              <w:rPr>
                <w:b/>
                <w:sz w:val="16"/>
                <w:szCs w:val="16"/>
              </w:rPr>
            </w:pPr>
            <w:r>
              <w:rPr>
                <w:b/>
                <w:sz w:val="16"/>
                <w:szCs w:val="16"/>
              </w:rPr>
              <w:t>○</w:t>
            </w:r>
          </w:p>
        </w:tc>
        <w:tc>
          <w:tcPr>
            <w:tcW w:w="880" w:type="dxa"/>
            <w:vAlign w:val="center"/>
          </w:tcPr>
          <w:p w14:paraId="064BEC72">
            <w:pPr>
              <w:jc w:val="center"/>
              <w:rPr>
                <w:b/>
                <w:sz w:val="16"/>
                <w:szCs w:val="16"/>
              </w:rPr>
            </w:pPr>
            <w:r>
              <w:rPr>
                <w:b/>
                <w:sz w:val="16"/>
                <w:szCs w:val="16"/>
              </w:rPr>
              <w:t>○</w:t>
            </w:r>
          </w:p>
        </w:tc>
        <w:tc>
          <w:tcPr>
            <w:tcW w:w="880" w:type="dxa"/>
            <w:vAlign w:val="center"/>
          </w:tcPr>
          <w:p w14:paraId="29BA82B8">
            <w:pPr>
              <w:jc w:val="center"/>
              <w:rPr>
                <w:b/>
                <w:sz w:val="16"/>
                <w:szCs w:val="16"/>
              </w:rPr>
            </w:pPr>
            <w:r>
              <w:rPr>
                <w:b/>
                <w:sz w:val="16"/>
                <w:szCs w:val="16"/>
              </w:rPr>
              <w:t>○</w:t>
            </w:r>
          </w:p>
        </w:tc>
      </w:tr>
      <w:tr w14:paraId="3F745861">
        <w:tblPrEx>
          <w:tblCellMar>
            <w:top w:w="0" w:type="dxa"/>
            <w:left w:w="108" w:type="dxa"/>
            <w:bottom w:w="0" w:type="dxa"/>
            <w:right w:w="108" w:type="dxa"/>
          </w:tblCellMar>
        </w:tblPrEx>
        <w:trPr>
          <w:trHeight w:val="90" w:hRule="atLeast"/>
          <w:jc w:val="center"/>
        </w:trPr>
        <w:tc>
          <w:tcPr>
            <w:tcW w:w="558" w:type="dxa"/>
            <w:vMerge w:val="continue"/>
            <w:vAlign w:val="center"/>
          </w:tcPr>
          <w:p w14:paraId="6985390F">
            <w:pPr>
              <w:widowControl/>
              <w:jc w:val="center"/>
              <w:rPr>
                <w:kern w:val="0"/>
                <w:sz w:val="20"/>
                <w:szCs w:val="20"/>
              </w:rPr>
            </w:pPr>
          </w:p>
        </w:tc>
        <w:tc>
          <w:tcPr>
            <w:tcW w:w="970" w:type="dxa"/>
            <w:vMerge w:val="continue"/>
            <w:vAlign w:val="center"/>
          </w:tcPr>
          <w:p w14:paraId="36EADE2D">
            <w:pPr>
              <w:widowControl/>
              <w:jc w:val="center"/>
              <w:rPr>
                <w:kern w:val="0"/>
                <w:sz w:val="20"/>
                <w:szCs w:val="20"/>
              </w:rPr>
            </w:pPr>
          </w:p>
        </w:tc>
        <w:tc>
          <w:tcPr>
            <w:tcW w:w="2457" w:type="dxa"/>
            <w:vAlign w:val="center"/>
          </w:tcPr>
          <w:p w14:paraId="6B5A2323">
            <w:pPr>
              <w:widowControl/>
              <w:jc w:val="center"/>
              <w:rPr>
                <w:kern w:val="0"/>
                <w:sz w:val="20"/>
                <w:szCs w:val="20"/>
              </w:rPr>
            </w:pPr>
            <w:r>
              <w:rPr>
                <w:kern w:val="0"/>
                <w:sz w:val="20"/>
                <w:szCs w:val="20"/>
              </w:rPr>
              <w:t>抗雨飞行性能试验</w:t>
            </w:r>
          </w:p>
        </w:tc>
        <w:tc>
          <w:tcPr>
            <w:tcW w:w="917" w:type="dxa"/>
            <w:vAlign w:val="center"/>
          </w:tcPr>
          <w:p w14:paraId="7C02D7CB">
            <w:pPr>
              <w:jc w:val="center"/>
              <w:rPr>
                <w:sz w:val="20"/>
                <w:szCs w:val="22"/>
              </w:rPr>
            </w:pPr>
            <w:r>
              <w:rPr>
                <w:rFonts w:hint="eastAsia"/>
                <w:szCs w:val="21"/>
              </w:rPr>
              <w:t>6.2.6</w:t>
            </w:r>
          </w:p>
        </w:tc>
        <w:tc>
          <w:tcPr>
            <w:tcW w:w="960" w:type="dxa"/>
            <w:vAlign w:val="center"/>
          </w:tcPr>
          <w:p w14:paraId="141D7E1C">
            <w:pPr>
              <w:jc w:val="center"/>
              <w:rPr>
                <w:sz w:val="20"/>
                <w:szCs w:val="22"/>
              </w:rPr>
            </w:pPr>
            <w:r>
              <w:rPr>
                <w:sz w:val="16"/>
                <w:szCs w:val="16"/>
              </w:rPr>
              <w:t>●</w:t>
            </w:r>
          </w:p>
        </w:tc>
        <w:tc>
          <w:tcPr>
            <w:tcW w:w="845" w:type="dxa"/>
            <w:vAlign w:val="center"/>
          </w:tcPr>
          <w:p w14:paraId="4A7BB949">
            <w:pPr>
              <w:jc w:val="center"/>
              <w:rPr>
                <w:sz w:val="20"/>
                <w:szCs w:val="22"/>
              </w:rPr>
            </w:pPr>
            <w:r>
              <w:rPr>
                <w:b/>
                <w:sz w:val="16"/>
                <w:szCs w:val="16"/>
              </w:rPr>
              <w:t>○</w:t>
            </w:r>
          </w:p>
        </w:tc>
        <w:tc>
          <w:tcPr>
            <w:tcW w:w="880" w:type="dxa"/>
            <w:vAlign w:val="center"/>
          </w:tcPr>
          <w:p w14:paraId="077FF971">
            <w:pPr>
              <w:jc w:val="center"/>
              <w:rPr>
                <w:b/>
                <w:sz w:val="16"/>
                <w:szCs w:val="16"/>
              </w:rPr>
            </w:pPr>
            <w:r>
              <w:rPr>
                <w:b/>
                <w:sz w:val="16"/>
                <w:szCs w:val="16"/>
              </w:rPr>
              <w:t>○</w:t>
            </w:r>
          </w:p>
        </w:tc>
        <w:tc>
          <w:tcPr>
            <w:tcW w:w="880" w:type="dxa"/>
            <w:vAlign w:val="center"/>
          </w:tcPr>
          <w:p w14:paraId="5391284F">
            <w:pPr>
              <w:jc w:val="center"/>
              <w:rPr>
                <w:b/>
                <w:sz w:val="16"/>
                <w:szCs w:val="16"/>
              </w:rPr>
            </w:pPr>
            <w:r>
              <w:rPr>
                <w:b/>
                <w:sz w:val="16"/>
                <w:szCs w:val="16"/>
              </w:rPr>
              <w:t>○</w:t>
            </w:r>
          </w:p>
        </w:tc>
        <w:tc>
          <w:tcPr>
            <w:tcW w:w="880" w:type="dxa"/>
            <w:vAlign w:val="center"/>
          </w:tcPr>
          <w:p w14:paraId="02C44AC0">
            <w:pPr>
              <w:jc w:val="center"/>
              <w:rPr>
                <w:b/>
                <w:sz w:val="16"/>
                <w:szCs w:val="16"/>
              </w:rPr>
            </w:pPr>
            <w:r>
              <w:rPr>
                <w:b/>
                <w:sz w:val="16"/>
                <w:szCs w:val="16"/>
              </w:rPr>
              <w:t>○</w:t>
            </w:r>
          </w:p>
        </w:tc>
      </w:tr>
      <w:tr w14:paraId="78ED52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558" w:type="dxa"/>
            <w:vMerge w:val="continue"/>
            <w:vAlign w:val="center"/>
          </w:tcPr>
          <w:p w14:paraId="6D6F56A8">
            <w:pPr>
              <w:widowControl/>
              <w:jc w:val="center"/>
              <w:rPr>
                <w:kern w:val="0"/>
                <w:sz w:val="20"/>
                <w:szCs w:val="20"/>
              </w:rPr>
            </w:pPr>
          </w:p>
        </w:tc>
        <w:tc>
          <w:tcPr>
            <w:tcW w:w="970" w:type="dxa"/>
            <w:vMerge w:val="continue"/>
            <w:vAlign w:val="center"/>
          </w:tcPr>
          <w:p w14:paraId="635C5E92">
            <w:pPr>
              <w:widowControl/>
              <w:jc w:val="center"/>
              <w:rPr>
                <w:kern w:val="0"/>
                <w:sz w:val="20"/>
                <w:szCs w:val="20"/>
              </w:rPr>
            </w:pPr>
          </w:p>
        </w:tc>
        <w:tc>
          <w:tcPr>
            <w:tcW w:w="2457" w:type="dxa"/>
            <w:vAlign w:val="center"/>
          </w:tcPr>
          <w:p w14:paraId="69A4E479">
            <w:pPr>
              <w:widowControl/>
              <w:jc w:val="center"/>
              <w:rPr>
                <w:kern w:val="0"/>
                <w:sz w:val="20"/>
                <w:szCs w:val="20"/>
              </w:rPr>
            </w:pPr>
            <w:r>
              <w:rPr>
                <w:rFonts w:hint="eastAsia"/>
                <w:kern w:val="0"/>
                <w:sz w:val="20"/>
                <w:szCs w:val="20"/>
              </w:rPr>
              <w:t>防护</w:t>
            </w:r>
            <w:r>
              <w:rPr>
                <w:kern w:val="0"/>
                <w:sz w:val="20"/>
                <w:szCs w:val="20"/>
              </w:rPr>
              <w:t>性能试验</w:t>
            </w:r>
          </w:p>
        </w:tc>
        <w:tc>
          <w:tcPr>
            <w:tcW w:w="917" w:type="dxa"/>
            <w:vAlign w:val="center"/>
          </w:tcPr>
          <w:p w14:paraId="75DDE333">
            <w:pPr>
              <w:jc w:val="center"/>
              <w:rPr>
                <w:sz w:val="20"/>
                <w:szCs w:val="22"/>
              </w:rPr>
            </w:pPr>
            <w:r>
              <w:rPr>
                <w:rFonts w:hint="eastAsia"/>
                <w:szCs w:val="21"/>
              </w:rPr>
              <w:t>6.2.7</w:t>
            </w:r>
          </w:p>
        </w:tc>
        <w:tc>
          <w:tcPr>
            <w:tcW w:w="960" w:type="dxa"/>
            <w:vAlign w:val="center"/>
          </w:tcPr>
          <w:p w14:paraId="5C621549">
            <w:pPr>
              <w:jc w:val="center"/>
              <w:rPr>
                <w:sz w:val="20"/>
                <w:szCs w:val="22"/>
              </w:rPr>
            </w:pPr>
            <w:r>
              <w:rPr>
                <w:sz w:val="16"/>
                <w:szCs w:val="16"/>
              </w:rPr>
              <w:t>●</w:t>
            </w:r>
          </w:p>
        </w:tc>
        <w:tc>
          <w:tcPr>
            <w:tcW w:w="845" w:type="dxa"/>
            <w:vAlign w:val="center"/>
          </w:tcPr>
          <w:p w14:paraId="39D771CE">
            <w:pPr>
              <w:jc w:val="center"/>
              <w:rPr>
                <w:sz w:val="20"/>
                <w:szCs w:val="22"/>
              </w:rPr>
            </w:pPr>
            <w:r>
              <w:rPr>
                <w:b/>
                <w:sz w:val="16"/>
                <w:szCs w:val="16"/>
              </w:rPr>
              <w:t>○</w:t>
            </w:r>
          </w:p>
        </w:tc>
        <w:tc>
          <w:tcPr>
            <w:tcW w:w="880" w:type="dxa"/>
            <w:vAlign w:val="center"/>
          </w:tcPr>
          <w:p w14:paraId="1935AEF9">
            <w:pPr>
              <w:jc w:val="center"/>
              <w:rPr>
                <w:b/>
                <w:sz w:val="16"/>
                <w:szCs w:val="16"/>
              </w:rPr>
            </w:pPr>
            <w:r>
              <w:rPr>
                <w:b/>
                <w:sz w:val="16"/>
                <w:szCs w:val="16"/>
              </w:rPr>
              <w:t>○</w:t>
            </w:r>
          </w:p>
        </w:tc>
        <w:tc>
          <w:tcPr>
            <w:tcW w:w="880" w:type="dxa"/>
            <w:vAlign w:val="center"/>
          </w:tcPr>
          <w:p w14:paraId="3B8656B5">
            <w:pPr>
              <w:jc w:val="center"/>
              <w:rPr>
                <w:b/>
                <w:sz w:val="16"/>
                <w:szCs w:val="16"/>
              </w:rPr>
            </w:pPr>
            <w:r>
              <w:rPr>
                <w:b/>
                <w:sz w:val="16"/>
                <w:szCs w:val="16"/>
              </w:rPr>
              <w:t>○</w:t>
            </w:r>
          </w:p>
        </w:tc>
        <w:tc>
          <w:tcPr>
            <w:tcW w:w="880" w:type="dxa"/>
            <w:vAlign w:val="center"/>
          </w:tcPr>
          <w:p w14:paraId="2BB925D6">
            <w:pPr>
              <w:jc w:val="center"/>
              <w:rPr>
                <w:b/>
                <w:sz w:val="16"/>
                <w:szCs w:val="16"/>
              </w:rPr>
            </w:pPr>
            <w:r>
              <w:rPr>
                <w:b/>
                <w:sz w:val="16"/>
                <w:szCs w:val="16"/>
              </w:rPr>
              <w:t>○</w:t>
            </w:r>
          </w:p>
        </w:tc>
      </w:tr>
      <w:tr w14:paraId="3EC36C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3" w:hRule="atLeast"/>
          <w:jc w:val="center"/>
        </w:trPr>
        <w:tc>
          <w:tcPr>
            <w:tcW w:w="558" w:type="dxa"/>
            <w:vMerge w:val="restart"/>
            <w:vAlign w:val="center"/>
          </w:tcPr>
          <w:p w14:paraId="43846321">
            <w:pPr>
              <w:widowControl/>
              <w:jc w:val="center"/>
              <w:rPr>
                <w:kern w:val="0"/>
                <w:sz w:val="20"/>
                <w:szCs w:val="20"/>
              </w:rPr>
            </w:pPr>
            <w:r>
              <w:rPr>
                <w:kern w:val="0"/>
                <w:sz w:val="20"/>
                <w:szCs w:val="20"/>
              </w:rPr>
              <w:t>功能要求</w:t>
            </w:r>
          </w:p>
        </w:tc>
        <w:tc>
          <w:tcPr>
            <w:tcW w:w="970" w:type="dxa"/>
            <w:vMerge w:val="restart"/>
            <w:vAlign w:val="center"/>
          </w:tcPr>
          <w:p w14:paraId="48DBD183">
            <w:pPr>
              <w:widowControl/>
              <w:jc w:val="center"/>
              <w:rPr>
                <w:kern w:val="0"/>
                <w:sz w:val="20"/>
                <w:szCs w:val="20"/>
              </w:rPr>
            </w:pPr>
            <w:r>
              <w:rPr>
                <w:rFonts w:hint="eastAsia"/>
                <w:kern w:val="0"/>
                <w:sz w:val="20"/>
                <w:szCs w:val="20"/>
              </w:rPr>
              <w:t>功能试验</w:t>
            </w:r>
          </w:p>
        </w:tc>
        <w:tc>
          <w:tcPr>
            <w:tcW w:w="2457" w:type="dxa"/>
            <w:vAlign w:val="center"/>
          </w:tcPr>
          <w:p w14:paraId="34017757">
            <w:pPr>
              <w:widowControl/>
              <w:jc w:val="center"/>
              <w:rPr>
                <w:kern w:val="0"/>
                <w:sz w:val="20"/>
                <w:szCs w:val="20"/>
              </w:rPr>
            </w:pPr>
            <w:r>
              <w:rPr>
                <w:kern w:val="0"/>
                <w:sz w:val="20"/>
                <w:szCs w:val="20"/>
              </w:rPr>
              <w:t>自检功能试验</w:t>
            </w:r>
          </w:p>
        </w:tc>
        <w:tc>
          <w:tcPr>
            <w:tcW w:w="917" w:type="dxa"/>
            <w:vAlign w:val="center"/>
          </w:tcPr>
          <w:p w14:paraId="374C1BE6">
            <w:pPr>
              <w:widowControl/>
              <w:jc w:val="center"/>
              <w:rPr>
                <w:kern w:val="0"/>
                <w:sz w:val="20"/>
                <w:szCs w:val="20"/>
              </w:rPr>
            </w:pPr>
            <w:r>
              <w:rPr>
                <w:rFonts w:hint="eastAsia"/>
                <w:szCs w:val="21"/>
              </w:rPr>
              <w:t>6.3.1</w:t>
            </w:r>
          </w:p>
        </w:tc>
        <w:tc>
          <w:tcPr>
            <w:tcW w:w="960" w:type="dxa"/>
            <w:vAlign w:val="center"/>
          </w:tcPr>
          <w:p w14:paraId="7DD7117B">
            <w:pPr>
              <w:widowControl/>
              <w:jc w:val="center"/>
              <w:rPr>
                <w:kern w:val="0"/>
                <w:sz w:val="20"/>
                <w:szCs w:val="20"/>
              </w:rPr>
            </w:pPr>
            <w:r>
              <w:rPr>
                <w:sz w:val="16"/>
                <w:szCs w:val="16"/>
              </w:rPr>
              <w:t>●</w:t>
            </w:r>
          </w:p>
        </w:tc>
        <w:tc>
          <w:tcPr>
            <w:tcW w:w="845" w:type="dxa"/>
            <w:vAlign w:val="center"/>
          </w:tcPr>
          <w:p w14:paraId="3EC68E19">
            <w:pPr>
              <w:widowControl/>
              <w:jc w:val="center"/>
              <w:rPr>
                <w:kern w:val="0"/>
                <w:sz w:val="20"/>
                <w:szCs w:val="20"/>
              </w:rPr>
            </w:pPr>
            <w:r>
              <w:rPr>
                <w:sz w:val="16"/>
                <w:szCs w:val="16"/>
              </w:rPr>
              <w:t>●</w:t>
            </w:r>
          </w:p>
        </w:tc>
        <w:tc>
          <w:tcPr>
            <w:tcW w:w="880" w:type="dxa"/>
            <w:vAlign w:val="center"/>
          </w:tcPr>
          <w:p w14:paraId="62463D01">
            <w:pPr>
              <w:widowControl/>
              <w:jc w:val="center"/>
              <w:rPr>
                <w:sz w:val="16"/>
                <w:szCs w:val="16"/>
              </w:rPr>
            </w:pPr>
            <w:r>
              <w:rPr>
                <w:sz w:val="16"/>
                <w:szCs w:val="16"/>
              </w:rPr>
              <w:t>●</w:t>
            </w:r>
          </w:p>
        </w:tc>
        <w:tc>
          <w:tcPr>
            <w:tcW w:w="880" w:type="dxa"/>
            <w:vAlign w:val="center"/>
          </w:tcPr>
          <w:p w14:paraId="3B9F4D18">
            <w:pPr>
              <w:widowControl/>
              <w:jc w:val="center"/>
              <w:rPr>
                <w:sz w:val="16"/>
                <w:szCs w:val="16"/>
              </w:rPr>
            </w:pPr>
            <w:r>
              <w:rPr>
                <w:sz w:val="16"/>
                <w:szCs w:val="16"/>
              </w:rPr>
              <w:t>●</w:t>
            </w:r>
          </w:p>
        </w:tc>
        <w:tc>
          <w:tcPr>
            <w:tcW w:w="880" w:type="dxa"/>
            <w:vAlign w:val="center"/>
          </w:tcPr>
          <w:p w14:paraId="695D639D">
            <w:pPr>
              <w:widowControl/>
              <w:jc w:val="center"/>
              <w:rPr>
                <w:sz w:val="16"/>
                <w:szCs w:val="16"/>
              </w:rPr>
            </w:pPr>
            <w:r>
              <w:rPr>
                <w:sz w:val="16"/>
                <w:szCs w:val="16"/>
              </w:rPr>
              <w:t>●</w:t>
            </w:r>
          </w:p>
        </w:tc>
      </w:tr>
      <w:tr w14:paraId="051B8B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558" w:type="dxa"/>
            <w:vMerge w:val="continue"/>
            <w:vAlign w:val="center"/>
          </w:tcPr>
          <w:p w14:paraId="6A1FBABD">
            <w:pPr>
              <w:widowControl/>
              <w:jc w:val="center"/>
              <w:rPr>
                <w:kern w:val="0"/>
                <w:sz w:val="20"/>
                <w:szCs w:val="20"/>
              </w:rPr>
            </w:pPr>
          </w:p>
        </w:tc>
        <w:tc>
          <w:tcPr>
            <w:tcW w:w="970" w:type="dxa"/>
            <w:vMerge w:val="continue"/>
            <w:vAlign w:val="center"/>
          </w:tcPr>
          <w:p w14:paraId="5E4BD7E6">
            <w:pPr>
              <w:widowControl/>
              <w:jc w:val="center"/>
              <w:rPr>
                <w:kern w:val="0"/>
                <w:sz w:val="20"/>
                <w:szCs w:val="20"/>
              </w:rPr>
            </w:pPr>
          </w:p>
        </w:tc>
        <w:tc>
          <w:tcPr>
            <w:tcW w:w="2457" w:type="dxa"/>
            <w:vAlign w:val="center"/>
          </w:tcPr>
          <w:p w14:paraId="1EA67A55">
            <w:pPr>
              <w:widowControl/>
              <w:jc w:val="center"/>
              <w:rPr>
                <w:kern w:val="0"/>
                <w:sz w:val="20"/>
                <w:szCs w:val="20"/>
              </w:rPr>
            </w:pPr>
            <w:r>
              <w:rPr>
                <w:kern w:val="0"/>
                <w:sz w:val="20"/>
                <w:szCs w:val="20"/>
              </w:rPr>
              <w:t>任务规划功能试验</w:t>
            </w:r>
          </w:p>
        </w:tc>
        <w:tc>
          <w:tcPr>
            <w:tcW w:w="917" w:type="dxa"/>
            <w:vAlign w:val="center"/>
          </w:tcPr>
          <w:p w14:paraId="73AFD84E">
            <w:pPr>
              <w:widowControl/>
              <w:jc w:val="center"/>
              <w:rPr>
                <w:kern w:val="0"/>
                <w:sz w:val="20"/>
                <w:szCs w:val="20"/>
              </w:rPr>
            </w:pPr>
            <w:r>
              <w:rPr>
                <w:rFonts w:hint="eastAsia"/>
                <w:szCs w:val="21"/>
              </w:rPr>
              <w:t>6.3.2</w:t>
            </w:r>
          </w:p>
        </w:tc>
        <w:tc>
          <w:tcPr>
            <w:tcW w:w="960" w:type="dxa"/>
            <w:vAlign w:val="center"/>
          </w:tcPr>
          <w:p w14:paraId="3C0A28D7">
            <w:pPr>
              <w:widowControl/>
              <w:jc w:val="center"/>
              <w:rPr>
                <w:kern w:val="0"/>
                <w:sz w:val="20"/>
                <w:szCs w:val="20"/>
              </w:rPr>
            </w:pPr>
            <w:r>
              <w:rPr>
                <w:sz w:val="16"/>
                <w:szCs w:val="16"/>
              </w:rPr>
              <w:t>●</w:t>
            </w:r>
          </w:p>
        </w:tc>
        <w:tc>
          <w:tcPr>
            <w:tcW w:w="845" w:type="dxa"/>
            <w:vAlign w:val="center"/>
          </w:tcPr>
          <w:p w14:paraId="6CCD875C">
            <w:pPr>
              <w:widowControl/>
              <w:jc w:val="center"/>
              <w:rPr>
                <w:kern w:val="0"/>
                <w:sz w:val="20"/>
                <w:szCs w:val="20"/>
              </w:rPr>
            </w:pPr>
            <w:r>
              <w:rPr>
                <w:sz w:val="16"/>
                <w:szCs w:val="16"/>
              </w:rPr>
              <w:t>●</w:t>
            </w:r>
          </w:p>
        </w:tc>
        <w:tc>
          <w:tcPr>
            <w:tcW w:w="880" w:type="dxa"/>
            <w:vAlign w:val="center"/>
          </w:tcPr>
          <w:p w14:paraId="23CECAA9">
            <w:pPr>
              <w:widowControl/>
              <w:jc w:val="center"/>
              <w:rPr>
                <w:sz w:val="16"/>
                <w:szCs w:val="16"/>
              </w:rPr>
            </w:pPr>
            <w:r>
              <w:rPr>
                <w:sz w:val="16"/>
                <w:szCs w:val="16"/>
              </w:rPr>
              <w:t>●</w:t>
            </w:r>
          </w:p>
        </w:tc>
        <w:tc>
          <w:tcPr>
            <w:tcW w:w="880" w:type="dxa"/>
            <w:vAlign w:val="center"/>
          </w:tcPr>
          <w:p w14:paraId="4F418125">
            <w:pPr>
              <w:widowControl/>
              <w:jc w:val="center"/>
              <w:rPr>
                <w:sz w:val="16"/>
                <w:szCs w:val="16"/>
              </w:rPr>
            </w:pPr>
            <w:r>
              <w:rPr>
                <w:sz w:val="16"/>
                <w:szCs w:val="16"/>
              </w:rPr>
              <w:t>●</w:t>
            </w:r>
          </w:p>
        </w:tc>
        <w:tc>
          <w:tcPr>
            <w:tcW w:w="880" w:type="dxa"/>
            <w:vAlign w:val="center"/>
          </w:tcPr>
          <w:p w14:paraId="1F045AC9">
            <w:pPr>
              <w:widowControl/>
              <w:jc w:val="center"/>
              <w:rPr>
                <w:sz w:val="16"/>
                <w:szCs w:val="16"/>
              </w:rPr>
            </w:pPr>
            <w:r>
              <w:rPr>
                <w:sz w:val="16"/>
                <w:szCs w:val="16"/>
              </w:rPr>
              <w:t>●</w:t>
            </w:r>
          </w:p>
        </w:tc>
      </w:tr>
      <w:tr w14:paraId="63203E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 w:hRule="atLeast"/>
          <w:jc w:val="center"/>
        </w:trPr>
        <w:tc>
          <w:tcPr>
            <w:tcW w:w="558" w:type="dxa"/>
            <w:vMerge w:val="continue"/>
            <w:vAlign w:val="center"/>
          </w:tcPr>
          <w:p w14:paraId="0CC501A8">
            <w:pPr>
              <w:widowControl/>
              <w:jc w:val="center"/>
              <w:rPr>
                <w:kern w:val="0"/>
                <w:sz w:val="20"/>
                <w:szCs w:val="20"/>
              </w:rPr>
            </w:pPr>
          </w:p>
        </w:tc>
        <w:tc>
          <w:tcPr>
            <w:tcW w:w="970" w:type="dxa"/>
            <w:vMerge w:val="continue"/>
            <w:vAlign w:val="center"/>
          </w:tcPr>
          <w:p w14:paraId="7CDD394F">
            <w:pPr>
              <w:widowControl/>
              <w:jc w:val="center"/>
              <w:rPr>
                <w:kern w:val="0"/>
                <w:sz w:val="20"/>
                <w:szCs w:val="20"/>
              </w:rPr>
            </w:pPr>
          </w:p>
        </w:tc>
        <w:tc>
          <w:tcPr>
            <w:tcW w:w="2457" w:type="dxa"/>
            <w:vAlign w:val="center"/>
          </w:tcPr>
          <w:p w14:paraId="4DEC7D24">
            <w:pPr>
              <w:widowControl/>
              <w:jc w:val="center"/>
              <w:rPr>
                <w:kern w:val="0"/>
                <w:sz w:val="20"/>
                <w:szCs w:val="20"/>
              </w:rPr>
            </w:pPr>
            <w:r>
              <w:rPr>
                <w:kern w:val="0"/>
                <w:sz w:val="20"/>
                <w:szCs w:val="20"/>
              </w:rPr>
              <w:t>飞行模式及切换功能试验</w:t>
            </w:r>
          </w:p>
        </w:tc>
        <w:tc>
          <w:tcPr>
            <w:tcW w:w="917" w:type="dxa"/>
            <w:vAlign w:val="center"/>
          </w:tcPr>
          <w:p w14:paraId="0489A839">
            <w:pPr>
              <w:widowControl/>
              <w:jc w:val="center"/>
              <w:rPr>
                <w:kern w:val="0"/>
                <w:sz w:val="20"/>
                <w:szCs w:val="20"/>
              </w:rPr>
            </w:pPr>
            <w:r>
              <w:rPr>
                <w:rFonts w:hint="eastAsia"/>
                <w:szCs w:val="21"/>
              </w:rPr>
              <w:t>6.3.3</w:t>
            </w:r>
          </w:p>
        </w:tc>
        <w:tc>
          <w:tcPr>
            <w:tcW w:w="960" w:type="dxa"/>
            <w:vAlign w:val="center"/>
          </w:tcPr>
          <w:p w14:paraId="30073387">
            <w:pPr>
              <w:widowControl/>
              <w:jc w:val="center"/>
              <w:rPr>
                <w:kern w:val="0"/>
                <w:sz w:val="20"/>
                <w:szCs w:val="20"/>
              </w:rPr>
            </w:pPr>
            <w:r>
              <w:rPr>
                <w:sz w:val="16"/>
                <w:szCs w:val="16"/>
              </w:rPr>
              <w:t>●</w:t>
            </w:r>
          </w:p>
        </w:tc>
        <w:tc>
          <w:tcPr>
            <w:tcW w:w="845" w:type="dxa"/>
            <w:vAlign w:val="center"/>
          </w:tcPr>
          <w:p w14:paraId="1F508AF3">
            <w:pPr>
              <w:widowControl/>
              <w:jc w:val="center"/>
              <w:rPr>
                <w:kern w:val="0"/>
                <w:sz w:val="20"/>
                <w:szCs w:val="20"/>
              </w:rPr>
            </w:pPr>
            <w:r>
              <w:rPr>
                <w:sz w:val="16"/>
                <w:szCs w:val="16"/>
              </w:rPr>
              <w:t>●</w:t>
            </w:r>
          </w:p>
        </w:tc>
        <w:tc>
          <w:tcPr>
            <w:tcW w:w="880" w:type="dxa"/>
            <w:vAlign w:val="center"/>
          </w:tcPr>
          <w:p w14:paraId="6FEF5C00">
            <w:pPr>
              <w:widowControl/>
              <w:jc w:val="center"/>
              <w:rPr>
                <w:sz w:val="16"/>
                <w:szCs w:val="16"/>
              </w:rPr>
            </w:pPr>
            <w:r>
              <w:rPr>
                <w:sz w:val="16"/>
                <w:szCs w:val="16"/>
              </w:rPr>
              <w:t>●</w:t>
            </w:r>
          </w:p>
        </w:tc>
        <w:tc>
          <w:tcPr>
            <w:tcW w:w="880" w:type="dxa"/>
            <w:vAlign w:val="center"/>
          </w:tcPr>
          <w:p w14:paraId="4CA95007">
            <w:pPr>
              <w:widowControl/>
              <w:jc w:val="center"/>
              <w:rPr>
                <w:sz w:val="16"/>
                <w:szCs w:val="16"/>
              </w:rPr>
            </w:pPr>
            <w:r>
              <w:rPr>
                <w:sz w:val="16"/>
                <w:szCs w:val="16"/>
              </w:rPr>
              <w:t>●</w:t>
            </w:r>
          </w:p>
        </w:tc>
        <w:tc>
          <w:tcPr>
            <w:tcW w:w="880" w:type="dxa"/>
            <w:vAlign w:val="center"/>
          </w:tcPr>
          <w:p w14:paraId="16700944">
            <w:pPr>
              <w:widowControl/>
              <w:jc w:val="center"/>
              <w:rPr>
                <w:sz w:val="16"/>
                <w:szCs w:val="16"/>
              </w:rPr>
            </w:pPr>
            <w:r>
              <w:rPr>
                <w:sz w:val="16"/>
                <w:szCs w:val="16"/>
              </w:rPr>
              <w:t>●</w:t>
            </w:r>
          </w:p>
        </w:tc>
      </w:tr>
      <w:tr w14:paraId="5A6C78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8" w:hRule="atLeast"/>
          <w:jc w:val="center"/>
        </w:trPr>
        <w:tc>
          <w:tcPr>
            <w:tcW w:w="558" w:type="dxa"/>
            <w:vMerge w:val="continue"/>
            <w:vAlign w:val="center"/>
          </w:tcPr>
          <w:p w14:paraId="67119644">
            <w:pPr>
              <w:widowControl/>
              <w:jc w:val="center"/>
              <w:rPr>
                <w:kern w:val="0"/>
                <w:sz w:val="20"/>
                <w:szCs w:val="20"/>
              </w:rPr>
            </w:pPr>
          </w:p>
        </w:tc>
        <w:tc>
          <w:tcPr>
            <w:tcW w:w="970" w:type="dxa"/>
            <w:vMerge w:val="continue"/>
            <w:vAlign w:val="center"/>
          </w:tcPr>
          <w:p w14:paraId="28BE8E9D">
            <w:pPr>
              <w:widowControl/>
              <w:jc w:val="center"/>
              <w:rPr>
                <w:kern w:val="0"/>
                <w:sz w:val="20"/>
                <w:szCs w:val="20"/>
              </w:rPr>
            </w:pPr>
          </w:p>
        </w:tc>
        <w:tc>
          <w:tcPr>
            <w:tcW w:w="2457" w:type="dxa"/>
            <w:vAlign w:val="center"/>
          </w:tcPr>
          <w:p w14:paraId="3171E3B2">
            <w:pPr>
              <w:widowControl/>
              <w:jc w:val="center"/>
              <w:rPr>
                <w:kern w:val="0"/>
                <w:sz w:val="20"/>
                <w:szCs w:val="20"/>
              </w:rPr>
            </w:pPr>
            <w:r>
              <w:rPr>
                <w:kern w:val="0"/>
                <w:sz w:val="20"/>
                <w:szCs w:val="20"/>
              </w:rPr>
              <w:t>导航定位偏差试验</w:t>
            </w:r>
          </w:p>
        </w:tc>
        <w:tc>
          <w:tcPr>
            <w:tcW w:w="917" w:type="dxa"/>
            <w:vAlign w:val="center"/>
          </w:tcPr>
          <w:p w14:paraId="7938E227">
            <w:pPr>
              <w:widowControl/>
              <w:jc w:val="center"/>
              <w:rPr>
                <w:kern w:val="0"/>
                <w:sz w:val="20"/>
                <w:szCs w:val="20"/>
              </w:rPr>
            </w:pPr>
            <w:r>
              <w:rPr>
                <w:rFonts w:hint="eastAsia"/>
                <w:szCs w:val="21"/>
              </w:rPr>
              <w:t>6.3.4</w:t>
            </w:r>
          </w:p>
        </w:tc>
        <w:tc>
          <w:tcPr>
            <w:tcW w:w="960" w:type="dxa"/>
            <w:vAlign w:val="center"/>
          </w:tcPr>
          <w:p w14:paraId="1648DEBE">
            <w:pPr>
              <w:widowControl/>
              <w:jc w:val="center"/>
              <w:rPr>
                <w:kern w:val="0"/>
                <w:sz w:val="20"/>
                <w:szCs w:val="20"/>
              </w:rPr>
            </w:pPr>
            <w:r>
              <w:rPr>
                <w:sz w:val="16"/>
                <w:szCs w:val="16"/>
              </w:rPr>
              <w:t>●</w:t>
            </w:r>
          </w:p>
        </w:tc>
        <w:tc>
          <w:tcPr>
            <w:tcW w:w="845" w:type="dxa"/>
            <w:vAlign w:val="center"/>
          </w:tcPr>
          <w:p w14:paraId="0495DA25">
            <w:pPr>
              <w:widowControl/>
              <w:jc w:val="center"/>
              <w:rPr>
                <w:kern w:val="0"/>
                <w:sz w:val="20"/>
                <w:szCs w:val="20"/>
              </w:rPr>
            </w:pPr>
            <w:r>
              <w:rPr>
                <w:sz w:val="16"/>
                <w:szCs w:val="16"/>
              </w:rPr>
              <w:t>●</w:t>
            </w:r>
          </w:p>
        </w:tc>
        <w:tc>
          <w:tcPr>
            <w:tcW w:w="880" w:type="dxa"/>
            <w:vAlign w:val="center"/>
          </w:tcPr>
          <w:p w14:paraId="03DE7CFC">
            <w:pPr>
              <w:widowControl/>
              <w:jc w:val="center"/>
              <w:rPr>
                <w:sz w:val="16"/>
                <w:szCs w:val="16"/>
              </w:rPr>
            </w:pPr>
            <w:r>
              <w:rPr>
                <w:sz w:val="16"/>
                <w:szCs w:val="16"/>
              </w:rPr>
              <w:t>●</w:t>
            </w:r>
          </w:p>
        </w:tc>
        <w:tc>
          <w:tcPr>
            <w:tcW w:w="880" w:type="dxa"/>
            <w:vAlign w:val="center"/>
          </w:tcPr>
          <w:p w14:paraId="096D843A">
            <w:pPr>
              <w:widowControl/>
              <w:jc w:val="center"/>
              <w:rPr>
                <w:sz w:val="16"/>
                <w:szCs w:val="16"/>
              </w:rPr>
            </w:pPr>
            <w:r>
              <w:rPr>
                <w:sz w:val="16"/>
                <w:szCs w:val="16"/>
              </w:rPr>
              <w:t>●</w:t>
            </w:r>
          </w:p>
        </w:tc>
        <w:tc>
          <w:tcPr>
            <w:tcW w:w="880" w:type="dxa"/>
            <w:vAlign w:val="center"/>
          </w:tcPr>
          <w:p w14:paraId="49764CC8">
            <w:pPr>
              <w:widowControl/>
              <w:jc w:val="center"/>
              <w:rPr>
                <w:sz w:val="16"/>
                <w:szCs w:val="16"/>
              </w:rPr>
            </w:pPr>
            <w:r>
              <w:rPr>
                <w:sz w:val="16"/>
                <w:szCs w:val="16"/>
              </w:rPr>
              <w:t>●</w:t>
            </w:r>
          </w:p>
        </w:tc>
      </w:tr>
      <w:tr w14:paraId="661524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3" w:hRule="atLeast"/>
          <w:jc w:val="center"/>
        </w:trPr>
        <w:tc>
          <w:tcPr>
            <w:tcW w:w="558" w:type="dxa"/>
            <w:vMerge w:val="continue"/>
            <w:vAlign w:val="center"/>
          </w:tcPr>
          <w:p w14:paraId="0E647DF7">
            <w:pPr>
              <w:widowControl/>
              <w:jc w:val="center"/>
              <w:rPr>
                <w:kern w:val="0"/>
                <w:sz w:val="20"/>
                <w:szCs w:val="20"/>
              </w:rPr>
            </w:pPr>
          </w:p>
        </w:tc>
        <w:tc>
          <w:tcPr>
            <w:tcW w:w="970" w:type="dxa"/>
            <w:vMerge w:val="continue"/>
            <w:vAlign w:val="center"/>
          </w:tcPr>
          <w:p w14:paraId="40412680">
            <w:pPr>
              <w:widowControl/>
              <w:jc w:val="center"/>
              <w:rPr>
                <w:kern w:val="0"/>
                <w:sz w:val="20"/>
                <w:szCs w:val="20"/>
              </w:rPr>
            </w:pPr>
          </w:p>
        </w:tc>
        <w:tc>
          <w:tcPr>
            <w:tcW w:w="2457" w:type="dxa"/>
            <w:vAlign w:val="center"/>
          </w:tcPr>
          <w:p w14:paraId="1E6ED811">
            <w:pPr>
              <w:widowControl/>
              <w:jc w:val="center"/>
              <w:rPr>
                <w:kern w:val="0"/>
                <w:sz w:val="20"/>
                <w:szCs w:val="20"/>
              </w:rPr>
            </w:pPr>
            <w:r>
              <w:rPr>
                <w:kern w:val="0"/>
                <w:sz w:val="20"/>
                <w:szCs w:val="20"/>
              </w:rPr>
              <w:t>飞行控制偏差试验</w:t>
            </w:r>
          </w:p>
        </w:tc>
        <w:tc>
          <w:tcPr>
            <w:tcW w:w="917" w:type="dxa"/>
            <w:vAlign w:val="center"/>
          </w:tcPr>
          <w:p w14:paraId="1D63B64E">
            <w:pPr>
              <w:widowControl/>
              <w:jc w:val="center"/>
              <w:rPr>
                <w:kern w:val="0"/>
                <w:sz w:val="20"/>
                <w:szCs w:val="20"/>
              </w:rPr>
            </w:pPr>
            <w:r>
              <w:rPr>
                <w:rFonts w:hint="eastAsia"/>
                <w:szCs w:val="21"/>
              </w:rPr>
              <w:t>6.3.5</w:t>
            </w:r>
          </w:p>
        </w:tc>
        <w:tc>
          <w:tcPr>
            <w:tcW w:w="960" w:type="dxa"/>
            <w:vAlign w:val="center"/>
          </w:tcPr>
          <w:p w14:paraId="155595AC">
            <w:pPr>
              <w:widowControl/>
              <w:jc w:val="center"/>
              <w:rPr>
                <w:kern w:val="0"/>
                <w:sz w:val="20"/>
                <w:szCs w:val="20"/>
              </w:rPr>
            </w:pPr>
            <w:r>
              <w:rPr>
                <w:sz w:val="16"/>
                <w:szCs w:val="16"/>
              </w:rPr>
              <w:t>●</w:t>
            </w:r>
          </w:p>
        </w:tc>
        <w:tc>
          <w:tcPr>
            <w:tcW w:w="845" w:type="dxa"/>
            <w:vAlign w:val="center"/>
          </w:tcPr>
          <w:p w14:paraId="0F5B97F7">
            <w:pPr>
              <w:widowControl/>
              <w:jc w:val="center"/>
              <w:rPr>
                <w:kern w:val="0"/>
                <w:sz w:val="20"/>
                <w:szCs w:val="20"/>
              </w:rPr>
            </w:pPr>
            <w:r>
              <w:rPr>
                <w:sz w:val="16"/>
                <w:szCs w:val="16"/>
              </w:rPr>
              <w:t>●</w:t>
            </w:r>
          </w:p>
        </w:tc>
        <w:tc>
          <w:tcPr>
            <w:tcW w:w="880" w:type="dxa"/>
            <w:vAlign w:val="center"/>
          </w:tcPr>
          <w:p w14:paraId="47E1A636">
            <w:pPr>
              <w:widowControl/>
              <w:jc w:val="center"/>
              <w:rPr>
                <w:sz w:val="16"/>
                <w:szCs w:val="16"/>
              </w:rPr>
            </w:pPr>
            <w:r>
              <w:rPr>
                <w:sz w:val="16"/>
                <w:szCs w:val="16"/>
              </w:rPr>
              <w:t>●</w:t>
            </w:r>
          </w:p>
        </w:tc>
        <w:tc>
          <w:tcPr>
            <w:tcW w:w="880" w:type="dxa"/>
            <w:vAlign w:val="center"/>
          </w:tcPr>
          <w:p w14:paraId="36B24A66">
            <w:pPr>
              <w:widowControl/>
              <w:jc w:val="center"/>
              <w:rPr>
                <w:sz w:val="16"/>
                <w:szCs w:val="16"/>
              </w:rPr>
            </w:pPr>
            <w:r>
              <w:rPr>
                <w:sz w:val="16"/>
                <w:szCs w:val="16"/>
              </w:rPr>
              <w:t>●</w:t>
            </w:r>
          </w:p>
        </w:tc>
        <w:tc>
          <w:tcPr>
            <w:tcW w:w="880" w:type="dxa"/>
            <w:vAlign w:val="center"/>
          </w:tcPr>
          <w:p w14:paraId="70DCEA4B">
            <w:pPr>
              <w:widowControl/>
              <w:jc w:val="center"/>
              <w:rPr>
                <w:sz w:val="16"/>
                <w:szCs w:val="16"/>
              </w:rPr>
            </w:pPr>
            <w:r>
              <w:rPr>
                <w:sz w:val="16"/>
                <w:szCs w:val="16"/>
              </w:rPr>
              <w:t>●</w:t>
            </w:r>
          </w:p>
        </w:tc>
      </w:tr>
      <w:tr w14:paraId="685080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8" w:hRule="atLeast"/>
          <w:jc w:val="center"/>
        </w:trPr>
        <w:tc>
          <w:tcPr>
            <w:tcW w:w="558" w:type="dxa"/>
            <w:vMerge w:val="continue"/>
            <w:vAlign w:val="center"/>
          </w:tcPr>
          <w:p w14:paraId="54309E90">
            <w:pPr>
              <w:widowControl/>
              <w:jc w:val="center"/>
              <w:rPr>
                <w:kern w:val="0"/>
                <w:sz w:val="20"/>
                <w:szCs w:val="20"/>
              </w:rPr>
            </w:pPr>
          </w:p>
        </w:tc>
        <w:tc>
          <w:tcPr>
            <w:tcW w:w="970" w:type="dxa"/>
            <w:vMerge w:val="continue"/>
            <w:vAlign w:val="center"/>
          </w:tcPr>
          <w:p w14:paraId="683FE3F6">
            <w:pPr>
              <w:widowControl/>
              <w:jc w:val="center"/>
              <w:rPr>
                <w:kern w:val="0"/>
                <w:sz w:val="20"/>
                <w:szCs w:val="20"/>
              </w:rPr>
            </w:pPr>
          </w:p>
        </w:tc>
        <w:tc>
          <w:tcPr>
            <w:tcW w:w="2457" w:type="dxa"/>
            <w:vAlign w:val="center"/>
          </w:tcPr>
          <w:p w14:paraId="7619328D">
            <w:pPr>
              <w:widowControl/>
              <w:jc w:val="center"/>
              <w:rPr>
                <w:kern w:val="0"/>
                <w:sz w:val="20"/>
                <w:szCs w:val="20"/>
              </w:rPr>
            </w:pPr>
            <w:r>
              <w:rPr>
                <w:kern w:val="0"/>
                <w:sz w:val="20"/>
                <w:szCs w:val="20"/>
              </w:rPr>
              <w:t>悬停控制偏差试验</w:t>
            </w:r>
          </w:p>
        </w:tc>
        <w:tc>
          <w:tcPr>
            <w:tcW w:w="917" w:type="dxa"/>
            <w:vAlign w:val="center"/>
          </w:tcPr>
          <w:p w14:paraId="3FB5316D">
            <w:pPr>
              <w:widowControl/>
              <w:jc w:val="center"/>
              <w:rPr>
                <w:kern w:val="0"/>
                <w:sz w:val="20"/>
                <w:szCs w:val="20"/>
              </w:rPr>
            </w:pPr>
            <w:r>
              <w:rPr>
                <w:rFonts w:hint="eastAsia"/>
                <w:szCs w:val="21"/>
              </w:rPr>
              <w:t>6.3.6</w:t>
            </w:r>
          </w:p>
        </w:tc>
        <w:tc>
          <w:tcPr>
            <w:tcW w:w="960" w:type="dxa"/>
            <w:vAlign w:val="center"/>
          </w:tcPr>
          <w:p w14:paraId="2535F326">
            <w:pPr>
              <w:widowControl/>
              <w:jc w:val="center"/>
              <w:rPr>
                <w:kern w:val="0"/>
                <w:sz w:val="20"/>
                <w:szCs w:val="20"/>
              </w:rPr>
            </w:pPr>
            <w:r>
              <w:rPr>
                <w:sz w:val="16"/>
                <w:szCs w:val="16"/>
              </w:rPr>
              <w:t>●</w:t>
            </w:r>
          </w:p>
        </w:tc>
        <w:tc>
          <w:tcPr>
            <w:tcW w:w="845" w:type="dxa"/>
            <w:vAlign w:val="center"/>
          </w:tcPr>
          <w:p w14:paraId="21BDB666">
            <w:pPr>
              <w:widowControl/>
              <w:jc w:val="center"/>
              <w:rPr>
                <w:kern w:val="0"/>
                <w:sz w:val="20"/>
                <w:szCs w:val="20"/>
              </w:rPr>
            </w:pPr>
            <w:r>
              <w:rPr>
                <w:sz w:val="16"/>
                <w:szCs w:val="16"/>
              </w:rPr>
              <w:t>●</w:t>
            </w:r>
          </w:p>
        </w:tc>
        <w:tc>
          <w:tcPr>
            <w:tcW w:w="880" w:type="dxa"/>
            <w:vAlign w:val="center"/>
          </w:tcPr>
          <w:p w14:paraId="060B265F">
            <w:pPr>
              <w:widowControl/>
              <w:jc w:val="center"/>
              <w:rPr>
                <w:sz w:val="16"/>
                <w:szCs w:val="16"/>
              </w:rPr>
            </w:pPr>
            <w:r>
              <w:rPr>
                <w:sz w:val="16"/>
                <w:szCs w:val="16"/>
              </w:rPr>
              <w:t>●</w:t>
            </w:r>
          </w:p>
        </w:tc>
        <w:tc>
          <w:tcPr>
            <w:tcW w:w="880" w:type="dxa"/>
            <w:vAlign w:val="center"/>
          </w:tcPr>
          <w:p w14:paraId="74CBD0A4">
            <w:pPr>
              <w:widowControl/>
              <w:jc w:val="center"/>
              <w:rPr>
                <w:sz w:val="16"/>
                <w:szCs w:val="16"/>
              </w:rPr>
            </w:pPr>
            <w:r>
              <w:rPr>
                <w:sz w:val="16"/>
                <w:szCs w:val="16"/>
              </w:rPr>
              <w:t>●</w:t>
            </w:r>
          </w:p>
        </w:tc>
        <w:tc>
          <w:tcPr>
            <w:tcW w:w="880" w:type="dxa"/>
            <w:vAlign w:val="center"/>
          </w:tcPr>
          <w:p w14:paraId="4A102461">
            <w:pPr>
              <w:widowControl/>
              <w:jc w:val="center"/>
              <w:rPr>
                <w:sz w:val="16"/>
                <w:szCs w:val="16"/>
              </w:rPr>
            </w:pPr>
            <w:r>
              <w:rPr>
                <w:sz w:val="16"/>
                <w:szCs w:val="16"/>
              </w:rPr>
              <w:t>●</w:t>
            </w:r>
          </w:p>
        </w:tc>
      </w:tr>
      <w:tr w14:paraId="4E7AE7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61" w:hRule="atLeast"/>
          <w:jc w:val="center"/>
        </w:trPr>
        <w:tc>
          <w:tcPr>
            <w:tcW w:w="558" w:type="dxa"/>
            <w:vMerge w:val="continue"/>
            <w:vAlign w:val="center"/>
          </w:tcPr>
          <w:p w14:paraId="73597BE6">
            <w:pPr>
              <w:widowControl/>
              <w:jc w:val="center"/>
              <w:rPr>
                <w:kern w:val="0"/>
                <w:sz w:val="20"/>
                <w:szCs w:val="20"/>
              </w:rPr>
            </w:pPr>
          </w:p>
        </w:tc>
        <w:tc>
          <w:tcPr>
            <w:tcW w:w="970" w:type="dxa"/>
            <w:vMerge w:val="continue"/>
            <w:vAlign w:val="center"/>
          </w:tcPr>
          <w:p w14:paraId="4AF31A05">
            <w:pPr>
              <w:widowControl/>
              <w:jc w:val="center"/>
              <w:rPr>
                <w:kern w:val="0"/>
                <w:sz w:val="20"/>
                <w:szCs w:val="20"/>
              </w:rPr>
            </w:pPr>
          </w:p>
        </w:tc>
        <w:tc>
          <w:tcPr>
            <w:tcW w:w="2457" w:type="dxa"/>
            <w:vAlign w:val="center"/>
          </w:tcPr>
          <w:p w14:paraId="6B3A0835">
            <w:pPr>
              <w:widowControl/>
              <w:jc w:val="center"/>
              <w:rPr>
                <w:kern w:val="0"/>
                <w:sz w:val="20"/>
                <w:szCs w:val="20"/>
              </w:rPr>
            </w:pPr>
            <w:r>
              <w:rPr>
                <w:kern w:val="0"/>
                <w:sz w:val="20"/>
                <w:szCs w:val="20"/>
              </w:rPr>
              <w:t>机头重定向功能试验</w:t>
            </w:r>
          </w:p>
        </w:tc>
        <w:tc>
          <w:tcPr>
            <w:tcW w:w="917" w:type="dxa"/>
            <w:vAlign w:val="center"/>
          </w:tcPr>
          <w:p w14:paraId="2C59C3A7">
            <w:pPr>
              <w:widowControl/>
              <w:jc w:val="center"/>
              <w:rPr>
                <w:kern w:val="0"/>
                <w:sz w:val="20"/>
                <w:szCs w:val="20"/>
              </w:rPr>
            </w:pPr>
            <w:r>
              <w:rPr>
                <w:rFonts w:hint="eastAsia"/>
                <w:szCs w:val="21"/>
              </w:rPr>
              <w:t>6.3.7</w:t>
            </w:r>
          </w:p>
        </w:tc>
        <w:tc>
          <w:tcPr>
            <w:tcW w:w="960" w:type="dxa"/>
            <w:vAlign w:val="center"/>
          </w:tcPr>
          <w:p w14:paraId="0AB3B4D0">
            <w:pPr>
              <w:widowControl/>
              <w:jc w:val="center"/>
              <w:rPr>
                <w:kern w:val="0"/>
                <w:sz w:val="20"/>
                <w:szCs w:val="20"/>
              </w:rPr>
            </w:pPr>
            <w:r>
              <w:rPr>
                <w:sz w:val="16"/>
                <w:szCs w:val="16"/>
              </w:rPr>
              <w:t>●</w:t>
            </w:r>
          </w:p>
        </w:tc>
        <w:tc>
          <w:tcPr>
            <w:tcW w:w="845" w:type="dxa"/>
            <w:vAlign w:val="center"/>
          </w:tcPr>
          <w:p w14:paraId="2B2C4C8E">
            <w:pPr>
              <w:widowControl/>
              <w:jc w:val="center"/>
              <w:rPr>
                <w:kern w:val="0"/>
                <w:sz w:val="20"/>
                <w:szCs w:val="20"/>
              </w:rPr>
            </w:pPr>
            <w:r>
              <w:rPr>
                <w:sz w:val="16"/>
                <w:szCs w:val="16"/>
              </w:rPr>
              <w:t>●</w:t>
            </w:r>
          </w:p>
        </w:tc>
        <w:tc>
          <w:tcPr>
            <w:tcW w:w="880" w:type="dxa"/>
            <w:vAlign w:val="center"/>
          </w:tcPr>
          <w:p w14:paraId="5D81B7E1">
            <w:pPr>
              <w:widowControl/>
              <w:jc w:val="center"/>
              <w:rPr>
                <w:sz w:val="16"/>
                <w:szCs w:val="16"/>
              </w:rPr>
            </w:pPr>
            <w:r>
              <w:rPr>
                <w:sz w:val="16"/>
                <w:szCs w:val="16"/>
              </w:rPr>
              <w:t>●</w:t>
            </w:r>
          </w:p>
        </w:tc>
        <w:tc>
          <w:tcPr>
            <w:tcW w:w="880" w:type="dxa"/>
            <w:vAlign w:val="center"/>
          </w:tcPr>
          <w:p w14:paraId="547819D7">
            <w:pPr>
              <w:widowControl/>
              <w:jc w:val="center"/>
              <w:rPr>
                <w:sz w:val="16"/>
                <w:szCs w:val="16"/>
              </w:rPr>
            </w:pPr>
            <w:r>
              <w:rPr>
                <w:sz w:val="16"/>
                <w:szCs w:val="16"/>
              </w:rPr>
              <w:t>●</w:t>
            </w:r>
          </w:p>
        </w:tc>
        <w:tc>
          <w:tcPr>
            <w:tcW w:w="880" w:type="dxa"/>
            <w:vAlign w:val="center"/>
          </w:tcPr>
          <w:p w14:paraId="1E84248D">
            <w:pPr>
              <w:widowControl/>
              <w:jc w:val="center"/>
              <w:rPr>
                <w:sz w:val="16"/>
                <w:szCs w:val="16"/>
              </w:rPr>
            </w:pPr>
            <w:r>
              <w:rPr>
                <w:sz w:val="16"/>
                <w:szCs w:val="16"/>
              </w:rPr>
              <w:t>●</w:t>
            </w:r>
          </w:p>
        </w:tc>
      </w:tr>
      <w:tr w14:paraId="47E469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8" w:hRule="atLeast"/>
          <w:jc w:val="center"/>
        </w:trPr>
        <w:tc>
          <w:tcPr>
            <w:tcW w:w="558" w:type="dxa"/>
            <w:vMerge w:val="continue"/>
            <w:vAlign w:val="center"/>
          </w:tcPr>
          <w:p w14:paraId="5C188E61">
            <w:pPr>
              <w:widowControl/>
              <w:jc w:val="center"/>
              <w:rPr>
                <w:kern w:val="0"/>
                <w:sz w:val="20"/>
                <w:szCs w:val="20"/>
              </w:rPr>
            </w:pPr>
          </w:p>
        </w:tc>
        <w:tc>
          <w:tcPr>
            <w:tcW w:w="970" w:type="dxa"/>
            <w:vMerge w:val="continue"/>
            <w:vAlign w:val="center"/>
          </w:tcPr>
          <w:p w14:paraId="351B07D7">
            <w:pPr>
              <w:widowControl/>
              <w:jc w:val="center"/>
              <w:rPr>
                <w:kern w:val="0"/>
                <w:sz w:val="20"/>
                <w:szCs w:val="20"/>
              </w:rPr>
            </w:pPr>
          </w:p>
        </w:tc>
        <w:tc>
          <w:tcPr>
            <w:tcW w:w="2457" w:type="dxa"/>
            <w:vAlign w:val="center"/>
          </w:tcPr>
          <w:p w14:paraId="69088C75">
            <w:pPr>
              <w:widowControl/>
              <w:jc w:val="center"/>
              <w:rPr>
                <w:kern w:val="0"/>
                <w:sz w:val="20"/>
                <w:szCs w:val="20"/>
              </w:rPr>
            </w:pPr>
            <w:r>
              <w:rPr>
                <w:kern w:val="0"/>
                <w:sz w:val="20"/>
                <w:szCs w:val="20"/>
              </w:rPr>
              <w:t>一键返航功能试验</w:t>
            </w:r>
          </w:p>
        </w:tc>
        <w:tc>
          <w:tcPr>
            <w:tcW w:w="917" w:type="dxa"/>
            <w:vAlign w:val="center"/>
          </w:tcPr>
          <w:p w14:paraId="08015E0B">
            <w:pPr>
              <w:widowControl/>
              <w:jc w:val="center"/>
              <w:rPr>
                <w:kern w:val="0"/>
                <w:sz w:val="20"/>
                <w:szCs w:val="20"/>
              </w:rPr>
            </w:pPr>
            <w:r>
              <w:rPr>
                <w:rFonts w:hint="eastAsia"/>
                <w:szCs w:val="21"/>
              </w:rPr>
              <w:t>6.3.8</w:t>
            </w:r>
          </w:p>
        </w:tc>
        <w:tc>
          <w:tcPr>
            <w:tcW w:w="960" w:type="dxa"/>
            <w:vAlign w:val="center"/>
          </w:tcPr>
          <w:p w14:paraId="378170F0">
            <w:pPr>
              <w:widowControl/>
              <w:jc w:val="center"/>
              <w:rPr>
                <w:kern w:val="0"/>
                <w:sz w:val="20"/>
                <w:szCs w:val="20"/>
              </w:rPr>
            </w:pPr>
            <w:r>
              <w:rPr>
                <w:sz w:val="16"/>
                <w:szCs w:val="16"/>
              </w:rPr>
              <w:t>●</w:t>
            </w:r>
          </w:p>
        </w:tc>
        <w:tc>
          <w:tcPr>
            <w:tcW w:w="845" w:type="dxa"/>
            <w:vAlign w:val="center"/>
          </w:tcPr>
          <w:p w14:paraId="7BD66FB7">
            <w:pPr>
              <w:widowControl/>
              <w:jc w:val="center"/>
              <w:rPr>
                <w:kern w:val="0"/>
                <w:sz w:val="20"/>
                <w:szCs w:val="20"/>
              </w:rPr>
            </w:pPr>
            <w:r>
              <w:rPr>
                <w:sz w:val="16"/>
                <w:szCs w:val="16"/>
              </w:rPr>
              <w:t>●</w:t>
            </w:r>
          </w:p>
        </w:tc>
        <w:tc>
          <w:tcPr>
            <w:tcW w:w="880" w:type="dxa"/>
            <w:vAlign w:val="center"/>
          </w:tcPr>
          <w:p w14:paraId="6C88B916">
            <w:pPr>
              <w:widowControl/>
              <w:jc w:val="center"/>
              <w:rPr>
                <w:sz w:val="16"/>
                <w:szCs w:val="16"/>
              </w:rPr>
            </w:pPr>
            <w:r>
              <w:rPr>
                <w:sz w:val="16"/>
                <w:szCs w:val="16"/>
              </w:rPr>
              <w:t>●</w:t>
            </w:r>
          </w:p>
        </w:tc>
        <w:tc>
          <w:tcPr>
            <w:tcW w:w="880" w:type="dxa"/>
            <w:vAlign w:val="center"/>
          </w:tcPr>
          <w:p w14:paraId="543179B3">
            <w:pPr>
              <w:widowControl/>
              <w:jc w:val="center"/>
              <w:rPr>
                <w:sz w:val="16"/>
                <w:szCs w:val="16"/>
              </w:rPr>
            </w:pPr>
            <w:r>
              <w:rPr>
                <w:sz w:val="16"/>
                <w:szCs w:val="16"/>
              </w:rPr>
              <w:t>●</w:t>
            </w:r>
          </w:p>
        </w:tc>
        <w:tc>
          <w:tcPr>
            <w:tcW w:w="880" w:type="dxa"/>
            <w:vAlign w:val="center"/>
          </w:tcPr>
          <w:p w14:paraId="0916B9D9">
            <w:pPr>
              <w:widowControl/>
              <w:jc w:val="center"/>
              <w:rPr>
                <w:sz w:val="16"/>
                <w:szCs w:val="16"/>
              </w:rPr>
            </w:pPr>
            <w:r>
              <w:rPr>
                <w:sz w:val="16"/>
                <w:szCs w:val="16"/>
              </w:rPr>
              <w:t>●</w:t>
            </w:r>
          </w:p>
        </w:tc>
      </w:tr>
      <w:tr w14:paraId="28F777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6" w:hRule="atLeast"/>
          <w:jc w:val="center"/>
        </w:trPr>
        <w:tc>
          <w:tcPr>
            <w:tcW w:w="558" w:type="dxa"/>
            <w:vMerge w:val="continue"/>
            <w:vAlign w:val="center"/>
          </w:tcPr>
          <w:p w14:paraId="20C0E731">
            <w:pPr>
              <w:widowControl/>
              <w:jc w:val="center"/>
              <w:rPr>
                <w:kern w:val="0"/>
                <w:sz w:val="20"/>
                <w:szCs w:val="20"/>
              </w:rPr>
            </w:pPr>
          </w:p>
        </w:tc>
        <w:tc>
          <w:tcPr>
            <w:tcW w:w="970" w:type="dxa"/>
            <w:vMerge w:val="continue"/>
            <w:vAlign w:val="center"/>
          </w:tcPr>
          <w:p w14:paraId="237215D3">
            <w:pPr>
              <w:widowControl/>
              <w:jc w:val="center"/>
              <w:rPr>
                <w:kern w:val="0"/>
                <w:sz w:val="20"/>
                <w:szCs w:val="20"/>
              </w:rPr>
            </w:pPr>
          </w:p>
        </w:tc>
        <w:tc>
          <w:tcPr>
            <w:tcW w:w="2457" w:type="dxa"/>
            <w:vAlign w:val="center"/>
          </w:tcPr>
          <w:p w14:paraId="6ABBFD04">
            <w:pPr>
              <w:widowControl/>
              <w:jc w:val="center"/>
              <w:rPr>
                <w:kern w:val="0"/>
                <w:sz w:val="20"/>
                <w:szCs w:val="20"/>
              </w:rPr>
            </w:pPr>
            <w:r>
              <w:rPr>
                <w:kern w:val="0"/>
                <w:sz w:val="20"/>
                <w:szCs w:val="20"/>
              </w:rPr>
              <w:t>链路中断返航功能试验</w:t>
            </w:r>
          </w:p>
        </w:tc>
        <w:tc>
          <w:tcPr>
            <w:tcW w:w="917" w:type="dxa"/>
            <w:vAlign w:val="center"/>
          </w:tcPr>
          <w:p w14:paraId="48E67997">
            <w:pPr>
              <w:widowControl/>
              <w:jc w:val="center"/>
              <w:rPr>
                <w:kern w:val="0"/>
                <w:sz w:val="20"/>
                <w:szCs w:val="20"/>
              </w:rPr>
            </w:pPr>
            <w:r>
              <w:rPr>
                <w:rFonts w:hint="eastAsia"/>
                <w:szCs w:val="21"/>
              </w:rPr>
              <w:t>6.3.9</w:t>
            </w:r>
          </w:p>
        </w:tc>
        <w:tc>
          <w:tcPr>
            <w:tcW w:w="960" w:type="dxa"/>
            <w:vAlign w:val="center"/>
          </w:tcPr>
          <w:p w14:paraId="4CD3685A">
            <w:pPr>
              <w:widowControl/>
              <w:jc w:val="center"/>
              <w:rPr>
                <w:kern w:val="0"/>
                <w:sz w:val="20"/>
                <w:szCs w:val="20"/>
              </w:rPr>
            </w:pPr>
            <w:r>
              <w:rPr>
                <w:sz w:val="16"/>
                <w:szCs w:val="16"/>
              </w:rPr>
              <w:t>●</w:t>
            </w:r>
          </w:p>
        </w:tc>
        <w:tc>
          <w:tcPr>
            <w:tcW w:w="845" w:type="dxa"/>
            <w:vAlign w:val="center"/>
          </w:tcPr>
          <w:p w14:paraId="65571E02">
            <w:pPr>
              <w:widowControl/>
              <w:jc w:val="center"/>
              <w:rPr>
                <w:kern w:val="0"/>
                <w:sz w:val="20"/>
                <w:szCs w:val="20"/>
              </w:rPr>
            </w:pPr>
            <w:r>
              <w:rPr>
                <w:sz w:val="16"/>
                <w:szCs w:val="16"/>
              </w:rPr>
              <w:t>●</w:t>
            </w:r>
          </w:p>
        </w:tc>
        <w:tc>
          <w:tcPr>
            <w:tcW w:w="880" w:type="dxa"/>
            <w:vAlign w:val="center"/>
          </w:tcPr>
          <w:p w14:paraId="5A272058">
            <w:pPr>
              <w:widowControl/>
              <w:jc w:val="center"/>
              <w:rPr>
                <w:sz w:val="16"/>
                <w:szCs w:val="16"/>
              </w:rPr>
            </w:pPr>
            <w:r>
              <w:rPr>
                <w:sz w:val="16"/>
                <w:szCs w:val="16"/>
              </w:rPr>
              <w:t>●</w:t>
            </w:r>
          </w:p>
        </w:tc>
        <w:tc>
          <w:tcPr>
            <w:tcW w:w="880" w:type="dxa"/>
            <w:vAlign w:val="center"/>
          </w:tcPr>
          <w:p w14:paraId="2A10C635">
            <w:pPr>
              <w:widowControl/>
              <w:jc w:val="center"/>
              <w:rPr>
                <w:sz w:val="16"/>
                <w:szCs w:val="16"/>
              </w:rPr>
            </w:pPr>
            <w:r>
              <w:rPr>
                <w:sz w:val="16"/>
                <w:szCs w:val="16"/>
              </w:rPr>
              <w:t>●</w:t>
            </w:r>
          </w:p>
        </w:tc>
        <w:tc>
          <w:tcPr>
            <w:tcW w:w="880" w:type="dxa"/>
            <w:vAlign w:val="center"/>
          </w:tcPr>
          <w:p w14:paraId="6090AADB">
            <w:pPr>
              <w:widowControl/>
              <w:jc w:val="center"/>
              <w:rPr>
                <w:sz w:val="16"/>
                <w:szCs w:val="16"/>
              </w:rPr>
            </w:pPr>
            <w:r>
              <w:rPr>
                <w:sz w:val="16"/>
                <w:szCs w:val="16"/>
              </w:rPr>
              <w:t>●</w:t>
            </w:r>
          </w:p>
        </w:tc>
      </w:tr>
      <w:tr w14:paraId="7CCF01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6" w:hRule="atLeast"/>
          <w:jc w:val="center"/>
        </w:trPr>
        <w:tc>
          <w:tcPr>
            <w:tcW w:w="558" w:type="dxa"/>
            <w:vMerge w:val="continue"/>
            <w:vAlign w:val="center"/>
          </w:tcPr>
          <w:p w14:paraId="38C2017E">
            <w:pPr>
              <w:widowControl/>
              <w:jc w:val="center"/>
              <w:rPr>
                <w:kern w:val="0"/>
                <w:sz w:val="20"/>
                <w:szCs w:val="20"/>
              </w:rPr>
            </w:pPr>
          </w:p>
        </w:tc>
        <w:tc>
          <w:tcPr>
            <w:tcW w:w="970" w:type="dxa"/>
            <w:vMerge w:val="continue"/>
            <w:vAlign w:val="center"/>
          </w:tcPr>
          <w:p w14:paraId="05C0128C">
            <w:pPr>
              <w:widowControl/>
              <w:jc w:val="center"/>
              <w:rPr>
                <w:kern w:val="0"/>
                <w:sz w:val="20"/>
                <w:szCs w:val="20"/>
              </w:rPr>
            </w:pPr>
          </w:p>
        </w:tc>
        <w:tc>
          <w:tcPr>
            <w:tcW w:w="2457" w:type="dxa"/>
            <w:vAlign w:val="center"/>
          </w:tcPr>
          <w:p w14:paraId="34943B2F">
            <w:pPr>
              <w:widowControl/>
              <w:jc w:val="center"/>
              <w:rPr>
                <w:kern w:val="0"/>
                <w:sz w:val="20"/>
                <w:szCs w:val="20"/>
              </w:rPr>
            </w:pPr>
            <w:r>
              <w:rPr>
                <w:kern w:val="0"/>
                <w:sz w:val="20"/>
                <w:szCs w:val="20"/>
              </w:rPr>
              <w:t>飞行区域限制功能试验</w:t>
            </w:r>
          </w:p>
        </w:tc>
        <w:tc>
          <w:tcPr>
            <w:tcW w:w="917" w:type="dxa"/>
            <w:vAlign w:val="center"/>
          </w:tcPr>
          <w:p w14:paraId="35AF4800">
            <w:pPr>
              <w:widowControl/>
              <w:jc w:val="center"/>
              <w:rPr>
                <w:kern w:val="0"/>
                <w:sz w:val="20"/>
                <w:szCs w:val="20"/>
              </w:rPr>
            </w:pPr>
            <w:r>
              <w:rPr>
                <w:rFonts w:hint="eastAsia"/>
                <w:szCs w:val="21"/>
              </w:rPr>
              <w:t>6.3.10</w:t>
            </w:r>
          </w:p>
        </w:tc>
        <w:tc>
          <w:tcPr>
            <w:tcW w:w="960" w:type="dxa"/>
            <w:vAlign w:val="center"/>
          </w:tcPr>
          <w:p w14:paraId="2069FE3F">
            <w:pPr>
              <w:widowControl/>
              <w:jc w:val="center"/>
              <w:rPr>
                <w:kern w:val="0"/>
                <w:sz w:val="20"/>
                <w:szCs w:val="20"/>
              </w:rPr>
            </w:pPr>
            <w:r>
              <w:rPr>
                <w:sz w:val="16"/>
                <w:szCs w:val="16"/>
              </w:rPr>
              <w:t>●</w:t>
            </w:r>
          </w:p>
        </w:tc>
        <w:tc>
          <w:tcPr>
            <w:tcW w:w="845" w:type="dxa"/>
            <w:vAlign w:val="center"/>
          </w:tcPr>
          <w:p w14:paraId="1D4B6CFD">
            <w:pPr>
              <w:widowControl/>
              <w:jc w:val="center"/>
              <w:rPr>
                <w:kern w:val="0"/>
                <w:sz w:val="20"/>
                <w:szCs w:val="20"/>
              </w:rPr>
            </w:pPr>
            <w:r>
              <w:rPr>
                <w:sz w:val="16"/>
                <w:szCs w:val="16"/>
              </w:rPr>
              <w:t>●</w:t>
            </w:r>
          </w:p>
        </w:tc>
        <w:tc>
          <w:tcPr>
            <w:tcW w:w="880" w:type="dxa"/>
            <w:vAlign w:val="center"/>
          </w:tcPr>
          <w:p w14:paraId="71A0DEEE">
            <w:pPr>
              <w:widowControl/>
              <w:jc w:val="center"/>
              <w:rPr>
                <w:sz w:val="16"/>
                <w:szCs w:val="16"/>
              </w:rPr>
            </w:pPr>
            <w:r>
              <w:rPr>
                <w:sz w:val="16"/>
                <w:szCs w:val="16"/>
              </w:rPr>
              <w:t>●</w:t>
            </w:r>
          </w:p>
        </w:tc>
        <w:tc>
          <w:tcPr>
            <w:tcW w:w="880" w:type="dxa"/>
            <w:vAlign w:val="center"/>
          </w:tcPr>
          <w:p w14:paraId="43953311">
            <w:pPr>
              <w:widowControl/>
              <w:jc w:val="center"/>
              <w:rPr>
                <w:sz w:val="16"/>
                <w:szCs w:val="16"/>
              </w:rPr>
            </w:pPr>
            <w:r>
              <w:rPr>
                <w:sz w:val="16"/>
                <w:szCs w:val="16"/>
              </w:rPr>
              <w:t>●</w:t>
            </w:r>
          </w:p>
        </w:tc>
        <w:tc>
          <w:tcPr>
            <w:tcW w:w="880" w:type="dxa"/>
            <w:vAlign w:val="center"/>
          </w:tcPr>
          <w:p w14:paraId="4DD4EE83">
            <w:pPr>
              <w:widowControl/>
              <w:jc w:val="center"/>
              <w:rPr>
                <w:sz w:val="16"/>
                <w:szCs w:val="16"/>
              </w:rPr>
            </w:pPr>
            <w:r>
              <w:rPr>
                <w:sz w:val="16"/>
                <w:szCs w:val="16"/>
              </w:rPr>
              <w:t>●</w:t>
            </w:r>
          </w:p>
        </w:tc>
      </w:tr>
      <w:tr w14:paraId="24C81F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1" w:hRule="atLeast"/>
          <w:jc w:val="center"/>
        </w:trPr>
        <w:tc>
          <w:tcPr>
            <w:tcW w:w="558" w:type="dxa"/>
            <w:vMerge w:val="continue"/>
            <w:vAlign w:val="center"/>
          </w:tcPr>
          <w:p w14:paraId="2C7ADED4">
            <w:pPr>
              <w:widowControl/>
              <w:jc w:val="center"/>
              <w:rPr>
                <w:kern w:val="0"/>
                <w:sz w:val="20"/>
                <w:szCs w:val="20"/>
              </w:rPr>
            </w:pPr>
          </w:p>
        </w:tc>
        <w:tc>
          <w:tcPr>
            <w:tcW w:w="970" w:type="dxa"/>
            <w:vMerge w:val="continue"/>
            <w:vAlign w:val="center"/>
          </w:tcPr>
          <w:p w14:paraId="00C340D0">
            <w:pPr>
              <w:widowControl/>
              <w:jc w:val="center"/>
              <w:rPr>
                <w:kern w:val="0"/>
                <w:sz w:val="20"/>
                <w:szCs w:val="20"/>
              </w:rPr>
            </w:pPr>
          </w:p>
        </w:tc>
        <w:tc>
          <w:tcPr>
            <w:tcW w:w="2457" w:type="dxa"/>
            <w:vAlign w:val="center"/>
          </w:tcPr>
          <w:p w14:paraId="5D9A1E36">
            <w:pPr>
              <w:widowControl/>
              <w:jc w:val="center"/>
              <w:rPr>
                <w:kern w:val="0"/>
                <w:sz w:val="20"/>
                <w:szCs w:val="20"/>
              </w:rPr>
            </w:pPr>
            <w:r>
              <w:rPr>
                <w:kern w:val="0"/>
                <w:sz w:val="20"/>
                <w:szCs w:val="20"/>
              </w:rPr>
              <w:t>低电压报警功能试验</w:t>
            </w:r>
          </w:p>
        </w:tc>
        <w:tc>
          <w:tcPr>
            <w:tcW w:w="917" w:type="dxa"/>
            <w:vAlign w:val="center"/>
          </w:tcPr>
          <w:p w14:paraId="7C85F5BA">
            <w:pPr>
              <w:widowControl/>
              <w:jc w:val="center"/>
              <w:rPr>
                <w:kern w:val="0"/>
                <w:sz w:val="20"/>
                <w:szCs w:val="20"/>
              </w:rPr>
            </w:pPr>
            <w:r>
              <w:rPr>
                <w:rFonts w:hint="eastAsia"/>
                <w:szCs w:val="21"/>
              </w:rPr>
              <w:t>6.3.11</w:t>
            </w:r>
          </w:p>
        </w:tc>
        <w:tc>
          <w:tcPr>
            <w:tcW w:w="960" w:type="dxa"/>
            <w:vAlign w:val="center"/>
          </w:tcPr>
          <w:p w14:paraId="3A30CC65">
            <w:pPr>
              <w:widowControl/>
              <w:jc w:val="center"/>
              <w:rPr>
                <w:kern w:val="0"/>
                <w:sz w:val="20"/>
                <w:szCs w:val="20"/>
              </w:rPr>
            </w:pPr>
            <w:r>
              <w:rPr>
                <w:sz w:val="16"/>
                <w:szCs w:val="16"/>
              </w:rPr>
              <w:t>●</w:t>
            </w:r>
          </w:p>
        </w:tc>
        <w:tc>
          <w:tcPr>
            <w:tcW w:w="845" w:type="dxa"/>
            <w:vAlign w:val="center"/>
          </w:tcPr>
          <w:p w14:paraId="7D1E00DA">
            <w:pPr>
              <w:widowControl/>
              <w:jc w:val="center"/>
              <w:rPr>
                <w:kern w:val="0"/>
                <w:sz w:val="20"/>
                <w:szCs w:val="20"/>
              </w:rPr>
            </w:pPr>
            <w:r>
              <w:rPr>
                <w:sz w:val="16"/>
                <w:szCs w:val="16"/>
              </w:rPr>
              <w:t>●</w:t>
            </w:r>
          </w:p>
        </w:tc>
        <w:tc>
          <w:tcPr>
            <w:tcW w:w="880" w:type="dxa"/>
            <w:vAlign w:val="center"/>
          </w:tcPr>
          <w:p w14:paraId="031393F3">
            <w:pPr>
              <w:widowControl/>
              <w:jc w:val="center"/>
              <w:rPr>
                <w:sz w:val="16"/>
                <w:szCs w:val="16"/>
              </w:rPr>
            </w:pPr>
            <w:r>
              <w:rPr>
                <w:sz w:val="16"/>
                <w:szCs w:val="16"/>
              </w:rPr>
              <w:t>●</w:t>
            </w:r>
          </w:p>
        </w:tc>
        <w:tc>
          <w:tcPr>
            <w:tcW w:w="880" w:type="dxa"/>
            <w:vAlign w:val="center"/>
          </w:tcPr>
          <w:p w14:paraId="211F825C">
            <w:pPr>
              <w:widowControl/>
              <w:jc w:val="center"/>
              <w:rPr>
                <w:sz w:val="16"/>
                <w:szCs w:val="16"/>
              </w:rPr>
            </w:pPr>
            <w:r>
              <w:rPr>
                <w:sz w:val="16"/>
                <w:szCs w:val="16"/>
              </w:rPr>
              <w:t>●</w:t>
            </w:r>
          </w:p>
        </w:tc>
        <w:tc>
          <w:tcPr>
            <w:tcW w:w="880" w:type="dxa"/>
            <w:vAlign w:val="center"/>
          </w:tcPr>
          <w:p w14:paraId="50D8B5ED">
            <w:pPr>
              <w:widowControl/>
              <w:jc w:val="center"/>
              <w:rPr>
                <w:sz w:val="16"/>
                <w:szCs w:val="16"/>
              </w:rPr>
            </w:pPr>
            <w:r>
              <w:rPr>
                <w:sz w:val="16"/>
                <w:szCs w:val="16"/>
              </w:rPr>
              <w:t>●</w:t>
            </w:r>
          </w:p>
        </w:tc>
      </w:tr>
      <w:tr w14:paraId="4277BA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3" w:hRule="atLeast"/>
          <w:jc w:val="center"/>
        </w:trPr>
        <w:tc>
          <w:tcPr>
            <w:tcW w:w="558" w:type="dxa"/>
            <w:vMerge w:val="continue"/>
            <w:vAlign w:val="center"/>
          </w:tcPr>
          <w:p w14:paraId="2C7D0D2E">
            <w:pPr>
              <w:widowControl/>
              <w:jc w:val="center"/>
              <w:rPr>
                <w:kern w:val="0"/>
                <w:sz w:val="20"/>
                <w:szCs w:val="20"/>
              </w:rPr>
            </w:pPr>
          </w:p>
        </w:tc>
        <w:tc>
          <w:tcPr>
            <w:tcW w:w="970" w:type="dxa"/>
            <w:vMerge w:val="continue"/>
            <w:vAlign w:val="center"/>
          </w:tcPr>
          <w:p w14:paraId="546F67E4">
            <w:pPr>
              <w:widowControl/>
              <w:jc w:val="center"/>
              <w:rPr>
                <w:kern w:val="0"/>
                <w:sz w:val="20"/>
                <w:szCs w:val="20"/>
              </w:rPr>
            </w:pPr>
          </w:p>
        </w:tc>
        <w:tc>
          <w:tcPr>
            <w:tcW w:w="2457" w:type="dxa"/>
            <w:vAlign w:val="center"/>
          </w:tcPr>
          <w:p w14:paraId="50F168EC">
            <w:pPr>
              <w:widowControl/>
              <w:jc w:val="center"/>
              <w:rPr>
                <w:kern w:val="0"/>
                <w:sz w:val="20"/>
                <w:szCs w:val="20"/>
              </w:rPr>
            </w:pPr>
            <w:r>
              <w:rPr>
                <w:kern w:val="0"/>
                <w:sz w:val="20"/>
                <w:szCs w:val="20"/>
              </w:rPr>
              <w:t>位置追踪功能试验</w:t>
            </w:r>
          </w:p>
        </w:tc>
        <w:tc>
          <w:tcPr>
            <w:tcW w:w="917" w:type="dxa"/>
            <w:vAlign w:val="center"/>
          </w:tcPr>
          <w:p w14:paraId="5853106E">
            <w:pPr>
              <w:widowControl/>
              <w:jc w:val="center"/>
              <w:rPr>
                <w:kern w:val="0"/>
                <w:sz w:val="20"/>
                <w:szCs w:val="20"/>
              </w:rPr>
            </w:pPr>
            <w:r>
              <w:rPr>
                <w:rFonts w:hint="eastAsia"/>
                <w:szCs w:val="21"/>
              </w:rPr>
              <w:t>6.3.12</w:t>
            </w:r>
          </w:p>
        </w:tc>
        <w:tc>
          <w:tcPr>
            <w:tcW w:w="960" w:type="dxa"/>
            <w:vAlign w:val="center"/>
          </w:tcPr>
          <w:p w14:paraId="05AA3EFB">
            <w:pPr>
              <w:widowControl/>
              <w:jc w:val="center"/>
              <w:rPr>
                <w:kern w:val="0"/>
                <w:sz w:val="20"/>
                <w:szCs w:val="20"/>
              </w:rPr>
            </w:pPr>
            <w:r>
              <w:rPr>
                <w:sz w:val="16"/>
                <w:szCs w:val="16"/>
              </w:rPr>
              <w:t>●</w:t>
            </w:r>
          </w:p>
        </w:tc>
        <w:tc>
          <w:tcPr>
            <w:tcW w:w="845" w:type="dxa"/>
            <w:vAlign w:val="center"/>
          </w:tcPr>
          <w:p w14:paraId="6F3ECFB0">
            <w:pPr>
              <w:widowControl/>
              <w:jc w:val="center"/>
              <w:rPr>
                <w:kern w:val="0"/>
                <w:sz w:val="20"/>
                <w:szCs w:val="20"/>
              </w:rPr>
            </w:pPr>
            <w:r>
              <w:rPr>
                <w:sz w:val="16"/>
                <w:szCs w:val="16"/>
              </w:rPr>
              <w:t>●</w:t>
            </w:r>
          </w:p>
        </w:tc>
        <w:tc>
          <w:tcPr>
            <w:tcW w:w="880" w:type="dxa"/>
            <w:vAlign w:val="center"/>
          </w:tcPr>
          <w:p w14:paraId="57B28F18">
            <w:pPr>
              <w:widowControl/>
              <w:jc w:val="center"/>
              <w:rPr>
                <w:sz w:val="16"/>
                <w:szCs w:val="16"/>
              </w:rPr>
            </w:pPr>
            <w:r>
              <w:rPr>
                <w:sz w:val="16"/>
                <w:szCs w:val="16"/>
              </w:rPr>
              <w:t>●</w:t>
            </w:r>
          </w:p>
        </w:tc>
        <w:tc>
          <w:tcPr>
            <w:tcW w:w="880" w:type="dxa"/>
            <w:vAlign w:val="center"/>
          </w:tcPr>
          <w:p w14:paraId="782864CE">
            <w:pPr>
              <w:widowControl/>
              <w:jc w:val="center"/>
              <w:rPr>
                <w:sz w:val="16"/>
                <w:szCs w:val="16"/>
              </w:rPr>
            </w:pPr>
            <w:r>
              <w:rPr>
                <w:sz w:val="16"/>
                <w:szCs w:val="16"/>
              </w:rPr>
              <w:t>●</w:t>
            </w:r>
          </w:p>
        </w:tc>
        <w:tc>
          <w:tcPr>
            <w:tcW w:w="880" w:type="dxa"/>
            <w:vAlign w:val="center"/>
          </w:tcPr>
          <w:p w14:paraId="40B031EA">
            <w:pPr>
              <w:widowControl/>
              <w:jc w:val="center"/>
              <w:rPr>
                <w:sz w:val="16"/>
                <w:szCs w:val="16"/>
              </w:rPr>
            </w:pPr>
            <w:r>
              <w:rPr>
                <w:sz w:val="16"/>
                <w:szCs w:val="16"/>
              </w:rPr>
              <w:t>●</w:t>
            </w:r>
          </w:p>
        </w:tc>
      </w:tr>
      <w:tr w14:paraId="74D01E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3" w:hRule="atLeast"/>
          <w:jc w:val="center"/>
        </w:trPr>
        <w:tc>
          <w:tcPr>
            <w:tcW w:w="558" w:type="dxa"/>
            <w:vMerge w:val="continue"/>
            <w:vAlign w:val="center"/>
          </w:tcPr>
          <w:p w14:paraId="0630CD5F">
            <w:pPr>
              <w:widowControl/>
              <w:jc w:val="center"/>
              <w:rPr>
                <w:kern w:val="0"/>
                <w:sz w:val="20"/>
                <w:szCs w:val="20"/>
              </w:rPr>
            </w:pPr>
          </w:p>
        </w:tc>
        <w:tc>
          <w:tcPr>
            <w:tcW w:w="970" w:type="dxa"/>
            <w:vMerge w:val="continue"/>
            <w:vAlign w:val="center"/>
          </w:tcPr>
          <w:p w14:paraId="194357C2">
            <w:pPr>
              <w:widowControl/>
              <w:jc w:val="center"/>
              <w:rPr>
                <w:kern w:val="0"/>
                <w:sz w:val="20"/>
                <w:szCs w:val="20"/>
              </w:rPr>
            </w:pPr>
          </w:p>
        </w:tc>
        <w:tc>
          <w:tcPr>
            <w:tcW w:w="2457" w:type="dxa"/>
            <w:vAlign w:val="center"/>
          </w:tcPr>
          <w:p w14:paraId="478A6154">
            <w:pPr>
              <w:widowControl/>
              <w:jc w:val="center"/>
              <w:rPr>
                <w:kern w:val="0"/>
                <w:sz w:val="20"/>
                <w:szCs w:val="20"/>
              </w:rPr>
            </w:pPr>
            <w:r>
              <w:rPr>
                <w:kern w:val="0"/>
                <w:sz w:val="20"/>
                <w:szCs w:val="20"/>
              </w:rPr>
              <w:t>拍照功能试验</w:t>
            </w:r>
          </w:p>
        </w:tc>
        <w:tc>
          <w:tcPr>
            <w:tcW w:w="917" w:type="dxa"/>
            <w:vAlign w:val="center"/>
          </w:tcPr>
          <w:p w14:paraId="22C4A1AB">
            <w:pPr>
              <w:widowControl/>
              <w:jc w:val="center"/>
              <w:rPr>
                <w:kern w:val="0"/>
                <w:sz w:val="20"/>
                <w:szCs w:val="20"/>
              </w:rPr>
            </w:pPr>
            <w:r>
              <w:rPr>
                <w:rFonts w:hint="eastAsia"/>
                <w:szCs w:val="21"/>
              </w:rPr>
              <w:t>6.3.13</w:t>
            </w:r>
          </w:p>
        </w:tc>
        <w:tc>
          <w:tcPr>
            <w:tcW w:w="960" w:type="dxa"/>
            <w:vAlign w:val="center"/>
          </w:tcPr>
          <w:p w14:paraId="6C7AE1E7">
            <w:pPr>
              <w:widowControl/>
              <w:jc w:val="center"/>
              <w:rPr>
                <w:kern w:val="0"/>
                <w:sz w:val="20"/>
                <w:szCs w:val="20"/>
              </w:rPr>
            </w:pPr>
            <w:r>
              <w:rPr>
                <w:sz w:val="16"/>
                <w:szCs w:val="16"/>
              </w:rPr>
              <w:t>●</w:t>
            </w:r>
          </w:p>
        </w:tc>
        <w:tc>
          <w:tcPr>
            <w:tcW w:w="845" w:type="dxa"/>
            <w:vAlign w:val="center"/>
          </w:tcPr>
          <w:p w14:paraId="41395161">
            <w:pPr>
              <w:widowControl/>
              <w:jc w:val="center"/>
              <w:rPr>
                <w:kern w:val="0"/>
                <w:sz w:val="20"/>
                <w:szCs w:val="20"/>
              </w:rPr>
            </w:pPr>
            <w:r>
              <w:rPr>
                <w:b/>
                <w:sz w:val="16"/>
                <w:szCs w:val="16"/>
              </w:rPr>
              <w:t>○</w:t>
            </w:r>
          </w:p>
        </w:tc>
        <w:tc>
          <w:tcPr>
            <w:tcW w:w="880" w:type="dxa"/>
            <w:vAlign w:val="center"/>
          </w:tcPr>
          <w:p w14:paraId="4EF3D6D2">
            <w:pPr>
              <w:widowControl/>
              <w:jc w:val="center"/>
              <w:rPr>
                <w:sz w:val="16"/>
                <w:szCs w:val="16"/>
              </w:rPr>
            </w:pPr>
            <w:r>
              <w:rPr>
                <w:sz w:val="16"/>
                <w:szCs w:val="16"/>
              </w:rPr>
              <w:t>●</w:t>
            </w:r>
          </w:p>
        </w:tc>
        <w:tc>
          <w:tcPr>
            <w:tcW w:w="880" w:type="dxa"/>
            <w:vAlign w:val="center"/>
          </w:tcPr>
          <w:p w14:paraId="7B85154B">
            <w:pPr>
              <w:widowControl/>
              <w:jc w:val="center"/>
              <w:rPr>
                <w:sz w:val="16"/>
                <w:szCs w:val="16"/>
              </w:rPr>
            </w:pPr>
            <w:r>
              <w:rPr>
                <w:sz w:val="16"/>
                <w:szCs w:val="16"/>
              </w:rPr>
              <w:t>●</w:t>
            </w:r>
          </w:p>
        </w:tc>
        <w:tc>
          <w:tcPr>
            <w:tcW w:w="880" w:type="dxa"/>
            <w:vAlign w:val="center"/>
          </w:tcPr>
          <w:p w14:paraId="3B8EEABD">
            <w:pPr>
              <w:widowControl/>
              <w:jc w:val="center"/>
              <w:rPr>
                <w:sz w:val="16"/>
                <w:szCs w:val="16"/>
              </w:rPr>
            </w:pPr>
            <w:r>
              <w:rPr>
                <w:sz w:val="16"/>
                <w:szCs w:val="16"/>
              </w:rPr>
              <w:t>●</w:t>
            </w:r>
          </w:p>
        </w:tc>
      </w:tr>
      <w:tr w14:paraId="66A03C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3" w:hRule="atLeast"/>
          <w:jc w:val="center"/>
        </w:trPr>
        <w:tc>
          <w:tcPr>
            <w:tcW w:w="558" w:type="dxa"/>
            <w:vMerge w:val="continue"/>
            <w:vAlign w:val="center"/>
          </w:tcPr>
          <w:p w14:paraId="6F27D21B">
            <w:pPr>
              <w:widowControl/>
              <w:jc w:val="center"/>
              <w:rPr>
                <w:kern w:val="0"/>
                <w:sz w:val="20"/>
                <w:szCs w:val="20"/>
              </w:rPr>
            </w:pPr>
          </w:p>
        </w:tc>
        <w:tc>
          <w:tcPr>
            <w:tcW w:w="970" w:type="dxa"/>
            <w:vMerge w:val="continue"/>
            <w:vAlign w:val="center"/>
          </w:tcPr>
          <w:p w14:paraId="65B43723">
            <w:pPr>
              <w:widowControl/>
              <w:jc w:val="center"/>
              <w:rPr>
                <w:kern w:val="0"/>
                <w:sz w:val="20"/>
                <w:szCs w:val="20"/>
              </w:rPr>
            </w:pPr>
          </w:p>
        </w:tc>
        <w:tc>
          <w:tcPr>
            <w:tcW w:w="2457" w:type="dxa"/>
            <w:vAlign w:val="center"/>
          </w:tcPr>
          <w:p w14:paraId="4DB4381E">
            <w:pPr>
              <w:widowControl/>
              <w:jc w:val="center"/>
              <w:rPr>
                <w:kern w:val="0"/>
                <w:sz w:val="20"/>
                <w:szCs w:val="20"/>
              </w:rPr>
            </w:pPr>
            <w:r>
              <w:rPr>
                <w:kern w:val="0"/>
                <w:sz w:val="20"/>
                <w:szCs w:val="20"/>
              </w:rPr>
              <w:t>转动功能试验</w:t>
            </w:r>
          </w:p>
        </w:tc>
        <w:tc>
          <w:tcPr>
            <w:tcW w:w="917" w:type="dxa"/>
            <w:vAlign w:val="center"/>
          </w:tcPr>
          <w:p w14:paraId="15D9C126">
            <w:pPr>
              <w:widowControl/>
              <w:jc w:val="center"/>
              <w:rPr>
                <w:kern w:val="0"/>
                <w:sz w:val="20"/>
                <w:szCs w:val="20"/>
              </w:rPr>
            </w:pPr>
            <w:r>
              <w:rPr>
                <w:rFonts w:hint="eastAsia"/>
                <w:szCs w:val="21"/>
              </w:rPr>
              <w:t>6.3.14</w:t>
            </w:r>
          </w:p>
        </w:tc>
        <w:tc>
          <w:tcPr>
            <w:tcW w:w="960" w:type="dxa"/>
            <w:vAlign w:val="center"/>
          </w:tcPr>
          <w:p w14:paraId="5DD39802">
            <w:pPr>
              <w:widowControl/>
              <w:jc w:val="center"/>
              <w:rPr>
                <w:kern w:val="0"/>
                <w:sz w:val="20"/>
                <w:szCs w:val="20"/>
              </w:rPr>
            </w:pPr>
            <w:r>
              <w:rPr>
                <w:sz w:val="16"/>
                <w:szCs w:val="16"/>
              </w:rPr>
              <w:t>●</w:t>
            </w:r>
          </w:p>
        </w:tc>
        <w:tc>
          <w:tcPr>
            <w:tcW w:w="845" w:type="dxa"/>
            <w:vAlign w:val="center"/>
          </w:tcPr>
          <w:p w14:paraId="197B7054">
            <w:pPr>
              <w:widowControl/>
              <w:jc w:val="center"/>
              <w:rPr>
                <w:kern w:val="0"/>
                <w:sz w:val="20"/>
                <w:szCs w:val="20"/>
              </w:rPr>
            </w:pPr>
            <w:r>
              <w:rPr>
                <w:b/>
                <w:sz w:val="16"/>
                <w:szCs w:val="16"/>
              </w:rPr>
              <w:t>○</w:t>
            </w:r>
          </w:p>
        </w:tc>
        <w:tc>
          <w:tcPr>
            <w:tcW w:w="880" w:type="dxa"/>
            <w:vAlign w:val="center"/>
          </w:tcPr>
          <w:p w14:paraId="2F90F3B3">
            <w:pPr>
              <w:widowControl/>
              <w:jc w:val="center"/>
              <w:rPr>
                <w:sz w:val="16"/>
                <w:szCs w:val="16"/>
              </w:rPr>
            </w:pPr>
            <w:r>
              <w:rPr>
                <w:sz w:val="16"/>
                <w:szCs w:val="16"/>
              </w:rPr>
              <w:t>●</w:t>
            </w:r>
          </w:p>
        </w:tc>
        <w:tc>
          <w:tcPr>
            <w:tcW w:w="880" w:type="dxa"/>
            <w:vAlign w:val="center"/>
          </w:tcPr>
          <w:p w14:paraId="66E1E1CE">
            <w:pPr>
              <w:widowControl/>
              <w:jc w:val="center"/>
              <w:rPr>
                <w:sz w:val="16"/>
                <w:szCs w:val="16"/>
              </w:rPr>
            </w:pPr>
            <w:r>
              <w:rPr>
                <w:sz w:val="16"/>
                <w:szCs w:val="16"/>
              </w:rPr>
              <w:t>●</w:t>
            </w:r>
          </w:p>
        </w:tc>
        <w:tc>
          <w:tcPr>
            <w:tcW w:w="880" w:type="dxa"/>
            <w:vAlign w:val="center"/>
          </w:tcPr>
          <w:p w14:paraId="02A09C7E">
            <w:pPr>
              <w:widowControl/>
              <w:jc w:val="center"/>
              <w:rPr>
                <w:sz w:val="16"/>
                <w:szCs w:val="16"/>
              </w:rPr>
            </w:pPr>
            <w:r>
              <w:rPr>
                <w:sz w:val="16"/>
                <w:szCs w:val="16"/>
              </w:rPr>
              <w:t>●</w:t>
            </w:r>
          </w:p>
        </w:tc>
      </w:tr>
      <w:tr w14:paraId="22155A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8" w:hRule="atLeast"/>
          <w:jc w:val="center"/>
        </w:trPr>
        <w:tc>
          <w:tcPr>
            <w:tcW w:w="558" w:type="dxa"/>
            <w:vMerge w:val="continue"/>
            <w:vAlign w:val="center"/>
          </w:tcPr>
          <w:p w14:paraId="2C3EEE13">
            <w:pPr>
              <w:widowControl/>
              <w:jc w:val="center"/>
              <w:rPr>
                <w:kern w:val="0"/>
                <w:sz w:val="20"/>
                <w:szCs w:val="20"/>
              </w:rPr>
            </w:pPr>
          </w:p>
        </w:tc>
        <w:tc>
          <w:tcPr>
            <w:tcW w:w="970" w:type="dxa"/>
            <w:vMerge w:val="continue"/>
            <w:vAlign w:val="center"/>
          </w:tcPr>
          <w:p w14:paraId="05401005">
            <w:pPr>
              <w:widowControl/>
              <w:jc w:val="center"/>
              <w:rPr>
                <w:kern w:val="0"/>
                <w:sz w:val="20"/>
                <w:szCs w:val="20"/>
              </w:rPr>
            </w:pPr>
          </w:p>
        </w:tc>
        <w:tc>
          <w:tcPr>
            <w:tcW w:w="2457" w:type="dxa"/>
            <w:vAlign w:val="center"/>
          </w:tcPr>
          <w:p w14:paraId="05B33D60">
            <w:pPr>
              <w:widowControl/>
              <w:jc w:val="center"/>
              <w:rPr>
                <w:kern w:val="0"/>
                <w:sz w:val="20"/>
                <w:szCs w:val="20"/>
              </w:rPr>
            </w:pPr>
            <w:r>
              <w:rPr>
                <w:kern w:val="0"/>
                <w:sz w:val="20"/>
                <w:szCs w:val="20"/>
              </w:rPr>
              <w:t>稳像精度试验</w:t>
            </w:r>
          </w:p>
        </w:tc>
        <w:tc>
          <w:tcPr>
            <w:tcW w:w="917" w:type="dxa"/>
            <w:vAlign w:val="center"/>
          </w:tcPr>
          <w:p w14:paraId="48465022">
            <w:pPr>
              <w:widowControl/>
              <w:jc w:val="center"/>
              <w:rPr>
                <w:kern w:val="0"/>
                <w:sz w:val="20"/>
                <w:szCs w:val="20"/>
              </w:rPr>
            </w:pPr>
            <w:r>
              <w:rPr>
                <w:rFonts w:hint="eastAsia"/>
                <w:szCs w:val="21"/>
              </w:rPr>
              <w:t>6.3.15</w:t>
            </w:r>
          </w:p>
        </w:tc>
        <w:tc>
          <w:tcPr>
            <w:tcW w:w="960" w:type="dxa"/>
            <w:vAlign w:val="center"/>
          </w:tcPr>
          <w:p w14:paraId="4C7D1466">
            <w:pPr>
              <w:widowControl/>
              <w:jc w:val="center"/>
              <w:rPr>
                <w:kern w:val="0"/>
                <w:sz w:val="20"/>
                <w:szCs w:val="20"/>
              </w:rPr>
            </w:pPr>
            <w:r>
              <w:rPr>
                <w:sz w:val="16"/>
                <w:szCs w:val="16"/>
              </w:rPr>
              <w:t>●</w:t>
            </w:r>
          </w:p>
        </w:tc>
        <w:tc>
          <w:tcPr>
            <w:tcW w:w="845" w:type="dxa"/>
            <w:vAlign w:val="center"/>
          </w:tcPr>
          <w:p w14:paraId="7584640B">
            <w:pPr>
              <w:widowControl/>
              <w:jc w:val="center"/>
              <w:rPr>
                <w:kern w:val="0"/>
                <w:sz w:val="20"/>
                <w:szCs w:val="20"/>
              </w:rPr>
            </w:pPr>
            <w:r>
              <w:rPr>
                <w:b/>
                <w:sz w:val="16"/>
                <w:szCs w:val="16"/>
              </w:rPr>
              <w:t>○</w:t>
            </w:r>
          </w:p>
        </w:tc>
        <w:tc>
          <w:tcPr>
            <w:tcW w:w="880" w:type="dxa"/>
            <w:vAlign w:val="center"/>
          </w:tcPr>
          <w:p w14:paraId="72FEF5C6">
            <w:pPr>
              <w:widowControl/>
              <w:jc w:val="center"/>
              <w:rPr>
                <w:sz w:val="16"/>
                <w:szCs w:val="16"/>
              </w:rPr>
            </w:pPr>
            <w:r>
              <w:rPr>
                <w:sz w:val="16"/>
                <w:szCs w:val="16"/>
              </w:rPr>
              <w:t>●</w:t>
            </w:r>
          </w:p>
        </w:tc>
        <w:tc>
          <w:tcPr>
            <w:tcW w:w="880" w:type="dxa"/>
            <w:vAlign w:val="center"/>
          </w:tcPr>
          <w:p w14:paraId="3A27AFD5">
            <w:pPr>
              <w:widowControl/>
              <w:jc w:val="center"/>
              <w:rPr>
                <w:sz w:val="16"/>
                <w:szCs w:val="16"/>
              </w:rPr>
            </w:pPr>
            <w:r>
              <w:rPr>
                <w:sz w:val="16"/>
                <w:szCs w:val="16"/>
              </w:rPr>
              <w:t>●</w:t>
            </w:r>
          </w:p>
        </w:tc>
        <w:tc>
          <w:tcPr>
            <w:tcW w:w="880" w:type="dxa"/>
            <w:vAlign w:val="center"/>
          </w:tcPr>
          <w:p w14:paraId="1F913E72">
            <w:pPr>
              <w:widowControl/>
              <w:jc w:val="center"/>
              <w:rPr>
                <w:sz w:val="16"/>
                <w:szCs w:val="16"/>
              </w:rPr>
            </w:pPr>
            <w:r>
              <w:rPr>
                <w:sz w:val="16"/>
                <w:szCs w:val="16"/>
              </w:rPr>
              <w:t>●</w:t>
            </w:r>
          </w:p>
        </w:tc>
      </w:tr>
      <w:tr w14:paraId="242C6E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1" w:hRule="atLeast"/>
          <w:jc w:val="center"/>
        </w:trPr>
        <w:tc>
          <w:tcPr>
            <w:tcW w:w="558" w:type="dxa"/>
            <w:vMerge w:val="continue"/>
            <w:vAlign w:val="center"/>
          </w:tcPr>
          <w:p w14:paraId="283DDE75">
            <w:pPr>
              <w:widowControl/>
              <w:jc w:val="center"/>
              <w:rPr>
                <w:kern w:val="0"/>
                <w:sz w:val="20"/>
                <w:szCs w:val="20"/>
              </w:rPr>
            </w:pPr>
          </w:p>
        </w:tc>
        <w:tc>
          <w:tcPr>
            <w:tcW w:w="970" w:type="dxa"/>
            <w:vMerge w:val="continue"/>
            <w:vAlign w:val="center"/>
          </w:tcPr>
          <w:p w14:paraId="688BEEF1">
            <w:pPr>
              <w:widowControl/>
              <w:jc w:val="center"/>
              <w:rPr>
                <w:kern w:val="0"/>
                <w:sz w:val="20"/>
                <w:szCs w:val="20"/>
              </w:rPr>
            </w:pPr>
          </w:p>
        </w:tc>
        <w:tc>
          <w:tcPr>
            <w:tcW w:w="2457" w:type="dxa"/>
            <w:vAlign w:val="center"/>
          </w:tcPr>
          <w:p w14:paraId="5B5A757B">
            <w:pPr>
              <w:widowControl/>
              <w:jc w:val="center"/>
              <w:rPr>
                <w:kern w:val="0"/>
                <w:sz w:val="20"/>
                <w:szCs w:val="20"/>
              </w:rPr>
            </w:pPr>
            <w:r>
              <w:rPr>
                <w:kern w:val="0"/>
                <w:sz w:val="20"/>
                <w:szCs w:val="20"/>
              </w:rPr>
              <w:t>可见光成像性能试验</w:t>
            </w:r>
          </w:p>
        </w:tc>
        <w:tc>
          <w:tcPr>
            <w:tcW w:w="917" w:type="dxa"/>
            <w:vAlign w:val="center"/>
          </w:tcPr>
          <w:p w14:paraId="3859D909">
            <w:pPr>
              <w:widowControl/>
              <w:jc w:val="center"/>
              <w:rPr>
                <w:kern w:val="0"/>
                <w:sz w:val="20"/>
                <w:szCs w:val="20"/>
              </w:rPr>
            </w:pPr>
            <w:r>
              <w:rPr>
                <w:rFonts w:hint="eastAsia"/>
                <w:szCs w:val="21"/>
              </w:rPr>
              <w:t>6.3.16</w:t>
            </w:r>
          </w:p>
        </w:tc>
        <w:tc>
          <w:tcPr>
            <w:tcW w:w="960" w:type="dxa"/>
            <w:vAlign w:val="center"/>
          </w:tcPr>
          <w:p w14:paraId="69E7F094">
            <w:pPr>
              <w:widowControl/>
              <w:jc w:val="center"/>
              <w:rPr>
                <w:kern w:val="0"/>
                <w:sz w:val="20"/>
                <w:szCs w:val="20"/>
              </w:rPr>
            </w:pPr>
            <w:r>
              <w:rPr>
                <w:sz w:val="16"/>
                <w:szCs w:val="16"/>
              </w:rPr>
              <w:t>●</w:t>
            </w:r>
          </w:p>
        </w:tc>
        <w:tc>
          <w:tcPr>
            <w:tcW w:w="845" w:type="dxa"/>
            <w:vAlign w:val="center"/>
          </w:tcPr>
          <w:p w14:paraId="02055475">
            <w:pPr>
              <w:widowControl/>
              <w:jc w:val="center"/>
              <w:rPr>
                <w:kern w:val="0"/>
                <w:sz w:val="20"/>
                <w:szCs w:val="20"/>
              </w:rPr>
            </w:pPr>
            <w:r>
              <w:rPr>
                <w:b/>
                <w:sz w:val="16"/>
                <w:szCs w:val="16"/>
              </w:rPr>
              <w:t>○</w:t>
            </w:r>
          </w:p>
        </w:tc>
        <w:tc>
          <w:tcPr>
            <w:tcW w:w="880" w:type="dxa"/>
            <w:vAlign w:val="center"/>
          </w:tcPr>
          <w:p w14:paraId="2185B531">
            <w:pPr>
              <w:widowControl/>
              <w:jc w:val="center"/>
              <w:rPr>
                <w:sz w:val="16"/>
                <w:szCs w:val="16"/>
              </w:rPr>
            </w:pPr>
            <w:r>
              <w:rPr>
                <w:sz w:val="16"/>
                <w:szCs w:val="16"/>
              </w:rPr>
              <w:t>●</w:t>
            </w:r>
          </w:p>
        </w:tc>
        <w:tc>
          <w:tcPr>
            <w:tcW w:w="880" w:type="dxa"/>
            <w:vAlign w:val="center"/>
          </w:tcPr>
          <w:p w14:paraId="2184E47C">
            <w:pPr>
              <w:widowControl/>
              <w:jc w:val="center"/>
              <w:rPr>
                <w:sz w:val="16"/>
                <w:szCs w:val="16"/>
              </w:rPr>
            </w:pPr>
            <w:r>
              <w:rPr>
                <w:sz w:val="16"/>
                <w:szCs w:val="16"/>
              </w:rPr>
              <w:t>●</w:t>
            </w:r>
          </w:p>
        </w:tc>
        <w:tc>
          <w:tcPr>
            <w:tcW w:w="880" w:type="dxa"/>
            <w:vAlign w:val="center"/>
          </w:tcPr>
          <w:p w14:paraId="023E1EB3">
            <w:pPr>
              <w:widowControl/>
              <w:jc w:val="center"/>
              <w:rPr>
                <w:sz w:val="16"/>
                <w:szCs w:val="16"/>
              </w:rPr>
            </w:pPr>
            <w:r>
              <w:rPr>
                <w:sz w:val="16"/>
                <w:szCs w:val="16"/>
              </w:rPr>
              <w:t>●</w:t>
            </w:r>
          </w:p>
        </w:tc>
      </w:tr>
      <w:tr w14:paraId="027D4E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1" w:hRule="atLeast"/>
          <w:jc w:val="center"/>
        </w:trPr>
        <w:tc>
          <w:tcPr>
            <w:tcW w:w="558" w:type="dxa"/>
            <w:vMerge w:val="continue"/>
            <w:vAlign w:val="center"/>
          </w:tcPr>
          <w:p w14:paraId="579BDEEA">
            <w:pPr>
              <w:widowControl/>
              <w:jc w:val="center"/>
              <w:rPr>
                <w:kern w:val="0"/>
                <w:sz w:val="20"/>
                <w:szCs w:val="20"/>
              </w:rPr>
            </w:pPr>
          </w:p>
        </w:tc>
        <w:tc>
          <w:tcPr>
            <w:tcW w:w="970" w:type="dxa"/>
            <w:vMerge w:val="continue"/>
            <w:vAlign w:val="center"/>
          </w:tcPr>
          <w:p w14:paraId="11C3A71B">
            <w:pPr>
              <w:widowControl/>
              <w:jc w:val="center"/>
              <w:rPr>
                <w:kern w:val="0"/>
                <w:sz w:val="20"/>
                <w:szCs w:val="20"/>
              </w:rPr>
            </w:pPr>
          </w:p>
        </w:tc>
        <w:tc>
          <w:tcPr>
            <w:tcW w:w="2457" w:type="dxa"/>
            <w:vAlign w:val="center"/>
          </w:tcPr>
          <w:p w14:paraId="19EE6019">
            <w:pPr>
              <w:widowControl/>
              <w:jc w:val="center"/>
              <w:rPr>
                <w:kern w:val="0"/>
                <w:sz w:val="20"/>
                <w:szCs w:val="20"/>
              </w:rPr>
            </w:pPr>
            <w:r>
              <w:rPr>
                <w:rFonts w:hint="eastAsia"/>
                <w:kern w:val="0"/>
                <w:sz w:val="20"/>
                <w:szCs w:val="20"/>
              </w:rPr>
              <w:t>红外成像性能试验</w:t>
            </w:r>
          </w:p>
        </w:tc>
        <w:tc>
          <w:tcPr>
            <w:tcW w:w="917" w:type="dxa"/>
            <w:vAlign w:val="center"/>
          </w:tcPr>
          <w:p w14:paraId="68E955C7">
            <w:pPr>
              <w:widowControl/>
              <w:jc w:val="center"/>
              <w:rPr>
                <w:szCs w:val="21"/>
              </w:rPr>
            </w:pPr>
            <w:r>
              <w:rPr>
                <w:rFonts w:hint="eastAsia"/>
                <w:szCs w:val="21"/>
              </w:rPr>
              <w:t>6.3.17</w:t>
            </w:r>
          </w:p>
        </w:tc>
        <w:tc>
          <w:tcPr>
            <w:tcW w:w="960" w:type="dxa"/>
            <w:vAlign w:val="center"/>
          </w:tcPr>
          <w:p w14:paraId="5A8CA40F">
            <w:pPr>
              <w:widowControl/>
              <w:jc w:val="center"/>
              <w:rPr>
                <w:kern w:val="0"/>
                <w:sz w:val="20"/>
                <w:szCs w:val="20"/>
              </w:rPr>
            </w:pPr>
            <w:r>
              <w:rPr>
                <w:sz w:val="16"/>
                <w:szCs w:val="16"/>
              </w:rPr>
              <w:t>●</w:t>
            </w:r>
          </w:p>
        </w:tc>
        <w:tc>
          <w:tcPr>
            <w:tcW w:w="845" w:type="dxa"/>
            <w:vAlign w:val="center"/>
          </w:tcPr>
          <w:p w14:paraId="607EBB73">
            <w:pPr>
              <w:widowControl/>
              <w:jc w:val="center"/>
              <w:rPr>
                <w:kern w:val="0"/>
                <w:sz w:val="20"/>
                <w:szCs w:val="20"/>
              </w:rPr>
            </w:pPr>
            <w:r>
              <w:rPr>
                <w:b/>
                <w:sz w:val="16"/>
                <w:szCs w:val="16"/>
              </w:rPr>
              <w:t>○</w:t>
            </w:r>
          </w:p>
        </w:tc>
        <w:tc>
          <w:tcPr>
            <w:tcW w:w="880" w:type="dxa"/>
            <w:vAlign w:val="center"/>
          </w:tcPr>
          <w:p w14:paraId="78EA091C">
            <w:pPr>
              <w:widowControl/>
              <w:jc w:val="center"/>
              <w:rPr>
                <w:sz w:val="16"/>
                <w:szCs w:val="16"/>
              </w:rPr>
            </w:pPr>
            <w:r>
              <w:rPr>
                <w:sz w:val="16"/>
                <w:szCs w:val="16"/>
              </w:rPr>
              <w:t>●</w:t>
            </w:r>
          </w:p>
        </w:tc>
        <w:tc>
          <w:tcPr>
            <w:tcW w:w="880" w:type="dxa"/>
            <w:vAlign w:val="center"/>
          </w:tcPr>
          <w:p w14:paraId="456C6B50">
            <w:pPr>
              <w:widowControl/>
              <w:jc w:val="center"/>
              <w:rPr>
                <w:sz w:val="16"/>
                <w:szCs w:val="16"/>
              </w:rPr>
            </w:pPr>
            <w:r>
              <w:rPr>
                <w:sz w:val="16"/>
                <w:szCs w:val="16"/>
              </w:rPr>
              <w:t>●</w:t>
            </w:r>
          </w:p>
        </w:tc>
        <w:tc>
          <w:tcPr>
            <w:tcW w:w="880" w:type="dxa"/>
            <w:vAlign w:val="center"/>
          </w:tcPr>
          <w:p w14:paraId="6B5DA484">
            <w:pPr>
              <w:widowControl/>
              <w:jc w:val="center"/>
              <w:rPr>
                <w:sz w:val="16"/>
                <w:szCs w:val="16"/>
              </w:rPr>
            </w:pPr>
            <w:r>
              <w:rPr>
                <w:sz w:val="16"/>
                <w:szCs w:val="16"/>
              </w:rPr>
              <w:t>●</w:t>
            </w:r>
          </w:p>
        </w:tc>
      </w:tr>
      <w:tr w14:paraId="447E19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3" w:hRule="atLeast"/>
          <w:jc w:val="center"/>
        </w:trPr>
        <w:tc>
          <w:tcPr>
            <w:tcW w:w="558" w:type="dxa"/>
            <w:vMerge w:val="continue"/>
            <w:vAlign w:val="center"/>
          </w:tcPr>
          <w:p w14:paraId="1C3CF3C3">
            <w:pPr>
              <w:widowControl/>
              <w:jc w:val="center"/>
              <w:rPr>
                <w:kern w:val="0"/>
                <w:sz w:val="20"/>
                <w:szCs w:val="20"/>
              </w:rPr>
            </w:pPr>
          </w:p>
        </w:tc>
        <w:tc>
          <w:tcPr>
            <w:tcW w:w="970" w:type="dxa"/>
            <w:vMerge w:val="continue"/>
            <w:vAlign w:val="center"/>
          </w:tcPr>
          <w:p w14:paraId="696051D0">
            <w:pPr>
              <w:widowControl/>
              <w:jc w:val="center"/>
              <w:rPr>
                <w:kern w:val="0"/>
                <w:sz w:val="20"/>
                <w:szCs w:val="20"/>
              </w:rPr>
            </w:pPr>
          </w:p>
        </w:tc>
        <w:tc>
          <w:tcPr>
            <w:tcW w:w="2457" w:type="dxa"/>
            <w:vAlign w:val="center"/>
          </w:tcPr>
          <w:p w14:paraId="2F2F7E77">
            <w:pPr>
              <w:widowControl/>
              <w:jc w:val="center"/>
              <w:rPr>
                <w:kern w:val="0"/>
                <w:sz w:val="20"/>
                <w:szCs w:val="20"/>
              </w:rPr>
            </w:pPr>
            <w:r>
              <w:rPr>
                <w:kern w:val="0"/>
                <w:sz w:val="20"/>
                <w:szCs w:val="20"/>
              </w:rPr>
              <w:t>跟踪精度试验</w:t>
            </w:r>
          </w:p>
        </w:tc>
        <w:tc>
          <w:tcPr>
            <w:tcW w:w="917" w:type="dxa"/>
            <w:vAlign w:val="center"/>
          </w:tcPr>
          <w:p w14:paraId="4C137645">
            <w:pPr>
              <w:widowControl/>
              <w:jc w:val="center"/>
              <w:rPr>
                <w:kern w:val="0"/>
                <w:sz w:val="20"/>
                <w:szCs w:val="20"/>
              </w:rPr>
            </w:pPr>
            <w:r>
              <w:rPr>
                <w:rFonts w:hint="eastAsia"/>
                <w:szCs w:val="21"/>
              </w:rPr>
              <w:t>6.3.18</w:t>
            </w:r>
          </w:p>
        </w:tc>
        <w:tc>
          <w:tcPr>
            <w:tcW w:w="960" w:type="dxa"/>
            <w:vAlign w:val="center"/>
          </w:tcPr>
          <w:p w14:paraId="21AD0325">
            <w:pPr>
              <w:jc w:val="center"/>
              <w:rPr>
                <w:sz w:val="20"/>
                <w:szCs w:val="22"/>
              </w:rPr>
            </w:pPr>
            <w:r>
              <w:rPr>
                <w:sz w:val="16"/>
                <w:szCs w:val="16"/>
              </w:rPr>
              <w:t>●</w:t>
            </w:r>
          </w:p>
        </w:tc>
        <w:tc>
          <w:tcPr>
            <w:tcW w:w="845" w:type="dxa"/>
            <w:vAlign w:val="center"/>
          </w:tcPr>
          <w:p w14:paraId="055E6043">
            <w:pPr>
              <w:jc w:val="center"/>
              <w:rPr>
                <w:sz w:val="20"/>
                <w:szCs w:val="22"/>
              </w:rPr>
            </w:pPr>
            <w:r>
              <w:rPr>
                <w:b/>
                <w:sz w:val="16"/>
                <w:szCs w:val="16"/>
              </w:rPr>
              <w:t>○</w:t>
            </w:r>
          </w:p>
        </w:tc>
        <w:tc>
          <w:tcPr>
            <w:tcW w:w="880" w:type="dxa"/>
            <w:vAlign w:val="center"/>
          </w:tcPr>
          <w:p w14:paraId="109F9833">
            <w:pPr>
              <w:jc w:val="center"/>
              <w:rPr>
                <w:b/>
                <w:sz w:val="16"/>
                <w:szCs w:val="16"/>
              </w:rPr>
            </w:pPr>
            <w:r>
              <w:rPr>
                <w:b/>
                <w:sz w:val="16"/>
                <w:szCs w:val="16"/>
              </w:rPr>
              <w:t>○</w:t>
            </w:r>
          </w:p>
        </w:tc>
        <w:tc>
          <w:tcPr>
            <w:tcW w:w="880" w:type="dxa"/>
            <w:vAlign w:val="center"/>
          </w:tcPr>
          <w:p w14:paraId="559E964C">
            <w:pPr>
              <w:jc w:val="center"/>
              <w:rPr>
                <w:b/>
                <w:sz w:val="16"/>
                <w:szCs w:val="16"/>
              </w:rPr>
            </w:pPr>
            <w:r>
              <w:rPr>
                <w:sz w:val="16"/>
                <w:szCs w:val="16"/>
              </w:rPr>
              <w:t>●</w:t>
            </w:r>
          </w:p>
        </w:tc>
        <w:tc>
          <w:tcPr>
            <w:tcW w:w="880" w:type="dxa"/>
            <w:vAlign w:val="center"/>
          </w:tcPr>
          <w:p w14:paraId="3FF8BD2C">
            <w:pPr>
              <w:jc w:val="center"/>
              <w:rPr>
                <w:b/>
                <w:sz w:val="16"/>
                <w:szCs w:val="16"/>
              </w:rPr>
            </w:pPr>
            <w:r>
              <w:rPr>
                <w:b/>
                <w:sz w:val="16"/>
                <w:szCs w:val="16"/>
              </w:rPr>
              <w:t>○</w:t>
            </w:r>
          </w:p>
        </w:tc>
      </w:tr>
      <w:tr w14:paraId="70E495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26" w:hRule="atLeast"/>
          <w:jc w:val="center"/>
        </w:trPr>
        <w:tc>
          <w:tcPr>
            <w:tcW w:w="558" w:type="dxa"/>
            <w:vMerge w:val="restart"/>
            <w:vAlign w:val="center"/>
          </w:tcPr>
          <w:p w14:paraId="34A424A7">
            <w:pPr>
              <w:widowControl/>
              <w:jc w:val="center"/>
              <w:rPr>
                <w:kern w:val="0"/>
                <w:sz w:val="20"/>
                <w:szCs w:val="20"/>
              </w:rPr>
            </w:pPr>
            <w:r>
              <w:rPr>
                <w:kern w:val="0"/>
                <w:sz w:val="20"/>
                <w:szCs w:val="20"/>
              </w:rPr>
              <w:t>性能要求</w:t>
            </w:r>
          </w:p>
        </w:tc>
        <w:tc>
          <w:tcPr>
            <w:tcW w:w="970" w:type="dxa"/>
            <w:vMerge w:val="restart"/>
            <w:vAlign w:val="center"/>
          </w:tcPr>
          <w:p w14:paraId="181EF183">
            <w:pPr>
              <w:widowControl/>
              <w:jc w:val="center"/>
              <w:rPr>
                <w:kern w:val="0"/>
                <w:sz w:val="20"/>
                <w:szCs w:val="20"/>
              </w:rPr>
            </w:pPr>
            <w:r>
              <w:rPr>
                <w:kern w:val="0"/>
                <w:sz w:val="20"/>
                <w:szCs w:val="20"/>
              </w:rPr>
              <w:t>抗电磁干扰性能</w:t>
            </w:r>
          </w:p>
        </w:tc>
        <w:tc>
          <w:tcPr>
            <w:tcW w:w="2457" w:type="dxa"/>
            <w:vAlign w:val="center"/>
          </w:tcPr>
          <w:p w14:paraId="7623F612">
            <w:pPr>
              <w:widowControl/>
              <w:jc w:val="center"/>
              <w:rPr>
                <w:kern w:val="0"/>
                <w:sz w:val="20"/>
                <w:szCs w:val="20"/>
              </w:rPr>
            </w:pPr>
            <w:r>
              <w:rPr>
                <w:kern w:val="0"/>
                <w:sz w:val="20"/>
                <w:szCs w:val="20"/>
              </w:rPr>
              <w:t>射频电磁场辐射抗扰度</w:t>
            </w:r>
          </w:p>
        </w:tc>
        <w:tc>
          <w:tcPr>
            <w:tcW w:w="917" w:type="dxa"/>
            <w:vAlign w:val="center"/>
          </w:tcPr>
          <w:p w14:paraId="5CA3F551">
            <w:pPr>
              <w:widowControl/>
              <w:jc w:val="center"/>
              <w:rPr>
                <w:sz w:val="20"/>
                <w:szCs w:val="22"/>
              </w:rPr>
            </w:pPr>
            <w:r>
              <w:rPr>
                <w:rFonts w:hint="eastAsia"/>
                <w:szCs w:val="21"/>
              </w:rPr>
              <w:t>6.4.1</w:t>
            </w:r>
          </w:p>
        </w:tc>
        <w:tc>
          <w:tcPr>
            <w:tcW w:w="960" w:type="dxa"/>
            <w:vAlign w:val="center"/>
          </w:tcPr>
          <w:p w14:paraId="19070A1B">
            <w:pPr>
              <w:jc w:val="center"/>
              <w:rPr>
                <w:sz w:val="20"/>
                <w:szCs w:val="22"/>
              </w:rPr>
            </w:pPr>
            <w:r>
              <w:rPr>
                <w:sz w:val="16"/>
                <w:szCs w:val="16"/>
              </w:rPr>
              <w:t>●</w:t>
            </w:r>
          </w:p>
        </w:tc>
        <w:tc>
          <w:tcPr>
            <w:tcW w:w="845" w:type="dxa"/>
            <w:vAlign w:val="center"/>
          </w:tcPr>
          <w:p w14:paraId="3E1B73F1">
            <w:pPr>
              <w:jc w:val="center"/>
              <w:rPr>
                <w:sz w:val="20"/>
                <w:szCs w:val="22"/>
              </w:rPr>
            </w:pPr>
            <w:r>
              <w:rPr>
                <w:b/>
                <w:sz w:val="16"/>
                <w:szCs w:val="16"/>
              </w:rPr>
              <w:t>○</w:t>
            </w:r>
          </w:p>
        </w:tc>
        <w:tc>
          <w:tcPr>
            <w:tcW w:w="880" w:type="dxa"/>
            <w:vAlign w:val="center"/>
          </w:tcPr>
          <w:p w14:paraId="3E3BBEFD">
            <w:pPr>
              <w:jc w:val="center"/>
              <w:rPr>
                <w:b/>
                <w:sz w:val="16"/>
                <w:szCs w:val="16"/>
              </w:rPr>
            </w:pPr>
            <w:r>
              <w:rPr>
                <w:b/>
                <w:sz w:val="16"/>
                <w:szCs w:val="16"/>
              </w:rPr>
              <w:t>○</w:t>
            </w:r>
          </w:p>
        </w:tc>
        <w:tc>
          <w:tcPr>
            <w:tcW w:w="880" w:type="dxa"/>
            <w:vAlign w:val="center"/>
          </w:tcPr>
          <w:p w14:paraId="151AD2F8">
            <w:pPr>
              <w:jc w:val="center"/>
              <w:rPr>
                <w:b/>
                <w:sz w:val="16"/>
                <w:szCs w:val="16"/>
              </w:rPr>
            </w:pPr>
            <w:r>
              <w:rPr>
                <w:sz w:val="16"/>
                <w:szCs w:val="16"/>
              </w:rPr>
              <w:t>●</w:t>
            </w:r>
          </w:p>
        </w:tc>
        <w:tc>
          <w:tcPr>
            <w:tcW w:w="880" w:type="dxa"/>
            <w:vAlign w:val="center"/>
          </w:tcPr>
          <w:p w14:paraId="411C2C84">
            <w:pPr>
              <w:jc w:val="center"/>
              <w:rPr>
                <w:b/>
                <w:sz w:val="16"/>
                <w:szCs w:val="16"/>
              </w:rPr>
            </w:pPr>
            <w:r>
              <w:rPr>
                <w:b/>
                <w:sz w:val="16"/>
                <w:szCs w:val="16"/>
              </w:rPr>
              <w:t>○</w:t>
            </w:r>
          </w:p>
        </w:tc>
      </w:tr>
      <w:tr w14:paraId="529071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13" w:hRule="atLeast"/>
          <w:jc w:val="center"/>
        </w:trPr>
        <w:tc>
          <w:tcPr>
            <w:tcW w:w="558" w:type="dxa"/>
            <w:vMerge w:val="continue"/>
            <w:vAlign w:val="center"/>
          </w:tcPr>
          <w:p w14:paraId="0C3BB54B">
            <w:pPr>
              <w:widowControl/>
              <w:jc w:val="center"/>
              <w:rPr>
                <w:kern w:val="0"/>
                <w:sz w:val="20"/>
                <w:szCs w:val="20"/>
              </w:rPr>
            </w:pPr>
          </w:p>
        </w:tc>
        <w:tc>
          <w:tcPr>
            <w:tcW w:w="970" w:type="dxa"/>
            <w:vMerge w:val="continue"/>
            <w:vAlign w:val="center"/>
          </w:tcPr>
          <w:p w14:paraId="69A6BEE8">
            <w:pPr>
              <w:widowControl/>
              <w:jc w:val="center"/>
              <w:rPr>
                <w:kern w:val="0"/>
                <w:sz w:val="20"/>
                <w:szCs w:val="20"/>
              </w:rPr>
            </w:pPr>
          </w:p>
        </w:tc>
        <w:tc>
          <w:tcPr>
            <w:tcW w:w="2457" w:type="dxa"/>
            <w:vAlign w:val="center"/>
          </w:tcPr>
          <w:p w14:paraId="3CF6C11E">
            <w:pPr>
              <w:widowControl/>
              <w:jc w:val="center"/>
              <w:rPr>
                <w:kern w:val="0"/>
                <w:sz w:val="20"/>
                <w:szCs w:val="20"/>
              </w:rPr>
            </w:pPr>
            <w:r>
              <w:rPr>
                <w:kern w:val="0"/>
                <w:sz w:val="20"/>
                <w:szCs w:val="20"/>
              </w:rPr>
              <w:t>静电放电抗扰度</w:t>
            </w:r>
          </w:p>
        </w:tc>
        <w:tc>
          <w:tcPr>
            <w:tcW w:w="917" w:type="dxa"/>
            <w:vAlign w:val="center"/>
          </w:tcPr>
          <w:p w14:paraId="615B78E2">
            <w:pPr>
              <w:jc w:val="center"/>
              <w:rPr>
                <w:sz w:val="20"/>
                <w:szCs w:val="22"/>
              </w:rPr>
            </w:pPr>
            <w:r>
              <w:rPr>
                <w:rFonts w:hint="eastAsia"/>
                <w:szCs w:val="21"/>
              </w:rPr>
              <w:t>6.4.2</w:t>
            </w:r>
          </w:p>
        </w:tc>
        <w:tc>
          <w:tcPr>
            <w:tcW w:w="960" w:type="dxa"/>
            <w:vAlign w:val="center"/>
          </w:tcPr>
          <w:p w14:paraId="0D395FE7">
            <w:pPr>
              <w:jc w:val="center"/>
              <w:rPr>
                <w:sz w:val="20"/>
                <w:szCs w:val="22"/>
              </w:rPr>
            </w:pPr>
            <w:r>
              <w:rPr>
                <w:sz w:val="16"/>
                <w:szCs w:val="16"/>
              </w:rPr>
              <w:t>●</w:t>
            </w:r>
          </w:p>
        </w:tc>
        <w:tc>
          <w:tcPr>
            <w:tcW w:w="845" w:type="dxa"/>
            <w:vAlign w:val="center"/>
          </w:tcPr>
          <w:p w14:paraId="6D20E6AC">
            <w:pPr>
              <w:jc w:val="center"/>
              <w:rPr>
                <w:sz w:val="20"/>
                <w:szCs w:val="22"/>
              </w:rPr>
            </w:pPr>
            <w:r>
              <w:rPr>
                <w:b/>
                <w:sz w:val="16"/>
                <w:szCs w:val="16"/>
              </w:rPr>
              <w:t>○</w:t>
            </w:r>
          </w:p>
        </w:tc>
        <w:tc>
          <w:tcPr>
            <w:tcW w:w="880" w:type="dxa"/>
            <w:vAlign w:val="center"/>
          </w:tcPr>
          <w:p w14:paraId="223E58CF">
            <w:pPr>
              <w:jc w:val="center"/>
              <w:rPr>
                <w:b/>
                <w:sz w:val="16"/>
                <w:szCs w:val="16"/>
              </w:rPr>
            </w:pPr>
            <w:r>
              <w:rPr>
                <w:b/>
                <w:sz w:val="16"/>
                <w:szCs w:val="16"/>
              </w:rPr>
              <w:t>○</w:t>
            </w:r>
          </w:p>
        </w:tc>
        <w:tc>
          <w:tcPr>
            <w:tcW w:w="880" w:type="dxa"/>
            <w:vAlign w:val="center"/>
          </w:tcPr>
          <w:p w14:paraId="4CE1CEA5">
            <w:pPr>
              <w:jc w:val="center"/>
              <w:rPr>
                <w:b/>
                <w:sz w:val="16"/>
                <w:szCs w:val="16"/>
              </w:rPr>
            </w:pPr>
            <w:r>
              <w:rPr>
                <w:sz w:val="16"/>
                <w:szCs w:val="16"/>
              </w:rPr>
              <w:t>●</w:t>
            </w:r>
          </w:p>
        </w:tc>
        <w:tc>
          <w:tcPr>
            <w:tcW w:w="880" w:type="dxa"/>
            <w:vAlign w:val="center"/>
          </w:tcPr>
          <w:p w14:paraId="0DC17ACB">
            <w:pPr>
              <w:jc w:val="center"/>
              <w:rPr>
                <w:b/>
                <w:sz w:val="16"/>
                <w:szCs w:val="16"/>
              </w:rPr>
            </w:pPr>
            <w:r>
              <w:rPr>
                <w:b/>
                <w:sz w:val="16"/>
                <w:szCs w:val="16"/>
              </w:rPr>
              <w:t>○</w:t>
            </w:r>
          </w:p>
        </w:tc>
      </w:tr>
      <w:tr w14:paraId="563450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8" w:hRule="atLeast"/>
          <w:jc w:val="center"/>
        </w:trPr>
        <w:tc>
          <w:tcPr>
            <w:tcW w:w="558" w:type="dxa"/>
            <w:vMerge w:val="continue"/>
            <w:vAlign w:val="center"/>
          </w:tcPr>
          <w:p w14:paraId="0A712817">
            <w:pPr>
              <w:widowControl/>
              <w:jc w:val="center"/>
              <w:rPr>
                <w:kern w:val="0"/>
                <w:sz w:val="20"/>
                <w:szCs w:val="20"/>
              </w:rPr>
            </w:pPr>
          </w:p>
        </w:tc>
        <w:tc>
          <w:tcPr>
            <w:tcW w:w="970" w:type="dxa"/>
            <w:vMerge w:val="continue"/>
            <w:vAlign w:val="center"/>
          </w:tcPr>
          <w:p w14:paraId="321BAA89">
            <w:pPr>
              <w:widowControl/>
              <w:jc w:val="center"/>
              <w:rPr>
                <w:kern w:val="0"/>
                <w:sz w:val="20"/>
                <w:szCs w:val="20"/>
              </w:rPr>
            </w:pPr>
          </w:p>
        </w:tc>
        <w:tc>
          <w:tcPr>
            <w:tcW w:w="2457" w:type="dxa"/>
            <w:vAlign w:val="center"/>
          </w:tcPr>
          <w:p w14:paraId="6A6A1BBD">
            <w:pPr>
              <w:widowControl/>
              <w:jc w:val="center"/>
              <w:rPr>
                <w:kern w:val="0"/>
                <w:sz w:val="20"/>
                <w:szCs w:val="20"/>
              </w:rPr>
            </w:pPr>
            <w:r>
              <w:rPr>
                <w:kern w:val="0"/>
                <w:sz w:val="20"/>
                <w:szCs w:val="20"/>
              </w:rPr>
              <w:t>脉冲磁场抗扰度</w:t>
            </w:r>
          </w:p>
        </w:tc>
        <w:tc>
          <w:tcPr>
            <w:tcW w:w="917" w:type="dxa"/>
            <w:vAlign w:val="center"/>
          </w:tcPr>
          <w:p w14:paraId="03B716ED">
            <w:pPr>
              <w:jc w:val="center"/>
              <w:rPr>
                <w:sz w:val="20"/>
                <w:szCs w:val="22"/>
              </w:rPr>
            </w:pPr>
            <w:r>
              <w:rPr>
                <w:rFonts w:hint="eastAsia"/>
                <w:szCs w:val="21"/>
              </w:rPr>
              <w:t>6.4.3</w:t>
            </w:r>
          </w:p>
        </w:tc>
        <w:tc>
          <w:tcPr>
            <w:tcW w:w="960" w:type="dxa"/>
            <w:vAlign w:val="center"/>
          </w:tcPr>
          <w:p w14:paraId="21F73FD7">
            <w:pPr>
              <w:jc w:val="center"/>
              <w:rPr>
                <w:sz w:val="20"/>
                <w:szCs w:val="22"/>
              </w:rPr>
            </w:pPr>
            <w:r>
              <w:rPr>
                <w:sz w:val="16"/>
                <w:szCs w:val="16"/>
              </w:rPr>
              <w:t>●</w:t>
            </w:r>
          </w:p>
        </w:tc>
        <w:tc>
          <w:tcPr>
            <w:tcW w:w="845" w:type="dxa"/>
            <w:vAlign w:val="center"/>
          </w:tcPr>
          <w:p w14:paraId="2558E85C">
            <w:pPr>
              <w:jc w:val="center"/>
              <w:rPr>
                <w:sz w:val="20"/>
                <w:szCs w:val="22"/>
              </w:rPr>
            </w:pPr>
            <w:r>
              <w:rPr>
                <w:b/>
                <w:sz w:val="16"/>
                <w:szCs w:val="16"/>
              </w:rPr>
              <w:t>○</w:t>
            </w:r>
          </w:p>
        </w:tc>
        <w:tc>
          <w:tcPr>
            <w:tcW w:w="880" w:type="dxa"/>
            <w:vAlign w:val="center"/>
          </w:tcPr>
          <w:p w14:paraId="5ED6CF50">
            <w:pPr>
              <w:jc w:val="center"/>
              <w:rPr>
                <w:b/>
                <w:sz w:val="16"/>
                <w:szCs w:val="16"/>
              </w:rPr>
            </w:pPr>
            <w:r>
              <w:rPr>
                <w:b/>
                <w:sz w:val="16"/>
                <w:szCs w:val="16"/>
              </w:rPr>
              <w:t>○</w:t>
            </w:r>
          </w:p>
        </w:tc>
        <w:tc>
          <w:tcPr>
            <w:tcW w:w="880" w:type="dxa"/>
            <w:vAlign w:val="center"/>
          </w:tcPr>
          <w:p w14:paraId="71DC0B3F">
            <w:pPr>
              <w:jc w:val="center"/>
              <w:rPr>
                <w:b/>
                <w:sz w:val="16"/>
                <w:szCs w:val="16"/>
              </w:rPr>
            </w:pPr>
            <w:r>
              <w:rPr>
                <w:sz w:val="16"/>
                <w:szCs w:val="16"/>
              </w:rPr>
              <w:t>●</w:t>
            </w:r>
          </w:p>
        </w:tc>
        <w:tc>
          <w:tcPr>
            <w:tcW w:w="880" w:type="dxa"/>
            <w:vAlign w:val="center"/>
          </w:tcPr>
          <w:p w14:paraId="21A87244">
            <w:pPr>
              <w:jc w:val="center"/>
              <w:rPr>
                <w:b/>
                <w:sz w:val="16"/>
                <w:szCs w:val="16"/>
              </w:rPr>
            </w:pPr>
            <w:r>
              <w:rPr>
                <w:b/>
                <w:sz w:val="16"/>
                <w:szCs w:val="16"/>
              </w:rPr>
              <w:t>○</w:t>
            </w:r>
          </w:p>
        </w:tc>
      </w:tr>
      <w:tr w14:paraId="027C709E">
        <w:tblPrEx>
          <w:tblCellMar>
            <w:top w:w="0" w:type="dxa"/>
            <w:left w:w="108" w:type="dxa"/>
            <w:bottom w:w="0" w:type="dxa"/>
            <w:right w:w="108" w:type="dxa"/>
          </w:tblCellMar>
        </w:tblPrEx>
        <w:trPr>
          <w:trHeight w:val="238" w:hRule="atLeast"/>
          <w:jc w:val="center"/>
        </w:trPr>
        <w:tc>
          <w:tcPr>
            <w:tcW w:w="558" w:type="dxa"/>
            <w:vMerge w:val="continue"/>
            <w:vAlign w:val="center"/>
          </w:tcPr>
          <w:p w14:paraId="2FF888C3">
            <w:pPr>
              <w:widowControl/>
              <w:jc w:val="center"/>
              <w:rPr>
                <w:kern w:val="0"/>
                <w:sz w:val="20"/>
                <w:szCs w:val="20"/>
              </w:rPr>
            </w:pPr>
          </w:p>
        </w:tc>
        <w:tc>
          <w:tcPr>
            <w:tcW w:w="970" w:type="dxa"/>
            <w:vMerge w:val="continue"/>
            <w:vAlign w:val="center"/>
          </w:tcPr>
          <w:p w14:paraId="6CA379ED">
            <w:pPr>
              <w:widowControl/>
              <w:jc w:val="center"/>
              <w:rPr>
                <w:kern w:val="0"/>
                <w:sz w:val="20"/>
                <w:szCs w:val="20"/>
              </w:rPr>
            </w:pPr>
          </w:p>
        </w:tc>
        <w:tc>
          <w:tcPr>
            <w:tcW w:w="2457" w:type="dxa"/>
            <w:vAlign w:val="center"/>
          </w:tcPr>
          <w:p w14:paraId="5689782D">
            <w:pPr>
              <w:widowControl/>
              <w:jc w:val="center"/>
              <w:rPr>
                <w:kern w:val="0"/>
                <w:sz w:val="20"/>
                <w:szCs w:val="20"/>
              </w:rPr>
            </w:pPr>
            <w:r>
              <w:rPr>
                <w:kern w:val="0"/>
                <w:sz w:val="20"/>
                <w:szCs w:val="20"/>
              </w:rPr>
              <w:t>工频磁场抗扰度</w:t>
            </w:r>
          </w:p>
        </w:tc>
        <w:tc>
          <w:tcPr>
            <w:tcW w:w="917" w:type="dxa"/>
            <w:vAlign w:val="center"/>
          </w:tcPr>
          <w:p w14:paraId="72D43295">
            <w:pPr>
              <w:jc w:val="center"/>
              <w:rPr>
                <w:sz w:val="20"/>
                <w:szCs w:val="22"/>
              </w:rPr>
            </w:pPr>
            <w:r>
              <w:rPr>
                <w:rFonts w:hint="eastAsia"/>
                <w:szCs w:val="21"/>
              </w:rPr>
              <w:t>6.4.4</w:t>
            </w:r>
          </w:p>
        </w:tc>
        <w:tc>
          <w:tcPr>
            <w:tcW w:w="960" w:type="dxa"/>
            <w:vAlign w:val="center"/>
          </w:tcPr>
          <w:p w14:paraId="51A56EF8">
            <w:pPr>
              <w:jc w:val="center"/>
              <w:rPr>
                <w:sz w:val="20"/>
                <w:szCs w:val="22"/>
              </w:rPr>
            </w:pPr>
            <w:r>
              <w:rPr>
                <w:sz w:val="16"/>
                <w:szCs w:val="16"/>
              </w:rPr>
              <w:t>●</w:t>
            </w:r>
          </w:p>
        </w:tc>
        <w:tc>
          <w:tcPr>
            <w:tcW w:w="845" w:type="dxa"/>
            <w:vAlign w:val="center"/>
          </w:tcPr>
          <w:p w14:paraId="529F0F36">
            <w:pPr>
              <w:jc w:val="center"/>
              <w:rPr>
                <w:sz w:val="20"/>
                <w:szCs w:val="22"/>
              </w:rPr>
            </w:pPr>
            <w:r>
              <w:rPr>
                <w:sz w:val="16"/>
                <w:szCs w:val="16"/>
              </w:rPr>
              <w:t>●</w:t>
            </w:r>
          </w:p>
        </w:tc>
        <w:tc>
          <w:tcPr>
            <w:tcW w:w="880" w:type="dxa"/>
            <w:vAlign w:val="center"/>
          </w:tcPr>
          <w:p w14:paraId="3B1772C5">
            <w:pPr>
              <w:jc w:val="center"/>
              <w:rPr>
                <w:b/>
                <w:sz w:val="16"/>
                <w:szCs w:val="16"/>
              </w:rPr>
            </w:pPr>
            <w:r>
              <w:rPr>
                <w:b/>
                <w:sz w:val="16"/>
                <w:szCs w:val="16"/>
              </w:rPr>
              <w:t>○</w:t>
            </w:r>
          </w:p>
        </w:tc>
        <w:tc>
          <w:tcPr>
            <w:tcW w:w="880" w:type="dxa"/>
            <w:vAlign w:val="center"/>
          </w:tcPr>
          <w:p w14:paraId="0D9AB57A">
            <w:pPr>
              <w:jc w:val="center"/>
              <w:rPr>
                <w:b/>
                <w:sz w:val="16"/>
                <w:szCs w:val="16"/>
              </w:rPr>
            </w:pPr>
            <w:r>
              <w:rPr>
                <w:sz w:val="16"/>
                <w:szCs w:val="16"/>
              </w:rPr>
              <w:t>●</w:t>
            </w:r>
          </w:p>
        </w:tc>
        <w:tc>
          <w:tcPr>
            <w:tcW w:w="880" w:type="dxa"/>
            <w:vAlign w:val="center"/>
          </w:tcPr>
          <w:p w14:paraId="0330CEDC">
            <w:pPr>
              <w:jc w:val="center"/>
              <w:rPr>
                <w:b/>
                <w:sz w:val="16"/>
                <w:szCs w:val="16"/>
              </w:rPr>
            </w:pPr>
            <w:r>
              <w:rPr>
                <w:b/>
                <w:sz w:val="16"/>
                <w:szCs w:val="16"/>
              </w:rPr>
              <w:t>○</w:t>
            </w:r>
          </w:p>
        </w:tc>
      </w:tr>
      <w:tr w14:paraId="365EE7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6" w:hRule="atLeast"/>
          <w:jc w:val="center"/>
        </w:trPr>
        <w:tc>
          <w:tcPr>
            <w:tcW w:w="558" w:type="dxa"/>
            <w:vMerge w:val="continue"/>
            <w:vAlign w:val="center"/>
          </w:tcPr>
          <w:p w14:paraId="7AF914B2">
            <w:pPr>
              <w:widowControl/>
              <w:jc w:val="center"/>
              <w:rPr>
                <w:kern w:val="0"/>
                <w:sz w:val="20"/>
                <w:szCs w:val="20"/>
              </w:rPr>
            </w:pPr>
          </w:p>
        </w:tc>
        <w:tc>
          <w:tcPr>
            <w:tcW w:w="970" w:type="dxa"/>
            <w:vMerge w:val="restart"/>
            <w:vAlign w:val="center"/>
          </w:tcPr>
          <w:p w14:paraId="409BE373">
            <w:pPr>
              <w:widowControl/>
              <w:jc w:val="center"/>
              <w:rPr>
                <w:kern w:val="0"/>
                <w:sz w:val="20"/>
                <w:szCs w:val="20"/>
              </w:rPr>
            </w:pPr>
            <w:r>
              <w:rPr>
                <w:rFonts w:hint="eastAsia"/>
                <w:kern w:val="0"/>
                <w:sz w:val="20"/>
                <w:szCs w:val="20"/>
              </w:rPr>
              <w:t>性能试验</w:t>
            </w:r>
          </w:p>
        </w:tc>
        <w:tc>
          <w:tcPr>
            <w:tcW w:w="2457" w:type="dxa"/>
            <w:vAlign w:val="center"/>
          </w:tcPr>
          <w:p w14:paraId="37718F9D">
            <w:pPr>
              <w:widowControl/>
              <w:jc w:val="center"/>
              <w:rPr>
                <w:kern w:val="0"/>
                <w:sz w:val="20"/>
                <w:szCs w:val="20"/>
              </w:rPr>
            </w:pPr>
            <w:r>
              <w:rPr>
                <w:kern w:val="0"/>
                <w:sz w:val="20"/>
                <w:szCs w:val="20"/>
              </w:rPr>
              <w:t>地面站软件性能试验</w:t>
            </w:r>
          </w:p>
        </w:tc>
        <w:tc>
          <w:tcPr>
            <w:tcW w:w="917" w:type="dxa"/>
            <w:vAlign w:val="center"/>
          </w:tcPr>
          <w:p w14:paraId="1A9F55E6">
            <w:pPr>
              <w:widowControl/>
              <w:jc w:val="center"/>
              <w:rPr>
                <w:szCs w:val="21"/>
              </w:rPr>
            </w:pPr>
            <w:r>
              <w:rPr>
                <w:rFonts w:hint="eastAsia"/>
                <w:szCs w:val="21"/>
              </w:rPr>
              <w:t>6.5.1</w:t>
            </w:r>
          </w:p>
        </w:tc>
        <w:tc>
          <w:tcPr>
            <w:tcW w:w="960" w:type="dxa"/>
            <w:vAlign w:val="center"/>
          </w:tcPr>
          <w:p w14:paraId="6DAF268D">
            <w:pPr>
              <w:widowControl/>
              <w:jc w:val="center"/>
              <w:rPr>
                <w:kern w:val="0"/>
                <w:sz w:val="20"/>
                <w:szCs w:val="20"/>
              </w:rPr>
            </w:pPr>
            <w:r>
              <w:rPr>
                <w:sz w:val="16"/>
                <w:szCs w:val="16"/>
              </w:rPr>
              <w:t>●</w:t>
            </w:r>
          </w:p>
        </w:tc>
        <w:tc>
          <w:tcPr>
            <w:tcW w:w="845" w:type="dxa"/>
            <w:vAlign w:val="center"/>
          </w:tcPr>
          <w:p w14:paraId="7366F2CB">
            <w:pPr>
              <w:widowControl/>
              <w:jc w:val="center"/>
              <w:rPr>
                <w:kern w:val="0"/>
                <w:sz w:val="20"/>
                <w:szCs w:val="20"/>
              </w:rPr>
            </w:pPr>
            <w:r>
              <w:rPr>
                <w:sz w:val="16"/>
                <w:szCs w:val="16"/>
              </w:rPr>
              <w:t>●</w:t>
            </w:r>
          </w:p>
        </w:tc>
        <w:tc>
          <w:tcPr>
            <w:tcW w:w="880" w:type="dxa"/>
            <w:vAlign w:val="center"/>
          </w:tcPr>
          <w:p w14:paraId="4F7D5473">
            <w:pPr>
              <w:widowControl/>
              <w:jc w:val="center"/>
              <w:rPr>
                <w:sz w:val="16"/>
                <w:szCs w:val="16"/>
              </w:rPr>
            </w:pPr>
            <w:r>
              <w:rPr>
                <w:sz w:val="16"/>
                <w:szCs w:val="16"/>
              </w:rPr>
              <w:t>●</w:t>
            </w:r>
          </w:p>
        </w:tc>
        <w:tc>
          <w:tcPr>
            <w:tcW w:w="880" w:type="dxa"/>
            <w:vAlign w:val="center"/>
          </w:tcPr>
          <w:p w14:paraId="161D9F9D">
            <w:pPr>
              <w:widowControl/>
              <w:jc w:val="center"/>
              <w:rPr>
                <w:sz w:val="16"/>
                <w:szCs w:val="16"/>
              </w:rPr>
            </w:pPr>
            <w:r>
              <w:rPr>
                <w:sz w:val="16"/>
                <w:szCs w:val="16"/>
              </w:rPr>
              <w:t>●</w:t>
            </w:r>
          </w:p>
        </w:tc>
        <w:tc>
          <w:tcPr>
            <w:tcW w:w="880" w:type="dxa"/>
            <w:vAlign w:val="center"/>
          </w:tcPr>
          <w:p w14:paraId="098109BA">
            <w:pPr>
              <w:widowControl/>
              <w:jc w:val="center"/>
              <w:rPr>
                <w:sz w:val="16"/>
                <w:szCs w:val="16"/>
              </w:rPr>
            </w:pPr>
            <w:r>
              <w:rPr>
                <w:sz w:val="16"/>
                <w:szCs w:val="16"/>
              </w:rPr>
              <w:t>●</w:t>
            </w:r>
          </w:p>
        </w:tc>
      </w:tr>
      <w:tr w14:paraId="4065F4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jc w:val="center"/>
        </w:trPr>
        <w:tc>
          <w:tcPr>
            <w:tcW w:w="558" w:type="dxa"/>
            <w:vMerge w:val="continue"/>
            <w:vAlign w:val="center"/>
          </w:tcPr>
          <w:p w14:paraId="71D7BBE8">
            <w:pPr>
              <w:widowControl/>
              <w:jc w:val="center"/>
              <w:rPr>
                <w:kern w:val="0"/>
                <w:sz w:val="20"/>
                <w:szCs w:val="20"/>
              </w:rPr>
            </w:pPr>
          </w:p>
        </w:tc>
        <w:tc>
          <w:tcPr>
            <w:tcW w:w="970" w:type="dxa"/>
            <w:vMerge w:val="continue"/>
            <w:vAlign w:val="center"/>
          </w:tcPr>
          <w:p w14:paraId="7C509835">
            <w:pPr>
              <w:widowControl/>
              <w:jc w:val="center"/>
              <w:rPr>
                <w:kern w:val="0"/>
                <w:sz w:val="20"/>
                <w:szCs w:val="20"/>
              </w:rPr>
            </w:pPr>
          </w:p>
        </w:tc>
        <w:tc>
          <w:tcPr>
            <w:tcW w:w="2457" w:type="dxa"/>
            <w:vAlign w:val="center"/>
          </w:tcPr>
          <w:p w14:paraId="3AEC1CDE">
            <w:pPr>
              <w:widowControl/>
              <w:jc w:val="center"/>
              <w:rPr>
                <w:kern w:val="0"/>
                <w:sz w:val="20"/>
                <w:szCs w:val="20"/>
              </w:rPr>
            </w:pPr>
            <w:r>
              <w:rPr>
                <w:kern w:val="0"/>
                <w:sz w:val="20"/>
                <w:szCs w:val="20"/>
              </w:rPr>
              <w:t>动力电池性能</w:t>
            </w:r>
            <w:r>
              <w:rPr>
                <w:rFonts w:hint="eastAsia"/>
                <w:kern w:val="0"/>
                <w:sz w:val="20"/>
                <w:szCs w:val="20"/>
              </w:rPr>
              <w:t>试验</w:t>
            </w:r>
          </w:p>
        </w:tc>
        <w:tc>
          <w:tcPr>
            <w:tcW w:w="917" w:type="dxa"/>
            <w:vAlign w:val="center"/>
          </w:tcPr>
          <w:p w14:paraId="0F1C54FB">
            <w:pPr>
              <w:widowControl/>
              <w:jc w:val="center"/>
              <w:rPr>
                <w:szCs w:val="21"/>
              </w:rPr>
            </w:pPr>
            <w:r>
              <w:rPr>
                <w:rFonts w:hint="eastAsia"/>
                <w:szCs w:val="21"/>
              </w:rPr>
              <w:t>6.5.2</w:t>
            </w:r>
          </w:p>
        </w:tc>
        <w:tc>
          <w:tcPr>
            <w:tcW w:w="960" w:type="dxa"/>
            <w:vAlign w:val="center"/>
          </w:tcPr>
          <w:p w14:paraId="4CF4DCFA">
            <w:pPr>
              <w:jc w:val="center"/>
              <w:rPr>
                <w:sz w:val="20"/>
                <w:szCs w:val="22"/>
              </w:rPr>
            </w:pPr>
            <w:r>
              <w:rPr>
                <w:sz w:val="16"/>
                <w:szCs w:val="16"/>
              </w:rPr>
              <w:t>●</w:t>
            </w:r>
          </w:p>
        </w:tc>
        <w:tc>
          <w:tcPr>
            <w:tcW w:w="845" w:type="dxa"/>
            <w:vAlign w:val="center"/>
          </w:tcPr>
          <w:p w14:paraId="68CE3AB6">
            <w:pPr>
              <w:jc w:val="center"/>
              <w:rPr>
                <w:sz w:val="20"/>
                <w:szCs w:val="22"/>
              </w:rPr>
            </w:pPr>
            <w:r>
              <w:rPr>
                <w:sz w:val="16"/>
                <w:szCs w:val="16"/>
              </w:rPr>
              <w:t>●</w:t>
            </w:r>
          </w:p>
        </w:tc>
        <w:tc>
          <w:tcPr>
            <w:tcW w:w="880" w:type="dxa"/>
            <w:vAlign w:val="center"/>
          </w:tcPr>
          <w:p w14:paraId="4AAF346E">
            <w:pPr>
              <w:jc w:val="center"/>
              <w:rPr>
                <w:b/>
                <w:sz w:val="16"/>
                <w:szCs w:val="16"/>
              </w:rPr>
            </w:pPr>
            <w:r>
              <w:rPr>
                <w:b/>
                <w:sz w:val="16"/>
                <w:szCs w:val="16"/>
              </w:rPr>
              <w:t>○</w:t>
            </w:r>
          </w:p>
        </w:tc>
        <w:tc>
          <w:tcPr>
            <w:tcW w:w="880" w:type="dxa"/>
            <w:vAlign w:val="center"/>
          </w:tcPr>
          <w:p w14:paraId="3E7B3169">
            <w:pPr>
              <w:jc w:val="center"/>
              <w:rPr>
                <w:b/>
                <w:sz w:val="16"/>
                <w:szCs w:val="16"/>
              </w:rPr>
            </w:pPr>
            <w:r>
              <w:rPr>
                <w:sz w:val="16"/>
                <w:szCs w:val="16"/>
              </w:rPr>
              <w:t>●</w:t>
            </w:r>
          </w:p>
        </w:tc>
        <w:tc>
          <w:tcPr>
            <w:tcW w:w="880" w:type="dxa"/>
            <w:vAlign w:val="center"/>
          </w:tcPr>
          <w:p w14:paraId="17234DA2">
            <w:pPr>
              <w:jc w:val="center"/>
              <w:rPr>
                <w:b/>
                <w:sz w:val="16"/>
                <w:szCs w:val="16"/>
              </w:rPr>
            </w:pPr>
            <w:r>
              <w:rPr>
                <w:b/>
                <w:sz w:val="16"/>
                <w:szCs w:val="16"/>
              </w:rPr>
              <w:t>○</w:t>
            </w:r>
          </w:p>
        </w:tc>
      </w:tr>
      <w:tr w14:paraId="76DB22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jc w:val="center"/>
        </w:trPr>
        <w:tc>
          <w:tcPr>
            <w:tcW w:w="558" w:type="dxa"/>
            <w:vMerge w:val="continue"/>
            <w:vAlign w:val="center"/>
          </w:tcPr>
          <w:p w14:paraId="22516DE5">
            <w:pPr>
              <w:widowControl/>
              <w:jc w:val="center"/>
              <w:rPr>
                <w:kern w:val="0"/>
                <w:sz w:val="20"/>
                <w:szCs w:val="20"/>
              </w:rPr>
            </w:pPr>
          </w:p>
        </w:tc>
        <w:tc>
          <w:tcPr>
            <w:tcW w:w="970" w:type="dxa"/>
            <w:vMerge w:val="continue"/>
            <w:vAlign w:val="center"/>
          </w:tcPr>
          <w:p w14:paraId="28F1C0BC">
            <w:pPr>
              <w:widowControl/>
              <w:jc w:val="center"/>
              <w:rPr>
                <w:kern w:val="0"/>
                <w:sz w:val="20"/>
                <w:szCs w:val="20"/>
              </w:rPr>
            </w:pPr>
          </w:p>
        </w:tc>
        <w:tc>
          <w:tcPr>
            <w:tcW w:w="2457" w:type="dxa"/>
            <w:vAlign w:val="center"/>
          </w:tcPr>
          <w:p w14:paraId="5D7BBE44">
            <w:pPr>
              <w:widowControl/>
              <w:jc w:val="center"/>
              <w:rPr>
                <w:kern w:val="0"/>
                <w:sz w:val="20"/>
                <w:szCs w:val="20"/>
              </w:rPr>
            </w:pPr>
            <w:r>
              <w:rPr>
                <w:rFonts w:hint="eastAsia"/>
                <w:kern w:val="0"/>
                <w:sz w:val="20"/>
                <w:szCs w:val="20"/>
              </w:rPr>
              <w:t>机械耐受</w:t>
            </w:r>
            <w:r>
              <w:rPr>
                <w:kern w:val="0"/>
                <w:sz w:val="20"/>
                <w:szCs w:val="20"/>
              </w:rPr>
              <w:t>性能</w:t>
            </w:r>
            <w:r>
              <w:rPr>
                <w:rFonts w:hint="eastAsia"/>
                <w:kern w:val="0"/>
                <w:sz w:val="20"/>
                <w:szCs w:val="20"/>
              </w:rPr>
              <w:t>试验</w:t>
            </w:r>
          </w:p>
        </w:tc>
        <w:tc>
          <w:tcPr>
            <w:tcW w:w="917" w:type="dxa"/>
            <w:vAlign w:val="center"/>
          </w:tcPr>
          <w:p w14:paraId="6F3F2BF7">
            <w:pPr>
              <w:widowControl/>
              <w:jc w:val="center"/>
              <w:rPr>
                <w:szCs w:val="21"/>
              </w:rPr>
            </w:pPr>
            <w:r>
              <w:rPr>
                <w:rFonts w:hint="eastAsia"/>
                <w:szCs w:val="21"/>
              </w:rPr>
              <w:t>6.5.3</w:t>
            </w:r>
          </w:p>
        </w:tc>
        <w:tc>
          <w:tcPr>
            <w:tcW w:w="960" w:type="dxa"/>
            <w:vAlign w:val="center"/>
          </w:tcPr>
          <w:p w14:paraId="658686D5">
            <w:pPr>
              <w:jc w:val="center"/>
              <w:rPr>
                <w:sz w:val="20"/>
                <w:szCs w:val="22"/>
              </w:rPr>
            </w:pPr>
            <w:r>
              <w:rPr>
                <w:sz w:val="16"/>
                <w:szCs w:val="16"/>
              </w:rPr>
              <w:t>●</w:t>
            </w:r>
          </w:p>
        </w:tc>
        <w:tc>
          <w:tcPr>
            <w:tcW w:w="845" w:type="dxa"/>
            <w:vAlign w:val="center"/>
          </w:tcPr>
          <w:p w14:paraId="74EF8CFE">
            <w:pPr>
              <w:jc w:val="center"/>
              <w:rPr>
                <w:sz w:val="20"/>
                <w:szCs w:val="22"/>
              </w:rPr>
            </w:pPr>
            <w:r>
              <w:rPr>
                <w:b/>
                <w:sz w:val="16"/>
                <w:szCs w:val="16"/>
              </w:rPr>
              <w:t>○</w:t>
            </w:r>
          </w:p>
        </w:tc>
        <w:tc>
          <w:tcPr>
            <w:tcW w:w="880" w:type="dxa"/>
            <w:vAlign w:val="center"/>
          </w:tcPr>
          <w:p w14:paraId="2500D088">
            <w:pPr>
              <w:jc w:val="center"/>
              <w:rPr>
                <w:b/>
                <w:sz w:val="16"/>
                <w:szCs w:val="16"/>
              </w:rPr>
            </w:pPr>
            <w:r>
              <w:rPr>
                <w:b/>
                <w:sz w:val="16"/>
                <w:szCs w:val="16"/>
              </w:rPr>
              <w:t>○</w:t>
            </w:r>
          </w:p>
        </w:tc>
        <w:tc>
          <w:tcPr>
            <w:tcW w:w="880" w:type="dxa"/>
            <w:vAlign w:val="center"/>
          </w:tcPr>
          <w:p w14:paraId="2B4CA662">
            <w:pPr>
              <w:jc w:val="center"/>
              <w:rPr>
                <w:b/>
                <w:sz w:val="16"/>
                <w:szCs w:val="16"/>
              </w:rPr>
            </w:pPr>
            <w:r>
              <w:rPr>
                <w:b/>
                <w:sz w:val="16"/>
                <w:szCs w:val="16"/>
              </w:rPr>
              <w:t>○</w:t>
            </w:r>
          </w:p>
        </w:tc>
        <w:tc>
          <w:tcPr>
            <w:tcW w:w="880" w:type="dxa"/>
            <w:vAlign w:val="center"/>
          </w:tcPr>
          <w:p w14:paraId="3697C130">
            <w:pPr>
              <w:jc w:val="center"/>
              <w:rPr>
                <w:b/>
                <w:sz w:val="16"/>
                <w:szCs w:val="16"/>
              </w:rPr>
            </w:pPr>
            <w:r>
              <w:rPr>
                <w:b/>
                <w:sz w:val="16"/>
                <w:szCs w:val="16"/>
              </w:rPr>
              <w:t>○</w:t>
            </w:r>
          </w:p>
        </w:tc>
      </w:tr>
      <w:tr w14:paraId="1D0486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558" w:type="dxa"/>
            <w:vMerge w:val="continue"/>
            <w:vAlign w:val="center"/>
          </w:tcPr>
          <w:p w14:paraId="4FB94812">
            <w:pPr>
              <w:widowControl/>
              <w:jc w:val="center"/>
              <w:rPr>
                <w:kern w:val="0"/>
                <w:sz w:val="20"/>
                <w:szCs w:val="20"/>
              </w:rPr>
            </w:pPr>
          </w:p>
        </w:tc>
        <w:tc>
          <w:tcPr>
            <w:tcW w:w="970" w:type="dxa"/>
            <w:vMerge w:val="continue"/>
            <w:vAlign w:val="center"/>
          </w:tcPr>
          <w:p w14:paraId="120EAC97">
            <w:pPr>
              <w:widowControl/>
              <w:jc w:val="center"/>
              <w:rPr>
                <w:kern w:val="0"/>
                <w:sz w:val="20"/>
                <w:szCs w:val="20"/>
              </w:rPr>
            </w:pPr>
          </w:p>
        </w:tc>
        <w:tc>
          <w:tcPr>
            <w:tcW w:w="2457" w:type="dxa"/>
            <w:vAlign w:val="center"/>
          </w:tcPr>
          <w:p w14:paraId="57FFCC5C">
            <w:pPr>
              <w:widowControl/>
              <w:jc w:val="center"/>
              <w:rPr>
                <w:kern w:val="0"/>
                <w:sz w:val="20"/>
                <w:szCs w:val="20"/>
              </w:rPr>
            </w:pPr>
            <w:r>
              <w:rPr>
                <w:rFonts w:hint="eastAsia"/>
                <w:kern w:val="0"/>
                <w:sz w:val="20"/>
                <w:szCs w:val="20"/>
              </w:rPr>
              <w:t>跌落性能试验</w:t>
            </w:r>
          </w:p>
        </w:tc>
        <w:tc>
          <w:tcPr>
            <w:tcW w:w="917" w:type="dxa"/>
            <w:vAlign w:val="center"/>
          </w:tcPr>
          <w:p w14:paraId="0B4FC569">
            <w:pPr>
              <w:widowControl/>
              <w:jc w:val="center"/>
              <w:rPr>
                <w:szCs w:val="21"/>
              </w:rPr>
            </w:pPr>
            <w:r>
              <w:rPr>
                <w:rFonts w:hint="eastAsia"/>
                <w:szCs w:val="21"/>
              </w:rPr>
              <w:t>6.5.4</w:t>
            </w:r>
          </w:p>
        </w:tc>
        <w:tc>
          <w:tcPr>
            <w:tcW w:w="960" w:type="dxa"/>
            <w:vAlign w:val="center"/>
          </w:tcPr>
          <w:p w14:paraId="0E54F469">
            <w:pPr>
              <w:jc w:val="center"/>
              <w:rPr>
                <w:sz w:val="20"/>
                <w:szCs w:val="22"/>
              </w:rPr>
            </w:pPr>
            <w:r>
              <w:rPr>
                <w:sz w:val="16"/>
                <w:szCs w:val="16"/>
              </w:rPr>
              <w:t>●</w:t>
            </w:r>
          </w:p>
        </w:tc>
        <w:tc>
          <w:tcPr>
            <w:tcW w:w="845" w:type="dxa"/>
            <w:vAlign w:val="center"/>
          </w:tcPr>
          <w:p w14:paraId="6C311A83">
            <w:pPr>
              <w:jc w:val="center"/>
              <w:rPr>
                <w:sz w:val="20"/>
                <w:szCs w:val="22"/>
              </w:rPr>
            </w:pPr>
            <w:r>
              <w:rPr>
                <w:b/>
                <w:sz w:val="16"/>
                <w:szCs w:val="16"/>
              </w:rPr>
              <w:t>○</w:t>
            </w:r>
          </w:p>
        </w:tc>
        <w:tc>
          <w:tcPr>
            <w:tcW w:w="880" w:type="dxa"/>
            <w:vAlign w:val="center"/>
          </w:tcPr>
          <w:p w14:paraId="32D30089">
            <w:pPr>
              <w:jc w:val="center"/>
              <w:rPr>
                <w:b/>
                <w:sz w:val="16"/>
                <w:szCs w:val="16"/>
              </w:rPr>
            </w:pPr>
            <w:r>
              <w:rPr>
                <w:b/>
                <w:sz w:val="16"/>
                <w:szCs w:val="16"/>
              </w:rPr>
              <w:t>○</w:t>
            </w:r>
          </w:p>
        </w:tc>
        <w:tc>
          <w:tcPr>
            <w:tcW w:w="880" w:type="dxa"/>
            <w:vAlign w:val="center"/>
          </w:tcPr>
          <w:p w14:paraId="63C865CD">
            <w:pPr>
              <w:jc w:val="center"/>
              <w:rPr>
                <w:b/>
                <w:sz w:val="16"/>
                <w:szCs w:val="16"/>
              </w:rPr>
            </w:pPr>
            <w:r>
              <w:rPr>
                <w:b/>
                <w:sz w:val="16"/>
                <w:szCs w:val="16"/>
              </w:rPr>
              <w:t>○</w:t>
            </w:r>
          </w:p>
        </w:tc>
        <w:tc>
          <w:tcPr>
            <w:tcW w:w="880" w:type="dxa"/>
            <w:vAlign w:val="center"/>
          </w:tcPr>
          <w:p w14:paraId="19F6681B">
            <w:pPr>
              <w:jc w:val="center"/>
              <w:rPr>
                <w:b/>
                <w:sz w:val="16"/>
                <w:szCs w:val="16"/>
              </w:rPr>
            </w:pPr>
            <w:r>
              <w:rPr>
                <w:b/>
                <w:sz w:val="16"/>
                <w:szCs w:val="16"/>
              </w:rPr>
              <w:t>○</w:t>
            </w:r>
          </w:p>
        </w:tc>
      </w:tr>
    </w:tbl>
    <w:p w14:paraId="519E8F00">
      <w:pPr>
        <w:pStyle w:val="452"/>
        <w:numPr>
          <w:ilvl w:val="0"/>
          <w:numId w:val="0"/>
        </w:numPr>
        <w:ind w:left="425"/>
        <w:rPr>
          <w:rFonts w:cs="Times New Roman"/>
          <w:color w:val="auto"/>
        </w:rPr>
      </w:pPr>
      <w:r>
        <w:rPr>
          <w:rFonts w:cs="Times New Roman"/>
          <w:color w:val="auto"/>
        </w:rPr>
        <w:t>备注：</w:t>
      </w:r>
    </w:p>
    <w:p w14:paraId="4AE0DFB8">
      <w:pPr>
        <w:pStyle w:val="452"/>
        <w:numPr>
          <w:ilvl w:val="0"/>
          <w:numId w:val="41"/>
        </w:numPr>
        <w:tabs>
          <w:tab w:val="clear" w:pos="900"/>
        </w:tabs>
        <w:spacing w:before="0" w:after="0" w:line="240" w:lineRule="auto"/>
        <w:ind w:left="780" w:hanging="360"/>
        <w:rPr>
          <w:rFonts w:hint="eastAsia" w:ascii="宋体" w:hAnsi="宋体" w:cs="Times New Roman"/>
          <w:color w:val="auto"/>
          <w:sz w:val="18"/>
          <w:szCs w:val="18"/>
        </w:rPr>
      </w:pPr>
      <w:r>
        <w:rPr>
          <w:rFonts w:ascii="宋体" w:hAnsi="宋体" w:cs="Times New Roman"/>
          <w:color w:val="auto"/>
          <w:sz w:val="18"/>
          <w:szCs w:val="18"/>
        </w:rPr>
        <w:t>●为必须开展的试验项目；</w:t>
      </w:r>
      <w:r>
        <w:rPr>
          <w:rFonts w:ascii="宋体" w:hAnsi="宋体" w:cs="Times New Roman"/>
          <w:b/>
          <w:color w:val="auto"/>
          <w:sz w:val="18"/>
          <w:szCs w:val="18"/>
        </w:rPr>
        <w:t>○</w:t>
      </w:r>
      <w:r>
        <w:rPr>
          <w:rFonts w:ascii="宋体" w:hAnsi="宋体" w:cs="Times New Roman"/>
          <w:color w:val="auto"/>
          <w:sz w:val="18"/>
          <w:szCs w:val="18"/>
        </w:rPr>
        <w:t>为选做试验项目（由项目单位决定试验方案）；</w:t>
      </w:r>
      <w:r>
        <w:rPr>
          <w:rFonts w:ascii="宋体" w:hAnsi="宋体" w:cs="Times New Roman"/>
          <w:b/>
          <w:color w:val="auto"/>
          <w:sz w:val="18"/>
          <w:szCs w:val="18"/>
        </w:rPr>
        <w:t>×</w:t>
      </w:r>
      <w:r>
        <w:rPr>
          <w:rFonts w:ascii="宋体" w:hAnsi="宋体" w:cs="Times New Roman"/>
          <w:color w:val="auto"/>
          <w:sz w:val="18"/>
          <w:szCs w:val="18"/>
        </w:rPr>
        <w:t>为无需开展的试验项目。</w:t>
      </w:r>
    </w:p>
    <w:p w14:paraId="2FF38530">
      <w:pPr>
        <w:pStyle w:val="452"/>
        <w:numPr>
          <w:ilvl w:val="0"/>
          <w:numId w:val="41"/>
        </w:numPr>
        <w:tabs>
          <w:tab w:val="clear" w:pos="900"/>
        </w:tabs>
        <w:spacing w:before="0" w:after="0" w:line="240" w:lineRule="auto"/>
        <w:ind w:left="780" w:hanging="360"/>
        <w:rPr>
          <w:rFonts w:hint="eastAsia" w:ascii="宋体" w:hAnsi="宋体" w:cs="Times New Roman"/>
          <w:color w:val="auto"/>
          <w:sz w:val="18"/>
          <w:szCs w:val="18"/>
        </w:rPr>
      </w:pPr>
      <w:r>
        <w:rPr>
          <w:rFonts w:ascii="宋体" w:hAnsi="宋体" w:cs="Times New Roman"/>
          <w:color w:val="auto"/>
          <w:sz w:val="18"/>
          <w:szCs w:val="18"/>
        </w:rPr>
        <w:t>第三方试验由具备相应试验项目资质的机构开展。</w:t>
      </w:r>
    </w:p>
    <w:p w14:paraId="2C495922">
      <w:pPr>
        <w:adjustRightInd w:val="0"/>
        <w:snapToGrid w:val="0"/>
        <w:spacing w:line="360" w:lineRule="auto"/>
        <w:ind w:firstLine="360" w:firstLineChars="200"/>
        <w:rPr>
          <w:szCs w:val="21"/>
        </w:rPr>
      </w:pPr>
      <w:r>
        <w:rPr>
          <w:sz w:val="18"/>
          <w:szCs w:val="18"/>
        </w:rPr>
        <w:t>出厂试验由供货方开展</w:t>
      </w:r>
      <w:r>
        <w:rPr>
          <w:rFonts w:hint="eastAsia"/>
          <w:szCs w:val="21"/>
        </w:rPr>
        <w:t>。</w:t>
      </w:r>
    </w:p>
    <w:p w14:paraId="14ED26E6">
      <w:pPr>
        <w:spacing w:line="480" w:lineRule="auto"/>
        <w:outlineLvl w:val="0"/>
        <w:rPr>
          <w:rFonts w:eastAsia="黑体"/>
          <w:b/>
          <w:bCs/>
          <w:szCs w:val="21"/>
        </w:rPr>
      </w:pPr>
      <w:bookmarkStart w:id="161" w:name="_Toc9628"/>
      <w:bookmarkStart w:id="162" w:name="_Toc9596"/>
      <w:bookmarkStart w:id="163" w:name="_Toc222991636"/>
      <w:bookmarkStart w:id="164" w:name="_Toc27494"/>
      <w:bookmarkStart w:id="165" w:name="_Toc76025498"/>
      <w:r>
        <w:rPr>
          <w:rFonts w:eastAsia="黑体"/>
          <w:b/>
          <w:bCs/>
          <w:szCs w:val="21"/>
        </w:rPr>
        <w:t>8 技术联络、技术培训及售后服务</w:t>
      </w:r>
      <w:bookmarkEnd w:id="161"/>
      <w:bookmarkEnd w:id="162"/>
      <w:bookmarkEnd w:id="163"/>
      <w:bookmarkEnd w:id="164"/>
      <w:bookmarkEnd w:id="165"/>
    </w:p>
    <w:p w14:paraId="68FA0C36">
      <w:pPr>
        <w:pStyle w:val="3"/>
        <w:spacing w:before="0" w:after="0" w:line="360" w:lineRule="auto"/>
        <w:rPr>
          <w:rFonts w:hint="eastAsia" w:ascii="黑体" w:hAnsi="黑体"/>
          <w:b w:val="0"/>
          <w:bCs/>
          <w:szCs w:val="21"/>
        </w:rPr>
      </w:pPr>
      <w:bookmarkStart w:id="166" w:name="_Toc11986"/>
      <w:bookmarkStart w:id="167" w:name="_Toc11557"/>
      <w:bookmarkStart w:id="168" w:name="_Toc76025499"/>
      <w:bookmarkStart w:id="169" w:name="_Toc2212"/>
      <w:bookmarkStart w:id="170" w:name="_Toc222991637"/>
      <w:r>
        <w:rPr>
          <w:rFonts w:hint="eastAsia" w:ascii="黑体" w:hAnsi="黑体"/>
          <w:b w:val="0"/>
          <w:bCs/>
          <w:szCs w:val="21"/>
        </w:rPr>
        <w:t>8.1 技术培训</w:t>
      </w:r>
      <w:bookmarkEnd w:id="166"/>
      <w:bookmarkEnd w:id="167"/>
      <w:bookmarkEnd w:id="168"/>
      <w:bookmarkEnd w:id="169"/>
      <w:bookmarkEnd w:id="170"/>
    </w:p>
    <w:p w14:paraId="5BB35878">
      <w:pPr>
        <w:spacing w:line="360" w:lineRule="auto"/>
        <w:ind w:firstLine="420" w:firstLineChars="200"/>
        <w:rPr>
          <w:szCs w:val="21"/>
        </w:rPr>
      </w:pPr>
      <w:r>
        <w:rPr>
          <w:rFonts w:hint="eastAsia"/>
          <w:szCs w:val="21"/>
        </w:rPr>
        <w:t>8.1.1 投标方应对用户提供技术培训和操作指导，投标方负责培训全部费用。招标方为南方电网公司下属相应的分子公司免费提供远程技术服务，远程技术服务项目期限不受限于保修期，远程技术服务在设备报废前有效。</w:t>
      </w:r>
    </w:p>
    <w:p w14:paraId="0A55E02B">
      <w:pPr>
        <w:spacing w:line="360" w:lineRule="auto"/>
        <w:ind w:firstLine="420" w:firstLineChars="200"/>
        <w:rPr>
          <w:szCs w:val="21"/>
        </w:rPr>
      </w:pPr>
      <w:r>
        <w:rPr>
          <w:rFonts w:hint="eastAsia"/>
          <w:szCs w:val="21"/>
        </w:rPr>
        <w:t>8.1.2 投标方提供培训应分为工厂培训和现场培训两种；</w:t>
      </w:r>
    </w:p>
    <w:p w14:paraId="1B858CAB">
      <w:pPr>
        <w:spacing w:line="360" w:lineRule="auto"/>
        <w:ind w:firstLine="420" w:firstLineChars="200"/>
        <w:rPr>
          <w:szCs w:val="21"/>
        </w:rPr>
      </w:pPr>
      <w:r>
        <w:rPr>
          <w:rFonts w:hint="eastAsia"/>
          <w:szCs w:val="21"/>
        </w:rPr>
        <w:t>8.1.3 投标方提供培训教师、培训安排、培训教材及培训设备；</w:t>
      </w:r>
    </w:p>
    <w:p w14:paraId="6D7234B1">
      <w:pPr>
        <w:spacing w:line="360" w:lineRule="auto"/>
        <w:ind w:firstLine="420" w:firstLineChars="200"/>
        <w:rPr>
          <w:szCs w:val="21"/>
        </w:rPr>
      </w:pPr>
      <w:r>
        <w:rPr>
          <w:rFonts w:hint="eastAsia"/>
          <w:szCs w:val="21"/>
        </w:rPr>
        <w:t>8.1.4 投标方应设计专门的培训课程，重点包括飞行器的整体使用方法，数据上传处理，常见故障排查处理等。培训内容包括以上但不限于此。</w:t>
      </w:r>
    </w:p>
    <w:p w14:paraId="515C4976">
      <w:pPr>
        <w:spacing w:line="360" w:lineRule="auto"/>
        <w:ind w:firstLine="420" w:firstLineChars="200"/>
        <w:rPr>
          <w:szCs w:val="21"/>
        </w:rPr>
      </w:pPr>
      <w:r>
        <w:rPr>
          <w:rFonts w:hint="eastAsia"/>
          <w:szCs w:val="21"/>
        </w:rPr>
        <w:t>8.1.5 培训时间不少2天。其中，交货后招标方所需开展培训的分子公司、基层单位、班站所各进行不少于2天时间的培训。</w:t>
      </w:r>
    </w:p>
    <w:p w14:paraId="5C7B01B7">
      <w:pPr>
        <w:spacing w:line="360" w:lineRule="auto"/>
        <w:ind w:firstLine="420" w:firstLineChars="200"/>
        <w:rPr>
          <w:szCs w:val="21"/>
        </w:rPr>
      </w:pPr>
      <w:r>
        <w:rPr>
          <w:rFonts w:hint="eastAsia"/>
          <w:szCs w:val="21"/>
        </w:rPr>
        <w:t>8.1.6培训人员每次不少3人。</w:t>
      </w:r>
    </w:p>
    <w:p w14:paraId="75FDBF1D">
      <w:pPr>
        <w:pStyle w:val="3"/>
        <w:spacing w:before="0" w:after="0" w:line="360" w:lineRule="auto"/>
        <w:rPr>
          <w:rFonts w:hint="eastAsia" w:ascii="黑体" w:hAnsi="黑体"/>
          <w:b w:val="0"/>
          <w:bCs/>
          <w:szCs w:val="21"/>
        </w:rPr>
      </w:pPr>
      <w:bookmarkStart w:id="171" w:name="_Toc23280"/>
      <w:bookmarkStart w:id="172" w:name="_Toc222991638"/>
      <w:bookmarkStart w:id="173" w:name="_Toc27226"/>
      <w:bookmarkStart w:id="174" w:name="_Toc16410"/>
      <w:bookmarkStart w:id="175" w:name="_Toc76025500"/>
      <w:r>
        <w:rPr>
          <w:rFonts w:hint="eastAsia" w:ascii="黑体" w:hAnsi="黑体"/>
          <w:b w:val="0"/>
          <w:bCs/>
          <w:szCs w:val="21"/>
        </w:rPr>
        <w:t>8.2 现场及远程技术服务</w:t>
      </w:r>
      <w:bookmarkEnd w:id="171"/>
      <w:bookmarkEnd w:id="172"/>
      <w:bookmarkEnd w:id="173"/>
      <w:bookmarkEnd w:id="174"/>
      <w:bookmarkEnd w:id="175"/>
    </w:p>
    <w:p w14:paraId="2299C27C">
      <w:pPr>
        <w:spacing w:line="360" w:lineRule="auto"/>
        <w:ind w:firstLine="420" w:firstLineChars="200"/>
        <w:rPr>
          <w:szCs w:val="21"/>
        </w:rPr>
      </w:pPr>
      <w:r>
        <w:rPr>
          <w:rFonts w:hint="eastAsia"/>
          <w:szCs w:val="21"/>
        </w:rPr>
        <w:t>8.2.1 投标方派出的工程师，在设备的安装接线、调试和测试期间，应负责指导。</w:t>
      </w:r>
    </w:p>
    <w:p w14:paraId="7FC6C7C4">
      <w:pPr>
        <w:spacing w:line="360" w:lineRule="auto"/>
        <w:ind w:firstLine="420" w:firstLineChars="200"/>
        <w:rPr>
          <w:szCs w:val="21"/>
        </w:rPr>
      </w:pPr>
      <w:r>
        <w:rPr>
          <w:rFonts w:hint="eastAsia"/>
          <w:szCs w:val="21"/>
        </w:rPr>
        <w:t>8.2.2 投标方派出的工程师，还应负责对买方的安装及维护人员进行现场培训，教会他们如何启动、操作及维护设备。</w:t>
      </w:r>
    </w:p>
    <w:p w14:paraId="07EA974D">
      <w:pPr>
        <w:spacing w:line="360" w:lineRule="auto"/>
        <w:ind w:firstLine="420" w:firstLineChars="200"/>
        <w:rPr>
          <w:szCs w:val="21"/>
        </w:rPr>
      </w:pPr>
      <w:r>
        <w:rPr>
          <w:rFonts w:hint="eastAsia"/>
          <w:szCs w:val="21"/>
        </w:rPr>
        <w:t>8.2.3 投标方应免费提供远程技术服务，远程技术服务项目期限不受限于保修期，远程技术服务在设备报废前有效。</w:t>
      </w:r>
    </w:p>
    <w:p w14:paraId="4DBB2A6E">
      <w:pPr>
        <w:spacing w:line="360" w:lineRule="auto"/>
        <w:ind w:firstLine="420" w:firstLineChars="200"/>
        <w:rPr>
          <w:szCs w:val="21"/>
        </w:rPr>
      </w:pPr>
      <w:r>
        <w:rPr>
          <w:rFonts w:hint="eastAsia"/>
          <w:szCs w:val="21"/>
        </w:rPr>
        <w:t xml:space="preserve">8.2.4 </w:t>
      </w:r>
      <w:r>
        <w:rPr>
          <w:rFonts w:hint="eastAsia" w:ascii="宋体" w:hAnsi="宋体" w:cs="宋体"/>
          <w:szCs w:val="21"/>
        </w:rPr>
        <w:t>招标方通过网络直播等方式每年组织1次设备使用及日常维护培训课程。</w:t>
      </w:r>
    </w:p>
    <w:p w14:paraId="2057A66A">
      <w:pPr>
        <w:pStyle w:val="3"/>
        <w:spacing w:before="0" w:after="0" w:line="360" w:lineRule="auto"/>
        <w:rPr>
          <w:rFonts w:hint="eastAsia" w:ascii="黑体" w:hAnsi="黑体"/>
          <w:b w:val="0"/>
          <w:bCs/>
          <w:szCs w:val="21"/>
        </w:rPr>
      </w:pPr>
      <w:bookmarkStart w:id="176" w:name="_Toc12832"/>
      <w:bookmarkStart w:id="177" w:name="_Toc76025501"/>
      <w:bookmarkStart w:id="178" w:name="_Toc26710"/>
      <w:bookmarkStart w:id="179" w:name="_Toc3146"/>
      <w:bookmarkStart w:id="180" w:name="_Toc222991639"/>
      <w:r>
        <w:rPr>
          <w:rFonts w:ascii="黑体" w:hAnsi="黑体"/>
          <w:b w:val="0"/>
          <w:bCs/>
          <w:szCs w:val="21"/>
        </w:rPr>
        <w:t xml:space="preserve">8.3 </w:t>
      </w:r>
      <w:r>
        <w:rPr>
          <w:rFonts w:hint="eastAsia" w:ascii="黑体" w:hAnsi="黑体"/>
          <w:b w:val="0"/>
          <w:bCs/>
          <w:szCs w:val="21"/>
        </w:rPr>
        <w:t>售后服务</w:t>
      </w:r>
      <w:bookmarkEnd w:id="176"/>
      <w:bookmarkEnd w:id="177"/>
      <w:bookmarkEnd w:id="178"/>
      <w:bookmarkEnd w:id="179"/>
      <w:bookmarkEnd w:id="180"/>
    </w:p>
    <w:p w14:paraId="5D97EBED">
      <w:pPr>
        <w:spacing w:line="360" w:lineRule="auto"/>
        <w:ind w:firstLine="420" w:firstLineChars="200"/>
        <w:rPr>
          <w:szCs w:val="21"/>
        </w:rPr>
      </w:pPr>
      <w:r>
        <w:rPr>
          <w:rFonts w:hint="eastAsia"/>
          <w:szCs w:val="21"/>
        </w:rPr>
        <w:t>8.3.1 设备的质保期为自对账单全部设备到货验收合格并移交之日起不短于正常运行12个月内（供方承诺的质保期若长于上述时间，则按承诺时间执行）。设备在规定的质保期内，发生缺陷，或者由于设计错误、材料、工艺、制造、装配、发送等原因造成的损坏，或是不满足合同的要求，招标方以书面方式同事投标方，投标方应立即免费更换这些有损坏和缺陷的设备。</w:t>
      </w:r>
    </w:p>
    <w:p w14:paraId="2842BE83">
      <w:pPr>
        <w:spacing w:line="360" w:lineRule="auto"/>
        <w:ind w:firstLine="420" w:firstLineChars="200"/>
        <w:rPr>
          <w:szCs w:val="21"/>
        </w:rPr>
      </w:pPr>
      <w:r>
        <w:rPr>
          <w:rFonts w:hint="eastAsia"/>
          <w:szCs w:val="21"/>
        </w:rPr>
        <w:t>8.3.2 在接到招标方通知后，投标方虽努力改进，但仍不满足相关要求，招标方可处理或更换这些设备，由此引起的一切费用由投标方承担。</w:t>
      </w:r>
    </w:p>
    <w:p w14:paraId="6A8EC503">
      <w:pPr>
        <w:spacing w:line="360" w:lineRule="auto"/>
        <w:ind w:firstLine="420" w:firstLineChars="200"/>
        <w:rPr>
          <w:szCs w:val="21"/>
        </w:rPr>
      </w:pPr>
      <w:r>
        <w:rPr>
          <w:rFonts w:hint="eastAsia"/>
          <w:szCs w:val="21"/>
        </w:rPr>
        <w:t>8.3.</w:t>
      </w:r>
      <w:r>
        <w:rPr>
          <w:rFonts w:hint="eastAsia"/>
          <w:szCs w:val="21"/>
          <w:lang w:val="en-US" w:eastAsia="zh-CN"/>
        </w:rPr>
        <w:t>3</w:t>
      </w:r>
      <w:bookmarkStart w:id="249" w:name="_GoBack"/>
      <w:bookmarkEnd w:id="249"/>
      <w:r>
        <w:rPr>
          <w:rFonts w:hint="eastAsia"/>
          <w:szCs w:val="21"/>
        </w:rPr>
        <w:t xml:space="preserve"> 投标单位应提高售后处理服务水平和质量，质保期内在接到使用单位报障后，应在15日内处理完毕，确保使用单位策略按时完成。</w:t>
      </w:r>
    </w:p>
    <w:p w14:paraId="0229008D">
      <w:pPr>
        <w:spacing w:line="480" w:lineRule="auto"/>
        <w:outlineLvl w:val="0"/>
        <w:rPr>
          <w:rFonts w:eastAsia="黑体"/>
          <w:b/>
          <w:bCs/>
          <w:szCs w:val="21"/>
        </w:rPr>
      </w:pPr>
      <w:bookmarkStart w:id="181" w:name="_Toc10446"/>
      <w:bookmarkStart w:id="182" w:name="_Toc356999080"/>
      <w:bookmarkStart w:id="183" w:name="_Toc222991640"/>
      <w:bookmarkStart w:id="184" w:name="_Toc76025502"/>
      <w:bookmarkStart w:id="185" w:name="_Toc347154882"/>
      <w:bookmarkStart w:id="186" w:name="_Toc28748"/>
      <w:bookmarkStart w:id="187" w:name="_Toc20285"/>
      <w:bookmarkStart w:id="188" w:name="_Toc265313600"/>
      <w:r>
        <w:rPr>
          <w:rFonts w:eastAsia="黑体"/>
          <w:b/>
          <w:bCs/>
          <w:szCs w:val="21"/>
        </w:rPr>
        <w:t>9 标志、包装、运输、贮存</w:t>
      </w:r>
      <w:bookmarkEnd w:id="181"/>
      <w:bookmarkEnd w:id="182"/>
      <w:bookmarkEnd w:id="183"/>
      <w:bookmarkEnd w:id="184"/>
      <w:bookmarkEnd w:id="185"/>
      <w:bookmarkEnd w:id="186"/>
      <w:bookmarkEnd w:id="187"/>
    </w:p>
    <w:bookmarkEnd w:id="188"/>
    <w:p w14:paraId="7A06C962">
      <w:pPr>
        <w:pStyle w:val="3"/>
        <w:spacing w:before="0" w:after="0" w:line="360" w:lineRule="auto"/>
        <w:rPr>
          <w:rFonts w:hint="eastAsia" w:ascii="黑体" w:hAnsi="黑体"/>
          <w:b w:val="0"/>
          <w:bCs/>
          <w:szCs w:val="21"/>
        </w:rPr>
      </w:pPr>
      <w:bookmarkStart w:id="189" w:name="_Toc276490918"/>
      <w:bookmarkStart w:id="190" w:name="_Toc276301528"/>
      <w:bookmarkStart w:id="191" w:name="_Toc66780580"/>
      <w:bookmarkStart w:id="192" w:name="_Toc279695209"/>
      <w:bookmarkStart w:id="193" w:name="_Toc276492436"/>
      <w:bookmarkStart w:id="194" w:name="_Toc282993364"/>
      <w:bookmarkStart w:id="195" w:name="_Toc282433760"/>
      <w:bookmarkStart w:id="196" w:name="_Toc20607"/>
      <w:bookmarkStart w:id="197" w:name="_Toc441508857"/>
      <w:bookmarkStart w:id="198" w:name="_Toc222991641"/>
      <w:bookmarkStart w:id="199" w:name="_Toc76025503"/>
      <w:bookmarkStart w:id="200" w:name="_Toc387609309"/>
      <w:bookmarkStart w:id="201" w:name="_Toc22883"/>
      <w:bookmarkStart w:id="202" w:name="_Toc13875"/>
      <w:bookmarkStart w:id="203" w:name="_Toc322681878"/>
      <w:r>
        <w:rPr>
          <w:rFonts w:ascii="黑体" w:hAnsi="黑体"/>
          <w:b w:val="0"/>
          <w:bCs/>
          <w:szCs w:val="21"/>
        </w:rPr>
        <w:t>9.1 包装</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71689C3A">
      <w:pPr>
        <w:adjustRightInd w:val="0"/>
        <w:snapToGrid w:val="0"/>
        <w:spacing w:line="360" w:lineRule="auto"/>
        <w:ind w:firstLine="420" w:firstLineChars="200"/>
        <w:rPr>
          <w:szCs w:val="21"/>
        </w:rPr>
      </w:pPr>
      <w:bookmarkStart w:id="204" w:name="_Toc276301529"/>
      <w:bookmarkStart w:id="205" w:name="_Toc276492437"/>
      <w:bookmarkStart w:id="206" w:name="_Toc276490919"/>
      <w:r>
        <w:rPr>
          <w:rFonts w:hint="eastAsia"/>
          <w:szCs w:val="21"/>
        </w:rPr>
        <w:t>1）投标方应根据双方商定好的标准和招标方的实际运输条件</w:t>
      </w:r>
      <w:r>
        <w:rPr>
          <w:szCs w:val="21"/>
        </w:rPr>
        <w:t>，</w:t>
      </w:r>
      <w:r>
        <w:rPr>
          <w:rFonts w:hint="eastAsia"/>
          <w:szCs w:val="21"/>
        </w:rPr>
        <w:t>将所有零部件包装好</w:t>
      </w:r>
      <w:r>
        <w:rPr>
          <w:szCs w:val="21"/>
        </w:rPr>
        <w:t>，</w:t>
      </w:r>
      <w:r>
        <w:rPr>
          <w:rFonts w:hint="eastAsia"/>
          <w:szCs w:val="21"/>
        </w:rPr>
        <w:t>并将全套使用说明书</w:t>
      </w:r>
      <w:r>
        <w:rPr>
          <w:szCs w:val="21"/>
        </w:rPr>
        <w:t>，</w:t>
      </w:r>
      <w:r>
        <w:rPr>
          <w:rFonts w:hint="eastAsia"/>
          <w:szCs w:val="21"/>
        </w:rPr>
        <w:t>产品合格证明书、产品外形尺寸图、运输尺寸图、产品拆卸件一览表、装箱单、铭牌图或铭牌标志图及备件一览表等包装好</w:t>
      </w:r>
      <w:r>
        <w:rPr>
          <w:szCs w:val="21"/>
        </w:rPr>
        <w:t>，</w:t>
      </w:r>
      <w:r>
        <w:rPr>
          <w:rFonts w:hint="eastAsia"/>
          <w:szCs w:val="21"/>
        </w:rPr>
        <w:t>防止受潮。从投标方发货至招标方收到期间</w:t>
      </w:r>
      <w:r>
        <w:rPr>
          <w:szCs w:val="21"/>
        </w:rPr>
        <w:t>，</w:t>
      </w:r>
      <w:r>
        <w:rPr>
          <w:rFonts w:hint="eastAsia"/>
          <w:szCs w:val="21"/>
        </w:rPr>
        <w:t>设备和资料应完好无损。</w:t>
      </w:r>
    </w:p>
    <w:p w14:paraId="553E55EE">
      <w:pPr>
        <w:adjustRightInd w:val="0"/>
        <w:snapToGrid w:val="0"/>
        <w:spacing w:line="360" w:lineRule="auto"/>
        <w:ind w:firstLine="420" w:firstLineChars="200"/>
        <w:rPr>
          <w:szCs w:val="21"/>
        </w:rPr>
      </w:pPr>
      <w:r>
        <w:rPr>
          <w:rFonts w:hint="eastAsia"/>
          <w:szCs w:val="21"/>
        </w:rPr>
        <w:t>2）包装箱应连续编号</w:t>
      </w:r>
      <w:r>
        <w:rPr>
          <w:szCs w:val="21"/>
        </w:rPr>
        <w:t>，</w:t>
      </w:r>
      <w:r>
        <w:rPr>
          <w:rFonts w:hint="eastAsia"/>
          <w:szCs w:val="21"/>
        </w:rPr>
        <w:t>不能有重号。</w:t>
      </w:r>
    </w:p>
    <w:p w14:paraId="537364D9">
      <w:pPr>
        <w:adjustRightInd w:val="0"/>
        <w:snapToGrid w:val="0"/>
        <w:spacing w:line="360" w:lineRule="auto"/>
        <w:ind w:firstLine="420" w:firstLineChars="200"/>
        <w:rPr>
          <w:szCs w:val="21"/>
        </w:rPr>
      </w:pPr>
      <w:r>
        <w:rPr>
          <w:rFonts w:hint="eastAsia"/>
          <w:szCs w:val="21"/>
        </w:rPr>
        <w:t>零部件、材料启运前投标方应按下述内容在箱面上写不褪色的醒目标志</w:t>
      </w:r>
      <w:r>
        <w:rPr>
          <w:szCs w:val="21"/>
        </w:rPr>
        <w:t>：</w:t>
      </w:r>
    </w:p>
    <w:p w14:paraId="0CF0CD6D">
      <w:pPr>
        <w:adjustRightInd w:val="0"/>
        <w:snapToGrid w:val="0"/>
        <w:spacing w:line="360" w:lineRule="auto"/>
        <w:ind w:firstLine="630" w:firstLineChars="300"/>
        <w:rPr>
          <w:szCs w:val="21"/>
        </w:rPr>
      </w:pPr>
      <w:r>
        <w:rPr>
          <w:rFonts w:hint="eastAsia"/>
          <w:szCs w:val="21"/>
        </w:rPr>
        <w:t>a.合同号</w:t>
      </w:r>
      <w:r>
        <w:rPr>
          <w:szCs w:val="21"/>
        </w:rPr>
        <w:t>；</w:t>
      </w:r>
    </w:p>
    <w:p w14:paraId="0D0573FE">
      <w:pPr>
        <w:adjustRightInd w:val="0"/>
        <w:snapToGrid w:val="0"/>
        <w:spacing w:line="360" w:lineRule="auto"/>
        <w:ind w:firstLine="630" w:firstLineChars="300"/>
        <w:rPr>
          <w:szCs w:val="21"/>
        </w:rPr>
      </w:pPr>
      <w:r>
        <w:rPr>
          <w:rFonts w:hint="eastAsia"/>
          <w:szCs w:val="21"/>
        </w:rPr>
        <w:t>d.收货人及代码</w:t>
      </w:r>
      <w:r>
        <w:rPr>
          <w:szCs w:val="21"/>
        </w:rPr>
        <w:t>；</w:t>
      </w:r>
    </w:p>
    <w:p w14:paraId="253F7CE4">
      <w:pPr>
        <w:adjustRightInd w:val="0"/>
        <w:snapToGrid w:val="0"/>
        <w:spacing w:line="360" w:lineRule="auto"/>
        <w:ind w:firstLine="630" w:firstLineChars="300"/>
        <w:rPr>
          <w:szCs w:val="21"/>
        </w:rPr>
      </w:pPr>
      <w:r>
        <w:rPr>
          <w:rFonts w:hint="eastAsia"/>
          <w:szCs w:val="21"/>
        </w:rPr>
        <w:t>e.设备名称和项目号</w:t>
      </w:r>
      <w:r>
        <w:rPr>
          <w:szCs w:val="21"/>
        </w:rPr>
        <w:t>；</w:t>
      </w:r>
    </w:p>
    <w:p w14:paraId="0FA6F15A">
      <w:pPr>
        <w:adjustRightInd w:val="0"/>
        <w:snapToGrid w:val="0"/>
        <w:spacing w:line="360" w:lineRule="auto"/>
        <w:ind w:firstLine="630" w:firstLineChars="300"/>
        <w:rPr>
          <w:szCs w:val="21"/>
        </w:rPr>
      </w:pPr>
      <w:r>
        <w:rPr>
          <w:rFonts w:hint="eastAsia"/>
          <w:szCs w:val="21"/>
        </w:rPr>
        <w:t>f.箱号</w:t>
      </w:r>
      <w:r>
        <w:rPr>
          <w:szCs w:val="21"/>
        </w:rPr>
        <w:t>；</w:t>
      </w:r>
    </w:p>
    <w:p w14:paraId="1285B7DB">
      <w:pPr>
        <w:adjustRightInd w:val="0"/>
        <w:snapToGrid w:val="0"/>
        <w:spacing w:line="360" w:lineRule="auto"/>
        <w:ind w:firstLine="630" w:firstLineChars="300"/>
        <w:rPr>
          <w:szCs w:val="21"/>
        </w:rPr>
      </w:pPr>
      <w:r>
        <w:rPr>
          <w:rFonts w:hint="eastAsia"/>
          <w:szCs w:val="21"/>
        </w:rPr>
        <w:t>g.毛重与净重</w:t>
      </w:r>
      <w:r>
        <w:rPr>
          <w:szCs w:val="21"/>
        </w:rPr>
        <w:t>；</w:t>
      </w:r>
    </w:p>
    <w:p w14:paraId="2EEAFBD7">
      <w:pPr>
        <w:adjustRightInd w:val="0"/>
        <w:snapToGrid w:val="0"/>
        <w:spacing w:line="360" w:lineRule="auto"/>
        <w:ind w:firstLine="630" w:firstLineChars="300"/>
        <w:rPr>
          <w:szCs w:val="21"/>
        </w:rPr>
      </w:pPr>
      <w:r>
        <w:rPr>
          <w:rFonts w:hint="eastAsia"/>
          <w:szCs w:val="21"/>
        </w:rPr>
        <w:t>h.外形尺寸</w:t>
      </w:r>
      <w:r>
        <w:rPr>
          <w:szCs w:val="21"/>
        </w:rPr>
        <w:t>；</w:t>
      </w:r>
    </w:p>
    <w:p w14:paraId="07CC3230">
      <w:pPr>
        <w:adjustRightInd w:val="0"/>
        <w:snapToGrid w:val="0"/>
        <w:spacing w:line="360" w:lineRule="auto"/>
        <w:ind w:firstLine="630" w:firstLineChars="300"/>
        <w:rPr>
          <w:szCs w:val="21"/>
        </w:rPr>
      </w:pPr>
      <w:r>
        <w:rPr>
          <w:rFonts w:hint="eastAsia"/>
          <w:szCs w:val="21"/>
        </w:rPr>
        <w:t>i.在设备的包装箱外面应标上“重心”、“起吊点”、“小心搬运”、“正面向上”、“防止受潮”、“勿倒”、“勿倾斜”、“防火”等字样。</w:t>
      </w:r>
    </w:p>
    <w:p w14:paraId="3FAE0F10">
      <w:pPr>
        <w:adjustRightInd w:val="0"/>
        <w:snapToGrid w:val="0"/>
        <w:spacing w:line="360" w:lineRule="auto"/>
        <w:ind w:firstLine="420" w:firstLineChars="200"/>
        <w:rPr>
          <w:szCs w:val="21"/>
        </w:rPr>
      </w:pPr>
      <w:r>
        <w:rPr>
          <w:rFonts w:hint="eastAsia"/>
          <w:szCs w:val="21"/>
        </w:rPr>
        <w:t>3）投标方提供的技术文件的包装内外表面上应有如下中文标志</w:t>
      </w:r>
      <w:r>
        <w:rPr>
          <w:szCs w:val="21"/>
        </w:rPr>
        <w:t>：</w:t>
      </w:r>
    </w:p>
    <w:p w14:paraId="1384B86D">
      <w:pPr>
        <w:adjustRightInd w:val="0"/>
        <w:snapToGrid w:val="0"/>
        <w:spacing w:line="360" w:lineRule="auto"/>
        <w:ind w:firstLine="630" w:firstLineChars="300"/>
        <w:rPr>
          <w:szCs w:val="21"/>
        </w:rPr>
      </w:pPr>
      <w:r>
        <w:rPr>
          <w:rFonts w:hint="eastAsia"/>
          <w:szCs w:val="21"/>
        </w:rPr>
        <w:t>a.合同号</w:t>
      </w:r>
      <w:r>
        <w:rPr>
          <w:szCs w:val="21"/>
        </w:rPr>
        <w:t>；</w:t>
      </w:r>
    </w:p>
    <w:p w14:paraId="65A3D861">
      <w:pPr>
        <w:adjustRightInd w:val="0"/>
        <w:snapToGrid w:val="0"/>
        <w:spacing w:line="360" w:lineRule="auto"/>
        <w:ind w:firstLine="630" w:firstLineChars="300"/>
        <w:rPr>
          <w:szCs w:val="21"/>
        </w:rPr>
      </w:pPr>
      <w:r>
        <w:rPr>
          <w:rFonts w:hint="eastAsia"/>
          <w:szCs w:val="21"/>
        </w:rPr>
        <w:t>b.收货人</w:t>
      </w:r>
      <w:r>
        <w:rPr>
          <w:szCs w:val="21"/>
        </w:rPr>
        <w:t>；</w:t>
      </w:r>
    </w:p>
    <w:p w14:paraId="59B0F693">
      <w:pPr>
        <w:adjustRightInd w:val="0"/>
        <w:snapToGrid w:val="0"/>
        <w:spacing w:line="360" w:lineRule="auto"/>
        <w:ind w:firstLine="630" w:firstLineChars="300"/>
        <w:rPr>
          <w:szCs w:val="21"/>
        </w:rPr>
      </w:pPr>
      <w:r>
        <w:rPr>
          <w:rFonts w:hint="eastAsia"/>
          <w:szCs w:val="21"/>
        </w:rPr>
        <w:t>c.目的地</w:t>
      </w:r>
      <w:r>
        <w:rPr>
          <w:szCs w:val="21"/>
        </w:rPr>
        <w:t>；</w:t>
      </w:r>
    </w:p>
    <w:p w14:paraId="74F05079">
      <w:pPr>
        <w:adjustRightInd w:val="0"/>
        <w:snapToGrid w:val="0"/>
        <w:spacing w:line="360" w:lineRule="auto"/>
        <w:ind w:firstLine="630" w:firstLineChars="300"/>
        <w:rPr>
          <w:szCs w:val="21"/>
        </w:rPr>
      </w:pPr>
      <w:r>
        <w:rPr>
          <w:rFonts w:hint="eastAsia"/>
          <w:szCs w:val="21"/>
        </w:rPr>
        <w:t>d.毛重</w:t>
      </w:r>
      <w:r>
        <w:rPr>
          <w:szCs w:val="21"/>
        </w:rPr>
        <w:t>；</w:t>
      </w:r>
    </w:p>
    <w:p w14:paraId="424C2173">
      <w:pPr>
        <w:adjustRightInd w:val="0"/>
        <w:snapToGrid w:val="0"/>
        <w:spacing w:line="360" w:lineRule="auto"/>
        <w:ind w:firstLine="630" w:firstLineChars="300"/>
        <w:rPr>
          <w:szCs w:val="21"/>
        </w:rPr>
      </w:pPr>
      <w:r>
        <w:rPr>
          <w:rFonts w:hint="eastAsia"/>
          <w:szCs w:val="21"/>
        </w:rPr>
        <w:t>e.箱号。</w:t>
      </w:r>
    </w:p>
    <w:p w14:paraId="7DAC1D67">
      <w:pPr>
        <w:adjustRightInd w:val="0"/>
        <w:snapToGrid w:val="0"/>
        <w:spacing w:line="360" w:lineRule="auto"/>
        <w:ind w:firstLine="420" w:firstLineChars="200"/>
        <w:rPr>
          <w:szCs w:val="21"/>
        </w:rPr>
      </w:pPr>
      <w:r>
        <w:rPr>
          <w:rFonts w:hint="eastAsia"/>
          <w:szCs w:val="21"/>
        </w:rPr>
        <w:t>4）招投标双方应在合同中明确规定多旋翼无人机巡检系统各部件的保管期应在合同中明确规定。</w:t>
      </w:r>
    </w:p>
    <w:p w14:paraId="4EF0F672">
      <w:pPr>
        <w:adjustRightInd w:val="0"/>
        <w:snapToGrid w:val="0"/>
        <w:spacing w:line="360" w:lineRule="auto"/>
        <w:ind w:firstLine="420" w:firstLineChars="200"/>
        <w:rPr>
          <w:szCs w:val="21"/>
        </w:rPr>
      </w:pPr>
      <w:r>
        <w:rPr>
          <w:rFonts w:hint="eastAsia"/>
          <w:szCs w:val="21"/>
        </w:rPr>
        <w:t>5）在设备启运后一周内</w:t>
      </w:r>
      <w:r>
        <w:rPr>
          <w:szCs w:val="21"/>
        </w:rPr>
        <w:t>，</w:t>
      </w:r>
      <w:r>
        <w:rPr>
          <w:rFonts w:hint="eastAsia"/>
          <w:szCs w:val="21"/>
        </w:rPr>
        <w:t>投标方应以最快捷的方式通知招标方以下内容</w:t>
      </w:r>
      <w:r>
        <w:rPr>
          <w:szCs w:val="21"/>
        </w:rPr>
        <w:t>：</w:t>
      </w:r>
    </w:p>
    <w:p w14:paraId="0D2B6156">
      <w:pPr>
        <w:adjustRightInd w:val="0"/>
        <w:snapToGrid w:val="0"/>
        <w:spacing w:line="360" w:lineRule="auto"/>
        <w:ind w:firstLine="630" w:firstLineChars="300"/>
        <w:rPr>
          <w:szCs w:val="21"/>
        </w:rPr>
      </w:pPr>
      <w:r>
        <w:rPr>
          <w:rFonts w:hint="eastAsia"/>
          <w:szCs w:val="21"/>
        </w:rPr>
        <w:t>a.设备名称</w:t>
      </w:r>
      <w:r>
        <w:rPr>
          <w:szCs w:val="21"/>
        </w:rPr>
        <w:t>；</w:t>
      </w:r>
    </w:p>
    <w:p w14:paraId="5441E5A0">
      <w:pPr>
        <w:adjustRightInd w:val="0"/>
        <w:snapToGrid w:val="0"/>
        <w:spacing w:line="360" w:lineRule="auto"/>
        <w:ind w:firstLine="630" w:firstLineChars="300"/>
        <w:rPr>
          <w:szCs w:val="21"/>
        </w:rPr>
      </w:pPr>
      <w:r>
        <w:rPr>
          <w:rFonts w:hint="eastAsia"/>
          <w:szCs w:val="21"/>
        </w:rPr>
        <w:t>b.件数、件号、重量</w:t>
      </w:r>
      <w:r>
        <w:rPr>
          <w:szCs w:val="21"/>
        </w:rPr>
        <w:t>；</w:t>
      </w:r>
    </w:p>
    <w:p w14:paraId="7F130C9A">
      <w:pPr>
        <w:adjustRightInd w:val="0"/>
        <w:snapToGrid w:val="0"/>
        <w:spacing w:line="360" w:lineRule="auto"/>
        <w:ind w:firstLine="630" w:firstLineChars="300"/>
        <w:rPr>
          <w:szCs w:val="21"/>
        </w:rPr>
      </w:pPr>
      <w:r>
        <w:rPr>
          <w:rFonts w:hint="eastAsia"/>
          <w:szCs w:val="21"/>
        </w:rPr>
        <w:t>c.合同号</w:t>
      </w:r>
      <w:r>
        <w:rPr>
          <w:szCs w:val="21"/>
        </w:rPr>
        <w:t>；</w:t>
      </w:r>
    </w:p>
    <w:p w14:paraId="18D77C37">
      <w:pPr>
        <w:adjustRightInd w:val="0"/>
        <w:snapToGrid w:val="0"/>
        <w:spacing w:line="360" w:lineRule="auto"/>
        <w:ind w:firstLine="630" w:firstLineChars="300"/>
        <w:rPr>
          <w:szCs w:val="21"/>
        </w:rPr>
      </w:pPr>
      <w:r>
        <w:rPr>
          <w:rFonts w:hint="eastAsia"/>
          <w:szCs w:val="21"/>
        </w:rPr>
        <w:t>d.货运单号</w:t>
      </w:r>
      <w:r>
        <w:rPr>
          <w:szCs w:val="21"/>
        </w:rPr>
        <w:t>；</w:t>
      </w:r>
    </w:p>
    <w:p w14:paraId="1DC4FEA8">
      <w:pPr>
        <w:adjustRightInd w:val="0"/>
        <w:snapToGrid w:val="0"/>
        <w:spacing w:line="360" w:lineRule="auto"/>
        <w:ind w:firstLine="630" w:firstLineChars="300"/>
        <w:rPr>
          <w:szCs w:val="21"/>
        </w:rPr>
      </w:pPr>
      <w:r>
        <w:rPr>
          <w:rFonts w:hint="eastAsia"/>
          <w:szCs w:val="21"/>
        </w:rPr>
        <w:t>f.设备发出日期。</w:t>
      </w:r>
    </w:p>
    <w:p w14:paraId="296A411C">
      <w:pPr>
        <w:adjustRightInd w:val="0"/>
        <w:snapToGrid w:val="0"/>
        <w:spacing w:line="360" w:lineRule="auto"/>
        <w:ind w:firstLine="420" w:firstLineChars="200"/>
        <w:rPr>
          <w:szCs w:val="21"/>
        </w:rPr>
      </w:pPr>
      <w:r>
        <w:rPr>
          <w:szCs w:val="21"/>
        </w:rPr>
        <w:t>6</w:t>
      </w:r>
      <w:r>
        <w:rPr>
          <w:rFonts w:hint="eastAsia"/>
          <w:szCs w:val="21"/>
        </w:rPr>
        <w:t>）运输、贮存直到交付使用时应保护所有组、部件不得损坏、不得进水和受潮。</w:t>
      </w:r>
    </w:p>
    <w:p w14:paraId="6C508CFC">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投标方所供的设备和附件，在货运途中需外包防雨防潮胶袋，用纸皮箱包封运输，纸皮箱间需加塞泡沫防震层，采取有效的防雨、防潮、防震措施，以适应远途运输的要求。</w:t>
      </w:r>
    </w:p>
    <w:p w14:paraId="693D9A21">
      <w:pPr>
        <w:adjustRightInd w:val="0"/>
        <w:snapToGrid w:val="0"/>
        <w:spacing w:line="360" w:lineRule="auto"/>
        <w:ind w:firstLine="420" w:firstLineChars="200"/>
        <w:rPr>
          <w:rFonts w:hint="eastAsia" w:ascii="宋体" w:hAnsi="宋体" w:cs="宋体"/>
          <w:szCs w:val="21"/>
        </w:rPr>
      </w:pPr>
      <w:r>
        <w:rPr>
          <w:rFonts w:hint="eastAsia"/>
          <w:szCs w:val="21"/>
        </w:rPr>
        <w:t>7）</w:t>
      </w:r>
      <w:r>
        <w:rPr>
          <w:rFonts w:hint="eastAsia" w:ascii="宋体" w:hAnsi="宋体" w:cs="宋体"/>
          <w:szCs w:val="21"/>
        </w:rPr>
        <w:t>所有设备分别包装、装箱、或采取其他防护措施，以避免设备在运输过程中散失、损坏或被盗。</w:t>
      </w:r>
    </w:p>
    <w:p w14:paraId="7B4EC41E">
      <w:pPr>
        <w:pStyle w:val="3"/>
        <w:spacing w:before="0" w:after="0" w:line="360" w:lineRule="auto"/>
        <w:rPr>
          <w:rFonts w:hint="eastAsia" w:ascii="黑体" w:hAnsi="黑体"/>
          <w:b w:val="0"/>
          <w:bCs/>
          <w:szCs w:val="21"/>
        </w:rPr>
      </w:pPr>
      <w:bookmarkStart w:id="207" w:name="_Toc66780581"/>
      <w:bookmarkStart w:id="208" w:name="_Toc387609310"/>
      <w:bookmarkStart w:id="209" w:name="_Toc222991642"/>
      <w:bookmarkStart w:id="210" w:name="_Toc282993365"/>
      <w:bookmarkStart w:id="211" w:name="_Toc441508858"/>
      <w:bookmarkStart w:id="212" w:name="_Toc322681879"/>
      <w:bookmarkStart w:id="213" w:name="_Toc282433761"/>
      <w:bookmarkStart w:id="214" w:name="_Toc26470"/>
      <w:bookmarkStart w:id="215" w:name="_Toc28140"/>
      <w:bookmarkStart w:id="216" w:name="_Toc279695210"/>
      <w:bookmarkStart w:id="217" w:name="_Toc9547"/>
      <w:bookmarkStart w:id="218" w:name="_Toc76025504"/>
      <w:r>
        <w:rPr>
          <w:rFonts w:ascii="黑体" w:hAnsi="黑体"/>
          <w:b w:val="0"/>
          <w:bCs/>
          <w:szCs w:val="21"/>
        </w:rPr>
        <w:t>9.2</w:t>
      </w:r>
      <w:r>
        <w:rPr>
          <w:rFonts w:hint="eastAsia" w:ascii="黑体" w:hAnsi="黑体"/>
          <w:b w:val="0"/>
          <w:bCs/>
          <w:szCs w:val="21"/>
        </w:rPr>
        <w:t xml:space="preserve"> </w:t>
      </w:r>
      <w:r>
        <w:rPr>
          <w:rFonts w:ascii="黑体" w:hAnsi="黑体"/>
          <w:b w:val="0"/>
          <w:bCs/>
          <w:szCs w:val="21"/>
        </w:rPr>
        <w:t>运输</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17C6B4D4">
      <w:pPr>
        <w:adjustRightInd w:val="0"/>
        <w:snapToGrid w:val="0"/>
        <w:spacing w:line="360" w:lineRule="auto"/>
        <w:ind w:firstLine="420" w:firstLineChars="200"/>
        <w:rPr>
          <w:szCs w:val="21"/>
        </w:rPr>
      </w:pPr>
      <w:r>
        <w:rPr>
          <w:rFonts w:hint="eastAsia"/>
          <w:szCs w:val="21"/>
        </w:rPr>
        <w:t>a.制造厂应充分考虑运输条件及路、桥运输重量，并应编制运输方案、确定最大单件的尺寸及运输单重。</w:t>
      </w:r>
    </w:p>
    <w:p w14:paraId="3D13DB4B">
      <w:pPr>
        <w:adjustRightInd w:val="0"/>
        <w:snapToGrid w:val="0"/>
        <w:spacing w:line="360" w:lineRule="auto"/>
        <w:ind w:firstLine="420" w:firstLineChars="200"/>
        <w:rPr>
          <w:szCs w:val="21"/>
        </w:rPr>
      </w:pPr>
      <w:r>
        <w:rPr>
          <w:rFonts w:hint="eastAsia"/>
          <w:szCs w:val="21"/>
        </w:rPr>
        <w:t>b.制造厂负责将设备安全地运到运行单位指定地点，并负责设备卸车落地。制造厂应做到设备在任何运输过程中不受损坏。制造厂应考虑到设备在船运和陆运运输中，可能受到的最大加速度所产生的冲击力而不松动、不损坏、不变形。</w:t>
      </w:r>
    </w:p>
    <w:p w14:paraId="3DD0A184">
      <w:pPr>
        <w:adjustRightInd w:val="0"/>
        <w:snapToGrid w:val="0"/>
        <w:spacing w:line="360" w:lineRule="auto"/>
        <w:ind w:firstLine="420" w:firstLineChars="200"/>
        <w:rPr>
          <w:szCs w:val="21"/>
        </w:rPr>
      </w:pPr>
      <w:r>
        <w:rPr>
          <w:rFonts w:hint="eastAsia"/>
          <w:szCs w:val="21"/>
        </w:rPr>
        <w:t>c.备品备件、专用工具和仪器应与附属设备同时装运，并明显标记，以便与提供的其它设备相区别。</w:t>
      </w:r>
    </w:p>
    <w:p w14:paraId="07D1138F">
      <w:pPr>
        <w:adjustRightInd w:val="0"/>
        <w:snapToGrid w:val="0"/>
        <w:spacing w:line="360" w:lineRule="auto"/>
        <w:ind w:firstLine="420" w:firstLineChars="200"/>
        <w:rPr>
          <w:rFonts w:hint="eastAsia" w:ascii="宋体" w:hAnsi="宋体" w:cs="宋体"/>
          <w:szCs w:val="21"/>
        </w:rPr>
      </w:pPr>
      <w:r>
        <w:rPr>
          <w:rFonts w:hint="eastAsia"/>
          <w:szCs w:val="21"/>
        </w:rPr>
        <w:t>d.</w:t>
      </w:r>
      <w:r>
        <w:rPr>
          <w:rFonts w:hint="eastAsia" w:ascii="宋体" w:hAnsi="宋体" w:cs="宋体"/>
          <w:szCs w:val="21"/>
        </w:rPr>
        <w:t>在设备到达目的地后，由招标方组织用户方和投标方参加开箱检查接收。如果发现任一设备有偏差、损坏、损失、遗漏或数量、质量、技术规范因投标方的责任与供货需求不符，招标方有权不予接收，并按招标方要求补齐或者更换。</w:t>
      </w:r>
    </w:p>
    <w:p w14:paraId="7AE7F6D0">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e.从投标方到用户方指定的目的地的运输由投标方负责。</w:t>
      </w:r>
    </w:p>
    <w:p w14:paraId="2FF48DAA">
      <w:pPr>
        <w:pStyle w:val="3"/>
        <w:spacing w:before="0" w:after="0" w:line="360" w:lineRule="auto"/>
        <w:rPr>
          <w:rFonts w:hint="eastAsia" w:ascii="黑体" w:hAnsi="黑体"/>
          <w:b w:val="0"/>
          <w:bCs/>
          <w:szCs w:val="21"/>
        </w:rPr>
      </w:pPr>
      <w:bookmarkStart w:id="219" w:name="_Toc276492438"/>
      <w:bookmarkStart w:id="220" w:name="_Toc276301530"/>
      <w:bookmarkStart w:id="221" w:name="_Toc276490920"/>
      <w:bookmarkStart w:id="222" w:name="_Toc322681880"/>
      <w:bookmarkStart w:id="223" w:name="_Toc387609311"/>
      <w:bookmarkStart w:id="224" w:name="_Toc76025505"/>
      <w:bookmarkStart w:id="225" w:name="_Toc66780582"/>
      <w:bookmarkStart w:id="226" w:name="_Toc32409"/>
      <w:bookmarkStart w:id="227" w:name="_Toc222991643"/>
      <w:bookmarkStart w:id="228" w:name="_Toc282993366"/>
      <w:bookmarkStart w:id="229" w:name="_Toc29575"/>
      <w:bookmarkStart w:id="230" w:name="_Toc282433762"/>
      <w:bookmarkStart w:id="231" w:name="_Toc441508859"/>
      <w:bookmarkStart w:id="232" w:name="_Toc19897"/>
      <w:bookmarkStart w:id="233" w:name="_Toc279695211"/>
      <w:r>
        <w:rPr>
          <w:rFonts w:ascii="黑体" w:hAnsi="黑体"/>
          <w:b w:val="0"/>
          <w:bCs/>
          <w:szCs w:val="21"/>
        </w:rPr>
        <w:t>9.3</w:t>
      </w:r>
      <w:r>
        <w:rPr>
          <w:rFonts w:hint="eastAsia" w:ascii="黑体" w:hAnsi="黑体"/>
          <w:b w:val="0"/>
          <w:bCs/>
          <w:szCs w:val="21"/>
        </w:rPr>
        <w:t xml:space="preserve"> </w:t>
      </w:r>
      <w:r>
        <w:rPr>
          <w:rFonts w:ascii="黑体" w:hAnsi="黑体"/>
          <w:b w:val="0"/>
          <w:bCs/>
          <w:szCs w:val="21"/>
        </w:rPr>
        <w:t>组装</w:t>
      </w:r>
      <w:bookmarkEnd w:id="219"/>
      <w:bookmarkEnd w:id="220"/>
      <w:bookmarkEnd w:id="221"/>
      <w:r>
        <w:rPr>
          <w:rFonts w:ascii="黑体" w:hAnsi="黑体"/>
          <w:b w:val="0"/>
          <w:bCs/>
          <w:szCs w:val="21"/>
        </w:rPr>
        <w:t>指导</w:t>
      </w:r>
      <w:bookmarkEnd w:id="222"/>
      <w:bookmarkEnd w:id="223"/>
      <w:bookmarkEnd w:id="224"/>
      <w:bookmarkEnd w:id="225"/>
      <w:bookmarkEnd w:id="226"/>
      <w:bookmarkEnd w:id="227"/>
      <w:bookmarkEnd w:id="228"/>
      <w:bookmarkEnd w:id="229"/>
      <w:bookmarkEnd w:id="230"/>
      <w:bookmarkEnd w:id="231"/>
      <w:bookmarkEnd w:id="232"/>
      <w:bookmarkEnd w:id="233"/>
    </w:p>
    <w:p w14:paraId="53EB6F39">
      <w:pPr>
        <w:adjustRightInd w:val="0"/>
        <w:snapToGrid w:val="0"/>
        <w:spacing w:line="360" w:lineRule="auto"/>
        <w:ind w:firstLine="420" w:firstLineChars="200"/>
        <w:rPr>
          <w:szCs w:val="21"/>
        </w:rPr>
      </w:pPr>
      <w:r>
        <w:rPr>
          <w:rFonts w:hint="eastAsia"/>
          <w:szCs w:val="21"/>
        </w:rPr>
        <w:t>制造厂在组装和初期（至少3个架次）使用时应安排技术人员提供现场组装指导服务，提出技术建议，并有对运行人员提供相关培训的义务。</w:t>
      </w:r>
    </w:p>
    <w:p w14:paraId="0A16CDF4">
      <w:pPr>
        <w:pStyle w:val="3"/>
        <w:spacing w:before="0" w:after="0" w:line="360" w:lineRule="auto"/>
        <w:rPr>
          <w:rFonts w:hint="eastAsia" w:ascii="黑体" w:hAnsi="黑体"/>
          <w:b w:val="0"/>
          <w:bCs/>
          <w:szCs w:val="21"/>
        </w:rPr>
      </w:pPr>
      <w:bookmarkStart w:id="234" w:name="_Toc222991644"/>
      <w:bookmarkStart w:id="235" w:name="_Toc322681881"/>
      <w:bookmarkStart w:id="236" w:name="_Toc76025506"/>
      <w:bookmarkStart w:id="237" w:name="_Toc21449"/>
      <w:bookmarkStart w:id="238" w:name="_Toc282433763"/>
      <w:bookmarkStart w:id="239" w:name="_Toc66780583"/>
      <w:bookmarkStart w:id="240" w:name="_Toc441508860"/>
      <w:bookmarkStart w:id="241" w:name="_Toc387609312"/>
      <w:bookmarkStart w:id="242" w:name="_Toc282993367"/>
      <w:bookmarkStart w:id="243" w:name="_Toc3697"/>
      <w:bookmarkStart w:id="244" w:name="_Toc16709"/>
      <w:r>
        <w:rPr>
          <w:rFonts w:ascii="黑体" w:hAnsi="黑体"/>
          <w:b w:val="0"/>
          <w:bCs/>
          <w:szCs w:val="21"/>
        </w:rPr>
        <w:t>9.4</w:t>
      </w:r>
      <w:r>
        <w:rPr>
          <w:rFonts w:hint="eastAsia" w:ascii="黑体" w:hAnsi="黑体"/>
          <w:b w:val="0"/>
          <w:bCs/>
          <w:szCs w:val="21"/>
        </w:rPr>
        <w:t xml:space="preserve"> </w:t>
      </w:r>
      <w:r>
        <w:rPr>
          <w:rFonts w:ascii="黑体" w:hAnsi="黑体"/>
          <w:b w:val="0"/>
          <w:bCs/>
          <w:szCs w:val="21"/>
        </w:rPr>
        <w:t>质量保证</w:t>
      </w:r>
      <w:bookmarkEnd w:id="234"/>
      <w:bookmarkEnd w:id="235"/>
      <w:bookmarkEnd w:id="236"/>
      <w:bookmarkEnd w:id="237"/>
      <w:bookmarkEnd w:id="238"/>
      <w:bookmarkEnd w:id="239"/>
      <w:bookmarkEnd w:id="240"/>
      <w:bookmarkEnd w:id="241"/>
      <w:bookmarkEnd w:id="242"/>
      <w:bookmarkEnd w:id="243"/>
      <w:bookmarkEnd w:id="244"/>
    </w:p>
    <w:p w14:paraId="27E7C0DD">
      <w:pPr>
        <w:adjustRightInd w:val="0"/>
        <w:snapToGrid w:val="0"/>
        <w:spacing w:line="360" w:lineRule="auto"/>
        <w:ind w:firstLine="420" w:firstLineChars="200"/>
        <w:rPr>
          <w:szCs w:val="21"/>
        </w:rPr>
      </w:pPr>
      <w:r>
        <w:rPr>
          <w:rFonts w:hint="eastAsia"/>
          <w:szCs w:val="21"/>
        </w:rPr>
        <w:t>1）全部设备必须是全新的，持久耐用的，应满足作为一个完整产品所能满足的全部要求。投标方应保证设备在规定的使用条件下使用、并按使用说明书进行组装和维护，设备的预期寿命应不少于8年</w:t>
      </w:r>
      <w:r>
        <w:rPr>
          <w:szCs w:val="21"/>
        </w:rPr>
        <w:t>。</w:t>
      </w:r>
    </w:p>
    <w:p w14:paraId="00DEB31C">
      <w:pPr>
        <w:adjustRightInd w:val="0"/>
        <w:snapToGrid w:val="0"/>
        <w:spacing w:line="360" w:lineRule="auto"/>
        <w:ind w:firstLine="420" w:firstLineChars="200"/>
        <w:rPr>
          <w:szCs w:val="21"/>
        </w:rPr>
      </w:pPr>
      <w:r>
        <w:rPr>
          <w:rFonts w:hint="eastAsia"/>
          <w:szCs w:val="21"/>
        </w:rPr>
        <w:t>2）产品质保期为自对账单全部设备到货验收合格并移交之日起不短于正常运行一年内（供方承诺的质保期若长于上述时间，则按承诺时间执行）。质保期内所有零部件发生非人为原因损坏时，投标方负责免费维修或更换。之后如发生产品损坏，投标方应及时为本套系统提供维修部件和服务，并按最近的投标价提供。</w:t>
      </w:r>
    </w:p>
    <w:p w14:paraId="7A89DDF5">
      <w:pPr>
        <w:adjustRightInd w:val="0"/>
        <w:snapToGrid w:val="0"/>
        <w:spacing w:line="360" w:lineRule="auto"/>
        <w:ind w:firstLine="420" w:firstLineChars="200"/>
        <w:rPr>
          <w:szCs w:val="21"/>
        </w:rPr>
      </w:pPr>
      <w:r>
        <w:rPr>
          <w:rFonts w:hint="eastAsia"/>
          <w:szCs w:val="21"/>
        </w:rPr>
        <w:t>3）投标方应保证制造过程中的所有工艺、材料试验等</w:t>
      </w:r>
      <w:r>
        <w:rPr>
          <w:szCs w:val="21"/>
        </w:rPr>
        <w:t>（</w:t>
      </w:r>
      <w:r>
        <w:rPr>
          <w:rFonts w:hint="eastAsia"/>
          <w:szCs w:val="21"/>
        </w:rPr>
        <w:t>包括投标方的外购件在内</w:t>
      </w:r>
      <w:r>
        <w:rPr>
          <w:szCs w:val="21"/>
        </w:rPr>
        <w:t>）</w:t>
      </w:r>
      <w:r>
        <w:rPr>
          <w:rFonts w:hint="eastAsia"/>
          <w:szCs w:val="21"/>
        </w:rPr>
        <w:t>均应符合本标准的规定。若招标方根据使用经验指定投标方提供某种外购零部件</w:t>
      </w:r>
      <w:r>
        <w:rPr>
          <w:szCs w:val="21"/>
        </w:rPr>
        <w:t>，</w:t>
      </w:r>
      <w:r>
        <w:rPr>
          <w:rFonts w:hint="eastAsia"/>
          <w:szCs w:val="21"/>
        </w:rPr>
        <w:t>投标方应积极配合。</w:t>
      </w:r>
    </w:p>
    <w:p w14:paraId="16150754">
      <w:pPr>
        <w:adjustRightInd w:val="0"/>
        <w:snapToGrid w:val="0"/>
        <w:spacing w:line="360" w:lineRule="auto"/>
        <w:ind w:firstLine="420" w:firstLineChars="200"/>
        <w:rPr>
          <w:szCs w:val="21"/>
        </w:rPr>
      </w:pPr>
      <w:r>
        <w:rPr>
          <w:rFonts w:hint="eastAsia"/>
          <w:szCs w:val="21"/>
        </w:rPr>
        <w:t>4）附属及配套设备必须满足有关行业标准的要求</w:t>
      </w:r>
      <w:r>
        <w:rPr>
          <w:szCs w:val="21"/>
        </w:rPr>
        <w:t xml:space="preserve">， </w:t>
      </w:r>
      <w:r>
        <w:rPr>
          <w:rFonts w:hint="eastAsia"/>
          <w:szCs w:val="21"/>
        </w:rPr>
        <w:t>并提供试验报告和产品合格证。</w:t>
      </w:r>
    </w:p>
    <w:p w14:paraId="3FC6E22E">
      <w:pPr>
        <w:adjustRightInd w:val="0"/>
        <w:snapToGrid w:val="0"/>
        <w:spacing w:line="360" w:lineRule="auto"/>
        <w:ind w:firstLine="420" w:firstLineChars="200"/>
        <w:rPr>
          <w:szCs w:val="21"/>
        </w:rPr>
      </w:pPr>
      <w:r>
        <w:rPr>
          <w:rFonts w:hint="eastAsia" w:ascii="宋体" w:hAnsi="宋体" w:cs="宋体"/>
          <w:szCs w:val="21"/>
        </w:rPr>
        <w:t>投标方应根据国家标准和制造厂标准进行出厂试验，对其所供的设备进行全面的检查与试验，并提供出厂试验报告。</w:t>
      </w:r>
    </w:p>
    <w:p w14:paraId="4BDFCF2F">
      <w:pPr>
        <w:adjustRightInd w:val="0"/>
        <w:snapToGrid w:val="0"/>
        <w:spacing w:line="360" w:lineRule="auto"/>
        <w:ind w:firstLine="420" w:firstLineChars="200"/>
        <w:rPr>
          <w:szCs w:val="21"/>
        </w:rPr>
      </w:pPr>
      <w:r>
        <w:rPr>
          <w:rFonts w:hint="eastAsia"/>
          <w:szCs w:val="21"/>
        </w:rPr>
        <w:t>5）投标方应有遵守本标准中各条款和工作项目的</w:t>
      </w:r>
      <w:r>
        <w:rPr>
          <w:szCs w:val="21"/>
        </w:rPr>
        <w:t>ISO900</w:t>
      </w:r>
      <w:r>
        <w:rPr>
          <w:rFonts w:hint="eastAsia"/>
          <w:szCs w:val="21"/>
        </w:rPr>
        <w:t>0-</w:t>
      </w:r>
      <w:r>
        <w:rPr>
          <w:szCs w:val="21"/>
        </w:rPr>
        <w:t>GB/T1900</w:t>
      </w:r>
      <w:r>
        <w:rPr>
          <w:rFonts w:hint="eastAsia"/>
          <w:szCs w:val="21"/>
        </w:rPr>
        <w:t>0质量保证体系</w:t>
      </w:r>
      <w:r>
        <w:rPr>
          <w:szCs w:val="21"/>
        </w:rPr>
        <w:t xml:space="preserve">， </w:t>
      </w:r>
      <w:r>
        <w:rPr>
          <w:rFonts w:hint="eastAsia"/>
          <w:szCs w:val="21"/>
        </w:rPr>
        <w:t>该质量保证体系已经通过国家认证并在正常运转。</w:t>
      </w:r>
    </w:p>
    <w:p w14:paraId="641C1B0F">
      <w:pPr>
        <w:adjustRightInd w:val="0"/>
        <w:snapToGrid w:val="0"/>
        <w:spacing w:line="360" w:lineRule="auto"/>
        <w:ind w:firstLine="420" w:firstLineChars="200"/>
        <w:rPr>
          <w:szCs w:val="21"/>
        </w:rPr>
      </w:pPr>
      <w:r>
        <w:rPr>
          <w:rFonts w:hint="eastAsia"/>
          <w:szCs w:val="21"/>
        </w:rPr>
        <w:t>6）投标方所供的设备应可接入招标方机巡管理等相关系统进行实时定位监控，符合国家及招标方飞行动态数据管理、实时动态监控、安全管控、巡检航线任务执行等要求。</w:t>
      </w:r>
    </w:p>
    <w:p w14:paraId="2546F840">
      <w:pPr>
        <w:pStyle w:val="3"/>
        <w:spacing w:before="0" w:after="0" w:line="360" w:lineRule="auto"/>
        <w:rPr>
          <w:rFonts w:hint="eastAsia" w:ascii="黑体" w:hAnsi="黑体"/>
          <w:b w:val="0"/>
          <w:bCs/>
          <w:szCs w:val="21"/>
        </w:rPr>
      </w:pPr>
      <w:bookmarkStart w:id="245" w:name="_Toc29263"/>
      <w:bookmarkStart w:id="246" w:name="_Toc21661"/>
      <w:bookmarkStart w:id="247" w:name="_Toc222991645"/>
      <w:bookmarkStart w:id="248" w:name="_Toc23887"/>
      <w:r>
        <w:rPr>
          <w:rFonts w:hint="eastAsia" w:ascii="黑体" w:hAnsi="黑体"/>
          <w:b w:val="0"/>
          <w:bCs/>
          <w:szCs w:val="21"/>
        </w:rPr>
        <w:t>9.5 设备验收</w:t>
      </w:r>
      <w:bookmarkEnd w:id="245"/>
      <w:bookmarkEnd w:id="246"/>
      <w:bookmarkEnd w:id="247"/>
      <w:bookmarkEnd w:id="248"/>
    </w:p>
    <w:p w14:paraId="2EAE7502">
      <w:pPr>
        <w:spacing w:line="360" w:lineRule="auto"/>
        <w:ind w:firstLine="420" w:firstLineChars="200"/>
        <w:jc w:val="left"/>
        <w:rPr>
          <w:rFonts w:hint="eastAsia" w:ascii="宋体" w:hAnsi="宋体" w:cs="宋体"/>
          <w:szCs w:val="21"/>
        </w:rPr>
      </w:pPr>
      <w:r>
        <w:rPr>
          <w:rFonts w:hint="eastAsia" w:ascii="宋体" w:hAnsi="宋体" w:cs="宋体"/>
          <w:szCs w:val="21"/>
        </w:rPr>
        <w:t>1）中标方应在合同规定时间内，将招标范围内所界定的工作完成，并将完整的成套设备及附件和技术文件通过双方认可的验收后，交付给采购的分子公司，其中包括：</w:t>
      </w:r>
    </w:p>
    <w:p w14:paraId="75CBABAF">
      <w:pPr>
        <w:spacing w:line="360" w:lineRule="auto"/>
        <w:ind w:firstLine="420" w:firstLineChars="200"/>
        <w:jc w:val="left"/>
        <w:rPr>
          <w:rFonts w:hint="eastAsia" w:ascii="宋体" w:hAnsi="宋体" w:cs="宋体"/>
          <w:szCs w:val="21"/>
        </w:rPr>
      </w:pPr>
      <w:r>
        <w:rPr>
          <w:rFonts w:hint="eastAsia" w:ascii="宋体" w:hAnsi="宋体" w:cs="宋体"/>
          <w:szCs w:val="21"/>
        </w:rPr>
        <w:t>a.满足本文件的项目目标和相应的技术要求、业务要求的完整的可最终良好运行的设备和附件；</w:t>
      </w:r>
    </w:p>
    <w:p w14:paraId="2186503D">
      <w:pPr>
        <w:spacing w:line="360" w:lineRule="auto"/>
        <w:ind w:left="630" w:leftChars="200" w:hanging="210" w:hangingChars="100"/>
        <w:jc w:val="left"/>
        <w:rPr>
          <w:rFonts w:hint="eastAsia" w:ascii="宋体" w:hAnsi="宋体" w:cs="宋体"/>
          <w:szCs w:val="21"/>
        </w:rPr>
      </w:pPr>
      <w:r>
        <w:rPr>
          <w:rFonts w:hint="eastAsia" w:ascii="宋体" w:hAnsi="宋体" w:cs="宋体"/>
          <w:szCs w:val="21"/>
        </w:rPr>
        <w:t>b.应包括但不限于满足确保设备正常运行所需的操作及维护有关的全套技术文件。</w:t>
      </w:r>
    </w:p>
    <w:p w14:paraId="469F14FA">
      <w:pPr>
        <w:spacing w:line="360" w:lineRule="auto"/>
        <w:ind w:firstLine="420" w:firstLineChars="200"/>
        <w:jc w:val="left"/>
        <w:rPr>
          <w:rFonts w:hint="eastAsia" w:ascii="宋体" w:hAnsi="宋体" w:cs="宋体"/>
          <w:szCs w:val="21"/>
        </w:rPr>
      </w:pPr>
      <w:r>
        <w:rPr>
          <w:rFonts w:hint="eastAsia" w:ascii="宋体" w:hAnsi="宋体" w:cs="宋体"/>
          <w:szCs w:val="21"/>
        </w:rPr>
        <w:t>c.验收时若发现设备或附件存在由中标方造成的缺陷或不符合本技术条件要求时，中标方应无条件更换设备或附件。</w:t>
      </w:r>
    </w:p>
    <w:sectPr>
      <w:footerReference r:id="rId10" w:type="default"/>
      <w:pgSz w:w="11906" w:h="16838"/>
      <w:pgMar w:top="1418" w:right="1418" w:bottom="1418" w:left="141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ˎ̥">
    <w:altName w:val="宋体"/>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长城仿宋">
    <w:altName w:val="宋体"/>
    <w:panose1 w:val="00000000000000000000"/>
    <w:charset w:val="86"/>
    <w:family w:val="modern"/>
    <w:pitch w:val="default"/>
    <w:sig w:usb0="00000000" w:usb1="00000000" w:usb2="00000010" w:usb3="00000000" w:csb0="00040000" w:csb1="00000000"/>
  </w:font>
  <w:font w:name="Book Antiqua">
    <w:altName w:val="Segoe Print"/>
    <w:panose1 w:val="02040602050305030304"/>
    <w:charset w:val="00"/>
    <w:family w:val="roman"/>
    <w:pitch w:val="default"/>
    <w:sig w:usb0="00000000"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Arial Narrow">
    <w:altName w:val="Arial"/>
    <w:panose1 w:val="020B0606020202030204"/>
    <w:charset w:val="00"/>
    <w:family w:val="swiss"/>
    <w:pitch w:val="default"/>
    <w:sig w:usb0="00000000" w:usb1="00000000" w:usb2="00000000" w:usb3="00000000" w:csb0="0000009F" w:csb1="00000000"/>
  </w:font>
  <w:font w:name="E-F1">
    <w:altName w:val="Malgun Gothic"/>
    <w:panose1 w:val="00000000000000000000"/>
    <w:charset w:val="81"/>
    <w:family w:val="modern"/>
    <w:pitch w:val="default"/>
    <w:sig w:usb0="00000000" w:usb1="00000000" w:usb2="00000033" w:usb3="00000000" w:csb0="00080000" w:csb1="00000000"/>
  </w:font>
  <w:font w:name="EU-F1">
    <w:altName w:val="宋体"/>
    <w:panose1 w:val="00000000000000000000"/>
    <w:charset w:val="86"/>
    <w:family w:val="auto"/>
    <w:pitch w:val="default"/>
    <w:sig w:usb0="00000000" w:usb1="00000000" w:usb2="00000010" w:usb3="00000000" w:csb0="00040000" w:csb1="00000000"/>
  </w:font>
  <w:font w:name="方正书宋简体">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8A017C">
    <w:pPr>
      <w:pStyle w:val="36"/>
      <w:jc w:val="center"/>
      <w:rPr>
        <w:rFonts w:hint="eastAsia" w:ascii="宋体" w:hAnsi="宋体"/>
      </w:rP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１</w:t>
    </w:r>
    <w:r>
      <w:rPr>
        <w:rFonts w:ascii="宋体" w:hAnsi="宋体"/>
      </w:rPr>
      <w:fldChar w:fldCharType="end"/>
    </w:r>
  </w:p>
  <w:p w14:paraId="1267DBEC">
    <w:pPr>
      <w:pStyle w:val="3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99AF41">
    <w:pPr>
      <w:pStyle w:val="36"/>
      <w:framePr w:wrap="around" w:vAnchor="text" w:hAnchor="margin" w:xAlign="right" w:y="1"/>
      <w:rPr>
        <w:rStyle w:val="62"/>
      </w:rPr>
    </w:pPr>
    <w:r>
      <w:rPr>
        <w:rStyle w:val="62"/>
      </w:rPr>
      <w:fldChar w:fldCharType="begin"/>
    </w:r>
    <w:r>
      <w:rPr>
        <w:rStyle w:val="62"/>
      </w:rPr>
      <w:instrText xml:space="preserve">PAGE  </w:instrText>
    </w:r>
    <w:r>
      <w:rPr>
        <w:rStyle w:val="62"/>
      </w:rPr>
      <w:fldChar w:fldCharType="separate"/>
    </w:r>
    <w:r>
      <w:rPr>
        <w:rStyle w:val="62"/>
      </w:rPr>
      <w:t>2</w:t>
    </w:r>
    <w:r>
      <w:rPr>
        <w:rStyle w:val="62"/>
      </w:rPr>
      <w:fldChar w:fldCharType="end"/>
    </w:r>
  </w:p>
  <w:p w14:paraId="0BE5438F">
    <w:pPr>
      <w:pStyle w:val="3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E60279">
    <w:pPr>
      <w:pStyle w:val="36"/>
      <w:framePr w:wrap="around" w:vAnchor="text" w:hAnchor="margin" w:xAlign="right" w:y="1"/>
      <w:rPr>
        <w:rStyle w:val="62"/>
      </w:rPr>
    </w:pPr>
    <w:r>
      <w:rPr>
        <w:rStyle w:val="62"/>
      </w:rPr>
      <w:fldChar w:fldCharType="begin"/>
    </w:r>
    <w:r>
      <w:rPr>
        <w:rStyle w:val="62"/>
      </w:rPr>
      <w:instrText xml:space="preserve">PAGE  </w:instrText>
    </w:r>
    <w:r>
      <w:rPr>
        <w:rStyle w:val="62"/>
      </w:rPr>
      <w:fldChar w:fldCharType="end"/>
    </w:r>
  </w:p>
  <w:p w14:paraId="6FF98192">
    <w:pPr>
      <w:pStyle w:val="36"/>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46168693"/>
    </w:sdtPr>
    <w:sdtContent>
      <w:p w14:paraId="1BD0D711">
        <w:pPr>
          <w:pStyle w:val="36"/>
          <w:jc w:val="center"/>
        </w:pPr>
        <w:r>
          <w:fldChar w:fldCharType="begin"/>
        </w:r>
        <w:r>
          <w:instrText xml:space="preserve">PAGE   \* MERGEFORMAT</w:instrText>
        </w:r>
        <w:r>
          <w:fldChar w:fldCharType="separate"/>
        </w:r>
        <w:r>
          <w:rPr>
            <w:lang w:val="zh-CN"/>
          </w:rPr>
          <w:t>6</w:t>
        </w:r>
        <w:r>
          <w:fldChar w:fldCharType="end"/>
        </w:r>
      </w:p>
    </w:sdtContent>
  </w:sdt>
  <w:p w14:paraId="35D777BA">
    <w:pPr>
      <w:pStyle w:val="3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9AD529">
    <w:pPr>
      <w:pStyle w:val="37"/>
      <w:outlineLvl w:val="8"/>
    </w:pPr>
    <w:r>
      <w:rPr>
        <w:rFonts w:hint="eastAsia"/>
      </w:rPr>
      <w:t>技术规范书（通用部分）</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F068D8">
    <w:r>
      <w:rPr>
        <w:rFonts w:hAnsi="宋体"/>
        <w:bCs/>
        <w:szCs w:val="21"/>
      </w:rPr>
      <w:t>Q/GD1 1130.12-2009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13BDB5">
    <w:pPr>
      <w:pStyle w:val="37"/>
    </w:pPr>
    <w:r>
      <w:rPr>
        <w:rFonts w:hint="eastAsia"/>
      </w:rPr>
      <w:t>运载无人机（载物无人机）技术规范书（通用部分）</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E20FD">
    <w:pPr>
      <w:pStyle w:val="37"/>
      <w:outlineLvl w:val="8"/>
    </w:pPr>
    <w:r>
      <w:rPr>
        <w:rFonts w:hint="eastAsia"/>
      </w:rPr>
      <w:t>旗舰重载无人机及大型农业无人机（载物无人机）技术规范书（通用部分）</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6D36A9"/>
    <w:multiLevelType w:val="singleLevel"/>
    <w:tmpl w:val="816D36A9"/>
    <w:lvl w:ilvl="0" w:tentative="0">
      <w:start w:val="1"/>
      <w:numFmt w:val="lowerLetter"/>
      <w:lvlText w:val="%1)"/>
      <w:lvlJc w:val="left"/>
      <w:pPr>
        <w:tabs>
          <w:tab w:val="left" w:pos="840"/>
        </w:tabs>
        <w:ind w:left="845" w:hanging="425"/>
      </w:pPr>
      <w:rPr>
        <w:rFonts w:hint="default"/>
      </w:rPr>
    </w:lvl>
  </w:abstractNum>
  <w:abstractNum w:abstractNumId="1">
    <w:nsid w:val="88C95E05"/>
    <w:multiLevelType w:val="singleLevel"/>
    <w:tmpl w:val="88C95E05"/>
    <w:lvl w:ilvl="0" w:tentative="0">
      <w:start w:val="1"/>
      <w:numFmt w:val="lowerLetter"/>
      <w:suff w:val="nothing"/>
      <w:lvlText w:val="%1)"/>
      <w:lvlJc w:val="left"/>
      <w:pPr>
        <w:ind w:left="420" w:firstLine="0"/>
      </w:pPr>
    </w:lvl>
  </w:abstractNum>
  <w:abstractNum w:abstractNumId="2">
    <w:nsid w:val="BF3188A9"/>
    <w:multiLevelType w:val="singleLevel"/>
    <w:tmpl w:val="BF3188A9"/>
    <w:lvl w:ilvl="0" w:tentative="0">
      <w:start w:val="1"/>
      <w:numFmt w:val="lowerLetter"/>
      <w:lvlText w:val="%1)"/>
      <w:lvlJc w:val="left"/>
      <w:pPr>
        <w:tabs>
          <w:tab w:val="left" w:pos="840"/>
        </w:tabs>
        <w:ind w:left="845" w:hanging="425"/>
      </w:pPr>
      <w:rPr>
        <w:rFonts w:hint="default"/>
      </w:rPr>
    </w:lvl>
  </w:abstractNum>
  <w:abstractNum w:abstractNumId="3">
    <w:nsid w:val="C63C654F"/>
    <w:multiLevelType w:val="singleLevel"/>
    <w:tmpl w:val="C63C654F"/>
    <w:lvl w:ilvl="0" w:tentative="0">
      <w:start w:val="1"/>
      <w:numFmt w:val="lowerLetter"/>
      <w:lvlText w:val="%1)"/>
      <w:lvlJc w:val="left"/>
      <w:pPr>
        <w:tabs>
          <w:tab w:val="left" w:pos="840"/>
        </w:tabs>
        <w:ind w:left="845" w:hanging="425"/>
      </w:pPr>
      <w:rPr>
        <w:rFonts w:hint="default"/>
      </w:rPr>
    </w:lvl>
  </w:abstractNum>
  <w:abstractNum w:abstractNumId="4">
    <w:nsid w:val="D1D32518"/>
    <w:multiLevelType w:val="singleLevel"/>
    <w:tmpl w:val="D1D32518"/>
    <w:lvl w:ilvl="0" w:tentative="0">
      <w:start w:val="1"/>
      <w:numFmt w:val="lowerLetter"/>
      <w:lvlText w:val="%1）"/>
      <w:lvlJc w:val="left"/>
    </w:lvl>
  </w:abstractNum>
  <w:abstractNum w:abstractNumId="5">
    <w:nsid w:val="FFFFFF7F"/>
    <w:multiLevelType w:val="singleLevel"/>
    <w:tmpl w:val="FFFFFF7F"/>
    <w:lvl w:ilvl="0" w:tentative="0">
      <w:start w:val="1"/>
      <w:numFmt w:val="decimal"/>
      <w:pStyle w:val="12"/>
      <w:lvlText w:val="%1."/>
      <w:lvlJc w:val="left"/>
      <w:pPr>
        <w:tabs>
          <w:tab w:val="left" w:pos="780"/>
        </w:tabs>
        <w:ind w:left="780" w:leftChars="200" w:hanging="360" w:hangingChars="200"/>
      </w:pPr>
    </w:lvl>
  </w:abstractNum>
  <w:abstractNum w:abstractNumId="6">
    <w:nsid w:val="FFFFFF88"/>
    <w:multiLevelType w:val="singleLevel"/>
    <w:tmpl w:val="FFFFFF88"/>
    <w:lvl w:ilvl="0" w:tentative="0">
      <w:start w:val="1"/>
      <w:numFmt w:val="decimal"/>
      <w:pStyle w:val="15"/>
      <w:lvlText w:val="%1."/>
      <w:lvlJc w:val="left"/>
      <w:pPr>
        <w:tabs>
          <w:tab w:val="left" w:pos="3763"/>
        </w:tabs>
        <w:ind w:left="3763" w:hanging="360" w:hangingChars="200"/>
      </w:pPr>
    </w:lvl>
  </w:abstractNum>
  <w:abstractNum w:abstractNumId="7">
    <w:nsid w:val="FFFFFF89"/>
    <w:multiLevelType w:val="singleLevel"/>
    <w:tmpl w:val="FFFFFF89"/>
    <w:lvl w:ilvl="0" w:tentative="0">
      <w:start w:val="1"/>
      <w:numFmt w:val="bullet"/>
      <w:pStyle w:val="19"/>
      <w:lvlText w:val=""/>
      <w:lvlJc w:val="left"/>
      <w:pPr>
        <w:tabs>
          <w:tab w:val="left" w:pos="360"/>
        </w:tabs>
        <w:ind w:left="360" w:hanging="360"/>
      </w:pPr>
      <w:rPr>
        <w:rFonts w:hint="default" w:ascii="Wingdings" w:hAnsi="Wingdings"/>
      </w:rPr>
    </w:lvl>
  </w:abstractNum>
  <w:abstractNum w:abstractNumId="8">
    <w:nsid w:val="0000000F"/>
    <w:multiLevelType w:val="multilevel"/>
    <w:tmpl w:val="0000000F"/>
    <w:lvl w:ilvl="0" w:tentative="0">
      <w:start w:val="1"/>
      <w:numFmt w:val="none"/>
      <w:pStyle w:val="448"/>
      <w:lvlText w:val="表"/>
      <w:lvlJc w:val="left"/>
      <w:pPr>
        <w:tabs>
          <w:tab w:val="left" w:pos="360"/>
        </w:tabs>
        <w:ind w:left="0" w:firstLine="0"/>
      </w:pPr>
      <w:rPr>
        <w:rFonts w:hint="eastAsia" w:ascii="黑体" w:eastAsia="黑体"/>
        <w:b w:val="0"/>
        <w:i w:val="0"/>
        <w:sz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00000014"/>
    <w:multiLevelType w:val="multilevel"/>
    <w:tmpl w:val="00000014"/>
    <w:lvl w:ilvl="0" w:tentative="0">
      <w:start w:val="1"/>
      <w:numFmt w:val="decimal"/>
      <w:lvlText w:val="%1)"/>
      <w:lvlJc w:val="left"/>
      <w:pPr>
        <w:tabs>
          <w:tab w:val="left" w:pos="900"/>
        </w:tabs>
        <w:ind w:left="900" w:hanging="420"/>
      </w:p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10">
    <w:nsid w:val="00000015"/>
    <w:multiLevelType w:val="multilevel"/>
    <w:tmpl w:val="00000015"/>
    <w:lvl w:ilvl="0" w:tentative="0">
      <w:start w:val="1"/>
      <w:numFmt w:val="decimal"/>
      <w:lvlText w:val="%1"/>
      <w:lvlJc w:val="left"/>
      <w:pPr>
        <w:ind w:left="425" w:hanging="425"/>
      </w:pPr>
      <w:rPr>
        <w:rFonts w:hint="eastAsia"/>
        <w:sz w:val="21"/>
        <w:szCs w:val="21"/>
      </w:rPr>
    </w:lvl>
    <w:lvl w:ilvl="1" w:tentative="0">
      <w:start w:val="1"/>
      <w:numFmt w:val="decimal"/>
      <w:pStyle w:val="452"/>
      <w:lvlText w:val="%1.%2"/>
      <w:lvlJc w:val="left"/>
      <w:pPr>
        <w:ind w:left="567" w:hanging="425"/>
      </w:pPr>
      <w:rPr>
        <w:rFonts w:hint="eastAsia"/>
        <w:sz w:val="21"/>
        <w:szCs w:val="21"/>
      </w:rPr>
    </w:lvl>
    <w:lvl w:ilvl="2" w:tentative="0">
      <w:start w:val="1"/>
      <w:numFmt w:val="decimal"/>
      <w:lvlText w:val="%1.%2.%3"/>
      <w:lvlJc w:val="left"/>
      <w:pPr>
        <w:ind w:left="851" w:hanging="851"/>
      </w:pPr>
      <w:rPr>
        <w:rFonts w:hint="eastAsia"/>
        <w:sz w:val="21"/>
        <w:szCs w:val="21"/>
      </w:rPr>
    </w:lvl>
    <w:lvl w:ilvl="3" w:tentative="0">
      <w:start w:val="1"/>
      <w:numFmt w:val="decimal"/>
      <w:lvlText w:val="%1.%2.%3.%4"/>
      <w:lvlJc w:val="left"/>
      <w:pPr>
        <w:ind w:left="1276" w:hanging="1276"/>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1">
    <w:nsid w:val="02B339D0"/>
    <w:multiLevelType w:val="multilevel"/>
    <w:tmpl w:val="02B339D0"/>
    <w:lvl w:ilvl="0" w:tentative="0">
      <w:start w:val="1"/>
      <w:numFmt w:val="decimal"/>
      <w:lvlText w:val="%1."/>
      <w:lvlJc w:val="left"/>
      <w:pPr>
        <w:tabs>
          <w:tab w:val="left" w:pos="795"/>
        </w:tabs>
        <w:ind w:left="795" w:hanging="795"/>
      </w:pPr>
      <w:rPr>
        <w:rFonts w:hint="default"/>
      </w:rPr>
    </w:lvl>
    <w:lvl w:ilvl="1" w:tentative="0">
      <w:start w:val="1"/>
      <w:numFmt w:val="bullet"/>
      <w:pStyle w:val="241"/>
      <w:lvlText w:val=""/>
      <w:lvlJc w:val="left"/>
      <w:pPr>
        <w:tabs>
          <w:tab w:val="left" w:pos="840"/>
        </w:tabs>
        <w:ind w:left="840" w:hanging="360"/>
      </w:pPr>
      <w:rPr>
        <w:rFonts w:hint="default" w:ascii="Symbol" w:hAnsi="Symbol" w:cs="Symbol"/>
        <w:color w:val="auto"/>
      </w:rPr>
    </w:lvl>
    <w:lvl w:ilvl="2" w:tentative="0">
      <w:start w:val="1"/>
      <w:numFmt w:val="decimal"/>
      <w:lvlText w:val="%1.%2.%3."/>
      <w:lvlJc w:val="left"/>
      <w:pPr>
        <w:tabs>
          <w:tab w:val="left" w:pos="1755"/>
        </w:tabs>
        <w:ind w:left="1755" w:hanging="795"/>
      </w:pPr>
      <w:rPr>
        <w:rFonts w:hint="default"/>
      </w:rPr>
    </w:lvl>
    <w:lvl w:ilvl="3" w:tentative="0">
      <w:start w:val="1"/>
      <w:numFmt w:val="decimal"/>
      <w:lvlText w:val="%1.%2.%3.%4."/>
      <w:lvlJc w:val="left"/>
      <w:pPr>
        <w:tabs>
          <w:tab w:val="left" w:pos="2520"/>
        </w:tabs>
        <w:ind w:left="2520" w:hanging="1080"/>
      </w:pPr>
      <w:rPr>
        <w:rFonts w:hint="default"/>
      </w:rPr>
    </w:lvl>
    <w:lvl w:ilvl="4" w:tentative="0">
      <w:start w:val="1"/>
      <w:numFmt w:val="decimal"/>
      <w:lvlText w:val="%1.%2.%3.%4.%5."/>
      <w:lvlJc w:val="left"/>
      <w:pPr>
        <w:tabs>
          <w:tab w:val="left" w:pos="3000"/>
        </w:tabs>
        <w:ind w:left="3000" w:hanging="1080"/>
      </w:pPr>
      <w:rPr>
        <w:rFonts w:hint="default"/>
      </w:rPr>
    </w:lvl>
    <w:lvl w:ilvl="5" w:tentative="0">
      <w:start w:val="1"/>
      <w:numFmt w:val="decimal"/>
      <w:lvlText w:val="%1.%2.%3.%4.%5.%6."/>
      <w:lvlJc w:val="left"/>
      <w:pPr>
        <w:tabs>
          <w:tab w:val="left" w:pos="3840"/>
        </w:tabs>
        <w:ind w:left="3840" w:hanging="1440"/>
      </w:pPr>
      <w:rPr>
        <w:rFonts w:hint="default"/>
      </w:rPr>
    </w:lvl>
    <w:lvl w:ilvl="6" w:tentative="0">
      <w:start w:val="1"/>
      <w:numFmt w:val="decimal"/>
      <w:lvlText w:val="%1.%2.%3.%4.%5.%6.%7."/>
      <w:lvlJc w:val="left"/>
      <w:pPr>
        <w:tabs>
          <w:tab w:val="left" w:pos="4320"/>
        </w:tabs>
        <w:ind w:left="4320" w:hanging="1440"/>
      </w:pPr>
      <w:rPr>
        <w:rFonts w:hint="default"/>
      </w:rPr>
    </w:lvl>
    <w:lvl w:ilvl="7" w:tentative="0">
      <w:start w:val="1"/>
      <w:numFmt w:val="decimal"/>
      <w:lvlText w:val="%1.%2.%3.%4.%5.%6.%7.%8."/>
      <w:lvlJc w:val="left"/>
      <w:pPr>
        <w:tabs>
          <w:tab w:val="left" w:pos="5160"/>
        </w:tabs>
        <w:ind w:left="5160" w:hanging="1800"/>
      </w:pPr>
      <w:rPr>
        <w:rFonts w:hint="default"/>
      </w:rPr>
    </w:lvl>
    <w:lvl w:ilvl="8" w:tentative="0">
      <w:start w:val="1"/>
      <w:numFmt w:val="decimal"/>
      <w:lvlText w:val="%1.%2.%3.%4.%5.%6.%7.%8.%9."/>
      <w:lvlJc w:val="left"/>
      <w:pPr>
        <w:tabs>
          <w:tab w:val="left" w:pos="6000"/>
        </w:tabs>
        <w:ind w:left="6000" w:hanging="2160"/>
      </w:pPr>
      <w:rPr>
        <w:rFonts w:hint="default"/>
      </w:rPr>
    </w:lvl>
  </w:abstractNum>
  <w:abstractNum w:abstractNumId="12">
    <w:nsid w:val="040A15CD"/>
    <w:multiLevelType w:val="multilevel"/>
    <w:tmpl w:val="040A15CD"/>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60"/>
      <w:suff w:val="nothing"/>
      <w:lvlText w:val="%1%2.%3　"/>
      <w:lvlJc w:val="left"/>
      <w:pPr>
        <w:ind w:left="0" w:firstLine="0"/>
      </w:pPr>
      <w:rPr>
        <w:rFonts w:hint="eastAsia" w:ascii="黑体" w:hAnsi="Times New Roman" w:eastAsia="黑体"/>
        <w:b w:val="0"/>
        <w:i w:val="0"/>
        <w:sz w:val="21"/>
      </w:rPr>
    </w:lvl>
    <w:lvl w:ilvl="3" w:tentative="0">
      <w:start w:val="1"/>
      <w:numFmt w:val="decimal"/>
      <w:pStyle w:val="256"/>
      <w:suff w:val="nothing"/>
      <w:lvlText w:val="%1%2.%3.%4　"/>
      <w:lvlJc w:val="left"/>
      <w:pPr>
        <w:ind w:left="0" w:firstLine="0"/>
      </w:pPr>
      <w:rPr>
        <w:rFonts w:hint="eastAsia" w:ascii="黑体" w:hAnsi="Times New Roman" w:eastAsia="黑体"/>
        <w:b w:val="0"/>
        <w:i w:val="0"/>
        <w:sz w:val="21"/>
      </w:rPr>
    </w:lvl>
    <w:lvl w:ilvl="4" w:tentative="0">
      <w:start w:val="1"/>
      <w:numFmt w:val="decimal"/>
      <w:pStyle w:val="257"/>
      <w:suff w:val="nothing"/>
      <w:lvlText w:val="%1%2.%3.%4.%5　"/>
      <w:lvlJc w:val="left"/>
      <w:pPr>
        <w:ind w:left="0" w:firstLine="0"/>
      </w:pPr>
      <w:rPr>
        <w:rFonts w:hint="eastAsia" w:ascii="黑体" w:hAnsi="Times New Roman" w:eastAsia="黑体"/>
        <w:b w:val="0"/>
        <w:i w:val="0"/>
        <w:sz w:val="21"/>
      </w:rPr>
    </w:lvl>
    <w:lvl w:ilvl="5" w:tentative="0">
      <w:start w:val="1"/>
      <w:numFmt w:val="decimal"/>
      <w:pStyle w:val="258"/>
      <w:suff w:val="nothing"/>
      <w:lvlText w:val="%1%2.%3.%4.%5.%6　"/>
      <w:lvlJc w:val="left"/>
      <w:pPr>
        <w:ind w:left="0" w:firstLine="0"/>
      </w:pPr>
      <w:rPr>
        <w:rFonts w:hint="eastAsia" w:ascii="黑体" w:hAnsi="Times New Roman" w:eastAsia="黑体"/>
        <w:b w:val="0"/>
        <w:i w:val="0"/>
        <w:sz w:val="21"/>
      </w:rPr>
    </w:lvl>
    <w:lvl w:ilvl="6" w:tentative="0">
      <w:start w:val="1"/>
      <w:numFmt w:val="decimal"/>
      <w:pStyle w:val="259"/>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3">
    <w:nsid w:val="079102AD"/>
    <w:multiLevelType w:val="multilevel"/>
    <w:tmpl w:val="079102AD"/>
    <w:lvl w:ilvl="0" w:tentative="0">
      <w:start w:val="1"/>
      <w:numFmt w:val="decimal"/>
      <w:pStyle w:val="153"/>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4">
    <w:nsid w:val="093C6778"/>
    <w:multiLevelType w:val="multilevel"/>
    <w:tmpl w:val="093C6778"/>
    <w:lvl w:ilvl="0" w:tentative="0">
      <w:start w:val="1"/>
      <w:numFmt w:val="decimal"/>
      <w:pStyle w:val="210"/>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0AE367E9"/>
    <w:multiLevelType w:val="multilevel"/>
    <w:tmpl w:val="0AE367E9"/>
    <w:lvl w:ilvl="0" w:tentative="0">
      <w:start w:val="1"/>
      <w:numFmt w:val="none"/>
      <w:pStyle w:val="148"/>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6">
    <w:nsid w:val="12CD65E8"/>
    <w:multiLevelType w:val="multilevel"/>
    <w:tmpl w:val="12CD65E8"/>
    <w:lvl w:ilvl="0" w:tentative="0">
      <w:start w:val="1"/>
      <w:numFmt w:val="decimal"/>
      <w:pStyle w:val="366"/>
      <w:lvlText w:val="5.%1"/>
      <w:lvlJc w:val="left"/>
      <w:pPr>
        <w:tabs>
          <w:tab w:val="left" w:pos="425"/>
        </w:tabs>
        <w:ind w:left="425" w:hanging="425"/>
      </w:pPr>
      <w:rPr>
        <w:rFonts w:hint="default" w:ascii="Arial" w:hAnsi="Arial" w:cs="Times New Roman"/>
      </w:rPr>
    </w:lvl>
    <w:lvl w:ilvl="1" w:tentative="0">
      <w:start w:val="1"/>
      <w:numFmt w:val="decimal"/>
      <w:lvlRestart w:val="0"/>
      <w:lvlText w:val="2.%2"/>
      <w:lvlJc w:val="left"/>
      <w:pPr>
        <w:tabs>
          <w:tab w:val="left" w:pos="567"/>
        </w:tabs>
        <w:ind w:left="567" w:hanging="567"/>
      </w:pPr>
      <w:rPr>
        <w:rFonts w:hint="default" w:ascii="Arial" w:hAnsi="Arial" w:cs="Times New Roman"/>
      </w:r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7">
    <w:nsid w:val="1B652225"/>
    <w:multiLevelType w:val="multilevel"/>
    <w:tmpl w:val="1B652225"/>
    <w:lvl w:ilvl="0" w:tentative="0">
      <w:start w:val="1"/>
      <w:numFmt w:val="decimal"/>
      <w:lvlText w:val="%1"/>
      <w:lvlJc w:val="left"/>
      <w:pPr>
        <w:tabs>
          <w:tab w:val="left" w:pos="708"/>
        </w:tabs>
        <w:ind w:left="708" w:hanging="425"/>
      </w:pPr>
      <w:rPr>
        <w:rFonts w:hint="default" w:ascii="Times New Roman" w:hAnsi="Times New Roman" w:cs="Times New Roman"/>
      </w:rPr>
    </w:lvl>
    <w:lvl w:ilvl="1" w:tentative="0">
      <w:start w:val="1"/>
      <w:numFmt w:val="decimal"/>
      <w:pStyle w:val="249"/>
      <w:lvlText w:val="%1.%2"/>
      <w:lvlJc w:val="left"/>
      <w:pPr>
        <w:tabs>
          <w:tab w:val="left" w:pos="1275"/>
        </w:tabs>
        <w:ind w:left="1275" w:hanging="567"/>
      </w:pPr>
      <w:rPr>
        <w:rFonts w:hint="default" w:ascii="Times New Roman" w:hAnsi="Times New Roman" w:cs="Times New Roman"/>
      </w:rPr>
    </w:lvl>
    <w:lvl w:ilvl="2" w:tentative="0">
      <w:start w:val="1"/>
      <w:numFmt w:val="decimal"/>
      <w:lvlText w:val="%1.%2.%3"/>
      <w:lvlJc w:val="left"/>
      <w:pPr>
        <w:tabs>
          <w:tab w:val="left" w:pos="1854"/>
        </w:tabs>
        <w:ind w:left="1701" w:hanging="567"/>
      </w:pPr>
      <w:rPr>
        <w:rFonts w:hint="default" w:ascii="Times New Roman" w:hAnsi="Times New Roman" w:cs="Times New Roman"/>
      </w:rPr>
    </w:lvl>
    <w:lvl w:ilvl="3" w:tentative="0">
      <w:start w:val="1"/>
      <w:numFmt w:val="decimal"/>
      <w:lvlText w:val="%1.%2.%3.%4"/>
      <w:lvlJc w:val="left"/>
      <w:pPr>
        <w:tabs>
          <w:tab w:val="left" w:pos="2639"/>
        </w:tabs>
        <w:ind w:left="2267" w:hanging="708"/>
      </w:pPr>
    </w:lvl>
    <w:lvl w:ilvl="4" w:tentative="0">
      <w:start w:val="1"/>
      <w:numFmt w:val="decimal"/>
      <w:lvlText w:val="%1.%2.%3.%4.%5"/>
      <w:lvlJc w:val="left"/>
      <w:pPr>
        <w:tabs>
          <w:tab w:val="left" w:pos="3064"/>
        </w:tabs>
        <w:ind w:left="2834" w:hanging="850"/>
      </w:pPr>
    </w:lvl>
    <w:lvl w:ilvl="5" w:tentative="0">
      <w:start w:val="1"/>
      <w:numFmt w:val="decimal"/>
      <w:lvlText w:val="%1.%2.%3.%4.%5.%6"/>
      <w:lvlJc w:val="left"/>
      <w:pPr>
        <w:tabs>
          <w:tab w:val="left" w:pos="3849"/>
        </w:tabs>
        <w:ind w:left="3543" w:hanging="1134"/>
      </w:pPr>
    </w:lvl>
    <w:lvl w:ilvl="6" w:tentative="0">
      <w:start w:val="1"/>
      <w:numFmt w:val="decimal"/>
      <w:lvlText w:val="%1.%2.%3.%4.%5.%6.%7"/>
      <w:lvlJc w:val="left"/>
      <w:pPr>
        <w:tabs>
          <w:tab w:val="left" w:pos="4634"/>
        </w:tabs>
        <w:ind w:left="4110" w:hanging="1276"/>
      </w:pPr>
    </w:lvl>
    <w:lvl w:ilvl="7" w:tentative="0">
      <w:start w:val="1"/>
      <w:numFmt w:val="decimal"/>
      <w:lvlText w:val="%1.%2.%3.%4.%5.%6.%7.%8"/>
      <w:lvlJc w:val="left"/>
      <w:pPr>
        <w:tabs>
          <w:tab w:val="left" w:pos="5059"/>
        </w:tabs>
        <w:ind w:left="4677" w:hanging="1418"/>
      </w:pPr>
    </w:lvl>
    <w:lvl w:ilvl="8" w:tentative="0">
      <w:start w:val="1"/>
      <w:numFmt w:val="decimal"/>
      <w:lvlText w:val="%1.%2.%3.%4.%5.%6.%7.%8.%9"/>
      <w:lvlJc w:val="left"/>
      <w:pPr>
        <w:tabs>
          <w:tab w:val="left" w:pos="5845"/>
        </w:tabs>
        <w:ind w:left="5385" w:hanging="1700"/>
      </w:pPr>
    </w:lvl>
  </w:abstractNum>
  <w:abstractNum w:abstractNumId="18">
    <w:nsid w:val="1DBF583A"/>
    <w:multiLevelType w:val="multilevel"/>
    <w:tmpl w:val="1DBF583A"/>
    <w:lvl w:ilvl="0" w:tentative="0">
      <w:start w:val="1"/>
      <w:numFmt w:val="decimal"/>
      <w:pStyle w:val="161"/>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19">
    <w:nsid w:val="1E7515B2"/>
    <w:multiLevelType w:val="multilevel"/>
    <w:tmpl w:val="1E7515B2"/>
    <w:lvl w:ilvl="0" w:tentative="0">
      <w:start w:val="1"/>
      <w:numFmt w:val="lowerLetter"/>
      <w:pStyle w:val="367"/>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0">
    <w:nsid w:val="1FE246FA"/>
    <w:multiLevelType w:val="multilevel"/>
    <w:tmpl w:val="1FE246FA"/>
    <w:lvl w:ilvl="0" w:tentative="0">
      <w:start w:val="1"/>
      <w:numFmt w:val="lowerLetter"/>
      <w:pStyle w:val="158"/>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1">
    <w:nsid w:val="2A8F7113"/>
    <w:multiLevelType w:val="multilevel"/>
    <w:tmpl w:val="2A8F7113"/>
    <w:lvl w:ilvl="0" w:tentative="0">
      <w:start w:val="1"/>
      <w:numFmt w:val="upperLetter"/>
      <w:pStyle w:val="190"/>
      <w:suff w:val="space"/>
      <w:lvlText w:val="%1"/>
      <w:lvlJc w:val="left"/>
      <w:pPr>
        <w:ind w:left="623" w:hanging="425"/>
      </w:pPr>
      <w:rPr>
        <w:rFonts w:hint="eastAsia"/>
      </w:rPr>
    </w:lvl>
    <w:lvl w:ilvl="1" w:tentative="0">
      <w:start w:val="1"/>
      <w:numFmt w:val="decimal"/>
      <w:pStyle w:val="191"/>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22">
    <w:nsid w:val="2C5917C3"/>
    <w:multiLevelType w:val="multilevel"/>
    <w:tmpl w:val="2C5917C3"/>
    <w:lvl w:ilvl="0" w:tentative="0">
      <w:start w:val="1"/>
      <w:numFmt w:val="none"/>
      <w:pStyle w:val="146"/>
      <w:suff w:val="nothing"/>
      <w:lvlText w:val="%1——"/>
      <w:lvlJc w:val="left"/>
      <w:pPr>
        <w:ind w:left="833" w:hanging="408"/>
      </w:pPr>
      <w:rPr>
        <w:rFonts w:hint="eastAsia"/>
      </w:rPr>
    </w:lvl>
    <w:lvl w:ilvl="1" w:tentative="0">
      <w:start w:val="1"/>
      <w:numFmt w:val="bullet"/>
      <w:pStyle w:val="147"/>
      <w:lvlText w:val=""/>
      <w:lvlJc w:val="left"/>
      <w:pPr>
        <w:tabs>
          <w:tab w:val="left" w:pos="760"/>
        </w:tabs>
        <w:ind w:left="1264" w:hanging="413"/>
      </w:pPr>
      <w:rPr>
        <w:rFonts w:hint="default" w:ascii="Symbol" w:hAnsi="Symbol"/>
        <w:color w:val="auto"/>
      </w:rPr>
    </w:lvl>
    <w:lvl w:ilvl="2" w:tentative="0">
      <w:start w:val="1"/>
      <w:numFmt w:val="bullet"/>
      <w:pStyle w:val="156"/>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3">
    <w:nsid w:val="313C15B1"/>
    <w:multiLevelType w:val="singleLevel"/>
    <w:tmpl w:val="313C15B1"/>
    <w:lvl w:ilvl="0" w:tentative="0">
      <w:start w:val="1"/>
      <w:numFmt w:val="lowerLetter"/>
      <w:lvlText w:val="%1)"/>
      <w:lvlJc w:val="left"/>
      <w:pPr>
        <w:tabs>
          <w:tab w:val="left" w:pos="840"/>
        </w:tabs>
        <w:ind w:left="845" w:hanging="425"/>
      </w:pPr>
      <w:rPr>
        <w:rFonts w:hint="default"/>
      </w:rPr>
    </w:lvl>
  </w:abstractNum>
  <w:abstractNum w:abstractNumId="24">
    <w:nsid w:val="38862E23"/>
    <w:multiLevelType w:val="multilevel"/>
    <w:tmpl w:val="38862E23"/>
    <w:lvl w:ilvl="0" w:tentative="0">
      <w:start w:val="1"/>
      <w:numFmt w:val="decimal"/>
      <w:pStyle w:val="364"/>
      <w:lvlText w:val="1.%1"/>
      <w:lvlJc w:val="left"/>
      <w:pPr>
        <w:tabs>
          <w:tab w:val="left" w:pos="425"/>
        </w:tabs>
        <w:ind w:left="425" w:hanging="425"/>
      </w:pPr>
      <w:rPr>
        <w:rFonts w:hint="default" w:ascii="Arial" w:hAnsi="Arial" w:cs="Times New Roman"/>
      </w:rPr>
    </w:lvl>
    <w:lvl w:ilvl="1" w:tentative="0">
      <w:start w:val="1"/>
      <w:numFmt w:val="decimal"/>
      <w:lvlRestart w:val="0"/>
      <w:lvlText w:val="%1.%2"/>
      <w:lvlJc w:val="left"/>
      <w:pPr>
        <w:tabs>
          <w:tab w:val="left" w:pos="567"/>
        </w:tabs>
        <w:ind w:left="567" w:hanging="567"/>
      </w:pPr>
      <w:rPr>
        <w:rFonts w:hint="default" w:ascii="Arial" w:hAnsi="Arial" w:cs="Times New Roman"/>
      </w:r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25">
    <w:nsid w:val="390B2C3D"/>
    <w:multiLevelType w:val="multilevel"/>
    <w:tmpl w:val="390B2C3D"/>
    <w:lvl w:ilvl="0" w:tentative="0">
      <w:start w:val="1"/>
      <w:numFmt w:val="lowerLetter"/>
      <w:pStyle w:val="344"/>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6">
    <w:nsid w:val="3D733618"/>
    <w:multiLevelType w:val="multilevel"/>
    <w:tmpl w:val="3D733618"/>
    <w:lvl w:ilvl="0" w:tentative="0">
      <w:start w:val="1"/>
      <w:numFmt w:val="decimal"/>
      <w:pStyle w:val="44"/>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27">
    <w:nsid w:val="407E65F9"/>
    <w:multiLevelType w:val="multilevel"/>
    <w:tmpl w:val="407E65F9"/>
    <w:lvl w:ilvl="0" w:tentative="0">
      <w:start w:val="1"/>
      <w:numFmt w:val="none"/>
      <w:pStyle w:val="310"/>
      <w:lvlText w:val="%1·　"/>
      <w:lvlJc w:val="left"/>
      <w:pPr>
        <w:tabs>
          <w:tab w:val="left" w:pos="2715"/>
        </w:tabs>
        <w:ind w:left="2312" w:hanging="317"/>
      </w:pPr>
      <w:rPr>
        <w:rFonts w:hint="eastAsia" w:ascii="宋体" w:hAnsi="Times New Roman" w:eastAsia="宋体"/>
        <w:b w:val="0"/>
        <w:i w:val="0"/>
        <w:sz w:val="21"/>
      </w:rPr>
    </w:lvl>
    <w:lvl w:ilvl="1" w:tentative="0">
      <w:start w:val="1"/>
      <w:numFmt w:val="lowerLetter"/>
      <w:lvlRestart w:val="0"/>
      <w:lvlText w:val="%2)"/>
      <w:lvlJc w:val="left"/>
      <w:pPr>
        <w:tabs>
          <w:tab w:val="left" w:pos="839"/>
        </w:tabs>
        <w:ind w:left="839" w:hanging="419"/>
      </w:pPr>
      <w:rPr>
        <w:b w:val="0"/>
        <w:i w:val="0"/>
        <w:sz w:val="21"/>
      </w:rPr>
    </w:lvl>
    <w:lvl w:ilvl="2" w:tentative="0">
      <w:start w:val="1"/>
      <w:numFmt w:val="lowerLetter"/>
      <w:lvlRestart w:val="0"/>
      <w:lvlText w:val="%3)"/>
      <w:lvlJc w:val="left"/>
      <w:pPr>
        <w:tabs>
          <w:tab w:val="left" w:pos="1259"/>
        </w:tabs>
        <w:ind w:left="1259" w:hanging="419"/>
      </w:pPr>
      <w:rPr>
        <w:b w:val="0"/>
        <w:i w:val="0"/>
        <w:sz w:val="21"/>
      </w:r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8">
    <w:nsid w:val="456E57A8"/>
    <w:multiLevelType w:val="multilevel"/>
    <w:tmpl w:val="456E57A8"/>
    <w:lvl w:ilvl="0" w:tentative="0">
      <w:start w:val="1"/>
      <w:numFmt w:val="lowerLetter"/>
      <w:pStyle w:val="213"/>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9">
    <w:nsid w:val="53553391"/>
    <w:multiLevelType w:val="multilevel"/>
    <w:tmpl w:val="53553391"/>
    <w:lvl w:ilvl="0" w:tentative="0">
      <w:start w:val="1"/>
      <w:numFmt w:val="decimal"/>
      <w:pStyle w:val="154"/>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5B621A86"/>
    <w:multiLevelType w:val="multilevel"/>
    <w:tmpl w:val="5B621A86"/>
    <w:lvl w:ilvl="0" w:tentative="0">
      <w:start w:val="1"/>
      <w:numFmt w:val="bullet"/>
      <w:pStyle w:val="237"/>
      <w:lvlText w:val=""/>
      <w:lvlJc w:val="left"/>
      <w:pPr>
        <w:tabs>
          <w:tab w:val="left" w:pos="1260"/>
        </w:tabs>
        <w:ind w:left="420" w:firstLine="420"/>
      </w:pPr>
      <w:rPr>
        <w:rFonts w:hint="default" w:ascii="Wingdings" w:hAnsi="Wingdings"/>
      </w:rPr>
    </w:lvl>
    <w:lvl w:ilvl="1" w:tentative="0">
      <w:start w:val="1"/>
      <w:numFmt w:val="none"/>
      <w:lvlRestart w:val="0"/>
      <w:lvlText w:val="%2"/>
      <w:lvlJc w:val="left"/>
      <w:pPr>
        <w:tabs>
          <w:tab w:val="left" w:pos="420"/>
        </w:tabs>
        <w:ind w:left="420" w:firstLine="0"/>
      </w:pPr>
      <w:rPr>
        <w:rFonts w:hint="eastAsia"/>
      </w:rPr>
    </w:lvl>
    <w:lvl w:ilvl="2" w:tentative="0">
      <w:start w:val="1"/>
      <w:numFmt w:val="none"/>
      <w:lvlRestart w:val="0"/>
      <w:lvlText w:val=""/>
      <w:lvlJc w:val="left"/>
      <w:pPr>
        <w:tabs>
          <w:tab w:val="left" w:pos="420"/>
        </w:tabs>
        <w:ind w:left="420" w:firstLine="0"/>
      </w:pPr>
      <w:rPr>
        <w:rFonts w:hint="eastAsia"/>
      </w:rPr>
    </w:lvl>
    <w:lvl w:ilvl="3" w:tentative="0">
      <w:start w:val="1"/>
      <w:numFmt w:val="none"/>
      <w:lvlRestart w:val="0"/>
      <w:lvlText w:val=""/>
      <w:lvlJc w:val="right"/>
      <w:pPr>
        <w:tabs>
          <w:tab w:val="left" w:pos="420"/>
        </w:tabs>
        <w:ind w:left="420" w:firstLine="0"/>
      </w:pPr>
      <w:rPr>
        <w:rFonts w:hint="eastAsia"/>
      </w:rPr>
    </w:lvl>
    <w:lvl w:ilvl="4" w:tentative="0">
      <w:start w:val="1"/>
      <w:numFmt w:val="none"/>
      <w:lvlRestart w:val="0"/>
      <w:lvlText w:val="%5"/>
      <w:lvlJc w:val="left"/>
      <w:pPr>
        <w:tabs>
          <w:tab w:val="left" w:pos="420"/>
        </w:tabs>
        <w:ind w:left="420" w:firstLine="0"/>
      </w:pPr>
      <w:rPr>
        <w:rFonts w:hint="eastAsia"/>
      </w:rPr>
    </w:lvl>
    <w:lvl w:ilvl="5" w:tentative="0">
      <w:start w:val="1"/>
      <w:numFmt w:val="none"/>
      <w:lvlRestart w:val="0"/>
      <w:lvlText w:val="%6"/>
      <w:lvlJc w:val="left"/>
      <w:pPr>
        <w:tabs>
          <w:tab w:val="left" w:pos="420"/>
        </w:tabs>
        <w:ind w:left="420" w:firstLine="0"/>
      </w:pPr>
      <w:rPr>
        <w:rFonts w:hint="eastAsia"/>
      </w:rPr>
    </w:lvl>
    <w:lvl w:ilvl="6" w:tentative="0">
      <w:start w:val="1"/>
      <w:numFmt w:val="none"/>
      <w:lvlRestart w:val="0"/>
      <w:lvlText w:val="%7"/>
      <w:lvlJc w:val="right"/>
      <w:pPr>
        <w:tabs>
          <w:tab w:val="left" w:pos="420"/>
        </w:tabs>
        <w:ind w:left="420" w:firstLine="0"/>
      </w:pPr>
      <w:rPr>
        <w:rFonts w:hint="eastAsia"/>
      </w:rPr>
    </w:lvl>
    <w:lvl w:ilvl="7" w:tentative="0">
      <w:start w:val="1"/>
      <w:numFmt w:val="none"/>
      <w:lvlRestart w:val="0"/>
      <w:lvlText w:val="%8"/>
      <w:lvlJc w:val="left"/>
      <w:pPr>
        <w:tabs>
          <w:tab w:val="left" w:pos="420"/>
        </w:tabs>
        <w:ind w:left="420" w:firstLine="0"/>
      </w:pPr>
      <w:rPr>
        <w:rFonts w:hint="eastAsia"/>
      </w:rPr>
    </w:lvl>
    <w:lvl w:ilvl="8" w:tentative="0">
      <w:start w:val="1"/>
      <w:numFmt w:val="none"/>
      <w:lvlRestart w:val="0"/>
      <w:lvlText w:val="%9"/>
      <w:lvlJc w:val="right"/>
      <w:pPr>
        <w:tabs>
          <w:tab w:val="left" w:pos="420"/>
        </w:tabs>
        <w:ind w:left="420" w:firstLine="0"/>
      </w:pPr>
      <w:rPr>
        <w:rFonts w:hint="eastAsia"/>
      </w:rPr>
    </w:lvl>
  </w:abstractNum>
  <w:abstractNum w:abstractNumId="31">
    <w:nsid w:val="5CAD2364"/>
    <w:multiLevelType w:val="multilevel"/>
    <w:tmpl w:val="5CAD2364"/>
    <w:lvl w:ilvl="0" w:tentative="0">
      <w:start w:val="1"/>
      <w:numFmt w:val="lowerLetter"/>
      <w:pStyle w:val="208"/>
      <w:lvlText w:val="%1)"/>
      <w:lvlJc w:val="left"/>
      <w:pPr>
        <w:ind w:left="1050" w:hanging="4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32">
    <w:nsid w:val="60B55DC2"/>
    <w:multiLevelType w:val="multilevel"/>
    <w:tmpl w:val="60B55DC2"/>
    <w:lvl w:ilvl="0" w:tentative="0">
      <w:start w:val="1"/>
      <w:numFmt w:val="upperLetter"/>
      <w:pStyle w:val="178"/>
      <w:lvlText w:val="%1"/>
      <w:lvlJc w:val="left"/>
      <w:pPr>
        <w:tabs>
          <w:tab w:val="left" w:pos="0"/>
        </w:tabs>
        <w:ind w:left="0" w:hanging="425"/>
      </w:pPr>
      <w:rPr>
        <w:rFonts w:hint="eastAsia"/>
      </w:rPr>
    </w:lvl>
    <w:lvl w:ilvl="1" w:tentative="0">
      <w:start w:val="1"/>
      <w:numFmt w:val="decimal"/>
      <w:pStyle w:val="179"/>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33">
    <w:nsid w:val="646260FA"/>
    <w:multiLevelType w:val="multilevel"/>
    <w:tmpl w:val="646260FA"/>
    <w:lvl w:ilvl="0" w:tentative="0">
      <w:start w:val="1"/>
      <w:numFmt w:val="decimal"/>
      <w:pStyle w:val="221"/>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4">
    <w:nsid w:val="657D3FBC"/>
    <w:multiLevelType w:val="multilevel"/>
    <w:tmpl w:val="657D3FBC"/>
    <w:lvl w:ilvl="0" w:tentative="0">
      <w:start w:val="1"/>
      <w:numFmt w:val="upperLetter"/>
      <w:pStyle w:val="176"/>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94"/>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95"/>
      <w:suff w:val="nothing"/>
      <w:lvlText w:val="%1.%2.%3　"/>
      <w:lvlJc w:val="left"/>
      <w:pPr>
        <w:ind w:left="0" w:firstLine="0"/>
      </w:pPr>
      <w:rPr>
        <w:rFonts w:hint="eastAsia" w:ascii="黑体" w:hAnsi="Times New Roman" w:eastAsia="黑体"/>
        <w:b w:val="0"/>
        <w:i w:val="0"/>
        <w:sz w:val="21"/>
      </w:rPr>
    </w:lvl>
    <w:lvl w:ilvl="3" w:tentative="0">
      <w:start w:val="1"/>
      <w:numFmt w:val="decimal"/>
      <w:pStyle w:val="180"/>
      <w:suff w:val="nothing"/>
      <w:lvlText w:val="%1.%2.%3.%4　"/>
      <w:lvlJc w:val="left"/>
      <w:pPr>
        <w:ind w:left="0" w:firstLine="0"/>
      </w:pPr>
      <w:rPr>
        <w:rFonts w:hint="eastAsia" w:ascii="黑体" w:hAnsi="Times New Roman" w:eastAsia="黑体"/>
        <w:b w:val="0"/>
        <w:i w:val="0"/>
        <w:sz w:val="21"/>
      </w:rPr>
    </w:lvl>
    <w:lvl w:ilvl="4" w:tentative="0">
      <w:start w:val="1"/>
      <w:numFmt w:val="decimal"/>
      <w:pStyle w:val="185"/>
      <w:suff w:val="nothing"/>
      <w:lvlText w:val="%1.%2.%3.%4.%5　"/>
      <w:lvlJc w:val="left"/>
      <w:pPr>
        <w:ind w:left="0" w:firstLine="0"/>
      </w:pPr>
      <w:rPr>
        <w:rFonts w:hint="eastAsia" w:ascii="黑体" w:hAnsi="Times New Roman" w:eastAsia="黑体"/>
        <w:b w:val="0"/>
        <w:i w:val="0"/>
        <w:sz w:val="21"/>
      </w:rPr>
    </w:lvl>
    <w:lvl w:ilvl="5" w:tentative="0">
      <w:start w:val="1"/>
      <w:numFmt w:val="decimal"/>
      <w:pStyle w:val="188"/>
      <w:suff w:val="nothing"/>
      <w:lvlText w:val="%1.%2.%3.%4.%5.%6　"/>
      <w:lvlJc w:val="left"/>
      <w:pPr>
        <w:ind w:left="0" w:firstLine="0"/>
      </w:pPr>
      <w:rPr>
        <w:rFonts w:hint="eastAsia" w:ascii="黑体" w:hAnsi="Times New Roman" w:eastAsia="黑体"/>
        <w:b w:val="0"/>
        <w:i w:val="0"/>
        <w:sz w:val="21"/>
      </w:rPr>
    </w:lvl>
    <w:lvl w:ilvl="6" w:tentative="0">
      <w:start w:val="1"/>
      <w:numFmt w:val="decimal"/>
      <w:pStyle w:val="192"/>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5">
    <w:nsid w:val="6883480C"/>
    <w:multiLevelType w:val="multilevel"/>
    <w:tmpl w:val="6883480C"/>
    <w:lvl w:ilvl="0" w:tentative="0">
      <w:start w:val="1"/>
      <w:numFmt w:val="decimal"/>
      <w:pStyle w:val="235"/>
      <w:lvlText w:val="%1)"/>
      <w:lvlJc w:val="left"/>
      <w:pPr>
        <w:tabs>
          <w:tab w:val="left" w:pos="839"/>
        </w:tabs>
        <w:ind w:left="0" w:firstLine="420"/>
      </w:pPr>
      <w:rPr>
        <w:rFonts w:hint="eastAsia"/>
      </w:rPr>
    </w:lvl>
    <w:lvl w:ilvl="1" w:tentative="0">
      <w:start w:val="1"/>
      <w:numFmt w:val="lowerLetter"/>
      <w:pStyle w:val="236"/>
      <w:lvlText w:val="%2."/>
      <w:lvlJc w:val="left"/>
      <w:pPr>
        <w:tabs>
          <w:tab w:val="left" w:pos="839"/>
        </w:tabs>
        <w:ind w:left="0" w:firstLine="420"/>
      </w:pPr>
      <w:rPr>
        <w:rFonts w:hint="eastAsia"/>
      </w:rPr>
    </w:lvl>
    <w:lvl w:ilvl="2" w:tentative="0">
      <w:start w:val="1"/>
      <w:numFmt w:val="none"/>
      <w:lvlRestart w:val="0"/>
      <w:lvlText w:val=""/>
      <w:lvlJc w:val="left"/>
      <w:pPr>
        <w:tabs>
          <w:tab w:val="left" w:pos="1140"/>
        </w:tabs>
        <w:ind w:left="1140" w:hanging="432"/>
      </w:pPr>
      <w:rPr>
        <w:rFonts w:hint="eastAsia"/>
      </w:rPr>
    </w:lvl>
    <w:lvl w:ilvl="3" w:tentative="0">
      <w:start w:val="1"/>
      <w:numFmt w:val="none"/>
      <w:lvlRestart w:val="0"/>
      <w:lvlText w:val=""/>
      <w:lvlJc w:val="right"/>
      <w:pPr>
        <w:tabs>
          <w:tab w:val="left" w:pos="1284"/>
        </w:tabs>
        <w:ind w:left="1284" w:hanging="144"/>
      </w:pPr>
      <w:rPr>
        <w:rFonts w:hint="eastAsia"/>
      </w:rPr>
    </w:lvl>
    <w:lvl w:ilvl="4" w:tentative="0">
      <w:start w:val="1"/>
      <w:numFmt w:val="none"/>
      <w:lvlRestart w:val="0"/>
      <w:lvlText w:val="%5"/>
      <w:lvlJc w:val="left"/>
      <w:pPr>
        <w:tabs>
          <w:tab w:val="left" w:pos="1428"/>
        </w:tabs>
        <w:ind w:left="1428" w:hanging="432"/>
      </w:pPr>
      <w:rPr>
        <w:rFonts w:hint="eastAsia"/>
      </w:rPr>
    </w:lvl>
    <w:lvl w:ilvl="5" w:tentative="0">
      <w:start w:val="1"/>
      <w:numFmt w:val="none"/>
      <w:lvlRestart w:val="0"/>
      <w:lvlText w:val="%6"/>
      <w:lvlJc w:val="left"/>
      <w:pPr>
        <w:tabs>
          <w:tab w:val="left" w:pos="1572"/>
        </w:tabs>
        <w:ind w:left="1572" w:hanging="432"/>
      </w:pPr>
      <w:rPr>
        <w:rFonts w:hint="eastAsia"/>
      </w:rPr>
    </w:lvl>
    <w:lvl w:ilvl="6" w:tentative="0">
      <w:start w:val="1"/>
      <w:numFmt w:val="none"/>
      <w:lvlRestart w:val="0"/>
      <w:lvlText w:val="%7"/>
      <w:lvlJc w:val="right"/>
      <w:pPr>
        <w:tabs>
          <w:tab w:val="left" w:pos="1716"/>
        </w:tabs>
        <w:ind w:left="1716" w:hanging="288"/>
      </w:pPr>
      <w:rPr>
        <w:rFonts w:hint="eastAsia"/>
      </w:rPr>
    </w:lvl>
    <w:lvl w:ilvl="7" w:tentative="0">
      <w:start w:val="1"/>
      <w:numFmt w:val="none"/>
      <w:lvlRestart w:val="0"/>
      <w:lvlText w:val="%8"/>
      <w:lvlJc w:val="left"/>
      <w:pPr>
        <w:tabs>
          <w:tab w:val="left" w:pos="1860"/>
        </w:tabs>
        <w:ind w:left="1860" w:hanging="432"/>
      </w:pPr>
      <w:rPr>
        <w:rFonts w:hint="eastAsia"/>
      </w:rPr>
    </w:lvl>
    <w:lvl w:ilvl="8" w:tentative="0">
      <w:start w:val="1"/>
      <w:numFmt w:val="none"/>
      <w:lvlRestart w:val="0"/>
      <w:lvlText w:val="%9"/>
      <w:lvlJc w:val="right"/>
      <w:pPr>
        <w:tabs>
          <w:tab w:val="left" w:pos="2004"/>
        </w:tabs>
        <w:ind w:left="2004" w:hanging="144"/>
      </w:pPr>
      <w:rPr>
        <w:rFonts w:hint="eastAsia"/>
      </w:rPr>
    </w:lvl>
  </w:abstractNum>
  <w:abstractNum w:abstractNumId="36">
    <w:nsid w:val="6D0AE448"/>
    <w:multiLevelType w:val="singleLevel"/>
    <w:tmpl w:val="6D0AE448"/>
    <w:lvl w:ilvl="0" w:tentative="0">
      <w:start w:val="1"/>
      <w:numFmt w:val="lowerLetter"/>
      <w:lvlText w:val="%1)"/>
      <w:lvlJc w:val="left"/>
      <w:pPr>
        <w:tabs>
          <w:tab w:val="left" w:pos="840"/>
        </w:tabs>
        <w:ind w:left="845" w:hanging="425"/>
      </w:pPr>
      <w:rPr>
        <w:rFonts w:hint="default"/>
      </w:rPr>
    </w:lvl>
  </w:abstractNum>
  <w:abstractNum w:abstractNumId="37">
    <w:nsid w:val="6D6C07CD"/>
    <w:multiLevelType w:val="multilevel"/>
    <w:tmpl w:val="6D6C07CD"/>
    <w:lvl w:ilvl="0" w:tentative="0">
      <w:start w:val="1"/>
      <w:numFmt w:val="lowerLetter"/>
      <w:pStyle w:val="197"/>
      <w:lvlText w:val="%1)"/>
      <w:lvlJc w:val="left"/>
      <w:pPr>
        <w:tabs>
          <w:tab w:val="left" w:pos="839"/>
        </w:tabs>
        <w:ind w:left="839" w:hanging="419"/>
      </w:pPr>
      <w:rPr>
        <w:rFonts w:hint="eastAsia" w:ascii="宋体" w:eastAsia="宋体"/>
        <w:b w:val="0"/>
        <w:i w:val="0"/>
        <w:sz w:val="21"/>
      </w:rPr>
    </w:lvl>
    <w:lvl w:ilvl="1" w:tentative="0">
      <w:start w:val="1"/>
      <w:numFmt w:val="decimal"/>
      <w:pStyle w:val="187"/>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38">
    <w:nsid w:val="6E2C1647"/>
    <w:multiLevelType w:val="singleLevel"/>
    <w:tmpl w:val="6E2C1647"/>
    <w:lvl w:ilvl="0" w:tentative="0">
      <w:start w:val="1"/>
      <w:numFmt w:val="lowerLetter"/>
      <w:lvlText w:val="%1)"/>
      <w:lvlJc w:val="left"/>
      <w:pPr>
        <w:tabs>
          <w:tab w:val="left" w:pos="840"/>
        </w:tabs>
        <w:ind w:left="845" w:hanging="425"/>
      </w:pPr>
      <w:rPr>
        <w:rFonts w:hint="default"/>
      </w:rPr>
    </w:lvl>
  </w:abstractNum>
  <w:abstractNum w:abstractNumId="39">
    <w:nsid w:val="72388FE8"/>
    <w:multiLevelType w:val="multilevel"/>
    <w:tmpl w:val="72388FE8"/>
    <w:lvl w:ilvl="0" w:tentative="0">
      <w:start w:val="1"/>
      <w:numFmt w:val="lowerLetter"/>
      <w:lvlText w:val="%1)"/>
      <w:lvlJc w:val="left"/>
      <w:pPr>
        <w:tabs>
          <w:tab w:val="left" w:pos="840"/>
        </w:tabs>
        <w:ind w:left="845" w:hanging="425"/>
      </w:pPr>
      <w:rPr>
        <w:rFonts w:hint="default"/>
      </w:rPr>
    </w:lvl>
    <w:lvl w:ilvl="1" w:tentative="0">
      <w:start w:val="1"/>
      <w:numFmt w:val="lowerLetter"/>
      <w:lvlText w:val="%2)"/>
      <w:lvlJc w:val="left"/>
      <w:pPr>
        <w:tabs>
          <w:tab w:val="left" w:pos="840"/>
        </w:tabs>
        <w:ind w:left="1260" w:hanging="420"/>
      </w:pPr>
      <w:rPr>
        <w:rFonts w:hint="default"/>
      </w:rPr>
    </w:lvl>
    <w:lvl w:ilvl="2" w:tentative="0">
      <w:start w:val="1"/>
      <w:numFmt w:val="lowerRoman"/>
      <w:lvlText w:val="%3."/>
      <w:lvlJc w:val="left"/>
      <w:pPr>
        <w:tabs>
          <w:tab w:val="left" w:pos="1260"/>
        </w:tabs>
        <w:ind w:left="1680" w:hanging="420"/>
      </w:pPr>
      <w:rPr>
        <w:rFonts w:hint="default"/>
      </w:rPr>
    </w:lvl>
    <w:lvl w:ilvl="3" w:tentative="0">
      <w:start w:val="1"/>
      <w:numFmt w:val="decimal"/>
      <w:lvlText w:val="%4."/>
      <w:lvlJc w:val="left"/>
      <w:pPr>
        <w:tabs>
          <w:tab w:val="left" w:pos="1680"/>
        </w:tabs>
        <w:ind w:left="2100" w:hanging="420"/>
      </w:pPr>
      <w:rPr>
        <w:rFonts w:hint="default"/>
      </w:rPr>
    </w:lvl>
    <w:lvl w:ilvl="4" w:tentative="0">
      <w:start w:val="1"/>
      <w:numFmt w:val="lowerLetter"/>
      <w:lvlText w:val="%5)"/>
      <w:lvlJc w:val="left"/>
      <w:pPr>
        <w:tabs>
          <w:tab w:val="left" w:pos="2100"/>
        </w:tabs>
        <w:ind w:left="2520" w:hanging="420"/>
      </w:pPr>
      <w:rPr>
        <w:rFonts w:hint="default"/>
      </w:rPr>
    </w:lvl>
    <w:lvl w:ilvl="5" w:tentative="0">
      <w:start w:val="1"/>
      <w:numFmt w:val="lowerRoman"/>
      <w:lvlText w:val="%6."/>
      <w:lvlJc w:val="left"/>
      <w:pPr>
        <w:tabs>
          <w:tab w:val="left" w:pos="2520"/>
        </w:tabs>
        <w:ind w:left="2940" w:hanging="420"/>
      </w:pPr>
      <w:rPr>
        <w:rFonts w:hint="default"/>
      </w:rPr>
    </w:lvl>
    <w:lvl w:ilvl="6" w:tentative="0">
      <w:start w:val="1"/>
      <w:numFmt w:val="decimal"/>
      <w:lvlText w:val="%7."/>
      <w:lvlJc w:val="left"/>
      <w:pPr>
        <w:tabs>
          <w:tab w:val="left" w:pos="2940"/>
        </w:tabs>
        <w:ind w:left="3360" w:hanging="420"/>
      </w:pPr>
      <w:rPr>
        <w:rFonts w:hint="default"/>
      </w:rPr>
    </w:lvl>
    <w:lvl w:ilvl="7" w:tentative="0">
      <w:start w:val="1"/>
      <w:numFmt w:val="lowerLetter"/>
      <w:lvlText w:val="%8)"/>
      <w:lvlJc w:val="left"/>
      <w:pPr>
        <w:tabs>
          <w:tab w:val="left" w:pos="3360"/>
        </w:tabs>
        <w:ind w:left="3780" w:hanging="420"/>
      </w:pPr>
      <w:rPr>
        <w:rFonts w:hint="default"/>
      </w:rPr>
    </w:lvl>
    <w:lvl w:ilvl="8" w:tentative="0">
      <w:start w:val="1"/>
      <w:numFmt w:val="lowerRoman"/>
      <w:lvlText w:val="%9."/>
      <w:lvlJc w:val="left"/>
      <w:pPr>
        <w:tabs>
          <w:tab w:val="left" w:pos="3780"/>
        </w:tabs>
        <w:ind w:left="4200" w:hanging="420"/>
      </w:pPr>
      <w:rPr>
        <w:rFonts w:hint="default"/>
      </w:rPr>
    </w:lvl>
  </w:abstractNum>
  <w:abstractNum w:abstractNumId="40">
    <w:nsid w:val="7F4C59D3"/>
    <w:multiLevelType w:val="multilevel"/>
    <w:tmpl w:val="7F4C59D3"/>
    <w:lvl w:ilvl="0" w:tentative="0">
      <w:start w:val="1"/>
      <w:numFmt w:val="lowerLetter"/>
      <w:pStyle w:val="149"/>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pStyle w:val="5"/>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40"/>
  </w:num>
  <w:num w:numId="2">
    <w:abstractNumId w:val="5"/>
  </w:num>
  <w:num w:numId="3">
    <w:abstractNumId w:val="6"/>
  </w:num>
  <w:num w:numId="4">
    <w:abstractNumId w:val="7"/>
  </w:num>
  <w:num w:numId="5">
    <w:abstractNumId w:val="26"/>
  </w:num>
  <w:num w:numId="6">
    <w:abstractNumId w:val="22"/>
  </w:num>
  <w:num w:numId="7">
    <w:abstractNumId w:val="15"/>
  </w:num>
  <w:num w:numId="8">
    <w:abstractNumId w:val="13"/>
  </w:num>
  <w:num w:numId="9">
    <w:abstractNumId w:val="29"/>
  </w:num>
  <w:num w:numId="10">
    <w:abstractNumId w:val="20"/>
  </w:num>
  <w:num w:numId="11">
    <w:abstractNumId w:val="18"/>
  </w:num>
  <w:num w:numId="12">
    <w:abstractNumId w:val="34"/>
  </w:num>
  <w:num w:numId="13">
    <w:abstractNumId w:val="32"/>
  </w:num>
  <w:num w:numId="14">
    <w:abstractNumId w:val="37"/>
  </w:num>
  <w:num w:numId="15">
    <w:abstractNumId w:val="21"/>
  </w:num>
  <w:num w:numId="16">
    <w:abstractNumId w:val="31"/>
  </w:num>
  <w:num w:numId="17">
    <w:abstractNumId w:val="14"/>
  </w:num>
  <w:num w:numId="18">
    <w:abstractNumId w:val="28"/>
  </w:num>
  <w:num w:numId="19">
    <w:abstractNumId w:val="33"/>
  </w:num>
  <w:num w:numId="20">
    <w:abstractNumId w:val="35"/>
  </w:num>
  <w:num w:numId="21">
    <w:abstractNumId w:val="30"/>
  </w:num>
  <w:num w:numId="22">
    <w:abstractNumId w:val="11"/>
  </w:num>
  <w:num w:numId="23">
    <w:abstractNumId w:val="17"/>
  </w:num>
  <w:num w:numId="24">
    <w:abstractNumId w:val="12"/>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8"/>
  </w:num>
  <w:num w:numId="31">
    <w:abstractNumId w:val="10"/>
  </w:num>
  <w:num w:numId="32">
    <w:abstractNumId w:val="39"/>
  </w:num>
  <w:num w:numId="33">
    <w:abstractNumId w:val="0"/>
  </w:num>
  <w:num w:numId="34">
    <w:abstractNumId w:val="4"/>
  </w:num>
  <w:num w:numId="35">
    <w:abstractNumId w:val="1"/>
  </w:num>
  <w:num w:numId="36">
    <w:abstractNumId w:val="23"/>
  </w:num>
  <w:num w:numId="37">
    <w:abstractNumId w:val="3"/>
  </w:num>
  <w:num w:numId="38">
    <w:abstractNumId w:val="38"/>
  </w:num>
  <w:num w:numId="39">
    <w:abstractNumId w:val="2"/>
  </w:num>
  <w:num w:numId="40">
    <w:abstractNumId w:val="36"/>
  </w:num>
  <w:num w:numId="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4Nzc1ZjhiNzY0NTdmZjY3ZjQzMTdjZDNjMzQwNzkifQ=="/>
  </w:docVars>
  <w:rsids>
    <w:rsidRoot w:val="001014E1"/>
    <w:rsid w:val="00004757"/>
    <w:rsid w:val="0001141F"/>
    <w:rsid w:val="00022BC9"/>
    <w:rsid w:val="0002467B"/>
    <w:rsid w:val="000263F3"/>
    <w:rsid w:val="00036675"/>
    <w:rsid w:val="000406CD"/>
    <w:rsid w:val="000454E9"/>
    <w:rsid w:val="0005317E"/>
    <w:rsid w:val="00062943"/>
    <w:rsid w:val="00065403"/>
    <w:rsid w:val="0006624D"/>
    <w:rsid w:val="0007012F"/>
    <w:rsid w:val="00073D69"/>
    <w:rsid w:val="00075737"/>
    <w:rsid w:val="00075B71"/>
    <w:rsid w:val="0007661F"/>
    <w:rsid w:val="00083BA3"/>
    <w:rsid w:val="00091372"/>
    <w:rsid w:val="0009630E"/>
    <w:rsid w:val="000B0DA2"/>
    <w:rsid w:val="000B3B04"/>
    <w:rsid w:val="000C7FF6"/>
    <w:rsid w:val="000D07D9"/>
    <w:rsid w:val="000D494A"/>
    <w:rsid w:val="000E0721"/>
    <w:rsid w:val="000E0F43"/>
    <w:rsid w:val="000E120E"/>
    <w:rsid w:val="000E53A3"/>
    <w:rsid w:val="000F0E79"/>
    <w:rsid w:val="000F4FA6"/>
    <w:rsid w:val="001014E1"/>
    <w:rsid w:val="00106C86"/>
    <w:rsid w:val="00110C50"/>
    <w:rsid w:val="00114F96"/>
    <w:rsid w:val="00117DAA"/>
    <w:rsid w:val="0014399F"/>
    <w:rsid w:val="00182A1B"/>
    <w:rsid w:val="00183F0D"/>
    <w:rsid w:val="001901EA"/>
    <w:rsid w:val="00192EF9"/>
    <w:rsid w:val="001946A1"/>
    <w:rsid w:val="001A1D16"/>
    <w:rsid w:val="001C12F9"/>
    <w:rsid w:val="001C424E"/>
    <w:rsid w:val="001E10B8"/>
    <w:rsid w:val="001F71EB"/>
    <w:rsid w:val="002027D6"/>
    <w:rsid w:val="002044C9"/>
    <w:rsid w:val="002101BA"/>
    <w:rsid w:val="00235BAC"/>
    <w:rsid w:val="00235C57"/>
    <w:rsid w:val="00246C26"/>
    <w:rsid w:val="00252B17"/>
    <w:rsid w:val="002650A9"/>
    <w:rsid w:val="0029334C"/>
    <w:rsid w:val="002A36A9"/>
    <w:rsid w:val="002B6C4E"/>
    <w:rsid w:val="002C784E"/>
    <w:rsid w:val="002D7FB3"/>
    <w:rsid w:val="002E646C"/>
    <w:rsid w:val="002E7690"/>
    <w:rsid w:val="002F1A5C"/>
    <w:rsid w:val="002F34E6"/>
    <w:rsid w:val="002F6515"/>
    <w:rsid w:val="00300A42"/>
    <w:rsid w:val="00304806"/>
    <w:rsid w:val="00310E29"/>
    <w:rsid w:val="00316AD4"/>
    <w:rsid w:val="00324E79"/>
    <w:rsid w:val="00333EC9"/>
    <w:rsid w:val="00342AA0"/>
    <w:rsid w:val="003431DF"/>
    <w:rsid w:val="00354281"/>
    <w:rsid w:val="00366D72"/>
    <w:rsid w:val="00372C5D"/>
    <w:rsid w:val="0038584C"/>
    <w:rsid w:val="00386862"/>
    <w:rsid w:val="003A050B"/>
    <w:rsid w:val="003A686D"/>
    <w:rsid w:val="003B2C35"/>
    <w:rsid w:val="003B7C3F"/>
    <w:rsid w:val="003C59B0"/>
    <w:rsid w:val="003D79DF"/>
    <w:rsid w:val="0040271C"/>
    <w:rsid w:val="00405A29"/>
    <w:rsid w:val="00414F67"/>
    <w:rsid w:val="004312C3"/>
    <w:rsid w:val="00435272"/>
    <w:rsid w:val="00440743"/>
    <w:rsid w:val="004451B7"/>
    <w:rsid w:val="00455882"/>
    <w:rsid w:val="00466526"/>
    <w:rsid w:val="004820F8"/>
    <w:rsid w:val="00490D09"/>
    <w:rsid w:val="00496C03"/>
    <w:rsid w:val="004A5565"/>
    <w:rsid w:val="004B1EFC"/>
    <w:rsid w:val="004B3196"/>
    <w:rsid w:val="004B3F99"/>
    <w:rsid w:val="004C7FB9"/>
    <w:rsid w:val="004E44E7"/>
    <w:rsid w:val="004F6BA4"/>
    <w:rsid w:val="0050274F"/>
    <w:rsid w:val="005111F0"/>
    <w:rsid w:val="00517F33"/>
    <w:rsid w:val="00523ED4"/>
    <w:rsid w:val="00524C30"/>
    <w:rsid w:val="005550B8"/>
    <w:rsid w:val="00556EB6"/>
    <w:rsid w:val="00573A1E"/>
    <w:rsid w:val="00581BFB"/>
    <w:rsid w:val="00583D17"/>
    <w:rsid w:val="00590CDB"/>
    <w:rsid w:val="00594663"/>
    <w:rsid w:val="00594CED"/>
    <w:rsid w:val="005B4370"/>
    <w:rsid w:val="005B76C7"/>
    <w:rsid w:val="005C61CC"/>
    <w:rsid w:val="005C7FE6"/>
    <w:rsid w:val="005D0610"/>
    <w:rsid w:val="005D0FB4"/>
    <w:rsid w:val="005D12C6"/>
    <w:rsid w:val="005D2E49"/>
    <w:rsid w:val="005D6366"/>
    <w:rsid w:val="005D77CC"/>
    <w:rsid w:val="005E0818"/>
    <w:rsid w:val="005E33BF"/>
    <w:rsid w:val="005E4648"/>
    <w:rsid w:val="005E4C4B"/>
    <w:rsid w:val="005F1287"/>
    <w:rsid w:val="005F7CCC"/>
    <w:rsid w:val="00607930"/>
    <w:rsid w:val="00607B7D"/>
    <w:rsid w:val="00613DA8"/>
    <w:rsid w:val="006148CE"/>
    <w:rsid w:val="0063510B"/>
    <w:rsid w:val="00635A9A"/>
    <w:rsid w:val="00662FB2"/>
    <w:rsid w:val="0067034B"/>
    <w:rsid w:val="00696E4F"/>
    <w:rsid w:val="006B420F"/>
    <w:rsid w:val="006B5059"/>
    <w:rsid w:val="006B566B"/>
    <w:rsid w:val="006B761E"/>
    <w:rsid w:val="006B78F0"/>
    <w:rsid w:val="006D30EB"/>
    <w:rsid w:val="006D4D03"/>
    <w:rsid w:val="006D5F55"/>
    <w:rsid w:val="006F4C5E"/>
    <w:rsid w:val="006F63B3"/>
    <w:rsid w:val="00700A7D"/>
    <w:rsid w:val="00732E12"/>
    <w:rsid w:val="00742382"/>
    <w:rsid w:val="0074278E"/>
    <w:rsid w:val="00763D16"/>
    <w:rsid w:val="007741D2"/>
    <w:rsid w:val="00794EEC"/>
    <w:rsid w:val="00795748"/>
    <w:rsid w:val="007A2267"/>
    <w:rsid w:val="007C1493"/>
    <w:rsid w:val="007C2D44"/>
    <w:rsid w:val="007D53F0"/>
    <w:rsid w:val="007E6F66"/>
    <w:rsid w:val="007F1334"/>
    <w:rsid w:val="007F6693"/>
    <w:rsid w:val="00826C56"/>
    <w:rsid w:val="00827F61"/>
    <w:rsid w:val="00840512"/>
    <w:rsid w:val="00843848"/>
    <w:rsid w:val="0084452F"/>
    <w:rsid w:val="00847F5E"/>
    <w:rsid w:val="00887145"/>
    <w:rsid w:val="008965AF"/>
    <w:rsid w:val="008A3860"/>
    <w:rsid w:val="008A666B"/>
    <w:rsid w:val="008B7582"/>
    <w:rsid w:val="008E316A"/>
    <w:rsid w:val="008E4620"/>
    <w:rsid w:val="008E5EBC"/>
    <w:rsid w:val="008F044C"/>
    <w:rsid w:val="008F38AE"/>
    <w:rsid w:val="009039B0"/>
    <w:rsid w:val="009047A9"/>
    <w:rsid w:val="00907262"/>
    <w:rsid w:val="0090759A"/>
    <w:rsid w:val="00911C44"/>
    <w:rsid w:val="00913A19"/>
    <w:rsid w:val="009225B6"/>
    <w:rsid w:val="00922EBB"/>
    <w:rsid w:val="0092390F"/>
    <w:rsid w:val="00927867"/>
    <w:rsid w:val="009279E5"/>
    <w:rsid w:val="0093077A"/>
    <w:rsid w:val="009345DB"/>
    <w:rsid w:val="0093478B"/>
    <w:rsid w:val="00934896"/>
    <w:rsid w:val="00942BD5"/>
    <w:rsid w:val="00955B87"/>
    <w:rsid w:val="00976C50"/>
    <w:rsid w:val="00981BA3"/>
    <w:rsid w:val="009853E4"/>
    <w:rsid w:val="009869D0"/>
    <w:rsid w:val="00994E41"/>
    <w:rsid w:val="00997986"/>
    <w:rsid w:val="009A066D"/>
    <w:rsid w:val="009A5174"/>
    <w:rsid w:val="009C0B7A"/>
    <w:rsid w:val="009C2F85"/>
    <w:rsid w:val="009C3250"/>
    <w:rsid w:val="009C5708"/>
    <w:rsid w:val="009D0A63"/>
    <w:rsid w:val="009E0653"/>
    <w:rsid w:val="009E136D"/>
    <w:rsid w:val="009E2451"/>
    <w:rsid w:val="009E3359"/>
    <w:rsid w:val="009E78CC"/>
    <w:rsid w:val="00A15F72"/>
    <w:rsid w:val="00A163F6"/>
    <w:rsid w:val="00A3191C"/>
    <w:rsid w:val="00A42682"/>
    <w:rsid w:val="00A53839"/>
    <w:rsid w:val="00A67DF9"/>
    <w:rsid w:val="00A7143E"/>
    <w:rsid w:val="00A74544"/>
    <w:rsid w:val="00A77A18"/>
    <w:rsid w:val="00A80347"/>
    <w:rsid w:val="00A87A41"/>
    <w:rsid w:val="00AA0029"/>
    <w:rsid w:val="00AA0F83"/>
    <w:rsid w:val="00AA1228"/>
    <w:rsid w:val="00AA1C07"/>
    <w:rsid w:val="00AA23E7"/>
    <w:rsid w:val="00AA6450"/>
    <w:rsid w:val="00AA6BF7"/>
    <w:rsid w:val="00AB245B"/>
    <w:rsid w:val="00AB25AA"/>
    <w:rsid w:val="00AB3975"/>
    <w:rsid w:val="00AC16D1"/>
    <w:rsid w:val="00AC2D5F"/>
    <w:rsid w:val="00AC49A8"/>
    <w:rsid w:val="00AC4AB0"/>
    <w:rsid w:val="00AE2D2E"/>
    <w:rsid w:val="00B15B81"/>
    <w:rsid w:val="00B30138"/>
    <w:rsid w:val="00B35C6D"/>
    <w:rsid w:val="00B44B9B"/>
    <w:rsid w:val="00B53D1F"/>
    <w:rsid w:val="00B559E2"/>
    <w:rsid w:val="00B55B88"/>
    <w:rsid w:val="00B654A6"/>
    <w:rsid w:val="00B73A7B"/>
    <w:rsid w:val="00B870EF"/>
    <w:rsid w:val="00B87934"/>
    <w:rsid w:val="00B91207"/>
    <w:rsid w:val="00B9260F"/>
    <w:rsid w:val="00B94A17"/>
    <w:rsid w:val="00BA3534"/>
    <w:rsid w:val="00BB6896"/>
    <w:rsid w:val="00BC35B8"/>
    <w:rsid w:val="00BF0409"/>
    <w:rsid w:val="00BF3B1D"/>
    <w:rsid w:val="00BF6FF2"/>
    <w:rsid w:val="00C05007"/>
    <w:rsid w:val="00C16D98"/>
    <w:rsid w:val="00C175FC"/>
    <w:rsid w:val="00C37748"/>
    <w:rsid w:val="00C412C7"/>
    <w:rsid w:val="00C4167F"/>
    <w:rsid w:val="00C419D7"/>
    <w:rsid w:val="00C43A3C"/>
    <w:rsid w:val="00C51F28"/>
    <w:rsid w:val="00C738B0"/>
    <w:rsid w:val="00C73F87"/>
    <w:rsid w:val="00C764F9"/>
    <w:rsid w:val="00C81C7C"/>
    <w:rsid w:val="00C91C66"/>
    <w:rsid w:val="00CA2C59"/>
    <w:rsid w:val="00CA5C7B"/>
    <w:rsid w:val="00CB2ED6"/>
    <w:rsid w:val="00CC78E5"/>
    <w:rsid w:val="00CD4712"/>
    <w:rsid w:val="00CF095F"/>
    <w:rsid w:val="00CF1575"/>
    <w:rsid w:val="00D00FAF"/>
    <w:rsid w:val="00D121F6"/>
    <w:rsid w:val="00D13237"/>
    <w:rsid w:val="00D1747E"/>
    <w:rsid w:val="00D214B5"/>
    <w:rsid w:val="00D2157E"/>
    <w:rsid w:val="00D431DD"/>
    <w:rsid w:val="00D546DD"/>
    <w:rsid w:val="00D54D31"/>
    <w:rsid w:val="00D557AE"/>
    <w:rsid w:val="00D76F40"/>
    <w:rsid w:val="00D81C65"/>
    <w:rsid w:val="00D85F8D"/>
    <w:rsid w:val="00D9108D"/>
    <w:rsid w:val="00D926A1"/>
    <w:rsid w:val="00D92FF6"/>
    <w:rsid w:val="00D933D1"/>
    <w:rsid w:val="00D9703F"/>
    <w:rsid w:val="00DA266B"/>
    <w:rsid w:val="00DB463E"/>
    <w:rsid w:val="00DC42C4"/>
    <w:rsid w:val="00DC662D"/>
    <w:rsid w:val="00DD12D1"/>
    <w:rsid w:val="00DE3CBA"/>
    <w:rsid w:val="00DE4FA6"/>
    <w:rsid w:val="00DE614A"/>
    <w:rsid w:val="00DF0266"/>
    <w:rsid w:val="00DF143F"/>
    <w:rsid w:val="00DF1711"/>
    <w:rsid w:val="00DF7D20"/>
    <w:rsid w:val="00E013FC"/>
    <w:rsid w:val="00E06AA0"/>
    <w:rsid w:val="00E10DA4"/>
    <w:rsid w:val="00E12837"/>
    <w:rsid w:val="00E13969"/>
    <w:rsid w:val="00E170E8"/>
    <w:rsid w:val="00E24699"/>
    <w:rsid w:val="00E35622"/>
    <w:rsid w:val="00E36EBF"/>
    <w:rsid w:val="00E43633"/>
    <w:rsid w:val="00E5249C"/>
    <w:rsid w:val="00E60D7D"/>
    <w:rsid w:val="00E6130B"/>
    <w:rsid w:val="00E7352B"/>
    <w:rsid w:val="00E8537D"/>
    <w:rsid w:val="00EA25D5"/>
    <w:rsid w:val="00EB715D"/>
    <w:rsid w:val="00EC2BA8"/>
    <w:rsid w:val="00EE3C1E"/>
    <w:rsid w:val="00EE72E1"/>
    <w:rsid w:val="00EF2397"/>
    <w:rsid w:val="00EF5C23"/>
    <w:rsid w:val="00F00F84"/>
    <w:rsid w:val="00F124B1"/>
    <w:rsid w:val="00F209E3"/>
    <w:rsid w:val="00F20B90"/>
    <w:rsid w:val="00F22915"/>
    <w:rsid w:val="00F23D57"/>
    <w:rsid w:val="00F30954"/>
    <w:rsid w:val="00F33579"/>
    <w:rsid w:val="00F5698D"/>
    <w:rsid w:val="00F63748"/>
    <w:rsid w:val="00F66A62"/>
    <w:rsid w:val="00F80315"/>
    <w:rsid w:val="00F8487D"/>
    <w:rsid w:val="00F85343"/>
    <w:rsid w:val="00F860FB"/>
    <w:rsid w:val="00F87738"/>
    <w:rsid w:val="00F92C8A"/>
    <w:rsid w:val="00FA1F0E"/>
    <w:rsid w:val="00FB1E51"/>
    <w:rsid w:val="00FB6D46"/>
    <w:rsid w:val="00FC0B92"/>
    <w:rsid w:val="00FC21BC"/>
    <w:rsid w:val="00FC5D6B"/>
    <w:rsid w:val="00FD323B"/>
    <w:rsid w:val="00FF044D"/>
    <w:rsid w:val="00FF2044"/>
    <w:rsid w:val="00FF430C"/>
    <w:rsid w:val="01E142BF"/>
    <w:rsid w:val="029F1B50"/>
    <w:rsid w:val="02D85CD0"/>
    <w:rsid w:val="03217B55"/>
    <w:rsid w:val="0323032B"/>
    <w:rsid w:val="03341A8A"/>
    <w:rsid w:val="03571091"/>
    <w:rsid w:val="04843E2F"/>
    <w:rsid w:val="04D92F2E"/>
    <w:rsid w:val="05B120C2"/>
    <w:rsid w:val="05D17F7F"/>
    <w:rsid w:val="063704B1"/>
    <w:rsid w:val="065019DC"/>
    <w:rsid w:val="06605F0F"/>
    <w:rsid w:val="06B116B5"/>
    <w:rsid w:val="06E97165"/>
    <w:rsid w:val="0732492C"/>
    <w:rsid w:val="073D4236"/>
    <w:rsid w:val="078F16F8"/>
    <w:rsid w:val="07914C47"/>
    <w:rsid w:val="084F2E8D"/>
    <w:rsid w:val="085B36B1"/>
    <w:rsid w:val="08A02C69"/>
    <w:rsid w:val="08A41184"/>
    <w:rsid w:val="08D6478F"/>
    <w:rsid w:val="08E104C7"/>
    <w:rsid w:val="093B7E5E"/>
    <w:rsid w:val="098C2B7B"/>
    <w:rsid w:val="09DB3207"/>
    <w:rsid w:val="0A1F71CE"/>
    <w:rsid w:val="0A5903EC"/>
    <w:rsid w:val="0AAF10FD"/>
    <w:rsid w:val="0AEB5310"/>
    <w:rsid w:val="0B62753A"/>
    <w:rsid w:val="0B64569E"/>
    <w:rsid w:val="0BB72438"/>
    <w:rsid w:val="0BB95E74"/>
    <w:rsid w:val="0CD028C8"/>
    <w:rsid w:val="0D1B342A"/>
    <w:rsid w:val="0D5C4E50"/>
    <w:rsid w:val="0D886883"/>
    <w:rsid w:val="0D923F0A"/>
    <w:rsid w:val="0E077146"/>
    <w:rsid w:val="0E2A7E0F"/>
    <w:rsid w:val="0E7C0DD2"/>
    <w:rsid w:val="0E853D73"/>
    <w:rsid w:val="0E941A03"/>
    <w:rsid w:val="0E965C31"/>
    <w:rsid w:val="0EC81BD1"/>
    <w:rsid w:val="0F742E4D"/>
    <w:rsid w:val="0F986C50"/>
    <w:rsid w:val="0FB20FE0"/>
    <w:rsid w:val="0FC815FF"/>
    <w:rsid w:val="103C5FE2"/>
    <w:rsid w:val="106B2580"/>
    <w:rsid w:val="10D123CD"/>
    <w:rsid w:val="11763776"/>
    <w:rsid w:val="11AA3420"/>
    <w:rsid w:val="11CE5EAA"/>
    <w:rsid w:val="1202500A"/>
    <w:rsid w:val="122A61B9"/>
    <w:rsid w:val="12600D6D"/>
    <w:rsid w:val="12BE5DCE"/>
    <w:rsid w:val="12DE1EBF"/>
    <w:rsid w:val="13551C50"/>
    <w:rsid w:val="13BC146C"/>
    <w:rsid w:val="14717675"/>
    <w:rsid w:val="151E1FA2"/>
    <w:rsid w:val="154676C6"/>
    <w:rsid w:val="1557408A"/>
    <w:rsid w:val="15EE5E19"/>
    <w:rsid w:val="15F119AD"/>
    <w:rsid w:val="16422B9A"/>
    <w:rsid w:val="168667C2"/>
    <w:rsid w:val="16C51013"/>
    <w:rsid w:val="16DF0DFB"/>
    <w:rsid w:val="176D2108"/>
    <w:rsid w:val="177477F9"/>
    <w:rsid w:val="17B103C8"/>
    <w:rsid w:val="17B74452"/>
    <w:rsid w:val="17BF0ACA"/>
    <w:rsid w:val="17D84B0F"/>
    <w:rsid w:val="180A1CE8"/>
    <w:rsid w:val="18C26AAD"/>
    <w:rsid w:val="1912244B"/>
    <w:rsid w:val="19CA7C5E"/>
    <w:rsid w:val="19E1538A"/>
    <w:rsid w:val="1AAD37A3"/>
    <w:rsid w:val="1AD75285"/>
    <w:rsid w:val="1ADB749B"/>
    <w:rsid w:val="1B2E11D7"/>
    <w:rsid w:val="1C0202A6"/>
    <w:rsid w:val="1C282170"/>
    <w:rsid w:val="1C516953"/>
    <w:rsid w:val="1CAF43EA"/>
    <w:rsid w:val="1CC96E50"/>
    <w:rsid w:val="1D7671EF"/>
    <w:rsid w:val="1DF11734"/>
    <w:rsid w:val="1EE305D1"/>
    <w:rsid w:val="1F9A42FC"/>
    <w:rsid w:val="20216D23"/>
    <w:rsid w:val="203D5583"/>
    <w:rsid w:val="204A02A8"/>
    <w:rsid w:val="20A3401D"/>
    <w:rsid w:val="21851EDD"/>
    <w:rsid w:val="21E7529B"/>
    <w:rsid w:val="22C91F18"/>
    <w:rsid w:val="23512729"/>
    <w:rsid w:val="23863CED"/>
    <w:rsid w:val="238A3A61"/>
    <w:rsid w:val="23B1799A"/>
    <w:rsid w:val="249843DE"/>
    <w:rsid w:val="26E46B93"/>
    <w:rsid w:val="271C56D8"/>
    <w:rsid w:val="27494ED1"/>
    <w:rsid w:val="276C0EEB"/>
    <w:rsid w:val="27827560"/>
    <w:rsid w:val="27C15702"/>
    <w:rsid w:val="28200983"/>
    <w:rsid w:val="284F054C"/>
    <w:rsid w:val="285275E8"/>
    <w:rsid w:val="2863330B"/>
    <w:rsid w:val="28C037FD"/>
    <w:rsid w:val="29641AD1"/>
    <w:rsid w:val="29D47539"/>
    <w:rsid w:val="29E2706C"/>
    <w:rsid w:val="2A3119E5"/>
    <w:rsid w:val="2A9B7F19"/>
    <w:rsid w:val="2AA40A22"/>
    <w:rsid w:val="2ACD5484"/>
    <w:rsid w:val="2B0D4D89"/>
    <w:rsid w:val="2B4F2AAC"/>
    <w:rsid w:val="2BB07175"/>
    <w:rsid w:val="2BFE40AE"/>
    <w:rsid w:val="2C5069BA"/>
    <w:rsid w:val="2C5F332D"/>
    <w:rsid w:val="2C6C7D95"/>
    <w:rsid w:val="2C876F1D"/>
    <w:rsid w:val="2D303E35"/>
    <w:rsid w:val="2D921CB7"/>
    <w:rsid w:val="2DB6793F"/>
    <w:rsid w:val="2E21074A"/>
    <w:rsid w:val="2E245E99"/>
    <w:rsid w:val="2E3654DC"/>
    <w:rsid w:val="2E4538A7"/>
    <w:rsid w:val="2E487E15"/>
    <w:rsid w:val="2E526349"/>
    <w:rsid w:val="2F876E0B"/>
    <w:rsid w:val="2FAF1CBA"/>
    <w:rsid w:val="2FCF39FA"/>
    <w:rsid w:val="3055446E"/>
    <w:rsid w:val="30D23EA1"/>
    <w:rsid w:val="30DB6B67"/>
    <w:rsid w:val="31092EFB"/>
    <w:rsid w:val="314459DC"/>
    <w:rsid w:val="314B20D2"/>
    <w:rsid w:val="31583180"/>
    <w:rsid w:val="31783438"/>
    <w:rsid w:val="324E6FBF"/>
    <w:rsid w:val="33567FD8"/>
    <w:rsid w:val="33B91941"/>
    <w:rsid w:val="34563252"/>
    <w:rsid w:val="352E5F4D"/>
    <w:rsid w:val="367F4771"/>
    <w:rsid w:val="36A3663E"/>
    <w:rsid w:val="36AC5113"/>
    <w:rsid w:val="36B655C5"/>
    <w:rsid w:val="37311481"/>
    <w:rsid w:val="374750E9"/>
    <w:rsid w:val="38174D54"/>
    <w:rsid w:val="3850267B"/>
    <w:rsid w:val="38775208"/>
    <w:rsid w:val="390E5F29"/>
    <w:rsid w:val="39246858"/>
    <w:rsid w:val="39355DE8"/>
    <w:rsid w:val="39E6796D"/>
    <w:rsid w:val="3A39451B"/>
    <w:rsid w:val="3A5D7BEB"/>
    <w:rsid w:val="3A8D3F59"/>
    <w:rsid w:val="3ABF1E22"/>
    <w:rsid w:val="3AFC6AA1"/>
    <w:rsid w:val="3B230544"/>
    <w:rsid w:val="3B6E7EA5"/>
    <w:rsid w:val="3B833376"/>
    <w:rsid w:val="3C491113"/>
    <w:rsid w:val="3C614E61"/>
    <w:rsid w:val="3C646ED6"/>
    <w:rsid w:val="3CAD2B1E"/>
    <w:rsid w:val="3D80608A"/>
    <w:rsid w:val="3D8F5E13"/>
    <w:rsid w:val="3DA855F0"/>
    <w:rsid w:val="3DDE74ED"/>
    <w:rsid w:val="3E6333DC"/>
    <w:rsid w:val="3E6F64D2"/>
    <w:rsid w:val="3E8D7AD0"/>
    <w:rsid w:val="3EB053C8"/>
    <w:rsid w:val="3FFF1571"/>
    <w:rsid w:val="40425005"/>
    <w:rsid w:val="413B6A9C"/>
    <w:rsid w:val="41A75074"/>
    <w:rsid w:val="41D80E67"/>
    <w:rsid w:val="42013932"/>
    <w:rsid w:val="423559AB"/>
    <w:rsid w:val="43AE16F4"/>
    <w:rsid w:val="43DB1093"/>
    <w:rsid w:val="445E7455"/>
    <w:rsid w:val="446C0909"/>
    <w:rsid w:val="44E0101F"/>
    <w:rsid w:val="44FB78A9"/>
    <w:rsid w:val="44FF7003"/>
    <w:rsid w:val="45170D0E"/>
    <w:rsid w:val="454E16BF"/>
    <w:rsid w:val="45882CEA"/>
    <w:rsid w:val="459238EC"/>
    <w:rsid w:val="4603113E"/>
    <w:rsid w:val="46AC65D6"/>
    <w:rsid w:val="46F2073D"/>
    <w:rsid w:val="4731373F"/>
    <w:rsid w:val="4749410A"/>
    <w:rsid w:val="47630C85"/>
    <w:rsid w:val="476F1AD2"/>
    <w:rsid w:val="47A05873"/>
    <w:rsid w:val="47BF410C"/>
    <w:rsid w:val="47FC7EFD"/>
    <w:rsid w:val="47FF3D8A"/>
    <w:rsid w:val="481B29F2"/>
    <w:rsid w:val="48571022"/>
    <w:rsid w:val="485D508A"/>
    <w:rsid w:val="48714C78"/>
    <w:rsid w:val="48842CB5"/>
    <w:rsid w:val="4885410E"/>
    <w:rsid w:val="48B94B63"/>
    <w:rsid w:val="494123B1"/>
    <w:rsid w:val="497360BC"/>
    <w:rsid w:val="4A366994"/>
    <w:rsid w:val="4A5C032F"/>
    <w:rsid w:val="4AAA260D"/>
    <w:rsid w:val="4AB337D6"/>
    <w:rsid w:val="4B297F9B"/>
    <w:rsid w:val="4B330F70"/>
    <w:rsid w:val="4B43150A"/>
    <w:rsid w:val="4B9A5AE5"/>
    <w:rsid w:val="4BB85DEB"/>
    <w:rsid w:val="4BC80B0C"/>
    <w:rsid w:val="4BE1052B"/>
    <w:rsid w:val="4BF330B8"/>
    <w:rsid w:val="4C2F45F0"/>
    <w:rsid w:val="4C544FD1"/>
    <w:rsid w:val="4C852A54"/>
    <w:rsid w:val="4C971150"/>
    <w:rsid w:val="4D6B16DA"/>
    <w:rsid w:val="4D80575E"/>
    <w:rsid w:val="4D9D3C7E"/>
    <w:rsid w:val="4DF74CEE"/>
    <w:rsid w:val="4DF82F1F"/>
    <w:rsid w:val="4E382B88"/>
    <w:rsid w:val="4E520189"/>
    <w:rsid w:val="4EA869BD"/>
    <w:rsid w:val="4ED11355"/>
    <w:rsid w:val="4F954625"/>
    <w:rsid w:val="503E2860"/>
    <w:rsid w:val="5091072F"/>
    <w:rsid w:val="516F09B6"/>
    <w:rsid w:val="519A5ED2"/>
    <w:rsid w:val="51BB0830"/>
    <w:rsid w:val="51D23F1D"/>
    <w:rsid w:val="51DA398B"/>
    <w:rsid w:val="525434C6"/>
    <w:rsid w:val="527640EF"/>
    <w:rsid w:val="52B72988"/>
    <w:rsid w:val="52D23F0A"/>
    <w:rsid w:val="52E70C6A"/>
    <w:rsid w:val="532208E1"/>
    <w:rsid w:val="532979BA"/>
    <w:rsid w:val="534C2062"/>
    <w:rsid w:val="53600ABC"/>
    <w:rsid w:val="53643545"/>
    <w:rsid w:val="536F5548"/>
    <w:rsid w:val="537F15EB"/>
    <w:rsid w:val="53DE1CD8"/>
    <w:rsid w:val="54363555"/>
    <w:rsid w:val="54E770DC"/>
    <w:rsid w:val="552558DD"/>
    <w:rsid w:val="556F44C2"/>
    <w:rsid w:val="55CE557F"/>
    <w:rsid w:val="55E40C90"/>
    <w:rsid w:val="560B22E6"/>
    <w:rsid w:val="56321FDC"/>
    <w:rsid w:val="563444D6"/>
    <w:rsid w:val="56891C6B"/>
    <w:rsid w:val="56B97997"/>
    <w:rsid w:val="570365C4"/>
    <w:rsid w:val="57060082"/>
    <w:rsid w:val="574474B6"/>
    <w:rsid w:val="576B41D2"/>
    <w:rsid w:val="579E24E3"/>
    <w:rsid w:val="590B5B88"/>
    <w:rsid w:val="59552988"/>
    <w:rsid w:val="59ED4FE7"/>
    <w:rsid w:val="5A5D05FC"/>
    <w:rsid w:val="5AC36BC5"/>
    <w:rsid w:val="5AC63E1F"/>
    <w:rsid w:val="5AD46BC2"/>
    <w:rsid w:val="5B1E248F"/>
    <w:rsid w:val="5B264688"/>
    <w:rsid w:val="5B2751ED"/>
    <w:rsid w:val="5B4342F6"/>
    <w:rsid w:val="5BA767B0"/>
    <w:rsid w:val="5C651EB1"/>
    <w:rsid w:val="5C7B0F63"/>
    <w:rsid w:val="5CAE3391"/>
    <w:rsid w:val="5DCA7B72"/>
    <w:rsid w:val="5DE00E55"/>
    <w:rsid w:val="5E1F54F4"/>
    <w:rsid w:val="5E6B636E"/>
    <w:rsid w:val="5F5F65C0"/>
    <w:rsid w:val="5F7B2BB2"/>
    <w:rsid w:val="5F8E6ECA"/>
    <w:rsid w:val="5FA85AEC"/>
    <w:rsid w:val="60525445"/>
    <w:rsid w:val="607344EC"/>
    <w:rsid w:val="60C33D90"/>
    <w:rsid w:val="613A0C69"/>
    <w:rsid w:val="617E451D"/>
    <w:rsid w:val="61FD3181"/>
    <w:rsid w:val="62042942"/>
    <w:rsid w:val="62847485"/>
    <w:rsid w:val="62B25F0D"/>
    <w:rsid w:val="62CE433B"/>
    <w:rsid w:val="636F5846"/>
    <w:rsid w:val="638A1A8C"/>
    <w:rsid w:val="63EE4A68"/>
    <w:rsid w:val="64811AB2"/>
    <w:rsid w:val="649C5530"/>
    <w:rsid w:val="64AF3298"/>
    <w:rsid w:val="64B7773D"/>
    <w:rsid w:val="64EB6B26"/>
    <w:rsid w:val="655B1B6E"/>
    <w:rsid w:val="65A469D1"/>
    <w:rsid w:val="65BD7C07"/>
    <w:rsid w:val="65ED4F2A"/>
    <w:rsid w:val="65F647F4"/>
    <w:rsid w:val="666D4068"/>
    <w:rsid w:val="66B35EF8"/>
    <w:rsid w:val="66EA5766"/>
    <w:rsid w:val="672B633E"/>
    <w:rsid w:val="674041D4"/>
    <w:rsid w:val="6773145F"/>
    <w:rsid w:val="6796433E"/>
    <w:rsid w:val="67C033E3"/>
    <w:rsid w:val="67DD453C"/>
    <w:rsid w:val="67E37ACA"/>
    <w:rsid w:val="67EE65B9"/>
    <w:rsid w:val="683F7FFE"/>
    <w:rsid w:val="68694C79"/>
    <w:rsid w:val="68816128"/>
    <w:rsid w:val="688E2F9F"/>
    <w:rsid w:val="6946190A"/>
    <w:rsid w:val="696819F8"/>
    <w:rsid w:val="698D5697"/>
    <w:rsid w:val="6A3177DD"/>
    <w:rsid w:val="6A8B4135"/>
    <w:rsid w:val="6A915403"/>
    <w:rsid w:val="6A9D0048"/>
    <w:rsid w:val="6AA62A7A"/>
    <w:rsid w:val="6AC82F1E"/>
    <w:rsid w:val="6AD409EE"/>
    <w:rsid w:val="6AEA6A79"/>
    <w:rsid w:val="6B1B5C25"/>
    <w:rsid w:val="6B1C2219"/>
    <w:rsid w:val="6C547C8E"/>
    <w:rsid w:val="6CB03CCD"/>
    <w:rsid w:val="6D617A39"/>
    <w:rsid w:val="6DB83390"/>
    <w:rsid w:val="6E3855CE"/>
    <w:rsid w:val="6E52595A"/>
    <w:rsid w:val="6E5F6F10"/>
    <w:rsid w:val="6EF776E0"/>
    <w:rsid w:val="6F0926A9"/>
    <w:rsid w:val="6F0A22FE"/>
    <w:rsid w:val="6F210F48"/>
    <w:rsid w:val="6F710B18"/>
    <w:rsid w:val="6F7E74CB"/>
    <w:rsid w:val="6FA8287C"/>
    <w:rsid w:val="70862203"/>
    <w:rsid w:val="70EE44D3"/>
    <w:rsid w:val="70F064A9"/>
    <w:rsid w:val="71203B39"/>
    <w:rsid w:val="717C4B53"/>
    <w:rsid w:val="71924844"/>
    <w:rsid w:val="719B775E"/>
    <w:rsid w:val="71AB77EE"/>
    <w:rsid w:val="724A7A48"/>
    <w:rsid w:val="724C4830"/>
    <w:rsid w:val="72695C00"/>
    <w:rsid w:val="72DE56EC"/>
    <w:rsid w:val="72F92942"/>
    <w:rsid w:val="731660CF"/>
    <w:rsid w:val="733B7399"/>
    <w:rsid w:val="73686E30"/>
    <w:rsid w:val="73E92500"/>
    <w:rsid w:val="74CE2C64"/>
    <w:rsid w:val="74E91D98"/>
    <w:rsid w:val="76181773"/>
    <w:rsid w:val="76291C01"/>
    <w:rsid w:val="7636003D"/>
    <w:rsid w:val="76584CD4"/>
    <w:rsid w:val="76667B2F"/>
    <w:rsid w:val="775D73BE"/>
    <w:rsid w:val="778301A2"/>
    <w:rsid w:val="78AA5252"/>
    <w:rsid w:val="78D10791"/>
    <w:rsid w:val="7A400C26"/>
    <w:rsid w:val="7AF9244D"/>
    <w:rsid w:val="7B3B5BBB"/>
    <w:rsid w:val="7BE15920"/>
    <w:rsid w:val="7C0C54CA"/>
    <w:rsid w:val="7C197358"/>
    <w:rsid w:val="7C713E55"/>
    <w:rsid w:val="7D3E6A83"/>
    <w:rsid w:val="7DD5E14A"/>
    <w:rsid w:val="7DF82266"/>
    <w:rsid w:val="7E435833"/>
    <w:rsid w:val="7E53537B"/>
    <w:rsid w:val="7E61214D"/>
    <w:rsid w:val="7EA82723"/>
    <w:rsid w:val="7EB610B9"/>
    <w:rsid w:val="7ECD1840"/>
    <w:rsid w:val="7F0D6C7E"/>
    <w:rsid w:val="7F336E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qFormat="1" w:unhideWhenUsed="0" w:uiPriority="0" w:semiHidden="0"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iPriority="0" w:semiHidden="0" w:name="Body Text Indent 3"/>
    <w:lsdException w:qFormat="1" w:uiPriority="0" w:semiHidden="0"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qFormat="1" w:uiPriority="0" w:semiHidden="0" w:name="HTML Code"/>
    <w:lsdException w:uiPriority="99" w:name="HTML Definition"/>
    <w:lsdException w:uiPriority="99" w:name="HTML Keyboard"/>
    <w:lsdException w:uiPriority="99" w:name="HTML Preformatted"/>
    <w:lsdException w:qFormat="1" w:unhideWhenUsed="0" w:uiPriority="0" w:semiHidden="0"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qFormat="1" w:unhideWhenUsed="0" w:uiPriority="0" w:semiHidden="0"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link w:val="70"/>
    <w:qFormat/>
    <w:uiPriority w:val="0"/>
    <w:pPr>
      <w:autoSpaceDE w:val="0"/>
      <w:autoSpaceDN w:val="0"/>
      <w:adjustRightInd w:val="0"/>
      <w:spacing w:before="340" w:after="330" w:line="578" w:lineRule="atLeast"/>
      <w:jc w:val="left"/>
      <w:textAlignment w:val="baseline"/>
      <w:outlineLvl w:val="0"/>
    </w:pPr>
    <w:rPr>
      <w:kern w:val="0"/>
      <w:sz w:val="44"/>
    </w:rPr>
  </w:style>
  <w:style w:type="paragraph" w:styleId="3">
    <w:name w:val="heading 2"/>
    <w:basedOn w:val="1"/>
    <w:next w:val="1"/>
    <w:link w:val="72"/>
    <w:qFormat/>
    <w:uiPriority w:val="9"/>
    <w:pPr>
      <w:keepNext/>
      <w:keepLines/>
      <w:spacing w:before="260" w:after="260"/>
      <w:outlineLvl w:val="1"/>
    </w:pPr>
    <w:rPr>
      <w:rFonts w:ascii="Arial" w:hAnsi="Arial" w:eastAsia="黑体"/>
      <w:b/>
      <w:szCs w:val="20"/>
    </w:rPr>
  </w:style>
  <w:style w:type="paragraph" w:styleId="4">
    <w:name w:val="heading 3"/>
    <w:basedOn w:val="1"/>
    <w:next w:val="1"/>
    <w:link w:val="73"/>
    <w:qFormat/>
    <w:uiPriority w:val="9"/>
    <w:pPr>
      <w:keepNext/>
      <w:keepLines/>
      <w:autoSpaceDE w:val="0"/>
      <w:autoSpaceDN w:val="0"/>
      <w:adjustRightInd w:val="0"/>
      <w:spacing w:before="260" w:after="260" w:line="416" w:lineRule="atLeast"/>
      <w:jc w:val="left"/>
      <w:textAlignment w:val="baseline"/>
      <w:outlineLvl w:val="2"/>
    </w:pPr>
    <w:rPr>
      <w:b/>
      <w:kern w:val="0"/>
      <w:sz w:val="32"/>
      <w:szCs w:val="20"/>
    </w:rPr>
  </w:style>
  <w:style w:type="paragraph" w:styleId="5">
    <w:name w:val="heading 4"/>
    <w:basedOn w:val="1"/>
    <w:next w:val="1"/>
    <w:link w:val="74"/>
    <w:qFormat/>
    <w:uiPriority w:val="0"/>
    <w:pPr>
      <w:keepNext/>
      <w:keepLines/>
      <w:numPr>
        <w:ilvl w:val="3"/>
        <w:numId w:val="1"/>
      </w:numPr>
      <w:topLinePunct/>
      <w:spacing w:beforeLines="50" w:afterLines="50" w:line="480" w:lineRule="exact"/>
      <w:textAlignment w:val="center"/>
      <w:outlineLvl w:val="3"/>
    </w:pPr>
    <w:rPr>
      <w:b/>
      <w:bCs/>
      <w:sz w:val="24"/>
      <w:lang w:val="sv-SE"/>
    </w:rPr>
  </w:style>
  <w:style w:type="paragraph" w:styleId="6">
    <w:name w:val="heading 5"/>
    <w:basedOn w:val="1"/>
    <w:next w:val="1"/>
    <w:link w:val="138"/>
    <w:qFormat/>
    <w:uiPriority w:val="9"/>
    <w:pPr>
      <w:keepNext/>
      <w:keepLines/>
      <w:tabs>
        <w:tab w:val="left" w:pos="1008"/>
      </w:tabs>
      <w:topLinePunct/>
      <w:adjustRightInd w:val="0"/>
      <w:snapToGrid w:val="0"/>
      <w:ind w:left="1008" w:hanging="1008"/>
      <w:outlineLvl w:val="4"/>
    </w:pPr>
    <w:rPr>
      <w:rFonts w:ascii="宋体" w:hAnsi="宋体"/>
      <w:bCs/>
      <w:sz w:val="24"/>
    </w:rPr>
  </w:style>
  <w:style w:type="paragraph" w:styleId="7">
    <w:name w:val="heading 6"/>
    <w:basedOn w:val="1"/>
    <w:next w:val="1"/>
    <w:link w:val="139"/>
    <w:qFormat/>
    <w:uiPriority w:val="0"/>
    <w:pPr>
      <w:keepNext/>
      <w:keepLines/>
      <w:tabs>
        <w:tab w:val="left" w:pos="1152"/>
      </w:tabs>
      <w:adjustRightInd w:val="0"/>
      <w:spacing w:before="240" w:after="64" w:line="320" w:lineRule="atLeast"/>
      <w:ind w:left="1152" w:hanging="1152"/>
      <w:textAlignment w:val="baseline"/>
      <w:outlineLvl w:val="5"/>
    </w:pPr>
    <w:rPr>
      <w:rFonts w:ascii="Arial" w:hAnsi="Arial" w:eastAsia="黑体"/>
      <w:b/>
      <w:kern w:val="0"/>
      <w:sz w:val="24"/>
      <w:szCs w:val="21"/>
    </w:rPr>
  </w:style>
  <w:style w:type="paragraph" w:styleId="8">
    <w:name w:val="heading 7"/>
    <w:basedOn w:val="1"/>
    <w:next w:val="1"/>
    <w:link w:val="140"/>
    <w:qFormat/>
    <w:uiPriority w:val="0"/>
    <w:pPr>
      <w:keepNext/>
      <w:keepLines/>
      <w:tabs>
        <w:tab w:val="left" w:pos="1296"/>
      </w:tabs>
      <w:adjustRightInd w:val="0"/>
      <w:spacing w:before="240" w:after="64" w:line="320" w:lineRule="atLeast"/>
      <w:ind w:left="1296" w:hanging="1296"/>
      <w:textAlignment w:val="baseline"/>
      <w:outlineLvl w:val="6"/>
    </w:pPr>
    <w:rPr>
      <w:rFonts w:ascii="宋体" w:hAnsi="宋体"/>
      <w:b/>
      <w:kern w:val="0"/>
      <w:sz w:val="24"/>
      <w:szCs w:val="21"/>
    </w:rPr>
  </w:style>
  <w:style w:type="paragraph" w:styleId="9">
    <w:name w:val="heading 8"/>
    <w:basedOn w:val="1"/>
    <w:next w:val="1"/>
    <w:link w:val="75"/>
    <w:qFormat/>
    <w:uiPriority w:val="0"/>
    <w:pPr>
      <w:keepNext/>
      <w:keepLines/>
      <w:spacing w:before="240" w:after="64" w:line="320" w:lineRule="auto"/>
      <w:outlineLvl w:val="7"/>
    </w:pPr>
    <w:rPr>
      <w:rFonts w:ascii="Arial" w:hAnsi="Arial" w:eastAsia="黑体"/>
      <w:sz w:val="24"/>
    </w:rPr>
  </w:style>
  <w:style w:type="paragraph" w:styleId="10">
    <w:name w:val="heading 9"/>
    <w:basedOn w:val="1"/>
    <w:next w:val="1"/>
    <w:link w:val="142"/>
    <w:qFormat/>
    <w:uiPriority w:val="0"/>
    <w:pPr>
      <w:keepNext/>
      <w:keepLines/>
      <w:tabs>
        <w:tab w:val="left" w:pos="1584"/>
      </w:tabs>
      <w:adjustRightInd w:val="0"/>
      <w:spacing w:before="240" w:after="64" w:line="320" w:lineRule="atLeast"/>
      <w:ind w:left="1584" w:hanging="1584"/>
      <w:textAlignment w:val="baseline"/>
      <w:outlineLvl w:val="8"/>
    </w:pPr>
    <w:rPr>
      <w:rFonts w:ascii="Arial" w:hAnsi="Arial" w:eastAsia="黑体"/>
      <w:kern w:val="0"/>
      <w:szCs w:val="21"/>
    </w:rPr>
  </w:style>
  <w:style w:type="character" w:default="1" w:styleId="60">
    <w:name w:val="Default Paragraph Font"/>
    <w:unhideWhenUsed/>
    <w:qFormat/>
    <w:uiPriority w:val="1"/>
  </w:style>
  <w:style w:type="table" w:default="1" w:styleId="5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39"/>
    <w:pPr>
      <w:tabs>
        <w:tab w:val="right" w:leader="dot" w:pos="9241"/>
      </w:tabs>
      <w:ind w:firstLine="505" w:firstLineChars="500"/>
      <w:jc w:val="left"/>
    </w:pPr>
    <w:rPr>
      <w:rFonts w:ascii="宋体"/>
      <w:szCs w:val="21"/>
    </w:rPr>
  </w:style>
  <w:style w:type="paragraph" w:styleId="12">
    <w:name w:val="List Number 2"/>
    <w:basedOn w:val="1"/>
    <w:qFormat/>
    <w:uiPriority w:val="0"/>
    <w:pPr>
      <w:numPr>
        <w:ilvl w:val="0"/>
        <w:numId w:val="2"/>
      </w:numPr>
    </w:pPr>
  </w:style>
  <w:style w:type="paragraph" w:styleId="13">
    <w:name w:val="List Bullet 4"/>
    <w:basedOn w:val="1"/>
    <w:qFormat/>
    <w:uiPriority w:val="0"/>
    <w:pPr>
      <w:tabs>
        <w:tab w:val="left" w:pos="420"/>
      </w:tabs>
      <w:ind w:left="420" w:hanging="420"/>
    </w:pPr>
    <w:rPr>
      <w:szCs w:val="20"/>
    </w:rPr>
  </w:style>
  <w:style w:type="paragraph" w:styleId="14">
    <w:name w:val="index 8"/>
    <w:basedOn w:val="1"/>
    <w:next w:val="1"/>
    <w:qFormat/>
    <w:uiPriority w:val="0"/>
    <w:pPr>
      <w:ind w:left="1680" w:hanging="210"/>
      <w:jc w:val="left"/>
    </w:pPr>
    <w:rPr>
      <w:rFonts w:ascii="Calibri" w:hAnsi="Calibri"/>
      <w:sz w:val="20"/>
      <w:szCs w:val="20"/>
    </w:rPr>
  </w:style>
  <w:style w:type="paragraph" w:styleId="15">
    <w:name w:val="List Number"/>
    <w:basedOn w:val="1"/>
    <w:qFormat/>
    <w:uiPriority w:val="0"/>
    <w:pPr>
      <w:numPr>
        <w:ilvl w:val="0"/>
        <w:numId w:val="3"/>
      </w:numPr>
    </w:pPr>
  </w:style>
  <w:style w:type="paragraph" w:styleId="16">
    <w:name w:val="Normal Indent"/>
    <w:basedOn w:val="1"/>
    <w:link w:val="71"/>
    <w:qFormat/>
    <w:uiPriority w:val="0"/>
    <w:pPr>
      <w:ind w:firstLine="420"/>
    </w:pPr>
    <w:rPr>
      <w:szCs w:val="20"/>
    </w:rPr>
  </w:style>
  <w:style w:type="paragraph" w:styleId="17">
    <w:name w:val="caption"/>
    <w:basedOn w:val="1"/>
    <w:next w:val="1"/>
    <w:qFormat/>
    <w:uiPriority w:val="0"/>
    <w:pPr>
      <w:spacing w:before="152" w:after="160"/>
    </w:pPr>
    <w:rPr>
      <w:rFonts w:ascii="Arial" w:hAnsi="Arial" w:eastAsia="黑体" w:cs="Arial"/>
      <w:sz w:val="20"/>
      <w:szCs w:val="20"/>
    </w:rPr>
  </w:style>
  <w:style w:type="paragraph" w:styleId="18">
    <w:name w:val="index 5"/>
    <w:basedOn w:val="1"/>
    <w:next w:val="1"/>
    <w:qFormat/>
    <w:uiPriority w:val="0"/>
    <w:pPr>
      <w:ind w:left="1050" w:hanging="210"/>
      <w:jc w:val="left"/>
    </w:pPr>
    <w:rPr>
      <w:rFonts w:ascii="Calibri" w:hAnsi="Calibri"/>
      <w:sz w:val="20"/>
      <w:szCs w:val="20"/>
    </w:rPr>
  </w:style>
  <w:style w:type="paragraph" w:styleId="19">
    <w:name w:val="List Bullet"/>
    <w:basedOn w:val="1"/>
    <w:qFormat/>
    <w:uiPriority w:val="0"/>
    <w:pPr>
      <w:numPr>
        <w:ilvl w:val="0"/>
        <w:numId w:val="4"/>
      </w:numPr>
    </w:pPr>
    <w:rPr>
      <w:szCs w:val="20"/>
    </w:rPr>
  </w:style>
  <w:style w:type="paragraph" w:styleId="20">
    <w:name w:val="Document Map"/>
    <w:basedOn w:val="1"/>
    <w:link w:val="96"/>
    <w:qFormat/>
    <w:uiPriority w:val="0"/>
    <w:pPr>
      <w:shd w:val="clear" w:color="auto" w:fill="000080"/>
    </w:pPr>
  </w:style>
  <w:style w:type="paragraph" w:styleId="21">
    <w:name w:val="annotation text"/>
    <w:basedOn w:val="1"/>
    <w:link w:val="99"/>
    <w:qFormat/>
    <w:uiPriority w:val="99"/>
    <w:pPr>
      <w:ind w:firstLine="200" w:firstLineChars="200"/>
      <w:jc w:val="left"/>
    </w:pPr>
    <w:rPr>
      <w:rFonts w:cstheme="minorBidi"/>
    </w:rPr>
  </w:style>
  <w:style w:type="paragraph" w:styleId="22">
    <w:name w:val="index 6"/>
    <w:basedOn w:val="1"/>
    <w:next w:val="1"/>
    <w:qFormat/>
    <w:uiPriority w:val="0"/>
    <w:pPr>
      <w:ind w:left="1260" w:hanging="210"/>
      <w:jc w:val="left"/>
    </w:pPr>
    <w:rPr>
      <w:rFonts w:ascii="Calibri" w:hAnsi="Calibri"/>
      <w:sz w:val="20"/>
      <w:szCs w:val="20"/>
    </w:rPr>
  </w:style>
  <w:style w:type="paragraph" w:styleId="23">
    <w:name w:val="Body Text"/>
    <w:basedOn w:val="1"/>
    <w:link w:val="83"/>
    <w:qFormat/>
    <w:uiPriority w:val="0"/>
    <w:pPr>
      <w:spacing w:after="120"/>
    </w:pPr>
    <w:rPr>
      <w:szCs w:val="20"/>
    </w:rPr>
  </w:style>
  <w:style w:type="paragraph" w:styleId="24">
    <w:name w:val="Body Text Indent"/>
    <w:basedOn w:val="1"/>
    <w:link w:val="285"/>
    <w:qFormat/>
    <w:uiPriority w:val="0"/>
    <w:pPr>
      <w:adjustRightInd w:val="0"/>
      <w:spacing w:after="60" w:line="60" w:lineRule="atLeast"/>
      <w:ind w:firstLine="454"/>
      <w:textAlignment w:val="baseline"/>
    </w:pPr>
    <w:rPr>
      <w:rFonts w:ascii="宋体" w:hAnsi="宋体"/>
      <w:szCs w:val="21"/>
    </w:rPr>
  </w:style>
  <w:style w:type="paragraph" w:styleId="25">
    <w:name w:val="Block Text"/>
    <w:basedOn w:val="1"/>
    <w:unhideWhenUsed/>
    <w:qFormat/>
    <w:uiPriority w:val="0"/>
    <w:pPr>
      <w:adjustRightInd w:val="0"/>
      <w:snapToGrid w:val="0"/>
      <w:ind w:left="899" w:leftChars="428" w:right="198" w:firstLine="360" w:firstLineChars="171"/>
    </w:pPr>
    <w:rPr>
      <w:rFonts w:ascii="黑体" w:eastAsia="黑体"/>
      <w:b/>
      <w:bCs/>
    </w:rPr>
  </w:style>
  <w:style w:type="paragraph" w:styleId="26">
    <w:name w:val="index 4"/>
    <w:basedOn w:val="1"/>
    <w:next w:val="1"/>
    <w:qFormat/>
    <w:uiPriority w:val="0"/>
    <w:pPr>
      <w:ind w:left="840" w:hanging="210"/>
      <w:jc w:val="left"/>
    </w:pPr>
    <w:rPr>
      <w:rFonts w:ascii="Calibri" w:hAnsi="Calibri"/>
      <w:sz w:val="20"/>
      <w:szCs w:val="20"/>
    </w:rPr>
  </w:style>
  <w:style w:type="paragraph" w:styleId="27">
    <w:name w:val="toc 5"/>
    <w:basedOn w:val="1"/>
    <w:next w:val="1"/>
    <w:qFormat/>
    <w:uiPriority w:val="39"/>
    <w:pPr>
      <w:tabs>
        <w:tab w:val="right" w:leader="dot" w:pos="9241"/>
      </w:tabs>
      <w:ind w:firstLine="300" w:firstLineChars="300"/>
      <w:jc w:val="left"/>
    </w:pPr>
    <w:rPr>
      <w:rFonts w:ascii="宋体"/>
      <w:szCs w:val="21"/>
    </w:rPr>
  </w:style>
  <w:style w:type="paragraph" w:styleId="28">
    <w:name w:val="toc 3"/>
    <w:basedOn w:val="1"/>
    <w:next w:val="1"/>
    <w:qFormat/>
    <w:uiPriority w:val="39"/>
    <w:pPr>
      <w:ind w:left="840" w:leftChars="400"/>
    </w:pPr>
  </w:style>
  <w:style w:type="paragraph" w:styleId="29">
    <w:name w:val="Plain Text"/>
    <w:basedOn w:val="1"/>
    <w:link w:val="79"/>
    <w:qFormat/>
    <w:uiPriority w:val="99"/>
    <w:rPr>
      <w:rFonts w:ascii="宋体" w:hAnsi="Courier New"/>
      <w:szCs w:val="20"/>
    </w:rPr>
  </w:style>
  <w:style w:type="paragraph" w:styleId="30">
    <w:name w:val="toc 8"/>
    <w:basedOn w:val="1"/>
    <w:next w:val="1"/>
    <w:qFormat/>
    <w:uiPriority w:val="39"/>
    <w:pPr>
      <w:tabs>
        <w:tab w:val="right" w:leader="dot" w:pos="9241"/>
      </w:tabs>
      <w:ind w:firstLine="607" w:firstLineChars="600"/>
      <w:jc w:val="left"/>
    </w:pPr>
    <w:rPr>
      <w:rFonts w:ascii="宋体"/>
      <w:szCs w:val="21"/>
    </w:rPr>
  </w:style>
  <w:style w:type="paragraph" w:styleId="31">
    <w:name w:val="index 3"/>
    <w:basedOn w:val="1"/>
    <w:next w:val="1"/>
    <w:qFormat/>
    <w:uiPriority w:val="0"/>
    <w:pPr>
      <w:ind w:left="630" w:hanging="210"/>
      <w:jc w:val="left"/>
    </w:pPr>
    <w:rPr>
      <w:rFonts w:ascii="Calibri" w:hAnsi="Calibri"/>
      <w:sz w:val="20"/>
      <w:szCs w:val="20"/>
    </w:rPr>
  </w:style>
  <w:style w:type="paragraph" w:styleId="32">
    <w:name w:val="Date"/>
    <w:basedOn w:val="1"/>
    <w:next w:val="1"/>
    <w:link w:val="78"/>
    <w:qFormat/>
    <w:uiPriority w:val="0"/>
    <w:pPr>
      <w:ind w:left="100" w:leftChars="2500"/>
    </w:pPr>
    <w:rPr>
      <w:rFonts w:ascii="宋体" w:hAnsi="宋体"/>
      <w:b/>
      <w:color w:val="FF0000"/>
      <w:sz w:val="36"/>
      <w:szCs w:val="30"/>
    </w:rPr>
  </w:style>
  <w:style w:type="paragraph" w:styleId="33">
    <w:name w:val="Body Text Indent 2"/>
    <w:basedOn w:val="1"/>
    <w:link w:val="82"/>
    <w:qFormat/>
    <w:uiPriority w:val="0"/>
    <w:pPr>
      <w:spacing w:after="120" w:line="480" w:lineRule="auto"/>
      <w:ind w:left="420" w:leftChars="200"/>
    </w:pPr>
    <w:rPr>
      <w:szCs w:val="20"/>
    </w:rPr>
  </w:style>
  <w:style w:type="paragraph" w:styleId="34">
    <w:name w:val="endnote text"/>
    <w:basedOn w:val="1"/>
    <w:link w:val="216"/>
    <w:semiHidden/>
    <w:qFormat/>
    <w:uiPriority w:val="0"/>
    <w:pPr>
      <w:snapToGrid w:val="0"/>
      <w:jc w:val="left"/>
    </w:pPr>
  </w:style>
  <w:style w:type="paragraph" w:styleId="35">
    <w:name w:val="Balloon Text"/>
    <w:basedOn w:val="1"/>
    <w:link w:val="85"/>
    <w:qFormat/>
    <w:uiPriority w:val="0"/>
    <w:rPr>
      <w:sz w:val="18"/>
      <w:szCs w:val="18"/>
    </w:rPr>
  </w:style>
  <w:style w:type="paragraph" w:styleId="36">
    <w:name w:val="footer"/>
    <w:basedOn w:val="1"/>
    <w:link w:val="86"/>
    <w:qFormat/>
    <w:uiPriority w:val="99"/>
    <w:pPr>
      <w:tabs>
        <w:tab w:val="center" w:pos="4153"/>
        <w:tab w:val="right" w:pos="8306"/>
      </w:tabs>
      <w:snapToGrid w:val="0"/>
      <w:jc w:val="left"/>
    </w:pPr>
    <w:rPr>
      <w:sz w:val="18"/>
      <w:szCs w:val="18"/>
    </w:rPr>
  </w:style>
  <w:style w:type="paragraph" w:styleId="37">
    <w:name w:val="header"/>
    <w:basedOn w:val="1"/>
    <w:link w:val="94"/>
    <w:qFormat/>
    <w:uiPriority w:val="99"/>
    <w:pPr>
      <w:pBdr>
        <w:bottom w:val="single" w:color="auto" w:sz="6" w:space="1"/>
      </w:pBdr>
      <w:tabs>
        <w:tab w:val="center" w:pos="4153"/>
        <w:tab w:val="right" w:pos="8306"/>
      </w:tabs>
      <w:snapToGrid w:val="0"/>
      <w:jc w:val="center"/>
    </w:pPr>
    <w:rPr>
      <w:sz w:val="18"/>
      <w:szCs w:val="18"/>
    </w:rPr>
  </w:style>
  <w:style w:type="paragraph" w:styleId="38">
    <w:name w:val="toc 1"/>
    <w:basedOn w:val="1"/>
    <w:next w:val="1"/>
    <w:qFormat/>
    <w:uiPriority w:val="39"/>
  </w:style>
  <w:style w:type="paragraph" w:styleId="39">
    <w:name w:val="toc 4"/>
    <w:basedOn w:val="1"/>
    <w:next w:val="1"/>
    <w:qFormat/>
    <w:uiPriority w:val="39"/>
    <w:pPr>
      <w:tabs>
        <w:tab w:val="right" w:leader="dot" w:pos="9241"/>
      </w:tabs>
      <w:ind w:firstLine="198" w:firstLineChars="200"/>
      <w:jc w:val="left"/>
    </w:pPr>
    <w:rPr>
      <w:rFonts w:ascii="宋体"/>
      <w:szCs w:val="21"/>
    </w:rPr>
  </w:style>
  <w:style w:type="paragraph" w:styleId="40">
    <w:name w:val="index heading"/>
    <w:basedOn w:val="1"/>
    <w:next w:val="41"/>
    <w:qFormat/>
    <w:uiPriority w:val="0"/>
    <w:pPr>
      <w:spacing w:before="120" w:after="120"/>
      <w:jc w:val="center"/>
    </w:pPr>
    <w:rPr>
      <w:rFonts w:ascii="Calibri" w:hAnsi="Calibri"/>
      <w:b/>
      <w:bCs/>
      <w:iCs/>
      <w:szCs w:val="20"/>
    </w:rPr>
  </w:style>
  <w:style w:type="paragraph" w:styleId="41">
    <w:name w:val="index 1"/>
    <w:basedOn w:val="1"/>
    <w:next w:val="42"/>
    <w:qFormat/>
    <w:uiPriority w:val="0"/>
    <w:pPr>
      <w:tabs>
        <w:tab w:val="right" w:leader="dot" w:pos="9299"/>
      </w:tabs>
      <w:jc w:val="left"/>
    </w:pPr>
    <w:rPr>
      <w:rFonts w:ascii="宋体"/>
      <w:szCs w:val="21"/>
    </w:rPr>
  </w:style>
  <w:style w:type="paragraph" w:customStyle="1" w:styleId="42">
    <w:name w:val="段"/>
    <w:link w:val="108"/>
    <w:qFormat/>
    <w:uiPriority w:val="0"/>
    <w:pPr>
      <w:ind w:firstLine="200" w:firstLineChars="200"/>
      <w:jc w:val="both"/>
    </w:pPr>
    <w:rPr>
      <w:rFonts w:ascii="宋体" w:hAnsi="Times New Roman" w:eastAsia="宋体" w:cs="Times New Roman"/>
      <w:sz w:val="21"/>
      <w:lang w:val="en-US" w:eastAsia="zh-CN" w:bidi="ar-SA"/>
    </w:rPr>
  </w:style>
  <w:style w:type="paragraph" w:styleId="43">
    <w:name w:val="Subtitle"/>
    <w:basedOn w:val="1"/>
    <w:next w:val="1"/>
    <w:link w:val="279"/>
    <w:qFormat/>
    <w:uiPriority w:val="0"/>
    <w:pPr>
      <w:spacing w:before="240" w:after="60" w:line="312" w:lineRule="auto"/>
      <w:jc w:val="center"/>
      <w:outlineLvl w:val="1"/>
    </w:pPr>
    <w:rPr>
      <w:rFonts w:ascii="Cambria" w:hAnsi="Cambria"/>
      <w:b/>
      <w:bCs/>
      <w:kern w:val="28"/>
      <w:sz w:val="32"/>
      <w:szCs w:val="32"/>
    </w:rPr>
  </w:style>
  <w:style w:type="paragraph" w:styleId="44">
    <w:name w:val="footnote text"/>
    <w:basedOn w:val="1"/>
    <w:link w:val="199"/>
    <w:qFormat/>
    <w:uiPriority w:val="0"/>
    <w:pPr>
      <w:numPr>
        <w:ilvl w:val="0"/>
        <w:numId w:val="5"/>
      </w:numPr>
      <w:snapToGrid w:val="0"/>
      <w:jc w:val="left"/>
    </w:pPr>
    <w:rPr>
      <w:rFonts w:ascii="宋体"/>
      <w:sz w:val="18"/>
      <w:szCs w:val="18"/>
    </w:rPr>
  </w:style>
  <w:style w:type="paragraph" w:styleId="45">
    <w:name w:val="toc 6"/>
    <w:basedOn w:val="1"/>
    <w:next w:val="1"/>
    <w:qFormat/>
    <w:uiPriority w:val="39"/>
    <w:pPr>
      <w:tabs>
        <w:tab w:val="right" w:leader="dot" w:pos="9241"/>
      </w:tabs>
      <w:ind w:firstLine="403" w:firstLineChars="400"/>
      <w:jc w:val="left"/>
    </w:pPr>
    <w:rPr>
      <w:rFonts w:ascii="宋体"/>
      <w:szCs w:val="21"/>
    </w:rPr>
  </w:style>
  <w:style w:type="paragraph" w:styleId="46">
    <w:name w:val="Body Text Indent 3"/>
    <w:basedOn w:val="1"/>
    <w:link w:val="288"/>
    <w:unhideWhenUsed/>
    <w:qFormat/>
    <w:uiPriority w:val="0"/>
    <w:pPr>
      <w:spacing w:line="520" w:lineRule="exact"/>
      <w:ind w:firstLine="570"/>
    </w:pPr>
    <w:rPr>
      <w:rFonts w:ascii="宋体" w:hAnsi="宋体"/>
      <w:color w:val="000000"/>
      <w:sz w:val="24"/>
      <w:szCs w:val="21"/>
    </w:rPr>
  </w:style>
  <w:style w:type="paragraph" w:styleId="47">
    <w:name w:val="index 7"/>
    <w:basedOn w:val="1"/>
    <w:next w:val="1"/>
    <w:qFormat/>
    <w:uiPriority w:val="0"/>
    <w:pPr>
      <w:ind w:left="1470" w:hanging="210"/>
      <w:jc w:val="left"/>
    </w:pPr>
    <w:rPr>
      <w:rFonts w:ascii="Calibri" w:hAnsi="Calibri"/>
      <w:sz w:val="20"/>
      <w:szCs w:val="20"/>
    </w:rPr>
  </w:style>
  <w:style w:type="paragraph" w:styleId="48">
    <w:name w:val="index 9"/>
    <w:basedOn w:val="1"/>
    <w:next w:val="1"/>
    <w:qFormat/>
    <w:uiPriority w:val="0"/>
    <w:pPr>
      <w:ind w:left="1890" w:hanging="210"/>
      <w:jc w:val="left"/>
    </w:pPr>
    <w:rPr>
      <w:rFonts w:ascii="Calibri" w:hAnsi="Calibri"/>
      <w:sz w:val="20"/>
      <w:szCs w:val="20"/>
    </w:rPr>
  </w:style>
  <w:style w:type="paragraph" w:styleId="49">
    <w:name w:val="toc 2"/>
    <w:basedOn w:val="1"/>
    <w:next w:val="1"/>
    <w:qFormat/>
    <w:uiPriority w:val="39"/>
    <w:pPr>
      <w:ind w:left="420" w:leftChars="200"/>
    </w:pPr>
  </w:style>
  <w:style w:type="paragraph" w:styleId="50">
    <w:name w:val="toc 9"/>
    <w:basedOn w:val="1"/>
    <w:next w:val="1"/>
    <w:qFormat/>
    <w:uiPriority w:val="39"/>
    <w:pPr>
      <w:ind w:left="1470"/>
      <w:jc w:val="left"/>
    </w:pPr>
    <w:rPr>
      <w:sz w:val="20"/>
      <w:szCs w:val="20"/>
    </w:rPr>
  </w:style>
  <w:style w:type="paragraph" w:styleId="51">
    <w:name w:val="Normal (Web)"/>
    <w:basedOn w:val="1"/>
    <w:qFormat/>
    <w:uiPriority w:val="0"/>
    <w:rPr>
      <w:sz w:val="24"/>
    </w:rPr>
  </w:style>
  <w:style w:type="paragraph" w:styleId="52">
    <w:name w:val="index 2"/>
    <w:basedOn w:val="1"/>
    <w:next w:val="1"/>
    <w:qFormat/>
    <w:uiPriority w:val="0"/>
    <w:pPr>
      <w:ind w:left="420" w:hanging="210"/>
      <w:jc w:val="left"/>
    </w:pPr>
    <w:rPr>
      <w:rFonts w:ascii="Calibri" w:hAnsi="Calibri"/>
      <w:sz w:val="20"/>
      <w:szCs w:val="20"/>
    </w:rPr>
  </w:style>
  <w:style w:type="paragraph" w:styleId="53">
    <w:name w:val="Title"/>
    <w:basedOn w:val="1"/>
    <w:next w:val="1"/>
    <w:link w:val="385"/>
    <w:qFormat/>
    <w:uiPriority w:val="0"/>
    <w:pPr>
      <w:spacing w:before="240" w:after="60"/>
      <w:jc w:val="center"/>
      <w:outlineLvl w:val="0"/>
    </w:pPr>
    <w:rPr>
      <w:rFonts w:ascii="Cambria" w:hAnsi="Cambria"/>
      <w:b/>
      <w:sz w:val="32"/>
      <w:szCs w:val="21"/>
    </w:rPr>
  </w:style>
  <w:style w:type="paragraph" w:styleId="54">
    <w:name w:val="annotation subject"/>
    <w:basedOn w:val="21"/>
    <w:next w:val="21"/>
    <w:link w:val="103"/>
    <w:qFormat/>
    <w:uiPriority w:val="0"/>
    <w:pPr>
      <w:ind w:firstLine="0" w:firstLineChars="0"/>
    </w:pPr>
    <w:rPr>
      <w:b/>
      <w:bCs/>
    </w:rPr>
  </w:style>
  <w:style w:type="paragraph" w:styleId="55">
    <w:name w:val="Body Text First Indent"/>
    <w:basedOn w:val="23"/>
    <w:link w:val="282"/>
    <w:unhideWhenUsed/>
    <w:qFormat/>
    <w:uiPriority w:val="0"/>
    <w:pPr>
      <w:adjustRightInd w:val="0"/>
      <w:spacing w:line="300" w:lineRule="auto"/>
      <w:ind w:firstLine="420" w:firstLineChars="200"/>
    </w:pPr>
    <w:rPr>
      <w:rFonts w:ascii="宋体" w:hAnsi="宋体"/>
      <w:sz w:val="24"/>
      <w:szCs w:val="24"/>
    </w:rPr>
  </w:style>
  <w:style w:type="paragraph" w:styleId="56">
    <w:name w:val="Body Text First Indent 2"/>
    <w:basedOn w:val="24"/>
    <w:link w:val="284"/>
    <w:unhideWhenUsed/>
    <w:qFormat/>
    <w:uiPriority w:val="0"/>
    <w:pPr>
      <w:spacing w:after="120" w:line="300" w:lineRule="auto"/>
      <w:ind w:left="420" w:leftChars="200" w:firstLine="420" w:firstLineChars="200"/>
      <w:textAlignment w:val="auto"/>
    </w:pPr>
    <w:rPr>
      <w:sz w:val="24"/>
    </w:rPr>
  </w:style>
  <w:style w:type="table" w:styleId="58">
    <w:name w:val="Table Grid"/>
    <w:basedOn w:val="5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9">
    <w:name w:val="Table List 1"/>
    <w:basedOn w:val="57"/>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character" w:styleId="61">
    <w:name w:val="endnote reference"/>
    <w:semiHidden/>
    <w:qFormat/>
    <w:uiPriority w:val="0"/>
    <w:rPr>
      <w:vertAlign w:val="superscript"/>
    </w:rPr>
  </w:style>
  <w:style w:type="character" w:styleId="62">
    <w:name w:val="page number"/>
    <w:basedOn w:val="60"/>
    <w:qFormat/>
    <w:uiPriority w:val="0"/>
  </w:style>
  <w:style w:type="character" w:styleId="63">
    <w:name w:val="FollowedHyperlink"/>
    <w:basedOn w:val="60"/>
    <w:unhideWhenUsed/>
    <w:qFormat/>
    <w:uiPriority w:val="99"/>
    <w:rPr>
      <w:color w:val="954F72" w:themeColor="followedHyperlink"/>
      <w:u w:val="single"/>
      <w14:textFill>
        <w14:solidFill>
          <w14:schemeClr w14:val="folHlink"/>
        </w14:solidFill>
      </w14:textFill>
    </w:rPr>
  </w:style>
  <w:style w:type="character" w:styleId="64">
    <w:name w:val="Emphasis"/>
    <w:qFormat/>
    <w:uiPriority w:val="20"/>
    <w:rPr>
      <w:rFonts w:eastAsia="宋体"/>
      <w:iCs/>
      <w:sz w:val="18"/>
    </w:rPr>
  </w:style>
  <w:style w:type="character" w:styleId="65">
    <w:name w:val="Hyperlink"/>
    <w:qFormat/>
    <w:uiPriority w:val="99"/>
    <w:rPr>
      <w:color w:val="0000FF"/>
      <w:u w:val="single"/>
    </w:rPr>
  </w:style>
  <w:style w:type="character" w:styleId="66">
    <w:name w:val="HTML Code"/>
    <w:unhideWhenUsed/>
    <w:qFormat/>
    <w:uiPriority w:val="0"/>
    <w:rPr>
      <w:rFonts w:hint="default" w:ascii="Courier New" w:hAnsi="Courier New" w:eastAsia="宋体" w:cs="Times New Roman"/>
      <w:sz w:val="24"/>
      <w:szCs w:val="21"/>
      <w:lang w:val="en-US" w:eastAsia="zh-CN" w:bidi="ar-SA"/>
    </w:rPr>
  </w:style>
  <w:style w:type="character" w:styleId="67">
    <w:name w:val="annotation reference"/>
    <w:qFormat/>
    <w:uiPriority w:val="0"/>
    <w:rPr>
      <w:sz w:val="21"/>
      <w:szCs w:val="21"/>
    </w:rPr>
  </w:style>
  <w:style w:type="character" w:styleId="68">
    <w:name w:val="footnote reference"/>
    <w:semiHidden/>
    <w:qFormat/>
    <w:uiPriority w:val="0"/>
    <w:rPr>
      <w:vertAlign w:val="superscript"/>
    </w:rPr>
  </w:style>
  <w:style w:type="character" w:styleId="69">
    <w:name w:val="HTML Sample"/>
    <w:qFormat/>
    <w:uiPriority w:val="0"/>
    <w:rPr>
      <w:rFonts w:ascii="Courier New" w:hAnsi="Courier New"/>
    </w:rPr>
  </w:style>
  <w:style w:type="character" w:customStyle="1" w:styleId="70">
    <w:name w:val="标题 1 字符"/>
    <w:basedOn w:val="60"/>
    <w:link w:val="2"/>
    <w:qFormat/>
    <w:uiPriority w:val="0"/>
    <w:rPr>
      <w:rFonts w:cs="Times New Roman"/>
      <w:b/>
      <w:kern w:val="0"/>
      <w:sz w:val="44"/>
      <w:szCs w:val="20"/>
    </w:rPr>
  </w:style>
  <w:style w:type="character" w:customStyle="1" w:styleId="71">
    <w:name w:val="正文缩进 字符"/>
    <w:link w:val="16"/>
    <w:qFormat/>
    <w:uiPriority w:val="0"/>
    <w:rPr>
      <w:rFonts w:cs="Times New Roman"/>
      <w:sz w:val="21"/>
      <w:szCs w:val="20"/>
    </w:rPr>
  </w:style>
  <w:style w:type="character" w:customStyle="1" w:styleId="72">
    <w:name w:val="标题 2 字符"/>
    <w:basedOn w:val="60"/>
    <w:link w:val="3"/>
    <w:qFormat/>
    <w:uiPriority w:val="9"/>
    <w:rPr>
      <w:rFonts w:ascii="Arial" w:hAnsi="Arial" w:eastAsia="黑体" w:cs="Times New Roman"/>
      <w:b/>
      <w:sz w:val="21"/>
      <w:szCs w:val="20"/>
    </w:rPr>
  </w:style>
  <w:style w:type="character" w:customStyle="1" w:styleId="73">
    <w:name w:val="标题 3 字符"/>
    <w:basedOn w:val="60"/>
    <w:link w:val="4"/>
    <w:qFormat/>
    <w:uiPriority w:val="9"/>
    <w:rPr>
      <w:rFonts w:cs="Times New Roman"/>
      <w:b/>
      <w:kern w:val="0"/>
      <w:sz w:val="32"/>
      <w:szCs w:val="20"/>
    </w:rPr>
  </w:style>
  <w:style w:type="character" w:customStyle="1" w:styleId="74">
    <w:name w:val="标题 4 字符1"/>
    <w:link w:val="5"/>
    <w:qFormat/>
    <w:uiPriority w:val="0"/>
    <w:rPr>
      <w:b/>
      <w:bCs/>
      <w:kern w:val="2"/>
      <w:sz w:val="24"/>
      <w:szCs w:val="24"/>
      <w:lang w:val="sv-SE"/>
    </w:rPr>
  </w:style>
  <w:style w:type="character" w:customStyle="1" w:styleId="75">
    <w:name w:val="标题 8 字符1"/>
    <w:link w:val="9"/>
    <w:qFormat/>
    <w:uiPriority w:val="0"/>
    <w:rPr>
      <w:rFonts w:ascii="Arial" w:hAnsi="Arial" w:eastAsia="黑体" w:cs="Times New Roman"/>
      <w:szCs w:val="24"/>
    </w:rPr>
  </w:style>
  <w:style w:type="character" w:customStyle="1" w:styleId="76">
    <w:name w:val="标题 4 字符"/>
    <w:basedOn w:val="60"/>
    <w:qFormat/>
    <w:uiPriority w:val="0"/>
    <w:rPr>
      <w:rFonts w:asciiTheme="majorHAnsi" w:hAnsiTheme="majorHAnsi" w:eastAsiaTheme="majorEastAsia" w:cstheme="majorBidi"/>
      <w:b/>
      <w:bCs/>
      <w:sz w:val="28"/>
      <w:szCs w:val="28"/>
    </w:rPr>
  </w:style>
  <w:style w:type="character" w:customStyle="1" w:styleId="77">
    <w:name w:val="标题 8 字符"/>
    <w:basedOn w:val="60"/>
    <w:qFormat/>
    <w:uiPriority w:val="0"/>
    <w:rPr>
      <w:rFonts w:asciiTheme="majorHAnsi" w:hAnsiTheme="majorHAnsi" w:eastAsiaTheme="majorEastAsia" w:cstheme="majorBidi"/>
      <w:szCs w:val="24"/>
    </w:rPr>
  </w:style>
  <w:style w:type="character" w:customStyle="1" w:styleId="78">
    <w:name w:val="日期 字符"/>
    <w:basedOn w:val="60"/>
    <w:link w:val="32"/>
    <w:qFormat/>
    <w:uiPriority w:val="0"/>
    <w:rPr>
      <w:rFonts w:ascii="宋体" w:hAnsi="宋体" w:cs="Times New Roman"/>
      <w:b/>
      <w:color w:val="FF0000"/>
      <w:sz w:val="36"/>
      <w:szCs w:val="30"/>
    </w:rPr>
  </w:style>
  <w:style w:type="character" w:customStyle="1" w:styleId="79">
    <w:name w:val="纯文本 字符1"/>
    <w:link w:val="29"/>
    <w:qFormat/>
    <w:uiPriority w:val="0"/>
    <w:rPr>
      <w:rFonts w:ascii="宋体" w:hAnsi="Courier New" w:cs="Times New Roman"/>
      <w:sz w:val="21"/>
      <w:szCs w:val="20"/>
    </w:rPr>
  </w:style>
  <w:style w:type="character" w:customStyle="1" w:styleId="80">
    <w:name w:val="纯文本 字符"/>
    <w:basedOn w:val="60"/>
    <w:qFormat/>
    <w:uiPriority w:val="0"/>
    <w:rPr>
      <w:rFonts w:hAnsi="Courier New" w:cs="Courier New" w:asciiTheme="minorEastAsia" w:eastAsiaTheme="minorEastAsia"/>
      <w:sz w:val="21"/>
      <w:szCs w:val="24"/>
    </w:rPr>
  </w:style>
  <w:style w:type="paragraph" w:customStyle="1" w:styleId="81">
    <w:name w:val="B"/>
    <w:basedOn w:val="1"/>
    <w:qFormat/>
    <w:uiPriority w:val="0"/>
    <w:pPr>
      <w:adjustRightInd w:val="0"/>
      <w:spacing w:line="480" w:lineRule="atLeast"/>
      <w:ind w:firstLine="601"/>
      <w:jc w:val="center"/>
      <w:textAlignment w:val="baseline"/>
    </w:pPr>
    <w:rPr>
      <w:rFonts w:ascii="宋体"/>
      <w:kern w:val="0"/>
      <w:sz w:val="32"/>
      <w:szCs w:val="20"/>
    </w:rPr>
  </w:style>
  <w:style w:type="character" w:customStyle="1" w:styleId="82">
    <w:name w:val="正文文本缩进 2 字符"/>
    <w:basedOn w:val="60"/>
    <w:link w:val="33"/>
    <w:qFormat/>
    <w:uiPriority w:val="0"/>
    <w:rPr>
      <w:rFonts w:cs="Times New Roman"/>
      <w:sz w:val="21"/>
      <w:szCs w:val="20"/>
    </w:rPr>
  </w:style>
  <w:style w:type="character" w:customStyle="1" w:styleId="83">
    <w:name w:val="正文文本 字符"/>
    <w:basedOn w:val="60"/>
    <w:link w:val="23"/>
    <w:qFormat/>
    <w:uiPriority w:val="0"/>
    <w:rPr>
      <w:rFonts w:cs="Times New Roman"/>
      <w:sz w:val="21"/>
      <w:szCs w:val="20"/>
    </w:rPr>
  </w:style>
  <w:style w:type="paragraph" w:customStyle="1" w:styleId="84">
    <w:name w:val="A"/>
    <w:basedOn w:val="1"/>
    <w:qFormat/>
    <w:uiPriority w:val="0"/>
    <w:pPr>
      <w:adjustRightInd w:val="0"/>
      <w:spacing w:line="480" w:lineRule="atLeast"/>
      <w:ind w:firstLine="601"/>
      <w:jc w:val="center"/>
      <w:textAlignment w:val="baseline"/>
    </w:pPr>
    <w:rPr>
      <w:rFonts w:ascii="宋体"/>
      <w:kern w:val="0"/>
      <w:sz w:val="28"/>
      <w:szCs w:val="20"/>
    </w:rPr>
  </w:style>
  <w:style w:type="character" w:customStyle="1" w:styleId="85">
    <w:name w:val="批注框文本 字符"/>
    <w:basedOn w:val="60"/>
    <w:link w:val="35"/>
    <w:qFormat/>
    <w:uiPriority w:val="0"/>
    <w:rPr>
      <w:rFonts w:cs="Times New Roman"/>
      <w:sz w:val="18"/>
      <w:szCs w:val="18"/>
    </w:rPr>
  </w:style>
  <w:style w:type="character" w:customStyle="1" w:styleId="86">
    <w:name w:val="页脚 字符1"/>
    <w:link w:val="36"/>
    <w:qFormat/>
    <w:uiPriority w:val="99"/>
    <w:rPr>
      <w:rFonts w:cs="Times New Roman"/>
      <w:sz w:val="18"/>
      <w:szCs w:val="18"/>
    </w:rPr>
  </w:style>
  <w:style w:type="character" w:customStyle="1" w:styleId="87">
    <w:name w:val="页脚 字符"/>
    <w:basedOn w:val="60"/>
    <w:qFormat/>
    <w:uiPriority w:val="0"/>
    <w:rPr>
      <w:rFonts w:cs="Times New Roman"/>
      <w:sz w:val="18"/>
      <w:szCs w:val="18"/>
    </w:rPr>
  </w:style>
  <w:style w:type="paragraph" w:customStyle="1" w:styleId="88">
    <w:name w:val="目次、标准名称标题"/>
    <w:basedOn w:val="1"/>
    <w:next w:val="1"/>
    <w:qFormat/>
    <w:uiPriority w:val="0"/>
    <w:pPr>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89">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9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91">
    <w:name w:val="Char Char1 Char"/>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92">
    <w:name w:val="实施日期"/>
    <w:basedOn w:val="90"/>
    <w:qFormat/>
    <w:uiPriority w:val="0"/>
    <w:pPr>
      <w:framePr w:hSpace="0" w:wrap="around" w:xAlign="right"/>
      <w:jc w:val="right"/>
    </w:pPr>
  </w:style>
  <w:style w:type="paragraph" w:customStyle="1" w:styleId="93">
    <w:name w:val="其他发布部门"/>
    <w:basedOn w:val="1"/>
    <w:qFormat/>
    <w:uiPriority w:val="0"/>
    <w:pPr>
      <w:framePr w:w="7433" w:h="585" w:hRule="exact" w:hSpace="180" w:vSpace="180" w:wrap="around" w:vAnchor="margin" w:hAnchor="margin" w:xAlign="center" w:y="14401" w:anchorLock="1"/>
      <w:widowControl/>
      <w:spacing w:line="0" w:lineRule="atLeast"/>
      <w:jc w:val="center"/>
    </w:pPr>
    <w:rPr>
      <w:rFonts w:ascii="黑体" w:eastAsia="黑体"/>
      <w:spacing w:val="20"/>
      <w:w w:val="135"/>
      <w:kern w:val="0"/>
      <w:sz w:val="36"/>
      <w:szCs w:val="20"/>
    </w:rPr>
  </w:style>
  <w:style w:type="character" w:customStyle="1" w:styleId="94">
    <w:name w:val="页眉 字符1"/>
    <w:link w:val="37"/>
    <w:qFormat/>
    <w:uiPriority w:val="99"/>
    <w:rPr>
      <w:rFonts w:cs="Times New Roman"/>
      <w:sz w:val="18"/>
      <w:szCs w:val="18"/>
    </w:rPr>
  </w:style>
  <w:style w:type="character" w:customStyle="1" w:styleId="95">
    <w:name w:val="页眉 字符"/>
    <w:basedOn w:val="60"/>
    <w:qFormat/>
    <w:uiPriority w:val="99"/>
    <w:rPr>
      <w:rFonts w:cs="Times New Roman"/>
      <w:sz w:val="18"/>
      <w:szCs w:val="18"/>
    </w:rPr>
  </w:style>
  <w:style w:type="character" w:customStyle="1" w:styleId="96">
    <w:name w:val="文档结构图 字符"/>
    <w:basedOn w:val="60"/>
    <w:link w:val="20"/>
    <w:qFormat/>
    <w:uiPriority w:val="0"/>
    <w:rPr>
      <w:rFonts w:cs="Times New Roman"/>
      <w:sz w:val="21"/>
      <w:szCs w:val="24"/>
      <w:shd w:val="clear" w:color="auto" w:fill="000080"/>
    </w:rPr>
  </w:style>
  <w:style w:type="paragraph" w:customStyle="1" w:styleId="97">
    <w:name w:val="p0"/>
    <w:basedOn w:val="1"/>
    <w:qFormat/>
    <w:uiPriority w:val="0"/>
    <w:pPr>
      <w:widowControl/>
    </w:pPr>
    <w:rPr>
      <w:kern w:val="0"/>
      <w:szCs w:val="21"/>
    </w:rPr>
  </w:style>
  <w:style w:type="character" w:customStyle="1" w:styleId="98">
    <w:name w:val="不明显强调1"/>
    <w:qFormat/>
    <w:uiPriority w:val="0"/>
    <w:rPr>
      <w:rFonts w:eastAsia="黑体"/>
      <w:iCs/>
      <w:color w:val="auto"/>
      <w:sz w:val="21"/>
    </w:rPr>
  </w:style>
  <w:style w:type="character" w:customStyle="1" w:styleId="99">
    <w:name w:val="批注文字 字符1"/>
    <w:link w:val="21"/>
    <w:qFormat/>
    <w:uiPriority w:val="0"/>
    <w:rPr>
      <w:sz w:val="21"/>
      <w:szCs w:val="24"/>
    </w:rPr>
  </w:style>
  <w:style w:type="character" w:customStyle="1" w:styleId="100">
    <w:name w:val="批注文字 字符"/>
    <w:basedOn w:val="60"/>
    <w:qFormat/>
    <w:uiPriority w:val="0"/>
    <w:rPr>
      <w:rFonts w:cs="Times New Roman"/>
      <w:sz w:val="21"/>
      <w:szCs w:val="24"/>
    </w:rPr>
  </w:style>
  <w:style w:type="character" w:customStyle="1" w:styleId="101">
    <w:name w:val="不明显强调2"/>
    <w:qFormat/>
    <w:uiPriority w:val="0"/>
    <w:rPr>
      <w:i/>
      <w:iCs/>
      <w:color w:val="808080"/>
    </w:rPr>
  </w:style>
  <w:style w:type="paragraph" w:customStyle="1" w:styleId="102">
    <w:name w:val="列出段落1"/>
    <w:basedOn w:val="1"/>
    <w:qFormat/>
    <w:uiPriority w:val="99"/>
    <w:pPr>
      <w:ind w:firstLine="420" w:firstLineChars="200"/>
    </w:pPr>
    <w:rPr>
      <w:rFonts w:ascii="Calibri" w:hAnsi="Calibri"/>
      <w:szCs w:val="22"/>
    </w:rPr>
  </w:style>
  <w:style w:type="character" w:customStyle="1" w:styleId="103">
    <w:name w:val="批注主题 字符1"/>
    <w:link w:val="54"/>
    <w:qFormat/>
    <w:uiPriority w:val="0"/>
    <w:rPr>
      <w:b/>
      <w:bCs/>
      <w:sz w:val="21"/>
      <w:szCs w:val="24"/>
    </w:rPr>
  </w:style>
  <w:style w:type="character" w:customStyle="1" w:styleId="104">
    <w:name w:val="批注主题 字符"/>
    <w:basedOn w:val="100"/>
    <w:qFormat/>
    <w:uiPriority w:val="0"/>
    <w:rPr>
      <w:rFonts w:cs="Times New Roman"/>
      <w:b/>
      <w:bCs/>
      <w:sz w:val="21"/>
      <w:szCs w:val="24"/>
    </w:rPr>
  </w:style>
  <w:style w:type="paragraph" w:customStyle="1" w:styleId="105">
    <w:name w:val="Char Char Char Char Char Char Char"/>
    <w:basedOn w:val="1"/>
    <w:qFormat/>
    <w:uiPriority w:val="0"/>
    <w:rPr>
      <w:rFonts w:ascii="Tahoma" w:hAnsi="Tahoma"/>
      <w:sz w:val="24"/>
    </w:rPr>
  </w:style>
  <w:style w:type="character" w:customStyle="1" w:styleId="106">
    <w:name w:val="Char Char2"/>
    <w:qFormat/>
    <w:uiPriority w:val="0"/>
    <w:rPr>
      <w:kern w:val="2"/>
      <w:sz w:val="21"/>
      <w:szCs w:val="24"/>
    </w:rPr>
  </w:style>
  <w:style w:type="paragraph" w:customStyle="1" w:styleId="107">
    <w:name w:val="WW-正文缩进"/>
    <w:basedOn w:val="1"/>
    <w:qFormat/>
    <w:uiPriority w:val="0"/>
    <w:pPr>
      <w:widowControl/>
      <w:suppressAutoHyphens/>
      <w:spacing w:line="360" w:lineRule="auto"/>
      <w:ind w:firstLine="420"/>
      <w:jc w:val="left"/>
    </w:pPr>
    <w:rPr>
      <w:rFonts w:ascii="Arial" w:hAnsi="Arial" w:cs="Calibri"/>
      <w:kern w:val="1"/>
      <w:lang w:eastAsia="ar-SA"/>
    </w:rPr>
  </w:style>
  <w:style w:type="character" w:customStyle="1" w:styleId="108">
    <w:name w:val="段 Char"/>
    <w:link w:val="42"/>
    <w:qFormat/>
    <w:uiPriority w:val="0"/>
    <w:rPr>
      <w:rFonts w:ascii="宋体" w:cs="Times New Roman"/>
      <w:kern w:val="0"/>
      <w:sz w:val="21"/>
      <w:szCs w:val="20"/>
    </w:rPr>
  </w:style>
  <w:style w:type="paragraph" w:customStyle="1" w:styleId="109">
    <w:name w:val="Char Char Char"/>
    <w:basedOn w:val="1"/>
    <w:qFormat/>
    <w:uiPriority w:val="0"/>
  </w:style>
  <w:style w:type="paragraph" w:customStyle="1" w:styleId="110">
    <w:name w:val="Char Char1 Char Char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111">
    <w:name w:val="Char1 Char Char Char"/>
    <w:basedOn w:val="1"/>
    <w:qFormat/>
    <w:uiPriority w:val="0"/>
  </w:style>
  <w:style w:type="paragraph" w:customStyle="1" w:styleId="112">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113">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114">
    <w:name w:val="标准书眉一"/>
    <w:qFormat/>
    <w:uiPriority w:val="0"/>
    <w:pPr>
      <w:jc w:val="both"/>
    </w:pPr>
    <w:rPr>
      <w:rFonts w:ascii="Times New Roman" w:hAnsi="Times New Roman" w:eastAsia="宋体" w:cs="Times New Roman"/>
      <w:lang w:val="en-US" w:eastAsia="zh-CN" w:bidi="ar-SA"/>
    </w:rPr>
  </w:style>
  <w:style w:type="paragraph" w:customStyle="1" w:styleId="115">
    <w:name w:val="章标题"/>
    <w:next w:val="42"/>
    <w:link w:val="440"/>
    <w:qFormat/>
    <w:uiPriority w:val="0"/>
    <w:pPr>
      <w:tabs>
        <w:tab w:val="left" w:pos="360"/>
      </w:tabs>
      <w:spacing w:beforeLines="50" w:afterLines="50"/>
      <w:jc w:val="both"/>
      <w:outlineLvl w:val="1"/>
    </w:pPr>
    <w:rPr>
      <w:rFonts w:ascii="黑体" w:hAnsi="Times New Roman" w:eastAsia="黑体" w:cs="Times New Roman"/>
      <w:sz w:val="21"/>
      <w:lang w:val="en-US" w:eastAsia="zh-CN" w:bidi="ar-SA"/>
    </w:rPr>
  </w:style>
  <w:style w:type="paragraph" w:customStyle="1" w:styleId="116">
    <w:name w:val="一级条标题"/>
    <w:basedOn w:val="115"/>
    <w:next w:val="42"/>
    <w:qFormat/>
    <w:uiPriority w:val="0"/>
    <w:pPr>
      <w:spacing w:beforeLines="0" w:afterLines="0"/>
      <w:outlineLvl w:val="2"/>
    </w:pPr>
  </w:style>
  <w:style w:type="paragraph" w:customStyle="1" w:styleId="117">
    <w:name w:val="数字编号列项（二级）"/>
    <w:qFormat/>
    <w:uiPriority w:val="0"/>
    <w:pPr>
      <w:ind w:left="1260" w:leftChars="400" w:hanging="420" w:hangingChars="200"/>
      <w:jc w:val="both"/>
    </w:pPr>
    <w:rPr>
      <w:rFonts w:ascii="宋体" w:hAnsi="Times New Roman" w:eastAsia="宋体" w:cs="Times New Roman"/>
      <w:sz w:val="21"/>
      <w:lang w:val="en-US" w:eastAsia="zh-CN" w:bidi="ar-SA"/>
    </w:rPr>
  </w:style>
  <w:style w:type="paragraph" w:customStyle="1" w:styleId="118">
    <w:name w:val="无标题条"/>
    <w:next w:val="42"/>
    <w:qFormat/>
    <w:uiPriority w:val="0"/>
    <w:pPr>
      <w:jc w:val="both"/>
    </w:pPr>
    <w:rPr>
      <w:rFonts w:ascii="Times New Roman" w:hAnsi="Times New Roman" w:eastAsia="宋体" w:cs="Times New Roman"/>
      <w:sz w:val="21"/>
      <w:lang w:val="en-US" w:eastAsia="zh-CN" w:bidi="ar-SA"/>
    </w:rPr>
  </w:style>
  <w:style w:type="paragraph" w:customStyle="1" w:styleId="119">
    <w:name w:val="2 Char"/>
    <w:basedOn w:val="1"/>
    <w:qFormat/>
    <w:uiPriority w:val="0"/>
  </w:style>
  <w:style w:type="paragraph" w:customStyle="1" w:styleId="120">
    <w:name w:val="Char Char Char Char Char Char Char Char Char Char Char Char Char Char Char Char Char Char Char Char Char Char Char Char"/>
    <w:basedOn w:val="1"/>
    <w:qFormat/>
    <w:uiPriority w:val="0"/>
    <w:pPr>
      <w:spacing w:line="360" w:lineRule="auto"/>
    </w:pPr>
  </w:style>
  <w:style w:type="character" w:customStyle="1" w:styleId="121">
    <w:name w:val="t141"/>
    <w:qFormat/>
    <w:uiPriority w:val="0"/>
    <w:rPr>
      <w:rFonts w:ascii="宋体" w:hAnsi="宋体" w:eastAsia="宋体"/>
      <w:sz w:val="24"/>
      <w:szCs w:val="24"/>
      <w:lang w:val="en-US" w:eastAsia="zh-CN" w:bidi="ar-SA"/>
    </w:rPr>
  </w:style>
  <w:style w:type="paragraph" w:customStyle="1" w:styleId="122">
    <w:name w:val="TOC 标题1"/>
    <w:basedOn w:val="2"/>
    <w:next w:val="1"/>
    <w:qFormat/>
    <w:uiPriority w:val="39"/>
    <w:pPr>
      <w:widowControl/>
      <w:autoSpaceDE/>
      <w:autoSpaceDN/>
      <w:adjustRightInd/>
      <w:spacing w:before="480" w:after="0" w:line="276" w:lineRule="auto"/>
      <w:textAlignment w:val="auto"/>
      <w:outlineLvl w:val="9"/>
    </w:pPr>
    <w:rPr>
      <w:rFonts w:ascii="Cambria" w:hAnsi="Cambria"/>
      <w:bCs/>
      <w:color w:val="365F91"/>
      <w:sz w:val="28"/>
      <w:szCs w:val="28"/>
    </w:rPr>
  </w:style>
  <w:style w:type="paragraph" w:customStyle="1" w:styleId="123">
    <w:name w:val="默认段落字体 Para Char Char Char Char"/>
    <w:basedOn w:val="1"/>
    <w:qFormat/>
    <w:uiPriority w:val="0"/>
    <w:pPr>
      <w:spacing w:line="500" w:lineRule="exact"/>
    </w:pPr>
    <w:rPr>
      <w:rFonts w:ascii="Arial" w:hAnsi="Arial" w:cs="Arial"/>
      <w:sz w:val="24"/>
      <w:szCs w:val="21"/>
    </w:rPr>
  </w:style>
  <w:style w:type="paragraph" w:customStyle="1" w:styleId="124">
    <w:name w:val="表格内容-左"/>
    <w:basedOn w:val="1"/>
    <w:qFormat/>
    <w:uiPriority w:val="0"/>
    <w:pPr>
      <w:widowControl/>
      <w:spacing w:line="288" w:lineRule="auto"/>
      <w:jc w:val="left"/>
    </w:pPr>
    <w:rPr>
      <w:rFonts w:cs="宋体"/>
      <w:color w:val="000000"/>
      <w:kern w:val="0"/>
      <w:sz w:val="18"/>
      <w:szCs w:val="18"/>
    </w:rPr>
  </w:style>
  <w:style w:type="paragraph" w:customStyle="1" w:styleId="125">
    <w:name w:val="_Style 8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6">
    <w:name w:val="列出段落11"/>
    <w:basedOn w:val="1"/>
    <w:qFormat/>
    <w:uiPriority w:val="0"/>
    <w:pPr>
      <w:ind w:firstLine="420" w:firstLineChars="200"/>
    </w:pPr>
    <w:rPr>
      <w:rFonts w:ascii="Calibri" w:hAnsi="Calibri"/>
    </w:rPr>
  </w:style>
  <w:style w:type="paragraph" w:customStyle="1" w:styleId="127">
    <w:name w:val="_Style 49"/>
    <w:next w:val="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28">
    <w:name w:val="标题 5 字符"/>
    <w:basedOn w:val="60"/>
    <w:qFormat/>
    <w:uiPriority w:val="9"/>
    <w:rPr>
      <w:rFonts w:cs="Times New Roman"/>
      <w:b/>
      <w:bCs/>
      <w:sz w:val="28"/>
      <w:szCs w:val="28"/>
    </w:rPr>
  </w:style>
  <w:style w:type="character" w:customStyle="1" w:styleId="129">
    <w:name w:val="标题 6 字符"/>
    <w:basedOn w:val="60"/>
    <w:qFormat/>
    <w:uiPriority w:val="0"/>
    <w:rPr>
      <w:rFonts w:asciiTheme="majorHAnsi" w:hAnsiTheme="majorHAnsi" w:eastAsiaTheme="majorEastAsia" w:cstheme="majorBidi"/>
      <w:b/>
      <w:bCs/>
      <w:szCs w:val="24"/>
    </w:rPr>
  </w:style>
  <w:style w:type="character" w:customStyle="1" w:styleId="130">
    <w:name w:val="标题 7 字符"/>
    <w:basedOn w:val="60"/>
    <w:qFormat/>
    <w:uiPriority w:val="0"/>
    <w:rPr>
      <w:rFonts w:cs="Times New Roman"/>
      <w:b/>
      <w:bCs/>
      <w:szCs w:val="24"/>
    </w:rPr>
  </w:style>
  <w:style w:type="character" w:customStyle="1" w:styleId="131">
    <w:name w:val="标题 9 字符"/>
    <w:basedOn w:val="60"/>
    <w:qFormat/>
    <w:uiPriority w:val="0"/>
    <w:rPr>
      <w:rFonts w:asciiTheme="majorHAnsi" w:hAnsiTheme="majorHAnsi" w:eastAsiaTheme="majorEastAsia" w:cstheme="majorBidi"/>
      <w:sz w:val="21"/>
      <w:szCs w:val="21"/>
    </w:rPr>
  </w:style>
  <w:style w:type="character" w:customStyle="1" w:styleId="132">
    <w:name w:val="页眉 Char"/>
    <w:qFormat/>
    <w:uiPriority w:val="99"/>
    <w:rPr>
      <w:sz w:val="18"/>
      <w:szCs w:val="18"/>
    </w:rPr>
  </w:style>
  <w:style w:type="character" w:customStyle="1" w:styleId="133">
    <w:name w:val="页脚 Char"/>
    <w:qFormat/>
    <w:uiPriority w:val="99"/>
    <w:rPr>
      <w:sz w:val="18"/>
      <w:szCs w:val="18"/>
    </w:rPr>
  </w:style>
  <w:style w:type="character" w:customStyle="1" w:styleId="134">
    <w:name w:val="标题 1 Char"/>
    <w:qFormat/>
    <w:uiPriority w:val="0"/>
    <w:rPr>
      <w:rFonts w:ascii="宋体" w:hAnsi="宋体" w:eastAsia="黑体"/>
      <w:b/>
      <w:bCs/>
      <w:kern w:val="44"/>
      <w:sz w:val="24"/>
      <w:szCs w:val="44"/>
    </w:rPr>
  </w:style>
  <w:style w:type="character" w:customStyle="1" w:styleId="135">
    <w:name w:val="标题 2 Char"/>
    <w:qFormat/>
    <w:uiPriority w:val="9"/>
    <w:rPr>
      <w:rFonts w:ascii="宋体" w:hAnsi="Arial"/>
      <w:bCs/>
      <w:kern w:val="2"/>
      <w:sz w:val="21"/>
      <w:szCs w:val="21"/>
    </w:rPr>
  </w:style>
  <w:style w:type="character" w:customStyle="1" w:styleId="136">
    <w:name w:val="标题 3 Char"/>
    <w:qFormat/>
    <w:uiPriority w:val="9"/>
    <w:rPr>
      <w:rFonts w:ascii="黑体" w:hAnsi="宋体"/>
      <w:bCs/>
      <w:kern w:val="2"/>
      <w:sz w:val="21"/>
      <w:szCs w:val="24"/>
    </w:rPr>
  </w:style>
  <w:style w:type="character" w:customStyle="1" w:styleId="137">
    <w:name w:val="标题 4 Char"/>
    <w:qFormat/>
    <w:uiPriority w:val="0"/>
    <w:rPr>
      <w:rFonts w:ascii="黑体" w:hAnsi="宋体"/>
      <w:kern w:val="2"/>
      <w:sz w:val="21"/>
      <w:szCs w:val="24"/>
    </w:rPr>
  </w:style>
  <w:style w:type="character" w:customStyle="1" w:styleId="138">
    <w:name w:val="标题 5 字符1"/>
    <w:link w:val="6"/>
    <w:qFormat/>
    <w:uiPriority w:val="9"/>
    <w:rPr>
      <w:rFonts w:ascii="宋体" w:hAnsi="宋体" w:cs="Times New Roman"/>
      <w:bCs/>
      <w:szCs w:val="24"/>
    </w:rPr>
  </w:style>
  <w:style w:type="character" w:customStyle="1" w:styleId="139">
    <w:name w:val="标题 6 字符1"/>
    <w:link w:val="7"/>
    <w:qFormat/>
    <w:uiPriority w:val="0"/>
    <w:rPr>
      <w:rFonts w:ascii="Arial" w:hAnsi="Arial" w:eastAsia="黑体" w:cs="Times New Roman"/>
      <w:b/>
      <w:kern w:val="0"/>
      <w:szCs w:val="21"/>
    </w:rPr>
  </w:style>
  <w:style w:type="character" w:customStyle="1" w:styleId="140">
    <w:name w:val="标题 7 字符1"/>
    <w:link w:val="8"/>
    <w:qFormat/>
    <w:uiPriority w:val="0"/>
    <w:rPr>
      <w:rFonts w:ascii="宋体" w:hAnsi="宋体" w:cs="Times New Roman"/>
      <w:b/>
      <w:kern w:val="0"/>
      <w:szCs w:val="21"/>
    </w:rPr>
  </w:style>
  <w:style w:type="character" w:customStyle="1" w:styleId="141">
    <w:name w:val="标题 8 Char"/>
    <w:qFormat/>
    <w:uiPriority w:val="0"/>
    <w:rPr>
      <w:rFonts w:ascii="Arial" w:hAnsi="Arial" w:eastAsia="黑体"/>
      <w:sz w:val="24"/>
      <w:szCs w:val="21"/>
    </w:rPr>
  </w:style>
  <w:style w:type="character" w:customStyle="1" w:styleId="142">
    <w:name w:val="标题 9 字符1"/>
    <w:link w:val="10"/>
    <w:qFormat/>
    <w:uiPriority w:val="0"/>
    <w:rPr>
      <w:rFonts w:ascii="Arial" w:hAnsi="Arial" w:eastAsia="黑体" w:cs="Times New Roman"/>
      <w:kern w:val="0"/>
      <w:sz w:val="21"/>
      <w:szCs w:val="21"/>
    </w:rPr>
  </w:style>
  <w:style w:type="paragraph" w:customStyle="1" w:styleId="143">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44">
    <w:name w:val="二级条标题"/>
    <w:basedOn w:val="116"/>
    <w:next w:val="42"/>
    <w:qFormat/>
    <w:uiPriority w:val="0"/>
    <w:pPr>
      <w:spacing w:beforeLines="50" w:afterLines="50"/>
      <w:jc w:val="left"/>
      <w:outlineLvl w:val="3"/>
    </w:pPr>
    <w:rPr>
      <w:szCs w:val="21"/>
    </w:rPr>
  </w:style>
  <w:style w:type="paragraph" w:customStyle="1" w:styleId="145">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46">
    <w:name w:val="列项——（一级）"/>
    <w:qFormat/>
    <w:uiPriority w:val="0"/>
    <w:pPr>
      <w:widowControl w:val="0"/>
      <w:numPr>
        <w:ilvl w:val="0"/>
        <w:numId w:val="6"/>
      </w:numPr>
      <w:jc w:val="both"/>
    </w:pPr>
    <w:rPr>
      <w:rFonts w:ascii="宋体" w:hAnsi="Times New Roman" w:eastAsia="宋体" w:cs="Times New Roman"/>
      <w:sz w:val="21"/>
      <w:lang w:val="en-US" w:eastAsia="zh-CN" w:bidi="ar-SA"/>
    </w:rPr>
  </w:style>
  <w:style w:type="paragraph" w:customStyle="1" w:styleId="147">
    <w:name w:val="列项●（二级）"/>
    <w:qFormat/>
    <w:uiPriority w:val="0"/>
    <w:pPr>
      <w:numPr>
        <w:ilvl w:val="1"/>
        <w:numId w:val="6"/>
      </w:numPr>
      <w:tabs>
        <w:tab w:val="left" w:pos="840"/>
      </w:tabs>
      <w:jc w:val="both"/>
    </w:pPr>
    <w:rPr>
      <w:rFonts w:ascii="宋体" w:hAnsi="Times New Roman" w:eastAsia="宋体" w:cs="Times New Roman"/>
      <w:sz w:val="21"/>
      <w:lang w:val="en-US" w:eastAsia="zh-CN" w:bidi="ar-SA"/>
    </w:rPr>
  </w:style>
  <w:style w:type="paragraph" w:customStyle="1" w:styleId="148">
    <w:name w:val="三级条标题"/>
    <w:basedOn w:val="144"/>
    <w:next w:val="42"/>
    <w:qFormat/>
    <w:uiPriority w:val="0"/>
    <w:pPr>
      <w:numPr>
        <w:ilvl w:val="0"/>
        <w:numId w:val="7"/>
      </w:numPr>
      <w:ind w:firstLine="0"/>
      <w:outlineLvl w:val="4"/>
    </w:pPr>
  </w:style>
  <w:style w:type="paragraph" w:customStyle="1" w:styleId="149">
    <w:name w:val="示例"/>
    <w:next w:val="150"/>
    <w:qFormat/>
    <w:uiPriority w:val="0"/>
    <w:pPr>
      <w:widowControl w:val="0"/>
      <w:numPr>
        <w:ilvl w:val="0"/>
        <w:numId w:val="1"/>
      </w:numPr>
      <w:jc w:val="both"/>
    </w:pPr>
    <w:rPr>
      <w:rFonts w:ascii="宋体" w:hAnsi="Times New Roman" w:eastAsia="宋体" w:cs="Times New Roman"/>
      <w:sz w:val="18"/>
      <w:szCs w:val="18"/>
      <w:lang w:val="en-US" w:eastAsia="zh-CN" w:bidi="ar-SA"/>
    </w:rPr>
  </w:style>
  <w:style w:type="paragraph" w:customStyle="1" w:styleId="150">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151">
    <w:name w:val="四级条标题"/>
    <w:basedOn w:val="148"/>
    <w:next w:val="42"/>
    <w:qFormat/>
    <w:uiPriority w:val="0"/>
    <w:pPr>
      <w:outlineLvl w:val="5"/>
    </w:pPr>
  </w:style>
  <w:style w:type="paragraph" w:customStyle="1" w:styleId="152">
    <w:name w:val="五级条标题"/>
    <w:basedOn w:val="151"/>
    <w:next w:val="42"/>
    <w:qFormat/>
    <w:uiPriority w:val="0"/>
    <w:pPr>
      <w:outlineLvl w:val="6"/>
    </w:pPr>
  </w:style>
  <w:style w:type="paragraph" w:customStyle="1" w:styleId="153">
    <w:name w:val="注："/>
    <w:next w:val="42"/>
    <w:qFormat/>
    <w:uiPriority w:val="0"/>
    <w:pPr>
      <w:widowControl w:val="0"/>
      <w:numPr>
        <w:ilvl w:val="0"/>
        <w:numId w:val="8"/>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154">
    <w:name w:val="注×："/>
    <w:qFormat/>
    <w:uiPriority w:val="0"/>
    <w:pPr>
      <w:widowControl w:val="0"/>
      <w:numPr>
        <w:ilvl w:val="0"/>
        <w:numId w:val="9"/>
      </w:numPr>
      <w:autoSpaceDE w:val="0"/>
      <w:autoSpaceDN w:val="0"/>
      <w:jc w:val="both"/>
    </w:pPr>
    <w:rPr>
      <w:rFonts w:ascii="宋体" w:hAnsi="Times New Roman" w:eastAsia="宋体" w:cs="Times New Roman"/>
      <w:sz w:val="18"/>
      <w:szCs w:val="18"/>
      <w:lang w:val="en-US" w:eastAsia="zh-CN" w:bidi="ar-SA"/>
    </w:rPr>
  </w:style>
  <w:style w:type="paragraph" w:customStyle="1" w:styleId="155">
    <w:name w:val="字母编号列项（一级）"/>
    <w:qFormat/>
    <w:uiPriority w:val="0"/>
    <w:pPr>
      <w:jc w:val="both"/>
    </w:pPr>
    <w:rPr>
      <w:rFonts w:ascii="宋体" w:hAnsi="Times New Roman" w:eastAsia="宋体" w:cs="Times New Roman"/>
      <w:sz w:val="21"/>
      <w:lang w:val="en-US" w:eastAsia="zh-CN" w:bidi="ar-SA"/>
    </w:rPr>
  </w:style>
  <w:style w:type="paragraph" w:customStyle="1" w:styleId="156">
    <w:name w:val="列项◆（三级）"/>
    <w:basedOn w:val="1"/>
    <w:qFormat/>
    <w:uiPriority w:val="0"/>
    <w:pPr>
      <w:numPr>
        <w:ilvl w:val="2"/>
        <w:numId w:val="6"/>
      </w:numPr>
    </w:pPr>
    <w:rPr>
      <w:rFonts w:ascii="宋体"/>
      <w:szCs w:val="21"/>
    </w:rPr>
  </w:style>
  <w:style w:type="paragraph" w:customStyle="1" w:styleId="157">
    <w:name w:val="编号列项（三级）"/>
    <w:qFormat/>
    <w:uiPriority w:val="0"/>
    <w:pPr>
      <w:tabs>
        <w:tab w:val="left" w:pos="0"/>
      </w:tabs>
      <w:ind w:left="1679" w:hanging="420"/>
    </w:pPr>
    <w:rPr>
      <w:rFonts w:ascii="宋体" w:hAnsi="Times New Roman" w:eastAsia="宋体" w:cs="Times New Roman"/>
      <w:sz w:val="21"/>
      <w:lang w:val="en-US" w:eastAsia="zh-CN" w:bidi="ar-SA"/>
    </w:rPr>
  </w:style>
  <w:style w:type="paragraph" w:customStyle="1" w:styleId="158">
    <w:name w:val="示例×："/>
    <w:basedOn w:val="115"/>
    <w:qFormat/>
    <w:uiPriority w:val="0"/>
    <w:pPr>
      <w:numPr>
        <w:ilvl w:val="0"/>
        <w:numId w:val="10"/>
      </w:numPr>
      <w:spacing w:beforeLines="0" w:afterLines="0"/>
      <w:outlineLvl w:val="9"/>
    </w:pPr>
    <w:rPr>
      <w:rFonts w:ascii="宋体" w:eastAsia="宋体"/>
      <w:sz w:val="18"/>
      <w:szCs w:val="18"/>
    </w:rPr>
  </w:style>
  <w:style w:type="paragraph" w:customStyle="1" w:styleId="159">
    <w:name w:val="二级无"/>
    <w:basedOn w:val="144"/>
    <w:qFormat/>
    <w:uiPriority w:val="0"/>
    <w:pPr>
      <w:spacing w:beforeLines="0" w:afterLines="0"/>
    </w:pPr>
    <w:rPr>
      <w:rFonts w:ascii="宋体" w:eastAsia="宋体"/>
    </w:rPr>
  </w:style>
  <w:style w:type="paragraph" w:customStyle="1" w:styleId="160">
    <w:name w:val="注：（正文）"/>
    <w:basedOn w:val="153"/>
    <w:next w:val="42"/>
    <w:qFormat/>
    <w:uiPriority w:val="0"/>
  </w:style>
  <w:style w:type="paragraph" w:customStyle="1" w:styleId="161">
    <w:name w:val="注×：（正文）"/>
    <w:qFormat/>
    <w:uiPriority w:val="0"/>
    <w:pPr>
      <w:numPr>
        <w:ilvl w:val="0"/>
        <w:numId w:val="11"/>
      </w:numPr>
      <w:jc w:val="both"/>
    </w:pPr>
    <w:rPr>
      <w:rFonts w:ascii="宋体" w:hAnsi="Times New Roman" w:eastAsia="宋体" w:cs="Times New Roman"/>
      <w:sz w:val="18"/>
      <w:szCs w:val="18"/>
      <w:lang w:val="en-US" w:eastAsia="zh-CN" w:bidi="ar-SA"/>
    </w:rPr>
  </w:style>
  <w:style w:type="paragraph" w:customStyle="1" w:styleId="162">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163">
    <w:name w:val="标准书眉_偶数页"/>
    <w:basedOn w:val="143"/>
    <w:next w:val="1"/>
    <w:qFormat/>
    <w:uiPriority w:val="0"/>
    <w:pPr>
      <w:jc w:val="left"/>
    </w:pPr>
  </w:style>
  <w:style w:type="paragraph" w:customStyle="1" w:styleId="164">
    <w:name w:val="参考文献"/>
    <w:basedOn w:val="1"/>
    <w:next w:val="42"/>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65">
    <w:name w:val="参考文献、索引标题"/>
    <w:basedOn w:val="1"/>
    <w:next w:val="42"/>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166">
    <w:name w:val="发布"/>
    <w:qFormat/>
    <w:uiPriority w:val="0"/>
    <w:rPr>
      <w:rFonts w:ascii="黑体" w:eastAsia="黑体"/>
      <w:spacing w:val="85"/>
      <w:w w:val="100"/>
      <w:position w:val="3"/>
      <w:sz w:val="28"/>
      <w:szCs w:val="28"/>
    </w:rPr>
  </w:style>
  <w:style w:type="paragraph" w:customStyle="1" w:styleId="167">
    <w:name w:val="发布部门"/>
    <w:next w:val="42"/>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168">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69">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70">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71">
    <w:name w:val="封面标准英文名称"/>
    <w:basedOn w:val="170"/>
    <w:qFormat/>
    <w:uiPriority w:val="0"/>
    <w:pPr>
      <w:framePr w:wrap="around"/>
      <w:spacing w:before="370" w:line="400" w:lineRule="exact"/>
    </w:pPr>
    <w:rPr>
      <w:rFonts w:ascii="Times New Roman"/>
      <w:sz w:val="28"/>
      <w:szCs w:val="28"/>
    </w:rPr>
  </w:style>
  <w:style w:type="paragraph" w:customStyle="1" w:styleId="172">
    <w:name w:val="封面一致性程度标识"/>
    <w:basedOn w:val="171"/>
    <w:qFormat/>
    <w:uiPriority w:val="0"/>
    <w:pPr>
      <w:framePr w:wrap="around"/>
      <w:spacing w:before="440"/>
    </w:pPr>
    <w:rPr>
      <w:rFonts w:ascii="宋体" w:eastAsia="宋体"/>
    </w:rPr>
  </w:style>
  <w:style w:type="paragraph" w:customStyle="1" w:styleId="173">
    <w:name w:val="封面标准文稿类别"/>
    <w:basedOn w:val="172"/>
    <w:qFormat/>
    <w:uiPriority w:val="0"/>
    <w:pPr>
      <w:framePr w:wrap="around"/>
      <w:spacing w:after="160" w:line="240" w:lineRule="auto"/>
    </w:pPr>
    <w:rPr>
      <w:sz w:val="24"/>
    </w:rPr>
  </w:style>
  <w:style w:type="paragraph" w:customStyle="1" w:styleId="174">
    <w:name w:val="封面标准文稿编辑信息"/>
    <w:basedOn w:val="173"/>
    <w:qFormat/>
    <w:uiPriority w:val="0"/>
    <w:pPr>
      <w:framePr w:wrap="around"/>
      <w:spacing w:before="180" w:line="180" w:lineRule="exact"/>
    </w:pPr>
    <w:rPr>
      <w:sz w:val="21"/>
    </w:rPr>
  </w:style>
  <w:style w:type="paragraph" w:customStyle="1" w:styleId="175">
    <w:name w:val="封面正文"/>
    <w:qFormat/>
    <w:uiPriority w:val="0"/>
    <w:pPr>
      <w:jc w:val="both"/>
    </w:pPr>
    <w:rPr>
      <w:rFonts w:ascii="Times New Roman" w:hAnsi="Times New Roman" w:eastAsia="宋体" w:cs="Times New Roman"/>
      <w:lang w:val="en-US" w:eastAsia="zh-CN" w:bidi="ar-SA"/>
    </w:rPr>
  </w:style>
  <w:style w:type="paragraph" w:customStyle="1" w:styleId="176">
    <w:name w:val="附录标识"/>
    <w:basedOn w:val="1"/>
    <w:next w:val="42"/>
    <w:link w:val="444"/>
    <w:qFormat/>
    <w:uiPriority w:val="0"/>
    <w:pPr>
      <w:keepNext/>
      <w:widowControl/>
      <w:numPr>
        <w:ilvl w:val="0"/>
        <w:numId w:val="12"/>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177">
    <w:name w:val="附录标题"/>
    <w:basedOn w:val="42"/>
    <w:next w:val="42"/>
    <w:qFormat/>
    <w:uiPriority w:val="0"/>
    <w:pPr>
      <w:tabs>
        <w:tab w:val="center" w:pos="4201"/>
        <w:tab w:val="right" w:leader="dot" w:pos="9298"/>
      </w:tabs>
      <w:autoSpaceDE w:val="0"/>
      <w:autoSpaceDN w:val="0"/>
      <w:ind w:firstLine="0" w:firstLineChars="0"/>
      <w:jc w:val="center"/>
    </w:pPr>
    <w:rPr>
      <w:rFonts w:ascii="黑体" w:eastAsia="黑体"/>
    </w:rPr>
  </w:style>
  <w:style w:type="paragraph" w:customStyle="1" w:styleId="178">
    <w:name w:val="附录表标号"/>
    <w:basedOn w:val="1"/>
    <w:next w:val="42"/>
    <w:qFormat/>
    <w:uiPriority w:val="0"/>
    <w:pPr>
      <w:numPr>
        <w:ilvl w:val="0"/>
        <w:numId w:val="13"/>
      </w:numPr>
      <w:tabs>
        <w:tab w:val="clear" w:pos="0"/>
      </w:tabs>
      <w:spacing w:line="14" w:lineRule="exact"/>
      <w:ind w:left="811" w:hanging="448"/>
      <w:jc w:val="center"/>
      <w:outlineLvl w:val="0"/>
    </w:pPr>
    <w:rPr>
      <w:color w:val="FFFFFF"/>
    </w:rPr>
  </w:style>
  <w:style w:type="paragraph" w:customStyle="1" w:styleId="179">
    <w:name w:val="附录表标题"/>
    <w:basedOn w:val="1"/>
    <w:next w:val="42"/>
    <w:qFormat/>
    <w:uiPriority w:val="0"/>
    <w:pPr>
      <w:numPr>
        <w:ilvl w:val="1"/>
        <w:numId w:val="13"/>
      </w:numPr>
      <w:tabs>
        <w:tab w:val="left" w:pos="180"/>
      </w:tabs>
      <w:spacing w:beforeLines="50" w:afterLines="50"/>
      <w:ind w:left="0" w:firstLine="0"/>
      <w:jc w:val="center"/>
    </w:pPr>
    <w:rPr>
      <w:rFonts w:ascii="黑体" w:eastAsia="黑体"/>
      <w:szCs w:val="21"/>
    </w:rPr>
  </w:style>
  <w:style w:type="paragraph" w:customStyle="1" w:styleId="180">
    <w:name w:val="附录二级条标题"/>
    <w:basedOn w:val="1"/>
    <w:next w:val="42"/>
    <w:qFormat/>
    <w:uiPriority w:val="0"/>
    <w:pPr>
      <w:widowControl/>
      <w:numPr>
        <w:ilvl w:val="3"/>
        <w:numId w:val="12"/>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181">
    <w:name w:val="附录二级无"/>
    <w:basedOn w:val="180"/>
    <w:qFormat/>
    <w:uiPriority w:val="0"/>
    <w:pPr>
      <w:tabs>
        <w:tab w:val="clear" w:pos="360"/>
      </w:tabs>
      <w:spacing w:beforeLines="0" w:afterLines="0"/>
    </w:pPr>
    <w:rPr>
      <w:rFonts w:ascii="宋体" w:eastAsia="宋体"/>
      <w:szCs w:val="21"/>
    </w:rPr>
  </w:style>
  <w:style w:type="paragraph" w:customStyle="1" w:styleId="182">
    <w:name w:val="附录公式"/>
    <w:basedOn w:val="42"/>
    <w:next w:val="42"/>
    <w:link w:val="183"/>
    <w:qFormat/>
    <w:uiPriority w:val="0"/>
    <w:pPr>
      <w:tabs>
        <w:tab w:val="center" w:pos="4201"/>
        <w:tab w:val="right" w:leader="dot" w:pos="9298"/>
      </w:tabs>
      <w:autoSpaceDE w:val="0"/>
      <w:autoSpaceDN w:val="0"/>
      <w:ind w:firstLine="420"/>
    </w:pPr>
  </w:style>
  <w:style w:type="character" w:customStyle="1" w:styleId="183">
    <w:name w:val="附录公式 Char"/>
    <w:link w:val="182"/>
    <w:qFormat/>
    <w:uiPriority w:val="0"/>
    <w:rPr>
      <w:rFonts w:ascii="宋体" w:cs="Times New Roman"/>
      <w:kern w:val="0"/>
      <w:sz w:val="21"/>
      <w:szCs w:val="20"/>
    </w:rPr>
  </w:style>
  <w:style w:type="paragraph" w:customStyle="1" w:styleId="184">
    <w:name w:val="附录公式编号制表符"/>
    <w:basedOn w:val="1"/>
    <w:next w:val="42"/>
    <w:qFormat/>
    <w:uiPriority w:val="0"/>
    <w:pPr>
      <w:widowControl/>
      <w:tabs>
        <w:tab w:val="center" w:pos="4201"/>
        <w:tab w:val="right" w:leader="dot" w:pos="9298"/>
      </w:tabs>
      <w:autoSpaceDE w:val="0"/>
      <w:autoSpaceDN w:val="0"/>
    </w:pPr>
    <w:rPr>
      <w:rFonts w:ascii="宋体"/>
      <w:kern w:val="0"/>
      <w:szCs w:val="20"/>
    </w:rPr>
  </w:style>
  <w:style w:type="paragraph" w:customStyle="1" w:styleId="185">
    <w:name w:val="附录三级条标题"/>
    <w:basedOn w:val="180"/>
    <w:next w:val="42"/>
    <w:qFormat/>
    <w:uiPriority w:val="0"/>
    <w:pPr>
      <w:numPr>
        <w:ilvl w:val="4"/>
      </w:numPr>
      <w:outlineLvl w:val="4"/>
    </w:pPr>
  </w:style>
  <w:style w:type="paragraph" w:customStyle="1" w:styleId="186">
    <w:name w:val="附录三级无"/>
    <w:basedOn w:val="185"/>
    <w:qFormat/>
    <w:uiPriority w:val="0"/>
    <w:pPr>
      <w:tabs>
        <w:tab w:val="clear" w:pos="360"/>
      </w:tabs>
      <w:spacing w:beforeLines="0" w:afterLines="0"/>
    </w:pPr>
    <w:rPr>
      <w:rFonts w:ascii="宋体" w:eastAsia="宋体"/>
      <w:szCs w:val="21"/>
    </w:rPr>
  </w:style>
  <w:style w:type="paragraph" w:customStyle="1" w:styleId="187">
    <w:name w:val="附录数字编号列项（二级）"/>
    <w:qFormat/>
    <w:uiPriority w:val="0"/>
    <w:pPr>
      <w:numPr>
        <w:ilvl w:val="1"/>
        <w:numId w:val="14"/>
      </w:numPr>
    </w:pPr>
    <w:rPr>
      <w:rFonts w:ascii="宋体" w:hAnsi="Times New Roman" w:eastAsia="宋体" w:cs="Times New Roman"/>
      <w:sz w:val="21"/>
      <w:lang w:val="en-US" w:eastAsia="zh-CN" w:bidi="ar-SA"/>
    </w:rPr>
  </w:style>
  <w:style w:type="paragraph" w:customStyle="1" w:styleId="188">
    <w:name w:val="附录四级条标题"/>
    <w:basedOn w:val="185"/>
    <w:next w:val="42"/>
    <w:qFormat/>
    <w:uiPriority w:val="0"/>
    <w:pPr>
      <w:numPr>
        <w:ilvl w:val="5"/>
      </w:numPr>
      <w:outlineLvl w:val="5"/>
    </w:pPr>
  </w:style>
  <w:style w:type="paragraph" w:customStyle="1" w:styleId="189">
    <w:name w:val="附录四级无"/>
    <w:basedOn w:val="188"/>
    <w:qFormat/>
    <w:uiPriority w:val="0"/>
    <w:pPr>
      <w:tabs>
        <w:tab w:val="clear" w:pos="360"/>
      </w:tabs>
      <w:spacing w:beforeLines="0" w:afterLines="0"/>
    </w:pPr>
    <w:rPr>
      <w:rFonts w:ascii="宋体" w:eastAsia="宋体"/>
      <w:szCs w:val="21"/>
    </w:rPr>
  </w:style>
  <w:style w:type="paragraph" w:customStyle="1" w:styleId="190">
    <w:name w:val="附录图标号"/>
    <w:basedOn w:val="1"/>
    <w:qFormat/>
    <w:uiPriority w:val="0"/>
    <w:pPr>
      <w:keepNext/>
      <w:pageBreakBefore/>
      <w:widowControl/>
      <w:numPr>
        <w:ilvl w:val="0"/>
        <w:numId w:val="15"/>
      </w:numPr>
      <w:spacing w:line="14" w:lineRule="exact"/>
      <w:ind w:left="0" w:firstLine="363"/>
      <w:jc w:val="center"/>
      <w:outlineLvl w:val="0"/>
    </w:pPr>
    <w:rPr>
      <w:color w:val="FFFFFF"/>
    </w:rPr>
  </w:style>
  <w:style w:type="paragraph" w:customStyle="1" w:styleId="191">
    <w:name w:val="附录图标题"/>
    <w:basedOn w:val="1"/>
    <w:next w:val="42"/>
    <w:qFormat/>
    <w:uiPriority w:val="0"/>
    <w:pPr>
      <w:numPr>
        <w:ilvl w:val="1"/>
        <w:numId w:val="15"/>
      </w:numPr>
      <w:tabs>
        <w:tab w:val="left" w:pos="363"/>
      </w:tabs>
      <w:spacing w:beforeLines="50" w:afterLines="50"/>
      <w:ind w:left="0" w:firstLine="0"/>
      <w:jc w:val="center"/>
    </w:pPr>
    <w:rPr>
      <w:rFonts w:ascii="黑体" w:eastAsia="黑体"/>
      <w:szCs w:val="21"/>
    </w:rPr>
  </w:style>
  <w:style w:type="paragraph" w:customStyle="1" w:styleId="192">
    <w:name w:val="附录五级条标题"/>
    <w:basedOn w:val="188"/>
    <w:next w:val="42"/>
    <w:qFormat/>
    <w:uiPriority w:val="0"/>
    <w:pPr>
      <w:numPr>
        <w:ilvl w:val="6"/>
      </w:numPr>
      <w:outlineLvl w:val="6"/>
    </w:pPr>
  </w:style>
  <w:style w:type="paragraph" w:customStyle="1" w:styleId="193">
    <w:name w:val="附录五级无"/>
    <w:basedOn w:val="192"/>
    <w:qFormat/>
    <w:uiPriority w:val="0"/>
    <w:pPr>
      <w:tabs>
        <w:tab w:val="clear" w:pos="360"/>
      </w:tabs>
      <w:spacing w:beforeLines="0" w:afterLines="0"/>
    </w:pPr>
    <w:rPr>
      <w:rFonts w:ascii="宋体" w:eastAsia="宋体"/>
      <w:szCs w:val="21"/>
    </w:rPr>
  </w:style>
  <w:style w:type="paragraph" w:customStyle="1" w:styleId="194">
    <w:name w:val="附录章标题"/>
    <w:next w:val="42"/>
    <w:qFormat/>
    <w:uiPriority w:val="0"/>
    <w:pPr>
      <w:numPr>
        <w:ilvl w:val="1"/>
        <w:numId w:val="12"/>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95">
    <w:name w:val="附录一级条标题"/>
    <w:basedOn w:val="194"/>
    <w:next w:val="42"/>
    <w:qFormat/>
    <w:uiPriority w:val="0"/>
    <w:pPr>
      <w:numPr>
        <w:ilvl w:val="2"/>
      </w:numPr>
      <w:autoSpaceDN w:val="0"/>
      <w:spacing w:beforeLines="50" w:afterLines="50"/>
      <w:outlineLvl w:val="2"/>
    </w:pPr>
  </w:style>
  <w:style w:type="paragraph" w:customStyle="1" w:styleId="196">
    <w:name w:val="附录一级无"/>
    <w:basedOn w:val="195"/>
    <w:qFormat/>
    <w:uiPriority w:val="0"/>
    <w:pPr>
      <w:tabs>
        <w:tab w:val="clear" w:pos="360"/>
      </w:tabs>
      <w:spacing w:beforeLines="0" w:afterLines="0"/>
    </w:pPr>
    <w:rPr>
      <w:rFonts w:ascii="宋体" w:eastAsia="宋体"/>
      <w:szCs w:val="21"/>
    </w:rPr>
  </w:style>
  <w:style w:type="paragraph" w:customStyle="1" w:styleId="197">
    <w:name w:val="附录字母编号列项（一级）"/>
    <w:qFormat/>
    <w:uiPriority w:val="0"/>
    <w:pPr>
      <w:numPr>
        <w:ilvl w:val="0"/>
        <w:numId w:val="14"/>
      </w:numPr>
    </w:pPr>
    <w:rPr>
      <w:rFonts w:ascii="宋体" w:hAnsi="Times New Roman" w:eastAsia="宋体" w:cs="Times New Roman"/>
      <w:sz w:val="21"/>
      <w:lang w:val="en-US" w:eastAsia="zh-CN" w:bidi="ar-SA"/>
    </w:rPr>
  </w:style>
  <w:style w:type="character" w:customStyle="1" w:styleId="198">
    <w:name w:val="脚注文本 字符"/>
    <w:basedOn w:val="60"/>
    <w:semiHidden/>
    <w:qFormat/>
    <w:uiPriority w:val="99"/>
    <w:rPr>
      <w:rFonts w:cs="Times New Roman"/>
      <w:sz w:val="18"/>
      <w:szCs w:val="18"/>
    </w:rPr>
  </w:style>
  <w:style w:type="character" w:customStyle="1" w:styleId="199">
    <w:name w:val="脚注文本 字符1"/>
    <w:link w:val="44"/>
    <w:qFormat/>
    <w:uiPriority w:val="0"/>
    <w:rPr>
      <w:rFonts w:ascii="宋体"/>
      <w:kern w:val="2"/>
      <w:sz w:val="18"/>
      <w:szCs w:val="18"/>
    </w:rPr>
  </w:style>
  <w:style w:type="paragraph" w:customStyle="1" w:styleId="200">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01">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20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203">
    <w:name w:val="其他标准标志"/>
    <w:basedOn w:val="162"/>
    <w:qFormat/>
    <w:uiPriority w:val="0"/>
    <w:pPr>
      <w:framePr w:w="6101" w:wrap="around" w:vAnchor="page" w:hAnchor="page" w:x="4673" w:y="942"/>
    </w:pPr>
    <w:rPr>
      <w:w w:val="130"/>
    </w:rPr>
  </w:style>
  <w:style w:type="paragraph" w:customStyle="1" w:styleId="204">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205">
    <w:name w:val="前言、引言标题"/>
    <w:next w:val="42"/>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06">
    <w:name w:val="三级无"/>
    <w:basedOn w:val="148"/>
    <w:qFormat/>
    <w:uiPriority w:val="0"/>
    <w:pPr>
      <w:spacing w:beforeLines="0" w:afterLines="0"/>
    </w:pPr>
    <w:rPr>
      <w:rFonts w:ascii="宋体" w:eastAsia="宋体"/>
    </w:rPr>
  </w:style>
  <w:style w:type="paragraph" w:customStyle="1" w:styleId="207">
    <w:name w:val="示例后文字"/>
    <w:basedOn w:val="42"/>
    <w:next w:val="42"/>
    <w:qFormat/>
    <w:uiPriority w:val="0"/>
    <w:pPr>
      <w:tabs>
        <w:tab w:val="center" w:pos="4201"/>
        <w:tab w:val="right" w:leader="dot" w:pos="9298"/>
      </w:tabs>
      <w:autoSpaceDE w:val="0"/>
      <w:autoSpaceDN w:val="0"/>
      <w:ind w:firstLine="360"/>
    </w:pPr>
    <w:rPr>
      <w:sz w:val="18"/>
    </w:rPr>
  </w:style>
  <w:style w:type="paragraph" w:customStyle="1" w:styleId="208">
    <w:name w:val="首示例"/>
    <w:next w:val="42"/>
    <w:link w:val="209"/>
    <w:qFormat/>
    <w:uiPriority w:val="0"/>
    <w:pPr>
      <w:numPr>
        <w:ilvl w:val="0"/>
        <w:numId w:val="16"/>
      </w:numPr>
      <w:tabs>
        <w:tab w:val="left" w:pos="360"/>
      </w:tabs>
      <w:ind w:firstLine="0"/>
    </w:pPr>
    <w:rPr>
      <w:rFonts w:ascii="宋体" w:hAnsi="宋体" w:eastAsia="宋体" w:cs="Times New Roman"/>
      <w:kern w:val="2"/>
      <w:sz w:val="18"/>
      <w:szCs w:val="18"/>
      <w:lang w:val="en-US" w:eastAsia="zh-CN" w:bidi="ar-SA"/>
    </w:rPr>
  </w:style>
  <w:style w:type="character" w:customStyle="1" w:styleId="209">
    <w:name w:val="首示例 Char"/>
    <w:link w:val="208"/>
    <w:qFormat/>
    <w:uiPriority w:val="0"/>
    <w:rPr>
      <w:rFonts w:ascii="宋体" w:hAnsi="宋体"/>
      <w:kern w:val="2"/>
      <w:sz w:val="18"/>
      <w:szCs w:val="18"/>
    </w:rPr>
  </w:style>
  <w:style w:type="paragraph" w:customStyle="1" w:styleId="210">
    <w:name w:val="四级无"/>
    <w:basedOn w:val="151"/>
    <w:qFormat/>
    <w:uiPriority w:val="0"/>
    <w:pPr>
      <w:numPr>
        <w:ilvl w:val="0"/>
        <w:numId w:val="17"/>
      </w:numPr>
      <w:spacing w:beforeLines="0" w:afterLines="0"/>
      <w:ind w:firstLine="0"/>
    </w:pPr>
    <w:rPr>
      <w:rFonts w:ascii="宋体" w:eastAsia="宋体"/>
    </w:rPr>
  </w:style>
  <w:style w:type="paragraph" w:customStyle="1" w:styleId="211">
    <w:name w:val="条文脚注"/>
    <w:basedOn w:val="44"/>
    <w:qFormat/>
    <w:uiPriority w:val="0"/>
    <w:pPr>
      <w:numPr>
        <w:numId w:val="0"/>
      </w:numPr>
      <w:jc w:val="both"/>
    </w:pPr>
  </w:style>
  <w:style w:type="paragraph" w:customStyle="1" w:styleId="212">
    <w:name w:val="图标脚注说明"/>
    <w:basedOn w:val="42"/>
    <w:qFormat/>
    <w:uiPriority w:val="0"/>
    <w:pPr>
      <w:tabs>
        <w:tab w:val="center" w:pos="4201"/>
        <w:tab w:val="right" w:leader="dot" w:pos="9298"/>
      </w:tabs>
      <w:autoSpaceDE w:val="0"/>
      <w:autoSpaceDN w:val="0"/>
      <w:ind w:left="840" w:hanging="420" w:firstLineChars="0"/>
    </w:pPr>
    <w:rPr>
      <w:sz w:val="18"/>
      <w:szCs w:val="18"/>
    </w:rPr>
  </w:style>
  <w:style w:type="paragraph" w:customStyle="1" w:styleId="213">
    <w:name w:val="图表脚注说明"/>
    <w:basedOn w:val="1"/>
    <w:qFormat/>
    <w:uiPriority w:val="0"/>
    <w:pPr>
      <w:numPr>
        <w:ilvl w:val="0"/>
        <w:numId w:val="18"/>
      </w:numPr>
    </w:pPr>
    <w:rPr>
      <w:rFonts w:ascii="宋体"/>
      <w:sz w:val="18"/>
      <w:szCs w:val="18"/>
    </w:rPr>
  </w:style>
  <w:style w:type="paragraph" w:customStyle="1" w:styleId="214">
    <w:name w:val="图的脚注"/>
    <w:next w:val="42"/>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character" w:customStyle="1" w:styleId="215">
    <w:name w:val="尾注文本 字符"/>
    <w:basedOn w:val="60"/>
    <w:semiHidden/>
    <w:qFormat/>
    <w:uiPriority w:val="99"/>
    <w:rPr>
      <w:rFonts w:cs="Times New Roman"/>
      <w:sz w:val="21"/>
      <w:szCs w:val="24"/>
    </w:rPr>
  </w:style>
  <w:style w:type="character" w:customStyle="1" w:styleId="216">
    <w:name w:val="尾注文本 字符1"/>
    <w:link w:val="34"/>
    <w:semiHidden/>
    <w:qFormat/>
    <w:uiPriority w:val="0"/>
    <w:rPr>
      <w:rFonts w:cs="Times New Roman"/>
      <w:sz w:val="21"/>
      <w:szCs w:val="24"/>
    </w:rPr>
  </w:style>
  <w:style w:type="character" w:customStyle="1" w:styleId="217">
    <w:name w:val="文档结构图 Char"/>
    <w:qFormat/>
    <w:uiPriority w:val="0"/>
    <w:rPr>
      <w:rFonts w:ascii="Times New Roman" w:hAnsi="Times New Roman"/>
      <w:kern w:val="2"/>
      <w:sz w:val="21"/>
      <w:szCs w:val="24"/>
      <w:shd w:val="clear" w:color="auto" w:fill="000080"/>
    </w:rPr>
  </w:style>
  <w:style w:type="paragraph" w:customStyle="1" w:styleId="218">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219">
    <w:name w:val="五级无"/>
    <w:basedOn w:val="152"/>
    <w:qFormat/>
    <w:uiPriority w:val="0"/>
    <w:pPr>
      <w:spacing w:beforeLines="0" w:afterLines="0"/>
    </w:pPr>
    <w:rPr>
      <w:rFonts w:ascii="宋体" w:eastAsia="宋体"/>
    </w:rPr>
  </w:style>
  <w:style w:type="paragraph" w:customStyle="1" w:styleId="220">
    <w:name w:val="一级无"/>
    <w:basedOn w:val="116"/>
    <w:qFormat/>
    <w:uiPriority w:val="0"/>
    <w:pPr>
      <w:jc w:val="left"/>
    </w:pPr>
    <w:rPr>
      <w:rFonts w:ascii="宋体" w:eastAsia="宋体"/>
      <w:szCs w:val="21"/>
    </w:rPr>
  </w:style>
  <w:style w:type="paragraph" w:customStyle="1" w:styleId="221">
    <w:name w:val="正文表标题"/>
    <w:next w:val="42"/>
    <w:qFormat/>
    <w:uiPriority w:val="0"/>
    <w:pPr>
      <w:numPr>
        <w:ilvl w:val="0"/>
        <w:numId w:val="19"/>
      </w:numPr>
      <w:spacing w:beforeLines="50" w:afterLines="50"/>
      <w:jc w:val="center"/>
    </w:pPr>
    <w:rPr>
      <w:rFonts w:ascii="黑体" w:hAnsi="Times New Roman" w:eastAsia="黑体" w:cs="Times New Roman"/>
      <w:sz w:val="21"/>
      <w:lang w:val="en-US" w:eastAsia="zh-CN" w:bidi="ar-SA"/>
    </w:rPr>
  </w:style>
  <w:style w:type="paragraph" w:customStyle="1" w:styleId="222">
    <w:name w:val="正文公式编号制表符"/>
    <w:basedOn w:val="42"/>
    <w:next w:val="42"/>
    <w:qFormat/>
    <w:uiPriority w:val="0"/>
    <w:pPr>
      <w:tabs>
        <w:tab w:val="center" w:pos="4201"/>
        <w:tab w:val="right" w:leader="dot" w:pos="9298"/>
      </w:tabs>
      <w:autoSpaceDE w:val="0"/>
      <w:autoSpaceDN w:val="0"/>
      <w:ind w:firstLine="0" w:firstLineChars="0"/>
    </w:pPr>
  </w:style>
  <w:style w:type="paragraph" w:customStyle="1" w:styleId="223">
    <w:name w:val="正文图标题"/>
    <w:next w:val="42"/>
    <w:qFormat/>
    <w:uiPriority w:val="0"/>
    <w:pPr>
      <w:spacing w:beforeLines="50" w:afterLines="50"/>
      <w:jc w:val="center"/>
    </w:pPr>
    <w:rPr>
      <w:rFonts w:ascii="黑体" w:hAnsi="Times New Roman" w:eastAsia="黑体" w:cs="Times New Roman"/>
      <w:sz w:val="21"/>
      <w:lang w:val="en-US" w:eastAsia="zh-CN" w:bidi="ar-SA"/>
    </w:rPr>
  </w:style>
  <w:style w:type="paragraph" w:customStyle="1" w:styleId="224">
    <w:name w:val="终结线"/>
    <w:basedOn w:val="1"/>
    <w:qFormat/>
    <w:uiPriority w:val="0"/>
    <w:pPr>
      <w:framePr w:hSpace="181" w:vSpace="181" w:wrap="around" w:vAnchor="text" w:hAnchor="margin" w:xAlign="center" w:y="285"/>
    </w:pPr>
  </w:style>
  <w:style w:type="paragraph" w:customStyle="1" w:styleId="225">
    <w:name w:val="其他发布日期"/>
    <w:basedOn w:val="90"/>
    <w:qFormat/>
    <w:uiPriority w:val="0"/>
    <w:pPr>
      <w:framePr w:w="3997" w:h="471" w:hRule="exact" w:hSpace="0" w:vSpace="181" w:wrap="around" w:vAnchor="page" w:hAnchor="page" w:x="1419" w:y="14097"/>
    </w:pPr>
  </w:style>
  <w:style w:type="paragraph" w:customStyle="1" w:styleId="226">
    <w:name w:val="其他实施日期"/>
    <w:basedOn w:val="92"/>
    <w:qFormat/>
    <w:uiPriority w:val="0"/>
    <w:pPr>
      <w:framePr w:w="3997" w:h="471" w:hRule="exact" w:vSpace="181" w:wrap="around" w:vAnchor="page" w:hAnchor="page" w:x="7089" w:y="14097"/>
    </w:pPr>
  </w:style>
  <w:style w:type="paragraph" w:customStyle="1" w:styleId="227">
    <w:name w:val="封面标准名称2"/>
    <w:basedOn w:val="170"/>
    <w:qFormat/>
    <w:uiPriority w:val="0"/>
    <w:pPr>
      <w:framePr w:wrap="around" w:y="4469"/>
      <w:spacing w:beforeLines="630"/>
    </w:pPr>
  </w:style>
  <w:style w:type="paragraph" w:customStyle="1" w:styleId="228">
    <w:name w:val="封面标准英文名称2"/>
    <w:basedOn w:val="171"/>
    <w:qFormat/>
    <w:uiPriority w:val="0"/>
    <w:pPr>
      <w:framePr w:wrap="around" w:y="4469"/>
    </w:pPr>
  </w:style>
  <w:style w:type="paragraph" w:customStyle="1" w:styleId="229">
    <w:name w:val="封面一致性程度标识2"/>
    <w:basedOn w:val="172"/>
    <w:qFormat/>
    <w:uiPriority w:val="0"/>
    <w:pPr>
      <w:framePr w:wrap="around" w:y="4469"/>
    </w:pPr>
  </w:style>
  <w:style w:type="paragraph" w:customStyle="1" w:styleId="230">
    <w:name w:val="封面标准文稿类别2"/>
    <w:basedOn w:val="173"/>
    <w:qFormat/>
    <w:uiPriority w:val="0"/>
    <w:pPr>
      <w:framePr w:wrap="around" w:y="4469"/>
    </w:pPr>
  </w:style>
  <w:style w:type="paragraph" w:customStyle="1" w:styleId="231">
    <w:name w:val="封面标准文稿编辑信息2"/>
    <w:basedOn w:val="174"/>
    <w:qFormat/>
    <w:uiPriority w:val="0"/>
    <w:pPr>
      <w:framePr w:wrap="around" w:y="4469"/>
    </w:pPr>
  </w:style>
  <w:style w:type="paragraph" w:customStyle="1" w:styleId="232">
    <w:name w:val="Char Char Char Char"/>
    <w:basedOn w:val="115"/>
    <w:qFormat/>
    <w:uiPriority w:val="0"/>
    <w:pPr>
      <w:spacing w:before="156" w:after="156" w:line="360" w:lineRule="auto"/>
    </w:pPr>
    <w:rPr>
      <w:rFonts w:ascii="宋体" w:hAnsi="宋体" w:eastAsia="宋体"/>
      <w:szCs w:val="21"/>
    </w:rPr>
  </w:style>
  <w:style w:type="character" w:customStyle="1" w:styleId="233">
    <w:name w:val="txt"/>
    <w:qFormat/>
    <w:uiPriority w:val="0"/>
    <w:rPr>
      <w:rFonts w:ascii="宋体" w:hAnsi="宋体" w:eastAsia="宋体"/>
      <w:sz w:val="21"/>
      <w:szCs w:val="21"/>
      <w:lang w:val="en-US" w:eastAsia="zh-CN" w:bidi="ar-SA"/>
    </w:rPr>
  </w:style>
  <w:style w:type="character" w:customStyle="1" w:styleId="234">
    <w:name w:val="mc1"/>
    <w:qFormat/>
    <w:uiPriority w:val="0"/>
    <w:rPr>
      <w:rFonts w:ascii="宋体" w:hAnsi="宋体" w:eastAsia="宋体"/>
      <w:b/>
      <w:bCs/>
      <w:color w:val="009900"/>
      <w:sz w:val="21"/>
      <w:szCs w:val="21"/>
      <w:lang w:val="en-US" w:eastAsia="zh-CN" w:bidi="ar-SA"/>
    </w:rPr>
  </w:style>
  <w:style w:type="paragraph" w:customStyle="1" w:styleId="235">
    <w:name w:val="1级列项"/>
    <w:basedOn w:val="1"/>
    <w:qFormat/>
    <w:uiPriority w:val="0"/>
    <w:pPr>
      <w:numPr>
        <w:ilvl w:val="0"/>
        <w:numId w:val="20"/>
      </w:numPr>
      <w:spacing w:line="480" w:lineRule="exact"/>
    </w:pPr>
    <w:rPr>
      <w:sz w:val="24"/>
    </w:rPr>
  </w:style>
  <w:style w:type="paragraph" w:customStyle="1" w:styleId="236">
    <w:name w:val="2级列项"/>
    <w:basedOn w:val="235"/>
    <w:qFormat/>
    <w:uiPriority w:val="0"/>
    <w:pPr>
      <w:numPr>
        <w:ilvl w:val="1"/>
      </w:numPr>
    </w:pPr>
  </w:style>
  <w:style w:type="paragraph" w:customStyle="1" w:styleId="237">
    <w:name w:val="项目符号"/>
    <w:basedOn w:val="1"/>
    <w:qFormat/>
    <w:uiPriority w:val="0"/>
    <w:pPr>
      <w:numPr>
        <w:ilvl w:val="0"/>
        <w:numId w:val="21"/>
      </w:numPr>
      <w:spacing w:line="480" w:lineRule="exact"/>
    </w:pPr>
    <w:rPr>
      <w:sz w:val="24"/>
    </w:rPr>
  </w:style>
  <w:style w:type="paragraph" w:customStyle="1" w:styleId="238">
    <w:name w:val="表头"/>
    <w:basedOn w:val="1"/>
    <w:link w:val="290"/>
    <w:qFormat/>
    <w:uiPriority w:val="0"/>
    <w:pPr>
      <w:autoSpaceDE w:val="0"/>
      <w:autoSpaceDN w:val="0"/>
      <w:adjustRightInd w:val="0"/>
      <w:jc w:val="center"/>
    </w:pPr>
    <w:rPr>
      <w:rFonts w:ascii="Arial" w:hAnsi="Arial"/>
      <w:kern w:val="0"/>
      <w:sz w:val="18"/>
      <w:szCs w:val="18"/>
    </w:rPr>
  </w:style>
  <w:style w:type="paragraph" w:customStyle="1" w:styleId="239">
    <w:name w:val="缺省文本"/>
    <w:basedOn w:val="1"/>
    <w:qFormat/>
    <w:uiPriority w:val="0"/>
    <w:pPr>
      <w:autoSpaceDE w:val="0"/>
      <w:autoSpaceDN w:val="0"/>
      <w:adjustRightInd w:val="0"/>
      <w:jc w:val="left"/>
    </w:pPr>
    <w:rPr>
      <w:kern w:val="0"/>
      <w:sz w:val="24"/>
      <w:szCs w:val="20"/>
    </w:rPr>
  </w:style>
  <w:style w:type="paragraph" w:customStyle="1" w:styleId="240">
    <w:name w:val="表样式"/>
    <w:basedOn w:val="1"/>
    <w:qFormat/>
    <w:uiPriority w:val="0"/>
    <w:pPr>
      <w:autoSpaceDE w:val="0"/>
      <w:autoSpaceDN w:val="0"/>
      <w:adjustRightInd w:val="0"/>
      <w:spacing w:before="90" w:after="90"/>
      <w:jc w:val="left"/>
    </w:pPr>
    <w:rPr>
      <w:rFonts w:ascii="Arial" w:hAnsi="Arial"/>
      <w:kern w:val="0"/>
      <w:sz w:val="18"/>
      <w:szCs w:val="20"/>
    </w:rPr>
  </w:style>
  <w:style w:type="paragraph" w:customStyle="1" w:styleId="241">
    <w:name w:val="样式 样式 我的正文首行缩进 + 首行缩进:  2 字符 + 首行缩进:  2 字符 Char"/>
    <w:basedOn w:val="1"/>
    <w:qFormat/>
    <w:uiPriority w:val="0"/>
    <w:pPr>
      <w:numPr>
        <w:ilvl w:val="1"/>
        <w:numId w:val="22"/>
      </w:numPr>
    </w:pPr>
    <w:rPr>
      <w:szCs w:val="20"/>
    </w:rPr>
  </w:style>
  <w:style w:type="character" w:customStyle="1" w:styleId="242">
    <w:name w:val="正文文本缩进 字符"/>
    <w:basedOn w:val="60"/>
    <w:qFormat/>
    <w:uiPriority w:val="0"/>
    <w:rPr>
      <w:rFonts w:cs="Times New Roman"/>
      <w:sz w:val="21"/>
      <w:szCs w:val="24"/>
    </w:rPr>
  </w:style>
  <w:style w:type="character" w:customStyle="1" w:styleId="243">
    <w:name w:val="正文文本缩进 Char"/>
    <w:qFormat/>
    <w:uiPriority w:val="0"/>
    <w:rPr>
      <w:kern w:val="2"/>
      <w:sz w:val="21"/>
      <w:szCs w:val="22"/>
    </w:rPr>
  </w:style>
  <w:style w:type="character" w:customStyle="1" w:styleId="244">
    <w:name w:val="正文文字样式 Char Char"/>
    <w:link w:val="245"/>
    <w:qFormat/>
    <w:uiPriority w:val="0"/>
    <w:rPr>
      <w:rFonts w:ascii="宋体" w:hAnsi="宋体"/>
      <w:szCs w:val="24"/>
    </w:rPr>
  </w:style>
  <w:style w:type="paragraph" w:customStyle="1" w:styleId="245">
    <w:name w:val="正文文字样式"/>
    <w:basedOn w:val="1"/>
    <w:link w:val="244"/>
    <w:qFormat/>
    <w:uiPriority w:val="0"/>
    <w:pPr>
      <w:spacing w:line="480" w:lineRule="exact"/>
      <w:ind w:firstLine="480" w:firstLineChars="200"/>
    </w:pPr>
    <w:rPr>
      <w:rFonts w:ascii="宋体" w:hAnsi="宋体" w:cstheme="minorBidi"/>
      <w:sz w:val="24"/>
    </w:rPr>
  </w:style>
  <w:style w:type="character" w:customStyle="1" w:styleId="246">
    <w:name w:val="批注文字 Char"/>
    <w:qFormat/>
    <w:uiPriority w:val="99"/>
    <w:rPr>
      <w:rFonts w:ascii="宋体" w:hAnsi="宋体"/>
      <w:kern w:val="2"/>
      <w:sz w:val="21"/>
      <w:szCs w:val="24"/>
    </w:rPr>
  </w:style>
  <w:style w:type="character" w:customStyle="1" w:styleId="247">
    <w:name w:val="批注主题 Char"/>
    <w:qFormat/>
    <w:uiPriority w:val="0"/>
    <w:rPr>
      <w:rFonts w:ascii="宋体" w:hAnsi="宋体"/>
      <w:b/>
      <w:bCs/>
      <w:kern w:val="2"/>
      <w:sz w:val="21"/>
      <w:szCs w:val="24"/>
    </w:rPr>
  </w:style>
  <w:style w:type="character" w:customStyle="1" w:styleId="248">
    <w:name w:val="批注框文本 Char"/>
    <w:qFormat/>
    <w:uiPriority w:val="0"/>
    <w:rPr>
      <w:rFonts w:ascii="宋体" w:hAnsi="宋体"/>
      <w:kern w:val="2"/>
      <w:sz w:val="18"/>
      <w:szCs w:val="18"/>
    </w:rPr>
  </w:style>
  <w:style w:type="paragraph" w:customStyle="1" w:styleId="249">
    <w:name w:val="标题2"/>
    <w:basedOn w:val="51"/>
    <w:qFormat/>
    <w:uiPriority w:val="0"/>
    <w:pPr>
      <w:widowControl/>
      <w:numPr>
        <w:ilvl w:val="1"/>
        <w:numId w:val="23"/>
      </w:numPr>
      <w:spacing w:before="100" w:beforeAutospacing="1" w:after="100" w:afterAutospacing="1" w:line="360" w:lineRule="auto"/>
      <w:jc w:val="left"/>
      <w:outlineLvl w:val="1"/>
    </w:pPr>
    <w:rPr>
      <w:kern w:val="0"/>
      <w:sz w:val="21"/>
      <w:szCs w:val="32"/>
    </w:rPr>
  </w:style>
  <w:style w:type="paragraph" w:customStyle="1" w:styleId="250">
    <w:name w:val="Char Char Char Char1"/>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character" w:customStyle="1" w:styleId="251">
    <w:name w:val="f-10"/>
    <w:qFormat/>
    <w:uiPriority w:val="0"/>
    <w:rPr>
      <w:rFonts w:ascii="宋体" w:hAnsi="宋体" w:eastAsia="宋体"/>
      <w:sz w:val="21"/>
      <w:szCs w:val="21"/>
      <w:lang w:val="en-US" w:eastAsia="zh-CN" w:bidi="ar-SA"/>
    </w:rPr>
  </w:style>
  <w:style w:type="paragraph" w:customStyle="1" w:styleId="252">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253">
    <w:name w:val="样式3 Char"/>
    <w:link w:val="254"/>
    <w:qFormat/>
    <w:locked/>
    <w:uiPriority w:val="0"/>
    <w:rPr>
      <w:rFonts w:ascii="黑体" w:hAnsi="宋体" w:eastAsia="黑体"/>
      <w:sz w:val="21"/>
      <w:szCs w:val="21"/>
    </w:rPr>
  </w:style>
  <w:style w:type="paragraph" w:customStyle="1" w:styleId="254">
    <w:name w:val="样式3"/>
    <w:basedOn w:val="1"/>
    <w:link w:val="253"/>
    <w:qFormat/>
    <w:uiPriority w:val="0"/>
    <w:pPr>
      <w:widowControl/>
      <w:outlineLvl w:val="4"/>
    </w:pPr>
    <w:rPr>
      <w:rFonts w:ascii="黑体" w:hAnsi="宋体" w:eastAsia="黑体" w:cstheme="minorBidi"/>
      <w:szCs w:val="21"/>
    </w:rPr>
  </w:style>
  <w:style w:type="paragraph" w:customStyle="1" w:styleId="255">
    <w:name w:val="图表脚注"/>
    <w:next w:val="42"/>
    <w:qFormat/>
    <w:uiPriority w:val="0"/>
    <w:pPr>
      <w:tabs>
        <w:tab w:val="left" w:pos="1440"/>
      </w:tabs>
      <w:ind w:left="300" w:leftChars="200" w:hanging="100" w:hangingChars="100"/>
      <w:jc w:val="both"/>
    </w:pPr>
    <w:rPr>
      <w:rFonts w:ascii="宋体" w:hAnsi="Times New Roman" w:eastAsia="宋体" w:cs="Times New Roman"/>
      <w:sz w:val="18"/>
      <w:lang w:val="en-US" w:eastAsia="zh-CN" w:bidi="ar-SA"/>
    </w:rPr>
  </w:style>
  <w:style w:type="paragraph" w:customStyle="1" w:styleId="256">
    <w:name w:val="二级无标题条"/>
    <w:basedOn w:val="1"/>
    <w:qFormat/>
    <w:uiPriority w:val="0"/>
    <w:pPr>
      <w:numPr>
        <w:ilvl w:val="3"/>
        <w:numId w:val="24"/>
      </w:numPr>
    </w:pPr>
  </w:style>
  <w:style w:type="paragraph" w:customStyle="1" w:styleId="257">
    <w:name w:val="三级无标题条"/>
    <w:basedOn w:val="1"/>
    <w:qFormat/>
    <w:uiPriority w:val="0"/>
    <w:pPr>
      <w:numPr>
        <w:ilvl w:val="4"/>
        <w:numId w:val="24"/>
      </w:numPr>
    </w:pPr>
  </w:style>
  <w:style w:type="paragraph" w:customStyle="1" w:styleId="258">
    <w:name w:val="四级无标题条"/>
    <w:basedOn w:val="1"/>
    <w:qFormat/>
    <w:uiPriority w:val="0"/>
    <w:pPr>
      <w:numPr>
        <w:ilvl w:val="5"/>
        <w:numId w:val="24"/>
      </w:numPr>
    </w:pPr>
  </w:style>
  <w:style w:type="paragraph" w:customStyle="1" w:styleId="259">
    <w:name w:val="五级无标题条"/>
    <w:basedOn w:val="1"/>
    <w:qFormat/>
    <w:uiPriority w:val="0"/>
    <w:pPr>
      <w:numPr>
        <w:ilvl w:val="6"/>
        <w:numId w:val="24"/>
      </w:numPr>
    </w:pPr>
  </w:style>
  <w:style w:type="paragraph" w:customStyle="1" w:styleId="260">
    <w:name w:val="一级无标题条"/>
    <w:basedOn w:val="1"/>
    <w:qFormat/>
    <w:uiPriority w:val="0"/>
    <w:pPr>
      <w:numPr>
        <w:ilvl w:val="2"/>
        <w:numId w:val="24"/>
      </w:numPr>
    </w:pPr>
  </w:style>
  <w:style w:type="paragraph" w:customStyle="1" w:styleId="261">
    <w:name w:val="编写建议"/>
    <w:basedOn w:val="1"/>
    <w:qFormat/>
    <w:uiPriority w:val="0"/>
    <w:pPr>
      <w:autoSpaceDE w:val="0"/>
      <w:autoSpaceDN w:val="0"/>
      <w:adjustRightInd w:val="0"/>
      <w:spacing w:line="360" w:lineRule="auto"/>
      <w:ind w:firstLine="420" w:firstLineChars="200"/>
      <w:jc w:val="left"/>
    </w:pPr>
    <w:rPr>
      <w:rFonts w:cs="Arial"/>
      <w:i/>
      <w:color w:val="0000FF"/>
      <w:kern w:val="0"/>
      <w:szCs w:val="21"/>
    </w:rPr>
  </w:style>
  <w:style w:type="paragraph" w:customStyle="1" w:styleId="262">
    <w:name w:val="Default"/>
    <w:qFormat/>
    <w:uiPriority w:val="0"/>
    <w:pPr>
      <w:widowControl w:val="0"/>
      <w:autoSpaceDE w:val="0"/>
      <w:autoSpaceDN w:val="0"/>
      <w:adjustRightInd w:val="0"/>
    </w:pPr>
    <w:rPr>
      <w:rFonts w:ascii="Arial" w:hAnsi="Arial" w:eastAsia="宋体" w:cs="Times New Roman"/>
      <w:color w:val="000000"/>
      <w:sz w:val="24"/>
      <w:szCs w:val="24"/>
      <w:lang w:val="en-US" w:eastAsia="zh-CN" w:bidi="ar-SA"/>
    </w:rPr>
  </w:style>
  <w:style w:type="character" w:customStyle="1" w:styleId="263">
    <w:name w:val="标题 1 Char1"/>
    <w:qFormat/>
    <w:uiPriority w:val="0"/>
    <w:rPr>
      <w:rFonts w:hint="eastAsia" w:ascii="宋体" w:hAnsi="宋体" w:eastAsia="宋体"/>
      <w:b/>
      <w:kern w:val="44"/>
      <w:sz w:val="44"/>
      <w:szCs w:val="21"/>
      <w:lang w:val="en-US" w:eastAsia="zh-CN" w:bidi="ar-SA"/>
    </w:rPr>
  </w:style>
  <w:style w:type="character" w:customStyle="1" w:styleId="264">
    <w:name w:val="标题 2 Char1"/>
    <w:semiHidden/>
    <w:qFormat/>
    <w:uiPriority w:val="0"/>
    <w:rPr>
      <w:rFonts w:ascii="Cambria" w:hAnsi="Cambria" w:eastAsia="宋体" w:cs="Times New Roman"/>
      <w:b/>
      <w:bCs/>
      <w:kern w:val="2"/>
      <w:sz w:val="32"/>
      <w:szCs w:val="32"/>
      <w:lang w:val="en-US" w:eastAsia="zh-CN" w:bidi="ar-SA"/>
    </w:rPr>
  </w:style>
  <w:style w:type="character" w:customStyle="1" w:styleId="265">
    <w:name w:val="标题 3 Char1"/>
    <w:semiHidden/>
    <w:qFormat/>
    <w:uiPriority w:val="0"/>
    <w:rPr>
      <w:rFonts w:ascii="宋体" w:hAnsi="宋体" w:eastAsia="宋体"/>
      <w:b/>
      <w:bCs/>
      <w:kern w:val="2"/>
      <w:sz w:val="32"/>
      <w:szCs w:val="32"/>
      <w:lang w:val="en-US" w:eastAsia="zh-CN" w:bidi="ar-SA"/>
    </w:rPr>
  </w:style>
  <w:style w:type="character" w:customStyle="1" w:styleId="266">
    <w:name w:val="标题 4 Char1"/>
    <w:semiHidden/>
    <w:qFormat/>
    <w:uiPriority w:val="0"/>
    <w:rPr>
      <w:rFonts w:ascii="Cambria" w:hAnsi="Cambria" w:eastAsia="宋体" w:cs="Times New Roman"/>
      <w:b/>
      <w:bCs/>
      <w:kern w:val="2"/>
      <w:sz w:val="28"/>
      <w:szCs w:val="28"/>
      <w:lang w:val="en-US" w:eastAsia="zh-CN" w:bidi="ar-SA"/>
    </w:rPr>
  </w:style>
  <w:style w:type="character" w:customStyle="1" w:styleId="267">
    <w:name w:val="标题 5 Char1"/>
    <w:semiHidden/>
    <w:qFormat/>
    <w:uiPriority w:val="0"/>
    <w:rPr>
      <w:rFonts w:ascii="宋体" w:hAnsi="宋体" w:eastAsia="宋体"/>
      <w:b/>
      <w:bCs/>
      <w:kern w:val="2"/>
      <w:sz w:val="28"/>
      <w:szCs w:val="28"/>
      <w:lang w:val="en-US" w:eastAsia="zh-CN" w:bidi="ar-SA"/>
    </w:rPr>
  </w:style>
  <w:style w:type="character" w:customStyle="1" w:styleId="268">
    <w:name w:val="标题 6 Char1"/>
    <w:semiHidden/>
    <w:qFormat/>
    <w:uiPriority w:val="0"/>
    <w:rPr>
      <w:rFonts w:ascii="Cambria" w:hAnsi="Cambria" w:eastAsia="宋体" w:cs="Times New Roman"/>
      <w:b/>
      <w:bCs/>
      <w:kern w:val="2"/>
      <w:sz w:val="24"/>
      <w:szCs w:val="24"/>
      <w:lang w:val="en-US" w:eastAsia="zh-CN" w:bidi="ar-SA"/>
    </w:rPr>
  </w:style>
  <w:style w:type="character" w:customStyle="1" w:styleId="269">
    <w:name w:val="标题 7 Char1"/>
    <w:semiHidden/>
    <w:qFormat/>
    <w:uiPriority w:val="0"/>
    <w:rPr>
      <w:rFonts w:ascii="宋体" w:hAnsi="宋体" w:eastAsia="宋体"/>
      <w:b/>
      <w:bCs/>
      <w:kern w:val="2"/>
      <w:sz w:val="24"/>
      <w:szCs w:val="24"/>
      <w:lang w:val="en-US" w:eastAsia="zh-CN" w:bidi="ar-SA"/>
    </w:rPr>
  </w:style>
  <w:style w:type="character" w:customStyle="1" w:styleId="270">
    <w:name w:val="标题 8 Char1"/>
    <w:semiHidden/>
    <w:qFormat/>
    <w:uiPriority w:val="0"/>
    <w:rPr>
      <w:rFonts w:ascii="Cambria" w:hAnsi="Cambria" w:eastAsia="宋体" w:cs="Times New Roman"/>
      <w:kern w:val="2"/>
      <w:sz w:val="24"/>
      <w:szCs w:val="24"/>
      <w:lang w:val="en-US" w:eastAsia="zh-CN" w:bidi="ar-SA"/>
    </w:rPr>
  </w:style>
  <w:style w:type="character" w:customStyle="1" w:styleId="271">
    <w:name w:val="标题 9 Char1"/>
    <w:semiHidden/>
    <w:qFormat/>
    <w:uiPriority w:val="0"/>
    <w:rPr>
      <w:rFonts w:ascii="Cambria" w:hAnsi="Cambria" w:eastAsia="宋体" w:cs="Times New Roman"/>
      <w:kern w:val="2"/>
      <w:sz w:val="21"/>
      <w:szCs w:val="21"/>
      <w:lang w:val="en-US" w:eastAsia="zh-CN" w:bidi="ar-SA"/>
    </w:rPr>
  </w:style>
  <w:style w:type="character" w:customStyle="1" w:styleId="272">
    <w:name w:val="页眉 Char1"/>
    <w:semiHidden/>
    <w:qFormat/>
    <w:uiPriority w:val="0"/>
    <w:rPr>
      <w:rFonts w:ascii="宋体" w:hAnsi="宋体" w:eastAsia="宋体"/>
      <w:kern w:val="2"/>
      <w:sz w:val="18"/>
      <w:szCs w:val="18"/>
      <w:lang w:val="en-US" w:eastAsia="zh-CN" w:bidi="ar-SA"/>
    </w:rPr>
  </w:style>
  <w:style w:type="character" w:customStyle="1" w:styleId="273">
    <w:name w:val="页脚 Char1"/>
    <w:semiHidden/>
    <w:qFormat/>
    <w:uiPriority w:val="0"/>
    <w:rPr>
      <w:rFonts w:ascii="宋体" w:hAnsi="宋体" w:eastAsia="宋体"/>
      <w:kern w:val="2"/>
      <w:sz w:val="18"/>
      <w:szCs w:val="18"/>
      <w:lang w:val="en-US" w:eastAsia="zh-CN" w:bidi="ar-SA"/>
    </w:rPr>
  </w:style>
  <w:style w:type="character" w:customStyle="1" w:styleId="274">
    <w:name w:val="标题 字符"/>
    <w:basedOn w:val="60"/>
    <w:qFormat/>
    <w:uiPriority w:val="0"/>
    <w:rPr>
      <w:rFonts w:asciiTheme="majorHAnsi" w:hAnsiTheme="majorHAnsi" w:eastAsiaTheme="majorEastAsia" w:cstheme="majorBidi"/>
      <w:b/>
      <w:bCs/>
      <w:sz w:val="32"/>
      <w:szCs w:val="32"/>
    </w:rPr>
  </w:style>
  <w:style w:type="character" w:customStyle="1" w:styleId="275">
    <w:name w:val="标题 Char"/>
    <w:qFormat/>
    <w:uiPriority w:val="0"/>
    <w:rPr>
      <w:rFonts w:ascii="Cambria" w:hAnsi="Cambria" w:cs="Times New Roman"/>
      <w:b/>
      <w:bCs/>
      <w:kern w:val="2"/>
      <w:sz w:val="32"/>
      <w:szCs w:val="32"/>
    </w:rPr>
  </w:style>
  <w:style w:type="character" w:customStyle="1" w:styleId="276">
    <w:name w:val="正文文本 Char"/>
    <w:qFormat/>
    <w:locked/>
    <w:uiPriority w:val="0"/>
    <w:rPr>
      <w:rFonts w:ascii="宋体" w:hAnsi="宋体"/>
      <w:kern w:val="2"/>
      <w:sz w:val="21"/>
      <w:szCs w:val="24"/>
    </w:rPr>
  </w:style>
  <w:style w:type="character" w:customStyle="1" w:styleId="277">
    <w:name w:val="正文文本 Char1"/>
    <w:qFormat/>
    <w:uiPriority w:val="0"/>
    <w:rPr>
      <w:kern w:val="2"/>
      <w:sz w:val="21"/>
      <w:szCs w:val="22"/>
    </w:rPr>
  </w:style>
  <w:style w:type="character" w:customStyle="1" w:styleId="278">
    <w:name w:val="副标题 字符"/>
    <w:basedOn w:val="60"/>
    <w:qFormat/>
    <w:uiPriority w:val="11"/>
    <w:rPr>
      <w:rFonts w:asciiTheme="minorHAnsi" w:hAnsiTheme="minorHAnsi" w:eastAsiaTheme="minorEastAsia"/>
      <w:b/>
      <w:bCs/>
      <w:kern w:val="28"/>
      <w:sz w:val="32"/>
      <w:szCs w:val="32"/>
    </w:rPr>
  </w:style>
  <w:style w:type="character" w:customStyle="1" w:styleId="279">
    <w:name w:val="副标题 字符1"/>
    <w:link w:val="43"/>
    <w:qFormat/>
    <w:uiPriority w:val="0"/>
    <w:rPr>
      <w:rFonts w:ascii="Cambria" w:hAnsi="Cambria" w:cs="Times New Roman"/>
      <w:b/>
      <w:bCs/>
      <w:kern w:val="28"/>
      <w:sz w:val="32"/>
      <w:szCs w:val="32"/>
    </w:rPr>
  </w:style>
  <w:style w:type="character" w:customStyle="1" w:styleId="280">
    <w:name w:val="日期 Char"/>
    <w:qFormat/>
    <w:uiPriority w:val="0"/>
    <w:rPr>
      <w:kern w:val="2"/>
      <w:sz w:val="21"/>
      <w:szCs w:val="21"/>
    </w:rPr>
  </w:style>
  <w:style w:type="character" w:customStyle="1" w:styleId="281">
    <w:name w:val="正文首行缩进 字符"/>
    <w:basedOn w:val="83"/>
    <w:semiHidden/>
    <w:qFormat/>
    <w:uiPriority w:val="99"/>
    <w:rPr>
      <w:rFonts w:cs="Times New Roman"/>
      <w:sz w:val="21"/>
      <w:szCs w:val="24"/>
    </w:rPr>
  </w:style>
  <w:style w:type="character" w:customStyle="1" w:styleId="282">
    <w:name w:val="正文文本首行缩进 字符"/>
    <w:link w:val="55"/>
    <w:qFormat/>
    <w:uiPriority w:val="0"/>
    <w:rPr>
      <w:rFonts w:ascii="宋体" w:hAnsi="宋体" w:cs="Times New Roman"/>
      <w:szCs w:val="24"/>
    </w:rPr>
  </w:style>
  <w:style w:type="character" w:customStyle="1" w:styleId="283">
    <w:name w:val="正文首行缩进 2 字符"/>
    <w:basedOn w:val="242"/>
    <w:semiHidden/>
    <w:qFormat/>
    <w:uiPriority w:val="99"/>
    <w:rPr>
      <w:rFonts w:cs="Times New Roman"/>
      <w:sz w:val="21"/>
      <w:szCs w:val="24"/>
    </w:rPr>
  </w:style>
  <w:style w:type="character" w:customStyle="1" w:styleId="284">
    <w:name w:val="正文文本首行缩进 2 字符"/>
    <w:link w:val="56"/>
    <w:qFormat/>
    <w:uiPriority w:val="0"/>
    <w:rPr>
      <w:rFonts w:ascii="宋体" w:hAnsi="宋体" w:cs="Times New Roman"/>
      <w:szCs w:val="21"/>
    </w:rPr>
  </w:style>
  <w:style w:type="character" w:customStyle="1" w:styleId="285">
    <w:name w:val="正文文本缩进 字符1"/>
    <w:link w:val="24"/>
    <w:qFormat/>
    <w:uiPriority w:val="0"/>
    <w:rPr>
      <w:rFonts w:ascii="宋体" w:hAnsi="宋体" w:cs="Times New Roman"/>
      <w:sz w:val="21"/>
      <w:szCs w:val="21"/>
    </w:rPr>
  </w:style>
  <w:style w:type="character" w:customStyle="1" w:styleId="286">
    <w:name w:val="正文文本缩进 2 Char"/>
    <w:qFormat/>
    <w:uiPriority w:val="0"/>
    <w:rPr>
      <w:rFonts w:ascii="宋体" w:hAnsi="宋体"/>
      <w:kern w:val="2"/>
      <w:sz w:val="24"/>
      <w:szCs w:val="21"/>
    </w:rPr>
  </w:style>
  <w:style w:type="character" w:customStyle="1" w:styleId="287">
    <w:name w:val="正文文本缩进 3 字符"/>
    <w:basedOn w:val="60"/>
    <w:qFormat/>
    <w:uiPriority w:val="0"/>
    <w:rPr>
      <w:rFonts w:cs="Times New Roman"/>
      <w:sz w:val="16"/>
      <w:szCs w:val="16"/>
    </w:rPr>
  </w:style>
  <w:style w:type="character" w:customStyle="1" w:styleId="288">
    <w:name w:val="正文文本缩进 3 字符1"/>
    <w:link w:val="46"/>
    <w:qFormat/>
    <w:uiPriority w:val="0"/>
    <w:rPr>
      <w:rFonts w:ascii="宋体" w:hAnsi="宋体" w:cs="Times New Roman"/>
      <w:color w:val="000000"/>
      <w:szCs w:val="21"/>
    </w:rPr>
  </w:style>
  <w:style w:type="character" w:customStyle="1" w:styleId="289">
    <w:name w:val="纯文本 Char"/>
    <w:qFormat/>
    <w:uiPriority w:val="99"/>
    <w:rPr>
      <w:rFonts w:ascii="宋体" w:hAnsi="Courier New"/>
      <w:kern w:val="2"/>
      <w:sz w:val="21"/>
      <w:szCs w:val="21"/>
    </w:rPr>
  </w:style>
  <w:style w:type="character" w:customStyle="1" w:styleId="290">
    <w:name w:val="表头 Char"/>
    <w:link w:val="238"/>
    <w:qFormat/>
    <w:locked/>
    <w:uiPriority w:val="0"/>
    <w:rPr>
      <w:rFonts w:ascii="Arial" w:hAnsi="Arial" w:cs="Times New Roman"/>
      <w:kern w:val="0"/>
      <w:sz w:val="18"/>
      <w:szCs w:val="18"/>
    </w:rPr>
  </w:style>
  <w:style w:type="paragraph" w:customStyle="1" w:styleId="291">
    <w:name w:val="术语定义二级条标题"/>
    <w:basedOn w:val="1"/>
    <w:next w:val="42"/>
    <w:qFormat/>
    <w:uiPriority w:val="0"/>
    <w:pPr>
      <w:widowControl/>
      <w:tabs>
        <w:tab w:val="left" w:pos="420"/>
        <w:tab w:val="left" w:pos="918"/>
      </w:tabs>
      <w:jc w:val="left"/>
    </w:pPr>
    <w:rPr>
      <w:rFonts w:ascii="黑体" w:eastAsia="黑体"/>
      <w:b/>
      <w:kern w:val="0"/>
      <w:szCs w:val="20"/>
    </w:rPr>
  </w:style>
  <w:style w:type="paragraph" w:customStyle="1" w:styleId="292">
    <w:name w:val="标书应答"/>
    <w:basedOn w:val="1"/>
    <w:qFormat/>
    <w:uiPriority w:val="0"/>
    <w:pPr>
      <w:pBdr>
        <w:top w:val="dotted" w:color="auto" w:sz="4" w:space="1"/>
        <w:left w:val="dotted" w:color="auto" w:sz="4" w:space="4"/>
        <w:bottom w:val="dotted" w:color="auto" w:sz="4" w:space="1"/>
        <w:right w:val="dotted" w:color="auto" w:sz="4" w:space="4"/>
      </w:pBdr>
      <w:shd w:val="pct10" w:color="000000" w:fill="FFFFFF"/>
      <w:autoSpaceDE w:val="0"/>
      <w:autoSpaceDN w:val="0"/>
      <w:adjustRightInd w:val="0"/>
      <w:spacing w:line="360" w:lineRule="auto"/>
      <w:ind w:firstLine="414" w:firstLineChars="200"/>
      <w:jc w:val="left"/>
    </w:pPr>
    <w:rPr>
      <w:b/>
      <w:kern w:val="0"/>
      <w:szCs w:val="20"/>
    </w:rPr>
  </w:style>
  <w:style w:type="character" w:customStyle="1" w:styleId="293">
    <w:name w:val="文档正文 Char1"/>
    <w:link w:val="294"/>
    <w:qFormat/>
    <w:locked/>
    <w:uiPriority w:val="0"/>
    <w:rPr>
      <w:rFonts w:ascii="楷体_GB2312" w:hAnsi="宋体" w:eastAsia="楷体_GB2312"/>
      <w:sz w:val="28"/>
      <w:szCs w:val="21"/>
    </w:rPr>
  </w:style>
  <w:style w:type="paragraph" w:customStyle="1" w:styleId="294">
    <w:name w:val="文档正文"/>
    <w:basedOn w:val="1"/>
    <w:link w:val="293"/>
    <w:qFormat/>
    <w:uiPriority w:val="0"/>
    <w:pPr>
      <w:spacing w:line="480" w:lineRule="atLeast"/>
      <w:ind w:firstLine="567"/>
    </w:pPr>
    <w:rPr>
      <w:rFonts w:ascii="楷体_GB2312" w:hAnsi="宋体" w:eastAsia="楷体_GB2312" w:cstheme="minorBidi"/>
      <w:sz w:val="28"/>
      <w:szCs w:val="21"/>
    </w:rPr>
  </w:style>
  <w:style w:type="paragraph" w:customStyle="1" w:styleId="295">
    <w:name w:val="CM29"/>
    <w:basedOn w:val="262"/>
    <w:next w:val="262"/>
    <w:qFormat/>
    <w:uiPriority w:val="0"/>
    <w:pPr>
      <w:spacing w:after="250"/>
    </w:pPr>
    <w:rPr>
      <w:color w:val="auto"/>
      <w:szCs w:val="20"/>
    </w:rPr>
  </w:style>
  <w:style w:type="paragraph" w:customStyle="1" w:styleId="296">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297">
    <w:name w:val="GHT-列表2"/>
    <w:qFormat/>
    <w:uiPriority w:val="0"/>
    <w:pPr>
      <w:tabs>
        <w:tab w:val="left" w:pos="624"/>
      </w:tabs>
      <w:spacing w:line="400" w:lineRule="exact"/>
      <w:ind w:left="420" w:hanging="420"/>
    </w:pPr>
    <w:rPr>
      <w:rFonts w:ascii="Times New Roman" w:hAnsi="Times New Roman" w:eastAsia="宋体" w:cs="Times New Roman"/>
      <w:color w:val="000000"/>
      <w:spacing w:val="10"/>
      <w:sz w:val="24"/>
      <w:lang w:val="en-US" w:eastAsia="zh-CN" w:bidi="ar-SA"/>
    </w:rPr>
  </w:style>
  <w:style w:type="paragraph" w:customStyle="1" w:styleId="298">
    <w:name w:val="默认段落字体 Para Char Char Char Char Char Char Char Char Char"/>
    <w:basedOn w:val="1"/>
    <w:qFormat/>
    <w:uiPriority w:val="0"/>
    <w:rPr>
      <w:rFonts w:ascii="Tahoma" w:hAnsi="Tahoma"/>
      <w:sz w:val="24"/>
      <w:szCs w:val="20"/>
    </w:rPr>
  </w:style>
  <w:style w:type="paragraph" w:customStyle="1" w:styleId="299">
    <w:name w:val="tabletext"/>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300">
    <w:name w:val="正文1"/>
    <w:basedOn w:val="1"/>
    <w:qFormat/>
    <w:uiPriority w:val="0"/>
    <w:pPr>
      <w:ind w:firstLine="540" w:firstLineChars="257"/>
    </w:pPr>
    <w:rPr>
      <w:szCs w:val="20"/>
    </w:rPr>
  </w:style>
  <w:style w:type="paragraph" w:customStyle="1" w:styleId="301">
    <w:name w:val="我的标题4"/>
    <w:basedOn w:val="4"/>
    <w:qFormat/>
    <w:uiPriority w:val="0"/>
    <w:pPr>
      <w:keepLines w:val="0"/>
      <w:widowControl/>
      <w:autoSpaceDE/>
      <w:autoSpaceDN/>
      <w:adjustRightInd/>
      <w:spacing w:before="240" w:after="240" w:line="240" w:lineRule="auto"/>
      <w:jc w:val="both"/>
      <w:textAlignment w:val="auto"/>
    </w:pPr>
    <w:rPr>
      <w:rFonts w:ascii="Arial" w:hAnsi="Arial" w:eastAsia="黑体"/>
      <w:b w:val="0"/>
      <w:kern w:val="2"/>
      <w:sz w:val="30"/>
    </w:rPr>
  </w:style>
  <w:style w:type="paragraph" w:customStyle="1" w:styleId="302">
    <w:name w:val="列项——"/>
    <w:qFormat/>
    <w:uiPriority w:val="0"/>
    <w:pPr>
      <w:widowControl w:val="0"/>
      <w:tabs>
        <w:tab w:val="left" w:pos="1140"/>
      </w:tabs>
      <w:ind w:left="840" w:hanging="420"/>
      <w:jc w:val="both"/>
    </w:pPr>
    <w:rPr>
      <w:rFonts w:ascii="宋体" w:hAnsi="Times New Roman" w:eastAsia="宋体" w:cs="Times New Roman"/>
      <w:sz w:val="21"/>
      <w:lang w:val="en-US" w:eastAsia="zh-CN" w:bidi="ar-SA"/>
    </w:rPr>
  </w:style>
  <w:style w:type="paragraph" w:customStyle="1" w:styleId="303">
    <w:name w:val="我的标题5"/>
    <w:basedOn w:val="301"/>
    <w:qFormat/>
    <w:uiPriority w:val="0"/>
  </w:style>
  <w:style w:type="paragraph" w:customStyle="1" w:styleId="304">
    <w:name w:val="Char1"/>
    <w:basedOn w:val="1"/>
    <w:qFormat/>
    <w:uiPriority w:val="0"/>
    <w:pPr>
      <w:spacing w:line="300" w:lineRule="auto"/>
    </w:pPr>
    <w:rPr>
      <w:rFonts w:ascii="Tahoma" w:hAnsi="Tahoma"/>
      <w:sz w:val="24"/>
      <w:szCs w:val="20"/>
    </w:rPr>
  </w:style>
  <w:style w:type="paragraph" w:customStyle="1" w:styleId="305">
    <w:name w:val="Table Description"/>
    <w:basedOn w:val="1"/>
    <w:qFormat/>
    <w:uiPriority w:val="0"/>
    <w:pPr>
      <w:ind w:left="1701"/>
    </w:pPr>
    <w:rPr>
      <w:szCs w:val="20"/>
    </w:rPr>
  </w:style>
  <w:style w:type="character" w:customStyle="1" w:styleId="306">
    <w:name w:val="GHT-正文 Char"/>
    <w:link w:val="307"/>
    <w:qFormat/>
    <w:locked/>
    <w:uiPriority w:val="0"/>
    <w:rPr>
      <w:rFonts w:ascii="宋体" w:hAnsi="宋体"/>
      <w:color w:val="000000"/>
      <w:spacing w:val="10"/>
      <w:szCs w:val="21"/>
    </w:rPr>
  </w:style>
  <w:style w:type="paragraph" w:customStyle="1" w:styleId="307">
    <w:name w:val="GHT-正文"/>
    <w:basedOn w:val="1"/>
    <w:link w:val="306"/>
    <w:qFormat/>
    <w:uiPriority w:val="0"/>
    <w:pPr>
      <w:adjustRightInd w:val="0"/>
      <w:spacing w:line="400" w:lineRule="exact"/>
      <w:ind w:firstLine="520" w:firstLineChars="200"/>
    </w:pPr>
    <w:rPr>
      <w:rFonts w:ascii="宋体" w:hAnsi="宋体" w:cstheme="minorBidi"/>
      <w:color w:val="000000"/>
      <w:spacing w:val="10"/>
      <w:sz w:val="24"/>
      <w:szCs w:val="21"/>
    </w:rPr>
  </w:style>
  <w:style w:type="paragraph" w:customStyle="1" w:styleId="308">
    <w:name w:val="Char Char Char Char Char Char Char Char Char Char Char Char1"/>
    <w:basedOn w:val="1"/>
    <w:qFormat/>
    <w:uiPriority w:val="0"/>
    <w:rPr>
      <w:rFonts w:ascii="Tahoma" w:hAnsi="Tahoma"/>
      <w:sz w:val="24"/>
      <w:szCs w:val="20"/>
    </w:rPr>
  </w:style>
  <w:style w:type="paragraph" w:customStyle="1" w:styleId="309">
    <w:name w:val="Figure Description"/>
    <w:basedOn w:val="1"/>
    <w:qFormat/>
    <w:uiPriority w:val="0"/>
    <w:pPr>
      <w:ind w:left="1701"/>
    </w:pPr>
    <w:rPr>
      <w:szCs w:val="20"/>
    </w:rPr>
  </w:style>
  <w:style w:type="paragraph" w:customStyle="1" w:styleId="310">
    <w:name w:val="列项·"/>
    <w:qFormat/>
    <w:uiPriority w:val="0"/>
    <w:pPr>
      <w:numPr>
        <w:ilvl w:val="0"/>
        <w:numId w:val="25"/>
      </w:numPr>
      <w:tabs>
        <w:tab w:val="left" w:pos="840"/>
      </w:tabs>
      <w:jc w:val="both"/>
    </w:pPr>
    <w:rPr>
      <w:rFonts w:ascii="宋体" w:hAnsi="Times New Roman" w:eastAsia="宋体" w:cs="Times New Roman"/>
      <w:sz w:val="21"/>
      <w:lang w:val="en-US" w:eastAsia="zh-CN" w:bidi="ar-SA"/>
    </w:rPr>
  </w:style>
  <w:style w:type="paragraph" w:customStyle="1" w:styleId="311">
    <w:name w:val="名称"/>
    <w:basedOn w:val="205"/>
    <w:next w:val="42"/>
    <w:qFormat/>
    <w:uiPriority w:val="0"/>
    <w:pPr>
      <w:keepNext w:val="0"/>
      <w:pageBreakBefore w:val="0"/>
      <w:shd w:val="clear" w:color="auto" w:fill="FFFFFF"/>
      <w:spacing w:line="460" w:lineRule="exact"/>
      <w:outlineLvl w:val="9"/>
    </w:pPr>
    <w:rPr>
      <w:b/>
    </w:rPr>
  </w:style>
  <w:style w:type="paragraph" w:customStyle="1" w:styleId="312">
    <w:name w:val="Char Char Char Char Char Char Char Char Char Char Char Char Char Char Char Char Char1"/>
    <w:basedOn w:val="1"/>
    <w:qFormat/>
    <w:uiPriority w:val="0"/>
    <w:pPr>
      <w:snapToGrid w:val="0"/>
      <w:spacing w:line="360" w:lineRule="auto"/>
    </w:pPr>
    <w:rPr>
      <w:rFonts w:ascii="Tahoma" w:hAnsi="Tahoma" w:eastAsia="仿宋_GB2312"/>
      <w:b/>
      <w:sz w:val="24"/>
      <w:szCs w:val="20"/>
    </w:rPr>
  </w:style>
  <w:style w:type="paragraph" w:customStyle="1" w:styleId="313">
    <w:name w:val="题头内容"/>
    <w:basedOn w:val="1"/>
    <w:qFormat/>
    <w:uiPriority w:val="0"/>
    <w:pPr>
      <w:adjustRightInd w:val="0"/>
      <w:spacing w:before="120" w:after="120" w:line="312" w:lineRule="atLeast"/>
      <w:ind w:right="879" w:firstLine="839" w:firstLineChars="200"/>
      <w:jc w:val="center"/>
    </w:pPr>
    <w:rPr>
      <w:rFonts w:ascii="黑体" w:eastAsia="黑体"/>
      <w:kern w:val="0"/>
      <w:sz w:val="32"/>
      <w:szCs w:val="20"/>
    </w:rPr>
  </w:style>
  <w:style w:type="paragraph" w:customStyle="1" w:styleId="314">
    <w:name w:val="目录"/>
    <w:basedOn w:val="1"/>
    <w:next w:val="294"/>
    <w:qFormat/>
    <w:uiPriority w:val="0"/>
    <w:pPr>
      <w:adjustRightInd w:val="0"/>
      <w:spacing w:before="360" w:after="360" w:line="312" w:lineRule="atLeast"/>
      <w:ind w:firstLine="480" w:firstLineChars="200"/>
      <w:jc w:val="center"/>
    </w:pPr>
    <w:rPr>
      <w:rFonts w:ascii="黑体" w:eastAsia="黑体"/>
      <w:spacing w:val="20"/>
      <w:kern w:val="0"/>
      <w:sz w:val="32"/>
      <w:szCs w:val="20"/>
    </w:rPr>
  </w:style>
  <w:style w:type="paragraph" w:customStyle="1" w:styleId="315">
    <w:name w:val="表格(五号)"/>
    <w:basedOn w:val="1"/>
    <w:qFormat/>
    <w:uiPriority w:val="0"/>
    <w:pPr>
      <w:adjustRightInd w:val="0"/>
      <w:snapToGrid w:val="0"/>
      <w:spacing w:before="60" w:after="60"/>
      <w:ind w:left="11"/>
      <w:jc w:val="center"/>
    </w:pPr>
    <w:rPr>
      <w:kern w:val="0"/>
      <w:szCs w:val="20"/>
    </w:rPr>
  </w:style>
  <w:style w:type="paragraph" w:customStyle="1" w:styleId="316">
    <w:name w:val="表格标题"/>
    <w:basedOn w:val="4"/>
    <w:qFormat/>
    <w:uiPriority w:val="0"/>
    <w:pPr>
      <w:tabs>
        <w:tab w:val="left" w:pos="6946"/>
      </w:tabs>
      <w:autoSpaceDE/>
      <w:autoSpaceDN/>
      <w:snapToGrid w:val="0"/>
      <w:spacing w:before="0" w:after="0" w:line="300" w:lineRule="auto"/>
      <w:ind w:firstLine="454"/>
      <w:jc w:val="both"/>
      <w:textAlignment w:val="auto"/>
      <w:outlineLvl w:val="3"/>
    </w:pPr>
    <w:rPr>
      <w:rFonts w:hAnsi="宋体" w:eastAsia="黑体"/>
      <w:b w:val="0"/>
      <w:bCs/>
      <w:color w:val="000000"/>
      <w:sz w:val="24"/>
    </w:rPr>
  </w:style>
  <w:style w:type="paragraph" w:customStyle="1" w:styleId="317">
    <w:name w:val="表格标题(居中)"/>
    <w:basedOn w:val="1"/>
    <w:qFormat/>
    <w:uiPriority w:val="0"/>
    <w:pPr>
      <w:snapToGrid w:val="0"/>
      <w:spacing w:line="300" w:lineRule="auto"/>
      <w:jc w:val="center"/>
    </w:pPr>
    <w:rPr>
      <w:rFonts w:eastAsia="黑体"/>
      <w:sz w:val="24"/>
      <w:szCs w:val="20"/>
    </w:rPr>
  </w:style>
  <w:style w:type="paragraph" w:customStyle="1" w:styleId="318">
    <w:name w:val="表格正文"/>
    <w:basedOn w:val="1"/>
    <w:qFormat/>
    <w:uiPriority w:val="0"/>
    <w:pPr>
      <w:adjustRightInd w:val="0"/>
      <w:snapToGrid w:val="0"/>
      <w:spacing w:before="60" w:after="60"/>
      <w:jc w:val="center"/>
    </w:pPr>
    <w:rPr>
      <w:kern w:val="0"/>
      <w:sz w:val="24"/>
      <w:szCs w:val="20"/>
    </w:rPr>
  </w:style>
  <w:style w:type="paragraph" w:customStyle="1" w:styleId="319">
    <w:name w:val="插图说明"/>
    <w:basedOn w:val="1"/>
    <w:qFormat/>
    <w:uiPriority w:val="0"/>
    <w:pPr>
      <w:adjustRightInd w:val="0"/>
      <w:spacing w:after="240"/>
      <w:ind w:firstLine="200" w:firstLineChars="200"/>
      <w:jc w:val="center"/>
    </w:pPr>
    <w:rPr>
      <w:rFonts w:eastAsia="黑体"/>
      <w:kern w:val="0"/>
      <w:sz w:val="24"/>
      <w:szCs w:val="20"/>
    </w:rPr>
  </w:style>
  <w:style w:type="paragraph" w:customStyle="1" w:styleId="320">
    <w:name w:val="封面标题"/>
    <w:qFormat/>
    <w:uiPriority w:val="0"/>
    <w:pPr>
      <w:spacing w:line="360" w:lineRule="auto"/>
      <w:jc w:val="center"/>
    </w:pPr>
    <w:rPr>
      <w:rFonts w:ascii="Times New Roman" w:hAnsi="Times New Roman" w:eastAsia="宋体" w:cs="Times New Roman"/>
      <w:b/>
      <w:color w:val="000000"/>
      <w:sz w:val="44"/>
      <w:lang w:val="en-US" w:eastAsia="zh-CN" w:bidi="ar-SA"/>
    </w:rPr>
  </w:style>
  <w:style w:type="paragraph" w:customStyle="1" w:styleId="321">
    <w:name w:val="封面落款"/>
    <w:basedOn w:val="1"/>
    <w:qFormat/>
    <w:uiPriority w:val="0"/>
    <w:pPr>
      <w:adjustRightInd w:val="0"/>
      <w:spacing w:line="300" w:lineRule="auto"/>
      <w:jc w:val="center"/>
    </w:pPr>
    <w:rPr>
      <w:spacing w:val="10"/>
      <w:kern w:val="0"/>
      <w:sz w:val="30"/>
      <w:szCs w:val="20"/>
    </w:rPr>
  </w:style>
  <w:style w:type="paragraph" w:customStyle="1" w:styleId="322">
    <w:name w:val="目录0"/>
    <w:basedOn w:val="38"/>
    <w:qFormat/>
    <w:uiPriority w:val="0"/>
    <w:pPr>
      <w:widowControl/>
      <w:tabs>
        <w:tab w:val="right" w:leader="middleDot" w:pos="8931"/>
      </w:tabs>
      <w:spacing w:before="120" w:line="300" w:lineRule="auto"/>
      <w:jc w:val="center"/>
    </w:pPr>
    <w:rPr>
      <w:rFonts w:eastAsia="黑体"/>
      <w:bCs/>
      <w:caps/>
      <w:color w:val="000000"/>
      <w:kern w:val="0"/>
      <w:sz w:val="32"/>
      <w:szCs w:val="28"/>
    </w:rPr>
  </w:style>
  <w:style w:type="paragraph" w:customStyle="1" w:styleId="323">
    <w:name w:val="??"/>
    <w:qFormat/>
    <w:uiPriority w:val="0"/>
    <w:pPr>
      <w:widowControl w:val="0"/>
      <w:overflowPunct w:val="0"/>
      <w:autoSpaceDE w:val="0"/>
      <w:autoSpaceDN w:val="0"/>
      <w:adjustRightInd w:val="0"/>
    </w:pPr>
    <w:rPr>
      <w:rFonts w:ascii="Times New Roman" w:hAnsi="Times New Roman" w:eastAsia="宋体" w:cs="Times New Roman"/>
      <w:lang w:val="en-US" w:eastAsia="zh-CN" w:bidi="ar-SA"/>
    </w:rPr>
  </w:style>
  <w:style w:type="paragraph" w:customStyle="1" w:styleId="324">
    <w:name w:val="正文文本 21"/>
    <w:basedOn w:val="323"/>
    <w:qFormat/>
    <w:uiPriority w:val="0"/>
    <w:pPr>
      <w:tabs>
        <w:tab w:val="left" w:pos="1260"/>
        <w:tab w:val="left" w:pos="2160"/>
        <w:tab w:val="left" w:pos="7920"/>
      </w:tabs>
      <w:ind w:left="720"/>
      <w:jc w:val="both"/>
    </w:pPr>
    <w:rPr>
      <w:sz w:val="24"/>
    </w:rPr>
  </w:style>
  <w:style w:type="paragraph" w:customStyle="1" w:styleId="325">
    <w:name w:val="正文文本缩进 21"/>
    <w:basedOn w:val="323"/>
    <w:qFormat/>
    <w:uiPriority w:val="0"/>
    <w:pPr>
      <w:ind w:left="1440"/>
      <w:jc w:val="both"/>
    </w:pPr>
    <w:rPr>
      <w:sz w:val="24"/>
    </w:rPr>
  </w:style>
  <w:style w:type="paragraph" w:customStyle="1" w:styleId="326">
    <w:name w:val="?? 1"/>
    <w:basedOn w:val="323"/>
    <w:next w:val="323"/>
    <w:qFormat/>
    <w:uiPriority w:val="0"/>
    <w:pPr>
      <w:keepNext/>
      <w:jc w:val="center"/>
    </w:pPr>
    <w:rPr>
      <w:b/>
      <w:sz w:val="32"/>
    </w:rPr>
  </w:style>
  <w:style w:type="paragraph" w:customStyle="1" w:styleId="327">
    <w:name w:val="????"/>
    <w:basedOn w:val="323"/>
    <w:qFormat/>
    <w:uiPriority w:val="0"/>
    <w:pPr>
      <w:jc w:val="both"/>
    </w:pPr>
    <w:rPr>
      <w:sz w:val="22"/>
    </w:rPr>
  </w:style>
  <w:style w:type="paragraph" w:customStyle="1" w:styleId="328">
    <w:name w:val="?? 6"/>
    <w:basedOn w:val="323"/>
    <w:next w:val="323"/>
    <w:qFormat/>
    <w:uiPriority w:val="0"/>
    <w:pPr>
      <w:keepNext/>
      <w:tabs>
        <w:tab w:val="left" w:pos="5040"/>
      </w:tabs>
      <w:ind w:left="720"/>
      <w:jc w:val="both"/>
    </w:pPr>
    <w:rPr>
      <w:sz w:val="24"/>
    </w:rPr>
  </w:style>
  <w:style w:type="paragraph" w:customStyle="1" w:styleId="329">
    <w:name w:val="正文 0"/>
    <w:basedOn w:val="1"/>
    <w:qFormat/>
    <w:uiPriority w:val="0"/>
    <w:pPr>
      <w:tabs>
        <w:tab w:val="left" w:pos="540"/>
        <w:tab w:val="left" w:pos="1620"/>
        <w:tab w:val="left" w:pos="2700"/>
        <w:tab w:val="left" w:pos="3780"/>
        <w:tab w:val="left" w:pos="4860"/>
        <w:tab w:val="left" w:pos="5940"/>
        <w:tab w:val="left" w:pos="7020"/>
        <w:tab w:val="left" w:pos="8100"/>
      </w:tabs>
      <w:ind w:firstLine="480"/>
    </w:pPr>
    <w:rPr>
      <w:kern w:val="0"/>
    </w:rPr>
  </w:style>
  <w:style w:type="paragraph" w:customStyle="1" w:styleId="330">
    <w:name w:val="文档正文 Char"/>
    <w:basedOn w:val="1"/>
    <w:qFormat/>
    <w:uiPriority w:val="0"/>
    <w:pPr>
      <w:adjustRightInd w:val="0"/>
      <w:spacing w:line="480" w:lineRule="atLeast"/>
      <w:ind w:firstLine="567"/>
    </w:pPr>
    <w:rPr>
      <w:rFonts w:ascii="仿宋_GB2312" w:eastAsia="仿宋_GB2312"/>
      <w:sz w:val="28"/>
      <w:szCs w:val="28"/>
    </w:rPr>
  </w:style>
  <w:style w:type="character" w:customStyle="1" w:styleId="331">
    <w:name w:val="SJ-标题2 Char"/>
    <w:link w:val="332"/>
    <w:qFormat/>
    <w:locked/>
    <w:uiPriority w:val="0"/>
    <w:rPr>
      <w:rFonts w:ascii="宋体" w:hAnsi="宋体" w:eastAsia="黑体"/>
      <w:szCs w:val="24"/>
    </w:rPr>
  </w:style>
  <w:style w:type="paragraph" w:customStyle="1" w:styleId="332">
    <w:name w:val="SJ-标题2"/>
    <w:link w:val="331"/>
    <w:qFormat/>
    <w:uiPriority w:val="0"/>
    <w:pPr>
      <w:keepLines/>
      <w:widowControl w:val="0"/>
      <w:spacing w:before="200" w:after="200"/>
      <w:ind w:left="-28" w:firstLine="454"/>
      <w:outlineLvl w:val="1"/>
    </w:pPr>
    <w:rPr>
      <w:rFonts w:ascii="宋体" w:hAnsi="宋体" w:eastAsia="黑体" w:cstheme="minorBidi"/>
      <w:kern w:val="2"/>
      <w:sz w:val="24"/>
      <w:szCs w:val="24"/>
      <w:lang w:val="en-US" w:eastAsia="zh-CN" w:bidi="ar-SA"/>
    </w:rPr>
  </w:style>
  <w:style w:type="character" w:customStyle="1" w:styleId="333">
    <w:name w:val="表格内容 Char"/>
    <w:link w:val="334"/>
    <w:qFormat/>
    <w:locked/>
    <w:uiPriority w:val="0"/>
    <w:rPr>
      <w:rFonts w:ascii="仿宋_GB2312" w:hAnsi="宋体" w:eastAsia="仿宋_GB2312" w:cs="宋体"/>
      <w:szCs w:val="24"/>
    </w:rPr>
  </w:style>
  <w:style w:type="paragraph" w:customStyle="1" w:styleId="334">
    <w:name w:val="表格内容"/>
    <w:basedOn w:val="1"/>
    <w:link w:val="333"/>
    <w:qFormat/>
    <w:uiPriority w:val="0"/>
    <w:pPr>
      <w:adjustRightInd w:val="0"/>
      <w:spacing w:before="40" w:after="40"/>
      <w:jc w:val="center"/>
    </w:pPr>
    <w:rPr>
      <w:rFonts w:ascii="仿宋_GB2312" w:hAnsi="宋体" w:eastAsia="仿宋_GB2312" w:cs="宋体"/>
      <w:sz w:val="24"/>
    </w:rPr>
  </w:style>
  <w:style w:type="paragraph" w:customStyle="1" w:styleId="335">
    <w:name w:val="样式 表格内容 + 首行缩进:  0 厘米"/>
    <w:basedOn w:val="1"/>
    <w:qFormat/>
    <w:uiPriority w:val="0"/>
    <w:pPr>
      <w:autoSpaceDE w:val="0"/>
      <w:autoSpaceDN w:val="0"/>
      <w:adjustRightInd w:val="0"/>
      <w:spacing w:before="40" w:after="40"/>
      <w:jc w:val="center"/>
    </w:pPr>
    <w:rPr>
      <w:rFonts w:eastAsia="仿宋_GB2312" w:cs="宋体"/>
      <w:kern w:val="24"/>
      <w:sz w:val="24"/>
      <w:szCs w:val="20"/>
    </w:rPr>
  </w:style>
  <w:style w:type="paragraph" w:customStyle="1" w:styleId="336">
    <w:name w:val="默认段落字体 Para Char Char Char Char Char Char Char Char Char Char Char Char Char"/>
    <w:basedOn w:val="20"/>
    <w:qFormat/>
    <w:uiPriority w:val="0"/>
    <w:pPr>
      <w:tabs>
        <w:tab w:val="left" w:pos="980"/>
        <w:tab w:val="left" w:pos="1400"/>
      </w:tabs>
      <w:ind w:firstLine="200" w:firstLineChars="200"/>
      <w:jc w:val="left"/>
      <w:outlineLvl w:val="2"/>
    </w:pPr>
    <w:rPr>
      <w:rFonts w:ascii="Tahoma" w:hAnsi="Tahoma" w:eastAsia="仿宋_GB2312"/>
      <w:sz w:val="24"/>
    </w:rPr>
  </w:style>
  <w:style w:type="paragraph" w:customStyle="1" w:styleId="337">
    <w:name w:val="6"/>
    <w:basedOn w:val="1"/>
    <w:qFormat/>
    <w:uiPriority w:val="0"/>
    <w:pPr>
      <w:widowControl/>
      <w:spacing w:after="160" w:line="240" w:lineRule="exact"/>
      <w:jc w:val="left"/>
    </w:pPr>
    <w:rPr>
      <w:rFonts w:ascii="Verdana" w:hAnsi="Verdana"/>
      <w:kern w:val="0"/>
      <w:sz w:val="20"/>
      <w:szCs w:val="20"/>
      <w:lang w:eastAsia="en-US"/>
    </w:rPr>
  </w:style>
  <w:style w:type="paragraph" w:customStyle="1" w:styleId="338">
    <w:name w:val="图形文字"/>
    <w:basedOn w:val="1"/>
    <w:qFormat/>
    <w:uiPriority w:val="0"/>
    <w:pPr>
      <w:tabs>
        <w:tab w:val="left" w:pos="900"/>
      </w:tabs>
      <w:spacing w:line="360" w:lineRule="auto"/>
      <w:ind w:left="900" w:hanging="420"/>
    </w:pPr>
    <w:rPr>
      <w:rFonts w:ascii="宋体" w:hAnsi="宋体"/>
      <w:spacing w:val="10"/>
      <w:szCs w:val="20"/>
    </w:rPr>
  </w:style>
  <w:style w:type="paragraph" w:customStyle="1" w:styleId="339">
    <w:name w:val="Char"/>
    <w:basedOn w:val="20"/>
    <w:qFormat/>
    <w:uiPriority w:val="0"/>
    <w:pPr>
      <w:tabs>
        <w:tab w:val="left" w:pos="360"/>
      </w:tabs>
      <w:snapToGrid w:val="0"/>
      <w:ind w:firstLine="200" w:firstLineChars="200"/>
      <w:jc w:val="left"/>
    </w:pPr>
    <w:rPr>
      <w:rFonts w:ascii="Tahoma" w:hAnsi="Tahoma"/>
      <w:sz w:val="24"/>
    </w:rPr>
  </w:style>
  <w:style w:type="paragraph" w:customStyle="1" w:styleId="340">
    <w:name w:val="1234 Char"/>
    <w:basedOn w:val="56"/>
    <w:next w:val="1"/>
    <w:qFormat/>
    <w:uiPriority w:val="0"/>
    <w:pPr>
      <w:adjustRightInd/>
      <w:spacing w:line="360" w:lineRule="auto"/>
      <w:ind w:firstLine="482"/>
    </w:pPr>
    <w:rPr>
      <w:b/>
      <w:szCs w:val="24"/>
    </w:rPr>
  </w:style>
  <w:style w:type="paragraph" w:customStyle="1" w:styleId="341">
    <w:name w:val="样式 Tahoma 行距: 单倍行距"/>
    <w:basedOn w:val="1"/>
    <w:qFormat/>
    <w:uiPriority w:val="0"/>
    <w:pPr>
      <w:ind w:firstLine="420" w:firstLineChars="200"/>
    </w:pPr>
    <w:rPr>
      <w:rFonts w:ascii="Tahoma" w:hAnsi="Tahoma" w:cs="宋体"/>
      <w:szCs w:val="21"/>
    </w:rPr>
  </w:style>
  <w:style w:type="character" w:customStyle="1" w:styleId="342">
    <w:name w:val="Item List Char1"/>
    <w:link w:val="343"/>
    <w:qFormat/>
    <w:locked/>
    <w:uiPriority w:val="0"/>
    <w:rPr>
      <w:rFonts w:ascii="Arial" w:hAnsi="Arial" w:cs="Arial"/>
      <w:sz w:val="21"/>
      <w:szCs w:val="21"/>
    </w:rPr>
  </w:style>
  <w:style w:type="paragraph" w:customStyle="1" w:styleId="343">
    <w:name w:val="Item List"/>
    <w:link w:val="342"/>
    <w:qFormat/>
    <w:uiPriority w:val="0"/>
    <w:pPr>
      <w:spacing w:line="300" w:lineRule="auto"/>
      <w:ind w:left="420" w:hanging="420"/>
      <w:jc w:val="both"/>
    </w:pPr>
    <w:rPr>
      <w:rFonts w:ascii="Arial" w:hAnsi="Arial" w:eastAsia="宋体" w:cs="Arial"/>
      <w:kern w:val="2"/>
      <w:sz w:val="21"/>
      <w:szCs w:val="21"/>
      <w:lang w:val="en-US" w:eastAsia="zh-CN" w:bidi="ar-SA"/>
    </w:rPr>
  </w:style>
  <w:style w:type="paragraph" w:customStyle="1" w:styleId="344">
    <w:name w:val="IN Step"/>
    <w:basedOn w:val="1"/>
    <w:qFormat/>
    <w:uiPriority w:val="0"/>
    <w:pPr>
      <w:keepLines/>
      <w:widowControl/>
      <w:numPr>
        <w:ilvl w:val="0"/>
        <w:numId w:val="26"/>
      </w:numPr>
      <w:tabs>
        <w:tab w:val="left" w:pos="1134"/>
      </w:tabs>
      <w:spacing w:before="80" w:after="80" w:line="300" w:lineRule="auto"/>
      <w:ind w:left="1134" w:hanging="907"/>
      <w:outlineLvl w:val="8"/>
    </w:pPr>
    <w:rPr>
      <w:rFonts w:ascii="Arial" w:hAnsi="Arial" w:cs="Arial"/>
      <w:kern w:val="0"/>
      <w:szCs w:val="21"/>
    </w:rPr>
  </w:style>
  <w:style w:type="paragraph" w:customStyle="1" w:styleId="345">
    <w:name w:val="IN Feature"/>
    <w:next w:val="344"/>
    <w:qFormat/>
    <w:uiPriority w:val="0"/>
    <w:pPr>
      <w:keepNext/>
      <w:keepLines/>
      <w:spacing w:before="240" w:after="240"/>
      <w:outlineLvl w:val="7"/>
    </w:pPr>
    <w:rPr>
      <w:rFonts w:ascii="Arial" w:hAnsi="Arial" w:eastAsia="黑体" w:cs="Arial"/>
      <w:sz w:val="21"/>
      <w:szCs w:val="21"/>
      <w:lang w:val="en-US" w:eastAsia="zh-CN" w:bidi="ar-SA"/>
    </w:rPr>
  </w:style>
  <w:style w:type="paragraph" w:customStyle="1" w:styleId="346">
    <w:name w:val="Item Step"/>
    <w:qFormat/>
    <w:uiPriority w:val="0"/>
    <w:pPr>
      <w:tabs>
        <w:tab w:val="left" w:pos="1644"/>
      </w:tabs>
      <w:spacing w:line="300" w:lineRule="auto"/>
      <w:ind w:left="1644" w:hanging="510"/>
      <w:jc w:val="both"/>
      <w:outlineLvl w:val="4"/>
    </w:pPr>
    <w:rPr>
      <w:rFonts w:ascii="Arial" w:hAnsi="Arial" w:eastAsia="宋体" w:cs="Arial"/>
      <w:sz w:val="21"/>
      <w:szCs w:val="21"/>
      <w:lang w:val="en-US" w:eastAsia="zh-CN" w:bidi="ar-SA"/>
    </w:rPr>
  </w:style>
  <w:style w:type="paragraph" w:customStyle="1" w:styleId="347">
    <w:name w:val="样式 正文首行缩进 + 首行缩进:  2 字符"/>
    <w:basedOn w:val="55"/>
    <w:qFormat/>
    <w:uiPriority w:val="0"/>
    <w:pPr>
      <w:autoSpaceDE w:val="0"/>
      <w:autoSpaceDN w:val="0"/>
      <w:spacing w:after="0" w:line="360" w:lineRule="auto"/>
      <w:ind w:firstLine="200"/>
    </w:pPr>
    <w:rPr>
      <w:rFonts w:ascii="Arial" w:hAnsi="Arial" w:cs="宋体"/>
      <w:sz w:val="21"/>
    </w:rPr>
  </w:style>
  <w:style w:type="paragraph" w:customStyle="1" w:styleId="348">
    <w:name w:val="SJ-标题一"/>
    <w:qFormat/>
    <w:uiPriority w:val="0"/>
    <w:pPr>
      <w:keepLines/>
      <w:widowControl w:val="0"/>
      <w:spacing w:before="360" w:after="360" w:line="348" w:lineRule="auto"/>
      <w:outlineLvl w:val="0"/>
    </w:pPr>
    <w:rPr>
      <w:rFonts w:ascii="宋体" w:hAnsi="宋体" w:eastAsia="黑体" w:cs="Times New Roman"/>
      <w:kern w:val="2"/>
      <w:sz w:val="32"/>
      <w:szCs w:val="32"/>
      <w:lang w:val="en-US" w:eastAsia="zh-CN" w:bidi="ar-SA"/>
    </w:rPr>
  </w:style>
  <w:style w:type="paragraph" w:customStyle="1" w:styleId="349">
    <w:name w:val="SJ-标题3"/>
    <w:basedOn w:val="332"/>
    <w:qFormat/>
    <w:uiPriority w:val="0"/>
    <w:pPr>
      <w:tabs>
        <w:tab w:val="left" w:pos="1200"/>
      </w:tabs>
      <w:ind w:left="1200" w:hanging="360"/>
      <w:outlineLvl w:val="2"/>
    </w:pPr>
  </w:style>
  <w:style w:type="paragraph" w:customStyle="1" w:styleId="350">
    <w:name w:val="SJ-标题4"/>
    <w:basedOn w:val="349"/>
    <w:qFormat/>
    <w:uiPriority w:val="0"/>
    <w:pPr>
      <w:tabs>
        <w:tab w:val="left" w:pos="1680"/>
        <w:tab w:val="clear" w:pos="1200"/>
      </w:tabs>
      <w:spacing w:before="120" w:after="120"/>
      <w:ind w:left="1680" w:hanging="420"/>
      <w:outlineLvl w:val="3"/>
    </w:pPr>
  </w:style>
  <w:style w:type="paragraph" w:customStyle="1" w:styleId="351">
    <w:name w:val="SJ-标题5"/>
    <w:qFormat/>
    <w:uiPriority w:val="0"/>
    <w:pPr>
      <w:spacing w:before="120" w:after="120"/>
      <w:ind w:firstLine="454"/>
      <w:outlineLvl w:val="4"/>
    </w:pPr>
    <w:rPr>
      <w:rFonts w:ascii="宋体" w:hAnsi="宋体" w:eastAsia="宋体" w:cs="Times New Roman"/>
      <w:kern w:val="2"/>
      <w:sz w:val="24"/>
      <w:szCs w:val="24"/>
      <w:lang w:val="en-US" w:eastAsia="zh-CN" w:bidi="ar-SA"/>
    </w:rPr>
  </w:style>
  <w:style w:type="paragraph" w:customStyle="1" w:styleId="352">
    <w:name w:val="SJ-标题6"/>
    <w:basedOn w:val="1"/>
    <w:qFormat/>
    <w:uiPriority w:val="0"/>
    <w:pPr>
      <w:widowControl/>
      <w:ind w:firstLine="454"/>
    </w:pPr>
    <w:rPr>
      <w:sz w:val="24"/>
    </w:rPr>
  </w:style>
  <w:style w:type="paragraph" w:customStyle="1" w:styleId="353">
    <w:name w:val="SJ-图"/>
    <w:basedOn w:val="332"/>
    <w:qFormat/>
    <w:uiPriority w:val="0"/>
    <w:pPr>
      <w:tabs>
        <w:tab w:val="left" w:pos="3360"/>
      </w:tabs>
      <w:ind w:left="3360" w:hanging="420"/>
      <w:jc w:val="center"/>
      <w:outlineLvl w:val="7"/>
    </w:pPr>
    <w:rPr>
      <w:b/>
    </w:rPr>
  </w:style>
  <w:style w:type="paragraph" w:customStyle="1" w:styleId="354">
    <w:name w:val="SJ-表"/>
    <w:basedOn w:val="1"/>
    <w:qFormat/>
    <w:uiPriority w:val="0"/>
    <w:pPr>
      <w:widowControl/>
      <w:tabs>
        <w:tab w:val="left" w:pos="0"/>
      </w:tabs>
      <w:jc w:val="left"/>
    </w:pPr>
    <w:rPr>
      <w:sz w:val="24"/>
    </w:rPr>
  </w:style>
  <w:style w:type="paragraph" w:customStyle="1" w:styleId="355">
    <w:name w:val="SJ-a)"/>
    <w:basedOn w:val="1"/>
    <w:qFormat/>
    <w:uiPriority w:val="0"/>
    <w:pPr>
      <w:widowControl/>
      <w:ind w:firstLine="680"/>
      <w:jc w:val="left"/>
    </w:pPr>
    <w:rPr>
      <w:sz w:val="24"/>
    </w:rPr>
  </w:style>
  <w:style w:type="paragraph" w:customStyle="1" w:styleId="356">
    <w:name w:val="工程全称"/>
    <w:qFormat/>
    <w:uiPriority w:val="0"/>
    <w:pPr>
      <w:widowControl w:val="0"/>
      <w:adjustRightInd w:val="0"/>
      <w:spacing w:before="120" w:after="120" w:line="312" w:lineRule="atLeast"/>
      <w:ind w:right="879" w:firstLine="839"/>
      <w:jc w:val="center"/>
    </w:pPr>
    <w:rPr>
      <w:rFonts w:ascii="华文中宋" w:hAnsi="华文中宋" w:eastAsia="华文中宋" w:cs="Times New Roman"/>
      <w:b/>
      <w:color w:val="000000"/>
      <w:sz w:val="44"/>
      <w:szCs w:val="44"/>
      <w:lang w:val="en-US" w:eastAsia="zh-CN" w:bidi="ar-SA"/>
    </w:rPr>
  </w:style>
  <w:style w:type="paragraph" w:customStyle="1" w:styleId="357">
    <w:name w:val="默认段落字体 Para Char Char Char Char Char Char Char"/>
    <w:basedOn w:val="1"/>
    <w:qFormat/>
    <w:uiPriority w:val="0"/>
    <w:rPr>
      <w:rFonts w:eastAsia="仿宋_GB2312"/>
      <w:color w:val="000000"/>
      <w:kern w:val="0"/>
      <w:sz w:val="28"/>
      <w:szCs w:val="20"/>
    </w:rPr>
  </w:style>
  <w:style w:type="paragraph" w:customStyle="1" w:styleId="358">
    <w:name w:val="表格（小四号字）"/>
    <w:basedOn w:val="1"/>
    <w:qFormat/>
    <w:uiPriority w:val="0"/>
    <w:pPr>
      <w:keepNext/>
      <w:adjustRightInd w:val="0"/>
      <w:spacing w:before="40" w:after="40"/>
      <w:jc w:val="center"/>
    </w:pPr>
    <w:rPr>
      <w:rFonts w:eastAsia="仿宋_GB2312"/>
      <w:color w:val="000000"/>
      <w:kern w:val="0"/>
      <w:sz w:val="24"/>
      <w:szCs w:val="20"/>
    </w:rPr>
  </w:style>
  <w:style w:type="paragraph" w:customStyle="1" w:styleId="359">
    <w:name w:val="表格"/>
    <w:basedOn w:val="1"/>
    <w:qFormat/>
    <w:uiPriority w:val="0"/>
    <w:pPr>
      <w:adjustRightInd w:val="0"/>
      <w:spacing w:line="360" w:lineRule="atLeast"/>
      <w:ind w:left="-20" w:right="-20"/>
      <w:jc w:val="center"/>
    </w:pPr>
    <w:rPr>
      <w:kern w:val="0"/>
      <w:szCs w:val="20"/>
    </w:rPr>
  </w:style>
  <w:style w:type="paragraph" w:customStyle="1" w:styleId="360">
    <w:name w:val="本正文"/>
    <w:basedOn w:val="294"/>
    <w:qFormat/>
    <w:uiPriority w:val="0"/>
    <w:pPr>
      <w:adjustRightInd w:val="0"/>
      <w:spacing w:line="360" w:lineRule="auto"/>
      <w:ind w:firstLine="360"/>
      <w:jc w:val="left"/>
    </w:pPr>
    <w:rPr>
      <w:rFonts w:ascii="长城仿宋" w:eastAsia="长城仿宋"/>
      <w:spacing w:val="10"/>
    </w:rPr>
  </w:style>
  <w:style w:type="paragraph" w:customStyle="1" w:styleId="361">
    <w:name w:val="23"/>
    <w:basedOn w:val="1"/>
    <w:qFormat/>
    <w:uiPriority w:val="0"/>
    <w:rPr>
      <w:rFonts w:eastAsia="Arial" w:cs="Arial"/>
      <w:sz w:val="24"/>
    </w:rPr>
  </w:style>
  <w:style w:type="paragraph" w:customStyle="1" w:styleId="362">
    <w:name w:val="21"/>
    <w:basedOn w:val="1"/>
    <w:qFormat/>
    <w:uiPriority w:val="0"/>
    <w:pPr>
      <w:autoSpaceDE w:val="0"/>
      <w:autoSpaceDN w:val="0"/>
      <w:adjustRightInd w:val="0"/>
      <w:spacing w:line="360" w:lineRule="auto"/>
      <w:jc w:val="left"/>
    </w:pPr>
    <w:rPr>
      <w:rFonts w:ascii="Arial" w:hAnsi="Arial" w:eastAsia="Arial" w:cs="Arial"/>
      <w:sz w:val="24"/>
    </w:rPr>
  </w:style>
  <w:style w:type="paragraph" w:customStyle="1" w:styleId="363">
    <w:name w:val="样式2"/>
    <w:basedOn w:val="1"/>
    <w:qFormat/>
    <w:uiPriority w:val="0"/>
    <w:pPr>
      <w:autoSpaceDE w:val="0"/>
      <w:autoSpaceDN w:val="0"/>
      <w:adjustRightInd w:val="0"/>
      <w:spacing w:line="360" w:lineRule="auto"/>
      <w:ind w:left="1050" w:hanging="420"/>
      <w:jc w:val="left"/>
    </w:pPr>
    <w:rPr>
      <w:rFonts w:ascii="Arial" w:hAnsi="Arial" w:eastAsia="Arial" w:cs="Arial"/>
      <w:sz w:val="24"/>
    </w:rPr>
  </w:style>
  <w:style w:type="paragraph" w:customStyle="1" w:styleId="364">
    <w:name w:val="Table Heading"/>
    <w:basedOn w:val="1"/>
    <w:qFormat/>
    <w:uiPriority w:val="0"/>
    <w:pPr>
      <w:keepNext/>
      <w:numPr>
        <w:ilvl w:val="0"/>
        <w:numId w:val="27"/>
      </w:numPr>
      <w:topLinePunct/>
      <w:adjustRightInd w:val="0"/>
      <w:snapToGrid w:val="0"/>
      <w:spacing w:before="80" w:after="80" w:line="240" w:lineRule="atLeast"/>
      <w:ind w:left="0" w:firstLine="0"/>
      <w:jc w:val="left"/>
    </w:pPr>
    <w:rPr>
      <w:rFonts w:ascii="Book Antiqua" w:hAnsi="Book Antiqua" w:eastAsia="黑体" w:cs="Book Antiqua"/>
      <w:bCs/>
      <w:kern w:val="0"/>
      <w:szCs w:val="21"/>
    </w:rPr>
  </w:style>
  <w:style w:type="character" w:customStyle="1" w:styleId="365">
    <w:name w:val="Table Text Char1"/>
    <w:link w:val="366"/>
    <w:qFormat/>
    <w:locked/>
    <w:uiPriority w:val="0"/>
    <w:rPr>
      <w:rFonts w:ascii="宋体" w:hAnsi="宋体" w:cstheme="minorBidi"/>
      <w:kern w:val="2"/>
      <w:sz w:val="21"/>
      <w:szCs w:val="21"/>
    </w:rPr>
  </w:style>
  <w:style w:type="paragraph" w:customStyle="1" w:styleId="366">
    <w:name w:val="Table Text"/>
    <w:basedOn w:val="1"/>
    <w:link w:val="365"/>
    <w:qFormat/>
    <w:uiPriority w:val="0"/>
    <w:pPr>
      <w:numPr>
        <w:ilvl w:val="0"/>
        <w:numId w:val="28"/>
      </w:numPr>
      <w:topLinePunct/>
      <w:adjustRightInd w:val="0"/>
      <w:snapToGrid w:val="0"/>
      <w:spacing w:before="80" w:after="80" w:line="240" w:lineRule="atLeast"/>
      <w:ind w:left="0" w:firstLine="0"/>
      <w:jc w:val="left"/>
    </w:pPr>
    <w:rPr>
      <w:rFonts w:ascii="宋体" w:hAnsi="宋体" w:cstheme="minorBidi"/>
      <w:szCs w:val="21"/>
    </w:rPr>
  </w:style>
  <w:style w:type="paragraph" w:customStyle="1" w:styleId="367">
    <w:name w:val="TEST"/>
    <w:basedOn w:val="343"/>
    <w:qFormat/>
    <w:uiPriority w:val="0"/>
    <w:pPr>
      <w:numPr>
        <w:ilvl w:val="0"/>
        <w:numId w:val="29"/>
      </w:numPr>
      <w:spacing w:line="360" w:lineRule="auto"/>
    </w:pPr>
    <w:rPr>
      <w:sz w:val="24"/>
      <w:szCs w:val="24"/>
    </w:rPr>
  </w:style>
  <w:style w:type="paragraph" w:customStyle="1" w:styleId="368">
    <w:name w:val="32"/>
    <w:basedOn w:val="1"/>
    <w:qFormat/>
    <w:uiPriority w:val="0"/>
    <w:pPr>
      <w:tabs>
        <w:tab w:val="left" w:pos="840"/>
      </w:tabs>
      <w:autoSpaceDE w:val="0"/>
      <w:autoSpaceDN w:val="0"/>
      <w:adjustRightInd w:val="0"/>
      <w:spacing w:beforeLines="100" w:afterLines="100" w:line="360" w:lineRule="auto"/>
      <w:ind w:left="840" w:hanging="420"/>
      <w:jc w:val="left"/>
    </w:pPr>
    <w:rPr>
      <w:rFonts w:ascii="Arial" w:hAnsi="Arial" w:eastAsia="Arial" w:cs="Arial"/>
      <w:sz w:val="24"/>
    </w:rPr>
  </w:style>
  <w:style w:type="paragraph" w:customStyle="1" w:styleId="369">
    <w:name w:val="注标题"/>
    <w:basedOn w:val="1"/>
    <w:qFormat/>
    <w:uiPriority w:val="0"/>
    <w:pPr>
      <w:topLinePunct/>
    </w:pPr>
    <w:rPr>
      <w:sz w:val="18"/>
      <w:szCs w:val="18"/>
    </w:rPr>
  </w:style>
  <w:style w:type="character" w:customStyle="1" w:styleId="370">
    <w:name w:val="正文格式 Char"/>
    <w:link w:val="371"/>
    <w:qFormat/>
    <w:locked/>
    <w:uiPriority w:val="0"/>
    <w:rPr>
      <w:rFonts w:ascii="宋体" w:hAnsi="宋体"/>
      <w:bCs/>
      <w:sz w:val="21"/>
      <w:szCs w:val="21"/>
    </w:rPr>
  </w:style>
  <w:style w:type="paragraph" w:customStyle="1" w:styleId="371">
    <w:name w:val="正文格式"/>
    <w:basedOn w:val="1"/>
    <w:link w:val="370"/>
    <w:qFormat/>
    <w:uiPriority w:val="0"/>
    <w:pPr>
      <w:topLinePunct/>
      <w:ind w:firstLine="420" w:firstLineChars="200"/>
    </w:pPr>
    <w:rPr>
      <w:rFonts w:ascii="宋体" w:hAnsi="宋体" w:cstheme="minorBidi"/>
      <w:bCs/>
      <w:szCs w:val="21"/>
    </w:rPr>
  </w:style>
  <w:style w:type="character" w:customStyle="1" w:styleId="372">
    <w:name w:val="样式 (西文) 仿宋_GB2312 黑色"/>
    <w:qFormat/>
    <w:uiPriority w:val="0"/>
    <w:rPr>
      <w:rFonts w:hint="eastAsia" w:ascii="宋体" w:hAnsi="宋体" w:eastAsia="宋体"/>
      <w:color w:val="000000"/>
      <w:sz w:val="21"/>
      <w:szCs w:val="21"/>
      <w:lang w:val="en-US" w:eastAsia="zh-CN" w:bidi="ar-SA"/>
    </w:rPr>
  </w:style>
  <w:style w:type="character" w:customStyle="1" w:styleId="373">
    <w:name w:val="Char Char3"/>
    <w:qFormat/>
    <w:uiPriority w:val="0"/>
    <w:rPr>
      <w:rFonts w:hint="eastAsia" w:ascii="宋体" w:hAnsi="宋体" w:eastAsia="宋体"/>
      <w:sz w:val="18"/>
      <w:szCs w:val="21"/>
      <w:lang w:val="en-US" w:eastAsia="zh-CN" w:bidi="ar-SA"/>
    </w:rPr>
  </w:style>
  <w:style w:type="character" w:customStyle="1" w:styleId="374">
    <w:name w:val="Char Char4"/>
    <w:qFormat/>
    <w:uiPriority w:val="0"/>
    <w:rPr>
      <w:rFonts w:hint="eastAsia" w:ascii="宋体" w:hAnsi="宋体" w:eastAsia="宋体"/>
      <w:sz w:val="18"/>
      <w:szCs w:val="21"/>
      <w:lang w:val="en-US" w:eastAsia="zh-CN" w:bidi="ar-SA"/>
    </w:rPr>
  </w:style>
  <w:style w:type="character" w:customStyle="1" w:styleId="375">
    <w:name w:val="首行缩进 Char"/>
    <w:qFormat/>
    <w:uiPriority w:val="0"/>
    <w:rPr>
      <w:rFonts w:hint="default" w:ascii="Times" w:hAnsi="Times" w:eastAsia="宋体" w:cs="Times"/>
      <w:sz w:val="24"/>
      <w:szCs w:val="21"/>
      <w:lang w:val="en-GB" w:eastAsia="zh-CN" w:bidi="ar-SA"/>
    </w:rPr>
  </w:style>
  <w:style w:type="character" w:customStyle="1" w:styleId="376">
    <w:name w:val="Char Char"/>
    <w:qFormat/>
    <w:uiPriority w:val="0"/>
    <w:rPr>
      <w:rFonts w:hint="eastAsia" w:ascii="宋体" w:hAnsi="宋体" w:eastAsia="宋体"/>
      <w:kern w:val="2"/>
      <w:sz w:val="28"/>
      <w:szCs w:val="21"/>
      <w:lang w:val="en-US" w:eastAsia="zh-CN" w:bidi="ar-SA"/>
    </w:rPr>
  </w:style>
  <w:style w:type="character" w:customStyle="1" w:styleId="377">
    <w:name w:val="Char Char6"/>
    <w:qFormat/>
    <w:uiPriority w:val="0"/>
    <w:rPr>
      <w:rFonts w:hint="eastAsia" w:ascii="宋体" w:hAnsi="宋体" w:eastAsia="宋体"/>
      <w:b/>
      <w:kern w:val="2"/>
      <w:sz w:val="32"/>
      <w:szCs w:val="21"/>
      <w:lang w:val="en-US" w:eastAsia="zh-CN" w:bidi="ar-SA"/>
    </w:rPr>
  </w:style>
  <w:style w:type="character" w:customStyle="1" w:styleId="378">
    <w:name w:val="SC.9.135216"/>
    <w:qFormat/>
    <w:uiPriority w:val="0"/>
    <w:rPr>
      <w:color w:val="000000"/>
      <w:sz w:val="16"/>
    </w:rPr>
  </w:style>
  <w:style w:type="character" w:customStyle="1" w:styleId="379">
    <w:name w:val="Char Char7"/>
    <w:qFormat/>
    <w:uiPriority w:val="0"/>
    <w:rPr>
      <w:rFonts w:hint="default" w:ascii="Arial" w:hAnsi="Arial" w:eastAsia="黑体" w:cs="Arial"/>
      <w:b/>
      <w:kern w:val="2"/>
      <w:sz w:val="32"/>
      <w:szCs w:val="21"/>
      <w:lang w:val="en-US" w:eastAsia="zh-CN" w:bidi="ar-SA"/>
    </w:rPr>
  </w:style>
  <w:style w:type="character" w:customStyle="1" w:styleId="380">
    <w:name w:val="± Char"/>
    <w:qFormat/>
    <w:uiPriority w:val="0"/>
    <w:rPr>
      <w:rFonts w:hint="default" w:ascii="Times" w:hAnsi="Times" w:eastAsia="宋体" w:cs="Times"/>
      <w:sz w:val="24"/>
      <w:szCs w:val="21"/>
      <w:lang w:val="en-GB" w:eastAsia="zh-CN" w:bidi="ar-SA"/>
    </w:rPr>
  </w:style>
  <w:style w:type="character" w:customStyle="1" w:styleId="381">
    <w:name w:val="Char Char1"/>
    <w:qFormat/>
    <w:uiPriority w:val="0"/>
    <w:rPr>
      <w:rFonts w:hint="default" w:ascii="Calibri" w:hAnsi="Calibri" w:eastAsia="宋体"/>
      <w:kern w:val="2"/>
      <w:sz w:val="21"/>
      <w:szCs w:val="21"/>
      <w:lang w:val="en-US" w:eastAsia="zh-CN" w:bidi="ar-SA"/>
    </w:rPr>
  </w:style>
  <w:style w:type="character" w:customStyle="1" w:styleId="382">
    <w:name w:val="Char Char5"/>
    <w:qFormat/>
    <w:uiPriority w:val="0"/>
    <w:rPr>
      <w:rFonts w:hint="default" w:ascii="Arial" w:hAnsi="Arial" w:eastAsia="黑体" w:cs="Arial"/>
      <w:kern w:val="2"/>
      <w:sz w:val="21"/>
      <w:szCs w:val="21"/>
      <w:lang w:val="en-US" w:eastAsia="zh-CN" w:bidi="ar-SA"/>
    </w:rPr>
  </w:style>
  <w:style w:type="character" w:customStyle="1" w:styleId="383">
    <w:name w:val="Not Bold Char"/>
    <w:qFormat/>
    <w:uiPriority w:val="0"/>
    <w:rPr>
      <w:rFonts w:hint="eastAsia" w:ascii="宋体" w:hAnsi="宋体" w:eastAsia="宋体"/>
      <w:b/>
      <w:kern w:val="44"/>
      <w:sz w:val="44"/>
      <w:szCs w:val="21"/>
      <w:lang w:val="en-US" w:eastAsia="zh-CN" w:bidi="ar-SA"/>
    </w:rPr>
  </w:style>
  <w:style w:type="character" w:customStyle="1" w:styleId="384">
    <w:name w:val="Char2"/>
    <w:qFormat/>
    <w:uiPriority w:val="0"/>
    <w:rPr>
      <w:rFonts w:hint="eastAsia" w:ascii="宋体" w:hAnsi="宋体" w:eastAsia="宋体"/>
      <w:sz w:val="18"/>
      <w:szCs w:val="21"/>
      <w:lang w:val="en-US" w:eastAsia="zh-CN" w:bidi="ar-SA"/>
    </w:rPr>
  </w:style>
  <w:style w:type="character" w:customStyle="1" w:styleId="385">
    <w:name w:val="标题 字符1"/>
    <w:link w:val="53"/>
    <w:qFormat/>
    <w:locked/>
    <w:uiPriority w:val="0"/>
    <w:rPr>
      <w:rFonts w:ascii="Cambria" w:hAnsi="Cambria" w:cs="Times New Roman"/>
      <w:b/>
      <w:sz w:val="32"/>
      <w:szCs w:val="21"/>
    </w:rPr>
  </w:style>
  <w:style w:type="character" w:customStyle="1" w:styleId="386">
    <w:name w:val="Alt+J Char Char"/>
    <w:qFormat/>
    <w:uiPriority w:val="0"/>
    <w:rPr>
      <w:rFonts w:hint="default" w:ascii="Arial Narrow" w:hAnsi="Arial Narrow" w:eastAsia="宋体" w:cs="Arial"/>
      <w:sz w:val="21"/>
      <w:szCs w:val="21"/>
      <w:lang w:val="en-US" w:eastAsia="zh-CN" w:bidi="ar-SA"/>
    </w:rPr>
  </w:style>
  <w:style w:type="character" w:customStyle="1" w:styleId="387">
    <w:name w:val="封面说明"/>
    <w:qFormat/>
    <w:uiPriority w:val="0"/>
    <w:rPr>
      <w:rFonts w:hint="default" w:ascii="Times New Roman" w:hAnsi="Times New Roman" w:eastAsia="宋体" w:cs="Times New Roman"/>
      <w:bCs/>
      <w:color w:val="auto"/>
      <w:kern w:val="0"/>
      <w:sz w:val="36"/>
      <w:szCs w:val="36"/>
      <w:u w:val="none"/>
      <w:vertAlign w:val="baseline"/>
      <w:lang w:val="en-US" w:eastAsia="zh-CN" w:bidi="ar-SA"/>
    </w:rPr>
  </w:style>
  <w:style w:type="character" w:customStyle="1" w:styleId="388">
    <w:name w:val="封面黑体内容 Char"/>
    <w:qFormat/>
    <w:uiPriority w:val="0"/>
    <w:rPr>
      <w:rFonts w:hint="eastAsia" w:ascii="黑体" w:hAnsi="宋体" w:eastAsia="黑体"/>
      <w:sz w:val="32"/>
      <w:szCs w:val="32"/>
      <w:lang w:val="en-US" w:eastAsia="zh-CN" w:bidi="ar-SA"/>
    </w:rPr>
  </w:style>
  <w:style w:type="paragraph" w:customStyle="1" w:styleId="389">
    <w:name w:val="a3"/>
    <w:basedOn w:val="1"/>
    <w:qFormat/>
    <w:uiPriority w:val="0"/>
    <w:pPr>
      <w:widowControl/>
      <w:spacing w:before="100" w:beforeAutospacing="1" w:after="100" w:afterAutospacing="1"/>
      <w:jc w:val="left"/>
    </w:pPr>
    <w:rPr>
      <w:rFonts w:ascii="宋体" w:hAnsi="宋体" w:cs="宋体"/>
      <w:kern w:val="0"/>
      <w:sz w:val="24"/>
    </w:rPr>
  </w:style>
  <w:style w:type="paragraph" w:customStyle="1" w:styleId="390">
    <w:name w:val="a0"/>
    <w:basedOn w:val="1"/>
    <w:qFormat/>
    <w:uiPriority w:val="0"/>
    <w:pPr>
      <w:widowControl/>
      <w:spacing w:before="100" w:beforeAutospacing="1" w:after="100" w:afterAutospacing="1"/>
      <w:jc w:val="left"/>
    </w:pPr>
    <w:rPr>
      <w:rFonts w:ascii="宋体" w:hAnsi="宋体" w:cs="宋体"/>
      <w:kern w:val="0"/>
      <w:sz w:val="24"/>
    </w:rPr>
  </w:style>
  <w:style w:type="character" w:customStyle="1" w:styleId="391">
    <w:name w:val="文档结构图 Char1"/>
    <w:semiHidden/>
    <w:qFormat/>
    <w:uiPriority w:val="0"/>
    <w:rPr>
      <w:rFonts w:hint="eastAsia" w:ascii="宋体" w:hAnsi="宋体" w:eastAsia="宋体"/>
      <w:kern w:val="2"/>
      <w:sz w:val="18"/>
      <w:szCs w:val="18"/>
    </w:rPr>
  </w:style>
  <w:style w:type="character" w:customStyle="1" w:styleId="392">
    <w:name w:val="正文文本 Char2"/>
    <w:semiHidden/>
    <w:qFormat/>
    <w:uiPriority w:val="0"/>
    <w:rPr>
      <w:kern w:val="2"/>
      <w:sz w:val="21"/>
      <w:szCs w:val="24"/>
    </w:rPr>
  </w:style>
  <w:style w:type="character" w:customStyle="1" w:styleId="393">
    <w:name w:val="批注文字 Char1"/>
    <w:semiHidden/>
    <w:qFormat/>
    <w:locked/>
    <w:uiPriority w:val="99"/>
    <w:rPr>
      <w:kern w:val="2"/>
      <w:sz w:val="21"/>
      <w:szCs w:val="24"/>
    </w:rPr>
  </w:style>
  <w:style w:type="character" w:customStyle="1" w:styleId="394">
    <w:name w:val="批注主题 Char1"/>
    <w:semiHidden/>
    <w:qFormat/>
    <w:uiPriority w:val="0"/>
    <w:rPr>
      <w:b/>
      <w:bCs/>
      <w:kern w:val="2"/>
      <w:sz w:val="21"/>
      <w:szCs w:val="24"/>
    </w:rPr>
  </w:style>
  <w:style w:type="character" w:customStyle="1" w:styleId="395">
    <w:name w:val="正文文本缩进 Char2"/>
    <w:semiHidden/>
    <w:qFormat/>
    <w:locked/>
    <w:uiPriority w:val="0"/>
    <w:rPr>
      <w:kern w:val="2"/>
      <w:sz w:val="21"/>
      <w:szCs w:val="24"/>
    </w:rPr>
  </w:style>
  <w:style w:type="character" w:customStyle="1" w:styleId="396">
    <w:name w:val="正文首行缩进 2 Char1"/>
    <w:semiHidden/>
    <w:qFormat/>
    <w:uiPriority w:val="0"/>
  </w:style>
  <w:style w:type="character" w:customStyle="1" w:styleId="397">
    <w:name w:val="日期 Char1"/>
    <w:semiHidden/>
    <w:qFormat/>
    <w:uiPriority w:val="0"/>
    <w:rPr>
      <w:kern w:val="2"/>
      <w:sz w:val="21"/>
      <w:szCs w:val="24"/>
    </w:rPr>
  </w:style>
  <w:style w:type="character" w:customStyle="1" w:styleId="398">
    <w:name w:val="正文文本缩进 3 Char1"/>
    <w:semiHidden/>
    <w:qFormat/>
    <w:uiPriority w:val="0"/>
    <w:rPr>
      <w:kern w:val="2"/>
      <w:sz w:val="16"/>
      <w:szCs w:val="16"/>
    </w:rPr>
  </w:style>
  <w:style w:type="character" w:customStyle="1" w:styleId="399">
    <w:name w:val="副标题 Char1"/>
    <w:qFormat/>
    <w:uiPriority w:val="0"/>
    <w:rPr>
      <w:rFonts w:hint="default" w:ascii="Cambria" w:hAnsi="Cambria" w:cs="Times New Roman"/>
      <w:b/>
      <w:bCs/>
      <w:kern w:val="28"/>
      <w:sz w:val="32"/>
      <w:szCs w:val="32"/>
    </w:rPr>
  </w:style>
  <w:style w:type="character" w:customStyle="1" w:styleId="400">
    <w:name w:val="纯文本 Char1"/>
    <w:semiHidden/>
    <w:qFormat/>
    <w:uiPriority w:val="0"/>
    <w:rPr>
      <w:rFonts w:hint="eastAsia" w:ascii="宋体" w:hAnsi="Courier New" w:eastAsia="宋体" w:cs="Courier New"/>
      <w:kern w:val="2"/>
      <w:sz w:val="21"/>
      <w:szCs w:val="21"/>
    </w:rPr>
  </w:style>
  <w:style w:type="character" w:customStyle="1" w:styleId="401">
    <w:name w:val="正文首行缩进 Char1"/>
    <w:semiHidden/>
    <w:qFormat/>
    <w:uiPriority w:val="0"/>
  </w:style>
  <w:style w:type="character" w:customStyle="1" w:styleId="402">
    <w:name w:val="批注框文本 Char1"/>
    <w:semiHidden/>
    <w:qFormat/>
    <w:uiPriority w:val="0"/>
    <w:rPr>
      <w:kern w:val="2"/>
      <w:sz w:val="18"/>
      <w:szCs w:val="18"/>
    </w:rPr>
  </w:style>
  <w:style w:type="character" w:customStyle="1" w:styleId="403">
    <w:name w:val="正文文本缩进 2 Char1"/>
    <w:semiHidden/>
    <w:qFormat/>
    <w:uiPriority w:val="0"/>
    <w:rPr>
      <w:kern w:val="2"/>
      <w:sz w:val="21"/>
      <w:szCs w:val="24"/>
    </w:rPr>
  </w:style>
  <w:style w:type="character" w:customStyle="1" w:styleId="404">
    <w:name w:val="页脚 Char2"/>
    <w:semiHidden/>
    <w:qFormat/>
    <w:uiPriority w:val="0"/>
    <w:rPr>
      <w:kern w:val="2"/>
      <w:sz w:val="18"/>
      <w:szCs w:val="18"/>
    </w:rPr>
  </w:style>
  <w:style w:type="character" w:customStyle="1" w:styleId="405">
    <w:name w:val="标题 Char2"/>
    <w:qFormat/>
    <w:uiPriority w:val="0"/>
    <w:rPr>
      <w:rFonts w:hint="default" w:ascii="Cambria" w:hAnsi="Cambria" w:cs="Times New Roman"/>
      <w:b/>
      <w:bCs/>
      <w:kern w:val="2"/>
      <w:sz w:val="32"/>
      <w:szCs w:val="32"/>
    </w:rPr>
  </w:style>
  <w:style w:type="character" w:customStyle="1" w:styleId="406">
    <w:name w:val="页眉 Char2"/>
    <w:semiHidden/>
    <w:qFormat/>
    <w:uiPriority w:val="0"/>
    <w:rPr>
      <w:kern w:val="2"/>
      <w:sz w:val="18"/>
      <w:szCs w:val="18"/>
    </w:rPr>
  </w:style>
  <w:style w:type="character" w:customStyle="1" w:styleId="407">
    <w:name w:val="脚注文本 Char1"/>
    <w:semiHidden/>
    <w:qFormat/>
    <w:uiPriority w:val="0"/>
    <w:rPr>
      <w:kern w:val="2"/>
      <w:sz w:val="18"/>
      <w:szCs w:val="18"/>
    </w:rPr>
  </w:style>
  <w:style w:type="character" w:customStyle="1" w:styleId="408">
    <w:name w:val="段 Char Char"/>
    <w:qFormat/>
    <w:uiPriority w:val="0"/>
    <w:rPr>
      <w:rFonts w:ascii="宋体" w:eastAsia="宋体"/>
      <w:sz w:val="24"/>
      <w:lang w:val="en-US" w:eastAsia="zh-CN"/>
    </w:rPr>
  </w:style>
  <w:style w:type="table" w:customStyle="1" w:styleId="409">
    <w:name w:val="网格型1"/>
    <w:basedOn w:val="57"/>
    <w:qFormat/>
    <w:uiPriority w:val="5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410">
    <w:name w:val="C标准-字母列项 Char Char"/>
    <w:link w:val="411"/>
    <w:qFormat/>
    <w:uiPriority w:val="0"/>
    <w:rPr>
      <w:szCs w:val="24"/>
    </w:rPr>
  </w:style>
  <w:style w:type="paragraph" w:customStyle="1" w:styleId="411">
    <w:name w:val="C标准-字母列项"/>
    <w:basedOn w:val="1"/>
    <w:link w:val="410"/>
    <w:qFormat/>
    <w:uiPriority w:val="0"/>
    <w:pPr>
      <w:tabs>
        <w:tab w:val="left" w:pos="0"/>
      </w:tabs>
      <w:spacing w:beforeLines="50" w:line="360" w:lineRule="auto"/>
    </w:pPr>
    <w:rPr>
      <w:rFonts w:cstheme="minorBidi"/>
      <w:sz w:val="24"/>
    </w:rPr>
  </w:style>
  <w:style w:type="paragraph" w:customStyle="1" w:styleId="412">
    <w:name w:val="样式 段 + 首行缩进:  2 字符"/>
    <w:basedOn w:val="42"/>
    <w:qFormat/>
    <w:uiPriority w:val="0"/>
    <w:pPr>
      <w:ind w:firstLine="0" w:firstLineChars="0"/>
    </w:pPr>
    <w:rPr>
      <w:rFonts w:eastAsia="仿宋_GB2312" w:cs="宋体"/>
      <w:sz w:val="32"/>
    </w:rPr>
  </w:style>
  <w:style w:type="paragraph" w:customStyle="1" w:styleId="413">
    <w:name w:val="术语定义条标题"/>
    <w:basedOn w:val="115"/>
    <w:next w:val="42"/>
    <w:qFormat/>
    <w:uiPriority w:val="0"/>
    <w:pPr>
      <w:tabs>
        <w:tab w:val="left" w:pos="525"/>
      </w:tabs>
      <w:spacing w:beforeLines="0" w:afterLines="0"/>
      <w:jc w:val="left"/>
      <w:outlineLvl w:val="9"/>
    </w:pPr>
    <w:rPr>
      <w:rFonts w:hAnsi="Calibri"/>
      <w:color w:val="000000"/>
    </w:rPr>
  </w:style>
  <w:style w:type="paragraph" w:customStyle="1" w:styleId="414">
    <w:name w:val="p16"/>
    <w:basedOn w:val="1"/>
    <w:qFormat/>
    <w:uiPriority w:val="0"/>
    <w:pPr>
      <w:widowControl/>
      <w:spacing w:line="560" w:lineRule="exact"/>
      <w:ind w:firstLine="420"/>
      <w:jc w:val="left"/>
    </w:pPr>
    <w:rPr>
      <w:rFonts w:ascii="宋体" w:hAnsi="宋体" w:eastAsia="仿宋_GB2312" w:cs="宋体"/>
      <w:kern w:val="0"/>
      <w:sz w:val="32"/>
      <w:szCs w:val="21"/>
    </w:rPr>
  </w:style>
  <w:style w:type="paragraph" w:customStyle="1" w:styleId="415">
    <w:name w:val="附录二"/>
    <w:basedOn w:val="1"/>
    <w:qFormat/>
    <w:uiPriority w:val="0"/>
    <w:pPr>
      <w:widowControl/>
      <w:spacing w:line="312" w:lineRule="exact"/>
      <w:jc w:val="left"/>
    </w:pPr>
    <w:rPr>
      <w:rFonts w:ascii="E-F1" w:eastAsia="黑体"/>
      <w:kern w:val="21"/>
      <w:sz w:val="32"/>
      <w:szCs w:val="20"/>
    </w:rPr>
  </w:style>
  <w:style w:type="paragraph" w:customStyle="1" w:styleId="416">
    <w:name w:val="朱表头"/>
    <w:basedOn w:val="1"/>
    <w:qFormat/>
    <w:uiPriority w:val="0"/>
    <w:pPr>
      <w:widowControl/>
      <w:topLinePunct/>
      <w:spacing w:before="160" w:after="60" w:line="312" w:lineRule="exact"/>
      <w:jc w:val="center"/>
    </w:pPr>
    <w:rPr>
      <w:rFonts w:ascii="EU-F1" w:eastAsia="黑体"/>
      <w:snapToGrid w:val="0"/>
      <w:kern w:val="0"/>
      <w:sz w:val="32"/>
      <w:szCs w:val="20"/>
    </w:rPr>
  </w:style>
  <w:style w:type="character" w:customStyle="1" w:styleId="417">
    <w:name w:val="“上标”样式"/>
    <w:qFormat/>
    <w:uiPriority w:val="0"/>
    <w:rPr>
      <w:rFonts w:ascii="Times New Roman" w:hAnsi="Times New Roman" w:eastAsia="宋体"/>
      <w:sz w:val="24"/>
      <w:vertAlign w:val="superscript"/>
    </w:rPr>
  </w:style>
  <w:style w:type="character" w:customStyle="1" w:styleId="418">
    <w:name w:val="“下标”样式"/>
    <w:qFormat/>
    <w:uiPriority w:val="0"/>
    <w:rPr>
      <w:vertAlign w:val="subscript"/>
    </w:rPr>
  </w:style>
  <w:style w:type="paragraph" w:customStyle="1" w:styleId="419">
    <w:name w:val="封面一级标题文字"/>
    <w:basedOn w:val="245"/>
    <w:semiHidden/>
    <w:qFormat/>
    <w:uiPriority w:val="0"/>
    <w:pPr>
      <w:spacing w:line="640" w:lineRule="exact"/>
      <w:ind w:firstLine="0" w:firstLineChars="0"/>
      <w:jc w:val="center"/>
    </w:pPr>
    <w:rPr>
      <w:rFonts w:ascii="黑体" w:hAnsi="黑体" w:eastAsia="黑体"/>
      <w:b/>
      <w:bCs/>
      <w:sz w:val="52"/>
    </w:rPr>
  </w:style>
  <w:style w:type="paragraph" w:customStyle="1" w:styleId="420">
    <w:name w:val="封面二级标题文字"/>
    <w:basedOn w:val="245"/>
    <w:semiHidden/>
    <w:qFormat/>
    <w:uiPriority w:val="0"/>
    <w:pPr>
      <w:ind w:firstLine="0" w:firstLineChars="0"/>
      <w:jc w:val="center"/>
    </w:pPr>
    <w:rPr>
      <w:rFonts w:ascii="黑体" w:eastAsia="黑体"/>
      <w:b/>
      <w:sz w:val="44"/>
      <w:szCs w:val="44"/>
    </w:rPr>
  </w:style>
  <w:style w:type="paragraph" w:customStyle="1" w:styleId="421">
    <w:name w:val="封面文档编号"/>
    <w:basedOn w:val="245"/>
    <w:semiHidden/>
    <w:qFormat/>
    <w:uiPriority w:val="0"/>
    <w:pPr>
      <w:spacing w:line="640" w:lineRule="exact"/>
      <w:ind w:firstLine="0" w:firstLineChars="0"/>
      <w:jc w:val="center"/>
    </w:pPr>
    <w:rPr>
      <w:rFonts w:ascii="黑体" w:eastAsia="黑体"/>
      <w:b/>
      <w:sz w:val="32"/>
      <w:szCs w:val="32"/>
    </w:rPr>
  </w:style>
  <w:style w:type="paragraph" w:customStyle="1" w:styleId="422">
    <w:name w:val="封面“EPC联合体”中文文字"/>
    <w:basedOn w:val="245"/>
    <w:link w:val="423"/>
    <w:semiHidden/>
    <w:qFormat/>
    <w:uiPriority w:val="0"/>
    <w:pPr>
      <w:ind w:firstLine="0" w:firstLineChars="0"/>
      <w:jc w:val="center"/>
    </w:pPr>
    <w:rPr>
      <w:b/>
      <w:sz w:val="32"/>
      <w:szCs w:val="32"/>
    </w:rPr>
  </w:style>
  <w:style w:type="character" w:customStyle="1" w:styleId="423">
    <w:name w:val="封面“EPC联合体”中文文字 Char Char"/>
    <w:link w:val="422"/>
    <w:semiHidden/>
    <w:qFormat/>
    <w:uiPriority w:val="0"/>
    <w:rPr>
      <w:rFonts w:ascii="宋体" w:hAnsi="宋体"/>
      <w:b/>
      <w:sz w:val="32"/>
      <w:szCs w:val="32"/>
    </w:rPr>
  </w:style>
  <w:style w:type="paragraph" w:customStyle="1" w:styleId="424">
    <w:name w:val="封面日期地点文字"/>
    <w:basedOn w:val="245"/>
    <w:semiHidden/>
    <w:qFormat/>
    <w:uiPriority w:val="0"/>
    <w:pPr>
      <w:spacing w:line="360" w:lineRule="exact"/>
      <w:ind w:firstLine="0" w:firstLineChars="0"/>
      <w:jc w:val="center"/>
    </w:pPr>
    <w:rPr>
      <w:sz w:val="32"/>
      <w:szCs w:val="32"/>
    </w:rPr>
  </w:style>
  <w:style w:type="paragraph" w:customStyle="1" w:styleId="425">
    <w:name w:val="封面“EPC联合体”西文文字"/>
    <w:basedOn w:val="422"/>
    <w:link w:val="426"/>
    <w:semiHidden/>
    <w:qFormat/>
    <w:uiPriority w:val="0"/>
    <w:rPr>
      <w:rFonts w:hAnsi="Times New Roman"/>
    </w:rPr>
  </w:style>
  <w:style w:type="character" w:customStyle="1" w:styleId="426">
    <w:name w:val="封面“EPC联合体”西文文字 Char Char"/>
    <w:link w:val="425"/>
    <w:semiHidden/>
    <w:qFormat/>
    <w:uiPriority w:val="0"/>
    <w:rPr>
      <w:rFonts w:ascii="宋体"/>
      <w:b/>
      <w:sz w:val="32"/>
      <w:szCs w:val="32"/>
    </w:rPr>
  </w:style>
  <w:style w:type="paragraph" w:customStyle="1" w:styleId="427">
    <w:name w:val="签名页文字"/>
    <w:basedOn w:val="245"/>
    <w:semiHidden/>
    <w:qFormat/>
    <w:uiPriority w:val="0"/>
    <w:pPr>
      <w:spacing w:line="600" w:lineRule="exact"/>
      <w:ind w:left="1100" w:leftChars="1100" w:firstLine="0" w:firstLineChars="0"/>
    </w:pPr>
    <w:rPr>
      <w:sz w:val="32"/>
      <w:szCs w:val="32"/>
    </w:rPr>
  </w:style>
  <w:style w:type="paragraph" w:customStyle="1" w:styleId="428">
    <w:name w:val="版本记录标题文字"/>
    <w:basedOn w:val="1"/>
    <w:semiHidden/>
    <w:qFormat/>
    <w:uiPriority w:val="0"/>
    <w:pPr>
      <w:spacing w:line="480" w:lineRule="exact"/>
    </w:pPr>
    <w:rPr>
      <w:sz w:val="24"/>
    </w:rPr>
  </w:style>
  <w:style w:type="paragraph" w:customStyle="1" w:styleId="429">
    <w:name w:val="版本记录表格内文字"/>
    <w:basedOn w:val="1"/>
    <w:semiHidden/>
    <w:qFormat/>
    <w:uiPriority w:val="0"/>
    <w:pPr>
      <w:spacing w:line="360" w:lineRule="auto"/>
      <w:jc w:val="center"/>
    </w:pPr>
    <w:rPr>
      <w:sz w:val="24"/>
    </w:rPr>
  </w:style>
  <w:style w:type="paragraph" w:customStyle="1" w:styleId="430">
    <w:name w:val="“目录”"/>
    <w:basedOn w:val="245"/>
    <w:semiHidden/>
    <w:qFormat/>
    <w:uiPriority w:val="0"/>
    <w:pPr>
      <w:ind w:firstLine="0" w:firstLineChars="0"/>
      <w:jc w:val="center"/>
    </w:pPr>
    <w:rPr>
      <w:b/>
      <w:sz w:val="44"/>
    </w:rPr>
  </w:style>
  <w:style w:type="paragraph" w:customStyle="1" w:styleId="431">
    <w:name w:val="图名/表名/表头样式"/>
    <w:basedOn w:val="245"/>
    <w:qFormat/>
    <w:uiPriority w:val="0"/>
    <w:pPr>
      <w:ind w:firstLine="0" w:firstLineChars="0"/>
      <w:jc w:val="center"/>
    </w:pPr>
    <w:rPr>
      <w:b/>
      <w:sz w:val="21"/>
      <w:szCs w:val="21"/>
    </w:rPr>
  </w:style>
  <w:style w:type="paragraph" w:customStyle="1" w:styleId="432">
    <w:name w:val="表格文字样式"/>
    <w:basedOn w:val="245"/>
    <w:qFormat/>
    <w:uiPriority w:val="0"/>
    <w:pPr>
      <w:ind w:firstLine="0" w:firstLineChars="0"/>
    </w:pPr>
    <w:rPr>
      <w:sz w:val="21"/>
      <w:szCs w:val="21"/>
    </w:rPr>
  </w:style>
  <w:style w:type="paragraph" w:customStyle="1" w:styleId="433">
    <w:name w:val="Char Char Char Char Char"/>
    <w:basedOn w:val="1"/>
    <w:qFormat/>
    <w:uiPriority w:val="0"/>
  </w:style>
  <w:style w:type="paragraph" w:customStyle="1" w:styleId="434">
    <w:name w:val="样式 小四 首行缩进:  2 字符"/>
    <w:basedOn w:val="1"/>
    <w:next w:val="29"/>
    <w:qFormat/>
    <w:uiPriority w:val="0"/>
    <w:pPr>
      <w:ind w:firstLine="480" w:firstLineChars="200"/>
    </w:pPr>
    <w:rPr>
      <w:rFonts w:cs="宋体"/>
      <w:sz w:val="24"/>
      <w:szCs w:val="20"/>
    </w:rPr>
  </w:style>
  <w:style w:type="paragraph" w:customStyle="1" w:styleId="435">
    <w:name w:val="样式 行距: 多倍行距 1.25 字行"/>
    <w:basedOn w:val="1"/>
    <w:qFormat/>
    <w:uiPriority w:val="0"/>
    <w:pPr>
      <w:spacing w:line="300" w:lineRule="auto"/>
      <w:ind w:firstLine="480" w:firstLineChars="200"/>
    </w:pPr>
    <w:rPr>
      <w:rFonts w:cs="宋体"/>
      <w:sz w:val="24"/>
      <w:szCs w:val="20"/>
    </w:rPr>
  </w:style>
  <w:style w:type="paragraph" w:customStyle="1" w:styleId="436">
    <w:name w:val="样式 首行缩进:  0.74 厘米"/>
    <w:basedOn w:val="1"/>
    <w:qFormat/>
    <w:uiPriority w:val="0"/>
    <w:pPr>
      <w:spacing w:line="360" w:lineRule="auto"/>
      <w:ind w:firstLine="420"/>
    </w:pPr>
    <w:rPr>
      <w:rFonts w:cs="宋体"/>
      <w:sz w:val="24"/>
    </w:rPr>
  </w:style>
  <w:style w:type="paragraph" w:customStyle="1" w:styleId="437">
    <w:name w:val="附件标题"/>
    <w:basedOn w:val="1"/>
    <w:qFormat/>
    <w:uiPriority w:val="0"/>
    <w:pPr>
      <w:spacing w:line="360" w:lineRule="auto"/>
      <w:jc w:val="center"/>
    </w:pPr>
    <w:rPr>
      <w:rFonts w:ascii="Arial" w:hAnsi="Arial" w:eastAsia="黑体"/>
      <w:sz w:val="24"/>
      <w:szCs w:val="20"/>
    </w:rPr>
  </w:style>
  <w:style w:type="paragraph" w:customStyle="1" w:styleId="438">
    <w:name w:val="Char Char Char Char Char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439">
    <w:name w:val="默认段落字体 Para Char Char Char Char Char Char1 Char"/>
    <w:basedOn w:val="1"/>
    <w:qFormat/>
    <w:uiPriority w:val="0"/>
    <w:pPr>
      <w:spacing w:line="360" w:lineRule="auto"/>
      <w:ind w:firstLine="630"/>
      <w:textAlignment w:val="top"/>
    </w:pPr>
    <w:rPr>
      <w:rFonts w:ascii="Tahoma" w:hAnsi="Tahoma"/>
      <w:sz w:val="28"/>
      <w:szCs w:val="20"/>
    </w:rPr>
  </w:style>
  <w:style w:type="character" w:customStyle="1" w:styleId="440">
    <w:name w:val="章标题 Char"/>
    <w:link w:val="115"/>
    <w:qFormat/>
    <w:uiPriority w:val="0"/>
    <w:rPr>
      <w:rFonts w:ascii="黑体" w:eastAsia="黑体" w:cs="Times New Roman"/>
      <w:kern w:val="0"/>
      <w:sz w:val="21"/>
      <w:szCs w:val="20"/>
    </w:rPr>
  </w:style>
  <w:style w:type="paragraph" w:customStyle="1" w:styleId="441">
    <w:name w:val="Char Char Char Char Char Char"/>
    <w:basedOn w:val="1"/>
    <w:qFormat/>
    <w:uiPriority w:val="0"/>
    <w:rPr>
      <w:rFonts w:ascii="Tahoma" w:hAnsi="Tahoma"/>
      <w:sz w:val="24"/>
      <w:szCs w:val="20"/>
    </w:rPr>
  </w:style>
  <w:style w:type="paragraph" w:customStyle="1" w:styleId="442">
    <w:name w:val="Char Char Char Char Char Char Char Char Char Char Char Char Char"/>
    <w:basedOn w:val="1"/>
    <w:qFormat/>
    <w:uiPriority w:val="0"/>
    <w:pPr>
      <w:spacing w:line="360" w:lineRule="auto"/>
    </w:pPr>
    <w:rPr>
      <w:rFonts w:ascii="Tahoma" w:hAnsi="Tahoma"/>
      <w:sz w:val="24"/>
      <w:szCs w:val="20"/>
    </w:rPr>
  </w:style>
  <w:style w:type="paragraph" w:customStyle="1" w:styleId="443">
    <w:name w:val="附录"/>
    <w:basedOn w:val="176"/>
    <w:link w:val="445"/>
    <w:qFormat/>
    <w:uiPriority w:val="0"/>
    <w:pPr>
      <w:keepNext w:val="0"/>
      <w:numPr>
        <w:numId w:val="0"/>
      </w:numPr>
      <w:tabs>
        <w:tab w:val="clear" w:pos="6405"/>
      </w:tabs>
      <w:spacing w:before="240" w:after="200" w:line="360" w:lineRule="auto"/>
      <w:jc w:val="both"/>
    </w:pPr>
    <w:rPr>
      <w:rFonts w:ascii="Times New Roman" w:hAnsi="宋体" w:eastAsia="宋体"/>
      <w:b/>
      <w:color w:val="000000"/>
      <w:szCs w:val="21"/>
    </w:rPr>
  </w:style>
  <w:style w:type="character" w:customStyle="1" w:styleId="444">
    <w:name w:val="附录标识 Char"/>
    <w:link w:val="176"/>
    <w:qFormat/>
    <w:uiPriority w:val="0"/>
    <w:rPr>
      <w:rFonts w:ascii="黑体" w:eastAsia="黑体"/>
      <w:sz w:val="21"/>
      <w:shd w:val="clear" w:color="FFFFFF" w:fill="FFFFFF"/>
    </w:rPr>
  </w:style>
  <w:style w:type="character" w:customStyle="1" w:styleId="445">
    <w:name w:val="附录 Char"/>
    <w:link w:val="443"/>
    <w:qFormat/>
    <w:uiPriority w:val="0"/>
    <w:rPr>
      <w:rFonts w:hAnsi="宋体" w:cs="Times New Roman"/>
      <w:b/>
      <w:color w:val="000000"/>
      <w:kern w:val="0"/>
      <w:sz w:val="21"/>
      <w:szCs w:val="21"/>
      <w:shd w:val="clear" w:color="FFFFFF" w:fill="FFFFFF"/>
    </w:rPr>
  </w:style>
  <w:style w:type="character" w:customStyle="1" w:styleId="446">
    <w:name w:val="占位符文本1"/>
    <w:semiHidden/>
    <w:qFormat/>
    <w:uiPriority w:val="99"/>
    <w:rPr>
      <w:color w:val="808080"/>
    </w:rPr>
  </w:style>
  <w:style w:type="paragraph" w:customStyle="1" w:styleId="447">
    <w:name w:val="7"/>
    <w:qFormat/>
    <w:uiPriority w:val="0"/>
    <w:pPr>
      <w:widowControl w:val="0"/>
      <w:jc w:val="both"/>
    </w:pPr>
    <w:rPr>
      <w:rFonts w:ascii="Calibri" w:hAnsi="Calibri" w:eastAsia="宋体" w:cs="Times New Roman"/>
      <w:kern w:val="2"/>
      <w:sz w:val="21"/>
      <w:szCs w:val="22"/>
      <w:lang w:val="en-US" w:eastAsia="zh-CN" w:bidi="ar-SA"/>
    </w:rPr>
  </w:style>
  <w:style w:type="paragraph" w:customStyle="1" w:styleId="448">
    <w:name w:val="附录表标题续表"/>
    <w:basedOn w:val="179"/>
    <w:next w:val="42"/>
    <w:qFormat/>
    <w:uiPriority w:val="0"/>
    <w:pPr>
      <w:widowControl/>
      <w:numPr>
        <w:ilvl w:val="0"/>
        <w:numId w:val="30"/>
      </w:numPr>
      <w:spacing w:beforeLines="0" w:afterLines="0" w:line="360" w:lineRule="auto"/>
      <w:textAlignment w:val="baseline"/>
    </w:pPr>
    <w:rPr>
      <w:rFonts w:ascii="宋体" w:eastAsia="宋体"/>
      <w:kern w:val="21"/>
      <w:szCs w:val="20"/>
    </w:rPr>
  </w:style>
  <w:style w:type="character" w:customStyle="1" w:styleId="449">
    <w:name w:val="未处理的提及1"/>
    <w:basedOn w:val="60"/>
    <w:unhideWhenUsed/>
    <w:qFormat/>
    <w:uiPriority w:val="99"/>
    <w:rPr>
      <w:color w:val="605E5C"/>
      <w:shd w:val="clear" w:color="auto" w:fill="E1DFDD"/>
    </w:rPr>
  </w:style>
  <w:style w:type="paragraph" w:customStyle="1" w:styleId="450">
    <w:name w:val="修订2"/>
    <w:hidden/>
    <w:semiHidden/>
    <w:qFormat/>
    <w:uiPriority w:val="99"/>
    <w:rPr>
      <w:rFonts w:ascii="Times New Roman" w:hAnsi="Times New Roman" w:eastAsia="宋体" w:cs="Times New Roman"/>
      <w:kern w:val="2"/>
      <w:sz w:val="21"/>
      <w:szCs w:val="24"/>
      <w:lang w:val="en-US" w:eastAsia="zh-CN" w:bidi="ar-SA"/>
    </w:rPr>
  </w:style>
  <w:style w:type="paragraph" w:customStyle="1" w:styleId="451">
    <w:name w:val="首行缩进"/>
    <w:basedOn w:val="1"/>
    <w:qFormat/>
    <w:uiPriority w:val="0"/>
    <w:pPr>
      <w:spacing w:line="300" w:lineRule="auto"/>
      <w:ind w:firstLine="420" w:firstLineChars="200"/>
    </w:pPr>
    <w:rPr>
      <w:rFonts w:eastAsia="方正书宋简体" w:cs="宋体"/>
      <w:szCs w:val="20"/>
    </w:rPr>
  </w:style>
  <w:style w:type="paragraph" w:customStyle="1" w:styleId="452">
    <w:name w:val="标准规范2级"/>
    <w:basedOn w:val="1"/>
    <w:qFormat/>
    <w:uiPriority w:val="0"/>
    <w:pPr>
      <w:numPr>
        <w:ilvl w:val="1"/>
        <w:numId w:val="31"/>
      </w:numPr>
      <w:spacing w:before="120" w:after="160" w:line="360" w:lineRule="auto"/>
    </w:pPr>
    <w:rPr>
      <w:rFonts w:cs="宋体"/>
      <w:color w:val="000000"/>
      <w:sz w:val="24"/>
      <w:szCs w:val="20"/>
    </w:rPr>
  </w:style>
  <w:style w:type="paragraph" w:customStyle="1" w:styleId="453">
    <w:name w:val="修订3"/>
    <w:hidden/>
    <w:unhideWhenUsed/>
    <w:qFormat/>
    <w:uiPriority w:val="99"/>
    <w:rPr>
      <w:rFonts w:ascii="Times New Roman" w:hAnsi="Times New Roman" w:eastAsia="宋体" w:cs="Times New Roman"/>
      <w:kern w:val="2"/>
      <w:sz w:val="21"/>
      <w:szCs w:val="24"/>
      <w:lang w:val="en-US" w:eastAsia="zh-CN" w:bidi="ar-SA"/>
    </w:rPr>
  </w:style>
  <w:style w:type="paragraph" w:customStyle="1" w:styleId="454">
    <w:name w:val="修订4"/>
    <w:hidden/>
    <w:unhideWhenUsed/>
    <w:qFormat/>
    <w:uiPriority w:val="99"/>
    <w:rPr>
      <w:rFonts w:ascii="Times New Roman" w:hAnsi="Times New Roman" w:eastAsia="宋体" w:cs="Times New Roman"/>
      <w:kern w:val="2"/>
      <w:sz w:val="21"/>
      <w:szCs w:val="24"/>
      <w:lang w:val="en-US" w:eastAsia="zh-CN" w:bidi="ar-SA"/>
    </w:rPr>
  </w:style>
  <w:style w:type="paragraph" w:customStyle="1" w:styleId="455">
    <w:name w:val="修订5"/>
    <w:hidden/>
    <w:unhideWhenUsed/>
    <w:qFormat/>
    <w:uiPriority w:val="99"/>
    <w:rPr>
      <w:rFonts w:ascii="Times New Roman" w:hAnsi="Times New Roman" w:eastAsia="宋体" w:cs="Times New Roman"/>
      <w:kern w:val="2"/>
      <w:sz w:val="21"/>
      <w:szCs w:val="24"/>
      <w:lang w:val="en-US" w:eastAsia="zh-CN" w:bidi="ar-SA"/>
    </w:rPr>
  </w:style>
  <w:style w:type="paragraph" w:customStyle="1" w:styleId="456">
    <w:name w:val="修订6"/>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DB168-8EFD-4CA9-8B7D-80C13EDDAF21}">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22</Pages>
  <Words>2906</Words>
  <Characters>16570</Characters>
  <Lines>138</Lines>
  <Paragraphs>38</Paragraphs>
  <TotalTime>9</TotalTime>
  <ScaleCrop>false</ScaleCrop>
  <LinksUpToDate>false</LinksUpToDate>
  <CharactersWithSpaces>19438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2017-11-23T22:07:00Z</dcterms:created>
  <dc:creator>魏瑞增</dc:creator>
  <cp:lastModifiedBy>俞汶希</cp:lastModifiedBy>
  <dcterms:modified xsi:type="dcterms:W3CDTF">2026-05-14T03:38:39Z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465BF523A1C9479A82883E810CFF87F2_13</vt:lpwstr>
  </property>
  <property fmtid="{D5CDD505-2E9C-101B-9397-08002B2CF9AE}" pid="4" name="KSOTemplateDocerSaveRecord">
    <vt:lpwstr>eyJoZGlkIjoiZWRlNWQ4ZWMzOGM3MTBjZjU0NTEzNGUzY2NmM2U4ZDIiLCJ1c2VySWQiOiI3ODU5OTg3MjYifQ==</vt:lpwstr>
  </property>
</Properties>
</file>