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beforeLines="200"/>
        <w:jc w:val="center"/>
        <w:rPr>
          <w:rFonts w:eastAsia="黑体"/>
          <w:b/>
          <w:sz w:val="52"/>
        </w:rPr>
      </w:pPr>
      <w:bookmarkStart w:id="0" w:name="_Toc224531918"/>
      <w:bookmarkStart w:id="1" w:name="_Toc224469826"/>
      <w:bookmarkStart w:id="2" w:name="_Toc22447006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pPr>
        <w:spacing w:before="480" w:beforeLines="200"/>
        <w:jc w:val="center"/>
        <w:rPr>
          <w:rFonts w:eastAsia="黑体"/>
          <w:b/>
          <w:sz w:val="52"/>
        </w:rPr>
      </w:pPr>
    </w:p>
    <w:p>
      <w:pPr>
        <w:spacing w:before="480" w:beforeLines="200"/>
        <w:jc w:val="center"/>
        <w:rPr>
          <w:rFonts w:eastAsia="黑体"/>
          <w:b/>
          <w:sz w:val="52"/>
        </w:rPr>
      </w:pPr>
      <w:r>
        <w:rPr>
          <w:rFonts w:hint="eastAsia" w:eastAsia="黑体"/>
          <w:b/>
          <w:sz w:val="52"/>
        </w:rPr>
        <w:t>重载无人机技术规范书</w:t>
      </w:r>
    </w:p>
    <w:p>
      <w:pPr>
        <w:spacing w:before="480" w:beforeLines="200" w:line="360" w:lineRule="auto"/>
        <w:ind w:left="420" w:hanging="420"/>
        <w:jc w:val="center"/>
        <w:rPr>
          <w:rFonts w:eastAsia="黑体"/>
          <w:b/>
          <w:sz w:val="52"/>
        </w:rPr>
      </w:pPr>
      <w:r>
        <w:rPr>
          <w:rFonts w:hint="eastAsia" w:eastAsia="黑体"/>
          <w:b/>
          <w:sz w:val="52"/>
        </w:rPr>
        <w:t>（通用部分）</w:t>
      </w:r>
    </w:p>
    <w:p>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w:t>
      </w:r>
      <w:r>
        <w:rPr>
          <w:rFonts w:hint="eastAsia" w:eastAsia="黑体"/>
          <w:b/>
          <w:sz w:val="36"/>
          <w:lang w:val="en-US" w:eastAsia="zh-CN"/>
        </w:rPr>
        <w:t>6</w:t>
      </w:r>
      <w:bookmarkStart w:id="177" w:name="_GoBack"/>
      <w:bookmarkEnd w:id="177"/>
      <w:r>
        <w:rPr>
          <w:rFonts w:eastAsia="黑体"/>
          <w:b/>
          <w:sz w:val="36"/>
        </w:rPr>
        <w:t>版V</w:t>
      </w:r>
      <w:r>
        <w:rPr>
          <w:rFonts w:hint="eastAsia" w:eastAsia="黑体"/>
          <w:b/>
          <w:sz w:val="36"/>
        </w:rPr>
        <w:t>1</w:t>
      </w:r>
      <w:r>
        <w:rPr>
          <w:rFonts w:eastAsia="黑体"/>
          <w:b/>
          <w:sz w:val="36"/>
        </w:rPr>
        <w:t>.0</w:t>
      </w:r>
    </w:p>
    <w:p>
      <w:pPr>
        <w:spacing w:line="360" w:lineRule="auto"/>
        <w:ind w:firstLine="2530" w:firstLineChars="700"/>
        <w:rPr>
          <w:rFonts w:eastAsia="黑体"/>
          <w:b/>
          <w:sz w:val="36"/>
        </w:rPr>
      </w:pPr>
      <w:r>
        <w:rPr>
          <w:rFonts w:hint="eastAsia" w:eastAsia="黑体"/>
          <w:b/>
          <w:sz w:val="36"/>
        </w:rPr>
        <w:t>编号：</w:t>
      </w:r>
    </w:p>
    <w:p>
      <w:pPr>
        <w:spacing w:before="480" w:beforeLines="200" w:line="360" w:lineRule="auto"/>
        <w:ind w:left="420" w:firstLine="2873" w:firstLineChars="795"/>
        <w:jc w:val="left"/>
        <w:rPr>
          <w:rFonts w:eastAsia="黑体"/>
          <w:b/>
          <w:sz w:val="36"/>
        </w:rPr>
      </w:pPr>
    </w:p>
    <w:p>
      <w:pPr>
        <w:spacing w:before="480" w:beforeLines="200" w:line="360" w:lineRule="auto"/>
        <w:ind w:left="420" w:firstLine="2873" w:firstLineChars="795"/>
        <w:jc w:val="left"/>
        <w:rPr>
          <w:rFonts w:eastAsia="黑体"/>
          <w:b/>
          <w:sz w:val="36"/>
        </w:rPr>
      </w:pPr>
    </w:p>
    <w:p>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pPr>
              <w:spacing w:line="360" w:lineRule="auto"/>
              <w:jc w:val="center"/>
              <w:rPr>
                <w:sz w:val="24"/>
              </w:rPr>
            </w:pPr>
            <w:r>
              <w:rPr>
                <w:sz w:val="24"/>
              </w:rPr>
              <w:t>序号</w:t>
            </w:r>
          </w:p>
        </w:tc>
        <w:tc>
          <w:tcPr>
            <w:tcW w:w="5106" w:type="dxa"/>
          </w:tcPr>
          <w:p>
            <w:pPr>
              <w:spacing w:line="360" w:lineRule="auto"/>
              <w:jc w:val="center"/>
              <w:rPr>
                <w:sz w:val="24"/>
              </w:rPr>
            </w:pPr>
            <w:r>
              <w:rPr>
                <w:sz w:val="24"/>
              </w:rPr>
              <w:t>名称</w:t>
            </w:r>
          </w:p>
        </w:tc>
        <w:tc>
          <w:tcPr>
            <w:tcW w:w="2724" w:type="dxa"/>
          </w:tcPr>
          <w:p>
            <w:pPr>
              <w:spacing w:line="360" w:lineRule="auto"/>
              <w:jc w:val="center"/>
              <w:rPr>
                <w:sz w:val="24"/>
              </w:rPr>
            </w:pPr>
            <w:r>
              <w:rPr>
                <w:sz w:val="24"/>
              </w:rPr>
              <w:t>品类优化清单</w:t>
            </w:r>
          </w:p>
          <w:p>
            <w:pPr>
              <w:spacing w:line="360" w:lineRule="auto"/>
              <w:jc w:val="center"/>
              <w:rPr>
                <w:sz w:val="24"/>
              </w:rPr>
            </w:pPr>
            <w:r>
              <w:rPr>
                <w:sz w:val="24"/>
              </w:rPr>
              <w:t>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pPr>
              <w:spacing w:line="360" w:lineRule="auto"/>
              <w:jc w:val="center"/>
              <w:rPr>
                <w:sz w:val="24"/>
              </w:rPr>
            </w:pPr>
            <w:r>
              <w:rPr>
                <w:sz w:val="24"/>
              </w:rPr>
              <w:t>1</w:t>
            </w:r>
          </w:p>
        </w:tc>
        <w:tc>
          <w:tcPr>
            <w:tcW w:w="5106" w:type="dxa"/>
          </w:tcPr>
          <w:p>
            <w:pPr>
              <w:numPr>
                <w:ilvl w:val="255"/>
                <w:numId w:val="0"/>
              </w:numPr>
              <w:spacing w:line="360" w:lineRule="auto"/>
              <w:jc w:val="center"/>
              <w:rPr>
                <w:sz w:val="24"/>
              </w:rPr>
            </w:pPr>
            <w:bookmarkStart w:id="3" w:name="_Toc15656"/>
            <w:bookmarkStart w:id="4" w:name="_Toc50889640"/>
            <w:r>
              <w:rPr>
                <w:rFonts w:hint="eastAsia"/>
                <w:sz w:val="24"/>
              </w:rPr>
              <w:t>重载无人机</w:t>
            </w:r>
            <w:r>
              <w:rPr>
                <w:sz w:val="24"/>
              </w:rPr>
              <w:t>技术规范书（</w:t>
            </w:r>
            <w:r>
              <w:rPr>
                <w:rFonts w:hint="eastAsia"/>
                <w:sz w:val="24"/>
              </w:rPr>
              <w:t>专</w:t>
            </w:r>
            <w:r>
              <w:rPr>
                <w:sz w:val="24"/>
              </w:rPr>
              <w:t>用部分）</w:t>
            </w:r>
            <w:bookmarkEnd w:id="3"/>
            <w:bookmarkEnd w:id="4"/>
          </w:p>
        </w:tc>
        <w:tc>
          <w:tcPr>
            <w:tcW w:w="2724" w:type="dxa"/>
          </w:tcPr>
          <w:p>
            <w:pPr>
              <w:spacing w:line="360" w:lineRule="auto"/>
              <w:jc w:val="center"/>
              <w:rPr>
                <w:sz w:val="24"/>
              </w:rPr>
            </w:pPr>
            <w:r>
              <w:rPr>
                <w:rFonts w:hint="eastAsia"/>
                <w:sz w:val="24"/>
              </w:rPr>
              <w:t>/</w:t>
            </w:r>
          </w:p>
        </w:tc>
      </w:tr>
    </w:tbl>
    <w:p>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pPr>
        <w:spacing w:line="360" w:lineRule="auto"/>
        <w:jc w:val="center"/>
        <w:rPr>
          <w:rFonts w:eastAsia="黑体"/>
          <w:bCs/>
          <w:sz w:val="36"/>
          <w:szCs w:val="36"/>
        </w:rPr>
      </w:pPr>
    </w:p>
    <w:p>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"_Toc222993061" </w:instrText>
      </w:r>
      <w:r>
        <w:fldChar w:fldCharType="separate"/>
      </w:r>
      <w:r>
        <w:rPr>
          <w:rStyle w:val="65"/>
          <w:rFonts w:hint="eastAsia" w:eastAsia="黑体"/>
          <w:b/>
          <w:bCs/>
        </w:rPr>
        <w:t>1 总则</w:t>
      </w:r>
      <w:r>
        <w:rPr>
          <w:rFonts w:hint="eastAsia"/>
        </w:rPr>
        <w:tab/>
      </w:r>
      <w:r>
        <w:rPr>
          <w:rFonts w:hint="eastAsia"/>
        </w:rPr>
        <w:fldChar w:fldCharType="begin"/>
      </w:r>
      <w:r>
        <w:rPr>
          <w:rFonts w:hint="eastAsia"/>
        </w:rPr>
        <w:instrText xml:space="preserve"> </w:instrText>
      </w:r>
      <w:r>
        <w:instrText xml:space="preserve">PAGEREF _Toc222993061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"_Toc222993062" </w:instrText>
      </w:r>
      <w:r>
        <w:fldChar w:fldCharType="separate"/>
      </w:r>
      <w:r>
        <w:rPr>
          <w:rStyle w:val="65"/>
          <w:rFonts w:hint="eastAsia"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_Toc222993062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"_Toc222993063" </w:instrText>
      </w:r>
      <w:r>
        <w:fldChar w:fldCharType="separate"/>
      </w:r>
      <w:r>
        <w:rPr>
          <w:rStyle w:val="65"/>
          <w:rFonts w:hint="eastAsia" w:eastAsia="黑体"/>
          <w:bCs/>
        </w:rPr>
        <w:t>2.1 供货范围</w:t>
      </w:r>
      <w:r>
        <w:rPr>
          <w:rFonts w:hint="eastAsia"/>
        </w:rPr>
        <w:tab/>
      </w:r>
      <w:r>
        <w:rPr>
          <w:rFonts w:hint="eastAsia"/>
        </w:rPr>
        <w:fldChar w:fldCharType="begin"/>
      </w:r>
      <w:r>
        <w:rPr>
          <w:rFonts w:hint="eastAsia"/>
        </w:rPr>
        <w:instrText xml:space="preserve"> </w:instrText>
      </w:r>
      <w:r>
        <w:instrText xml:space="preserve">PAGEREF _Toc222993063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"_Toc222993064" </w:instrText>
      </w:r>
      <w:r>
        <w:fldChar w:fldCharType="separate"/>
      </w:r>
      <w:r>
        <w:rPr>
          <w:rStyle w:val="65"/>
          <w:rFonts w:hint="eastAsia" w:eastAsia="黑体"/>
          <w:bCs/>
        </w:rPr>
        <w:t>2.2 服务界限</w:t>
      </w:r>
      <w:r>
        <w:rPr>
          <w:rFonts w:hint="eastAsia"/>
        </w:rPr>
        <w:tab/>
      </w:r>
      <w:r>
        <w:rPr>
          <w:rFonts w:hint="eastAsia"/>
        </w:rPr>
        <w:fldChar w:fldCharType="begin"/>
      </w:r>
      <w:r>
        <w:rPr>
          <w:rFonts w:hint="eastAsia"/>
        </w:rPr>
        <w:instrText xml:space="preserve"> </w:instrText>
      </w:r>
      <w:r>
        <w:instrText xml:space="preserve">PAGEREF _Toc222993064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"_Toc222993065" </w:instrText>
      </w:r>
      <w:r>
        <w:fldChar w:fldCharType="separate"/>
      </w:r>
      <w:r>
        <w:rPr>
          <w:rStyle w:val="65"/>
          <w:rFonts w:hint="eastAsia" w:eastAsia="黑体"/>
          <w:bCs/>
        </w:rPr>
        <w:t>2.3 技术文件</w:t>
      </w:r>
      <w:r>
        <w:rPr>
          <w:rFonts w:hint="eastAsia"/>
        </w:rPr>
        <w:tab/>
      </w:r>
      <w:r>
        <w:rPr>
          <w:rFonts w:hint="eastAsia"/>
        </w:rPr>
        <w:fldChar w:fldCharType="begin"/>
      </w:r>
      <w:r>
        <w:rPr>
          <w:rFonts w:hint="eastAsia"/>
        </w:rPr>
        <w:instrText xml:space="preserve"> </w:instrText>
      </w:r>
      <w:r>
        <w:instrText xml:space="preserve">PAGEREF _Toc222993065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"_Toc222993066" </w:instrText>
      </w:r>
      <w:r>
        <w:fldChar w:fldCharType="separate"/>
      </w:r>
      <w:r>
        <w:rPr>
          <w:rStyle w:val="65"/>
          <w:rFonts w:hint="eastAsia"/>
        </w:rPr>
        <w:t>技术文件的组成</w:t>
      </w:r>
      <w:r>
        <w:rPr>
          <w:rFonts w:hint="eastAsia"/>
        </w:rPr>
        <w:tab/>
      </w:r>
      <w:r>
        <w:rPr>
          <w:rFonts w:hint="eastAsia"/>
        </w:rPr>
        <w:fldChar w:fldCharType="begin"/>
      </w:r>
      <w:r>
        <w:rPr>
          <w:rFonts w:hint="eastAsia"/>
        </w:rPr>
        <w:instrText xml:space="preserve"> </w:instrText>
      </w:r>
      <w:r>
        <w:instrText xml:space="preserve">PAGEREF _Toc222993066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"_Toc222993067" </w:instrText>
      </w:r>
      <w:r>
        <w:fldChar w:fldCharType="separate"/>
      </w:r>
      <w:r>
        <w:rPr>
          <w:rStyle w:val="65"/>
          <w:rFonts w:hint="eastAsia"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_Toc222993067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"_Toc222993068" </w:instrText>
      </w:r>
      <w:r>
        <w:fldChar w:fldCharType="separate"/>
      </w:r>
      <w:r>
        <w:rPr>
          <w:rStyle w:val="65"/>
          <w:rFonts w:hint="eastAsia"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_Toc222993068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"_Toc222993069" </w:instrText>
      </w:r>
      <w:r>
        <w:fldChar w:fldCharType="separate"/>
      </w:r>
      <w:r>
        <w:rPr>
          <w:rStyle w:val="65"/>
          <w:rFonts w:hint="eastAsia"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_Toc222993069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"_Toc222993070" </w:instrText>
      </w:r>
      <w:r>
        <w:fldChar w:fldCharType="separate"/>
      </w:r>
      <w:r>
        <w:rPr>
          <w:rStyle w:val="65"/>
          <w:rFonts w:hint="eastAsia"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_Toc222993070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"_Toc222993071" </w:instrText>
      </w:r>
      <w:r>
        <w:fldChar w:fldCharType="separate"/>
      </w:r>
      <w:r>
        <w:rPr>
          <w:rStyle w:val="65"/>
          <w:rFonts w:hint="eastAsia" w:eastAsia="黑体"/>
        </w:rPr>
        <w:t>5 技术要求</w:t>
      </w:r>
      <w:r>
        <w:rPr>
          <w:rFonts w:hint="eastAsia"/>
        </w:rPr>
        <w:tab/>
      </w:r>
      <w:r>
        <w:rPr>
          <w:rFonts w:hint="eastAsia"/>
        </w:rPr>
        <w:fldChar w:fldCharType="begin"/>
      </w:r>
      <w:r>
        <w:rPr>
          <w:rFonts w:hint="eastAsia"/>
        </w:rPr>
        <w:instrText xml:space="preserve"> </w:instrText>
      </w:r>
      <w:r>
        <w:instrText xml:space="preserve">PAGEREF _Toc222993071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"_Toc222993072" </w:instrText>
      </w:r>
      <w:r>
        <w:fldChar w:fldCharType="separate"/>
      </w:r>
      <w:r>
        <w:rPr>
          <w:rStyle w:val="65"/>
          <w:rFonts w:hint="eastAsia" w:ascii="黑体" w:hAnsi="黑体" w:eastAsia="黑体"/>
          <w:bCs/>
        </w:rPr>
        <w:t>5.1 功能要求</w:t>
      </w:r>
      <w:r>
        <w:rPr>
          <w:rFonts w:hint="eastAsia"/>
        </w:rPr>
        <w:tab/>
      </w:r>
      <w:r>
        <w:rPr>
          <w:rFonts w:hint="eastAsia"/>
        </w:rPr>
        <w:fldChar w:fldCharType="begin"/>
      </w:r>
      <w:r>
        <w:rPr>
          <w:rFonts w:hint="eastAsia"/>
        </w:rPr>
        <w:instrText xml:space="preserve"> </w:instrText>
      </w:r>
      <w:r>
        <w:instrText xml:space="preserve">PAGEREF _Toc222993072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"_Toc222993073" </w:instrText>
      </w:r>
      <w:r>
        <w:fldChar w:fldCharType="separate"/>
      </w:r>
      <w:r>
        <w:rPr>
          <w:rStyle w:val="65"/>
          <w:rFonts w:hint="eastAsia" w:eastAsia="黑体"/>
          <w:bCs/>
        </w:rPr>
        <w:t>5.2 网络安全要求</w:t>
      </w:r>
      <w:r>
        <w:rPr>
          <w:rFonts w:hint="eastAsia"/>
        </w:rPr>
        <w:tab/>
      </w:r>
      <w:r>
        <w:rPr>
          <w:rFonts w:hint="eastAsia"/>
        </w:rPr>
        <w:fldChar w:fldCharType="begin"/>
      </w:r>
      <w:r>
        <w:rPr>
          <w:rFonts w:hint="eastAsia"/>
        </w:rPr>
        <w:instrText xml:space="preserve"> </w:instrText>
      </w:r>
      <w:r>
        <w:instrText xml:space="preserve">PAGEREF _Toc222993073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"_Toc222993074" </w:instrText>
      </w:r>
      <w:r>
        <w:fldChar w:fldCharType="separate"/>
      </w:r>
      <w:r>
        <w:rPr>
          <w:rStyle w:val="65"/>
          <w:rFonts w:hint="eastAsia"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_Toc222993074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"_Toc222993075" </w:instrText>
      </w:r>
      <w:r>
        <w:fldChar w:fldCharType="separate"/>
      </w:r>
      <w:r>
        <w:rPr>
          <w:rStyle w:val="65"/>
          <w:rFonts w:hint="eastAsia" w:eastAsia="黑体"/>
          <w:b/>
          <w:bCs/>
        </w:rPr>
        <w:t>7 检验规则</w:t>
      </w:r>
      <w:r>
        <w:rPr>
          <w:rFonts w:hint="eastAsia"/>
        </w:rPr>
        <w:tab/>
      </w:r>
      <w:r>
        <w:rPr>
          <w:rFonts w:hint="eastAsia"/>
        </w:rPr>
        <w:fldChar w:fldCharType="begin"/>
      </w:r>
      <w:r>
        <w:rPr>
          <w:rFonts w:hint="eastAsia"/>
        </w:rPr>
        <w:instrText xml:space="preserve"> </w:instrText>
      </w:r>
      <w:r>
        <w:instrText xml:space="preserve">PAGEREF _Toc222993075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"_Toc222993076" </w:instrText>
      </w:r>
      <w:r>
        <w:fldChar w:fldCharType="separate"/>
      </w:r>
      <w:r>
        <w:rPr>
          <w:rStyle w:val="65"/>
          <w:rFonts w:hint="eastAsia"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_Toc222993076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"_Toc222993077" </w:instrText>
      </w:r>
      <w:r>
        <w:fldChar w:fldCharType="separate"/>
      </w:r>
      <w:r>
        <w:rPr>
          <w:rStyle w:val="65"/>
          <w:rFonts w:hint="eastAsia" w:eastAsia="黑体"/>
          <w:bCs/>
        </w:rPr>
        <w:t>8.1 技术培训</w:t>
      </w:r>
      <w:r>
        <w:rPr>
          <w:rFonts w:hint="eastAsia"/>
        </w:rPr>
        <w:tab/>
      </w:r>
      <w:r>
        <w:rPr>
          <w:rFonts w:hint="eastAsia"/>
        </w:rPr>
        <w:fldChar w:fldCharType="begin"/>
      </w:r>
      <w:r>
        <w:rPr>
          <w:rFonts w:hint="eastAsia"/>
        </w:rPr>
        <w:instrText xml:space="preserve"> </w:instrText>
      </w:r>
      <w:r>
        <w:instrText xml:space="preserve">PAGEREF _Toc222993077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"_Toc222993078" </w:instrText>
      </w:r>
      <w:r>
        <w:fldChar w:fldCharType="separate"/>
      </w:r>
      <w:r>
        <w:rPr>
          <w:rStyle w:val="65"/>
          <w:rFonts w:hint="eastAsia"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_Toc222993078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"_Toc222993079" </w:instrText>
      </w:r>
      <w:r>
        <w:fldChar w:fldCharType="separate"/>
      </w:r>
      <w:r>
        <w:rPr>
          <w:rStyle w:val="65"/>
          <w:rFonts w:hint="eastAsia" w:eastAsia="黑体"/>
          <w:bCs/>
        </w:rPr>
        <w:t>8.3 售后服务</w:t>
      </w:r>
      <w:r>
        <w:rPr>
          <w:rFonts w:hint="eastAsia"/>
        </w:rPr>
        <w:tab/>
      </w:r>
      <w:r>
        <w:rPr>
          <w:rFonts w:hint="eastAsia"/>
        </w:rPr>
        <w:fldChar w:fldCharType="begin"/>
      </w:r>
      <w:r>
        <w:rPr>
          <w:rFonts w:hint="eastAsia"/>
        </w:rPr>
        <w:instrText xml:space="preserve"> </w:instrText>
      </w:r>
      <w:r>
        <w:instrText xml:space="preserve">PAGEREF _Toc222993079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"_Toc222993080" </w:instrText>
      </w:r>
      <w:r>
        <w:fldChar w:fldCharType="separate"/>
      </w:r>
      <w:r>
        <w:rPr>
          <w:rStyle w:val="65"/>
          <w:rFonts w:hint="eastAsia"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_Toc222993080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"_Toc222993081" </w:instrText>
      </w:r>
      <w:r>
        <w:fldChar w:fldCharType="separate"/>
      </w:r>
      <w:r>
        <w:rPr>
          <w:rStyle w:val="65"/>
          <w:rFonts w:hint="eastAsia" w:ascii="黑体" w:hAnsi="黑体" w:eastAsia="黑体"/>
        </w:rPr>
        <w:t>9.1 包装</w:t>
      </w:r>
      <w:r>
        <w:rPr>
          <w:rFonts w:hint="eastAsia"/>
        </w:rPr>
        <w:tab/>
      </w:r>
      <w:r>
        <w:rPr>
          <w:rFonts w:hint="eastAsia"/>
        </w:rPr>
        <w:fldChar w:fldCharType="begin"/>
      </w:r>
      <w:r>
        <w:rPr>
          <w:rFonts w:hint="eastAsia"/>
        </w:rPr>
        <w:instrText xml:space="preserve"> </w:instrText>
      </w:r>
      <w:r>
        <w:instrText xml:space="preserve">PAGEREF _Toc222993081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"_Toc222993082" </w:instrText>
      </w:r>
      <w:r>
        <w:fldChar w:fldCharType="separate"/>
      </w:r>
      <w:r>
        <w:rPr>
          <w:rStyle w:val="65"/>
          <w:rFonts w:hint="eastAsia" w:ascii="黑体" w:hAnsi="黑体" w:eastAsia="黑体"/>
        </w:rPr>
        <w:t>9.2 运输</w:t>
      </w:r>
      <w:r>
        <w:rPr>
          <w:rFonts w:hint="eastAsia"/>
        </w:rPr>
        <w:tab/>
      </w:r>
      <w:r>
        <w:rPr>
          <w:rFonts w:hint="eastAsia"/>
        </w:rPr>
        <w:fldChar w:fldCharType="begin"/>
      </w:r>
      <w:r>
        <w:rPr>
          <w:rFonts w:hint="eastAsia"/>
        </w:rPr>
        <w:instrText xml:space="preserve"> </w:instrText>
      </w:r>
      <w:r>
        <w:instrText xml:space="preserve">PAGEREF _Toc222993082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"_Toc222993083" </w:instrText>
      </w:r>
      <w:r>
        <w:fldChar w:fldCharType="separate"/>
      </w:r>
      <w:r>
        <w:rPr>
          <w:rStyle w:val="65"/>
          <w:rFonts w:hint="eastAsia" w:ascii="黑体" w:hAnsi="黑体" w:eastAsia="黑体"/>
        </w:rPr>
        <w:t>9.3 组装指导</w:t>
      </w:r>
      <w:r>
        <w:rPr>
          <w:rFonts w:hint="eastAsia"/>
        </w:rPr>
        <w:tab/>
      </w:r>
      <w:r>
        <w:rPr>
          <w:rFonts w:hint="eastAsia"/>
        </w:rPr>
        <w:fldChar w:fldCharType="begin"/>
      </w:r>
      <w:r>
        <w:rPr>
          <w:rFonts w:hint="eastAsia"/>
        </w:rPr>
        <w:instrText xml:space="preserve"> </w:instrText>
      </w:r>
      <w:r>
        <w:instrText xml:space="preserve">PAGEREF _Toc222993083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"_Toc222993084" </w:instrText>
      </w:r>
      <w:r>
        <w:fldChar w:fldCharType="separate"/>
      </w:r>
      <w:r>
        <w:rPr>
          <w:rStyle w:val="65"/>
          <w:rFonts w:hint="eastAsia" w:ascii="黑体" w:hAnsi="黑体" w:eastAsia="黑体"/>
        </w:rPr>
        <w:t>9.4 质量保证</w:t>
      </w:r>
      <w:r>
        <w:rPr>
          <w:rFonts w:hint="eastAsia"/>
        </w:rPr>
        <w:tab/>
      </w:r>
      <w:r>
        <w:rPr>
          <w:rFonts w:hint="eastAsia"/>
        </w:rPr>
        <w:fldChar w:fldCharType="begin"/>
      </w:r>
      <w:r>
        <w:rPr>
          <w:rFonts w:hint="eastAsia"/>
        </w:rPr>
        <w:instrText xml:space="preserve"> </w:instrText>
      </w:r>
      <w:r>
        <w:instrText xml:space="preserve">PAGEREF _Toc222993084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"_Toc222993085" </w:instrText>
      </w:r>
      <w:r>
        <w:fldChar w:fldCharType="separate"/>
      </w:r>
      <w:r>
        <w:rPr>
          <w:rStyle w:val="65"/>
          <w:rFonts w:hint="eastAsia" w:ascii="黑体" w:hAnsi="黑体" w:eastAsia="黑体"/>
        </w:rPr>
        <w:t>9.5 设备验收</w:t>
      </w:r>
      <w:r>
        <w:rPr>
          <w:rFonts w:hint="eastAsia"/>
        </w:rPr>
        <w:tab/>
      </w:r>
      <w:r>
        <w:rPr>
          <w:rFonts w:hint="eastAsia"/>
        </w:rPr>
        <w:fldChar w:fldCharType="begin"/>
      </w:r>
      <w:r>
        <w:rPr>
          <w:rFonts w:hint="eastAsia"/>
        </w:rPr>
        <w:instrText xml:space="preserve"> </w:instrText>
      </w:r>
      <w:r>
        <w:instrText xml:space="preserve">PAGEREF _Toc222993085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pPr>
        <w:spacing w:line="480" w:lineRule="auto"/>
        <w:outlineLvl w:val="0"/>
        <w:rPr>
          <w:rFonts w:eastAsia="黑体"/>
          <w:b/>
          <w:bCs/>
          <w:szCs w:val="21"/>
        </w:rPr>
      </w:pPr>
      <w:bookmarkStart w:id="5" w:name="_Toc224531919"/>
      <w:bookmarkStart w:id="6" w:name="_Toc224274558"/>
      <w:bookmarkStart w:id="7" w:name="_Toc23837"/>
      <w:bookmarkStart w:id="8" w:name="_Toc222993061"/>
      <w:bookmarkStart w:id="9" w:name="_Toc22168"/>
      <w:bookmarkStart w:id="10" w:name="_Toc76025478"/>
      <w:r>
        <w:rPr>
          <w:rFonts w:eastAsia="黑体"/>
          <w:b/>
          <w:bCs/>
          <w:szCs w:val="21"/>
        </w:rPr>
        <w:t>1 总则</w:t>
      </w:r>
      <w:bookmarkEnd w:id="5"/>
      <w:bookmarkEnd w:id="6"/>
      <w:bookmarkEnd w:id="7"/>
      <w:bookmarkEnd w:id="8"/>
      <w:bookmarkEnd w:id="9"/>
      <w:bookmarkEnd w:id="10"/>
    </w:p>
    <w:p>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本技术规范书适用于中国南方电网公司电网设备采购的重载无人机设备，提出了该类装置的功能设计、结构、性能、安装和试验等方面的技术要求。</w:t>
      </w:r>
    </w:p>
    <w:p>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pPr>
        <w:spacing w:line="480" w:lineRule="auto"/>
        <w:outlineLvl w:val="0"/>
        <w:rPr>
          <w:rFonts w:eastAsia="黑体"/>
          <w:b/>
          <w:bCs/>
          <w:szCs w:val="21"/>
        </w:rPr>
      </w:pPr>
      <w:bookmarkStart w:id="11" w:name="_Toc4714"/>
      <w:bookmarkStart w:id="12" w:name="_Toc23296"/>
      <w:bookmarkStart w:id="13" w:name="_Toc222993062"/>
      <w:bookmarkStart w:id="14" w:name="_Toc76025479"/>
      <w:r>
        <w:rPr>
          <w:rFonts w:eastAsia="黑体"/>
          <w:b/>
          <w:bCs/>
          <w:szCs w:val="21"/>
        </w:rPr>
        <w:t>2 工作范围</w:t>
      </w:r>
      <w:bookmarkEnd w:id="11"/>
      <w:bookmarkEnd w:id="12"/>
      <w:bookmarkEnd w:id="13"/>
      <w:bookmarkEnd w:id="14"/>
    </w:p>
    <w:p>
      <w:pPr>
        <w:pStyle w:val="3"/>
        <w:spacing w:before="0" w:after="0" w:line="360" w:lineRule="auto"/>
        <w:rPr>
          <w:rFonts w:ascii="Times New Roman" w:hAnsi="Times New Roman" w:eastAsia="黑体"/>
          <w:b w:val="0"/>
          <w:bCs/>
          <w:szCs w:val="21"/>
        </w:rPr>
      </w:pPr>
      <w:bookmarkStart w:id="15" w:name="_Toc76025480"/>
      <w:bookmarkStart w:id="16" w:name="_Toc11781"/>
      <w:bookmarkStart w:id="17" w:name="_Toc28530"/>
      <w:bookmarkStart w:id="18" w:name="_Toc222993063"/>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pPr>
        <w:snapToGrid w:val="0"/>
        <w:spacing w:line="360" w:lineRule="auto"/>
        <w:ind w:firstLine="420" w:firstLineChars="200"/>
        <w:rPr>
          <w:rFonts w:hint="eastAsia" w:ascii="宋体" w:hAnsi="宋体"/>
          <w:color w:val="000000"/>
        </w:rPr>
      </w:pPr>
      <w:r>
        <w:rPr>
          <w:rFonts w:hint="eastAsia" w:ascii="宋体" w:hAnsi="宋体"/>
          <w:color w:val="000000"/>
        </w:rPr>
        <w:t>合同供货范围为重载无人机，详见专用部分附表2.2。</w:t>
      </w:r>
    </w:p>
    <w:p>
      <w:pPr>
        <w:pStyle w:val="3"/>
        <w:spacing w:before="0" w:after="0" w:line="360" w:lineRule="auto"/>
        <w:rPr>
          <w:rFonts w:ascii="Times New Roman" w:hAnsi="Times New Roman" w:eastAsia="黑体"/>
          <w:b w:val="0"/>
          <w:bCs/>
          <w:szCs w:val="21"/>
        </w:rPr>
      </w:pPr>
      <w:bookmarkStart w:id="19" w:name="_Toc222993064"/>
      <w:bookmarkStart w:id="20" w:name="_Toc76025481"/>
      <w:bookmarkStart w:id="21" w:name="_Toc23836"/>
      <w:bookmarkStart w:id="22" w:name="_Toc26638"/>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pPr>
        <w:adjustRightInd w:val="0"/>
        <w:snapToGrid w:val="0"/>
        <w:spacing w:line="360" w:lineRule="auto"/>
        <w:ind w:firstLine="424" w:firstLineChars="202"/>
        <w:rPr>
          <w:rFonts w:eastAsia="方正书宋简体"/>
          <w:szCs w:val="21"/>
        </w:rPr>
      </w:pPr>
      <w:r>
        <w:rPr>
          <w:rFonts w:eastAsia="方正书宋简体"/>
          <w:szCs w:val="21"/>
        </w:rPr>
        <w:t>1） 本技术规范书适用于</w:t>
      </w:r>
      <w:r>
        <w:rPr>
          <w:rFonts w:hint="eastAsia" w:eastAsia="方正书宋简体"/>
          <w:szCs w:val="21"/>
        </w:rPr>
        <w:t>重载</w:t>
      </w:r>
      <w:r>
        <w:rPr>
          <w:rFonts w:hint="eastAsia"/>
          <w:color w:val="000000"/>
        </w:rPr>
        <w:t>无人机</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pPr>
        <w:pStyle w:val="3"/>
        <w:spacing w:before="0" w:after="0" w:line="360" w:lineRule="auto"/>
        <w:rPr>
          <w:rFonts w:ascii="Times New Roman" w:hAnsi="Times New Roman" w:eastAsia="黑体"/>
          <w:b w:val="0"/>
          <w:bCs/>
          <w:szCs w:val="21"/>
        </w:rPr>
      </w:pPr>
      <w:bookmarkStart w:id="23" w:name="_Toc222993065"/>
      <w:bookmarkStart w:id="24" w:name="_Toc27859"/>
      <w:bookmarkStart w:id="25" w:name="_Toc19342"/>
      <w:bookmarkStart w:id="26" w:name="_Toc76025482"/>
      <w:r>
        <w:rPr>
          <w:rFonts w:ascii="Times New Roman" w:hAnsi="Times New Roman" w:eastAsia="黑体"/>
          <w:b w:val="0"/>
          <w:bCs/>
          <w:szCs w:val="21"/>
        </w:rPr>
        <w:t xml:space="preserve">2.3 </w:t>
      </w:r>
      <w:r>
        <w:rPr>
          <w:rFonts w:hint="eastAsia" w:ascii="Times New Roman" w:hAnsi="Times New Roman" w:eastAsia="黑体"/>
          <w:b w:val="0"/>
          <w:bCs/>
          <w:szCs w:val="21"/>
        </w:rPr>
        <w:t>技术文件</w:t>
      </w:r>
      <w:bookmarkEnd w:id="23"/>
      <w:bookmarkEnd w:id="24"/>
      <w:bookmarkEnd w:id="25"/>
      <w:bookmarkEnd w:id="26"/>
    </w:p>
    <w:p>
      <w:pPr>
        <w:pStyle w:val="451"/>
        <w:adjustRightInd w:val="0"/>
        <w:snapToGrid w:val="0"/>
        <w:spacing w:line="360" w:lineRule="auto"/>
        <w:ind w:firstLine="424" w:firstLineChars="202"/>
        <w:rPr>
          <w:rFonts w:cs="Times New Roman"/>
          <w:szCs w:val="21"/>
        </w:rPr>
      </w:pPr>
      <w:bookmarkStart w:id="27" w:name="_Toc81989605"/>
      <w:bookmarkStart w:id="28" w:name="_Toc82140158"/>
      <w:r>
        <w:rPr>
          <w:rFonts w:cs="Times New Roman"/>
          <w:szCs w:val="21"/>
        </w:rPr>
        <w:t>1）  投标方应按本技术规范书的要求提供全新的、合格的</w:t>
      </w:r>
      <w:r>
        <w:rPr>
          <w:rFonts w:hint="eastAsia" w:cs="Times New Roman"/>
          <w:szCs w:val="21"/>
        </w:rPr>
        <w:t>重载</w:t>
      </w:r>
      <w:r>
        <w:rPr>
          <w:rFonts w:hint="eastAsia"/>
          <w:color w:val="000000"/>
        </w:rPr>
        <w:t>无人机</w:t>
      </w:r>
      <w:r>
        <w:rPr>
          <w:rFonts w:eastAsia="宋体" w:cs="Times New Roman"/>
          <w:szCs w:val="21"/>
        </w:rPr>
        <w:t>及其附属设备、备品备件、专用工具和仪器。</w:t>
      </w:r>
    </w:p>
    <w:p>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pPr>
        <w:pStyle w:val="451"/>
        <w:adjustRightInd w:val="0"/>
        <w:snapToGrid w:val="0"/>
        <w:spacing w:line="360" w:lineRule="auto"/>
        <w:ind w:firstLine="424" w:firstLineChars="202"/>
        <w:rPr>
          <w:rFonts w:cs="Times New Roman"/>
          <w:szCs w:val="21"/>
        </w:rPr>
      </w:pPr>
      <w:r>
        <w:rPr>
          <w:rFonts w:cs="Times New Roman"/>
          <w:szCs w:val="21"/>
        </w:rPr>
        <w:t>3） 工厂试验由投标方在生产厂家内完成, 但应有招标方代表参加, 参加工厂验收的人数及天数等根据招标方需要由招投标双方协商进行确定。</w:t>
      </w:r>
    </w:p>
    <w:p>
      <w:pPr>
        <w:pStyle w:val="451"/>
        <w:adjustRightInd w:val="0"/>
        <w:snapToGrid w:val="0"/>
        <w:spacing w:line="360" w:lineRule="auto"/>
        <w:ind w:firstLine="424" w:firstLineChars="202"/>
        <w:rPr>
          <w:rFonts w:cs="Times New Roman"/>
          <w:szCs w:val="21"/>
        </w:rPr>
      </w:pPr>
      <w:r>
        <w:rPr>
          <w:rFonts w:cs="Times New Roman"/>
          <w:szCs w:val="21"/>
        </w:rPr>
        <w:t xml:space="preserve">4） </w:t>
      </w:r>
      <w:r>
        <w:rPr>
          <w:rFonts w:hint="eastAsia"/>
          <w:szCs w:val="21"/>
        </w:rPr>
        <w:t>装置从生产厂家到安装位置的运输全部由投标方完成，现场调试和安装在招标方指导下由投标方完成</w:t>
      </w:r>
      <w:r>
        <w:t>。</w:t>
      </w:r>
      <w:r>
        <w:rPr>
          <w:rFonts w:cs="Times New Roman"/>
          <w:szCs w:val="21"/>
        </w:rPr>
        <w:t>,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pPr>
        <w:pStyle w:val="451"/>
        <w:adjustRightInd w:val="0"/>
        <w:snapToGrid w:val="0"/>
        <w:spacing w:line="360" w:lineRule="auto"/>
        <w:ind w:firstLine="424" w:firstLineChars="202"/>
        <w:rPr>
          <w:rFonts w:cs="Times New Roman"/>
          <w:szCs w:val="21"/>
        </w:rPr>
      </w:pPr>
      <w:r>
        <w:rPr>
          <w:rFonts w:cs="Times New Roman"/>
          <w:szCs w:val="21"/>
        </w:rPr>
        <w:t>5） 投标方应协助招标方解决设备运行中出现的问题。并及时排除故障恢复运行。投标方应免费提供远程技术服务，远程技术服务项目期限不受限于保修期，远程技术服务在设备报废前有效。</w:t>
      </w:r>
    </w:p>
    <w:p>
      <w:pPr>
        <w:pStyle w:val="3"/>
      </w:pPr>
      <w:bookmarkStart w:id="29" w:name="_Toc222993066"/>
      <w:bookmarkStart w:id="30" w:name="_Toc30637"/>
      <w:bookmarkStart w:id="31" w:name="_Toc6217"/>
      <w:r>
        <w:rPr>
          <w:rFonts w:hint="eastAsia"/>
        </w:rPr>
        <w:t>技术文件的组成</w:t>
      </w:r>
      <w:bookmarkEnd w:id="29"/>
      <w:bookmarkEnd w:id="30"/>
      <w:bookmarkEnd w:id="31"/>
    </w:p>
    <w:p>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pPr>
        <w:spacing w:line="480" w:lineRule="auto"/>
        <w:outlineLvl w:val="0"/>
        <w:rPr>
          <w:rFonts w:eastAsia="黑体"/>
          <w:b/>
          <w:bCs/>
          <w:szCs w:val="21"/>
        </w:rPr>
      </w:pPr>
      <w:bookmarkStart w:id="32" w:name="_Toc26216"/>
      <w:bookmarkStart w:id="33" w:name="_Toc76025483"/>
      <w:bookmarkStart w:id="34" w:name="_Toc964"/>
      <w:bookmarkStart w:id="35" w:name="_Toc222993067"/>
      <w:r>
        <w:rPr>
          <w:rFonts w:eastAsia="黑体"/>
          <w:b/>
          <w:bCs/>
          <w:szCs w:val="21"/>
        </w:rPr>
        <w:t>3 应遵循的主要标准</w:t>
      </w:r>
      <w:bookmarkEnd w:id="27"/>
      <w:bookmarkEnd w:id="28"/>
      <w:bookmarkEnd w:id="32"/>
      <w:bookmarkEnd w:id="33"/>
      <w:bookmarkEnd w:id="34"/>
      <w:bookmarkEnd w:id="35"/>
    </w:p>
    <w:p>
      <w:pPr>
        <w:pStyle w:val="451"/>
        <w:adjustRightInd w:val="0"/>
        <w:snapToGrid w:val="0"/>
        <w:spacing w:line="360" w:lineRule="auto"/>
        <w:rPr>
          <w:rFonts w:cs="Times New Roman"/>
          <w:szCs w:val="21"/>
        </w:rPr>
      </w:pPr>
      <w:bookmarkStart w:id="36" w:name="_Toc282993250"/>
      <w:bookmarkStart w:id="37" w:name="_Toc384340981"/>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pPr>
        <w:snapToGrid w:val="0"/>
        <w:spacing w:line="360" w:lineRule="auto"/>
        <w:ind w:firstLine="420" w:firstLineChars="200"/>
      </w:pPr>
      <w:r>
        <w:rPr>
          <w:szCs w:val="21"/>
        </w:rPr>
        <w:t>RTCA/DO-160     Environmental Conditions and Test Procedures for Airborne Equipment</w:t>
      </w:r>
    </w:p>
    <w:p>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pPr>
        <w:snapToGrid w:val="0"/>
        <w:spacing w:line="360" w:lineRule="auto"/>
        <w:ind w:firstLine="420" w:firstLineChars="200"/>
        <w:rPr>
          <w:szCs w:val="21"/>
        </w:rPr>
      </w:pPr>
      <w:r>
        <w:rPr>
          <w:rFonts w:hint="eastAsia"/>
          <w:szCs w:val="21"/>
        </w:rPr>
        <w:t>GB/T 2423.1-2008 电工电子产品环境试验第2部分：试验方法 试验A：低温</w:t>
      </w:r>
    </w:p>
    <w:p>
      <w:pPr>
        <w:snapToGrid w:val="0"/>
        <w:spacing w:line="360" w:lineRule="auto"/>
        <w:ind w:firstLine="420" w:firstLineChars="200"/>
        <w:rPr>
          <w:szCs w:val="21"/>
        </w:rPr>
      </w:pPr>
      <w:r>
        <w:rPr>
          <w:rFonts w:hint="eastAsia"/>
          <w:szCs w:val="21"/>
        </w:rPr>
        <w:t>GB/T 2423.2-2008 电工电子产品环境试验第2部分：试验方法 试验B：高温</w:t>
      </w:r>
    </w:p>
    <w:p>
      <w:pPr>
        <w:snapToGrid w:val="0"/>
        <w:spacing w:line="360" w:lineRule="auto"/>
        <w:ind w:firstLine="420" w:firstLineChars="200"/>
        <w:rPr>
          <w:szCs w:val="21"/>
        </w:rPr>
      </w:pPr>
      <w:r>
        <w:rPr>
          <w:rFonts w:hint="eastAsia"/>
          <w:szCs w:val="21"/>
        </w:rPr>
        <w:t>GB/T 2423.2-2008 电工电子产品环境试验第2部分：试验方法 试验Fc：振动（正弦）</w:t>
      </w:r>
    </w:p>
    <w:p>
      <w:pPr>
        <w:snapToGrid w:val="0"/>
        <w:spacing w:line="360" w:lineRule="auto"/>
        <w:ind w:firstLine="420" w:firstLineChars="200"/>
        <w:rPr>
          <w:szCs w:val="21"/>
        </w:rPr>
      </w:pPr>
      <w:r>
        <w:rPr>
          <w:rFonts w:hint="eastAsia"/>
          <w:szCs w:val="21"/>
        </w:rPr>
        <w:t>GB/T 2423.3-2016 环境试验 第2部分：试验方法 试验Cab：恒定湿热试验</w:t>
      </w:r>
    </w:p>
    <w:p>
      <w:pPr>
        <w:snapToGrid w:val="0"/>
        <w:spacing w:line="360" w:lineRule="auto"/>
        <w:ind w:firstLine="420" w:firstLineChars="200"/>
        <w:rPr>
          <w:szCs w:val="21"/>
        </w:rPr>
      </w:pPr>
      <w:r>
        <w:rPr>
          <w:rFonts w:hint="eastAsia"/>
          <w:szCs w:val="21"/>
        </w:rPr>
        <w:t>GB/T 2423.21-2008 电工电子产品环境试验 第2部分：试验方法 试验M：低气压</w:t>
      </w:r>
    </w:p>
    <w:p>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pPr>
        <w:snapToGrid w:val="0"/>
        <w:spacing w:line="360" w:lineRule="auto"/>
        <w:ind w:firstLine="420" w:firstLineChars="200"/>
        <w:rPr>
          <w:lang w:bidi="ar"/>
        </w:rPr>
      </w:pPr>
      <w:r>
        <w:rPr>
          <w:rFonts w:hint="eastAsia"/>
          <w:lang w:bidi="ar"/>
        </w:rPr>
        <w:t>GB/T 17626.3-2016 电磁兼容 试验和测量技术射频电磁场辐射抗扰度试验</w:t>
      </w:r>
    </w:p>
    <w:p>
      <w:pPr>
        <w:snapToGrid w:val="0"/>
        <w:spacing w:line="360" w:lineRule="auto"/>
        <w:ind w:firstLine="420" w:firstLineChars="200"/>
        <w:rPr>
          <w:lang w:bidi="ar"/>
        </w:rPr>
      </w:pPr>
      <w:r>
        <w:rPr>
          <w:rFonts w:hint="eastAsia"/>
          <w:lang w:bidi="ar"/>
        </w:rPr>
        <w:t>GB/T 17626.2-2018 电磁兼容 试验和测量技术 静电放电抗扰度试验</w:t>
      </w:r>
    </w:p>
    <w:p>
      <w:pPr>
        <w:snapToGrid w:val="0"/>
        <w:spacing w:line="360" w:lineRule="auto"/>
        <w:ind w:firstLine="420" w:firstLineChars="200"/>
        <w:rPr>
          <w:lang w:bidi="ar"/>
        </w:rPr>
      </w:pPr>
      <w:r>
        <w:rPr>
          <w:rFonts w:hint="eastAsia"/>
          <w:lang w:bidi="ar"/>
        </w:rPr>
        <w:t>GB/T 17626.9-2011 电磁兼容 试验和测量技术 脉冲磁场抗扰度试验</w:t>
      </w:r>
    </w:p>
    <w:p>
      <w:pPr>
        <w:snapToGrid w:val="0"/>
        <w:spacing w:line="360" w:lineRule="auto"/>
        <w:ind w:firstLine="420" w:firstLineChars="200"/>
        <w:rPr>
          <w:lang w:bidi="ar"/>
        </w:rPr>
      </w:pPr>
      <w:r>
        <w:rPr>
          <w:rFonts w:hint="eastAsia"/>
          <w:lang w:bidi="ar"/>
        </w:rPr>
        <w:t>GB/T 17626.8-2006 电磁兼容 试验和测量技术 工频磁场抗扰度试验</w:t>
      </w:r>
    </w:p>
    <w:p>
      <w:pPr>
        <w:snapToGrid w:val="0"/>
        <w:spacing w:line="360" w:lineRule="auto"/>
        <w:ind w:firstLine="420" w:firstLineChars="200"/>
        <w:rPr>
          <w:szCs w:val="21"/>
        </w:rPr>
      </w:pPr>
      <w:r>
        <w:rPr>
          <w:rFonts w:hint="eastAsia"/>
          <w:szCs w:val="21"/>
        </w:rPr>
        <w:t>中国南方电网有限责任公司送样检测业务指导书</w:t>
      </w:r>
    </w:p>
    <w:p>
      <w:pPr>
        <w:snapToGrid w:val="0"/>
        <w:spacing w:line="360" w:lineRule="auto"/>
        <w:ind w:firstLine="420" w:firstLineChars="200"/>
        <w:rPr>
          <w:szCs w:val="21"/>
        </w:rPr>
      </w:pPr>
      <w:r>
        <w:rPr>
          <w:rFonts w:hint="eastAsia"/>
          <w:szCs w:val="21"/>
        </w:rPr>
        <w:t>中国南方电网有限责任公司到货抽检业务指导书</w:t>
      </w:r>
    </w:p>
    <w:p>
      <w:pPr>
        <w:snapToGrid w:val="0"/>
        <w:spacing w:line="360" w:lineRule="auto"/>
        <w:ind w:firstLine="420" w:firstLineChars="200"/>
        <w:rPr>
          <w:szCs w:val="21"/>
        </w:rPr>
      </w:pPr>
      <w:r>
        <w:rPr>
          <w:rFonts w:hint="eastAsia"/>
          <w:szCs w:val="21"/>
        </w:rPr>
        <w:t>中国南方电网有限责任公司专项抽检业务指导书</w:t>
      </w:r>
    </w:p>
    <w:bookmarkEnd w:id="36"/>
    <w:bookmarkEnd w:id="37"/>
    <w:p>
      <w:pPr>
        <w:spacing w:line="480" w:lineRule="auto"/>
        <w:outlineLvl w:val="0"/>
        <w:rPr>
          <w:rFonts w:eastAsia="黑体"/>
          <w:b/>
          <w:bCs/>
          <w:szCs w:val="21"/>
        </w:rPr>
      </w:pPr>
      <w:bookmarkStart w:id="38" w:name="_Toc4845"/>
      <w:bookmarkStart w:id="39" w:name="_Toc76025484"/>
      <w:bookmarkStart w:id="40" w:name="_Toc16488"/>
      <w:bookmarkStart w:id="41" w:name="_Toc222993068"/>
      <w:r>
        <w:rPr>
          <w:rFonts w:eastAsia="黑体"/>
          <w:b/>
          <w:bCs/>
          <w:szCs w:val="21"/>
        </w:rPr>
        <w:t>4 使用条件</w:t>
      </w:r>
      <w:bookmarkEnd w:id="38"/>
      <w:bookmarkEnd w:id="39"/>
      <w:bookmarkEnd w:id="40"/>
      <w:bookmarkEnd w:id="41"/>
    </w:p>
    <w:p>
      <w:pPr>
        <w:adjustRightInd w:val="0"/>
        <w:snapToGrid w:val="0"/>
        <w:spacing w:line="360" w:lineRule="auto"/>
        <w:outlineLvl w:val="1"/>
        <w:rPr>
          <w:rFonts w:eastAsia="黑体"/>
          <w:szCs w:val="21"/>
        </w:rPr>
      </w:pPr>
      <w:bookmarkStart w:id="42" w:name="_Toc322527759"/>
      <w:bookmarkStart w:id="43" w:name="_Toc23392"/>
      <w:bookmarkStart w:id="44" w:name="_Toc264380123"/>
      <w:bookmarkStart w:id="45" w:name="_Toc222993069"/>
      <w:bookmarkStart w:id="46" w:name="_Toc426040192"/>
      <w:bookmarkStart w:id="47" w:name="_Toc349034886"/>
      <w:bookmarkStart w:id="48" w:name="_Toc66780566"/>
      <w:bookmarkStart w:id="49" w:name="_Toc494551787"/>
      <w:bookmarkStart w:id="50" w:name="_Toc322532854"/>
      <w:bookmarkStart w:id="51" w:name="_Toc279769036"/>
      <w:bookmarkStart w:id="52" w:name="_Toc296359207"/>
      <w:bookmarkStart w:id="53" w:name="_Toc296961937"/>
      <w:bookmarkStart w:id="54" w:name="_Toc264460811"/>
      <w:bookmarkStart w:id="55" w:name="_Toc76025485"/>
      <w:bookmarkStart w:id="56" w:name="_Toc24133"/>
      <w:r>
        <w:rPr>
          <w:rFonts w:eastAsia="黑体"/>
          <w:szCs w:val="21"/>
        </w:rPr>
        <w:t>4.1 正常使用条件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snapToGrid w:val="0"/>
        <w:spacing w:line="360" w:lineRule="auto"/>
        <w:ind w:firstLine="420" w:firstLineChars="200"/>
        <w:rPr>
          <w:szCs w:val="21"/>
        </w:rPr>
      </w:pPr>
      <w:r>
        <w:rPr>
          <w:rFonts w:hint="eastAsia"/>
          <w:szCs w:val="21"/>
        </w:rPr>
        <w:t>1）海拔高度：</w:t>
      </w:r>
      <w:r>
        <w:rPr>
          <w:rFonts w:hint="eastAsia"/>
          <w:szCs w:val="21"/>
          <w:lang w:val="en-US" w:eastAsia="zh-CN"/>
        </w:rPr>
        <w:t>≥</w:t>
      </w:r>
      <w:r>
        <w:rPr>
          <w:rFonts w:hint="eastAsia"/>
          <w:szCs w:val="21"/>
        </w:rPr>
        <w:t>6000m</w:t>
      </w:r>
    </w:p>
    <w:p>
      <w:pPr>
        <w:widowControl/>
        <w:snapToGrid w:val="0"/>
        <w:spacing w:line="360" w:lineRule="auto"/>
        <w:ind w:firstLine="420" w:firstLineChars="200"/>
        <w:rPr>
          <w:szCs w:val="21"/>
        </w:rPr>
      </w:pPr>
      <w:r>
        <w:rPr>
          <w:rFonts w:hint="eastAsia"/>
          <w:szCs w:val="21"/>
        </w:rPr>
        <w:t>2）环境温度：最低温度：-20℃，最高温度：+5</w:t>
      </w:r>
      <w:r>
        <w:rPr>
          <w:rFonts w:hint="eastAsia"/>
          <w:szCs w:val="21"/>
          <w:lang w:val="en-US" w:eastAsia="zh-CN"/>
        </w:rPr>
        <w:t>5</w:t>
      </w:r>
      <w:r>
        <w:rPr>
          <w:rFonts w:hint="eastAsia"/>
          <w:szCs w:val="21"/>
        </w:rPr>
        <w:t>℃；环境湿度：0-100%</w:t>
      </w:r>
    </w:p>
    <w:p>
      <w:pPr>
        <w:widowControl/>
        <w:snapToGrid w:val="0"/>
        <w:spacing w:line="360" w:lineRule="auto"/>
        <w:ind w:firstLine="420" w:firstLineChars="200"/>
        <w:rPr>
          <w:szCs w:val="21"/>
        </w:rPr>
      </w:pPr>
      <w:r>
        <w:rPr>
          <w:rFonts w:hint="eastAsia"/>
          <w:szCs w:val="21"/>
        </w:rPr>
        <w:t>3）环境适应能力：在用户所在地区及环境条件下，性能应可靠稳定</w:t>
      </w:r>
    </w:p>
    <w:p>
      <w:pPr>
        <w:widowControl/>
        <w:snapToGrid w:val="0"/>
        <w:spacing w:line="360" w:lineRule="auto"/>
        <w:ind w:firstLine="420" w:firstLineChars="200"/>
        <w:rPr>
          <w:szCs w:val="21"/>
        </w:rPr>
      </w:pPr>
      <w:r>
        <w:rPr>
          <w:rFonts w:hint="eastAsia"/>
          <w:szCs w:val="21"/>
        </w:rPr>
        <w:t>4）卫星系统技术要求：仅支持BDS且兼容北斗3号及以下卫星系统</w:t>
      </w:r>
    </w:p>
    <w:p>
      <w:pPr>
        <w:adjustRightInd w:val="0"/>
        <w:snapToGrid w:val="0"/>
        <w:spacing w:line="360" w:lineRule="auto"/>
        <w:outlineLvl w:val="1"/>
        <w:rPr>
          <w:rFonts w:eastAsia="黑体"/>
          <w:szCs w:val="21"/>
        </w:rPr>
      </w:pPr>
      <w:bookmarkStart w:id="57" w:name="_Toc264450245"/>
      <w:bookmarkStart w:id="58" w:name="_Toc264380124"/>
      <w:bookmarkStart w:id="59" w:name="_Toc222993070"/>
      <w:bookmarkStart w:id="60" w:name="_Toc322532855"/>
      <w:bookmarkStart w:id="61" w:name="_Toc296359208"/>
      <w:bookmarkStart w:id="62" w:name="_Toc264460812"/>
      <w:bookmarkStart w:id="63" w:name="_Toc76025486"/>
      <w:bookmarkStart w:id="64" w:name="_Toc494551788"/>
      <w:bookmarkStart w:id="65" w:name="_Toc349034887"/>
      <w:bookmarkStart w:id="66" w:name="_Toc322527760"/>
      <w:bookmarkStart w:id="67" w:name="_Toc426040193"/>
      <w:bookmarkStart w:id="68" w:name="_Toc28986"/>
      <w:bookmarkStart w:id="69" w:name="_Toc22529"/>
      <w:bookmarkStart w:id="70" w:name="_Toc66780567"/>
      <w:bookmarkStart w:id="71" w:name="_Toc296961938"/>
      <w:r>
        <w:rPr>
          <w:rFonts w:eastAsia="黑体"/>
          <w:szCs w:val="21"/>
        </w:rPr>
        <w:t>4</w:t>
      </w:r>
      <w:r>
        <w:rPr>
          <w:rFonts w:hint="eastAsia" w:eastAsia="黑体"/>
          <w:szCs w:val="21"/>
        </w:rPr>
        <w:t>.2 特殊使用条件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pPr>
        <w:spacing w:line="360" w:lineRule="auto"/>
        <w:outlineLvl w:val="0"/>
        <w:rPr>
          <w:rFonts w:eastAsia="黑体"/>
          <w:szCs w:val="21"/>
        </w:rPr>
      </w:pPr>
      <w:bookmarkStart w:id="72" w:name="_Toc24623"/>
      <w:bookmarkStart w:id="73" w:name="_Toc76025487"/>
      <w:bookmarkStart w:id="74" w:name="_Toc31508"/>
      <w:bookmarkStart w:id="75" w:name="_Toc222993071"/>
      <w:r>
        <w:rPr>
          <w:rFonts w:hint="eastAsia" w:eastAsia="黑体"/>
          <w:szCs w:val="21"/>
        </w:rPr>
        <w:t>5</w:t>
      </w:r>
      <w:r>
        <w:rPr>
          <w:rFonts w:eastAsia="黑体"/>
          <w:szCs w:val="21"/>
        </w:rPr>
        <w:t xml:space="preserve"> </w:t>
      </w:r>
      <w:r>
        <w:rPr>
          <w:rFonts w:hint="eastAsia" w:eastAsia="黑体"/>
          <w:szCs w:val="21"/>
        </w:rPr>
        <w:t>技术要求</w:t>
      </w:r>
      <w:bookmarkEnd w:id="72"/>
      <w:bookmarkEnd w:id="73"/>
      <w:bookmarkEnd w:id="74"/>
      <w:bookmarkEnd w:id="75"/>
    </w:p>
    <w:p>
      <w:pPr>
        <w:pStyle w:val="3"/>
        <w:keepNext w:val="0"/>
        <w:tabs>
          <w:tab w:val="left" w:pos="425"/>
          <w:tab w:val="left" w:pos="576"/>
        </w:tabs>
        <w:adjustRightInd w:val="0"/>
        <w:snapToGrid w:val="0"/>
        <w:rPr>
          <w:rFonts w:hint="eastAsia" w:ascii="黑体" w:hAnsi="黑体" w:eastAsia="黑体"/>
          <w:b w:val="0"/>
          <w:bCs/>
        </w:rPr>
      </w:pPr>
      <w:bookmarkStart w:id="76" w:name="_Toc2739"/>
      <w:bookmarkStart w:id="77" w:name="_Toc441508848"/>
      <w:bookmarkStart w:id="78" w:name="_Toc222993072"/>
      <w:r>
        <w:rPr>
          <w:rFonts w:ascii="黑体" w:hAnsi="黑体" w:eastAsia="黑体"/>
          <w:b w:val="0"/>
          <w:bCs/>
        </w:rPr>
        <w:t>5.1</w:t>
      </w:r>
      <w:r>
        <w:rPr>
          <w:rFonts w:hint="eastAsia" w:ascii="黑体" w:hAnsi="黑体" w:eastAsia="黑体"/>
          <w:b w:val="0"/>
          <w:bCs/>
        </w:rPr>
        <w:t xml:space="preserve"> 功能要求</w:t>
      </w:r>
      <w:bookmarkEnd w:id="76"/>
      <w:bookmarkEnd w:id="77"/>
      <w:bookmarkEnd w:id="78"/>
    </w:p>
    <w:p>
      <w:pPr>
        <w:widowControl/>
        <w:numPr>
          <w:ilvl w:val="0"/>
          <w:numId w:val="32"/>
        </w:numPr>
        <w:ind w:firstLine="420" w:firstLineChars="200"/>
        <w:rPr>
          <w:rFonts w:hint="eastAsia" w:ascii="宋体" w:hAnsi="宋体" w:cs="宋体"/>
          <w:szCs w:val="21"/>
        </w:rPr>
      </w:pPr>
      <w:r>
        <w:rPr>
          <w:rFonts w:hint="eastAsia" w:ascii="宋体" w:hAnsi="宋体" w:cs="宋体"/>
          <w:szCs w:val="21"/>
        </w:rPr>
        <w:t>实用升限：＞6200m；</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起飞重量（含油）：＞750kg；</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有效载荷（不含油）：≥300kg；</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航时（满载）：＞3h；</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巡航速度：125-135km/h；</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最大飞行速度：≥180km/h；</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投送模式： 吊运、缓降、机降；</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吊钩：具备防震荡，触地脱钩，应急抛投功能，应手动操作方可脱钩。</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抗风等级：起降6级/空中7级；</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最大起降海拔（满载）：</w:t>
      </w:r>
      <w:r>
        <w:rPr>
          <w:rFonts w:hint="eastAsia" w:ascii="宋体" w:hAnsi="宋体" w:cs="宋体"/>
          <w:szCs w:val="21"/>
          <w:lang w:val="en-US" w:eastAsia="zh-CN"/>
        </w:rPr>
        <w:t>≥6</w:t>
      </w:r>
      <w:r>
        <w:rPr>
          <w:rFonts w:hint="eastAsia" w:ascii="宋体" w:hAnsi="宋体" w:cs="宋体"/>
          <w:szCs w:val="21"/>
        </w:rPr>
        <w:t>000m；</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最大爬升速率：＞5m/s；</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最大斜向爬升速率：＞5m/s；</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最小飞行高度：≤8m；</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吊舱（可见光）：光学变焦≥18倍，分辨率≥1920×1080；</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异地接管：具备空中控制权交接功能；</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动力形式：汽油发动机或柴油发动机；</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悬停控制精度：≤2m；</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功能拓展：重载无人机具备多用途功能拓展，除运输功能外,具备应急通信覆盖功能，预留通信设备接入接口。</w:t>
      </w:r>
    </w:p>
    <w:p>
      <w:pPr>
        <w:widowControl/>
        <w:numPr>
          <w:ilvl w:val="0"/>
          <w:numId w:val="32"/>
        </w:numPr>
        <w:spacing w:line="360" w:lineRule="auto"/>
        <w:ind w:firstLine="420" w:firstLineChars="200"/>
        <w:rPr>
          <w:rFonts w:hint="eastAsia" w:ascii="宋体" w:hAnsi="宋体" w:cs="宋体"/>
          <w:szCs w:val="21"/>
        </w:rPr>
      </w:pPr>
      <w:r>
        <w:rPr>
          <w:rFonts w:hint="eastAsia" w:ascii="宋体" w:hAnsi="宋体" w:cs="宋体"/>
          <w:szCs w:val="21"/>
        </w:rPr>
        <w:t>存储舱：可整机固定停放无人机，用于日常存储和整体运输，舱内气温应能调节，确保无人机停放处于适宜环境。</w:t>
      </w:r>
    </w:p>
    <w:p>
      <w:pPr>
        <w:pStyle w:val="3"/>
        <w:spacing w:before="0" w:after="0" w:line="360" w:lineRule="auto"/>
        <w:rPr>
          <w:rFonts w:ascii="Times New Roman" w:hAnsi="Times New Roman" w:eastAsia="黑体"/>
          <w:b w:val="0"/>
          <w:bCs/>
          <w:szCs w:val="21"/>
        </w:rPr>
      </w:pPr>
      <w:bookmarkStart w:id="79" w:name="_Toc23428"/>
      <w:bookmarkStart w:id="80" w:name="_Toc15425"/>
      <w:bookmarkStart w:id="81" w:name="_Toc20375"/>
      <w:bookmarkStart w:id="82" w:name="_Toc222993073"/>
      <w:bookmarkStart w:id="83" w:name="_Toc18016"/>
      <w:bookmarkStart w:id="84" w:name="_Toc76025495"/>
      <w:bookmarkStart w:id="85" w:name="_Toc72859325"/>
      <w:r>
        <w:rPr>
          <w:rFonts w:ascii="Times New Roman" w:hAnsi="Times New Roman" w:eastAsia="黑体"/>
          <w:b w:val="0"/>
          <w:bCs/>
          <w:szCs w:val="21"/>
        </w:rPr>
        <w:t>5.</w:t>
      </w:r>
      <w:r>
        <w:rPr>
          <w:rFonts w:hint="eastAsia" w:ascii="Times New Roman" w:hAnsi="Times New Roman" w:eastAsia="黑体"/>
          <w:b w:val="0"/>
          <w:bCs/>
          <w:szCs w:val="21"/>
        </w:rPr>
        <w:t>2 网络安全要求</w:t>
      </w:r>
      <w:bookmarkEnd w:id="79"/>
      <w:bookmarkEnd w:id="80"/>
      <w:bookmarkEnd w:id="81"/>
      <w:bookmarkEnd w:id="82"/>
      <w:bookmarkEnd w:id="83"/>
      <w:bookmarkEnd w:id="84"/>
      <w:bookmarkEnd w:id="85"/>
    </w:p>
    <w:p>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pPr>
        <w:tabs>
          <w:tab w:val="left" w:pos="1985"/>
        </w:tabs>
        <w:spacing w:line="360" w:lineRule="auto"/>
        <w:ind w:firstLine="420"/>
        <w:rPr>
          <w:szCs w:val="21"/>
        </w:rPr>
      </w:pPr>
      <w:r>
        <w:rPr>
          <w:rFonts w:hint="eastAsia"/>
          <w:szCs w:val="21"/>
        </w:rPr>
        <w:t>8）未通过招标方测试、备案的软件系统和设备不得私自上线运行；</w:t>
      </w:r>
    </w:p>
    <w:p>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pPr>
        <w:spacing w:line="480" w:lineRule="auto"/>
        <w:outlineLvl w:val="0"/>
        <w:rPr>
          <w:rFonts w:eastAsia="黑体"/>
          <w:b/>
          <w:bCs/>
          <w:szCs w:val="21"/>
        </w:rPr>
      </w:pPr>
      <w:bookmarkStart w:id="86" w:name="_Toc28430"/>
      <w:bookmarkStart w:id="87" w:name="_Toc222993074"/>
      <w:bookmarkStart w:id="88" w:name="_Toc781"/>
      <w:bookmarkStart w:id="89" w:name="_Toc76025496"/>
      <w:r>
        <w:rPr>
          <w:rFonts w:eastAsia="黑体"/>
          <w:b/>
          <w:bCs/>
          <w:szCs w:val="21"/>
        </w:rPr>
        <w:t>6 试验项目及要求</w:t>
      </w:r>
      <w:bookmarkEnd w:id="86"/>
      <w:bookmarkEnd w:id="87"/>
      <w:bookmarkEnd w:id="88"/>
      <w:bookmarkEnd w:id="89"/>
    </w:p>
    <w:p>
      <w:pPr>
        <w:spacing w:line="360" w:lineRule="auto"/>
        <w:ind w:firstLine="420" w:firstLineChars="200"/>
        <w:rPr>
          <w:szCs w:val="21"/>
        </w:rPr>
      </w:pPr>
      <w:bookmarkStart w:id="90" w:name="_Toc347154881"/>
      <w:bookmarkStart w:id="91" w:name="_Toc265313593"/>
      <w:bookmarkStart w:id="92" w:name="_Toc356999079"/>
      <w:r>
        <w:rPr>
          <w:rFonts w:hint="eastAsia"/>
          <w:szCs w:val="21"/>
        </w:rPr>
        <w:t>6.1 结构和外观检查</w:t>
      </w:r>
    </w:p>
    <w:p>
      <w:pPr>
        <w:adjustRightInd w:val="0"/>
        <w:snapToGrid w:val="0"/>
        <w:spacing w:line="360" w:lineRule="auto"/>
        <w:ind w:firstLine="420" w:firstLineChars="200"/>
        <w:jc w:val="left"/>
        <w:rPr>
          <w:szCs w:val="21"/>
        </w:rPr>
      </w:pPr>
      <w:r>
        <w:rPr>
          <w:rFonts w:hint="eastAsia"/>
          <w:szCs w:val="21"/>
        </w:rPr>
        <w:t>（1）试验方法</w:t>
      </w:r>
    </w:p>
    <w:p>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pPr>
        <w:adjustRightInd w:val="0"/>
        <w:snapToGrid w:val="0"/>
        <w:spacing w:line="360" w:lineRule="auto"/>
        <w:ind w:firstLine="420" w:firstLineChars="200"/>
        <w:jc w:val="left"/>
        <w:rPr>
          <w:szCs w:val="21"/>
        </w:rPr>
      </w:pPr>
      <w:r>
        <w:rPr>
          <w:rFonts w:hint="eastAsia"/>
          <w:szCs w:val="21"/>
        </w:rPr>
        <w:t>（2）判定准则</w:t>
      </w:r>
    </w:p>
    <w:p>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pPr>
        <w:spacing w:line="360" w:lineRule="auto"/>
        <w:ind w:firstLine="420" w:firstLineChars="200"/>
        <w:rPr>
          <w:szCs w:val="21"/>
        </w:rPr>
      </w:pPr>
      <w:r>
        <w:rPr>
          <w:szCs w:val="21"/>
        </w:rPr>
        <w:t>6.</w:t>
      </w:r>
      <w:r>
        <w:rPr>
          <w:rFonts w:hint="eastAsia"/>
          <w:szCs w:val="21"/>
        </w:rPr>
        <w:t>2</w:t>
      </w:r>
      <w:r>
        <w:rPr>
          <w:szCs w:val="21"/>
        </w:rPr>
        <w:t xml:space="preserve"> </w:t>
      </w:r>
      <w:r>
        <w:rPr>
          <w:rFonts w:hint="eastAsia"/>
          <w:szCs w:val="21"/>
        </w:rPr>
        <w:t>环境试验</w:t>
      </w:r>
    </w:p>
    <w:p>
      <w:pPr>
        <w:spacing w:line="360" w:lineRule="auto"/>
        <w:ind w:firstLine="420" w:firstLineChars="200"/>
        <w:rPr>
          <w:szCs w:val="21"/>
        </w:rPr>
      </w:pPr>
      <w:r>
        <w:rPr>
          <w:rFonts w:hint="eastAsia"/>
          <w:szCs w:val="21"/>
        </w:rPr>
        <w:t>6.2.1 低温环境适应性试验</w:t>
      </w:r>
    </w:p>
    <w:p>
      <w:pPr>
        <w:adjustRightInd w:val="0"/>
        <w:snapToGrid w:val="0"/>
        <w:spacing w:line="360" w:lineRule="auto"/>
        <w:ind w:firstLine="420" w:firstLineChars="200"/>
        <w:jc w:val="left"/>
      </w:pPr>
      <w:r>
        <w:rPr>
          <w:rFonts w:hint="eastAsia"/>
          <w:szCs w:val="21"/>
        </w:rPr>
        <w:t>按照、 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pPr>
        <w:spacing w:line="360" w:lineRule="auto"/>
        <w:ind w:firstLine="420" w:firstLineChars="200"/>
        <w:rPr>
          <w:szCs w:val="21"/>
        </w:rPr>
      </w:pPr>
      <w:r>
        <w:rPr>
          <w:szCs w:val="21"/>
        </w:rPr>
        <w:t>6.</w:t>
      </w:r>
      <w:r>
        <w:rPr>
          <w:rFonts w:hint="eastAsia"/>
          <w:szCs w:val="21"/>
        </w:rPr>
        <w:t>3</w:t>
      </w:r>
      <w:r>
        <w:rPr>
          <w:szCs w:val="21"/>
        </w:rPr>
        <w:t xml:space="preserve"> </w:t>
      </w:r>
      <w:r>
        <w:rPr>
          <w:rFonts w:hint="eastAsia"/>
          <w:szCs w:val="21"/>
        </w:rPr>
        <w:t>功能试验</w:t>
      </w:r>
    </w:p>
    <w:p>
      <w:pPr>
        <w:spacing w:line="360" w:lineRule="auto"/>
        <w:ind w:firstLine="420" w:firstLineChars="200"/>
        <w:rPr>
          <w:szCs w:val="21"/>
        </w:rPr>
      </w:pPr>
      <w:r>
        <w:rPr>
          <w:rFonts w:hint="eastAsia"/>
          <w:szCs w:val="21"/>
        </w:rPr>
        <w:t>6.3.1 自检功能</w:t>
      </w:r>
      <w:r>
        <w:rPr>
          <w:szCs w:val="21"/>
        </w:rPr>
        <w:t>试验</w:t>
      </w:r>
    </w:p>
    <w:p>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pPr>
        <w:adjustRightInd w:val="0"/>
        <w:snapToGrid w:val="0"/>
        <w:spacing w:line="360" w:lineRule="auto"/>
        <w:ind w:firstLine="420" w:firstLineChars="200"/>
        <w:jc w:val="left"/>
      </w:pPr>
      <w:r>
        <w:rPr>
          <w:rFonts w:hint="eastAsia"/>
        </w:rPr>
        <w:t>6.3.10 飞行区域限制功能试验</w:t>
      </w:r>
    </w:p>
    <w:p>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pPr>
        <w:adjustRightInd w:val="0"/>
        <w:snapToGrid w:val="0"/>
        <w:spacing w:line="360" w:lineRule="auto"/>
        <w:ind w:firstLine="420" w:firstLineChars="200"/>
        <w:jc w:val="left"/>
      </w:pPr>
      <w:r>
        <w:rPr>
          <w:rFonts w:hint="eastAsia"/>
        </w:rPr>
        <w:t>6.3.11 低电压报警功能试验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pPr>
        <w:adjustRightInd w:val="0"/>
        <w:snapToGrid w:val="0"/>
        <w:spacing w:line="360" w:lineRule="auto"/>
        <w:ind w:firstLine="420" w:firstLineChars="200"/>
        <w:jc w:val="left"/>
      </w:pPr>
      <w:r>
        <w:rPr>
          <w:rFonts w:hint="eastAsia"/>
        </w:rPr>
        <w:t>6.3.12 位置追踪功能试验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pPr>
        <w:adjustRightInd w:val="0"/>
        <w:snapToGrid w:val="0"/>
        <w:spacing w:line="360" w:lineRule="auto"/>
        <w:ind w:firstLine="420" w:firstLineChars="200"/>
        <w:jc w:val="left"/>
      </w:pPr>
      <w:r>
        <w:rPr>
          <w:rFonts w:hint="eastAsia"/>
        </w:rPr>
        <w:t>6.3.13 拍照功能试验</w:t>
      </w:r>
    </w:p>
    <w:p>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pPr>
        <w:adjustRightInd w:val="0"/>
        <w:snapToGrid w:val="0"/>
        <w:spacing w:line="360" w:lineRule="auto"/>
        <w:ind w:firstLine="420" w:firstLineChars="200"/>
        <w:jc w:val="left"/>
      </w:pPr>
      <w:r>
        <w:rPr>
          <w:rFonts w:hint="eastAsia"/>
        </w:rPr>
        <w:t>6.3.14 转动功能试验</w:t>
      </w:r>
    </w:p>
    <w:p>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 30 °/s 。水平转动范围宜为 n</w:t>
      </w:r>
      <w:r>
        <w:rPr>
          <w:rFonts w:ascii="Arial" w:hAnsi="Arial" w:cs="Arial"/>
        </w:rPr>
        <w:t>×</w:t>
      </w:r>
      <w:r>
        <w:rPr>
          <w:rFonts w:hint="eastAsia"/>
        </w:rPr>
        <w:t>360° 也可为一180°~+180°; 俯仰转动范围至少为-60°~+30°。</w:t>
      </w:r>
    </w:p>
    <w:p>
      <w:pPr>
        <w:adjustRightInd w:val="0"/>
        <w:snapToGrid w:val="0"/>
        <w:spacing w:line="360" w:lineRule="auto"/>
        <w:ind w:firstLine="420" w:firstLineChars="200"/>
        <w:jc w:val="left"/>
      </w:pPr>
      <w:r>
        <w:rPr>
          <w:rFonts w:hint="eastAsia"/>
        </w:rPr>
        <w:t>6.3.15 稳像精度试验</w:t>
      </w:r>
    </w:p>
    <w:p>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 mrad。</w:t>
      </w:r>
    </w:p>
    <w:p>
      <w:pPr>
        <w:adjustRightInd w:val="0"/>
        <w:snapToGrid w:val="0"/>
        <w:spacing w:line="360" w:lineRule="auto"/>
        <w:ind w:firstLine="420" w:firstLineChars="200"/>
        <w:jc w:val="left"/>
      </w:pPr>
      <w:r>
        <w:rPr>
          <w:rFonts w:hint="eastAsia"/>
        </w:rPr>
        <w:t>6.3.16 可见光成像性能试验</w:t>
      </w:r>
    </w:p>
    <w:p>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 20m 处拍摄的影像中可清晰分辨</w:t>
      </w:r>
      <w:r>
        <w:rPr>
          <w:lang w:bidi="ar"/>
        </w:rPr>
        <w:t>Φ</w:t>
      </w:r>
      <w:r>
        <w:rPr>
          <w:rFonts w:hint="eastAsia"/>
          <w:lang w:bidi="ar"/>
        </w:rPr>
        <w:t>1.4 mm 目标，目标轮廓清晰可辨。</w:t>
      </w:r>
    </w:p>
    <w:p>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、精度不低于土2° 或测量值乘以±2% （取绝对值大者）</w:t>
      </w:r>
      <w:r>
        <w:rPr>
          <w:rFonts w:hint="eastAsia"/>
          <w:lang w:bidi="ar"/>
        </w:rPr>
        <w:t>。</w:t>
      </w:r>
    </w:p>
    <w:p>
      <w:pPr>
        <w:adjustRightInd w:val="0"/>
        <w:snapToGrid w:val="0"/>
        <w:spacing w:line="360" w:lineRule="auto"/>
        <w:ind w:firstLine="420" w:firstLineChars="200"/>
        <w:jc w:val="left"/>
      </w:pPr>
      <w:r>
        <w:rPr>
          <w:rFonts w:hint="eastAsia"/>
        </w:rPr>
        <w:t>6.3.18 跟踪精度试验</w:t>
      </w:r>
    </w:p>
    <w:p>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pPr>
        <w:adjustRightInd w:val="0"/>
        <w:snapToGrid w:val="0"/>
        <w:spacing w:line="360" w:lineRule="auto"/>
        <w:ind w:firstLine="420" w:firstLineChars="200"/>
        <w:jc w:val="left"/>
      </w:pPr>
      <w:r>
        <w:rPr>
          <w:rFonts w:hint="eastAsia"/>
        </w:rPr>
        <w:t xml:space="preserve">6.4 </w:t>
      </w:r>
      <w:r>
        <w:t>电磁兼容试验</w:t>
      </w:r>
    </w:p>
    <w:p>
      <w:pPr>
        <w:adjustRightInd w:val="0"/>
        <w:snapToGrid w:val="0"/>
        <w:spacing w:line="360" w:lineRule="auto"/>
        <w:ind w:firstLine="420" w:firstLineChars="200"/>
        <w:jc w:val="left"/>
      </w:pPr>
      <w:r>
        <w:rPr>
          <w:rFonts w:hint="eastAsia"/>
        </w:rPr>
        <w:t>6.4.1 射频电磁场辐射抗扰度试验</w:t>
      </w:r>
    </w:p>
    <w:p>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pPr>
        <w:adjustRightInd w:val="0"/>
        <w:snapToGrid w:val="0"/>
        <w:spacing w:line="360" w:lineRule="auto"/>
        <w:ind w:firstLine="420" w:firstLineChars="200"/>
        <w:jc w:val="left"/>
      </w:pPr>
      <w:r>
        <w:rPr>
          <w:rFonts w:hint="eastAsia"/>
        </w:rPr>
        <w:t>6.4.2 静电放电抗扰度</w:t>
      </w:r>
    </w:p>
    <w:p>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pPr>
        <w:adjustRightInd w:val="0"/>
        <w:snapToGrid w:val="0"/>
        <w:spacing w:line="360" w:lineRule="auto"/>
        <w:ind w:firstLine="420" w:firstLineChars="200"/>
        <w:jc w:val="left"/>
      </w:pPr>
      <w:r>
        <w:rPr>
          <w:rFonts w:hint="eastAsia"/>
        </w:rPr>
        <w:t>6.4.3 脉冲磁场抗扰度</w:t>
      </w:r>
    </w:p>
    <w:p>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pPr>
        <w:adjustRightInd w:val="0"/>
        <w:snapToGrid w:val="0"/>
        <w:spacing w:line="360" w:lineRule="auto"/>
        <w:ind w:firstLine="420" w:firstLineChars="200"/>
        <w:jc w:val="left"/>
      </w:pPr>
      <w:r>
        <w:rPr>
          <w:rFonts w:hint="eastAsia"/>
        </w:rPr>
        <w:t>6.4.4 工频磁场抗扰度</w:t>
      </w:r>
    </w:p>
    <w:p>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pPr>
        <w:adjustRightInd w:val="0"/>
        <w:snapToGrid w:val="0"/>
        <w:spacing w:line="360" w:lineRule="auto"/>
        <w:ind w:firstLine="420" w:firstLineChars="200"/>
        <w:jc w:val="left"/>
      </w:pPr>
      <w:r>
        <w:rPr>
          <w:rFonts w:hint="eastAsia"/>
        </w:rPr>
        <w:t>6.5 性能试验</w:t>
      </w:r>
    </w:p>
    <w:p>
      <w:pPr>
        <w:adjustRightInd w:val="0"/>
        <w:snapToGrid w:val="0"/>
        <w:spacing w:line="360" w:lineRule="auto"/>
        <w:ind w:firstLine="420" w:firstLineChars="200"/>
        <w:jc w:val="left"/>
      </w:pPr>
      <w:r>
        <w:rPr>
          <w:rFonts w:hint="eastAsia"/>
        </w:rPr>
        <w:t xml:space="preserve">6.5.1 </w:t>
      </w:r>
      <w:r>
        <w:rPr>
          <w:kern w:val="0"/>
          <w:szCs w:val="21"/>
        </w:rPr>
        <w:t>地面站软件性能试验</w:t>
      </w:r>
    </w:p>
    <w:p>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pPr>
        <w:adjustRightInd w:val="0"/>
        <w:snapToGrid w:val="0"/>
        <w:spacing w:line="360" w:lineRule="auto"/>
        <w:ind w:firstLine="420" w:firstLineChars="200"/>
        <w:jc w:val="left"/>
        <w:rPr>
          <w:kern w:val="0"/>
          <w:szCs w:val="21"/>
        </w:rPr>
      </w:pPr>
      <w:r>
        <w:rPr>
          <w:rFonts w:hint="eastAsia"/>
          <w:kern w:val="0"/>
          <w:szCs w:val="21"/>
        </w:rPr>
        <w:t>6.5.2 动力电池性能试验</w:t>
      </w:r>
    </w:p>
    <w:p>
      <w:pPr>
        <w:adjustRightInd w:val="0"/>
        <w:snapToGrid w:val="0"/>
        <w:spacing w:line="360" w:lineRule="auto"/>
        <w:ind w:firstLine="420" w:firstLineChars="200"/>
        <w:jc w:val="left"/>
      </w:pP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pPr>
        <w:adjustRightInd w:val="0"/>
        <w:snapToGrid w:val="0"/>
        <w:spacing w:line="360" w:lineRule="auto"/>
        <w:ind w:firstLine="420" w:firstLineChars="200"/>
        <w:jc w:val="left"/>
      </w:pPr>
      <w:r>
        <w:rPr>
          <w:rFonts w:hint="eastAsia"/>
        </w:rPr>
        <w:t>6.5.4 跌落</w:t>
      </w:r>
      <w:r>
        <w:rPr>
          <w:rFonts w:hint="eastAsia"/>
          <w:kern w:val="0"/>
          <w:szCs w:val="21"/>
        </w:rPr>
        <w:t>性能试验</w:t>
      </w:r>
    </w:p>
    <w:p>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90"/>
    <w:bookmarkEnd w:id="91"/>
    <w:bookmarkEnd w:id="92"/>
    <w:p>
      <w:pPr>
        <w:spacing w:line="480" w:lineRule="auto"/>
        <w:outlineLvl w:val="0"/>
        <w:rPr>
          <w:rFonts w:eastAsia="黑体"/>
          <w:b/>
          <w:bCs/>
          <w:szCs w:val="21"/>
        </w:rPr>
      </w:pPr>
      <w:bookmarkStart w:id="93" w:name="_Toc222993075"/>
      <w:bookmarkStart w:id="94" w:name="_Toc5506"/>
      <w:bookmarkStart w:id="95" w:name="_Toc76025497"/>
      <w:bookmarkStart w:id="96" w:name="_Toc11570"/>
      <w:bookmarkStart w:id="97" w:name="_Toc66780575"/>
      <w:bookmarkStart w:id="98" w:name="_Toc21680"/>
      <w:r>
        <w:rPr>
          <w:rFonts w:eastAsia="黑体"/>
          <w:b/>
          <w:bCs/>
          <w:szCs w:val="21"/>
        </w:rPr>
        <w:t xml:space="preserve">7 </w:t>
      </w:r>
      <w:r>
        <w:rPr>
          <w:rFonts w:hint="eastAsia" w:eastAsia="黑体"/>
          <w:b/>
          <w:bCs/>
          <w:szCs w:val="21"/>
        </w:rPr>
        <w:t>检验规则</w:t>
      </w:r>
      <w:bookmarkEnd w:id="93"/>
    </w:p>
    <w:p>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94"/>
      <w:bookmarkEnd w:id="95"/>
      <w:bookmarkEnd w:id="96"/>
      <w:bookmarkEnd w:id="97"/>
      <w:bookmarkEnd w:id="98"/>
    </w:p>
    <w:p>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pPr>
              <w:jc w:val="center"/>
              <w:rPr>
                <w:kern w:val="0"/>
                <w:sz w:val="20"/>
                <w:szCs w:val="20"/>
              </w:rPr>
            </w:pPr>
            <w:r>
              <w:rPr>
                <w:kern w:val="0"/>
                <w:sz w:val="20"/>
                <w:szCs w:val="20"/>
              </w:rPr>
              <w:t>试验项目</w:t>
            </w:r>
          </w:p>
        </w:tc>
        <w:tc>
          <w:tcPr>
            <w:tcW w:w="5362" w:type="dxa"/>
            <w:gridSpan w:val="6"/>
            <w:vAlign w:val="center"/>
          </w:tcPr>
          <w:p>
            <w:pPr>
              <w:jc w:val="center"/>
              <w:rPr>
                <w:kern w:val="0"/>
                <w:sz w:val="20"/>
                <w:szCs w:val="20"/>
              </w:rPr>
            </w:pPr>
            <w:r>
              <w:rPr>
                <w:rFonts w:hint="eastAsia"/>
                <w:kern w:val="0"/>
                <w:sz w:val="20"/>
                <w:szCs w:val="20"/>
              </w:rPr>
              <w:t>试验类型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pPr>
              <w:widowControl/>
              <w:jc w:val="center"/>
              <w:rPr>
                <w:kern w:val="0"/>
                <w:sz w:val="20"/>
                <w:szCs w:val="20"/>
              </w:rPr>
            </w:pPr>
          </w:p>
        </w:tc>
        <w:tc>
          <w:tcPr>
            <w:tcW w:w="917" w:type="dxa"/>
            <w:vAlign w:val="center"/>
          </w:tcPr>
          <w:p>
            <w:pPr>
              <w:jc w:val="center"/>
              <w:rPr>
                <w:kern w:val="0"/>
                <w:sz w:val="20"/>
                <w:szCs w:val="20"/>
              </w:rPr>
            </w:pPr>
            <w:r>
              <w:rPr>
                <w:rFonts w:hint="eastAsia"/>
                <w:kern w:val="0"/>
                <w:sz w:val="20"/>
                <w:szCs w:val="20"/>
              </w:rPr>
              <w:t>依据条款</w:t>
            </w:r>
          </w:p>
        </w:tc>
        <w:tc>
          <w:tcPr>
            <w:tcW w:w="960" w:type="dxa"/>
            <w:vAlign w:val="center"/>
          </w:tcPr>
          <w:p>
            <w:pPr>
              <w:jc w:val="center"/>
              <w:rPr>
                <w:kern w:val="0"/>
                <w:sz w:val="20"/>
                <w:szCs w:val="20"/>
              </w:rPr>
            </w:pPr>
            <w:r>
              <w:rPr>
                <w:rFonts w:hint="eastAsia"/>
                <w:kern w:val="0"/>
                <w:sz w:val="20"/>
                <w:szCs w:val="20"/>
              </w:rPr>
              <w:t>型式试验</w:t>
            </w:r>
          </w:p>
        </w:tc>
        <w:tc>
          <w:tcPr>
            <w:tcW w:w="845" w:type="dxa"/>
            <w:vAlign w:val="center"/>
          </w:tcPr>
          <w:p>
            <w:pPr>
              <w:jc w:val="center"/>
              <w:rPr>
                <w:kern w:val="0"/>
                <w:sz w:val="20"/>
                <w:szCs w:val="20"/>
              </w:rPr>
            </w:pPr>
            <w:r>
              <w:rPr>
                <w:rFonts w:hint="eastAsia"/>
                <w:kern w:val="0"/>
                <w:sz w:val="20"/>
                <w:szCs w:val="20"/>
              </w:rPr>
              <w:t>出厂试验</w:t>
            </w:r>
          </w:p>
        </w:tc>
        <w:tc>
          <w:tcPr>
            <w:tcW w:w="880" w:type="dxa"/>
            <w:vAlign w:val="center"/>
          </w:tcPr>
          <w:p>
            <w:pPr>
              <w:jc w:val="center"/>
              <w:rPr>
                <w:kern w:val="0"/>
                <w:sz w:val="20"/>
                <w:szCs w:val="20"/>
              </w:rPr>
            </w:pPr>
            <w:r>
              <w:rPr>
                <w:rFonts w:hint="eastAsia"/>
                <w:kern w:val="0"/>
                <w:sz w:val="20"/>
                <w:szCs w:val="20"/>
              </w:rPr>
              <w:t>送样检测</w:t>
            </w:r>
          </w:p>
        </w:tc>
        <w:tc>
          <w:tcPr>
            <w:tcW w:w="880" w:type="dxa"/>
            <w:vAlign w:val="center"/>
          </w:tcPr>
          <w:p>
            <w:pPr>
              <w:jc w:val="center"/>
              <w:rPr>
                <w:kern w:val="0"/>
                <w:sz w:val="20"/>
                <w:szCs w:val="20"/>
              </w:rPr>
            </w:pPr>
            <w:r>
              <w:rPr>
                <w:rFonts w:hint="eastAsia"/>
                <w:kern w:val="0"/>
                <w:sz w:val="20"/>
                <w:szCs w:val="20"/>
              </w:rPr>
              <w:t>专项抽检</w:t>
            </w:r>
          </w:p>
        </w:tc>
        <w:tc>
          <w:tcPr>
            <w:tcW w:w="880" w:type="dxa"/>
            <w:vAlign w:val="center"/>
          </w:tcPr>
          <w:p>
            <w:pPr>
              <w:jc w:val="center"/>
              <w:rPr>
                <w:kern w:val="0"/>
                <w:sz w:val="20"/>
                <w:szCs w:val="20"/>
              </w:rPr>
            </w:pPr>
            <w:r>
              <w:rPr>
                <w:rFonts w:hint="eastAsia"/>
                <w:kern w:val="0"/>
                <w:sz w:val="20"/>
                <w:szCs w:val="20"/>
              </w:rPr>
              <w:t>到货抽检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pPr>
              <w:widowControl/>
              <w:jc w:val="center"/>
              <w:rPr>
                <w:kern w:val="0"/>
                <w:sz w:val="20"/>
                <w:szCs w:val="20"/>
              </w:rPr>
            </w:pPr>
            <w:r>
              <w:rPr>
                <w:kern w:val="0"/>
                <w:sz w:val="20"/>
                <w:szCs w:val="20"/>
              </w:rPr>
              <w:t>一般要求</w:t>
            </w:r>
          </w:p>
        </w:tc>
        <w:tc>
          <w:tcPr>
            <w:tcW w:w="3427" w:type="dxa"/>
            <w:gridSpan w:val="2"/>
            <w:vAlign w:val="center"/>
          </w:tcPr>
          <w:p>
            <w:pPr>
              <w:widowControl/>
              <w:jc w:val="center"/>
              <w:rPr>
                <w:kern w:val="0"/>
                <w:sz w:val="20"/>
                <w:szCs w:val="20"/>
              </w:rPr>
            </w:pPr>
            <w:r>
              <w:rPr>
                <w:kern w:val="0"/>
                <w:sz w:val="20"/>
                <w:szCs w:val="20"/>
              </w:rPr>
              <w:t>外观特性试验</w:t>
            </w:r>
          </w:p>
        </w:tc>
        <w:tc>
          <w:tcPr>
            <w:tcW w:w="917" w:type="dxa"/>
            <w:vAlign w:val="center"/>
          </w:tcPr>
          <w:p>
            <w:pPr>
              <w:widowControl/>
              <w:jc w:val="center"/>
              <w:rPr>
                <w:kern w:val="0"/>
                <w:sz w:val="20"/>
                <w:szCs w:val="20"/>
              </w:rPr>
            </w:pPr>
            <w:r>
              <w:rPr>
                <w:rFonts w:hint="eastAsia"/>
                <w:kern w:val="0"/>
                <w:sz w:val="20"/>
                <w:szCs w:val="20"/>
              </w:rPr>
              <w:t>6.1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pPr>
              <w:widowControl/>
              <w:jc w:val="center"/>
              <w:rPr>
                <w:kern w:val="0"/>
                <w:sz w:val="20"/>
                <w:szCs w:val="20"/>
              </w:rPr>
            </w:pPr>
          </w:p>
        </w:tc>
        <w:tc>
          <w:tcPr>
            <w:tcW w:w="970" w:type="dxa"/>
            <w:vMerge w:val="restart"/>
            <w:vAlign w:val="center"/>
          </w:tcPr>
          <w:p>
            <w:pPr>
              <w:widowControl/>
              <w:jc w:val="center"/>
              <w:rPr>
                <w:kern w:val="0"/>
                <w:sz w:val="20"/>
                <w:szCs w:val="20"/>
              </w:rPr>
            </w:pPr>
            <w:r>
              <w:rPr>
                <w:kern w:val="0"/>
                <w:sz w:val="20"/>
                <w:szCs w:val="20"/>
              </w:rPr>
              <w:t>环境适应性</w:t>
            </w:r>
          </w:p>
        </w:tc>
        <w:tc>
          <w:tcPr>
            <w:tcW w:w="2457" w:type="dxa"/>
            <w:vAlign w:val="center"/>
          </w:tcPr>
          <w:p>
            <w:pPr>
              <w:widowControl/>
              <w:jc w:val="center"/>
              <w:rPr>
                <w:kern w:val="0"/>
                <w:sz w:val="20"/>
                <w:szCs w:val="20"/>
              </w:rPr>
            </w:pPr>
            <w:r>
              <w:rPr>
                <w:kern w:val="0"/>
                <w:sz w:val="20"/>
                <w:szCs w:val="20"/>
              </w:rPr>
              <w:t>低温环境适应性</w:t>
            </w:r>
          </w:p>
        </w:tc>
        <w:tc>
          <w:tcPr>
            <w:tcW w:w="917" w:type="dxa"/>
            <w:vAlign w:val="center"/>
          </w:tcPr>
          <w:p>
            <w:pPr>
              <w:jc w:val="center"/>
              <w:rPr>
                <w:sz w:val="20"/>
                <w:szCs w:val="22"/>
              </w:rPr>
            </w:pPr>
            <w:r>
              <w:rPr>
                <w:rFonts w:hint="eastAsia"/>
                <w:szCs w:val="21"/>
              </w:rPr>
              <w:t>6.2.1</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高温环境适应性</w:t>
            </w:r>
          </w:p>
        </w:tc>
        <w:tc>
          <w:tcPr>
            <w:tcW w:w="917" w:type="dxa"/>
            <w:vAlign w:val="center"/>
          </w:tcPr>
          <w:p>
            <w:pPr>
              <w:jc w:val="center"/>
              <w:rPr>
                <w:sz w:val="20"/>
                <w:szCs w:val="22"/>
              </w:rPr>
            </w:pPr>
            <w:r>
              <w:rPr>
                <w:rFonts w:hint="eastAsia"/>
                <w:szCs w:val="21"/>
              </w:rPr>
              <w:t>6.2.2</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温湿度振动综合环境适应性</w:t>
            </w:r>
          </w:p>
        </w:tc>
        <w:tc>
          <w:tcPr>
            <w:tcW w:w="917" w:type="dxa"/>
            <w:vAlign w:val="center"/>
          </w:tcPr>
          <w:p>
            <w:pPr>
              <w:jc w:val="center"/>
              <w:rPr>
                <w:sz w:val="20"/>
                <w:szCs w:val="22"/>
              </w:rPr>
            </w:pPr>
            <w:r>
              <w:rPr>
                <w:rFonts w:hint="eastAsia"/>
                <w:szCs w:val="21"/>
              </w:rPr>
              <w:t>6.2.3</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海拔适应性能试验</w:t>
            </w:r>
          </w:p>
        </w:tc>
        <w:tc>
          <w:tcPr>
            <w:tcW w:w="917" w:type="dxa"/>
            <w:vAlign w:val="center"/>
          </w:tcPr>
          <w:p>
            <w:pPr>
              <w:jc w:val="center"/>
              <w:rPr>
                <w:sz w:val="20"/>
                <w:szCs w:val="22"/>
              </w:rPr>
            </w:pPr>
            <w:r>
              <w:rPr>
                <w:rFonts w:hint="eastAsia"/>
                <w:szCs w:val="21"/>
              </w:rPr>
              <w:t>6.2.4</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抗风飞行性能试验</w:t>
            </w:r>
          </w:p>
        </w:tc>
        <w:tc>
          <w:tcPr>
            <w:tcW w:w="917" w:type="dxa"/>
            <w:vAlign w:val="center"/>
          </w:tcPr>
          <w:p>
            <w:pPr>
              <w:jc w:val="center"/>
              <w:rPr>
                <w:sz w:val="20"/>
                <w:szCs w:val="22"/>
              </w:rPr>
            </w:pPr>
            <w:r>
              <w:rPr>
                <w:rFonts w:hint="eastAsia"/>
                <w:szCs w:val="21"/>
              </w:rPr>
              <w:t>6.2.5</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抗雨飞行性能试验</w:t>
            </w:r>
          </w:p>
        </w:tc>
        <w:tc>
          <w:tcPr>
            <w:tcW w:w="917" w:type="dxa"/>
            <w:vAlign w:val="center"/>
          </w:tcPr>
          <w:p>
            <w:pPr>
              <w:jc w:val="center"/>
              <w:rPr>
                <w:sz w:val="20"/>
                <w:szCs w:val="22"/>
              </w:rPr>
            </w:pPr>
            <w:r>
              <w:rPr>
                <w:rFonts w:hint="eastAsia"/>
                <w:szCs w:val="21"/>
              </w:rPr>
              <w:t>6.2.6</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pPr>
              <w:jc w:val="center"/>
              <w:rPr>
                <w:sz w:val="20"/>
                <w:szCs w:val="22"/>
              </w:rPr>
            </w:pPr>
            <w:r>
              <w:rPr>
                <w:rFonts w:hint="eastAsia"/>
                <w:szCs w:val="21"/>
              </w:rPr>
              <w:t>6.2.7</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pPr>
              <w:widowControl/>
              <w:jc w:val="center"/>
              <w:rPr>
                <w:kern w:val="0"/>
                <w:sz w:val="20"/>
                <w:szCs w:val="20"/>
              </w:rPr>
            </w:pPr>
            <w:r>
              <w:rPr>
                <w:kern w:val="0"/>
                <w:sz w:val="20"/>
                <w:szCs w:val="20"/>
              </w:rPr>
              <w:t>功能要求</w:t>
            </w:r>
          </w:p>
        </w:tc>
        <w:tc>
          <w:tcPr>
            <w:tcW w:w="970" w:type="dxa"/>
            <w:vMerge w:val="restart"/>
            <w:vAlign w:val="center"/>
          </w:tcPr>
          <w:p>
            <w:pPr>
              <w:widowControl/>
              <w:jc w:val="center"/>
              <w:rPr>
                <w:kern w:val="0"/>
                <w:sz w:val="20"/>
                <w:szCs w:val="20"/>
              </w:rPr>
            </w:pPr>
            <w:r>
              <w:rPr>
                <w:rFonts w:hint="eastAsia"/>
                <w:kern w:val="0"/>
                <w:sz w:val="20"/>
                <w:szCs w:val="20"/>
              </w:rPr>
              <w:t>功能试验</w:t>
            </w:r>
          </w:p>
        </w:tc>
        <w:tc>
          <w:tcPr>
            <w:tcW w:w="2457" w:type="dxa"/>
            <w:vAlign w:val="center"/>
          </w:tcPr>
          <w:p>
            <w:pPr>
              <w:widowControl/>
              <w:jc w:val="center"/>
              <w:rPr>
                <w:kern w:val="0"/>
                <w:sz w:val="20"/>
                <w:szCs w:val="20"/>
              </w:rPr>
            </w:pPr>
            <w:r>
              <w:rPr>
                <w:kern w:val="0"/>
                <w:sz w:val="20"/>
                <w:szCs w:val="20"/>
              </w:rPr>
              <w:t>自检功能试验</w:t>
            </w:r>
          </w:p>
        </w:tc>
        <w:tc>
          <w:tcPr>
            <w:tcW w:w="917" w:type="dxa"/>
            <w:vAlign w:val="center"/>
          </w:tcPr>
          <w:p>
            <w:pPr>
              <w:widowControl/>
              <w:jc w:val="center"/>
              <w:rPr>
                <w:kern w:val="0"/>
                <w:sz w:val="20"/>
                <w:szCs w:val="20"/>
              </w:rPr>
            </w:pPr>
            <w:r>
              <w:rPr>
                <w:rFonts w:hint="eastAsia"/>
                <w:szCs w:val="21"/>
              </w:rPr>
              <w:t>6.3.1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任务规划功能试验</w:t>
            </w:r>
          </w:p>
        </w:tc>
        <w:tc>
          <w:tcPr>
            <w:tcW w:w="917" w:type="dxa"/>
            <w:vAlign w:val="center"/>
          </w:tcPr>
          <w:p>
            <w:pPr>
              <w:widowControl/>
              <w:jc w:val="center"/>
              <w:rPr>
                <w:kern w:val="0"/>
                <w:sz w:val="20"/>
                <w:szCs w:val="20"/>
              </w:rPr>
            </w:pPr>
            <w:r>
              <w:rPr>
                <w:rFonts w:hint="eastAsia"/>
                <w:szCs w:val="21"/>
              </w:rPr>
              <w:t>6.3.2</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飞行模式及切换功能试验</w:t>
            </w:r>
          </w:p>
        </w:tc>
        <w:tc>
          <w:tcPr>
            <w:tcW w:w="917" w:type="dxa"/>
            <w:vAlign w:val="center"/>
          </w:tcPr>
          <w:p>
            <w:pPr>
              <w:widowControl/>
              <w:jc w:val="center"/>
              <w:rPr>
                <w:kern w:val="0"/>
                <w:sz w:val="20"/>
                <w:szCs w:val="20"/>
              </w:rPr>
            </w:pPr>
            <w:r>
              <w:rPr>
                <w:rFonts w:hint="eastAsia"/>
                <w:szCs w:val="21"/>
              </w:rPr>
              <w:t>6.3.3</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导航定位偏差试验</w:t>
            </w:r>
          </w:p>
        </w:tc>
        <w:tc>
          <w:tcPr>
            <w:tcW w:w="917" w:type="dxa"/>
            <w:vAlign w:val="center"/>
          </w:tcPr>
          <w:p>
            <w:pPr>
              <w:widowControl/>
              <w:jc w:val="center"/>
              <w:rPr>
                <w:kern w:val="0"/>
                <w:sz w:val="20"/>
                <w:szCs w:val="20"/>
              </w:rPr>
            </w:pPr>
            <w:r>
              <w:rPr>
                <w:rFonts w:hint="eastAsia"/>
                <w:szCs w:val="21"/>
              </w:rPr>
              <w:t>6.3.4</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飞行控制偏差试验</w:t>
            </w:r>
          </w:p>
        </w:tc>
        <w:tc>
          <w:tcPr>
            <w:tcW w:w="917" w:type="dxa"/>
            <w:vAlign w:val="center"/>
          </w:tcPr>
          <w:p>
            <w:pPr>
              <w:widowControl/>
              <w:jc w:val="center"/>
              <w:rPr>
                <w:kern w:val="0"/>
                <w:sz w:val="20"/>
                <w:szCs w:val="20"/>
              </w:rPr>
            </w:pPr>
            <w:r>
              <w:rPr>
                <w:rFonts w:hint="eastAsia"/>
                <w:szCs w:val="21"/>
              </w:rPr>
              <w:t>6.3.5</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悬停控制偏差试验</w:t>
            </w:r>
          </w:p>
        </w:tc>
        <w:tc>
          <w:tcPr>
            <w:tcW w:w="917" w:type="dxa"/>
            <w:vAlign w:val="center"/>
          </w:tcPr>
          <w:p>
            <w:pPr>
              <w:widowControl/>
              <w:jc w:val="center"/>
              <w:rPr>
                <w:kern w:val="0"/>
                <w:sz w:val="20"/>
                <w:szCs w:val="20"/>
              </w:rPr>
            </w:pPr>
            <w:r>
              <w:rPr>
                <w:rFonts w:hint="eastAsia"/>
                <w:szCs w:val="21"/>
              </w:rPr>
              <w:t>6.3.6</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机头重定向功能试验</w:t>
            </w:r>
          </w:p>
        </w:tc>
        <w:tc>
          <w:tcPr>
            <w:tcW w:w="917" w:type="dxa"/>
            <w:vAlign w:val="center"/>
          </w:tcPr>
          <w:p>
            <w:pPr>
              <w:widowControl/>
              <w:jc w:val="center"/>
              <w:rPr>
                <w:kern w:val="0"/>
                <w:sz w:val="20"/>
                <w:szCs w:val="20"/>
              </w:rPr>
            </w:pPr>
            <w:r>
              <w:rPr>
                <w:rFonts w:hint="eastAsia"/>
                <w:szCs w:val="21"/>
              </w:rPr>
              <w:t>6.3.7</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一键返航功能试验</w:t>
            </w:r>
          </w:p>
        </w:tc>
        <w:tc>
          <w:tcPr>
            <w:tcW w:w="917" w:type="dxa"/>
            <w:vAlign w:val="center"/>
          </w:tcPr>
          <w:p>
            <w:pPr>
              <w:widowControl/>
              <w:jc w:val="center"/>
              <w:rPr>
                <w:kern w:val="0"/>
                <w:sz w:val="20"/>
                <w:szCs w:val="20"/>
              </w:rPr>
            </w:pPr>
            <w:r>
              <w:rPr>
                <w:rFonts w:hint="eastAsia"/>
                <w:szCs w:val="21"/>
              </w:rPr>
              <w:t>6.3.8</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链路中断返航功能试验</w:t>
            </w:r>
          </w:p>
        </w:tc>
        <w:tc>
          <w:tcPr>
            <w:tcW w:w="917" w:type="dxa"/>
            <w:vAlign w:val="center"/>
          </w:tcPr>
          <w:p>
            <w:pPr>
              <w:widowControl/>
              <w:jc w:val="center"/>
              <w:rPr>
                <w:kern w:val="0"/>
                <w:sz w:val="20"/>
                <w:szCs w:val="20"/>
              </w:rPr>
            </w:pPr>
            <w:r>
              <w:rPr>
                <w:rFonts w:hint="eastAsia"/>
                <w:szCs w:val="21"/>
              </w:rPr>
              <w:t>6.3.9</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飞行区域限制功能试验</w:t>
            </w:r>
          </w:p>
        </w:tc>
        <w:tc>
          <w:tcPr>
            <w:tcW w:w="917" w:type="dxa"/>
            <w:vAlign w:val="center"/>
          </w:tcPr>
          <w:p>
            <w:pPr>
              <w:widowControl/>
              <w:jc w:val="center"/>
              <w:rPr>
                <w:kern w:val="0"/>
                <w:sz w:val="20"/>
                <w:szCs w:val="20"/>
              </w:rPr>
            </w:pPr>
            <w:r>
              <w:rPr>
                <w:rFonts w:hint="eastAsia"/>
                <w:szCs w:val="21"/>
              </w:rPr>
              <w:t>6.3.10</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低电压报警功能试验</w:t>
            </w:r>
          </w:p>
        </w:tc>
        <w:tc>
          <w:tcPr>
            <w:tcW w:w="917" w:type="dxa"/>
            <w:vAlign w:val="center"/>
          </w:tcPr>
          <w:p>
            <w:pPr>
              <w:widowControl/>
              <w:jc w:val="center"/>
              <w:rPr>
                <w:kern w:val="0"/>
                <w:sz w:val="20"/>
                <w:szCs w:val="20"/>
              </w:rPr>
            </w:pPr>
            <w:r>
              <w:rPr>
                <w:rFonts w:hint="eastAsia"/>
                <w:szCs w:val="21"/>
              </w:rPr>
              <w:t>6.3.11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位置追踪功能试验</w:t>
            </w:r>
          </w:p>
        </w:tc>
        <w:tc>
          <w:tcPr>
            <w:tcW w:w="917" w:type="dxa"/>
            <w:vAlign w:val="center"/>
          </w:tcPr>
          <w:p>
            <w:pPr>
              <w:widowControl/>
              <w:jc w:val="center"/>
              <w:rPr>
                <w:kern w:val="0"/>
                <w:sz w:val="20"/>
                <w:szCs w:val="20"/>
              </w:rPr>
            </w:pPr>
            <w:r>
              <w:rPr>
                <w:rFonts w:hint="eastAsia"/>
                <w:szCs w:val="21"/>
              </w:rPr>
              <w:t>6.3.12</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拍照功能试验</w:t>
            </w:r>
          </w:p>
        </w:tc>
        <w:tc>
          <w:tcPr>
            <w:tcW w:w="917" w:type="dxa"/>
            <w:vAlign w:val="center"/>
          </w:tcPr>
          <w:p>
            <w:pPr>
              <w:widowControl/>
              <w:jc w:val="center"/>
              <w:rPr>
                <w:kern w:val="0"/>
                <w:sz w:val="20"/>
                <w:szCs w:val="20"/>
              </w:rPr>
            </w:pPr>
            <w:r>
              <w:rPr>
                <w:rFonts w:hint="eastAsia"/>
                <w:szCs w:val="21"/>
              </w:rPr>
              <w:t>6.3.13</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转动功能试验</w:t>
            </w:r>
          </w:p>
        </w:tc>
        <w:tc>
          <w:tcPr>
            <w:tcW w:w="917" w:type="dxa"/>
            <w:vAlign w:val="center"/>
          </w:tcPr>
          <w:p>
            <w:pPr>
              <w:widowControl/>
              <w:jc w:val="center"/>
              <w:rPr>
                <w:kern w:val="0"/>
                <w:sz w:val="20"/>
                <w:szCs w:val="20"/>
              </w:rPr>
            </w:pPr>
            <w:r>
              <w:rPr>
                <w:rFonts w:hint="eastAsia"/>
                <w:szCs w:val="21"/>
              </w:rPr>
              <w:t>6.3.14</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稳像精度试验</w:t>
            </w:r>
          </w:p>
        </w:tc>
        <w:tc>
          <w:tcPr>
            <w:tcW w:w="917" w:type="dxa"/>
            <w:vAlign w:val="center"/>
          </w:tcPr>
          <w:p>
            <w:pPr>
              <w:widowControl/>
              <w:jc w:val="center"/>
              <w:rPr>
                <w:kern w:val="0"/>
                <w:sz w:val="20"/>
                <w:szCs w:val="20"/>
              </w:rPr>
            </w:pPr>
            <w:r>
              <w:rPr>
                <w:rFonts w:hint="eastAsia"/>
                <w:szCs w:val="21"/>
              </w:rPr>
              <w:t>6.3.15</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可见光成像性能试验</w:t>
            </w:r>
          </w:p>
        </w:tc>
        <w:tc>
          <w:tcPr>
            <w:tcW w:w="917" w:type="dxa"/>
            <w:vAlign w:val="center"/>
          </w:tcPr>
          <w:p>
            <w:pPr>
              <w:widowControl/>
              <w:jc w:val="center"/>
              <w:rPr>
                <w:kern w:val="0"/>
                <w:sz w:val="20"/>
                <w:szCs w:val="20"/>
              </w:rPr>
            </w:pPr>
            <w:r>
              <w:rPr>
                <w:rFonts w:hint="eastAsia"/>
                <w:szCs w:val="21"/>
              </w:rPr>
              <w:t>6.3.16</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红外成像性能试验</w:t>
            </w:r>
          </w:p>
        </w:tc>
        <w:tc>
          <w:tcPr>
            <w:tcW w:w="917" w:type="dxa"/>
            <w:vAlign w:val="center"/>
          </w:tcPr>
          <w:p>
            <w:pPr>
              <w:widowControl/>
              <w:jc w:val="center"/>
              <w:rPr>
                <w:szCs w:val="21"/>
              </w:rPr>
            </w:pPr>
            <w:r>
              <w:rPr>
                <w:rFonts w:hint="eastAsia"/>
                <w:szCs w:val="21"/>
              </w:rPr>
              <w:t>6.3.17</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跟踪精度试验</w:t>
            </w:r>
          </w:p>
        </w:tc>
        <w:tc>
          <w:tcPr>
            <w:tcW w:w="917" w:type="dxa"/>
            <w:vAlign w:val="center"/>
          </w:tcPr>
          <w:p>
            <w:pPr>
              <w:widowControl/>
              <w:jc w:val="center"/>
              <w:rPr>
                <w:kern w:val="0"/>
                <w:sz w:val="20"/>
                <w:szCs w:val="20"/>
              </w:rPr>
            </w:pPr>
            <w:r>
              <w:rPr>
                <w:rFonts w:hint="eastAsia"/>
                <w:szCs w:val="21"/>
              </w:rPr>
              <w:t>6.3.18</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pPr>
              <w:widowControl/>
              <w:jc w:val="center"/>
              <w:rPr>
                <w:kern w:val="0"/>
                <w:sz w:val="20"/>
                <w:szCs w:val="20"/>
              </w:rPr>
            </w:pPr>
            <w:r>
              <w:rPr>
                <w:kern w:val="0"/>
                <w:sz w:val="20"/>
                <w:szCs w:val="20"/>
              </w:rPr>
              <w:t>性能要求</w:t>
            </w:r>
          </w:p>
        </w:tc>
        <w:tc>
          <w:tcPr>
            <w:tcW w:w="970" w:type="dxa"/>
            <w:vMerge w:val="restart"/>
            <w:vAlign w:val="center"/>
          </w:tcPr>
          <w:p>
            <w:pPr>
              <w:widowControl/>
              <w:jc w:val="center"/>
              <w:rPr>
                <w:kern w:val="0"/>
                <w:sz w:val="20"/>
                <w:szCs w:val="20"/>
              </w:rPr>
            </w:pPr>
            <w:r>
              <w:rPr>
                <w:kern w:val="0"/>
                <w:sz w:val="20"/>
                <w:szCs w:val="20"/>
              </w:rPr>
              <w:t>抗电磁干扰性能</w:t>
            </w:r>
          </w:p>
        </w:tc>
        <w:tc>
          <w:tcPr>
            <w:tcW w:w="2457" w:type="dxa"/>
            <w:vAlign w:val="center"/>
          </w:tcPr>
          <w:p>
            <w:pPr>
              <w:widowControl/>
              <w:jc w:val="center"/>
              <w:rPr>
                <w:kern w:val="0"/>
                <w:sz w:val="20"/>
                <w:szCs w:val="20"/>
              </w:rPr>
            </w:pPr>
            <w:r>
              <w:rPr>
                <w:kern w:val="0"/>
                <w:sz w:val="20"/>
                <w:szCs w:val="20"/>
              </w:rPr>
              <w:t>射频电磁场辐射抗扰度</w:t>
            </w:r>
          </w:p>
        </w:tc>
        <w:tc>
          <w:tcPr>
            <w:tcW w:w="917" w:type="dxa"/>
            <w:vAlign w:val="center"/>
          </w:tcPr>
          <w:p>
            <w:pPr>
              <w:widowControl/>
              <w:jc w:val="center"/>
              <w:rPr>
                <w:sz w:val="20"/>
                <w:szCs w:val="22"/>
              </w:rPr>
            </w:pPr>
            <w:r>
              <w:rPr>
                <w:rFonts w:hint="eastAsia"/>
                <w:szCs w:val="21"/>
              </w:rPr>
              <w:t>6.4.1</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静电放电抗扰度</w:t>
            </w:r>
          </w:p>
        </w:tc>
        <w:tc>
          <w:tcPr>
            <w:tcW w:w="917" w:type="dxa"/>
            <w:vAlign w:val="center"/>
          </w:tcPr>
          <w:p>
            <w:pPr>
              <w:jc w:val="center"/>
              <w:rPr>
                <w:sz w:val="20"/>
                <w:szCs w:val="22"/>
              </w:rPr>
            </w:pPr>
            <w:r>
              <w:rPr>
                <w:rFonts w:hint="eastAsia"/>
                <w:szCs w:val="21"/>
              </w:rPr>
              <w:t>6.4.2</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脉冲磁场抗扰度</w:t>
            </w:r>
          </w:p>
        </w:tc>
        <w:tc>
          <w:tcPr>
            <w:tcW w:w="917" w:type="dxa"/>
            <w:vAlign w:val="center"/>
          </w:tcPr>
          <w:p>
            <w:pPr>
              <w:jc w:val="center"/>
              <w:rPr>
                <w:sz w:val="20"/>
                <w:szCs w:val="22"/>
              </w:rPr>
            </w:pPr>
            <w:r>
              <w:rPr>
                <w:rFonts w:hint="eastAsia"/>
                <w:szCs w:val="21"/>
              </w:rPr>
              <w:t>6.4.3</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工频磁场抗扰度</w:t>
            </w:r>
          </w:p>
        </w:tc>
        <w:tc>
          <w:tcPr>
            <w:tcW w:w="917" w:type="dxa"/>
            <w:vAlign w:val="center"/>
          </w:tcPr>
          <w:p>
            <w:pPr>
              <w:jc w:val="center"/>
              <w:rPr>
                <w:sz w:val="20"/>
                <w:szCs w:val="22"/>
              </w:rPr>
            </w:pPr>
            <w:r>
              <w:rPr>
                <w:rFonts w:hint="eastAsia"/>
                <w:szCs w:val="21"/>
              </w:rPr>
              <w:t>6.4.4</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pPr>
              <w:widowControl/>
              <w:jc w:val="center"/>
              <w:rPr>
                <w:kern w:val="0"/>
                <w:sz w:val="20"/>
                <w:szCs w:val="20"/>
              </w:rPr>
            </w:pPr>
          </w:p>
        </w:tc>
        <w:tc>
          <w:tcPr>
            <w:tcW w:w="970" w:type="dxa"/>
            <w:vMerge w:val="restart"/>
            <w:vAlign w:val="center"/>
          </w:tcPr>
          <w:p>
            <w:pPr>
              <w:widowControl/>
              <w:jc w:val="center"/>
              <w:rPr>
                <w:kern w:val="0"/>
                <w:sz w:val="20"/>
                <w:szCs w:val="20"/>
              </w:rPr>
            </w:pPr>
            <w:r>
              <w:rPr>
                <w:rFonts w:hint="eastAsia"/>
                <w:kern w:val="0"/>
                <w:sz w:val="20"/>
                <w:szCs w:val="20"/>
              </w:rPr>
              <w:t>性能试验</w:t>
            </w:r>
          </w:p>
        </w:tc>
        <w:tc>
          <w:tcPr>
            <w:tcW w:w="2457" w:type="dxa"/>
            <w:vAlign w:val="center"/>
          </w:tcPr>
          <w:p>
            <w:pPr>
              <w:widowControl/>
              <w:jc w:val="center"/>
              <w:rPr>
                <w:kern w:val="0"/>
                <w:sz w:val="20"/>
                <w:szCs w:val="20"/>
              </w:rPr>
            </w:pPr>
            <w:r>
              <w:rPr>
                <w:kern w:val="0"/>
                <w:sz w:val="20"/>
                <w:szCs w:val="20"/>
              </w:rPr>
              <w:t>地面站软件性能试验</w:t>
            </w:r>
          </w:p>
        </w:tc>
        <w:tc>
          <w:tcPr>
            <w:tcW w:w="917" w:type="dxa"/>
            <w:vAlign w:val="center"/>
          </w:tcPr>
          <w:p>
            <w:pPr>
              <w:widowControl/>
              <w:jc w:val="center"/>
              <w:rPr>
                <w:szCs w:val="21"/>
              </w:rPr>
            </w:pPr>
            <w:r>
              <w:rPr>
                <w:rFonts w:hint="eastAsia"/>
                <w:szCs w:val="21"/>
              </w:rPr>
              <w:t>6.5.1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pPr>
              <w:widowControl/>
              <w:jc w:val="center"/>
              <w:rPr>
                <w:szCs w:val="21"/>
              </w:rPr>
            </w:pPr>
            <w:r>
              <w:rPr>
                <w:rFonts w:hint="eastAsia"/>
                <w:szCs w:val="21"/>
              </w:rPr>
              <w:t>6.5.2</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pPr>
              <w:widowControl/>
              <w:jc w:val="center"/>
              <w:rPr>
                <w:szCs w:val="21"/>
              </w:rPr>
            </w:pPr>
            <w:r>
              <w:rPr>
                <w:rFonts w:hint="eastAsia"/>
                <w:szCs w:val="21"/>
              </w:rPr>
              <w:t>6.5.3</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跌落性能试验</w:t>
            </w:r>
          </w:p>
        </w:tc>
        <w:tc>
          <w:tcPr>
            <w:tcW w:w="917" w:type="dxa"/>
            <w:vAlign w:val="center"/>
          </w:tcPr>
          <w:p>
            <w:pPr>
              <w:widowControl/>
              <w:jc w:val="center"/>
              <w:rPr>
                <w:szCs w:val="21"/>
              </w:rPr>
            </w:pPr>
            <w:r>
              <w:rPr>
                <w:rFonts w:hint="eastAsia"/>
                <w:szCs w:val="21"/>
              </w:rPr>
              <w:t>6.5.4</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bl>
    <w:p>
      <w:pPr>
        <w:pStyle w:val="452"/>
        <w:numPr>
          <w:ilvl w:val="0"/>
          <w:numId w:val="0"/>
        </w:numPr>
        <w:ind w:left="425"/>
        <w:rPr>
          <w:rFonts w:cs="Times New Roman"/>
          <w:color w:val="auto"/>
        </w:rPr>
      </w:pPr>
      <w:r>
        <w:rPr>
          <w:rFonts w:cs="Times New Roman"/>
          <w:color w:val="auto"/>
        </w:rPr>
        <w:t>备注：</w:t>
      </w:r>
    </w:p>
    <w:p>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pPr>
        <w:pStyle w:val="452"/>
        <w:numPr>
          <w:ilvl w:val="0"/>
          <w:numId w:val="33"/>
        </w:numPr>
        <w:tabs>
          <w:tab w:val="clear" w:pos="900"/>
        </w:tabs>
        <w:spacing w:before="0" w:after="0" w:line="240" w:lineRule="auto"/>
        <w:ind w:left="780" w:hanging="360"/>
        <w:rPr>
          <w:rFonts w:cs="Times New Roman"/>
          <w:color w:val="auto"/>
        </w:rPr>
      </w:pPr>
      <w:r>
        <w:rPr>
          <w:rFonts w:cs="Times New Roman"/>
          <w:color w:val="auto"/>
          <w:sz w:val="18"/>
          <w:szCs w:val="18"/>
        </w:rPr>
        <w:t>第三方试验由具备相应试验项目资质的机构开展。</w:t>
      </w:r>
    </w:p>
    <w:p>
      <w:pPr>
        <w:adjustRightInd w:val="0"/>
        <w:snapToGrid w:val="0"/>
        <w:spacing w:line="360" w:lineRule="auto"/>
        <w:ind w:firstLine="360" w:firstLineChars="200"/>
        <w:rPr>
          <w:szCs w:val="21"/>
        </w:rPr>
      </w:pPr>
      <w:r>
        <w:rPr>
          <w:sz w:val="18"/>
          <w:szCs w:val="18"/>
        </w:rPr>
        <w:t>出厂试验由供货方开展</w:t>
      </w:r>
      <w:r>
        <w:rPr>
          <w:rFonts w:hint="eastAsia"/>
          <w:szCs w:val="21"/>
        </w:rPr>
        <w:t>。</w:t>
      </w:r>
    </w:p>
    <w:p>
      <w:pPr>
        <w:spacing w:line="480" w:lineRule="auto"/>
        <w:outlineLvl w:val="0"/>
        <w:rPr>
          <w:rFonts w:eastAsia="黑体"/>
          <w:b/>
          <w:bCs/>
          <w:szCs w:val="21"/>
        </w:rPr>
      </w:pPr>
      <w:bookmarkStart w:id="99" w:name="_Toc27494"/>
      <w:bookmarkStart w:id="100" w:name="_Toc76025498"/>
      <w:bookmarkStart w:id="101" w:name="_Toc9628"/>
      <w:bookmarkStart w:id="102" w:name="_Toc222993076"/>
      <w:r>
        <w:rPr>
          <w:rFonts w:eastAsia="黑体"/>
          <w:b/>
          <w:bCs/>
          <w:szCs w:val="21"/>
        </w:rPr>
        <w:t>8 技术联络、技术培训及售后服务</w:t>
      </w:r>
      <w:bookmarkEnd w:id="99"/>
      <w:bookmarkEnd w:id="100"/>
      <w:bookmarkEnd w:id="101"/>
      <w:bookmarkEnd w:id="102"/>
    </w:p>
    <w:p>
      <w:pPr>
        <w:pStyle w:val="3"/>
        <w:spacing w:before="0" w:after="0" w:line="360" w:lineRule="auto"/>
        <w:rPr>
          <w:rFonts w:ascii="Times New Roman" w:hAnsi="Times New Roman" w:eastAsia="黑体"/>
          <w:b w:val="0"/>
          <w:bCs/>
          <w:szCs w:val="21"/>
        </w:rPr>
      </w:pPr>
      <w:bookmarkStart w:id="103" w:name="_Toc2212"/>
      <w:bookmarkStart w:id="104" w:name="_Toc76025499"/>
      <w:bookmarkStart w:id="105" w:name="_Toc11986"/>
      <w:bookmarkStart w:id="106" w:name="_Toc222993077"/>
      <w:r>
        <w:rPr>
          <w:rFonts w:hint="eastAsia" w:ascii="Times New Roman" w:hAnsi="Times New Roman" w:eastAsia="黑体"/>
          <w:b w:val="0"/>
          <w:bCs/>
          <w:szCs w:val="21"/>
        </w:rPr>
        <w:t>8.1 技术培训</w:t>
      </w:r>
      <w:bookmarkEnd w:id="103"/>
      <w:bookmarkEnd w:id="104"/>
      <w:bookmarkEnd w:id="105"/>
      <w:bookmarkEnd w:id="106"/>
    </w:p>
    <w:p>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pPr>
        <w:spacing w:line="360" w:lineRule="auto"/>
        <w:ind w:firstLine="420" w:firstLineChars="200"/>
        <w:rPr>
          <w:szCs w:val="21"/>
        </w:rPr>
      </w:pPr>
      <w:r>
        <w:rPr>
          <w:rFonts w:hint="eastAsia"/>
          <w:szCs w:val="21"/>
        </w:rPr>
        <w:t>8.1.2 投标方提供培训应分为工厂培训和现场培训两种；</w:t>
      </w:r>
    </w:p>
    <w:p>
      <w:pPr>
        <w:spacing w:line="360" w:lineRule="auto"/>
        <w:ind w:firstLine="420" w:firstLineChars="200"/>
        <w:rPr>
          <w:szCs w:val="21"/>
        </w:rPr>
      </w:pPr>
      <w:r>
        <w:rPr>
          <w:rFonts w:hint="eastAsia"/>
          <w:szCs w:val="21"/>
        </w:rPr>
        <w:t>8.1.3 投标方提供培训教师、培训安排、培训教材及培训设备；</w:t>
      </w:r>
    </w:p>
    <w:p>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pPr>
        <w:spacing w:line="360" w:lineRule="auto"/>
        <w:ind w:firstLine="420" w:firstLineChars="200"/>
        <w:rPr>
          <w:szCs w:val="21"/>
        </w:rPr>
      </w:pPr>
      <w:r>
        <w:rPr>
          <w:rFonts w:hint="eastAsia"/>
          <w:szCs w:val="21"/>
        </w:rPr>
        <w:t>8.1.6 培训人员每次不少3人。</w:t>
      </w:r>
    </w:p>
    <w:p>
      <w:pPr>
        <w:pStyle w:val="3"/>
        <w:spacing w:before="0" w:after="0" w:line="360" w:lineRule="auto"/>
        <w:rPr>
          <w:rFonts w:ascii="Times New Roman" w:hAnsi="Times New Roman" w:eastAsia="黑体"/>
          <w:b w:val="0"/>
          <w:bCs/>
          <w:szCs w:val="21"/>
        </w:rPr>
      </w:pPr>
      <w:bookmarkStart w:id="107" w:name="_Toc76025500"/>
      <w:bookmarkStart w:id="108" w:name="_Toc23280"/>
      <w:bookmarkStart w:id="109" w:name="_Toc16410"/>
      <w:bookmarkStart w:id="110" w:name="_Toc222993078"/>
      <w:r>
        <w:rPr>
          <w:rFonts w:hint="eastAsia" w:ascii="Times New Roman" w:hAnsi="Times New Roman" w:eastAsia="黑体"/>
          <w:b w:val="0"/>
          <w:bCs/>
          <w:szCs w:val="21"/>
        </w:rPr>
        <w:t>8.2 现场及远程技术服务</w:t>
      </w:r>
      <w:bookmarkEnd w:id="107"/>
      <w:bookmarkEnd w:id="108"/>
      <w:bookmarkEnd w:id="109"/>
      <w:bookmarkEnd w:id="110"/>
    </w:p>
    <w:p>
      <w:pPr>
        <w:spacing w:line="360" w:lineRule="auto"/>
        <w:ind w:firstLine="420" w:firstLineChars="200"/>
        <w:rPr>
          <w:szCs w:val="21"/>
        </w:rPr>
      </w:pPr>
      <w:r>
        <w:rPr>
          <w:rFonts w:hint="eastAsia"/>
          <w:szCs w:val="21"/>
        </w:rPr>
        <w:t>8.2.1 投标方派出的工程师，在设备的安装接线、调试和测试期间，应负责指导。</w:t>
      </w:r>
    </w:p>
    <w:p>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pPr>
        <w:pStyle w:val="3"/>
        <w:spacing w:before="0" w:after="0" w:line="360" w:lineRule="auto"/>
        <w:rPr>
          <w:rFonts w:ascii="Times New Roman" w:hAnsi="Times New Roman" w:eastAsia="黑体"/>
          <w:b w:val="0"/>
          <w:bCs/>
          <w:szCs w:val="21"/>
        </w:rPr>
      </w:pPr>
      <w:bookmarkStart w:id="111" w:name="_Toc222993079"/>
      <w:bookmarkStart w:id="112" w:name="_Toc3146"/>
      <w:bookmarkStart w:id="113" w:name="_Toc26710"/>
      <w:bookmarkStart w:id="114" w:name="_Toc76025501"/>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111"/>
      <w:bookmarkEnd w:id="112"/>
      <w:bookmarkEnd w:id="113"/>
      <w:bookmarkEnd w:id="114"/>
    </w:p>
    <w:p>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pPr>
        <w:spacing w:line="360" w:lineRule="auto"/>
        <w:ind w:firstLine="420" w:firstLineChars="200"/>
        <w:rPr>
          <w:szCs w:val="21"/>
        </w:rPr>
      </w:pPr>
      <w:r>
        <w:rPr>
          <w:rFonts w:hint="eastAsia"/>
          <w:szCs w:val="21"/>
        </w:rPr>
        <w:t>8.3.</w:t>
      </w:r>
      <w:r>
        <w:rPr>
          <w:rFonts w:hint="eastAsia"/>
          <w:szCs w:val="21"/>
          <w:lang w:val="en-US" w:eastAsia="zh-CN"/>
        </w:rPr>
        <w:t>3</w:t>
      </w:r>
      <w:r>
        <w:rPr>
          <w:rFonts w:hint="eastAsia"/>
          <w:szCs w:val="21"/>
        </w:rPr>
        <w:t xml:space="preserve"> 投标单位应提高售后处理服务水平和质量，质保期内在接到使用单位报障后，应在15日内处理完毕，确保使用单位策略按时完成。</w:t>
      </w:r>
    </w:p>
    <w:p>
      <w:pPr>
        <w:spacing w:line="480" w:lineRule="auto"/>
        <w:outlineLvl w:val="0"/>
        <w:rPr>
          <w:rFonts w:eastAsia="黑体"/>
          <w:b/>
          <w:bCs/>
          <w:szCs w:val="21"/>
        </w:rPr>
      </w:pPr>
      <w:bookmarkStart w:id="115" w:name="_Toc76025502"/>
      <w:bookmarkStart w:id="116" w:name="_Toc28748"/>
      <w:bookmarkStart w:id="117" w:name="_Toc347154882"/>
      <w:bookmarkStart w:id="118" w:name="_Toc356999080"/>
      <w:bookmarkStart w:id="119" w:name="_Toc222993080"/>
      <w:bookmarkStart w:id="120" w:name="_Toc20285"/>
      <w:bookmarkStart w:id="121" w:name="_Toc265313600"/>
      <w:r>
        <w:rPr>
          <w:rFonts w:eastAsia="黑体"/>
          <w:b/>
          <w:bCs/>
          <w:szCs w:val="21"/>
        </w:rPr>
        <w:t>9 标志、包装、运输、贮存</w:t>
      </w:r>
      <w:bookmarkEnd w:id="115"/>
      <w:bookmarkEnd w:id="116"/>
      <w:bookmarkEnd w:id="117"/>
      <w:bookmarkEnd w:id="118"/>
      <w:bookmarkEnd w:id="119"/>
      <w:bookmarkEnd w:id="120"/>
    </w:p>
    <w:bookmarkEnd w:id="121"/>
    <w:p>
      <w:pPr>
        <w:pStyle w:val="3"/>
        <w:keepNext w:val="0"/>
        <w:tabs>
          <w:tab w:val="left" w:pos="576"/>
        </w:tabs>
        <w:adjustRightInd w:val="0"/>
        <w:snapToGrid w:val="0"/>
        <w:spacing w:before="0" w:after="0" w:line="360" w:lineRule="auto"/>
        <w:rPr>
          <w:rFonts w:hint="eastAsia" w:ascii="黑体" w:hAnsi="黑体" w:eastAsia="黑体"/>
          <w:szCs w:val="21"/>
        </w:rPr>
      </w:pPr>
      <w:bookmarkStart w:id="122" w:name="_Toc22883"/>
      <w:bookmarkStart w:id="123" w:name="_Toc20607"/>
      <w:bookmarkStart w:id="124" w:name="_Toc276492436"/>
      <w:bookmarkStart w:id="125" w:name="_Toc282433760"/>
      <w:bookmarkStart w:id="126" w:name="_Toc387609309"/>
      <w:bookmarkStart w:id="127" w:name="_Toc222993081"/>
      <w:bookmarkStart w:id="128" w:name="_Toc279695209"/>
      <w:bookmarkStart w:id="129" w:name="_Toc276301528"/>
      <w:bookmarkStart w:id="130" w:name="_Toc76025503"/>
      <w:bookmarkStart w:id="131" w:name="_Toc441508857"/>
      <w:bookmarkStart w:id="132" w:name="_Toc282993364"/>
      <w:bookmarkStart w:id="133" w:name="_Toc66780580"/>
      <w:bookmarkStart w:id="134" w:name="_Toc276490918"/>
      <w:bookmarkStart w:id="135" w:name="_Toc322681878"/>
      <w:r>
        <w:rPr>
          <w:rFonts w:ascii="黑体" w:hAnsi="黑体" w:eastAsia="黑体"/>
          <w:szCs w:val="21"/>
        </w:rPr>
        <w:t xml:space="preserve">9.1 </w:t>
      </w:r>
      <w:r>
        <w:rPr>
          <w:rFonts w:hint="eastAsia" w:ascii="黑体" w:hAnsi="黑体" w:eastAsia="黑体"/>
          <w:szCs w:val="21"/>
        </w:rPr>
        <w:t>包装</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adjustRightInd w:val="0"/>
        <w:snapToGrid w:val="0"/>
        <w:spacing w:line="360" w:lineRule="auto"/>
        <w:ind w:firstLine="420" w:firstLineChars="200"/>
        <w:rPr>
          <w:szCs w:val="21"/>
        </w:rPr>
      </w:pPr>
      <w:bookmarkStart w:id="136" w:name="_Toc276490919"/>
      <w:bookmarkStart w:id="137" w:name="_Toc276301529"/>
      <w:bookmarkStart w:id="138" w:name="_Toc276492437"/>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pPr>
        <w:adjustRightInd w:val="0"/>
        <w:snapToGrid w:val="0"/>
        <w:spacing w:line="360" w:lineRule="auto"/>
        <w:ind w:firstLine="630" w:firstLineChars="300"/>
        <w:rPr>
          <w:szCs w:val="21"/>
        </w:rPr>
      </w:pPr>
      <w:r>
        <w:rPr>
          <w:rFonts w:hint="eastAsia"/>
          <w:szCs w:val="21"/>
        </w:rPr>
        <w:t>a.合同号</w:t>
      </w:r>
      <w:r>
        <w:rPr>
          <w:szCs w:val="21"/>
        </w:rPr>
        <w:t>；</w:t>
      </w:r>
    </w:p>
    <w:p>
      <w:pPr>
        <w:adjustRightInd w:val="0"/>
        <w:snapToGrid w:val="0"/>
        <w:spacing w:line="360" w:lineRule="auto"/>
        <w:ind w:firstLine="630" w:firstLineChars="300"/>
        <w:rPr>
          <w:szCs w:val="21"/>
        </w:rPr>
      </w:pPr>
      <w:r>
        <w:rPr>
          <w:rFonts w:hint="eastAsia"/>
          <w:szCs w:val="21"/>
        </w:rPr>
        <w:t>d.收货人及代码</w:t>
      </w:r>
      <w:r>
        <w:rPr>
          <w:szCs w:val="21"/>
        </w:rPr>
        <w:t>；</w:t>
      </w:r>
    </w:p>
    <w:p>
      <w:pPr>
        <w:adjustRightInd w:val="0"/>
        <w:snapToGrid w:val="0"/>
        <w:spacing w:line="360" w:lineRule="auto"/>
        <w:ind w:firstLine="630" w:firstLineChars="300"/>
        <w:rPr>
          <w:szCs w:val="21"/>
        </w:rPr>
      </w:pPr>
      <w:r>
        <w:rPr>
          <w:rFonts w:hint="eastAsia"/>
          <w:szCs w:val="21"/>
        </w:rPr>
        <w:t>e.设备名称和项目号</w:t>
      </w:r>
      <w:r>
        <w:rPr>
          <w:szCs w:val="21"/>
        </w:rPr>
        <w:t>；</w:t>
      </w:r>
    </w:p>
    <w:p>
      <w:pPr>
        <w:adjustRightInd w:val="0"/>
        <w:snapToGrid w:val="0"/>
        <w:spacing w:line="360" w:lineRule="auto"/>
        <w:ind w:firstLine="630" w:firstLineChars="300"/>
        <w:rPr>
          <w:szCs w:val="21"/>
        </w:rPr>
      </w:pPr>
      <w:r>
        <w:rPr>
          <w:rFonts w:hint="eastAsia"/>
          <w:szCs w:val="21"/>
        </w:rPr>
        <w:t>f.箱号</w:t>
      </w:r>
      <w:r>
        <w:rPr>
          <w:szCs w:val="21"/>
        </w:rPr>
        <w:t>；</w:t>
      </w:r>
    </w:p>
    <w:p>
      <w:pPr>
        <w:adjustRightInd w:val="0"/>
        <w:snapToGrid w:val="0"/>
        <w:spacing w:line="360" w:lineRule="auto"/>
        <w:ind w:firstLine="630" w:firstLineChars="300"/>
        <w:rPr>
          <w:szCs w:val="21"/>
        </w:rPr>
      </w:pPr>
      <w:r>
        <w:rPr>
          <w:rFonts w:hint="eastAsia"/>
          <w:szCs w:val="21"/>
        </w:rPr>
        <w:t>g.毛重与净重</w:t>
      </w:r>
      <w:r>
        <w:rPr>
          <w:szCs w:val="21"/>
        </w:rPr>
        <w:t>；</w:t>
      </w:r>
    </w:p>
    <w:p>
      <w:pPr>
        <w:adjustRightInd w:val="0"/>
        <w:snapToGrid w:val="0"/>
        <w:spacing w:line="360" w:lineRule="auto"/>
        <w:ind w:firstLine="630" w:firstLineChars="300"/>
        <w:rPr>
          <w:szCs w:val="21"/>
        </w:rPr>
      </w:pPr>
      <w:r>
        <w:rPr>
          <w:rFonts w:hint="eastAsia"/>
          <w:szCs w:val="21"/>
        </w:rPr>
        <w:t>h.外形尺寸</w:t>
      </w:r>
      <w:r>
        <w:rPr>
          <w:szCs w:val="21"/>
        </w:rPr>
        <w:t>；</w:t>
      </w:r>
    </w:p>
    <w:p>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pPr>
        <w:adjustRightInd w:val="0"/>
        <w:snapToGrid w:val="0"/>
        <w:spacing w:line="360" w:lineRule="auto"/>
        <w:ind w:firstLine="630" w:firstLineChars="300"/>
        <w:rPr>
          <w:szCs w:val="21"/>
        </w:rPr>
      </w:pPr>
      <w:r>
        <w:rPr>
          <w:rFonts w:hint="eastAsia"/>
          <w:szCs w:val="21"/>
        </w:rPr>
        <w:t>a.合同号</w:t>
      </w:r>
      <w:r>
        <w:rPr>
          <w:szCs w:val="21"/>
        </w:rPr>
        <w:t>；</w:t>
      </w:r>
    </w:p>
    <w:p>
      <w:pPr>
        <w:adjustRightInd w:val="0"/>
        <w:snapToGrid w:val="0"/>
        <w:spacing w:line="360" w:lineRule="auto"/>
        <w:ind w:firstLine="630" w:firstLineChars="300"/>
        <w:rPr>
          <w:szCs w:val="21"/>
        </w:rPr>
      </w:pPr>
      <w:r>
        <w:rPr>
          <w:rFonts w:hint="eastAsia"/>
          <w:szCs w:val="21"/>
        </w:rPr>
        <w:t>b.收货人</w:t>
      </w:r>
      <w:r>
        <w:rPr>
          <w:szCs w:val="21"/>
        </w:rPr>
        <w:t>；</w:t>
      </w:r>
    </w:p>
    <w:p>
      <w:pPr>
        <w:adjustRightInd w:val="0"/>
        <w:snapToGrid w:val="0"/>
        <w:spacing w:line="360" w:lineRule="auto"/>
        <w:ind w:firstLine="630" w:firstLineChars="300"/>
        <w:rPr>
          <w:szCs w:val="21"/>
        </w:rPr>
      </w:pPr>
      <w:r>
        <w:rPr>
          <w:rFonts w:hint="eastAsia"/>
          <w:szCs w:val="21"/>
        </w:rPr>
        <w:t>c.目的地</w:t>
      </w:r>
      <w:r>
        <w:rPr>
          <w:szCs w:val="21"/>
        </w:rPr>
        <w:t>；</w:t>
      </w:r>
    </w:p>
    <w:p>
      <w:pPr>
        <w:adjustRightInd w:val="0"/>
        <w:snapToGrid w:val="0"/>
        <w:spacing w:line="360" w:lineRule="auto"/>
        <w:ind w:firstLine="630" w:firstLineChars="300"/>
        <w:rPr>
          <w:szCs w:val="21"/>
        </w:rPr>
      </w:pPr>
      <w:r>
        <w:rPr>
          <w:rFonts w:hint="eastAsia"/>
          <w:szCs w:val="21"/>
        </w:rPr>
        <w:t>d.毛重</w:t>
      </w:r>
      <w:r>
        <w:rPr>
          <w:szCs w:val="21"/>
        </w:rPr>
        <w:t>；</w:t>
      </w:r>
    </w:p>
    <w:p>
      <w:pPr>
        <w:adjustRightInd w:val="0"/>
        <w:snapToGrid w:val="0"/>
        <w:spacing w:line="360" w:lineRule="auto"/>
        <w:ind w:firstLine="630" w:firstLineChars="300"/>
        <w:rPr>
          <w:szCs w:val="21"/>
        </w:rPr>
      </w:pPr>
      <w:r>
        <w:rPr>
          <w:rFonts w:hint="eastAsia"/>
          <w:szCs w:val="21"/>
        </w:rPr>
        <w:t>e.箱号。</w:t>
      </w:r>
    </w:p>
    <w:p>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pPr>
        <w:adjustRightInd w:val="0"/>
        <w:snapToGrid w:val="0"/>
        <w:spacing w:line="360" w:lineRule="auto"/>
        <w:ind w:firstLine="630" w:firstLineChars="300"/>
        <w:rPr>
          <w:szCs w:val="21"/>
        </w:rPr>
      </w:pPr>
      <w:r>
        <w:rPr>
          <w:rFonts w:hint="eastAsia"/>
          <w:szCs w:val="21"/>
        </w:rPr>
        <w:t>a.设备名称</w:t>
      </w:r>
      <w:r>
        <w:rPr>
          <w:szCs w:val="21"/>
        </w:rPr>
        <w:t>；</w:t>
      </w:r>
    </w:p>
    <w:p>
      <w:pPr>
        <w:adjustRightInd w:val="0"/>
        <w:snapToGrid w:val="0"/>
        <w:spacing w:line="360" w:lineRule="auto"/>
        <w:ind w:firstLine="630" w:firstLineChars="300"/>
        <w:rPr>
          <w:szCs w:val="21"/>
        </w:rPr>
      </w:pPr>
      <w:r>
        <w:rPr>
          <w:rFonts w:hint="eastAsia"/>
          <w:szCs w:val="21"/>
        </w:rPr>
        <w:t>b.件数、件号、重量</w:t>
      </w:r>
      <w:r>
        <w:rPr>
          <w:szCs w:val="21"/>
        </w:rPr>
        <w:t>；</w:t>
      </w:r>
    </w:p>
    <w:p>
      <w:pPr>
        <w:adjustRightInd w:val="0"/>
        <w:snapToGrid w:val="0"/>
        <w:spacing w:line="360" w:lineRule="auto"/>
        <w:ind w:firstLine="630" w:firstLineChars="300"/>
        <w:rPr>
          <w:szCs w:val="21"/>
        </w:rPr>
      </w:pPr>
      <w:r>
        <w:rPr>
          <w:rFonts w:hint="eastAsia"/>
          <w:szCs w:val="21"/>
        </w:rPr>
        <w:t>c.合同号</w:t>
      </w:r>
      <w:r>
        <w:rPr>
          <w:szCs w:val="21"/>
        </w:rPr>
        <w:t>；</w:t>
      </w:r>
    </w:p>
    <w:p>
      <w:pPr>
        <w:adjustRightInd w:val="0"/>
        <w:snapToGrid w:val="0"/>
        <w:spacing w:line="360" w:lineRule="auto"/>
        <w:ind w:firstLine="630" w:firstLineChars="300"/>
        <w:rPr>
          <w:szCs w:val="21"/>
        </w:rPr>
      </w:pPr>
      <w:r>
        <w:rPr>
          <w:rFonts w:hint="eastAsia"/>
          <w:szCs w:val="21"/>
        </w:rPr>
        <w:t>d.货运单号</w:t>
      </w:r>
      <w:r>
        <w:rPr>
          <w:szCs w:val="21"/>
        </w:rPr>
        <w:t>；</w:t>
      </w:r>
    </w:p>
    <w:p>
      <w:pPr>
        <w:adjustRightInd w:val="0"/>
        <w:snapToGrid w:val="0"/>
        <w:spacing w:line="360" w:lineRule="auto"/>
        <w:ind w:firstLine="630" w:firstLineChars="300"/>
        <w:rPr>
          <w:szCs w:val="21"/>
        </w:rPr>
      </w:pPr>
      <w:r>
        <w:rPr>
          <w:rFonts w:hint="eastAsia"/>
          <w:szCs w:val="21"/>
        </w:rPr>
        <w:t>f.设备发出日期。</w:t>
      </w:r>
    </w:p>
    <w:p>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pPr>
        <w:pStyle w:val="3"/>
        <w:keepNext w:val="0"/>
        <w:numPr>
          <w:ilvl w:val="255"/>
          <w:numId w:val="0"/>
        </w:numPr>
        <w:spacing w:before="0" w:after="0" w:line="360" w:lineRule="auto"/>
        <w:rPr>
          <w:rFonts w:hint="eastAsia" w:ascii="黑体" w:hAnsi="黑体" w:eastAsia="黑体"/>
          <w:szCs w:val="21"/>
        </w:rPr>
      </w:pPr>
      <w:bookmarkStart w:id="139" w:name="_Toc282993365"/>
      <w:bookmarkStart w:id="140" w:name="_Toc76025504"/>
      <w:bookmarkStart w:id="141" w:name="_Toc387609310"/>
      <w:bookmarkStart w:id="142" w:name="_Toc222993082"/>
      <w:bookmarkStart w:id="143" w:name="_Toc441508858"/>
      <w:bookmarkStart w:id="144" w:name="_Toc66780581"/>
      <w:bookmarkStart w:id="145" w:name="_Toc9547"/>
      <w:bookmarkStart w:id="146" w:name="_Toc322681879"/>
      <w:bookmarkStart w:id="147" w:name="_Toc279695210"/>
      <w:bookmarkStart w:id="148" w:name="_Toc28140"/>
      <w:bookmarkStart w:id="149" w:name="_Toc282433761"/>
      <w:r>
        <w:rPr>
          <w:rFonts w:ascii="黑体" w:hAnsi="黑体" w:eastAsia="黑体"/>
          <w:szCs w:val="21"/>
        </w:rPr>
        <w:t>9.2</w:t>
      </w:r>
      <w:r>
        <w:rPr>
          <w:rFonts w:hint="eastAsia" w:ascii="黑体" w:hAnsi="黑体" w:eastAsia="黑体"/>
          <w:szCs w:val="21"/>
        </w:rPr>
        <w:t xml:space="preserve"> 运输</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adjustRightInd w:val="0"/>
        <w:snapToGrid w:val="0"/>
        <w:spacing w:line="360" w:lineRule="auto"/>
        <w:ind w:firstLine="420" w:firstLineChars="200"/>
        <w:rPr>
          <w:szCs w:val="21"/>
        </w:rPr>
      </w:pPr>
      <w:r>
        <w:rPr>
          <w:rFonts w:hint="eastAsia" w:ascii="宋体" w:hAnsi="宋体" w:cs="宋体"/>
          <w:szCs w:val="21"/>
        </w:rPr>
        <w:t>e.从投标方到用户方指定的目的地的运输由投标方负责。</w:t>
      </w:r>
    </w:p>
    <w:p>
      <w:pPr>
        <w:pStyle w:val="3"/>
        <w:keepNext w:val="0"/>
        <w:numPr>
          <w:ilvl w:val="255"/>
          <w:numId w:val="0"/>
        </w:numPr>
        <w:spacing w:before="0" w:after="0" w:line="360" w:lineRule="auto"/>
        <w:rPr>
          <w:rFonts w:hint="eastAsia" w:ascii="黑体" w:hAnsi="黑体" w:eastAsia="黑体"/>
          <w:szCs w:val="21"/>
        </w:rPr>
      </w:pPr>
      <w:bookmarkStart w:id="150" w:name="_Toc276492438"/>
      <w:bookmarkStart w:id="151" w:name="_Toc276490920"/>
      <w:bookmarkStart w:id="152" w:name="_Toc276301530"/>
      <w:bookmarkStart w:id="153" w:name="_Toc322681880"/>
      <w:bookmarkStart w:id="154" w:name="_Toc387609311"/>
      <w:bookmarkStart w:id="155" w:name="_Toc441508859"/>
      <w:bookmarkStart w:id="156" w:name="_Toc19897"/>
      <w:bookmarkStart w:id="157" w:name="_Toc222993083"/>
      <w:bookmarkStart w:id="158" w:name="_Toc282433762"/>
      <w:bookmarkStart w:id="159" w:name="_Toc76025505"/>
      <w:bookmarkStart w:id="160" w:name="_Toc29575"/>
      <w:bookmarkStart w:id="161" w:name="_Toc282993366"/>
      <w:bookmarkStart w:id="162" w:name="_Toc66780582"/>
      <w:bookmarkStart w:id="163" w:name="_Toc279695211"/>
      <w:r>
        <w:rPr>
          <w:rFonts w:ascii="黑体" w:hAnsi="黑体" w:eastAsia="黑体"/>
          <w:szCs w:val="21"/>
        </w:rPr>
        <w:t>9.3</w:t>
      </w:r>
      <w:r>
        <w:rPr>
          <w:rFonts w:hint="eastAsia" w:ascii="黑体" w:hAnsi="黑体" w:eastAsia="黑体"/>
          <w:szCs w:val="21"/>
        </w:rPr>
        <w:t xml:space="preserve"> 组装</w:t>
      </w:r>
      <w:bookmarkEnd w:id="150"/>
      <w:bookmarkEnd w:id="151"/>
      <w:bookmarkEnd w:id="152"/>
      <w:r>
        <w:rPr>
          <w:rFonts w:hint="eastAsia" w:ascii="黑体" w:hAnsi="黑体" w:eastAsia="黑体"/>
          <w:szCs w:val="21"/>
        </w:rPr>
        <w:t>指导</w:t>
      </w:r>
      <w:bookmarkEnd w:id="153"/>
      <w:bookmarkEnd w:id="154"/>
      <w:bookmarkEnd w:id="155"/>
      <w:bookmarkEnd w:id="156"/>
      <w:bookmarkEnd w:id="157"/>
      <w:bookmarkEnd w:id="158"/>
      <w:bookmarkEnd w:id="159"/>
      <w:bookmarkEnd w:id="160"/>
      <w:bookmarkEnd w:id="161"/>
      <w:bookmarkEnd w:id="162"/>
      <w:bookmarkEnd w:id="163"/>
    </w:p>
    <w:p>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pPr>
        <w:pStyle w:val="3"/>
        <w:keepNext w:val="0"/>
        <w:numPr>
          <w:ilvl w:val="255"/>
          <w:numId w:val="0"/>
        </w:numPr>
        <w:spacing w:before="0" w:after="0" w:line="360" w:lineRule="auto"/>
        <w:rPr>
          <w:rFonts w:hint="eastAsia" w:ascii="黑体" w:hAnsi="黑体" w:eastAsia="黑体"/>
          <w:szCs w:val="21"/>
        </w:rPr>
      </w:pPr>
      <w:bookmarkStart w:id="164" w:name="_Toc441508860"/>
      <w:bookmarkStart w:id="165" w:name="_Toc282433763"/>
      <w:bookmarkStart w:id="166" w:name="_Toc76025506"/>
      <w:bookmarkStart w:id="167" w:name="_Toc66780583"/>
      <w:bookmarkStart w:id="168" w:name="_Toc222993084"/>
      <w:bookmarkStart w:id="169" w:name="_Toc322681881"/>
      <w:bookmarkStart w:id="170" w:name="_Toc16709"/>
      <w:bookmarkStart w:id="171" w:name="_Toc282993367"/>
      <w:bookmarkStart w:id="172" w:name="_Toc387609312"/>
      <w:bookmarkStart w:id="173" w:name="_Toc3697"/>
      <w:r>
        <w:rPr>
          <w:rFonts w:ascii="黑体" w:hAnsi="黑体" w:eastAsia="黑体"/>
          <w:szCs w:val="21"/>
        </w:rPr>
        <w:t>9.4</w:t>
      </w:r>
      <w:r>
        <w:rPr>
          <w:rFonts w:hint="eastAsia" w:ascii="黑体" w:hAnsi="黑体" w:eastAsia="黑体"/>
          <w:szCs w:val="21"/>
        </w:rPr>
        <w:t xml:space="preserve"> 质量保证</w:t>
      </w:r>
      <w:bookmarkEnd w:id="164"/>
      <w:bookmarkEnd w:id="165"/>
      <w:bookmarkEnd w:id="166"/>
      <w:bookmarkEnd w:id="167"/>
      <w:bookmarkEnd w:id="168"/>
      <w:bookmarkEnd w:id="169"/>
      <w:bookmarkEnd w:id="170"/>
      <w:bookmarkEnd w:id="171"/>
      <w:bookmarkEnd w:id="172"/>
      <w:bookmarkEnd w:id="173"/>
    </w:p>
    <w:p>
      <w:pPr>
        <w:adjustRightInd w:val="0"/>
        <w:snapToGrid w:val="0"/>
        <w:spacing w:line="360" w:lineRule="auto"/>
        <w:ind w:firstLine="420" w:firstLineChars="200"/>
        <w:rPr>
          <w:szCs w:val="21"/>
        </w:rPr>
      </w:pPr>
      <w:r>
        <w:rPr>
          <w:rFonts w:hint="eastAsia"/>
          <w:szCs w:val="21"/>
        </w:rPr>
        <w:t>1）全部设备必须是全新的， 持久耐用的，应满足作为一个完整产品所能满足的全部要求。投标方应保证设备在规定的使用条件下使用、并按使用说明书进行组装和维护，设备的预期寿命应不少于8年</w:t>
      </w:r>
      <w:r>
        <w:rPr>
          <w:szCs w:val="21"/>
        </w:rPr>
        <w:t>。</w:t>
      </w:r>
    </w:p>
    <w:p>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时间，则按承诺时间执行）。质保期内所有零部件发生非人为原因损坏时，投标方负责免费维修或更换。之后如发生产品损坏，投标方应及时为本套系统提供维修部件和服务，并按最近的投标价提供。</w:t>
      </w:r>
    </w:p>
    <w:p>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pPr>
        <w:pStyle w:val="3"/>
        <w:rPr>
          <w:rFonts w:hint="eastAsia" w:ascii="黑体" w:hAnsi="黑体" w:eastAsia="黑体"/>
        </w:rPr>
      </w:pPr>
      <w:bookmarkStart w:id="174" w:name="_Toc23887"/>
      <w:bookmarkStart w:id="175" w:name="_Toc222993085"/>
      <w:bookmarkStart w:id="176" w:name="_Toc21661"/>
      <w:r>
        <w:rPr>
          <w:rFonts w:ascii="黑体" w:hAnsi="黑体" w:eastAsia="黑体"/>
        </w:rPr>
        <w:t xml:space="preserve">9.5 </w:t>
      </w:r>
      <w:r>
        <w:rPr>
          <w:rFonts w:hint="eastAsia" w:ascii="黑体" w:hAnsi="黑体" w:eastAsia="黑体"/>
        </w:rPr>
        <w:t>设备验收</w:t>
      </w:r>
      <w:bookmarkEnd w:id="174"/>
      <w:bookmarkEnd w:id="175"/>
      <w:bookmarkEnd w:id="176"/>
    </w:p>
    <w:p>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pPr>
        <w:spacing w:line="20" w:lineRule="atLeast"/>
        <w:rPr>
          <w:sz w:val="2"/>
          <w:szCs w:val="2"/>
        </w:rPr>
      </w:pPr>
      <w:r>
        <w:rPr>
          <w:rFonts w:hint="eastAsia" w:ascii="宋体" w:hAnsi="宋体" w:cs="宋体"/>
          <w:szCs w:val="21"/>
        </w:rPr>
        <w:t>c.验收时若发现设备或附件存在由中标方造成的缺陷或不符合本技术条件要求时，中标方应无条件更换设备或附件。</w:t>
      </w: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ˎ̥">
    <w:altName w:val="宋体"/>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长城仿宋">
    <w:altName w:val="宋体"/>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panose1 w:val="020B0606020202030204"/>
    <w:charset w:val="00"/>
    <w:family w:val="swiss"/>
    <w:pitch w:val="default"/>
    <w:sig w:usb0="00000287" w:usb1="000008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pPr>
          <w:pStyle w:val="36"/>
          <w:jc w:val="center"/>
        </w:pPr>
        <w:r>
          <w:fldChar w:fldCharType="begin"/>
        </w:r>
        <w:r>
          <w:instrText xml:space="preserve">PAGE   \* MERGEFORMAT</w:instrText>
        </w:r>
        <w:r>
          <w:fldChar w:fldCharType="separate"/>
        </w:r>
        <w:r>
          <w:rPr>
            <w:lang w:val="zh-CN"/>
          </w:rPr>
          <w:t>6</w:t>
        </w:r>
        <w:r>
          <w:fldChar w:fldCharType="end"/>
        </w:r>
      </w:p>
    </w:sdtContent>
  </w:sdt>
  <w:p>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outlineLvl w:val="8"/>
    </w:pPr>
    <w:r>
      <w:rPr>
        <w:rFonts w:hint="eastAsia"/>
      </w:rPr>
      <w:t>重载无人机技术规范书（通用部分）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rFonts w:hint="eastAsia"/>
      </w:rPr>
      <w:t>重载无人机技术规范书（通用部分）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0A1A6"/>
    <w:multiLevelType w:val="singleLevel"/>
    <w:tmpl w:val="E4E0A1A6"/>
    <w:lvl w:ilvl="0" w:tentative="0">
      <w:start w:val="1"/>
      <w:numFmt w:val="lowerLetter"/>
      <w:suff w:val="space"/>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4"/>
    <w:multiLevelType w:val="multilevel"/>
    <w:tmpl w:val="00000014"/>
    <w:lvl w:ilvl="0" w:tentative="0">
      <w:start w:val="1"/>
      <w:numFmt w:val="decimal"/>
      <w:lvlText w:val="%1)"/>
      <w:lvlJc w:val="left"/>
      <w:pPr>
        <w:tabs>
          <w:tab w:val="left" w:pos="900"/>
        </w:tabs>
        <w:ind w:left="900" w:hanging="420"/>
      </w:pPr>
      <w:rPr>
        <w:sz w:val="18"/>
        <w:szCs w:val="18"/>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8">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1"/>
  </w:num>
  <w:num w:numId="6">
    <w:abstractNumId w:val="18"/>
  </w:num>
  <w:num w:numId="7">
    <w:abstractNumId w:val="11"/>
  </w:num>
  <w:num w:numId="8">
    <w:abstractNumId w:val="9"/>
  </w:num>
  <w:num w:numId="9">
    <w:abstractNumId w:val="24"/>
  </w:num>
  <w:num w:numId="10">
    <w:abstractNumId w:val="16"/>
  </w:num>
  <w:num w:numId="11">
    <w:abstractNumId w:val="14"/>
  </w:num>
  <w:num w:numId="12">
    <w:abstractNumId w:val="29"/>
  </w:num>
  <w:num w:numId="13">
    <w:abstractNumId w:val="27"/>
  </w:num>
  <w:num w:numId="14">
    <w:abstractNumId w:val="31"/>
  </w:num>
  <w:num w:numId="15">
    <w:abstractNumId w:val="17"/>
  </w:num>
  <w:num w:numId="16">
    <w:abstractNumId w:val="26"/>
  </w:num>
  <w:num w:numId="17">
    <w:abstractNumId w:val="10"/>
  </w:num>
  <w:num w:numId="18">
    <w:abstractNumId w:val="23"/>
  </w:num>
  <w:num w:numId="19">
    <w:abstractNumId w:val="28"/>
  </w:num>
  <w:num w:numId="20">
    <w:abstractNumId w:val="30"/>
  </w:num>
  <w:num w:numId="21">
    <w:abstractNumId w:val="25"/>
  </w:num>
  <w:num w:numId="22">
    <w:abstractNumId w:val="7"/>
  </w:num>
  <w:num w:numId="23">
    <w:abstractNumId w:val="13"/>
  </w:num>
  <w:num w:numId="24">
    <w:abstractNumId w:val="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
  </w:num>
  <w:num w:numId="31">
    <w:abstractNumId w:val="6"/>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1014E1"/>
    <w:rsid w:val="00004757"/>
    <w:rsid w:val="0001141F"/>
    <w:rsid w:val="00022BC9"/>
    <w:rsid w:val="000263F3"/>
    <w:rsid w:val="000274D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2A05"/>
    <w:rsid w:val="0009630E"/>
    <w:rsid w:val="000B0DA2"/>
    <w:rsid w:val="000B3B04"/>
    <w:rsid w:val="000B4ED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4399F"/>
    <w:rsid w:val="00182A1B"/>
    <w:rsid w:val="001901EA"/>
    <w:rsid w:val="00192EF9"/>
    <w:rsid w:val="001946A1"/>
    <w:rsid w:val="001A1D16"/>
    <w:rsid w:val="001C424E"/>
    <w:rsid w:val="001E10B8"/>
    <w:rsid w:val="001F71EB"/>
    <w:rsid w:val="002027D6"/>
    <w:rsid w:val="002044C9"/>
    <w:rsid w:val="002101BA"/>
    <w:rsid w:val="00235C57"/>
    <w:rsid w:val="00246C26"/>
    <w:rsid w:val="00252B17"/>
    <w:rsid w:val="002650A9"/>
    <w:rsid w:val="0029334C"/>
    <w:rsid w:val="002B6C4E"/>
    <w:rsid w:val="002C784E"/>
    <w:rsid w:val="002D7FB3"/>
    <w:rsid w:val="002E646C"/>
    <w:rsid w:val="002E7690"/>
    <w:rsid w:val="002F1A5C"/>
    <w:rsid w:val="002F34E6"/>
    <w:rsid w:val="00300A42"/>
    <w:rsid w:val="00304806"/>
    <w:rsid w:val="00310E29"/>
    <w:rsid w:val="00316AD4"/>
    <w:rsid w:val="00324E79"/>
    <w:rsid w:val="00333EC9"/>
    <w:rsid w:val="003344EE"/>
    <w:rsid w:val="00342AA0"/>
    <w:rsid w:val="00354281"/>
    <w:rsid w:val="00366D72"/>
    <w:rsid w:val="00372C5D"/>
    <w:rsid w:val="0038584C"/>
    <w:rsid w:val="00390C04"/>
    <w:rsid w:val="003A686D"/>
    <w:rsid w:val="003B7C3F"/>
    <w:rsid w:val="003C59B0"/>
    <w:rsid w:val="003D79DF"/>
    <w:rsid w:val="0040271C"/>
    <w:rsid w:val="00405A29"/>
    <w:rsid w:val="00414F67"/>
    <w:rsid w:val="004312C3"/>
    <w:rsid w:val="00435272"/>
    <w:rsid w:val="00440743"/>
    <w:rsid w:val="004451B7"/>
    <w:rsid w:val="00455882"/>
    <w:rsid w:val="00466526"/>
    <w:rsid w:val="00496C03"/>
    <w:rsid w:val="004A5565"/>
    <w:rsid w:val="004B1EFC"/>
    <w:rsid w:val="004B3196"/>
    <w:rsid w:val="004B3F99"/>
    <w:rsid w:val="004C7FB9"/>
    <w:rsid w:val="004D2C12"/>
    <w:rsid w:val="004E44E7"/>
    <w:rsid w:val="004F6BA4"/>
    <w:rsid w:val="0050274F"/>
    <w:rsid w:val="005111F0"/>
    <w:rsid w:val="00517F33"/>
    <w:rsid w:val="00524C30"/>
    <w:rsid w:val="0052797D"/>
    <w:rsid w:val="005550B8"/>
    <w:rsid w:val="00556EB6"/>
    <w:rsid w:val="00573A1E"/>
    <w:rsid w:val="00581BFB"/>
    <w:rsid w:val="00583D17"/>
    <w:rsid w:val="00590CDB"/>
    <w:rsid w:val="00592D00"/>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3DA8"/>
    <w:rsid w:val="006148CE"/>
    <w:rsid w:val="0063510B"/>
    <w:rsid w:val="00635A9A"/>
    <w:rsid w:val="00662FB2"/>
    <w:rsid w:val="0067034B"/>
    <w:rsid w:val="00696E4F"/>
    <w:rsid w:val="006B420F"/>
    <w:rsid w:val="006B566B"/>
    <w:rsid w:val="006B761E"/>
    <w:rsid w:val="006B78F0"/>
    <w:rsid w:val="006D30EB"/>
    <w:rsid w:val="006D4D03"/>
    <w:rsid w:val="006D5F55"/>
    <w:rsid w:val="006F4C5E"/>
    <w:rsid w:val="006F63B3"/>
    <w:rsid w:val="00700A7D"/>
    <w:rsid w:val="00707651"/>
    <w:rsid w:val="00732E12"/>
    <w:rsid w:val="00742382"/>
    <w:rsid w:val="0074278E"/>
    <w:rsid w:val="00763D16"/>
    <w:rsid w:val="007741D2"/>
    <w:rsid w:val="00795748"/>
    <w:rsid w:val="007C1493"/>
    <w:rsid w:val="007C2D44"/>
    <w:rsid w:val="007E6F66"/>
    <w:rsid w:val="007F1334"/>
    <w:rsid w:val="007F6693"/>
    <w:rsid w:val="00826C56"/>
    <w:rsid w:val="00827F61"/>
    <w:rsid w:val="00843848"/>
    <w:rsid w:val="0084452F"/>
    <w:rsid w:val="00847F5E"/>
    <w:rsid w:val="008841E6"/>
    <w:rsid w:val="00887145"/>
    <w:rsid w:val="008965AF"/>
    <w:rsid w:val="008A3860"/>
    <w:rsid w:val="008A666B"/>
    <w:rsid w:val="008B7582"/>
    <w:rsid w:val="008C0038"/>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446E7"/>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36F3C"/>
    <w:rsid w:val="00A4268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D79EE"/>
    <w:rsid w:val="00AE29F4"/>
    <w:rsid w:val="00AE2D2E"/>
    <w:rsid w:val="00B15B81"/>
    <w:rsid w:val="00B30138"/>
    <w:rsid w:val="00B44B9B"/>
    <w:rsid w:val="00B559E2"/>
    <w:rsid w:val="00B55B88"/>
    <w:rsid w:val="00B628B4"/>
    <w:rsid w:val="00B73A7B"/>
    <w:rsid w:val="00B82E0C"/>
    <w:rsid w:val="00B870EF"/>
    <w:rsid w:val="00B87934"/>
    <w:rsid w:val="00B91207"/>
    <w:rsid w:val="00B912F0"/>
    <w:rsid w:val="00B9260F"/>
    <w:rsid w:val="00B94A17"/>
    <w:rsid w:val="00BA3534"/>
    <w:rsid w:val="00BB6896"/>
    <w:rsid w:val="00BC2F2C"/>
    <w:rsid w:val="00BC35B8"/>
    <w:rsid w:val="00BE130B"/>
    <w:rsid w:val="00BF0409"/>
    <w:rsid w:val="00BF3B1D"/>
    <w:rsid w:val="00BF4722"/>
    <w:rsid w:val="00BF6FF2"/>
    <w:rsid w:val="00C02E2D"/>
    <w:rsid w:val="00C05007"/>
    <w:rsid w:val="00C16D98"/>
    <w:rsid w:val="00C175FC"/>
    <w:rsid w:val="00C37748"/>
    <w:rsid w:val="00C40CA4"/>
    <w:rsid w:val="00C412C7"/>
    <w:rsid w:val="00C4167F"/>
    <w:rsid w:val="00C419D7"/>
    <w:rsid w:val="00C43A3C"/>
    <w:rsid w:val="00C51F28"/>
    <w:rsid w:val="00C738B0"/>
    <w:rsid w:val="00C764F9"/>
    <w:rsid w:val="00C81C7C"/>
    <w:rsid w:val="00C91C66"/>
    <w:rsid w:val="00CA2C59"/>
    <w:rsid w:val="00CA5C7B"/>
    <w:rsid w:val="00CB2ED6"/>
    <w:rsid w:val="00CD4712"/>
    <w:rsid w:val="00CF095F"/>
    <w:rsid w:val="00CF1575"/>
    <w:rsid w:val="00CF5D43"/>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D0295"/>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8537D"/>
    <w:rsid w:val="00EA25D5"/>
    <w:rsid w:val="00EB715D"/>
    <w:rsid w:val="00EC2BA8"/>
    <w:rsid w:val="00EE3C1E"/>
    <w:rsid w:val="00EE72E1"/>
    <w:rsid w:val="00EF00AE"/>
    <w:rsid w:val="00EF2397"/>
    <w:rsid w:val="00EF5C23"/>
    <w:rsid w:val="00F124B1"/>
    <w:rsid w:val="00F209E3"/>
    <w:rsid w:val="00F20B90"/>
    <w:rsid w:val="00F23D57"/>
    <w:rsid w:val="00F30954"/>
    <w:rsid w:val="00F33579"/>
    <w:rsid w:val="00F4151D"/>
    <w:rsid w:val="00F56891"/>
    <w:rsid w:val="00F63748"/>
    <w:rsid w:val="00F80315"/>
    <w:rsid w:val="00F8487D"/>
    <w:rsid w:val="00F85343"/>
    <w:rsid w:val="00F860FB"/>
    <w:rsid w:val="00F87738"/>
    <w:rsid w:val="00F92C8A"/>
    <w:rsid w:val="00FA1F0E"/>
    <w:rsid w:val="00FB1E51"/>
    <w:rsid w:val="00FB6D46"/>
    <w:rsid w:val="00FC21BC"/>
    <w:rsid w:val="00FC5D6B"/>
    <w:rsid w:val="00FD323B"/>
    <w:rsid w:val="00FF044D"/>
    <w:rsid w:val="00FF430C"/>
    <w:rsid w:val="01E142BF"/>
    <w:rsid w:val="029F1B50"/>
    <w:rsid w:val="02D85CD0"/>
    <w:rsid w:val="03217B55"/>
    <w:rsid w:val="0323032B"/>
    <w:rsid w:val="03341A8A"/>
    <w:rsid w:val="03571091"/>
    <w:rsid w:val="05B120C2"/>
    <w:rsid w:val="05D17F7F"/>
    <w:rsid w:val="063704B1"/>
    <w:rsid w:val="065019DC"/>
    <w:rsid w:val="06E97165"/>
    <w:rsid w:val="0732492C"/>
    <w:rsid w:val="073D4236"/>
    <w:rsid w:val="084F2E8D"/>
    <w:rsid w:val="085B36B1"/>
    <w:rsid w:val="08A02C69"/>
    <w:rsid w:val="08A41184"/>
    <w:rsid w:val="08D6478F"/>
    <w:rsid w:val="08DB66F2"/>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80EAE"/>
    <w:rsid w:val="0E2A7E0F"/>
    <w:rsid w:val="0E853D73"/>
    <w:rsid w:val="0E941A03"/>
    <w:rsid w:val="0E965C31"/>
    <w:rsid w:val="0EC81BD1"/>
    <w:rsid w:val="0F986C50"/>
    <w:rsid w:val="0FAF53F9"/>
    <w:rsid w:val="0FB20FE0"/>
    <w:rsid w:val="103C5FE2"/>
    <w:rsid w:val="106B2580"/>
    <w:rsid w:val="10D123CD"/>
    <w:rsid w:val="11763776"/>
    <w:rsid w:val="11AA3420"/>
    <w:rsid w:val="11CE5EAA"/>
    <w:rsid w:val="1202500A"/>
    <w:rsid w:val="122A61B9"/>
    <w:rsid w:val="12600D6D"/>
    <w:rsid w:val="12BE5DCE"/>
    <w:rsid w:val="12DE1EBF"/>
    <w:rsid w:val="1333286A"/>
    <w:rsid w:val="13551C50"/>
    <w:rsid w:val="13BC146C"/>
    <w:rsid w:val="14717675"/>
    <w:rsid w:val="151E1FA2"/>
    <w:rsid w:val="154676C6"/>
    <w:rsid w:val="1557408A"/>
    <w:rsid w:val="15EE5E19"/>
    <w:rsid w:val="15F119AD"/>
    <w:rsid w:val="16422B9A"/>
    <w:rsid w:val="168667C2"/>
    <w:rsid w:val="16C51013"/>
    <w:rsid w:val="16DF0DFB"/>
    <w:rsid w:val="16E642C0"/>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74D7A"/>
    <w:rsid w:val="2B4F2AAC"/>
    <w:rsid w:val="2BB07175"/>
    <w:rsid w:val="2BFE40AE"/>
    <w:rsid w:val="2C5069BA"/>
    <w:rsid w:val="2C6C7D95"/>
    <w:rsid w:val="2C876F1D"/>
    <w:rsid w:val="2D303E35"/>
    <w:rsid w:val="2D921CB7"/>
    <w:rsid w:val="2DB6793F"/>
    <w:rsid w:val="2E164A40"/>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3567FD8"/>
    <w:rsid w:val="33B9194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13B6A9C"/>
    <w:rsid w:val="41A75074"/>
    <w:rsid w:val="41D80E67"/>
    <w:rsid w:val="42013932"/>
    <w:rsid w:val="423559AB"/>
    <w:rsid w:val="43AE16F4"/>
    <w:rsid w:val="43DB1093"/>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4B2111"/>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C93444"/>
    <w:rsid w:val="53DA34ED"/>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ED4FE7"/>
    <w:rsid w:val="5A5D05FC"/>
    <w:rsid w:val="5AC36BC5"/>
    <w:rsid w:val="5AC63E1F"/>
    <w:rsid w:val="5AD46BC2"/>
    <w:rsid w:val="5B1E248F"/>
    <w:rsid w:val="5B2751ED"/>
    <w:rsid w:val="5B4342F6"/>
    <w:rsid w:val="5C651EB1"/>
    <w:rsid w:val="5C7B0F63"/>
    <w:rsid w:val="5CAE3391"/>
    <w:rsid w:val="5DCA7B72"/>
    <w:rsid w:val="5DE00E55"/>
    <w:rsid w:val="5E1F54F4"/>
    <w:rsid w:val="5F5F65C0"/>
    <w:rsid w:val="5F7B2BB2"/>
    <w:rsid w:val="5F8E6ECA"/>
    <w:rsid w:val="5FA85AEC"/>
    <w:rsid w:val="60525445"/>
    <w:rsid w:val="607344EC"/>
    <w:rsid w:val="60C33D90"/>
    <w:rsid w:val="613A0C69"/>
    <w:rsid w:val="617E451D"/>
    <w:rsid w:val="61FD3181"/>
    <w:rsid w:val="62042942"/>
    <w:rsid w:val="62847485"/>
    <w:rsid w:val="62B25F0D"/>
    <w:rsid w:val="62CE433B"/>
    <w:rsid w:val="636F5846"/>
    <w:rsid w:val="638A1A8C"/>
    <w:rsid w:val="63BB6D72"/>
    <w:rsid w:val="63EE4A68"/>
    <w:rsid w:val="640219DB"/>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B3419E2"/>
    <w:rsid w:val="6C547C8E"/>
    <w:rsid w:val="6CB03CCD"/>
    <w:rsid w:val="6D617A39"/>
    <w:rsid w:val="6DB83390"/>
    <w:rsid w:val="6E52595A"/>
    <w:rsid w:val="6E5F6F10"/>
    <w:rsid w:val="6EF776E0"/>
    <w:rsid w:val="6F0926A9"/>
    <w:rsid w:val="6F0A22FE"/>
    <w:rsid w:val="6F210F48"/>
    <w:rsid w:val="6F710B18"/>
    <w:rsid w:val="6F7E74CB"/>
    <w:rsid w:val="6FA8287C"/>
    <w:rsid w:val="70EE44D3"/>
    <w:rsid w:val="71203B39"/>
    <w:rsid w:val="717C4B53"/>
    <w:rsid w:val="71924844"/>
    <w:rsid w:val="719B775E"/>
    <w:rsid w:val="71AB77EE"/>
    <w:rsid w:val="71F72442"/>
    <w:rsid w:val="724A7A48"/>
    <w:rsid w:val="724C4830"/>
    <w:rsid w:val="72695C00"/>
    <w:rsid w:val="72DE56EC"/>
    <w:rsid w:val="72F92942"/>
    <w:rsid w:val="731660CF"/>
    <w:rsid w:val="73686E30"/>
    <w:rsid w:val="73E92500"/>
    <w:rsid w:val="74CE2C64"/>
    <w:rsid w:val="74E91D98"/>
    <w:rsid w:val="76291C01"/>
    <w:rsid w:val="7636003D"/>
    <w:rsid w:val="76584CD4"/>
    <w:rsid w:val="76667B2F"/>
    <w:rsid w:val="778301A2"/>
    <w:rsid w:val="78AA5252"/>
    <w:rsid w:val="78D10791"/>
    <w:rsid w:val="7A400C26"/>
    <w:rsid w:val="7BE15920"/>
    <w:rsid w:val="7C0C54CA"/>
    <w:rsid w:val="7C197358"/>
    <w:rsid w:val="7C713E55"/>
    <w:rsid w:val="7D3E6A83"/>
    <w:rsid w:val="7D3F0058"/>
    <w:rsid w:val="7DF82266"/>
    <w:rsid w:val="7E435833"/>
    <w:rsid w:val="7E53537B"/>
    <w:rsid w:val="7E61214D"/>
    <w:rsid w:val="7EA82723"/>
    <w:rsid w:val="7EB610B9"/>
    <w:rsid w:val="7ECD1840"/>
    <w:rsid w:val="7F0D6C7E"/>
    <w:rsid w:val="7F336E1A"/>
    <w:rsid w:val="7FE91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autoRedefine/>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autoRedefine/>
    <w:qFormat/>
    <w:uiPriority w:val="9"/>
    <w:pPr>
      <w:keepNext/>
      <w:keepLines/>
      <w:spacing w:before="260" w:after="260"/>
      <w:outlineLvl w:val="1"/>
    </w:pPr>
    <w:rPr>
      <w:rFonts w:ascii="Arial" w:hAnsi="Arial" w:eastAsiaTheme="minorEastAsia"/>
      <w:b/>
      <w:szCs w:val="20"/>
    </w:rPr>
  </w:style>
  <w:style w:type="paragraph" w:styleId="4">
    <w:name w:val="heading 3"/>
    <w:basedOn w:val="1"/>
    <w:next w:val="1"/>
    <w:link w:val="73"/>
    <w:autoRedefine/>
    <w:qFormat/>
    <w:uiPriority w:val="9"/>
    <w:pPr>
      <w:keepNext/>
      <w:keepLines/>
      <w:autoSpaceDE w:val="0"/>
      <w:autoSpaceDN w:val="0"/>
      <w:adjustRightInd w:val="0"/>
      <w:spacing w:before="260" w:after="260" w:line="416" w:lineRule="atLeast"/>
      <w:jc w:val="left"/>
      <w:textAlignment w:val="baseline"/>
      <w:outlineLvl w:val="2"/>
    </w:pPr>
    <w:rPr>
      <w:rFonts w:eastAsiaTheme="minorEastAsia"/>
      <w:b/>
      <w:kern w:val="0"/>
      <w:szCs w:val="20"/>
    </w:rPr>
  </w:style>
  <w:style w:type="paragraph" w:styleId="5">
    <w:name w:val="heading 4"/>
    <w:basedOn w:val="1"/>
    <w:next w:val="1"/>
    <w:link w:val="74"/>
    <w:autoRedefine/>
    <w:qFormat/>
    <w:uiPriority w:val="0"/>
    <w:pPr>
      <w:keepNext/>
      <w:keepLines/>
      <w:numPr>
        <w:ilvl w:val="3"/>
        <w:numId w:val="1"/>
      </w:numPr>
      <w:topLinePunct/>
      <w:spacing w:before="50" w:beforeLines="50" w:after="50" w:afterLines="50" w:line="480" w:lineRule="exact"/>
      <w:textAlignment w:val="center"/>
      <w:outlineLvl w:val="3"/>
    </w:pPr>
    <w:rPr>
      <w:rFonts w:eastAsiaTheme="minorEastAsia"/>
      <w:b/>
      <w:bCs/>
      <w:lang w:val="sv-SE"/>
    </w:rPr>
  </w:style>
  <w:style w:type="paragraph" w:styleId="6">
    <w:name w:val="heading 5"/>
    <w:basedOn w:val="1"/>
    <w:next w:val="1"/>
    <w:link w:val="138"/>
    <w:autoRedefine/>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autoRedefine/>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autoRedefine/>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autoRedefine/>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autoRedefine/>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autoRedefine/>
    <w:unhideWhenUsed/>
    <w:qFormat/>
    <w:uiPriority w:val="1"/>
  </w:style>
  <w:style w:type="table" w:default="1" w:styleId="5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pPr>
      <w:tabs>
        <w:tab w:val="right" w:leader="dot" w:pos="9241"/>
      </w:tabs>
      <w:ind w:firstLine="505" w:firstLineChars="500"/>
      <w:jc w:val="left"/>
    </w:pPr>
    <w:rPr>
      <w:rFonts w:ascii="宋体"/>
      <w:szCs w:val="21"/>
    </w:rPr>
  </w:style>
  <w:style w:type="paragraph" w:styleId="12">
    <w:name w:val="List Number 2"/>
    <w:basedOn w:val="1"/>
    <w:autoRedefine/>
    <w:qFormat/>
    <w:uiPriority w:val="0"/>
    <w:pPr>
      <w:numPr>
        <w:ilvl w:val="0"/>
        <w:numId w:val="2"/>
      </w:numPr>
    </w:pPr>
  </w:style>
  <w:style w:type="paragraph" w:styleId="13">
    <w:name w:val="List Bullet 4"/>
    <w:basedOn w:val="1"/>
    <w:autoRedefine/>
    <w:qFormat/>
    <w:uiPriority w:val="0"/>
    <w:pPr>
      <w:tabs>
        <w:tab w:val="left" w:pos="420"/>
      </w:tabs>
      <w:ind w:left="420" w:hanging="420"/>
    </w:pPr>
    <w:rPr>
      <w:szCs w:val="20"/>
    </w:rPr>
  </w:style>
  <w:style w:type="paragraph" w:styleId="14">
    <w:name w:val="index 8"/>
    <w:basedOn w:val="1"/>
    <w:next w:val="1"/>
    <w:autoRedefine/>
    <w:qFormat/>
    <w:uiPriority w:val="0"/>
    <w:pPr>
      <w:ind w:left="1680" w:hanging="210"/>
      <w:jc w:val="left"/>
    </w:pPr>
    <w:rPr>
      <w:rFonts w:ascii="Calibri" w:hAnsi="Calibri"/>
      <w:sz w:val="20"/>
      <w:szCs w:val="20"/>
    </w:rPr>
  </w:style>
  <w:style w:type="paragraph" w:styleId="15">
    <w:name w:val="List Number"/>
    <w:basedOn w:val="1"/>
    <w:autoRedefine/>
    <w:qFormat/>
    <w:uiPriority w:val="0"/>
    <w:pPr>
      <w:numPr>
        <w:ilvl w:val="0"/>
        <w:numId w:val="3"/>
      </w:numPr>
    </w:pPr>
  </w:style>
  <w:style w:type="paragraph" w:styleId="16">
    <w:name w:val="Normal Indent"/>
    <w:basedOn w:val="1"/>
    <w:link w:val="71"/>
    <w:autoRedefine/>
    <w:qFormat/>
    <w:uiPriority w:val="0"/>
    <w:pPr>
      <w:ind w:firstLine="420"/>
    </w:pPr>
    <w:rPr>
      <w:szCs w:val="20"/>
    </w:rPr>
  </w:style>
  <w:style w:type="paragraph" w:styleId="17">
    <w:name w:val="caption"/>
    <w:basedOn w:val="1"/>
    <w:next w:val="1"/>
    <w:autoRedefine/>
    <w:qFormat/>
    <w:uiPriority w:val="0"/>
    <w:pPr>
      <w:spacing w:before="152" w:after="160"/>
    </w:pPr>
    <w:rPr>
      <w:rFonts w:ascii="Arial" w:hAnsi="Arial" w:eastAsia="黑体" w:cs="Arial"/>
      <w:sz w:val="20"/>
      <w:szCs w:val="20"/>
    </w:rPr>
  </w:style>
  <w:style w:type="paragraph" w:styleId="18">
    <w:name w:val="index 5"/>
    <w:basedOn w:val="1"/>
    <w:next w:val="1"/>
    <w:autoRedefine/>
    <w:qFormat/>
    <w:uiPriority w:val="0"/>
    <w:pPr>
      <w:ind w:left="1050" w:hanging="210"/>
      <w:jc w:val="left"/>
    </w:pPr>
    <w:rPr>
      <w:rFonts w:ascii="Calibri" w:hAnsi="Calibri"/>
      <w:sz w:val="20"/>
      <w:szCs w:val="20"/>
    </w:rPr>
  </w:style>
  <w:style w:type="paragraph" w:styleId="19">
    <w:name w:val="List Bullet"/>
    <w:basedOn w:val="1"/>
    <w:autoRedefine/>
    <w:qFormat/>
    <w:uiPriority w:val="0"/>
    <w:pPr>
      <w:numPr>
        <w:ilvl w:val="0"/>
        <w:numId w:val="4"/>
      </w:numPr>
    </w:pPr>
    <w:rPr>
      <w:szCs w:val="20"/>
    </w:rPr>
  </w:style>
  <w:style w:type="paragraph" w:styleId="20">
    <w:name w:val="Document Map"/>
    <w:basedOn w:val="1"/>
    <w:link w:val="96"/>
    <w:autoRedefine/>
    <w:qFormat/>
    <w:uiPriority w:val="0"/>
    <w:pPr>
      <w:shd w:val="clear" w:color="auto" w:fill="000080"/>
    </w:pPr>
  </w:style>
  <w:style w:type="paragraph" w:styleId="21">
    <w:name w:val="annotation text"/>
    <w:basedOn w:val="1"/>
    <w:link w:val="99"/>
    <w:autoRedefine/>
    <w:qFormat/>
    <w:uiPriority w:val="99"/>
    <w:pPr>
      <w:ind w:firstLine="200" w:firstLineChars="200"/>
      <w:jc w:val="left"/>
    </w:pPr>
    <w:rPr>
      <w:rFonts w:cstheme="minorBidi"/>
    </w:rPr>
  </w:style>
  <w:style w:type="paragraph" w:styleId="22">
    <w:name w:val="index 6"/>
    <w:basedOn w:val="1"/>
    <w:next w:val="1"/>
    <w:autoRedefine/>
    <w:qFormat/>
    <w:uiPriority w:val="0"/>
    <w:pPr>
      <w:ind w:left="1260" w:hanging="210"/>
      <w:jc w:val="left"/>
    </w:pPr>
    <w:rPr>
      <w:rFonts w:ascii="Calibri" w:hAnsi="Calibri"/>
      <w:sz w:val="20"/>
      <w:szCs w:val="20"/>
    </w:rPr>
  </w:style>
  <w:style w:type="paragraph" w:styleId="23">
    <w:name w:val="Body Text"/>
    <w:basedOn w:val="1"/>
    <w:link w:val="83"/>
    <w:autoRedefine/>
    <w:qFormat/>
    <w:uiPriority w:val="0"/>
    <w:pPr>
      <w:spacing w:after="120"/>
    </w:pPr>
    <w:rPr>
      <w:szCs w:val="20"/>
    </w:rPr>
  </w:style>
  <w:style w:type="paragraph" w:styleId="24">
    <w:name w:val="Body Text Indent"/>
    <w:basedOn w:val="1"/>
    <w:link w:val="285"/>
    <w:autoRedefine/>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autoRedefine/>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autoRedefine/>
    <w:qFormat/>
    <w:uiPriority w:val="0"/>
    <w:pPr>
      <w:ind w:left="840" w:hanging="210"/>
      <w:jc w:val="left"/>
    </w:pPr>
    <w:rPr>
      <w:rFonts w:ascii="Calibri" w:hAnsi="Calibri"/>
      <w:sz w:val="20"/>
      <w:szCs w:val="20"/>
    </w:rPr>
  </w:style>
  <w:style w:type="paragraph" w:styleId="27">
    <w:name w:val="toc 5"/>
    <w:basedOn w:val="1"/>
    <w:next w:val="1"/>
    <w:autoRedefine/>
    <w:qFormat/>
    <w:uiPriority w:val="39"/>
    <w:pPr>
      <w:tabs>
        <w:tab w:val="right" w:leader="dot" w:pos="9241"/>
      </w:tabs>
      <w:ind w:firstLine="300" w:firstLineChars="300"/>
      <w:jc w:val="left"/>
    </w:pPr>
    <w:rPr>
      <w:rFonts w:ascii="宋体"/>
      <w:szCs w:val="21"/>
    </w:rPr>
  </w:style>
  <w:style w:type="paragraph" w:styleId="28">
    <w:name w:val="toc 3"/>
    <w:basedOn w:val="1"/>
    <w:next w:val="1"/>
    <w:autoRedefine/>
    <w:qFormat/>
    <w:uiPriority w:val="39"/>
    <w:pPr>
      <w:ind w:left="840" w:leftChars="400"/>
    </w:pPr>
  </w:style>
  <w:style w:type="paragraph" w:styleId="29">
    <w:name w:val="Plain Text"/>
    <w:basedOn w:val="1"/>
    <w:link w:val="79"/>
    <w:autoRedefine/>
    <w:qFormat/>
    <w:uiPriority w:val="99"/>
    <w:rPr>
      <w:rFonts w:ascii="宋体" w:hAnsi="Courier New"/>
      <w:szCs w:val="20"/>
    </w:rPr>
  </w:style>
  <w:style w:type="paragraph" w:styleId="30">
    <w:name w:val="toc 8"/>
    <w:basedOn w:val="1"/>
    <w:next w:val="1"/>
    <w:autoRedefine/>
    <w:qFormat/>
    <w:uiPriority w:val="39"/>
    <w:pPr>
      <w:tabs>
        <w:tab w:val="right" w:leader="dot" w:pos="9241"/>
      </w:tabs>
      <w:ind w:firstLine="607" w:firstLineChars="600"/>
      <w:jc w:val="left"/>
    </w:pPr>
    <w:rPr>
      <w:rFonts w:ascii="宋体"/>
      <w:szCs w:val="21"/>
    </w:rPr>
  </w:style>
  <w:style w:type="paragraph" w:styleId="31">
    <w:name w:val="index 3"/>
    <w:basedOn w:val="1"/>
    <w:next w:val="1"/>
    <w:autoRedefine/>
    <w:qFormat/>
    <w:uiPriority w:val="0"/>
    <w:pPr>
      <w:ind w:left="630" w:hanging="210"/>
      <w:jc w:val="left"/>
    </w:pPr>
    <w:rPr>
      <w:rFonts w:ascii="Calibri" w:hAnsi="Calibri"/>
      <w:sz w:val="20"/>
      <w:szCs w:val="20"/>
    </w:rPr>
  </w:style>
  <w:style w:type="paragraph" w:styleId="32">
    <w:name w:val="Date"/>
    <w:basedOn w:val="1"/>
    <w:next w:val="1"/>
    <w:link w:val="78"/>
    <w:autoRedefine/>
    <w:qFormat/>
    <w:uiPriority w:val="0"/>
    <w:pPr>
      <w:ind w:left="100" w:leftChars="2500"/>
    </w:pPr>
    <w:rPr>
      <w:rFonts w:ascii="宋体" w:hAnsi="宋体"/>
      <w:b/>
      <w:color w:val="FF0000"/>
      <w:sz w:val="36"/>
      <w:szCs w:val="30"/>
    </w:rPr>
  </w:style>
  <w:style w:type="paragraph" w:styleId="33">
    <w:name w:val="Body Text Indent 2"/>
    <w:basedOn w:val="1"/>
    <w:link w:val="82"/>
    <w:autoRedefine/>
    <w:qFormat/>
    <w:uiPriority w:val="0"/>
    <w:pPr>
      <w:spacing w:after="120" w:line="480" w:lineRule="auto"/>
      <w:ind w:left="420" w:leftChars="200"/>
    </w:pPr>
    <w:rPr>
      <w:szCs w:val="20"/>
    </w:rPr>
  </w:style>
  <w:style w:type="paragraph" w:styleId="34">
    <w:name w:val="endnote text"/>
    <w:basedOn w:val="1"/>
    <w:link w:val="216"/>
    <w:autoRedefine/>
    <w:semiHidden/>
    <w:qFormat/>
    <w:uiPriority w:val="0"/>
    <w:pPr>
      <w:snapToGrid w:val="0"/>
      <w:jc w:val="left"/>
    </w:pPr>
  </w:style>
  <w:style w:type="paragraph" w:styleId="35">
    <w:name w:val="Balloon Text"/>
    <w:basedOn w:val="1"/>
    <w:link w:val="85"/>
    <w:autoRedefine/>
    <w:qFormat/>
    <w:uiPriority w:val="0"/>
    <w:rPr>
      <w:sz w:val="18"/>
      <w:szCs w:val="18"/>
    </w:rPr>
  </w:style>
  <w:style w:type="paragraph" w:styleId="36">
    <w:name w:val="footer"/>
    <w:basedOn w:val="1"/>
    <w:link w:val="86"/>
    <w:autoRedefine/>
    <w:qFormat/>
    <w:uiPriority w:val="99"/>
    <w:pPr>
      <w:tabs>
        <w:tab w:val="center" w:pos="4153"/>
        <w:tab w:val="right" w:pos="8306"/>
      </w:tabs>
      <w:snapToGrid w:val="0"/>
      <w:jc w:val="left"/>
    </w:pPr>
    <w:rPr>
      <w:sz w:val="18"/>
      <w:szCs w:val="18"/>
    </w:rPr>
  </w:style>
  <w:style w:type="paragraph" w:styleId="37">
    <w:name w:val="header"/>
    <w:basedOn w:val="1"/>
    <w:link w:val="94"/>
    <w:autoRedefine/>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autoRedefine/>
    <w:qFormat/>
    <w:uiPriority w:val="39"/>
  </w:style>
  <w:style w:type="paragraph" w:styleId="39">
    <w:name w:val="toc 4"/>
    <w:basedOn w:val="1"/>
    <w:next w:val="1"/>
    <w:autoRedefine/>
    <w:qFormat/>
    <w:uiPriority w:val="39"/>
    <w:pPr>
      <w:tabs>
        <w:tab w:val="right" w:leader="dot" w:pos="9241"/>
      </w:tabs>
      <w:ind w:firstLine="198" w:firstLineChars="200"/>
      <w:jc w:val="left"/>
    </w:pPr>
    <w:rPr>
      <w:rFonts w:ascii="宋体"/>
      <w:szCs w:val="21"/>
    </w:rPr>
  </w:style>
  <w:style w:type="paragraph" w:styleId="40">
    <w:name w:val="index heading"/>
    <w:basedOn w:val="1"/>
    <w:next w:val="41"/>
    <w:autoRedefine/>
    <w:qFormat/>
    <w:uiPriority w:val="0"/>
    <w:pPr>
      <w:spacing w:before="120" w:after="120"/>
      <w:jc w:val="center"/>
    </w:pPr>
    <w:rPr>
      <w:rFonts w:ascii="Calibri" w:hAnsi="Calibri"/>
      <w:b/>
      <w:bCs/>
      <w:iCs/>
      <w:szCs w:val="20"/>
    </w:rPr>
  </w:style>
  <w:style w:type="paragraph" w:styleId="41">
    <w:name w:val="index 1"/>
    <w:basedOn w:val="1"/>
    <w:next w:val="42"/>
    <w:autoRedefine/>
    <w:qFormat/>
    <w:uiPriority w:val="0"/>
    <w:pPr>
      <w:tabs>
        <w:tab w:val="right" w:leader="dot" w:pos="9299"/>
      </w:tabs>
      <w:jc w:val="left"/>
    </w:pPr>
    <w:rPr>
      <w:rFonts w:ascii="宋体"/>
      <w:szCs w:val="21"/>
    </w:rPr>
  </w:style>
  <w:style w:type="paragraph" w:customStyle="1" w:styleId="42">
    <w:name w:val="段"/>
    <w:link w:val="108"/>
    <w:autoRedefine/>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autoRedefine/>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autoRedefine/>
    <w:qFormat/>
    <w:uiPriority w:val="0"/>
    <w:pPr>
      <w:numPr>
        <w:ilvl w:val="0"/>
        <w:numId w:val="5"/>
      </w:numPr>
      <w:snapToGrid w:val="0"/>
      <w:jc w:val="left"/>
    </w:pPr>
    <w:rPr>
      <w:rFonts w:ascii="宋体"/>
      <w:sz w:val="18"/>
      <w:szCs w:val="18"/>
    </w:rPr>
  </w:style>
  <w:style w:type="paragraph" w:styleId="45">
    <w:name w:val="toc 6"/>
    <w:basedOn w:val="1"/>
    <w:next w:val="1"/>
    <w:autoRedefine/>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autoRedefine/>
    <w:unhideWhenUsed/>
    <w:qFormat/>
    <w:uiPriority w:val="0"/>
    <w:pPr>
      <w:spacing w:line="520" w:lineRule="exact"/>
      <w:ind w:firstLine="570"/>
    </w:pPr>
    <w:rPr>
      <w:rFonts w:ascii="宋体" w:hAnsi="宋体"/>
      <w:color w:val="000000"/>
      <w:sz w:val="24"/>
      <w:szCs w:val="21"/>
    </w:rPr>
  </w:style>
  <w:style w:type="paragraph" w:styleId="47">
    <w:name w:val="index 7"/>
    <w:basedOn w:val="1"/>
    <w:next w:val="1"/>
    <w:autoRedefine/>
    <w:qFormat/>
    <w:uiPriority w:val="0"/>
    <w:pPr>
      <w:ind w:left="1470" w:hanging="210"/>
      <w:jc w:val="left"/>
    </w:pPr>
    <w:rPr>
      <w:rFonts w:ascii="Calibri" w:hAnsi="Calibri"/>
      <w:sz w:val="20"/>
      <w:szCs w:val="20"/>
    </w:rPr>
  </w:style>
  <w:style w:type="paragraph" w:styleId="48">
    <w:name w:val="index 9"/>
    <w:basedOn w:val="1"/>
    <w:next w:val="1"/>
    <w:autoRedefine/>
    <w:qFormat/>
    <w:uiPriority w:val="0"/>
    <w:pPr>
      <w:ind w:left="1890" w:hanging="210"/>
      <w:jc w:val="left"/>
    </w:pPr>
    <w:rPr>
      <w:rFonts w:ascii="Calibri" w:hAnsi="Calibri"/>
      <w:sz w:val="20"/>
      <w:szCs w:val="20"/>
    </w:rPr>
  </w:style>
  <w:style w:type="paragraph" w:styleId="49">
    <w:name w:val="toc 2"/>
    <w:basedOn w:val="1"/>
    <w:next w:val="1"/>
    <w:autoRedefine/>
    <w:qFormat/>
    <w:uiPriority w:val="39"/>
    <w:pPr>
      <w:ind w:left="420" w:leftChars="200"/>
    </w:pPr>
  </w:style>
  <w:style w:type="paragraph" w:styleId="50">
    <w:name w:val="toc 9"/>
    <w:basedOn w:val="1"/>
    <w:next w:val="1"/>
    <w:autoRedefine/>
    <w:qFormat/>
    <w:uiPriority w:val="39"/>
    <w:pPr>
      <w:ind w:left="1470"/>
      <w:jc w:val="left"/>
    </w:pPr>
    <w:rPr>
      <w:sz w:val="20"/>
      <w:szCs w:val="20"/>
    </w:rPr>
  </w:style>
  <w:style w:type="paragraph" w:styleId="51">
    <w:name w:val="Normal (Web)"/>
    <w:basedOn w:val="1"/>
    <w:autoRedefine/>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eastAsiaTheme="minorEastAsia"/>
      <w:b/>
      <w:sz w:val="21"/>
      <w:szCs w:val="20"/>
    </w:rPr>
  </w:style>
  <w:style w:type="character" w:customStyle="1" w:styleId="73">
    <w:name w:val="标题 3 字符"/>
    <w:basedOn w:val="60"/>
    <w:link w:val="4"/>
    <w:qFormat/>
    <w:uiPriority w:val="9"/>
    <w:rPr>
      <w:rFonts w:ascii="Times New Roman" w:hAnsi="Times New Roman" w:cs="Times New Roman" w:eastAsiaTheme="minorEastAsia"/>
      <w:b/>
      <w:kern w:val="0"/>
      <w:sz w:val="21"/>
      <w:szCs w:val="20"/>
    </w:rPr>
  </w:style>
  <w:style w:type="character" w:customStyle="1" w:styleId="74">
    <w:name w:val="标题 4 字符1"/>
    <w:link w:val="5"/>
    <w:qFormat/>
    <w:uiPriority w:val="0"/>
    <w:rPr>
      <w:rFonts w:ascii="Times New Roman" w:hAnsi="Times New Roman" w:eastAsiaTheme="minorEastAsia"/>
      <w:b/>
      <w:bCs/>
      <w:kern w:val="2"/>
      <w:sz w:val="21"/>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autoRedefine/>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autoRedefine/>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autoRedefine/>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styleId="453">
    <w:name w:val="List Paragraph"/>
    <w:basedOn w:val="1"/>
    <w:unhideWhenUsed/>
    <w:qFormat/>
    <w:uiPriority w:val="99"/>
    <w:pPr>
      <w:ind w:firstLine="420" w:firstLineChars="200"/>
    </w:pPr>
  </w:style>
  <w:style w:type="paragraph" w:customStyle="1" w:styleId="454">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7">
    <w:name w:val="修订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2292</Words>
  <Characters>13071</Characters>
  <Lines>108</Lines>
  <Paragraphs>30</Paragraphs>
  <TotalTime>29</TotalTime>
  <ScaleCrop>false</ScaleCrop>
  <LinksUpToDate>false</LinksUpToDate>
  <CharactersWithSpaces>15333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塔塔开</cp:lastModifiedBy>
  <dcterms:modified xsi:type="dcterms:W3CDTF">2026-05-15T02:57:35Z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204F5CD65C624DC883A28BACEC5C37AB_13</vt:lpwstr>
  </property>
  <property fmtid="{D5CDD505-2E9C-101B-9397-08002B2CF9AE}" pid="4" name="KSOTemplateDocerSaveRecord">
    <vt:lpwstr>eyJoZGlkIjoiY2VjNzgwM2ZmOTcyZmY3OWI3NjUwZTgyZTllNTNmMzgiLCJ1c2VySWQiOiIxNTE3NDg3MzE1In0=</vt:lpwstr>
  </property>
</Properties>
</file>