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22FAF">
      <w:pPr>
        <w:spacing w:before="480" w:beforeLines="200"/>
        <w:jc w:val="center"/>
        <w:rPr>
          <w:rFonts w:eastAsia="黑体"/>
          <w:b/>
          <w:sz w:val="52"/>
        </w:rPr>
      </w:pPr>
      <w:bookmarkStart w:id="0" w:name="_Toc224470066"/>
      <w:bookmarkStart w:id="1" w:name="_Toc224531918"/>
      <w:bookmarkStart w:id="2" w:name="_Toc224469826"/>
      <w:r>
        <w:rPr>
          <w:rFonts w:eastAsia="微软雅黑"/>
          <w:b/>
          <w:sz w:val="44"/>
          <w:szCs w:val="21"/>
        </w:rPr>
        <w:drawing>
          <wp:anchor distT="0" distB="0" distL="114300" distR="114300" simplePos="0" relativeHeight="251659264" behindDoc="1" locked="0" layoutInCell="1" allowOverlap="1">
            <wp:simplePos x="0" y="0"/>
            <wp:positionH relativeFrom="column">
              <wp:posOffset>-996315</wp:posOffset>
            </wp:positionH>
            <wp:positionV relativeFrom="paragraph">
              <wp:posOffset>-914400</wp:posOffset>
            </wp:positionV>
            <wp:extent cx="7567930" cy="2495550"/>
            <wp:effectExtent l="0" t="0" r="0" b="0"/>
            <wp:wrapTight wrapText="bothSides">
              <wp:wrapPolygon>
                <wp:start x="0" y="0"/>
                <wp:lineTo x="0" y="21518"/>
                <wp:lineTo x="21586" y="21518"/>
                <wp:lineTo x="21586"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567930" cy="2495550"/>
                    </a:xfrm>
                    <a:prstGeom prst="rect">
                      <a:avLst/>
                    </a:prstGeom>
                    <a:noFill/>
                    <a:ln>
                      <a:noFill/>
                    </a:ln>
                  </pic:spPr>
                </pic:pic>
              </a:graphicData>
            </a:graphic>
          </wp:anchor>
        </w:drawing>
      </w:r>
    </w:p>
    <w:p w14:paraId="204C1F99">
      <w:pPr>
        <w:spacing w:before="480" w:beforeLines="200"/>
        <w:jc w:val="center"/>
        <w:rPr>
          <w:rFonts w:eastAsia="黑体"/>
          <w:b/>
          <w:sz w:val="52"/>
        </w:rPr>
      </w:pPr>
    </w:p>
    <w:p w14:paraId="2364EDF3">
      <w:pPr>
        <w:spacing w:before="480" w:beforeLines="200"/>
        <w:jc w:val="center"/>
        <w:rPr>
          <w:rFonts w:eastAsia="黑体"/>
          <w:b/>
          <w:sz w:val="52"/>
        </w:rPr>
      </w:pPr>
      <w:r>
        <w:rPr>
          <w:rFonts w:hint="eastAsia" w:eastAsia="黑体"/>
          <w:b/>
          <w:sz w:val="52"/>
        </w:rPr>
        <w:t>轻型高光效系留无人机技术规范书</w:t>
      </w:r>
    </w:p>
    <w:p w14:paraId="7209540C">
      <w:pPr>
        <w:spacing w:before="480" w:beforeLines="200" w:line="360" w:lineRule="auto"/>
        <w:ind w:left="420" w:hanging="420"/>
        <w:jc w:val="center"/>
        <w:rPr>
          <w:rFonts w:eastAsia="黑体"/>
          <w:b/>
          <w:sz w:val="52"/>
        </w:rPr>
      </w:pPr>
      <w:r>
        <w:rPr>
          <w:rFonts w:hint="eastAsia" w:eastAsia="黑体"/>
          <w:b/>
          <w:sz w:val="52"/>
        </w:rPr>
        <w:t>（通用部分）</w:t>
      </w:r>
    </w:p>
    <w:p w14:paraId="6AEA4937">
      <w:pPr>
        <w:spacing w:before="480" w:beforeLines="200" w:line="360" w:lineRule="auto"/>
        <w:jc w:val="center"/>
        <w:rPr>
          <w:rFonts w:eastAsia="黑体"/>
          <w:b/>
          <w:sz w:val="36"/>
        </w:rPr>
      </w:pPr>
      <w:r>
        <w:rPr>
          <w:rFonts w:hint="eastAsia" w:eastAsia="黑体"/>
          <w:b/>
          <w:sz w:val="36"/>
        </w:rPr>
        <w:t xml:space="preserve">版本号：  </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3907C2BC">
      <w:pPr>
        <w:spacing w:line="360" w:lineRule="auto"/>
        <w:ind w:firstLine="2530" w:firstLineChars="700"/>
        <w:rPr>
          <w:rFonts w:eastAsia="黑体"/>
          <w:b/>
          <w:sz w:val="36"/>
        </w:rPr>
      </w:pPr>
      <w:r>
        <w:rPr>
          <w:rFonts w:hint="eastAsia" w:eastAsia="黑体"/>
          <w:b/>
          <w:sz w:val="36"/>
        </w:rPr>
        <w:t>编号：</w:t>
      </w:r>
    </w:p>
    <w:p w14:paraId="79C67498">
      <w:pPr>
        <w:spacing w:before="480" w:beforeLines="200" w:line="360" w:lineRule="auto"/>
        <w:ind w:left="420" w:firstLine="2873" w:firstLineChars="795"/>
        <w:jc w:val="left"/>
        <w:rPr>
          <w:rFonts w:eastAsia="黑体"/>
          <w:b/>
          <w:sz w:val="36"/>
        </w:rPr>
      </w:pPr>
    </w:p>
    <w:p w14:paraId="4D73E44D">
      <w:pPr>
        <w:spacing w:before="480" w:beforeLines="200" w:line="360" w:lineRule="auto"/>
        <w:ind w:left="420" w:firstLine="2873" w:firstLineChars="795"/>
        <w:jc w:val="left"/>
        <w:rPr>
          <w:rFonts w:eastAsia="黑体"/>
          <w:b/>
          <w:sz w:val="36"/>
        </w:rPr>
      </w:pPr>
    </w:p>
    <w:p w14:paraId="720A4C30">
      <w:pPr>
        <w:spacing w:before="480" w:beforeLines="200"/>
        <w:ind w:left="413" w:hanging="415" w:hangingChars="93"/>
        <w:jc w:val="center"/>
        <w:rPr>
          <w:rFonts w:eastAsia="黑体"/>
          <w:b/>
          <w:spacing w:val="20"/>
          <w:w w:val="135"/>
          <w:sz w:val="30"/>
        </w:rPr>
      </w:pPr>
      <w:r>
        <w:rPr>
          <w:rFonts w:eastAsia="黑体"/>
          <w:b/>
          <w:spacing w:val="20"/>
          <w:w w:val="135"/>
          <w:sz w:val="30"/>
        </w:rPr>
        <w:t>中国南方电网有限责任公司</w:t>
      </w:r>
    </w:p>
    <w:p w14:paraId="1019D510">
      <w:pPr>
        <w:jc w:val="center"/>
        <w:rPr>
          <w:rFonts w:eastAsia="黑体"/>
          <w:b/>
          <w:szCs w:val="28"/>
        </w:rPr>
        <w:sectPr>
          <w:headerReference r:id="rId5" w:type="first"/>
          <w:headerReference r:id="rId3" w:type="default"/>
          <w:footerReference r:id="rId6" w:type="default"/>
          <w:headerReference r:id="rId4" w:type="even"/>
          <w:pgSz w:w="11907" w:h="16840"/>
          <w:pgMar w:top="1440" w:right="1616" w:bottom="1440" w:left="1576" w:header="720" w:footer="720" w:gutter="0"/>
          <w:pgNumType w:fmt="decimalFullWidth" w:start="0"/>
          <w:cols w:space="720" w:num="1"/>
          <w:titlePg/>
          <w:docGrid w:linePitch="326" w:charSpace="0"/>
        </w:sectPr>
      </w:pPr>
      <w:r>
        <w:rPr>
          <w:rFonts w:eastAsia="黑体"/>
          <w:b/>
          <w:spacing w:val="20"/>
          <w:w w:val="135"/>
          <w:sz w:val="30"/>
        </w:rPr>
        <w:t>202</w:t>
      </w:r>
      <w:r>
        <w:rPr>
          <w:rFonts w:hint="eastAsia" w:eastAsia="黑体"/>
          <w:b/>
          <w:spacing w:val="20"/>
          <w:w w:val="135"/>
          <w:sz w:val="30"/>
        </w:rPr>
        <w:t>6</w:t>
      </w:r>
      <w:r>
        <w:rPr>
          <w:rFonts w:eastAsia="黑体"/>
          <w:b/>
          <w:spacing w:val="20"/>
          <w:w w:val="135"/>
          <w:sz w:val="30"/>
        </w:rPr>
        <w:t>年</w:t>
      </w:r>
      <w:r>
        <w:rPr>
          <w:rFonts w:hint="eastAsia" w:eastAsia="黑体"/>
          <w:b/>
          <w:spacing w:val="20"/>
          <w:w w:val="135"/>
          <w:sz w:val="30"/>
        </w:rPr>
        <w:t>1</w:t>
      </w:r>
      <w:r>
        <w:rPr>
          <w:rFonts w:eastAsia="黑体"/>
          <w:b/>
          <w:spacing w:val="20"/>
          <w:w w:val="135"/>
          <w:sz w:val="30"/>
        </w:rPr>
        <w:t>月</w:t>
      </w:r>
    </w:p>
    <w:p w14:paraId="4A0F7199">
      <w:pPr>
        <w:snapToGrid w:val="0"/>
        <w:jc w:val="center"/>
        <w:rPr>
          <w:rFonts w:eastAsia="黑体"/>
          <w:sz w:val="32"/>
          <w:szCs w:val="28"/>
        </w:rPr>
      </w:pPr>
      <w:r>
        <w:rPr>
          <w:rFonts w:hint="eastAsia" w:eastAsia="黑体"/>
          <w:sz w:val="32"/>
          <w:szCs w:val="28"/>
        </w:rPr>
        <w:t>本技术规范书对应的专用部分目录</w:t>
      </w:r>
    </w:p>
    <w:tbl>
      <w:tblPr>
        <w:tblStyle w:val="57"/>
        <w:tblW w:w="89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06"/>
        <w:gridCol w:w="2724"/>
      </w:tblGrid>
      <w:tr w14:paraId="657432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tcPr>
          <w:p w14:paraId="4D85C98E">
            <w:pPr>
              <w:spacing w:line="360" w:lineRule="auto"/>
              <w:jc w:val="center"/>
              <w:rPr>
                <w:sz w:val="24"/>
              </w:rPr>
            </w:pPr>
            <w:r>
              <w:rPr>
                <w:sz w:val="24"/>
              </w:rPr>
              <w:t>序号</w:t>
            </w:r>
          </w:p>
        </w:tc>
        <w:tc>
          <w:tcPr>
            <w:tcW w:w="5106" w:type="dxa"/>
          </w:tcPr>
          <w:p w14:paraId="209237A9">
            <w:pPr>
              <w:spacing w:line="360" w:lineRule="auto"/>
              <w:jc w:val="center"/>
              <w:rPr>
                <w:sz w:val="24"/>
              </w:rPr>
            </w:pPr>
            <w:r>
              <w:rPr>
                <w:sz w:val="24"/>
              </w:rPr>
              <w:t>名称</w:t>
            </w:r>
          </w:p>
        </w:tc>
        <w:tc>
          <w:tcPr>
            <w:tcW w:w="2724" w:type="dxa"/>
          </w:tcPr>
          <w:p w14:paraId="246E1787">
            <w:pPr>
              <w:spacing w:line="360" w:lineRule="auto"/>
              <w:jc w:val="center"/>
              <w:rPr>
                <w:sz w:val="24"/>
              </w:rPr>
            </w:pPr>
            <w:r>
              <w:rPr>
                <w:sz w:val="24"/>
              </w:rPr>
              <w:t>品类优化清单</w:t>
            </w:r>
          </w:p>
          <w:p w14:paraId="2E89544F">
            <w:pPr>
              <w:spacing w:line="360" w:lineRule="auto"/>
              <w:jc w:val="center"/>
              <w:rPr>
                <w:sz w:val="24"/>
              </w:rPr>
            </w:pPr>
            <w:r>
              <w:rPr>
                <w:sz w:val="24"/>
              </w:rPr>
              <w:t>对应型号</w:t>
            </w:r>
          </w:p>
        </w:tc>
      </w:tr>
      <w:tr w14:paraId="3B5E53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vAlign w:val="center"/>
          </w:tcPr>
          <w:p w14:paraId="35BD078E">
            <w:pPr>
              <w:spacing w:line="360" w:lineRule="auto"/>
              <w:jc w:val="center"/>
              <w:rPr>
                <w:sz w:val="24"/>
              </w:rPr>
            </w:pPr>
            <w:r>
              <w:rPr>
                <w:sz w:val="24"/>
              </w:rPr>
              <w:t>1</w:t>
            </w:r>
          </w:p>
        </w:tc>
        <w:tc>
          <w:tcPr>
            <w:tcW w:w="5106" w:type="dxa"/>
          </w:tcPr>
          <w:p w14:paraId="2FD7B066">
            <w:pPr>
              <w:numPr>
                <w:ilvl w:val="255"/>
                <w:numId w:val="0"/>
              </w:numPr>
              <w:spacing w:line="360" w:lineRule="auto"/>
              <w:jc w:val="center"/>
              <w:rPr>
                <w:sz w:val="24"/>
              </w:rPr>
            </w:pPr>
            <w:bookmarkStart w:id="3" w:name="_Hlk219273736"/>
            <w:bookmarkStart w:id="4" w:name="_Toc50889640"/>
            <w:bookmarkStart w:id="5" w:name="_Toc15656"/>
            <w:r>
              <w:rPr>
                <w:rFonts w:hint="eastAsia"/>
                <w:sz w:val="24"/>
              </w:rPr>
              <w:t>轻型高光效系留无人机</w:t>
            </w:r>
            <w:bookmarkEnd w:id="3"/>
            <w:r>
              <w:rPr>
                <w:sz w:val="24"/>
              </w:rPr>
              <w:t>技术规范书（</w:t>
            </w:r>
            <w:r>
              <w:rPr>
                <w:rFonts w:hint="eastAsia"/>
                <w:sz w:val="24"/>
              </w:rPr>
              <w:t>通</w:t>
            </w:r>
            <w:r>
              <w:rPr>
                <w:sz w:val="24"/>
              </w:rPr>
              <w:t>用部分）</w:t>
            </w:r>
            <w:bookmarkEnd w:id="4"/>
            <w:bookmarkEnd w:id="5"/>
          </w:p>
        </w:tc>
        <w:tc>
          <w:tcPr>
            <w:tcW w:w="2724" w:type="dxa"/>
          </w:tcPr>
          <w:p w14:paraId="0096FC6B">
            <w:pPr>
              <w:spacing w:line="360" w:lineRule="auto"/>
              <w:jc w:val="center"/>
              <w:rPr>
                <w:sz w:val="24"/>
              </w:rPr>
            </w:pPr>
            <w:r>
              <w:rPr>
                <w:rFonts w:hint="eastAsia"/>
                <w:sz w:val="24"/>
              </w:rPr>
              <w:t>/</w:t>
            </w:r>
          </w:p>
        </w:tc>
      </w:tr>
    </w:tbl>
    <w:p w14:paraId="2CBC5C7A">
      <w:pPr>
        <w:spacing w:line="360" w:lineRule="auto"/>
        <w:jc w:val="center"/>
        <w:rPr>
          <w:rFonts w:eastAsia="黑体"/>
          <w:bCs/>
          <w:sz w:val="36"/>
          <w:szCs w:val="36"/>
        </w:rPr>
      </w:pPr>
      <w:r>
        <w:rPr>
          <w:rFonts w:eastAsia="黑体"/>
          <w:sz w:val="32"/>
          <w:szCs w:val="20"/>
        </w:rPr>
        <w:br w:type="page"/>
      </w:r>
      <w:r>
        <w:rPr>
          <w:rFonts w:eastAsia="黑体"/>
          <w:bCs/>
          <w:sz w:val="36"/>
          <w:szCs w:val="36"/>
        </w:rPr>
        <w:t>目    录</w:t>
      </w:r>
      <w:bookmarkEnd w:id="0"/>
      <w:bookmarkEnd w:id="1"/>
      <w:bookmarkEnd w:id="2"/>
    </w:p>
    <w:p w14:paraId="513490B5">
      <w:pPr>
        <w:spacing w:line="360" w:lineRule="auto"/>
        <w:jc w:val="center"/>
        <w:rPr>
          <w:rFonts w:eastAsia="黑体"/>
          <w:bCs/>
          <w:sz w:val="36"/>
          <w:szCs w:val="36"/>
        </w:rPr>
      </w:pPr>
    </w:p>
    <w:p w14:paraId="68A0482B">
      <w:pPr>
        <w:pStyle w:val="38"/>
        <w:tabs>
          <w:tab w:val="right" w:leader="dot" w:pos="9113"/>
        </w:tabs>
        <w:rPr>
          <w:rFonts w:hint="eastAsia" w:asciiTheme="minorHAnsi" w:hAnsiTheme="minorHAnsi" w:eastAsiaTheme="minorEastAsia" w:cstheme="minorBidi"/>
          <w:sz w:val="22"/>
          <w14:ligatures w14:val="standardContextual"/>
        </w:rPr>
      </w:pPr>
      <w:r>
        <w:rPr>
          <w:rFonts w:hint="eastAsia" w:ascii="黑体" w:hAnsi="黑体" w:eastAsia="黑体" w:cs="黑体"/>
          <w:b/>
          <w:bCs/>
          <w:sz w:val="24"/>
          <w:szCs w:val="21"/>
        </w:rPr>
        <w:fldChar w:fldCharType="begin"/>
      </w:r>
      <w:r>
        <w:rPr>
          <w:rFonts w:hint="eastAsia" w:ascii="黑体" w:hAnsi="黑体" w:eastAsia="黑体" w:cs="黑体"/>
          <w:b/>
          <w:bCs/>
          <w:sz w:val="24"/>
        </w:rPr>
        <w:instrText xml:space="preserve"> TOC \o "1-2" \h \z \u </w:instrText>
      </w:r>
      <w:r>
        <w:rPr>
          <w:rFonts w:hint="eastAsia" w:ascii="黑体" w:hAnsi="黑体" w:eastAsia="黑体" w:cs="黑体"/>
          <w:b/>
          <w:bCs/>
          <w:sz w:val="24"/>
          <w:szCs w:val="21"/>
        </w:rPr>
        <w:fldChar w:fldCharType="separate"/>
      </w:r>
      <w:r>
        <w:fldChar w:fldCharType="begin"/>
      </w:r>
      <w:r>
        <w:instrText xml:space="preserve"> HYPERLINK \l "_Toc229217242" </w:instrText>
      </w:r>
      <w:r>
        <w:fldChar w:fldCharType="separate"/>
      </w:r>
      <w:r>
        <w:rPr>
          <w:rStyle w:val="65"/>
          <w:rFonts w:eastAsia="黑体"/>
          <w:b/>
          <w:bCs/>
        </w:rPr>
        <w:t>1 总则</w:t>
      </w:r>
      <w:r>
        <w:rPr>
          <w:rFonts w:hint="eastAsia"/>
        </w:rPr>
        <w:tab/>
      </w:r>
      <w:r>
        <w:rPr>
          <w:rFonts w:hint="eastAsia"/>
        </w:rPr>
        <w:fldChar w:fldCharType="begin"/>
      </w:r>
      <w:r>
        <w:rPr>
          <w:rFonts w:hint="eastAsia"/>
        </w:rPr>
        <w:instrText xml:space="preserve"> </w:instrText>
      </w:r>
      <w:r>
        <w:instrText xml:space="preserve">PAGEREF _Toc229217242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7FD8058">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"_Toc229217243" </w:instrText>
      </w:r>
      <w:r>
        <w:fldChar w:fldCharType="separate"/>
      </w:r>
      <w:r>
        <w:rPr>
          <w:rStyle w:val="65"/>
          <w:rFonts w:eastAsia="黑体"/>
          <w:b/>
          <w:bCs/>
        </w:rPr>
        <w:t>2 工作范围</w:t>
      </w:r>
      <w:r>
        <w:rPr>
          <w:rFonts w:hint="eastAsia"/>
        </w:rPr>
        <w:tab/>
      </w:r>
      <w:r>
        <w:rPr>
          <w:rFonts w:hint="eastAsia"/>
        </w:rPr>
        <w:fldChar w:fldCharType="begin"/>
      </w:r>
      <w:r>
        <w:rPr>
          <w:rFonts w:hint="eastAsia"/>
        </w:rPr>
        <w:instrText xml:space="preserve"> </w:instrText>
      </w:r>
      <w:r>
        <w:instrText xml:space="preserve">PAGEREF _Toc229217243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331B14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"_Toc229217244" </w:instrText>
      </w:r>
      <w:r>
        <w:fldChar w:fldCharType="separate"/>
      </w:r>
      <w:r>
        <w:rPr>
          <w:rStyle w:val="65"/>
          <w:rFonts w:eastAsia="黑体"/>
          <w:bCs/>
        </w:rPr>
        <w:t>2.1 供货范围</w:t>
      </w:r>
      <w:r>
        <w:rPr>
          <w:rFonts w:hint="eastAsia"/>
        </w:rPr>
        <w:tab/>
      </w:r>
      <w:r>
        <w:rPr>
          <w:rFonts w:hint="eastAsia"/>
        </w:rPr>
        <w:fldChar w:fldCharType="begin"/>
      </w:r>
      <w:r>
        <w:rPr>
          <w:rFonts w:hint="eastAsia"/>
        </w:rPr>
        <w:instrText xml:space="preserve"> </w:instrText>
      </w:r>
      <w:r>
        <w:instrText xml:space="preserve">PAGEREF _Toc229217244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46B77B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"_Toc229217245" </w:instrText>
      </w:r>
      <w:r>
        <w:fldChar w:fldCharType="separate"/>
      </w:r>
      <w:r>
        <w:rPr>
          <w:rStyle w:val="65"/>
          <w:rFonts w:eastAsia="黑体"/>
          <w:bCs/>
        </w:rPr>
        <w:t>2.2 服务界限</w:t>
      </w:r>
      <w:r>
        <w:rPr>
          <w:rFonts w:hint="eastAsia"/>
        </w:rPr>
        <w:tab/>
      </w:r>
      <w:r>
        <w:rPr>
          <w:rFonts w:hint="eastAsia"/>
        </w:rPr>
        <w:fldChar w:fldCharType="begin"/>
      </w:r>
      <w:r>
        <w:rPr>
          <w:rFonts w:hint="eastAsia"/>
        </w:rPr>
        <w:instrText xml:space="preserve"> </w:instrText>
      </w:r>
      <w:r>
        <w:instrText xml:space="preserve">PAGEREF _Toc229217245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9DC8FC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"_Toc229217246" </w:instrText>
      </w:r>
      <w:r>
        <w:fldChar w:fldCharType="separate"/>
      </w:r>
      <w:r>
        <w:rPr>
          <w:rStyle w:val="65"/>
          <w:rFonts w:eastAsia="黑体"/>
          <w:bCs/>
        </w:rPr>
        <w:t>2.3 技术文件</w:t>
      </w:r>
      <w:r>
        <w:rPr>
          <w:rFonts w:hint="eastAsia"/>
        </w:rPr>
        <w:tab/>
      </w:r>
      <w:r>
        <w:rPr>
          <w:rFonts w:hint="eastAsia"/>
        </w:rPr>
        <w:fldChar w:fldCharType="begin"/>
      </w:r>
      <w:r>
        <w:rPr>
          <w:rFonts w:hint="eastAsia"/>
        </w:rPr>
        <w:instrText xml:space="preserve"> </w:instrText>
      </w:r>
      <w:r>
        <w:instrText xml:space="preserve">PAGEREF _Toc229217246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D84D68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"_Toc229217247" </w:instrText>
      </w:r>
      <w:r>
        <w:fldChar w:fldCharType="separate"/>
      </w:r>
      <w:r>
        <w:rPr>
          <w:rStyle w:val="65"/>
        </w:rPr>
        <w:t>技术文件的组成</w:t>
      </w:r>
      <w:r>
        <w:rPr>
          <w:rFonts w:hint="eastAsia"/>
        </w:rPr>
        <w:tab/>
      </w:r>
      <w:r>
        <w:rPr>
          <w:rFonts w:hint="eastAsia"/>
        </w:rPr>
        <w:fldChar w:fldCharType="begin"/>
      </w:r>
      <w:r>
        <w:rPr>
          <w:rFonts w:hint="eastAsia"/>
        </w:rPr>
        <w:instrText xml:space="preserve"> </w:instrText>
      </w:r>
      <w:r>
        <w:instrText xml:space="preserve">PAGEREF _Toc229217247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C25ED73">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"_Toc229217248" </w:instrText>
      </w:r>
      <w:r>
        <w:fldChar w:fldCharType="separate"/>
      </w:r>
      <w:r>
        <w:rPr>
          <w:rStyle w:val="65"/>
          <w:rFonts w:eastAsia="黑体"/>
          <w:b/>
          <w:bCs/>
        </w:rPr>
        <w:t>3 应遵循的主要标准</w:t>
      </w:r>
      <w:r>
        <w:rPr>
          <w:rFonts w:hint="eastAsia"/>
        </w:rPr>
        <w:tab/>
      </w:r>
      <w:r>
        <w:rPr>
          <w:rFonts w:hint="eastAsia"/>
        </w:rPr>
        <w:fldChar w:fldCharType="begin"/>
      </w:r>
      <w:r>
        <w:rPr>
          <w:rFonts w:hint="eastAsia"/>
        </w:rPr>
        <w:instrText xml:space="preserve"> </w:instrText>
      </w:r>
      <w:r>
        <w:instrText xml:space="preserve">PAGEREF _Toc229217248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61345C5">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"_Toc229217249" </w:instrText>
      </w:r>
      <w:r>
        <w:fldChar w:fldCharType="separate"/>
      </w:r>
      <w:r>
        <w:rPr>
          <w:rStyle w:val="65"/>
          <w:rFonts w:eastAsia="黑体"/>
          <w:b/>
          <w:bCs/>
        </w:rPr>
        <w:t>4 使用条件</w:t>
      </w:r>
      <w:r>
        <w:rPr>
          <w:rFonts w:hint="eastAsia"/>
        </w:rPr>
        <w:tab/>
      </w:r>
      <w:r>
        <w:rPr>
          <w:rFonts w:hint="eastAsia"/>
        </w:rPr>
        <w:fldChar w:fldCharType="begin"/>
      </w:r>
      <w:r>
        <w:rPr>
          <w:rFonts w:hint="eastAsia"/>
        </w:rPr>
        <w:instrText xml:space="preserve"> </w:instrText>
      </w:r>
      <w:r>
        <w:instrText xml:space="preserve">PAGEREF _Toc229217249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C686D1C">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"_Toc229217250" </w:instrText>
      </w:r>
      <w:r>
        <w:fldChar w:fldCharType="separate"/>
      </w:r>
      <w:r>
        <w:rPr>
          <w:rStyle w:val="65"/>
          <w:rFonts w:eastAsia="黑体"/>
        </w:rPr>
        <w:t>4.1 正常使用条件</w:t>
      </w:r>
      <w:r>
        <w:rPr>
          <w:rFonts w:hint="eastAsia"/>
        </w:rPr>
        <w:tab/>
      </w:r>
      <w:r>
        <w:rPr>
          <w:rFonts w:hint="eastAsia"/>
        </w:rPr>
        <w:fldChar w:fldCharType="begin"/>
      </w:r>
      <w:r>
        <w:rPr>
          <w:rFonts w:hint="eastAsia"/>
        </w:rPr>
        <w:instrText xml:space="preserve"> </w:instrText>
      </w:r>
      <w:r>
        <w:instrText xml:space="preserve">PAGEREF _Toc229217250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D2E9D24">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"_Toc229217251" </w:instrText>
      </w:r>
      <w:r>
        <w:fldChar w:fldCharType="separate"/>
      </w:r>
      <w:r>
        <w:rPr>
          <w:rStyle w:val="65"/>
          <w:rFonts w:eastAsia="黑体"/>
        </w:rPr>
        <w:t>4.2 特殊使用条件</w:t>
      </w:r>
      <w:r>
        <w:rPr>
          <w:rFonts w:hint="eastAsia"/>
        </w:rPr>
        <w:tab/>
      </w:r>
      <w:r>
        <w:rPr>
          <w:rFonts w:hint="eastAsia"/>
        </w:rPr>
        <w:fldChar w:fldCharType="begin"/>
      </w:r>
      <w:r>
        <w:rPr>
          <w:rFonts w:hint="eastAsia"/>
        </w:rPr>
        <w:instrText xml:space="preserve"> </w:instrText>
      </w:r>
      <w:r>
        <w:instrText xml:space="preserve">PAGEREF _Toc229217251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04F6358">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"_Toc229217252" </w:instrText>
      </w:r>
      <w:r>
        <w:fldChar w:fldCharType="separate"/>
      </w:r>
      <w:r>
        <w:rPr>
          <w:rStyle w:val="65"/>
          <w:rFonts w:eastAsia="黑体"/>
          <w:b/>
          <w:bCs/>
        </w:rPr>
        <w:t>5 技术要求</w:t>
      </w:r>
      <w:r>
        <w:rPr>
          <w:rFonts w:hint="eastAsia"/>
        </w:rPr>
        <w:tab/>
      </w:r>
      <w:r>
        <w:rPr>
          <w:rFonts w:hint="eastAsia"/>
        </w:rPr>
        <w:fldChar w:fldCharType="begin"/>
      </w:r>
      <w:r>
        <w:rPr>
          <w:rFonts w:hint="eastAsia"/>
        </w:rPr>
        <w:instrText xml:space="preserve"> </w:instrText>
      </w:r>
      <w:r>
        <w:instrText xml:space="preserve">PAGEREF _Toc229217252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0A2E4C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"_Toc229217253" </w:instrText>
      </w:r>
      <w:r>
        <w:fldChar w:fldCharType="separate"/>
      </w:r>
      <w:r>
        <w:rPr>
          <w:rStyle w:val="65"/>
          <w:rFonts w:eastAsia="黑体"/>
          <w:bCs/>
        </w:rPr>
        <w:t>5.1 飞行器技术要求</w:t>
      </w:r>
      <w:r>
        <w:rPr>
          <w:rFonts w:hint="eastAsia"/>
        </w:rPr>
        <w:tab/>
      </w:r>
      <w:r>
        <w:rPr>
          <w:rFonts w:hint="eastAsia"/>
        </w:rPr>
        <w:fldChar w:fldCharType="begin"/>
      </w:r>
      <w:r>
        <w:rPr>
          <w:rFonts w:hint="eastAsia"/>
        </w:rPr>
        <w:instrText xml:space="preserve"> </w:instrText>
      </w:r>
      <w:r>
        <w:instrText xml:space="preserve">PAGEREF _Toc229217253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42FC73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"_Toc229217254" </w:instrText>
      </w:r>
      <w:r>
        <w:fldChar w:fldCharType="separate"/>
      </w:r>
      <w:r>
        <w:rPr>
          <w:rStyle w:val="65"/>
          <w:rFonts w:eastAsia="黑体"/>
          <w:bCs/>
        </w:rPr>
        <w:t>5.2 系留照明模块技术要求</w:t>
      </w:r>
      <w:r>
        <w:rPr>
          <w:rFonts w:hint="eastAsia"/>
        </w:rPr>
        <w:tab/>
      </w:r>
      <w:r>
        <w:rPr>
          <w:rFonts w:hint="eastAsia"/>
        </w:rPr>
        <w:fldChar w:fldCharType="begin"/>
      </w:r>
      <w:r>
        <w:rPr>
          <w:rFonts w:hint="eastAsia"/>
        </w:rPr>
        <w:instrText xml:space="preserve"> </w:instrText>
      </w:r>
      <w:r>
        <w:instrText xml:space="preserve">PAGEREF _Toc229217254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7FB4F4C">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"_Toc229217255" </w:instrText>
      </w:r>
      <w:r>
        <w:fldChar w:fldCharType="separate"/>
      </w:r>
      <w:r>
        <w:rPr>
          <w:rStyle w:val="65"/>
          <w:rFonts w:eastAsia="黑体"/>
          <w:bCs/>
        </w:rPr>
        <w:t>5.3 系留控制平台技术要求</w:t>
      </w:r>
      <w:r>
        <w:rPr>
          <w:rFonts w:hint="eastAsia"/>
        </w:rPr>
        <w:tab/>
      </w:r>
      <w:r>
        <w:rPr>
          <w:rFonts w:hint="eastAsia"/>
        </w:rPr>
        <w:fldChar w:fldCharType="begin"/>
      </w:r>
      <w:r>
        <w:rPr>
          <w:rFonts w:hint="eastAsia"/>
        </w:rPr>
        <w:instrText xml:space="preserve"> </w:instrText>
      </w:r>
      <w:r>
        <w:instrText xml:space="preserve">PAGEREF _Toc229217255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F1DCBC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"_Toc229217256" </w:instrText>
      </w:r>
      <w:r>
        <w:fldChar w:fldCharType="separate"/>
      </w:r>
      <w:r>
        <w:rPr>
          <w:rStyle w:val="65"/>
          <w:rFonts w:eastAsia="黑体"/>
          <w:bCs/>
        </w:rPr>
        <w:t>5.4 安全配置1（LED警示伸缩路锥）技术要求</w:t>
      </w:r>
      <w:r>
        <w:rPr>
          <w:rFonts w:hint="eastAsia"/>
        </w:rPr>
        <w:tab/>
      </w:r>
      <w:r>
        <w:rPr>
          <w:rFonts w:hint="eastAsia"/>
        </w:rPr>
        <w:fldChar w:fldCharType="begin"/>
      </w:r>
      <w:r>
        <w:rPr>
          <w:rFonts w:hint="eastAsia"/>
        </w:rPr>
        <w:instrText xml:space="preserve"> </w:instrText>
      </w:r>
      <w:r>
        <w:instrText xml:space="preserve">PAGEREF _Toc229217256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5209CB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"_Toc229217257" </w:instrText>
      </w:r>
      <w:r>
        <w:fldChar w:fldCharType="separate"/>
      </w:r>
      <w:r>
        <w:rPr>
          <w:rStyle w:val="65"/>
          <w:rFonts w:eastAsia="黑体"/>
          <w:bCs/>
        </w:rPr>
        <w:t>5.5 安全配置2（LED警示背心）技术要求</w:t>
      </w:r>
      <w:r>
        <w:rPr>
          <w:rFonts w:hint="eastAsia"/>
        </w:rPr>
        <w:tab/>
      </w:r>
      <w:r>
        <w:rPr>
          <w:rFonts w:hint="eastAsia"/>
        </w:rPr>
        <w:fldChar w:fldCharType="begin"/>
      </w:r>
      <w:r>
        <w:rPr>
          <w:rFonts w:hint="eastAsia"/>
        </w:rPr>
        <w:instrText xml:space="preserve"> </w:instrText>
      </w:r>
      <w:r>
        <w:instrText xml:space="preserve">PAGEREF _Toc229217257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F27F9B5">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"_Toc229217258" </w:instrText>
      </w:r>
      <w:r>
        <w:fldChar w:fldCharType="separate"/>
      </w:r>
      <w:r>
        <w:rPr>
          <w:rStyle w:val="65"/>
          <w:rFonts w:eastAsia="黑体"/>
          <w:bCs/>
        </w:rPr>
        <w:t>5.6 其他技术要求</w:t>
      </w:r>
      <w:r>
        <w:rPr>
          <w:rFonts w:hint="eastAsia"/>
        </w:rPr>
        <w:tab/>
      </w:r>
      <w:r>
        <w:rPr>
          <w:rFonts w:hint="eastAsia"/>
        </w:rPr>
        <w:fldChar w:fldCharType="begin"/>
      </w:r>
      <w:r>
        <w:rPr>
          <w:rFonts w:hint="eastAsia"/>
        </w:rPr>
        <w:instrText xml:space="preserve"> </w:instrText>
      </w:r>
      <w:r>
        <w:instrText xml:space="preserve">PAGEREF _Toc229217258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BA3729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"_Toc229217259" </w:instrText>
      </w:r>
      <w:r>
        <w:fldChar w:fldCharType="separate"/>
      </w:r>
      <w:r>
        <w:rPr>
          <w:rStyle w:val="65"/>
          <w:rFonts w:eastAsia="黑体"/>
          <w:bCs/>
        </w:rPr>
        <w:t>5.7 网络安全要求</w:t>
      </w:r>
      <w:r>
        <w:rPr>
          <w:rFonts w:hint="eastAsia"/>
        </w:rPr>
        <w:tab/>
      </w:r>
      <w:r>
        <w:rPr>
          <w:rFonts w:hint="eastAsia"/>
        </w:rPr>
        <w:fldChar w:fldCharType="begin"/>
      </w:r>
      <w:r>
        <w:rPr>
          <w:rFonts w:hint="eastAsia"/>
        </w:rPr>
        <w:instrText xml:space="preserve"> </w:instrText>
      </w:r>
      <w:r>
        <w:instrText xml:space="preserve">PAGEREF _Toc229217259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86EE809">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"_Toc229217260" </w:instrText>
      </w:r>
      <w:r>
        <w:fldChar w:fldCharType="separate"/>
      </w:r>
      <w:r>
        <w:rPr>
          <w:rStyle w:val="65"/>
          <w:rFonts w:eastAsia="黑体"/>
          <w:b/>
          <w:bCs/>
        </w:rPr>
        <w:t>6 试验项目及要求</w:t>
      </w:r>
      <w:r>
        <w:rPr>
          <w:rFonts w:hint="eastAsia"/>
        </w:rPr>
        <w:tab/>
      </w:r>
      <w:r>
        <w:rPr>
          <w:rFonts w:hint="eastAsia"/>
        </w:rPr>
        <w:fldChar w:fldCharType="begin"/>
      </w:r>
      <w:r>
        <w:rPr>
          <w:rFonts w:hint="eastAsia"/>
        </w:rPr>
        <w:instrText xml:space="preserve"> </w:instrText>
      </w:r>
      <w:r>
        <w:instrText xml:space="preserve">PAGEREF _Toc229217260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1C8866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"_Toc229217261" </w:instrText>
      </w:r>
      <w:r>
        <w:fldChar w:fldCharType="separate"/>
      </w:r>
      <w:r>
        <w:rPr>
          <w:rStyle w:val="65"/>
          <w:rFonts w:hint="eastAsia" w:eastAsia="黑体"/>
          <w:bCs/>
        </w:rPr>
        <w:t xml:space="preserve">6.1 </w:t>
      </w:r>
      <w:r>
        <w:rPr>
          <w:rStyle w:val="65"/>
          <w:rFonts w:ascii="黑体" w:hAnsi="黑体" w:eastAsia="黑体"/>
          <w:bCs/>
        </w:rPr>
        <w:t>试验环境</w:t>
      </w:r>
      <w:r>
        <w:rPr>
          <w:rFonts w:hint="eastAsia"/>
        </w:rPr>
        <w:tab/>
      </w:r>
      <w:r>
        <w:rPr>
          <w:rFonts w:hint="eastAsia"/>
        </w:rPr>
        <w:fldChar w:fldCharType="begin"/>
      </w:r>
      <w:r>
        <w:rPr>
          <w:rFonts w:hint="eastAsia"/>
        </w:rPr>
        <w:instrText xml:space="preserve"> </w:instrText>
      </w:r>
      <w:r>
        <w:instrText xml:space="preserve">PAGEREF _Toc229217261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4D9BF5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"_Toc229217262" </w:instrText>
      </w:r>
      <w:r>
        <w:fldChar w:fldCharType="separate"/>
      </w:r>
      <w:r>
        <w:rPr>
          <w:rStyle w:val="65"/>
          <w:rFonts w:hint="eastAsia" w:eastAsia="黑体"/>
          <w:bCs/>
        </w:rPr>
        <w:t>6.2</w:t>
      </w:r>
      <w:r>
        <w:rPr>
          <w:rStyle w:val="65"/>
          <w:rFonts w:ascii="黑体" w:hAnsi="黑体" w:eastAsia="黑体"/>
          <w:bCs/>
        </w:rPr>
        <w:t xml:space="preserve"> 环境适应性试验</w:t>
      </w:r>
      <w:r>
        <w:rPr>
          <w:rFonts w:hint="eastAsia"/>
        </w:rPr>
        <w:tab/>
      </w:r>
      <w:r>
        <w:rPr>
          <w:rFonts w:hint="eastAsia"/>
        </w:rPr>
        <w:fldChar w:fldCharType="begin"/>
      </w:r>
      <w:r>
        <w:rPr>
          <w:rFonts w:hint="eastAsia"/>
        </w:rPr>
        <w:instrText xml:space="preserve"> </w:instrText>
      </w:r>
      <w:r>
        <w:instrText xml:space="preserve">PAGEREF _Toc229217262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08D5759">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"_Toc229217263" </w:instrText>
      </w:r>
      <w:r>
        <w:fldChar w:fldCharType="separate"/>
      </w:r>
      <w:r>
        <w:rPr>
          <w:rStyle w:val="65"/>
          <w:rFonts w:hint="eastAsia" w:eastAsia="黑体"/>
          <w:bCs/>
        </w:rPr>
        <w:t xml:space="preserve">6.3 </w:t>
      </w:r>
      <w:r>
        <w:rPr>
          <w:rStyle w:val="65"/>
          <w:rFonts w:ascii="黑体" w:hAnsi="黑体" w:eastAsia="黑体"/>
          <w:bCs/>
        </w:rPr>
        <w:t>外观结构检查</w:t>
      </w:r>
      <w:r>
        <w:rPr>
          <w:rFonts w:hint="eastAsia"/>
        </w:rPr>
        <w:tab/>
      </w:r>
      <w:r>
        <w:rPr>
          <w:rFonts w:hint="eastAsia"/>
        </w:rPr>
        <w:fldChar w:fldCharType="begin"/>
      </w:r>
      <w:r>
        <w:rPr>
          <w:rFonts w:hint="eastAsia"/>
        </w:rPr>
        <w:instrText xml:space="preserve"> </w:instrText>
      </w:r>
      <w:r>
        <w:instrText xml:space="preserve">PAGEREF _Toc229217263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95CD1C5">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"_Toc229217264" </w:instrText>
      </w:r>
      <w:r>
        <w:fldChar w:fldCharType="separate"/>
      </w:r>
      <w:r>
        <w:rPr>
          <w:rStyle w:val="65"/>
          <w:rFonts w:hint="eastAsia" w:eastAsia="黑体"/>
          <w:bCs/>
        </w:rPr>
        <w:t xml:space="preserve">6.4 </w:t>
      </w:r>
      <w:r>
        <w:rPr>
          <w:rStyle w:val="65"/>
          <w:rFonts w:ascii="黑体" w:hAnsi="黑体" w:eastAsia="黑体"/>
          <w:bCs/>
        </w:rPr>
        <w:t>基本功能试验</w:t>
      </w:r>
      <w:r>
        <w:rPr>
          <w:rFonts w:hint="eastAsia"/>
        </w:rPr>
        <w:tab/>
      </w:r>
      <w:r>
        <w:rPr>
          <w:rFonts w:hint="eastAsia"/>
        </w:rPr>
        <w:fldChar w:fldCharType="begin"/>
      </w:r>
      <w:r>
        <w:rPr>
          <w:rFonts w:hint="eastAsia"/>
        </w:rPr>
        <w:instrText xml:space="preserve"> </w:instrText>
      </w:r>
      <w:r>
        <w:instrText xml:space="preserve">PAGEREF _Toc229217264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8E81D46">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"_Toc229217265" </w:instrText>
      </w:r>
      <w:r>
        <w:fldChar w:fldCharType="separate"/>
      </w:r>
      <w:r>
        <w:rPr>
          <w:rStyle w:val="65"/>
          <w:rFonts w:hint="eastAsia" w:eastAsia="黑体"/>
          <w:bCs/>
        </w:rPr>
        <w:t xml:space="preserve">6.5 </w:t>
      </w:r>
      <w:r>
        <w:rPr>
          <w:rStyle w:val="65"/>
          <w:rFonts w:ascii="黑体" w:hAnsi="黑体" w:eastAsia="黑体"/>
          <w:bCs/>
        </w:rPr>
        <w:t>起降与停靠补充试验</w:t>
      </w:r>
      <w:r>
        <w:rPr>
          <w:rFonts w:hint="eastAsia"/>
        </w:rPr>
        <w:tab/>
      </w:r>
      <w:r>
        <w:rPr>
          <w:rFonts w:hint="eastAsia"/>
        </w:rPr>
        <w:fldChar w:fldCharType="begin"/>
      </w:r>
      <w:r>
        <w:rPr>
          <w:rFonts w:hint="eastAsia"/>
        </w:rPr>
        <w:instrText xml:space="preserve"> </w:instrText>
      </w:r>
      <w:r>
        <w:instrText xml:space="preserve">PAGEREF _Toc229217265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BB7F4C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"_Toc229217266" </w:instrText>
      </w:r>
      <w:r>
        <w:fldChar w:fldCharType="separate"/>
      </w:r>
      <w:r>
        <w:rPr>
          <w:rStyle w:val="65"/>
          <w:rFonts w:hint="eastAsia" w:eastAsia="黑体"/>
          <w:bCs/>
        </w:rPr>
        <w:t>6.6</w:t>
      </w:r>
      <w:r>
        <w:rPr>
          <w:rStyle w:val="65"/>
          <w:rFonts w:ascii="黑体" w:hAnsi="黑体" w:eastAsia="黑体"/>
          <w:bCs/>
        </w:rPr>
        <w:t xml:space="preserve"> 自动充电与充电保护试验</w:t>
      </w:r>
      <w:r>
        <w:rPr>
          <w:rFonts w:hint="eastAsia"/>
        </w:rPr>
        <w:tab/>
      </w:r>
      <w:r>
        <w:rPr>
          <w:rFonts w:hint="eastAsia"/>
        </w:rPr>
        <w:fldChar w:fldCharType="begin"/>
      </w:r>
      <w:r>
        <w:rPr>
          <w:rFonts w:hint="eastAsia"/>
        </w:rPr>
        <w:instrText xml:space="preserve"> </w:instrText>
      </w:r>
      <w:r>
        <w:instrText xml:space="preserve">PAGEREF _Toc229217266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B37254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"_Toc229217267" </w:instrText>
      </w:r>
      <w:r>
        <w:fldChar w:fldCharType="separate"/>
      </w:r>
      <w:r>
        <w:rPr>
          <w:rStyle w:val="65"/>
          <w:rFonts w:hint="eastAsia" w:eastAsia="黑体"/>
          <w:bCs/>
        </w:rPr>
        <w:t>6.7</w:t>
      </w:r>
      <w:r>
        <w:rPr>
          <w:rStyle w:val="65"/>
          <w:rFonts w:ascii="黑体" w:hAnsi="黑体" w:eastAsia="黑体"/>
          <w:bCs/>
        </w:rPr>
        <w:t xml:space="preserve"> 备用电源功能试验</w:t>
      </w:r>
      <w:r>
        <w:rPr>
          <w:rFonts w:hint="eastAsia"/>
        </w:rPr>
        <w:tab/>
      </w:r>
      <w:r>
        <w:rPr>
          <w:rFonts w:hint="eastAsia"/>
        </w:rPr>
        <w:fldChar w:fldCharType="begin"/>
      </w:r>
      <w:r>
        <w:rPr>
          <w:rFonts w:hint="eastAsia"/>
        </w:rPr>
        <w:instrText xml:space="preserve"> </w:instrText>
      </w:r>
      <w:r>
        <w:instrText xml:space="preserve">PAGEREF _Toc229217267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D9EEA16">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"_Toc229217268" </w:instrText>
      </w:r>
      <w:r>
        <w:fldChar w:fldCharType="separate"/>
      </w:r>
      <w:r>
        <w:rPr>
          <w:rStyle w:val="65"/>
          <w:rFonts w:hint="eastAsia" w:eastAsia="黑体"/>
          <w:bCs/>
        </w:rPr>
        <w:t>6.8</w:t>
      </w:r>
      <w:r>
        <w:rPr>
          <w:rStyle w:val="65"/>
          <w:rFonts w:ascii="黑体" w:hAnsi="黑体" w:eastAsia="黑体"/>
          <w:bCs/>
        </w:rPr>
        <w:t xml:space="preserve"> 远程控制功能试验</w:t>
      </w:r>
      <w:r>
        <w:rPr>
          <w:rFonts w:hint="eastAsia"/>
        </w:rPr>
        <w:tab/>
      </w:r>
      <w:r>
        <w:rPr>
          <w:rFonts w:hint="eastAsia"/>
        </w:rPr>
        <w:fldChar w:fldCharType="begin"/>
      </w:r>
      <w:r>
        <w:rPr>
          <w:rFonts w:hint="eastAsia"/>
        </w:rPr>
        <w:instrText xml:space="preserve"> </w:instrText>
      </w:r>
      <w:r>
        <w:instrText xml:space="preserve">PAGEREF _Toc229217268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4875C8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"_Toc229217269" </w:instrText>
      </w:r>
      <w:r>
        <w:fldChar w:fldCharType="separate"/>
      </w:r>
      <w:r>
        <w:rPr>
          <w:rStyle w:val="65"/>
          <w:rFonts w:hint="eastAsia" w:eastAsia="黑体"/>
          <w:bCs/>
        </w:rPr>
        <w:t xml:space="preserve">6.9 </w:t>
      </w:r>
      <w:r>
        <w:rPr>
          <w:rStyle w:val="65"/>
          <w:rFonts w:ascii="黑体" w:hAnsi="黑体" w:eastAsia="黑体"/>
          <w:bCs/>
        </w:rPr>
        <w:t>应急功能试验</w:t>
      </w:r>
      <w:r>
        <w:rPr>
          <w:rFonts w:hint="eastAsia"/>
        </w:rPr>
        <w:tab/>
      </w:r>
      <w:r>
        <w:rPr>
          <w:rFonts w:hint="eastAsia"/>
        </w:rPr>
        <w:fldChar w:fldCharType="begin"/>
      </w:r>
      <w:r>
        <w:rPr>
          <w:rFonts w:hint="eastAsia"/>
        </w:rPr>
        <w:instrText xml:space="preserve"> </w:instrText>
      </w:r>
      <w:r>
        <w:instrText xml:space="preserve">PAGEREF _Toc229217269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7F4AD4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"_Toc229217270" </w:instrText>
      </w:r>
      <w:r>
        <w:fldChar w:fldCharType="separate"/>
      </w:r>
      <w:r>
        <w:rPr>
          <w:rStyle w:val="65"/>
          <w:rFonts w:hint="eastAsia" w:eastAsia="黑体"/>
          <w:bCs/>
        </w:rPr>
        <w:t>6.10</w:t>
      </w:r>
      <w:r>
        <w:rPr>
          <w:rStyle w:val="65"/>
          <w:rFonts w:ascii="黑体" w:hAnsi="黑体" w:eastAsia="黑体"/>
          <w:bCs/>
        </w:rPr>
        <w:t xml:space="preserve"> 数据传输试验</w:t>
      </w:r>
      <w:r>
        <w:rPr>
          <w:rFonts w:hint="eastAsia"/>
        </w:rPr>
        <w:tab/>
      </w:r>
      <w:r>
        <w:rPr>
          <w:rFonts w:hint="eastAsia"/>
        </w:rPr>
        <w:fldChar w:fldCharType="begin"/>
      </w:r>
      <w:r>
        <w:rPr>
          <w:rFonts w:hint="eastAsia"/>
        </w:rPr>
        <w:instrText xml:space="preserve"> </w:instrText>
      </w:r>
      <w:r>
        <w:instrText xml:space="preserve">PAGEREF _Toc229217270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30A89CF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"_Toc229217271" </w:instrText>
      </w:r>
      <w:r>
        <w:fldChar w:fldCharType="separate"/>
      </w:r>
      <w:r>
        <w:rPr>
          <w:rStyle w:val="65"/>
          <w:rFonts w:hint="eastAsia" w:eastAsia="黑体"/>
          <w:bCs/>
        </w:rPr>
        <w:t>6.11</w:t>
      </w:r>
      <w:r>
        <w:rPr>
          <w:rStyle w:val="65"/>
          <w:rFonts w:ascii="黑体" w:hAnsi="黑体" w:eastAsia="黑体"/>
          <w:bCs/>
        </w:rPr>
        <w:t xml:space="preserve"> 自检与故障诊断试验</w:t>
      </w:r>
      <w:r>
        <w:rPr>
          <w:rFonts w:hint="eastAsia"/>
        </w:rPr>
        <w:tab/>
      </w:r>
      <w:r>
        <w:rPr>
          <w:rFonts w:hint="eastAsia"/>
        </w:rPr>
        <w:fldChar w:fldCharType="begin"/>
      </w:r>
      <w:r>
        <w:rPr>
          <w:rFonts w:hint="eastAsia"/>
        </w:rPr>
        <w:instrText xml:space="preserve"> </w:instrText>
      </w:r>
      <w:r>
        <w:instrText xml:space="preserve">PAGEREF _Toc229217271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F9B7D16">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"_Toc229217272" </w:instrText>
      </w:r>
      <w:r>
        <w:fldChar w:fldCharType="separate"/>
      </w:r>
      <w:r>
        <w:rPr>
          <w:rStyle w:val="65"/>
          <w:rFonts w:hint="eastAsia" w:eastAsia="黑体"/>
          <w:bCs/>
        </w:rPr>
        <w:t>6.12</w:t>
      </w:r>
      <w:r>
        <w:rPr>
          <w:rStyle w:val="65"/>
          <w:rFonts w:ascii="黑体" w:hAnsi="黑体" w:eastAsia="黑体"/>
          <w:bCs/>
        </w:rPr>
        <w:t xml:space="preserve"> 防护性能试验</w:t>
      </w:r>
      <w:r>
        <w:rPr>
          <w:rFonts w:hint="eastAsia"/>
        </w:rPr>
        <w:tab/>
      </w:r>
      <w:r>
        <w:rPr>
          <w:rFonts w:hint="eastAsia"/>
        </w:rPr>
        <w:fldChar w:fldCharType="begin"/>
      </w:r>
      <w:r>
        <w:rPr>
          <w:rFonts w:hint="eastAsia"/>
        </w:rPr>
        <w:instrText xml:space="preserve"> </w:instrText>
      </w:r>
      <w:r>
        <w:instrText xml:space="preserve">PAGEREF _Toc229217272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1B1A936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"_Toc229217273" </w:instrText>
      </w:r>
      <w:r>
        <w:fldChar w:fldCharType="separate"/>
      </w:r>
      <w:r>
        <w:rPr>
          <w:rStyle w:val="65"/>
          <w:rFonts w:hint="eastAsia" w:eastAsia="黑体"/>
          <w:bCs/>
        </w:rPr>
        <w:t>6.13</w:t>
      </w:r>
      <w:r>
        <w:rPr>
          <w:rStyle w:val="65"/>
          <w:rFonts w:ascii="黑体" w:hAnsi="黑体" w:eastAsia="黑体"/>
          <w:bCs/>
        </w:rPr>
        <w:t xml:space="preserve"> 机械性能试验</w:t>
      </w:r>
      <w:r>
        <w:rPr>
          <w:rFonts w:hint="eastAsia"/>
        </w:rPr>
        <w:tab/>
      </w:r>
      <w:r>
        <w:rPr>
          <w:rFonts w:hint="eastAsia"/>
        </w:rPr>
        <w:fldChar w:fldCharType="begin"/>
      </w:r>
      <w:r>
        <w:rPr>
          <w:rFonts w:hint="eastAsia"/>
        </w:rPr>
        <w:instrText xml:space="preserve"> </w:instrText>
      </w:r>
      <w:r>
        <w:instrText xml:space="preserve">PAGEREF _Toc229217273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6595AB29">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"_Toc229217274" </w:instrText>
      </w:r>
      <w:r>
        <w:fldChar w:fldCharType="separate"/>
      </w:r>
      <w:r>
        <w:rPr>
          <w:rStyle w:val="65"/>
          <w:rFonts w:hint="eastAsia" w:eastAsia="黑体"/>
          <w:bCs/>
        </w:rPr>
        <w:t xml:space="preserve">6.14 </w:t>
      </w:r>
      <w:r>
        <w:rPr>
          <w:rStyle w:val="65"/>
          <w:rFonts w:ascii="黑体" w:hAnsi="黑体" w:eastAsia="黑体"/>
          <w:bCs/>
        </w:rPr>
        <w:t>无线通信性能试验</w:t>
      </w:r>
      <w:r>
        <w:rPr>
          <w:rFonts w:hint="eastAsia"/>
        </w:rPr>
        <w:tab/>
      </w:r>
      <w:r>
        <w:rPr>
          <w:rFonts w:hint="eastAsia"/>
        </w:rPr>
        <w:fldChar w:fldCharType="begin"/>
      </w:r>
      <w:r>
        <w:rPr>
          <w:rFonts w:hint="eastAsia"/>
        </w:rPr>
        <w:instrText xml:space="preserve"> </w:instrText>
      </w:r>
      <w:r>
        <w:instrText xml:space="preserve">PAGEREF _Toc229217274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39D42E7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"_Toc229217275" </w:instrText>
      </w:r>
      <w:r>
        <w:fldChar w:fldCharType="separate"/>
      </w:r>
      <w:r>
        <w:rPr>
          <w:rStyle w:val="65"/>
          <w:rFonts w:hint="eastAsia" w:eastAsia="黑体"/>
          <w:bCs/>
        </w:rPr>
        <w:t xml:space="preserve">6.15 </w:t>
      </w:r>
      <w:r>
        <w:rPr>
          <w:rStyle w:val="65"/>
          <w:rFonts w:ascii="黑体" w:hAnsi="黑体" w:eastAsia="黑体"/>
          <w:bCs/>
        </w:rPr>
        <w:t>信息安全试验</w:t>
      </w:r>
      <w:r>
        <w:rPr>
          <w:rFonts w:hint="eastAsia"/>
        </w:rPr>
        <w:tab/>
      </w:r>
      <w:r>
        <w:rPr>
          <w:rFonts w:hint="eastAsia"/>
        </w:rPr>
        <w:fldChar w:fldCharType="begin"/>
      </w:r>
      <w:r>
        <w:rPr>
          <w:rFonts w:hint="eastAsia"/>
        </w:rPr>
        <w:instrText xml:space="preserve"> </w:instrText>
      </w:r>
      <w:r>
        <w:instrText xml:space="preserve">PAGEREF _Toc229217275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1C068A22">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"_Toc229217276" </w:instrText>
      </w:r>
      <w:r>
        <w:fldChar w:fldCharType="separate"/>
      </w:r>
      <w:r>
        <w:rPr>
          <w:rStyle w:val="65"/>
          <w:rFonts w:hint="eastAsia" w:eastAsia="黑体"/>
          <w:bCs/>
        </w:rPr>
        <w:t>6.16</w:t>
      </w:r>
      <w:r>
        <w:rPr>
          <w:rStyle w:val="65"/>
          <w:rFonts w:ascii="黑体" w:hAnsi="黑体" w:eastAsia="黑体"/>
          <w:bCs/>
        </w:rPr>
        <w:t xml:space="preserve"> 电气安全试验</w:t>
      </w:r>
      <w:r>
        <w:rPr>
          <w:rFonts w:hint="eastAsia"/>
        </w:rPr>
        <w:tab/>
      </w:r>
      <w:r>
        <w:rPr>
          <w:rFonts w:hint="eastAsia"/>
        </w:rPr>
        <w:fldChar w:fldCharType="begin"/>
      </w:r>
      <w:r>
        <w:rPr>
          <w:rFonts w:hint="eastAsia"/>
        </w:rPr>
        <w:instrText xml:space="preserve"> </w:instrText>
      </w:r>
      <w:r>
        <w:instrText xml:space="preserve">PAGEREF _Toc229217276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41EDEF1A">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"_Toc229217277" </w:instrText>
      </w:r>
      <w:r>
        <w:fldChar w:fldCharType="separate"/>
      </w:r>
      <w:r>
        <w:rPr>
          <w:rStyle w:val="65"/>
          <w:rFonts w:hint="eastAsia" w:eastAsia="黑体"/>
          <w:bCs/>
        </w:rPr>
        <w:t xml:space="preserve">6.17 </w:t>
      </w:r>
      <w:r>
        <w:rPr>
          <w:rStyle w:val="65"/>
          <w:rFonts w:ascii="黑体" w:hAnsi="黑体" w:eastAsia="黑体"/>
          <w:bCs/>
        </w:rPr>
        <w:t>电磁兼容试验</w:t>
      </w:r>
      <w:r>
        <w:rPr>
          <w:rFonts w:hint="eastAsia"/>
        </w:rPr>
        <w:tab/>
      </w:r>
      <w:r>
        <w:rPr>
          <w:rFonts w:hint="eastAsia"/>
        </w:rPr>
        <w:fldChar w:fldCharType="begin"/>
      </w:r>
      <w:r>
        <w:rPr>
          <w:rFonts w:hint="eastAsia"/>
        </w:rPr>
        <w:instrText xml:space="preserve"> </w:instrText>
      </w:r>
      <w:r>
        <w:instrText xml:space="preserve">PAGEREF _Toc229217277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5FFA8D7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"_Toc229217278" </w:instrText>
      </w:r>
      <w:r>
        <w:fldChar w:fldCharType="separate"/>
      </w:r>
      <w:r>
        <w:rPr>
          <w:rStyle w:val="65"/>
          <w:rFonts w:hint="eastAsia" w:eastAsia="黑体"/>
          <w:bCs/>
        </w:rPr>
        <w:t>6.18</w:t>
      </w:r>
      <w:r>
        <w:rPr>
          <w:rStyle w:val="65"/>
          <w:rFonts w:ascii="黑体" w:hAnsi="黑体" w:eastAsia="黑体"/>
          <w:bCs/>
        </w:rPr>
        <w:t xml:space="preserve"> 水浸与防盗报警功能试验</w:t>
      </w:r>
      <w:r>
        <w:rPr>
          <w:rFonts w:hint="eastAsia"/>
        </w:rPr>
        <w:tab/>
      </w:r>
      <w:r>
        <w:rPr>
          <w:rFonts w:hint="eastAsia"/>
        </w:rPr>
        <w:fldChar w:fldCharType="begin"/>
      </w:r>
      <w:r>
        <w:rPr>
          <w:rFonts w:hint="eastAsia"/>
        </w:rPr>
        <w:instrText xml:space="preserve"> </w:instrText>
      </w:r>
      <w:r>
        <w:instrText xml:space="preserve">PAGEREF _Toc229217278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2A12D478">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"_Toc229217279" </w:instrText>
      </w:r>
      <w:r>
        <w:fldChar w:fldCharType="separate"/>
      </w:r>
      <w:r>
        <w:rPr>
          <w:rStyle w:val="65"/>
          <w:rFonts w:eastAsia="黑体"/>
          <w:kern w:val="44"/>
        </w:rPr>
        <w:t>7 检验规则</w:t>
      </w:r>
      <w:r>
        <w:rPr>
          <w:rFonts w:hint="eastAsia"/>
        </w:rPr>
        <w:tab/>
      </w:r>
      <w:r>
        <w:rPr>
          <w:rFonts w:hint="eastAsia"/>
        </w:rPr>
        <w:fldChar w:fldCharType="begin"/>
      </w:r>
      <w:r>
        <w:rPr>
          <w:rFonts w:hint="eastAsia"/>
        </w:rPr>
        <w:instrText xml:space="preserve"> </w:instrText>
      </w:r>
      <w:r>
        <w:instrText xml:space="preserve">PAGEREF _Toc229217279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2F6DD43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"_Toc229217280" </w:instrText>
      </w:r>
      <w:r>
        <w:fldChar w:fldCharType="separate"/>
      </w:r>
      <w:r>
        <w:rPr>
          <w:rStyle w:val="65"/>
          <w:rFonts w:hint="eastAsia" w:eastAsia="黑体"/>
          <w:bCs/>
        </w:rPr>
        <w:t xml:space="preserve">7.1 </w:t>
      </w:r>
      <w:r>
        <w:rPr>
          <w:rStyle w:val="65"/>
          <w:rFonts w:ascii="黑体" w:hAnsi="黑体" w:eastAsia="黑体"/>
          <w:bCs/>
        </w:rPr>
        <w:t>型式试验</w:t>
      </w:r>
      <w:r>
        <w:rPr>
          <w:rFonts w:hint="eastAsia"/>
        </w:rPr>
        <w:tab/>
      </w:r>
      <w:r>
        <w:rPr>
          <w:rFonts w:hint="eastAsia"/>
        </w:rPr>
        <w:fldChar w:fldCharType="begin"/>
      </w:r>
      <w:r>
        <w:rPr>
          <w:rFonts w:hint="eastAsia"/>
        </w:rPr>
        <w:instrText xml:space="preserve"> </w:instrText>
      </w:r>
      <w:r>
        <w:instrText xml:space="preserve">PAGEREF _Toc229217280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2372120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"_Toc229217281" </w:instrText>
      </w:r>
      <w:r>
        <w:fldChar w:fldCharType="separate"/>
      </w:r>
      <w:r>
        <w:rPr>
          <w:rStyle w:val="65"/>
          <w:rFonts w:hint="eastAsia" w:eastAsia="黑体"/>
          <w:bCs/>
        </w:rPr>
        <w:t xml:space="preserve">7.2 </w:t>
      </w:r>
      <w:r>
        <w:rPr>
          <w:rStyle w:val="65"/>
          <w:rFonts w:ascii="黑体" w:hAnsi="黑体" w:eastAsia="黑体"/>
          <w:bCs/>
        </w:rPr>
        <w:t>出厂检验</w:t>
      </w:r>
      <w:r>
        <w:rPr>
          <w:rFonts w:hint="eastAsia"/>
        </w:rPr>
        <w:tab/>
      </w:r>
      <w:r>
        <w:rPr>
          <w:rFonts w:hint="eastAsia"/>
        </w:rPr>
        <w:fldChar w:fldCharType="begin"/>
      </w:r>
      <w:r>
        <w:rPr>
          <w:rFonts w:hint="eastAsia"/>
        </w:rPr>
        <w:instrText xml:space="preserve"> </w:instrText>
      </w:r>
      <w:r>
        <w:instrText xml:space="preserve">PAGEREF _Toc229217281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6A2B43A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"_Toc229217282" </w:instrText>
      </w:r>
      <w:r>
        <w:fldChar w:fldCharType="separate"/>
      </w:r>
      <w:r>
        <w:rPr>
          <w:rStyle w:val="65"/>
          <w:rFonts w:hint="eastAsia" w:eastAsia="黑体"/>
          <w:bCs/>
        </w:rPr>
        <w:t xml:space="preserve">7.3 </w:t>
      </w:r>
      <w:r>
        <w:rPr>
          <w:rStyle w:val="65"/>
          <w:rFonts w:ascii="黑体" w:hAnsi="黑体" w:eastAsia="黑体"/>
          <w:bCs/>
        </w:rPr>
        <w:t>送样检测</w:t>
      </w:r>
      <w:r>
        <w:rPr>
          <w:rFonts w:hint="eastAsia"/>
        </w:rPr>
        <w:tab/>
      </w:r>
      <w:r>
        <w:rPr>
          <w:rFonts w:hint="eastAsia"/>
        </w:rPr>
        <w:fldChar w:fldCharType="begin"/>
      </w:r>
      <w:r>
        <w:rPr>
          <w:rFonts w:hint="eastAsia"/>
        </w:rPr>
        <w:instrText xml:space="preserve"> </w:instrText>
      </w:r>
      <w:r>
        <w:instrText xml:space="preserve">PAGEREF _Toc229217282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18D04494">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"_Toc229217283" </w:instrText>
      </w:r>
      <w:r>
        <w:fldChar w:fldCharType="separate"/>
      </w:r>
      <w:r>
        <w:rPr>
          <w:rStyle w:val="65"/>
          <w:rFonts w:hint="eastAsia" w:eastAsia="黑体"/>
          <w:bCs/>
        </w:rPr>
        <w:t>7.4</w:t>
      </w:r>
      <w:r>
        <w:rPr>
          <w:rStyle w:val="65"/>
          <w:rFonts w:ascii="黑体" w:hAnsi="黑体" w:eastAsia="黑体"/>
          <w:bCs/>
        </w:rPr>
        <w:t xml:space="preserve"> 到货抽检</w:t>
      </w:r>
      <w:r>
        <w:rPr>
          <w:rFonts w:hint="eastAsia"/>
        </w:rPr>
        <w:tab/>
      </w:r>
      <w:r>
        <w:rPr>
          <w:rFonts w:hint="eastAsia"/>
        </w:rPr>
        <w:fldChar w:fldCharType="begin"/>
      </w:r>
      <w:r>
        <w:rPr>
          <w:rFonts w:hint="eastAsia"/>
        </w:rPr>
        <w:instrText xml:space="preserve"> </w:instrText>
      </w:r>
      <w:r>
        <w:instrText xml:space="preserve">PAGEREF _Toc229217283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08E3977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"_Toc229217284" </w:instrText>
      </w:r>
      <w:r>
        <w:fldChar w:fldCharType="separate"/>
      </w:r>
      <w:r>
        <w:rPr>
          <w:rStyle w:val="65"/>
          <w:rFonts w:hint="eastAsia" w:eastAsia="黑体"/>
          <w:bCs/>
        </w:rPr>
        <w:t xml:space="preserve">7.5 </w:t>
      </w:r>
      <w:r>
        <w:rPr>
          <w:rStyle w:val="65"/>
          <w:rFonts w:ascii="黑体" w:hAnsi="黑体" w:eastAsia="黑体"/>
          <w:bCs/>
        </w:rPr>
        <w:t>交接试验</w:t>
      </w:r>
      <w:r>
        <w:rPr>
          <w:rFonts w:hint="eastAsia"/>
        </w:rPr>
        <w:tab/>
      </w:r>
      <w:r>
        <w:rPr>
          <w:rFonts w:hint="eastAsia"/>
        </w:rPr>
        <w:fldChar w:fldCharType="begin"/>
      </w:r>
      <w:r>
        <w:rPr>
          <w:rFonts w:hint="eastAsia"/>
        </w:rPr>
        <w:instrText xml:space="preserve"> </w:instrText>
      </w:r>
      <w:r>
        <w:instrText xml:space="preserve">PAGEREF _Toc229217284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1E377951">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"_Toc229217285" </w:instrText>
      </w:r>
      <w:r>
        <w:fldChar w:fldCharType="separate"/>
      </w:r>
      <w:r>
        <w:rPr>
          <w:rStyle w:val="65"/>
          <w:rFonts w:eastAsia="黑体"/>
          <w:b/>
          <w:bCs/>
        </w:rPr>
        <w:t>8技术联络、技术培训及售后服务</w:t>
      </w:r>
      <w:r>
        <w:rPr>
          <w:rFonts w:hint="eastAsia"/>
        </w:rPr>
        <w:tab/>
      </w:r>
      <w:r>
        <w:rPr>
          <w:rFonts w:hint="eastAsia"/>
        </w:rPr>
        <w:fldChar w:fldCharType="begin"/>
      </w:r>
      <w:r>
        <w:rPr>
          <w:rFonts w:hint="eastAsia"/>
        </w:rPr>
        <w:instrText xml:space="preserve"> </w:instrText>
      </w:r>
      <w:r>
        <w:instrText xml:space="preserve">PAGEREF _Toc229217285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5135E946">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"_Toc229217286" </w:instrText>
      </w:r>
      <w:r>
        <w:fldChar w:fldCharType="separate"/>
      </w:r>
      <w:r>
        <w:rPr>
          <w:rStyle w:val="65"/>
          <w:rFonts w:eastAsia="黑体"/>
          <w:bCs/>
        </w:rPr>
        <w:t>8.1 技术培训</w:t>
      </w:r>
      <w:r>
        <w:rPr>
          <w:rFonts w:hint="eastAsia"/>
        </w:rPr>
        <w:tab/>
      </w:r>
      <w:r>
        <w:rPr>
          <w:rFonts w:hint="eastAsia"/>
        </w:rPr>
        <w:fldChar w:fldCharType="begin"/>
      </w:r>
      <w:r>
        <w:rPr>
          <w:rFonts w:hint="eastAsia"/>
        </w:rPr>
        <w:instrText xml:space="preserve"> </w:instrText>
      </w:r>
      <w:r>
        <w:instrText xml:space="preserve">PAGEREF _Toc229217286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1C42FBE6">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"_Toc229217287" </w:instrText>
      </w:r>
      <w:r>
        <w:fldChar w:fldCharType="separate"/>
      </w:r>
      <w:r>
        <w:rPr>
          <w:rStyle w:val="65"/>
          <w:rFonts w:eastAsia="黑体"/>
          <w:bCs/>
        </w:rPr>
        <w:t>8.2 现场及远程技术服务</w:t>
      </w:r>
      <w:r>
        <w:rPr>
          <w:rFonts w:hint="eastAsia"/>
        </w:rPr>
        <w:tab/>
      </w:r>
      <w:r>
        <w:rPr>
          <w:rFonts w:hint="eastAsia"/>
        </w:rPr>
        <w:fldChar w:fldCharType="begin"/>
      </w:r>
      <w:r>
        <w:rPr>
          <w:rFonts w:hint="eastAsia"/>
        </w:rPr>
        <w:instrText xml:space="preserve"> </w:instrText>
      </w:r>
      <w:r>
        <w:instrText xml:space="preserve">PAGEREF _Toc229217287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50C65562">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"_Toc229217288" </w:instrText>
      </w:r>
      <w:r>
        <w:fldChar w:fldCharType="separate"/>
      </w:r>
      <w:r>
        <w:rPr>
          <w:rStyle w:val="65"/>
          <w:rFonts w:eastAsia="黑体"/>
          <w:bCs/>
        </w:rPr>
        <w:t>8.3 售后服务</w:t>
      </w:r>
      <w:r>
        <w:rPr>
          <w:rFonts w:hint="eastAsia"/>
        </w:rPr>
        <w:tab/>
      </w:r>
      <w:r>
        <w:rPr>
          <w:rFonts w:hint="eastAsia"/>
        </w:rPr>
        <w:fldChar w:fldCharType="begin"/>
      </w:r>
      <w:r>
        <w:rPr>
          <w:rFonts w:hint="eastAsia"/>
        </w:rPr>
        <w:instrText xml:space="preserve"> </w:instrText>
      </w:r>
      <w:r>
        <w:instrText xml:space="preserve">PAGEREF _Toc229217288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63C67E98">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"_Toc229217289" </w:instrText>
      </w:r>
      <w:r>
        <w:fldChar w:fldCharType="separate"/>
      </w:r>
      <w:r>
        <w:rPr>
          <w:rStyle w:val="65"/>
          <w:rFonts w:eastAsia="黑体"/>
          <w:b/>
          <w:bCs/>
        </w:rPr>
        <w:t>9标志、包装、运输、贮存</w:t>
      </w:r>
      <w:r>
        <w:rPr>
          <w:rFonts w:hint="eastAsia"/>
        </w:rPr>
        <w:tab/>
      </w:r>
      <w:r>
        <w:rPr>
          <w:rFonts w:hint="eastAsia"/>
        </w:rPr>
        <w:fldChar w:fldCharType="begin"/>
      </w:r>
      <w:r>
        <w:rPr>
          <w:rFonts w:hint="eastAsia"/>
        </w:rPr>
        <w:instrText xml:space="preserve"> </w:instrText>
      </w:r>
      <w:r>
        <w:instrText xml:space="preserve">PAGEREF _Toc229217289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50F37FE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"_Toc229217290" </w:instrText>
      </w:r>
      <w:r>
        <w:fldChar w:fldCharType="separate"/>
      </w:r>
      <w:r>
        <w:rPr>
          <w:rStyle w:val="65"/>
          <w:rFonts w:eastAsia="黑体"/>
          <w:bCs/>
        </w:rPr>
        <w:t>9.1 包装</w:t>
      </w:r>
      <w:r>
        <w:rPr>
          <w:rFonts w:hint="eastAsia"/>
        </w:rPr>
        <w:tab/>
      </w:r>
      <w:r>
        <w:rPr>
          <w:rFonts w:hint="eastAsia"/>
        </w:rPr>
        <w:fldChar w:fldCharType="begin"/>
      </w:r>
      <w:r>
        <w:rPr>
          <w:rFonts w:hint="eastAsia"/>
        </w:rPr>
        <w:instrText xml:space="preserve"> </w:instrText>
      </w:r>
      <w:r>
        <w:instrText xml:space="preserve">PAGEREF _Toc229217290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287FD13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"_Toc229217291" </w:instrText>
      </w:r>
      <w:r>
        <w:fldChar w:fldCharType="separate"/>
      </w:r>
      <w:r>
        <w:rPr>
          <w:rStyle w:val="65"/>
          <w:rFonts w:eastAsia="黑体"/>
          <w:bCs/>
        </w:rPr>
        <w:t>9.2 运输</w:t>
      </w:r>
      <w:r>
        <w:rPr>
          <w:rFonts w:hint="eastAsia"/>
        </w:rPr>
        <w:tab/>
      </w:r>
      <w:r>
        <w:rPr>
          <w:rFonts w:hint="eastAsia"/>
        </w:rPr>
        <w:fldChar w:fldCharType="begin"/>
      </w:r>
      <w:r>
        <w:rPr>
          <w:rFonts w:hint="eastAsia"/>
        </w:rPr>
        <w:instrText xml:space="preserve"> </w:instrText>
      </w:r>
      <w:r>
        <w:instrText xml:space="preserve">PAGEREF _Toc229217291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4A88DE5A">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"_Toc229217292" </w:instrText>
      </w:r>
      <w:r>
        <w:fldChar w:fldCharType="separate"/>
      </w:r>
      <w:r>
        <w:rPr>
          <w:rStyle w:val="65"/>
          <w:rFonts w:eastAsia="黑体"/>
          <w:bCs/>
        </w:rPr>
        <w:t>9.3 组装指导</w:t>
      </w:r>
      <w:r>
        <w:rPr>
          <w:rFonts w:hint="eastAsia"/>
        </w:rPr>
        <w:tab/>
      </w:r>
      <w:r>
        <w:rPr>
          <w:rFonts w:hint="eastAsia"/>
        </w:rPr>
        <w:fldChar w:fldCharType="begin"/>
      </w:r>
      <w:r>
        <w:rPr>
          <w:rFonts w:hint="eastAsia"/>
        </w:rPr>
        <w:instrText xml:space="preserve"> </w:instrText>
      </w:r>
      <w:r>
        <w:instrText xml:space="preserve">PAGEREF _Toc229217292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7FC6FA35">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"_Toc229217293" </w:instrText>
      </w:r>
      <w:r>
        <w:fldChar w:fldCharType="separate"/>
      </w:r>
      <w:r>
        <w:rPr>
          <w:rStyle w:val="65"/>
          <w:rFonts w:eastAsia="黑体"/>
          <w:bCs/>
        </w:rPr>
        <w:t>9.4 质量保证</w:t>
      </w:r>
      <w:r>
        <w:rPr>
          <w:rFonts w:hint="eastAsia"/>
        </w:rPr>
        <w:tab/>
      </w:r>
      <w:r>
        <w:rPr>
          <w:rFonts w:hint="eastAsia"/>
        </w:rPr>
        <w:fldChar w:fldCharType="begin"/>
      </w:r>
      <w:r>
        <w:rPr>
          <w:rFonts w:hint="eastAsia"/>
        </w:rPr>
        <w:instrText xml:space="preserve"> </w:instrText>
      </w:r>
      <w:r>
        <w:instrText xml:space="preserve">PAGEREF _Toc229217293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0F79C974">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"_Toc229217294" </w:instrText>
      </w:r>
      <w:r>
        <w:fldChar w:fldCharType="separate"/>
      </w:r>
      <w:r>
        <w:rPr>
          <w:rStyle w:val="65"/>
          <w:rFonts w:eastAsia="黑体"/>
          <w:bCs/>
        </w:rPr>
        <w:t>9.5 设备验收</w:t>
      </w:r>
      <w:r>
        <w:rPr>
          <w:rFonts w:hint="eastAsia"/>
        </w:rPr>
        <w:tab/>
      </w:r>
      <w:r>
        <w:rPr>
          <w:rFonts w:hint="eastAsia"/>
        </w:rPr>
        <w:fldChar w:fldCharType="begin"/>
      </w:r>
      <w:r>
        <w:rPr>
          <w:rFonts w:hint="eastAsia"/>
        </w:rPr>
        <w:instrText xml:space="preserve"> </w:instrText>
      </w:r>
      <w:r>
        <w:instrText xml:space="preserve">PAGEREF _Toc229217294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4E3226E7">
      <w:pPr>
        <w:pStyle w:val="29"/>
        <w:spacing w:line="360" w:lineRule="auto"/>
        <w:rPr>
          <w:rFonts w:ascii="Times New Roman" w:hAnsi="Times New Roman"/>
          <w:szCs w:val="21"/>
        </w:rPr>
      </w:pPr>
      <w:r>
        <w:rPr>
          <w:rFonts w:hint="eastAsia" w:ascii="黑体" w:hAnsi="黑体" w:eastAsia="黑体" w:cs="黑体"/>
          <w:b/>
          <w:bCs/>
          <w:sz w:val="24"/>
          <w:szCs w:val="24"/>
        </w:rPr>
        <w:fldChar w:fldCharType="end"/>
      </w:r>
    </w:p>
    <w:p w14:paraId="750B5BDC">
      <w:pPr>
        <w:snapToGrid w:val="0"/>
        <w:spacing w:line="360" w:lineRule="auto"/>
        <w:ind w:firstLine="560"/>
        <w:outlineLvl w:val="0"/>
        <w:rPr>
          <w:szCs w:val="21"/>
        </w:rPr>
        <w:sectPr>
          <w:footerReference r:id="rId7" w:type="default"/>
          <w:footerReference r:id="rId8" w:type="even"/>
          <w:pgSz w:w="11906" w:h="16838"/>
          <w:pgMar w:top="1418" w:right="1418" w:bottom="1418" w:left="1365" w:header="851" w:footer="992" w:gutter="0"/>
          <w:cols w:space="425" w:num="1"/>
          <w:titlePg/>
          <w:docGrid w:type="lines" w:linePitch="312" w:charSpace="0"/>
        </w:sectPr>
      </w:pPr>
    </w:p>
    <w:p w14:paraId="4FCFEEFF">
      <w:pPr>
        <w:spacing w:line="480" w:lineRule="auto"/>
        <w:outlineLvl w:val="0"/>
        <w:rPr>
          <w:rFonts w:eastAsia="黑体"/>
          <w:b/>
          <w:bCs/>
          <w:szCs w:val="21"/>
        </w:rPr>
      </w:pPr>
      <w:bookmarkStart w:id="6" w:name="_Toc224531919"/>
      <w:bookmarkStart w:id="7" w:name="_Toc23837"/>
      <w:bookmarkStart w:id="8" w:name="_Toc229217242"/>
      <w:bookmarkStart w:id="9" w:name="_Toc224274558"/>
      <w:bookmarkStart w:id="10" w:name="_Toc76025478"/>
      <w:bookmarkStart w:id="11" w:name="_Toc22168"/>
      <w:r>
        <w:rPr>
          <w:rFonts w:eastAsia="黑体"/>
          <w:b/>
          <w:bCs/>
          <w:szCs w:val="21"/>
        </w:rPr>
        <w:t>1 总则</w:t>
      </w:r>
      <w:bookmarkEnd w:id="6"/>
      <w:bookmarkEnd w:id="7"/>
      <w:bookmarkEnd w:id="8"/>
      <w:bookmarkEnd w:id="9"/>
      <w:bookmarkEnd w:id="10"/>
      <w:bookmarkEnd w:id="11"/>
    </w:p>
    <w:p w14:paraId="77109203">
      <w:pPr>
        <w:pStyle w:val="29"/>
        <w:spacing w:line="360" w:lineRule="auto"/>
        <w:rPr>
          <w:rFonts w:ascii="Times New Roman" w:hAnsi="Times New Roman"/>
          <w:kern w:val="0"/>
          <w:szCs w:val="21"/>
        </w:rPr>
      </w:pPr>
      <w:r>
        <w:rPr>
          <w:rFonts w:ascii="Times New Roman" w:hAnsi="Times New Roman"/>
          <w:kern w:val="0"/>
          <w:szCs w:val="21"/>
        </w:rPr>
        <w:t>1.1</w:t>
      </w:r>
      <w:r>
        <w:rPr>
          <w:rFonts w:hint="eastAsia" w:ascii="Times New Roman" w:hAnsi="Times New Roman"/>
          <w:kern w:val="0"/>
          <w:szCs w:val="21"/>
        </w:rPr>
        <w:t>本技术规范书适用于中国南方电网公司电网设备采购的轻型高光效系留无人机设备，提出了该类装置的功能设计、结构、性能、安装和试验等方面的技术要求。</w:t>
      </w:r>
    </w:p>
    <w:p w14:paraId="51BE7413">
      <w:pPr>
        <w:pStyle w:val="29"/>
        <w:spacing w:line="360" w:lineRule="auto"/>
        <w:rPr>
          <w:rFonts w:ascii="Times New Roman" w:hAnsi="Times New Roman"/>
          <w:kern w:val="0"/>
          <w:szCs w:val="21"/>
        </w:rPr>
      </w:pPr>
      <w:r>
        <w:rPr>
          <w:rFonts w:ascii="Times New Roman" w:hAnsi="Times New Roman"/>
          <w:kern w:val="0"/>
          <w:szCs w:val="21"/>
        </w:rPr>
        <w:t>1.2</w:t>
      </w:r>
      <w:r>
        <w:rPr>
          <w:rFonts w:hint="eastAsia" w:ascii="Times New Roman" w:hAnsi="Times New Roman"/>
          <w:kern w:val="0"/>
          <w:szCs w:val="21"/>
        </w:rPr>
        <w:t>本技术条件提出的是最低限度的技术要求。凡本技术条件中未规定，但在相关设备的国家标准或</w:t>
      </w:r>
      <w:r>
        <w:rPr>
          <w:rFonts w:ascii="Times New Roman" w:hAnsi="Times New Roman"/>
          <w:kern w:val="0"/>
          <w:szCs w:val="21"/>
        </w:rPr>
        <w:t>IEC</w:t>
      </w:r>
      <w:r>
        <w:rPr>
          <w:rFonts w:hint="eastAsia" w:ascii="Times New Roman" w:hAnsi="Times New Roman"/>
          <w:kern w:val="0"/>
          <w:szCs w:val="21"/>
        </w:rPr>
        <w:t>标准中有规定的规范条文，投标方应按相应标准的条文进行设备设计、制造、试验和安装。对国家有关安全、环保等强制性标准，必须满足其要求。</w:t>
      </w:r>
    </w:p>
    <w:p w14:paraId="1277E7D4">
      <w:pPr>
        <w:pStyle w:val="29"/>
        <w:spacing w:line="360" w:lineRule="auto"/>
        <w:rPr>
          <w:rFonts w:ascii="Times New Roman" w:hAnsi="Times New Roman"/>
          <w:kern w:val="0"/>
          <w:szCs w:val="21"/>
        </w:rPr>
      </w:pPr>
      <w:r>
        <w:rPr>
          <w:rFonts w:ascii="Times New Roman" w:hAnsi="Times New Roman"/>
          <w:kern w:val="0"/>
          <w:szCs w:val="21"/>
        </w:rPr>
        <w:t>1.3</w:t>
      </w:r>
      <w:r>
        <w:rPr>
          <w:rFonts w:hint="eastAsia" w:ascii="Times New Roman" w:hAnsi="Times New Roman"/>
          <w:kern w:val="0"/>
          <w:szCs w:val="21"/>
        </w:rPr>
        <w:t>如果投标方没有以书面形式对本规范书的条文提出异议，则意味着投标方提供的设备完全符合本规范书的要求。如有异议，不管多么微小，都应在报价书中以</w:t>
      </w:r>
      <w:r>
        <w:rPr>
          <w:rFonts w:ascii="Times New Roman" w:hAnsi="Times New Roman"/>
          <w:kern w:val="0"/>
          <w:szCs w:val="21"/>
        </w:rPr>
        <w:t>“</w:t>
      </w:r>
      <w:r>
        <w:rPr>
          <w:rFonts w:hint="eastAsia" w:ascii="Times New Roman" w:hAnsi="Times New Roman"/>
          <w:kern w:val="0"/>
          <w:szCs w:val="21"/>
        </w:rPr>
        <w:t>对规范书的意见和同规范书的差异</w:t>
      </w:r>
      <w:r>
        <w:rPr>
          <w:rFonts w:ascii="Times New Roman" w:hAnsi="Times New Roman"/>
          <w:kern w:val="0"/>
          <w:szCs w:val="21"/>
        </w:rPr>
        <w:t>”</w:t>
      </w:r>
      <w:r>
        <w:rPr>
          <w:rFonts w:hint="eastAsia" w:ascii="Times New Roman" w:hAnsi="Times New Roman"/>
          <w:kern w:val="0"/>
          <w:szCs w:val="21"/>
        </w:rPr>
        <w:t>为标题的专门章节中加以详细描述。</w:t>
      </w:r>
    </w:p>
    <w:p w14:paraId="1D056B36">
      <w:pPr>
        <w:pStyle w:val="29"/>
        <w:spacing w:line="360" w:lineRule="auto"/>
        <w:rPr>
          <w:rFonts w:ascii="Times New Roman" w:hAnsi="Times New Roman"/>
          <w:kern w:val="0"/>
          <w:szCs w:val="21"/>
        </w:rPr>
      </w:pPr>
      <w:r>
        <w:rPr>
          <w:rFonts w:ascii="Times New Roman" w:hAnsi="Times New Roman"/>
          <w:kern w:val="0"/>
          <w:szCs w:val="21"/>
        </w:rPr>
        <w:t>1.4</w:t>
      </w:r>
      <w:r>
        <w:rPr>
          <w:rFonts w:hint="eastAsia" w:ascii="Times New Roman" w:hAnsi="Times New Roman"/>
          <w:kern w:val="0"/>
          <w:szCs w:val="21"/>
        </w:rPr>
        <w:t>本技术规范书所使用的标准如遇与投标方所执行的标准不一致时，按较高标准执行。</w:t>
      </w:r>
    </w:p>
    <w:p w14:paraId="73EEBD1F">
      <w:pPr>
        <w:pStyle w:val="29"/>
        <w:spacing w:line="360" w:lineRule="auto"/>
        <w:rPr>
          <w:rFonts w:ascii="Times New Roman" w:hAnsi="Times New Roman"/>
          <w:kern w:val="0"/>
          <w:szCs w:val="21"/>
        </w:rPr>
      </w:pPr>
      <w:r>
        <w:rPr>
          <w:rFonts w:ascii="Times New Roman" w:hAnsi="Times New Roman"/>
          <w:kern w:val="0"/>
          <w:szCs w:val="21"/>
        </w:rPr>
        <w:t>1.</w:t>
      </w:r>
      <w:r>
        <w:rPr>
          <w:rFonts w:hint="eastAsia" w:ascii="Times New Roman" w:hAnsi="Times New Roman"/>
          <w:kern w:val="0"/>
          <w:szCs w:val="21"/>
        </w:rPr>
        <w:t>5本技术规范书经招标方、投标方双方确认后作为订货合同的技术附件，与合同正文具有同等的法律效力。</w:t>
      </w:r>
    </w:p>
    <w:p w14:paraId="28DA4B8B">
      <w:pPr>
        <w:pStyle w:val="29"/>
        <w:spacing w:line="360" w:lineRule="auto"/>
        <w:rPr>
          <w:rFonts w:ascii="Times New Roman" w:hAnsi="Times New Roman"/>
          <w:kern w:val="0"/>
          <w:szCs w:val="21"/>
        </w:rPr>
      </w:pPr>
      <w:r>
        <w:rPr>
          <w:rFonts w:ascii="Times New Roman" w:hAnsi="Times New Roman"/>
          <w:kern w:val="0"/>
          <w:szCs w:val="21"/>
        </w:rPr>
        <w:t>1.6</w:t>
      </w:r>
      <w:r>
        <w:rPr>
          <w:rFonts w:hint="eastAsia" w:ascii="Times New Roman" w:hAnsi="Times New Roman"/>
          <w:kern w:val="0"/>
          <w:szCs w:val="21"/>
        </w:rPr>
        <w:t>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14:paraId="5990E1F2">
      <w:pPr>
        <w:pStyle w:val="29"/>
        <w:spacing w:line="360" w:lineRule="auto"/>
        <w:rPr>
          <w:rFonts w:ascii="Times New Roman" w:hAnsi="Times New Roman"/>
          <w:kern w:val="0"/>
          <w:szCs w:val="21"/>
        </w:rPr>
      </w:pPr>
      <w:r>
        <w:rPr>
          <w:rFonts w:hint="eastAsia" w:hAnsi="宋体" w:cs="宋体"/>
          <w:szCs w:val="21"/>
        </w:rPr>
        <w:t>投标人投标设备的技术参数如与招标书“技术要求”不符，应在 “差异表”（附表）中如实澄清，否则视为废标。</w:t>
      </w:r>
    </w:p>
    <w:p w14:paraId="2638E193">
      <w:pPr>
        <w:pStyle w:val="29"/>
        <w:spacing w:line="360" w:lineRule="auto"/>
        <w:rPr>
          <w:rFonts w:ascii="Times New Roman" w:hAnsi="Times New Roman"/>
          <w:kern w:val="0"/>
          <w:szCs w:val="21"/>
        </w:rPr>
      </w:pPr>
      <w:r>
        <w:rPr>
          <w:rFonts w:ascii="Times New Roman" w:hAnsi="Times New Roman"/>
          <w:kern w:val="0"/>
          <w:szCs w:val="21"/>
        </w:rPr>
        <w:t>1.7</w:t>
      </w:r>
      <w:r>
        <w:rPr>
          <w:rFonts w:hint="eastAsia" w:ascii="Times New Roman" w:hAnsi="Times New Roman"/>
          <w:kern w:val="0"/>
          <w:szCs w:val="21"/>
        </w:rPr>
        <w:t>投标方应在应标技术部分按本技术条件的要求如实详细的填写应标设备的标准配置表，并在应标商务部分按此标准配置进行报价，如发现二者有矛盾之处，将对评标工作有不同程度的影响。</w:t>
      </w:r>
    </w:p>
    <w:p w14:paraId="6F328404">
      <w:pPr>
        <w:pStyle w:val="29"/>
        <w:spacing w:line="360" w:lineRule="auto"/>
        <w:rPr>
          <w:rFonts w:ascii="Times New Roman" w:hAnsi="Times New Roman"/>
          <w:kern w:val="0"/>
          <w:szCs w:val="21"/>
        </w:rPr>
      </w:pPr>
      <w:r>
        <w:rPr>
          <w:rFonts w:ascii="Times New Roman" w:hAnsi="Times New Roman"/>
          <w:kern w:val="0"/>
          <w:szCs w:val="21"/>
        </w:rPr>
        <w:t>1.8</w:t>
      </w:r>
      <w:r>
        <w:rPr>
          <w:rFonts w:hint="eastAsia" w:ascii="Times New Roman" w:hAnsi="Times New Roman"/>
          <w:kern w:val="0"/>
          <w:szCs w:val="21"/>
        </w:rPr>
        <w:t>投标方应充分理解本技术条件并按本技术条件的具体条款、格式要求填写应标的技术文件，如发现应标的技术文件条款、格式不符合本技术条件的要求，则认为应标不严肃，在评标时将有不同程度的扣分。</w:t>
      </w:r>
    </w:p>
    <w:p w14:paraId="7FFF6F75">
      <w:pPr>
        <w:pStyle w:val="29"/>
        <w:spacing w:line="360" w:lineRule="auto"/>
        <w:rPr>
          <w:rFonts w:ascii="Times New Roman" w:hAnsi="Times New Roman"/>
          <w:kern w:val="0"/>
          <w:szCs w:val="21"/>
        </w:rPr>
      </w:pPr>
      <w:r>
        <w:rPr>
          <w:rFonts w:hint="eastAsia" w:hAnsi="宋体" w:cs="宋体"/>
          <w:szCs w:val="21"/>
        </w:rPr>
        <w:t>投标人应按照本技术条件书中的要求提供相应文件及响应，如文件不全或不响应，应视为废标。</w:t>
      </w:r>
    </w:p>
    <w:p w14:paraId="0563CBD3">
      <w:pPr>
        <w:pStyle w:val="29"/>
        <w:spacing w:line="360" w:lineRule="auto"/>
        <w:rPr>
          <w:rFonts w:ascii="Times New Roman" w:hAnsi="Times New Roman"/>
          <w:kern w:val="0"/>
          <w:szCs w:val="21"/>
        </w:rPr>
      </w:pPr>
      <w:r>
        <w:rPr>
          <w:rFonts w:ascii="Times New Roman" w:hAnsi="Times New Roman"/>
          <w:kern w:val="0"/>
          <w:szCs w:val="21"/>
        </w:rPr>
        <w:t>1.9</w:t>
      </w:r>
      <w:r>
        <w:rPr>
          <w:rFonts w:hint="eastAsia" w:ascii="Times New Roman" w:hAnsi="Times New Roman"/>
          <w:kern w:val="0"/>
          <w:szCs w:val="21"/>
        </w:rPr>
        <w:t>本技术规范书未尽事宜，由招标方、投标方双方协商确定。</w:t>
      </w:r>
    </w:p>
    <w:p w14:paraId="608F1BEB">
      <w:pPr>
        <w:pStyle w:val="29"/>
        <w:spacing w:line="360" w:lineRule="auto"/>
        <w:rPr>
          <w:rFonts w:ascii="Times New Roman" w:hAnsi="Times New Roman"/>
          <w:kern w:val="0"/>
          <w:szCs w:val="21"/>
        </w:rPr>
      </w:pPr>
      <w:r>
        <w:rPr>
          <w:rFonts w:ascii="Times New Roman" w:hAnsi="Times New Roman"/>
          <w:kern w:val="0"/>
          <w:szCs w:val="21"/>
        </w:rPr>
        <w:t>1.10</w:t>
      </w:r>
      <w:r>
        <w:rPr>
          <w:rFonts w:hint="eastAsia" w:ascii="Times New Roman" w:hAnsi="Times New Roman"/>
          <w:kern w:val="0"/>
          <w:szCs w:val="21"/>
        </w:rPr>
        <w:t>投标方应提供不少于1年的产品质量保证期。</w:t>
      </w:r>
    </w:p>
    <w:p w14:paraId="6D2EDE09">
      <w:pPr>
        <w:spacing w:line="360" w:lineRule="auto"/>
        <w:rPr>
          <w:rFonts w:hint="eastAsia" w:ascii="宋体" w:hAnsi="宋体" w:cs="宋体"/>
          <w:szCs w:val="21"/>
        </w:rPr>
      </w:pPr>
      <w:r>
        <w:rPr>
          <w:rFonts w:hint="eastAsia"/>
          <w:kern w:val="0"/>
          <w:szCs w:val="21"/>
        </w:rPr>
        <w:t>1.11</w:t>
      </w:r>
      <w:r>
        <w:rPr>
          <w:rFonts w:hint="eastAsia" w:ascii="宋体" w:hAnsi="宋体" w:cs="宋体"/>
          <w:szCs w:val="21"/>
        </w:rPr>
        <w:t>投标人负责提供投标设备的现场测试、调试工作，如向第三方外购设备或配件时，投标人应对质量负责。</w:t>
      </w:r>
    </w:p>
    <w:p w14:paraId="3A08ED0A">
      <w:pPr>
        <w:spacing w:line="360" w:lineRule="auto"/>
        <w:rPr>
          <w:rFonts w:hint="eastAsia" w:ascii="宋体" w:hAnsi="宋体" w:cs="宋体"/>
          <w:szCs w:val="21"/>
        </w:rPr>
      </w:pPr>
      <w:r>
        <w:rPr>
          <w:rFonts w:hint="eastAsia"/>
          <w:kern w:val="0"/>
          <w:szCs w:val="21"/>
        </w:rPr>
        <w:t>1.12</w:t>
      </w:r>
      <w:r>
        <w:rPr>
          <w:rFonts w:hint="eastAsia" w:ascii="宋体" w:hAnsi="宋体" w:cs="宋体"/>
          <w:szCs w:val="21"/>
        </w:rPr>
        <w:t>投标人应负责为上述设备提供设备参数、培训、技术服务、质量保证等各方面工作。并提供不低于所供产品技术要求的证书及试验报告。</w:t>
      </w:r>
    </w:p>
    <w:p w14:paraId="037A7686">
      <w:pPr>
        <w:spacing w:line="360" w:lineRule="auto"/>
        <w:rPr>
          <w:rFonts w:hint="eastAsia" w:ascii="宋体" w:hAnsi="宋体" w:cs="宋体"/>
          <w:szCs w:val="21"/>
        </w:rPr>
      </w:pPr>
      <w:r>
        <w:rPr>
          <w:rFonts w:hint="eastAsia"/>
          <w:kern w:val="0"/>
          <w:szCs w:val="21"/>
        </w:rPr>
        <w:t>1.13</w:t>
      </w:r>
      <w:r>
        <w:rPr>
          <w:rFonts w:hint="eastAsia" w:ascii="宋体" w:hAnsi="宋体" w:cs="宋体"/>
          <w:szCs w:val="21"/>
        </w:rPr>
        <w:t>投标人投标设备应在工厂内通过完善、严格的测试检验。</w:t>
      </w:r>
    </w:p>
    <w:p w14:paraId="0C2196A6">
      <w:pPr>
        <w:spacing w:line="360" w:lineRule="auto"/>
        <w:rPr>
          <w:rFonts w:hint="eastAsia" w:ascii="宋体" w:hAnsi="宋体" w:cs="宋体"/>
          <w:szCs w:val="21"/>
        </w:rPr>
      </w:pPr>
      <w:r>
        <w:rPr>
          <w:rFonts w:hint="eastAsia"/>
          <w:kern w:val="0"/>
          <w:szCs w:val="21"/>
        </w:rPr>
        <w:t>1.14</w:t>
      </w:r>
      <w:r>
        <w:rPr>
          <w:rFonts w:hint="eastAsia" w:ascii="宋体" w:hAnsi="宋体" w:cs="宋体"/>
          <w:szCs w:val="21"/>
        </w:rPr>
        <w:t>所有资料、文件、图纸要求以中文书写（原厂商的资料如果有英文资料则需要将其附带），所有计算、说明、图纸、文件、手册等采用国际单位制。</w:t>
      </w:r>
    </w:p>
    <w:p w14:paraId="7F9D18F8">
      <w:pPr>
        <w:pStyle w:val="29"/>
        <w:spacing w:line="360" w:lineRule="auto"/>
        <w:rPr>
          <w:rFonts w:ascii="Times New Roman" w:hAnsi="Times New Roman"/>
          <w:kern w:val="0"/>
          <w:szCs w:val="21"/>
        </w:rPr>
      </w:pPr>
      <w:r>
        <w:rPr>
          <w:rFonts w:hint="eastAsia" w:ascii="Times New Roman" w:hAnsi="Times New Roman"/>
          <w:kern w:val="0"/>
          <w:szCs w:val="21"/>
        </w:rPr>
        <w:t>1.15</w:t>
      </w:r>
      <w:r>
        <w:rPr>
          <w:rFonts w:hint="eastAsia" w:hAnsi="宋体" w:cs="宋体"/>
          <w:szCs w:val="21"/>
        </w:rPr>
        <w:t>本技术规范书的解释权属于南方电网通用航空服务有限公司。技术规范书未经南方电网通用航空服务有限公司同意，任何个人和单位不得做出任何修改。</w:t>
      </w:r>
    </w:p>
    <w:p w14:paraId="48D3EAEA">
      <w:pPr>
        <w:spacing w:line="480" w:lineRule="auto"/>
        <w:outlineLvl w:val="0"/>
        <w:rPr>
          <w:rFonts w:eastAsia="黑体"/>
          <w:b/>
          <w:bCs/>
          <w:szCs w:val="21"/>
        </w:rPr>
      </w:pPr>
      <w:bookmarkStart w:id="12" w:name="_Toc76025479"/>
      <w:bookmarkStart w:id="13" w:name="_Toc229217243"/>
      <w:bookmarkStart w:id="14" w:name="_Toc23296"/>
      <w:bookmarkStart w:id="15" w:name="_Toc4714"/>
      <w:r>
        <w:rPr>
          <w:rFonts w:eastAsia="黑体"/>
          <w:b/>
          <w:bCs/>
          <w:szCs w:val="21"/>
        </w:rPr>
        <w:t>2 工作范围</w:t>
      </w:r>
      <w:bookmarkEnd w:id="12"/>
      <w:bookmarkEnd w:id="13"/>
      <w:bookmarkEnd w:id="14"/>
      <w:bookmarkEnd w:id="15"/>
    </w:p>
    <w:p w14:paraId="04E7E090">
      <w:pPr>
        <w:pStyle w:val="3"/>
        <w:spacing w:before="0" w:after="0" w:line="360" w:lineRule="auto"/>
        <w:rPr>
          <w:rFonts w:ascii="Times New Roman" w:hAnsi="Times New Roman" w:eastAsia="黑体"/>
          <w:b w:val="0"/>
          <w:bCs/>
          <w:szCs w:val="21"/>
        </w:rPr>
      </w:pPr>
      <w:bookmarkStart w:id="16" w:name="_Toc11781"/>
      <w:bookmarkStart w:id="17" w:name="_Toc76025480"/>
      <w:bookmarkStart w:id="18" w:name="_Toc229217244"/>
      <w:bookmarkStart w:id="19" w:name="_Toc28530"/>
      <w:r>
        <w:rPr>
          <w:rFonts w:ascii="Times New Roman" w:hAnsi="Times New Roman" w:eastAsia="黑体"/>
          <w:b w:val="0"/>
          <w:bCs/>
          <w:szCs w:val="21"/>
        </w:rPr>
        <w:t xml:space="preserve">2.1 </w:t>
      </w:r>
      <w:r>
        <w:rPr>
          <w:rFonts w:hint="eastAsia" w:ascii="Times New Roman" w:hAnsi="Times New Roman" w:eastAsia="黑体"/>
          <w:b w:val="0"/>
          <w:bCs/>
          <w:szCs w:val="21"/>
        </w:rPr>
        <w:t>供货范围</w:t>
      </w:r>
      <w:bookmarkEnd w:id="16"/>
      <w:bookmarkEnd w:id="17"/>
      <w:bookmarkEnd w:id="18"/>
      <w:bookmarkEnd w:id="19"/>
    </w:p>
    <w:p w14:paraId="4E9EA7B6">
      <w:pPr>
        <w:spacing w:line="360" w:lineRule="auto"/>
        <w:ind w:left="210" w:firstLine="210"/>
        <w:rPr>
          <w:szCs w:val="21"/>
        </w:rPr>
      </w:pPr>
      <w:r>
        <w:rPr>
          <w:szCs w:val="21"/>
        </w:rPr>
        <w:t>合同供货范围为</w:t>
      </w:r>
      <w:r>
        <w:rPr>
          <w:rFonts w:hint="eastAsia"/>
          <w:szCs w:val="21"/>
        </w:rPr>
        <w:t>轻型高光效系留无人机</w:t>
      </w:r>
      <w:r>
        <w:rPr>
          <w:szCs w:val="21"/>
        </w:rPr>
        <w:t>，详见专用部分附表2.2。</w:t>
      </w:r>
    </w:p>
    <w:p w14:paraId="3794E22F">
      <w:pPr>
        <w:pStyle w:val="3"/>
        <w:spacing w:before="0" w:after="0" w:line="360" w:lineRule="auto"/>
        <w:rPr>
          <w:rFonts w:ascii="Times New Roman" w:hAnsi="Times New Roman" w:eastAsia="黑体"/>
          <w:b w:val="0"/>
          <w:bCs/>
          <w:szCs w:val="21"/>
        </w:rPr>
      </w:pPr>
      <w:bookmarkStart w:id="20" w:name="_Toc26638"/>
      <w:bookmarkStart w:id="21" w:name="_Toc23836"/>
      <w:bookmarkStart w:id="22" w:name="_Toc229217245"/>
      <w:bookmarkStart w:id="23" w:name="_Toc76025481"/>
      <w:r>
        <w:rPr>
          <w:rFonts w:ascii="Times New Roman" w:hAnsi="Times New Roman" w:eastAsia="黑体"/>
          <w:b w:val="0"/>
          <w:bCs/>
          <w:szCs w:val="21"/>
        </w:rPr>
        <w:t xml:space="preserve">2.2 </w:t>
      </w:r>
      <w:r>
        <w:rPr>
          <w:rFonts w:hint="eastAsia" w:ascii="Times New Roman" w:hAnsi="Times New Roman" w:eastAsia="黑体"/>
          <w:b w:val="0"/>
          <w:bCs/>
          <w:szCs w:val="21"/>
        </w:rPr>
        <w:t>服务界限</w:t>
      </w:r>
      <w:bookmarkEnd w:id="20"/>
      <w:bookmarkEnd w:id="21"/>
      <w:bookmarkEnd w:id="22"/>
      <w:bookmarkEnd w:id="23"/>
    </w:p>
    <w:p w14:paraId="65B60295">
      <w:pPr>
        <w:adjustRightInd w:val="0"/>
        <w:snapToGrid w:val="0"/>
        <w:spacing w:line="360" w:lineRule="auto"/>
        <w:ind w:firstLine="424" w:firstLineChars="202"/>
        <w:rPr>
          <w:rFonts w:eastAsia="方正书宋简体"/>
          <w:szCs w:val="21"/>
        </w:rPr>
      </w:pPr>
      <w:r>
        <w:rPr>
          <w:rFonts w:eastAsia="方正书宋简体"/>
          <w:szCs w:val="21"/>
        </w:rPr>
        <w:t>1） 本技术规范书适用于</w:t>
      </w:r>
      <w:r>
        <w:rPr>
          <w:rFonts w:hint="eastAsia" w:eastAsia="方正书宋简体"/>
          <w:szCs w:val="21"/>
        </w:rPr>
        <w:t>轻型高光效系留无人机</w:t>
      </w:r>
      <w:r>
        <w:rPr>
          <w:rFonts w:hint="eastAsia"/>
          <w:kern w:val="0"/>
          <w:szCs w:val="21"/>
        </w:rPr>
        <w:t>设备</w:t>
      </w:r>
      <w:r>
        <w:rPr>
          <w:szCs w:val="21"/>
        </w:rPr>
        <w:t>的设计</w:t>
      </w:r>
      <w:r>
        <w:rPr>
          <w:rFonts w:hint="eastAsia"/>
          <w:szCs w:val="21"/>
        </w:rPr>
        <w:t>、</w:t>
      </w:r>
      <w:r>
        <w:rPr>
          <w:szCs w:val="21"/>
        </w:rPr>
        <w:t>制造</w:t>
      </w:r>
      <w:r>
        <w:rPr>
          <w:rFonts w:hint="eastAsia"/>
          <w:szCs w:val="21"/>
        </w:rPr>
        <w:t>、</w:t>
      </w:r>
      <w:r>
        <w:rPr>
          <w:szCs w:val="21"/>
        </w:rPr>
        <w:t>装配</w:t>
      </w:r>
      <w:r>
        <w:rPr>
          <w:rFonts w:hint="eastAsia"/>
          <w:szCs w:val="21"/>
        </w:rPr>
        <w:t>、</w:t>
      </w:r>
      <w:r>
        <w:rPr>
          <w:szCs w:val="21"/>
        </w:rPr>
        <w:t>工厂试验</w:t>
      </w:r>
      <w:r>
        <w:rPr>
          <w:rFonts w:hint="eastAsia"/>
          <w:szCs w:val="21"/>
        </w:rPr>
        <w:t>、</w:t>
      </w:r>
      <w:r>
        <w:rPr>
          <w:szCs w:val="21"/>
        </w:rPr>
        <w:t>交付</w:t>
      </w:r>
      <w:r>
        <w:rPr>
          <w:rFonts w:hint="eastAsia"/>
          <w:szCs w:val="21"/>
        </w:rPr>
        <w:t>、</w:t>
      </w:r>
      <w:r>
        <w:rPr>
          <w:szCs w:val="21"/>
        </w:rPr>
        <w:t>现场安装和试验的指导、监督以及试运行工作</w:t>
      </w:r>
      <w:r>
        <w:rPr>
          <w:rFonts w:eastAsia="方正书宋简体"/>
          <w:szCs w:val="21"/>
        </w:rPr>
        <w:t>。</w:t>
      </w:r>
    </w:p>
    <w:p w14:paraId="128E0259">
      <w:pPr>
        <w:adjustRightInd w:val="0"/>
        <w:snapToGrid w:val="0"/>
        <w:spacing w:line="360" w:lineRule="auto"/>
        <w:ind w:firstLine="424" w:firstLineChars="202"/>
        <w:rPr>
          <w:szCs w:val="21"/>
        </w:rPr>
      </w:pPr>
      <w:r>
        <w:rPr>
          <w:rFonts w:eastAsia="方正书宋简体"/>
          <w:szCs w:val="21"/>
        </w:rPr>
        <w:t>2）本技术规范书未说明，但又与设计、制造、装配、试验、运输、包装、保管、安装和运行维护有关的技术要求，按条款3所规定的有关标准执行。</w:t>
      </w:r>
    </w:p>
    <w:p w14:paraId="6CFCB93E">
      <w:pPr>
        <w:pStyle w:val="3"/>
        <w:spacing w:before="0" w:after="0" w:line="360" w:lineRule="auto"/>
        <w:rPr>
          <w:rFonts w:ascii="Times New Roman" w:hAnsi="Times New Roman" w:eastAsia="黑体"/>
          <w:b w:val="0"/>
          <w:bCs/>
          <w:szCs w:val="21"/>
        </w:rPr>
      </w:pPr>
      <w:bookmarkStart w:id="24" w:name="_Toc229217246"/>
      <w:bookmarkStart w:id="25" w:name="_Toc76025482"/>
      <w:bookmarkStart w:id="26" w:name="_Toc19342"/>
      <w:bookmarkStart w:id="27" w:name="_Toc27859"/>
      <w:r>
        <w:rPr>
          <w:rFonts w:ascii="Times New Roman" w:hAnsi="Times New Roman" w:eastAsia="黑体"/>
          <w:b w:val="0"/>
          <w:bCs/>
          <w:szCs w:val="21"/>
        </w:rPr>
        <w:t xml:space="preserve">2.3 </w:t>
      </w:r>
      <w:r>
        <w:rPr>
          <w:rFonts w:hint="eastAsia" w:ascii="Times New Roman" w:hAnsi="Times New Roman" w:eastAsia="黑体"/>
          <w:b w:val="0"/>
          <w:bCs/>
          <w:szCs w:val="21"/>
        </w:rPr>
        <w:t>技术文件</w:t>
      </w:r>
      <w:bookmarkEnd w:id="24"/>
      <w:bookmarkEnd w:id="25"/>
      <w:bookmarkEnd w:id="26"/>
      <w:bookmarkEnd w:id="27"/>
    </w:p>
    <w:p w14:paraId="365B601B">
      <w:pPr>
        <w:pStyle w:val="451"/>
        <w:adjustRightInd w:val="0"/>
        <w:snapToGrid w:val="0"/>
        <w:spacing w:line="360" w:lineRule="auto"/>
        <w:ind w:firstLine="424" w:firstLineChars="202"/>
        <w:rPr>
          <w:rFonts w:cs="Times New Roman"/>
          <w:szCs w:val="21"/>
        </w:rPr>
      </w:pPr>
      <w:bookmarkStart w:id="28" w:name="_Toc82140158"/>
      <w:bookmarkStart w:id="29" w:name="_Toc81989605"/>
      <w:r>
        <w:rPr>
          <w:rFonts w:cs="Times New Roman"/>
          <w:szCs w:val="21"/>
        </w:rPr>
        <w:t>1）投标方应按本技术规范书的要求提供全新的、合格的</w:t>
      </w:r>
      <w:r>
        <w:rPr>
          <w:rFonts w:hint="eastAsia" w:cs="Times New Roman"/>
          <w:szCs w:val="21"/>
        </w:rPr>
        <w:t>轻型高光效系留无人机</w:t>
      </w:r>
      <w:r>
        <w:rPr>
          <w:rFonts w:eastAsia="宋体" w:cs="Times New Roman"/>
          <w:szCs w:val="21"/>
        </w:rPr>
        <w:t>及其附属设备、备品备件、专用工具和仪器。</w:t>
      </w:r>
    </w:p>
    <w:p w14:paraId="6A82CAE4">
      <w:pPr>
        <w:pStyle w:val="451"/>
        <w:adjustRightInd w:val="0"/>
        <w:snapToGrid w:val="0"/>
        <w:spacing w:line="360" w:lineRule="auto"/>
        <w:ind w:firstLine="424" w:firstLineChars="202"/>
        <w:rPr>
          <w:rFonts w:cs="Times New Roman"/>
          <w:szCs w:val="21"/>
        </w:rPr>
      </w:pPr>
      <w:r>
        <w:rPr>
          <w:rFonts w:cs="Times New Roman"/>
          <w:szCs w:val="21"/>
        </w:rPr>
        <w:t>2）投标方所提供的组件或附件如需向第三方外购时，投标方应对质量向招标方负责，并提供相应出厂和验收证明。</w:t>
      </w:r>
    </w:p>
    <w:p w14:paraId="36AE79ED">
      <w:pPr>
        <w:pStyle w:val="451"/>
        <w:adjustRightInd w:val="0"/>
        <w:snapToGrid w:val="0"/>
        <w:spacing w:line="360" w:lineRule="auto"/>
        <w:ind w:firstLine="424" w:firstLineChars="202"/>
        <w:rPr>
          <w:rFonts w:cs="Times New Roman"/>
          <w:szCs w:val="21"/>
        </w:rPr>
      </w:pPr>
      <w:r>
        <w:rPr>
          <w:rFonts w:cs="Times New Roman"/>
          <w:szCs w:val="21"/>
        </w:rPr>
        <w:t>3）工厂试验由投标方在生产厂家内完成, 但应有招标方代表参加, 参加工厂验收的人数及天数等根据招标方需要由招投标双方协商进行确定。</w:t>
      </w:r>
    </w:p>
    <w:p w14:paraId="5E883E8E">
      <w:pPr>
        <w:pStyle w:val="451"/>
        <w:adjustRightInd w:val="0"/>
        <w:snapToGrid w:val="0"/>
        <w:spacing w:line="360" w:lineRule="auto"/>
        <w:ind w:firstLine="424" w:firstLineChars="202"/>
        <w:rPr>
          <w:rFonts w:cs="Times New Roman"/>
          <w:szCs w:val="21"/>
        </w:rPr>
      </w:pPr>
      <w:r>
        <w:rPr>
          <w:rFonts w:cs="Times New Roman"/>
          <w:szCs w:val="21"/>
        </w:rPr>
        <w:t>4）</w:t>
      </w:r>
      <w:r>
        <w:rPr>
          <w:rFonts w:hint="eastAsia"/>
          <w:szCs w:val="21"/>
        </w:rPr>
        <w:t>装置从生产厂家到安装位置的运输全部由投标方完成，现场调试和安装在招标方指导下由投标方完成</w:t>
      </w:r>
      <w:r>
        <w:t>。</w:t>
      </w:r>
      <w:r>
        <w:rPr>
          <w:rFonts w:cs="Times New Roman"/>
          <w:szCs w:val="21"/>
        </w:rPr>
        <w:t>, 投标方协助招标方按标准检查安装质量, 处理调试投运过程中出现的问题，并提供备品、备件，做好销售服务工作。投标方应选派有经验的技术人员，对安装和运行人员免费培训。安装指导及培训的工作范围及人数和天数等根据招标方需要由招投标双方协商进行确定。</w:t>
      </w:r>
    </w:p>
    <w:p w14:paraId="2BD4B60A">
      <w:pPr>
        <w:pStyle w:val="451"/>
        <w:adjustRightInd w:val="0"/>
        <w:snapToGrid w:val="0"/>
        <w:spacing w:line="360" w:lineRule="auto"/>
        <w:ind w:firstLine="424" w:firstLineChars="202"/>
        <w:rPr>
          <w:rFonts w:cs="Times New Roman"/>
          <w:szCs w:val="21"/>
        </w:rPr>
      </w:pPr>
      <w:r>
        <w:rPr>
          <w:rFonts w:cs="Times New Roman"/>
          <w:szCs w:val="21"/>
        </w:rPr>
        <w:t>5）投标方应协助招标方解决设备运行中出现的问题。并及时排除故障恢复运行。投标方应免费提供远程技术服务，远程技术服务项目期限不受限于保修期，远程技术服务在设备报废前有效。</w:t>
      </w:r>
    </w:p>
    <w:p w14:paraId="1A58590E">
      <w:pPr>
        <w:pStyle w:val="3"/>
      </w:pPr>
      <w:bookmarkStart w:id="30" w:name="_Toc229217247"/>
      <w:bookmarkStart w:id="31" w:name="_Toc6217"/>
      <w:bookmarkStart w:id="32" w:name="_Toc30637"/>
      <w:r>
        <w:rPr>
          <w:rFonts w:hint="eastAsia"/>
        </w:rPr>
        <w:t>技术文件的组成</w:t>
      </w:r>
      <w:bookmarkEnd w:id="30"/>
      <w:bookmarkEnd w:id="31"/>
      <w:bookmarkEnd w:id="32"/>
    </w:p>
    <w:p w14:paraId="4A5D2323">
      <w:pPr>
        <w:numPr>
          <w:ilvl w:val="255"/>
          <w:numId w:val="0"/>
        </w:numPr>
        <w:suppressAutoHyphens/>
        <w:spacing w:line="360" w:lineRule="auto"/>
        <w:rPr>
          <w:rFonts w:hint="eastAsia" w:ascii="宋体" w:hAnsi="宋体" w:cs="宋体"/>
          <w:szCs w:val="21"/>
        </w:rPr>
      </w:pPr>
      <w:r>
        <w:rPr>
          <w:rFonts w:hint="eastAsia" w:ascii="宋体" w:hAnsi="宋体" w:cs="宋体"/>
          <w:szCs w:val="21"/>
        </w:rPr>
        <w:t>1.投标设备的详细供货清单</w:t>
      </w:r>
    </w:p>
    <w:p w14:paraId="7219C044">
      <w:pPr>
        <w:numPr>
          <w:ilvl w:val="255"/>
          <w:numId w:val="0"/>
        </w:numPr>
        <w:suppressAutoHyphens/>
        <w:spacing w:line="360" w:lineRule="auto"/>
        <w:rPr>
          <w:rFonts w:hint="eastAsia" w:ascii="宋体" w:hAnsi="宋体" w:cs="宋体"/>
          <w:szCs w:val="21"/>
        </w:rPr>
      </w:pPr>
      <w:r>
        <w:rPr>
          <w:rFonts w:hint="eastAsia" w:ascii="宋体" w:hAnsi="宋体" w:cs="宋体"/>
          <w:szCs w:val="21"/>
        </w:rPr>
        <w:t>2.技术应答书，应逐条“点对点”回应本标书的技术规范</w:t>
      </w:r>
    </w:p>
    <w:p w14:paraId="60F1E6A3">
      <w:pPr>
        <w:numPr>
          <w:ilvl w:val="255"/>
          <w:numId w:val="0"/>
        </w:numPr>
        <w:suppressAutoHyphens/>
        <w:spacing w:line="360" w:lineRule="auto"/>
        <w:rPr>
          <w:rFonts w:hint="eastAsia" w:ascii="宋体" w:hAnsi="宋体" w:cs="宋体"/>
          <w:szCs w:val="21"/>
        </w:rPr>
      </w:pPr>
      <w:r>
        <w:rPr>
          <w:rFonts w:hint="eastAsia" w:ascii="宋体" w:hAnsi="宋体" w:cs="宋体"/>
          <w:szCs w:val="21"/>
        </w:rPr>
        <w:t>3.差异表（格式见附表）</w:t>
      </w:r>
    </w:p>
    <w:p w14:paraId="3B29F7D2">
      <w:pPr>
        <w:numPr>
          <w:ilvl w:val="255"/>
          <w:numId w:val="0"/>
        </w:numPr>
        <w:suppressAutoHyphens/>
        <w:spacing w:line="360" w:lineRule="auto"/>
        <w:rPr>
          <w:rFonts w:hint="eastAsia" w:ascii="宋体" w:hAnsi="宋体" w:cs="宋体"/>
          <w:szCs w:val="21"/>
        </w:rPr>
      </w:pPr>
      <w:r>
        <w:rPr>
          <w:rFonts w:hint="eastAsia" w:ascii="宋体" w:hAnsi="宋体" w:cs="宋体"/>
          <w:szCs w:val="21"/>
        </w:rPr>
        <w:t>4.售后服务保证相关证书，包括产品合格证书、产品三包凭证和保修卡</w:t>
      </w:r>
    </w:p>
    <w:p w14:paraId="54150FC0">
      <w:pPr>
        <w:numPr>
          <w:ilvl w:val="255"/>
          <w:numId w:val="0"/>
        </w:numPr>
        <w:suppressAutoHyphens/>
        <w:spacing w:line="360" w:lineRule="auto"/>
        <w:rPr>
          <w:rFonts w:hint="eastAsia" w:ascii="宋体" w:hAnsi="宋体" w:cs="宋体"/>
          <w:szCs w:val="21"/>
        </w:rPr>
      </w:pPr>
      <w:r>
        <w:rPr>
          <w:rFonts w:hint="eastAsia" w:ascii="宋体" w:hAnsi="宋体" w:cs="宋体"/>
          <w:szCs w:val="21"/>
        </w:rPr>
        <w:t>5.产品出厂检测报告</w:t>
      </w:r>
    </w:p>
    <w:p w14:paraId="470A1822">
      <w:pPr>
        <w:pStyle w:val="451"/>
        <w:adjustRightInd w:val="0"/>
        <w:snapToGrid w:val="0"/>
        <w:spacing w:line="360" w:lineRule="auto"/>
        <w:ind w:firstLine="0" w:firstLineChars="0"/>
        <w:rPr>
          <w:rFonts w:cs="Times New Roman"/>
          <w:szCs w:val="21"/>
        </w:rPr>
      </w:pPr>
      <w:r>
        <w:rPr>
          <w:rFonts w:hint="eastAsia" w:ascii="宋体" w:hAnsi="宋体" w:eastAsia="宋体"/>
          <w:szCs w:val="21"/>
        </w:rPr>
        <w:t>6.提供中文操作手册和维护手册</w:t>
      </w:r>
    </w:p>
    <w:p w14:paraId="694CB2F4">
      <w:pPr>
        <w:spacing w:line="480" w:lineRule="auto"/>
        <w:outlineLvl w:val="0"/>
        <w:rPr>
          <w:rFonts w:eastAsia="黑体"/>
          <w:b/>
          <w:bCs/>
          <w:szCs w:val="21"/>
        </w:rPr>
      </w:pPr>
      <w:bookmarkStart w:id="33" w:name="_Toc229217248"/>
      <w:bookmarkStart w:id="34" w:name="_Toc76025483"/>
      <w:bookmarkStart w:id="35" w:name="_Toc964"/>
      <w:bookmarkStart w:id="36" w:name="_Toc26216"/>
      <w:r>
        <w:rPr>
          <w:rFonts w:eastAsia="黑体"/>
          <w:b/>
          <w:bCs/>
          <w:szCs w:val="21"/>
        </w:rPr>
        <w:t>3 应遵循的主要标准</w:t>
      </w:r>
      <w:bookmarkEnd w:id="28"/>
      <w:bookmarkEnd w:id="29"/>
      <w:bookmarkEnd w:id="33"/>
      <w:bookmarkEnd w:id="34"/>
      <w:bookmarkEnd w:id="35"/>
      <w:bookmarkEnd w:id="36"/>
    </w:p>
    <w:p w14:paraId="3E7A3C58">
      <w:pPr>
        <w:pStyle w:val="451"/>
        <w:adjustRightInd w:val="0"/>
        <w:snapToGrid w:val="0"/>
        <w:spacing w:line="360" w:lineRule="auto"/>
        <w:rPr>
          <w:rFonts w:cs="Times New Roman"/>
          <w:szCs w:val="21"/>
        </w:rPr>
      </w:pPr>
      <w:bookmarkStart w:id="37" w:name="_Toc282993250"/>
      <w:bookmarkStart w:id="38" w:name="_Toc384340981"/>
      <w:r>
        <w:rPr>
          <w:rFonts w:cs="Times New Roman"/>
          <w:szCs w:val="21"/>
        </w:rPr>
        <w:t>除本技术规范书特殊规定外, 投标方所提供的设备均按规定的标准和规程的最新版本进行设计、制造、试验和安装。如果这些标准内容有矛盾时, 应按最高标准的条款执行或按双方商定的标准执行。如果投标方选用本技术规范书规定以外的标准时, 则需提交这种替换标准供审查和分析。仅在投标方已证明替换标准相当或优于技术规范书规定的标准, 并从招标方处获得书面的认可才能使用。提交供审查的标准应为中文或英文版本。</w:t>
      </w:r>
      <w:r>
        <w:rPr>
          <w:rFonts w:hint="eastAsia" w:cs="Times New Roman"/>
          <w:szCs w:val="21"/>
        </w:rPr>
        <w:t>凡是未注明日期的引用标准，其最新版适用于本技术规范书。</w:t>
      </w:r>
      <w:r>
        <w:rPr>
          <w:rFonts w:cs="Times New Roman"/>
          <w:szCs w:val="21"/>
        </w:rPr>
        <w:t>主要引用标准如下：</w:t>
      </w:r>
    </w:p>
    <w:p w14:paraId="7269BF8D">
      <w:pPr>
        <w:snapToGrid w:val="0"/>
        <w:spacing w:line="360" w:lineRule="auto"/>
        <w:ind w:firstLine="420" w:firstLineChars="200"/>
        <w:rPr>
          <w:szCs w:val="21"/>
        </w:rPr>
      </w:pPr>
      <w:r>
        <w:rPr>
          <w:rFonts w:hint="eastAsia"/>
          <w:szCs w:val="21"/>
        </w:rPr>
        <w:t>GB 4208-2017</w:t>
      </w:r>
      <w:r>
        <w:rPr>
          <w:rFonts w:hint="eastAsia"/>
          <w:szCs w:val="21"/>
        </w:rPr>
        <w:tab/>
      </w:r>
      <w:r>
        <w:rPr>
          <w:rFonts w:hint="eastAsia"/>
          <w:szCs w:val="21"/>
        </w:rPr>
        <w:tab/>
      </w:r>
      <w:r>
        <w:rPr>
          <w:rFonts w:hint="eastAsia"/>
          <w:szCs w:val="21"/>
        </w:rPr>
        <w:t>外壳防护等级（IP代码）</w:t>
      </w:r>
      <w:r>
        <w:rPr>
          <w:rFonts w:hint="eastAsia"/>
          <w:szCs w:val="21"/>
        </w:rPr>
        <w:tab/>
      </w:r>
    </w:p>
    <w:p w14:paraId="5DE67E48">
      <w:pPr>
        <w:snapToGrid w:val="0"/>
        <w:spacing w:line="360" w:lineRule="auto"/>
        <w:ind w:firstLine="420" w:firstLineChars="200"/>
        <w:rPr>
          <w:szCs w:val="21"/>
        </w:rPr>
      </w:pPr>
      <w:r>
        <w:rPr>
          <w:rFonts w:hint="eastAsia"/>
          <w:szCs w:val="21"/>
        </w:rPr>
        <w:t>GA/T 1411.1-2017《警用无人驾驶航空器系统第1部分：通用技术要求》</w:t>
      </w:r>
    </w:p>
    <w:p w14:paraId="6E8765F2">
      <w:pPr>
        <w:snapToGrid w:val="0"/>
        <w:spacing w:line="360" w:lineRule="auto"/>
        <w:ind w:firstLine="420" w:firstLineChars="200"/>
        <w:rPr>
          <w:szCs w:val="21"/>
        </w:rPr>
      </w:pPr>
      <w:r>
        <w:rPr>
          <w:rFonts w:hint="eastAsia"/>
          <w:szCs w:val="21"/>
        </w:rPr>
        <w:t>GA/T 1411.3-2017《警用无人驾驶航空器系统第3部分：多旋翼无人驾驶航空器系统》</w:t>
      </w:r>
    </w:p>
    <w:p w14:paraId="5B5EF44A">
      <w:pPr>
        <w:snapToGrid w:val="0"/>
        <w:spacing w:line="360" w:lineRule="auto"/>
        <w:ind w:firstLine="420" w:firstLineChars="200"/>
        <w:rPr>
          <w:szCs w:val="21"/>
        </w:rPr>
      </w:pPr>
      <w:r>
        <w:rPr>
          <w:rFonts w:hint="eastAsia"/>
          <w:szCs w:val="21"/>
        </w:rPr>
        <w:t>GB7000.1-2015《灯具第1部分：一般要求与试验》</w:t>
      </w:r>
    </w:p>
    <w:p w14:paraId="64CEB2FE">
      <w:pPr>
        <w:snapToGrid w:val="0"/>
        <w:spacing w:line="360" w:lineRule="auto"/>
        <w:ind w:firstLine="420" w:firstLineChars="200"/>
        <w:rPr>
          <w:szCs w:val="21"/>
        </w:rPr>
      </w:pPr>
      <w:r>
        <w:rPr>
          <w:rFonts w:hint="eastAsia"/>
          <w:szCs w:val="21"/>
        </w:rPr>
        <w:t>GB/T 2423.1-2008 电工电子产品环境试验第2部分：试验方法 试验A：低温</w:t>
      </w:r>
    </w:p>
    <w:p w14:paraId="68B59AA1">
      <w:pPr>
        <w:snapToGrid w:val="0"/>
        <w:spacing w:line="360" w:lineRule="auto"/>
        <w:ind w:firstLine="420" w:firstLineChars="200"/>
        <w:rPr>
          <w:szCs w:val="21"/>
        </w:rPr>
      </w:pPr>
      <w:r>
        <w:rPr>
          <w:rFonts w:hint="eastAsia"/>
          <w:szCs w:val="21"/>
        </w:rPr>
        <w:t>GB/T 2423.2-2008 电工电子产品环境试验第2部分：试验方法 试验B：高温</w:t>
      </w:r>
    </w:p>
    <w:p w14:paraId="19FA02F5">
      <w:pPr>
        <w:snapToGrid w:val="0"/>
        <w:spacing w:line="360" w:lineRule="auto"/>
        <w:ind w:firstLine="420" w:firstLineChars="200"/>
        <w:rPr>
          <w:szCs w:val="21"/>
        </w:rPr>
      </w:pPr>
      <w:r>
        <w:rPr>
          <w:rFonts w:hint="eastAsia"/>
          <w:szCs w:val="21"/>
        </w:rPr>
        <w:t>GB/T 2423.21-2008 电工电子产品环境试验 第2部分：试验方法 试验M：低气压</w:t>
      </w:r>
    </w:p>
    <w:p w14:paraId="27503D22">
      <w:pPr>
        <w:snapToGrid w:val="0"/>
        <w:spacing w:line="360" w:lineRule="auto"/>
        <w:ind w:firstLine="420" w:firstLineChars="200"/>
        <w:rPr>
          <w:lang w:bidi="ar"/>
        </w:rPr>
      </w:pPr>
      <w:r>
        <w:rPr>
          <w:rFonts w:hint="eastAsia"/>
          <w:lang w:bidi="ar"/>
        </w:rPr>
        <w:t>GB/T 5700-2023《照明测量方法》</w:t>
      </w:r>
    </w:p>
    <w:p w14:paraId="4C4609CF">
      <w:pPr>
        <w:snapToGrid w:val="0"/>
        <w:spacing w:line="360" w:lineRule="auto"/>
        <w:ind w:firstLine="420" w:firstLineChars="200"/>
        <w:rPr>
          <w:lang w:bidi="ar"/>
        </w:rPr>
      </w:pPr>
      <w:r>
        <w:rPr>
          <w:rFonts w:hint="eastAsia"/>
          <w:lang w:bidi="ar"/>
        </w:rPr>
        <w:t>CEPREI-WI-401-DM《卫星定位导航授时设备北斗独立定位测试技术规范》</w:t>
      </w:r>
    </w:p>
    <w:p w14:paraId="35F3167A">
      <w:pPr>
        <w:snapToGrid w:val="0"/>
        <w:spacing w:line="360" w:lineRule="auto"/>
        <w:ind w:firstLine="420" w:firstLineChars="200"/>
        <w:rPr>
          <w:lang w:bidi="ar"/>
        </w:rPr>
      </w:pPr>
      <w:r>
        <w:rPr>
          <w:rFonts w:hint="eastAsia"/>
          <w:lang w:bidi="ar"/>
        </w:rPr>
        <w:t>GB/T 191-2008</w:t>
      </w:r>
      <w:r>
        <w:rPr>
          <w:rFonts w:hint="eastAsia"/>
          <w:lang w:bidi="ar"/>
        </w:rPr>
        <w:tab/>
      </w:r>
      <w:r>
        <w:rPr>
          <w:rFonts w:hint="eastAsia"/>
          <w:lang w:bidi="ar"/>
        </w:rPr>
        <w:t>包装储运图示标志</w:t>
      </w:r>
    </w:p>
    <w:p w14:paraId="49B21CB6">
      <w:pPr>
        <w:snapToGrid w:val="0"/>
        <w:spacing w:line="360" w:lineRule="auto"/>
        <w:ind w:firstLine="420" w:firstLineChars="200"/>
        <w:rPr>
          <w:lang w:bidi="ar"/>
        </w:rPr>
      </w:pPr>
      <w:r>
        <w:rPr>
          <w:rFonts w:hint="eastAsia"/>
          <w:lang w:bidi="ar"/>
        </w:rPr>
        <w:t>GJB 2347-1995</w:t>
      </w:r>
      <w:r>
        <w:rPr>
          <w:rFonts w:hint="eastAsia"/>
          <w:lang w:bidi="ar"/>
        </w:rPr>
        <w:tab/>
      </w:r>
      <w:r>
        <w:rPr>
          <w:rFonts w:hint="eastAsia"/>
          <w:lang w:bidi="ar"/>
        </w:rPr>
        <w:t>无人机通用规范</w:t>
      </w:r>
    </w:p>
    <w:p w14:paraId="51045C84">
      <w:pPr>
        <w:snapToGrid w:val="0"/>
        <w:spacing w:line="360" w:lineRule="auto"/>
        <w:ind w:firstLine="420" w:firstLineChars="200"/>
        <w:rPr>
          <w:lang w:bidi="ar"/>
        </w:rPr>
      </w:pPr>
      <w:r>
        <w:rPr>
          <w:rFonts w:hint="eastAsia"/>
          <w:lang w:bidi="ar"/>
        </w:rPr>
        <w:t>GJB 5433-2005</w:t>
      </w:r>
      <w:r>
        <w:rPr>
          <w:rFonts w:hint="eastAsia"/>
          <w:lang w:bidi="ar"/>
        </w:rPr>
        <w:tab/>
      </w:r>
      <w:r>
        <w:rPr>
          <w:rFonts w:hint="eastAsia"/>
          <w:lang w:bidi="ar"/>
        </w:rPr>
        <w:t>无人机系统通用要求</w:t>
      </w:r>
    </w:p>
    <w:p w14:paraId="2F5E0B19">
      <w:pPr>
        <w:snapToGrid w:val="0"/>
        <w:spacing w:line="360" w:lineRule="auto"/>
        <w:ind w:firstLine="420" w:firstLineChars="200"/>
        <w:rPr>
          <w:lang w:bidi="ar"/>
        </w:rPr>
      </w:pPr>
      <w:r>
        <w:rPr>
          <w:rFonts w:hint="eastAsia"/>
          <w:lang w:bidi="ar"/>
        </w:rPr>
        <w:t>GJB/Z105-98</w:t>
      </w:r>
      <w:r>
        <w:rPr>
          <w:rFonts w:hint="eastAsia"/>
          <w:lang w:bidi="ar"/>
        </w:rPr>
        <w:tab/>
      </w:r>
      <w:r>
        <w:rPr>
          <w:rFonts w:hint="eastAsia"/>
          <w:lang w:bidi="ar"/>
        </w:rPr>
        <w:t>电子产品防静电放电控制手册</w:t>
      </w:r>
    </w:p>
    <w:p w14:paraId="45DC7B13">
      <w:pPr>
        <w:snapToGrid w:val="0"/>
        <w:spacing w:line="360" w:lineRule="auto"/>
        <w:ind w:firstLine="420" w:firstLineChars="200"/>
        <w:rPr>
          <w:lang w:bidi="ar"/>
        </w:rPr>
      </w:pPr>
      <w:r>
        <w:rPr>
          <w:rFonts w:hint="eastAsia"/>
          <w:lang w:bidi="ar"/>
        </w:rPr>
        <w:t>HB 6167</w:t>
      </w:r>
      <w:r>
        <w:rPr>
          <w:rFonts w:hint="eastAsia"/>
          <w:lang w:bidi="ar"/>
        </w:rPr>
        <w:tab/>
      </w:r>
      <w:r>
        <w:rPr>
          <w:rFonts w:hint="eastAsia"/>
          <w:lang w:bidi="ar"/>
        </w:rPr>
        <w:tab/>
      </w:r>
      <w:r>
        <w:rPr>
          <w:rFonts w:hint="eastAsia"/>
          <w:lang w:bidi="ar"/>
        </w:rPr>
        <w:t>民用飞机机载设备环境条件和试验方法</w:t>
      </w:r>
    </w:p>
    <w:p w14:paraId="366A5C33">
      <w:pPr>
        <w:snapToGrid w:val="0"/>
        <w:spacing w:line="360" w:lineRule="auto"/>
        <w:ind w:firstLine="420" w:firstLineChars="200"/>
        <w:rPr>
          <w:lang w:bidi="ar"/>
        </w:rPr>
      </w:pPr>
      <w:r>
        <w:rPr>
          <w:rFonts w:hint="eastAsia"/>
          <w:lang w:bidi="ar"/>
        </w:rPr>
        <w:t>QJ 2245</w:t>
      </w:r>
      <w:r>
        <w:rPr>
          <w:rFonts w:hint="eastAsia"/>
          <w:lang w:bidi="ar"/>
        </w:rPr>
        <w:tab/>
      </w:r>
      <w:r>
        <w:rPr>
          <w:rFonts w:hint="eastAsia"/>
          <w:lang w:bidi="ar"/>
        </w:rPr>
        <w:tab/>
      </w:r>
      <w:r>
        <w:rPr>
          <w:rFonts w:hint="eastAsia"/>
          <w:lang w:bidi="ar"/>
        </w:rPr>
        <w:t>电子仪器和设备防静电要求</w:t>
      </w:r>
    </w:p>
    <w:p w14:paraId="295FD144">
      <w:pPr>
        <w:snapToGrid w:val="0"/>
        <w:spacing w:line="360" w:lineRule="auto"/>
        <w:ind w:firstLine="420" w:firstLineChars="200"/>
        <w:rPr>
          <w:lang w:bidi="ar"/>
        </w:rPr>
      </w:pPr>
      <w:r>
        <w:rPr>
          <w:rFonts w:hint="eastAsia"/>
          <w:lang w:bidi="ar"/>
        </w:rPr>
        <w:t>RTCA/DO-178C</w:t>
      </w:r>
      <w:r>
        <w:rPr>
          <w:rFonts w:hint="eastAsia"/>
          <w:lang w:bidi="ar"/>
        </w:rPr>
        <w:tab/>
      </w:r>
      <w:r>
        <w:rPr>
          <w:rFonts w:hint="eastAsia"/>
          <w:lang w:bidi="ar"/>
        </w:rPr>
        <w:t xml:space="preserve">  机载系统和设备合格审定中的软件考虑</w:t>
      </w:r>
    </w:p>
    <w:p w14:paraId="5BEBF525">
      <w:pPr>
        <w:snapToGrid w:val="0"/>
        <w:spacing w:line="360" w:lineRule="auto"/>
        <w:ind w:firstLine="420" w:firstLineChars="200"/>
        <w:rPr>
          <w:lang w:bidi="ar"/>
        </w:rPr>
      </w:pPr>
      <w:r>
        <w:rPr>
          <w:rFonts w:hint="eastAsia"/>
          <w:lang w:bidi="ar"/>
        </w:rPr>
        <w:t>RTCA/DO-160     Environmental Conditions and Test Procedures for Airborne Equipment</w:t>
      </w:r>
    </w:p>
    <w:p w14:paraId="0628654F">
      <w:pPr>
        <w:snapToGrid w:val="0"/>
        <w:spacing w:line="360" w:lineRule="auto"/>
        <w:ind w:firstLine="420" w:firstLineChars="200"/>
        <w:rPr>
          <w:lang w:bidi="ar"/>
        </w:rPr>
      </w:pPr>
      <w:r>
        <w:rPr>
          <w:rFonts w:hint="eastAsia"/>
          <w:lang w:bidi="ar"/>
        </w:rPr>
        <w:t>Q/CSG 1205020.10-2018 架空输电线路机巡标准第10部分：直升机/无人机巡检设备性能检测规范</w:t>
      </w:r>
    </w:p>
    <w:p w14:paraId="56C34B82">
      <w:pPr>
        <w:snapToGrid w:val="0"/>
        <w:spacing w:line="360" w:lineRule="auto"/>
        <w:ind w:firstLine="420" w:firstLineChars="200"/>
        <w:rPr>
          <w:lang w:bidi="ar"/>
        </w:rPr>
      </w:pPr>
      <w:r>
        <w:rPr>
          <w:rFonts w:hint="eastAsia"/>
          <w:lang w:bidi="ar"/>
        </w:rPr>
        <w:t>DL/T 1578-2021</w:t>
      </w:r>
      <w:r>
        <w:rPr>
          <w:rFonts w:hint="eastAsia"/>
          <w:lang w:bidi="ar"/>
        </w:rPr>
        <w:tab/>
      </w:r>
      <w:r>
        <w:rPr>
          <w:rFonts w:hint="eastAsia"/>
          <w:lang w:bidi="ar"/>
        </w:rPr>
        <w:t>架空电力线路多旋翼无人机巡检系统</w:t>
      </w:r>
    </w:p>
    <w:p w14:paraId="1D34A2D4">
      <w:pPr>
        <w:snapToGrid w:val="0"/>
        <w:spacing w:line="360" w:lineRule="auto"/>
        <w:ind w:firstLine="420" w:firstLineChars="200"/>
        <w:rPr>
          <w:lang w:bidi="ar"/>
        </w:rPr>
      </w:pPr>
      <w:r>
        <w:rPr>
          <w:rFonts w:hint="eastAsia"/>
          <w:lang w:bidi="ar"/>
        </w:rPr>
        <w:t>GB/T 2423.2-2008 电工电子产品环境试验第2部分：试验方法 试验Fc：振动（正弦）</w:t>
      </w:r>
    </w:p>
    <w:p w14:paraId="07576860">
      <w:pPr>
        <w:snapToGrid w:val="0"/>
        <w:spacing w:line="360" w:lineRule="auto"/>
        <w:ind w:firstLine="420" w:firstLineChars="200"/>
        <w:rPr>
          <w:lang w:bidi="ar"/>
        </w:rPr>
      </w:pPr>
      <w:r>
        <w:rPr>
          <w:rFonts w:hint="eastAsia"/>
          <w:lang w:bidi="ar"/>
        </w:rPr>
        <w:t>GB/T 2423.3-2016 环境试验 第2部分：试验方法 试验Cab：恒定湿热试验</w:t>
      </w:r>
    </w:p>
    <w:p w14:paraId="3F4BD7AF">
      <w:pPr>
        <w:snapToGrid w:val="0"/>
        <w:spacing w:line="360" w:lineRule="auto"/>
        <w:ind w:firstLine="420" w:firstLineChars="200"/>
        <w:rPr>
          <w:lang w:bidi="ar"/>
        </w:rPr>
      </w:pPr>
      <w:r>
        <w:rPr>
          <w:rFonts w:hint="eastAsia"/>
          <w:lang w:bidi="ar"/>
        </w:rPr>
        <w:t>GB/T 2423.25-2008 电工电子产品 环境试验 第2部分：试验方法 试验Z/AM：低温/低气压综合试验</w:t>
      </w:r>
    </w:p>
    <w:p w14:paraId="5B9E1FE0">
      <w:pPr>
        <w:snapToGrid w:val="0"/>
        <w:spacing w:line="360" w:lineRule="auto"/>
        <w:ind w:firstLine="420" w:firstLineChars="200"/>
        <w:rPr>
          <w:lang w:bidi="ar"/>
        </w:rPr>
      </w:pPr>
      <w:r>
        <w:rPr>
          <w:rFonts w:hint="eastAsia"/>
          <w:lang w:bidi="ar"/>
        </w:rPr>
        <w:t>GB/T 2423.26-2008 电工电子产品 环境试验 第2部分：试验方法 试验Z/BM：高温/低气压综合试验</w:t>
      </w:r>
    </w:p>
    <w:p w14:paraId="5C39C344">
      <w:pPr>
        <w:snapToGrid w:val="0"/>
        <w:spacing w:line="360" w:lineRule="auto"/>
        <w:ind w:firstLine="420" w:firstLineChars="200"/>
        <w:rPr>
          <w:lang w:bidi="ar"/>
        </w:rPr>
      </w:pPr>
      <w:r>
        <w:rPr>
          <w:rFonts w:hint="eastAsia"/>
          <w:lang w:bidi="ar"/>
        </w:rPr>
        <w:t>GB/T 2423.27-2005 电工电子产品环境试验 第2部分：试验方法 试验Z/AMD：低温/低气压/湿热连续综合试验</w:t>
      </w:r>
    </w:p>
    <w:p w14:paraId="2F050150">
      <w:pPr>
        <w:snapToGrid w:val="0"/>
        <w:spacing w:line="360" w:lineRule="auto"/>
        <w:ind w:firstLine="420" w:firstLineChars="200"/>
        <w:rPr>
          <w:lang w:bidi="ar"/>
        </w:rPr>
      </w:pPr>
      <w:r>
        <w:rPr>
          <w:rFonts w:hint="eastAsia"/>
          <w:lang w:bidi="ar"/>
        </w:rPr>
        <w:t>GB/T 38930-2020 民用轻小型无人机系统抗风性要求及试验方法</w:t>
      </w:r>
    </w:p>
    <w:p w14:paraId="6E102C55">
      <w:pPr>
        <w:snapToGrid w:val="0"/>
        <w:spacing w:line="360" w:lineRule="auto"/>
        <w:ind w:firstLine="420" w:firstLineChars="200"/>
        <w:rPr>
          <w:lang w:bidi="ar"/>
        </w:rPr>
      </w:pPr>
      <w:r>
        <w:rPr>
          <w:rFonts w:hint="eastAsia"/>
          <w:lang w:bidi="ar"/>
        </w:rPr>
        <w:t>YD/T4182-2023 低速无人系统导航定位通用指标及测试方法</w:t>
      </w:r>
    </w:p>
    <w:p w14:paraId="7D81A3A6">
      <w:pPr>
        <w:snapToGrid w:val="0"/>
        <w:spacing w:line="360" w:lineRule="auto"/>
        <w:ind w:firstLine="420" w:firstLineChars="200"/>
        <w:rPr>
          <w:lang w:bidi="ar"/>
        </w:rPr>
      </w:pPr>
      <w:r>
        <w:rPr>
          <w:rFonts w:hint="eastAsia"/>
          <w:lang w:bidi="ar"/>
        </w:rPr>
        <w:t>GB/T 17626.3-2016 电磁兼容 试验和测量技术射频电磁场辐射抗扰度试验</w:t>
      </w:r>
    </w:p>
    <w:p w14:paraId="7170115C">
      <w:pPr>
        <w:snapToGrid w:val="0"/>
        <w:spacing w:line="360" w:lineRule="auto"/>
        <w:ind w:firstLine="420" w:firstLineChars="200"/>
        <w:rPr>
          <w:lang w:bidi="ar"/>
        </w:rPr>
      </w:pPr>
      <w:r>
        <w:rPr>
          <w:rFonts w:hint="eastAsia"/>
          <w:lang w:bidi="ar"/>
        </w:rPr>
        <w:t>GB/T 17626.2-2018 电磁兼容 试验和测量技术 静电放电抗扰度试验</w:t>
      </w:r>
    </w:p>
    <w:p w14:paraId="7356F293">
      <w:pPr>
        <w:snapToGrid w:val="0"/>
        <w:spacing w:line="360" w:lineRule="auto"/>
        <w:ind w:firstLine="420" w:firstLineChars="200"/>
        <w:rPr>
          <w:lang w:bidi="ar"/>
        </w:rPr>
      </w:pPr>
      <w:r>
        <w:rPr>
          <w:rFonts w:hint="eastAsia"/>
          <w:lang w:bidi="ar"/>
        </w:rPr>
        <w:t>GB/T 17626.9-2011 电磁兼容 试验和测量技术 脉冲磁场抗扰度试验</w:t>
      </w:r>
    </w:p>
    <w:p w14:paraId="69A4F0DA">
      <w:pPr>
        <w:snapToGrid w:val="0"/>
        <w:spacing w:line="360" w:lineRule="auto"/>
        <w:ind w:firstLine="420" w:firstLineChars="200"/>
        <w:rPr>
          <w:lang w:bidi="ar"/>
        </w:rPr>
      </w:pPr>
      <w:r>
        <w:rPr>
          <w:rFonts w:hint="eastAsia"/>
          <w:lang w:bidi="ar"/>
        </w:rPr>
        <w:t>GB/T 17626.8-2006 电磁兼容 试验和测量技术 工频磁场抗扰度试验</w:t>
      </w:r>
    </w:p>
    <w:p w14:paraId="77B8DA58">
      <w:pPr>
        <w:snapToGrid w:val="0"/>
        <w:spacing w:line="360" w:lineRule="auto"/>
        <w:ind w:firstLine="420" w:firstLineChars="200"/>
        <w:rPr>
          <w:lang w:bidi="ar"/>
        </w:rPr>
      </w:pPr>
      <w:r>
        <w:rPr>
          <w:rFonts w:hint="eastAsia"/>
          <w:lang w:bidi="ar"/>
        </w:rPr>
        <w:t>中国南方电网有限责任公司送样检测业务指导书</w:t>
      </w:r>
    </w:p>
    <w:p w14:paraId="099D6B8A">
      <w:pPr>
        <w:snapToGrid w:val="0"/>
        <w:spacing w:line="360" w:lineRule="auto"/>
        <w:ind w:firstLine="420" w:firstLineChars="200"/>
        <w:rPr>
          <w:lang w:bidi="ar"/>
        </w:rPr>
      </w:pPr>
      <w:r>
        <w:rPr>
          <w:rFonts w:hint="eastAsia"/>
          <w:lang w:bidi="ar"/>
        </w:rPr>
        <w:t>中国南方电网有限责任公司到货抽检业务指导书</w:t>
      </w:r>
    </w:p>
    <w:p w14:paraId="7733537D">
      <w:pPr>
        <w:snapToGrid w:val="0"/>
        <w:spacing w:line="360" w:lineRule="auto"/>
        <w:ind w:firstLine="420" w:firstLineChars="200"/>
        <w:rPr>
          <w:lang w:bidi="ar"/>
        </w:rPr>
      </w:pPr>
      <w:r>
        <w:rPr>
          <w:rFonts w:hint="eastAsia"/>
          <w:lang w:bidi="ar"/>
        </w:rPr>
        <w:t>中国南方电网有限责任公司专项抽检业务指导书</w:t>
      </w:r>
    </w:p>
    <w:p w14:paraId="0716D1C2">
      <w:pPr>
        <w:snapToGrid w:val="0"/>
        <w:spacing w:line="360" w:lineRule="auto"/>
        <w:rPr>
          <w:lang w:bidi="ar"/>
        </w:rPr>
      </w:pPr>
    </w:p>
    <w:bookmarkEnd w:id="37"/>
    <w:bookmarkEnd w:id="38"/>
    <w:p w14:paraId="1179AFF5">
      <w:pPr>
        <w:spacing w:line="480" w:lineRule="auto"/>
        <w:outlineLvl w:val="0"/>
        <w:rPr>
          <w:rFonts w:eastAsia="黑体"/>
          <w:b/>
          <w:bCs/>
          <w:szCs w:val="21"/>
        </w:rPr>
      </w:pPr>
      <w:bookmarkStart w:id="39" w:name="_Toc16488"/>
      <w:bookmarkStart w:id="40" w:name="_Toc229217249"/>
      <w:bookmarkStart w:id="41" w:name="_Toc76025484"/>
      <w:bookmarkStart w:id="42" w:name="_Toc4845"/>
      <w:r>
        <w:rPr>
          <w:rFonts w:eastAsia="黑体"/>
          <w:b/>
          <w:bCs/>
          <w:szCs w:val="21"/>
        </w:rPr>
        <w:t>4 使用条件</w:t>
      </w:r>
      <w:bookmarkEnd w:id="39"/>
      <w:bookmarkEnd w:id="40"/>
      <w:bookmarkEnd w:id="41"/>
      <w:bookmarkEnd w:id="42"/>
    </w:p>
    <w:p w14:paraId="0460117D">
      <w:pPr>
        <w:adjustRightInd w:val="0"/>
        <w:snapToGrid w:val="0"/>
        <w:spacing w:line="360" w:lineRule="auto"/>
        <w:outlineLvl w:val="1"/>
        <w:rPr>
          <w:rFonts w:eastAsia="黑体"/>
          <w:szCs w:val="21"/>
        </w:rPr>
      </w:pPr>
      <w:bookmarkStart w:id="43" w:name="_Toc494551787"/>
      <w:bookmarkStart w:id="44" w:name="_Toc296359207"/>
      <w:bookmarkStart w:id="45" w:name="_Toc426040192"/>
      <w:bookmarkStart w:id="46" w:name="_Toc66780566"/>
      <w:bookmarkStart w:id="47" w:name="_Toc296961937"/>
      <w:bookmarkStart w:id="48" w:name="_Toc322527759"/>
      <w:bookmarkStart w:id="49" w:name="_Toc264380123"/>
      <w:bookmarkStart w:id="50" w:name="_Toc24133"/>
      <w:bookmarkStart w:id="51" w:name="_Toc322532854"/>
      <w:bookmarkStart w:id="52" w:name="_Toc229217250"/>
      <w:bookmarkStart w:id="53" w:name="_Toc279769036"/>
      <w:bookmarkStart w:id="54" w:name="_Toc349034886"/>
      <w:bookmarkStart w:id="55" w:name="_Toc76025485"/>
      <w:bookmarkStart w:id="56" w:name="_Toc264460811"/>
      <w:bookmarkStart w:id="57" w:name="_Toc23392"/>
      <w:r>
        <w:rPr>
          <w:rFonts w:eastAsia="黑体"/>
          <w:szCs w:val="21"/>
        </w:rPr>
        <w:t>4.1 正常使用条件</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48BA6D3">
      <w:pPr>
        <w:spacing w:line="360" w:lineRule="auto"/>
        <w:ind w:firstLine="420" w:firstLineChars="200"/>
        <w:rPr>
          <w:szCs w:val="21"/>
        </w:rPr>
      </w:pPr>
      <w:r>
        <w:rPr>
          <w:rFonts w:hint="eastAsia"/>
          <w:szCs w:val="21"/>
        </w:rPr>
        <w:t>1）工作温度范围：-20℃～55℃；</w:t>
      </w:r>
    </w:p>
    <w:p w14:paraId="2C8BD242">
      <w:pPr>
        <w:spacing w:line="360" w:lineRule="auto"/>
        <w:ind w:firstLine="420" w:firstLineChars="200"/>
        <w:rPr>
          <w:szCs w:val="21"/>
        </w:rPr>
      </w:pPr>
      <w:r>
        <w:rPr>
          <w:rFonts w:hint="eastAsia"/>
          <w:szCs w:val="21"/>
        </w:rPr>
        <w:t>2）适用海拔高度：</w:t>
      </w:r>
      <w:r>
        <w:rPr>
          <w:rFonts w:hint="eastAsia"/>
          <w:szCs w:val="21"/>
          <w:lang w:val="en-US" w:eastAsia="zh-CN"/>
        </w:rPr>
        <w:t>≥</w:t>
      </w:r>
      <w:r>
        <w:rPr>
          <w:rFonts w:hint="eastAsia"/>
          <w:szCs w:val="21"/>
        </w:rPr>
        <w:t>6000m所有区域；</w:t>
      </w:r>
    </w:p>
    <w:p w14:paraId="0B0DED25">
      <w:pPr>
        <w:spacing w:line="360" w:lineRule="auto"/>
        <w:ind w:firstLine="420" w:firstLineChars="200"/>
        <w:rPr>
          <w:szCs w:val="21"/>
        </w:rPr>
      </w:pPr>
      <w:r>
        <w:rPr>
          <w:rFonts w:hint="eastAsia"/>
          <w:szCs w:val="21"/>
        </w:rPr>
        <w:t>3）卫星系统技术要求：仅支持BDS且兼容北斗3号及以下卫星系统。</w:t>
      </w:r>
    </w:p>
    <w:p w14:paraId="304F5CA4">
      <w:pPr>
        <w:adjustRightInd w:val="0"/>
        <w:snapToGrid w:val="0"/>
        <w:spacing w:line="360" w:lineRule="auto"/>
        <w:outlineLvl w:val="1"/>
        <w:rPr>
          <w:rFonts w:eastAsia="黑体"/>
          <w:szCs w:val="21"/>
        </w:rPr>
      </w:pPr>
      <w:bookmarkStart w:id="58" w:name="_Toc229217251"/>
      <w:bookmarkStart w:id="59" w:name="_Toc28986"/>
      <w:bookmarkStart w:id="60" w:name="_Toc296961938"/>
      <w:bookmarkStart w:id="61" w:name="_Toc76025486"/>
      <w:bookmarkStart w:id="62" w:name="_Toc296359208"/>
      <w:bookmarkStart w:id="63" w:name="_Toc264380124"/>
      <w:bookmarkStart w:id="64" w:name="_Toc22529"/>
      <w:bookmarkStart w:id="65" w:name="_Toc349034887"/>
      <w:bookmarkStart w:id="66" w:name="_Toc322527760"/>
      <w:bookmarkStart w:id="67" w:name="_Toc322532855"/>
      <w:bookmarkStart w:id="68" w:name="_Toc264450245"/>
      <w:bookmarkStart w:id="69" w:name="_Toc426040193"/>
      <w:bookmarkStart w:id="70" w:name="_Toc66780567"/>
      <w:bookmarkStart w:id="71" w:name="_Toc494551788"/>
      <w:bookmarkStart w:id="72" w:name="_Toc264460812"/>
      <w:r>
        <w:rPr>
          <w:rFonts w:eastAsia="黑体"/>
          <w:szCs w:val="21"/>
        </w:rPr>
        <w:t>4.2 特殊使用条件</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FA1BBE5">
      <w:pPr>
        <w:snapToGrid w:val="0"/>
        <w:spacing w:line="360" w:lineRule="auto"/>
        <w:ind w:firstLine="420" w:firstLineChars="200"/>
        <w:rPr>
          <w:szCs w:val="21"/>
        </w:rPr>
      </w:pPr>
      <w:r>
        <w:rPr>
          <w:rFonts w:hint="eastAsia"/>
          <w:szCs w:val="21"/>
        </w:rPr>
        <w:t>凡不满足4.1条正常使用条件之外的特殊条件，如环境温度、海拔、污秽等级等条件项目单位应明确，且应在技术规范书的相应技术条款中对有关技术参数及要求加以修正、说明，并在提交需求计划及招技术规范书时向物资部门特别明确。</w:t>
      </w:r>
    </w:p>
    <w:p w14:paraId="2AB22280">
      <w:pPr>
        <w:spacing w:line="480" w:lineRule="auto"/>
        <w:outlineLvl w:val="0"/>
        <w:rPr>
          <w:rFonts w:eastAsia="黑体"/>
          <w:b/>
          <w:bCs/>
          <w:szCs w:val="21"/>
        </w:rPr>
      </w:pPr>
      <w:bookmarkStart w:id="73" w:name="_Toc24623"/>
      <w:bookmarkStart w:id="74" w:name="_Toc31508"/>
      <w:bookmarkStart w:id="75" w:name="_Toc76025487"/>
      <w:bookmarkStart w:id="76" w:name="_Toc229217252"/>
      <w:r>
        <w:rPr>
          <w:rFonts w:eastAsia="黑体"/>
          <w:b/>
          <w:bCs/>
          <w:szCs w:val="21"/>
        </w:rPr>
        <w:t xml:space="preserve">5 </w:t>
      </w:r>
      <w:r>
        <w:rPr>
          <w:rFonts w:hint="eastAsia" w:eastAsia="黑体"/>
          <w:b/>
          <w:bCs/>
          <w:szCs w:val="21"/>
        </w:rPr>
        <w:t>技术要求</w:t>
      </w:r>
      <w:bookmarkEnd w:id="73"/>
      <w:bookmarkEnd w:id="74"/>
      <w:bookmarkEnd w:id="75"/>
      <w:bookmarkEnd w:id="76"/>
    </w:p>
    <w:p w14:paraId="0EE247F8">
      <w:pPr>
        <w:pStyle w:val="3"/>
        <w:spacing w:before="0" w:after="0" w:line="360" w:lineRule="auto"/>
        <w:rPr>
          <w:rFonts w:ascii="Times New Roman" w:hAnsi="Times New Roman" w:eastAsia="黑体"/>
          <w:szCs w:val="21"/>
        </w:rPr>
      </w:pPr>
      <w:bookmarkStart w:id="77" w:name="_Toc22879"/>
      <w:bookmarkStart w:id="78" w:name="_Toc76025488"/>
      <w:bookmarkStart w:id="79" w:name="_Toc229217253"/>
      <w:bookmarkStart w:id="80" w:name="_Toc28742"/>
      <w:r>
        <w:rPr>
          <w:rFonts w:hint="eastAsia" w:ascii="Times New Roman" w:hAnsi="Times New Roman" w:eastAsia="黑体"/>
          <w:b w:val="0"/>
          <w:bCs/>
          <w:szCs w:val="21"/>
        </w:rPr>
        <w:t>5</w:t>
      </w:r>
      <w:r>
        <w:rPr>
          <w:rFonts w:ascii="Times New Roman" w:hAnsi="Times New Roman" w:eastAsia="黑体"/>
          <w:b w:val="0"/>
          <w:bCs/>
          <w:szCs w:val="21"/>
        </w:rPr>
        <w:t>.1</w:t>
      </w:r>
      <w:r>
        <w:rPr>
          <w:rFonts w:hint="eastAsia" w:ascii="Times New Roman" w:hAnsi="Times New Roman" w:eastAsia="黑体"/>
          <w:b w:val="0"/>
          <w:bCs/>
          <w:szCs w:val="21"/>
        </w:rPr>
        <w:t xml:space="preserve"> 飞行器技术要求</w:t>
      </w:r>
      <w:bookmarkEnd w:id="77"/>
      <w:bookmarkEnd w:id="78"/>
      <w:bookmarkEnd w:id="79"/>
      <w:bookmarkEnd w:id="80"/>
    </w:p>
    <w:p w14:paraId="19EFA2CD">
      <w:pPr>
        <w:pStyle w:val="102"/>
        <w:numPr>
          <w:ilvl w:val="0"/>
          <w:numId w:val="26"/>
        </w:numPr>
        <w:tabs>
          <w:tab w:val="left" w:pos="851"/>
        </w:tabs>
        <w:spacing w:line="360" w:lineRule="auto"/>
        <w:ind w:firstLineChars="0"/>
        <w:rPr>
          <w:rFonts w:ascii="Times New Roman" w:hAnsi="Times New Roman"/>
          <w:szCs w:val="21"/>
        </w:rPr>
      </w:pPr>
      <w:r>
        <w:rPr>
          <w:rFonts w:hint="eastAsia" w:ascii="Times New Roman" w:hAnsi="Times New Roman"/>
          <w:szCs w:val="21"/>
        </w:rPr>
        <w:t>尺寸：展开长980mm*宽760mm，折叠长490mm*宽490mm，±10mm。</w:t>
      </w:r>
    </w:p>
    <w:p w14:paraId="194564AC">
      <w:pPr>
        <w:pStyle w:val="102"/>
        <w:numPr>
          <w:ilvl w:val="0"/>
          <w:numId w:val="26"/>
        </w:numPr>
        <w:tabs>
          <w:tab w:val="left" w:pos="851"/>
        </w:tabs>
        <w:spacing w:line="360" w:lineRule="auto"/>
        <w:ind w:firstLineChars="0"/>
        <w:rPr>
          <w:rFonts w:ascii="Times New Roman" w:hAnsi="Times New Roman"/>
          <w:szCs w:val="21"/>
        </w:rPr>
      </w:pPr>
      <w:r>
        <w:rPr>
          <w:rFonts w:hint="eastAsia" w:ascii="Times New Roman" w:hAnsi="Times New Roman"/>
          <w:szCs w:val="21"/>
        </w:rPr>
        <w:t>轴距：1070mm±10mm。</w:t>
      </w:r>
    </w:p>
    <w:p w14:paraId="1633D7EE">
      <w:pPr>
        <w:pStyle w:val="102"/>
        <w:numPr>
          <w:ilvl w:val="0"/>
          <w:numId w:val="26"/>
        </w:numPr>
        <w:tabs>
          <w:tab w:val="left" w:pos="851"/>
        </w:tabs>
        <w:spacing w:line="360" w:lineRule="auto"/>
        <w:ind w:firstLineChars="0"/>
        <w:rPr>
          <w:rFonts w:ascii="Times New Roman" w:hAnsi="Times New Roman"/>
          <w:szCs w:val="21"/>
        </w:rPr>
      </w:pPr>
      <w:r>
        <w:rPr>
          <w:rFonts w:hint="eastAsia" w:ascii="Times New Roman" w:hAnsi="Times New Roman"/>
          <w:szCs w:val="21"/>
        </w:rPr>
        <w:t>重量：空机（不含电池）≤5.1kg，空机（含电池）≤10kg。</w:t>
      </w:r>
    </w:p>
    <w:p w14:paraId="5DEF76D6">
      <w:pPr>
        <w:pStyle w:val="102"/>
        <w:numPr>
          <w:ilvl w:val="0"/>
          <w:numId w:val="26"/>
        </w:numPr>
        <w:tabs>
          <w:tab w:val="left" w:pos="851"/>
        </w:tabs>
        <w:spacing w:line="360" w:lineRule="auto"/>
        <w:ind w:firstLineChars="0"/>
        <w:rPr>
          <w:rFonts w:ascii="Times New Roman" w:hAnsi="Times New Roman"/>
          <w:szCs w:val="21"/>
        </w:rPr>
      </w:pPr>
      <w:r>
        <w:rPr>
          <w:rFonts w:hint="eastAsia" w:ascii="Times New Roman" w:hAnsi="Times New Roman"/>
          <w:szCs w:val="21"/>
        </w:rPr>
        <w:t>防护等级：飞行器不低于IP55，喊话器不低于IP54。</w:t>
      </w:r>
    </w:p>
    <w:p w14:paraId="46AEE47B">
      <w:pPr>
        <w:pStyle w:val="102"/>
        <w:numPr>
          <w:ilvl w:val="0"/>
          <w:numId w:val="26"/>
        </w:numPr>
        <w:tabs>
          <w:tab w:val="left" w:pos="851"/>
        </w:tabs>
        <w:spacing w:line="360" w:lineRule="auto"/>
        <w:ind w:firstLineChars="0"/>
        <w:rPr>
          <w:rFonts w:ascii="Times New Roman" w:hAnsi="Times New Roman"/>
          <w:szCs w:val="21"/>
        </w:rPr>
      </w:pPr>
      <w:r>
        <w:rPr>
          <w:rFonts w:hint="eastAsia" w:ascii="Times New Roman" w:hAnsi="Times New Roman"/>
          <w:szCs w:val="21"/>
        </w:rPr>
        <w:t>避障功能：具备全向双目视觉模块，具备六向毫米波雷达模块，具备顶部环扫激光雷达模块，支持白天、夜间避障功能。</w:t>
      </w:r>
    </w:p>
    <w:p w14:paraId="3E801C60">
      <w:pPr>
        <w:pStyle w:val="102"/>
        <w:numPr>
          <w:ilvl w:val="0"/>
          <w:numId w:val="26"/>
        </w:numPr>
        <w:tabs>
          <w:tab w:val="left" w:pos="851"/>
        </w:tabs>
        <w:spacing w:line="360" w:lineRule="auto"/>
        <w:ind w:firstLineChars="0"/>
        <w:rPr>
          <w:rFonts w:ascii="Times New Roman" w:hAnsi="Times New Roman"/>
          <w:szCs w:val="21"/>
        </w:rPr>
      </w:pPr>
      <w:r>
        <w:rPr>
          <w:rFonts w:hint="eastAsia" w:ascii="Times New Roman" w:hAnsi="Times New Roman"/>
          <w:szCs w:val="21"/>
        </w:rPr>
        <w:t>最大载重：≥6kg。</w:t>
      </w:r>
    </w:p>
    <w:p w14:paraId="53CD529C">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飞行速度：最大垂直下降速度≥8m/s，最大水平飞行速度≥25m/s</w:t>
      </w:r>
      <w:r>
        <w:rPr>
          <w:rFonts w:ascii="Times New Roman" w:hAnsi="Times New Roman"/>
          <w:szCs w:val="21"/>
        </w:rPr>
        <w:t>。</w:t>
      </w:r>
    </w:p>
    <w:p w14:paraId="06E70C4F">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抗风能力：承受最大风速≥12m/s。</w:t>
      </w:r>
    </w:p>
    <w:p w14:paraId="68CFD9CF">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续航时间：自带电池续航时间≥50min，接市电或供电装置续航时间≥24h</w:t>
      </w:r>
      <w:r>
        <w:rPr>
          <w:rFonts w:ascii="Times New Roman" w:hAnsi="Times New Roman"/>
          <w:szCs w:val="21"/>
        </w:rPr>
        <w:t>。</w:t>
      </w:r>
    </w:p>
    <w:p w14:paraId="08E3D35D">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悬停精度：正常工作情况下垂直0.4m，水平0.5m</w:t>
      </w:r>
      <w:r>
        <w:rPr>
          <w:rFonts w:ascii="Times New Roman" w:hAnsi="Times New Roman"/>
          <w:szCs w:val="21"/>
        </w:rPr>
        <w:t>。</w:t>
      </w:r>
    </w:p>
    <w:p w14:paraId="27303F40">
      <w:pPr>
        <w:pStyle w:val="102"/>
        <w:numPr>
          <w:ilvl w:val="0"/>
          <w:numId w:val="26"/>
        </w:numPr>
        <w:adjustRightInd w:val="0"/>
        <w:spacing w:line="360" w:lineRule="auto"/>
        <w:ind w:firstLineChars="0"/>
        <w:rPr>
          <w:rFonts w:ascii="Times New Roman" w:hAnsi="Times New Roman"/>
          <w:szCs w:val="21"/>
        </w:rPr>
      </w:pPr>
      <w:r>
        <w:rPr>
          <w:rFonts w:hint="eastAsia"/>
          <w:szCs w:val="21"/>
        </w:rPr>
        <w:t>卫星系统技术要求：仅支持BDS且兼容北斗3号及以下卫星系统。</w:t>
      </w:r>
    </w:p>
    <w:p w14:paraId="00F73107">
      <w:pPr>
        <w:pStyle w:val="3"/>
        <w:spacing w:before="0" w:after="0" w:line="360" w:lineRule="auto"/>
        <w:rPr>
          <w:rFonts w:ascii="Times New Roman" w:hAnsi="Times New Roman" w:eastAsia="黑体"/>
          <w:b w:val="0"/>
          <w:bCs/>
          <w:szCs w:val="21"/>
        </w:rPr>
      </w:pPr>
      <w:bookmarkStart w:id="81" w:name="_Toc1947"/>
      <w:bookmarkStart w:id="82" w:name="_Toc21715"/>
      <w:bookmarkStart w:id="83" w:name="_Toc229217254"/>
      <w:bookmarkStart w:id="84" w:name="_Toc76025489"/>
      <w:r>
        <w:rPr>
          <w:rFonts w:hint="eastAsia" w:ascii="Times New Roman" w:hAnsi="Times New Roman" w:eastAsia="黑体"/>
          <w:b w:val="0"/>
          <w:bCs/>
          <w:szCs w:val="21"/>
        </w:rPr>
        <w:t>5</w:t>
      </w:r>
      <w:r>
        <w:rPr>
          <w:rFonts w:ascii="Times New Roman" w:hAnsi="Times New Roman" w:eastAsia="黑体"/>
          <w:b w:val="0"/>
          <w:bCs/>
          <w:szCs w:val="21"/>
        </w:rPr>
        <w:t>.2</w:t>
      </w:r>
      <w:r>
        <w:rPr>
          <w:rFonts w:hint="eastAsia" w:ascii="Times New Roman" w:hAnsi="Times New Roman" w:eastAsia="黑体"/>
          <w:b w:val="0"/>
          <w:bCs/>
          <w:szCs w:val="21"/>
        </w:rPr>
        <w:t xml:space="preserve"> 系留照明模块技术要求</w:t>
      </w:r>
      <w:bookmarkEnd w:id="81"/>
      <w:bookmarkEnd w:id="82"/>
      <w:bookmarkEnd w:id="83"/>
      <w:bookmarkEnd w:id="84"/>
    </w:p>
    <w:p w14:paraId="2620848E">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szCs w:val="21"/>
        </w:rPr>
        <w:t>照明灯组采用高效节能的LED光源</w:t>
      </w:r>
      <w:r>
        <w:rPr>
          <w:rFonts w:hint="eastAsia" w:ascii="Times New Roman" w:hAnsi="Times New Roman"/>
          <w:szCs w:val="21"/>
        </w:rPr>
        <w:t>。</w:t>
      </w:r>
    </w:p>
    <w:p w14:paraId="4889F91A">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szCs w:val="21"/>
        </w:rPr>
        <w:t>照明模块光源总额定功率：1000W</w:t>
      </w:r>
      <w:r>
        <w:rPr>
          <w:rFonts w:hint="eastAsia" w:ascii="Times New Roman" w:hAnsi="Times New Roman"/>
          <w:szCs w:val="21"/>
        </w:rPr>
        <w:t>。</w:t>
      </w:r>
    </w:p>
    <w:p w14:paraId="702644A7">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szCs w:val="21"/>
        </w:rPr>
        <w:t>夜晚飞行到高度50m处，照明范围≥7300㎡，且照明范围边缘照度值≥2lx</w:t>
      </w:r>
      <w:r>
        <w:rPr>
          <w:rFonts w:ascii="Times New Roman" w:hAnsi="Times New Roman"/>
          <w:szCs w:val="21"/>
        </w:rPr>
        <w:t>。</w:t>
      </w:r>
    </w:p>
    <w:p w14:paraId="0724B9E6">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szCs w:val="21"/>
        </w:rPr>
        <w:t>照明灯具有过热保护，能够满足长时间运行</w:t>
      </w:r>
      <w:r>
        <w:rPr>
          <w:rFonts w:hint="eastAsia" w:ascii="Times New Roman" w:hAnsi="Times New Roman"/>
          <w:szCs w:val="21"/>
        </w:rPr>
        <w:t>。</w:t>
      </w:r>
    </w:p>
    <w:p w14:paraId="26FC7084">
      <w:pPr>
        <w:pStyle w:val="3"/>
        <w:spacing w:before="0" w:after="0" w:line="360" w:lineRule="auto"/>
        <w:rPr>
          <w:rFonts w:ascii="Times New Roman" w:hAnsi="Times New Roman" w:eastAsia="黑体"/>
          <w:b w:val="0"/>
          <w:bCs/>
          <w:szCs w:val="21"/>
        </w:rPr>
      </w:pPr>
      <w:bookmarkStart w:id="85" w:name="_Toc76025490"/>
      <w:bookmarkStart w:id="86" w:name="_Toc3918"/>
      <w:bookmarkStart w:id="87" w:name="_Toc6365"/>
      <w:bookmarkStart w:id="88" w:name="_Toc229217255"/>
      <w:r>
        <w:rPr>
          <w:rFonts w:hint="eastAsia" w:ascii="Times New Roman" w:hAnsi="Times New Roman" w:eastAsia="黑体"/>
          <w:b w:val="0"/>
          <w:bCs/>
          <w:szCs w:val="21"/>
        </w:rPr>
        <w:t>5</w:t>
      </w:r>
      <w:r>
        <w:rPr>
          <w:rFonts w:ascii="Times New Roman" w:hAnsi="Times New Roman" w:eastAsia="黑体"/>
          <w:b w:val="0"/>
          <w:bCs/>
          <w:szCs w:val="21"/>
        </w:rPr>
        <w:t xml:space="preserve">.3 </w:t>
      </w:r>
      <w:r>
        <w:rPr>
          <w:rFonts w:hint="eastAsia" w:ascii="Times New Roman" w:hAnsi="Times New Roman" w:eastAsia="黑体"/>
          <w:b w:val="0"/>
          <w:bCs/>
          <w:szCs w:val="21"/>
        </w:rPr>
        <w:t>系留控制平台技术要求</w:t>
      </w:r>
      <w:bookmarkEnd w:id="85"/>
      <w:bookmarkEnd w:id="86"/>
      <w:bookmarkEnd w:id="87"/>
      <w:bookmarkEnd w:id="88"/>
    </w:p>
    <w:p w14:paraId="3D754820">
      <w:pPr>
        <w:numPr>
          <w:ilvl w:val="0"/>
          <w:numId w:val="29"/>
        </w:numPr>
        <w:tabs>
          <w:tab w:val="left" w:pos="851"/>
          <w:tab w:val="clear" w:pos="840"/>
        </w:tabs>
        <w:adjustRightInd w:val="0"/>
        <w:spacing w:line="360" w:lineRule="auto"/>
        <w:ind w:left="420" w:firstLine="0"/>
        <w:rPr>
          <w:szCs w:val="21"/>
        </w:rPr>
      </w:pPr>
      <w:r>
        <w:rPr>
          <w:rFonts w:hint="eastAsia"/>
          <w:szCs w:val="21"/>
        </w:rPr>
        <w:t>系留箱重量≤17kg。</w:t>
      </w:r>
    </w:p>
    <w:p w14:paraId="575CDB1A">
      <w:pPr>
        <w:numPr>
          <w:ilvl w:val="0"/>
          <w:numId w:val="29"/>
        </w:numPr>
        <w:tabs>
          <w:tab w:val="left" w:pos="851"/>
          <w:tab w:val="clear" w:pos="840"/>
        </w:tabs>
        <w:adjustRightInd w:val="0"/>
        <w:spacing w:line="360" w:lineRule="auto"/>
        <w:ind w:left="420" w:firstLine="0"/>
        <w:rPr>
          <w:szCs w:val="21"/>
        </w:rPr>
      </w:pPr>
      <w:r>
        <w:rPr>
          <w:rFonts w:hint="eastAsia"/>
          <w:szCs w:val="21"/>
        </w:rPr>
        <w:t>供电方式：AC220V/50Hz输入，可支持市电供电、发电机供电、移动电站供电方式进行供电。</w:t>
      </w:r>
    </w:p>
    <w:p w14:paraId="204E485E">
      <w:pPr>
        <w:numPr>
          <w:ilvl w:val="0"/>
          <w:numId w:val="29"/>
        </w:numPr>
        <w:adjustRightInd w:val="0"/>
        <w:spacing w:line="360" w:lineRule="auto"/>
        <w:rPr>
          <w:szCs w:val="21"/>
        </w:rPr>
      </w:pPr>
      <w:r>
        <w:rPr>
          <w:rFonts w:hint="eastAsia"/>
          <w:szCs w:val="21"/>
        </w:rPr>
        <w:t>无人机与系留电源箱间电源线：具有智能收放线、手动收线、一键收线等功能，配备扭矩旋钮，可调整线缆上的拉力大小同时电源线能够满足长时间满功率运行要求。</w:t>
      </w:r>
    </w:p>
    <w:p w14:paraId="763B0268">
      <w:pPr>
        <w:numPr>
          <w:ilvl w:val="0"/>
          <w:numId w:val="29"/>
        </w:numPr>
        <w:adjustRightInd w:val="0"/>
        <w:spacing w:line="360" w:lineRule="auto"/>
        <w:rPr>
          <w:szCs w:val="21"/>
        </w:rPr>
      </w:pPr>
      <w:r>
        <w:rPr>
          <w:rFonts w:hint="eastAsia"/>
          <w:szCs w:val="21"/>
        </w:rPr>
        <w:t>保护功能：系留电源箱具有过载、过压保护、过流保护、过热保护等功能，故障排除后可恢复正常。</w:t>
      </w:r>
    </w:p>
    <w:p w14:paraId="50D83BD4">
      <w:pPr>
        <w:tabs>
          <w:tab w:val="left" w:pos="840"/>
        </w:tabs>
        <w:adjustRightInd w:val="0"/>
        <w:spacing w:line="360" w:lineRule="auto"/>
        <w:ind w:left="420"/>
        <w:rPr>
          <w:szCs w:val="21"/>
        </w:rPr>
      </w:pPr>
      <w:r>
        <w:rPr>
          <w:rFonts w:hint="eastAsia"/>
          <w:szCs w:val="21"/>
        </w:rPr>
        <w:t>e）  状态显示：配备7寸触摸屏，实时显示电压、电流、功率、温度、线缆长度等。</w:t>
      </w:r>
    </w:p>
    <w:p w14:paraId="127C0B29">
      <w:pPr>
        <w:tabs>
          <w:tab w:val="left" w:pos="840"/>
        </w:tabs>
        <w:adjustRightInd w:val="0"/>
        <w:spacing w:line="360" w:lineRule="auto"/>
        <w:ind w:left="420"/>
        <w:rPr>
          <w:szCs w:val="21"/>
        </w:rPr>
      </w:pPr>
      <w:r>
        <w:rPr>
          <w:rFonts w:hint="eastAsia"/>
          <w:szCs w:val="21"/>
        </w:rPr>
        <w:t>f）  报警语音提示：内置报警喇叭，通过语音（普通话或者英文）提示系留工作状态。</w:t>
      </w:r>
    </w:p>
    <w:p w14:paraId="3BC4E0E3">
      <w:pPr>
        <w:tabs>
          <w:tab w:val="left" w:pos="840"/>
        </w:tabs>
        <w:adjustRightInd w:val="0"/>
        <w:spacing w:line="360" w:lineRule="auto"/>
        <w:ind w:left="420"/>
        <w:rPr>
          <w:szCs w:val="21"/>
        </w:rPr>
      </w:pPr>
      <w:r>
        <w:rPr>
          <w:rFonts w:hint="eastAsia"/>
          <w:szCs w:val="21"/>
        </w:rPr>
        <w:t>g）  机载模块重量≤750g,免工具快拆结构，方便组装。</w:t>
      </w:r>
    </w:p>
    <w:p w14:paraId="0AF438C3">
      <w:pPr>
        <w:tabs>
          <w:tab w:val="left" w:pos="840"/>
        </w:tabs>
        <w:adjustRightInd w:val="0"/>
        <w:spacing w:line="360" w:lineRule="auto"/>
        <w:ind w:left="420"/>
        <w:rPr>
          <w:szCs w:val="21"/>
        </w:rPr>
      </w:pPr>
      <w:r>
        <w:rPr>
          <w:rFonts w:hint="eastAsia"/>
          <w:szCs w:val="21"/>
        </w:rPr>
        <w:t>h）  强弱电分离设计：系留箱面板配套高压强电开关，仅控制强电输出，关闭强电空开，不影响线缆自动收线和快速收线功能。</w:t>
      </w:r>
    </w:p>
    <w:p w14:paraId="56325194">
      <w:pPr>
        <w:tabs>
          <w:tab w:val="left" w:pos="840"/>
        </w:tabs>
        <w:adjustRightInd w:val="0"/>
        <w:spacing w:line="360" w:lineRule="auto"/>
        <w:ind w:left="420"/>
        <w:rPr>
          <w:szCs w:val="21"/>
        </w:rPr>
      </w:pPr>
      <w:r>
        <w:rPr>
          <w:rFonts w:hint="eastAsia"/>
          <w:szCs w:val="21"/>
        </w:rPr>
        <w:t>i）  飞行系留高度：≥50m。</w:t>
      </w:r>
    </w:p>
    <w:p w14:paraId="63707235">
      <w:pPr>
        <w:tabs>
          <w:tab w:val="left" w:pos="840"/>
        </w:tabs>
        <w:adjustRightInd w:val="0"/>
        <w:spacing w:line="360" w:lineRule="auto"/>
        <w:ind w:left="420"/>
        <w:rPr>
          <w:szCs w:val="21"/>
        </w:rPr>
      </w:pPr>
      <w:r>
        <w:rPr>
          <w:rFonts w:hint="eastAsia"/>
          <w:szCs w:val="21"/>
        </w:rPr>
        <w:t>j）  尺寸：长600mm×宽360mm×高350mm。</w:t>
      </w:r>
    </w:p>
    <w:p w14:paraId="6BDA341E">
      <w:pPr>
        <w:tabs>
          <w:tab w:val="left" w:pos="840"/>
        </w:tabs>
        <w:adjustRightInd w:val="0"/>
        <w:spacing w:line="360" w:lineRule="auto"/>
        <w:ind w:left="420"/>
        <w:rPr>
          <w:szCs w:val="21"/>
        </w:rPr>
      </w:pPr>
      <w:r>
        <w:rPr>
          <w:rFonts w:hint="eastAsia"/>
          <w:szCs w:val="21"/>
        </w:rPr>
        <w:t>k）  便捷性：系留箱为两轮、拉杆、提手、侧提手等设计。</w:t>
      </w:r>
    </w:p>
    <w:p w14:paraId="2D0E4D13">
      <w:pPr>
        <w:tabs>
          <w:tab w:val="left" w:pos="840"/>
        </w:tabs>
        <w:adjustRightInd w:val="0"/>
        <w:spacing w:line="360" w:lineRule="auto"/>
        <w:ind w:left="420"/>
        <w:rPr>
          <w:szCs w:val="21"/>
        </w:rPr>
      </w:pPr>
      <w:r>
        <w:rPr>
          <w:rFonts w:hint="eastAsia"/>
          <w:szCs w:val="21"/>
        </w:rPr>
        <w:t>l）  系留箱内置备用锂电池。</w:t>
      </w:r>
    </w:p>
    <w:p w14:paraId="18AF9437">
      <w:pPr>
        <w:tabs>
          <w:tab w:val="left" w:pos="840"/>
        </w:tabs>
        <w:adjustRightInd w:val="0"/>
        <w:spacing w:line="360" w:lineRule="auto"/>
        <w:ind w:left="420"/>
        <w:rPr>
          <w:szCs w:val="21"/>
        </w:rPr>
      </w:pPr>
      <w:r>
        <w:rPr>
          <w:rFonts w:hint="eastAsia"/>
          <w:szCs w:val="21"/>
        </w:rPr>
        <w:t>m）  系留线缆出线口≤10mm。</w:t>
      </w:r>
    </w:p>
    <w:p w14:paraId="22D5D24E">
      <w:pPr>
        <w:tabs>
          <w:tab w:val="left" w:pos="840"/>
        </w:tabs>
        <w:adjustRightInd w:val="0"/>
        <w:spacing w:line="360" w:lineRule="auto"/>
        <w:ind w:left="420"/>
        <w:rPr>
          <w:szCs w:val="21"/>
        </w:rPr>
      </w:pPr>
      <w:r>
        <w:rPr>
          <w:rFonts w:hint="eastAsia"/>
          <w:szCs w:val="21"/>
        </w:rPr>
        <w:t>n）  遥控器上可显示系留供电系统数据：交流输入电源、输出功率、线缆总长、剩余线缆长度、温度等；可以控制照明灯的开启/停止、亮度调节。</w:t>
      </w:r>
    </w:p>
    <w:p w14:paraId="7FF1C962">
      <w:pPr>
        <w:tabs>
          <w:tab w:val="left" w:pos="840"/>
        </w:tabs>
        <w:adjustRightInd w:val="0"/>
        <w:spacing w:line="360" w:lineRule="auto"/>
        <w:ind w:left="420"/>
        <w:rPr>
          <w:szCs w:val="21"/>
        </w:rPr>
      </w:pPr>
      <w:r>
        <w:rPr>
          <w:rFonts w:hint="eastAsia"/>
          <w:szCs w:val="21"/>
        </w:rPr>
        <w:t>o） 具备自动控制功能：无人机起飞自动开灯、降落自动关灯。</w:t>
      </w:r>
    </w:p>
    <w:p w14:paraId="79C7A6A4">
      <w:pPr>
        <w:pStyle w:val="3"/>
        <w:spacing w:before="0" w:after="0" w:line="360" w:lineRule="auto"/>
        <w:rPr>
          <w:rFonts w:ascii="Times New Roman" w:hAnsi="Times New Roman" w:eastAsia="黑体"/>
          <w:b w:val="0"/>
          <w:bCs/>
          <w:szCs w:val="21"/>
        </w:rPr>
      </w:pPr>
      <w:bookmarkStart w:id="89" w:name="_Toc30011"/>
      <w:bookmarkStart w:id="90" w:name="_Toc229217258"/>
      <w:bookmarkStart w:id="91" w:name="_Toc21486"/>
      <w:bookmarkStart w:id="92" w:name="_Toc76025493"/>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4</w:t>
      </w:r>
      <w:r>
        <w:rPr>
          <w:rFonts w:ascii="Times New Roman" w:hAnsi="Times New Roman" w:eastAsia="黑体"/>
          <w:b w:val="0"/>
          <w:bCs/>
          <w:szCs w:val="21"/>
        </w:rPr>
        <w:t xml:space="preserve"> </w:t>
      </w:r>
      <w:r>
        <w:rPr>
          <w:rFonts w:hint="eastAsia" w:ascii="Times New Roman" w:hAnsi="Times New Roman" w:eastAsia="黑体"/>
          <w:b w:val="0"/>
          <w:bCs/>
          <w:szCs w:val="21"/>
        </w:rPr>
        <w:t>其他技术要求</w:t>
      </w:r>
      <w:bookmarkEnd w:id="89"/>
      <w:bookmarkEnd w:id="90"/>
      <w:bookmarkEnd w:id="91"/>
      <w:bookmarkEnd w:id="92"/>
    </w:p>
    <w:p w14:paraId="7B50CD19">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szCs w:val="21"/>
        </w:rPr>
        <w:t>通过图传模块，实现跨地域远程实时图传功能。</w:t>
      </w:r>
    </w:p>
    <w:p w14:paraId="65D92B18">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szCs w:val="21"/>
        </w:rPr>
        <w:t>可根据需要选配可见光云台、测距云台、热成像云台、喊话云台、抛投云台等。</w:t>
      </w:r>
    </w:p>
    <w:p w14:paraId="57573107">
      <w:pPr>
        <w:tabs>
          <w:tab w:val="left" w:pos="851"/>
        </w:tabs>
        <w:adjustRightInd w:val="0"/>
        <w:spacing w:line="360" w:lineRule="auto"/>
        <w:ind w:left="420"/>
        <w:rPr>
          <w:szCs w:val="21"/>
        </w:rPr>
      </w:pPr>
      <w:r>
        <w:rPr>
          <w:rFonts w:hint="eastAsia"/>
          <w:szCs w:val="21"/>
        </w:rPr>
        <w:t>c）  保险：包含1年保险，含飞行器机损险、第三者责任险，出险由投标人协助办理。</w:t>
      </w:r>
    </w:p>
    <w:p w14:paraId="4700B64E">
      <w:pPr>
        <w:tabs>
          <w:tab w:val="left" w:pos="851"/>
        </w:tabs>
        <w:adjustRightInd w:val="0"/>
        <w:spacing w:line="360" w:lineRule="auto"/>
        <w:ind w:left="420"/>
        <w:rPr>
          <w:szCs w:val="21"/>
        </w:rPr>
      </w:pPr>
      <w:r>
        <w:rPr>
          <w:rFonts w:hint="eastAsia"/>
          <w:szCs w:val="21"/>
        </w:rPr>
        <w:t>d）  供电装置：配备发电机组，具备拉杆和行走轮方便拖行，输出功率≥3kW。</w:t>
      </w:r>
    </w:p>
    <w:p w14:paraId="015EA33C">
      <w:pPr>
        <w:tabs>
          <w:tab w:val="left" w:pos="851"/>
        </w:tabs>
        <w:adjustRightInd w:val="0"/>
        <w:spacing w:line="360" w:lineRule="auto"/>
        <w:ind w:left="420"/>
        <w:rPr>
          <w:szCs w:val="21"/>
        </w:rPr>
      </w:pPr>
      <w:r>
        <w:rPr>
          <w:rFonts w:hint="eastAsia"/>
          <w:szCs w:val="21"/>
        </w:rPr>
        <w:t>e）  根据《通用航空经营许可管理规定》厂家需取得民航局颁发的《通用航空企业经营许可证》证明文件。</w:t>
      </w:r>
    </w:p>
    <w:p w14:paraId="26A8E08F">
      <w:pPr>
        <w:tabs>
          <w:tab w:val="left" w:pos="851"/>
        </w:tabs>
        <w:adjustRightInd w:val="0"/>
        <w:spacing w:line="360" w:lineRule="auto"/>
        <w:ind w:left="420"/>
        <w:rPr>
          <w:szCs w:val="21"/>
        </w:rPr>
      </w:pPr>
      <w:r>
        <w:rPr>
          <w:rFonts w:hint="eastAsia"/>
          <w:szCs w:val="21"/>
        </w:rPr>
        <w:t>f）  需提供带CMA标识或CNAS标识的检测机构出具的检测报告复印件予以佐证，中标供应商签订合同前需提供检测报告备查。</w:t>
      </w:r>
    </w:p>
    <w:p w14:paraId="37BB846D">
      <w:pPr>
        <w:pStyle w:val="3"/>
        <w:spacing w:before="0" w:after="0" w:line="360" w:lineRule="auto"/>
        <w:rPr>
          <w:rFonts w:ascii="Times New Roman" w:hAnsi="Times New Roman" w:eastAsia="黑体"/>
          <w:b w:val="0"/>
          <w:bCs/>
          <w:szCs w:val="21"/>
        </w:rPr>
      </w:pPr>
      <w:bookmarkStart w:id="93" w:name="_Toc76025495"/>
      <w:bookmarkStart w:id="94" w:name="_Toc15425"/>
      <w:bookmarkStart w:id="95" w:name="_Toc23428"/>
      <w:bookmarkStart w:id="96" w:name="_Toc20375"/>
      <w:bookmarkStart w:id="97" w:name="_Toc229217259"/>
      <w:bookmarkStart w:id="98" w:name="_Toc18016"/>
      <w:bookmarkStart w:id="99" w:name="_Toc72859325"/>
      <w:r>
        <w:rPr>
          <w:rFonts w:ascii="Times New Roman" w:hAnsi="Times New Roman" w:eastAsia="黑体"/>
          <w:b w:val="0"/>
          <w:bCs/>
          <w:szCs w:val="21"/>
        </w:rPr>
        <w:t>5.</w:t>
      </w:r>
      <w:r>
        <w:rPr>
          <w:rFonts w:hint="eastAsia" w:ascii="Times New Roman" w:hAnsi="Times New Roman" w:eastAsia="黑体"/>
          <w:b w:val="0"/>
          <w:bCs/>
          <w:szCs w:val="21"/>
        </w:rPr>
        <w:t>5 网络安全要求</w:t>
      </w:r>
      <w:bookmarkEnd w:id="93"/>
      <w:bookmarkEnd w:id="94"/>
      <w:bookmarkEnd w:id="95"/>
      <w:bookmarkEnd w:id="96"/>
      <w:bookmarkEnd w:id="97"/>
      <w:bookmarkEnd w:id="98"/>
      <w:bookmarkEnd w:id="99"/>
    </w:p>
    <w:p w14:paraId="2FD40A99">
      <w:pPr>
        <w:tabs>
          <w:tab w:val="left" w:pos="1985"/>
        </w:tabs>
        <w:spacing w:line="360" w:lineRule="auto"/>
        <w:ind w:firstLine="420"/>
        <w:rPr>
          <w:szCs w:val="21"/>
        </w:rPr>
      </w:pPr>
      <w:r>
        <w:rPr>
          <w:rFonts w:hint="eastAsia"/>
          <w:szCs w:val="21"/>
        </w:rPr>
        <w:t>投标方提供软硬件产品或技术服务过程中，按照有关法律法规和程序开展工作，严格执行国家的有关方针、政策，并遵守以下规定：</w:t>
      </w:r>
    </w:p>
    <w:p w14:paraId="74A76C31">
      <w:pPr>
        <w:tabs>
          <w:tab w:val="left" w:pos="1985"/>
        </w:tabs>
        <w:spacing w:line="360" w:lineRule="auto"/>
        <w:ind w:firstLine="420"/>
        <w:rPr>
          <w:szCs w:val="21"/>
        </w:rPr>
      </w:pPr>
      <w:r>
        <w:rPr>
          <w:rFonts w:hint="eastAsia"/>
          <w:szCs w:val="21"/>
        </w:rPr>
        <w:t>1）不利用招标方网络与信息系统从事危害国家安全、泄露国家秘密、侵犯公民、法人、招标方和其他组织的利益，或其它违法犯罪活动；</w:t>
      </w:r>
    </w:p>
    <w:p w14:paraId="55EE811F">
      <w:pPr>
        <w:tabs>
          <w:tab w:val="left" w:pos="1985"/>
        </w:tabs>
        <w:spacing w:line="360" w:lineRule="auto"/>
        <w:ind w:firstLine="420"/>
        <w:rPr>
          <w:szCs w:val="21"/>
        </w:rPr>
      </w:pPr>
      <w:r>
        <w:rPr>
          <w:rFonts w:hint="eastAsia"/>
          <w:szCs w:val="21"/>
        </w:rPr>
        <w:t>2）不利用项目工作便利获取和留存招标方业务数据，不利用招标方业务数据谋取利益或从事其他与项目无关工作；</w:t>
      </w:r>
    </w:p>
    <w:p w14:paraId="39DC5CB3">
      <w:pPr>
        <w:tabs>
          <w:tab w:val="left" w:pos="1985"/>
        </w:tabs>
        <w:spacing w:line="360" w:lineRule="auto"/>
        <w:ind w:firstLine="420"/>
        <w:rPr>
          <w:szCs w:val="21"/>
        </w:rPr>
      </w:pPr>
      <w:r>
        <w:rPr>
          <w:rFonts w:hint="eastAsia"/>
          <w:szCs w:val="21"/>
        </w:rPr>
        <w:t>3）交付的软硬件产品须满足招标方安全策略要求，不得含有后门、木马、已知漏洞等安全隐患。在其产品投运前，投标方应将产品有关的功能服务台帐、特权账号等建设运维文档全部移交给招标方；</w:t>
      </w:r>
    </w:p>
    <w:p w14:paraId="55DD2215">
      <w:pPr>
        <w:tabs>
          <w:tab w:val="left" w:pos="1985"/>
        </w:tabs>
        <w:spacing w:line="360" w:lineRule="auto"/>
        <w:ind w:firstLine="420"/>
        <w:rPr>
          <w:szCs w:val="21"/>
        </w:rPr>
      </w:pPr>
      <w:r>
        <w:rPr>
          <w:rFonts w:hint="eastAsia"/>
          <w:szCs w:val="21"/>
        </w:rPr>
        <w:t>4）遵循招标方软件开发规范、安全合规要求开展系统开发部署及运行维护工作，配合招标方开展源代码审计工作；</w:t>
      </w:r>
    </w:p>
    <w:p w14:paraId="1F715E6A">
      <w:pPr>
        <w:tabs>
          <w:tab w:val="left" w:pos="1985"/>
        </w:tabs>
        <w:spacing w:line="360" w:lineRule="auto"/>
        <w:ind w:firstLine="420"/>
        <w:rPr>
          <w:szCs w:val="21"/>
        </w:rPr>
      </w:pPr>
      <w:r>
        <w:rPr>
          <w:rFonts w:hint="eastAsia"/>
          <w:szCs w:val="21"/>
        </w:rPr>
        <w:t>5）因投标方产品设计、开发缺陷造成其交付的产品在运行中出现安全隐患时，投标方应按招标方要求开展整改，并配合招标方开展其它支撑平台的安全整改；</w:t>
      </w:r>
    </w:p>
    <w:p w14:paraId="5B3FD9BB">
      <w:pPr>
        <w:tabs>
          <w:tab w:val="left" w:pos="1985"/>
        </w:tabs>
        <w:spacing w:line="360" w:lineRule="auto"/>
        <w:ind w:firstLine="420"/>
        <w:rPr>
          <w:szCs w:val="21"/>
        </w:rPr>
      </w:pPr>
      <w:r>
        <w:rPr>
          <w:rFonts w:hint="eastAsia"/>
          <w:szCs w:val="21"/>
        </w:rPr>
        <w:t>6）未经招标方许可，投标方不得将项目涉及的源代码、数据文件上传至互联网共享平台，或提供给其他组织和个人；</w:t>
      </w:r>
    </w:p>
    <w:p w14:paraId="3B90B0E0">
      <w:pPr>
        <w:tabs>
          <w:tab w:val="left" w:pos="1985"/>
        </w:tabs>
        <w:spacing w:line="360" w:lineRule="auto"/>
        <w:ind w:firstLine="420"/>
        <w:rPr>
          <w:szCs w:val="21"/>
        </w:rPr>
      </w:pPr>
      <w:r>
        <w:rPr>
          <w:rFonts w:hint="eastAsia"/>
          <w:szCs w:val="21"/>
        </w:rPr>
        <w:t>7）投标方的开发测试环境中不得留存包含招标方企业名称、真实业务数据等信息。未经招标方许可，投标方不得在互联网上搭建与项目有关的测试、演示系统，确因工作需要开展测试演示的，测试环境中不得包含招标方企业名称、业务数据等信息，并在测试演示完成之后及时清理相关系统和数据；</w:t>
      </w:r>
    </w:p>
    <w:p w14:paraId="38DE6854">
      <w:pPr>
        <w:tabs>
          <w:tab w:val="left" w:pos="1985"/>
        </w:tabs>
        <w:spacing w:line="360" w:lineRule="auto"/>
        <w:ind w:firstLine="420"/>
        <w:rPr>
          <w:szCs w:val="21"/>
        </w:rPr>
      </w:pPr>
      <w:r>
        <w:rPr>
          <w:rFonts w:hint="eastAsia"/>
          <w:szCs w:val="21"/>
        </w:rPr>
        <w:t>8）未通过招标方测试、备案的软件系统和设备不得私自上线运行；</w:t>
      </w:r>
    </w:p>
    <w:p w14:paraId="47552805">
      <w:pPr>
        <w:tabs>
          <w:tab w:val="left" w:pos="1985"/>
        </w:tabs>
        <w:spacing w:line="360" w:lineRule="auto"/>
        <w:ind w:firstLine="420"/>
        <w:rPr>
          <w:szCs w:val="21"/>
        </w:rPr>
      </w:pPr>
      <w:r>
        <w:rPr>
          <w:rFonts w:hint="eastAsia"/>
          <w:szCs w:val="21"/>
        </w:rPr>
        <w:t>9）为招标方开展安全测试、安全加固等服务工作时，应及时清除服务过程产生的文件、服务、账号等信息，不得在招标方生产及测试环境留存病毒、木马文件及系统特权账号；</w:t>
      </w:r>
    </w:p>
    <w:p w14:paraId="28ED28ED">
      <w:pPr>
        <w:tabs>
          <w:tab w:val="left" w:pos="1985"/>
        </w:tabs>
        <w:spacing w:line="360" w:lineRule="auto"/>
        <w:ind w:firstLine="420"/>
        <w:rPr>
          <w:szCs w:val="21"/>
        </w:rPr>
      </w:pPr>
      <w:r>
        <w:rPr>
          <w:rFonts w:hint="eastAsia"/>
          <w:szCs w:val="21"/>
        </w:rPr>
        <w:t>10）投标方应将本协议的条款以书面方式告知项目相关人员，并对项目相关人员进行网络安全培训。</w:t>
      </w:r>
    </w:p>
    <w:p w14:paraId="2D47CF29">
      <w:pPr>
        <w:tabs>
          <w:tab w:val="left" w:pos="1985"/>
        </w:tabs>
        <w:spacing w:line="360" w:lineRule="auto"/>
        <w:ind w:firstLine="420"/>
        <w:rPr>
          <w:szCs w:val="21"/>
        </w:rPr>
      </w:pPr>
      <w:r>
        <w:rPr>
          <w:rFonts w:hint="eastAsia"/>
          <w:szCs w:val="21"/>
        </w:rPr>
        <w:t>1</w:t>
      </w:r>
      <w:r>
        <w:rPr>
          <w:szCs w:val="21"/>
        </w:rPr>
        <w:t>1</w:t>
      </w:r>
      <w:r>
        <w:rPr>
          <w:rFonts w:hint="eastAsia"/>
          <w:szCs w:val="21"/>
        </w:rPr>
        <w:t>）投标方负责质保期内对交付产品的补丁更新、安全加固、漏洞整改，并配合招标方完成网络安全应急响应及处置。</w:t>
      </w:r>
    </w:p>
    <w:p w14:paraId="36E3212D">
      <w:pPr>
        <w:spacing w:line="480" w:lineRule="auto"/>
        <w:outlineLvl w:val="0"/>
        <w:rPr>
          <w:rFonts w:eastAsia="黑体"/>
          <w:b/>
          <w:bCs/>
          <w:szCs w:val="21"/>
        </w:rPr>
      </w:pPr>
      <w:bookmarkStart w:id="100" w:name="_Toc14489"/>
      <w:bookmarkStart w:id="101" w:name="_Toc229217260"/>
      <w:bookmarkStart w:id="102" w:name="_Toc76025496"/>
      <w:bookmarkStart w:id="103" w:name="_Toc28430"/>
      <w:bookmarkStart w:id="104" w:name="_Toc781"/>
      <w:r>
        <w:rPr>
          <w:rFonts w:eastAsia="黑体"/>
          <w:b/>
          <w:bCs/>
          <w:szCs w:val="21"/>
        </w:rPr>
        <w:t>6 试验项目及要求</w:t>
      </w:r>
      <w:bookmarkEnd w:id="100"/>
      <w:bookmarkEnd w:id="101"/>
    </w:p>
    <w:bookmarkEnd w:id="102"/>
    <w:bookmarkEnd w:id="103"/>
    <w:bookmarkEnd w:id="104"/>
    <w:p w14:paraId="496A9135">
      <w:pPr>
        <w:spacing w:line="360" w:lineRule="auto"/>
        <w:ind w:firstLine="420" w:firstLineChars="200"/>
        <w:rPr>
          <w:szCs w:val="21"/>
        </w:rPr>
      </w:pPr>
      <w:bookmarkStart w:id="105" w:name="_Toc265313593"/>
      <w:bookmarkStart w:id="106" w:name="_Toc356999079"/>
      <w:bookmarkStart w:id="107" w:name="_Toc347154881"/>
      <w:bookmarkStart w:id="108" w:name="_Toc9628"/>
      <w:bookmarkStart w:id="109" w:name="_Toc27494"/>
      <w:bookmarkStart w:id="110" w:name="_Toc76025498"/>
      <w:bookmarkStart w:id="111" w:name="_Toc229217285"/>
      <w:r>
        <w:rPr>
          <w:rFonts w:hint="eastAsia"/>
          <w:szCs w:val="21"/>
        </w:rPr>
        <w:t>6.1 结构和外观检查</w:t>
      </w:r>
    </w:p>
    <w:p w14:paraId="1851776C">
      <w:pPr>
        <w:adjustRightInd w:val="0"/>
        <w:snapToGrid w:val="0"/>
        <w:spacing w:line="360" w:lineRule="auto"/>
        <w:ind w:firstLine="420" w:firstLineChars="200"/>
        <w:jc w:val="left"/>
        <w:rPr>
          <w:szCs w:val="21"/>
        </w:rPr>
      </w:pPr>
      <w:r>
        <w:rPr>
          <w:rFonts w:hint="eastAsia"/>
          <w:szCs w:val="21"/>
        </w:rPr>
        <w:t>（1）试验方法</w:t>
      </w:r>
    </w:p>
    <w:p w14:paraId="085F238F">
      <w:pPr>
        <w:adjustRightInd w:val="0"/>
        <w:snapToGrid w:val="0"/>
        <w:spacing w:line="360" w:lineRule="auto"/>
        <w:ind w:firstLine="420" w:firstLineChars="200"/>
        <w:jc w:val="left"/>
        <w:rPr>
          <w:szCs w:val="21"/>
        </w:rPr>
      </w:pPr>
      <w:r>
        <w:rPr>
          <w:rFonts w:hint="eastAsia"/>
          <w:szCs w:val="21"/>
        </w:rPr>
        <w:t>通过目测对无人机设备进行外观、重量和结构方面的检查。</w:t>
      </w:r>
    </w:p>
    <w:p w14:paraId="44E3D6B4">
      <w:pPr>
        <w:adjustRightInd w:val="0"/>
        <w:snapToGrid w:val="0"/>
        <w:spacing w:line="360" w:lineRule="auto"/>
        <w:ind w:firstLine="420" w:firstLineChars="200"/>
        <w:jc w:val="left"/>
        <w:rPr>
          <w:szCs w:val="21"/>
        </w:rPr>
      </w:pPr>
      <w:r>
        <w:rPr>
          <w:rFonts w:hint="eastAsia"/>
          <w:szCs w:val="21"/>
        </w:rPr>
        <w:t>（2）判定准则</w:t>
      </w:r>
    </w:p>
    <w:p w14:paraId="73B0823E">
      <w:pPr>
        <w:adjustRightInd w:val="0"/>
        <w:snapToGrid w:val="0"/>
        <w:spacing w:line="360" w:lineRule="auto"/>
        <w:ind w:firstLine="420" w:firstLineChars="200"/>
        <w:jc w:val="left"/>
        <w:rPr>
          <w:spacing w:val="-3"/>
          <w:szCs w:val="21"/>
        </w:rPr>
      </w:pPr>
      <w:r>
        <w:rPr>
          <w:rFonts w:hint="eastAsia"/>
          <w:szCs w:val="21"/>
        </w:rPr>
        <w:t>应满足本技术规范书中规定的相关技术要求</w:t>
      </w:r>
      <w:r>
        <w:rPr>
          <w:rFonts w:hint="eastAsia"/>
          <w:spacing w:val="-3"/>
          <w:szCs w:val="21"/>
        </w:rPr>
        <w:t>。</w:t>
      </w:r>
    </w:p>
    <w:p w14:paraId="55816FF8">
      <w:pPr>
        <w:spacing w:line="360" w:lineRule="auto"/>
        <w:ind w:firstLine="420" w:firstLineChars="200"/>
        <w:rPr>
          <w:szCs w:val="21"/>
        </w:rPr>
      </w:pPr>
      <w:r>
        <w:rPr>
          <w:szCs w:val="21"/>
        </w:rPr>
        <w:t>6.</w:t>
      </w:r>
      <w:r>
        <w:rPr>
          <w:rFonts w:hint="eastAsia"/>
          <w:szCs w:val="21"/>
        </w:rPr>
        <w:t>2</w:t>
      </w:r>
      <w:r>
        <w:rPr>
          <w:szCs w:val="21"/>
        </w:rPr>
        <w:t xml:space="preserve"> </w:t>
      </w:r>
      <w:r>
        <w:rPr>
          <w:rFonts w:hint="eastAsia"/>
          <w:szCs w:val="21"/>
        </w:rPr>
        <w:t>环境试验</w:t>
      </w:r>
    </w:p>
    <w:p w14:paraId="61B16937">
      <w:pPr>
        <w:spacing w:line="360" w:lineRule="auto"/>
        <w:ind w:firstLine="420" w:firstLineChars="200"/>
        <w:rPr>
          <w:szCs w:val="21"/>
        </w:rPr>
      </w:pPr>
      <w:r>
        <w:rPr>
          <w:rFonts w:hint="eastAsia"/>
          <w:szCs w:val="21"/>
        </w:rPr>
        <w:t>6.2.1 低温环境适应性试验</w:t>
      </w:r>
    </w:p>
    <w:p w14:paraId="6E1E40F0">
      <w:pPr>
        <w:adjustRightInd w:val="0"/>
        <w:snapToGrid w:val="0"/>
        <w:spacing w:line="360" w:lineRule="auto"/>
        <w:ind w:firstLine="420" w:firstLineChars="200"/>
        <w:jc w:val="left"/>
      </w:pPr>
      <w:r>
        <w:rPr>
          <w:rFonts w:hint="eastAsia"/>
          <w:szCs w:val="21"/>
        </w:rPr>
        <w:t>按照GB/T 2423.1</w:t>
      </w:r>
      <w:r>
        <w:rPr>
          <w:rFonts w:hint="eastAsia"/>
          <w:szCs w:val="21"/>
          <w:lang w:bidi="ar"/>
        </w:rPr>
        <w:t>/DL/T1578</w:t>
      </w:r>
      <w:r>
        <w:rPr>
          <w:rFonts w:hint="eastAsia"/>
          <w:szCs w:val="21"/>
        </w:rPr>
        <w:t>相关条款方法进行相应等级试验，试验</w:t>
      </w:r>
      <w:r>
        <w:rPr>
          <w:rFonts w:hint="eastAsia"/>
        </w:rPr>
        <w:t>温度为-10℃，试验持续时间为2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p>
    <w:p w14:paraId="19AE2EDA">
      <w:pPr>
        <w:spacing w:line="360" w:lineRule="auto"/>
        <w:ind w:firstLine="420" w:firstLineChars="200"/>
        <w:rPr>
          <w:szCs w:val="21"/>
        </w:rPr>
      </w:pPr>
      <w:r>
        <w:rPr>
          <w:szCs w:val="21"/>
        </w:rPr>
        <w:t>6.</w:t>
      </w:r>
      <w:r>
        <w:rPr>
          <w:rFonts w:hint="eastAsia"/>
          <w:szCs w:val="21"/>
        </w:rPr>
        <w:t>2.2</w:t>
      </w:r>
      <w:r>
        <w:rPr>
          <w:szCs w:val="21"/>
        </w:rPr>
        <w:t xml:space="preserve"> </w:t>
      </w:r>
      <w:r>
        <w:rPr>
          <w:rFonts w:hint="eastAsia"/>
          <w:szCs w:val="21"/>
        </w:rPr>
        <w:t>高温环境适应性试验</w:t>
      </w:r>
    </w:p>
    <w:p w14:paraId="4A4817D1">
      <w:pPr>
        <w:widowControl/>
        <w:adjustRightInd w:val="0"/>
        <w:snapToGrid w:val="0"/>
        <w:spacing w:line="360" w:lineRule="auto"/>
        <w:ind w:firstLine="420" w:firstLineChars="200"/>
        <w:jc w:val="left"/>
      </w:pPr>
      <w:r>
        <w:rPr>
          <w:rFonts w:hint="eastAsia"/>
          <w:szCs w:val="21"/>
          <w:lang w:bidi="ar"/>
        </w:rPr>
        <w:t>按照GB/T 2423.2/DL/T1578相关条款方法进行相应等级试验</w:t>
      </w:r>
      <w:r>
        <w:rPr>
          <w:rFonts w:hint="eastAsia"/>
          <w:szCs w:val="21"/>
        </w:rPr>
        <w:t>，试验</w:t>
      </w:r>
      <w:r>
        <w:rPr>
          <w:rFonts w:hint="eastAsia"/>
        </w:rPr>
        <w:t>温度为40℃，试验持续时间为4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p>
    <w:p w14:paraId="4AC696B9">
      <w:pPr>
        <w:spacing w:line="360" w:lineRule="auto"/>
        <w:ind w:firstLine="420" w:firstLineChars="200"/>
        <w:rPr>
          <w:szCs w:val="21"/>
        </w:rPr>
      </w:pPr>
      <w:r>
        <w:rPr>
          <w:szCs w:val="21"/>
        </w:rPr>
        <w:t>6.</w:t>
      </w:r>
      <w:r>
        <w:rPr>
          <w:rFonts w:hint="eastAsia"/>
          <w:szCs w:val="21"/>
        </w:rPr>
        <w:t>2.</w:t>
      </w:r>
      <w:r>
        <w:rPr>
          <w:szCs w:val="21"/>
        </w:rPr>
        <w:t xml:space="preserve">3 </w:t>
      </w:r>
      <w:r>
        <w:rPr>
          <w:rFonts w:hint="eastAsia"/>
          <w:szCs w:val="21"/>
        </w:rPr>
        <w:t>温度湿度振动综合环境适应性试验</w:t>
      </w:r>
    </w:p>
    <w:p w14:paraId="3F912354">
      <w:pPr>
        <w:widowControl/>
        <w:adjustRightInd w:val="0"/>
        <w:snapToGrid w:val="0"/>
        <w:spacing w:line="360" w:lineRule="auto"/>
        <w:ind w:firstLine="420" w:firstLineChars="200"/>
        <w:jc w:val="left"/>
        <w:rPr>
          <w:szCs w:val="21"/>
          <w:lang w:bidi="ar"/>
        </w:rPr>
      </w:pPr>
      <w:r>
        <w:rPr>
          <w:rFonts w:hint="eastAsia"/>
          <w:szCs w:val="21"/>
          <w:lang w:bidi="ar"/>
        </w:rPr>
        <w:t>按照GB/T 2423.3/DL/T1578相关条款方法进行相应等级试验，试验</w:t>
      </w:r>
      <w:r>
        <w:rPr>
          <w:rFonts w:hint="eastAsia"/>
        </w:rPr>
        <w:t>温度为40℃，试验相对湿度95±3%，振动频率5~150Hz，振动加速度2g，振动初始振幅1mm，试验持续时间为12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r>
        <w:rPr>
          <w:rFonts w:hint="eastAsia"/>
          <w:szCs w:val="21"/>
          <w:lang w:bidi="ar"/>
        </w:rPr>
        <w:t>。</w:t>
      </w:r>
    </w:p>
    <w:p w14:paraId="3E052B7A">
      <w:pPr>
        <w:spacing w:line="360" w:lineRule="auto"/>
        <w:ind w:firstLine="420" w:firstLineChars="200"/>
        <w:rPr>
          <w:szCs w:val="21"/>
        </w:rPr>
      </w:pPr>
      <w:r>
        <w:rPr>
          <w:szCs w:val="21"/>
        </w:rPr>
        <w:t>6.</w:t>
      </w:r>
      <w:r>
        <w:rPr>
          <w:rFonts w:hint="eastAsia"/>
          <w:szCs w:val="21"/>
        </w:rPr>
        <w:t>2.4</w:t>
      </w:r>
      <w:r>
        <w:rPr>
          <w:szCs w:val="21"/>
        </w:rPr>
        <w:t xml:space="preserve"> </w:t>
      </w:r>
      <w:r>
        <w:rPr>
          <w:rFonts w:hint="eastAsia"/>
          <w:szCs w:val="21"/>
        </w:rPr>
        <w:t>海拔适应性能试验</w:t>
      </w:r>
    </w:p>
    <w:p w14:paraId="6761B89E">
      <w:pPr>
        <w:adjustRightInd w:val="0"/>
        <w:snapToGrid w:val="0"/>
        <w:spacing w:line="360" w:lineRule="auto"/>
        <w:ind w:firstLine="420" w:firstLineChars="200"/>
        <w:jc w:val="left"/>
        <w:rPr>
          <w:szCs w:val="21"/>
          <w:lang w:bidi="ar"/>
        </w:rPr>
      </w:pPr>
      <w:r>
        <w:rPr>
          <w:rFonts w:hint="eastAsia"/>
          <w:szCs w:val="21"/>
          <w:lang w:bidi="ar"/>
        </w:rPr>
        <w:t>按照GB/T 2423.21/GB/T 2423.25~27/DL/T1578相关条款方法进行相应等级试验，</w:t>
      </w:r>
      <w:r>
        <w:rPr>
          <w:rFonts w:hint="eastAsia"/>
        </w:rPr>
        <w:t>试验期间被试样机处于通电待机工作状态</w:t>
      </w:r>
      <w:r>
        <w:rPr>
          <w:rFonts w:hint="eastAsia"/>
          <w:szCs w:val="21"/>
          <w:lang w:bidi="ar"/>
        </w:rPr>
        <w:t>，样机巡检系统在-10℃、海拔4000m的环境中无地效悬停时间需大于30min，悬停过程中样机操控响应正常，任务设备转动、拍摄等功能正常。</w:t>
      </w:r>
    </w:p>
    <w:p w14:paraId="2AF46250">
      <w:pPr>
        <w:spacing w:line="360" w:lineRule="auto"/>
        <w:ind w:firstLine="420" w:firstLineChars="200"/>
        <w:rPr>
          <w:szCs w:val="21"/>
        </w:rPr>
      </w:pPr>
      <w:r>
        <w:rPr>
          <w:szCs w:val="21"/>
        </w:rPr>
        <w:t>6.</w:t>
      </w:r>
      <w:r>
        <w:rPr>
          <w:rFonts w:hint="eastAsia"/>
          <w:szCs w:val="21"/>
        </w:rPr>
        <w:t>2.5</w:t>
      </w:r>
      <w:r>
        <w:rPr>
          <w:szCs w:val="21"/>
        </w:rPr>
        <w:t xml:space="preserve"> </w:t>
      </w:r>
      <w:r>
        <w:rPr>
          <w:rFonts w:hint="eastAsia"/>
          <w:szCs w:val="21"/>
        </w:rPr>
        <w:t>抗风飞行性能试验</w:t>
      </w:r>
    </w:p>
    <w:p w14:paraId="7C6C5387">
      <w:pPr>
        <w:adjustRightInd w:val="0"/>
        <w:snapToGrid w:val="0"/>
        <w:spacing w:line="360" w:lineRule="auto"/>
        <w:ind w:firstLine="420" w:firstLineChars="200"/>
        <w:jc w:val="left"/>
        <w:rPr>
          <w:szCs w:val="21"/>
          <w:lang w:bidi="ar"/>
        </w:rPr>
      </w:pPr>
      <w:r>
        <w:rPr>
          <w:rFonts w:hint="eastAsia"/>
          <w:szCs w:val="21"/>
          <w:lang w:bidi="ar"/>
        </w:rPr>
        <w:t>按照GB/T 38930/DL/T1578相关条款方法进行相应等级试验，试验应满足本标准4.2、4.3规定的要求，在瞬时风速不大于3m/环境条件下可稳定飞行和悬停，且各项功能正常。悬停时水平偏移不大于1.5m、标准差不大于0.75m ，垂直偏移不大于3m、标准差不大于1.5m。三轴姿态角变化量最大均不超过30°，变化量标准差均不大于15°。</w:t>
      </w:r>
    </w:p>
    <w:p w14:paraId="62CD5249">
      <w:pPr>
        <w:spacing w:line="360" w:lineRule="auto"/>
        <w:ind w:firstLine="420" w:firstLineChars="200"/>
        <w:rPr>
          <w:szCs w:val="21"/>
        </w:rPr>
      </w:pPr>
      <w:r>
        <w:rPr>
          <w:szCs w:val="21"/>
        </w:rPr>
        <w:t>6.</w:t>
      </w:r>
      <w:r>
        <w:rPr>
          <w:rFonts w:hint="eastAsia"/>
          <w:szCs w:val="21"/>
        </w:rPr>
        <w:t>2.6</w:t>
      </w:r>
      <w:r>
        <w:rPr>
          <w:szCs w:val="21"/>
        </w:rPr>
        <w:t xml:space="preserve"> </w:t>
      </w:r>
      <w:r>
        <w:rPr>
          <w:rFonts w:hint="eastAsia"/>
          <w:szCs w:val="21"/>
        </w:rPr>
        <w:t>抗雨飞行性能试验</w:t>
      </w:r>
    </w:p>
    <w:p w14:paraId="79DA9840">
      <w:pPr>
        <w:adjustRightInd w:val="0"/>
        <w:snapToGrid w:val="0"/>
        <w:spacing w:line="360" w:lineRule="auto"/>
        <w:ind w:firstLine="420" w:firstLineChars="200"/>
        <w:jc w:val="left"/>
        <w:rPr>
          <w:szCs w:val="21"/>
          <w:lang w:bidi="ar"/>
        </w:rPr>
      </w:pPr>
      <w:r>
        <w:rPr>
          <w:rFonts w:hint="eastAsia"/>
          <w:szCs w:val="21"/>
          <w:lang w:bidi="ar"/>
        </w:rPr>
        <w:t>按照GB/T 38924.9/DL/T1578相关条款方法进行相应等级试验，在小雨环境条件下（雨强不大于2.5mm/h）可稳定飞行的时间不小于5min。增稳飞行模式下，无人机飞行状态稳定、姿态正常；稳定悬停时，无人机操控响应正常；静置30min后，飞行后各电气接口不存在明显短路风险，各项功能正常。</w:t>
      </w:r>
    </w:p>
    <w:p w14:paraId="520FD85E">
      <w:pPr>
        <w:spacing w:line="360" w:lineRule="auto"/>
        <w:ind w:firstLine="420" w:firstLineChars="200"/>
        <w:rPr>
          <w:szCs w:val="21"/>
        </w:rPr>
      </w:pPr>
      <w:r>
        <w:rPr>
          <w:szCs w:val="21"/>
        </w:rPr>
        <w:t>6.</w:t>
      </w:r>
      <w:r>
        <w:rPr>
          <w:rFonts w:hint="eastAsia"/>
          <w:szCs w:val="21"/>
        </w:rPr>
        <w:t>2.7</w:t>
      </w:r>
      <w:r>
        <w:rPr>
          <w:szCs w:val="21"/>
        </w:rPr>
        <w:t xml:space="preserve"> </w:t>
      </w:r>
      <w:r>
        <w:rPr>
          <w:rFonts w:hint="eastAsia"/>
          <w:szCs w:val="21"/>
        </w:rPr>
        <w:t>防护性能试验</w:t>
      </w:r>
    </w:p>
    <w:p w14:paraId="44EC7793">
      <w:pPr>
        <w:adjustRightInd w:val="0"/>
        <w:snapToGrid w:val="0"/>
        <w:spacing w:line="360" w:lineRule="auto"/>
        <w:ind w:firstLine="420" w:firstLineChars="200"/>
        <w:jc w:val="left"/>
        <w:rPr>
          <w:szCs w:val="21"/>
          <w:lang w:bidi="ar"/>
        </w:rPr>
      </w:pPr>
      <w:r>
        <w:rPr>
          <w:rFonts w:hint="eastAsia"/>
          <w:szCs w:val="21"/>
          <w:lang w:bidi="ar"/>
        </w:rPr>
        <w:t>按GB/T 4208中规定的试验方法进行，被试样机的外壳防护等级应满足本标准5.1规定的要求，试验结束后被试样机通电运行，各项功能应正常。</w:t>
      </w:r>
    </w:p>
    <w:p w14:paraId="3EB40BAF">
      <w:pPr>
        <w:spacing w:line="360" w:lineRule="auto"/>
        <w:ind w:firstLine="420" w:firstLineChars="200"/>
        <w:rPr>
          <w:szCs w:val="21"/>
        </w:rPr>
      </w:pPr>
      <w:r>
        <w:rPr>
          <w:szCs w:val="21"/>
        </w:rPr>
        <w:t>6.</w:t>
      </w:r>
      <w:r>
        <w:rPr>
          <w:rFonts w:hint="eastAsia"/>
          <w:szCs w:val="21"/>
        </w:rPr>
        <w:t>3</w:t>
      </w:r>
      <w:r>
        <w:rPr>
          <w:szCs w:val="21"/>
        </w:rPr>
        <w:t xml:space="preserve"> </w:t>
      </w:r>
      <w:r>
        <w:rPr>
          <w:rFonts w:hint="eastAsia"/>
          <w:szCs w:val="21"/>
        </w:rPr>
        <w:t>功能试验</w:t>
      </w:r>
    </w:p>
    <w:p w14:paraId="1C3104C7">
      <w:pPr>
        <w:spacing w:line="360" w:lineRule="auto"/>
        <w:ind w:firstLine="420" w:firstLineChars="200"/>
        <w:rPr>
          <w:szCs w:val="21"/>
        </w:rPr>
      </w:pPr>
      <w:r>
        <w:rPr>
          <w:rFonts w:hint="eastAsia"/>
          <w:szCs w:val="21"/>
        </w:rPr>
        <w:t>6.3.1 自检功能</w:t>
      </w:r>
      <w:r>
        <w:rPr>
          <w:szCs w:val="21"/>
        </w:rPr>
        <w:t>试验</w:t>
      </w:r>
    </w:p>
    <w:p w14:paraId="1F9115B8">
      <w:pPr>
        <w:adjustRightInd w:val="0"/>
        <w:snapToGrid w:val="0"/>
        <w:spacing w:line="360" w:lineRule="auto"/>
        <w:ind w:firstLine="420" w:firstLineChars="200"/>
        <w:jc w:val="left"/>
        <w:rPr>
          <w:szCs w:val="21"/>
          <w:lang w:bidi="ar"/>
        </w:rPr>
      </w:pPr>
      <w:r>
        <w:rPr>
          <w:rFonts w:hint="eastAsia"/>
          <w:szCs w:val="21"/>
          <w:lang w:bidi="ar"/>
        </w:rPr>
        <w:t>按照DL/T1578相关条款方法进行相应等级试验，样机应满足自检项目至少包括动力电池电压（或电量）、遥测遥控、导航定位和磁罗盘预警功能。以上任一项自检项目不满足要求，均能在地面站或遥控手柄上以明显的声（或光）信号或其他方式进行报警提示，且飞控系统锁死。宜具有根据报警提示直接确定故障部位或原因的功能。</w:t>
      </w:r>
    </w:p>
    <w:p w14:paraId="1BFAFC01">
      <w:pPr>
        <w:spacing w:line="360" w:lineRule="auto"/>
        <w:ind w:firstLine="420" w:firstLineChars="200"/>
        <w:rPr>
          <w:szCs w:val="21"/>
        </w:rPr>
      </w:pPr>
      <w:r>
        <w:rPr>
          <w:szCs w:val="21"/>
        </w:rPr>
        <w:t>6.</w:t>
      </w:r>
      <w:r>
        <w:rPr>
          <w:rFonts w:hint="eastAsia"/>
          <w:szCs w:val="21"/>
        </w:rPr>
        <w:t>3.2</w:t>
      </w:r>
      <w:r>
        <w:rPr>
          <w:szCs w:val="21"/>
        </w:rPr>
        <w:t xml:space="preserve"> </w:t>
      </w:r>
      <w:r>
        <w:rPr>
          <w:rFonts w:hint="eastAsia"/>
          <w:szCs w:val="21"/>
        </w:rPr>
        <w:t>任务规划功能</w:t>
      </w:r>
      <w:r>
        <w:rPr>
          <w:szCs w:val="21"/>
        </w:rPr>
        <w:t>试验</w:t>
      </w:r>
    </w:p>
    <w:p w14:paraId="06A262C5">
      <w:pPr>
        <w:widowControl/>
        <w:tabs>
          <w:tab w:val="left" w:pos="1985"/>
        </w:tabs>
        <w:spacing w:line="360" w:lineRule="auto"/>
        <w:ind w:firstLine="420" w:firstLineChars="200"/>
        <w:jc w:val="left"/>
        <w:rPr>
          <w:szCs w:val="21"/>
          <w:lang w:bidi="ar"/>
        </w:rPr>
      </w:pPr>
      <w:r>
        <w:rPr>
          <w:rFonts w:hint="eastAsia"/>
          <w:szCs w:val="21"/>
          <w:lang w:bidi="ar"/>
        </w:rPr>
        <w:t>按照DL/T1578相关条款方法进行相应等级试验，应满足可对起降方式、转弯方式、飞行速度及航点信息等进行设置，转弯时应采用定点转弯方式。在飞行过程中可实时修改航点。</w:t>
      </w:r>
    </w:p>
    <w:p w14:paraId="1EB3E015">
      <w:pPr>
        <w:adjustRightInd w:val="0"/>
        <w:snapToGrid w:val="0"/>
        <w:spacing w:line="360" w:lineRule="auto"/>
        <w:ind w:firstLine="420" w:firstLineChars="200"/>
        <w:jc w:val="left"/>
      </w:pPr>
      <w:r>
        <w:rPr>
          <w:szCs w:val="21"/>
        </w:rPr>
        <w:t>6.</w:t>
      </w:r>
      <w:r>
        <w:rPr>
          <w:rFonts w:hint="eastAsia"/>
          <w:szCs w:val="21"/>
        </w:rPr>
        <w:t>3.3</w:t>
      </w:r>
      <w:r>
        <w:rPr>
          <w:szCs w:val="21"/>
        </w:rPr>
        <w:t xml:space="preserve"> </w:t>
      </w:r>
      <w:r>
        <w:rPr>
          <w:kern w:val="0"/>
          <w:szCs w:val="21"/>
        </w:rPr>
        <w:t>飞行模式及切换功能试验</w:t>
      </w:r>
    </w:p>
    <w:p w14:paraId="75A8482A">
      <w:pPr>
        <w:widowControl/>
        <w:tabs>
          <w:tab w:val="left" w:pos="1985"/>
        </w:tabs>
        <w:spacing w:line="360" w:lineRule="auto"/>
        <w:ind w:firstLine="420" w:firstLineChars="200"/>
        <w:jc w:val="left"/>
        <w:rPr>
          <w:szCs w:val="21"/>
          <w:lang w:bidi="ar"/>
        </w:rPr>
      </w:pPr>
      <w:r>
        <w:rPr>
          <w:rFonts w:hint="eastAsia"/>
          <w:szCs w:val="21"/>
          <w:lang w:bidi="ar"/>
        </w:rPr>
        <w:t>按照DL/T1578相关条款方法进行相应等级试验，样机应具有手动、增稳和全自主三种飞行模式。三种飞行模式可相互切换，切换过程中飞行状态应保持平稳。</w:t>
      </w:r>
    </w:p>
    <w:p w14:paraId="53E5587C">
      <w:pPr>
        <w:adjustRightInd w:val="0"/>
        <w:snapToGrid w:val="0"/>
        <w:spacing w:line="360" w:lineRule="auto"/>
        <w:ind w:firstLine="420" w:firstLineChars="200"/>
        <w:jc w:val="left"/>
      </w:pPr>
      <w:r>
        <w:rPr>
          <w:szCs w:val="21"/>
        </w:rPr>
        <w:t>6.</w:t>
      </w:r>
      <w:r>
        <w:rPr>
          <w:rFonts w:hint="eastAsia"/>
          <w:szCs w:val="21"/>
        </w:rPr>
        <w:t>3.4</w:t>
      </w:r>
      <w:r>
        <w:rPr>
          <w:szCs w:val="21"/>
        </w:rPr>
        <w:t xml:space="preserve"> </w:t>
      </w:r>
      <w:r>
        <w:rPr>
          <w:rFonts w:hint="eastAsia"/>
          <w:kern w:val="0"/>
          <w:szCs w:val="21"/>
        </w:rPr>
        <w:t>导航定位偏差</w:t>
      </w:r>
      <w:r>
        <w:rPr>
          <w:kern w:val="0"/>
          <w:szCs w:val="21"/>
        </w:rPr>
        <w:t>试验</w:t>
      </w:r>
    </w:p>
    <w:p w14:paraId="2080762C">
      <w:pPr>
        <w:adjustRightInd w:val="0"/>
        <w:snapToGrid w:val="0"/>
        <w:spacing w:line="360" w:lineRule="auto"/>
        <w:ind w:firstLine="420" w:firstLineChars="200"/>
        <w:jc w:val="left"/>
      </w:pPr>
      <w:r>
        <w:rPr>
          <w:rFonts w:hint="eastAsia"/>
          <w:szCs w:val="21"/>
          <w:lang w:bidi="ar"/>
        </w:rPr>
        <w:t>按照DL/T1578/YD/T4182相关条款方法进行相应等级试验，样机应具备实时动态定位（real-time kinematic,RTK）功能，导航定位精度水平方向不应低于10cm、垂直方向不低于20cm。</w:t>
      </w:r>
    </w:p>
    <w:p w14:paraId="7B4249C0">
      <w:pPr>
        <w:adjustRightInd w:val="0"/>
        <w:snapToGrid w:val="0"/>
        <w:spacing w:line="360" w:lineRule="auto"/>
        <w:ind w:firstLine="420" w:firstLineChars="200"/>
        <w:jc w:val="left"/>
      </w:pPr>
      <w:r>
        <w:rPr>
          <w:szCs w:val="21"/>
        </w:rPr>
        <w:t>6.</w:t>
      </w:r>
      <w:r>
        <w:rPr>
          <w:rFonts w:hint="eastAsia"/>
          <w:szCs w:val="21"/>
        </w:rPr>
        <w:t>3.5</w:t>
      </w:r>
      <w:r>
        <w:rPr>
          <w:szCs w:val="21"/>
        </w:rPr>
        <w:t xml:space="preserve"> </w:t>
      </w:r>
      <w:r>
        <w:rPr>
          <w:rFonts w:hint="eastAsia"/>
          <w:kern w:val="0"/>
          <w:szCs w:val="21"/>
        </w:rPr>
        <w:t>飞行控制偏差</w:t>
      </w:r>
      <w:r>
        <w:rPr>
          <w:kern w:val="0"/>
          <w:szCs w:val="21"/>
        </w:rPr>
        <w:t>试验</w:t>
      </w:r>
    </w:p>
    <w:p w14:paraId="39144DCD">
      <w:pPr>
        <w:adjustRightInd w:val="0"/>
        <w:snapToGrid w:val="0"/>
        <w:spacing w:line="360" w:lineRule="auto"/>
        <w:ind w:firstLine="420" w:firstLineChars="200"/>
        <w:jc w:val="left"/>
      </w:pPr>
      <w:r>
        <w:rPr>
          <w:rFonts w:hint="eastAsia"/>
          <w:szCs w:val="21"/>
          <w:lang w:bidi="ar"/>
        </w:rPr>
        <w:t>按照DL/T1578相关条款方法进行相应等级试验，</w:t>
      </w:r>
      <w:r>
        <w:rPr>
          <w:rFonts w:hint="eastAsia"/>
        </w:rPr>
        <w:t>距地面2m高的环境瞬时风速不大于3m/s的条件下，飞行控制偏差应满足与规划航线的飞行控制偏差水平方向不大于1m、标准差不大于0.5m,垂直方向不大于1m、标准差不大于0.5m。</w:t>
      </w:r>
    </w:p>
    <w:p w14:paraId="5AF97F79">
      <w:pPr>
        <w:adjustRightInd w:val="0"/>
        <w:snapToGrid w:val="0"/>
        <w:spacing w:line="360" w:lineRule="auto"/>
        <w:ind w:firstLine="420" w:firstLineChars="200"/>
        <w:jc w:val="left"/>
      </w:pPr>
      <w:r>
        <w:rPr>
          <w:szCs w:val="21"/>
        </w:rPr>
        <w:t>6.</w:t>
      </w:r>
      <w:r>
        <w:rPr>
          <w:rFonts w:hint="eastAsia"/>
          <w:szCs w:val="21"/>
        </w:rPr>
        <w:t>3.6</w:t>
      </w:r>
      <w:r>
        <w:rPr>
          <w:szCs w:val="21"/>
        </w:rPr>
        <w:t xml:space="preserve"> </w:t>
      </w:r>
      <w:r>
        <w:rPr>
          <w:rFonts w:hint="eastAsia"/>
          <w:kern w:val="0"/>
          <w:szCs w:val="21"/>
        </w:rPr>
        <w:t>悬停控制偏差</w:t>
      </w:r>
      <w:r>
        <w:rPr>
          <w:kern w:val="0"/>
          <w:szCs w:val="21"/>
        </w:rPr>
        <w:t>试验</w:t>
      </w:r>
    </w:p>
    <w:p w14:paraId="309C222B">
      <w:pPr>
        <w:adjustRightInd w:val="0"/>
        <w:snapToGrid w:val="0"/>
        <w:spacing w:line="360" w:lineRule="auto"/>
        <w:ind w:firstLine="420" w:firstLineChars="200"/>
        <w:jc w:val="left"/>
      </w:pPr>
      <w:r>
        <w:rPr>
          <w:rFonts w:hint="eastAsia"/>
          <w:szCs w:val="21"/>
          <w:lang w:bidi="ar"/>
        </w:rPr>
        <w:t>按照DL/T1578相关条款方法进行相应等级试验，</w:t>
      </w:r>
      <w:r>
        <w:rPr>
          <w:rFonts w:hint="eastAsia"/>
        </w:rPr>
        <w:t>通过全自主飞行模式到达预设的悬停点后，无须操作人员干预，可稳定悬停。悬停控制偏差水平方向不大于1.5m、标准差不大于0.75m,垂直方向不大于2m、标准差不大于1m。</w:t>
      </w:r>
    </w:p>
    <w:p w14:paraId="70D7A3F5">
      <w:pPr>
        <w:adjustRightInd w:val="0"/>
        <w:snapToGrid w:val="0"/>
        <w:spacing w:line="360" w:lineRule="auto"/>
        <w:ind w:firstLine="420" w:firstLineChars="200"/>
        <w:jc w:val="left"/>
      </w:pPr>
      <w:r>
        <w:rPr>
          <w:szCs w:val="21"/>
        </w:rPr>
        <w:t>6.</w:t>
      </w:r>
      <w:r>
        <w:rPr>
          <w:rFonts w:hint="eastAsia"/>
          <w:szCs w:val="21"/>
        </w:rPr>
        <w:t>3.7</w:t>
      </w:r>
      <w:r>
        <w:rPr>
          <w:szCs w:val="21"/>
        </w:rPr>
        <w:t xml:space="preserve"> </w:t>
      </w:r>
      <w:r>
        <w:rPr>
          <w:rFonts w:hint="eastAsia"/>
          <w:kern w:val="0"/>
          <w:szCs w:val="21"/>
        </w:rPr>
        <w:t>机头重定向功能</w:t>
      </w:r>
      <w:r>
        <w:rPr>
          <w:kern w:val="0"/>
          <w:szCs w:val="21"/>
        </w:rPr>
        <w:t>试验</w:t>
      </w:r>
    </w:p>
    <w:p w14:paraId="1BB9F421">
      <w:pPr>
        <w:adjustRightInd w:val="0"/>
        <w:snapToGrid w:val="0"/>
        <w:spacing w:line="360" w:lineRule="auto"/>
        <w:ind w:firstLine="420" w:firstLineChars="200"/>
        <w:jc w:val="left"/>
      </w:pPr>
      <w:r>
        <w:rPr>
          <w:rFonts w:hint="eastAsia"/>
          <w:szCs w:val="21"/>
          <w:lang w:bidi="ar"/>
        </w:rPr>
        <w:t>按照DL/T1578相关条款方法进行相应等级试验，样机应</w:t>
      </w:r>
      <w:r>
        <w:rPr>
          <w:rFonts w:hint="eastAsia"/>
        </w:rPr>
        <w:t>具备机头重定向功能。</w:t>
      </w:r>
    </w:p>
    <w:p w14:paraId="47D74EDC">
      <w:pPr>
        <w:adjustRightInd w:val="0"/>
        <w:snapToGrid w:val="0"/>
        <w:spacing w:line="360" w:lineRule="auto"/>
        <w:ind w:firstLine="420" w:firstLineChars="200"/>
        <w:jc w:val="left"/>
      </w:pPr>
      <w:r>
        <w:rPr>
          <w:szCs w:val="21"/>
        </w:rPr>
        <w:t>6.</w:t>
      </w:r>
      <w:r>
        <w:rPr>
          <w:rFonts w:hint="eastAsia"/>
          <w:szCs w:val="21"/>
        </w:rPr>
        <w:t>3.8</w:t>
      </w:r>
      <w:r>
        <w:rPr>
          <w:szCs w:val="21"/>
        </w:rPr>
        <w:t xml:space="preserve"> </w:t>
      </w:r>
      <w:r>
        <w:rPr>
          <w:kern w:val="0"/>
          <w:szCs w:val="21"/>
        </w:rPr>
        <w:t>一键返航功能试验</w:t>
      </w:r>
    </w:p>
    <w:p w14:paraId="29F92298">
      <w:pPr>
        <w:adjustRightInd w:val="0"/>
        <w:snapToGrid w:val="0"/>
        <w:spacing w:line="360" w:lineRule="auto"/>
        <w:ind w:firstLine="420" w:firstLineChars="200"/>
        <w:jc w:val="left"/>
      </w:pPr>
      <w:r>
        <w:rPr>
          <w:rFonts w:hint="eastAsia"/>
        </w:rPr>
        <w:t>设置返航路径，并以自主方式放飞无人机，待无人机短时飞行后，启动一键返航功能，观察无人机安全返航策略及等待无人机返回，应至少可预先设置返航降落点，宜可设置返航航线、速度等参数。</w:t>
      </w:r>
    </w:p>
    <w:p w14:paraId="55B0DE6F">
      <w:pPr>
        <w:adjustRightInd w:val="0"/>
        <w:snapToGrid w:val="0"/>
        <w:spacing w:line="360" w:lineRule="auto"/>
        <w:ind w:firstLine="420" w:firstLineChars="200"/>
        <w:jc w:val="left"/>
      </w:pPr>
      <w:r>
        <w:rPr>
          <w:szCs w:val="21"/>
        </w:rPr>
        <w:t>6.</w:t>
      </w:r>
      <w:r>
        <w:rPr>
          <w:rFonts w:hint="eastAsia"/>
          <w:szCs w:val="21"/>
        </w:rPr>
        <w:t>3.9</w:t>
      </w:r>
      <w:r>
        <w:rPr>
          <w:szCs w:val="21"/>
        </w:rPr>
        <w:t xml:space="preserve"> </w:t>
      </w:r>
      <w:r>
        <w:rPr>
          <w:kern w:val="0"/>
          <w:szCs w:val="21"/>
        </w:rPr>
        <w:t>链路中断返航功能试验</w:t>
      </w:r>
    </w:p>
    <w:p w14:paraId="7D523185">
      <w:pPr>
        <w:adjustRightInd w:val="0"/>
        <w:snapToGrid w:val="0"/>
        <w:spacing w:line="360" w:lineRule="auto"/>
        <w:ind w:firstLine="420" w:firstLineChars="200"/>
        <w:jc w:val="left"/>
      </w:pPr>
      <w:r>
        <w:rPr>
          <w:rFonts w:hint="eastAsia"/>
        </w:rPr>
        <w:t>设置返航路径及返航策略，并以自主方式放飞无人机，待无人机短时飞行后，断开遥控器电源，观察无人机安全返航策略及等待无人机返回，应至少可预先设置返航降落点，宜可设置返航航线、速度等参数。</w:t>
      </w:r>
    </w:p>
    <w:p w14:paraId="5542BC6B">
      <w:pPr>
        <w:adjustRightInd w:val="0"/>
        <w:snapToGrid w:val="0"/>
        <w:spacing w:line="360" w:lineRule="auto"/>
        <w:ind w:firstLine="420" w:firstLineChars="200"/>
        <w:jc w:val="left"/>
      </w:pPr>
      <w:r>
        <w:rPr>
          <w:rFonts w:hint="eastAsia"/>
        </w:rPr>
        <w:t>6.3.10 飞行区域限制功能试验</w:t>
      </w:r>
    </w:p>
    <w:p w14:paraId="7C432D82">
      <w:pPr>
        <w:adjustRightInd w:val="0"/>
        <w:snapToGrid w:val="0"/>
        <w:spacing w:line="360" w:lineRule="auto"/>
        <w:ind w:firstLine="420" w:firstLineChars="200"/>
        <w:jc w:val="left"/>
      </w:pPr>
      <w:r>
        <w:rPr>
          <w:rFonts w:hint="eastAsia"/>
          <w:szCs w:val="21"/>
          <w:lang w:bidi="ar"/>
        </w:rPr>
        <w:t>按照DL/T1578相关条款方法进行相应等级试验，应</w:t>
      </w:r>
      <w:r>
        <w:rPr>
          <w:rFonts w:hint="eastAsia"/>
        </w:rPr>
        <w:t>可设置允许样机飞行的区域范围，在航线规划时，可对超出范围的飞行航线进行报警提示，且飞控系统锁死;在飞行过程中，当接近区域范围时可在地面站或遥控手柄上报警提示，且有防止飞越措施。</w:t>
      </w:r>
    </w:p>
    <w:p w14:paraId="3835CFDC">
      <w:pPr>
        <w:adjustRightInd w:val="0"/>
        <w:snapToGrid w:val="0"/>
        <w:spacing w:line="360" w:lineRule="auto"/>
        <w:ind w:firstLine="420" w:firstLineChars="200"/>
        <w:jc w:val="left"/>
      </w:pPr>
      <w:r>
        <w:rPr>
          <w:rFonts w:hint="eastAsia"/>
        </w:rPr>
        <w:t>6.3.11 低电压报警功能试验</w:t>
      </w:r>
    </w:p>
    <w:p w14:paraId="0373F9AD">
      <w:pPr>
        <w:adjustRightInd w:val="0"/>
        <w:snapToGrid w:val="0"/>
        <w:spacing w:line="360" w:lineRule="auto"/>
        <w:ind w:firstLine="420" w:firstLineChars="200"/>
        <w:jc w:val="left"/>
      </w:pPr>
      <w:r>
        <w:rPr>
          <w:rFonts w:hint="eastAsia"/>
          <w:szCs w:val="21"/>
          <w:lang w:bidi="ar"/>
        </w:rPr>
        <w:t>按照DL/T1578相关条款方法进行相应等级试验，</w:t>
      </w:r>
      <w:r>
        <w:rPr>
          <w:rFonts w:hint="eastAsia"/>
        </w:rPr>
        <w:t>在飞行过程中，当电池电压（或电量）低于预设告警电压（或电量）时，可在地面站或遥控手柄上报警提示。</w:t>
      </w:r>
    </w:p>
    <w:p w14:paraId="133E11A8">
      <w:pPr>
        <w:adjustRightInd w:val="0"/>
        <w:snapToGrid w:val="0"/>
        <w:spacing w:line="360" w:lineRule="auto"/>
        <w:ind w:firstLine="420" w:firstLineChars="200"/>
        <w:jc w:val="left"/>
      </w:pPr>
      <w:r>
        <w:rPr>
          <w:rFonts w:hint="eastAsia"/>
        </w:rPr>
        <w:t>6.3.12 位置追踪功能试验</w:t>
      </w:r>
    </w:p>
    <w:p w14:paraId="4F380929">
      <w:pPr>
        <w:adjustRightInd w:val="0"/>
        <w:snapToGrid w:val="0"/>
        <w:spacing w:line="360" w:lineRule="auto"/>
        <w:ind w:firstLine="420" w:firstLineChars="200"/>
        <w:jc w:val="left"/>
      </w:pPr>
      <w:r>
        <w:rPr>
          <w:rFonts w:hint="eastAsia"/>
          <w:szCs w:val="21"/>
          <w:lang w:bidi="ar"/>
        </w:rPr>
        <w:t>按照DL/T1578相关条款方法进行相应等级试验，</w:t>
      </w:r>
      <w:r>
        <w:rPr>
          <w:rFonts w:hint="eastAsia"/>
        </w:rPr>
        <w:t>可不依赖于机载电源和数传电台，以定时自动或受控应答方式向工作人员发送多旋翼无人机位置信息：且定位偏差水平方向不大于5m，垂直方向不大于10m。</w:t>
      </w:r>
    </w:p>
    <w:p w14:paraId="33C44D66">
      <w:pPr>
        <w:adjustRightInd w:val="0"/>
        <w:snapToGrid w:val="0"/>
        <w:spacing w:line="360" w:lineRule="auto"/>
        <w:ind w:firstLine="420" w:firstLineChars="200"/>
        <w:jc w:val="left"/>
      </w:pPr>
      <w:r>
        <w:rPr>
          <w:rFonts w:hint="eastAsia"/>
        </w:rPr>
        <w:t>6.3.13 拍照功能试验</w:t>
      </w:r>
    </w:p>
    <w:p w14:paraId="0CDA244A">
      <w:pPr>
        <w:widowControl/>
        <w:adjustRightInd w:val="0"/>
        <w:snapToGrid w:val="0"/>
        <w:spacing w:line="360" w:lineRule="auto"/>
        <w:ind w:firstLine="420" w:firstLineChars="200"/>
        <w:jc w:val="left"/>
      </w:pPr>
      <w:r>
        <w:rPr>
          <w:rFonts w:hint="eastAsia"/>
          <w:szCs w:val="21"/>
          <w:lang w:bidi="ar"/>
        </w:rPr>
        <w:t>按照DL/T1578相关条款方法进行相应等级试验，样机应</w:t>
      </w:r>
      <w:r>
        <w:rPr>
          <w:rFonts w:hint="eastAsia"/>
          <w:lang w:bidi="ar"/>
        </w:rPr>
        <w:t>具备手动拍照和定点自动拍照功能。</w:t>
      </w:r>
    </w:p>
    <w:p w14:paraId="27AEE361">
      <w:pPr>
        <w:adjustRightInd w:val="0"/>
        <w:snapToGrid w:val="0"/>
        <w:spacing w:line="360" w:lineRule="auto"/>
        <w:ind w:firstLine="420" w:firstLineChars="200"/>
        <w:jc w:val="left"/>
      </w:pPr>
      <w:r>
        <w:rPr>
          <w:rFonts w:hint="eastAsia"/>
        </w:rPr>
        <w:t>6.3.14 转动功能试验</w:t>
      </w:r>
    </w:p>
    <w:p w14:paraId="7B55D86D">
      <w:pPr>
        <w:adjustRightInd w:val="0"/>
        <w:snapToGrid w:val="0"/>
        <w:spacing w:line="360" w:lineRule="auto"/>
        <w:ind w:firstLine="420" w:firstLineChars="200"/>
        <w:jc w:val="left"/>
      </w:pPr>
      <w:r>
        <w:rPr>
          <w:rFonts w:hint="eastAsia"/>
          <w:szCs w:val="21"/>
          <w:lang w:bidi="ar"/>
        </w:rPr>
        <w:t>按照DL/T1578相关条款方法进行相应等级试验，样机</w:t>
      </w:r>
      <w:r>
        <w:rPr>
          <w:rFonts w:hint="eastAsia"/>
        </w:rPr>
        <w:t>应至少具备水平和俯仰两个方向的转动性能，各方向转动最大角速度不小于30°/s。水平转动范围宜为n</w:t>
      </w:r>
      <w:r>
        <w:rPr>
          <w:rFonts w:ascii="Arial" w:hAnsi="Arial" w:cs="Arial"/>
        </w:rPr>
        <w:t>×</w:t>
      </w:r>
      <w:r>
        <w:rPr>
          <w:rFonts w:hint="eastAsia"/>
        </w:rPr>
        <w:t>360°，也可为-180°~+180°;俯仰转动范围至少为-60°~+30°。</w:t>
      </w:r>
    </w:p>
    <w:p w14:paraId="275CC5C9">
      <w:pPr>
        <w:adjustRightInd w:val="0"/>
        <w:snapToGrid w:val="0"/>
        <w:spacing w:line="360" w:lineRule="auto"/>
        <w:ind w:firstLine="420" w:firstLineChars="200"/>
        <w:jc w:val="left"/>
      </w:pPr>
      <w:r>
        <w:rPr>
          <w:rFonts w:hint="eastAsia"/>
        </w:rPr>
        <w:t>6.3.15 稳像精度试验</w:t>
      </w:r>
    </w:p>
    <w:p w14:paraId="2D1C70FC">
      <w:pPr>
        <w:adjustRightInd w:val="0"/>
        <w:snapToGrid w:val="0"/>
        <w:spacing w:line="360" w:lineRule="auto"/>
        <w:ind w:firstLine="420" w:firstLineChars="200"/>
        <w:jc w:val="left"/>
      </w:pPr>
      <w:r>
        <w:rPr>
          <w:rFonts w:hint="eastAsia"/>
          <w:szCs w:val="21"/>
          <w:lang w:bidi="ar"/>
        </w:rPr>
        <w:t>按照DL/T1578相关条款方法进行相应等级试验，样机</w:t>
      </w:r>
      <w:r>
        <w:rPr>
          <w:rFonts w:hint="eastAsia"/>
        </w:rPr>
        <w:t>稳像精度不应低于2.0mrad。</w:t>
      </w:r>
    </w:p>
    <w:p w14:paraId="37273988">
      <w:pPr>
        <w:adjustRightInd w:val="0"/>
        <w:snapToGrid w:val="0"/>
        <w:spacing w:line="360" w:lineRule="auto"/>
        <w:ind w:firstLine="420" w:firstLineChars="200"/>
        <w:jc w:val="left"/>
      </w:pPr>
      <w:r>
        <w:rPr>
          <w:rFonts w:hint="eastAsia"/>
        </w:rPr>
        <w:t>6.3.16 可见光成像性能试验</w:t>
      </w:r>
    </w:p>
    <w:p w14:paraId="76D6E2E8">
      <w:pPr>
        <w:adjustRightInd w:val="0"/>
        <w:snapToGrid w:val="0"/>
        <w:spacing w:line="360" w:lineRule="auto"/>
        <w:ind w:firstLine="420" w:firstLineChars="200"/>
        <w:jc w:val="left"/>
        <w:rPr>
          <w:lang w:bidi="ar"/>
        </w:rPr>
      </w:pPr>
      <w:r>
        <w:rPr>
          <w:rFonts w:hint="eastAsia"/>
          <w:szCs w:val="21"/>
          <w:lang w:bidi="ar"/>
        </w:rPr>
        <w:t>按照DL/T1578相关条款方法进行相应等级试验，样机挂载的</w:t>
      </w:r>
      <w:r>
        <w:rPr>
          <w:rFonts w:hint="eastAsia"/>
          <w:lang w:bidi="ar"/>
        </w:rPr>
        <w:t>可见光传感器有效像素数不低于2000万，具备变焦功能和自动对焦功能，在距离不小于20m处拍摄的影像中可清晰分辨</w:t>
      </w:r>
      <w:r>
        <w:rPr>
          <w:lang w:bidi="ar"/>
        </w:rPr>
        <w:t>Φ</w:t>
      </w:r>
      <w:r>
        <w:rPr>
          <w:rFonts w:hint="eastAsia"/>
          <w:lang w:bidi="ar"/>
        </w:rPr>
        <w:t>1.4mm目标，目标轮廓清晰可辨。</w:t>
      </w:r>
    </w:p>
    <w:p w14:paraId="2CCBC994">
      <w:pPr>
        <w:adjustRightInd w:val="0"/>
        <w:snapToGrid w:val="0"/>
        <w:spacing w:line="360" w:lineRule="auto"/>
        <w:ind w:firstLine="420" w:firstLineChars="200"/>
        <w:jc w:val="left"/>
        <w:rPr>
          <w:szCs w:val="21"/>
          <w:lang w:bidi="ar"/>
        </w:rPr>
      </w:pPr>
      <w:r>
        <w:rPr>
          <w:rFonts w:hint="eastAsia"/>
        </w:rPr>
        <w:t xml:space="preserve">6.3.17 </w:t>
      </w:r>
      <w:r>
        <w:rPr>
          <w:rFonts w:hint="eastAsia"/>
          <w:szCs w:val="21"/>
          <w:lang w:bidi="ar"/>
        </w:rPr>
        <w:t>红外成像性能试验</w:t>
      </w:r>
    </w:p>
    <w:p w14:paraId="210110CE">
      <w:pPr>
        <w:adjustRightInd w:val="0"/>
        <w:snapToGrid w:val="0"/>
        <w:spacing w:line="360" w:lineRule="auto"/>
        <w:ind w:firstLine="420" w:firstLineChars="200"/>
        <w:jc w:val="left"/>
      </w:pPr>
      <w:r>
        <w:rPr>
          <w:rFonts w:hint="eastAsia"/>
          <w:szCs w:val="21"/>
          <w:lang w:bidi="ar"/>
        </w:rPr>
        <w:t>按照DL/T1578相关条款方法进行相应等级试验，样机挂载的红外传感器可为单独型式或与可见光传感器一体化型式。红外传感器的有效像素数不低于30万：具备自动对焦功能：测温范围不小于10°~150°、精度不低于土2°或测量值乘以±2%（取绝对值大者）</w:t>
      </w:r>
      <w:r>
        <w:rPr>
          <w:rFonts w:hint="eastAsia"/>
          <w:lang w:bidi="ar"/>
        </w:rPr>
        <w:t>。</w:t>
      </w:r>
    </w:p>
    <w:p w14:paraId="40EE60BD">
      <w:pPr>
        <w:adjustRightInd w:val="0"/>
        <w:snapToGrid w:val="0"/>
        <w:spacing w:line="360" w:lineRule="auto"/>
        <w:ind w:firstLine="420" w:firstLineChars="200"/>
        <w:jc w:val="left"/>
      </w:pPr>
      <w:r>
        <w:rPr>
          <w:rFonts w:hint="eastAsia"/>
        </w:rPr>
        <w:t>6.3.18 跟踪精度试验</w:t>
      </w:r>
    </w:p>
    <w:p w14:paraId="14020B74">
      <w:pPr>
        <w:adjustRightInd w:val="0"/>
        <w:snapToGrid w:val="0"/>
        <w:spacing w:line="360" w:lineRule="auto"/>
        <w:ind w:firstLine="420" w:firstLineChars="200"/>
        <w:jc w:val="left"/>
        <w:rPr>
          <w:lang w:bidi="ar"/>
        </w:rPr>
      </w:pPr>
      <w:r>
        <w:rPr>
          <w:rFonts w:hint="eastAsia"/>
          <w:szCs w:val="21"/>
          <w:lang w:bidi="ar"/>
        </w:rPr>
        <w:t>按照DL/T1578相关条款方法进行相应等级试验，样机</w:t>
      </w:r>
      <w:r>
        <w:rPr>
          <w:rFonts w:hint="eastAsia"/>
          <w:lang w:bidi="ar"/>
        </w:rPr>
        <w:t>宜具备跟踪功能，跟踪精度不低于4.0mrad。</w:t>
      </w:r>
    </w:p>
    <w:p w14:paraId="2D7E1DFC">
      <w:pPr>
        <w:adjustRightInd w:val="0"/>
        <w:snapToGrid w:val="0"/>
        <w:spacing w:line="360" w:lineRule="auto"/>
        <w:ind w:firstLine="420" w:firstLineChars="200"/>
        <w:jc w:val="left"/>
      </w:pPr>
      <w:r>
        <w:rPr>
          <w:rFonts w:hint="eastAsia"/>
        </w:rPr>
        <w:t xml:space="preserve">6.4 </w:t>
      </w:r>
      <w:r>
        <w:t>电磁兼容试验</w:t>
      </w:r>
    </w:p>
    <w:p w14:paraId="5A5112E7">
      <w:pPr>
        <w:adjustRightInd w:val="0"/>
        <w:snapToGrid w:val="0"/>
        <w:spacing w:line="360" w:lineRule="auto"/>
        <w:ind w:firstLine="420" w:firstLineChars="200"/>
        <w:jc w:val="left"/>
      </w:pPr>
      <w:r>
        <w:rPr>
          <w:rFonts w:hint="eastAsia"/>
        </w:rPr>
        <w:t>6.4.1 射频电磁场辐射抗扰度试验</w:t>
      </w:r>
    </w:p>
    <w:p w14:paraId="734F1742">
      <w:pPr>
        <w:adjustRightInd w:val="0"/>
        <w:snapToGrid w:val="0"/>
        <w:spacing w:line="360" w:lineRule="auto"/>
        <w:ind w:firstLine="420" w:firstLineChars="200"/>
        <w:jc w:val="left"/>
        <w:rPr>
          <w:lang w:bidi="ar"/>
        </w:rPr>
      </w:pPr>
      <w:r>
        <w:rPr>
          <w:rFonts w:hint="eastAsia"/>
          <w:lang w:bidi="ar"/>
        </w:rPr>
        <w:t>按照GB/T 17626.3 /</w:t>
      </w:r>
      <w:r>
        <w:rPr>
          <w:rFonts w:hint="eastAsia"/>
          <w:szCs w:val="21"/>
          <w:lang w:bidi="ar"/>
        </w:rPr>
        <w:t>DL/T1578</w:t>
      </w:r>
      <w:r>
        <w:rPr>
          <w:rFonts w:hint="eastAsia"/>
          <w:lang w:bidi="ar"/>
        </w:rPr>
        <w:t>的相关条款方法进行试验，</w:t>
      </w:r>
      <w:r>
        <w:rPr>
          <w:rFonts w:hint="eastAsia"/>
          <w:szCs w:val="21"/>
          <w:lang w:bidi="ar"/>
        </w:rPr>
        <w:t>样机</w:t>
      </w:r>
      <w:r>
        <w:rPr>
          <w:rFonts w:hint="eastAsia"/>
          <w:lang w:bidi="ar"/>
        </w:rPr>
        <w:t>试验结果不低于B级。</w:t>
      </w:r>
    </w:p>
    <w:p w14:paraId="3C3C3C08">
      <w:pPr>
        <w:adjustRightInd w:val="0"/>
        <w:snapToGrid w:val="0"/>
        <w:spacing w:line="360" w:lineRule="auto"/>
        <w:ind w:firstLine="420" w:firstLineChars="200"/>
        <w:jc w:val="left"/>
      </w:pPr>
      <w:r>
        <w:rPr>
          <w:rFonts w:hint="eastAsia"/>
        </w:rPr>
        <w:t>6.4.2 静电放电抗扰度</w:t>
      </w:r>
    </w:p>
    <w:p w14:paraId="6DD7DEE3">
      <w:pPr>
        <w:adjustRightInd w:val="0"/>
        <w:snapToGrid w:val="0"/>
        <w:spacing w:line="360" w:lineRule="auto"/>
        <w:ind w:firstLine="420" w:firstLineChars="200"/>
        <w:jc w:val="left"/>
        <w:rPr>
          <w:lang w:bidi="ar"/>
        </w:rPr>
      </w:pPr>
      <w:r>
        <w:rPr>
          <w:rFonts w:hint="eastAsia"/>
          <w:lang w:bidi="ar"/>
        </w:rPr>
        <w:t>按照GB/T 17626.2/</w:t>
      </w:r>
      <w:r>
        <w:rPr>
          <w:rFonts w:hint="eastAsia"/>
          <w:szCs w:val="21"/>
          <w:lang w:bidi="ar"/>
        </w:rPr>
        <w:t>DL/T1578</w:t>
      </w:r>
      <w:r>
        <w:rPr>
          <w:rFonts w:hint="eastAsia"/>
          <w:lang w:bidi="ar"/>
        </w:rPr>
        <w:t xml:space="preserve"> 的相关条款方法进行试验，</w:t>
      </w:r>
      <w:r>
        <w:rPr>
          <w:rFonts w:hint="eastAsia"/>
          <w:szCs w:val="21"/>
          <w:lang w:bidi="ar"/>
        </w:rPr>
        <w:t>样机</w:t>
      </w:r>
      <w:r>
        <w:rPr>
          <w:rFonts w:hint="eastAsia"/>
          <w:lang w:bidi="ar"/>
        </w:rPr>
        <w:t>试验结果不低于A级。</w:t>
      </w:r>
    </w:p>
    <w:p w14:paraId="0D8E9E75">
      <w:pPr>
        <w:adjustRightInd w:val="0"/>
        <w:snapToGrid w:val="0"/>
        <w:spacing w:line="360" w:lineRule="auto"/>
        <w:ind w:firstLine="420" w:firstLineChars="200"/>
        <w:jc w:val="left"/>
      </w:pPr>
      <w:r>
        <w:rPr>
          <w:rFonts w:hint="eastAsia"/>
        </w:rPr>
        <w:t>6.4.3 脉冲磁场抗扰度</w:t>
      </w:r>
    </w:p>
    <w:p w14:paraId="3361A8E0">
      <w:pPr>
        <w:adjustRightInd w:val="0"/>
        <w:snapToGrid w:val="0"/>
        <w:spacing w:line="360" w:lineRule="auto"/>
        <w:ind w:firstLine="420" w:firstLineChars="200"/>
        <w:jc w:val="left"/>
        <w:rPr>
          <w:lang w:bidi="ar"/>
        </w:rPr>
      </w:pPr>
      <w:r>
        <w:rPr>
          <w:rFonts w:hint="eastAsia"/>
          <w:lang w:bidi="ar"/>
        </w:rPr>
        <w:t>按照GB/T 17626.9 /</w:t>
      </w:r>
      <w:r>
        <w:rPr>
          <w:rFonts w:hint="eastAsia"/>
          <w:szCs w:val="21"/>
          <w:lang w:bidi="ar"/>
        </w:rPr>
        <w:t>DL/T1578</w:t>
      </w:r>
      <w:r>
        <w:rPr>
          <w:rFonts w:hint="eastAsia"/>
          <w:lang w:bidi="ar"/>
        </w:rPr>
        <w:t>的相关条款方法进行试验，</w:t>
      </w:r>
      <w:r>
        <w:rPr>
          <w:rFonts w:hint="eastAsia"/>
          <w:szCs w:val="21"/>
          <w:lang w:bidi="ar"/>
        </w:rPr>
        <w:t>样机</w:t>
      </w:r>
      <w:r>
        <w:rPr>
          <w:rFonts w:hint="eastAsia"/>
          <w:lang w:bidi="ar"/>
        </w:rPr>
        <w:t>试验结果不低于A级。</w:t>
      </w:r>
    </w:p>
    <w:p w14:paraId="44985FF5">
      <w:pPr>
        <w:adjustRightInd w:val="0"/>
        <w:snapToGrid w:val="0"/>
        <w:spacing w:line="360" w:lineRule="auto"/>
        <w:ind w:firstLine="420" w:firstLineChars="200"/>
        <w:jc w:val="left"/>
      </w:pPr>
      <w:r>
        <w:rPr>
          <w:rFonts w:hint="eastAsia"/>
        </w:rPr>
        <w:t>6.4.4 工频磁场抗扰度</w:t>
      </w:r>
    </w:p>
    <w:p w14:paraId="24A617E4">
      <w:pPr>
        <w:adjustRightInd w:val="0"/>
        <w:snapToGrid w:val="0"/>
        <w:spacing w:line="360" w:lineRule="auto"/>
        <w:ind w:firstLine="420" w:firstLineChars="200"/>
        <w:jc w:val="left"/>
        <w:rPr>
          <w:lang w:bidi="ar"/>
        </w:rPr>
      </w:pPr>
      <w:r>
        <w:rPr>
          <w:rFonts w:hint="eastAsia"/>
          <w:lang w:bidi="ar"/>
        </w:rPr>
        <w:t>按照GB 17626.8/</w:t>
      </w:r>
      <w:r>
        <w:rPr>
          <w:rFonts w:hint="eastAsia"/>
          <w:szCs w:val="21"/>
          <w:lang w:bidi="ar"/>
        </w:rPr>
        <w:t>DL/T1578</w:t>
      </w:r>
      <w:r>
        <w:rPr>
          <w:rFonts w:hint="eastAsia"/>
          <w:lang w:bidi="ar"/>
        </w:rPr>
        <w:t xml:space="preserve"> 的相关条款方法进行试验，</w:t>
      </w:r>
      <w:r>
        <w:rPr>
          <w:rFonts w:hint="eastAsia"/>
          <w:szCs w:val="21"/>
          <w:lang w:bidi="ar"/>
        </w:rPr>
        <w:t>样机</w:t>
      </w:r>
      <w:r>
        <w:rPr>
          <w:rFonts w:hint="eastAsia"/>
          <w:lang w:bidi="ar"/>
        </w:rPr>
        <w:t>试验结果不低于A级。</w:t>
      </w:r>
    </w:p>
    <w:p w14:paraId="12EF5029">
      <w:pPr>
        <w:adjustRightInd w:val="0"/>
        <w:snapToGrid w:val="0"/>
        <w:spacing w:line="360" w:lineRule="auto"/>
        <w:ind w:firstLine="420" w:firstLineChars="200"/>
        <w:jc w:val="left"/>
      </w:pPr>
      <w:r>
        <w:rPr>
          <w:rFonts w:hint="eastAsia"/>
        </w:rPr>
        <w:t>6.5 性能试验</w:t>
      </w:r>
    </w:p>
    <w:p w14:paraId="01E2EF91">
      <w:pPr>
        <w:adjustRightInd w:val="0"/>
        <w:snapToGrid w:val="0"/>
        <w:spacing w:line="360" w:lineRule="auto"/>
        <w:ind w:firstLine="420" w:firstLineChars="200"/>
        <w:jc w:val="left"/>
      </w:pPr>
      <w:r>
        <w:rPr>
          <w:rFonts w:hint="eastAsia"/>
        </w:rPr>
        <w:t xml:space="preserve">6.5.1 </w:t>
      </w:r>
      <w:r>
        <w:rPr>
          <w:kern w:val="0"/>
          <w:szCs w:val="21"/>
        </w:rPr>
        <w:t>地面站软件性能试验</w:t>
      </w:r>
    </w:p>
    <w:p w14:paraId="7A0D49C4">
      <w:pPr>
        <w:adjustRightInd w:val="0"/>
        <w:snapToGrid w:val="0"/>
        <w:spacing w:line="360" w:lineRule="auto"/>
        <w:ind w:firstLine="420" w:firstLineChars="200"/>
        <w:jc w:val="left"/>
      </w:pPr>
      <w:r>
        <w:rPr>
          <w:rFonts w:hint="eastAsia"/>
        </w:rPr>
        <w:t>（1）</w:t>
      </w:r>
      <w:r>
        <w:rPr>
          <w:rFonts w:hint="eastAsia"/>
          <w:szCs w:val="21"/>
          <w:lang w:bidi="ar"/>
        </w:rPr>
        <w:t>按照DL/T1578相关条款方法进行相应等级试验，</w:t>
      </w:r>
      <w:r>
        <w:rPr>
          <w:rFonts w:hint="eastAsia"/>
        </w:rPr>
        <w:t>样机应具备当前位置坐标、飞行高度（可为相对高度，也可为绝对高度;相对高度可为负值，绝对高度采用CGCS2000坐标系高度）、飞行速度、飞行航向和航迹、剩余电量、导航定位信号强度等参数的实时显示和记录。</w:t>
      </w:r>
    </w:p>
    <w:p w14:paraId="6AD3D7F8">
      <w:pPr>
        <w:adjustRightInd w:val="0"/>
        <w:snapToGrid w:val="0"/>
        <w:spacing w:line="360" w:lineRule="auto"/>
        <w:ind w:firstLine="420" w:firstLineChars="200"/>
        <w:jc w:val="left"/>
      </w:pPr>
      <w:r>
        <w:rPr>
          <w:rFonts w:hint="eastAsia"/>
        </w:rPr>
        <w:t>（2）</w:t>
      </w:r>
      <w:r>
        <w:rPr>
          <w:rFonts w:hint="eastAsia"/>
          <w:szCs w:val="21"/>
          <w:lang w:bidi="ar"/>
        </w:rPr>
        <w:t>按照DL/T1578相关条款方法进行相应等级试验，地面站软件应</w:t>
      </w:r>
      <w:r>
        <w:rPr>
          <w:rFonts w:hint="eastAsia"/>
        </w:rPr>
        <w:t>具备电池实时监控管理功能，可对电池电压、充放电次数等进行实时查询和管理。</w:t>
      </w:r>
    </w:p>
    <w:p w14:paraId="5C1127EC">
      <w:pPr>
        <w:adjustRightInd w:val="0"/>
        <w:snapToGrid w:val="0"/>
        <w:spacing w:line="360" w:lineRule="auto"/>
        <w:ind w:firstLine="420" w:firstLineChars="200"/>
        <w:jc w:val="left"/>
      </w:pPr>
      <w:r>
        <w:rPr>
          <w:rFonts w:hint="eastAsia"/>
        </w:rPr>
        <w:t>（3）</w:t>
      </w:r>
      <w:r>
        <w:rPr>
          <w:rFonts w:hint="eastAsia"/>
          <w:szCs w:val="21"/>
          <w:lang w:bidi="ar"/>
        </w:rPr>
        <w:t>按照DL/T1578相关条款方法进行相应等级试验，地面站软件应对</w:t>
      </w:r>
      <w:r>
        <w:rPr>
          <w:rFonts w:hint="eastAsia"/>
        </w:rPr>
        <w:t>拍摄的可见光影像、红外影像（含热图数据）及飞行日志数据可存储、导出和分析。</w:t>
      </w:r>
    </w:p>
    <w:p w14:paraId="1935790E">
      <w:pPr>
        <w:adjustRightInd w:val="0"/>
        <w:snapToGrid w:val="0"/>
        <w:spacing w:line="360" w:lineRule="auto"/>
        <w:ind w:firstLine="420" w:firstLineChars="200"/>
        <w:jc w:val="left"/>
      </w:pPr>
      <w:r>
        <w:rPr>
          <w:rFonts w:hint="eastAsia"/>
          <w:lang w:bidi="ar"/>
        </w:rPr>
        <w:t>（4）多旋翼无人机位置及偏离角、云台俯仰角及偏转角等信息宜记录至拍摄影像的属性中</w:t>
      </w:r>
      <w:r>
        <w:rPr>
          <w:rFonts w:hint="eastAsia"/>
        </w:rPr>
        <w:t>。</w:t>
      </w:r>
    </w:p>
    <w:p w14:paraId="3371CC47">
      <w:pPr>
        <w:adjustRightInd w:val="0"/>
        <w:snapToGrid w:val="0"/>
        <w:spacing w:line="360" w:lineRule="auto"/>
        <w:ind w:firstLine="420" w:firstLineChars="200"/>
        <w:jc w:val="left"/>
        <w:rPr>
          <w:kern w:val="0"/>
          <w:szCs w:val="21"/>
        </w:rPr>
      </w:pPr>
      <w:r>
        <w:rPr>
          <w:rFonts w:hint="eastAsia"/>
          <w:kern w:val="0"/>
          <w:szCs w:val="21"/>
        </w:rPr>
        <w:t>6.5.2 动力电池性能试验</w:t>
      </w:r>
    </w:p>
    <w:p w14:paraId="2FB6907E">
      <w:pPr>
        <w:adjustRightInd w:val="0"/>
        <w:snapToGrid w:val="0"/>
        <w:spacing w:line="360" w:lineRule="auto"/>
        <w:ind w:firstLine="420" w:firstLineChars="200"/>
        <w:jc w:val="left"/>
      </w:pPr>
      <w:r>
        <w:rPr>
          <w:rFonts w:hint="eastAsia"/>
          <w:lang w:bidi="ar"/>
        </w:rPr>
        <w:t>按照DL/T1578相关条</w:t>
      </w:r>
      <w:r>
        <w:rPr>
          <w:rFonts w:hint="eastAsia"/>
          <w:szCs w:val="21"/>
          <w:lang w:bidi="ar"/>
        </w:rPr>
        <w:t>款方法进行相应等级试验，</w:t>
      </w:r>
      <w:r>
        <w:rPr>
          <w:rFonts w:hint="eastAsia"/>
        </w:rPr>
        <w:t>样机动力电池外观特性应具有电源正负极标识，电池接头采取防松脱、防误插措施；在电性能试验中，23℃快速放电容量试验不低于电池规格书规定的额定值，且不高于额定值的110%，-20℃快速放电容量试验不低于电池规格书规定的额定值的70%，55℃快速放电容量试验不低于电池规格书规定的额定值的95%，循环寿命的循环次数不小于300；在环境适应性的低气压试验、温度冲击试验、耐振动性试验中，电池均不出现变形、鼓包、漏液、破裂、起火、爆炸等现象；在安全性的过电压充电试验、欠电压放电试验、外部短路试验、挤压试验、加速度冲击试验、跌落试验中，电池均不出现变形、鼓包、漏液、破裂、起火、爆炸等现象。</w:t>
      </w:r>
    </w:p>
    <w:p w14:paraId="09D1FD4E">
      <w:pPr>
        <w:adjustRightInd w:val="0"/>
        <w:snapToGrid w:val="0"/>
        <w:spacing w:line="360" w:lineRule="auto"/>
        <w:ind w:firstLine="420" w:firstLineChars="200"/>
        <w:jc w:val="left"/>
      </w:pPr>
      <w:r>
        <w:rPr>
          <w:rFonts w:hint="eastAsia"/>
        </w:rPr>
        <w:t xml:space="preserve">6.5.3 </w:t>
      </w:r>
      <w:r>
        <w:rPr>
          <w:rFonts w:hint="eastAsia"/>
          <w:kern w:val="0"/>
          <w:szCs w:val="21"/>
        </w:rPr>
        <w:t>机械耐受性能试验</w:t>
      </w:r>
    </w:p>
    <w:p w14:paraId="57EF5068">
      <w:pPr>
        <w:adjustRightInd w:val="0"/>
        <w:snapToGrid w:val="0"/>
        <w:spacing w:line="360" w:lineRule="auto"/>
        <w:ind w:firstLine="420" w:firstLineChars="200"/>
        <w:jc w:val="left"/>
      </w:pPr>
      <w:r>
        <w:rPr>
          <w:rFonts w:hint="eastAsia"/>
          <w:lang w:bidi="ar"/>
        </w:rPr>
        <w:t>按照</w:t>
      </w:r>
      <w:r>
        <w:rPr>
          <w:rFonts w:hint="eastAsia"/>
          <w:szCs w:val="21"/>
          <w:lang w:bidi="ar"/>
        </w:rPr>
        <w:t>DL/T1578</w:t>
      </w:r>
      <w:r>
        <w:rPr>
          <w:rFonts w:hint="eastAsia"/>
          <w:lang w:bidi="ar"/>
        </w:rPr>
        <w:t>的相关条款方法进行试验，样机无变形和裂纹等现象，插接件、紧固件等无开裂、松落等现象，显示屏无变形、开裂、花屏等现象，样机操控响应正常，任务设备转动、拍摄等功能正常。</w:t>
      </w:r>
    </w:p>
    <w:p w14:paraId="12EC9308">
      <w:pPr>
        <w:adjustRightInd w:val="0"/>
        <w:snapToGrid w:val="0"/>
        <w:spacing w:line="360" w:lineRule="auto"/>
        <w:ind w:firstLine="420" w:firstLineChars="200"/>
        <w:jc w:val="left"/>
      </w:pPr>
      <w:r>
        <w:rPr>
          <w:rFonts w:hint="eastAsia"/>
        </w:rPr>
        <w:t>6.5.4 跌落</w:t>
      </w:r>
      <w:r>
        <w:rPr>
          <w:rFonts w:hint="eastAsia"/>
          <w:kern w:val="0"/>
          <w:szCs w:val="21"/>
        </w:rPr>
        <w:t>性能试验</w:t>
      </w:r>
    </w:p>
    <w:p w14:paraId="18D146F1">
      <w:pPr>
        <w:adjustRightInd w:val="0"/>
        <w:snapToGrid w:val="0"/>
        <w:spacing w:line="360" w:lineRule="auto"/>
        <w:ind w:firstLine="420" w:firstLineChars="200"/>
        <w:rPr>
          <w:lang w:bidi="ar"/>
        </w:rPr>
      </w:pPr>
      <w:r>
        <w:rPr>
          <w:rFonts w:hint="eastAsia"/>
          <w:lang w:bidi="ar"/>
        </w:rPr>
        <w:t>按照</w:t>
      </w:r>
      <w:r>
        <w:rPr>
          <w:rFonts w:hint="eastAsia"/>
          <w:szCs w:val="21"/>
          <w:lang w:bidi="ar"/>
        </w:rPr>
        <w:t>DL/T1578</w:t>
      </w:r>
      <w:r>
        <w:rPr>
          <w:rFonts w:hint="eastAsia"/>
          <w:lang w:bidi="ar"/>
        </w:rPr>
        <w:t>的相关条款方法进行试验，</w:t>
      </w:r>
      <w:r>
        <w:rPr>
          <w:rFonts w:hint="eastAsia"/>
          <w:szCs w:val="21"/>
          <w:lang w:bidi="ar"/>
        </w:rPr>
        <w:t>储运包</w:t>
      </w:r>
      <w:r>
        <w:rPr>
          <w:rFonts w:hint="eastAsia"/>
          <w:lang w:bidi="ar"/>
        </w:rPr>
        <w:t>无变形、裂纹和破损屏等现像，样机无变形和裂纹等现象，插接件、紧固件等无开裂、松落等现象，显示屏无变形、开裂、花屏等现象，样机操控响应正常，任务设备转动、拍摄等功能正常。</w:t>
      </w:r>
    </w:p>
    <w:bookmarkEnd w:id="105"/>
    <w:bookmarkEnd w:id="106"/>
    <w:bookmarkEnd w:id="107"/>
    <w:p w14:paraId="2F9B4566">
      <w:pPr>
        <w:spacing w:line="480" w:lineRule="auto"/>
        <w:outlineLvl w:val="0"/>
        <w:rPr>
          <w:rFonts w:eastAsia="黑体"/>
          <w:b/>
          <w:bCs/>
          <w:szCs w:val="21"/>
        </w:rPr>
      </w:pPr>
      <w:bookmarkStart w:id="112" w:name="_Toc21680"/>
      <w:bookmarkStart w:id="113" w:name="_Toc76025497"/>
      <w:bookmarkStart w:id="114" w:name="_Toc20001"/>
      <w:bookmarkStart w:id="115" w:name="_Toc5506"/>
      <w:bookmarkStart w:id="116" w:name="_Toc66780575"/>
      <w:bookmarkStart w:id="117" w:name="_Toc11570"/>
      <w:r>
        <w:rPr>
          <w:rFonts w:eastAsia="黑体"/>
          <w:b/>
          <w:bCs/>
          <w:szCs w:val="21"/>
        </w:rPr>
        <w:t xml:space="preserve">7 </w:t>
      </w:r>
      <w:r>
        <w:rPr>
          <w:rFonts w:hint="eastAsia" w:eastAsia="黑体"/>
          <w:b/>
          <w:bCs/>
          <w:szCs w:val="21"/>
        </w:rPr>
        <w:t>检验规则</w:t>
      </w:r>
    </w:p>
    <w:p w14:paraId="72C21638">
      <w:pPr>
        <w:adjustRightInd w:val="0"/>
        <w:snapToGrid w:val="0"/>
        <w:spacing w:line="360" w:lineRule="auto"/>
        <w:ind w:firstLine="420" w:firstLineChars="200"/>
      </w:pPr>
      <w:r>
        <w:rPr>
          <w:rFonts w:hint="eastAsia"/>
        </w:rPr>
        <w:t>试验按IEC、GB、DL、中国南方电网企业标准和其他有关标准进行，本技术条件要求的试验，其试验费用由供货方承担。试验应出具详细记载试验方法、测试过程数据和正式的试验报告。</w:t>
      </w:r>
    </w:p>
    <w:p w14:paraId="1ADB5D14">
      <w:pPr>
        <w:snapToGrid w:val="0"/>
        <w:spacing w:line="360" w:lineRule="auto"/>
        <w:ind w:firstLine="420" w:firstLineChars="200"/>
        <w:jc w:val="left"/>
      </w:pPr>
      <w:r>
        <w:rPr>
          <w:rFonts w:hint="eastAsia"/>
        </w:rPr>
        <w:t>无人机试验</w:t>
      </w:r>
      <w:r>
        <w:t>分为</w:t>
      </w:r>
      <w:r>
        <w:rPr>
          <w:rFonts w:hint="eastAsia"/>
        </w:rPr>
        <w:t>型式试验、</w:t>
      </w:r>
      <w:r>
        <w:t>出厂试验</w:t>
      </w:r>
      <w:r>
        <w:rPr>
          <w:rFonts w:hint="eastAsia"/>
        </w:rPr>
        <w:t>、送样检测、专项抽检和到货抽检，具体检测项目如表7.1所示，试验方法和要求参照</w:t>
      </w:r>
      <w:r>
        <w:rPr>
          <w:rFonts w:hint="eastAsia"/>
          <w:szCs w:val="21"/>
        </w:rPr>
        <w:t>DL/T 1578-2021</w:t>
      </w:r>
      <w:r>
        <w:rPr>
          <w:rFonts w:hint="eastAsia"/>
          <w:szCs w:val="21"/>
        </w:rPr>
        <w:tab/>
      </w:r>
      <w:r>
        <w:rPr>
          <w:rFonts w:hint="eastAsia"/>
          <w:szCs w:val="21"/>
        </w:rPr>
        <w:t>架空电力线路多旋翼无人机巡检系统等</w:t>
      </w:r>
      <w:r>
        <w:rPr>
          <w:rFonts w:hint="eastAsia"/>
        </w:rPr>
        <w:t>相关标准执行。</w:t>
      </w:r>
    </w:p>
    <w:p w14:paraId="6C8E901F">
      <w:pPr>
        <w:adjustRightInd w:val="0"/>
        <w:snapToGrid w:val="0"/>
        <w:spacing w:line="360" w:lineRule="auto"/>
        <w:ind w:firstLine="420" w:firstLineChars="200"/>
        <w:rPr>
          <w:szCs w:val="21"/>
        </w:rPr>
      </w:pPr>
      <w:r>
        <w:rPr>
          <w:rFonts w:hint="eastAsia"/>
        </w:rPr>
        <w:t>验收检验在合同规定时间内</w:t>
      </w:r>
      <w:r>
        <w:rPr>
          <w:rFonts w:hint="eastAsia"/>
          <w:lang w:val="zh-CN"/>
        </w:rPr>
        <w:t>所有性能指标达到本规范技术要求时，方可进行验收；投标方根据招标方的要求提供建议及做好验收前的相关准备工作，验收过程中投标方在投标文件中声明响应的指标任意一项未通过测试，则视为不合格；验收测试合格后方能交付项目单位，同时双方签署验收证明，对于验收整改问题需按招标方要求限期整改或更换。</w:t>
      </w:r>
      <w:bookmarkEnd w:id="112"/>
      <w:bookmarkEnd w:id="113"/>
      <w:bookmarkEnd w:id="114"/>
      <w:bookmarkEnd w:id="115"/>
      <w:bookmarkEnd w:id="116"/>
      <w:bookmarkEnd w:id="117"/>
    </w:p>
    <w:p w14:paraId="343BD685">
      <w:pPr>
        <w:jc w:val="center"/>
      </w:pPr>
      <w:r>
        <w:rPr>
          <w:szCs w:val="21"/>
        </w:rPr>
        <w:t>表</w:t>
      </w:r>
      <w:r>
        <w:rPr>
          <w:rFonts w:hint="eastAsia"/>
          <w:szCs w:val="21"/>
        </w:rPr>
        <w:t>7</w:t>
      </w:r>
      <w:r>
        <w:rPr>
          <w:szCs w:val="21"/>
        </w:rPr>
        <w:t xml:space="preserve">.1  </w:t>
      </w:r>
      <w:r>
        <w:rPr>
          <w:szCs w:val="21"/>
        </w:rPr>
        <w:tab/>
      </w:r>
      <w:r>
        <w:rPr>
          <w:rFonts w:hint="eastAsia"/>
        </w:rPr>
        <w:t>无人机</w:t>
      </w:r>
      <w:r>
        <w:rPr>
          <w:rFonts w:hint="eastAsia"/>
          <w:szCs w:val="21"/>
        </w:rPr>
        <w:t>检测项目</w:t>
      </w:r>
    </w:p>
    <w:tbl>
      <w:tblPr>
        <w:tblStyle w:val="57"/>
        <w:tblW w:w="934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58"/>
        <w:gridCol w:w="970"/>
        <w:gridCol w:w="2457"/>
        <w:gridCol w:w="917"/>
        <w:gridCol w:w="960"/>
        <w:gridCol w:w="845"/>
        <w:gridCol w:w="880"/>
        <w:gridCol w:w="880"/>
        <w:gridCol w:w="880"/>
      </w:tblGrid>
      <w:tr w14:paraId="22A26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5" w:type="dxa"/>
            <w:gridSpan w:val="3"/>
            <w:vMerge w:val="restart"/>
            <w:vAlign w:val="center"/>
          </w:tcPr>
          <w:p w14:paraId="76A17D76">
            <w:pPr>
              <w:jc w:val="center"/>
              <w:rPr>
                <w:kern w:val="0"/>
                <w:sz w:val="20"/>
                <w:szCs w:val="20"/>
              </w:rPr>
            </w:pPr>
            <w:r>
              <w:rPr>
                <w:kern w:val="0"/>
                <w:sz w:val="20"/>
                <w:szCs w:val="20"/>
              </w:rPr>
              <w:t>试验项目</w:t>
            </w:r>
          </w:p>
        </w:tc>
        <w:tc>
          <w:tcPr>
            <w:tcW w:w="5362" w:type="dxa"/>
            <w:gridSpan w:val="6"/>
            <w:vAlign w:val="center"/>
          </w:tcPr>
          <w:p w14:paraId="2C570D35">
            <w:pPr>
              <w:jc w:val="center"/>
              <w:rPr>
                <w:kern w:val="0"/>
                <w:sz w:val="20"/>
                <w:szCs w:val="20"/>
              </w:rPr>
            </w:pPr>
            <w:r>
              <w:rPr>
                <w:rFonts w:hint="eastAsia"/>
                <w:kern w:val="0"/>
                <w:sz w:val="20"/>
                <w:szCs w:val="20"/>
              </w:rPr>
              <w:t>试验类型</w:t>
            </w:r>
          </w:p>
        </w:tc>
      </w:tr>
      <w:tr w14:paraId="0473A0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5" w:type="dxa"/>
            <w:gridSpan w:val="3"/>
            <w:vMerge w:val="continue"/>
            <w:vAlign w:val="center"/>
          </w:tcPr>
          <w:p w14:paraId="4C8D829A">
            <w:pPr>
              <w:widowControl/>
              <w:jc w:val="center"/>
              <w:rPr>
                <w:kern w:val="0"/>
                <w:sz w:val="20"/>
                <w:szCs w:val="20"/>
              </w:rPr>
            </w:pPr>
          </w:p>
        </w:tc>
        <w:tc>
          <w:tcPr>
            <w:tcW w:w="917" w:type="dxa"/>
            <w:vAlign w:val="center"/>
          </w:tcPr>
          <w:p w14:paraId="6BD82A54">
            <w:pPr>
              <w:jc w:val="center"/>
              <w:rPr>
                <w:kern w:val="0"/>
                <w:sz w:val="20"/>
                <w:szCs w:val="20"/>
              </w:rPr>
            </w:pPr>
            <w:r>
              <w:rPr>
                <w:rFonts w:hint="eastAsia"/>
                <w:kern w:val="0"/>
                <w:sz w:val="20"/>
                <w:szCs w:val="20"/>
              </w:rPr>
              <w:t>依据条款</w:t>
            </w:r>
          </w:p>
        </w:tc>
        <w:tc>
          <w:tcPr>
            <w:tcW w:w="960" w:type="dxa"/>
            <w:vAlign w:val="center"/>
          </w:tcPr>
          <w:p w14:paraId="5EDCD74B">
            <w:pPr>
              <w:jc w:val="center"/>
              <w:rPr>
                <w:kern w:val="0"/>
                <w:sz w:val="20"/>
                <w:szCs w:val="20"/>
              </w:rPr>
            </w:pPr>
            <w:r>
              <w:rPr>
                <w:rFonts w:hint="eastAsia"/>
                <w:kern w:val="0"/>
                <w:sz w:val="20"/>
                <w:szCs w:val="20"/>
              </w:rPr>
              <w:t>型式试验</w:t>
            </w:r>
          </w:p>
        </w:tc>
        <w:tc>
          <w:tcPr>
            <w:tcW w:w="845" w:type="dxa"/>
            <w:vAlign w:val="center"/>
          </w:tcPr>
          <w:p w14:paraId="593C3EF9">
            <w:pPr>
              <w:jc w:val="center"/>
              <w:rPr>
                <w:kern w:val="0"/>
                <w:sz w:val="20"/>
                <w:szCs w:val="20"/>
              </w:rPr>
            </w:pPr>
            <w:r>
              <w:rPr>
                <w:rFonts w:hint="eastAsia"/>
                <w:kern w:val="0"/>
                <w:sz w:val="20"/>
                <w:szCs w:val="20"/>
              </w:rPr>
              <w:t>出厂试验</w:t>
            </w:r>
          </w:p>
        </w:tc>
        <w:tc>
          <w:tcPr>
            <w:tcW w:w="880" w:type="dxa"/>
            <w:vAlign w:val="center"/>
          </w:tcPr>
          <w:p w14:paraId="7748B16B">
            <w:pPr>
              <w:jc w:val="center"/>
              <w:rPr>
                <w:kern w:val="0"/>
                <w:sz w:val="20"/>
                <w:szCs w:val="20"/>
              </w:rPr>
            </w:pPr>
            <w:r>
              <w:rPr>
                <w:rFonts w:hint="eastAsia"/>
                <w:kern w:val="0"/>
                <w:sz w:val="20"/>
                <w:szCs w:val="20"/>
              </w:rPr>
              <w:t>送样检测</w:t>
            </w:r>
          </w:p>
        </w:tc>
        <w:tc>
          <w:tcPr>
            <w:tcW w:w="880" w:type="dxa"/>
            <w:vAlign w:val="center"/>
          </w:tcPr>
          <w:p w14:paraId="3ACB4358">
            <w:pPr>
              <w:jc w:val="center"/>
              <w:rPr>
                <w:kern w:val="0"/>
                <w:sz w:val="20"/>
                <w:szCs w:val="20"/>
              </w:rPr>
            </w:pPr>
            <w:r>
              <w:rPr>
                <w:rFonts w:hint="eastAsia"/>
                <w:kern w:val="0"/>
                <w:sz w:val="20"/>
                <w:szCs w:val="20"/>
              </w:rPr>
              <w:t>专项抽检</w:t>
            </w:r>
          </w:p>
        </w:tc>
        <w:tc>
          <w:tcPr>
            <w:tcW w:w="880" w:type="dxa"/>
            <w:vAlign w:val="center"/>
          </w:tcPr>
          <w:p w14:paraId="22E348FC">
            <w:pPr>
              <w:jc w:val="center"/>
              <w:rPr>
                <w:kern w:val="0"/>
                <w:sz w:val="20"/>
                <w:szCs w:val="20"/>
              </w:rPr>
            </w:pPr>
            <w:r>
              <w:rPr>
                <w:rFonts w:hint="eastAsia"/>
                <w:kern w:val="0"/>
                <w:sz w:val="20"/>
                <w:szCs w:val="20"/>
              </w:rPr>
              <w:t>到货抽检</w:t>
            </w:r>
          </w:p>
        </w:tc>
      </w:tr>
      <w:tr w14:paraId="42E9EC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restart"/>
            <w:vAlign w:val="center"/>
          </w:tcPr>
          <w:p w14:paraId="62CDD92B">
            <w:pPr>
              <w:widowControl/>
              <w:jc w:val="center"/>
              <w:rPr>
                <w:kern w:val="0"/>
                <w:sz w:val="20"/>
                <w:szCs w:val="20"/>
              </w:rPr>
            </w:pPr>
            <w:r>
              <w:rPr>
                <w:kern w:val="0"/>
                <w:sz w:val="20"/>
                <w:szCs w:val="20"/>
              </w:rPr>
              <w:t>一般要求</w:t>
            </w:r>
          </w:p>
        </w:tc>
        <w:tc>
          <w:tcPr>
            <w:tcW w:w="3427" w:type="dxa"/>
            <w:gridSpan w:val="2"/>
            <w:vAlign w:val="center"/>
          </w:tcPr>
          <w:p w14:paraId="0E11372B">
            <w:pPr>
              <w:widowControl/>
              <w:jc w:val="center"/>
              <w:rPr>
                <w:kern w:val="0"/>
                <w:sz w:val="20"/>
                <w:szCs w:val="20"/>
              </w:rPr>
            </w:pPr>
            <w:r>
              <w:rPr>
                <w:kern w:val="0"/>
                <w:sz w:val="20"/>
                <w:szCs w:val="20"/>
              </w:rPr>
              <w:t>外观特性试验</w:t>
            </w:r>
          </w:p>
        </w:tc>
        <w:tc>
          <w:tcPr>
            <w:tcW w:w="917" w:type="dxa"/>
            <w:vAlign w:val="center"/>
          </w:tcPr>
          <w:p w14:paraId="457E195A">
            <w:pPr>
              <w:widowControl/>
              <w:jc w:val="center"/>
              <w:rPr>
                <w:kern w:val="0"/>
                <w:sz w:val="20"/>
                <w:szCs w:val="20"/>
              </w:rPr>
            </w:pPr>
            <w:r>
              <w:rPr>
                <w:rFonts w:hint="eastAsia"/>
                <w:kern w:val="0"/>
                <w:sz w:val="20"/>
                <w:szCs w:val="20"/>
              </w:rPr>
              <w:t>6.1</w:t>
            </w:r>
          </w:p>
        </w:tc>
        <w:tc>
          <w:tcPr>
            <w:tcW w:w="960" w:type="dxa"/>
            <w:vAlign w:val="center"/>
          </w:tcPr>
          <w:p w14:paraId="119F7C65">
            <w:pPr>
              <w:widowControl/>
              <w:jc w:val="center"/>
              <w:rPr>
                <w:kern w:val="0"/>
                <w:sz w:val="20"/>
                <w:szCs w:val="20"/>
              </w:rPr>
            </w:pPr>
            <w:r>
              <w:rPr>
                <w:sz w:val="16"/>
                <w:szCs w:val="16"/>
              </w:rPr>
              <w:t>●</w:t>
            </w:r>
          </w:p>
        </w:tc>
        <w:tc>
          <w:tcPr>
            <w:tcW w:w="845" w:type="dxa"/>
            <w:vAlign w:val="center"/>
          </w:tcPr>
          <w:p w14:paraId="2E73FB58">
            <w:pPr>
              <w:widowControl/>
              <w:jc w:val="center"/>
              <w:rPr>
                <w:kern w:val="0"/>
                <w:sz w:val="20"/>
                <w:szCs w:val="20"/>
              </w:rPr>
            </w:pPr>
            <w:r>
              <w:rPr>
                <w:sz w:val="16"/>
                <w:szCs w:val="16"/>
              </w:rPr>
              <w:t>●</w:t>
            </w:r>
          </w:p>
        </w:tc>
        <w:tc>
          <w:tcPr>
            <w:tcW w:w="880" w:type="dxa"/>
            <w:vAlign w:val="center"/>
          </w:tcPr>
          <w:p w14:paraId="327E31D7">
            <w:pPr>
              <w:widowControl/>
              <w:jc w:val="center"/>
              <w:rPr>
                <w:sz w:val="16"/>
                <w:szCs w:val="16"/>
              </w:rPr>
            </w:pPr>
            <w:r>
              <w:rPr>
                <w:sz w:val="16"/>
                <w:szCs w:val="16"/>
              </w:rPr>
              <w:t>●</w:t>
            </w:r>
          </w:p>
        </w:tc>
        <w:tc>
          <w:tcPr>
            <w:tcW w:w="880" w:type="dxa"/>
            <w:vAlign w:val="center"/>
          </w:tcPr>
          <w:p w14:paraId="2E4ADAE6">
            <w:pPr>
              <w:widowControl/>
              <w:jc w:val="center"/>
              <w:rPr>
                <w:sz w:val="16"/>
                <w:szCs w:val="16"/>
              </w:rPr>
            </w:pPr>
            <w:r>
              <w:rPr>
                <w:sz w:val="16"/>
                <w:szCs w:val="16"/>
              </w:rPr>
              <w:t>●</w:t>
            </w:r>
          </w:p>
        </w:tc>
        <w:tc>
          <w:tcPr>
            <w:tcW w:w="880" w:type="dxa"/>
            <w:vAlign w:val="center"/>
          </w:tcPr>
          <w:p w14:paraId="08BC8293">
            <w:pPr>
              <w:widowControl/>
              <w:jc w:val="center"/>
              <w:rPr>
                <w:sz w:val="16"/>
                <w:szCs w:val="16"/>
              </w:rPr>
            </w:pPr>
            <w:r>
              <w:rPr>
                <w:sz w:val="16"/>
                <w:szCs w:val="16"/>
              </w:rPr>
              <w:t>●</w:t>
            </w:r>
          </w:p>
        </w:tc>
      </w:tr>
      <w:tr w14:paraId="14F8C1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2" w:hRule="atLeast"/>
          <w:jc w:val="center"/>
        </w:trPr>
        <w:tc>
          <w:tcPr>
            <w:tcW w:w="558" w:type="dxa"/>
            <w:vMerge w:val="continue"/>
            <w:vAlign w:val="center"/>
          </w:tcPr>
          <w:p w14:paraId="232DBB61">
            <w:pPr>
              <w:widowControl/>
              <w:jc w:val="center"/>
              <w:rPr>
                <w:kern w:val="0"/>
                <w:sz w:val="20"/>
                <w:szCs w:val="20"/>
              </w:rPr>
            </w:pPr>
          </w:p>
        </w:tc>
        <w:tc>
          <w:tcPr>
            <w:tcW w:w="970" w:type="dxa"/>
            <w:vMerge w:val="restart"/>
            <w:vAlign w:val="center"/>
          </w:tcPr>
          <w:p w14:paraId="2C7A4258">
            <w:pPr>
              <w:widowControl/>
              <w:jc w:val="center"/>
              <w:rPr>
                <w:kern w:val="0"/>
                <w:sz w:val="20"/>
                <w:szCs w:val="20"/>
              </w:rPr>
            </w:pPr>
            <w:r>
              <w:rPr>
                <w:kern w:val="0"/>
                <w:sz w:val="20"/>
                <w:szCs w:val="20"/>
              </w:rPr>
              <w:t>环境适应性</w:t>
            </w:r>
          </w:p>
        </w:tc>
        <w:tc>
          <w:tcPr>
            <w:tcW w:w="2457" w:type="dxa"/>
            <w:vAlign w:val="center"/>
          </w:tcPr>
          <w:p w14:paraId="694FF618">
            <w:pPr>
              <w:widowControl/>
              <w:jc w:val="center"/>
              <w:rPr>
                <w:kern w:val="0"/>
                <w:sz w:val="20"/>
                <w:szCs w:val="20"/>
              </w:rPr>
            </w:pPr>
            <w:r>
              <w:rPr>
                <w:kern w:val="0"/>
                <w:sz w:val="20"/>
                <w:szCs w:val="20"/>
              </w:rPr>
              <w:t>低温环境适应性</w:t>
            </w:r>
          </w:p>
        </w:tc>
        <w:tc>
          <w:tcPr>
            <w:tcW w:w="917" w:type="dxa"/>
            <w:vAlign w:val="center"/>
          </w:tcPr>
          <w:p w14:paraId="3BA0E58A">
            <w:pPr>
              <w:jc w:val="center"/>
              <w:rPr>
                <w:sz w:val="20"/>
                <w:szCs w:val="22"/>
              </w:rPr>
            </w:pPr>
            <w:r>
              <w:rPr>
                <w:rFonts w:hint="eastAsia"/>
                <w:szCs w:val="21"/>
              </w:rPr>
              <w:t>6.2.1</w:t>
            </w:r>
          </w:p>
        </w:tc>
        <w:tc>
          <w:tcPr>
            <w:tcW w:w="960" w:type="dxa"/>
            <w:vAlign w:val="center"/>
          </w:tcPr>
          <w:p w14:paraId="2692AB69">
            <w:pPr>
              <w:jc w:val="center"/>
              <w:rPr>
                <w:sz w:val="20"/>
                <w:szCs w:val="22"/>
              </w:rPr>
            </w:pPr>
            <w:r>
              <w:rPr>
                <w:sz w:val="16"/>
                <w:szCs w:val="16"/>
              </w:rPr>
              <w:t>●</w:t>
            </w:r>
          </w:p>
        </w:tc>
        <w:tc>
          <w:tcPr>
            <w:tcW w:w="845" w:type="dxa"/>
            <w:vAlign w:val="center"/>
          </w:tcPr>
          <w:p w14:paraId="63C6B189">
            <w:pPr>
              <w:jc w:val="center"/>
              <w:rPr>
                <w:sz w:val="20"/>
                <w:szCs w:val="22"/>
              </w:rPr>
            </w:pPr>
            <w:r>
              <w:rPr>
                <w:b/>
                <w:sz w:val="16"/>
                <w:szCs w:val="16"/>
              </w:rPr>
              <w:t>○</w:t>
            </w:r>
          </w:p>
        </w:tc>
        <w:tc>
          <w:tcPr>
            <w:tcW w:w="880" w:type="dxa"/>
            <w:vAlign w:val="center"/>
          </w:tcPr>
          <w:p w14:paraId="5895BF2B">
            <w:pPr>
              <w:jc w:val="center"/>
              <w:rPr>
                <w:b/>
                <w:sz w:val="16"/>
                <w:szCs w:val="16"/>
              </w:rPr>
            </w:pPr>
            <w:r>
              <w:rPr>
                <w:b/>
                <w:sz w:val="16"/>
                <w:szCs w:val="16"/>
              </w:rPr>
              <w:t>○</w:t>
            </w:r>
          </w:p>
        </w:tc>
        <w:tc>
          <w:tcPr>
            <w:tcW w:w="880" w:type="dxa"/>
            <w:vAlign w:val="center"/>
          </w:tcPr>
          <w:p w14:paraId="03D3ABC4">
            <w:pPr>
              <w:jc w:val="center"/>
              <w:rPr>
                <w:b/>
                <w:sz w:val="16"/>
                <w:szCs w:val="16"/>
              </w:rPr>
            </w:pPr>
            <w:r>
              <w:rPr>
                <w:b/>
                <w:sz w:val="16"/>
                <w:szCs w:val="16"/>
              </w:rPr>
              <w:t>○</w:t>
            </w:r>
          </w:p>
        </w:tc>
        <w:tc>
          <w:tcPr>
            <w:tcW w:w="880" w:type="dxa"/>
            <w:vAlign w:val="center"/>
          </w:tcPr>
          <w:p w14:paraId="6A713B31">
            <w:pPr>
              <w:jc w:val="center"/>
              <w:rPr>
                <w:b/>
                <w:sz w:val="16"/>
                <w:szCs w:val="16"/>
              </w:rPr>
            </w:pPr>
            <w:r>
              <w:rPr>
                <w:b/>
                <w:sz w:val="16"/>
                <w:szCs w:val="16"/>
              </w:rPr>
              <w:t>○</w:t>
            </w:r>
          </w:p>
        </w:tc>
      </w:tr>
      <w:tr w14:paraId="65033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26228C9B">
            <w:pPr>
              <w:widowControl/>
              <w:jc w:val="center"/>
              <w:rPr>
                <w:kern w:val="0"/>
                <w:sz w:val="20"/>
                <w:szCs w:val="20"/>
              </w:rPr>
            </w:pPr>
          </w:p>
        </w:tc>
        <w:tc>
          <w:tcPr>
            <w:tcW w:w="970" w:type="dxa"/>
            <w:vMerge w:val="continue"/>
            <w:vAlign w:val="center"/>
          </w:tcPr>
          <w:p w14:paraId="1678EDC1">
            <w:pPr>
              <w:widowControl/>
              <w:jc w:val="center"/>
              <w:rPr>
                <w:kern w:val="0"/>
                <w:sz w:val="20"/>
                <w:szCs w:val="20"/>
              </w:rPr>
            </w:pPr>
          </w:p>
        </w:tc>
        <w:tc>
          <w:tcPr>
            <w:tcW w:w="2457" w:type="dxa"/>
            <w:vAlign w:val="center"/>
          </w:tcPr>
          <w:p w14:paraId="3845B79E">
            <w:pPr>
              <w:widowControl/>
              <w:jc w:val="center"/>
              <w:rPr>
                <w:kern w:val="0"/>
                <w:sz w:val="20"/>
                <w:szCs w:val="20"/>
              </w:rPr>
            </w:pPr>
            <w:r>
              <w:rPr>
                <w:kern w:val="0"/>
                <w:sz w:val="20"/>
                <w:szCs w:val="20"/>
              </w:rPr>
              <w:t>高温环境适应性</w:t>
            </w:r>
          </w:p>
        </w:tc>
        <w:tc>
          <w:tcPr>
            <w:tcW w:w="917" w:type="dxa"/>
            <w:vAlign w:val="center"/>
          </w:tcPr>
          <w:p w14:paraId="65A1EC35">
            <w:pPr>
              <w:jc w:val="center"/>
              <w:rPr>
                <w:sz w:val="20"/>
                <w:szCs w:val="22"/>
              </w:rPr>
            </w:pPr>
            <w:r>
              <w:rPr>
                <w:rFonts w:hint="eastAsia"/>
                <w:szCs w:val="21"/>
              </w:rPr>
              <w:t>6.2.2</w:t>
            </w:r>
          </w:p>
        </w:tc>
        <w:tc>
          <w:tcPr>
            <w:tcW w:w="960" w:type="dxa"/>
            <w:vAlign w:val="center"/>
          </w:tcPr>
          <w:p w14:paraId="0FEF95DB">
            <w:pPr>
              <w:jc w:val="center"/>
              <w:rPr>
                <w:sz w:val="20"/>
                <w:szCs w:val="22"/>
              </w:rPr>
            </w:pPr>
            <w:r>
              <w:rPr>
                <w:sz w:val="16"/>
                <w:szCs w:val="16"/>
              </w:rPr>
              <w:t>●</w:t>
            </w:r>
          </w:p>
        </w:tc>
        <w:tc>
          <w:tcPr>
            <w:tcW w:w="845" w:type="dxa"/>
            <w:vAlign w:val="center"/>
          </w:tcPr>
          <w:p w14:paraId="7554BBE9">
            <w:pPr>
              <w:jc w:val="center"/>
              <w:rPr>
                <w:sz w:val="20"/>
                <w:szCs w:val="22"/>
              </w:rPr>
            </w:pPr>
            <w:r>
              <w:rPr>
                <w:b/>
                <w:sz w:val="16"/>
                <w:szCs w:val="16"/>
              </w:rPr>
              <w:t>○</w:t>
            </w:r>
          </w:p>
        </w:tc>
        <w:tc>
          <w:tcPr>
            <w:tcW w:w="880" w:type="dxa"/>
            <w:vAlign w:val="center"/>
          </w:tcPr>
          <w:p w14:paraId="4EB9D32D">
            <w:pPr>
              <w:jc w:val="center"/>
              <w:rPr>
                <w:b/>
                <w:sz w:val="16"/>
                <w:szCs w:val="16"/>
              </w:rPr>
            </w:pPr>
            <w:r>
              <w:rPr>
                <w:b/>
                <w:sz w:val="16"/>
                <w:szCs w:val="16"/>
              </w:rPr>
              <w:t>○</w:t>
            </w:r>
          </w:p>
        </w:tc>
        <w:tc>
          <w:tcPr>
            <w:tcW w:w="880" w:type="dxa"/>
            <w:vAlign w:val="center"/>
          </w:tcPr>
          <w:p w14:paraId="49E7572A">
            <w:pPr>
              <w:jc w:val="center"/>
              <w:rPr>
                <w:b/>
                <w:sz w:val="16"/>
                <w:szCs w:val="16"/>
              </w:rPr>
            </w:pPr>
            <w:r>
              <w:rPr>
                <w:b/>
                <w:sz w:val="16"/>
                <w:szCs w:val="16"/>
              </w:rPr>
              <w:t>○</w:t>
            </w:r>
          </w:p>
        </w:tc>
        <w:tc>
          <w:tcPr>
            <w:tcW w:w="880" w:type="dxa"/>
            <w:vAlign w:val="center"/>
          </w:tcPr>
          <w:p w14:paraId="4B07BCBA">
            <w:pPr>
              <w:jc w:val="center"/>
              <w:rPr>
                <w:b/>
                <w:sz w:val="16"/>
                <w:szCs w:val="16"/>
              </w:rPr>
            </w:pPr>
            <w:r>
              <w:rPr>
                <w:b/>
                <w:sz w:val="16"/>
                <w:szCs w:val="16"/>
              </w:rPr>
              <w:t>○</w:t>
            </w:r>
          </w:p>
        </w:tc>
      </w:tr>
      <w:tr w14:paraId="4DA03F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4" w:hRule="atLeast"/>
          <w:jc w:val="center"/>
        </w:trPr>
        <w:tc>
          <w:tcPr>
            <w:tcW w:w="558" w:type="dxa"/>
            <w:vMerge w:val="continue"/>
            <w:vAlign w:val="center"/>
          </w:tcPr>
          <w:p w14:paraId="47986AF7">
            <w:pPr>
              <w:widowControl/>
              <w:jc w:val="center"/>
              <w:rPr>
                <w:kern w:val="0"/>
                <w:sz w:val="20"/>
                <w:szCs w:val="20"/>
              </w:rPr>
            </w:pPr>
          </w:p>
        </w:tc>
        <w:tc>
          <w:tcPr>
            <w:tcW w:w="970" w:type="dxa"/>
            <w:vMerge w:val="continue"/>
            <w:vAlign w:val="center"/>
          </w:tcPr>
          <w:p w14:paraId="3D4C6D82">
            <w:pPr>
              <w:widowControl/>
              <w:jc w:val="center"/>
              <w:rPr>
                <w:kern w:val="0"/>
                <w:sz w:val="20"/>
                <w:szCs w:val="20"/>
              </w:rPr>
            </w:pPr>
          </w:p>
        </w:tc>
        <w:tc>
          <w:tcPr>
            <w:tcW w:w="2457" w:type="dxa"/>
            <w:vAlign w:val="center"/>
          </w:tcPr>
          <w:p w14:paraId="3811DDA8">
            <w:pPr>
              <w:widowControl/>
              <w:jc w:val="center"/>
              <w:rPr>
                <w:kern w:val="0"/>
                <w:sz w:val="20"/>
                <w:szCs w:val="20"/>
              </w:rPr>
            </w:pPr>
            <w:r>
              <w:rPr>
                <w:kern w:val="0"/>
                <w:sz w:val="20"/>
                <w:szCs w:val="20"/>
              </w:rPr>
              <w:t>温湿度振动综合环境适应性</w:t>
            </w:r>
          </w:p>
        </w:tc>
        <w:tc>
          <w:tcPr>
            <w:tcW w:w="917" w:type="dxa"/>
            <w:vAlign w:val="center"/>
          </w:tcPr>
          <w:p w14:paraId="2071502C">
            <w:pPr>
              <w:jc w:val="center"/>
              <w:rPr>
                <w:sz w:val="20"/>
                <w:szCs w:val="22"/>
              </w:rPr>
            </w:pPr>
            <w:r>
              <w:rPr>
                <w:rFonts w:hint="eastAsia"/>
                <w:szCs w:val="21"/>
              </w:rPr>
              <w:t>6.2.3</w:t>
            </w:r>
          </w:p>
        </w:tc>
        <w:tc>
          <w:tcPr>
            <w:tcW w:w="960" w:type="dxa"/>
            <w:vAlign w:val="center"/>
          </w:tcPr>
          <w:p w14:paraId="361D6F2B">
            <w:pPr>
              <w:jc w:val="center"/>
              <w:rPr>
                <w:sz w:val="20"/>
                <w:szCs w:val="22"/>
              </w:rPr>
            </w:pPr>
            <w:r>
              <w:rPr>
                <w:sz w:val="16"/>
                <w:szCs w:val="16"/>
              </w:rPr>
              <w:t>●</w:t>
            </w:r>
          </w:p>
        </w:tc>
        <w:tc>
          <w:tcPr>
            <w:tcW w:w="845" w:type="dxa"/>
            <w:vAlign w:val="center"/>
          </w:tcPr>
          <w:p w14:paraId="223E8D87">
            <w:pPr>
              <w:jc w:val="center"/>
              <w:rPr>
                <w:sz w:val="20"/>
                <w:szCs w:val="22"/>
              </w:rPr>
            </w:pPr>
            <w:r>
              <w:rPr>
                <w:b/>
                <w:sz w:val="16"/>
                <w:szCs w:val="16"/>
              </w:rPr>
              <w:t>○</w:t>
            </w:r>
          </w:p>
        </w:tc>
        <w:tc>
          <w:tcPr>
            <w:tcW w:w="880" w:type="dxa"/>
            <w:vAlign w:val="center"/>
          </w:tcPr>
          <w:p w14:paraId="54C843C4">
            <w:pPr>
              <w:jc w:val="center"/>
              <w:rPr>
                <w:b/>
                <w:sz w:val="16"/>
                <w:szCs w:val="16"/>
              </w:rPr>
            </w:pPr>
            <w:r>
              <w:rPr>
                <w:b/>
                <w:sz w:val="16"/>
                <w:szCs w:val="16"/>
              </w:rPr>
              <w:t>○</w:t>
            </w:r>
          </w:p>
        </w:tc>
        <w:tc>
          <w:tcPr>
            <w:tcW w:w="880" w:type="dxa"/>
            <w:vAlign w:val="center"/>
          </w:tcPr>
          <w:p w14:paraId="21DC9A3C">
            <w:pPr>
              <w:jc w:val="center"/>
              <w:rPr>
                <w:b/>
                <w:sz w:val="16"/>
                <w:szCs w:val="16"/>
              </w:rPr>
            </w:pPr>
            <w:r>
              <w:rPr>
                <w:b/>
                <w:sz w:val="16"/>
                <w:szCs w:val="16"/>
              </w:rPr>
              <w:t>○</w:t>
            </w:r>
          </w:p>
        </w:tc>
        <w:tc>
          <w:tcPr>
            <w:tcW w:w="880" w:type="dxa"/>
            <w:vAlign w:val="center"/>
          </w:tcPr>
          <w:p w14:paraId="2715B615">
            <w:pPr>
              <w:jc w:val="center"/>
              <w:rPr>
                <w:b/>
                <w:sz w:val="16"/>
                <w:szCs w:val="16"/>
              </w:rPr>
            </w:pPr>
            <w:r>
              <w:rPr>
                <w:b/>
                <w:sz w:val="16"/>
                <w:szCs w:val="16"/>
              </w:rPr>
              <w:t>○</w:t>
            </w:r>
          </w:p>
        </w:tc>
      </w:tr>
      <w:tr w14:paraId="58057A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558" w:type="dxa"/>
            <w:vMerge w:val="continue"/>
            <w:vAlign w:val="center"/>
          </w:tcPr>
          <w:p w14:paraId="17ACBEDD">
            <w:pPr>
              <w:widowControl/>
              <w:jc w:val="center"/>
              <w:rPr>
                <w:kern w:val="0"/>
                <w:sz w:val="20"/>
                <w:szCs w:val="20"/>
              </w:rPr>
            </w:pPr>
          </w:p>
        </w:tc>
        <w:tc>
          <w:tcPr>
            <w:tcW w:w="970" w:type="dxa"/>
            <w:vMerge w:val="continue"/>
            <w:vAlign w:val="center"/>
          </w:tcPr>
          <w:p w14:paraId="5922EE77">
            <w:pPr>
              <w:widowControl/>
              <w:jc w:val="center"/>
              <w:rPr>
                <w:kern w:val="0"/>
                <w:sz w:val="20"/>
                <w:szCs w:val="20"/>
              </w:rPr>
            </w:pPr>
          </w:p>
        </w:tc>
        <w:tc>
          <w:tcPr>
            <w:tcW w:w="2457" w:type="dxa"/>
            <w:vAlign w:val="center"/>
          </w:tcPr>
          <w:p w14:paraId="2C231E54">
            <w:pPr>
              <w:widowControl/>
              <w:jc w:val="center"/>
              <w:rPr>
                <w:kern w:val="0"/>
                <w:sz w:val="20"/>
                <w:szCs w:val="20"/>
              </w:rPr>
            </w:pPr>
            <w:r>
              <w:rPr>
                <w:kern w:val="0"/>
                <w:sz w:val="20"/>
                <w:szCs w:val="20"/>
              </w:rPr>
              <w:t>海拔适应性能试验</w:t>
            </w:r>
          </w:p>
        </w:tc>
        <w:tc>
          <w:tcPr>
            <w:tcW w:w="917" w:type="dxa"/>
            <w:vAlign w:val="center"/>
          </w:tcPr>
          <w:p w14:paraId="5A4F40D9">
            <w:pPr>
              <w:jc w:val="center"/>
              <w:rPr>
                <w:sz w:val="20"/>
                <w:szCs w:val="22"/>
              </w:rPr>
            </w:pPr>
            <w:r>
              <w:rPr>
                <w:rFonts w:hint="eastAsia"/>
                <w:szCs w:val="21"/>
              </w:rPr>
              <w:t>6.2.4</w:t>
            </w:r>
          </w:p>
        </w:tc>
        <w:tc>
          <w:tcPr>
            <w:tcW w:w="960" w:type="dxa"/>
            <w:vAlign w:val="center"/>
          </w:tcPr>
          <w:p w14:paraId="2D77B7D9">
            <w:pPr>
              <w:jc w:val="center"/>
              <w:rPr>
                <w:sz w:val="20"/>
                <w:szCs w:val="22"/>
              </w:rPr>
            </w:pPr>
            <w:r>
              <w:rPr>
                <w:sz w:val="16"/>
                <w:szCs w:val="16"/>
              </w:rPr>
              <w:t>●</w:t>
            </w:r>
          </w:p>
        </w:tc>
        <w:tc>
          <w:tcPr>
            <w:tcW w:w="845" w:type="dxa"/>
            <w:vAlign w:val="center"/>
          </w:tcPr>
          <w:p w14:paraId="64D4D2B3">
            <w:pPr>
              <w:jc w:val="center"/>
              <w:rPr>
                <w:sz w:val="20"/>
                <w:szCs w:val="22"/>
              </w:rPr>
            </w:pPr>
            <w:r>
              <w:rPr>
                <w:b/>
                <w:sz w:val="16"/>
                <w:szCs w:val="16"/>
              </w:rPr>
              <w:t>○</w:t>
            </w:r>
          </w:p>
        </w:tc>
        <w:tc>
          <w:tcPr>
            <w:tcW w:w="880" w:type="dxa"/>
            <w:vAlign w:val="center"/>
          </w:tcPr>
          <w:p w14:paraId="53A4192F">
            <w:pPr>
              <w:jc w:val="center"/>
              <w:rPr>
                <w:b/>
                <w:sz w:val="16"/>
                <w:szCs w:val="16"/>
              </w:rPr>
            </w:pPr>
            <w:r>
              <w:rPr>
                <w:b/>
                <w:sz w:val="16"/>
                <w:szCs w:val="16"/>
              </w:rPr>
              <w:t>○</w:t>
            </w:r>
          </w:p>
        </w:tc>
        <w:tc>
          <w:tcPr>
            <w:tcW w:w="880" w:type="dxa"/>
            <w:vAlign w:val="center"/>
          </w:tcPr>
          <w:p w14:paraId="5966F916">
            <w:pPr>
              <w:jc w:val="center"/>
              <w:rPr>
                <w:b/>
                <w:sz w:val="16"/>
                <w:szCs w:val="16"/>
              </w:rPr>
            </w:pPr>
            <w:r>
              <w:rPr>
                <w:b/>
                <w:sz w:val="16"/>
                <w:szCs w:val="16"/>
              </w:rPr>
              <w:t>○</w:t>
            </w:r>
          </w:p>
        </w:tc>
        <w:tc>
          <w:tcPr>
            <w:tcW w:w="880" w:type="dxa"/>
            <w:vAlign w:val="center"/>
          </w:tcPr>
          <w:p w14:paraId="5E6EB91A">
            <w:pPr>
              <w:jc w:val="center"/>
              <w:rPr>
                <w:b/>
                <w:sz w:val="16"/>
                <w:szCs w:val="16"/>
              </w:rPr>
            </w:pPr>
            <w:r>
              <w:rPr>
                <w:b/>
                <w:sz w:val="16"/>
                <w:szCs w:val="16"/>
              </w:rPr>
              <w:t>○</w:t>
            </w:r>
          </w:p>
        </w:tc>
      </w:tr>
      <w:tr w14:paraId="0B900A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654A3BAD">
            <w:pPr>
              <w:widowControl/>
              <w:jc w:val="center"/>
              <w:rPr>
                <w:kern w:val="0"/>
                <w:sz w:val="20"/>
                <w:szCs w:val="20"/>
              </w:rPr>
            </w:pPr>
          </w:p>
        </w:tc>
        <w:tc>
          <w:tcPr>
            <w:tcW w:w="970" w:type="dxa"/>
            <w:vMerge w:val="continue"/>
            <w:vAlign w:val="center"/>
          </w:tcPr>
          <w:p w14:paraId="6BE04AAA">
            <w:pPr>
              <w:widowControl/>
              <w:jc w:val="center"/>
              <w:rPr>
                <w:kern w:val="0"/>
                <w:sz w:val="20"/>
                <w:szCs w:val="20"/>
              </w:rPr>
            </w:pPr>
          </w:p>
        </w:tc>
        <w:tc>
          <w:tcPr>
            <w:tcW w:w="2457" w:type="dxa"/>
            <w:vAlign w:val="center"/>
          </w:tcPr>
          <w:p w14:paraId="169D4E67">
            <w:pPr>
              <w:widowControl/>
              <w:jc w:val="center"/>
              <w:rPr>
                <w:kern w:val="0"/>
                <w:sz w:val="20"/>
                <w:szCs w:val="20"/>
              </w:rPr>
            </w:pPr>
            <w:r>
              <w:rPr>
                <w:kern w:val="0"/>
                <w:sz w:val="20"/>
                <w:szCs w:val="20"/>
              </w:rPr>
              <w:t>抗风飞行性能试验</w:t>
            </w:r>
          </w:p>
        </w:tc>
        <w:tc>
          <w:tcPr>
            <w:tcW w:w="917" w:type="dxa"/>
            <w:vAlign w:val="center"/>
          </w:tcPr>
          <w:p w14:paraId="2BD57599">
            <w:pPr>
              <w:jc w:val="center"/>
              <w:rPr>
                <w:sz w:val="20"/>
                <w:szCs w:val="22"/>
              </w:rPr>
            </w:pPr>
            <w:r>
              <w:rPr>
                <w:rFonts w:hint="eastAsia"/>
                <w:szCs w:val="21"/>
              </w:rPr>
              <w:t>6.2.5</w:t>
            </w:r>
          </w:p>
        </w:tc>
        <w:tc>
          <w:tcPr>
            <w:tcW w:w="960" w:type="dxa"/>
            <w:vAlign w:val="center"/>
          </w:tcPr>
          <w:p w14:paraId="370D408E">
            <w:pPr>
              <w:jc w:val="center"/>
              <w:rPr>
                <w:sz w:val="20"/>
                <w:szCs w:val="22"/>
              </w:rPr>
            </w:pPr>
            <w:r>
              <w:rPr>
                <w:sz w:val="16"/>
                <w:szCs w:val="16"/>
              </w:rPr>
              <w:t>●</w:t>
            </w:r>
          </w:p>
        </w:tc>
        <w:tc>
          <w:tcPr>
            <w:tcW w:w="845" w:type="dxa"/>
            <w:vAlign w:val="center"/>
          </w:tcPr>
          <w:p w14:paraId="1272567D">
            <w:pPr>
              <w:jc w:val="center"/>
              <w:rPr>
                <w:sz w:val="20"/>
                <w:szCs w:val="22"/>
              </w:rPr>
            </w:pPr>
            <w:r>
              <w:rPr>
                <w:b/>
                <w:sz w:val="16"/>
                <w:szCs w:val="16"/>
              </w:rPr>
              <w:t>○</w:t>
            </w:r>
          </w:p>
        </w:tc>
        <w:tc>
          <w:tcPr>
            <w:tcW w:w="880" w:type="dxa"/>
            <w:vAlign w:val="center"/>
          </w:tcPr>
          <w:p w14:paraId="476CB727">
            <w:pPr>
              <w:jc w:val="center"/>
              <w:rPr>
                <w:b/>
                <w:sz w:val="16"/>
                <w:szCs w:val="16"/>
              </w:rPr>
            </w:pPr>
            <w:r>
              <w:rPr>
                <w:b/>
                <w:sz w:val="16"/>
                <w:szCs w:val="16"/>
              </w:rPr>
              <w:t>○</w:t>
            </w:r>
          </w:p>
        </w:tc>
        <w:tc>
          <w:tcPr>
            <w:tcW w:w="880" w:type="dxa"/>
            <w:vAlign w:val="center"/>
          </w:tcPr>
          <w:p w14:paraId="30BB206C">
            <w:pPr>
              <w:jc w:val="center"/>
              <w:rPr>
                <w:b/>
                <w:sz w:val="16"/>
                <w:szCs w:val="16"/>
              </w:rPr>
            </w:pPr>
            <w:r>
              <w:rPr>
                <w:b/>
                <w:sz w:val="16"/>
                <w:szCs w:val="16"/>
              </w:rPr>
              <w:t>○</w:t>
            </w:r>
          </w:p>
        </w:tc>
        <w:tc>
          <w:tcPr>
            <w:tcW w:w="880" w:type="dxa"/>
            <w:vAlign w:val="center"/>
          </w:tcPr>
          <w:p w14:paraId="15D78D21">
            <w:pPr>
              <w:jc w:val="center"/>
              <w:rPr>
                <w:b/>
                <w:sz w:val="16"/>
                <w:szCs w:val="16"/>
              </w:rPr>
            </w:pPr>
            <w:r>
              <w:rPr>
                <w:b/>
                <w:sz w:val="16"/>
                <w:szCs w:val="16"/>
              </w:rPr>
              <w:t>○</w:t>
            </w:r>
          </w:p>
        </w:tc>
      </w:tr>
      <w:tr w14:paraId="421CB5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2FF28557">
            <w:pPr>
              <w:widowControl/>
              <w:jc w:val="center"/>
              <w:rPr>
                <w:kern w:val="0"/>
                <w:sz w:val="20"/>
                <w:szCs w:val="20"/>
              </w:rPr>
            </w:pPr>
          </w:p>
        </w:tc>
        <w:tc>
          <w:tcPr>
            <w:tcW w:w="970" w:type="dxa"/>
            <w:vMerge w:val="continue"/>
            <w:vAlign w:val="center"/>
          </w:tcPr>
          <w:p w14:paraId="05F22F94">
            <w:pPr>
              <w:widowControl/>
              <w:jc w:val="center"/>
              <w:rPr>
                <w:kern w:val="0"/>
                <w:sz w:val="20"/>
                <w:szCs w:val="20"/>
              </w:rPr>
            </w:pPr>
          </w:p>
        </w:tc>
        <w:tc>
          <w:tcPr>
            <w:tcW w:w="2457" w:type="dxa"/>
            <w:vAlign w:val="center"/>
          </w:tcPr>
          <w:p w14:paraId="3717F37E">
            <w:pPr>
              <w:widowControl/>
              <w:jc w:val="center"/>
              <w:rPr>
                <w:kern w:val="0"/>
                <w:sz w:val="20"/>
                <w:szCs w:val="20"/>
              </w:rPr>
            </w:pPr>
            <w:r>
              <w:rPr>
                <w:kern w:val="0"/>
                <w:sz w:val="20"/>
                <w:szCs w:val="20"/>
              </w:rPr>
              <w:t>抗雨飞行性能试验</w:t>
            </w:r>
          </w:p>
        </w:tc>
        <w:tc>
          <w:tcPr>
            <w:tcW w:w="917" w:type="dxa"/>
            <w:vAlign w:val="center"/>
          </w:tcPr>
          <w:p w14:paraId="2CE5017D">
            <w:pPr>
              <w:jc w:val="center"/>
              <w:rPr>
                <w:sz w:val="20"/>
                <w:szCs w:val="22"/>
              </w:rPr>
            </w:pPr>
            <w:r>
              <w:rPr>
                <w:rFonts w:hint="eastAsia"/>
                <w:szCs w:val="21"/>
              </w:rPr>
              <w:t>6.2.6</w:t>
            </w:r>
          </w:p>
        </w:tc>
        <w:tc>
          <w:tcPr>
            <w:tcW w:w="960" w:type="dxa"/>
            <w:vAlign w:val="center"/>
          </w:tcPr>
          <w:p w14:paraId="6876F4A5">
            <w:pPr>
              <w:jc w:val="center"/>
              <w:rPr>
                <w:sz w:val="20"/>
                <w:szCs w:val="22"/>
              </w:rPr>
            </w:pPr>
            <w:r>
              <w:rPr>
                <w:sz w:val="16"/>
                <w:szCs w:val="16"/>
              </w:rPr>
              <w:t>●</w:t>
            </w:r>
          </w:p>
        </w:tc>
        <w:tc>
          <w:tcPr>
            <w:tcW w:w="845" w:type="dxa"/>
            <w:vAlign w:val="center"/>
          </w:tcPr>
          <w:p w14:paraId="36944EC9">
            <w:pPr>
              <w:jc w:val="center"/>
              <w:rPr>
                <w:sz w:val="20"/>
                <w:szCs w:val="22"/>
              </w:rPr>
            </w:pPr>
            <w:r>
              <w:rPr>
                <w:b/>
                <w:sz w:val="16"/>
                <w:szCs w:val="16"/>
              </w:rPr>
              <w:t>○</w:t>
            </w:r>
          </w:p>
        </w:tc>
        <w:tc>
          <w:tcPr>
            <w:tcW w:w="880" w:type="dxa"/>
            <w:vAlign w:val="center"/>
          </w:tcPr>
          <w:p w14:paraId="729F3D9F">
            <w:pPr>
              <w:jc w:val="center"/>
              <w:rPr>
                <w:b/>
                <w:sz w:val="16"/>
                <w:szCs w:val="16"/>
              </w:rPr>
            </w:pPr>
            <w:r>
              <w:rPr>
                <w:b/>
                <w:sz w:val="16"/>
                <w:szCs w:val="16"/>
              </w:rPr>
              <w:t>○</w:t>
            </w:r>
          </w:p>
        </w:tc>
        <w:tc>
          <w:tcPr>
            <w:tcW w:w="880" w:type="dxa"/>
            <w:vAlign w:val="center"/>
          </w:tcPr>
          <w:p w14:paraId="620BFD56">
            <w:pPr>
              <w:jc w:val="center"/>
              <w:rPr>
                <w:b/>
                <w:sz w:val="16"/>
                <w:szCs w:val="16"/>
              </w:rPr>
            </w:pPr>
            <w:r>
              <w:rPr>
                <w:b/>
                <w:sz w:val="16"/>
                <w:szCs w:val="16"/>
              </w:rPr>
              <w:t>○</w:t>
            </w:r>
          </w:p>
        </w:tc>
        <w:tc>
          <w:tcPr>
            <w:tcW w:w="880" w:type="dxa"/>
            <w:vAlign w:val="center"/>
          </w:tcPr>
          <w:p w14:paraId="0102C0C3">
            <w:pPr>
              <w:jc w:val="center"/>
              <w:rPr>
                <w:b/>
                <w:sz w:val="16"/>
                <w:szCs w:val="16"/>
              </w:rPr>
            </w:pPr>
            <w:r>
              <w:rPr>
                <w:b/>
                <w:sz w:val="16"/>
                <w:szCs w:val="16"/>
              </w:rPr>
              <w:t>○</w:t>
            </w:r>
          </w:p>
        </w:tc>
      </w:tr>
      <w:tr w14:paraId="61E851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626975A8">
            <w:pPr>
              <w:widowControl/>
              <w:jc w:val="center"/>
              <w:rPr>
                <w:kern w:val="0"/>
                <w:sz w:val="20"/>
                <w:szCs w:val="20"/>
              </w:rPr>
            </w:pPr>
          </w:p>
        </w:tc>
        <w:tc>
          <w:tcPr>
            <w:tcW w:w="970" w:type="dxa"/>
            <w:vMerge w:val="continue"/>
            <w:vAlign w:val="center"/>
          </w:tcPr>
          <w:p w14:paraId="02D3A46C">
            <w:pPr>
              <w:widowControl/>
              <w:jc w:val="center"/>
              <w:rPr>
                <w:kern w:val="0"/>
                <w:sz w:val="20"/>
                <w:szCs w:val="20"/>
              </w:rPr>
            </w:pPr>
          </w:p>
        </w:tc>
        <w:tc>
          <w:tcPr>
            <w:tcW w:w="2457" w:type="dxa"/>
            <w:vAlign w:val="center"/>
          </w:tcPr>
          <w:p w14:paraId="0C57766A">
            <w:pPr>
              <w:widowControl/>
              <w:jc w:val="center"/>
              <w:rPr>
                <w:kern w:val="0"/>
                <w:sz w:val="20"/>
                <w:szCs w:val="20"/>
              </w:rPr>
            </w:pPr>
            <w:r>
              <w:rPr>
                <w:rFonts w:hint="eastAsia"/>
                <w:kern w:val="0"/>
                <w:sz w:val="20"/>
                <w:szCs w:val="20"/>
              </w:rPr>
              <w:t>防护</w:t>
            </w:r>
            <w:r>
              <w:rPr>
                <w:kern w:val="0"/>
                <w:sz w:val="20"/>
                <w:szCs w:val="20"/>
              </w:rPr>
              <w:t>性能试验</w:t>
            </w:r>
          </w:p>
        </w:tc>
        <w:tc>
          <w:tcPr>
            <w:tcW w:w="917" w:type="dxa"/>
            <w:vAlign w:val="center"/>
          </w:tcPr>
          <w:p w14:paraId="12667650">
            <w:pPr>
              <w:jc w:val="center"/>
              <w:rPr>
                <w:sz w:val="20"/>
                <w:szCs w:val="22"/>
              </w:rPr>
            </w:pPr>
            <w:r>
              <w:rPr>
                <w:rFonts w:hint="eastAsia"/>
                <w:szCs w:val="21"/>
              </w:rPr>
              <w:t>6.2.7</w:t>
            </w:r>
          </w:p>
        </w:tc>
        <w:tc>
          <w:tcPr>
            <w:tcW w:w="960" w:type="dxa"/>
            <w:vAlign w:val="center"/>
          </w:tcPr>
          <w:p w14:paraId="7FD58F33">
            <w:pPr>
              <w:jc w:val="center"/>
              <w:rPr>
                <w:sz w:val="20"/>
                <w:szCs w:val="22"/>
              </w:rPr>
            </w:pPr>
            <w:r>
              <w:rPr>
                <w:sz w:val="16"/>
                <w:szCs w:val="16"/>
              </w:rPr>
              <w:t>●</w:t>
            </w:r>
          </w:p>
        </w:tc>
        <w:tc>
          <w:tcPr>
            <w:tcW w:w="845" w:type="dxa"/>
            <w:vAlign w:val="center"/>
          </w:tcPr>
          <w:p w14:paraId="3EE398AB">
            <w:pPr>
              <w:jc w:val="center"/>
              <w:rPr>
                <w:sz w:val="20"/>
                <w:szCs w:val="22"/>
              </w:rPr>
            </w:pPr>
            <w:r>
              <w:rPr>
                <w:b/>
                <w:sz w:val="16"/>
                <w:szCs w:val="16"/>
              </w:rPr>
              <w:t>○</w:t>
            </w:r>
          </w:p>
        </w:tc>
        <w:tc>
          <w:tcPr>
            <w:tcW w:w="880" w:type="dxa"/>
            <w:vAlign w:val="center"/>
          </w:tcPr>
          <w:p w14:paraId="3C64A107">
            <w:pPr>
              <w:jc w:val="center"/>
              <w:rPr>
                <w:b/>
                <w:sz w:val="16"/>
                <w:szCs w:val="16"/>
              </w:rPr>
            </w:pPr>
            <w:r>
              <w:rPr>
                <w:b/>
                <w:sz w:val="16"/>
                <w:szCs w:val="16"/>
              </w:rPr>
              <w:t>○</w:t>
            </w:r>
          </w:p>
        </w:tc>
        <w:tc>
          <w:tcPr>
            <w:tcW w:w="880" w:type="dxa"/>
            <w:vAlign w:val="center"/>
          </w:tcPr>
          <w:p w14:paraId="7B825943">
            <w:pPr>
              <w:jc w:val="center"/>
              <w:rPr>
                <w:b/>
                <w:sz w:val="16"/>
                <w:szCs w:val="16"/>
              </w:rPr>
            </w:pPr>
            <w:r>
              <w:rPr>
                <w:b/>
                <w:sz w:val="16"/>
                <w:szCs w:val="16"/>
              </w:rPr>
              <w:t>○</w:t>
            </w:r>
          </w:p>
        </w:tc>
        <w:tc>
          <w:tcPr>
            <w:tcW w:w="880" w:type="dxa"/>
            <w:vAlign w:val="center"/>
          </w:tcPr>
          <w:p w14:paraId="52A769BB">
            <w:pPr>
              <w:jc w:val="center"/>
              <w:rPr>
                <w:b/>
                <w:sz w:val="16"/>
                <w:szCs w:val="16"/>
              </w:rPr>
            </w:pPr>
            <w:r>
              <w:rPr>
                <w:b/>
                <w:sz w:val="16"/>
                <w:szCs w:val="16"/>
              </w:rPr>
              <w:t>○</w:t>
            </w:r>
          </w:p>
        </w:tc>
      </w:tr>
      <w:tr w14:paraId="793ADF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558" w:type="dxa"/>
            <w:vMerge w:val="restart"/>
            <w:vAlign w:val="center"/>
          </w:tcPr>
          <w:p w14:paraId="2878B6EF">
            <w:pPr>
              <w:widowControl/>
              <w:jc w:val="center"/>
              <w:rPr>
                <w:kern w:val="0"/>
                <w:sz w:val="20"/>
                <w:szCs w:val="20"/>
              </w:rPr>
            </w:pPr>
            <w:r>
              <w:rPr>
                <w:kern w:val="0"/>
                <w:sz w:val="20"/>
                <w:szCs w:val="20"/>
              </w:rPr>
              <w:t>功能要求</w:t>
            </w:r>
          </w:p>
        </w:tc>
        <w:tc>
          <w:tcPr>
            <w:tcW w:w="970" w:type="dxa"/>
            <w:vMerge w:val="restart"/>
            <w:vAlign w:val="center"/>
          </w:tcPr>
          <w:p w14:paraId="3A0EB64E">
            <w:pPr>
              <w:widowControl/>
              <w:jc w:val="center"/>
              <w:rPr>
                <w:kern w:val="0"/>
                <w:sz w:val="20"/>
                <w:szCs w:val="20"/>
              </w:rPr>
            </w:pPr>
            <w:r>
              <w:rPr>
                <w:rFonts w:hint="eastAsia"/>
                <w:kern w:val="0"/>
                <w:sz w:val="20"/>
                <w:szCs w:val="20"/>
              </w:rPr>
              <w:t>功能试验</w:t>
            </w:r>
          </w:p>
        </w:tc>
        <w:tc>
          <w:tcPr>
            <w:tcW w:w="2457" w:type="dxa"/>
            <w:vAlign w:val="center"/>
          </w:tcPr>
          <w:p w14:paraId="6174B31D">
            <w:pPr>
              <w:widowControl/>
              <w:jc w:val="center"/>
              <w:rPr>
                <w:kern w:val="0"/>
                <w:sz w:val="20"/>
                <w:szCs w:val="20"/>
              </w:rPr>
            </w:pPr>
            <w:r>
              <w:rPr>
                <w:kern w:val="0"/>
                <w:sz w:val="20"/>
                <w:szCs w:val="20"/>
              </w:rPr>
              <w:t>自检功能试验</w:t>
            </w:r>
          </w:p>
        </w:tc>
        <w:tc>
          <w:tcPr>
            <w:tcW w:w="917" w:type="dxa"/>
            <w:vAlign w:val="center"/>
          </w:tcPr>
          <w:p w14:paraId="55084523">
            <w:pPr>
              <w:widowControl/>
              <w:jc w:val="center"/>
              <w:rPr>
                <w:kern w:val="0"/>
                <w:sz w:val="20"/>
                <w:szCs w:val="20"/>
              </w:rPr>
            </w:pPr>
            <w:r>
              <w:rPr>
                <w:rFonts w:hint="eastAsia"/>
                <w:szCs w:val="21"/>
              </w:rPr>
              <w:t>6.3.1</w:t>
            </w:r>
          </w:p>
        </w:tc>
        <w:tc>
          <w:tcPr>
            <w:tcW w:w="960" w:type="dxa"/>
            <w:vAlign w:val="center"/>
          </w:tcPr>
          <w:p w14:paraId="3951353E">
            <w:pPr>
              <w:widowControl/>
              <w:jc w:val="center"/>
              <w:rPr>
                <w:kern w:val="0"/>
                <w:sz w:val="20"/>
                <w:szCs w:val="20"/>
              </w:rPr>
            </w:pPr>
            <w:r>
              <w:rPr>
                <w:sz w:val="16"/>
                <w:szCs w:val="16"/>
              </w:rPr>
              <w:t>●</w:t>
            </w:r>
          </w:p>
        </w:tc>
        <w:tc>
          <w:tcPr>
            <w:tcW w:w="845" w:type="dxa"/>
            <w:vAlign w:val="center"/>
          </w:tcPr>
          <w:p w14:paraId="7B746A14">
            <w:pPr>
              <w:widowControl/>
              <w:jc w:val="center"/>
              <w:rPr>
                <w:kern w:val="0"/>
                <w:sz w:val="20"/>
                <w:szCs w:val="20"/>
              </w:rPr>
            </w:pPr>
            <w:r>
              <w:rPr>
                <w:sz w:val="16"/>
                <w:szCs w:val="16"/>
              </w:rPr>
              <w:t>●</w:t>
            </w:r>
          </w:p>
        </w:tc>
        <w:tc>
          <w:tcPr>
            <w:tcW w:w="880" w:type="dxa"/>
            <w:vAlign w:val="center"/>
          </w:tcPr>
          <w:p w14:paraId="3C168A4F">
            <w:pPr>
              <w:widowControl/>
              <w:jc w:val="center"/>
              <w:rPr>
                <w:sz w:val="16"/>
                <w:szCs w:val="16"/>
              </w:rPr>
            </w:pPr>
            <w:r>
              <w:rPr>
                <w:sz w:val="16"/>
                <w:szCs w:val="16"/>
              </w:rPr>
              <w:t>●</w:t>
            </w:r>
          </w:p>
        </w:tc>
        <w:tc>
          <w:tcPr>
            <w:tcW w:w="880" w:type="dxa"/>
            <w:vAlign w:val="center"/>
          </w:tcPr>
          <w:p w14:paraId="47C4DB14">
            <w:pPr>
              <w:widowControl/>
              <w:jc w:val="center"/>
              <w:rPr>
                <w:sz w:val="16"/>
                <w:szCs w:val="16"/>
              </w:rPr>
            </w:pPr>
            <w:r>
              <w:rPr>
                <w:sz w:val="16"/>
                <w:szCs w:val="16"/>
              </w:rPr>
              <w:t>●</w:t>
            </w:r>
          </w:p>
        </w:tc>
        <w:tc>
          <w:tcPr>
            <w:tcW w:w="880" w:type="dxa"/>
            <w:vAlign w:val="center"/>
          </w:tcPr>
          <w:p w14:paraId="66157B0F">
            <w:pPr>
              <w:widowControl/>
              <w:jc w:val="center"/>
              <w:rPr>
                <w:sz w:val="16"/>
                <w:szCs w:val="16"/>
              </w:rPr>
            </w:pPr>
            <w:r>
              <w:rPr>
                <w:sz w:val="16"/>
                <w:szCs w:val="16"/>
              </w:rPr>
              <w:t>●</w:t>
            </w:r>
          </w:p>
        </w:tc>
      </w:tr>
      <w:tr w14:paraId="6295F1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62999F6D">
            <w:pPr>
              <w:widowControl/>
              <w:jc w:val="center"/>
              <w:rPr>
                <w:kern w:val="0"/>
                <w:sz w:val="20"/>
                <w:szCs w:val="20"/>
              </w:rPr>
            </w:pPr>
          </w:p>
        </w:tc>
        <w:tc>
          <w:tcPr>
            <w:tcW w:w="970" w:type="dxa"/>
            <w:vMerge w:val="continue"/>
            <w:vAlign w:val="center"/>
          </w:tcPr>
          <w:p w14:paraId="3A86022C">
            <w:pPr>
              <w:widowControl/>
              <w:jc w:val="center"/>
              <w:rPr>
                <w:kern w:val="0"/>
                <w:sz w:val="20"/>
                <w:szCs w:val="20"/>
              </w:rPr>
            </w:pPr>
          </w:p>
        </w:tc>
        <w:tc>
          <w:tcPr>
            <w:tcW w:w="2457" w:type="dxa"/>
            <w:vAlign w:val="center"/>
          </w:tcPr>
          <w:p w14:paraId="420E2933">
            <w:pPr>
              <w:widowControl/>
              <w:jc w:val="center"/>
              <w:rPr>
                <w:kern w:val="0"/>
                <w:sz w:val="20"/>
                <w:szCs w:val="20"/>
              </w:rPr>
            </w:pPr>
            <w:r>
              <w:rPr>
                <w:kern w:val="0"/>
                <w:sz w:val="20"/>
                <w:szCs w:val="20"/>
              </w:rPr>
              <w:t>任务规划功能试验</w:t>
            </w:r>
          </w:p>
        </w:tc>
        <w:tc>
          <w:tcPr>
            <w:tcW w:w="917" w:type="dxa"/>
            <w:vAlign w:val="center"/>
          </w:tcPr>
          <w:p w14:paraId="344F73DA">
            <w:pPr>
              <w:widowControl/>
              <w:jc w:val="center"/>
              <w:rPr>
                <w:kern w:val="0"/>
                <w:sz w:val="20"/>
                <w:szCs w:val="20"/>
              </w:rPr>
            </w:pPr>
            <w:r>
              <w:rPr>
                <w:rFonts w:hint="eastAsia"/>
                <w:szCs w:val="21"/>
              </w:rPr>
              <w:t>6.3.2</w:t>
            </w:r>
          </w:p>
        </w:tc>
        <w:tc>
          <w:tcPr>
            <w:tcW w:w="960" w:type="dxa"/>
            <w:vAlign w:val="center"/>
          </w:tcPr>
          <w:p w14:paraId="671C425E">
            <w:pPr>
              <w:widowControl/>
              <w:jc w:val="center"/>
              <w:rPr>
                <w:kern w:val="0"/>
                <w:sz w:val="20"/>
                <w:szCs w:val="20"/>
              </w:rPr>
            </w:pPr>
            <w:r>
              <w:rPr>
                <w:sz w:val="16"/>
                <w:szCs w:val="16"/>
              </w:rPr>
              <w:t>●</w:t>
            </w:r>
          </w:p>
        </w:tc>
        <w:tc>
          <w:tcPr>
            <w:tcW w:w="845" w:type="dxa"/>
            <w:vAlign w:val="center"/>
          </w:tcPr>
          <w:p w14:paraId="422AF7A0">
            <w:pPr>
              <w:widowControl/>
              <w:jc w:val="center"/>
              <w:rPr>
                <w:kern w:val="0"/>
                <w:sz w:val="20"/>
                <w:szCs w:val="20"/>
              </w:rPr>
            </w:pPr>
            <w:r>
              <w:rPr>
                <w:sz w:val="16"/>
                <w:szCs w:val="16"/>
              </w:rPr>
              <w:t>●</w:t>
            </w:r>
          </w:p>
        </w:tc>
        <w:tc>
          <w:tcPr>
            <w:tcW w:w="880" w:type="dxa"/>
            <w:vAlign w:val="center"/>
          </w:tcPr>
          <w:p w14:paraId="056A890C">
            <w:pPr>
              <w:widowControl/>
              <w:jc w:val="center"/>
              <w:rPr>
                <w:sz w:val="16"/>
                <w:szCs w:val="16"/>
              </w:rPr>
            </w:pPr>
            <w:r>
              <w:rPr>
                <w:sz w:val="16"/>
                <w:szCs w:val="16"/>
              </w:rPr>
              <w:t>●</w:t>
            </w:r>
          </w:p>
        </w:tc>
        <w:tc>
          <w:tcPr>
            <w:tcW w:w="880" w:type="dxa"/>
            <w:vAlign w:val="center"/>
          </w:tcPr>
          <w:p w14:paraId="6318559E">
            <w:pPr>
              <w:widowControl/>
              <w:jc w:val="center"/>
              <w:rPr>
                <w:sz w:val="16"/>
                <w:szCs w:val="16"/>
              </w:rPr>
            </w:pPr>
            <w:r>
              <w:rPr>
                <w:sz w:val="16"/>
                <w:szCs w:val="16"/>
              </w:rPr>
              <w:t>●</w:t>
            </w:r>
          </w:p>
        </w:tc>
        <w:tc>
          <w:tcPr>
            <w:tcW w:w="880" w:type="dxa"/>
            <w:vAlign w:val="center"/>
          </w:tcPr>
          <w:p w14:paraId="37997A72">
            <w:pPr>
              <w:widowControl/>
              <w:jc w:val="center"/>
              <w:rPr>
                <w:sz w:val="16"/>
                <w:szCs w:val="16"/>
              </w:rPr>
            </w:pPr>
            <w:r>
              <w:rPr>
                <w:sz w:val="16"/>
                <w:szCs w:val="16"/>
              </w:rPr>
              <w:t>●</w:t>
            </w:r>
          </w:p>
        </w:tc>
      </w:tr>
      <w:tr w14:paraId="3C8892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 w:hRule="atLeast"/>
          <w:jc w:val="center"/>
        </w:trPr>
        <w:tc>
          <w:tcPr>
            <w:tcW w:w="558" w:type="dxa"/>
            <w:vMerge w:val="continue"/>
            <w:vAlign w:val="center"/>
          </w:tcPr>
          <w:p w14:paraId="2D530E11">
            <w:pPr>
              <w:widowControl/>
              <w:jc w:val="center"/>
              <w:rPr>
                <w:kern w:val="0"/>
                <w:sz w:val="20"/>
                <w:szCs w:val="20"/>
              </w:rPr>
            </w:pPr>
          </w:p>
        </w:tc>
        <w:tc>
          <w:tcPr>
            <w:tcW w:w="970" w:type="dxa"/>
            <w:vMerge w:val="continue"/>
            <w:vAlign w:val="center"/>
          </w:tcPr>
          <w:p w14:paraId="664F622A">
            <w:pPr>
              <w:widowControl/>
              <w:jc w:val="center"/>
              <w:rPr>
                <w:kern w:val="0"/>
                <w:sz w:val="20"/>
                <w:szCs w:val="20"/>
              </w:rPr>
            </w:pPr>
          </w:p>
        </w:tc>
        <w:tc>
          <w:tcPr>
            <w:tcW w:w="2457" w:type="dxa"/>
            <w:vAlign w:val="center"/>
          </w:tcPr>
          <w:p w14:paraId="0E75C3BF">
            <w:pPr>
              <w:widowControl/>
              <w:jc w:val="center"/>
              <w:rPr>
                <w:kern w:val="0"/>
                <w:sz w:val="20"/>
                <w:szCs w:val="20"/>
              </w:rPr>
            </w:pPr>
            <w:r>
              <w:rPr>
                <w:kern w:val="0"/>
                <w:sz w:val="20"/>
                <w:szCs w:val="20"/>
              </w:rPr>
              <w:t>飞行模式及切换功能试验</w:t>
            </w:r>
          </w:p>
        </w:tc>
        <w:tc>
          <w:tcPr>
            <w:tcW w:w="917" w:type="dxa"/>
            <w:vAlign w:val="center"/>
          </w:tcPr>
          <w:p w14:paraId="56E32BBC">
            <w:pPr>
              <w:widowControl/>
              <w:jc w:val="center"/>
              <w:rPr>
                <w:kern w:val="0"/>
                <w:sz w:val="20"/>
                <w:szCs w:val="20"/>
              </w:rPr>
            </w:pPr>
            <w:r>
              <w:rPr>
                <w:rFonts w:hint="eastAsia"/>
                <w:szCs w:val="21"/>
              </w:rPr>
              <w:t>6.3.3</w:t>
            </w:r>
          </w:p>
        </w:tc>
        <w:tc>
          <w:tcPr>
            <w:tcW w:w="960" w:type="dxa"/>
            <w:vAlign w:val="center"/>
          </w:tcPr>
          <w:p w14:paraId="6411B1B9">
            <w:pPr>
              <w:widowControl/>
              <w:jc w:val="center"/>
              <w:rPr>
                <w:kern w:val="0"/>
                <w:sz w:val="20"/>
                <w:szCs w:val="20"/>
              </w:rPr>
            </w:pPr>
            <w:r>
              <w:rPr>
                <w:sz w:val="16"/>
                <w:szCs w:val="16"/>
              </w:rPr>
              <w:t>●</w:t>
            </w:r>
          </w:p>
        </w:tc>
        <w:tc>
          <w:tcPr>
            <w:tcW w:w="845" w:type="dxa"/>
            <w:vAlign w:val="center"/>
          </w:tcPr>
          <w:p w14:paraId="15DBEBAA">
            <w:pPr>
              <w:widowControl/>
              <w:jc w:val="center"/>
              <w:rPr>
                <w:kern w:val="0"/>
                <w:sz w:val="20"/>
                <w:szCs w:val="20"/>
              </w:rPr>
            </w:pPr>
            <w:r>
              <w:rPr>
                <w:sz w:val="16"/>
                <w:szCs w:val="16"/>
              </w:rPr>
              <w:t>●</w:t>
            </w:r>
          </w:p>
        </w:tc>
        <w:tc>
          <w:tcPr>
            <w:tcW w:w="880" w:type="dxa"/>
            <w:vAlign w:val="center"/>
          </w:tcPr>
          <w:p w14:paraId="30EC89FD">
            <w:pPr>
              <w:widowControl/>
              <w:jc w:val="center"/>
              <w:rPr>
                <w:sz w:val="16"/>
                <w:szCs w:val="16"/>
              </w:rPr>
            </w:pPr>
            <w:r>
              <w:rPr>
                <w:sz w:val="16"/>
                <w:szCs w:val="16"/>
              </w:rPr>
              <w:t>●</w:t>
            </w:r>
          </w:p>
        </w:tc>
        <w:tc>
          <w:tcPr>
            <w:tcW w:w="880" w:type="dxa"/>
            <w:vAlign w:val="center"/>
          </w:tcPr>
          <w:p w14:paraId="7D766F58">
            <w:pPr>
              <w:widowControl/>
              <w:jc w:val="center"/>
              <w:rPr>
                <w:sz w:val="16"/>
                <w:szCs w:val="16"/>
              </w:rPr>
            </w:pPr>
            <w:r>
              <w:rPr>
                <w:sz w:val="16"/>
                <w:szCs w:val="16"/>
              </w:rPr>
              <w:t>●</w:t>
            </w:r>
          </w:p>
        </w:tc>
        <w:tc>
          <w:tcPr>
            <w:tcW w:w="880" w:type="dxa"/>
            <w:vAlign w:val="center"/>
          </w:tcPr>
          <w:p w14:paraId="439A8B43">
            <w:pPr>
              <w:widowControl/>
              <w:jc w:val="center"/>
              <w:rPr>
                <w:sz w:val="16"/>
                <w:szCs w:val="16"/>
              </w:rPr>
            </w:pPr>
            <w:r>
              <w:rPr>
                <w:sz w:val="16"/>
                <w:szCs w:val="16"/>
              </w:rPr>
              <w:t>●</w:t>
            </w:r>
          </w:p>
        </w:tc>
      </w:tr>
      <w:tr w14:paraId="4A0FE5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5E686B3F">
            <w:pPr>
              <w:widowControl/>
              <w:jc w:val="center"/>
              <w:rPr>
                <w:kern w:val="0"/>
                <w:sz w:val="20"/>
                <w:szCs w:val="20"/>
              </w:rPr>
            </w:pPr>
          </w:p>
        </w:tc>
        <w:tc>
          <w:tcPr>
            <w:tcW w:w="970" w:type="dxa"/>
            <w:vMerge w:val="continue"/>
            <w:vAlign w:val="center"/>
          </w:tcPr>
          <w:p w14:paraId="66E745AC">
            <w:pPr>
              <w:widowControl/>
              <w:jc w:val="center"/>
              <w:rPr>
                <w:kern w:val="0"/>
                <w:sz w:val="20"/>
                <w:szCs w:val="20"/>
              </w:rPr>
            </w:pPr>
          </w:p>
        </w:tc>
        <w:tc>
          <w:tcPr>
            <w:tcW w:w="2457" w:type="dxa"/>
            <w:vAlign w:val="center"/>
          </w:tcPr>
          <w:p w14:paraId="5168C601">
            <w:pPr>
              <w:widowControl/>
              <w:jc w:val="center"/>
              <w:rPr>
                <w:kern w:val="0"/>
                <w:sz w:val="20"/>
                <w:szCs w:val="20"/>
              </w:rPr>
            </w:pPr>
            <w:r>
              <w:rPr>
                <w:kern w:val="0"/>
                <w:sz w:val="20"/>
                <w:szCs w:val="20"/>
              </w:rPr>
              <w:t>导航定位偏差试验</w:t>
            </w:r>
          </w:p>
        </w:tc>
        <w:tc>
          <w:tcPr>
            <w:tcW w:w="917" w:type="dxa"/>
            <w:vAlign w:val="center"/>
          </w:tcPr>
          <w:p w14:paraId="3B80EB21">
            <w:pPr>
              <w:widowControl/>
              <w:jc w:val="center"/>
              <w:rPr>
                <w:kern w:val="0"/>
                <w:sz w:val="20"/>
                <w:szCs w:val="20"/>
              </w:rPr>
            </w:pPr>
            <w:r>
              <w:rPr>
                <w:rFonts w:hint="eastAsia"/>
                <w:szCs w:val="21"/>
              </w:rPr>
              <w:t>6.3.4</w:t>
            </w:r>
          </w:p>
        </w:tc>
        <w:tc>
          <w:tcPr>
            <w:tcW w:w="960" w:type="dxa"/>
            <w:vAlign w:val="center"/>
          </w:tcPr>
          <w:p w14:paraId="5BC937DD">
            <w:pPr>
              <w:widowControl/>
              <w:jc w:val="center"/>
              <w:rPr>
                <w:kern w:val="0"/>
                <w:sz w:val="20"/>
                <w:szCs w:val="20"/>
              </w:rPr>
            </w:pPr>
            <w:r>
              <w:rPr>
                <w:sz w:val="16"/>
                <w:szCs w:val="16"/>
              </w:rPr>
              <w:t>●</w:t>
            </w:r>
          </w:p>
        </w:tc>
        <w:tc>
          <w:tcPr>
            <w:tcW w:w="845" w:type="dxa"/>
            <w:vAlign w:val="center"/>
          </w:tcPr>
          <w:p w14:paraId="5171022F">
            <w:pPr>
              <w:widowControl/>
              <w:jc w:val="center"/>
              <w:rPr>
                <w:kern w:val="0"/>
                <w:sz w:val="20"/>
                <w:szCs w:val="20"/>
              </w:rPr>
            </w:pPr>
            <w:r>
              <w:rPr>
                <w:sz w:val="16"/>
                <w:szCs w:val="16"/>
              </w:rPr>
              <w:t>●</w:t>
            </w:r>
          </w:p>
        </w:tc>
        <w:tc>
          <w:tcPr>
            <w:tcW w:w="880" w:type="dxa"/>
            <w:vAlign w:val="center"/>
          </w:tcPr>
          <w:p w14:paraId="776DAA4D">
            <w:pPr>
              <w:widowControl/>
              <w:jc w:val="center"/>
              <w:rPr>
                <w:sz w:val="16"/>
                <w:szCs w:val="16"/>
              </w:rPr>
            </w:pPr>
            <w:r>
              <w:rPr>
                <w:sz w:val="16"/>
                <w:szCs w:val="16"/>
              </w:rPr>
              <w:t>●</w:t>
            </w:r>
          </w:p>
        </w:tc>
        <w:tc>
          <w:tcPr>
            <w:tcW w:w="880" w:type="dxa"/>
            <w:vAlign w:val="center"/>
          </w:tcPr>
          <w:p w14:paraId="452B3506">
            <w:pPr>
              <w:widowControl/>
              <w:jc w:val="center"/>
              <w:rPr>
                <w:sz w:val="16"/>
                <w:szCs w:val="16"/>
              </w:rPr>
            </w:pPr>
            <w:r>
              <w:rPr>
                <w:sz w:val="16"/>
                <w:szCs w:val="16"/>
              </w:rPr>
              <w:t>●</w:t>
            </w:r>
          </w:p>
        </w:tc>
        <w:tc>
          <w:tcPr>
            <w:tcW w:w="880" w:type="dxa"/>
            <w:vAlign w:val="center"/>
          </w:tcPr>
          <w:p w14:paraId="259DF422">
            <w:pPr>
              <w:widowControl/>
              <w:jc w:val="center"/>
              <w:rPr>
                <w:sz w:val="16"/>
                <w:szCs w:val="16"/>
              </w:rPr>
            </w:pPr>
            <w:r>
              <w:rPr>
                <w:sz w:val="16"/>
                <w:szCs w:val="16"/>
              </w:rPr>
              <w:t>●</w:t>
            </w:r>
          </w:p>
        </w:tc>
      </w:tr>
      <w:tr w14:paraId="63817A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5EE845D2">
            <w:pPr>
              <w:widowControl/>
              <w:jc w:val="center"/>
              <w:rPr>
                <w:kern w:val="0"/>
                <w:sz w:val="20"/>
                <w:szCs w:val="20"/>
              </w:rPr>
            </w:pPr>
          </w:p>
        </w:tc>
        <w:tc>
          <w:tcPr>
            <w:tcW w:w="970" w:type="dxa"/>
            <w:vMerge w:val="continue"/>
            <w:vAlign w:val="center"/>
          </w:tcPr>
          <w:p w14:paraId="0FCB7351">
            <w:pPr>
              <w:widowControl/>
              <w:jc w:val="center"/>
              <w:rPr>
                <w:kern w:val="0"/>
                <w:sz w:val="20"/>
                <w:szCs w:val="20"/>
              </w:rPr>
            </w:pPr>
          </w:p>
        </w:tc>
        <w:tc>
          <w:tcPr>
            <w:tcW w:w="2457" w:type="dxa"/>
            <w:vAlign w:val="center"/>
          </w:tcPr>
          <w:p w14:paraId="0B139EBB">
            <w:pPr>
              <w:widowControl/>
              <w:jc w:val="center"/>
              <w:rPr>
                <w:kern w:val="0"/>
                <w:sz w:val="20"/>
                <w:szCs w:val="20"/>
              </w:rPr>
            </w:pPr>
            <w:r>
              <w:rPr>
                <w:kern w:val="0"/>
                <w:sz w:val="20"/>
                <w:szCs w:val="20"/>
              </w:rPr>
              <w:t>飞行控制偏差试验</w:t>
            </w:r>
          </w:p>
        </w:tc>
        <w:tc>
          <w:tcPr>
            <w:tcW w:w="917" w:type="dxa"/>
            <w:vAlign w:val="center"/>
          </w:tcPr>
          <w:p w14:paraId="0ABD172C">
            <w:pPr>
              <w:widowControl/>
              <w:jc w:val="center"/>
              <w:rPr>
                <w:kern w:val="0"/>
                <w:sz w:val="20"/>
                <w:szCs w:val="20"/>
              </w:rPr>
            </w:pPr>
            <w:r>
              <w:rPr>
                <w:rFonts w:hint="eastAsia"/>
                <w:szCs w:val="21"/>
              </w:rPr>
              <w:t>6.3.5</w:t>
            </w:r>
          </w:p>
        </w:tc>
        <w:tc>
          <w:tcPr>
            <w:tcW w:w="960" w:type="dxa"/>
            <w:vAlign w:val="center"/>
          </w:tcPr>
          <w:p w14:paraId="132E9F0C">
            <w:pPr>
              <w:widowControl/>
              <w:jc w:val="center"/>
              <w:rPr>
                <w:kern w:val="0"/>
                <w:sz w:val="20"/>
                <w:szCs w:val="20"/>
              </w:rPr>
            </w:pPr>
            <w:r>
              <w:rPr>
                <w:sz w:val="16"/>
                <w:szCs w:val="16"/>
              </w:rPr>
              <w:t>●</w:t>
            </w:r>
          </w:p>
        </w:tc>
        <w:tc>
          <w:tcPr>
            <w:tcW w:w="845" w:type="dxa"/>
            <w:vAlign w:val="center"/>
          </w:tcPr>
          <w:p w14:paraId="7E983B57">
            <w:pPr>
              <w:widowControl/>
              <w:jc w:val="center"/>
              <w:rPr>
                <w:kern w:val="0"/>
                <w:sz w:val="20"/>
                <w:szCs w:val="20"/>
              </w:rPr>
            </w:pPr>
            <w:r>
              <w:rPr>
                <w:sz w:val="16"/>
                <w:szCs w:val="16"/>
              </w:rPr>
              <w:t>●</w:t>
            </w:r>
          </w:p>
        </w:tc>
        <w:tc>
          <w:tcPr>
            <w:tcW w:w="880" w:type="dxa"/>
            <w:vAlign w:val="center"/>
          </w:tcPr>
          <w:p w14:paraId="31296A59">
            <w:pPr>
              <w:widowControl/>
              <w:jc w:val="center"/>
              <w:rPr>
                <w:sz w:val="16"/>
                <w:szCs w:val="16"/>
              </w:rPr>
            </w:pPr>
            <w:r>
              <w:rPr>
                <w:sz w:val="16"/>
                <w:szCs w:val="16"/>
              </w:rPr>
              <w:t>●</w:t>
            </w:r>
          </w:p>
        </w:tc>
        <w:tc>
          <w:tcPr>
            <w:tcW w:w="880" w:type="dxa"/>
            <w:vAlign w:val="center"/>
          </w:tcPr>
          <w:p w14:paraId="1CE1A7FC">
            <w:pPr>
              <w:widowControl/>
              <w:jc w:val="center"/>
              <w:rPr>
                <w:sz w:val="16"/>
                <w:szCs w:val="16"/>
              </w:rPr>
            </w:pPr>
            <w:r>
              <w:rPr>
                <w:sz w:val="16"/>
                <w:szCs w:val="16"/>
              </w:rPr>
              <w:t>●</w:t>
            </w:r>
          </w:p>
        </w:tc>
        <w:tc>
          <w:tcPr>
            <w:tcW w:w="880" w:type="dxa"/>
            <w:vAlign w:val="center"/>
          </w:tcPr>
          <w:p w14:paraId="17F6253F">
            <w:pPr>
              <w:widowControl/>
              <w:jc w:val="center"/>
              <w:rPr>
                <w:sz w:val="16"/>
                <w:szCs w:val="16"/>
              </w:rPr>
            </w:pPr>
            <w:r>
              <w:rPr>
                <w:sz w:val="16"/>
                <w:szCs w:val="16"/>
              </w:rPr>
              <w:t>●</w:t>
            </w:r>
          </w:p>
        </w:tc>
      </w:tr>
      <w:tr w14:paraId="7468A9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8" w:hRule="atLeast"/>
          <w:jc w:val="center"/>
        </w:trPr>
        <w:tc>
          <w:tcPr>
            <w:tcW w:w="558" w:type="dxa"/>
            <w:vMerge w:val="continue"/>
            <w:vAlign w:val="center"/>
          </w:tcPr>
          <w:p w14:paraId="79540E6F">
            <w:pPr>
              <w:widowControl/>
              <w:jc w:val="center"/>
              <w:rPr>
                <w:kern w:val="0"/>
                <w:sz w:val="20"/>
                <w:szCs w:val="20"/>
              </w:rPr>
            </w:pPr>
          </w:p>
        </w:tc>
        <w:tc>
          <w:tcPr>
            <w:tcW w:w="970" w:type="dxa"/>
            <w:vMerge w:val="continue"/>
            <w:vAlign w:val="center"/>
          </w:tcPr>
          <w:p w14:paraId="28BAAC77">
            <w:pPr>
              <w:widowControl/>
              <w:jc w:val="center"/>
              <w:rPr>
                <w:kern w:val="0"/>
                <w:sz w:val="20"/>
                <w:szCs w:val="20"/>
              </w:rPr>
            </w:pPr>
          </w:p>
        </w:tc>
        <w:tc>
          <w:tcPr>
            <w:tcW w:w="2457" w:type="dxa"/>
            <w:vAlign w:val="center"/>
          </w:tcPr>
          <w:p w14:paraId="1C7719B0">
            <w:pPr>
              <w:widowControl/>
              <w:jc w:val="center"/>
              <w:rPr>
                <w:kern w:val="0"/>
                <w:sz w:val="20"/>
                <w:szCs w:val="20"/>
              </w:rPr>
            </w:pPr>
            <w:r>
              <w:rPr>
                <w:kern w:val="0"/>
                <w:sz w:val="20"/>
                <w:szCs w:val="20"/>
              </w:rPr>
              <w:t>悬停控制偏差试验</w:t>
            </w:r>
          </w:p>
        </w:tc>
        <w:tc>
          <w:tcPr>
            <w:tcW w:w="917" w:type="dxa"/>
            <w:vAlign w:val="center"/>
          </w:tcPr>
          <w:p w14:paraId="20214137">
            <w:pPr>
              <w:widowControl/>
              <w:jc w:val="center"/>
              <w:rPr>
                <w:kern w:val="0"/>
                <w:sz w:val="20"/>
                <w:szCs w:val="20"/>
              </w:rPr>
            </w:pPr>
            <w:r>
              <w:rPr>
                <w:rFonts w:hint="eastAsia"/>
                <w:szCs w:val="21"/>
              </w:rPr>
              <w:t>6.3.6</w:t>
            </w:r>
          </w:p>
        </w:tc>
        <w:tc>
          <w:tcPr>
            <w:tcW w:w="960" w:type="dxa"/>
            <w:vAlign w:val="center"/>
          </w:tcPr>
          <w:p w14:paraId="36CFB160">
            <w:pPr>
              <w:widowControl/>
              <w:jc w:val="center"/>
              <w:rPr>
                <w:kern w:val="0"/>
                <w:sz w:val="20"/>
                <w:szCs w:val="20"/>
              </w:rPr>
            </w:pPr>
            <w:r>
              <w:rPr>
                <w:sz w:val="16"/>
                <w:szCs w:val="16"/>
              </w:rPr>
              <w:t>●</w:t>
            </w:r>
          </w:p>
        </w:tc>
        <w:tc>
          <w:tcPr>
            <w:tcW w:w="845" w:type="dxa"/>
            <w:vAlign w:val="center"/>
          </w:tcPr>
          <w:p w14:paraId="58D473E9">
            <w:pPr>
              <w:widowControl/>
              <w:jc w:val="center"/>
              <w:rPr>
                <w:kern w:val="0"/>
                <w:sz w:val="20"/>
                <w:szCs w:val="20"/>
              </w:rPr>
            </w:pPr>
            <w:r>
              <w:rPr>
                <w:sz w:val="16"/>
                <w:szCs w:val="16"/>
              </w:rPr>
              <w:t>●</w:t>
            </w:r>
          </w:p>
        </w:tc>
        <w:tc>
          <w:tcPr>
            <w:tcW w:w="880" w:type="dxa"/>
            <w:vAlign w:val="center"/>
          </w:tcPr>
          <w:p w14:paraId="696F88C9">
            <w:pPr>
              <w:widowControl/>
              <w:jc w:val="center"/>
              <w:rPr>
                <w:sz w:val="16"/>
                <w:szCs w:val="16"/>
              </w:rPr>
            </w:pPr>
            <w:r>
              <w:rPr>
                <w:sz w:val="16"/>
                <w:szCs w:val="16"/>
              </w:rPr>
              <w:t>●</w:t>
            </w:r>
          </w:p>
        </w:tc>
        <w:tc>
          <w:tcPr>
            <w:tcW w:w="880" w:type="dxa"/>
            <w:vAlign w:val="center"/>
          </w:tcPr>
          <w:p w14:paraId="76DF6A5F">
            <w:pPr>
              <w:widowControl/>
              <w:jc w:val="center"/>
              <w:rPr>
                <w:sz w:val="16"/>
                <w:szCs w:val="16"/>
              </w:rPr>
            </w:pPr>
            <w:r>
              <w:rPr>
                <w:sz w:val="16"/>
                <w:szCs w:val="16"/>
              </w:rPr>
              <w:t>●</w:t>
            </w:r>
          </w:p>
        </w:tc>
        <w:tc>
          <w:tcPr>
            <w:tcW w:w="880" w:type="dxa"/>
            <w:vAlign w:val="center"/>
          </w:tcPr>
          <w:p w14:paraId="7400B92B">
            <w:pPr>
              <w:widowControl/>
              <w:jc w:val="center"/>
              <w:rPr>
                <w:sz w:val="16"/>
                <w:szCs w:val="16"/>
              </w:rPr>
            </w:pPr>
            <w:r>
              <w:rPr>
                <w:sz w:val="16"/>
                <w:szCs w:val="16"/>
              </w:rPr>
              <w:t>●</w:t>
            </w:r>
          </w:p>
        </w:tc>
      </w:tr>
      <w:tr w14:paraId="1D960A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1" w:hRule="atLeast"/>
          <w:jc w:val="center"/>
        </w:trPr>
        <w:tc>
          <w:tcPr>
            <w:tcW w:w="558" w:type="dxa"/>
            <w:vMerge w:val="continue"/>
            <w:vAlign w:val="center"/>
          </w:tcPr>
          <w:p w14:paraId="6E3F07EE">
            <w:pPr>
              <w:widowControl/>
              <w:jc w:val="center"/>
              <w:rPr>
                <w:kern w:val="0"/>
                <w:sz w:val="20"/>
                <w:szCs w:val="20"/>
              </w:rPr>
            </w:pPr>
          </w:p>
        </w:tc>
        <w:tc>
          <w:tcPr>
            <w:tcW w:w="970" w:type="dxa"/>
            <w:vMerge w:val="continue"/>
            <w:vAlign w:val="center"/>
          </w:tcPr>
          <w:p w14:paraId="03201BE4">
            <w:pPr>
              <w:widowControl/>
              <w:jc w:val="center"/>
              <w:rPr>
                <w:kern w:val="0"/>
                <w:sz w:val="20"/>
                <w:szCs w:val="20"/>
              </w:rPr>
            </w:pPr>
          </w:p>
        </w:tc>
        <w:tc>
          <w:tcPr>
            <w:tcW w:w="2457" w:type="dxa"/>
            <w:vAlign w:val="center"/>
          </w:tcPr>
          <w:p w14:paraId="01DAB8FF">
            <w:pPr>
              <w:widowControl/>
              <w:jc w:val="center"/>
              <w:rPr>
                <w:kern w:val="0"/>
                <w:sz w:val="20"/>
                <w:szCs w:val="20"/>
              </w:rPr>
            </w:pPr>
            <w:r>
              <w:rPr>
                <w:kern w:val="0"/>
                <w:sz w:val="20"/>
                <w:szCs w:val="20"/>
              </w:rPr>
              <w:t>机头重定向功能试验</w:t>
            </w:r>
          </w:p>
        </w:tc>
        <w:tc>
          <w:tcPr>
            <w:tcW w:w="917" w:type="dxa"/>
            <w:vAlign w:val="center"/>
          </w:tcPr>
          <w:p w14:paraId="3EF7C6D6">
            <w:pPr>
              <w:widowControl/>
              <w:jc w:val="center"/>
              <w:rPr>
                <w:kern w:val="0"/>
                <w:sz w:val="20"/>
                <w:szCs w:val="20"/>
              </w:rPr>
            </w:pPr>
            <w:r>
              <w:rPr>
                <w:rFonts w:hint="eastAsia"/>
                <w:szCs w:val="21"/>
              </w:rPr>
              <w:t>6.3.7</w:t>
            </w:r>
          </w:p>
        </w:tc>
        <w:tc>
          <w:tcPr>
            <w:tcW w:w="960" w:type="dxa"/>
            <w:vAlign w:val="center"/>
          </w:tcPr>
          <w:p w14:paraId="4293D30F">
            <w:pPr>
              <w:widowControl/>
              <w:jc w:val="center"/>
              <w:rPr>
                <w:kern w:val="0"/>
                <w:sz w:val="20"/>
                <w:szCs w:val="20"/>
              </w:rPr>
            </w:pPr>
            <w:r>
              <w:rPr>
                <w:sz w:val="16"/>
                <w:szCs w:val="16"/>
              </w:rPr>
              <w:t>●</w:t>
            </w:r>
          </w:p>
        </w:tc>
        <w:tc>
          <w:tcPr>
            <w:tcW w:w="845" w:type="dxa"/>
            <w:vAlign w:val="center"/>
          </w:tcPr>
          <w:p w14:paraId="3C14B80C">
            <w:pPr>
              <w:widowControl/>
              <w:jc w:val="center"/>
              <w:rPr>
                <w:kern w:val="0"/>
                <w:sz w:val="20"/>
                <w:szCs w:val="20"/>
              </w:rPr>
            </w:pPr>
            <w:r>
              <w:rPr>
                <w:sz w:val="16"/>
                <w:szCs w:val="16"/>
              </w:rPr>
              <w:t>●</w:t>
            </w:r>
          </w:p>
        </w:tc>
        <w:tc>
          <w:tcPr>
            <w:tcW w:w="880" w:type="dxa"/>
            <w:vAlign w:val="center"/>
          </w:tcPr>
          <w:p w14:paraId="01E576C9">
            <w:pPr>
              <w:widowControl/>
              <w:jc w:val="center"/>
              <w:rPr>
                <w:sz w:val="16"/>
                <w:szCs w:val="16"/>
              </w:rPr>
            </w:pPr>
            <w:r>
              <w:rPr>
                <w:sz w:val="16"/>
                <w:szCs w:val="16"/>
              </w:rPr>
              <w:t>●</w:t>
            </w:r>
          </w:p>
        </w:tc>
        <w:tc>
          <w:tcPr>
            <w:tcW w:w="880" w:type="dxa"/>
            <w:vAlign w:val="center"/>
          </w:tcPr>
          <w:p w14:paraId="5B0AA900">
            <w:pPr>
              <w:widowControl/>
              <w:jc w:val="center"/>
              <w:rPr>
                <w:sz w:val="16"/>
                <w:szCs w:val="16"/>
              </w:rPr>
            </w:pPr>
            <w:r>
              <w:rPr>
                <w:sz w:val="16"/>
                <w:szCs w:val="16"/>
              </w:rPr>
              <w:t>●</w:t>
            </w:r>
          </w:p>
        </w:tc>
        <w:tc>
          <w:tcPr>
            <w:tcW w:w="880" w:type="dxa"/>
            <w:vAlign w:val="center"/>
          </w:tcPr>
          <w:p w14:paraId="430256BE">
            <w:pPr>
              <w:widowControl/>
              <w:jc w:val="center"/>
              <w:rPr>
                <w:sz w:val="16"/>
                <w:szCs w:val="16"/>
              </w:rPr>
            </w:pPr>
            <w:r>
              <w:rPr>
                <w:sz w:val="16"/>
                <w:szCs w:val="16"/>
              </w:rPr>
              <w:t>●</w:t>
            </w:r>
          </w:p>
        </w:tc>
      </w:tr>
      <w:tr w14:paraId="172CEF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 w:hRule="atLeast"/>
          <w:jc w:val="center"/>
        </w:trPr>
        <w:tc>
          <w:tcPr>
            <w:tcW w:w="558" w:type="dxa"/>
            <w:vMerge w:val="continue"/>
            <w:vAlign w:val="center"/>
          </w:tcPr>
          <w:p w14:paraId="200E5AEB">
            <w:pPr>
              <w:widowControl/>
              <w:jc w:val="center"/>
              <w:rPr>
                <w:kern w:val="0"/>
                <w:sz w:val="20"/>
                <w:szCs w:val="20"/>
              </w:rPr>
            </w:pPr>
          </w:p>
        </w:tc>
        <w:tc>
          <w:tcPr>
            <w:tcW w:w="970" w:type="dxa"/>
            <w:vMerge w:val="continue"/>
            <w:vAlign w:val="center"/>
          </w:tcPr>
          <w:p w14:paraId="61C2AA2F">
            <w:pPr>
              <w:widowControl/>
              <w:jc w:val="center"/>
              <w:rPr>
                <w:kern w:val="0"/>
                <w:sz w:val="20"/>
                <w:szCs w:val="20"/>
              </w:rPr>
            </w:pPr>
          </w:p>
        </w:tc>
        <w:tc>
          <w:tcPr>
            <w:tcW w:w="2457" w:type="dxa"/>
            <w:vAlign w:val="center"/>
          </w:tcPr>
          <w:p w14:paraId="0407AB7D">
            <w:pPr>
              <w:widowControl/>
              <w:jc w:val="center"/>
              <w:rPr>
                <w:kern w:val="0"/>
                <w:sz w:val="20"/>
                <w:szCs w:val="20"/>
              </w:rPr>
            </w:pPr>
            <w:r>
              <w:rPr>
                <w:kern w:val="0"/>
                <w:sz w:val="20"/>
                <w:szCs w:val="20"/>
              </w:rPr>
              <w:t>一键返航功能试验</w:t>
            </w:r>
          </w:p>
        </w:tc>
        <w:tc>
          <w:tcPr>
            <w:tcW w:w="917" w:type="dxa"/>
            <w:vAlign w:val="center"/>
          </w:tcPr>
          <w:p w14:paraId="354A88CB">
            <w:pPr>
              <w:widowControl/>
              <w:jc w:val="center"/>
              <w:rPr>
                <w:kern w:val="0"/>
                <w:sz w:val="20"/>
                <w:szCs w:val="20"/>
              </w:rPr>
            </w:pPr>
            <w:r>
              <w:rPr>
                <w:rFonts w:hint="eastAsia"/>
                <w:szCs w:val="21"/>
              </w:rPr>
              <w:t>6.3.8</w:t>
            </w:r>
          </w:p>
        </w:tc>
        <w:tc>
          <w:tcPr>
            <w:tcW w:w="960" w:type="dxa"/>
            <w:vAlign w:val="center"/>
          </w:tcPr>
          <w:p w14:paraId="076E97EF">
            <w:pPr>
              <w:widowControl/>
              <w:jc w:val="center"/>
              <w:rPr>
                <w:kern w:val="0"/>
                <w:sz w:val="20"/>
                <w:szCs w:val="20"/>
              </w:rPr>
            </w:pPr>
            <w:r>
              <w:rPr>
                <w:sz w:val="16"/>
                <w:szCs w:val="16"/>
              </w:rPr>
              <w:t>●</w:t>
            </w:r>
          </w:p>
        </w:tc>
        <w:tc>
          <w:tcPr>
            <w:tcW w:w="845" w:type="dxa"/>
            <w:vAlign w:val="center"/>
          </w:tcPr>
          <w:p w14:paraId="38C76A8A">
            <w:pPr>
              <w:widowControl/>
              <w:jc w:val="center"/>
              <w:rPr>
                <w:kern w:val="0"/>
                <w:sz w:val="20"/>
                <w:szCs w:val="20"/>
              </w:rPr>
            </w:pPr>
            <w:r>
              <w:rPr>
                <w:sz w:val="16"/>
                <w:szCs w:val="16"/>
              </w:rPr>
              <w:t>●</w:t>
            </w:r>
          </w:p>
        </w:tc>
        <w:tc>
          <w:tcPr>
            <w:tcW w:w="880" w:type="dxa"/>
            <w:vAlign w:val="center"/>
          </w:tcPr>
          <w:p w14:paraId="554F0B3F">
            <w:pPr>
              <w:widowControl/>
              <w:jc w:val="center"/>
              <w:rPr>
                <w:sz w:val="16"/>
                <w:szCs w:val="16"/>
              </w:rPr>
            </w:pPr>
            <w:r>
              <w:rPr>
                <w:sz w:val="16"/>
                <w:szCs w:val="16"/>
              </w:rPr>
              <w:t>●</w:t>
            </w:r>
          </w:p>
        </w:tc>
        <w:tc>
          <w:tcPr>
            <w:tcW w:w="880" w:type="dxa"/>
            <w:vAlign w:val="center"/>
          </w:tcPr>
          <w:p w14:paraId="546F44EE">
            <w:pPr>
              <w:widowControl/>
              <w:jc w:val="center"/>
              <w:rPr>
                <w:sz w:val="16"/>
                <w:szCs w:val="16"/>
              </w:rPr>
            </w:pPr>
            <w:r>
              <w:rPr>
                <w:sz w:val="16"/>
                <w:szCs w:val="16"/>
              </w:rPr>
              <w:t>●</w:t>
            </w:r>
          </w:p>
        </w:tc>
        <w:tc>
          <w:tcPr>
            <w:tcW w:w="880" w:type="dxa"/>
            <w:vAlign w:val="center"/>
          </w:tcPr>
          <w:p w14:paraId="4BB43E85">
            <w:pPr>
              <w:widowControl/>
              <w:jc w:val="center"/>
              <w:rPr>
                <w:sz w:val="16"/>
                <w:szCs w:val="16"/>
              </w:rPr>
            </w:pPr>
            <w:r>
              <w:rPr>
                <w:sz w:val="16"/>
                <w:szCs w:val="16"/>
              </w:rPr>
              <w:t>●</w:t>
            </w:r>
          </w:p>
        </w:tc>
      </w:tr>
      <w:tr w14:paraId="5FEE69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6" w:hRule="atLeast"/>
          <w:jc w:val="center"/>
        </w:trPr>
        <w:tc>
          <w:tcPr>
            <w:tcW w:w="558" w:type="dxa"/>
            <w:vMerge w:val="continue"/>
            <w:vAlign w:val="center"/>
          </w:tcPr>
          <w:p w14:paraId="31E37DEF">
            <w:pPr>
              <w:widowControl/>
              <w:jc w:val="center"/>
              <w:rPr>
                <w:kern w:val="0"/>
                <w:sz w:val="20"/>
                <w:szCs w:val="20"/>
              </w:rPr>
            </w:pPr>
          </w:p>
        </w:tc>
        <w:tc>
          <w:tcPr>
            <w:tcW w:w="970" w:type="dxa"/>
            <w:vMerge w:val="continue"/>
            <w:vAlign w:val="center"/>
          </w:tcPr>
          <w:p w14:paraId="7F63142F">
            <w:pPr>
              <w:widowControl/>
              <w:jc w:val="center"/>
              <w:rPr>
                <w:kern w:val="0"/>
                <w:sz w:val="20"/>
                <w:szCs w:val="20"/>
              </w:rPr>
            </w:pPr>
          </w:p>
        </w:tc>
        <w:tc>
          <w:tcPr>
            <w:tcW w:w="2457" w:type="dxa"/>
            <w:vAlign w:val="center"/>
          </w:tcPr>
          <w:p w14:paraId="170A5187">
            <w:pPr>
              <w:widowControl/>
              <w:jc w:val="center"/>
              <w:rPr>
                <w:kern w:val="0"/>
                <w:sz w:val="20"/>
                <w:szCs w:val="20"/>
              </w:rPr>
            </w:pPr>
            <w:r>
              <w:rPr>
                <w:kern w:val="0"/>
                <w:sz w:val="20"/>
                <w:szCs w:val="20"/>
              </w:rPr>
              <w:t>链路中断返航功能试验</w:t>
            </w:r>
          </w:p>
        </w:tc>
        <w:tc>
          <w:tcPr>
            <w:tcW w:w="917" w:type="dxa"/>
            <w:vAlign w:val="center"/>
          </w:tcPr>
          <w:p w14:paraId="01E664AA">
            <w:pPr>
              <w:widowControl/>
              <w:jc w:val="center"/>
              <w:rPr>
                <w:kern w:val="0"/>
                <w:sz w:val="20"/>
                <w:szCs w:val="20"/>
              </w:rPr>
            </w:pPr>
            <w:r>
              <w:rPr>
                <w:rFonts w:hint="eastAsia"/>
                <w:szCs w:val="21"/>
              </w:rPr>
              <w:t>6.3.9</w:t>
            </w:r>
          </w:p>
        </w:tc>
        <w:tc>
          <w:tcPr>
            <w:tcW w:w="960" w:type="dxa"/>
            <w:vAlign w:val="center"/>
          </w:tcPr>
          <w:p w14:paraId="7EB07F35">
            <w:pPr>
              <w:widowControl/>
              <w:jc w:val="center"/>
              <w:rPr>
                <w:kern w:val="0"/>
                <w:sz w:val="20"/>
                <w:szCs w:val="20"/>
              </w:rPr>
            </w:pPr>
            <w:r>
              <w:rPr>
                <w:sz w:val="16"/>
                <w:szCs w:val="16"/>
              </w:rPr>
              <w:t>●</w:t>
            </w:r>
          </w:p>
        </w:tc>
        <w:tc>
          <w:tcPr>
            <w:tcW w:w="845" w:type="dxa"/>
            <w:vAlign w:val="center"/>
          </w:tcPr>
          <w:p w14:paraId="540D0FF6">
            <w:pPr>
              <w:widowControl/>
              <w:jc w:val="center"/>
              <w:rPr>
                <w:kern w:val="0"/>
                <w:sz w:val="20"/>
                <w:szCs w:val="20"/>
              </w:rPr>
            </w:pPr>
            <w:r>
              <w:rPr>
                <w:sz w:val="16"/>
                <w:szCs w:val="16"/>
              </w:rPr>
              <w:t>●</w:t>
            </w:r>
          </w:p>
        </w:tc>
        <w:tc>
          <w:tcPr>
            <w:tcW w:w="880" w:type="dxa"/>
            <w:vAlign w:val="center"/>
          </w:tcPr>
          <w:p w14:paraId="142A3CF1">
            <w:pPr>
              <w:widowControl/>
              <w:jc w:val="center"/>
              <w:rPr>
                <w:sz w:val="16"/>
                <w:szCs w:val="16"/>
              </w:rPr>
            </w:pPr>
            <w:r>
              <w:rPr>
                <w:sz w:val="16"/>
                <w:szCs w:val="16"/>
              </w:rPr>
              <w:t>●</w:t>
            </w:r>
          </w:p>
        </w:tc>
        <w:tc>
          <w:tcPr>
            <w:tcW w:w="880" w:type="dxa"/>
            <w:vAlign w:val="center"/>
          </w:tcPr>
          <w:p w14:paraId="3370A498">
            <w:pPr>
              <w:widowControl/>
              <w:jc w:val="center"/>
              <w:rPr>
                <w:sz w:val="16"/>
                <w:szCs w:val="16"/>
              </w:rPr>
            </w:pPr>
            <w:r>
              <w:rPr>
                <w:sz w:val="16"/>
                <w:szCs w:val="16"/>
              </w:rPr>
              <w:t>●</w:t>
            </w:r>
          </w:p>
        </w:tc>
        <w:tc>
          <w:tcPr>
            <w:tcW w:w="880" w:type="dxa"/>
            <w:vAlign w:val="center"/>
          </w:tcPr>
          <w:p w14:paraId="03673A28">
            <w:pPr>
              <w:widowControl/>
              <w:jc w:val="center"/>
              <w:rPr>
                <w:sz w:val="16"/>
                <w:szCs w:val="16"/>
              </w:rPr>
            </w:pPr>
            <w:r>
              <w:rPr>
                <w:sz w:val="16"/>
                <w:szCs w:val="16"/>
              </w:rPr>
              <w:t>●</w:t>
            </w:r>
          </w:p>
        </w:tc>
      </w:tr>
      <w:tr w14:paraId="3F61E5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6" w:hRule="atLeast"/>
          <w:jc w:val="center"/>
        </w:trPr>
        <w:tc>
          <w:tcPr>
            <w:tcW w:w="558" w:type="dxa"/>
            <w:vMerge w:val="continue"/>
            <w:vAlign w:val="center"/>
          </w:tcPr>
          <w:p w14:paraId="58474AAE">
            <w:pPr>
              <w:widowControl/>
              <w:jc w:val="center"/>
              <w:rPr>
                <w:kern w:val="0"/>
                <w:sz w:val="20"/>
                <w:szCs w:val="20"/>
              </w:rPr>
            </w:pPr>
          </w:p>
        </w:tc>
        <w:tc>
          <w:tcPr>
            <w:tcW w:w="970" w:type="dxa"/>
            <w:vMerge w:val="continue"/>
            <w:vAlign w:val="center"/>
          </w:tcPr>
          <w:p w14:paraId="4208DE09">
            <w:pPr>
              <w:widowControl/>
              <w:jc w:val="center"/>
              <w:rPr>
                <w:kern w:val="0"/>
                <w:sz w:val="20"/>
                <w:szCs w:val="20"/>
              </w:rPr>
            </w:pPr>
          </w:p>
        </w:tc>
        <w:tc>
          <w:tcPr>
            <w:tcW w:w="2457" w:type="dxa"/>
            <w:vAlign w:val="center"/>
          </w:tcPr>
          <w:p w14:paraId="693ADD87">
            <w:pPr>
              <w:widowControl/>
              <w:jc w:val="center"/>
              <w:rPr>
                <w:kern w:val="0"/>
                <w:sz w:val="20"/>
                <w:szCs w:val="20"/>
              </w:rPr>
            </w:pPr>
            <w:r>
              <w:rPr>
                <w:kern w:val="0"/>
                <w:sz w:val="20"/>
                <w:szCs w:val="20"/>
              </w:rPr>
              <w:t>飞行区域限制功能试验</w:t>
            </w:r>
          </w:p>
        </w:tc>
        <w:tc>
          <w:tcPr>
            <w:tcW w:w="917" w:type="dxa"/>
            <w:vAlign w:val="center"/>
          </w:tcPr>
          <w:p w14:paraId="12517137">
            <w:pPr>
              <w:widowControl/>
              <w:jc w:val="center"/>
              <w:rPr>
                <w:kern w:val="0"/>
                <w:sz w:val="20"/>
                <w:szCs w:val="20"/>
              </w:rPr>
            </w:pPr>
            <w:r>
              <w:rPr>
                <w:rFonts w:hint="eastAsia"/>
                <w:szCs w:val="21"/>
              </w:rPr>
              <w:t>6.3.10</w:t>
            </w:r>
          </w:p>
        </w:tc>
        <w:tc>
          <w:tcPr>
            <w:tcW w:w="960" w:type="dxa"/>
            <w:vAlign w:val="center"/>
          </w:tcPr>
          <w:p w14:paraId="59711768">
            <w:pPr>
              <w:widowControl/>
              <w:jc w:val="center"/>
              <w:rPr>
                <w:kern w:val="0"/>
                <w:sz w:val="20"/>
                <w:szCs w:val="20"/>
              </w:rPr>
            </w:pPr>
            <w:r>
              <w:rPr>
                <w:sz w:val="16"/>
                <w:szCs w:val="16"/>
              </w:rPr>
              <w:t>●</w:t>
            </w:r>
          </w:p>
        </w:tc>
        <w:tc>
          <w:tcPr>
            <w:tcW w:w="845" w:type="dxa"/>
            <w:vAlign w:val="center"/>
          </w:tcPr>
          <w:p w14:paraId="629BD51C">
            <w:pPr>
              <w:widowControl/>
              <w:jc w:val="center"/>
              <w:rPr>
                <w:kern w:val="0"/>
                <w:sz w:val="20"/>
                <w:szCs w:val="20"/>
              </w:rPr>
            </w:pPr>
            <w:r>
              <w:rPr>
                <w:sz w:val="16"/>
                <w:szCs w:val="16"/>
              </w:rPr>
              <w:t>●</w:t>
            </w:r>
          </w:p>
        </w:tc>
        <w:tc>
          <w:tcPr>
            <w:tcW w:w="880" w:type="dxa"/>
            <w:vAlign w:val="center"/>
          </w:tcPr>
          <w:p w14:paraId="0F4B7555">
            <w:pPr>
              <w:widowControl/>
              <w:jc w:val="center"/>
              <w:rPr>
                <w:sz w:val="16"/>
                <w:szCs w:val="16"/>
              </w:rPr>
            </w:pPr>
            <w:r>
              <w:rPr>
                <w:sz w:val="16"/>
                <w:szCs w:val="16"/>
              </w:rPr>
              <w:t>●</w:t>
            </w:r>
          </w:p>
        </w:tc>
        <w:tc>
          <w:tcPr>
            <w:tcW w:w="880" w:type="dxa"/>
            <w:vAlign w:val="center"/>
          </w:tcPr>
          <w:p w14:paraId="5CE0EF68">
            <w:pPr>
              <w:widowControl/>
              <w:jc w:val="center"/>
              <w:rPr>
                <w:sz w:val="16"/>
                <w:szCs w:val="16"/>
              </w:rPr>
            </w:pPr>
            <w:r>
              <w:rPr>
                <w:sz w:val="16"/>
                <w:szCs w:val="16"/>
              </w:rPr>
              <w:t>●</w:t>
            </w:r>
          </w:p>
        </w:tc>
        <w:tc>
          <w:tcPr>
            <w:tcW w:w="880" w:type="dxa"/>
            <w:vAlign w:val="center"/>
          </w:tcPr>
          <w:p w14:paraId="3C4D4518">
            <w:pPr>
              <w:widowControl/>
              <w:jc w:val="center"/>
              <w:rPr>
                <w:sz w:val="16"/>
                <w:szCs w:val="16"/>
              </w:rPr>
            </w:pPr>
            <w:r>
              <w:rPr>
                <w:sz w:val="16"/>
                <w:szCs w:val="16"/>
              </w:rPr>
              <w:t>●</w:t>
            </w:r>
          </w:p>
        </w:tc>
      </w:tr>
      <w:tr w14:paraId="645B53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1" w:hRule="atLeast"/>
          <w:jc w:val="center"/>
        </w:trPr>
        <w:tc>
          <w:tcPr>
            <w:tcW w:w="558" w:type="dxa"/>
            <w:vMerge w:val="continue"/>
            <w:vAlign w:val="center"/>
          </w:tcPr>
          <w:p w14:paraId="299F178C">
            <w:pPr>
              <w:widowControl/>
              <w:jc w:val="center"/>
              <w:rPr>
                <w:kern w:val="0"/>
                <w:sz w:val="20"/>
                <w:szCs w:val="20"/>
              </w:rPr>
            </w:pPr>
          </w:p>
        </w:tc>
        <w:tc>
          <w:tcPr>
            <w:tcW w:w="970" w:type="dxa"/>
            <w:vMerge w:val="continue"/>
            <w:vAlign w:val="center"/>
          </w:tcPr>
          <w:p w14:paraId="57572E6C">
            <w:pPr>
              <w:widowControl/>
              <w:jc w:val="center"/>
              <w:rPr>
                <w:kern w:val="0"/>
                <w:sz w:val="20"/>
                <w:szCs w:val="20"/>
              </w:rPr>
            </w:pPr>
          </w:p>
        </w:tc>
        <w:tc>
          <w:tcPr>
            <w:tcW w:w="2457" w:type="dxa"/>
            <w:vAlign w:val="center"/>
          </w:tcPr>
          <w:p w14:paraId="469CD9E6">
            <w:pPr>
              <w:widowControl/>
              <w:jc w:val="center"/>
              <w:rPr>
                <w:kern w:val="0"/>
                <w:sz w:val="20"/>
                <w:szCs w:val="20"/>
              </w:rPr>
            </w:pPr>
            <w:r>
              <w:rPr>
                <w:kern w:val="0"/>
                <w:sz w:val="20"/>
                <w:szCs w:val="20"/>
              </w:rPr>
              <w:t>低电压报警功能试验</w:t>
            </w:r>
          </w:p>
        </w:tc>
        <w:tc>
          <w:tcPr>
            <w:tcW w:w="917" w:type="dxa"/>
            <w:vAlign w:val="center"/>
          </w:tcPr>
          <w:p w14:paraId="0A601F47">
            <w:pPr>
              <w:widowControl/>
              <w:jc w:val="center"/>
              <w:rPr>
                <w:kern w:val="0"/>
                <w:sz w:val="20"/>
                <w:szCs w:val="20"/>
              </w:rPr>
            </w:pPr>
            <w:r>
              <w:rPr>
                <w:rFonts w:hint="eastAsia"/>
                <w:szCs w:val="21"/>
              </w:rPr>
              <w:t>6.3.11</w:t>
            </w:r>
          </w:p>
        </w:tc>
        <w:tc>
          <w:tcPr>
            <w:tcW w:w="960" w:type="dxa"/>
            <w:vAlign w:val="center"/>
          </w:tcPr>
          <w:p w14:paraId="249CAEA7">
            <w:pPr>
              <w:widowControl/>
              <w:jc w:val="center"/>
              <w:rPr>
                <w:kern w:val="0"/>
                <w:sz w:val="20"/>
                <w:szCs w:val="20"/>
              </w:rPr>
            </w:pPr>
            <w:r>
              <w:rPr>
                <w:sz w:val="16"/>
                <w:szCs w:val="16"/>
              </w:rPr>
              <w:t>●</w:t>
            </w:r>
          </w:p>
        </w:tc>
        <w:tc>
          <w:tcPr>
            <w:tcW w:w="845" w:type="dxa"/>
            <w:vAlign w:val="center"/>
          </w:tcPr>
          <w:p w14:paraId="29E4F790">
            <w:pPr>
              <w:widowControl/>
              <w:jc w:val="center"/>
              <w:rPr>
                <w:kern w:val="0"/>
                <w:sz w:val="20"/>
                <w:szCs w:val="20"/>
              </w:rPr>
            </w:pPr>
            <w:r>
              <w:rPr>
                <w:sz w:val="16"/>
                <w:szCs w:val="16"/>
              </w:rPr>
              <w:t>●</w:t>
            </w:r>
          </w:p>
        </w:tc>
        <w:tc>
          <w:tcPr>
            <w:tcW w:w="880" w:type="dxa"/>
            <w:vAlign w:val="center"/>
          </w:tcPr>
          <w:p w14:paraId="4FFA204F">
            <w:pPr>
              <w:widowControl/>
              <w:jc w:val="center"/>
              <w:rPr>
                <w:sz w:val="16"/>
                <w:szCs w:val="16"/>
              </w:rPr>
            </w:pPr>
            <w:r>
              <w:rPr>
                <w:sz w:val="16"/>
                <w:szCs w:val="16"/>
              </w:rPr>
              <w:t>●</w:t>
            </w:r>
          </w:p>
        </w:tc>
        <w:tc>
          <w:tcPr>
            <w:tcW w:w="880" w:type="dxa"/>
            <w:vAlign w:val="center"/>
          </w:tcPr>
          <w:p w14:paraId="49B65E1A">
            <w:pPr>
              <w:widowControl/>
              <w:jc w:val="center"/>
              <w:rPr>
                <w:sz w:val="16"/>
                <w:szCs w:val="16"/>
              </w:rPr>
            </w:pPr>
            <w:r>
              <w:rPr>
                <w:sz w:val="16"/>
                <w:szCs w:val="16"/>
              </w:rPr>
              <w:t>●</w:t>
            </w:r>
          </w:p>
        </w:tc>
        <w:tc>
          <w:tcPr>
            <w:tcW w:w="880" w:type="dxa"/>
            <w:vAlign w:val="center"/>
          </w:tcPr>
          <w:p w14:paraId="7444D865">
            <w:pPr>
              <w:widowControl/>
              <w:jc w:val="center"/>
              <w:rPr>
                <w:sz w:val="16"/>
                <w:szCs w:val="16"/>
              </w:rPr>
            </w:pPr>
            <w:r>
              <w:rPr>
                <w:sz w:val="16"/>
                <w:szCs w:val="16"/>
              </w:rPr>
              <w:t>●</w:t>
            </w:r>
          </w:p>
        </w:tc>
      </w:tr>
      <w:tr w14:paraId="1BA162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1E919AE5">
            <w:pPr>
              <w:widowControl/>
              <w:jc w:val="center"/>
              <w:rPr>
                <w:kern w:val="0"/>
                <w:sz w:val="20"/>
                <w:szCs w:val="20"/>
              </w:rPr>
            </w:pPr>
          </w:p>
        </w:tc>
        <w:tc>
          <w:tcPr>
            <w:tcW w:w="970" w:type="dxa"/>
            <w:vMerge w:val="continue"/>
            <w:vAlign w:val="center"/>
          </w:tcPr>
          <w:p w14:paraId="52EFFE9C">
            <w:pPr>
              <w:widowControl/>
              <w:jc w:val="center"/>
              <w:rPr>
                <w:kern w:val="0"/>
                <w:sz w:val="20"/>
                <w:szCs w:val="20"/>
              </w:rPr>
            </w:pPr>
          </w:p>
        </w:tc>
        <w:tc>
          <w:tcPr>
            <w:tcW w:w="2457" w:type="dxa"/>
            <w:vAlign w:val="center"/>
          </w:tcPr>
          <w:p w14:paraId="5C078215">
            <w:pPr>
              <w:widowControl/>
              <w:jc w:val="center"/>
              <w:rPr>
                <w:kern w:val="0"/>
                <w:sz w:val="20"/>
                <w:szCs w:val="20"/>
              </w:rPr>
            </w:pPr>
            <w:r>
              <w:rPr>
                <w:kern w:val="0"/>
                <w:sz w:val="20"/>
                <w:szCs w:val="20"/>
              </w:rPr>
              <w:t>位置追踪功能试验</w:t>
            </w:r>
          </w:p>
        </w:tc>
        <w:tc>
          <w:tcPr>
            <w:tcW w:w="917" w:type="dxa"/>
            <w:vAlign w:val="center"/>
          </w:tcPr>
          <w:p w14:paraId="2716508C">
            <w:pPr>
              <w:widowControl/>
              <w:jc w:val="center"/>
              <w:rPr>
                <w:kern w:val="0"/>
                <w:sz w:val="20"/>
                <w:szCs w:val="20"/>
              </w:rPr>
            </w:pPr>
            <w:r>
              <w:rPr>
                <w:rFonts w:hint="eastAsia"/>
                <w:szCs w:val="21"/>
              </w:rPr>
              <w:t>6.3.12</w:t>
            </w:r>
          </w:p>
        </w:tc>
        <w:tc>
          <w:tcPr>
            <w:tcW w:w="960" w:type="dxa"/>
            <w:vAlign w:val="center"/>
          </w:tcPr>
          <w:p w14:paraId="1E1CDA70">
            <w:pPr>
              <w:widowControl/>
              <w:jc w:val="center"/>
              <w:rPr>
                <w:kern w:val="0"/>
                <w:sz w:val="20"/>
                <w:szCs w:val="20"/>
              </w:rPr>
            </w:pPr>
            <w:r>
              <w:rPr>
                <w:sz w:val="16"/>
                <w:szCs w:val="16"/>
              </w:rPr>
              <w:t>●</w:t>
            </w:r>
          </w:p>
        </w:tc>
        <w:tc>
          <w:tcPr>
            <w:tcW w:w="845" w:type="dxa"/>
            <w:vAlign w:val="center"/>
          </w:tcPr>
          <w:p w14:paraId="53F4AA6A">
            <w:pPr>
              <w:widowControl/>
              <w:jc w:val="center"/>
              <w:rPr>
                <w:kern w:val="0"/>
                <w:sz w:val="20"/>
                <w:szCs w:val="20"/>
              </w:rPr>
            </w:pPr>
            <w:r>
              <w:rPr>
                <w:sz w:val="16"/>
                <w:szCs w:val="16"/>
              </w:rPr>
              <w:t>●</w:t>
            </w:r>
          </w:p>
        </w:tc>
        <w:tc>
          <w:tcPr>
            <w:tcW w:w="880" w:type="dxa"/>
            <w:vAlign w:val="center"/>
          </w:tcPr>
          <w:p w14:paraId="6C3A9965">
            <w:pPr>
              <w:widowControl/>
              <w:jc w:val="center"/>
              <w:rPr>
                <w:sz w:val="16"/>
                <w:szCs w:val="16"/>
              </w:rPr>
            </w:pPr>
            <w:r>
              <w:rPr>
                <w:sz w:val="16"/>
                <w:szCs w:val="16"/>
              </w:rPr>
              <w:t>●</w:t>
            </w:r>
          </w:p>
        </w:tc>
        <w:tc>
          <w:tcPr>
            <w:tcW w:w="880" w:type="dxa"/>
            <w:vAlign w:val="center"/>
          </w:tcPr>
          <w:p w14:paraId="1F1B9F52">
            <w:pPr>
              <w:widowControl/>
              <w:jc w:val="center"/>
              <w:rPr>
                <w:sz w:val="16"/>
                <w:szCs w:val="16"/>
              </w:rPr>
            </w:pPr>
            <w:r>
              <w:rPr>
                <w:sz w:val="16"/>
                <w:szCs w:val="16"/>
              </w:rPr>
              <w:t>●</w:t>
            </w:r>
          </w:p>
        </w:tc>
        <w:tc>
          <w:tcPr>
            <w:tcW w:w="880" w:type="dxa"/>
            <w:vAlign w:val="center"/>
          </w:tcPr>
          <w:p w14:paraId="01BBC85C">
            <w:pPr>
              <w:widowControl/>
              <w:jc w:val="center"/>
              <w:rPr>
                <w:sz w:val="16"/>
                <w:szCs w:val="16"/>
              </w:rPr>
            </w:pPr>
            <w:r>
              <w:rPr>
                <w:sz w:val="16"/>
                <w:szCs w:val="16"/>
              </w:rPr>
              <w:t>●</w:t>
            </w:r>
          </w:p>
        </w:tc>
      </w:tr>
      <w:tr w14:paraId="015694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558" w:type="dxa"/>
            <w:vMerge w:val="continue"/>
            <w:vAlign w:val="center"/>
          </w:tcPr>
          <w:p w14:paraId="194B09D5">
            <w:pPr>
              <w:widowControl/>
              <w:jc w:val="center"/>
              <w:rPr>
                <w:kern w:val="0"/>
                <w:sz w:val="20"/>
                <w:szCs w:val="20"/>
              </w:rPr>
            </w:pPr>
          </w:p>
        </w:tc>
        <w:tc>
          <w:tcPr>
            <w:tcW w:w="970" w:type="dxa"/>
            <w:vMerge w:val="continue"/>
            <w:vAlign w:val="center"/>
          </w:tcPr>
          <w:p w14:paraId="6EC4F65C">
            <w:pPr>
              <w:widowControl/>
              <w:jc w:val="center"/>
              <w:rPr>
                <w:kern w:val="0"/>
                <w:sz w:val="20"/>
                <w:szCs w:val="20"/>
              </w:rPr>
            </w:pPr>
          </w:p>
        </w:tc>
        <w:tc>
          <w:tcPr>
            <w:tcW w:w="2457" w:type="dxa"/>
            <w:vAlign w:val="center"/>
          </w:tcPr>
          <w:p w14:paraId="152C1A4A">
            <w:pPr>
              <w:widowControl/>
              <w:jc w:val="center"/>
              <w:rPr>
                <w:kern w:val="0"/>
                <w:sz w:val="20"/>
                <w:szCs w:val="20"/>
              </w:rPr>
            </w:pPr>
            <w:r>
              <w:rPr>
                <w:kern w:val="0"/>
                <w:sz w:val="20"/>
                <w:szCs w:val="20"/>
              </w:rPr>
              <w:t>拍照功能试验</w:t>
            </w:r>
          </w:p>
        </w:tc>
        <w:tc>
          <w:tcPr>
            <w:tcW w:w="917" w:type="dxa"/>
            <w:vAlign w:val="center"/>
          </w:tcPr>
          <w:p w14:paraId="57F94DE4">
            <w:pPr>
              <w:widowControl/>
              <w:jc w:val="center"/>
              <w:rPr>
                <w:kern w:val="0"/>
                <w:sz w:val="20"/>
                <w:szCs w:val="20"/>
              </w:rPr>
            </w:pPr>
            <w:r>
              <w:rPr>
                <w:rFonts w:hint="eastAsia"/>
                <w:szCs w:val="21"/>
              </w:rPr>
              <w:t>6.3.13</w:t>
            </w:r>
          </w:p>
        </w:tc>
        <w:tc>
          <w:tcPr>
            <w:tcW w:w="960" w:type="dxa"/>
            <w:vAlign w:val="center"/>
          </w:tcPr>
          <w:p w14:paraId="122E08D6">
            <w:pPr>
              <w:widowControl/>
              <w:jc w:val="center"/>
              <w:rPr>
                <w:kern w:val="0"/>
                <w:sz w:val="20"/>
                <w:szCs w:val="20"/>
              </w:rPr>
            </w:pPr>
            <w:r>
              <w:rPr>
                <w:sz w:val="16"/>
                <w:szCs w:val="16"/>
              </w:rPr>
              <w:t>●</w:t>
            </w:r>
          </w:p>
        </w:tc>
        <w:tc>
          <w:tcPr>
            <w:tcW w:w="845" w:type="dxa"/>
            <w:vAlign w:val="center"/>
          </w:tcPr>
          <w:p w14:paraId="0B15A787">
            <w:pPr>
              <w:widowControl/>
              <w:jc w:val="center"/>
              <w:rPr>
                <w:kern w:val="0"/>
                <w:sz w:val="20"/>
                <w:szCs w:val="20"/>
              </w:rPr>
            </w:pPr>
            <w:r>
              <w:rPr>
                <w:b/>
                <w:sz w:val="16"/>
                <w:szCs w:val="16"/>
              </w:rPr>
              <w:t>○</w:t>
            </w:r>
          </w:p>
        </w:tc>
        <w:tc>
          <w:tcPr>
            <w:tcW w:w="880" w:type="dxa"/>
            <w:vAlign w:val="center"/>
          </w:tcPr>
          <w:p w14:paraId="58C898D8">
            <w:pPr>
              <w:widowControl/>
              <w:jc w:val="center"/>
              <w:rPr>
                <w:sz w:val="16"/>
                <w:szCs w:val="16"/>
              </w:rPr>
            </w:pPr>
            <w:r>
              <w:rPr>
                <w:sz w:val="16"/>
                <w:szCs w:val="16"/>
              </w:rPr>
              <w:t>●</w:t>
            </w:r>
          </w:p>
        </w:tc>
        <w:tc>
          <w:tcPr>
            <w:tcW w:w="880" w:type="dxa"/>
            <w:vAlign w:val="center"/>
          </w:tcPr>
          <w:p w14:paraId="229C7628">
            <w:pPr>
              <w:widowControl/>
              <w:jc w:val="center"/>
              <w:rPr>
                <w:sz w:val="16"/>
                <w:szCs w:val="16"/>
              </w:rPr>
            </w:pPr>
            <w:r>
              <w:rPr>
                <w:sz w:val="16"/>
                <w:szCs w:val="16"/>
              </w:rPr>
              <w:t>●</w:t>
            </w:r>
          </w:p>
        </w:tc>
        <w:tc>
          <w:tcPr>
            <w:tcW w:w="880" w:type="dxa"/>
            <w:vAlign w:val="center"/>
          </w:tcPr>
          <w:p w14:paraId="676D8E48">
            <w:pPr>
              <w:widowControl/>
              <w:jc w:val="center"/>
              <w:rPr>
                <w:sz w:val="16"/>
                <w:szCs w:val="16"/>
              </w:rPr>
            </w:pPr>
            <w:r>
              <w:rPr>
                <w:sz w:val="16"/>
                <w:szCs w:val="16"/>
              </w:rPr>
              <w:t>●</w:t>
            </w:r>
          </w:p>
        </w:tc>
      </w:tr>
      <w:tr w14:paraId="1AC731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3" w:hRule="atLeast"/>
          <w:jc w:val="center"/>
        </w:trPr>
        <w:tc>
          <w:tcPr>
            <w:tcW w:w="558" w:type="dxa"/>
            <w:vMerge w:val="continue"/>
            <w:vAlign w:val="center"/>
          </w:tcPr>
          <w:p w14:paraId="719D671F">
            <w:pPr>
              <w:widowControl/>
              <w:jc w:val="center"/>
              <w:rPr>
                <w:kern w:val="0"/>
                <w:sz w:val="20"/>
                <w:szCs w:val="20"/>
              </w:rPr>
            </w:pPr>
          </w:p>
        </w:tc>
        <w:tc>
          <w:tcPr>
            <w:tcW w:w="970" w:type="dxa"/>
            <w:vMerge w:val="continue"/>
            <w:vAlign w:val="center"/>
          </w:tcPr>
          <w:p w14:paraId="3E8A1496">
            <w:pPr>
              <w:widowControl/>
              <w:jc w:val="center"/>
              <w:rPr>
                <w:kern w:val="0"/>
                <w:sz w:val="20"/>
                <w:szCs w:val="20"/>
              </w:rPr>
            </w:pPr>
          </w:p>
        </w:tc>
        <w:tc>
          <w:tcPr>
            <w:tcW w:w="2457" w:type="dxa"/>
            <w:vAlign w:val="center"/>
          </w:tcPr>
          <w:p w14:paraId="52449B54">
            <w:pPr>
              <w:widowControl/>
              <w:jc w:val="center"/>
              <w:rPr>
                <w:kern w:val="0"/>
                <w:sz w:val="20"/>
                <w:szCs w:val="20"/>
              </w:rPr>
            </w:pPr>
            <w:r>
              <w:rPr>
                <w:kern w:val="0"/>
                <w:sz w:val="20"/>
                <w:szCs w:val="20"/>
              </w:rPr>
              <w:t>转动功能试验</w:t>
            </w:r>
          </w:p>
        </w:tc>
        <w:tc>
          <w:tcPr>
            <w:tcW w:w="917" w:type="dxa"/>
            <w:vAlign w:val="center"/>
          </w:tcPr>
          <w:p w14:paraId="2D07C161">
            <w:pPr>
              <w:widowControl/>
              <w:jc w:val="center"/>
              <w:rPr>
                <w:kern w:val="0"/>
                <w:sz w:val="20"/>
                <w:szCs w:val="20"/>
              </w:rPr>
            </w:pPr>
            <w:r>
              <w:rPr>
                <w:rFonts w:hint="eastAsia"/>
                <w:szCs w:val="21"/>
              </w:rPr>
              <w:t>6.3.14</w:t>
            </w:r>
          </w:p>
        </w:tc>
        <w:tc>
          <w:tcPr>
            <w:tcW w:w="960" w:type="dxa"/>
            <w:vAlign w:val="center"/>
          </w:tcPr>
          <w:p w14:paraId="1D92743E">
            <w:pPr>
              <w:widowControl/>
              <w:jc w:val="center"/>
              <w:rPr>
                <w:kern w:val="0"/>
                <w:sz w:val="20"/>
                <w:szCs w:val="20"/>
              </w:rPr>
            </w:pPr>
            <w:r>
              <w:rPr>
                <w:sz w:val="16"/>
                <w:szCs w:val="16"/>
              </w:rPr>
              <w:t>●</w:t>
            </w:r>
          </w:p>
        </w:tc>
        <w:tc>
          <w:tcPr>
            <w:tcW w:w="845" w:type="dxa"/>
            <w:vAlign w:val="center"/>
          </w:tcPr>
          <w:p w14:paraId="16822560">
            <w:pPr>
              <w:widowControl/>
              <w:jc w:val="center"/>
              <w:rPr>
                <w:kern w:val="0"/>
                <w:sz w:val="20"/>
                <w:szCs w:val="20"/>
              </w:rPr>
            </w:pPr>
            <w:r>
              <w:rPr>
                <w:b/>
                <w:sz w:val="16"/>
                <w:szCs w:val="16"/>
              </w:rPr>
              <w:t>○</w:t>
            </w:r>
          </w:p>
        </w:tc>
        <w:tc>
          <w:tcPr>
            <w:tcW w:w="880" w:type="dxa"/>
            <w:vAlign w:val="center"/>
          </w:tcPr>
          <w:p w14:paraId="19E085DB">
            <w:pPr>
              <w:widowControl/>
              <w:jc w:val="center"/>
              <w:rPr>
                <w:sz w:val="16"/>
                <w:szCs w:val="16"/>
              </w:rPr>
            </w:pPr>
            <w:r>
              <w:rPr>
                <w:sz w:val="16"/>
                <w:szCs w:val="16"/>
              </w:rPr>
              <w:t>●</w:t>
            </w:r>
          </w:p>
        </w:tc>
        <w:tc>
          <w:tcPr>
            <w:tcW w:w="880" w:type="dxa"/>
            <w:vAlign w:val="center"/>
          </w:tcPr>
          <w:p w14:paraId="557BDBF4">
            <w:pPr>
              <w:widowControl/>
              <w:jc w:val="center"/>
              <w:rPr>
                <w:sz w:val="16"/>
                <w:szCs w:val="16"/>
              </w:rPr>
            </w:pPr>
            <w:r>
              <w:rPr>
                <w:sz w:val="16"/>
                <w:szCs w:val="16"/>
              </w:rPr>
              <w:t>●</w:t>
            </w:r>
          </w:p>
        </w:tc>
        <w:tc>
          <w:tcPr>
            <w:tcW w:w="880" w:type="dxa"/>
            <w:vAlign w:val="center"/>
          </w:tcPr>
          <w:p w14:paraId="0BB1FEBA">
            <w:pPr>
              <w:widowControl/>
              <w:jc w:val="center"/>
              <w:rPr>
                <w:sz w:val="16"/>
                <w:szCs w:val="16"/>
              </w:rPr>
            </w:pPr>
            <w:r>
              <w:rPr>
                <w:sz w:val="16"/>
                <w:szCs w:val="16"/>
              </w:rPr>
              <w:t>●</w:t>
            </w:r>
          </w:p>
        </w:tc>
      </w:tr>
      <w:tr w14:paraId="3D0ED8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 w:hRule="atLeast"/>
          <w:jc w:val="center"/>
        </w:trPr>
        <w:tc>
          <w:tcPr>
            <w:tcW w:w="558" w:type="dxa"/>
            <w:vMerge w:val="continue"/>
            <w:vAlign w:val="center"/>
          </w:tcPr>
          <w:p w14:paraId="66CE2132">
            <w:pPr>
              <w:widowControl/>
              <w:jc w:val="center"/>
              <w:rPr>
                <w:kern w:val="0"/>
                <w:sz w:val="20"/>
                <w:szCs w:val="20"/>
              </w:rPr>
            </w:pPr>
          </w:p>
        </w:tc>
        <w:tc>
          <w:tcPr>
            <w:tcW w:w="970" w:type="dxa"/>
            <w:vMerge w:val="continue"/>
            <w:vAlign w:val="center"/>
          </w:tcPr>
          <w:p w14:paraId="0CDC5CF3">
            <w:pPr>
              <w:widowControl/>
              <w:jc w:val="center"/>
              <w:rPr>
                <w:kern w:val="0"/>
                <w:sz w:val="20"/>
                <w:szCs w:val="20"/>
              </w:rPr>
            </w:pPr>
          </w:p>
        </w:tc>
        <w:tc>
          <w:tcPr>
            <w:tcW w:w="2457" w:type="dxa"/>
            <w:vAlign w:val="center"/>
          </w:tcPr>
          <w:p w14:paraId="7CE68B53">
            <w:pPr>
              <w:widowControl/>
              <w:jc w:val="center"/>
              <w:rPr>
                <w:kern w:val="0"/>
                <w:sz w:val="20"/>
                <w:szCs w:val="20"/>
              </w:rPr>
            </w:pPr>
            <w:r>
              <w:rPr>
                <w:kern w:val="0"/>
                <w:sz w:val="20"/>
                <w:szCs w:val="20"/>
              </w:rPr>
              <w:t>稳像精度试验</w:t>
            </w:r>
          </w:p>
        </w:tc>
        <w:tc>
          <w:tcPr>
            <w:tcW w:w="917" w:type="dxa"/>
            <w:vAlign w:val="center"/>
          </w:tcPr>
          <w:p w14:paraId="337BE012">
            <w:pPr>
              <w:widowControl/>
              <w:jc w:val="center"/>
              <w:rPr>
                <w:kern w:val="0"/>
                <w:sz w:val="20"/>
                <w:szCs w:val="20"/>
              </w:rPr>
            </w:pPr>
            <w:r>
              <w:rPr>
                <w:rFonts w:hint="eastAsia"/>
                <w:szCs w:val="21"/>
              </w:rPr>
              <w:t>6.3.15</w:t>
            </w:r>
          </w:p>
        </w:tc>
        <w:tc>
          <w:tcPr>
            <w:tcW w:w="960" w:type="dxa"/>
            <w:vAlign w:val="center"/>
          </w:tcPr>
          <w:p w14:paraId="324FE230">
            <w:pPr>
              <w:widowControl/>
              <w:jc w:val="center"/>
              <w:rPr>
                <w:kern w:val="0"/>
                <w:sz w:val="20"/>
                <w:szCs w:val="20"/>
              </w:rPr>
            </w:pPr>
            <w:r>
              <w:rPr>
                <w:sz w:val="16"/>
                <w:szCs w:val="16"/>
              </w:rPr>
              <w:t>●</w:t>
            </w:r>
          </w:p>
        </w:tc>
        <w:tc>
          <w:tcPr>
            <w:tcW w:w="845" w:type="dxa"/>
            <w:vAlign w:val="center"/>
          </w:tcPr>
          <w:p w14:paraId="3DA52880">
            <w:pPr>
              <w:widowControl/>
              <w:jc w:val="center"/>
              <w:rPr>
                <w:kern w:val="0"/>
                <w:sz w:val="20"/>
                <w:szCs w:val="20"/>
              </w:rPr>
            </w:pPr>
            <w:r>
              <w:rPr>
                <w:b/>
                <w:sz w:val="16"/>
                <w:szCs w:val="16"/>
              </w:rPr>
              <w:t>○</w:t>
            </w:r>
          </w:p>
        </w:tc>
        <w:tc>
          <w:tcPr>
            <w:tcW w:w="880" w:type="dxa"/>
            <w:vAlign w:val="center"/>
          </w:tcPr>
          <w:p w14:paraId="040F80E8">
            <w:pPr>
              <w:widowControl/>
              <w:jc w:val="center"/>
              <w:rPr>
                <w:sz w:val="16"/>
                <w:szCs w:val="16"/>
              </w:rPr>
            </w:pPr>
            <w:r>
              <w:rPr>
                <w:sz w:val="16"/>
                <w:szCs w:val="16"/>
              </w:rPr>
              <w:t>●</w:t>
            </w:r>
          </w:p>
        </w:tc>
        <w:tc>
          <w:tcPr>
            <w:tcW w:w="880" w:type="dxa"/>
            <w:vAlign w:val="center"/>
          </w:tcPr>
          <w:p w14:paraId="61D105EB">
            <w:pPr>
              <w:widowControl/>
              <w:jc w:val="center"/>
              <w:rPr>
                <w:sz w:val="16"/>
                <w:szCs w:val="16"/>
              </w:rPr>
            </w:pPr>
            <w:r>
              <w:rPr>
                <w:sz w:val="16"/>
                <w:szCs w:val="16"/>
              </w:rPr>
              <w:t>●</w:t>
            </w:r>
          </w:p>
        </w:tc>
        <w:tc>
          <w:tcPr>
            <w:tcW w:w="880" w:type="dxa"/>
            <w:vAlign w:val="center"/>
          </w:tcPr>
          <w:p w14:paraId="2ADCE6B5">
            <w:pPr>
              <w:widowControl/>
              <w:jc w:val="center"/>
              <w:rPr>
                <w:sz w:val="16"/>
                <w:szCs w:val="16"/>
              </w:rPr>
            </w:pPr>
            <w:r>
              <w:rPr>
                <w:sz w:val="16"/>
                <w:szCs w:val="16"/>
              </w:rPr>
              <w:t>●</w:t>
            </w:r>
          </w:p>
        </w:tc>
      </w:tr>
      <w:tr w14:paraId="08EB9D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558" w:type="dxa"/>
            <w:vMerge w:val="continue"/>
            <w:vAlign w:val="center"/>
          </w:tcPr>
          <w:p w14:paraId="7D9CA2E4">
            <w:pPr>
              <w:widowControl/>
              <w:jc w:val="center"/>
              <w:rPr>
                <w:kern w:val="0"/>
                <w:sz w:val="20"/>
                <w:szCs w:val="20"/>
              </w:rPr>
            </w:pPr>
          </w:p>
        </w:tc>
        <w:tc>
          <w:tcPr>
            <w:tcW w:w="970" w:type="dxa"/>
            <w:vMerge w:val="continue"/>
            <w:vAlign w:val="center"/>
          </w:tcPr>
          <w:p w14:paraId="7D2210CA">
            <w:pPr>
              <w:widowControl/>
              <w:jc w:val="center"/>
              <w:rPr>
                <w:kern w:val="0"/>
                <w:sz w:val="20"/>
                <w:szCs w:val="20"/>
              </w:rPr>
            </w:pPr>
          </w:p>
        </w:tc>
        <w:tc>
          <w:tcPr>
            <w:tcW w:w="2457" w:type="dxa"/>
            <w:vAlign w:val="center"/>
          </w:tcPr>
          <w:p w14:paraId="1EEB2147">
            <w:pPr>
              <w:widowControl/>
              <w:jc w:val="center"/>
              <w:rPr>
                <w:kern w:val="0"/>
                <w:sz w:val="20"/>
                <w:szCs w:val="20"/>
              </w:rPr>
            </w:pPr>
            <w:r>
              <w:rPr>
                <w:kern w:val="0"/>
                <w:sz w:val="20"/>
                <w:szCs w:val="20"/>
              </w:rPr>
              <w:t>可见光成像性能试验</w:t>
            </w:r>
          </w:p>
        </w:tc>
        <w:tc>
          <w:tcPr>
            <w:tcW w:w="917" w:type="dxa"/>
            <w:vAlign w:val="center"/>
          </w:tcPr>
          <w:p w14:paraId="3D685911">
            <w:pPr>
              <w:widowControl/>
              <w:jc w:val="center"/>
              <w:rPr>
                <w:kern w:val="0"/>
                <w:sz w:val="20"/>
                <w:szCs w:val="20"/>
              </w:rPr>
            </w:pPr>
            <w:r>
              <w:rPr>
                <w:rFonts w:hint="eastAsia"/>
                <w:szCs w:val="21"/>
              </w:rPr>
              <w:t>6.3.16</w:t>
            </w:r>
          </w:p>
        </w:tc>
        <w:tc>
          <w:tcPr>
            <w:tcW w:w="960" w:type="dxa"/>
            <w:vAlign w:val="center"/>
          </w:tcPr>
          <w:p w14:paraId="672DA476">
            <w:pPr>
              <w:widowControl/>
              <w:jc w:val="center"/>
              <w:rPr>
                <w:kern w:val="0"/>
                <w:sz w:val="20"/>
                <w:szCs w:val="20"/>
              </w:rPr>
            </w:pPr>
            <w:r>
              <w:rPr>
                <w:sz w:val="16"/>
                <w:szCs w:val="16"/>
              </w:rPr>
              <w:t>●</w:t>
            </w:r>
          </w:p>
        </w:tc>
        <w:tc>
          <w:tcPr>
            <w:tcW w:w="845" w:type="dxa"/>
            <w:vAlign w:val="center"/>
          </w:tcPr>
          <w:p w14:paraId="5D0B210D">
            <w:pPr>
              <w:widowControl/>
              <w:jc w:val="center"/>
              <w:rPr>
                <w:kern w:val="0"/>
                <w:sz w:val="20"/>
                <w:szCs w:val="20"/>
              </w:rPr>
            </w:pPr>
            <w:r>
              <w:rPr>
                <w:b/>
                <w:sz w:val="16"/>
                <w:szCs w:val="16"/>
              </w:rPr>
              <w:t>○</w:t>
            </w:r>
          </w:p>
        </w:tc>
        <w:tc>
          <w:tcPr>
            <w:tcW w:w="880" w:type="dxa"/>
            <w:vAlign w:val="center"/>
          </w:tcPr>
          <w:p w14:paraId="0EFFD5EE">
            <w:pPr>
              <w:widowControl/>
              <w:jc w:val="center"/>
              <w:rPr>
                <w:sz w:val="16"/>
                <w:szCs w:val="16"/>
              </w:rPr>
            </w:pPr>
            <w:r>
              <w:rPr>
                <w:sz w:val="16"/>
                <w:szCs w:val="16"/>
              </w:rPr>
              <w:t>●</w:t>
            </w:r>
          </w:p>
        </w:tc>
        <w:tc>
          <w:tcPr>
            <w:tcW w:w="880" w:type="dxa"/>
            <w:vAlign w:val="center"/>
          </w:tcPr>
          <w:p w14:paraId="07BEB5A6">
            <w:pPr>
              <w:widowControl/>
              <w:jc w:val="center"/>
              <w:rPr>
                <w:sz w:val="16"/>
                <w:szCs w:val="16"/>
              </w:rPr>
            </w:pPr>
            <w:r>
              <w:rPr>
                <w:sz w:val="16"/>
                <w:szCs w:val="16"/>
              </w:rPr>
              <w:t>●</w:t>
            </w:r>
          </w:p>
        </w:tc>
        <w:tc>
          <w:tcPr>
            <w:tcW w:w="880" w:type="dxa"/>
            <w:vAlign w:val="center"/>
          </w:tcPr>
          <w:p w14:paraId="3A4B5EE5">
            <w:pPr>
              <w:widowControl/>
              <w:jc w:val="center"/>
              <w:rPr>
                <w:sz w:val="16"/>
                <w:szCs w:val="16"/>
              </w:rPr>
            </w:pPr>
            <w:r>
              <w:rPr>
                <w:sz w:val="16"/>
                <w:szCs w:val="16"/>
              </w:rPr>
              <w:t>●</w:t>
            </w:r>
          </w:p>
        </w:tc>
      </w:tr>
      <w:tr w14:paraId="7891A6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558" w:type="dxa"/>
            <w:vMerge w:val="continue"/>
            <w:vAlign w:val="center"/>
          </w:tcPr>
          <w:p w14:paraId="51F86EE1">
            <w:pPr>
              <w:widowControl/>
              <w:jc w:val="center"/>
              <w:rPr>
                <w:kern w:val="0"/>
                <w:sz w:val="20"/>
                <w:szCs w:val="20"/>
              </w:rPr>
            </w:pPr>
          </w:p>
        </w:tc>
        <w:tc>
          <w:tcPr>
            <w:tcW w:w="970" w:type="dxa"/>
            <w:vMerge w:val="continue"/>
            <w:vAlign w:val="center"/>
          </w:tcPr>
          <w:p w14:paraId="42C290CB">
            <w:pPr>
              <w:widowControl/>
              <w:jc w:val="center"/>
              <w:rPr>
                <w:kern w:val="0"/>
                <w:sz w:val="20"/>
                <w:szCs w:val="20"/>
              </w:rPr>
            </w:pPr>
          </w:p>
        </w:tc>
        <w:tc>
          <w:tcPr>
            <w:tcW w:w="2457" w:type="dxa"/>
            <w:vAlign w:val="center"/>
          </w:tcPr>
          <w:p w14:paraId="3D399A88">
            <w:pPr>
              <w:widowControl/>
              <w:jc w:val="center"/>
              <w:rPr>
                <w:kern w:val="0"/>
                <w:sz w:val="20"/>
                <w:szCs w:val="20"/>
              </w:rPr>
            </w:pPr>
            <w:r>
              <w:rPr>
                <w:rFonts w:hint="eastAsia"/>
                <w:kern w:val="0"/>
                <w:sz w:val="20"/>
                <w:szCs w:val="20"/>
              </w:rPr>
              <w:t>红外成像性能试验</w:t>
            </w:r>
          </w:p>
        </w:tc>
        <w:tc>
          <w:tcPr>
            <w:tcW w:w="917" w:type="dxa"/>
            <w:vAlign w:val="center"/>
          </w:tcPr>
          <w:p w14:paraId="65EA24A0">
            <w:pPr>
              <w:widowControl/>
              <w:jc w:val="center"/>
              <w:rPr>
                <w:szCs w:val="21"/>
              </w:rPr>
            </w:pPr>
            <w:r>
              <w:rPr>
                <w:rFonts w:hint="eastAsia"/>
                <w:szCs w:val="21"/>
              </w:rPr>
              <w:t>6.3.17</w:t>
            </w:r>
          </w:p>
        </w:tc>
        <w:tc>
          <w:tcPr>
            <w:tcW w:w="960" w:type="dxa"/>
            <w:vAlign w:val="center"/>
          </w:tcPr>
          <w:p w14:paraId="628C0A6E">
            <w:pPr>
              <w:widowControl/>
              <w:jc w:val="center"/>
              <w:rPr>
                <w:kern w:val="0"/>
                <w:sz w:val="20"/>
                <w:szCs w:val="20"/>
              </w:rPr>
            </w:pPr>
            <w:r>
              <w:rPr>
                <w:sz w:val="16"/>
                <w:szCs w:val="16"/>
              </w:rPr>
              <w:t>●</w:t>
            </w:r>
          </w:p>
        </w:tc>
        <w:tc>
          <w:tcPr>
            <w:tcW w:w="845" w:type="dxa"/>
            <w:vAlign w:val="center"/>
          </w:tcPr>
          <w:p w14:paraId="317904EA">
            <w:pPr>
              <w:widowControl/>
              <w:jc w:val="center"/>
              <w:rPr>
                <w:kern w:val="0"/>
                <w:sz w:val="20"/>
                <w:szCs w:val="20"/>
              </w:rPr>
            </w:pPr>
            <w:r>
              <w:rPr>
                <w:b/>
                <w:sz w:val="16"/>
                <w:szCs w:val="16"/>
              </w:rPr>
              <w:t>○</w:t>
            </w:r>
          </w:p>
        </w:tc>
        <w:tc>
          <w:tcPr>
            <w:tcW w:w="880" w:type="dxa"/>
            <w:vAlign w:val="center"/>
          </w:tcPr>
          <w:p w14:paraId="0ABE4E84">
            <w:pPr>
              <w:widowControl/>
              <w:jc w:val="center"/>
              <w:rPr>
                <w:sz w:val="16"/>
                <w:szCs w:val="16"/>
              </w:rPr>
            </w:pPr>
            <w:r>
              <w:rPr>
                <w:sz w:val="16"/>
                <w:szCs w:val="16"/>
              </w:rPr>
              <w:t>●</w:t>
            </w:r>
          </w:p>
        </w:tc>
        <w:tc>
          <w:tcPr>
            <w:tcW w:w="880" w:type="dxa"/>
            <w:vAlign w:val="center"/>
          </w:tcPr>
          <w:p w14:paraId="41D6D8B2">
            <w:pPr>
              <w:widowControl/>
              <w:jc w:val="center"/>
              <w:rPr>
                <w:sz w:val="16"/>
                <w:szCs w:val="16"/>
              </w:rPr>
            </w:pPr>
            <w:r>
              <w:rPr>
                <w:sz w:val="16"/>
                <w:szCs w:val="16"/>
              </w:rPr>
              <w:t>●</w:t>
            </w:r>
          </w:p>
        </w:tc>
        <w:tc>
          <w:tcPr>
            <w:tcW w:w="880" w:type="dxa"/>
            <w:vAlign w:val="center"/>
          </w:tcPr>
          <w:p w14:paraId="6A440E16">
            <w:pPr>
              <w:widowControl/>
              <w:jc w:val="center"/>
              <w:rPr>
                <w:sz w:val="16"/>
                <w:szCs w:val="16"/>
              </w:rPr>
            </w:pPr>
            <w:r>
              <w:rPr>
                <w:sz w:val="16"/>
                <w:szCs w:val="16"/>
              </w:rPr>
              <w:t>●</w:t>
            </w:r>
          </w:p>
        </w:tc>
      </w:tr>
      <w:tr w14:paraId="687D8B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06AA264D">
            <w:pPr>
              <w:widowControl/>
              <w:jc w:val="center"/>
              <w:rPr>
                <w:kern w:val="0"/>
                <w:sz w:val="20"/>
                <w:szCs w:val="20"/>
              </w:rPr>
            </w:pPr>
          </w:p>
        </w:tc>
        <w:tc>
          <w:tcPr>
            <w:tcW w:w="970" w:type="dxa"/>
            <w:vMerge w:val="continue"/>
            <w:vAlign w:val="center"/>
          </w:tcPr>
          <w:p w14:paraId="488BF9C4">
            <w:pPr>
              <w:widowControl/>
              <w:jc w:val="center"/>
              <w:rPr>
                <w:kern w:val="0"/>
                <w:sz w:val="20"/>
                <w:szCs w:val="20"/>
              </w:rPr>
            </w:pPr>
          </w:p>
        </w:tc>
        <w:tc>
          <w:tcPr>
            <w:tcW w:w="2457" w:type="dxa"/>
            <w:vAlign w:val="center"/>
          </w:tcPr>
          <w:p w14:paraId="3CF9AAF8">
            <w:pPr>
              <w:widowControl/>
              <w:jc w:val="center"/>
              <w:rPr>
                <w:kern w:val="0"/>
                <w:sz w:val="20"/>
                <w:szCs w:val="20"/>
              </w:rPr>
            </w:pPr>
            <w:r>
              <w:rPr>
                <w:kern w:val="0"/>
                <w:sz w:val="20"/>
                <w:szCs w:val="20"/>
              </w:rPr>
              <w:t>跟踪精度试验</w:t>
            </w:r>
          </w:p>
        </w:tc>
        <w:tc>
          <w:tcPr>
            <w:tcW w:w="917" w:type="dxa"/>
            <w:vAlign w:val="center"/>
          </w:tcPr>
          <w:p w14:paraId="5120D2F8">
            <w:pPr>
              <w:widowControl/>
              <w:jc w:val="center"/>
              <w:rPr>
                <w:kern w:val="0"/>
                <w:sz w:val="20"/>
                <w:szCs w:val="20"/>
              </w:rPr>
            </w:pPr>
            <w:r>
              <w:rPr>
                <w:rFonts w:hint="eastAsia"/>
                <w:szCs w:val="21"/>
              </w:rPr>
              <w:t>6.3.18</w:t>
            </w:r>
          </w:p>
        </w:tc>
        <w:tc>
          <w:tcPr>
            <w:tcW w:w="960" w:type="dxa"/>
            <w:vAlign w:val="center"/>
          </w:tcPr>
          <w:p w14:paraId="734A5CFE">
            <w:pPr>
              <w:jc w:val="center"/>
              <w:rPr>
                <w:sz w:val="20"/>
                <w:szCs w:val="22"/>
              </w:rPr>
            </w:pPr>
            <w:r>
              <w:rPr>
                <w:sz w:val="16"/>
                <w:szCs w:val="16"/>
              </w:rPr>
              <w:t>●</w:t>
            </w:r>
          </w:p>
        </w:tc>
        <w:tc>
          <w:tcPr>
            <w:tcW w:w="845" w:type="dxa"/>
            <w:vAlign w:val="center"/>
          </w:tcPr>
          <w:p w14:paraId="06DE6181">
            <w:pPr>
              <w:jc w:val="center"/>
              <w:rPr>
                <w:sz w:val="20"/>
                <w:szCs w:val="22"/>
              </w:rPr>
            </w:pPr>
            <w:r>
              <w:rPr>
                <w:b/>
                <w:sz w:val="16"/>
                <w:szCs w:val="16"/>
              </w:rPr>
              <w:t>○</w:t>
            </w:r>
          </w:p>
        </w:tc>
        <w:tc>
          <w:tcPr>
            <w:tcW w:w="880" w:type="dxa"/>
            <w:vAlign w:val="center"/>
          </w:tcPr>
          <w:p w14:paraId="1C4F54A0">
            <w:pPr>
              <w:jc w:val="center"/>
              <w:rPr>
                <w:b/>
                <w:sz w:val="16"/>
                <w:szCs w:val="16"/>
              </w:rPr>
            </w:pPr>
            <w:r>
              <w:rPr>
                <w:b/>
                <w:sz w:val="16"/>
                <w:szCs w:val="16"/>
              </w:rPr>
              <w:t>○</w:t>
            </w:r>
          </w:p>
        </w:tc>
        <w:tc>
          <w:tcPr>
            <w:tcW w:w="880" w:type="dxa"/>
            <w:vAlign w:val="center"/>
          </w:tcPr>
          <w:p w14:paraId="2A6E51E5">
            <w:pPr>
              <w:jc w:val="center"/>
              <w:rPr>
                <w:b/>
                <w:sz w:val="16"/>
                <w:szCs w:val="16"/>
              </w:rPr>
            </w:pPr>
            <w:r>
              <w:rPr>
                <w:sz w:val="16"/>
                <w:szCs w:val="16"/>
              </w:rPr>
              <w:t>●</w:t>
            </w:r>
          </w:p>
        </w:tc>
        <w:tc>
          <w:tcPr>
            <w:tcW w:w="880" w:type="dxa"/>
            <w:vAlign w:val="center"/>
          </w:tcPr>
          <w:p w14:paraId="65489AE0">
            <w:pPr>
              <w:jc w:val="center"/>
              <w:rPr>
                <w:b/>
                <w:sz w:val="16"/>
                <w:szCs w:val="16"/>
              </w:rPr>
            </w:pPr>
            <w:r>
              <w:rPr>
                <w:b/>
                <w:sz w:val="16"/>
                <w:szCs w:val="16"/>
              </w:rPr>
              <w:t>○</w:t>
            </w:r>
          </w:p>
        </w:tc>
      </w:tr>
      <w:tr w14:paraId="3E5F22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6" w:hRule="atLeast"/>
          <w:jc w:val="center"/>
        </w:trPr>
        <w:tc>
          <w:tcPr>
            <w:tcW w:w="558" w:type="dxa"/>
            <w:vMerge w:val="restart"/>
            <w:vAlign w:val="center"/>
          </w:tcPr>
          <w:p w14:paraId="334A5B76">
            <w:pPr>
              <w:widowControl/>
              <w:jc w:val="center"/>
              <w:rPr>
                <w:kern w:val="0"/>
                <w:sz w:val="20"/>
                <w:szCs w:val="20"/>
              </w:rPr>
            </w:pPr>
            <w:r>
              <w:rPr>
                <w:kern w:val="0"/>
                <w:sz w:val="20"/>
                <w:szCs w:val="20"/>
              </w:rPr>
              <w:t>性能要求</w:t>
            </w:r>
          </w:p>
        </w:tc>
        <w:tc>
          <w:tcPr>
            <w:tcW w:w="970" w:type="dxa"/>
            <w:vMerge w:val="restart"/>
            <w:vAlign w:val="center"/>
          </w:tcPr>
          <w:p w14:paraId="46A39D40">
            <w:pPr>
              <w:widowControl/>
              <w:jc w:val="center"/>
              <w:rPr>
                <w:kern w:val="0"/>
                <w:sz w:val="20"/>
                <w:szCs w:val="20"/>
              </w:rPr>
            </w:pPr>
            <w:r>
              <w:rPr>
                <w:kern w:val="0"/>
                <w:sz w:val="20"/>
                <w:szCs w:val="20"/>
              </w:rPr>
              <w:t>抗电磁干扰性能</w:t>
            </w:r>
          </w:p>
        </w:tc>
        <w:tc>
          <w:tcPr>
            <w:tcW w:w="2457" w:type="dxa"/>
            <w:vAlign w:val="center"/>
          </w:tcPr>
          <w:p w14:paraId="0DD482DC">
            <w:pPr>
              <w:widowControl/>
              <w:jc w:val="center"/>
              <w:rPr>
                <w:kern w:val="0"/>
                <w:sz w:val="20"/>
                <w:szCs w:val="20"/>
              </w:rPr>
            </w:pPr>
            <w:r>
              <w:rPr>
                <w:kern w:val="0"/>
                <w:sz w:val="20"/>
                <w:szCs w:val="20"/>
              </w:rPr>
              <w:t>射频电磁场辐射抗扰度</w:t>
            </w:r>
          </w:p>
        </w:tc>
        <w:tc>
          <w:tcPr>
            <w:tcW w:w="917" w:type="dxa"/>
            <w:vAlign w:val="center"/>
          </w:tcPr>
          <w:p w14:paraId="2CACE6E6">
            <w:pPr>
              <w:widowControl/>
              <w:jc w:val="center"/>
              <w:rPr>
                <w:sz w:val="20"/>
                <w:szCs w:val="22"/>
              </w:rPr>
            </w:pPr>
            <w:r>
              <w:rPr>
                <w:rFonts w:hint="eastAsia"/>
                <w:szCs w:val="21"/>
              </w:rPr>
              <w:t>6.4.1</w:t>
            </w:r>
          </w:p>
        </w:tc>
        <w:tc>
          <w:tcPr>
            <w:tcW w:w="960" w:type="dxa"/>
            <w:vAlign w:val="center"/>
          </w:tcPr>
          <w:p w14:paraId="0022C925">
            <w:pPr>
              <w:jc w:val="center"/>
              <w:rPr>
                <w:sz w:val="20"/>
                <w:szCs w:val="22"/>
              </w:rPr>
            </w:pPr>
            <w:r>
              <w:rPr>
                <w:sz w:val="16"/>
                <w:szCs w:val="16"/>
              </w:rPr>
              <w:t>●</w:t>
            </w:r>
          </w:p>
        </w:tc>
        <w:tc>
          <w:tcPr>
            <w:tcW w:w="845" w:type="dxa"/>
            <w:vAlign w:val="center"/>
          </w:tcPr>
          <w:p w14:paraId="518B3DC6">
            <w:pPr>
              <w:jc w:val="center"/>
              <w:rPr>
                <w:sz w:val="20"/>
                <w:szCs w:val="22"/>
              </w:rPr>
            </w:pPr>
            <w:r>
              <w:rPr>
                <w:b/>
                <w:sz w:val="16"/>
                <w:szCs w:val="16"/>
              </w:rPr>
              <w:t>○</w:t>
            </w:r>
          </w:p>
        </w:tc>
        <w:tc>
          <w:tcPr>
            <w:tcW w:w="880" w:type="dxa"/>
            <w:vAlign w:val="center"/>
          </w:tcPr>
          <w:p w14:paraId="65CDAAA6">
            <w:pPr>
              <w:jc w:val="center"/>
              <w:rPr>
                <w:b/>
                <w:sz w:val="16"/>
                <w:szCs w:val="16"/>
              </w:rPr>
            </w:pPr>
            <w:r>
              <w:rPr>
                <w:b/>
                <w:sz w:val="16"/>
                <w:szCs w:val="16"/>
              </w:rPr>
              <w:t>○</w:t>
            </w:r>
          </w:p>
        </w:tc>
        <w:tc>
          <w:tcPr>
            <w:tcW w:w="880" w:type="dxa"/>
            <w:vAlign w:val="center"/>
          </w:tcPr>
          <w:p w14:paraId="1E1882BD">
            <w:pPr>
              <w:jc w:val="center"/>
              <w:rPr>
                <w:b/>
                <w:sz w:val="16"/>
                <w:szCs w:val="16"/>
              </w:rPr>
            </w:pPr>
            <w:r>
              <w:rPr>
                <w:sz w:val="16"/>
                <w:szCs w:val="16"/>
              </w:rPr>
              <w:t>●</w:t>
            </w:r>
          </w:p>
        </w:tc>
        <w:tc>
          <w:tcPr>
            <w:tcW w:w="880" w:type="dxa"/>
            <w:vAlign w:val="center"/>
          </w:tcPr>
          <w:p w14:paraId="2D5C5DBC">
            <w:pPr>
              <w:jc w:val="center"/>
              <w:rPr>
                <w:b/>
                <w:sz w:val="16"/>
                <w:szCs w:val="16"/>
              </w:rPr>
            </w:pPr>
            <w:r>
              <w:rPr>
                <w:b/>
                <w:sz w:val="16"/>
                <w:szCs w:val="16"/>
              </w:rPr>
              <w:t>○</w:t>
            </w:r>
          </w:p>
        </w:tc>
      </w:tr>
      <w:tr w14:paraId="4EF535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3" w:hRule="atLeast"/>
          <w:jc w:val="center"/>
        </w:trPr>
        <w:tc>
          <w:tcPr>
            <w:tcW w:w="558" w:type="dxa"/>
            <w:vMerge w:val="continue"/>
            <w:vAlign w:val="center"/>
          </w:tcPr>
          <w:p w14:paraId="62AE9460">
            <w:pPr>
              <w:widowControl/>
              <w:jc w:val="center"/>
              <w:rPr>
                <w:kern w:val="0"/>
                <w:sz w:val="20"/>
                <w:szCs w:val="20"/>
              </w:rPr>
            </w:pPr>
          </w:p>
        </w:tc>
        <w:tc>
          <w:tcPr>
            <w:tcW w:w="970" w:type="dxa"/>
            <w:vMerge w:val="continue"/>
            <w:vAlign w:val="center"/>
          </w:tcPr>
          <w:p w14:paraId="5E7F0F06">
            <w:pPr>
              <w:widowControl/>
              <w:jc w:val="center"/>
              <w:rPr>
                <w:kern w:val="0"/>
                <w:sz w:val="20"/>
                <w:szCs w:val="20"/>
              </w:rPr>
            </w:pPr>
          </w:p>
        </w:tc>
        <w:tc>
          <w:tcPr>
            <w:tcW w:w="2457" w:type="dxa"/>
            <w:vAlign w:val="center"/>
          </w:tcPr>
          <w:p w14:paraId="4B704573">
            <w:pPr>
              <w:widowControl/>
              <w:jc w:val="center"/>
              <w:rPr>
                <w:kern w:val="0"/>
                <w:sz w:val="20"/>
                <w:szCs w:val="20"/>
              </w:rPr>
            </w:pPr>
            <w:r>
              <w:rPr>
                <w:kern w:val="0"/>
                <w:sz w:val="20"/>
                <w:szCs w:val="20"/>
              </w:rPr>
              <w:t>静电放电抗扰度</w:t>
            </w:r>
          </w:p>
        </w:tc>
        <w:tc>
          <w:tcPr>
            <w:tcW w:w="917" w:type="dxa"/>
            <w:vAlign w:val="center"/>
          </w:tcPr>
          <w:p w14:paraId="2D2538AD">
            <w:pPr>
              <w:jc w:val="center"/>
              <w:rPr>
                <w:sz w:val="20"/>
                <w:szCs w:val="22"/>
              </w:rPr>
            </w:pPr>
            <w:r>
              <w:rPr>
                <w:rFonts w:hint="eastAsia"/>
                <w:szCs w:val="21"/>
              </w:rPr>
              <w:t>6.4.2</w:t>
            </w:r>
          </w:p>
        </w:tc>
        <w:tc>
          <w:tcPr>
            <w:tcW w:w="960" w:type="dxa"/>
            <w:vAlign w:val="center"/>
          </w:tcPr>
          <w:p w14:paraId="07FC0DE8">
            <w:pPr>
              <w:jc w:val="center"/>
              <w:rPr>
                <w:sz w:val="20"/>
                <w:szCs w:val="22"/>
              </w:rPr>
            </w:pPr>
            <w:r>
              <w:rPr>
                <w:sz w:val="16"/>
                <w:szCs w:val="16"/>
              </w:rPr>
              <w:t>●</w:t>
            </w:r>
          </w:p>
        </w:tc>
        <w:tc>
          <w:tcPr>
            <w:tcW w:w="845" w:type="dxa"/>
            <w:vAlign w:val="center"/>
          </w:tcPr>
          <w:p w14:paraId="6BAE3493">
            <w:pPr>
              <w:jc w:val="center"/>
              <w:rPr>
                <w:sz w:val="20"/>
                <w:szCs w:val="22"/>
              </w:rPr>
            </w:pPr>
            <w:r>
              <w:rPr>
                <w:b/>
                <w:sz w:val="16"/>
                <w:szCs w:val="16"/>
              </w:rPr>
              <w:t>○</w:t>
            </w:r>
          </w:p>
        </w:tc>
        <w:tc>
          <w:tcPr>
            <w:tcW w:w="880" w:type="dxa"/>
            <w:vAlign w:val="center"/>
          </w:tcPr>
          <w:p w14:paraId="1523ED8E">
            <w:pPr>
              <w:jc w:val="center"/>
              <w:rPr>
                <w:b/>
                <w:sz w:val="16"/>
                <w:szCs w:val="16"/>
              </w:rPr>
            </w:pPr>
            <w:r>
              <w:rPr>
                <w:b/>
                <w:sz w:val="16"/>
                <w:szCs w:val="16"/>
              </w:rPr>
              <w:t>○</w:t>
            </w:r>
          </w:p>
        </w:tc>
        <w:tc>
          <w:tcPr>
            <w:tcW w:w="880" w:type="dxa"/>
            <w:vAlign w:val="center"/>
          </w:tcPr>
          <w:p w14:paraId="1E5D27B2">
            <w:pPr>
              <w:jc w:val="center"/>
              <w:rPr>
                <w:b/>
                <w:sz w:val="16"/>
                <w:szCs w:val="16"/>
              </w:rPr>
            </w:pPr>
            <w:r>
              <w:rPr>
                <w:sz w:val="16"/>
                <w:szCs w:val="16"/>
              </w:rPr>
              <w:t>●</w:t>
            </w:r>
          </w:p>
        </w:tc>
        <w:tc>
          <w:tcPr>
            <w:tcW w:w="880" w:type="dxa"/>
            <w:vAlign w:val="center"/>
          </w:tcPr>
          <w:p w14:paraId="76C89999">
            <w:pPr>
              <w:jc w:val="center"/>
              <w:rPr>
                <w:b/>
                <w:sz w:val="16"/>
                <w:szCs w:val="16"/>
              </w:rPr>
            </w:pPr>
            <w:r>
              <w:rPr>
                <w:b/>
                <w:sz w:val="16"/>
                <w:szCs w:val="16"/>
              </w:rPr>
              <w:t>○</w:t>
            </w:r>
          </w:p>
        </w:tc>
      </w:tr>
      <w:tr w14:paraId="17AD40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30036A4F">
            <w:pPr>
              <w:widowControl/>
              <w:jc w:val="center"/>
              <w:rPr>
                <w:kern w:val="0"/>
                <w:sz w:val="20"/>
                <w:szCs w:val="20"/>
              </w:rPr>
            </w:pPr>
          </w:p>
        </w:tc>
        <w:tc>
          <w:tcPr>
            <w:tcW w:w="970" w:type="dxa"/>
            <w:vMerge w:val="continue"/>
            <w:vAlign w:val="center"/>
          </w:tcPr>
          <w:p w14:paraId="0E122B33">
            <w:pPr>
              <w:widowControl/>
              <w:jc w:val="center"/>
              <w:rPr>
                <w:kern w:val="0"/>
                <w:sz w:val="20"/>
                <w:szCs w:val="20"/>
              </w:rPr>
            </w:pPr>
          </w:p>
        </w:tc>
        <w:tc>
          <w:tcPr>
            <w:tcW w:w="2457" w:type="dxa"/>
            <w:vAlign w:val="center"/>
          </w:tcPr>
          <w:p w14:paraId="6A0FF67A">
            <w:pPr>
              <w:widowControl/>
              <w:jc w:val="center"/>
              <w:rPr>
                <w:kern w:val="0"/>
                <w:sz w:val="20"/>
                <w:szCs w:val="20"/>
              </w:rPr>
            </w:pPr>
            <w:r>
              <w:rPr>
                <w:kern w:val="0"/>
                <w:sz w:val="20"/>
                <w:szCs w:val="20"/>
              </w:rPr>
              <w:t>脉冲磁场抗扰度</w:t>
            </w:r>
          </w:p>
        </w:tc>
        <w:tc>
          <w:tcPr>
            <w:tcW w:w="917" w:type="dxa"/>
            <w:vAlign w:val="center"/>
          </w:tcPr>
          <w:p w14:paraId="016F93F2">
            <w:pPr>
              <w:jc w:val="center"/>
              <w:rPr>
                <w:sz w:val="20"/>
                <w:szCs w:val="22"/>
              </w:rPr>
            </w:pPr>
            <w:r>
              <w:rPr>
                <w:rFonts w:hint="eastAsia"/>
                <w:szCs w:val="21"/>
              </w:rPr>
              <w:t>6.4.3</w:t>
            </w:r>
          </w:p>
        </w:tc>
        <w:tc>
          <w:tcPr>
            <w:tcW w:w="960" w:type="dxa"/>
            <w:vAlign w:val="center"/>
          </w:tcPr>
          <w:p w14:paraId="308B546D">
            <w:pPr>
              <w:jc w:val="center"/>
              <w:rPr>
                <w:sz w:val="20"/>
                <w:szCs w:val="22"/>
              </w:rPr>
            </w:pPr>
            <w:r>
              <w:rPr>
                <w:sz w:val="16"/>
                <w:szCs w:val="16"/>
              </w:rPr>
              <w:t>●</w:t>
            </w:r>
          </w:p>
        </w:tc>
        <w:tc>
          <w:tcPr>
            <w:tcW w:w="845" w:type="dxa"/>
            <w:vAlign w:val="center"/>
          </w:tcPr>
          <w:p w14:paraId="6C32A533">
            <w:pPr>
              <w:jc w:val="center"/>
              <w:rPr>
                <w:sz w:val="20"/>
                <w:szCs w:val="22"/>
              </w:rPr>
            </w:pPr>
            <w:r>
              <w:rPr>
                <w:b/>
                <w:sz w:val="16"/>
                <w:szCs w:val="16"/>
              </w:rPr>
              <w:t>○</w:t>
            </w:r>
          </w:p>
        </w:tc>
        <w:tc>
          <w:tcPr>
            <w:tcW w:w="880" w:type="dxa"/>
            <w:vAlign w:val="center"/>
          </w:tcPr>
          <w:p w14:paraId="6DF8856E">
            <w:pPr>
              <w:jc w:val="center"/>
              <w:rPr>
                <w:b/>
                <w:sz w:val="16"/>
                <w:szCs w:val="16"/>
              </w:rPr>
            </w:pPr>
            <w:r>
              <w:rPr>
                <w:b/>
                <w:sz w:val="16"/>
                <w:szCs w:val="16"/>
              </w:rPr>
              <w:t>○</w:t>
            </w:r>
          </w:p>
        </w:tc>
        <w:tc>
          <w:tcPr>
            <w:tcW w:w="880" w:type="dxa"/>
            <w:vAlign w:val="center"/>
          </w:tcPr>
          <w:p w14:paraId="7223C4C5">
            <w:pPr>
              <w:jc w:val="center"/>
              <w:rPr>
                <w:b/>
                <w:sz w:val="16"/>
                <w:szCs w:val="16"/>
              </w:rPr>
            </w:pPr>
            <w:r>
              <w:rPr>
                <w:sz w:val="16"/>
                <w:szCs w:val="16"/>
              </w:rPr>
              <w:t>●</w:t>
            </w:r>
          </w:p>
        </w:tc>
        <w:tc>
          <w:tcPr>
            <w:tcW w:w="880" w:type="dxa"/>
            <w:vAlign w:val="center"/>
          </w:tcPr>
          <w:p w14:paraId="6140A47D">
            <w:pPr>
              <w:jc w:val="center"/>
              <w:rPr>
                <w:b/>
                <w:sz w:val="16"/>
                <w:szCs w:val="16"/>
              </w:rPr>
            </w:pPr>
            <w:r>
              <w:rPr>
                <w:b/>
                <w:sz w:val="16"/>
                <w:szCs w:val="16"/>
              </w:rPr>
              <w:t>○</w:t>
            </w:r>
          </w:p>
        </w:tc>
      </w:tr>
      <w:tr w14:paraId="6B2B15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6C8F34C0">
            <w:pPr>
              <w:widowControl/>
              <w:jc w:val="center"/>
              <w:rPr>
                <w:kern w:val="0"/>
                <w:sz w:val="20"/>
                <w:szCs w:val="20"/>
              </w:rPr>
            </w:pPr>
          </w:p>
        </w:tc>
        <w:tc>
          <w:tcPr>
            <w:tcW w:w="970" w:type="dxa"/>
            <w:vMerge w:val="continue"/>
            <w:vAlign w:val="center"/>
          </w:tcPr>
          <w:p w14:paraId="4CE79EF0">
            <w:pPr>
              <w:widowControl/>
              <w:jc w:val="center"/>
              <w:rPr>
                <w:kern w:val="0"/>
                <w:sz w:val="20"/>
                <w:szCs w:val="20"/>
              </w:rPr>
            </w:pPr>
          </w:p>
        </w:tc>
        <w:tc>
          <w:tcPr>
            <w:tcW w:w="2457" w:type="dxa"/>
            <w:vAlign w:val="center"/>
          </w:tcPr>
          <w:p w14:paraId="6CC93A52">
            <w:pPr>
              <w:widowControl/>
              <w:jc w:val="center"/>
              <w:rPr>
                <w:kern w:val="0"/>
                <w:sz w:val="20"/>
                <w:szCs w:val="20"/>
              </w:rPr>
            </w:pPr>
            <w:r>
              <w:rPr>
                <w:kern w:val="0"/>
                <w:sz w:val="20"/>
                <w:szCs w:val="20"/>
              </w:rPr>
              <w:t>工频磁场抗扰度</w:t>
            </w:r>
          </w:p>
        </w:tc>
        <w:tc>
          <w:tcPr>
            <w:tcW w:w="917" w:type="dxa"/>
            <w:vAlign w:val="center"/>
          </w:tcPr>
          <w:p w14:paraId="7ECF5385">
            <w:pPr>
              <w:jc w:val="center"/>
              <w:rPr>
                <w:sz w:val="20"/>
                <w:szCs w:val="22"/>
              </w:rPr>
            </w:pPr>
            <w:r>
              <w:rPr>
                <w:rFonts w:hint="eastAsia"/>
                <w:szCs w:val="21"/>
              </w:rPr>
              <w:t>6.4.4</w:t>
            </w:r>
          </w:p>
        </w:tc>
        <w:tc>
          <w:tcPr>
            <w:tcW w:w="960" w:type="dxa"/>
            <w:vAlign w:val="center"/>
          </w:tcPr>
          <w:p w14:paraId="72C41FB5">
            <w:pPr>
              <w:jc w:val="center"/>
              <w:rPr>
                <w:sz w:val="20"/>
                <w:szCs w:val="22"/>
              </w:rPr>
            </w:pPr>
            <w:r>
              <w:rPr>
                <w:sz w:val="16"/>
                <w:szCs w:val="16"/>
              </w:rPr>
              <w:t>●</w:t>
            </w:r>
          </w:p>
        </w:tc>
        <w:tc>
          <w:tcPr>
            <w:tcW w:w="845" w:type="dxa"/>
            <w:vAlign w:val="center"/>
          </w:tcPr>
          <w:p w14:paraId="69014F79">
            <w:pPr>
              <w:jc w:val="center"/>
              <w:rPr>
                <w:sz w:val="20"/>
                <w:szCs w:val="22"/>
              </w:rPr>
            </w:pPr>
            <w:r>
              <w:rPr>
                <w:sz w:val="16"/>
                <w:szCs w:val="16"/>
              </w:rPr>
              <w:t>●</w:t>
            </w:r>
          </w:p>
        </w:tc>
        <w:tc>
          <w:tcPr>
            <w:tcW w:w="880" w:type="dxa"/>
            <w:vAlign w:val="center"/>
          </w:tcPr>
          <w:p w14:paraId="7252C45F">
            <w:pPr>
              <w:jc w:val="center"/>
              <w:rPr>
                <w:b/>
                <w:sz w:val="16"/>
                <w:szCs w:val="16"/>
              </w:rPr>
            </w:pPr>
            <w:r>
              <w:rPr>
                <w:b/>
                <w:sz w:val="16"/>
                <w:szCs w:val="16"/>
              </w:rPr>
              <w:t>○</w:t>
            </w:r>
          </w:p>
        </w:tc>
        <w:tc>
          <w:tcPr>
            <w:tcW w:w="880" w:type="dxa"/>
            <w:vAlign w:val="center"/>
          </w:tcPr>
          <w:p w14:paraId="6C447488">
            <w:pPr>
              <w:jc w:val="center"/>
              <w:rPr>
                <w:b/>
                <w:sz w:val="16"/>
                <w:szCs w:val="16"/>
              </w:rPr>
            </w:pPr>
            <w:r>
              <w:rPr>
                <w:sz w:val="16"/>
                <w:szCs w:val="16"/>
              </w:rPr>
              <w:t>●</w:t>
            </w:r>
          </w:p>
        </w:tc>
        <w:tc>
          <w:tcPr>
            <w:tcW w:w="880" w:type="dxa"/>
            <w:vAlign w:val="center"/>
          </w:tcPr>
          <w:p w14:paraId="193787B6">
            <w:pPr>
              <w:jc w:val="center"/>
              <w:rPr>
                <w:b/>
                <w:sz w:val="16"/>
                <w:szCs w:val="16"/>
              </w:rPr>
            </w:pPr>
            <w:r>
              <w:rPr>
                <w:b/>
                <w:sz w:val="16"/>
                <w:szCs w:val="16"/>
              </w:rPr>
              <w:t>○</w:t>
            </w:r>
          </w:p>
        </w:tc>
      </w:tr>
      <w:tr w14:paraId="4C1FF8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6" w:hRule="atLeast"/>
          <w:jc w:val="center"/>
        </w:trPr>
        <w:tc>
          <w:tcPr>
            <w:tcW w:w="558" w:type="dxa"/>
            <w:vMerge w:val="continue"/>
            <w:vAlign w:val="center"/>
          </w:tcPr>
          <w:p w14:paraId="6ED7E737">
            <w:pPr>
              <w:widowControl/>
              <w:jc w:val="center"/>
              <w:rPr>
                <w:kern w:val="0"/>
                <w:sz w:val="20"/>
                <w:szCs w:val="20"/>
              </w:rPr>
            </w:pPr>
          </w:p>
        </w:tc>
        <w:tc>
          <w:tcPr>
            <w:tcW w:w="970" w:type="dxa"/>
            <w:vMerge w:val="restart"/>
            <w:vAlign w:val="center"/>
          </w:tcPr>
          <w:p w14:paraId="6BCE1C98">
            <w:pPr>
              <w:widowControl/>
              <w:jc w:val="center"/>
              <w:rPr>
                <w:kern w:val="0"/>
                <w:sz w:val="20"/>
                <w:szCs w:val="20"/>
              </w:rPr>
            </w:pPr>
            <w:r>
              <w:rPr>
                <w:rFonts w:hint="eastAsia"/>
                <w:kern w:val="0"/>
                <w:sz w:val="20"/>
                <w:szCs w:val="20"/>
              </w:rPr>
              <w:t>性能试验</w:t>
            </w:r>
          </w:p>
        </w:tc>
        <w:tc>
          <w:tcPr>
            <w:tcW w:w="2457" w:type="dxa"/>
            <w:vAlign w:val="center"/>
          </w:tcPr>
          <w:p w14:paraId="5D2BD78C">
            <w:pPr>
              <w:widowControl/>
              <w:jc w:val="center"/>
              <w:rPr>
                <w:kern w:val="0"/>
                <w:sz w:val="20"/>
                <w:szCs w:val="20"/>
              </w:rPr>
            </w:pPr>
            <w:r>
              <w:rPr>
                <w:kern w:val="0"/>
                <w:sz w:val="20"/>
                <w:szCs w:val="20"/>
              </w:rPr>
              <w:t>地面站软件性能试验</w:t>
            </w:r>
          </w:p>
        </w:tc>
        <w:tc>
          <w:tcPr>
            <w:tcW w:w="917" w:type="dxa"/>
            <w:vAlign w:val="center"/>
          </w:tcPr>
          <w:p w14:paraId="75F8F816">
            <w:pPr>
              <w:widowControl/>
              <w:jc w:val="center"/>
              <w:rPr>
                <w:szCs w:val="21"/>
              </w:rPr>
            </w:pPr>
            <w:r>
              <w:rPr>
                <w:rFonts w:hint="eastAsia"/>
                <w:szCs w:val="21"/>
              </w:rPr>
              <w:t>6.5.1</w:t>
            </w:r>
          </w:p>
        </w:tc>
        <w:tc>
          <w:tcPr>
            <w:tcW w:w="960" w:type="dxa"/>
            <w:vAlign w:val="center"/>
          </w:tcPr>
          <w:p w14:paraId="6B526936">
            <w:pPr>
              <w:widowControl/>
              <w:jc w:val="center"/>
              <w:rPr>
                <w:kern w:val="0"/>
                <w:sz w:val="20"/>
                <w:szCs w:val="20"/>
              </w:rPr>
            </w:pPr>
            <w:r>
              <w:rPr>
                <w:sz w:val="16"/>
                <w:szCs w:val="16"/>
              </w:rPr>
              <w:t>●</w:t>
            </w:r>
          </w:p>
        </w:tc>
        <w:tc>
          <w:tcPr>
            <w:tcW w:w="845" w:type="dxa"/>
            <w:vAlign w:val="center"/>
          </w:tcPr>
          <w:p w14:paraId="539B3B52">
            <w:pPr>
              <w:widowControl/>
              <w:jc w:val="center"/>
              <w:rPr>
                <w:kern w:val="0"/>
                <w:sz w:val="20"/>
                <w:szCs w:val="20"/>
              </w:rPr>
            </w:pPr>
            <w:r>
              <w:rPr>
                <w:sz w:val="16"/>
                <w:szCs w:val="16"/>
              </w:rPr>
              <w:t>●</w:t>
            </w:r>
          </w:p>
        </w:tc>
        <w:tc>
          <w:tcPr>
            <w:tcW w:w="880" w:type="dxa"/>
            <w:vAlign w:val="center"/>
          </w:tcPr>
          <w:p w14:paraId="053F98A0">
            <w:pPr>
              <w:widowControl/>
              <w:jc w:val="center"/>
              <w:rPr>
                <w:sz w:val="16"/>
                <w:szCs w:val="16"/>
              </w:rPr>
            </w:pPr>
            <w:r>
              <w:rPr>
                <w:sz w:val="16"/>
                <w:szCs w:val="16"/>
              </w:rPr>
              <w:t>●</w:t>
            </w:r>
          </w:p>
        </w:tc>
        <w:tc>
          <w:tcPr>
            <w:tcW w:w="880" w:type="dxa"/>
            <w:vAlign w:val="center"/>
          </w:tcPr>
          <w:p w14:paraId="73CEF1D0">
            <w:pPr>
              <w:widowControl/>
              <w:jc w:val="center"/>
              <w:rPr>
                <w:sz w:val="16"/>
                <w:szCs w:val="16"/>
              </w:rPr>
            </w:pPr>
            <w:r>
              <w:rPr>
                <w:sz w:val="16"/>
                <w:szCs w:val="16"/>
              </w:rPr>
              <w:t>●</w:t>
            </w:r>
          </w:p>
        </w:tc>
        <w:tc>
          <w:tcPr>
            <w:tcW w:w="880" w:type="dxa"/>
            <w:vAlign w:val="center"/>
          </w:tcPr>
          <w:p w14:paraId="651FA189">
            <w:pPr>
              <w:widowControl/>
              <w:jc w:val="center"/>
              <w:rPr>
                <w:sz w:val="16"/>
                <w:szCs w:val="16"/>
              </w:rPr>
            </w:pPr>
            <w:r>
              <w:rPr>
                <w:sz w:val="16"/>
                <w:szCs w:val="16"/>
              </w:rPr>
              <w:t>●</w:t>
            </w:r>
          </w:p>
        </w:tc>
      </w:tr>
      <w:tr w14:paraId="1D41C4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continue"/>
            <w:vAlign w:val="center"/>
          </w:tcPr>
          <w:p w14:paraId="018E4277">
            <w:pPr>
              <w:widowControl/>
              <w:jc w:val="center"/>
              <w:rPr>
                <w:kern w:val="0"/>
                <w:sz w:val="20"/>
                <w:szCs w:val="20"/>
              </w:rPr>
            </w:pPr>
          </w:p>
        </w:tc>
        <w:tc>
          <w:tcPr>
            <w:tcW w:w="970" w:type="dxa"/>
            <w:vMerge w:val="continue"/>
            <w:vAlign w:val="center"/>
          </w:tcPr>
          <w:p w14:paraId="49988687">
            <w:pPr>
              <w:widowControl/>
              <w:jc w:val="center"/>
              <w:rPr>
                <w:kern w:val="0"/>
                <w:sz w:val="20"/>
                <w:szCs w:val="20"/>
              </w:rPr>
            </w:pPr>
          </w:p>
        </w:tc>
        <w:tc>
          <w:tcPr>
            <w:tcW w:w="2457" w:type="dxa"/>
            <w:vAlign w:val="center"/>
          </w:tcPr>
          <w:p w14:paraId="7B6DC4D4">
            <w:pPr>
              <w:widowControl/>
              <w:jc w:val="center"/>
              <w:rPr>
                <w:kern w:val="0"/>
                <w:sz w:val="20"/>
                <w:szCs w:val="20"/>
              </w:rPr>
            </w:pPr>
            <w:r>
              <w:rPr>
                <w:kern w:val="0"/>
                <w:sz w:val="20"/>
                <w:szCs w:val="20"/>
              </w:rPr>
              <w:t>动力电池性能</w:t>
            </w:r>
            <w:r>
              <w:rPr>
                <w:rFonts w:hint="eastAsia"/>
                <w:kern w:val="0"/>
                <w:sz w:val="20"/>
                <w:szCs w:val="20"/>
              </w:rPr>
              <w:t>试验</w:t>
            </w:r>
          </w:p>
        </w:tc>
        <w:tc>
          <w:tcPr>
            <w:tcW w:w="917" w:type="dxa"/>
            <w:vAlign w:val="center"/>
          </w:tcPr>
          <w:p w14:paraId="3D24F1E0">
            <w:pPr>
              <w:widowControl/>
              <w:jc w:val="center"/>
              <w:rPr>
                <w:szCs w:val="21"/>
              </w:rPr>
            </w:pPr>
            <w:r>
              <w:rPr>
                <w:rFonts w:hint="eastAsia"/>
                <w:szCs w:val="21"/>
              </w:rPr>
              <w:t>6.5.2</w:t>
            </w:r>
          </w:p>
        </w:tc>
        <w:tc>
          <w:tcPr>
            <w:tcW w:w="960" w:type="dxa"/>
            <w:vAlign w:val="center"/>
          </w:tcPr>
          <w:p w14:paraId="4D5FF7C4">
            <w:pPr>
              <w:jc w:val="center"/>
              <w:rPr>
                <w:sz w:val="20"/>
                <w:szCs w:val="22"/>
              </w:rPr>
            </w:pPr>
            <w:r>
              <w:rPr>
                <w:sz w:val="16"/>
                <w:szCs w:val="16"/>
              </w:rPr>
              <w:t>●</w:t>
            </w:r>
          </w:p>
        </w:tc>
        <w:tc>
          <w:tcPr>
            <w:tcW w:w="845" w:type="dxa"/>
            <w:vAlign w:val="center"/>
          </w:tcPr>
          <w:p w14:paraId="75B0E86D">
            <w:pPr>
              <w:jc w:val="center"/>
              <w:rPr>
                <w:sz w:val="20"/>
                <w:szCs w:val="22"/>
              </w:rPr>
            </w:pPr>
            <w:r>
              <w:rPr>
                <w:sz w:val="16"/>
                <w:szCs w:val="16"/>
              </w:rPr>
              <w:t>●</w:t>
            </w:r>
          </w:p>
        </w:tc>
        <w:tc>
          <w:tcPr>
            <w:tcW w:w="880" w:type="dxa"/>
            <w:vAlign w:val="center"/>
          </w:tcPr>
          <w:p w14:paraId="1ED18FB7">
            <w:pPr>
              <w:jc w:val="center"/>
              <w:rPr>
                <w:b/>
                <w:sz w:val="16"/>
                <w:szCs w:val="16"/>
              </w:rPr>
            </w:pPr>
            <w:r>
              <w:rPr>
                <w:b/>
                <w:sz w:val="16"/>
                <w:szCs w:val="16"/>
              </w:rPr>
              <w:t>○</w:t>
            </w:r>
          </w:p>
        </w:tc>
        <w:tc>
          <w:tcPr>
            <w:tcW w:w="880" w:type="dxa"/>
            <w:vAlign w:val="center"/>
          </w:tcPr>
          <w:p w14:paraId="68832B88">
            <w:pPr>
              <w:jc w:val="center"/>
              <w:rPr>
                <w:b/>
                <w:sz w:val="16"/>
                <w:szCs w:val="16"/>
              </w:rPr>
            </w:pPr>
            <w:r>
              <w:rPr>
                <w:sz w:val="16"/>
                <w:szCs w:val="16"/>
              </w:rPr>
              <w:t>●</w:t>
            </w:r>
          </w:p>
        </w:tc>
        <w:tc>
          <w:tcPr>
            <w:tcW w:w="880" w:type="dxa"/>
            <w:vAlign w:val="center"/>
          </w:tcPr>
          <w:p w14:paraId="0B29E843">
            <w:pPr>
              <w:jc w:val="center"/>
              <w:rPr>
                <w:b/>
                <w:sz w:val="16"/>
                <w:szCs w:val="16"/>
              </w:rPr>
            </w:pPr>
            <w:r>
              <w:rPr>
                <w:b/>
                <w:sz w:val="16"/>
                <w:szCs w:val="16"/>
              </w:rPr>
              <w:t>○</w:t>
            </w:r>
          </w:p>
        </w:tc>
      </w:tr>
      <w:tr w14:paraId="292DB3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continue"/>
            <w:vAlign w:val="center"/>
          </w:tcPr>
          <w:p w14:paraId="7F2B4CBF">
            <w:pPr>
              <w:widowControl/>
              <w:jc w:val="center"/>
              <w:rPr>
                <w:kern w:val="0"/>
                <w:sz w:val="20"/>
                <w:szCs w:val="20"/>
              </w:rPr>
            </w:pPr>
          </w:p>
        </w:tc>
        <w:tc>
          <w:tcPr>
            <w:tcW w:w="970" w:type="dxa"/>
            <w:vMerge w:val="continue"/>
            <w:vAlign w:val="center"/>
          </w:tcPr>
          <w:p w14:paraId="3B2C2722">
            <w:pPr>
              <w:widowControl/>
              <w:jc w:val="center"/>
              <w:rPr>
                <w:kern w:val="0"/>
                <w:sz w:val="20"/>
                <w:szCs w:val="20"/>
              </w:rPr>
            </w:pPr>
          </w:p>
        </w:tc>
        <w:tc>
          <w:tcPr>
            <w:tcW w:w="2457" w:type="dxa"/>
            <w:vAlign w:val="center"/>
          </w:tcPr>
          <w:p w14:paraId="27E624FC">
            <w:pPr>
              <w:widowControl/>
              <w:jc w:val="center"/>
              <w:rPr>
                <w:kern w:val="0"/>
                <w:sz w:val="20"/>
                <w:szCs w:val="20"/>
              </w:rPr>
            </w:pPr>
            <w:r>
              <w:rPr>
                <w:rFonts w:hint="eastAsia"/>
                <w:kern w:val="0"/>
                <w:sz w:val="20"/>
                <w:szCs w:val="20"/>
              </w:rPr>
              <w:t>机械耐受</w:t>
            </w:r>
            <w:r>
              <w:rPr>
                <w:kern w:val="0"/>
                <w:sz w:val="20"/>
                <w:szCs w:val="20"/>
              </w:rPr>
              <w:t>性能</w:t>
            </w:r>
            <w:r>
              <w:rPr>
                <w:rFonts w:hint="eastAsia"/>
                <w:kern w:val="0"/>
                <w:sz w:val="20"/>
                <w:szCs w:val="20"/>
              </w:rPr>
              <w:t>试验</w:t>
            </w:r>
          </w:p>
        </w:tc>
        <w:tc>
          <w:tcPr>
            <w:tcW w:w="917" w:type="dxa"/>
            <w:vAlign w:val="center"/>
          </w:tcPr>
          <w:p w14:paraId="4325A506">
            <w:pPr>
              <w:widowControl/>
              <w:jc w:val="center"/>
              <w:rPr>
                <w:szCs w:val="21"/>
              </w:rPr>
            </w:pPr>
            <w:r>
              <w:rPr>
                <w:rFonts w:hint="eastAsia"/>
                <w:szCs w:val="21"/>
              </w:rPr>
              <w:t>6.5.3</w:t>
            </w:r>
          </w:p>
        </w:tc>
        <w:tc>
          <w:tcPr>
            <w:tcW w:w="960" w:type="dxa"/>
            <w:vAlign w:val="center"/>
          </w:tcPr>
          <w:p w14:paraId="1638A9FA">
            <w:pPr>
              <w:jc w:val="center"/>
              <w:rPr>
                <w:sz w:val="20"/>
                <w:szCs w:val="22"/>
              </w:rPr>
            </w:pPr>
            <w:r>
              <w:rPr>
                <w:sz w:val="16"/>
                <w:szCs w:val="16"/>
              </w:rPr>
              <w:t>●</w:t>
            </w:r>
          </w:p>
        </w:tc>
        <w:tc>
          <w:tcPr>
            <w:tcW w:w="845" w:type="dxa"/>
            <w:vAlign w:val="center"/>
          </w:tcPr>
          <w:p w14:paraId="16DDAAA6">
            <w:pPr>
              <w:jc w:val="center"/>
              <w:rPr>
                <w:sz w:val="20"/>
                <w:szCs w:val="22"/>
              </w:rPr>
            </w:pPr>
            <w:r>
              <w:rPr>
                <w:b/>
                <w:sz w:val="16"/>
                <w:szCs w:val="16"/>
              </w:rPr>
              <w:t>○</w:t>
            </w:r>
          </w:p>
        </w:tc>
        <w:tc>
          <w:tcPr>
            <w:tcW w:w="880" w:type="dxa"/>
            <w:vAlign w:val="center"/>
          </w:tcPr>
          <w:p w14:paraId="50E85914">
            <w:pPr>
              <w:jc w:val="center"/>
              <w:rPr>
                <w:b/>
                <w:sz w:val="16"/>
                <w:szCs w:val="16"/>
              </w:rPr>
            </w:pPr>
            <w:r>
              <w:rPr>
                <w:b/>
                <w:sz w:val="16"/>
                <w:szCs w:val="16"/>
              </w:rPr>
              <w:t>○</w:t>
            </w:r>
          </w:p>
        </w:tc>
        <w:tc>
          <w:tcPr>
            <w:tcW w:w="880" w:type="dxa"/>
            <w:vAlign w:val="center"/>
          </w:tcPr>
          <w:p w14:paraId="7CAE25A2">
            <w:pPr>
              <w:jc w:val="center"/>
              <w:rPr>
                <w:b/>
                <w:sz w:val="16"/>
                <w:szCs w:val="16"/>
              </w:rPr>
            </w:pPr>
            <w:r>
              <w:rPr>
                <w:b/>
                <w:sz w:val="16"/>
                <w:szCs w:val="16"/>
              </w:rPr>
              <w:t>○</w:t>
            </w:r>
          </w:p>
        </w:tc>
        <w:tc>
          <w:tcPr>
            <w:tcW w:w="880" w:type="dxa"/>
            <w:vAlign w:val="center"/>
          </w:tcPr>
          <w:p w14:paraId="3FE6C218">
            <w:pPr>
              <w:jc w:val="center"/>
              <w:rPr>
                <w:b/>
                <w:sz w:val="16"/>
                <w:szCs w:val="16"/>
              </w:rPr>
            </w:pPr>
            <w:r>
              <w:rPr>
                <w:b/>
                <w:sz w:val="16"/>
                <w:szCs w:val="16"/>
              </w:rPr>
              <w:t>○</w:t>
            </w:r>
          </w:p>
        </w:tc>
      </w:tr>
      <w:tr w14:paraId="519216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593C28EF">
            <w:pPr>
              <w:widowControl/>
              <w:jc w:val="center"/>
              <w:rPr>
                <w:kern w:val="0"/>
                <w:sz w:val="20"/>
                <w:szCs w:val="20"/>
              </w:rPr>
            </w:pPr>
          </w:p>
        </w:tc>
        <w:tc>
          <w:tcPr>
            <w:tcW w:w="970" w:type="dxa"/>
            <w:vMerge w:val="continue"/>
            <w:vAlign w:val="center"/>
          </w:tcPr>
          <w:p w14:paraId="73FB3FC6">
            <w:pPr>
              <w:widowControl/>
              <w:jc w:val="center"/>
              <w:rPr>
                <w:kern w:val="0"/>
                <w:sz w:val="20"/>
                <w:szCs w:val="20"/>
              </w:rPr>
            </w:pPr>
          </w:p>
        </w:tc>
        <w:tc>
          <w:tcPr>
            <w:tcW w:w="2457" w:type="dxa"/>
            <w:vAlign w:val="center"/>
          </w:tcPr>
          <w:p w14:paraId="08CA7ECD">
            <w:pPr>
              <w:widowControl/>
              <w:jc w:val="center"/>
              <w:rPr>
                <w:kern w:val="0"/>
                <w:sz w:val="20"/>
                <w:szCs w:val="20"/>
              </w:rPr>
            </w:pPr>
            <w:r>
              <w:rPr>
                <w:rFonts w:hint="eastAsia"/>
                <w:kern w:val="0"/>
                <w:sz w:val="20"/>
                <w:szCs w:val="20"/>
              </w:rPr>
              <w:t>跌落性能试验</w:t>
            </w:r>
          </w:p>
        </w:tc>
        <w:tc>
          <w:tcPr>
            <w:tcW w:w="917" w:type="dxa"/>
            <w:vAlign w:val="center"/>
          </w:tcPr>
          <w:p w14:paraId="5B6F394A">
            <w:pPr>
              <w:widowControl/>
              <w:jc w:val="center"/>
              <w:rPr>
                <w:szCs w:val="21"/>
              </w:rPr>
            </w:pPr>
            <w:r>
              <w:rPr>
                <w:rFonts w:hint="eastAsia"/>
                <w:szCs w:val="21"/>
              </w:rPr>
              <w:t>6.5.4</w:t>
            </w:r>
          </w:p>
        </w:tc>
        <w:tc>
          <w:tcPr>
            <w:tcW w:w="960" w:type="dxa"/>
            <w:vAlign w:val="center"/>
          </w:tcPr>
          <w:p w14:paraId="54F5BC46">
            <w:pPr>
              <w:jc w:val="center"/>
              <w:rPr>
                <w:sz w:val="20"/>
                <w:szCs w:val="22"/>
              </w:rPr>
            </w:pPr>
            <w:r>
              <w:rPr>
                <w:sz w:val="16"/>
                <w:szCs w:val="16"/>
              </w:rPr>
              <w:t>●</w:t>
            </w:r>
          </w:p>
        </w:tc>
        <w:tc>
          <w:tcPr>
            <w:tcW w:w="845" w:type="dxa"/>
            <w:vAlign w:val="center"/>
          </w:tcPr>
          <w:p w14:paraId="7244B4F3">
            <w:pPr>
              <w:jc w:val="center"/>
              <w:rPr>
                <w:sz w:val="20"/>
                <w:szCs w:val="22"/>
              </w:rPr>
            </w:pPr>
            <w:r>
              <w:rPr>
                <w:b/>
                <w:sz w:val="16"/>
                <w:szCs w:val="16"/>
              </w:rPr>
              <w:t>○</w:t>
            </w:r>
          </w:p>
        </w:tc>
        <w:tc>
          <w:tcPr>
            <w:tcW w:w="880" w:type="dxa"/>
            <w:vAlign w:val="center"/>
          </w:tcPr>
          <w:p w14:paraId="50DEC137">
            <w:pPr>
              <w:jc w:val="center"/>
              <w:rPr>
                <w:b/>
                <w:sz w:val="16"/>
                <w:szCs w:val="16"/>
              </w:rPr>
            </w:pPr>
            <w:r>
              <w:rPr>
                <w:b/>
                <w:sz w:val="16"/>
                <w:szCs w:val="16"/>
              </w:rPr>
              <w:t>○</w:t>
            </w:r>
          </w:p>
        </w:tc>
        <w:tc>
          <w:tcPr>
            <w:tcW w:w="880" w:type="dxa"/>
            <w:vAlign w:val="center"/>
          </w:tcPr>
          <w:p w14:paraId="0CA74D66">
            <w:pPr>
              <w:jc w:val="center"/>
              <w:rPr>
                <w:b/>
                <w:sz w:val="16"/>
                <w:szCs w:val="16"/>
              </w:rPr>
            </w:pPr>
            <w:r>
              <w:rPr>
                <w:b/>
                <w:sz w:val="16"/>
                <w:szCs w:val="16"/>
              </w:rPr>
              <w:t>○</w:t>
            </w:r>
          </w:p>
        </w:tc>
        <w:tc>
          <w:tcPr>
            <w:tcW w:w="880" w:type="dxa"/>
            <w:vAlign w:val="center"/>
          </w:tcPr>
          <w:p w14:paraId="0951038C">
            <w:pPr>
              <w:jc w:val="center"/>
              <w:rPr>
                <w:b/>
                <w:sz w:val="16"/>
                <w:szCs w:val="16"/>
              </w:rPr>
            </w:pPr>
            <w:r>
              <w:rPr>
                <w:b/>
                <w:sz w:val="16"/>
                <w:szCs w:val="16"/>
              </w:rPr>
              <w:t>○</w:t>
            </w:r>
          </w:p>
        </w:tc>
      </w:tr>
    </w:tbl>
    <w:p w14:paraId="6C6ADD2C">
      <w:pPr>
        <w:pStyle w:val="452"/>
        <w:numPr>
          <w:ilvl w:val="0"/>
          <w:numId w:val="0"/>
        </w:numPr>
        <w:ind w:left="425"/>
        <w:rPr>
          <w:rFonts w:cs="Times New Roman"/>
          <w:color w:val="auto"/>
        </w:rPr>
      </w:pPr>
      <w:r>
        <w:rPr>
          <w:rFonts w:cs="Times New Roman"/>
          <w:color w:val="auto"/>
        </w:rPr>
        <w:t>备注：</w:t>
      </w:r>
    </w:p>
    <w:p w14:paraId="5AB3CCBB">
      <w:pPr>
        <w:pStyle w:val="452"/>
        <w:numPr>
          <w:ilvl w:val="0"/>
          <w:numId w:val="33"/>
        </w:numPr>
        <w:tabs>
          <w:tab w:val="clear" w:pos="900"/>
        </w:tabs>
        <w:spacing w:before="0" w:after="0" w:line="240" w:lineRule="auto"/>
        <w:ind w:left="780" w:hanging="360"/>
        <w:rPr>
          <w:rFonts w:cs="Times New Roman"/>
          <w:color w:val="auto"/>
          <w:sz w:val="18"/>
          <w:szCs w:val="18"/>
        </w:rPr>
      </w:pPr>
      <w:r>
        <w:rPr>
          <w:rFonts w:cs="Times New Roman"/>
          <w:color w:val="auto"/>
          <w:sz w:val="18"/>
          <w:szCs w:val="18"/>
        </w:rPr>
        <w:t>●为必须开展的试验项目；</w:t>
      </w:r>
      <w:r>
        <w:rPr>
          <w:rFonts w:cs="Times New Roman"/>
          <w:b/>
          <w:color w:val="auto"/>
          <w:sz w:val="18"/>
          <w:szCs w:val="18"/>
        </w:rPr>
        <w:t>○</w:t>
      </w:r>
      <w:r>
        <w:rPr>
          <w:rFonts w:cs="Times New Roman"/>
          <w:color w:val="auto"/>
          <w:sz w:val="18"/>
          <w:szCs w:val="18"/>
        </w:rPr>
        <w:t>为选做试验项目（由项目单位决定试验方案）；</w:t>
      </w:r>
      <w:r>
        <w:rPr>
          <w:rFonts w:cs="Times New Roman"/>
          <w:b/>
          <w:color w:val="auto"/>
          <w:sz w:val="18"/>
          <w:szCs w:val="18"/>
        </w:rPr>
        <w:t>×</w:t>
      </w:r>
      <w:r>
        <w:rPr>
          <w:rFonts w:cs="Times New Roman"/>
          <w:color w:val="auto"/>
          <w:sz w:val="18"/>
          <w:szCs w:val="18"/>
        </w:rPr>
        <w:t>为无需开展的试验项目。</w:t>
      </w:r>
    </w:p>
    <w:p w14:paraId="3EC20391">
      <w:pPr>
        <w:pStyle w:val="452"/>
        <w:numPr>
          <w:ilvl w:val="0"/>
          <w:numId w:val="33"/>
        </w:numPr>
        <w:tabs>
          <w:tab w:val="clear" w:pos="900"/>
        </w:tabs>
        <w:spacing w:before="0" w:after="0" w:line="240" w:lineRule="auto"/>
        <w:ind w:left="780" w:hanging="360"/>
        <w:rPr>
          <w:rFonts w:cs="Times New Roman"/>
          <w:color w:val="auto"/>
          <w:sz w:val="18"/>
          <w:szCs w:val="18"/>
        </w:rPr>
      </w:pPr>
      <w:r>
        <w:rPr>
          <w:rFonts w:cs="Times New Roman"/>
          <w:color w:val="auto"/>
          <w:sz w:val="18"/>
          <w:szCs w:val="18"/>
        </w:rPr>
        <w:t>第三方试验由具备相应试验项目资质的机构开展。</w:t>
      </w:r>
    </w:p>
    <w:p w14:paraId="340F9F27">
      <w:pPr>
        <w:adjustRightInd w:val="0"/>
        <w:snapToGrid w:val="0"/>
        <w:spacing w:line="360" w:lineRule="auto"/>
        <w:ind w:firstLine="360" w:firstLineChars="200"/>
        <w:rPr>
          <w:sz w:val="18"/>
          <w:szCs w:val="18"/>
        </w:rPr>
      </w:pPr>
      <w:r>
        <w:rPr>
          <w:sz w:val="18"/>
          <w:szCs w:val="18"/>
        </w:rPr>
        <w:t>出厂试验由供货方开展</w:t>
      </w:r>
      <w:r>
        <w:rPr>
          <w:rFonts w:hint="eastAsia"/>
          <w:sz w:val="18"/>
          <w:szCs w:val="18"/>
        </w:rPr>
        <w:t>。</w:t>
      </w:r>
    </w:p>
    <w:p w14:paraId="101C3CC1">
      <w:pPr>
        <w:spacing w:line="480" w:lineRule="auto"/>
        <w:outlineLvl w:val="0"/>
        <w:rPr>
          <w:rFonts w:eastAsia="黑体"/>
          <w:b/>
          <w:bCs/>
          <w:szCs w:val="21"/>
        </w:rPr>
      </w:pPr>
      <w:r>
        <w:rPr>
          <w:rFonts w:hint="eastAsia" w:eastAsia="黑体"/>
          <w:b/>
          <w:bCs/>
          <w:szCs w:val="21"/>
        </w:rPr>
        <w:t>8</w:t>
      </w:r>
      <w:r>
        <w:rPr>
          <w:rFonts w:eastAsia="黑体"/>
          <w:b/>
          <w:bCs/>
          <w:szCs w:val="21"/>
        </w:rPr>
        <w:t>技术联络、技术培训及售后服务</w:t>
      </w:r>
      <w:bookmarkEnd w:id="108"/>
      <w:bookmarkEnd w:id="109"/>
      <w:bookmarkEnd w:id="110"/>
      <w:bookmarkEnd w:id="111"/>
    </w:p>
    <w:p w14:paraId="26536931">
      <w:pPr>
        <w:pStyle w:val="3"/>
        <w:spacing w:before="0" w:after="0" w:line="360" w:lineRule="auto"/>
        <w:rPr>
          <w:rFonts w:ascii="Times New Roman" w:hAnsi="Times New Roman" w:eastAsia="黑体"/>
          <w:b w:val="0"/>
          <w:bCs/>
          <w:szCs w:val="21"/>
        </w:rPr>
      </w:pPr>
      <w:bookmarkStart w:id="118" w:name="_Toc229217286"/>
      <w:bookmarkStart w:id="119" w:name="_Toc11986"/>
      <w:bookmarkStart w:id="120" w:name="_Toc76025499"/>
      <w:bookmarkStart w:id="121" w:name="_Toc2212"/>
      <w:r>
        <w:rPr>
          <w:rFonts w:hint="eastAsia" w:ascii="Times New Roman" w:hAnsi="Times New Roman" w:eastAsia="黑体"/>
          <w:b w:val="0"/>
          <w:bCs/>
          <w:szCs w:val="21"/>
        </w:rPr>
        <w:t>8.1 技术培训</w:t>
      </w:r>
      <w:bookmarkEnd w:id="118"/>
      <w:bookmarkEnd w:id="119"/>
      <w:bookmarkEnd w:id="120"/>
      <w:bookmarkEnd w:id="121"/>
    </w:p>
    <w:p w14:paraId="68F755AA">
      <w:pPr>
        <w:spacing w:line="360" w:lineRule="auto"/>
        <w:ind w:firstLine="420" w:firstLineChars="200"/>
        <w:rPr>
          <w:szCs w:val="21"/>
        </w:rPr>
      </w:pPr>
      <w:r>
        <w:rPr>
          <w:rFonts w:hint="eastAsia"/>
          <w:szCs w:val="21"/>
        </w:rPr>
        <w:t>8.1.1 投标方应对用户提供技术培训和操作指导，投标方负责培训全部费用。招标方为南方电网公司下属相应的分子公司免费提供远程技术服务，远程技术服务项目期限不受限于保修期，远程技术服务在设备报废前有效。</w:t>
      </w:r>
    </w:p>
    <w:p w14:paraId="739E44EE">
      <w:pPr>
        <w:spacing w:line="360" w:lineRule="auto"/>
        <w:ind w:firstLine="420" w:firstLineChars="200"/>
        <w:rPr>
          <w:szCs w:val="21"/>
        </w:rPr>
      </w:pPr>
      <w:r>
        <w:rPr>
          <w:rFonts w:hint="eastAsia"/>
          <w:szCs w:val="21"/>
        </w:rPr>
        <w:t>8.1.2 投标方提供培训应分为工厂培训和现场培训两种；</w:t>
      </w:r>
    </w:p>
    <w:p w14:paraId="19C74710">
      <w:pPr>
        <w:spacing w:line="360" w:lineRule="auto"/>
        <w:ind w:firstLine="420" w:firstLineChars="200"/>
        <w:rPr>
          <w:szCs w:val="21"/>
        </w:rPr>
      </w:pPr>
      <w:r>
        <w:rPr>
          <w:rFonts w:hint="eastAsia"/>
          <w:szCs w:val="21"/>
        </w:rPr>
        <w:t>8.1.3 投标方提供培训教师、培训安排、培训教材及培训设备；</w:t>
      </w:r>
    </w:p>
    <w:p w14:paraId="0CFDFA2C">
      <w:pPr>
        <w:spacing w:line="360" w:lineRule="auto"/>
        <w:ind w:firstLine="420" w:firstLineChars="200"/>
        <w:rPr>
          <w:szCs w:val="21"/>
        </w:rPr>
      </w:pPr>
      <w:r>
        <w:rPr>
          <w:rFonts w:hint="eastAsia"/>
          <w:szCs w:val="21"/>
        </w:rPr>
        <w:t>8.1.4 投标方应设计专门的培训课程，重点包括飞行器的整体使用方法，数据上传处理，常见故障排查处理等。培训内容包括以上但不限于此。</w:t>
      </w:r>
    </w:p>
    <w:p w14:paraId="067316CC">
      <w:pPr>
        <w:spacing w:line="360" w:lineRule="auto"/>
        <w:ind w:firstLine="420" w:firstLineChars="200"/>
        <w:rPr>
          <w:szCs w:val="21"/>
        </w:rPr>
      </w:pPr>
      <w:r>
        <w:rPr>
          <w:rFonts w:hint="eastAsia"/>
          <w:szCs w:val="21"/>
        </w:rPr>
        <w:t>8.1.5 培训时间不少2天。其中，交货后招标方所需开展培训的分子公司、基层单位、班站所各进行不少于2天时间的培训。</w:t>
      </w:r>
    </w:p>
    <w:p w14:paraId="083E350E">
      <w:pPr>
        <w:spacing w:line="360" w:lineRule="auto"/>
        <w:ind w:firstLine="420" w:firstLineChars="200"/>
        <w:rPr>
          <w:szCs w:val="21"/>
        </w:rPr>
      </w:pPr>
      <w:r>
        <w:rPr>
          <w:rFonts w:hint="eastAsia"/>
          <w:szCs w:val="21"/>
        </w:rPr>
        <w:t>8.1.6培训人员每次不少3人。</w:t>
      </w:r>
    </w:p>
    <w:p w14:paraId="5585FC41">
      <w:pPr>
        <w:pStyle w:val="3"/>
        <w:spacing w:before="0" w:after="0" w:line="360" w:lineRule="auto"/>
        <w:rPr>
          <w:rFonts w:ascii="Times New Roman" w:hAnsi="Times New Roman" w:eastAsia="黑体"/>
          <w:b w:val="0"/>
          <w:bCs/>
          <w:szCs w:val="21"/>
        </w:rPr>
      </w:pPr>
      <w:bookmarkStart w:id="122" w:name="_Toc23280"/>
      <w:bookmarkStart w:id="123" w:name="_Toc229217287"/>
      <w:bookmarkStart w:id="124" w:name="_Toc76025500"/>
      <w:bookmarkStart w:id="125" w:name="_Toc16410"/>
      <w:r>
        <w:rPr>
          <w:rFonts w:hint="eastAsia" w:ascii="Times New Roman" w:hAnsi="Times New Roman" w:eastAsia="黑体"/>
          <w:b w:val="0"/>
          <w:bCs/>
          <w:szCs w:val="21"/>
        </w:rPr>
        <w:t>8.2 现场及远程技术服务</w:t>
      </w:r>
      <w:bookmarkEnd w:id="122"/>
      <w:bookmarkEnd w:id="123"/>
      <w:bookmarkEnd w:id="124"/>
      <w:bookmarkEnd w:id="125"/>
    </w:p>
    <w:p w14:paraId="102B1CDD">
      <w:pPr>
        <w:spacing w:line="360" w:lineRule="auto"/>
        <w:ind w:firstLine="420" w:firstLineChars="200"/>
        <w:rPr>
          <w:szCs w:val="21"/>
        </w:rPr>
      </w:pPr>
      <w:r>
        <w:rPr>
          <w:rFonts w:hint="eastAsia"/>
          <w:szCs w:val="21"/>
        </w:rPr>
        <w:t>8.2.1投标方派出的工程师，在设备的安装接线、调试和测试期间，应负责指导。</w:t>
      </w:r>
    </w:p>
    <w:p w14:paraId="60FEF631">
      <w:pPr>
        <w:spacing w:line="360" w:lineRule="auto"/>
        <w:ind w:firstLine="420" w:firstLineChars="200"/>
        <w:rPr>
          <w:szCs w:val="21"/>
        </w:rPr>
      </w:pPr>
      <w:r>
        <w:rPr>
          <w:rFonts w:hint="eastAsia"/>
          <w:szCs w:val="21"/>
        </w:rPr>
        <w:t>8.2.2 投标方派出的工程师，还应负责对买方的安装及维护人员进行现场培训，教会他们如何启动、操作及维护设备。</w:t>
      </w:r>
    </w:p>
    <w:p w14:paraId="3037A093">
      <w:pPr>
        <w:spacing w:line="360" w:lineRule="auto"/>
        <w:ind w:firstLine="420" w:firstLineChars="200"/>
        <w:rPr>
          <w:szCs w:val="21"/>
        </w:rPr>
      </w:pPr>
      <w:r>
        <w:rPr>
          <w:rFonts w:hint="eastAsia"/>
          <w:szCs w:val="21"/>
        </w:rPr>
        <w:t>8.2.3 投标方应免费提供远程技术服务，远程技术服务项目期限不受限于保修期，远程技术服务在设备报废前有效。</w:t>
      </w:r>
    </w:p>
    <w:p w14:paraId="6117FB05">
      <w:pPr>
        <w:spacing w:line="360" w:lineRule="auto"/>
        <w:ind w:firstLine="420" w:firstLineChars="200"/>
        <w:rPr>
          <w:szCs w:val="21"/>
        </w:rPr>
      </w:pPr>
      <w:r>
        <w:rPr>
          <w:rFonts w:hint="eastAsia"/>
          <w:szCs w:val="21"/>
        </w:rPr>
        <w:t xml:space="preserve">8.2.4 </w:t>
      </w:r>
      <w:r>
        <w:rPr>
          <w:rFonts w:hint="eastAsia" w:ascii="宋体" w:hAnsi="宋体" w:cs="宋体"/>
          <w:szCs w:val="21"/>
        </w:rPr>
        <w:t>招标方通过网络直播等方式每年组织1次设备使用及日常维护培训课程。</w:t>
      </w:r>
    </w:p>
    <w:p w14:paraId="7005E3ED">
      <w:pPr>
        <w:pStyle w:val="3"/>
        <w:spacing w:before="0" w:after="0" w:line="360" w:lineRule="auto"/>
        <w:rPr>
          <w:rFonts w:ascii="Times New Roman" w:hAnsi="Times New Roman" w:eastAsia="黑体"/>
          <w:b w:val="0"/>
          <w:bCs/>
          <w:szCs w:val="21"/>
        </w:rPr>
      </w:pPr>
      <w:bookmarkStart w:id="126" w:name="_Toc229217288"/>
      <w:bookmarkStart w:id="127" w:name="_Toc3146"/>
      <w:bookmarkStart w:id="128" w:name="_Toc26710"/>
      <w:bookmarkStart w:id="129" w:name="_Toc76025501"/>
      <w:r>
        <w:rPr>
          <w:rFonts w:hint="eastAsia" w:ascii="Times New Roman" w:hAnsi="Times New Roman" w:eastAsia="黑体"/>
          <w:b w:val="0"/>
          <w:bCs/>
          <w:szCs w:val="21"/>
        </w:rPr>
        <w:t>8</w:t>
      </w:r>
      <w:r>
        <w:rPr>
          <w:rFonts w:ascii="Times New Roman" w:hAnsi="Times New Roman" w:eastAsia="黑体"/>
          <w:b w:val="0"/>
          <w:bCs/>
          <w:szCs w:val="21"/>
        </w:rPr>
        <w:t xml:space="preserve">.3 </w:t>
      </w:r>
      <w:r>
        <w:rPr>
          <w:rFonts w:hint="eastAsia" w:ascii="Times New Roman" w:hAnsi="Times New Roman" w:eastAsia="黑体"/>
          <w:b w:val="0"/>
          <w:bCs/>
          <w:szCs w:val="21"/>
        </w:rPr>
        <w:t>售后服务</w:t>
      </w:r>
      <w:bookmarkEnd w:id="126"/>
      <w:bookmarkEnd w:id="127"/>
      <w:bookmarkEnd w:id="128"/>
      <w:bookmarkEnd w:id="129"/>
    </w:p>
    <w:p w14:paraId="2D05F7A1">
      <w:pPr>
        <w:spacing w:line="360" w:lineRule="auto"/>
        <w:ind w:firstLine="420" w:firstLineChars="200"/>
        <w:rPr>
          <w:szCs w:val="21"/>
        </w:rPr>
      </w:pPr>
      <w:r>
        <w:rPr>
          <w:rFonts w:hint="eastAsia"/>
          <w:szCs w:val="21"/>
        </w:rPr>
        <w:t>8.3.1设备的质保期为自对账单全部设备到货验收合格并移交之日起不短于正常运行12个月内（供方承诺的质保期若长于上述时间，则按承诺时间执行）。设备在规定的质保期内，发生缺陷，或者由于设计错误、材料、工艺、制造、装配、发送等原因造成的损坏，或是不满足合同的要求，招标方以书面方式同事投标方，投标方应立即免费更换这些有损坏和缺陷的设备。</w:t>
      </w:r>
    </w:p>
    <w:p w14:paraId="58F9B121">
      <w:pPr>
        <w:spacing w:line="360" w:lineRule="auto"/>
        <w:ind w:firstLine="420" w:firstLineChars="200"/>
        <w:rPr>
          <w:szCs w:val="21"/>
        </w:rPr>
      </w:pPr>
      <w:r>
        <w:rPr>
          <w:rFonts w:hint="eastAsia"/>
          <w:szCs w:val="21"/>
        </w:rPr>
        <w:t>8.3.2在接到招标方通知后，投标方虽努力改进，但仍不满足相关要求，招标方可处理或更换这些设备，由此引起的一切费用由投标方承担。</w:t>
      </w:r>
      <w:bookmarkStart w:id="130" w:name="_Toc20285"/>
      <w:bookmarkStart w:id="131" w:name="_Toc347154882"/>
      <w:bookmarkStart w:id="132" w:name="_Toc356999080"/>
      <w:bookmarkStart w:id="133" w:name="_Toc76025502"/>
      <w:bookmarkStart w:id="134" w:name="_Toc229217289"/>
      <w:bookmarkStart w:id="135" w:name="_Toc28748"/>
      <w:bookmarkStart w:id="136" w:name="_Toc265313600"/>
    </w:p>
    <w:p w14:paraId="5B07C5F3">
      <w:pPr>
        <w:spacing w:line="360" w:lineRule="auto"/>
        <w:ind w:firstLine="420" w:firstLineChars="200"/>
        <w:rPr>
          <w:szCs w:val="21"/>
        </w:rPr>
      </w:pPr>
      <w:r>
        <w:rPr>
          <w:rFonts w:hint="eastAsia"/>
          <w:szCs w:val="21"/>
        </w:rPr>
        <w:t>8.3.</w:t>
      </w:r>
      <w:r>
        <w:rPr>
          <w:rFonts w:hint="eastAsia"/>
          <w:szCs w:val="21"/>
          <w:lang w:val="en-US" w:eastAsia="zh-CN"/>
        </w:rPr>
        <w:t>3</w:t>
      </w:r>
      <w:bookmarkStart w:id="192" w:name="_GoBack"/>
      <w:bookmarkEnd w:id="192"/>
      <w:r>
        <w:rPr>
          <w:rFonts w:hint="eastAsia"/>
          <w:szCs w:val="21"/>
        </w:rPr>
        <w:t xml:space="preserve"> 投标单位应提高售后处理服务水平和质量，质保期内在接到使用单位报障后，应在15日内处理完毕，确保使用单位策略按时完成。</w:t>
      </w:r>
    </w:p>
    <w:p w14:paraId="5441DAF6">
      <w:pPr>
        <w:spacing w:line="360" w:lineRule="auto"/>
        <w:ind w:firstLine="422" w:firstLineChars="200"/>
        <w:rPr>
          <w:rFonts w:eastAsia="黑体"/>
          <w:b/>
          <w:bCs/>
          <w:szCs w:val="21"/>
        </w:rPr>
      </w:pPr>
      <w:r>
        <w:rPr>
          <w:rFonts w:hint="eastAsia" w:eastAsia="黑体"/>
          <w:b/>
          <w:bCs/>
          <w:szCs w:val="21"/>
        </w:rPr>
        <w:t>9</w:t>
      </w:r>
      <w:r>
        <w:rPr>
          <w:rFonts w:eastAsia="黑体"/>
          <w:b/>
          <w:bCs/>
          <w:szCs w:val="21"/>
        </w:rPr>
        <w:t>标志、包装、运输、贮存</w:t>
      </w:r>
      <w:bookmarkEnd w:id="130"/>
      <w:bookmarkEnd w:id="131"/>
      <w:bookmarkEnd w:id="132"/>
      <w:bookmarkEnd w:id="133"/>
      <w:bookmarkEnd w:id="134"/>
      <w:bookmarkEnd w:id="135"/>
    </w:p>
    <w:bookmarkEnd w:id="136"/>
    <w:p w14:paraId="7D79E77B">
      <w:pPr>
        <w:pStyle w:val="3"/>
        <w:spacing w:before="0" w:after="0" w:line="360" w:lineRule="auto"/>
        <w:rPr>
          <w:rFonts w:ascii="Times New Roman" w:hAnsi="Times New Roman" w:eastAsia="黑体"/>
          <w:b w:val="0"/>
          <w:bCs/>
          <w:szCs w:val="21"/>
        </w:rPr>
      </w:pPr>
      <w:bookmarkStart w:id="137" w:name="_Toc387609309"/>
      <w:bookmarkStart w:id="138" w:name="_Toc441508857"/>
      <w:bookmarkStart w:id="139" w:name="_Toc276490918"/>
      <w:bookmarkStart w:id="140" w:name="_Toc279695209"/>
      <w:bookmarkStart w:id="141" w:name="_Toc22883"/>
      <w:bookmarkStart w:id="142" w:name="_Toc282993364"/>
      <w:bookmarkStart w:id="143" w:name="_Toc276492436"/>
      <w:bookmarkStart w:id="144" w:name="_Toc276301528"/>
      <w:bookmarkStart w:id="145" w:name="_Toc76025503"/>
      <w:bookmarkStart w:id="146" w:name="_Toc20607"/>
      <w:bookmarkStart w:id="147" w:name="_Toc282433760"/>
      <w:bookmarkStart w:id="148" w:name="_Toc66780580"/>
      <w:bookmarkStart w:id="149" w:name="_Toc322681878"/>
      <w:bookmarkStart w:id="150" w:name="_Toc229217290"/>
      <w:r>
        <w:rPr>
          <w:rFonts w:ascii="Times New Roman" w:hAnsi="Times New Roman" w:eastAsia="黑体"/>
          <w:b w:val="0"/>
          <w:bCs/>
          <w:szCs w:val="21"/>
        </w:rPr>
        <w:t xml:space="preserve">9.1 </w:t>
      </w:r>
      <w:r>
        <w:rPr>
          <w:rFonts w:hint="eastAsia" w:ascii="Times New Roman" w:hAnsi="Times New Roman" w:eastAsia="黑体"/>
          <w:b w:val="0"/>
          <w:bCs/>
          <w:szCs w:val="21"/>
        </w:rPr>
        <w:t>包装</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8B24AE6">
      <w:pPr>
        <w:adjustRightInd w:val="0"/>
        <w:snapToGrid w:val="0"/>
        <w:spacing w:line="360" w:lineRule="auto"/>
        <w:ind w:firstLine="420" w:firstLineChars="200"/>
        <w:rPr>
          <w:szCs w:val="21"/>
        </w:rPr>
      </w:pPr>
      <w:bookmarkStart w:id="151" w:name="_Toc276301529"/>
      <w:bookmarkStart w:id="152" w:name="_Toc276490919"/>
      <w:bookmarkStart w:id="153" w:name="_Toc276492437"/>
      <w:r>
        <w:rPr>
          <w:rFonts w:hint="eastAsia"/>
          <w:szCs w:val="21"/>
        </w:rPr>
        <w:t>1）投标方应根据双方商定好的标准和招标方的实际运输条件</w:t>
      </w:r>
      <w:r>
        <w:rPr>
          <w:szCs w:val="21"/>
        </w:rPr>
        <w:t>，</w:t>
      </w:r>
      <w:r>
        <w:rPr>
          <w:rFonts w:hint="eastAsia"/>
          <w:szCs w:val="21"/>
        </w:rPr>
        <w:t>将所有零部件包装好</w:t>
      </w:r>
      <w:r>
        <w:rPr>
          <w:szCs w:val="21"/>
        </w:rPr>
        <w:t>，</w:t>
      </w:r>
      <w:r>
        <w:rPr>
          <w:rFonts w:hint="eastAsia"/>
          <w:szCs w:val="21"/>
        </w:rPr>
        <w:t>并将全套使用说明书</w:t>
      </w:r>
      <w:r>
        <w:rPr>
          <w:szCs w:val="21"/>
        </w:rPr>
        <w:t>，</w:t>
      </w:r>
      <w:r>
        <w:rPr>
          <w:rFonts w:hint="eastAsia"/>
          <w:szCs w:val="21"/>
        </w:rPr>
        <w:t>产品合格证明书、产品外形尺寸图、运输尺寸图、产品拆卸件一览表、装箱单、铭牌图或铭牌标志图及备件一览表等包装好</w:t>
      </w:r>
      <w:r>
        <w:rPr>
          <w:szCs w:val="21"/>
        </w:rPr>
        <w:t>，</w:t>
      </w:r>
      <w:r>
        <w:rPr>
          <w:rFonts w:hint="eastAsia"/>
          <w:szCs w:val="21"/>
        </w:rPr>
        <w:t>防止受潮。从投标方发货至招标方收到期间</w:t>
      </w:r>
      <w:r>
        <w:rPr>
          <w:szCs w:val="21"/>
        </w:rPr>
        <w:t>，</w:t>
      </w:r>
      <w:r>
        <w:rPr>
          <w:rFonts w:hint="eastAsia"/>
          <w:szCs w:val="21"/>
        </w:rPr>
        <w:t>设备和资料应完好无损。</w:t>
      </w:r>
    </w:p>
    <w:p w14:paraId="7AF04513">
      <w:pPr>
        <w:adjustRightInd w:val="0"/>
        <w:snapToGrid w:val="0"/>
        <w:spacing w:line="360" w:lineRule="auto"/>
        <w:ind w:firstLine="420" w:firstLineChars="200"/>
        <w:rPr>
          <w:szCs w:val="21"/>
        </w:rPr>
      </w:pPr>
      <w:r>
        <w:rPr>
          <w:rFonts w:hint="eastAsia"/>
          <w:szCs w:val="21"/>
        </w:rPr>
        <w:t>2）包装箱应连续编号</w:t>
      </w:r>
      <w:r>
        <w:rPr>
          <w:szCs w:val="21"/>
        </w:rPr>
        <w:t>，</w:t>
      </w:r>
      <w:r>
        <w:rPr>
          <w:rFonts w:hint="eastAsia"/>
          <w:szCs w:val="21"/>
        </w:rPr>
        <w:t>不能有重号。</w:t>
      </w:r>
    </w:p>
    <w:p w14:paraId="6E96DCD7">
      <w:pPr>
        <w:adjustRightInd w:val="0"/>
        <w:snapToGrid w:val="0"/>
        <w:spacing w:line="360" w:lineRule="auto"/>
        <w:ind w:firstLine="420" w:firstLineChars="200"/>
        <w:rPr>
          <w:szCs w:val="21"/>
        </w:rPr>
      </w:pPr>
      <w:r>
        <w:rPr>
          <w:rFonts w:hint="eastAsia"/>
          <w:szCs w:val="21"/>
        </w:rPr>
        <w:t>零部件、材料启运前投标方应按下述内容在箱面上写不褪色的醒目标志</w:t>
      </w:r>
      <w:r>
        <w:rPr>
          <w:szCs w:val="21"/>
        </w:rPr>
        <w:t>：</w:t>
      </w:r>
    </w:p>
    <w:p w14:paraId="2CA31686">
      <w:pPr>
        <w:adjustRightInd w:val="0"/>
        <w:snapToGrid w:val="0"/>
        <w:spacing w:line="360" w:lineRule="auto"/>
        <w:ind w:firstLine="630" w:firstLineChars="300"/>
        <w:rPr>
          <w:szCs w:val="21"/>
        </w:rPr>
      </w:pPr>
      <w:r>
        <w:rPr>
          <w:rFonts w:hint="eastAsia"/>
          <w:szCs w:val="21"/>
        </w:rPr>
        <w:t>a.合同号</w:t>
      </w:r>
      <w:r>
        <w:rPr>
          <w:szCs w:val="21"/>
        </w:rPr>
        <w:t>；</w:t>
      </w:r>
    </w:p>
    <w:p w14:paraId="07A3D43F">
      <w:pPr>
        <w:adjustRightInd w:val="0"/>
        <w:snapToGrid w:val="0"/>
        <w:spacing w:line="360" w:lineRule="auto"/>
        <w:ind w:firstLine="630" w:firstLineChars="300"/>
        <w:rPr>
          <w:szCs w:val="21"/>
        </w:rPr>
      </w:pPr>
      <w:r>
        <w:rPr>
          <w:rFonts w:hint="eastAsia"/>
          <w:szCs w:val="21"/>
        </w:rPr>
        <w:t>d.收货人及代码</w:t>
      </w:r>
      <w:r>
        <w:rPr>
          <w:szCs w:val="21"/>
        </w:rPr>
        <w:t>；</w:t>
      </w:r>
    </w:p>
    <w:p w14:paraId="331225E4">
      <w:pPr>
        <w:adjustRightInd w:val="0"/>
        <w:snapToGrid w:val="0"/>
        <w:spacing w:line="360" w:lineRule="auto"/>
        <w:ind w:firstLine="630" w:firstLineChars="300"/>
        <w:rPr>
          <w:szCs w:val="21"/>
        </w:rPr>
      </w:pPr>
      <w:r>
        <w:rPr>
          <w:rFonts w:hint="eastAsia"/>
          <w:szCs w:val="21"/>
        </w:rPr>
        <w:t>e.设备名称和项目号</w:t>
      </w:r>
      <w:r>
        <w:rPr>
          <w:szCs w:val="21"/>
        </w:rPr>
        <w:t>；</w:t>
      </w:r>
    </w:p>
    <w:p w14:paraId="5A446DB9">
      <w:pPr>
        <w:adjustRightInd w:val="0"/>
        <w:snapToGrid w:val="0"/>
        <w:spacing w:line="360" w:lineRule="auto"/>
        <w:ind w:firstLine="630" w:firstLineChars="300"/>
        <w:rPr>
          <w:szCs w:val="21"/>
        </w:rPr>
      </w:pPr>
      <w:r>
        <w:rPr>
          <w:rFonts w:hint="eastAsia"/>
          <w:szCs w:val="21"/>
        </w:rPr>
        <w:t>f.箱号</w:t>
      </w:r>
      <w:r>
        <w:rPr>
          <w:szCs w:val="21"/>
        </w:rPr>
        <w:t>；</w:t>
      </w:r>
    </w:p>
    <w:p w14:paraId="0E324081">
      <w:pPr>
        <w:adjustRightInd w:val="0"/>
        <w:snapToGrid w:val="0"/>
        <w:spacing w:line="360" w:lineRule="auto"/>
        <w:ind w:firstLine="630" w:firstLineChars="300"/>
        <w:rPr>
          <w:szCs w:val="21"/>
        </w:rPr>
      </w:pPr>
      <w:r>
        <w:rPr>
          <w:rFonts w:hint="eastAsia"/>
          <w:szCs w:val="21"/>
        </w:rPr>
        <w:t>g.毛重与净重</w:t>
      </w:r>
      <w:r>
        <w:rPr>
          <w:szCs w:val="21"/>
        </w:rPr>
        <w:t>；</w:t>
      </w:r>
    </w:p>
    <w:p w14:paraId="38E156BA">
      <w:pPr>
        <w:adjustRightInd w:val="0"/>
        <w:snapToGrid w:val="0"/>
        <w:spacing w:line="360" w:lineRule="auto"/>
        <w:ind w:firstLine="630" w:firstLineChars="300"/>
        <w:rPr>
          <w:szCs w:val="21"/>
        </w:rPr>
      </w:pPr>
      <w:r>
        <w:rPr>
          <w:rFonts w:hint="eastAsia"/>
          <w:szCs w:val="21"/>
        </w:rPr>
        <w:t>h.外形尺寸</w:t>
      </w:r>
      <w:r>
        <w:rPr>
          <w:szCs w:val="21"/>
        </w:rPr>
        <w:t>；</w:t>
      </w:r>
    </w:p>
    <w:p w14:paraId="37C8EA73">
      <w:pPr>
        <w:adjustRightInd w:val="0"/>
        <w:snapToGrid w:val="0"/>
        <w:spacing w:line="360" w:lineRule="auto"/>
        <w:ind w:firstLine="630" w:firstLineChars="300"/>
        <w:rPr>
          <w:szCs w:val="21"/>
        </w:rPr>
      </w:pPr>
      <w:r>
        <w:rPr>
          <w:rFonts w:hint="eastAsia"/>
          <w:szCs w:val="21"/>
        </w:rPr>
        <w:t>i.在设备的包装箱外面应标上“重心”、“起吊点”、“小心搬运”、“正面向上”、“防止受潮”、“勿倒”、“勿倾斜”、“防火”等字样。</w:t>
      </w:r>
    </w:p>
    <w:p w14:paraId="31D6FF31">
      <w:pPr>
        <w:adjustRightInd w:val="0"/>
        <w:snapToGrid w:val="0"/>
        <w:spacing w:line="360" w:lineRule="auto"/>
        <w:ind w:firstLine="420" w:firstLineChars="200"/>
        <w:rPr>
          <w:szCs w:val="21"/>
        </w:rPr>
      </w:pPr>
      <w:r>
        <w:rPr>
          <w:rFonts w:hint="eastAsia"/>
          <w:szCs w:val="21"/>
        </w:rPr>
        <w:t>3）投标方提供的技术文件的包装内外表面上应有如下中文标志</w:t>
      </w:r>
      <w:r>
        <w:rPr>
          <w:szCs w:val="21"/>
        </w:rPr>
        <w:t>：</w:t>
      </w:r>
    </w:p>
    <w:p w14:paraId="2008C43C">
      <w:pPr>
        <w:adjustRightInd w:val="0"/>
        <w:snapToGrid w:val="0"/>
        <w:spacing w:line="360" w:lineRule="auto"/>
        <w:ind w:firstLine="630" w:firstLineChars="300"/>
        <w:rPr>
          <w:szCs w:val="21"/>
        </w:rPr>
      </w:pPr>
      <w:r>
        <w:rPr>
          <w:rFonts w:hint="eastAsia"/>
          <w:szCs w:val="21"/>
        </w:rPr>
        <w:t>a.合同号</w:t>
      </w:r>
      <w:r>
        <w:rPr>
          <w:szCs w:val="21"/>
        </w:rPr>
        <w:t>；</w:t>
      </w:r>
    </w:p>
    <w:p w14:paraId="0B5CE593">
      <w:pPr>
        <w:adjustRightInd w:val="0"/>
        <w:snapToGrid w:val="0"/>
        <w:spacing w:line="360" w:lineRule="auto"/>
        <w:ind w:firstLine="630" w:firstLineChars="300"/>
        <w:rPr>
          <w:szCs w:val="21"/>
        </w:rPr>
      </w:pPr>
      <w:r>
        <w:rPr>
          <w:rFonts w:hint="eastAsia"/>
          <w:szCs w:val="21"/>
        </w:rPr>
        <w:t>b.收货人</w:t>
      </w:r>
      <w:r>
        <w:rPr>
          <w:szCs w:val="21"/>
        </w:rPr>
        <w:t>；</w:t>
      </w:r>
    </w:p>
    <w:p w14:paraId="05DFFF97">
      <w:pPr>
        <w:adjustRightInd w:val="0"/>
        <w:snapToGrid w:val="0"/>
        <w:spacing w:line="360" w:lineRule="auto"/>
        <w:ind w:firstLine="630" w:firstLineChars="300"/>
        <w:rPr>
          <w:szCs w:val="21"/>
        </w:rPr>
      </w:pPr>
      <w:r>
        <w:rPr>
          <w:rFonts w:hint="eastAsia"/>
          <w:szCs w:val="21"/>
        </w:rPr>
        <w:t>c.目的地</w:t>
      </w:r>
      <w:r>
        <w:rPr>
          <w:szCs w:val="21"/>
        </w:rPr>
        <w:t>；</w:t>
      </w:r>
    </w:p>
    <w:p w14:paraId="7D5CE665">
      <w:pPr>
        <w:adjustRightInd w:val="0"/>
        <w:snapToGrid w:val="0"/>
        <w:spacing w:line="360" w:lineRule="auto"/>
        <w:ind w:firstLine="630" w:firstLineChars="300"/>
        <w:rPr>
          <w:szCs w:val="21"/>
        </w:rPr>
      </w:pPr>
      <w:r>
        <w:rPr>
          <w:rFonts w:hint="eastAsia"/>
          <w:szCs w:val="21"/>
        </w:rPr>
        <w:t>d.毛重</w:t>
      </w:r>
      <w:r>
        <w:rPr>
          <w:szCs w:val="21"/>
        </w:rPr>
        <w:t>；</w:t>
      </w:r>
    </w:p>
    <w:p w14:paraId="6FFFA6C7">
      <w:pPr>
        <w:adjustRightInd w:val="0"/>
        <w:snapToGrid w:val="0"/>
        <w:spacing w:line="360" w:lineRule="auto"/>
        <w:ind w:firstLine="630" w:firstLineChars="300"/>
        <w:rPr>
          <w:szCs w:val="21"/>
        </w:rPr>
      </w:pPr>
      <w:r>
        <w:rPr>
          <w:rFonts w:hint="eastAsia"/>
          <w:szCs w:val="21"/>
        </w:rPr>
        <w:t>e.箱号。</w:t>
      </w:r>
    </w:p>
    <w:p w14:paraId="3DAE0453">
      <w:pPr>
        <w:adjustRightInd w:val="0"/>
        <w:snapToGrid w:val="0"/>
        <w:spacing w:line="360" w:lineRule="auto"/>
        <w:ind w:firstLine="420" w:firstLineChars="200"/>
        <w:rPr>
          <w:szCs w:val="21"/>
        </w:rPr>
      </w:pPr>
      <w:r>
        <w:rPr>
          <w:rFonts w:hint="eastAsia"/>
          <w:szCs w:val="21"/>
        </w:rPr>
        <w:t>4）招投标双方应在合同中明确规定多旋翼无人机巡检系统各部件的保管期应在合同中明确规定。</w:t>
      </w:r>
    </w:p>
    <w:p w14:paraId="57E8AA82">
      <w:pPr>
        <w:adjustRightInd w:val="0"/>
        <w:snapToGrid w:val="0"/>
        <w:spacing w:line="360" w:lineRule="auto"/>
        <w:ind w:firstLine="420" w:firstLineChars="200"/>
        <w:rPr>
          <w:szCs w:val="21"/>
        </w:rPr>
      </w:pPr>
      <w:r>
        <w:rPr>
          <w:rFonts w:hint="eastAsia"/>
          <w:szCs w:val="21"/>
        </w:rPr>
        <w:t>5）在设备启运后一周内</w:t>
      </w:r>
      <w:r>
        <w:rPr>
          <w:szCs w:val="21"/>
        </w:rPr>
        <w:t>，</w:t>
      </w:r>
      <w:r>
        <w:rPr>
          <w:rFonts w:hint="eastAsia"/>
          <w:szCs w:val="21"/>
        </w:rPr>
        <w:t>投标方应以最快捷的方式通知招标方以下内容</w:t>
      </w:r>
      <w:r>
        <w:rPr>
          <w:szCs w:val="21"/>
        </w:rPr>
        <w:t>：</w:t>
      </w:r>
    </w:p>
    <w:p w14:paraId="13E22C93">
      <w:pPr>
        <w:adjustRightInd w:val="0"/>
        <w:snapToGrid w:val="0"/>
        <w:spacing w:line="360" w:lineRule="auto"/>
        <w:ind w:firstLine="630" w:firstLineChars="300"/>
        <w:rPr>
          <w:szCs w:val="21"/>
        </w:rPr>
      </w:pPr>
      <w:r>
        <w:rPr>
          <w:rFonts w:hint="eastAsia"/>
          <w:szCs w:val="21"/>
        </w:rPr>
        <w:t>a.设备名称</w:t>
      </w:r>
      <w:r>
        <w:rPr>
          <w:szCs w:val="21"/>
        </w:rPr>
        <w:t>；</w:t>
      </w:r>
    </w:p>
    <w:p w14:paraId="66D4B3BB">
      <w:pPr>
        <w:adjustRightInd w:val="0"/>
        <w:snapToGrid w:val="0"/>
        <w:spacing w:line="360" w:lineRule="auto"/>
        <w:ind w:firstLine="630" w:firstLineChars="300"/>
        <w:rPr>
          <w:szCs w:val="21"/>
        </w:rPr>
      </w:pPr>
      <w:r>
        <w:rPr>
          <w:rFonts w:hint="eastAsia"/>
          <w:szCs w:val="21"/>
        </w:rPr>
        <w:t>b.件数、件号、重量</w:t>
      </w:r>
      <w:r>
        <w:rPr>
          <w:szCs w:val="21"/>
        </w:rPr>
        <w:t>；</w:t>
      </w:r>
    </w:p>
    <w:p w14:paraId="08FFECD8">
      <w:pPr>
        <w:adjustRightInd w:val="0"/>
        <w:snapToGrid w:val="0"/>
        <w:spacing w:line="360" w:lineRule="auto"/>
        <w:ind w:firstLine="630" w:firstLineChars="300"/>
        <w:rPr>
          <w:szCs w:val="21"/>
        </w:rPr>
      </w:pPr>
      <w:r>
        <w:rPr>
          <w:rFonts w:hint="eastAsia"/>
          <w:szCs w:val="21"/>
        </w:rPr>
        <w:t>c.合同号</w:t>
      </w:r>
      <w:r>
        <w:rPr>
          <w:szCs w:val="21"/>
        </w:rPr>
        <w:t>；</w:t>
      </w:r>
    </w:p>
    <w:p w14:paraId="5D2DE120">
      <w:pPr>
        <w:adjustRightInd w:val="0"/>
        <w:snapToGrid w:val="0"/>
        <w:spacing w:line="360" w:lineRule="auto"/>
        <w:ind w:firstLine="630" w:firstLineChars="300"/>
        <w:rPr>
          <w:szCs w:val="21"/>
        </w:rPr>
      </w:pPr>
      <w:r>
        <w:rPr>
          <w:rFonts w:hint="eastAsia"/>
          <w:szCs w:val="21"/>
        </w:rPr>
        <w:t>d.货运单号</w:t>
      </w:r>
      <w:r>
        <w:rPr>
          <w:szCs w:val="21"/>
        </w:rPr>
        <w:t>；</w:t>
      </w:r>
    </w:p>
    <w:p w14:paraId="44226D7B">
      <w:pPr>
        <w:adjustRightInd w:val="0"/>
        <w:snapToGrid w:val="0"/>
        <w:spacing w:line="360" w:lineRule="auto"/>
        <w:ind w:firstLine="630" w:firstLineChars="300"/>
        <w:rPr>
          <w:szCs w:val="21"/>
        </w:rPr>
      </w:pPr>
      <w:r>
        <w:rPr>
          <w:rFonts w:hint="eastAsia"/>
          <w:szCs w:val="21"/>
        </w:rPr>
        <w:t>f.设备发出日期。</w:t>
      </w:r>
    </w:p>
    <w:p w14:paraId="77CECDE3">
      <w:pPr>
        <w:adjustRightInd w:val="0"/>
        <w:snapToGrid w:val="0"/>
        <w:spacing w:line="360" w:lineRule="auto"/>
        <w:ind w:firstLine="420" w:firstLineChars="200"/>
        <w:rPr>
          <w:szCs w:val="21"/>
        </w:rPr>
      </w:pPr>
      <w:r>
        <w:rPr>
          <w:szCs w:val="21"/>
        </w:rPr>
        <w:t>6</w:t>
      </w:r>
      <w:r>
        <w:rPr>
          <w:rFonts w:hint="eastAsia"/>
          <w:szCs w:val="21"/>
        </w:rPr>
        <w:t>）运输、贮存直到交付使用时应保护所有组、部件不得损坏、不得进水和受潮。</w:t>
      </w:r>
    </w:p>
    <w:p w14:paraId="53BD853C">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投标方所供的设备和附件，在货运途中需外包防雨防潮胶袋，用纸皮箱包封运输，纸皮箱间需加塞泡沫防震层，采取有效的防雨、防潮、防震措施，以适应远途运输的要求。</w:t>
      </w:r>
    </w:p>
    <w:p w14:paraId="28AD2DBC">
      <w:pPr>
        <w:adjustRightInd w:val="0"/>
        <w:snapToGrid w:val="0"/>
        <w:spacing w:line="360" w:lineRule="auto"/>
        <w:ind w:firstLine="420" w:firstLineChars="200"/>
        <w:rPr>
          <w:szCs w:val="21"/>
        </w:rPr>
      </w:pPr>
      <w:r>
        <w:rPr>
          <w:rFonts w:hint="eastAsia"/>
          <w:szCs w:val="21"/>
        </w:rPr>
        <w:t>7）</w:t>
      </w:r>
      <w:r>
        <w:rPr>
          <w:rFonts w:hint="eastAsia" w:ascii="宋体" w:hAnsi="宋体" w:cs="宋体"/>
          <w:szCs w:val="21"/>
        </w:rPr>
        <w:t>所有设备分别包装、装箱、或采取其他防护措施，以避免设备在运输过程中散失、损坏或被盗。</w:t>
      </w:r>
    </w:p>
    <w:p w14:paraId="16C03E18">
      <w:pPr>
        <w:pStyle w:val="3"/>
        <w:spacing w:before="0" w:after="0" w:line="360" w:lineRule="auto"/>
        <w:rPr>
          <w:rFonts w:ascii="Times New Roman" w:hAnsi="Times New Roman" w:eastAsia="黑体"/>
          <w:b w:val="0"/>
          <w:bCs/>
          <w:szCs w:val="21"/>
        </w:rPr>
      </w:pPr>
      <w:bookmarkStart w:id="154" w:name="_Toc441508858"/>
      <w:bookmarkStart w:id="155" w:name="_Toc322681879"/>
      <w:bookmarkStart w:id="156" w:name="_Toc28140"/>
      <w:bookmarkStart w:id="157" w:name="_Toc66780581"/>
      <w:bookmarkStart w:id="158" w:name="_Toc279695210"/>
      <w:bookmarkStart w:id="159" w:name="_Toc282993365"/>
      <w:bookmarkStart w:id="160" w:name="_Toc9547"/>
      <w:bookmarkStart w:id="161" w:name="_Toc76025504"/>
      <w:bookmarkStart w:id="162" w:name="_Toc387609310"/>
      <w:bookmarkStart w:id="163" w:name="_Toc282433761"/>
      <w:bookmarkStart w:id="164" w:name="_Toc229217291"/>
      <w:r>
        <w:rPr>
          <w:rFonts w:ascii="Times New Roman" w:hAnsi="Times New Roman" w:eastAsia="黑体"/>
          <w:b w:val="0"/>
          <w:bCs/>
          <w:szCs w:val="21"/>
        </w:rPr>
        <w:t>9.2</w:t>
      </w:r>
      <w:r>
        <w:rPr>
          <w:rFonts w:hint="eastAsia" w:ascii="Times New Roman" w:hAnsi="Times New Roman" w:eastAsia="黑体"/>
          <w:b w:val="0"/>
          <w:bCs/>
          <w:szCs w:val="21"/>
        </w:rPr>
        <w:t xml:space="preserve"> 运输</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81AEC6B">
      <w:pPr>
        <w:adjustRightInd w:val="0"/>
        <w:snapToGrid w:val="0"/>
        <w:spacing w:line="360" w:lineRule="auto"/>
        <w:ind w:firstLine="420" w:firstLineChars="200"/>
        <w:rPr>
          <w:szCs w:val="21"/>
        </w:rPr>
      </w:pPr>
      <w:r>
        <w:rPr>
          <w:rFonts w:hint="eastAsia"/>
          <w:szCs w:val="21"/>
        </w:rPr>
        <w:t>a.制造厂应充分考虑运输条件及路、桥运输重量，并应编制运输方案、确定最大单件的尺寸及运输单重。</w:t>
      </w:r>
    </w:p>
    <w:p w14:paraId="6BECAC92">
      <w:pPr>
        <w:adjustRightInd w:val="0"/>
        <w:snapToGrid w:val="0"/>
        <w:spacing w:line="360" w:lineRule="auto"/>
        <w:ind w:firstLine="420" w:firstLineChars="200"/>
        <w:rPr>
          <w:szCs w:val="21"/>
        </w:rPr>
      </w:pPr>
      <w:r>
        <w:rPr>
          <w:rFonts w:hint="eastAsia"/>
          <w:szCs w:val="21"/>
        </w:rPr>
        <w:t>b.制造厂负责将设备安全地运到运行单位指定地点，并负责设备卸车落地。制造厂应做到设备在任何运输过程中不受损坏。制造厂应考虑到设备在船运和陆运运输中，可能受到的最大加速度所产生的冲击力而不松动、不损坏、不变形。</w:t>
      </w:r>
    </w:p>
    <w:p w14:paraId="71A545DC">
      <w:pPr>
        <w:adjustRightInd w:val="0"/>
        <w:snapToGrid w:val="0"/>
        <w:spacing w:line="360" w:lineRule="auto"/>
        <w:ind w:firstLine="420" w:firstLineChars="200"/>
        <w:rPr>
          <w:szCs w:val="21"/>
        </w:rPr>
      </w:pPr>
      <w:r>
        <w:rPr>
          <w:rFonts w:hint="eastAsia"/>
          <w:szCs w:val="21"/>
        </w:rPr>
        <w:t>c.备品备件、专用工具和仪器应与附属设备同时装运，并明显标记，以便与提供的其它设备相区别。</w:t>
      </w:r>
    </w:p>
    <w:p w14:paraId="6C760D9E">
      <w:pPr>
        <w:adjustRightInd w:val="0"/>
        <w:snapToGrid w:val="0"/>
        <w:spacing w:line="360" w:lineRule="auto"/>
        <w:ind w:firstLine="420" w:firstLineChars="200"/>
        <w:rPr>
          <w:rFonts w:hint="eastAsia" w:ascii="宋体" w:hAnsi="宋体" w:cs="宋体"/>
          <w:szCs w:val="21"/>
        </w:rPr>
      </w:pPr>
      <w:r>
        <w:rPr>
          <w:rFonts w:hint="eastAsia"/>
          <w:szCs w:val="21"/>
        </w:rPr>
        <w:t>d.</w:t>
      </w:r>
      <w:r>
        <w:rPr>
          <w:rFonts w:hint="eastAsia" w:ascii="宋体" w:hAnsi="宋体" w:cs="宋体"/>
          <w:szCs w:val="21"/>
        </w:rPr>
        <w:t>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14:paraId="07F55A9E">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e.从投标方到用户方指定的目的地的运输由投标方负责。</w:t>
      </w:r>
    </w:p>
    <w:p w14:paraId="6AA20862">
      <w:pPr>
        <w:pStyle w:val="3"/>
        <w:spacing w:before="0" w:after="0" w:line="360" w:lineRule="auto"/>
        <w:rPr>
          <w:rFonts w:ascii="Times New Roman" w:hAnsi="Times New Roman" w:eastAsia="黑体"/>
          <w:b w:val="0"/>
          <w:bCs/>
          <w:szCs w:val="21"/>
        </w:rPr>
      </w:pPr>
      <w:bookmarkStart w:id="165" w:name="_Toc276301530"/>
      <w:bookmarkStart w:id="166" w:name="_Toc276492438"/>
      <w:bookmarkStart w:id="167" w:name="_Toc276490920"/>
      <w:bookmarkStart w:id="168" w:name="_Toc29575"/>
      <w:bookmarkStart w:id="169" w:name="_Toc282433762"/>
      <w:bookmarkStart w:id="170" w:name="_Toc279695211"/>
      <w:bookmarkStart w:id="171" w:name="_Toc441508859"/>
      <w:bookmarkStart w:id="172" w:name="_Toc19897"/>
      <w:bookmarkStart w:id="173" w:name="_Toc322681880"/>
      <w:bookmarkStart w:id="174" w:name="_Toc229217292"/>
      <w:bookmarkStart w:id="175" w:name="_Toc76025505"/>
      <w:bookmarkStart w:id="176" w:name="_Toc387609311"/>
      <w:bookmarkStart w:id="177" w:name="_Toc282993366"/>
      <w:bookmarkStart w:id="178" w:name="_Toc66780582"/>
      <w:r>
        <w:rPr>
          <w:rFonts w:ascii="Times New Roman" w:hAnsi="Times New Roman" w:eastAsia="黑体"/>
          <w:b w:val="0"/>
          <w:bCs/>
          <w:szCs w:val="21"/>
        </w:rPr>
        <w:t>9.3</w:t>
      </w:r>
      <w:r>
        <w:rPr>
          <w:rFonts w:hint="eastAsia" w:ascii="Times New Roman" w:hAnsi="Times New Roman" w:eastAsia="黑体"/>
          <w:b w:val="0"/>
          <w:bCs/>
          <w:szCs w:val="21"/>
        </w:rPr>
        <w:t xml:space="preserve"> 组装</w:t>
      </w:r>
      <w:bookmarkEnd w:id="165"/>
      <w:bookmarkEnd w:id="166"/>
      <w:bookmarkEnd w:id="167"/>
      <w:r>
        <w:rPr>
          <w:rFonts w:hint="eastAsia" w:ascii="Times New Roman" w:hAnsi="Times New Roman" w:eastAsia="黑体"/>
          <w:b w:val="0"/>
          <w:bCs/>
          <w:szCs w:val="21"/>
        </w:rPr>
        <w:t>指导</w:t>
      </w:r>
      <w:bookmarkEnd w:id="168"/>
      <w:bookmarkEnd w:id="169"/>
      <w:bookmarkEnd w:id="170"/>
      <w:bookmarkEnd w:id="171"/>
      <w:bookmarkEnd w:id="172"/>
      <w:bookmarkEnd w:id="173"/>
      <w:bookmarkEnd w:id="174"/>
      <w:bookmarkEnd w:id="175"/>
      <w:bookmarkEnd w:id="176"/>
      <w:bookmarkEnd w:id="177"/>
      <w:bookmarkEnd w:id="178"/>
    </w:p>
    <w:p w14:paraId="65287F27">
      <w:pPr>
        <w:adjustRightInd w:val="0"/>
        <w:snapToGrid w:val="0"/>
        <w:spacing w:line="360" w:lineRule="auto"/>
        <w:ind w:firstLine="420" w:firstLineChars="200"/>
        <w:rPr>
          <w:szCs w:val="21"/>
        </w:rPr>
      </w:pPr>
      <w:r>
        <w:rPr>
          <w:rFonts w:hint="eastAsia"/>
          <w:szCs w:val="21"/>
        </w:rPr>
        <w:t>制造厂在组装和初期（至少3个架次）使用时应安排技术人员提供现场组装指导服务，提出技术建议，并有对运行人员提供相关培训的义务。</w:t>
      </w:r>
    </w:p>
    <w:p w14:paraId="5DA2D60E">
      <w:pPr>
        <w:pStyle w:val="3"/>
        <w:spacing w:before="0" w:after="0" w:line="360" w:lineRule="auto"/>
        <w:rPr>
          <w:rFonts w:ascii="Times New Roman" w:hAnsi="Times New Roman" w:eastAsia="黑体"/>
          <w:b w:val="0"/>
          <w:bCs/>
          <w:szCs w:val="21"/>
        </w:rPr>
      </w:pPr>
      <w:bookmarkStart w:id="179" w:name="_Toc282993367"/>
      <w:bookmarkStart w:id="180" w:name="_Toc3697"/>
      <w:bookmarkStart w:id="181" w:name="_Toc16709"/>
      <w:bookmarkStart w:id="182" w:name="_Toc76025506"/>
      <w:bookmarkStart w:id="183" w:name="_Toc229217293"/>
      <w:bookmarkStart w:id="184" w:name="_Toc282433763"/>
      <w:bookmarkStart w:id="185" w:name="_Toc387609312"/>
      <w:bookmarkStart w:id="186" w:name="_Toc66780583"/>
      <w:bookmarkStart w:id="187" w:name="_Toc322681881"/>
      <w:bookmarkStart w:id="188" w:name="_Toc441508860"/>
      <w:r>
        <w:rPr>
          <w:rFonts w:ascii="Times New Roman" w:hAnsi="Times New Roman" w:eastAsia="黑体"/>
          <w:b w:val="0"/>
          <w:bCs/>
          <w:szCs w:val="21"/>
        </w:rPr>
        <w:t>9.4</w:t>
      </w:r>
      <w:r>
        <w:rPr>
          <w:rFonts w:hint="eastAsia" w:ascii="Times New Roman" w:hAnsi="Times New Roman" w:eastAsia="黑体"/>
          <w:b w:val="0"/>
          <w:bCs/>
          <w:szCs w:val="21"/>
        </w:rPr>
        <w:t xml:space="preserve"> 质量保证</w:t>
      </w:r>
      <w:bookmarkEnd w:id="179"/>
      <w:bookmarkEnd w:id="180"/>
      <w:bookmarkEnd w:id="181"/>
      <w:bookmarkEnd w:id="182"/>
      <w:bookmarkEnd w:id="183"/>
      <w:bookmarkEnd w:id="184"/>
      <w:bookmarkEnd w:id="185"/>
      <w:bookmarkEnd w:id="186"/>
      <w:bookmarkEnd w:id="187"/>
      <w:bookmarkEnd w:id="188"/>
    </w:p>
    <w:p w14:paraId="4AFABD96">
      <w:pPr>
        <w:adjustRightInd w:val="0"/>
        <w:snapToGrid w:val="0"/>
        <w:spacing w:line="360" w:lineRule="auto"/>
        <w:ind w:firstLine="420" w:firstLineChars="200"/>
        <w:rPr>
          <w:szCs w:val="21"/>
        </w:rPr>
      </w:pPr>
      <w:r>
        <w:rPr>
          <w:rFonts w:hint="eastAsia"/>
          <w:szCs w:val="21"/>
        </w:rPr>
        <w:t>1）全部设备必须是全新的， 持久耐用的，应满足作为一个完整产品所能满足的全部要求。投标方应保证设备在规定的使用条件下使用、并按使用说明书进行组装和维护，设备的预期寿命应不少于8年</w:t>
      </w:r>
      <w:r>
        <w:rPr>
          <w:szCs w:val="21"/>
        </w:rPr>
        <w:t>。</w:t>
      </w:r>
    </w:p>
    <w:p w14:paraId="10480FEB">
      <w:pPr>
        <w:adjustRightInd w:val="0"/>
        <w:snapToGrid w:val="0"/>
        <w:spacing w:line="360" w:lineRule="auto"/>
        <w:ind w:firstLine="420" w:firstLineChars="200"/>
        <w:rPr>
          <w:szCs w:val="21"/>
        </w:rPr>
      </w:pPr>
      <w:r>
        <w:rPr>
          <w:rFonts w:hint="eastAsia"/>
          <w:szCs w:val="21"/>
        </w:rPr>
        <w:t>2）产品质保期为自对账单全部设备到货验收合格并移交之日起不短于正常运行一年内（供方承诺的质保期若长于上述事件，则按承诺时间执行）。质保期内所有零部件发生非人为原因损坏时，投标方负责免费维修或更换。之后如发生产品损坏，投标方应及时为本套系统提供维修部件和服务，并按最近的投标价提供。</w:t>
      </w:r>
    </w:p>
    <w:p w14:paraId="3797577B">
      <w:pPr>
        <w:adjustRightInd w:val="0"/>
        <w:snapToGrid w:val="0"/>
        <w:spacing w:line="360" w:lineRule="auto"/>
        <w:ind w:firstLine="420" w:firstLineChars="200"/>
        <w:rPr>
          <w:szCs w:val="21"/>
        </w:rPr>
      </w:pPr>
      <w:r>
        <w:rPr>
          <w:rFonts w:hint="eastAsia"/>
          <w:szCs w:val="21"/>
        </w:rPr>
        <w:t>3）投标方应保证制造过程中的所有工艺、材料试验等</w:t>
      </w:r>
      <w:r>
        <w:rPr>
          <w:szCs w:val="21"/>
        </w:rPr>
        <w:t>（</w:t>
      </w:r>
      <w:r>
        <w:rPr>
          <w:rFonts w:hint="eastAsia"/>
          <w:szCs w:val="21"/>
        </w:rPr>
        <w:t>包括投标方的外购件在内</w:t>
      </w:r>
      <w:r>
        <w:rPr>
          <w:szCs w:val="21"/>
        </w:rPr>
        <w:t>）</w:t>
      </w:r>
      <w:r>
        <w:rPr>
          <w:rFonts w:hint="eastAsia"/>
          <w:szCs w:val="21"/>
        </w:rPr>
        <w:t>均应符合本标准的规定。若招标方根据使用经验指定投标方提供某种外购零部件</w:t>
      </w:r>
      <w:r>
        <w:rPr>
          <w:szCs w:val="21"/>
        </w:rPr>
        <w:t>，</w:t>
      </w:r>
      <w:r>
        <w:rPr>
          <w:rFonts w:hint="eastAsia"/>
          <w:szCs w:val="21"/>
        </w:rPr>
        <w:t>投标方应积极配合。</w:t>
      </w:r>
    </w:p>
    <w:p w14:paraId="4403CA7F">
      <w:pPr>
        <w:adjustRightInd w:val="0"/>
        <w:snapToGrid w:val="0"/>
        <w:spacing w:line="360" w:lineRule="auto"/>
        <w:ind w:firstLine="420" w:firstLineChars="200"/>
        <w:rPr>
          <w:szCs w:val="21"/>
        </w:rPr>
      </w:pPr>
      <w:r>
        <w:rPr>
          <w:rFonts w:hint="eastAsia"/>
          <w:szCs w:val="21"/>
        </w:rPr>
        <w:t>4）附属及配套设备必须满足有关行业标准的要求</w:t>
      </w:r>
      <w:r>
        <w:rPr>
          <w:szCs w:val="21"/>
        </w:rPr>
        <w:t xml:space="preserve">， </w:t>
      </w:r>
      <w:r>
        <w:rPr>
          <w:rFonts w:hint="eastAsia"/>
          <w:szCs w:val="21"/>
        </w:rPr>
        <w:t>并提供试验报告和产品合格证。</w:t>
      </w:r>
    </w:p>
    <w:p w14:paraId="607C488B">
      <w:pPr>
        <w:adjustRightInd w:val="0"/>
        <w:snapToGrid w:val="0"/>
        <w:spacing w:line="360" w:lineRule="auto"/>
        <w:ind w:firstLine="420" w:firstLineChars="200"/>
        <w:rPr>
          <w:szCs w:val="21"/>
        </w:rPr>
      </w:pPr>
      <w:r>
        <w:rPr>
          <w:rFonts w:hint="eastAsia" w:ascii="宋体" w:hAnsi="宋体" w:cs="宋体"/>
          <w:szCs w:val="21"/>
        </w:rPr>
        <w:t>投标方应根据国家标准和制造厂标准进行出厂试验，对其所供的设备进行全面的检查与试验，并提供出厂试验报告。</w:t>
      </w:r>
    </w:p>
    <w:p w14:paraId="1AF7F79B">
      <w:pPr>
        <w:adjustRightInd w:val="0"/>
        <w:snapToGrid w:val="0"/>
        <w:spacing w:line="360" w:lineRule="auto"/>
        <w:ind w:firstLine="420" w:firstLineChars="200"/>
        <w:rPr>
          <w:szCs w:val="21"/>
        </w:rPr>
      </w:pPr>
      <w:r>
        <w:rPr>
          <w:rFonts w:hint="eastAsia"/>
          <w:szCs w:val="21"/>
        </w:rPr>
        <w:t>5）投标方应有遵守本标准中各条款和工作项目的</w:t>
      </w:r>
      <w:r>
        <w:rPr>
          <w:szCs w:val="21"/>
        </w:rPr>
        <w:t>ISO900</w:t>
      </w:r>
      <w:r>
        <w:rPr>
          <w:rFonts w:hint="eastAsia"/>
          <w:szCs w:val="21"/>
        </w:rPr>
        <w:t>0-</w:t>
      </w:r>
      <w:r>
        <w:rPr>
          <w:szCs w:val="21"/>
        </w:rPr>
        <w:t>GB/T1900</w:t>
      </w:r>
      <w:r>
        <w:rPr>
          <w:rFonts w:hint="eastAsia"/>
          <w:szCs w:val="21"/>
        </w:rPr>
        <w:t>0质量保证体系</w:t>
      </w:r>
      <w:r>
        <w:rPr>
          <w:szCs w:val="21"/>
        </w:rPr>
        <w:t xml:space="preserve">， </w:t>
      </w:r>
      <w:r>
        <w:rPr>
          <w:rFonts w:hint="eastAsia"/>
          <w:szCs w:val="21"/>
        </w:rPr>
        <w:t>该质量保证体系已经通过国家认证并在正常运转。</w:t>
      </w:r>
    </w:p>
    <w:p w14:paraId="35E2B97F">
      <w:pPr>
        <w:adjustRightInd w:val="0"/>
        <w:snapToGrid w:val="0"/>
        <w:spacing w:line="360" w:lineRule="auto"/>
        <w:ind w:firstLine="420" w:firstLineChars="200"/>
        <w:rPr>
          <w:szCs w:val="21"/>
        </w:rPr>
      </w:pPr>
      <w:r>
        <w:rPr>
          <w:rFonts w:hint="eastAsia"/>
          <w:szCs w:val="21"/>
        </w:rPr>
        <w:t>6）投标方所供的设备应可接入招标方机巡管理等相关系统进行实时定位监控，符合国家及招标方飞行动态数据管理、实时动态监控、安全管控、巡检航线任务执行等要求。</w:t>
      </w:r>
    </w:p>
    <w:p w14:paraId="55F2FBDA">
      <w:pPr>
        <w:pStyle w:val="3"/>
        <w:spacing w:before="0" w:after="0" w:line="360" w:lineRule="auto"/>
        <w:rPr>
          <w:rFonts w:ascii="Times New Roman" w:hAnsi="Times New Roman" w:eastAsia="黑体"/>
          <w:b w:val="0"/>
          <w:bCs/>
          <w:szCs w:val="21"/>
        </w:rPr>
      </w:pPr>
      <w:bookmarkStart w:id="189" w:name="_Toc229217294"/>
      <w:bookmarkStart w:id="190" w:name="_Toc23887"/>
      <w:bookmarkStart w:id="191" w:name="_Toc21661"/>
      <w:r>
        <w:rPr>
          <w:rFonts w:ascii="Times New Roman" w:hAnsi="Times New Roman" w:eastAsia="黑体"/>
          <w:b w:val="0"/>
          <w:bCs/>
          <w:szCs w:val="21"/>
        </w:rPr>
        <w:t xml:space="preserve">9.5 </w:t>
      </w:r>
      <w:r>
        <w:rPr>
          <w:rFonts w:hint="eastAsia" w:ascii="Times New Roman" w:hAnsi="Times New Roman" w:eastAsia="黑体"/>
          <w:b w:val="0"/>
          <w:bCs/>
          <w:szCs w:val="21"/>
        </w:rPr>
        <w:t>设备验收</w:t>
      </w:r>
      <w:bookmarkEnd w:id="189"/>
      <w:bookmarkEnd w:id="190"/>
      <w:bookmarkEnd w:id="191"/>
    </w:p>
    <w:p w14:paraId="65B4B54E">
      <w:pPr>
        <w:spacing w:line="360" w:lineRule="auto"/>
        <w:ind w:firstLine="420" w:firstLineChars="200"/>
        <w:jc w:val="left"/>
        <w:rPr>
          <w:rFonts w:hint="eastAsia" w:ascii="宋体" w:hAnsi="宋体" w:cs="宋体"/>
          <w:szCs w:val="21"/>
        </w:rPr>
      </w:pPr>
      <w:r>
        <w:rPr>
          <w:rFonts w:hint="eastAsia" w:ascii="宋体" w:hAnsi="宋体" w:cs="宋体"/>
          <w:szCs w:val="21"/>
        </w:rPr>
        <w:t>1）中标方应在合同规定时间内，将招标范围内所界定的工作完成，并将完整的成套设备及附件和技术文件通过双方认可的验收后，交付给采购的分子公司，其中包括：</w:t>
      </w:r>
    </w:p>
    <w:p w14:paraId="609C6CBE">
      <w:pPr>
        <w:spacing w:line="360" w:lineRule="auto"/>
        <w:ind w:firstLine="420" w:firstLineChars="200"/>
        <w:jc w:val="left"/>
        <w:rPr>
          <w:rFonts w:hint="eastAsia" w:ascii="宋体" w:hAnsi="宋体" w:cs="宋体"/>
          <w:szCs w:val="21"/>
        </w:rPr>
      </w:pPr>
      <w:r>
        <w:rPr>
          <w:rFonts w:hint="eastAsia" w:ascii="宋体" w:hAnsi="宋体" w:cs="宋体"/>
          <w:szCs w:val="21"/>
        </w:rPr>
        <w:t>a.满足本文件的项目目标和相应的技术要求、业务要求的完整的可最终良好运行的设备和附件；</w:t>
      </w:r>
    </w:p>
    <w:p w14:paraId="6C049514">
      <w:pPr>
        <w:spacing w:line="360" w:lineRule="auto"/>
        <w:ind w:left="630" w:leftChars="200" w:hanging="210" w:hangingChars="100"/>
        <w:jc w:val="left"/>
        <w:rPr>
          <w:rFonts w:hint="eastAsia" w:ascii="宋体" w:hAnsi="宋体" w:cs="宋体"/>
          <w:szCs w:val="21"/>
        </w:rPr>
      </w:pPr>
      <w:r>
        <w:rPr>
          <w:rFonts w:hint="eastAsia" w:ascii="宋体" w:hAnsi="宋体" w:cs="宋体"/>
          <w:szCs w:val="21"/>
        </w:rPr>
        <w:t>b.应包括但不限于满足确保设备正常运行所需的操作及维护有关的全套技术文件。</w:t>
      </w:r>
    </w:p>
    <w:p w14:paraId="06D81B3A">
      <w:pPr>
        <w:widowControl/>
        <w:tabs>
          <w:tab w:val="center" w:pos="4201"/>
          <w:tab w:val="right" w:leader="dot" w:pos="9298"/>
        </w:tabs>
        <w:autoSpaceDE w:val="0"/>
        <w:autoSpaceDN w:val="0"/>
        <w:snapToGrid w:val="0"/>
        <w:spacing w:line="20" w:lineRule="atLeast"/>
        <w:ind w:firstLine="420" w:firstLineChars="200"/>
        <w:jc w:val="left"/>
        <w:rPr>
          <w:rFonts w:hint="eastAsia" w:ascii="宋体" w:hAnsi="宋体"/>
          <w:sz w:val="2"/>
          <w:szCs w:val="2"/>
        </w:rPr>
      </w:pPr>
      <w:r>
        <w:rPr>
          <w:rFonts w:hint="eastAsia" w:ascii="宋体" w:hAnsi="宋体" w:cs="宋体"/>
        </w:rPr>
        <w:t>c.验收时若发现设备或附件存在由中标方造成的缺陷或不符合本技术条件要求时，中标方应无条件更换设备或附件。</w:t>
      </w:r>
    </w:p>
    <w:sectPr>
      <w:footerReference r:id="rId9"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ˎ̥">
    <w:altName w:val="Segoe Print"/>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长城仿宋">
    <w:altName w:val="仿宋"/>
    <w:panose1 w:val="00000000000000000000"/>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0000009F" w:csb1="0000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CAF89">
    <w:pPr>
      <w:pStyle w:val="36"/>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14:paraId="4736C195">
    <w:pPr>
      <w:pStyle w:val="3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B6192">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2</w:t>
    </w:r>
    <w:r>
      <w:rPr>
        <w:rStyle w:val="62"/>
      </w:rPr>
      <w:fldChar w:fldCharType="end"/>
    </w:r>
  </w:p>
  <w:p w14:paraId="351AEE37">
    <w:pPr>
      <w:pStyle w:val="3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FDBC5">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14:paraId="6CDEFE23">
    <w:pPr>
      <w:pStyle w:val="3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14:paraId="3565EDA4">
        <w:pPr>
          <w:pStyle w:val="36"/>
          <w:jc w:val="center"/>
        </w:pPr>
        <w:r>
          <w:fldChar w:fldCharType="begin"/>
        </w:r>
        <w:r>
          <w:instrText xml:space="preserve">PAGE   \* MERGEFORMAT</w:instrText>
        </w:r>
        <w:r>
          <w:fldChar w:fldCharType="separate"/>
        </w:r>
        <w:r>
          <w:rPr>
            <w:lang w:val="zh-CN"/>
          </w:rPr>
          <w:t>6</w:t>
        </w:r>
        <w:r>
          <w:fldChar w:fldCharType="end"/>
        </w:r>
      </w:p>
    </w:sdtContent>
  </w:sdt>
  <w:p w14:paraId="225A70D7">
    <w:pPr>
      <w:pStyle w:val="3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984F1">
    <w:pPr>
      <w:pStyle w:val="37"/>
      <w:outlineLvl w:val="8"/>
    </w:pPr>
    <w:r>
      <w:rPr>
        <w:rFonts w:hint="eastAsia"/>
      </w:rPr>
      <w:t>轻型高光效系留无人机技术规范书（通用部分）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57CA5">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617D2">
    <w:pPr>
      <w:pStyle w:val="37"/>
    </w:pPr>
    <w:r>
      <w:rPr>
        <w:rFonts w:hint="eastAsia"/>
      </w:rPr>
      <w:t>轻型高光效系留无人机技术规范书（通用部分）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D32518"/>
    <w:multiLevelType w:val="singleLevel"/>
    <w:tmpl w:val="D1D32518"/>
    <w:lvl w:ilvl="0" w:tentative="0">
      <w:start w:val="1"/>
      <w:numFmt w:val="lowerLetter"/>
      <w:lvlText w:val="%1）"/>
      <w:lvlJc w:val="left"/>
    </w:lvl>
  </w:abstractNum>
  <w:abstractNum w:abstractNumId="1">
    <w:nsid w:val="FFFFFF7F"/>
    <w:multiLevelType w:val="singleLevel"/>
    <w:tmpl w:val="FFFFFF7F"/>
    <w:lvl w:ilvl="0" w:tentative="0">
      <w:start w:val="1"/>
      <w:numFmt w:val="decimal"/>
      <w:pStyle w:val="12"/>
      <w:lvlText w:val="%1."/>
      <w:lvlJc w:val="left"/>
      <w:pPr>
        <w:tabs>
          <w:tab w:val="left" w:pos="780"/>
        </w:tabs>
        <w:ind w:left="780" w:leftChars="200" w:hanging="360" w:hangingChars="200"/>
      </w:pPr>
    </w:lvl>
  </w:abstractNum>
  <w:abstractNum w:abstractNumId="2">
    <w:nsid w:val="FFFFFF88"/>
    <w:multiLevelType w:val="singleLevel"/>
    <w:tmpl w:val="FFFFFF88"/>
    <w:lvl w:ilvl="0" w:tentative="0">
      <w:start w:val="1"/>
      <w:numFmt w:val="decimal"/>
      <w:pStyle w:val="15"/>
      <w:lvlText w:val="%1."/>
      <w:lvlJc w:val="left"/>
      <w:pPr>
        <w:tabs>
          <w:tab w:val="left" w:pos="3763"/>
        </w:tabs>
        <w:ind w:left="3763" w:hanging="360" w:hangingChars="200"/>
      </w:pPr>
    </w:lvl>
  </w:abstractNum>
  <w:abstractNum w:abstractNumId="3">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4">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4"/>
    <w:multiLevelType w:val="multilevel"/>
    <w:tmpl w:val="00000014"/>
    <w:lvl w:ilvl="0" w:tentative="0">
      <w:start w:val="1"/>
      <w:numFmt w:val="decimal"/>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6">
    <w:nsid w:val="00000015"/>
    <w:multiLevelType w:val="multilevel"/>
    <w:tmpl w:val="00000015"/>
    <w:lvl w:ilvl="0" w:tentative="0">
      <w:start w:val="1"/>
      <w:numFmt w:val="decimal"/>
      <w:lvlText w:val="%1"/>
      <w:lvlJc w:val="left"/>
      <w:pPr>
        <w:ind w:left="425" w:hanging="425"/>
      </w:pPr>
      <w:rPr>
        <w:rFonts w:hint="eastAsia"/>
        <w:sz w:val="21"/>
        <w:szCs w:val="21"/>
      </w:rPr>
    </w:lvl>
    <w:lvl w:ilvl="1" w:tentative="0">
      <w:start w:val="1"/>
      <w:numFmt w:val="decimal"/>
      <w:pStyle w:val="452"/>
      <w:lvlText w:val="%1.%2"/>
      <w:lvlJc w:val="left"/>
      <w:pPr>
        <w:ind w:left="567" w:hanging="425"/>
      </w:pPr>
      <w:rPr>
        <w:rFonts w:hint="eastAsia"/>
        <w:sz w:val="21"/>
        <w:szCs w:val="21"/>
      </w:rPr>
    </w:lvl>
    <w:lvl w:ilvl="2" w:tentative="0">
      <w:start w:val="1"/>
      <w:numFmt w:val="decimal"/>
      <w:lvlText w:val="%1.%2.%3"/>
      <w:lvlJc w:val="left"/>
      <w:pPr>
        <w:ind w:left="851" w:hanging="851"/>
      </w:pPr>
      <w:rPr>
        <w:rFonts w:hint="eastAsia"/>
        <w:sz w:val="21"/>
        <w:szCs w:val="21"/>
      </w:rPr>
    </w:lvl>
    <w:lvl w:ilvl="3" w:tentative="0">
      <w:start w:val="1"/>
      <w:numFmt w:val="decimal"/>
      <w:lvlText w:val="%1.%2.%3.%4"/>
      <w:lvlJc w:val="left"/>
      <w:pPr>
        <w:ind w:left="1276" w:hanging="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8">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0">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2">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3">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4">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5">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6">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8">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9">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0">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3D733618"/>
    <w:multiLevelType w:val="multilevel"/>
    <w:tmpl w:val="3D733618"/>
    <w:lvl w:ilvl="0" w:tentative="0">
      <w:start w:val="1"/>
      <w:numFmt w:val="decimal"/>
      <w:pStyle w:val="4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2">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4">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26">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7">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8">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31">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2">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5"/>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2"/>
  </w:num>
  <w:num w:numId="2">
    <w:abstractNumId w:val="1"/>
  </w:num>
  <w:num w:numId="3">
    <w:abstractNumId w:val="2"/>
  </w:num>
  <w:num w:numId="4">
    <w:abstractNumId w:val="3"/>
  </w:num>
  <w:num w:numId="5">
    <w:abstractNumId w:val="21"/>
  </w:num>
  <w:num w:numId="6">
    <w:abstractNumId w:val="18"/>
  </w:num>
  <w:num w:numId="7">
    <w:abstractNumId w:val="11"/>
  </w:num>
  <w:num w:numId="8">
    <w:abstractNumId w:val="9"/>
  </w:num>
  <w:num w:numId="9">
    <w:abstractNumId w:val="24"/>
  </w:num>
  <w:num w:numId="10">
    <w:abstractNumId w:val="16"/>
  </w:num>
  <w:num w:numId="11">
    <w:abstractNumId w:val="14"/>
  </w:num>
  <w:num w:numId="12">
    <w:abstractNumId w:val="29"/>
  </w:num>
  <w:num w:numId="13">
    <w:abstractNumId w:val="27"/>
  </w:num>
  <w:num w:numId="14">
    <w:abstractNumId w:val="31"/>
  </w:num>
  <w:num w:numId="15">
    <w:abstractNumId w:val="17"/>
  </w:num>
  <w:num w:numId="16">
    <w:abstractNumId w:val="26"/>
  </w:num>
  <w:num w:numId="17">
    <w:abstractNumId w:val="10"/>
  </w:num>
  <w:num w:numId="18">
    <w:abstractNumId w:val="23"/>
  </w:num>
  <w:num w:numId="19">
    <w:abstractNumId w:val="28"/>
  </w:num>
  <w:num w:numId="20">
    <w:abstractNumId w:val="30"/>
  </w:num>
  <w:num w:numId="21">
    <w:abstractNumId w:val="25"/>
  </w:num>
  <w:num w:numId="22">
    <w:abstractNumId w:val="7"/>
  </w:num>
  <w:num w:numId="23">
    <w:abstractNumId w:val="13"/>
  </w:num>
  <w:num w:numId="24">
    <w:abstractNumId w:val="8"/>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4"/>
  </w:num>
  <w:num w:numId="31">
    <w:abstractNumId w:val="6"/>
  </w:num>
  <w:num w:numId="32">
    <w:abstractNumId w:val="0"/>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014E1"/>
    <w:rsid w:val="00004757"/>
    <w:rsid w:val="0001141F"/>
    <w:rsid w:val="00022BC9"/>
    <w:rsid w:val="000263F3"/>
    <w:rsid w:val="000330D5"/>
    <w:rsid w:val="00036675"/>
    <w:rsid w:val="000406CD"/>
    <w:rsid w:val="000454E9"/>
    <w:rsid w:val="0005317E"/>
    <w:rsid w:val="00062943"/>
    <w:rsid w:val="00065403"/>
    <w:rsid w:val="0006624D"/>
    <w:rsid w:val="00066E8B"/>
    <w:rsid w:val="0007012F"/>
    <w:rsid w:val="00073D69"/>
    <w:rsid w:val="00075737"/>
    <w:rsid w:val="00075B71"/>
    <w:rsid w:val="0007661F"/>
    <w:rsid w:val="00083BA3"/>
    <w:rsid w:val="00091372"/>
    <w:rsid w:val="0009630E"/>
    <w:rsid w:val="000B0DA2"/>
    <w:rsid w:val="000B3B04"/>
    <w:rsid w:val="000C0420"/>
    <w:rsid w:val="000C7FF6"/>
    <w:rsid w:val="000D07D9"/>
    <w:rsid w:val="000D494A"/>
    <w:rsid w:val="000E0721"/>
    <w:rsid w:val="000E0F43"/>
    <w:rsid w:val="000E120E"/>
    <w:rsid w:val="000E53A3"/>
    <w:rsid w:val="000F0E79"/>
    <w:rsid w:val="000F4FA6"/>
    <w:rsid w:val="001014E1"/>
    <w:rsid w:val="00105D9C"/>
    <w:rsid w:val="00106C86"/>
    <w:rsid w:val="00110C50"/>
    <w:rsid w:val="00114F96"/>
    <w:rsid w:val="00117DAA"/>
    <w:rsid w:val="0014399F"/>
    <w:rsid w:val="00165A5B"/>
    <w:rsid w:val="00182A1B"/>
    <w:rsid w:val="001901EA"/>
    <w:rsid w:val="00192EF9"/>
    <w:rsid w:val="001946A1"/>
    <w:rsid w:val="0019708E"/>
    <w:rsid w:val="001A1D16"/>
    <w:rsid w:val="001C424E"/>
    <w:rsid w:val="001D0189"/>
    <w:rsid w:val="001E10B8"/>
    <w:rsid w:val="001F71EB"/>
    <w:rsid w:val="002005D0"/>
    <w:rsid w:val="002027D6"/>
    <w:rsid w:val="002044C9"/>
    <w:rsid w:val="002101BA"/>
    <w:rsid w:val="00227D89"/>
    <w:rsid w:val="00235C57"/>
    <w:rsid w:val="00246C26"/>
    <w:rsid w:val="00252B17"/>
    <w:rsid w:val="002650A9"/>
    <w:rsid w:val="0029334C"/>
    <w:rsid w:val="002B6C4E"/>
    <w:rsid w:val="002C784E"/>
    <w:rsid w:val="002D7FB3"/>
    <w:rsid w:val="002E646C"/>
    <w:rsid w:val="002E7690"/>
    <w:rsid w:val="002F1A5C"/>
    <w:rsid w:val="002F34E6"/>
    <w:rsid w:val="00300A42"/>
    <w:rsid w:val="003026D9"/>
    <w:rsid w:val="00304806"/>
    <w:rsid w:val="00310E29"/>
    <w:rsid w:val="0031283B"/>
    <w:rsid w:val="00316AD4"/>
    <w:rsid w:val="00320674"/>
    <w:rsid w:val="00324E79"/>
    <w:rsid w:val="00333EC9"/>
    <w:rsid w:val="00342AA0"/>
    <w:rsid w:val="00354281"/>
    <w:rsid w:val="00366D72"/>
    <w:rsid w:val="00372C5D"/>
    <w:rsid w:val="0038584C"/>
    <w:rsid w:val="003A686D"/>
    <w:rsid w:val="003B7C3F"/>
    <w:rsid w:val="003C59B0"/>
    <w:rsid w:val="003D79DF"/>
    <w:rsid w:val="003F79C5"/>
    <w:rsid w:val="0040271C"/>
    <w:rsid w:val="00405A29"/>
    <w:rsid w:val="00414F67"/>
    <w:rsid w:val="00423285"/>
    <w:rsid w:val="004312C3"/>
    <w:rsid w:val="00435272"/>
    <w:rsid w:val="00440743"/>
    <w:rsid w:val="004451B7"/>
    <w:rsid w:val="00455882"/>
    <w:rsid w:val="00466526"/>
    <w:rsid w:val="0049649C"/>
    <w:rsid w:val="00496C03"/>
    <w:rsid w:val="00497DF3"/>
    <w:rsid w:val="004A5565"/>
    <w:rsid w:val="004B1EFC"/>
    <w:rsid w:val="004B3196"/>
    <w:rsid w:val="004B3F99"/>
    <w:rsid w:val="004C583E"/>
    <w:rsid w:val="004C7FB9"/>
    <w:rsid w:val="004E44E7"/>
    <w:rsid w:val="004F269B"/>
    <w:rsid w:val="004F6BA4"/>
    <w:rsid w:val="00501951"/>
    <w:rsid w:val="0050274F"/>
    <w:rsid w:val="005111F0"/>
    <w:rsid w:val="00517F33"/>
    <w:rsid w:val="00524C30"/>
    <w:rsid w:val="00526ECB"/>
    <w:rsid w:val="005550B8"/>
    <w:rsid w:val="005562D0"/>
    <w:rsid w:val="00556EB6"/>
    <w:rsid w:val="00573A1E"/>
    <w:rsid w:val="00581BFB"/>
    <w:rsid w:val="00583D17"/>
    <w:rsid w:val="00590CDB"/>
    <w:rsid w:val="00594663"/>
    <w:rsid w:val="005B4370"/>
    <w:rsid w:val="005B76C7"/>
    <w:rsid w:val="005C61CC"/>
    <w:rsid w:val="005D0610"/>
    <w:rsid w:val="005D0FB4"/>
    <w:rsid w:val="005D12C6"/>
    <w:rsid w:val="005D2E49"/>
    <w:rsid w:val="005D6366"/>
    <w:rsid w:val="005D77CC"/>
    <w:rsid w:val="005E33BF"/>
    <w:rsid w:val="005E4648"/>
    <w:rsid w:val="005E4C4B"/>
    <w:rsid w:val="005F1287"/>
    <w:rsid w:val="005F7CCC"/>
    <w:rsid w:val="00607930"/>
    <w:rsid w:val="00607B7D"/>
    <w:rsid w:val="006126F4"/>
    <w:rsid w:val="00613DA8"/>
    <w:rsid w:val="006148CE"/>
    <w:rsid w:val="00623AC4"/>
    <w:rsid w:val="0063510B"/>
    <w:rsid w:val="00635A9A"/>
    <w:rsid w:val="00662FB2"/>
    <w:rsid w:val="0067034B"/>
    <w:rsid w:val="00683373"/>
    <w:rsid w:val="00696E4F"/>
    <w:rsid w:val="006B420F"/>
    <w:rsid w:val="006B566B"/>
    <w:rsid w:val="006B570F"/>
    <w:rsid w:val="006B761E"/>
    <w:rsid w:val="006B78F0"/>
    <w:rsid w:val="006D30EB"/>
    <w:rsid w:val="006D4D03"/>
    <w:rsid w:val="006D5F55"/>
    <w:rsid w:val="006F4C5E"/>
    <w:rsid w:val="006F63B3"/>
    <w:rsid w:val="00700A7D"/>
    <w:rsid w:val="00722405"/>
    <w:rsid w:val="00732E12"/>
    <w:rsid w:val="00742382"/>
    <w:rsid w:val="0074278E"/>
    <w:rsid w:val="00762751"/>
    <w:rsid w:val="00763D16"/>
    <w:rsid w:val="0077359E"/>
    <w:rsid w:val="007741D2"/>
    <w:rsid w:val="00795748"/>
    <w:rsid w:val="007C099B"/>
    <w:rsid w:val="007C1493"/>
    <w:rsid w:val="007C2D44"/>
    <w:rsid w:val="007C6D1A"/>
    <w:rsid w:val="007D0F01"/>
    <w:rsid w:val="007D6EE2"/>
    <w:rsid w:val="007E6F66"/>
    <w:rsid w:val="007F1334"/>
    <w:rsid w:val="007F6693"/>
    <w:rsid w:val="00804B30"/>
    <w:rsid w:val="00826C56"/>
    <w:rsid w:val="00827F61"/>
    <w:rsid w:val="0083373F"/>
    <w:rsid w:val="00843848"/>
    <w:rsid w:val="0084452F"/>
    <w:rsid w:val="00847F5E"/>
    <w:rsid w:val="0087435E"/>
    <w:rsid w:val="00887145"/>
    <w:rsid w:val="00896306"/>
    <w:rsid w:val="008965AF"/>
    <w:rsid w:val="008A3860"/>
    <w:rsid w:val="008A666B"/>
    <w:rsid w:val="008B7582"/>
    <w:rsid w:val="008E316A"/>
    <w:rsid w:val="008E4620"/>
    <w:rsid w:val="008E5EBC"/>
    <w:rsid w:val="008F044C"/>
    <w:rsid w:val="008F38AE"/>
    <w:rsid w:val="009039B0"/>
    <w:rsid w:val="009047A9"/>
    <w:rsid w:val="00907262"/>
    <w:rsid w:val="0090759A"/>
    <w:rsid w:val="009118A6"/>
    <w:rsid w:val="00911C44"/>
    <w:rsid w:val="00913A19"/>
    <w:rsid w:val="009225B6"/>
    <w:rsid w:val="00922EBB"/>
    <w:rsid w:val="0092390F"/>
    <w:rsid w:val="00924AC8"/>
    <w:rsid w:val="00927867"/>
    <w:rsid w:val="009279E5"/>
    <w:rsid w:val="0093077A"/>
    <w:rsid w:val="009345DB"/>
    <w:rsid w:val="0093478B"/>
    <w:rsid w:val="00934896"/>
    <w:rsid w:val="00942BD5"/>
    <w:rsid w:val="00955B87"/>
    <w:rsid w:val="00976C50"/>
    <w:rsid w:val="00980AF8"/>
    <w:rsid w:val="00981BA3"/>
    <w:rsid w:val="009853E4"/>
    <w:rsid w:val="009869D0"/>
    <w:rsid w:val="0099174E"/>
    <w:rsid w:val="00991FFE"/>
    <w:rsid w:val="00994E41"/>
    <w:rsid w:val="0099659E"/>
    <w:rsid w:val="00997986"/>
    <w:rsid w:val="009A066D"/>
    <w:rsid w:val="009A1254"/>
    <w:rsid w:val="009A5174"/>
    <w:rsid w:val="009C0B7A"/>
    <w:rsid w:val="009C2F85"/>
    <w:rsid w:val="009C3250"/>
    <w:rsid w:val="009C5708"/>
    <w:rsid w:val="009C7A47"/>
    <w:rsid w:val="009D0A63"/>
    <w:rsid w:val="009E0653"/>
    <w:rsid w:val="009E136D"/>
    <w:rsid w:val="009E2451"/>
    <w:rsid w:val="009E2590"/>
    <w:rsid w:val="009E3359"/>
    <w:rsid w:val="009E78CC"/>
    <w:rsid w:val="009F43BB"/>
    <w:rsid w:val="00A15F72"/>
    <w:rsid w:val="00A163F6"/>
    <w:rsid w:val="00A3191C"/>
    <w:rsid w:val="00A42682"/>
    <w:rsid w:val="00A45643"/>
    <w:rsid w:val="00A50669"/>
    <w:rsid w:val="00A53839"/>
    <w:rsid w:val="00A67DF9"/>
    <w:rsid w:val="00A7143E"/>
    <w:rsid w:val="00A74544"/>
    <w:rsid w:val="00A77A18"/>
    <w:rsid w:val="00A81E5B"/>
    <w:rsid w:val="00AA0029"/>
    <w:rsid w:val="00AA0F83"/>
    <w:rsid w:val="00AA1228"/>
    <w:rsid w:val="00AA1C07"/>
    <w:rsid w:val="00AA23E7"/>
    <w:rsid w:val="00AA6450"/>
    <w:rsid w:val="00AA6BF7"/>
    <w:rsid w:val="00AB245B"/>
    <w:rsid w:val="00AB25AA"/>
    <w:rsid w:val="00AB3975"/>
    <w:rsid w:val="00AC16D1"/>
    <w:rsid w:val="00AC2D5F"/>
    <w:rsid w:val="00AC49A8"/>
    <w:rsid w:val="00AC4AB0"/>
    <w:rsid w:val="00AE2D2E"/>
    <w:rsid w:val="00B15B81"/>
    <w:rsid w:val="00B240A2"/>
    <w:rsid w:val="00B30138"/>
    <w:rsid w:val="00B3202A"/>
    <w:rsid w:val="00B44B9B"/>
    <w:rsid w:val="00B559E2"/>
    <w:rsid w:val="00B55B88"/>
    <w:rsid w:val="00B73A7B"/>
    <w:rsid w:val="00B870EF"/>
    <w:rsid w:val="00B87934"/>
    <w:rsid w:val="00B91207"/>
    <w:rsid w:val="00B9260F"/>
    <w:rsid w:val="00B94A17"/>
    <w:rsid w:val="00BA3534"/>
    <w:rsid w:val="00BB6896"/>
    <w:rsid w:val="00BC245D"/>
    <w:rsid w:val="00BC35B8"/>
    <w:rsid w:val="00BD7615"/>
    <w:rsid w:val="00BF0409"/>
    <w:rsid w:val="00BF3B1D"/>
    <w:rsid w:val="00BF6FF2"/>
    <w:rsid w:val="00C02649"/>
    <w:rsid w:val="00C05007"/>
    <w:rsid w:val="00C16D98"/>
    <w:rsid w:val="00C175FC"/>
    <w:rsid w:val="00C37748"/>
    <w:rsid w:val="00C412C7"/>
    <w:rsid w:val="00C4167F"/>
    <w:rsid w:val="00C419D7"/>
    <w:rsid w:val="00C43A3C"/>
    <w:rsid w:val="00C51F28"/>
    <w:rsid w:val="00C738B0"/>
    <w:rsid w:val="00C764F9"/>
    <w:rsid w:val="00C81C7C"/>
    <w:rsid w:val="00C857F1"/>
    <w:rsid w:val="00C91C66"/>
    <w:rsid w:val="00CA2C59"/>
    <w:rsid w:val="00CA5C7B"/>
    <w:rsid w:val="00CB2ED6"/>
    <w:rsid w:val="00CD4712"/>
    <w:rsid w:val="00CF095F"/>
    <w:rsid w:val="00CF1575"/>
    <w:rsid w:val="00D00FAF"/>
    <w:rsid w:val="00D121F6"/>
    <w:rsid w:val="00D13237"/>
    <w:rsid w:val="00D1747E"/>
    <w:rsid w:val="00D20838"/>
    <w:rsid w:val="00D214B5"/>
    <w:rsid w:val="00D2157E"/>
    <w:rsid w:val="00D316C1"/>
    <w:rsid w:val="00D431DD"/>
    <w:rsid w:val="00D546DD"/>
    <w:rsid w:val="00D54D31"/>
    <w:rsid w:val="00D557AE"/>
    <w:rsid w:val="00D76F40"/>
    <w:rsid w:val="00D81C65"/>
    <w:rsid w:val="00D83A32"/>
    <w:rsid w:val="00D85F8D"/>
    <w:rsid w:val="00D9108D"/>
    <w:rsid w:val="00D926A1"/>
    <w:rsid w:val="00D92FF6"/>
    <w:rsid w:val="00D933D1"/>
    <w:rsid w:val="00D9703F"/>
    <w:rsid w:val="00DA266B"/>
    <w:rsid w:val="00DA4316"/>
    <w:rsid w:val="00DB463E"/>
    <w:rsid w:val="00DC42C4"/>
    <w:rsid w:val="00DC6408"/>
    <w:rsid w:val="00DD12D1"/>
    <w:rsid w:val="00DE0228"/>
    <w:rsid w:val="00DE3CBA"/>
    <w:rsid w:val="00DE4FA6"/>
    <w:rsid w:val="00DE614A"/>
    <w:rsid w:val="00DF0266"/>
    <w:rsid w:val="00DF143F"/>
    <w:rsid w:val="00DF7D20"/>
    <w:rsid w:val="00E013FC"/>
    <w:rsid w:val="00E10DA4"/>
    <w:rsid w:val="00E12837"/>
    <w:rsid w:val="00E13969"/>
    <w:rsid w:val="00E170E8"/>
    <w:rsid w:val="00E24699"/>
    <w:rsid w:val="00E36EBF"/>
    <w:rsid w:val="00E43633"/>
    <w:rsid w:val="00E5249C"/>
    <w:rsid w:val="00E55C68"/>
    <w:rsid w:val="00E60D7D"/>
    <w:rsid w:val="00E6130B"/>
    <w:rsid w:val="00E8537D"/>
    <w:rsid w:val="00EA25D5"/>
    <w:rsid w:val="00EB715D"/>
    <w:rsid w:val="00EC2BA8"/>
    <w:rsid w:val="00EE5EBF"/>
    <w:rsid w:val="00EE72E1"/>
    <w:rsid w:val="00EF2397"/>
    <w:rsid w:val="00EF5C23"/>
    <w:rsid w:val="00F124B1"/>
    <w:rsid w:val="00F209E3"/>
    <w:rsid w:val="00F20B90"/>
    <w:rsid w:val="00F2203D"/>
    <w:rsid w:val="00F23D57"/>
    <w:rsid w:val="00F30954"/>
    <w:rsid w:val="00F33579"/>
    <w:rsid w:val="00F52CE9"/>
    <w:rsid w:val="00F63748"/>
    <w:rsid w:val="00F664EB"/>
    <w:rsid w:val="00F80315"/>
    <w:rsid w:val="00F8487D"/>
    <w:rsid w:val="00F85343"/>
    <w:rsid w:val="00F860FB"/>
    <w:rsid w:val="00F87738"/>
    <w:rsid w:val="00F92C8A"/>
    <w:rsid w:val="00FA1F0E"/>
    <w:rsid w:val="00FB1E51"/>
    <w:rsid w:val="00FB6D46"/>
    <w:rsid w:val="00FC21BC"/>
    <w:rsid w:val="00FC5D6B"/>
    <w:rsid w:val="00FC70EC"/>
    <w:rsid w:val="00FD323B"/>
    <w:rsid w:val="00FF044D"/>
    <w:rsid w:val="00FF430C"/>
    <w:rsid w:val="00FF7EAF"/>
    <w:rsid w:val="01E142BF"/>
    <w:rsid w:val="029F1B50"/>
    <w:rsid w:val="02D85CD0"/>
    <w:rsid w:val="03217B55"/>
    <w:rsid w:val="0323032B"/>
    <w:rsid w:val="03341A8A"/>
    <w:rsid w:val="03571091"/>
    <w:rsid w:val="05993571"/>
    <w:rsid w:val="05B120C2"/>
    <w:rsid w:val="05D17F7F"/>
    <w:rsid w:val="063704B1"/>
    <w:rsid w:val="065019DC"/>
    <w:rsid w:val="06E97165"/>
    <w:rsid w:val="0732492C"/>
    <w:rsid w:val="073D4236"/>
    <w:rsid w:val="084F2E8D"/>
    <w:rsid w:val="085B36B1"/>
    <w:rsid w:val="08A02C69"/>
    <w:rsid w:val="08A41184"/>
    <w:rsid w:val="08D6478F"/>
    <w:rsid w:val="093B7E5E"/>
    <w:rsid w:val="098C2B7B"/>
    <w:rsid w:val="09DB3207"/>
    <w:rsid w:val="0A1F71CE"/>
    <w:rsid w:val="0A5903EC"/>
    <w:rsid w:val="0AAF10FD"/>
    <w:rsid w:val="0AEB5310"/>
    <w:rsid w:val="0B62753A"/>
    <w:rsid w:val="0B64569E"/>
    <w:rsid w:val="0BB72438"/>
    <w:rsid w:val="0BB95E74"/>
    <w:rsid w:val="0CD028C8"/>
    <w:rsid w:val="0D1B342A"/>
    <w:rsid w:val="0D5C4E50"/>
    <w:rsid w:val="0D886883"/>
    <w:rsid w:val="0D923F0A"/>
    <w:rsid w:val="0E2A7E0F"/>
    <w:rsid w:val="0E853D73"/>
    <w:rsid w:val="0E941A03"/>
    <w:rsid w:val="0E965C31"/>
    <w:rsid w:val="0EC81BD1"/>
    <w:rsid w:val="0F986C50"/>
    <w:rsid w:val="0FB20FE0"/>
    <w:rsid w:val="103C5FE2"/>
    <w:rsid w:val="106B2580"/>
    <w:rsid w:val="10D123CD"/>
    <w:rsid w:val="11763776"/>
    <w:rsid w:val="11AA3420"/>
    <w:rsid w:val="11CE5EAA"/>
    <w:rsid w:val="1202500A"/>
    <w:rsid w:val="122A61B9"/>
    <w:rsid w:val="12600D6D"/>
    <w:rsid w:val="12BE5DCE"/>
    <w:rsid w:val="12DE1EBF"/>
    <w:rsid w:val="13345DE9"/>
    <w:rsid w:val="13551C50"/>
    <w:rsid w:val="13BC146C"/>
    <w:rsid w:val="14717675"/>
    <w:rsid w:val="151E1FA2"/>
    <w:rsid w:val="154676C6"/>
    <w:rsid w:val="1557408A"/>
    <w:rsid w:val="15EE5E19"/>
    <w:rsid w:val="15F119AD"/>
    <w:rsid w:val="16161900"/>
    <w:rsid w:val="16422B9A"/>
    <w:rsid w:val="168667C2"/>
    <w:rsid w:val="16C51013"/>
    <w:rsid w:val="16DF0DFB"/>
    <w:rsid w:val="176D2108"/>
    <w:rsid w:val="177477F9"/>
    <w:rsid w:val="17B103C8"/>
    <w:rsid w:val="17B74452"/>
    <w:rsid w:val="17BF0ACA"/>
    <w:rsid w:val="17D84B0F"/>
    <w:rsid w:val="180A1CE8"/>
    <w:rsid w:val="19CA7C5E"/>
    <w:rsid w:val="19E1538A"/>
    <w:rsid w:val="1AD75285"/>
    <w:rsid w:val="1ADB749B"/>
    <w:rsid w:val="1B2E11D7"/>
    <w:rsid w:val="1C0202A6"/>
    <w:rsid w:val="1C282170"/>
    <w:rsid w:val="1C516953"/>
    <w:rsid w:val="1CAF43EA"/>
    <w:rsid w:val="1CC96E50"/>
    <w:rsid w:val="1D7671EF"/>
    <w:rsid w:val="1DF11734"/>
    <w:rsid w:val="1EE305D1"/>
    <w:rsid w:val="1F9A42FC"/>
    <w:rsid w:val="20216D23"/>
    <w:rsid w:val="203D5583"/>
    <w:rsid w:val="204A02A8"/>
    <w:rsid w:val="20A3401D"/>
    <w:rsid w:val="21851EDD"/>
    <w:rsid w:val="21E7529B"/>
    <w:rsid w:val="22C91F18"/>
    <w:rsid w:val="23512729"/>
    <w:rsid w:val="23863CED"/>
    <w:rsid w:val="238A3A61"/>
    <w:rsid w:val="23B1799A"/>
    <w:rsid w:val="249843DE"/>
    <w:rsid w:val="264A094A"/>
    <w:rsid w:val="26E46B93"/>
    <w:rsid w:val="271C56D8"/>
    <w:rsid w:val="27494ED1"/>
    <w:rsid w:val="276C0EEB"/>
    <w:rsid w:val="27C15702"/>
    <w:rsid w:val="28200983"/>
    <w:rsid w:val="284F054C"/>
    <w:rsid w:val="285275E8"/>
    <w:rsid w:val="28C037FD"/>
    <w:rsid w:val="29641AD1"/>
    <w:rsid w:val="29D47539"/>
    <w:rsid w:val="29E2706C"/>
    <w:rsid w:val="2A3119E5"/>
    <w:rsid w:val="2A9B7F19"/>
    <w:rsid w:val="2AA40A22"/>
    <w:rsid w:val="2ACD5484"/>
    <w:rsid w:val="2B4F2AAC"/>
    <w:rsid w:val="2BB07175"/>
    <w:rsid w:val="2BFE40AE"/>
    <w:rsid w:val="2C5069BA"/>
    <w:rsid w:val="2C6C7D95"/>
    <w:rsid w:val="2C876F1D"/>
    <w:rsid w:val="2D303E35"/>
    <w:rsid w:val="2D921CB7"/>
    <w:rsid w:val="2DB6793F"/>
    <w:rsid w:val="2E21074A"/>
    <w:rsid w:val="2E245E99"/>
    <w:rsid w:val="2E3654DC"/>
    <w:rsid w:val="2E4538A7"/>
    <w:rsid w:val="2E487E15"/>
    <w:rsid w:val="2E526349"/>
    <w:rsid w:val="2F876E0B"/>
    <w:rsid w:val="2FAF1CBA"/>
    <w:rsid w:val="2FCF39FA"/>
    <w:rsid w:val="3055446E"/>
    <w:rsid w:val="30D23EA1"/>
    <w:rsid w:val="30DB6B67"/>
    <w:rsid w:val="30E13A9D"/>
    <w:rsid w:val="31092EFB"/>
    <w:rsid w:val="314459DC"/>
    <w:rsid w:val="314B20D2"/>
    <w:rsid w:val="31583180"/>
    <w:rsid w:val="31783438"/>
    <w:rsid w:val="33567FD8"/>
    <w:rsid w:val="33B91941"/>
    <w:rsid w:val="34563252"/>
    <w:rsid w:val="367F4771"/>
    <w:rsid w:val="36AC5113"/>
    <w:rsid w:val="36B655C5"/>
    <w:rsid w:val="37311481"/>
    <w:rsid w:val="374750E9"/>
    <w:rsid w:val="38174D54"/>
    <w:rsid w:val="3850267B"/>
    <w:rsid w:val="38775208"/>
    <w:rsid w:val="39246858"/>
    <w:rsid w:val="39355DE8"/>
    <w:rsid w:val="39417EA8"/>
    <w:rsid w:val="39E6796D"/>
    <w:rsid w:val="3A39451B"/>
    <w:rsid w:val="3A5D7BEB"/>
    <w:rsid w:val="3A8D3F59"/>
    <w:rsid w:val="3ABF1E22"/>
    <w:rsid w:val="3AFC6AA1"/>
    <w:rsid w:val="3B6E7EA5"/>
    <w:rsid w:val="3B833376"/>
    <w:rsid w:val="3C491113"/>
    <w:rsid w:val="3C614E61"/>
    <w:rsid w:val="3C646ED6"/>
    <w:rsid w:val="3CAD2B1E"/>
    <w:rsid w:val="3D80608A"/>
    <w:rsid w:val="3D8F5E13"/>
    <w:rsid w:val="3DA855F0"/>
    <w:rsid w:val="3DDE74ED"/>
    <w:rsid w:val="3E6333DC"/>
    <w:rsid w:val="3E8D7AD0"/>
    <w:rsid w:val="3EB053C8"/>
    <w:rsid w:val="3FFF1571"/>
    <w:rsid w:val="40425005"/>
    <w:rsid w:val="40CD57A3"/>
    <w:rsid w:val="413B6A9C"/>
    <w:rsid w:val="41A75074"/>
    <w:rsid w:val="41D80E67"/>
    <w:rsid w:val="42013932"/>
    <w:rsid w:val="423559AB"/>
    <w:rsid w:val="43AE16F4"/>
    <w:rsid w:val="43DB1093"/>
    <w:rsid w:val="44E0101F"/>
    <w:rsid w:val="44FB78A9"/>
    <w:rsid w:val="44FF7003"/>
    <w:rsid w:val="454E16BF"/>
    <w:rsid w:val="45882CEA"/>
    <w:rsid w:val="459238EC"/>
    <w:rsid w:val="4603113E"/>
    <w:rsid w:val="46AC65D6"/>
    <w:rsid w:val="46F2073D"/>
    <w:rsid w:val="47630C85"/>
    <w:rsid w:val="476F1AD2"/>
    <w:rsid w:val="47A05873"/>
    <w:rsid w:val="47BF410C"/>
    <w:rsid w:val="47FC7EFD"/>
    <w:rsid w:val="47FF3D8A"/>
    <w:rsid w:val="481B29F2"/>
    <w:rsid w:val="48571022"/>
    <w:rsid w:val="485D508A"/>
    <w:rsid w:val="48714C78"/>
    <w:rsid w:val="48842CB5"/>
    <w:rsid w:val="4885410E"/>
    <w:rsid w:val="48B94B63"/>
    <w:rsid w:val="494123B1"/>
    <w:rsid w:val="4A366994"/>
    <w:rsid w:val="4A5C032F"/>
    <w:rsid w:val="4AB337D6"/>
    <w:rsid w:val="4B297F9B"/>
    <w:rsid w:val="4B330F70"/>
    <w:rsid w:val="4B43150A"/>
    <w:rsid w:val="4B9A5AE5"/>
    <w:rsid w:val="4BB85DEB"/>
    <w:rsid w:val="4BC80B0C"/>
    <w:rsid w:val="4BE1052B"/>
    <w:rsid w:val="4BF330B8"/>
    <w:rsid w:val="4C544FD1"/>
    <w:rsid w:val="4C852A54"/>
    <w:rsid w:val="4C971150"/>
    <w:rsid w:val="4D6B16DA"/>
    <w:rsid w:val="4D802306"/>
    <w:rsid w:val="4D80575E"/>
    <w:rsid w:val="4D9D3C7E"/>
    <w:rsid w:val="4DF74CEE"/>
    <w:rsid w:val="4E382B88"/>
    <w:rsid w:val="4E520189"/>
    <w:rsid w:val="4EA869BD"/>
    <w:rsid w:val="4ED11355"/>
    <w:rsid w:val="4F954625"/>
    <w:rsid w:val="503E2860"/>
    <w:rsid w:val="5091072F"/>
    <w:rsid w:val="516F09B6"/>
    <w:rsid w:val="519A5ED2"/>
    <w:rsid w:val="51BB0830"/>
    <w:rsid w:val="51D23F1D"/>
    <w:rsid w:val="51DA398B"/>
    <w:rsid w:val="525434C6"/>
    <w:rsid w:val="527640EF"/>
    <w:rsid w:val="52B72988"/>
    <w:rsid w:val="52D23F0A"/>
    <w:rsid w:val="52E70C6A"/>
    <w:rsid w:val="532208E1"/>
    <w:rsid w:val="532979BA"/>
    <w:rsid w:val="534C2062"/>
    <w:rsid w:val="53600ABC"/>
    <w:rsid w:val="537F15EB"/>
    <w:rsid w:val="53DE1CD8"/>
    <w:rsid w:val="54363555"/>
    <w:rsid w:val="54E770DC"/>
    <w:rsid w:val="552558DD"/>
    <w:rsid w:val="556F44C2"/>
    <w:rsid w:val="55CE557F"/>
    <w:rsid w:val="55E40C90"/>
    <w:rsid w:val="560B22E6"/>
    <w:rsid w:val="563444D6"/>
    <w:rsid w:val="56891C6B"/>
    <w:rsid w:val="56B97997"/>
    <w:rsid w:val="570365C4"/>
    <w:rsid w:val="57060082"/>
    <w:rsid w:val="574474B6"/>
    <w:rsid w:val="576B41D2"/>
    <w:rsid w:val="579E24E3"/>
    <w:rsid w:val="590B5B88"/>
    <w:rsid w:val="59ED4FE7"/>
    <w:rsid w:val="5A5D05FC"/>
    <w:rsid w:val="5AC36BC5"/>
    <w:rsid w:val="5AC63E1F"/>
    <w:rsid w:val="5AD46BC2"/>
    <w:rsid w:val="5B1E248F"/>
    <w:rsid w:val="5B2751ED"/>
    <w:rsid w:val="5B4342F6"/>
    <w:rsid w:val="5C651EB1"/>
    <w:rsid w:val="5C7B0F63"/>
    <w:rsid w:val="5CAE3391"/>
    <w:rsid w:val="5DCA7B72"/>
    <w:rsid w:val="5DE00E55"/>
    <w:rsid w:val="5E1F54F4"/>
    <w:rsid w:val="5F5F65C0"/>
    <w:rsid w:val="5F7B2BB2"/>
    <w:rsid w:val="5F8E6ECA"/>
    <w:rsid w:val="5FA85AEC"/>
    <w:rsid w:val="60525445"/>
    <w:rsid w:val="607344EC"/>
    <w:rsid w:val="60C33D90"/>
    <w:rsid w:val="613A0C69"/>
    <w:rsid w:val="617E451D"/>
    <w:rsid w:val="61FD3181"/>
    <w:rsid w:val="62042942"/>
    <w:rsid w:val="62847485"/>
    <w:rsid w:val="62B25F0D"/>
    <w:rsid w:val="62CE433B"/>
    <w:rsid w:val="636F5846"/>
    <w:rsid w:val="638A1A8C"/>
    <w:rsid w:val="63EE4A68"/>
    <w:rsid w:val="649C5530"/>
    <w:rsid w:val="64AF3298"/>
    <w:rsid w:val="64B7773D"/>
    <w:rsid w:val="64EB6B26"/>
    <w:rsid w:val="655B1B6E"/>
    <w:rsid w:val="65A469D1"/>
    <w:rsid w:val="65BD7C07"/>
    <w:rsid w:val="65ED4F2A"/>
    <w:rsid w:val="65F647F4"/>
    <w:rsid w:val="666D4068"/>
    <w:rsid w:val="66B35EF8"/>
    <w:rsid w:val="672B633E"/>
    <w:rsid w:val="674041D4"/>
    <w:rsid w:val="6773145F"/>
    <w:rsid w:val="6796433E"/>
    <w:rsid w:val="67C033E3"/>
    <w:rsid w:val="67DD453C"/>
    <w:rsid w:val="67E37ACA"/>
    <w:rsid w:val="683F7FFE"/>
    <w:rsid w:val="68816128"/>
    <w:rsid w:val="688E2F9F"/>
    <w:rsid w:val="6946190A"/>
    <w:rsid w:val="696819F8"/>
    <w:rsid w:val="698D5697"/>
    <w:rsid w:val="6A3177DD"/>
    <w:rsid w:val="6A8B4135"/>
    <w:rsid w:val="6A915403"/>
    <w:rsid w:val="6A9D0048"/>
    <w:rsid w:val="6AA62A7A"/>
    <w:rsid w:val="6AC82F1E"/>
    <w:rsid w:val="6AD409EE"/>
    <w:rsid w:val="6AEA6A79"/>
    <w:rsid w:val="6B1B5C25"/>
    <w:rsid w:val="6B1C2219"/>
    <w:rsid w:val="6C547C8E"/>
    <w:rsid w:val="6CB03CCD"/>
    <w:rsid w:val="6D617A39"/>
    <w:rsid w:val="6DB83390"/>
    <w:rsid w:val="6DD07265"/>
    <w:rsid w:val="6E52595A"/>
    <w:rsid w:val="6E5F6F10"/>
    <w:rsid w:val="6EF776E0"/>
    <w:rsid w:val="6F0926A9"/>
    <w:rsid w:val="6F0A22FE"/>
    <w:rsid w:val="6F210F48"/>
    <w:rsid w:val="6F710B18"/>
    <w:rsid w:val="6F7E74CB"/>
    <w:rsid w:val="6FA8287C"/>
    <w:rsid w:val="70EE44D3"/>
    <w:rsid w:val="71203B39"/>
    <w:rsid w:val="717C4B53"/>
    <w:rsid w:val="71924844"/>
    <w:rsid w:val="719B775E"/>
    <w:rsid w:val="71AB77EE"/>
    <w:rsid w:val="71E07A01"/>
    <w:rsid w:val="724A7A48"/>
    <w:rsid w:val="724C4830"/>
    <w:rsid w:val="72695C00"/>
    <w:rsid w:val="72DE56EC"/>
    <w:rsid w:val="72F92942"/>
    <w:rsid w:val="731660CF"/>
    <w:rsid w:val="73686E30"/>
    <w:rsid w:val="73E92500"/>
    <w:rsid w:val="74CE2C64"/>
    <w:rsid w:val="74E91D98"/>
    <w:rsid w:val="76291C01"/>
    <w:rsid w:val="7636003D"/>
    <w:rsid w:val="76584CD4"/>
    <w:rsid w:val="76667B2F"/>
    <w:rsid w:val="778301A2"/>
    <w:rsid w:val="78AA5252"/>
    <w:rsid w:val="78D10791"/>
    <w:rsid w:val="7A3A7DFD"/>
    <w:rsid w:val="7A400C26"/>
    <w:rsid w:val="7BE15920"/>
    <w:rsid w:val="7C0C54CA"/>
    <w:rsid w:val="7C197358"/>
    <w:rsid w:val="7C713E55"/>
    <w:rsid w:val="7D3E6A83"/>
    <w:rsid w:val="7DF82266"/>
    <w:rsid w:val="7E435833"/>
    <w:rsid w:val="7E53537B"/>
    <w:rsid w:val="7E61214D"/>
    <w:rsid w:val="7EA82723"/>
    <w:rsid w:val="7EB610B9"/>
    <w:rsid w:val="7ECD1840"/>
    <w:rsid w:val="7F0D6C7E"/>
    <w:rsid w:val="7F33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qFormat/>
    <w:uiPriority w:val="0"/>
    <w:pPr>
      <w:keepNext/>
      <w:keepLines/>
      <w:autoSpaceDE w:val="0"/>
      <w:autoSpaceDN w:val="0"/>
      <w:adjustRightInd w:val="0"/>
      <w:spacing w:before="340" w:after="330" w:line="578" w:lineRule="atLeast"/>
      <w:jc w:val="left"/>
      <w:textAlignment w:val="baseline"/>
      <w:outlineLvl w:val="0"/>
    </w:pPr>
    <w:rPr>
      <w:b/>
      <w:kern w:val="0"/>
      <w:sz w:val="44"/>
      <w:szCs w:val="20"/>
    </w:rPr>
  </w:style>
  <w:style w:type="paragraph" w:styleId="3">
    <w:name w:val="heading 2"/>
    <w:basedOn w:val="1"/>
    <w:next w:val="1"/>
    <w:link w:val="72"/>
    <w:qFormat/>
    <w:uiPriority w:val="9"/>
    <w:pPr>
      <w:keepNext/>
      <w:keepLines/>
      <w:spacing w:before="260" w:after="260"/>
      <w:outlineLvl w:val="1"/>
    </w:pPr>
    <w:rPr>
      <w:rFonts w:ascii="Arial" w:hAnsi="Arial"/>
      <w:b/>
      <w:szCs w:val="20"/>
    </w:rPr>
  </w:style>
  <w:style w:type="paragraph" w:styleId="4">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5">
    <w:name w:val="heading 4"/>
    <w:basedOn w:val="1"/>
    <w:next w:val="1"/>
    <w:link w:val="74"/>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6">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7">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8">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9">
    <w:name w:val="heading 8"/>
    <w:basedOn w:val="1"/>
    <w:next w:val="1"/>
    <w:link w:val="75"/>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unhideWhenUsed/>
    <w:uiPriority w:val="1"/>
  </w:style>
  <w:style w:type="table" w:default="1" w:styleId="57">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39"/>
    <w:pPr>
      <w:tabs>
        <w:tab w:val="right" w:leader="dot" w:pos="9241"/>
      </w:tabs>
      <w:ind w:firstLine="505" w:firstLineChars="500"/>
      <w:jc w:val="left"/>
    </w:pPr>
    <w:rPr>
      <w:rFonts w:ascii="宋体"/>
      <w:szCs w:val="21"/>
    </w:rPr>
  </w:style>
  <w:style w:type="paragraph" w:styleId="12">
    <w:name w:val="List Number 2"/>
    <w:basedOn w:val="1"/>
    <w:qFormat/>
    <w:uiPriority w:val="0"/>
    <w:pPr>
      <w:numPr>
        <w:ilvl w:val="0"/>
        <w:numId w:val="2"/>
      </w:numPr>
    </w:pPr>
  </w:style>
  <w:style w:type="paragraph" w:styleId="13">
    <w:name w:val="List Bullet 4"/>
    <w:basedOn w:val="1"/>
    <w:qFormat/>
    <w:uiPriority w:val="0"/>
    <w:pPr>
      <w:tabs>
        <w:tab w:val="left" w:pos="420"/>
      </w:tabs>
      <w:ind w:left="420" w:hanging="420"/>
    </w:pPr>
    <w:rPr>
      <w:szCs w:val="20"/>
    </w:rPr>
  </w:style>
  <w:style w:type="paragraph" w:styleId="14">
    <w:name w:val="index 8"/>
    <w:basedOn w:val="1"/>
    <w:next w:val="1"/>
    <w:qFormat/>
    <w:uiPriority w:val="0"/>
    <w:pPr>
      <w:ind w:left="1680" w:hanging="210"/>
      <w:jc w:val="left"/>
    </w:pPr>
    <w:rPr>
      <w:rFonts w:ascii="Calibri" w:hAnsi="Calibri"/>
      <w:sz w:val="20"/>
      <w:szCs w:val="20"/>
    </w:rPr>
  </w:style>
  <w:style w:type="paragraph" w:styleId="15">
    <w:name w:val="List Number"/>
    <w:basedOn w:val="1"/>
    <w:qFormat/>
    <w:uiPriority w:val="0"/>
    <w:pPr>
      <w:numPr>
        <w:ilvl w:val="0"/>
        <w:numId w:val="3"/>
      </w:numPr>
    </w:pPr>
  </w:style>
  <w:style w:type="paragraph" w:styleId="16">
    <w:name w:val="Normal Indent"/>
    <w:basedOn w:val="1"/>
    <w:link w:val="71"/>
    <w:qFormat/>
    <w:uiPriority w:val="0"/>
    <w:pPr>
      <w:ind w:firstLine="420"/>
    </w:pPr>
    <w:rPr>
      <w:szCs w:val="20"/>
    </w:r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1"/>
    <w:link w:val="83"/>
    <w:qFormat/>
    <w:uiPriority w:val="0"/>
    <w:pPr>
      <w:spacing w:after="120"/>
    </w:pPr>
    <w:rPr>
      <w:szCs w:val="20"/>
    </w:rPr>
  </w:style>
  <w:style w:type="paragraph" w:styleId="24">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5">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6">
    <w:name w:val="index 4"/>
    <w:basedOn w:val="1"/>
    <w:next w:val="1"/>
    <w:qFormat/>
    <w:uiPriority w:val="0"/>
    <w:pPr>
      <w:ind w:left="840" w:hanging="210"/>
      <w:jc w:val="left"/>
    </w:pPr>
    <w:rPr>
      <w:rFonts w:ascii="Calibri" w:hAnsi="Calibri"/>
      <w:sz w:val="20"/>
      <w:szCs w:val="20"/>
    </w:rPr>
  </w:style>
  <w:style w:type="paragraph" w:styleId="27">
    <w:name w:val="toc 5"/>
    <w:basedOn w:val="1"/>
    <w:next w:val="1"/>
    <w:qFormat/>
    <w:uiPriority w:val="39"/>
    <w:pPr>
      <w:tabs>
        <w:tab w:val="right" w:leader="dot" w:pos="9241"/>
      </w:tabs>
      <w:ind w:firstLine="300" w:firstLineChars="300"/>
      <w:jc w:val="left"/>
    </w:pPr>
    <w:rPr>
      <w:rFonts w:ascii="宋体"/>
      <w:szCs w:val="21"/>
    </w:rPr>
  </w:style>
  <w:style w:type="paragraph" w:styleId="28">
    <w:name w:val="toc 3"/>
    <w:basedOn w:val="1"/>
    <w:next w:val="1"/>
    <w:qFormat/>
    <w:uiPriority w:val="39"/>
    <w:pPr>
      <w:ind w:left="840" w:leftChars="400"/>
    </w:pPr>
  </w:style>
  <w:style w:type="paragraph" w:styleId="29">
    <w:name w:val="Plain Text"/>
    <w:basedOn w:val="1"/>
    <w:link w:val="79"/>
    <w:qFormat/>
    <w:uiPriority w:val="99"/>
    <w:rPr>
      <w:rFonts w:ascii="宋体" w:hAnsi="Courier New"/>
      <w:szCs w:val="20"/>
    </w:rPr>
  </w:style>
  <w:style w:type="paragraph" w:styleId="30">
    <w:name w:val="toc 8"/>
    <w:basedOn w:val="1"/>
    <w:next w:val="1"/>
    <w:qFormat/>
    <w:uiPriority w:val="39"/>
    <w:pPr>
      <w:tabs>
        <w:tab w:val="right" w:leader="dot" w:pos="9241"/>
      </w:tabs>
      <w:ind w:firstLine="607" w:firstLineChars="600"/>
      <w:jc w:val="left"/>
    </w:pPr>
    <w:rPr>
      <w:rFonts w:ascii="宋体"/>
      <w:szCs w:val="21"/>
    </w:rPr>
  </w:style>
  <w:style w:type="paragraph" w:styleId="31">
    <w:name w:val="index 3"/>
    <w:basedOn w:val="1"/>
    <w:next w:val="1"/>
    <w:qFormat/>
    <w:uiPriority w:val="0"/>
    <w:pPr>
      <w:ind w:left="630" w:hanging="210"/>
      <w:jc w:val="left"/>
    </w:pPr>
    <w:rPr>
      <w:rFonts w:ascii="Calibri" w:hAnsi="Calibri"/>
      <w:sz w:val="20"/>
      <w:szCs w:val="20"/>
    </w:rPr>
  </w:style>
  <w:style w:type="paragraph" w:styleId="32">
    <w:name w:val="Date"/>
    <w:basedOn w:val="1"/>
    <w:next w:val="1"/>
    <w:link w:val="78"/>
    <w:qFormat/>
    <w:uiPriority w:val="0"/>
    <w:pPr>
      <w:ind w:left="100" w:leftChars="2500"/>
    </w:pPr>
    <w:rPr>
      <w:rFonts w:ascii="宋体" w:hAnsi="宋体"/>
      <w:b/>
      <w:color w:val="FF0000"/>
      <w:sz w:val="36"/>
      <w:szCs w:val="30"/>
    </w:rPr>
  </w:style>
  <w:style w:type="paragraph" w:styleId="33">
    <w:name w:val="Body Text Indent 2"/>
    <w:basedOn w:val="1"/>
    <w:link w:val="82"/>
    <w:qFormat/>
    <w:uiPriority w:val="0"/>
    <w:pPr>
      <w:spacing w:after="120" w:line="480" w:lineRule="auto"/>
      <w:ind w:left="420" w:leftChars="200"/>
    </w:pPr>
    <w:rPr>
      <w:szCs w:val="20"/>
    </w:rPr>
  </w:style>
  <w:style w:type="paragraph" w:styleId="34">
    <w:name w:val="endnote text"/>
    <w:basedOn w:val="1"/>
    <w:link w:val="216"/>
    <w:semiHidden/>
    <w:qFormat/>
    <w:uiPriority w:val="0"/>
    <w:pPr>
      <w:snapToGrid w:val="0"/>
      <w:jc w:val="left"/>
    </w:pPr>
  </w:style>
  <w:style w:type="paragraph" w:styleId="35">
    <w:name w:val="Balloon Text"/>
    <w:basedOn w:val="1"/>
    <w:link w:val="85"/>
    <w:qFormat/>
    <w:uiPriority w:val="0"/>
    <w:rPr>
      <w:sz w:val="18"/>
      <w:szCs w:val="18"/>
    </w:rPr>
  </w:style>
  <w:style w:type="paragraph" w:styleId="36">
    <w:name w:val="footer"/>
    <w:basedOn w:val="1"/>
    <w:link w:val="86"/>
    <w:qFormat/>
    <w:uiPriority w:val="99"/>
    <w:pPr>
      <w:tabs>
        <w:tab w:val="center" w:pos="4153"/>
        <w:tab w:val="right" w:pos="8306"/>
      </w:tabs>
      <w:snapToGrid w:val="0"/>
      <w:jc w:val="left"/>
    </w:pPr>
    <w:rPr>
      <w:sz w:val="18"/>
      <w:szCs w:val="18"/>
    </w:rPr>
  </w:style>
  <w:style w:type="paragraph" w:styleId="37">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39"/>
  </w:style>
  <w:style w:type="paragraph" w:styleId="39">
    <w:name w:val="toc 4"/>
    <w:basedOn w:val="1"/>
    <w:next w:val="1"/>
    <w:qFormat/>
    <w:uiPriority w:val="39"/>
    <w:pPr>
      <w:tabs>
        <w:tab w:val="right" w:leader="dot" w:pos="9241"/>
      </w:tabs>
      <w:ind w:firstLine="198" w:firstLineChars="200"/>
      <w:jc w:val="left"/>
    </w:pPr>
    <w:rPr>
      <w:rFonts w:ascii="宋体"/>
      <w:szCs w:val="21"/>
    </w:rPr>
  </w:style>
  <w:style w:type="paragraph" w:styleId="40">
    <w:name w:val="index heading"/>
    <w:basedOn w:val="1"/>
    <w:next w:val="41"/>
    <w:qFormat/>
    <w:uiPriority w:val="0"/>
    <w:pPr>
      <w:spacing w:before="120" w:after="120"/>
      <w:jc w:val="center"/>
    </w:pPr>
    <w:rPr>
      <w:rFonts w:ascii="Calibri" w:hAnsi="Calibri"/>
      <w:b/>
      <w:bCs/>
      <w:iCs/>
      <w:szCs w:val="20"/>
    </w:rPr>
  </w:style>
  <w:style w:type="paragraph" w:styleId="41">
    <w:name w:val="index 1"/>
    <w:basedOn w:val="1"/>
    <w:next w:val="42"/>
    <w:qFormat/>
    <w:uiPriority w:val="0"/>
    <w:pPr>
      <w:tabs>
        <w:tab w:val="right" w:leader="dot" w:pos="9299"/>
      </w:tabs>
      <w:jc w:val="left"/>
    </w:pPr>
    <w:rPr>
      <w:rFonts w:ascii="宋体"/>
      <w:szCs w:val="21"/>
    </w:rPr>
  </w:style>
  <w:style w:type="paragraph" w:customStyle="1" w:styleId="42">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3">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4">
    <w:name w:val="footnote text"/>
    <w:basedOn w:val="1"/>
    <w:link w:val="199"/>
    <w:qFormat/>
    <w:uiPriority w:val="0"/>
    <w:pPr>
      <w:numPr>
        <w:ilvl w:val="0"/>
        <w:numId w:val="5"/>
      </w:numPr>
      <w:snapToGrid w:val="0"/>
      <w:jc w:val="left"/>
    </w:pPr>
    <w:rPr>
      <w:rFonts w:ascii="宋体"/>
      <w:sz w:val="18"/>
      <w:szCs w:val="18"/>
    </w:rPr>
  </w:style>
  <w:style w:type="paragraph" w:styleId="45">
    <w:name w:val="toc 6"/>
    <w:basedOn w:val="1"/>
    <w:next w:val="1"/>
    <w:qFormat/>
    <w:uiPriority w:val="39"/>
    <w:pPr>
      <w:tabs>
        <w:tab w:val="right" w:leader="dot" w:pos="9241"/>
      </w:tabs>
      <w:ind w:firstLine="403" w:firstLineChars="400"/>
      <w:jc w:val="left"/>
    </w:pPr>
    <w:rPr>
      <w:rFonts w:ascii="宋体"/>
      <w:szCs w:val="21"/>
    </w:rPr>
  </w:style>
  <w:style w:type="paragraph" w:styleId="46">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7">
    <w:name w:val="index 7"/>
    <w:basedOn w:val="1"/>
    <w:next w:val="1"/>
    <w:qFormat/>
    <w:uiPriority w:val="0"/>
    <w:pPr>
      <w:ind w:left="1470" w:hanging="210"/>
      <w:jc w:val="left"/>
    </w:pPr>
    <w:rPr>
      <w:rFonts w:ascii="Calibri" w:hAnsi="Calibri"/>
      <w:sz w:val="20"/>
      <w:szCs w:val="20"/>
    </w:rPr>
  </w:style>
  <w:style w:type="paragraph" w:styleId="48">
    <w:name w:val="index 9"/>
    <w:basedOn w:val="1"/>
    <w:next w:val="1"/>
    <w:qFormat/>
    <w:uiPriority w:val="0"/>
    <w:pPr>
      <w:ind w:left="1890" w:hanging="210"/>
      <w:jc w:val="left"/>
    </w:pPr>
    <w:rPr>
      <w:rFonts w:ascii="Calibri" w:hAnsi="Calibri"/>
      <w:sz w:val="20"/>
      <w:szCs w:val="20"/>
    </w:rPr>
  </w:style>
  <w:style w:type="paragraph" w:styleId="49">
    <w:name w:val="toc 2"/>
    <w:basedOn w:val="1"/>
    <w:next w:val="1"/>
    <w:qFormat/>
    <w:uiPriority w:val="39"/>
    <w:pPr>
      <w:ind w:left="420" w:leftChars="200"/>
    </w:pPr>
  </w:style>
  <w:style w:type="paragraph" w:styleId="50">
    <w:name w:val="toc 9"/>
    <w:basedOn w:val="1"/>
    <w:next w:val="1"/>
    <w:qFormat/>
    <w:uiPriority w:val="39"/>
    <w:pPr>
      <w:ind w:left="1470"/>
      <w:jc w:val="left"/>
    </w:pPr>
    <w:rPr>
      <w:sz w:val="20"/>
      <w:szCs w:val="20"/>
    </w:rPr>
  </w:style>
  <w:style w:type="paragraph" w:styleId="51">
    <w:name w:val="Normal (Web)"/>
    <w:basedOn w:val="1"/>
    <w:qFormat/>
    <w:uiPriority w:val="0"/>
    <w:rPr>
      <w:sz w:val="24"/>
    </w:rPr>
  </w:style>
  <w:style w:type="paragraph" w:styleId="52">
    <w:name w:val="index 2"/>
    <w:basedOn w:val="1"/>
    <w:next w:val="1"/>
    <w:qFormat/>
    <w:uiPriority w:val="0"/>
    <w:pPr>
      <w:ind w:left="420" w:hanging="210"/>
      <w:jc w:val="left"/>
    </w:pPr>
    <w:rPr>
      <w:rFonts w:ascii="Calibri" w:hAnsi="Calibri"/>
      <w:sz w:val="20"/>
      <w:szCs w:val="20"/>
    </w:rPr>
  </w:style>
  <w:style w:type="paragraph" w:styleId="53">
    <w:name w:val="Title"/>
    <w:basedOn w:val="1"/>
    <w:next w:val="1"/>
    <w:link w:val="385"/>
    <w:qFormat/>
    <w:uiPriority w:val="0"/>
    <w:pPr>
      <w:spacing w:before="240" w:after="60"/>
      <w:jc w:val="center"/>
      <w:outlineLvl w:val="0"/>
    </w:pPr>
    <w:rPr>
      <w:rFonts w:ascii="Cambria" w:hAnsi="Cambria"/>
      <w:b/>
      <w:sz w:val="32"/>
      <w:szCs w:val="21"/>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4"/>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16"/>
    <w:qFormat/>
    <w:uiPriority w:val="0"/>
    <w:rPr>
      <w:rFonts w:cs="Times New Roman"/>
      <w:sz w:val="21"/>
      <w:szCs w:val="20"/>
    </w:rPr>
  </w:style>
  <w:style w:type="character" w:customStyle="1" w:styleId="72">
    <w:name w:val="标题 2 字符"/>
    <w:basedOn w:val="60"/>
    <w:link w:val="3"/>
    <w:qFormat/>
    <w:uiPriority w:val="9"/>
    <w:rPr>
      <w:rFonts w:ascii="Arial" w:hAnsi="Arial" w:cs="Times New Roman"/>
      <w:b/>
      <w:sz w:val="21"/>
      <w:szCs w:val="20"/>
    </w:rPr>
  </w:style>
  <w:style w:type="character" w:customStyle="1" w:styleId="73">
    <w:name w:val="标题 3 字符"/>
    <w:basedOn w:val="60"/>
    <w:link w:val="4"/>
    <w:qFormat/>
    <w:uiPriority w:val="9"/>
    <w:rPr>
      <w:rFonts w:cs="Times New Roman"/>
      <w:b/>
      <w:kern w:val="0"/>
      <w:sz w:val="32"/>
      <w:szCs w:val="20"/>
    </w:rPr>
  </w:style>
  <w:style w:type="character" w:customStyle="1" w:styleId="74">
    <w:name w:val="标题 4 字符1"/>
    <w:link w:val="5"/>
    <w:qFormat/>
    <w:uiPriority w:val="0"/>
    <w:rPr>
      <w:b/>
      <w:bCs/>
      <w:kern w:val="2"/>
      <w:sz w:val="24"/>
      <w:szCs w:val="24"/>
      <w:lang w:val="sv-SE"/>
    </w:rPr>
  </w:style>
  <w:style w:type="character" w:customStyle="1" w:styleId="75">
    <w:name w:val="标题 8 字符1"/>
    <w:link w:val="9"/>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2"/>
    <w:qFormat/>
    <w:uiPriority w:val="0"/>
    <w:rPr>
      <w:rFonts w:ascii="宋体" w:hAnsi="宋体" w:cs="Times New Roman"/>
      <w:b/>
      <w:color w:val="FF0000"/>
      <w:sz w:val="36"/>
      <w:szCs w:val="30"/>
    </w:rPr>
  </w:style>
  <w:style w:type="character" w:customStyle="1" w:styleId="79">
    <w:name w:val="纯文本 字符1"/>
    <w:link w:val="29"/>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3"/>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5"/>
    <w:qFormat/>
    <w:uiPriority w:val="0"/>
    <w:rPr>
      <w:rFonts w:cs="Times New Roman"/>
      <w:sz w:val="18"/>
      <w:szCs w:val="18"/>
    </w:rPr>
  </w:style>
  <w:style w:type="character" w:customStyle="1" w:styleId="86">
    <w:name w:val="页脚 字符1"/>
    <w:link w:val="36"/>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7"/>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customStyle="1" w:styleId="102">
    <w:name w:val="列出段落1"/>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2"/>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2"/>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2"/>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2"/>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6"/>
    <w:qFormat/>
    <w:uiPriority w:val="9"/>
    <w:rPr>
      <w:rFonts w:ascii="宋体" w:hAnsi="宋体" w:cs="Times New Roman"/>
      <w:bCs/>
      <w:szCs w:val="24"/>
    </w:rPr>
  </w:style>
  <w:style w:type="character" w:customStyle="1" w:styleId="139">
    <w:name w:val="标题 6 字符1"/>
    <w:link w:val="7"/>
    <w:qFormat/>
    <w:uiPriority w:val="0"/>
    <w:rPr>
      <w:rFonts w:ascii="Arial" w:hAnsi="Arial" w:eastAsia="黑体" w:cs="Times New Roman"/>
      <w:b/>
      <w:kern w:val="0"/>
      <w:szCs w:val="21"/>
    </w:rPr>
  </w:style>
  <w:style w:type="character" w:customStyle="1" w:styleId="140">
    <w:name w:val="标题 7 字符1"/>
    <w:link w:val="8"/>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0"/>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2"/>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2"/>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2"/>
    <w:qFormat/>
    <w:uiPriority w:val="0"/>
    <w:pPr>
      <w:outlineLvl w:val="5"/>
    </w:pPr>
  </w:style>
  <w:style w:type="paragraph" w:customStyle="1" w:styleId="152">
    <w:name w:val="五级条标题"/>
    <w:basedOn w:val="151"/>
    <w:next w:val="42"/>
    <w:qFormat/>
    <w:uiPriority w:val="0"/>
    <w:pPr>
      <w:outlineLvl w:val="6"/>
    </w:pPr>
  </w:style>
  <w:style w:type="paragraph" w:customStyle="1" w:styleId="153">
    <w:name w:val="注："/>
    <w:next w:val="42"/>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2"/>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2"/>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2"/>
    <w:next w:val="42"/>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2"/>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2"/>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2"/>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2"/>
    <w:next w:val="42"/>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2"/>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2"/>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2"/>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2"/>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2"/>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2"/>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2"/>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4"/>
    <w:qFormat/>
    <w:uiPriority w:val="0"/>
    <w:rPr>
      <w:rFonts w:ascii="宋体"/>
      <w:kern w:val="2"/>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2"/>
    <w:next w:val="42"/>
    <w:qFormat/>
    <w:uiPriority w:val="0"/>
    <w:pPr>
      <w:tabs>
        <w:tab w:val="center" w:pos="4201"/>
        <w:tab w:val="right" w:leader="dot" w:pos="9298"/>
      </w:tabs>
      <w:autoSpaceDE w:val="0"/>
      <w:autoSpaceDN w:val="0"/>
      <w:ind w:firstLine="360"/>
    </w:pPr>
    <w:rPr>
      <w:sz w:val="18"/>
    </w:rPr>
  </w:style>
  <w:style w:type="paragraph" w:customStyle="1" w:styleId="208">
    <w:name w:val="首示例"/>
    <w:next w:val="42"/>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kern w:val="2"/>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4"/>
    <w:qFormat/>
    <w:uiPriority w:val="0"/>
    <w:pPr>
      <w:numPr>
        <w:numId w:val="0"/>
      </w:numPr>
      <w:jc w:val="both"/>
    </w:pPr>
  </w:style>
  <w:style w:type="paragraph" w:customStyle="1" w:styleId="212">
    <w:name w:val="图标脚注说明"/>
    <w:basedOn w:val="42"/>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4"/>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2"/>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2"/>
    <w:next w:val="42"/>
    <w:qFormat/>
    <w:uiPriority w:val="0"/>
    <w:pPr>
      <w:tabs>
        <w:tab w:val="center" w:pos="4201"/>
        <w:tab w:val="right" w:leader="dot" w:pos="9298"/>
      </w:tabs>
      <w:autoSpaceDE w:val="0"/>
      <w:autoSpaceDN w:val="0"/>
      <w:ind w:firstLine="0" w:firstLineChars="0"/>
    </w:pPr>
  </w:style>
  <w:style w:type="paragraph" w:customStyle="1" w:styleId="223">
    <w:name w:val="正文图标题"/>
    <w:next w:val="4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1"/>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2"/>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3"/>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文本首行缩进 字符"/>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文本首行缩进 2 字符"/>
    <w:link w:val="56"/>
    <w:qFormat/>
    <w:uiPriority w:val="0"/>
    <w:rPr>
      <w:rFonts w:ascii="宋体" w:hAnsi="宋体" w:cs="Times New Roman"/>
      <w:szCs w:val="21"/>
    </w:rPr>
  </w:style>
  <w:style w:type="character" w:customStyle="1" w:styleId="285">
    <w:name w:val="正文文本缩进 字符1"/>
    <w:link w:val="24"/>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6"/>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2"/>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4"/>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2"/>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4"/>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8"/>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cstheme="minorBidi"/>
      <w:kern w:val="2"/>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53"/>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2"/>
    <w:qFormat/>
    <w:uiPriority w:val="0"/>
    <w:pPr>
      <w:ind w:firstLine="0" w:firstLineChars="0"/>
    </w:pPr>
    <w:rPr>
      <w:rFonts w:eastAsia="仿宋_GB2312" w:cs="宋体"/>
      <w:sz w:val="32"/>
    </w:rPr>
  </w:style>
  <w:style w:type="paragraph" w:customStyle="1" w:styleId="413">
    <w:name w:val="术语定义条标题"/>
    <w:basedOn w:val="115"/>
    <w:next w:val="42"/>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29"/>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sz w:val="21"/>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customStyle="1" w:styleId="446">
    <w:name w:val="占位符文本1"/>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2"/>
    <w:qFormat/>
    <w:uiPriority w:val="0"/>
    <w:pPr>
      <w:widowControl/>
      <w:numPr>
        <w:ilvl w:val="0"/>
        <w:numId w:val="30"/>
      </w:numPr>
      <w:spacing w:beforeLines="0" w:afterLines="0" w:line="360" w:lineRule="auto"/>
      <w:textAlignment w:val="baseline"/>
    </w:pPr>
    <w:rPr>
      <w:rFonts w:ascii="宋体" w:eastAsia="宋体"/>
      <w:kern w:val="21"/>
      <w:szCs w:val="20"/>
    </w:rPr>
  </w:style>
  <w:style w:type="character" w:customStyle="1" w:styleId="449">
    <w:name w:val="未处理的提及1"/>
    <w:basedOn w:val="60"/>
    <w:unhideWhenUsed/>
    <w:qFormat/>
    <w:uiPriority w:val="99"/>
    <w:rPr>
      <w:color w:val="605E5C"/>
      <w:shd w:val="clear" w:color="auto" w:fill="E1DFDD"/>
    </w:rPr>
  </w:style>
  <w:style w:type="paragraph" w:customStyle="1" w:styleId="450">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标准规范2级"/>
    <w:basedOn w:val="1"/>
    <w:qFormat/>
    <w:uiPriority w:val="0"/>
    <w:pPr>
      <w:numPr>
        <w:ilvl w:val="1"/>
        <w:numId w:val="31"/>
      </w:numPr>
      <w:spacing w:before="120" w:after="160" w:line="360" w:lineRule="auto"/>
    </w:pPr>
    <w:rPr>
      <w:rFonts w:cs="宋体"/>
      <w:color w:val="000000"/>
      <w:sz w:val="24"/>
      <w:szCs w:val="20"/>
    </w:rPr>
  </w:style>
  <w:style w:type="paragraph" w:customStyle="1" w:styleId="453">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454">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55">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456">
    <w:name w:val="修订6"/>
    <w:hidden/>
    <w:unhideWhenUsed/>
    <w:uiPriority w:val="99"/>
    <w:rPr>
      <w:rFonts w:ascii="Times New Roman" w:hAnsi="Times New Roman" w:eastAsia="宋体" w:cs="Times New Roman"/>
      <w:kern w:val="2"/>
      <w:sz w:val="21"/>
      <w:szCs w:val="24"/>
      <w:lang w:val="en-US" w:eastAsia="zh-CN" w:bidi="ar-SA"/>
    </w:rPr>
  </w:style>
  <w:style w:type="paragraph" w:styleId="457">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DB168-8EFD-4CA9-8B7D-80C13EDDAF2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2757</Words>
  <Characters>15717</Characters>
  <Lines>130</Lines>
  <Paragraphs>36</Paragraphs>
  <TotalTime>27</TotalTime>
  <ScaleCrop>false</ScaleCrop>
  <LinksUpToDate>false</LinksUpToDate>
  <CharactersWithSpaces>18438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2017-11-23T14:07:00Z</dcterms:created>
  <dc:creator>魏瑞增</dc:creator>
  <cp:lastModifiedBy>俞汶希</cp:lastModifiedBy>
  <dcterms:modified xsi:type="dcterms:W3CDTF">2026-05-14T03:59:02Z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50BC61D5AFC64C5C81426AEC4ADB415D_13</vt:lpwstr>
  </property>
  <property fmtid="{D5CDD505-2E9C-101B-9397-08002B2CF9AE}" pid="4" name="KSOTemplateDocerSaveRecord">
    <vt:lpwstr>eyJoZGlkIjoiY2VjNzgwM2ZmOTcyZmY3OWI3NjUwZTgyZTllNTNmMzgiLCJ1c2VySWQiOiI3OTkxNTU0ODkifQ==</vt:lpwstr>
  </property>
</Properties>
</file>