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78E6F">
      <w:pPr>
        <w:spacing w:before="480" w:beforeLines="200"/>
        <w:jc w:val="center"/>
        <w:rPr>
          <w:rFonts w:eastAsia="微软雅黑"/>
          <w:b/>
          <w:sz w:val="44"/>
          <w:szCs w:val="21"/>
        </w:rPr>
      </w:pPr>
      <w:bookmarkStart w:id="0" w:name="_Toc224531918"/>
      <w:bookmarkStart w:id="1" w:name="_Toc224469826"/>
      <w:bookmarkStart w:id="2" w:name="_Toc224470066"/>
      <w:r>
        <w:rPr>
          <w:rFonts w:eastAsia="微软雅黑"/>
          <w:b/>
          <w:sz w:val="44"/>
          <w:szCs w:val="21"/>
        </w:rPr>
        <w:drawing>
          <wp:anchor distT="0" distB="0" distL="114300" distR="114300" simplePos="0" relativeHeight="251659264" behindDoc="1" locked="0" layoutInCell="1" allowOverlap="1">
            <wp:simplePos x="0" y="0"/>
            <wp:positionH relativeFrom="column">
              <wp:posOffset>-863600</wp:posOffset>
            </wp:positionH>
            <wp:positionV relativeFrom="paragraph">
              <wp:posOffset>-1307465</wp:posOffset>
            </wp:positionV>
            <wp:extent cx="7578090" cy="2736850"/>
            <wp:effectExtent l="0" t="0" r="3810" b="6350"/>
            <wp:wrapTight wrapText="bothSides">
              <wp:wrapPolygon>
                <wp:start x="0" y="0"/>
                <wp:lineTo x="0" y="21500"/>
                <wp:lineTo x="21557" y="21500"/>
                <wp:lineTo x="21557"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8090" cy="2736850"/>
                    </a:xfrm>
                    <a:prstGeom prst="rect">
                      <a:avLst/>
                    </a:prstGeom>
                    <a:noFill/>
                    <a:ln>
                      <a:noFill/>
                    </a:ln>
                  </pic:spPr>
                </pic:pic>
              </a:graphicData>
            </a:graphic>
          </wp:anchor>
        </w:drawing>
      </w:r>
    </w:p>
    <w:p w14:paraId="36FFED4D">
      <w:pPr>
        <w:spacing w:before="480" w:beforeLines="200"/>
        <w:jc w:val="center"/>
        <w:rPr>
          <w:rFonts w:eastAsia="黑体"/>
          <w:b/>
          <w:sz w:val="52"/>
        </w:rPr>
      </w:pPr>
      <w:r>
        <w:rPr>
          <w:rFonts w:hint="eastAsia" w:eastAsia="黑体"/>
          <w:b/>
          <w:sz w:val="52"/>
        </w:rPr>
        <w:t>微型固定式无人机机巢及相关附件（无人机机巢）技术规范书</w:t>
      </w:r>
    </w:p>
    <w:p w14:paraId="133F6690">
      <w:pPr>
        <w:spacing w:before="480" w:beforeLines="200" w:line="360" w:lineRule="auto"/>
        <w:ind w:left="420" w:hanging="420"/>
        <w:jc w:val="center"/>
        <w:rPr>
          <w:rFonts w:eastAsia="黑体"/>
          <w:b/>
          <w:sz w:val="52"/>
        </w:rPr>
      </w:pPr>
      <w:r>
        <w:rPr>
          <w:rFonts w:hint="eastAsia" w:eastAsia="黑体"/>
          <w:b/>
          <w:sz w:val="52"/>
        </w:rPr>
        <w:t>（通用部分）</w:t>
      </w:r>
    </w:p>
    <w:p w14:paraId="024E4FA6">
      <w:pPr>
        <w:spacing w:before="480" w:beforeLines="200" w:line="360" w:lineRule="auto"/>
        <w:ind w:left="544" w:leftChars="259" w:firstLine="2530" w:firstLineChars="700"/>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115242AA">
      <w:pPr>
        <w:spacing w:line="360" w:lineRule="auto"/>
        <w:ind w:firstLine="3170" w:firstLineChars="877"/>
        <w:rPr>
          <w:rFonts w:eastAsia="黑体"/>
          <w:b/>
          <w:sz w:val="36"/>
        </w:rPr>
      </w:pPr>
      <w:r>
        <w:rPr>
          <w:rFonts w:hint="eastAsia" w:eastAsia="黑体"/>
          <w:b/>
          <w:sz w:val="36"/>
        </w:rPr>
        <w:t>编号：</w:t>
      </w:r>
      <w:r>
        <w:rPr>
          <w:rFonts w:eastAsia="黑体"/>
          <w:b/>
          <w:sz w:val="36"/>
        </w:rPr>
        <w:tab/>
      </w:r>
    </w:p>
    <w:p w14:paraId="1BD41F72">
      <w:pPr>
        <w:spacing w:before="480" w:beforeLines="200" w:line="360" w:lineRule="auto"/>
        <w:ind w:left="420" w:firstLine="2873" w:firstLineChars="795"/>
        <w:jc w:val="left"/>
        <w:rPr>
          <w:rFonts w:eastAsia="黑体"/>
          <w:b/>
          <w:sz w:val="36"/>
        </w:rPr>
      </w:pPr>
    </w:p>
    <w:p w14:paraId="33C71EEC">
      <w:pPr>
        <w:spacing w:before="480" w:beforeLines="200" w:line="360" w:lineRule="auto"/>
        <w:ind w:left="420" w:firstLine="2873" w:firstLineChars="795"/>
        <w:jc w:val="left"/>
        <w:rPr>
          <w:rFonts w:eastAsia="黑体"/>
          <w:b/>
          <w:sz w:val="36"/>
        </w:rPr>
      </w:pPr>
    </w:p>
    <w:p w14:paraId="78FA1AA6">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2DDD471F">
      <w:pPr>
        <w:jc w:val="center"/>
        <w:rPr>
          <w:rFonts w:eastAsia="黑体"/>
          <w:b/>
          <w:szCs w:val="28"/>
        </w:rPr>
        <w:sectPr>
          <w:headerReference r:id="rId5" w:type="first"/>
          <w:headerReference r:id="rId3" w:type="default"/>
          <w:footerReference r:id="rId6" w:type="default"/>
          <w:headerReference r:id="rId4" w:type="even"/>
          <w:footerReference r:id="rId7"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1CFE2AA2">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811"/>
        <w:gridCol w:w="2019"/>
      </w:tblGrid>
      <w:tr w14:paraId="7C1DEC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14:paraId="5DB64F6F">
            <w:pPr>
              <w:spacing w:line="360" w:lineRule="auto"/>
              <w:jc w:val="center"/>
              <w:rPr>
                <w:sz w:val="24"/>
              </w:rPr>
            </w:pPr>
            <w:r>
              <w:rPr>
                <w:sz w:val="24"/>
              </w:rPr>
              <w:t>序号</w:t>
            </w:r>
          </w:p>
        </w:tc>
        <w:tc>
          <w:tcPr>
            <w:tcW w:w="5811" w:type="dxa"/>
            <w:vAlign w:val="center"/>
          </w:tcPr>
          <w:p w14:paraId="36123336">
            <w:pPr>
              <w:spacing w:line="360" w:lineRule="auto"/>
              <w:jc w:val="center"/>
              <w:rPr>
                <w:sz w:val="24"/>
              </w:rPr>
            </w:pPr>
            <w:r>
              <w:rPr>
                <w:sz w:val="24"/>
              </w:rPr>
              <w:t>名称</w:t>
            </w:r>
          </w:p>
        </w:tc>
        <w:tc>
          <w:tcPr>
            <w:tcW w:w="2019" w:type="dxa"/>
            <w:vAlign w:val="center"/>
          </w:tcPr>
          <w:p w14:paraId="734368F1">
            <w:pPr>
              <w:spacing w:line="360" w:lineRule="auto"/>
              <w:jc w:val="center"/>
              <w:rPr>
                <w:sz w:val="24"/>
              </w:rPr>
            </w:pPr>
            <w:r>
              <w:rPr>
                <w:sz w:val="24"/>
              </w:rPr>
              <w:t>品类优化清单对应型号</w:t>
            </w:r>
          </w:p>
        </w:tc>
      </w:tr>
      <w:tr w14:paraId="1AB105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14:paraId="2317E272">
            <w:pPr>
              <w:spacing w:line="360" w:lineRule="auto"/>
              <w:jc w:val="center"/>
              <w:rPr>
                <w:sz w:val="24"/>
              </w:rPr>
            </w:pPr>
            <w:r>
              <w:rPr>
                <w:sz w:val="24"/>
              </w:rPr>
              <w:t>1</w:t>
            </w:r>
          </w:p>
        </w:tc>
        <w:tc>
          <w:tcPr>
            <w:tcW w:w="5811" w:type="dxa"/>
            <w:vAlign w:val="center"/>
          </w:tcPr>
          <w:p w14:paraId="665703DB">
            <w:pPr>
              <w:spacing w:line="360" w:lineRule="auto"/>
              <w:jc w:val="center"/>
              <w:rPr>
                <w:sz w:val="24"/>
              </w:rPr>
            </w:pPr>
            <w:bookmarkStart w:id="3" w:name="_Toc50889640"/>
            <w:r>
              <w:rPr>
                <w:rFonts w:hint="eastAsia"/>
                <w:sz w:val="24"/>
              </w:rPr>
              <w:t>微型固定式无人机机巢及相关附件（无人机机巢）</w:t>
            </w:r>
            <w:r>
              <w:rPr>
                <w:sz w:val="24"/>
              </w:rPr>
              <w:t>技术规范书（</w:t>
            </w:r>
            <w:r>
              <w:rPr>
                <w:rFonts w:hint="eastAsia"/>
                <w:sz w:val="24"/>
              </w:rPr>
              <w:t>通</w:t>
            </w:r>
            <w:r>
              <w:rPr>
                <w:sz w:val="24"/>
              </w:rPr>
              <w:t>用部分）</w:t>
            </w:r>
            <w:bookmarkEnd w:id="3"/>
          </w:p>
        </w:tc>
        <w:tc>
          <w:tcPr>
            <w:tcW w:w="2019" w:type="dxa"/>
            <w:vAlign w:val="center"/>
          </w:tcPr>
          <w:p w14:paraId="333BDD99">
            <w:pPr>
              <w:spacing w:line="360" w:lineRule="auto"/>
              <w:jc w:val="center"/>
              <w:rPr>
                <w:sz w:val="24"/>
              </w:rPr>
            </w:pPr>
            <w:r>
              <w:rPr>
                <w:rFonts w:hint="eastAsia"/>
                <w:sz w:val="24"/>
              </w:rPr>
              <w:t>/</w:t>
            </w:r>
          </w:p>
        </w:tc>
      </w:tr>
    </w:tbl>
    <w:p w14:paraId="1437A346">
      <w:pPr>
        <w:pStyle w:val="37"/>
        <w:spacing w:after="160" w:line="259" w:lineRule="auto"/>
      </w:pPr>
      <w:r>
        <w:rPr>
          <w:rFonts w:eastAsia="黑体"/>
          <w:sz w:val="32"/>
          <w:szCs w:val="20"/>
        </w:rPr>
        <w:br w:type="page"/>
      </w:r>
      <w:bookmarkEnd w:id="0"/>
      <w:bookmarkEnd w:id="1"/>
      <w:bookmarkEnd w:id="2"/>
    </w:p>
    <w:p w14:paraId="357F7133">
      <w:pPr>
        <w:pStyle w:val="38"/>
        <w:tabs>
          <w:tab w:val="right" w:leader="dot" w:pos="9113"/>
        </w:tabs>
        <w:rPr>
          <w:rFonts w:hint="eastAsia" w:ascii="黑体" w:hAnsi="黑体" w:eastAsia="黑体" w:cs="黑体"/>
          <w:b/>
          <w:bCs/>
          <w:sz w:val="24"/>
        </w:rPr>
      </w:pPr>
    </w:p>
    <w:p w14:paraId="752670EA">
      <w:pPr>
        <w:pStyle w:val="38"/>
        <w:tabs>
          <w:tab w:val="right" w:leader="dot" w:pos="9113"/>
        </w:tabs>
        <w:jc w:val="center"/>
        <w:rPr>
          <w:rFonts w:eastAsia="黑体"/>
          <w:bCs/>
          <w:sz w:val="36"/>
          <w:szCs w:val="36"/>
        </w:rPr>
      </w:pPr>
      <w:r>
        <w:rPr>
          <w:rFonts w:eastAsia="黑体"/>
          <w:bCs/>
          <w:sz w:val="36"/>
          <w:szCs w:val="36"/>
        </w:rPr>
        <w:t>目</w:t>
      </w:r>
      <w:r>
        <w:rPr>
          <w:rFonts w:hint="eastAsia" w:eastAsia="黑体"/>
          <w:bCs/>
          <w:sz w:val="36"/>
          <w:szCs w:val="36"/>
        </w:rPr>
        <w:t xml:space="preserve">    </w:t>
      </w:r>
      <w:r>
        <w:rPr>
          <w:rFonts w:eastAsia="黑体"/>
          <w:bCs/>
          <w:sz w:val="36"/>
          <w:szCs w:val="36"/>
        </w:rPr>
        <w:t>录</w:t>
      </w:r>
    </w:p>
    <w:p w14:paraId="5EC6B479">
      <w:pPr>
        <w:pStyle w:val="38"/>
        <w:tabs>
          <w:tab w:val="right" w:leader="dot" w:pos="9113"/>
        </w:tabs>
        <w:rPr>
          <w:rFonts w:asciiTheme="minorHAnsi" w:hAnsiTheme="minorHAnsi" w:eastAsiaTheme="minorEastAsia" w:cstheme="minorBidi"/>
          <w:sz w:val="22"/>
          <w14:ligatures w14:val="standardContextual"/>
        </w:rPr>
      </w:pPr>
      <w:r>
        <w:rPr>
          <w:rFonts w:hint="eastAsia" w:ascii="黑体" w:hAnsi="黑体" w:eastAsia="黑体" w:cs="黑体"/>
          <w:b/>
          <w:bCs/>
          <w:sz w:val="24"/>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rPr>
        <w:fldChar w:fldCharType="separate"/>
      </w:r>
      <w:r>
        <w:fldChar w:fldCharType="begin"/>
      </w:r>
      <w:r>
        <w:instrText xml:space="preserve"> HYPERLINK \l "_Toc229216686" </w:instrText>
      </w:r>
      <w:r>
        <w:fldChar w:fldCharType="separate"/>
      </w:r>
      <w:r>
        <w:rPr>
          <w:rStyle w:val="65"/>
          <w:rFonts w:eastAsia="黑体"/>
          <w:kern w:val="44"/>
        </w:rPr>
        <w:t>1 总则</w:t>
      </w:r>
      <w:r>
        <w:rPr>
          <w:rFonts w:hint="eastAsia"/>
        </w:rPr>
        <w:tab/>
      </w:r>
      <w:r>
        <w:rPr>
          <w:rFonts w:hint="eastAsia"/>
        </w:rPr>
        <w:fldChar w:fldCharType="begin"/>
      </w:r>
      <w:r>
        <w:rPr>
          <w:rFonts w:hint="eastAsia"/>
        </w:rPr>
        <w:instrText xml:space="preserve"> </w:instrText>
      </w:r>
      <w:r>
        <w:instrText xml:space="preserve">PAGEREF _Toc229216686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8065C5A">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"_Toc229216687" </w:instrText>
      </w:r>
      <w:r>
        <w:fldChar w:fldCharType="separate"/>
      </w:r>
      <w:r>
        <w:rPr>
          <w:rStyle w:val="65"/>
          <w:rFonts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_Toc229216687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711ACBA">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"_Toc229216688" </w:instrText>
      </w:r>
      <w:r>
        <w:fldChar w:fldCharType="separate"/>
      </w:r>
      <w:r>
        <w:rPr>
          <w:rStyle w:val="65"/>
          <w:rFonts w:eastAsia="黑体"/>
          <w:bCs/>
        </w:rPr>
        <w:t>2.1 工程概况</w:t>
      </w:r>
      <w:r>
        <w:rPr>
          <w:rFonts w:hint="eastAsia"/>
        </w:rPr>
        <w:tab/>
      </w:r>
      <w:r>
        <w:rPr>
          <w:rFonts w:hint="eastAsia"/>
        </w:rPr>
        <w:fldChar w:fldCharType="begin"/>
      </w:r>
      <w:r>
        <w:rPr>
          <w:rFonts w:hint="eastAsia"/>
        </w:rPr>
        <w:instrText xml:space="preserve"> </w:instrText>
      </w:r>
      <w:r>
        <w:instrText xml:space="preserve">PAGEREF _Toc229216688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C1C5912">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"_Toc229216689" </w:instrText>
      </w:r>
      <w:r>
        <w:fldChar w:fldCharType="separate"/>
      </w:r>
      <w:r>
        <w:rPr>
          <w:rStyle w:val="65"/>
          <w:rFonts w:eastAsia="黑体"/>
          <w:bCs/>
        </w:rPr>
        <w:t>2.2 范围和界限</w:t>
      </w:r>
      <w:r>
        <w:rPr>
          <w:rFonts w:hint="eastAsia"/>
        </w:rPr>
        <w:tab/>
      </w:r>
      <w:r>
        <w:rPr>
          <w:rFonts w:hint="eastAsia"/>
        </w:rPr>
        <w:fldChar w:fldCharType="begin"/>
      </w:r>
      <w:r>
        <w:rPr>
          <w:rFonts w:hint="eastAsia"/>
        </w:rPr>
        <w:instrText xml:space="preserve"> </w:instrText>
      </w:r>
      <w:r>
        <w:instrText xml:space="preserve">PAGEREF _Toc229216689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6921155">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"_Toc229216690" </w:instrText>
      </w:r>
      <w:r>
        <w:fldChar w:fldCharType="separate"/>
      </w:r>
      <w:r>
        <w:rPr>
          <w:rStyle w:val="65"/>
          <w:rFonts w:eastAsia="黑体"/>
          <w:bCs/>
        </w:rPr>
        <w:t>2.3 服务范围</w:t>
      </w:r>
      <w:r>
        <w:rPr>
          <w:rFonts w:hint="eastAsia"/>
        </w:rPr>
        <w:tab/>
      </w:r>
      <w:r>
        <w:rPr>
          <w:rFonts w:hint="eastAsia"/>
        </w:rPr>
        <w:fldChar w:fldCharType="begin"/>
      </w:r>
      <w:r>
        <w:rPr>
          <w:rFonts w:hint="eastAsia"/>
        </w:rPr>
        <w:instrText xml:space="preserve"> </w:instrText>
      </w:r>
      <w:r>
        <w:instrText xml:space="preserve">PAGEREF _Toc229216690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AFC53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"_Toc229216691" </w:instrText>
      </w:r>
      <w:r>
        <w:fldChar w:fldCharType="separate"/>
      </w:r>
      <w:r>
        <w:rPr>
          <w:rStyle w:val="65"/>
          <w:rFonts w:eastAsia="黑体"/>
          <w:bCs/>
        </w:rPr>
        <w:t>2.4 技术文件</w:t>
      </w:r>
      <w:r>
        <w:rPr>
          <w:rFonts w:hint="eastAsia"/>
        </w:rPr>
        <w:tab/>
      </w:r>
      <w:r>
        <w:rPr>
          <w:rFonts w:hint="eastAsia"/>
        </w:rPr>
        <w:fldChar w:fldCharType="begin"/>
      </w:r>
      <w:r>
        <w:rPr>
          <w:rFonts w:hint="eastAsia"/>
        </w:rPr>
        <w:instrText xml:space="preserve"> </w:instrText>
      </w:r>
      <w:r>
        <w:instrText xml:space="preserve">PAGEREF _Toc229216691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E2DB8EE">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"_Toc229216692" </w:instrText>
      </w:r>
      <w:r>
        <w:fldChar w:fldCharType="separate"/>
      </w:r>
      <w:r>
        <w:rPr>
          <w:rStyle w:val="65"/>
          <w:rFonts w:ascii="黑体" w:hAnsi="黑体" w:eastAsia="黑体"/>
          <w:bCs/>
        </w:rPr>
        <w:t>技术文件的组成</w:t>
      </w:r>
      <w:r>
        <w:rPr>
          <w:rFonts w:hint="eastAsia"/>
        </w:rPr>
        <w:tab/>
      </w:r>
      <w:r>
        <w:rPr>
          <w:rFonts w:hint="eastAsia"/>
        </w:rPr>
        <w:fldChar w:fldCharType="begin"/>
      </w:r>
      <w:r>
        <w:rPr>
          <w:rFonts w:hint="eastAsia"/>
        </w:rPr>
        <w:instrText xml:space="preserve"> </w:instrText>
      </w:r>
      <w:r>
        <w:instrText xml:space="preserve">PAGEREF _Toc229216692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B1C5628">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"_Toc229216693" </w:instrText>
      </w:r>
      <w:r>
        <w:fldChar w:fldCharType="separate"/>
      </w:r>
      <w:r>
        <w:rPr>
          <w:rStyle w:val="65"/>
          <w:rFonts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_Toc229216693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9221240">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"_Toc229216694" </w:instrText>
      </w:r>
      <w:r>
        <w:fldChar w:fldCharType="separate"/>
      </w:r>
      <w:r>
        <w:rPr>
          <w:rStyle w:val="65"/>
          <w:rFonts w:ascii="黑体" w:hAnsi="黑体" w:eastAsia="黑体" w:cs="黑体"/>
          <w:b/>
          <w:bCs/>
        </w:rPr>
        <w:t>4 使用条件</w:t>
      </w:r>
      <w:r>
        <w:rPr>
          <w:rFonts w:hint="eastAsia"/>
        </w:rPr>
        <w:tab/>
      </w:r>
      <w:r>
        <w:rPr>
          <w:rFonts w:hint="eastAsia"/>
        </w:rPr>
        <w:fldChar w:fldCharType="begin"/>
      </w:r>
      <w:r>
        <w:rPr>
          <w:rFonts w:hint="eastAsia"/>
        </w:rPr>
        <w:instrText xml:space="preserve"> </w:instrText>
      </w:r>
      <w:r>
        <w:instrText xml:space="preserve">PAGEREF _Toc229216694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B22F34C">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"_Toc229216695" </w:instrText>
      </w:r>
      <w:r>
        <w:fldChar w:fldCharType="separate"/>
      </w:r>
      <w:r>
        <w:rPr>
          <w:rStyle w:val="65"/>
          <w:rFonts w:eastAsia="黑体"/>
          <w:bCs/>
        </w:rPr>
        <w:t>4.1 正常工作条件</w:t>
      </w:r>
      <w:r>
        <w:rPr>
          <w:rFonts w:hint="eastAsia"/>
        </w:rPr>
        <w:tab/>
      </w:r>
      <w:r>
        <w:rPr>
          <w:rFonts w:hint="eastAsia"/>
        </w:rPr>
        <w:fldChar w:fldCharType="begin"/>
      </w:r>
      <w:r>
        <w:rPr>
          <w:rFonts w:hint="eastAsia"/>
        </w:rPr>
        <w:instrText xml:space="preserve"> </w:instrText>
      </w:r>
      <w:r>
        <w:instrText xml:space="preserve">PAGEREF _Toc229216695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6DC807B">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"_Toc229216696" </w:instrText>
      </w:r>
      <w:r>
        <w:fldChar w:fldCharType="separate"/>
      </w:r>
      <w:r>
        <w:rPr>
          <w:rStyle w:val="65"/>
          <w:rFonts w:eastAsia="黑体"/>
          <w:bCs/>
        </w:rPr>
        <w:t>4.2 特殊工作条件</w:t>
      </w:r>
      <w:r>
        <w:rPr>
          <w:rFonts w:hint="eastAsia"/>
        </w:rPr>
        <w:tab/>
      </w:r>
      <w:r>
        <w:rPr>
          <w:rFonts w:hint="eastAsia"/>
        </w:rPr>
        <w:fldChar w:fldCharType="begin"/>
      </w:r>
      <w:r>
        <w:rPr>
          <w:rFonts w:hint="eastAsia"/>
        </w:rPr>
        <w:instrText xml:space="preserve"> </w:instrText>
      </w:r>
      <w:r>
        <w:instrText xml:space="preserve">PAGEREF _Toc229216696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439A84E">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"_Toc229216697" </w:instrText>
      </w:r>
      <w:r>
        <w:fldChar w:fldCharType="separate"/>
      </w:r>
      <w:r>
        <w:rPr>
          <w:rStyle w:val="65"/>
          <w:rFonts w:ascii="黑体" w:hAnsi="黑体" w:eastAsia="黑体" w:cs="黑体"/>
          <w:b/>
          <w:bCs/>
        </w:rPr>
        <w:t>5 技术要求</w:t>
      </w:r>
      <w:r>
        <w:rPr>
          <w:rFonts w:hint="eastAsia"/>
        </w:rPr>
        <w:tab/>
      </w:r>
      <w:r>
        <w:rPr>
          <w:rFonts w:hint="eastAsia"/>
        </w:rPr>
        <w:fldChar w:fldCharType="begin"/>
      </w:r>
      <w:r>
        <w:rPr>
          <w:rFonts w:hint="eastAsia"/>
        </w:rPr>
        <w:instrText xml:space="preserve"> </w:instrText>
      </w:r>
      <w:r>
        <w:instrText xml:space="preserve">PAGEREF _Toc229216697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2FA85F6">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"_Toc229216698" </w:instrText>
      </w:r>
      <w:r>
        <w:fldChar w:fldCharType="separate"/>
      </w:r>
      <w:r>
        <w:rPr>
          <w:rStyle w:val="65"/>
          <w:rFonts w:eastAsia="黑体"/>
          <w:bCs/>
        </w:rPr>
        <w:t>5.1 机巢外观要求</w:t>
      </w:r>
      <w:r>
        <w:rPr>
          <w:rFonts w:hint="eastAsia"/>
        </w:rPr>
        <w:tab/>
      </w:r>
      <w:r>
        <w:rPr>
          <w:rFonts w:hint="eastAsia"/>
        </w:rPr>
        <w:fldChar w:fldCharType="begin"/>
      </w:r>
      <w:r>
        <w:rPr>
          <w:rFonts w:hint="eastAsia"/>
        </w:rPr>
        <w:instrText xml:space="preserve"> </w:instrText>
      </w:r>
      <w:r>
        <w:instrText xml:space="preserve">PAGEREF _Toc229216698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FF20F19">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"_Toc229216699" </w:instrText>
      </w:r>
      <w:r>
        <w:fldChar w:fldCharType="separate"/>
      </w:r>
      <w:r>
        <w:rPr>
          <w:rStyle w:val="65"/>
          <w:rFonts w:eastAsia="黑体"/>
          <w:bCs/>
        </w:rPr>
        <w:t>5.2 机巢功能要求</w:t>
      </w:r>
      <w:r>
        <w:rPr>
          <w:rFonts w:hint="eastAsia"/>
        </w:rPr>
        <w:tab/>
      </w:r>
      <w:r>
        <w:rPr>
          <w:rFonts w:hint="eastAsia"/>
        </w:rPr>
        <w:fldChar w:fldCharType="begin"/>
      </w:r>
      <w:r>
        <w:rPr>
          <w:rFonts w:hint="eastAsia"/>
        </w:rPr>
        <w:instrText xml:space="preserve"> </w:instrText>
      </w:r>
      <w:r>
        <w:instrText xml:space="preserve">PAGEREF _Toc229216699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43A1F07">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"_Toc229216700" </w:instrText>
      </w:r>
      <w:r>
        <w:fldChar w:fldCharType="separate"/>
      </w:r>
      <w:r>
        <w:rPr>
          <w:rStyle w:val="65"/>
          <w:rFonts w:eastAsia="黑体"/>
          <w:bCs/>
        </w:rPr>
        <w:t>5.3 系统基本要求</w:t>
      </w:r>
      <w:r>
        <w:rPr>
          <w:rFonts w:hint="eastAsia"/>
        </w:rPr>
        <w:tab/>
      </w:r>
      <w:r>
        <w:rPr>
          <w:rFonts w:hint="eastAsia"/>
        </w:rPr>
        <w:fldChar w:fldCharType="begin"/>
      </w:r>
      <w:r>
        <w:rPr>
          <w:rFonts w:hint="eastAsia"/>
        </w:rPr>
        <w:instrText xml:space="preserve"> </w:instrText>
      </w:r>
      <w:r>
        <w:instrText xml:space="preserve">PAGEREF _Toc229216700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4C52D94">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"_Toc229216701" </w:instrText>
      </w:r>
      <w:r>
        <w:fldChar w:fldCharType="separate"/>
      </w:r>
      <w:r>
        <w:rPr>
          <w:rStyle w:val="65"/>
          <w:rFonts w:eastAsia="黑体"/>
          <w:bCs/>
        </w:rPr>
        <w:t>5.4 系统功能要求</w:t>
      </w:r>
      <w:r>
        <w:rPr>
          <w:rFonts w:hint="eastAsia"/>
        </w:rPr>
        <w:tab/>
      </w:r>
      <w:r>
        <w:rPr>
          <w:rFonts w:hint="eastAsia"/>
        </w:rPr>
        <w:fldChar w:fldCharType="begin"/>
      </w:r>
      <w:r>
        <w:rPr>
          <w:rFonts w:hint="eastAsia"/>
        </w:rPr>
        <w:instrText xml:space="preserve"> </w:instrText>
      </w:r>
      <w:r>
        <w:instrText xml:space="preserve">PAGEREF _Toc229216701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B725F09">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"_Toc229216702" </w:instrText>
      </w:r>
      <w:r>
        <w:fldChar w:fldCharType="separate"/>
      </w:r>
      <w:r>
        <w:rPr>
          <w:rStyle w:val="65"/>
          <w:rFonts w:eastAsia="黑体"/>
          <w:bCs/>
        </w:rPr>
        <w:t>5.5 系统接入及安全要求</w:t>
      </w:r>
      <w:r>
        <w:rPr>
          <w:rFonts w:hint="eastAsia"/>
        </w:rPr>
        <w:tab/>
      </w:r>
      <w:r>
        <w:rPr>
          <w:rFonts w:hint="eastAsia"/>
        </w:rPr>
        <w:fldChar w:fldCharType="begin"/>
      </w:r>
      <w:r>
        <w:rPr>
          <w:rFonts w:hint="eastAsia"/>
        </w:rPr>
        <w:instrText xml:space="preserve"> </w:instrText>
      </w:r>
      <w:r>
        <w:instrText xml:space="preserve">PAGEREF _Toc229216702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DB48EB2">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"_Toc229216703" </w:instrText>
      </w:r>
      <w:r>
        <w:fldChar w:fldCharType="separate"/>
      </w:r>
      <w:r>
        <w:rPr>
          <w:rStyle w:val="65"/>
          <w:rFonts w:eastAsia="黑体"/>
          <w:bCs/>
        </w:rPr>
        <w:t>5.6 网络安全要求</w:t>
      </w:r>
      <w:r>
        <w:rPr>
          <w:rFonts w:hint="eastAsia"/>
        </w:rPr>
        <w:tab/>
      </w:r>
      <w:r>
        <w:rPr>
          <w:rFonts w:hint="eastAsia"/>
        </w:rPr>
        <w:fldChar w:fldCharType="begin"/>
      </w:r>
      <w:r>
        <w:rPr>
          <w:rFonts w:hint="eastAsia"/>
        </w:rPr>
        <w:instrText xml:space="preserve"> </w:instrText>
      </w:r>
      <w:r>
        <w:instrText xml:space="preserve">PAGEREF _Toc229216703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2D325DE">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"_Toc229216704" </w:instrText>
      </w:r>
      <w:r>
        <w:fldChar w:fldCharType="separate"/>
      </w:r>
      <w:r>
        <w:rPr>
          <w:rStyle w:val="65"/>
          <w:rFonts w:ascii="黑体" w:hAnsi="黑体" w:eastAsia="黑体" w:cs="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_Toc229216704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960A25F">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"_Toc229216705" </w:instrText>
      </w:r>
      <w:r>
        <w:fldChar w:fldCharType="separate"/>
      </w:r>
      <w:r>
        <w:rPr>
          <w:rStyle w:val="65"/>
          <w:rFonts w:hint="eastAsia" w:eastAsia="黑体"/>
          <w:bCs/>
        </w:rPr>
        <w:t>6.1</w:t>
      </w:r>
      <w:r>
        <w:rPr>
          <w:rStyle w:val="65"/>
          <w:rFonts w:ascii="黑体" w:hAnsi="黑体" w:eastAsia="黑体"/>
          <w:bCs/>
        </w:rPr>
        <w:t xml:space="preserve"> 试验环境</w:t>
      </w:r>
      <w:r>
        <w:rPr>
          <w:rFonts w:hint="eastAsia"/>
        </w:rPr>
        <w:tab/>
      </w:r>
      <w:r>
        <w:rPr>
          <w:rFonts w:hint="eastAsia"/>
        </w:rPr>
        <w:fldChar w:fldCharType="begin"/>
      </w:r>
      <w:r>
        <w:rPr>
          <w:rFonts w:hint="eastAsia"/>
        </w:rPr>
        <w:instrText xml:space="preserve"> </w:instrText>
      </w:r>
      <w:r>
        <w:instrText xml:space="preserve">PAGEREF _Toc229216705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B41DF7E">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"_Toc229216706" </w:instrText>
      </w:r>
      <w:r>
        <w:fldChar w:fldCharType="separate"/>
      </w:r>
      <w:r>
        <w:rPr>
          <w:rStyle w:val="65"/>
          <w:rFonts w:hint="eastAsia" w:eastAsia="黑体"/>
          <w:bCs/>
        </w:rPr>
        <w:t>6.2</w:t>
      </w:r>
      <w:r>
        <w:rPr>
          <w:rStyle w:val="65"/>
          <w:rFonts w:ascii="黑体" w:hAnsi="黑体" w:eastAsia="黑体"/>
          <w:bCs/>
        </w:rPr>
        <w:t xml:space="preserve"> 环境适应性试验</w:t>
      </w:r>
      <w:r>
        <w:rPr>
          <w:rFonts w:hint="eastAsia"/>
        </w:rPr>
        <w:tab/>
      </w:r>
      <w:r>
        <w:rPr>
          <w:rFonts w:hint="eastAsia"/>
        </w:rPr>
        <w:fldChar w:fldCharType="begin"/>
      </w:r>
      <w:r>
        <w:rPr>
          <w:rFonts w:hint="eastAsia"/>
        </w:rPr>
        <w:instrText xml:space="preserve"> </w:instrText>
      </w:r>
      <w:r>
        <w:instrText xml:space="preserve">PAGEREF _Toc229216706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927BB7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"_Toc229216707" </w:instrText>
      </w:r>
      <w:r>
        <w:fldChar w:fldCharType="separate"/>
      </w:r>
      <w:r>
        <w:rPr>
          <w:rStyle w:val="65"/>
          <w:rFonts w:hint="eastAsia" w:eastAsia="黑体"/>
          <w:bCs/>
        </w:rPr>
        <w:t>6.3</w:t>
      </w:r>
      <w:r>
        <w:rPr>
          <w:rStyle w:val="65"/>
          <w:rFonts w:ascii="黑体" w:hAnsi="黑体" w:eastAsia="黑体"/>
          <w:bCs/>
        </w:rPr>
        <w:t xml:space="preserve"> 外观结构检查</w:t>
      </w:r>
      <w:r>
        <w:rPr>
          <w:rFonts w:hint="eastAsia"/>
        </w:rPr>
        <w:tab/>
      </w:r>
      <w:r>
        <w:rPr>
          <w:rFonts w:hint="eastAsia"/>
        </w:rPr>
        <w:fldChar w:fldCharType="begin"/>
      </w:r>
      <w:r>
        <w:rPr>
          <w:rFonts w:hint="eastAsia"/>
        </w:rPr>
        <w:instrText xml:space="preserve"> </w:instrText>
      </w:r>
      <w:r>
        <w:instrText xml:space="preserve">PAGEREF _Toc229216707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44FA423">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"_Toc229216708" </w:instrText>
      </w:r>
      <w:r>
        <w:fldChar w:fldCharType="separate"/>
      </w:r>
      <w:r>
        <w:rPr>
          <w:rStyle w:val="65"/>
          <w:rFonts w:hint="eastAsia" w:eastAsia="黑体"/>
          <w:bCs/>
        </w:rPr>
        <w:t>6.4</w:t>
      </w:r>
      <w:r>
        <w:rPr>
          <w:rStyle w:val="65"/>
          <w:rFonts w:ascii="黑体" w:hAnsi="黑体" w:eastAsia="黑体"/>
          <w:bCs/>
        </w:rPr>
        <w:t xml:space="preserve"> 基本功能试验</w:t>
      </w:r>
      <w:r>
        <w:rPr>
          <w:rFonts w:hint="eastAsia"/>
        </w:rPr>
        <w:tab/>
      </w:r>
      <w:r>
        <w:rPr>
          <w:rFonts w:hint="eastAsia"/>
        </w:rPr>
        <w:fldChar w:fldCharType="begin"/>
      </w:r>
      <w:r>
        <w:rPr>
          <w:rFonts w:hint="eastAsia"/>
        </w:rPr>
        <w:instrText xml:space="preserve"> </w:instrText>
      </w:r>
      <w:r>
        <w:instrText xml:space="preserve">PAGEREF _Toc229216708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E58BFBD">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"_Toc229216709" </w:instrText>
      </w:r>
      <w:r>
        <w:fldChar w:fldCharType="separate"/>
      </w:r>
      <w:r>
        <w:rPr>
          <w:rStyle w:val="65"/>
          <w:rFonts w:hint="eastAsia" w:eastAsia="黑体"/>
          <w:bCs/>
        </w:rPr>
        <w:t xml:space="preserve">6.5 </w:t>
      </w:r>
      <w:r>
        <w:rPr>
          <w:rStyle w:val="65"/>
          <w:rFonts w:ascii="黑体" w:hAnsi="黑体" w:eastAsia="黑体"/>
          <w:bCs/>
        </w:rPr>
        <w:t>起降与停靠补充试验</w:t>
      </w:r>
      <w:r>
        <w:rPr>
          <w:rFonts w:hint="eastAsia"/>
        </w:rPr>
        <w:tab/>
      </w:r>
      <w:r>
        <w:rPr>
          <w:rFonts w:hint="eastAsia"/>
        </w:rPr>
        <w:fldChar w:fldCharType="begin"/>
      </w:r>
      <w:r>
        <w:rPr>
          <w:rFonts w:hint="eastAsia"/>
        </w:rPr>
        <w:instrText xml:space="preserve"> </w:instrText>
      </w:r>
      <w:r>
        <w:instrText xml:space="preserve">PAGEREF _Toc229216709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DC07426">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"_Toc229216710" </w:instrText>
      </w:r>
      <w:r>
        <w:fldChar w:fldCharType="separate"/>
      </w:r>
      <w:r>
        <w:rPr>
          <w:rStyle w:val="65"/>
          <w:rFonts w:hint="eastAsia" w:eastAsia="黑体"/>
          <w:bCs/>
        </w:rPr>
        <w:t>6.6</w:t>
      </w:r>
      <w:r>
        <w:rPr>
          <w:rStyle w:val="65"/>
          <w:rFonts w:ascii="黑体" w:hAnsi="黑体" w:eastAsia="黑体"/>
          <w:bCs/>
        </w:rPr>
        <w:t xml:space="preserve"> 自动充电与充电保护试验</w:t>
      </w:r>
      <w:r>
        <w:rPr>
          <w:rFonts w:hint="eastAsia"/>
        </w:rPr>
        <w:tab/>
      </w:r>
      <w:r>
        <w:rPr>
          <w:rFonts w:hint="eastAsia"/>
        </w:rPr>
        <w:fldChar w:fldCharType="begin"/>
      </w:r>
      <w:r>
        <w:rPr>
          <w:rFonts w:hint="eastAsia"/>
        </w:rPr>
        <w:instrText xml:space="preserve"> </w:instrText>
      </w:r>
      <w:r>
        <w:instrText xml:space="preserve">PAGEREF _Toc229216710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B34C260">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"_Toc229216711" </w:instrText>
      </w:r>
      <w:r>
        <w:fldChar w:fldCharType="separate"/>
      </w:r>
      <w:r>
        <w:rPr>
          <w:rStyle w:val="65"/>
          <w:rFonts w:hint="eastAsia" w:eastAsia="黑体"/>
          <w:bCs/>
        </w:rPr>
        <w:t>6.7</w:t>
      </w:r>
      <w:r>
        <w:rPr>
          <w:rStyle w:val="65"/>
          <w:rFonts w:ascii="黑体" w:hAnsi="黑体" w:eastAsia="黑体"/>
          <w:bCs/>
        </w:rPr>
        <w:t xml:space="preserve"> 备用电源功能试验</w:t>
      </w:r>
      <w:r>
        <w:rPr>
          <w:rFonts w:hint="eastAsia"/>
        </w:rPr>
        <w:tab/>
      </w:r>
      <w:r>
        <w:rPr>
          <w:rFonts w:hint="eastAsia"/>
        </w:rPr>
        <w:fldChar w:fldCharType="begin"/>
      </w:r>
      <w:r>
        <w:rPr>
          <w:rFonts w:hint="eastAsia"/>
        </w:rPr>
        <w:instrText xml:space="preserve"> </w:instrText>
      </w:r>
      <w:r>
        <w:instrText xml:space="preserve">PAGEREF _Toc229216711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211BE5C">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"_Toc229216712" </w:instrText>
      </w:r>
      <w:r>
        <w:fldChar w:fldCharType="separate"/>
      </w:r>
      <w:r>
        <w:rPr>
          <w:rStyle w:val="65"/>
          <w:rFonts w:hint="eastAsia" w:eastAsia="黑体"/>
          <w:bCs/>
        </w:rPr>
        <w:t>6.8</w:t>
      </w:r>
      <w:r>
        <w:rPr>
          <w:rStyle w:val="65"/>
          <w:rFonts w:ascii="黑体" w:hAnsi="黑体" w:eastAsia="黑体"/>
          <w:bCs/>
        </w:rPr>
        <w:t xml:space="preserve"> 远程控制功能试验</w:t>
      </w:r>
      <w:r>
        <w:rPr>
          <w:rFonts w:hint="eastAsia"/>
        </w:rPr>
        <w:tab/>
      </w:r>
      <w:r>
        <w:rPr>
          <w:rFonts w:hint="eastAsia"/>
        </w:rPr>
        <w:fldChar w:fldCharType="begin"/>
      </w:r>
      <w:r>
        <w:rPr>
          <w:rFonts w:hint="eastAsia"/>
        </w:rPr>
        <w:instrText xml:space="preserve"> </w:instrText>
      </w:r>
      <w:r>
        <w:instrText xml:space="preserve">PAGEREF _Toc229216712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DC08EF6">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"_Toc229216713" </w:instrText>
      </w:r>
      <w:r>
        <w:fldChar w:fldCharType="separate"/>
      </w:r>
      <w:r>
        <w:rPr>
          <w:rStyle w:val="65"/>
          <w:rFonts w:hint="eastAsia" w:eastAsia="黑体"/>
          <w:bCs/>
        </w:rPr>
        <w:t>6.9</w:t>
      </w:r>
      <w:r>
        <w:rPr>
          <w:rStyle w:val="65"/>
          <w:rFonts w:ascii="黑体" w:hAnsi="黑体" w:eastAsia="黑体"/>
          <w:bCs/>
        </w:rPr>
        <w:t xml:space="preserve"> 应急功能试验</w:t>
      </w:r>
      <w:r>
        <w:rPr>
          <w:rFonts w:hint="eastAsia"/>
        </w:rPr>
        <w:tab/>
      </w:r>
      <w:r>
        <w:rPr>
          <w:rFonts w:hint="eastAsia"/>
        </w:rPr>
        <w:fldChar w:fldCharType="begin"/>
      </w:r>
      <w:r>
        <w:rPr>
          <w:rFonts w:hint="eastAsia"/>
        </w:rPr>
        <w:instrText xml:space="preserve"> </w:instrText>
      </w:r>
      <w:r>
        <w:instrText xml:space="preserve">PAGEREF _Toc229216713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F394E67">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"_Toc229216714" </w:instrText>
      </w:r>
      <w:r>
        <w:fldChar w:fldCharType="separate"/>
      </w:r>
      <w:r>
        <w:rPr>
          <w:rStyle w:val="65"/>
          <w:rFonts w:hint="eastAsia" w:eastAsia="黑体"/>
          <w:bCs/>
        </w:rPr>
        <w:t>6.10</w:t>
      </w:r>
      <w:r>
        <w:rPr>
          <w:rStyle w:val="65"/>
          <w:rFonts w:ascii="黑体" w:hAnsi="黑体" w:eastAsia="黑体"/>
          <w:bCs/>
        </w:rPr>
        <w:t xml:space="preserve"> 数据传输试验</w:t>
      </w:r>
      <w:r>
        <w:rPr>
          <w:rFonts w:hint="eastAsia"/>
        </w:rPr>
        <w:tab/>
      </w:r>
      <w:r>
        <w:rPr>
          <w:rFonts w:hint="eastAsia"/>
        </w:rPr>
        <w:fldChar w:fldCharType="begin"/>
      </w:r>
      <w:r>
        <w:rPr>
          <w:rFonts w:hint="eastAsia"/>
        </w:rPr>
        <w:instrText xml:space="preserve"> </w:instrText>
      </w:r>
      <w:r>
        <w:instrText xml:space="preserve">PAGEREF _Toc229216714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481B9DC">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"_Toc229216715" </w:instrText>
      </w:r>
      <w:r>
        <w:fldChar w:fldCharType="separate"/>
      </w:r>
      <w:r>
        <w:rPr>
          <w:rStyle w:val="65"/>
          <w:rFonts w:hint="eastAsia" w:eastAsia="黑体"/>
          <w:bCs/>
        </w:rPr>
        <w:t>6.11</w:t>
      </w:r>
      <w:r>
        <w:rPr>
          <w:rStyle w:val="65"/>
          <w:rFonts w:ascii="黑体" w:hAnsi="黑体" w:eastAsia="黑体"/>
          <w:bCs/>
        </w:rPr>
        <w:t xml:space="preserve"> 自检与故障诊断试验</w:t>
      </w:r>
      <w:r>
        <w:rPr>
          <w:rFonts w:hint="eastAsia"/>
        </w:rPr>
        <w:tab/>
      </w:r>
      <w:r>
        <w:rPr>
          <w:rFonts w:hint="eastAsia"/>
        </w:rPr>
        <w:fldChar w:fldCharType="begin"/>
      </w:r>
      <w:r>
        <w:rPr>
          <w:rFonts w:hint="eastAsia"/>
        </w:rPr>
        <w:instrText xml:space="preserve"> </w:instrText>
      </w:r>
      <w:r>
        <w:instrText xml:space="preserve">PAGEREF _Toc229216715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FC3EAE2">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"_Toc229216716" </w:instrText>
      </w:r>
      <w:r>
        <w:fldChar w:fldCharType="separate"/>
      </w:r>
      <w:r>
        <w:rPr>
          <w:rStyle w:val="65"/>
          <w:rFonts w:hint="eastAsia" w:eastAsia="黑体"/>
          <w:bCs/>
        </w:rPr>
        <w:t>6.12</w:t>
      </w:r>
      <w:r>
        <w:rPr>
          <w:rStyle w:val="65"/>
          <w:rFonts w:ascii="黑体" w:hAnsi="黑体" w:eastAsia="黑体"/>
          <w:bCs/>
        </w:rPr>
        <w:t xml:space="preserve"> 防护性能试验</w:t>
      </w:r>
      <w:r>
        <w:rPr>
          <w:rFonts w:hint="eastAsia"/>
        </w:rPr>
        <w:tab/>
      </w:r>
      <w:r>
        <w:rPr>
          <w:rFonts w:hint="eastAsia"/>
        </w:rPr>
        <w:fldChar w:fldCharType="begin"/>
      </w:r>
      <w:r>
        <w:rPr>
          <w:rFonts w:hint="eastAsia"/>
        </w:rPr>
        <w:instrText xml:space="preserve"> </w:instrText>
      </w:r>
      <w:r>
        <w:instrText xml:space="preserve">PAGEREF _Toc229216716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A16E8A0">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"_Toc229216717" </w:instrText>
      </w:r>
      <w:r>
        <w:fldChar w:fldCharType="separate"/>
      </w:r>
      <w:r>
        <w:rPr>
          <w:rStyle w:val="65"/>
          <w:rFonts w:hint="eastAsia" w:eastAsia="黑体"/>
          <w:bCs/>
        </w:rPr>
        <w:t>6.13</w:t>
      </w:r>
      <w:r>
        <w:rPr>
          <w:rStyle w:val="65"/>
          <w:rFonts w:ascii="黑体" w:hAnsi="黑体" w:eastAsia="黑体"/>
          <w:bCs/>
        </w:rPr>
        <w:t xml:space="preserve"> 机械性能试验</w:t>
      </w:r>
      <w:r>
        <w:rPr>
          <w:rFonts w:hint="eastAsia"/>
        </w:rPr>
        <w:tab/>
      </w:r>
      <w:r>
        <w:rPr>
          <w:rFonts w:hint="eastAsia"/>
        </w:rPr>
        <w:fldChar w:fldCharType="begin"/>
      </w:r>
      <w:r>
        <w:rPr>
          <w:rFonts w:hint="eastAsia"/>
        </w:rPr>
        <w:instrText xml:space="preserve"> </w:instrText>
      </w:r>
      <w:r>
        <w:instrText xml:space="preserve">PAGEREF _Toc229216717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BE6F3CD">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"_Toc229216718" </w:instrText>
      </w:r>
      <w:r>
        <w:fldChar w:fldCharType="separate"/>
      </w:r>
      <w:r>
        <w:rPr>
          <w:rStyle w:val="65"/>
          <w:rFonts w:hint="eastAsia" w:eastAsia="黑体"/>
          <w:bCs/>
        </w:rPr>
        <w:t>6.14</w:t>
      </w:r>
      <w:r>
        <w:rPr>
          <w:rStyle w:val="65"/>
          <w:rFonts w:ascii="黑体" w:hAnsi="黑体" w:eastAsia="黑体"/>
          <w:bCs/>
        </w:rPr>
        <w:t xml:space="preserve"> 无线通信性能试验</w:t>
      </w:r>
      <w:r>
        <w:rPr>
          <w:rFonts w:hint="eastAsia"/>
        </w:rPr>
        <w:tab/>
      </w:r>
      <w:r>
        <w:rPr>
          <w:rFonts w:hint="eastAsia"/>
        </w:rPr>
        <w:fldChar w:fldCharType="begin"/>
      </w:r>
      <w:r>
        <w:rPr>
          <w:rFonts w:hint="eastAsia"/>
        </w:rPr>
        <w:instrText xml:space="preserve"> </w:instrText>
      </w:r>
      <w:r>
        <w:instrText xml:space="preserve">PAGEREF _Toc229216718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623E9B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"_Toc229216719" </w:instrText>
      </w:r>
      <w:r>
        <w:fldChar w:fldCharType="separate"/>
      </w:r>
      <w:r>
        <w:rPr>
          <w:rStyle w:val="65"/>
          <w:rFonts w:hint="eastAsia" w:eastAsia="黑体"/>
          <w:bCs/>
        </w:rPr>
        <w:t>6.15</w:t>
      </w:r>
      <w:r>
        <w:rPr>
          <w:rStyle w:val="65"/>
          <w:rFonts w:ascii="黑体" w:hAnsi="黑体" w:eastAsia="黑体"/>
          <w:bCs/>
        </w:rPr>
        <w:t xml:space="preserve"> 信息安全试验</w:t>
      </w:r>
      <w:r>
        <w:rPr>
          <w:rFonts w:hint="eastAsia"/>
        </w:rPr>
        <w:tab/>
      </w:r>
      <w:r>
        <w:rPr>
          <w:rFonts w:hint="eastAsia"/>
        </w:rPr>
        <w:fldChar w:fldCharType="begin"/>
      </w:r>
      <w:r>
        <w:rPr>
          <w:rFonts w:hint="eastAsia"/>
        </w:rPr>
        <w:instrText xml:space="preserve"> </w:instrText>
      </w:r>
      <w:r>
        <w:instrText xml:space="preserve">PAGEREF _Toc229216719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ACA2791">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"_Toc229216720" </w:instrText>
      </w:r>
      <w:r>
        <w:fldChar w:fldCharType="separate"/>
      </w:r>
      <w:r>
        <w:rPr>
          <w:rStyle w:val="65"/>
          <w:rFonts w:hint="eastAsia" w:eastAsia="黑体"/>
          <w:bCs/>
        </w:rPr>
        <w:t xml:space="preserve">6.16 </w:t>
      </w:r>
      <w:r>
        <w:rPr>
          <w:rStyle w:val="65"/>
          <w:rFonts w:ascii="黑体" w:hAnsi="黑体" w:eastAsia="黑体"/>
          <w:bCs/>
        </w:rPr>
        <w:t>电气安全试验</w:t>
      </w:r>
      <w:r>
        <w:rPr>
          <w:rFonts w:hint="eastAsia"/>
        </w:rPr>
        <w:tab/>
      </w:r>
      <w:r>
        <w:rPr>
          <w:rFonts w:hint="eastAsia"/>
        </w:rPr>
        <w:fldChar w:fldCharType="begin"/>
      </w:r>
      <w:r>
        <w:rPr>
          <w:rFonts w:hint="eastAsia"/>
        </w:rPr>
        <w:instrText xml:space="preserve"> </w:instrText>
      </w:r>
      <w:r>
        <w:instrText xml:space="preserve">PAGEREF _Toc229216720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85C927D">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"_Toc229216721" </w:instrText>
      </w:r>
      <w:r>
        <w:fldChar w:fldCharType="separate"/>
      </w:r>
      <w:r>
        <w:rPr>
          <w:rStyle w:val="65"/>
          <w:rFonts w:hint="eastAsia" w:eastAsia="黑体"/>
          <w:bCs/>
        </w:rPr>
        <w:t>6.17</w:t>
      </w:r>
      <w:r>
        <w:rPr>
          <w:rStyle w:val="65"/>
          <w:rFonts w:ascii="黑体" w:hAnsi="黑体" w:eastAsia="黑体"/>
          <w:bCs/>
        </w:rPr>
        <w:t xml:space="preserve"> 电磁兼容试验</w:t>
      </w:r>
      <w:r>
        <w:rPr>
          <w:rFonts w:hint="eastAsia"/>
        </w:rPr>
        <w:tab/>
      </w:r>
      <w:r>
        <w:rPr>
          <w:rFonts w:hint="eastAsia"/>
        </w:rPr>
        <w:fldChar w:fldCharType="begin"/>
      </w:r>
      <w:r>
        <w:rPr>
          <w:rFonts w:hint="eastAsia"/>
        </w:rPr>
        <w:instrText xml:space="preserve"> </w:instrText>
      </w:r>
      <w:r>
        <w:instrText xml:space="preserve">PAGEREF _Toc229216721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26C6A59">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"_Toc229216722" </w:instrText>
      </w:r>
      <w:r>
        <w:fldChar w:fldCharType="separate"/>
      </w:r>
      <w:r>
        <w:rPr>
          <w:rStyle w:val="65"/>
          <w:rFonts w:hint="eastAsia" w:eastAsia="黑体"/>
          <w:bCs/>
        </w:rPr>
        <w:t>6.18</w:t>
      </w:r>
      <w:r>
        <w:rPr>
          <w:rStyle w:val="65"/>
          <w:rFonts w:ascii="黑体" w:hAnsi="黑体" w:eastAsia="黑体"/>
          <w:bCs/>
        </w:rPr>
        <w:t xml:space="preserve"> 水浸与防盗报警功能试验</w:t>
      </w:r>
      <w:r>
        <w:rPr>
          <w:rFonts w:hint="eastAsia"/>
        </w:rPr>
        <w:tab/>
      </w:r>
      <w:r>
        <w:rPr>
          <w:rFonts w:hint="eastAsia"/>
        </w:rPr>
        <w:fldChar w:fldCharType="begin"/>
      </w:r>
      <w:r>
        <w:rPr>
          <w:rFonts w:hint="eastAsia"/>
        </w:rPr>
        <w:instrText xml:space="preserve"> </w:instrText>
      </w:r>
      <w:r>
        <w:instrText xml:space="preserve">PAGEREF _Toc229216722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438C739">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"_Toc229216723" </w:instrText>
      </w:r>
      <w:r>
        <w:fldChar w:fldCharType="separate"/>
      </w:r>
      <w:r>
        <w:rPr>
          <w:rStyle w:val="65"/>
          <w:rFonts w:eastAsia="黑体"/>
          <w:kern w:val="44"/>
        </w:rPr>
        <w:t>7 检验规则</w:t>
      </w:r>
      <w:r>
        <w:rPr>
          <w:rFonts w:hint="eastAsia"/>
        </w:rPr>
        <w:tab/>
      </w:r>
      <w:r>
        <w:rPr>
          <w:rFonts w:hint="eastAsia"/>
        </w:rPr>
        <w:fldChar w:fldCharType="begin"/>
      </w:r>
      <w:r>
        <w:rPr>
          <w:rFonts w:hint="eastAsia"/>
        </w:rPr>
        <w:instrText xml:space="preserve"> </w:instrText>
      </w:r>
      <w:r>
        <w:instrText xml:space="preserve">PAGEREF _Toc229216723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13FCF51">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"_Toc229216724" </w:instrText>
      </w:r>
      <w:r>
        <w:fldChar w:fldCharType="separate"/>
      </w:r>
      <w:r>
        <w:rPr>
          <w:rStyle w:val="65"/>
          <w:rFonts w:hint="eastAsia" w:eastAsia="黑体"/>
          <w:bCs/>
        </w:rPr>
        <w:t>7.1</w:t>
      </w:r>
      <w:r>
        <w:rPr>
          <w:rStyle w:val="65"/>
          <w:rFonts w:ascii="黑体" w:hAnsi="黑体" w:eastAsia="黑体"/>
          <w:bCs/>
        </w:rPr>
        <w:t xml:space="preserve"> 型式试验</w:t>
      </w:r>
      <w:r>
        <w:rPr>
          <w:rFonts w:hint="eastAsia"/>
        </w:rPr>
        <w:tab/>
      </w:r>
      <w:r>
        <w:rPr>
          <w:rFonts w:hint="eastAsia"/>
        </w:rPr>
        <w:fldChar w:fldCharType="begin"/>
      </w:r>
      <w:r>
        <w:rPr>
          <w:rFonts w:hint="eastAsia"/>
        </w:rPr>
        <w:instrText xml:space="preserve"> </w:instrText>
      </w:r>
      <w:r>
        <w:instrText xml:space="preserve">PAGEREF _Toc229216724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80128C6">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"_Toc229216725" </w:instrText>
      </w:r>
      <w:r>
        <w:fldChar w:fldCharType="separate"/>
      </w:r>
      <w:r>
        <w:rPr>
          <w:rStyle w:val="65"/>
          <w:rFonts w:hint="eastAsia" w:eastAsia="黑体"/>
          <w:bCs/>
        </w:rPr>
        <w:t xml:space="preserve">7.2 </w:t>
      </w:r>
      <w:r>
        <w:rPr>
          <w:rStyle w:val="65"/>
          <w:rFonts w:ascii="黑体" w:hAnsi="黑体" w:eastAsia="黑体"/>
          <w:bCs/>
        </w:rPr>
        <w:t>出厂检验</w:t>
      </w:r>
      <w:r>
        <w:rPr>
          <w:rFonts w:hint="eastAsia"/>
        </w:rPr>
        <w:tab/>
      </w:r>
      <w:r>
        <w:rPr>
          <w:rFonts w:hint="eastAsia"/>
        </w:rPr>
        <w:fldChar w:fldCharType="begin"/>
      </w:r>
      <w:r>
        <w:rPr>
          <w:rFonts w:hint="eastAsia"/>
        </w:rPr>
        <w:instrText xml:space="preserve"> </w:instrText>
      </w:r>
      <w:r>
        <w:instrText xml:space="preserve">PAGEREF _Toc229216725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F85FF4E">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"_Toc229216726" </w:instrText>
      </w:r>
      <w:r>
        <w:fldChar w:fldCharType="separate"/>
      </w:r>
      <w:r>
        <w:rPr>
          <w:rStyle w:val="65"/>
          <w:rFonts w:hint="eastAsia" w:eastAsia="黑体"/>
          <w:bCs/>
        </w:rPr>
        <w:t>7.3</w:t>
      </w:r>
      <w:r>
        <w:rPr>
          <w:rStyle w:val="65"/>
          <w:rFonts w:ascii="黑体" w:hAnsi="黑体" w:eastAsia="黑体"/>
          <w:bCs/>
        </w:rPr>
        <w:t xml:space="preserve"> 送样检测</w:t>
      </w:r>
      <w:r>
        <w:rPr>
          <w:rFonts w:hint="eastAsia"/>
        </w:rPr>
        <w:tab/>
      </w:r>
      <w:r>
        <w:rPr>
          <w:rFonts w:hint="eastAsia"/>
        </w:rPr>
        <w:fldChar w:fldCharType="begin"/>
      </w:r>
      <w:r>
        <w:rPr>
          <w:rFonts w:hint="eastAsia"/>
        </w:rPr>
        <w:instrText xml:space="preserve"> </w:instrText>
      </w:r>
      <w:r>
        <w:instrText xml:space="preserve">PAGEREF _Toc229216726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02A04934">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"_Toc229216727" </w:instrText>
      </w:r>
      <w:r>
        <w:fldChar w:fldCharType="separate"/>
      </w:r>
      <w:r>
        <w:rPr>
          <w:rStyle w:val="65"/>
          <w:rFonts w:hint="eastAsia" w:eastAsia="黑体"/>
          <w:bCs/>
        </w:rPr>
        <w:t>7.4</w:t>
      </w:r>
      <w:r>
        <w:rPr>
          <w:rStyle w:val="65"/>
          <w:rFonts w:ascii="黑体" w:hAnsi="黑体" w:eastAsia="黑体"/>
          <w:bCs/>
        </w:rPr>
        <w:t xml:space="preserve"> 到货抽检</w:t>
      </w:r>
      <w:r>
        <w:rPr>
          <w:rFonts w:hint="eastAsia"/>
        </w:rPr>
        <w:tab/>
      </w:r>
      <w:r>
        <w:rPr>
          <w:rFonts w:hint="eastAsia"/>
        </w:rPr>
        <w:fldChar w:fldCharType="begin"/>
      </w:r>
      <w:r>
        <w:rPr>
          <w:rFonts w:hint="eastAsia"/>
        </w:rPr>
        <w:instrText xml:space="preserve"> </w:instrText>
      </w:r>
      <w:r>
        <w:instrText xml:space="preserve">PAGEREF _Toc229216727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A24F8BA">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"_Toc229216728" </w:instrText>
      </w:r>
      <w:r>
        <w:fldChar w:fldCharType="separate"/>
      </w:r>
      <w:r>
        <w:rPr>
          <w:rStyle w:val="65"/>
          <w:rFonts w:hint="eastAsia" w:eastAsia="黑体"/>
          <w:bCs/>
        </w:rPr>
        <w:t xml:space="preserve">7.5 </w:t>
      </w:r>
      <w:r>
        <w:rPr>
          <w:rStyle w:val="65"/>
          <w:rFonts w:ascii="黑体" w:hAnsi="黑体" w:eastAsia="黑体"/>
          <w:bCs/>
        </w:rPr>
        <w:t>交接试验</w:t>
      </w:r>
      <w:r>
        <w:rPr>
          <w:rFonts w:hint="eastAsia"/>
        </w:rPr>
        <w:tab/>
      </w:r>
      <w:r>
        <w:rPr>
          <w:rFonts w:hint="eastAsia"/>
        </w:rPr>
        <w:fldChar w:fldCharType="begin"/>
      </w:r>
      <w:r>
        <w:rPr>
          <w:rFonts w:hint="eastAsia"/>
        </w:rPr>
        <w:instrText xml:space="preserve"> </w:instrText>
      </w:r>
      <w:r>
        <w:instrText xml:space="preserve">PAGEREF _Toc229216728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766D130">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"_Toc229216729" </w:instrText>
      </w:r>
      <w:r>
        <w:fldChar w:fldCharType="separate"/>
      </w:r>
      <w:r>
        <w:rPr>
          <w:rStyle w:val="65"/>
          <w:rFonts w:eastAsia="黑体"/>
          <w:b/>
          <w:bCs/>
        </w:rPr>
        <w:t>8 监造、包装、储存、运输、安装及质量保证</w:t>
      </w:r>
      <w:r>
        <w:rPr>
          <w:rFonts w:hint="eastAsia"/>
        </w:rPr>
        <w:tab/>
      </w:r>
      <w:r>
        <w:rPr>
          <w:rFonts w:hint="eastAsia"/>
        </w:rPr>
        <w:fldChar w:fldCharType="begin"/>
      </w:r>
      <w:r>
        <w:rPr>
          <w:rFonts w:hint="eastAsia"/>
        </w:rPr>
        <w:instrText xml:space="preserve"> </w:instrText>
      </w:r>
      <w:r>
        <w:instrText xml:space="preserve">PAGEREF _Toc229216729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E73F236">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"_Toc229216730" </w:instrText>
      </w:r>
      <w:r>
        <w:fldChar w:fldCharType="separate"/>
      </w:r>
      <w:r>
        <w:rPr>
          <w:rStyle w:val="65"/>
          <w:rFonts w:eastAsia="黑体"/>
          <w:bCs/>
        </w:rPr>
        <w:t>8.1 监造</w:t>
      </w:r>
      <w:r>
        <w:rPr>
          <w:rFonts w:hint="eastAsia"/>
        </w:rPr>
        <w:tab/>
      </w:r>
      <w:r>
        <w:rPr>
          <w:rFonts w:hint="eastAsia"/>
        </w:rPr>
        <w:fldChar w:fldCharType="begin"/>
      </w:r>
      <w:r>
        <w:rPr>
          <w:rFonts w:hint="eastAsia"/>
        </w:rPr>
        <w:instrText xml:space="preserve"> </w:instrText>
      </w:r>
      <w:r>
        <w:instrText xml:space="preserve">PAGEREF _Toc229216730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11FB7F0">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"_Toc229216731" </w:instrText>
      </w:r>
      <w:r>
        <w:fldChar w:fldCharType="separate"/>
      </w:r>
      <w:r>
        <w:rPr>
          <w:rStyle w:val="65"/>
          <w:rFonts w:eastAsia="黑体"/>
          <w:bCs/>
        </w:rPr>
        <w:t>8.2 包装</w:t>
      </w:r>
      <w:r>
        <w:rPr>
          <w:rFonts w:hint="eastAsia"/>
        </w:rPr>
        <w:tab/>
      </w:r>
      <w:r>
        <w:rPr>
          <w:rFonts w:hint="eastAsia"/>
        </w:rPr>
        <w:fldChar w:fldCharType="begin"/>
      </w:r>
      <w:r>
        <w:rPr>
          <w:rFonts w:hint="eastAsia"/>
        </w:rPr>
        <w:instrText xml:space="preserve"> </w:instrText>
      </w:r>
      <w:r>
        <w:instrText xml:space="preserve">PAGEREF _Toc229216731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8E0667B">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"_Toc229216732" </w:instrText>
      </w:r>
      <w:r>
        <w:fldChar w:fldCharType="separate"/>
      </w:r>
      <w:r>
        <w:rPr>
          <w:rStyle w:val="65"/>
          <w:rFonts w:eastAsia="黑体"/>
          <w:bCs/>
        </w:rPr>
        <w:t>8.3 储存与运输</w:t>
      </w:r>
      <w:r>
        <w:rPr>
          <w:rFonts w:hint="eastAsia"/>
        </w:rPr>
        <w:tab/>
      </w:r>
      <w:r>
        <w:rPr>
          <w:rFonts w:hint="eastAsia"/>
        </w:rPr>
        <w:fldChar w:fldCharType="begin"/>
      </w:r>
      <w:r>
        <w:rPr>
          <w:rFonts w:hint="eastAsia"/>
        </w:rPr>
        <w:instrText xml:space="preserve"> </w:instrText>
      </w:r>
      <w:r>
        <w:instrText xml:space="preserve">PAGEREF _Toc229216732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3C82C8F">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"_Toc229216733" </w:instrText>
      </w:r>
      <w:r>
        <w:fldChar w:fldCharType="separate"/>
      </w:r>
      <w:r>
        <w:rPr>
          <w:rStyle w:val="65"/>
          <w:rFonts w:eastAsia="黑体"/>
          <w:bCs/>
        </w:rPr>
        <w:t>8.4 安装及调试及技术培训</w:t>
      </w:r>
      <w:r>
        <w:rPr>
          <w:rFonts w:hint="eastAsia"/>
        </w:rPr>
        <w:tab/>
      </w:r>
      <w:r>
        <w:rPr>
          <w:rFonts w:hint="eastAsia"/>
        </w:rPr>
        <w:fldChar w:fldCharType="begin"/>
      </w:r>
      <w:r>
        <w:rPr>
          <w:rFonts w:hint="eastAsia"/>
        </w:rPr>
        <w:instrText xml:space="preserve"> </w:instrText>
      </w:r>
      <w:r>
        <w:instrText xml:space="preserve">PAGEREF _Toc229216733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1626CC6">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"_Toc229216734" </w:instrText>
      </w:r>
      <w:r>
        <w:fldChar w:fldCharType="separate"/>
      </w:r>
      <w:r>
        <w:rPr>
          <w:rStyle w:val="65"/>
          <w:rFonts w:eastAsia="黑体"/>
          <w:bCs/>
        </w:rPr>
        <w:t>8.5 质量保证</w:t>
      </w:r>
      <w:r>
        <w:rPr>
          <w:rFonts w:hint="eastAsia"/>
        </w:rPr>
        <w:tab/>
      </w:r>
      <w:r>
        <w:rPr>
          <w:rFonts w:hint="eastAsia"/>
        </w:rPr>
        <w:fldChar w:fldCharType="begin"/>
      </w:r>
      <w:r>
        <w:rPr>
          <w:rFonts w:hint="eastAsia"/>
        </w:rPr>
        <w:instrText xml:space="preserve"> </w:instrText>
      </w:r>
      <w:r>
        <w:instrText xml:space="preserve">PAGEREF _Toc229216734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7F3C777">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"_Toc229216735" </w:instrText>
      </w:r>
      <w:r>
        <w:fldChar w:fldCharType="separate"/>
      </w:r>
      <w:r>
        <w:rPr>
          <w:rStyle w:val="65"/>
          <w:rFonts w:eastAsia="黑体"/>
          <w:bCs/>
        </w:rPr>
        <w:t>8.6 售后服务</w:t>
      </w:r>
      <w:r>
        <w:rPr>
          <w:rFonts w:hint="eastAsia"/>
        </w:rPr>
        <w:tab/>
      </w:r>
      <w:r>
        <w:rPr>
          <w:rFonts w:hint="eastAsia"/>
        </w:rPr>
        <w:fldChar w:fldCharType="begin"/>
      </w:r>
      <w:r>
        <w:rPr>
          <w:rFonts w:hint="eastAsia"/>
        </w:rPr>
        <w:instrText xml:space="preserve"> </w:instrText>
      </w:r>
      <w:r>
        <w:instrText xml:space="preserve">PAGEREF _Toc229216735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E37EA6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"_Toc229216736" </w:instrText>
      </w:r>
      <w:r>
        <w:fldChar w:fldCharType="separate"/>
      </w:r>
      <w:r>
        <w:rPr>
          <w:rStyle w:val="65"/>
          <w:rFonts w:eastAsia="黑体"/>
          <w:bCs/>
        </w:rPr>
        <w:t>8.7 设备验收</w:t>
      </w:r>
      <w:r>
        <w:rPr>
          <w:rFonts w:hint="eastAsia"/>
        </w:rPr>
        <w:tab/>
      </w:r>
      <w:r>
        <w:rPr>
          <w:rFonts w:hint="eastAsia"/>
        </w:rPr>
        <w:fldChar w:fldCharType="begin"/>
      </w:r>
      <w:r>
        <w:rPr>
          <w:rFonts w:hint="eastAsia"/>
        </w:rPr>
        <w:instrText xml:space="preserve"> </w:instrText>
      </w:r>
      <w:r>
        <w:instrText xml:space="preserve">PAGEREF _Toc229216736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228913D">
      <w:pPr>
        <w:pStyle w:val="19"/>
        <w:spacing w:line="360" w:lineRule="auto"/>
        <w:rPr>
          <w:szCs w:val="21"/>
        </w:rPr>
        <w:sectPr>
          <w:headerReference r:id="rId8" w:type="default"/>
          <w:footerReference r:id="rId9" w:type="default"/>
          <w:footerReference r:id="rId10" w:type="even"/>
          <w:pgSz w:w="11906" w:h="16838"/>
          <w:pgMar w:top="1418" w:right="1418" w:bottom="1418" w:left="1365" w:header="851" w:footer="992" w:gutter="0"/>
          <w:cols w:space="720" w:num="1"/>
          <w:titlePg/>
          <w:docGrid w:type="lines" w:linePitch="312" w:charSpace="0"/>
        </w:sectPr>
      </w:pPr>
      <w:r>
        <w:rPr>
          <w:rFonts w:hint="eastAsia" w:ascii="黑体" w:hAnsi="黑体" w:eastAsia="黑体" w:cs="黑体"/>
          <w:bCs/>
          <w:szCs w:val="24"/>
        </w:rPr>
        <w:fldChar w:fldCharType="end"/>
      </w:r>
    </w:p>
    <w:p w14:paraId="2958BBEF">
      <w:pPr>
        <w:pStyle w:val="2"/>
        <w:topLinePunct/>
        <w:autoSpaceDE/>
        <w:autoSpaceDN/>
        <w:adjustRightInd/>
        <w:spacing w:before="0" w:after="0" w:line="480" w:lineRule="auto"/>
        <w:jc w:val="both"/>
        <w:rPr>
          <w:rFonts w:eastAsia="黑体"/>
          <w:kern w:val="44"/>
          <w:sz w:val="21"/>
          <w:szCs w:val="21"/>
        </w:rPr>
      </w:pPr>
      <w:bookmarkStart w:id="4" w:name="_Toc224531919"/>
      <w:bookmarkStart w:id="5" w:name="_Toc229216686"/>
      <w:bookmarkStart w:id="6" w:name="_Toc72859309"/>
      <w:bookmarkStart w:id="7" w:name="_Toc224274558"/>
      <w:bookmarkStart w:id="8" w:name="_Toc222996008"/>
      <w:r>
        <w:rPr>
          <w:rFonts w:eastAsia="黑体"/>
          <w:kern w:val="44"/>
          <w:sz w:val="21"/>
          <w:szCs w:val="21"/>
        </w:rPr>
        <w:t>1 总则</w:t>
      </w:r>
      <w:bookmarkEnd w:id="4"/>
      <w:bookmarkEnd w:id="5"/>
      <w:bookmarkEnd w:id="6"/>
      <w:bookmarkEnd w:id="7"/>
      <w:bookmarkEnd w:id="8"/>
    </w:p>
    <w:p w14:paraId="4C2E9372">
      <w:pPr>
        <w:pStyle w:val="19"/>
        <w:numPr>
          <w:ilvl w:val="0"/>
          <w:numId w:val="0"/>
        </w:numPr>
        <w:spacing w:line="360" w:lineRule="auto"/>
        <w:rPr>
          <w:kern w:val="0"/>
          <w:szCs w:val="21"/>
        </w:rPr>
      </w:pPr>
      <w:r>
        <w:rPr>
          <w:kern w:val="0"/>
          <w:szCs w:val="21"/>
        </w:rPr>
        <w:t>1.1</w:t>
      </w:r>
      <w:r>
        <w:rPr>
          <w:rFonts w:hint="eastAsia"/>
          <w:kern w:val="0"/>
          <w:szCs w:val="21"/>
        </w:rPr>
        <w:t>本</w:t>
      </w:r>
      <w:r>
        <w:rPr>
          <w:kern w:val="0"/>
          <w:szCs w:val="21"/>
        </w:rPr>
        <w:t>技术规范书</w:t>
      </w:r>
      <w:r>
        <w:rPr>
          <w:rFonts w:hint="eastAsia"/>
          <w:kern w:val="0"/>
          <w:szCs w:val="21"/>
        </w:rPr>
        <w:t>适用于中国南方电网有限责任公司微型固定式无人机机巢及相关附件（无人机机巢）采购项目，它提出了该设备本体及附属设备的功能设计、结构、性能、安装和试验等方面的技术要求。</w:t>
      </w:r>
    </w:p>
    <w:p w14:paraId="31DB4B2A">
      <w:pPr>
        <w:pStyle w:val="19"/>
        <w:numPr>
          <w:ilvl w:val="0"/>
          <w:numId w:val="0"/>
        </w:numPr>
        <w:spacing w:line="360" w:lineRule="auto"/>
        <w:rPr>
          <w:kern w:val="0"/>
          <w:szCs w:val="21"/>
        </w:rPr>
      </w:pPr>
      <w:r>
        <w:rPr>
          <w:kern w:val="0"/>
          <w:szCs w:val="21"/>
        </w:rPr>
        <w:t>1.2</w:t>
      </w:r>
      <w:r>
        <w:rPr>
          <w:rFonts w:hint="eastAsia"/>
          <w:kern w:val="0"/>
          <w:szCs w:val="21"/>
        </w:rPr>
        <w:t>本</w:t>
      </w:r>
      <w:r>
        <w:rPr>
          <w:kern w:val="0"/>
          <w:szCs w:val="21"/>
        </w:rPr>
        <w:t>技术规范书</w:t>
      </w:r>
      <w:r>
        <w:rPr>
          <w:rFonts w:hint="eastAsia"/>
          <w:kern w:val="0"/>
          <w:szCs w:val="21"/>
        </w:rPr>
        <w:t>提出的是最低限度的技术要求。凡本</w:t>
      </w:r>
      <w:r>
        <w:rPr>
          <w:kern w:val="0"/>
          <w:szCs w:val="21"/>
        </w:rPr>
        <w:t>技术规范书</w:t>
      </w:r>
      <w:r>
        <w:rPr>
          <w:rFonts w:hint="eastAsia"/>
          <w:kern w:val="0"/>
          <w:szCs w:val="21"/>
        </w:rPr>
        <w:t>中未规定，但在相关设备的行业标准、国家标准或</w:t>
      </w:r>
      <w:r>
        <w:rPr>
          <w:kern w:val="0"/>
          <w:szCs w:val="21"/>
        </w:rPr>
        <w:t>IEC</w:t>
      </w:r>
      <w:r>
        <w:rPr>
          <w:rFonts w:hint="eastAsia"/>
          <w:kern w:val="0"/>
          <w:szCs w:val="21"/>
        </w:rPr>
        <w:t>标准中有规定的规范条文，投标方应按相应标准的条文进行设备设计、制造、试验和安装。对国家有关安全、环保等强制性标准，必须满足其要求</w:t>
      </w:r>
      <w:r>
        <w:rPr>
          <w:kern w:val="0"/>
          <w:szCs w:val="21"/>
        </w:rPr>
        <w:t>（如压力容器、高电压设备等）</w:t>
      </w:r>
      <w:r>
        <w:rPr>
          <w:rFonts w:hint="eastAsia"/>
          <w:kern w:val="0"/>
          <w:szCs w:val="21"/>
        </w:rPr>
        <w:t>。</w:t>
      </w:r>
    </w:p>
    <w:p w14:paraId="44DF606D">
      <w:pPr>
        <w:pStyle w:val="19"/>
        <w:numPr>
          <w:ilvl w:val="0"/>
          <w:numId w:val="0"/>
        </w:numPr>
        <w:spacing w:line="360" w:lineRule="auto"/>
        <w:rPr>
          <w:kern w:val="0"/>
          <w:szCs w:val="21"/>
        </w:rPr>
      </w:pPr>
      <w:r>
        <w:rPr>
          <w:kern w:val="0"/>
          <w:szCs w:val="21"/>
        </w:rPr>
        <w:t>1.3</w:t>
      </w:r>
      <w:r>
        <w:rPr>
          <w:rFonts w:hint="eastAsia"/>
          <w:kern w:val="0"/>
          <w:szCs w:val="21"/>
        </w:rPr>
        <w:t>如果投标方没有以书面形式对本技术规范书的条文提出异议，则意味着投标方提供的设备完全符合本</w:t>
      </w:r>
      <w:r>
        <w:rPr>
          <w:kern w:val="0"/>
          <w:szCs w:val="21"/>
        </w:rPr>
        <w:t>技术规范书</w:t>
      </w:r>
      <w:r>
        <w:rPr>
          <w:rFonts w:hint="eastAsia"/>
          <w:kern w:val="0"/>
          <w:szCs w:val="21"/>
        </w:rPr>
        <w:t>的要求。如有异议，不管是多么微小，都应在报价书中以“对招标技术文件的意见和同招标技术文件的差异”为标题的专门章节中加以详细描述。</w:t>
      </w:r>
    </w:p>
    <w:p w14:paraId="48830B17">
      <w:pPr>
        <w:pStyle w:val="19"/>
        <w:numPr>
          <w:ilvl w:val="0"/>
          <w:numId w:val="0"/>
        </w:numPr>
        <w:spacing w:line="360" w:lineRule="auto"/>
        <w:rPr>
          <w:kern w:val="0"/>
          <w:szCs w:val="21"/>
        </w:rPr>
      </w:pPr>
      <w:r>
        <w:rPr>
          <w:kern w:val="0"/>
          <w:szCs w:val="21"/>
        </w:rPr>
        <w:t>1.4</w:t>
      </w:r>
      <w:r>
        <w:rPr>
          <w:rFonts w:hint="eastAsia"/>
          <w:kern w:val="0"/>
          <w:szCs w:val="21"/>
        </w:rPr>
        <w:t>本技术规范书所使用的标准如遇与投标方所执行的标准不一致时，按较高标准执行。</w:t>
      </w:r>
    </w:p>
    <w:p w14:paraId="664D54DC">
      <w:pPr>
        <w:pStyle w:val="19"/>
        <w:numPr>
          <w:ilvl w:val="0"/>
          <w:numId w:val="0"/>
        </w:numPr>
        <w:spacing w:line="360" w:lineRule="auto"/>
        <w:rPr>
          <w:kern w:val="0"/>
          <w:szCs w:val="21"/>
        </w:rPr>
      </w:pPr>
      <w:r>
        <w:rPr>
          <w:kern w:val="0"/>
          <w:szCs w:val="21"/>
        </w:rPr>
        <w:t>1.5</w:t>
      </w:r>
      <w:r>
        <w:rPr>
          <w:rFonts w:hint="eastAsia"/>
          <w:kern w:val="0"/>
          <w:szCs w:val="21"/>
        </w:rPr>
        <w:t>本</w:t>
      </w:r>
      <w:r>
        <w:rPr>
          <w:kern w:val="0"/>
          <w:szCs w:val="21"/>
        </w:rPr>
        <w:t>技术规范书</w:t>
      </w:r>
      <w:r>
        <w:rPr>
          <w:rFonts w:hint="eastAsia"/>
          <w:kern w:val="0"/>
          <w:szCs w:val="21"/>
        </w:rPr>
        <w:t>经招标方、投标方双方确认后作为订货合同的技术附件，与合同正文具有同等的法律效力。</w:t>
      </w:r>
    </w:p>
    <w:p w14:paraId="3FBD5E27">
      <w:pPr>
        <w:pStyle w:val="19"/>
        <w:numPr>
          <w:ilvl w:val="0"/>
          <w:numId w:val="0"/>
        </w:numPr>
        <w:spacing w:line="360" w:lineRule="auto"/>
        <w:rPr>
          <w:kern w:val="0"/>
          <w:szCs w:val="21"/>
        </w:rPr>
      </w:pPr>
      <w:r>
        <w:rPr>
          <w:rFonts w:hint="eastAsia"/>
          <w:kern w:val="0"/>
          <w:szCs w:val="21"/>
        </w:rPr>
        <w:t>1.6投标方在应答标招标技术文件中应如实反映应标产品与本</w:t>
      </w:r>
      <w:r>
        <w:rPr>
          <w:kern w:val="0"/>
          <w:szCs w:val="21"/>
        </w:rPr>
        <w:t>技术规范书</w:t>
      </w:r>
      <w:r>
        <w:rPr>
          <w:rFonts w:hint="eastAsia"/>
          <w:kern w:val="0"/>
          <w:szCs w:val="21"/>
        </w:rPr>
        <w:t>的技术差异。如果投标方没有提出技术差异，而在执行合同的过程中，招标方发现投标方提供的产品与其应标招标技术文件的条文存在差异，招标方有权利要求退货，并将对下一年度的评标工作有不同程度的影响。</w:t>
      </w:r>
    </w:p>
    <w:p w14:paraId="5ED1DD07">
      <w:pPr>
        <w:pStyle w:val="19"/>
        <w:numPr>
          <w:ilvl w:val="0"/>
          <w:numId w:val="0"/>
        </w:numPr>
        <w:spacing w:line="360" w:lineRule="auto"/>
        <w:rPr>
          <w:kern w:val="0"/>
          <w:szCs w:val="21"/>
        </w:rPr>
      </w:pPr>
      <w:r>
        <w:rPr>
          <w:rFonts w:hint="eastAsia" w:ascii="宋体" w:hAnsi="宋体" w:cs="宋体"/>
          <w:szCs w:val="21"/>
        </w:rPr>
        <w:t>投标人投标设备的技术参数如与招标书“技术要求”不符，应在 “差异表”（附表）中如实澄清，否则视为废标。</w:t>
      </w:r>
    </w:p>
    <w:p w14:paraId="34192DBC">
      <w:pPr>
        <w:pStyle w:val="19"/>
        <w:numPr>
          <w:ilvl w:val="0"/>
          <w:numId w:val="0"/>
        </w:numPr>
        <w:spacing w:line="360" w:lineRule="auto"/>
        <w:rPr>
          <w:kern w:val="0"/>
          <w:szCs w:val="21"/>
        </w:rPr>
      </w:pPr>
      <w:r>
        <w:rPr>
          <w:rFonts w:hint="eastAsia"/>
          <w:kern w:val="0"/>
          <w:szCs w:val="21"/>
        </w:rPr>
        <w:t>1.7投标方应在应标技术部分按本</w:t>
      </w:r>
      <w:r>
        <w:rPr>
          <w:kern w:val="0"/>
          <w:szCs w:val="21"/>
        </w:rPr>
        <w:t>技术规范书</w:t>
      </w:r>
      <w:r>
        <w:rPr>
          <w:rFonts w:hint="eastAsia"/>
          <w:kern w:val="0"/>
          <w:szCs w:val="21"/>
        </w:rPr>
        <w:t>的要求如实详细的填写应标设备的标准配置表，并在应标商务部分按此标准配置进行报价，如发现二者有矛盾之处，将对评标工作有不同程度的影响。</w:t>
      </w:r>
    </w:p>
    <w:p w14:paraId="44FC571E">
      <w:pPr>
        <w:pStyle w:val="19"/>
        <w:numPr>
          <w:ilvl w:val="0"/>
          <w:numId w:val="0"/>
        </w:numPr>
        <w:spacing w:line="360" w:lineRule="auto"/>
        <w:rPr>
          <w:kern w:val="0"/>
          <w:szCs w:val="21"/>
        </w:rPr>
      </w:pPr>
      <w:r>
        <w:rPr>
          <w:rFonts w:hint="eastAsia"/>
          <w:kern w:val="0"/>
          <w:szCs w:val="21"/>
        </w:rPr>
        <w:t>1.8投标方应充分理解本</w:t>
      </w:r>
      <w:r>
        <w:rPr>
          <w:kern w:val="0"/>
          <w:szCs w:val="21"/>
        </w:rPr>
        <w:t>技术规范书</w:t>
      </w:r>
      <w:r>
        <w:rPr>
          <w:rFonts w:hint="eastAsia"/>
          <w:kern w:val="0"/>
          <w:szCs w:val="21"/>
        </w:rPr>
        <w:t>并按本</w:t>
      </w:r>
      <w:r>
        <w:rPr>
          <w:kern w:val="0"/>
          <w:szCs w:val="21"/>
        </w:rPr>
        <w:t>技术规范书</w:t>
      </w:r>
      <w:r>
        <w:rPr>
          <w:rFonts w:hint="eastAsia"/>
          <w:kern w:val="0"/>
          <w:szCs w:val="21"/>
        </w:rPr>
        <w:t>的具体条款、格式要求填写应标的技术文件，如发现应标的技术文件条款、格式不符合本</w:t>
      </w:r>
      <w:r>
        <w:rPr>
          <w:kern w:val="0"/>
          <w:szCs w:val="21"/>
        </w:rPr>
        <w:t>技术规范书</w:t>
      </w:r>
      <w:r>
        <w:rPr>
          <w:rFonts w:hint="eastAsia"/>
          <w:kern w:val="0"/>
          <w:szCs w:val="21"/>
        </w:rPr>
        <w:t>的要求，则认为应标不严肃，在评标时将有不同程度的扣分。</w:t>
      </w:r>
    </w:p>
    <w:p w14:paraId="1FA7013A">
      <w:pPr>
        <w:pStyle w:val="19"/>
        <w:numPr>
          <w:ilvl w:val="0"/>
          <w:numId w:val="0"/>
        </w:numPr>
        <w:spacing w:line="360" w:lineRule="auto"/>
        <w:rPr>
          <w:kern w:val="0"/>
          <w:szCs w:val="21"/>
        </w:rPr>
      </w:pPr>
      <w:r>
        <w:rPr>
          <w:rFonts w:hint="eastAsia" w:ascii="宋体" w:hAnsi="宋体" w:cs="宋体"/>
          <w:szCs w:val="21"/>
        </w:rPr>
        <w:t>投标人应按照本技术条件书中的要求提供相应文件及响应，如文件不全或不响应，应视为废标。</w:t>
      </w:r>
    </w:p>
    <w:p w14:paraId="64E6D40D">
      <w:pPr>
        <w:pStyle w:val="19"/>
        <w:numPr>
          <w:ilvl w:val="0"/>
          <w:numId w:val="0"/>
        </w:numPr>
        <w:spacing w:line="360" w:lineRule="auto"/>
        <w:rPr>
          <w:kern w:val="0"/>
          <w:szCs w:val="21"/>
        </w:rPr>
      </w:pPr>
      <w:r>
        <w:rPr>
          <w:kern w:val="0"/>
          <w:szCs w:val="21"/>
        </w:rPr>
        <w:t>1.9</w:t>
      </w:r>
      <w:r>
        <w:rPr>
          <w:rFonts w:hint="eastAsia"/>
          <w:kern w:val="0"/>
          <w:szCs w:val="21"/>
        </w:rPr>
        <w:t>本技术规范书未尽事宜，由招标方、投标方双方协商确定。</w:t>
      </w:r>
    </w:p>
    <w:p w14:paraId="0661E997">
      <w:pPr>
        <w:pStyle w:val="19"/>
        <w:numPr>
          <w:ilvl w:val="0"/>
          <w:numId w:val="0"/>
        </w:numPr>
        <w:spacing w:line="360" w:lineRule="auto"/>
        <w:rPr>
          <w:kern w:val="0"/>
          <w:szCs w:val="21"/>
        </w:rPr>
      </w:pPr>
      <w:r>
        <w:rPr>
          <w:kern w:val="0"/>
          <w:szCs w:val="21"/>
        </w:rPr>
        <w:t>1.10</w:t>
      </w:r>
      <w:r>
        <w:rPr>
          <w:rFonts w:hint="eastAsia"/>
          <w:kern w:val="0"/>
          <w:szCs w:val="21"/>
        </w:rPr>
        <w:t>投标方应提供不少于3年的产品质量保证期。</w:t>
      </w:r>
    </w:p>
    <w:p w14:paraId="754B0AC9">
      <w:pPr>
        <w:spacing w:line="360" w:lineRule="auto"/>
        <w:rPr>
          <w:rFonts w:hint="eastAsia" w:ascii="宋体" w:hAnsi="宋体" w:cs="宋体"/>
          <w:szCs w:val="21"/>
        </w:rPr>
      </w:pPr>
      <w:r>
        <w:rPr>
          <w:rFonts w:hint="eastAsia"/>
          <w:kern w:val="0"/>
          <w:szCs w:val="21"/>
        </w:rPr>
        <w:t>1.11</w:t>
      </w:r>
      <w:r>
        <w:rPr>
          <w:rFonts w:hint="eastAsia" w:ascii="宋体" w:hAnsi="宋体" w:cs="宋体"/>
          <w:szCs w:val="21"/>
        </w:rPr>
        <w:t>投标人负责提供投标设备的现场测试、调试工作，如向第三方外购设备或配件时，投标人应对质量负责。</w:t>
      </w:r>
    </w:p>
    <w:p w14:paraId="5AE9C56B">
      <w:pPr>
        <w:spacing w:line="360" w:lineRule="auto"/>
        <w:rPr>
          <w:rFonts w:hint="eastAsia" w:ascii="宋体" w:hAnsi="宋体" w:cs="宋体"/>
          <w:szCs w:val="21"/>
        </w:rPr>
      </w:pPr>
      <w:r>
        <w:rPr>
          <w:rFonts w:hint="eastAsia"/>
          <w:kern w:val="0"/>
          <w:szCs w:val="21"/>
        </w:rPr>
        <w:t>1.12</w:t>
      </w:r>
      <w:r>
        <w:rPr>
          <w:rFonts w:hint="eastAsia" w:ascii="宋体" w:hAnsi="宋体" w:cs="宋体"/>
          <w:szCs w:val="21"/>
        </w:rPr>
        <w:t>投标人应负责为上述设备提供设备参数、培训、技术服务、质量保证等各方面工作。并提供不低于所供产品技术要求的证书及试验报告。</w:t>
      </w:r>
    </w:p>
    <w:p w14:paraId="55477236">
      <w:pPr>
        <w:spacing w:line="360" w:lineRule="auto"/>
        <w:rPr>
          <w:rFonts w:hint="eastAsia" w:ascii="宋体" w:hAnsi="宋体" w:cs="宋体"/>
          <w:szCs w:val="21"/>
        </w:rPr>
      </w:pPr>
      <w:r>
        <w:rPr>
          <w:rFonts w:hint="eastAsia"/>
          <w:kern w:val="0"/>
          <w:szCs w:val="21"/>
        </w:rPr>
        <w:t>1.13</w:t>
      </w:r>
      <w:r>
        <w:rPr>
          <w:rFonts w:hint="eastAsia" w:ascii="宋体" w:hAnsi="宋体" w:cs="宋体"/>
          <w:szCs w:val="21"/>
        </w:rPr>
        <w:t>投标人投标设备应在工厂内通过完善、严格的测试检验。</w:t>
      </w:r>
    </w:p>
    <w:p w14:paraId="30F56160">
      <w:pPr>
        <w:spacing w:line="360" w:lineRule="auto"/>
        <w:rPr>
          <w:rFonts w:hint="eastAsia" w:ascii="宋体" w:hAnsi="宋体" w:cs="宋体"/>
          <w:szCs w:val="21"/>
        </w:rPr>
      </w:pPr>
      <w:r>
        <w:rPr>
          <w:rFonts w:hint="eastAsia"/>
          <w:kern w:val="0"/>
          <w:szCs w:val="21"/>
        </w:rPr>
        <w:t>1.14</w:t>
      </w:r>
      <w:r>
        <w:rPr>
          <w:rFonts w:hint="eastAsia" w:ascii="宋体" w:hAnsi="宋体" w:cs="宋体"/>
          <w:szCs w:val="21"/>
        </w:rPr>
        <w:t>所有资料、文件、图纸要求以中文书写（原厂商的资料如果有英文资料则需要将其附带），所有计算、说明、图纸、文件、手册等采用国际单位制。</w:t>
      </w:r>
    </w:p>
    <w:p w14:paraId="50A57EF5">
      <w:pPr>
        <w:pStyle w:val="19"/>
        <w:numPr>
          <w:ilvl w:val="0"/>
          <w:numId w:val="0"/>
        </w:numPr>
        <w:spacing w:line="360" w:lineRule="auto"/>
        <w:rPr>
          <w:kern w:val="0"/>
          <w:szCs w:val="21"/>
        </w:rPr>
      </w:pPr>
      <w:r>
        <w:rPr>
          <w:rFonts w:hint="eastAsia"/>
          <w:kern w:val="0"/>
          <w:szCs w:val="21"/>
        </w:rPr>
        <w:t>1.15</w:t>
      </w:r>
      <w:r>
        <w:rPr>
          <w:rFonts w:hint="eastAsia" w:ascii="宋体" w:hAnsi="宋体" w:cs="宋体"/>
          <w:szCs w:val="21"/>
        </w:rPr>
        <w:t>本技术规范书的解释权属于南方电网通用航空服务有限公司。技术规范书未经南方电网通用航空服务有限公司同意，任何个人和单位不得做出任何修改。</w:t>
      </w:r>
    </w:p>
    <w:p w14:paraId="78046A19">
      <w:pPr>
        <w:spacing w:line="480" w:lineRule="auto"/>
        <w:outlineLvl w:val="0"/>
        <w:rPr>
          <w:rFonts w:eastAsia="黑体"/>
          <w:b/>
          <w:bCs/>
          <w:szCs w:val="21"/>
        </w:rPr>
      </w:pPr>
      <w:bookmarkStart w:id="9" w:name="_Toc229216687"/>
      <w:bookmarkStart w:id="10" w:name="_Toc72859310"/>
      <w:bookmarkStart w:id="11" w:name="_Toc222996009"/>
      <w:r>
        <w:rPr>
          <w:rFonts w:eastAsia="黑体"/>
          <w:b/>
          <w:bCs/>
          <w:szCs w:val="21"/>
        </w:rPr>
        <w:t>2 工作范围</w:t>
      </w:r>
      <w:bookmarkEnd w:id="9"/>
      <w:bookmarkEnd w:id="10"/>
      <w:bookmarkEnd w:id="11"/>
    </w:p>
    <w:p w14:paraId="5C672CE7">
      <w:pPr>
        <w:pStyle w:val="3"/>
        <w:spacing w:before="0" w:after="0" w:line="360" w:lineRule="auto"/>
        <w:rPr>
          <w:rFonts w:ascii="Times New Roman" w:hAnsi="Times New Roman" w:eastAsia="黑体"/>
          <w:b w:val="0"/>
          <w:bCs/>
          <w:szCs w:val="21"/>
        </w:rPr>
      </w:pPr>
      <w:bookmarkStart w:id="12" w:name="_Toc72859311"/>
      <w:bookmarkStart w:id="13" w:name="_Toc222996010"/>
      <w:bookmarkStart w:id="14" w:name="_Toc229216688"/>
      <w:r>
        <w:rPr>
          <w:rFonts w:ascii="Times New Roman" w:hAnsi="Times New Roman" w:eastAsia="黑体"/>
          <w:b w:val="0"/>
          <w:bCs/>
          <w:szCs w:val="21"/>
        </w:rPr>
        <w:t xml:space="preserve">2.1 </w:t>
      </w:r>
      <w:r>
        <w:rPr>
          <w:rFonts w:hint="eastAsia" w:ascii="Times New Roman" w:hAnsi="Times New Roman" w:eastAsia="黑体"/>
          <w:b w:val="0"/>
          <w:bCs/>
          <w:szCs w:val="21"/>
        </w:rPr>
        <w:t>工程概况</w:t>
      </w:r>
      <w:bookmarkEnd w:id="12"/>
      <w:bookmarkEnd w:id="13"/>
      <w:bookmarkEnd w:id="14"/>
    </w:p>
    <w:p w14:paraId="7D328271">
      <w:pPr>
        <w:spacing w:line="360" w:lineRule="auto"/>
        <w:ind w:left="210" w:firstLine="210"/>
        <w:rPr>
          <w:szCs w:val="21"/>
        </w:rPr>
      </w:pPr>
      <w:r>
        <w:rPr>
          <w:szCs w:val="21"/>
        </w:rPr>
        <w:t>本技术规范书采购的设备适用的工程概况详见专用部分。</w:t>
      </w:r>
    </w:p>
    <w:p w14:paraId="15C311CE">
      <w:pPr>
        <w:pStyle w:val="3"/>
        <w:spacing w:before="0" w:after="0" w:line="360" w:lineRule="auto"/>
        <w:rPr>
          <w:rFonts w:ascii="Times New Roman" w:hAnsi="Times New Roman" w:eastAsia="黑体"/>
          <w:b w:val="0"/>
          <w:bCs/>
          <w:szCs w:val="21"/>
        </w:rPr>
      </w:pPr>
      <w:bookmarkStart w:id="15" w:name="_Toc222996011"/>
      <w:bookmarkStart w:id="16" w:name="_Toc229216689"/>
      <w:bookmarkStart w:id="17" w:name="_Toc72859312"/>
      <w:r>
        <w:rPr>
          <w:rFonts w:ascii="Times New Roman" w:hAnsi="Times New Roman" w:eastAsia="黑体"/>
          <w:b w:val="0"/>
          <w:bCs/>
          <w:szCs w:val="21"/>
        </w:rPr>
        <w:t xml:space="preserve">2.2 </w:t>
      </w:r>
      <w:r>
        <w:rPr>
          <w:rFonts w:hint="eastAsia" w:ascii="Times New Roman" w:hAnsi="Times New Roman" w:eastAsia="黑体"/>
          <w:b w:val="0"/>
          <w:bCs/>
          <w:szCs w:val="21"/>
        </w:rPr>
        <w:t>范围和界限</w:t>
      </w:r>
      <w:bookmarkEnd w:id="15"/>
      <w:bookmarkEnd w:id="16"/>
      <w:bookmarkEnd w:id="17"/>
    </w:p>
    <w:p w14:paraId="778EBCE9">
      <w:pPr>
        <w:spacing w:line="360" w:lineRule="auto"/>
        <w:rPr>
          <w:szCs w:val="21"/>
        </w:rPr>
      </w:pPr>
      <w:r>
        <w:rPr>
          <w:szCs w:val="21"/>
        </w:rPr>
        <w:t>2.2.1本技术规范书适应于所</w:t>
      </w:r>
      <w:r>
        <w:rPr>
          <w:rFonts w:hint="eastAsia"/>
          <w:szCs w:val="21"/>
        </w:rPr>
        <w:t>供微型固定式无人机机巢及相关附件（无人机机巢）</w:t>
      </w:r>
      <w:r>
        <w:rPr>
          <w:szCs w:val="21"/>
        </w:rPr>
        <w:t>及其附属设备的设计, 制造, 装配, 工厂试验, 交付, 现场安装的指导、监督以及试运行工作。</w:t>
      </w:r>
    </w:p>
    <w:p w14:paraId="39F235E0">
      <w:pPr>
        <w:spacing w:line="360" w:lineRule="auto"/>
        <w:rPr>
          <w:szCs w:val="21"/>
        </w:rPr>
      </w:pPr>
      <w:r>
        <w:rPr>
          <w:szCs w:val="21"/>
        </w:rPr>
        <w:t>2.2.2现场安装在投标方的技术指导和监督下由招标方完成。</w:t>
      </w:r>
    </w:p>
    <w:p w14:paraId="1C099656">
      <w:pPr>
        <w:spacing w:line="360" w:lineRule="auto"/>
        <w:rPr>
          <w:szCs w:val="21"/>
        </w:rPr>
      </w:pPr>
      <w:r>
        <w:rPr>
          <w:szCs w:val="21"/>
        </w:rPr>
        <w:t>2.2.3本规范书未说明</w:t>
      </w:r>
      <w:r>
        <w:rPr>
          <w:rFonts w:hint="eastAsia"/>
          <w:szCs w:val="21"/>
        </w:rPr>
        <w:t>，</w:t>
      </w:r>
      <w:r>
        <w:rPr>
          <w:szCs w:val="21"/>
        </w:rPr>
        <w:t>但又与设计、制造、装配、试验、运输、包装、保管、安装和运行维护有关的技术要求</w:t>
      </w:r>
      <w:r>
        <w:rPr>
          <w:rFonts w:hint="eastAsia"/>
          <w:szCs w:val="21"/>
        </w:rPr>
        <w:t>，</w:t>
      </w:r>
      <w:r>
        <w:rPr>
          <w:szCs w:val="21"/>
        </w:rPr>
        <w:t>按条款3所规定的有关标准执行</w:t>
      </w:r>
      <w:r>
        <w:rPr>
          <w:rFonts w:hint="eastAsia"/>
          <w:szCs w:val="21"/>
        </w:rPr>
        <w:t>。</w:t>
      </w:r>
    </w:p>
    <w:p w14:paraId="36D9316B">
      <w:pPr>
        <w:pStyle w:val="3"/>
        <w:spacing w:before="0" w:after="0" w:line="360" w:lineRule="auto"/>
        <w:rPr>
          <w:rFonts w:ascii="Times New Roman" w:hAnsi="Times New Roman" w:eastAsia="黑体"/>
          <w:b w:val="0"/>
          <w:bCs/>
          <w:szCs w:val="21"/>
        </w:rPr>
      </w:pPr>
      <w:bookmarkStart w:id="18" w:name="_Toc229216690"/>
      <w:bookmarkStart w:id="19" w:name="_Toc222996012"/>
      <w:bookmarkStart w:id="20" w:name="_Toc72859313"/>
      <w:r>
        <w:rPr>
          <w:rFonts w:ascii="Times New Roman" w:hAnsi="Times New Roman" w:eastAsia="黑体"/>
          <w:b w:val="0"/>
          <w:bCs/>
          <w:szCs w:val="21"/>
        </w:rPr>
        <w:t>2.3</w:t>
      </w:r>
      <w:r>
        <w:rPr>
          <w:rFonts w:hint="eastAsia" w:ascii="Times New Roman" w:hAnsi="Times New Roman" w:eastAsia="黑体"/>
          <w:b w:val="0"/>
          <w:bCs/>
          <w:szCs w:val="21"/>
        </w:rPr>
        <w:t xml:space="preserve"> 服务范围</w:t>
      </w:r>
      <w:bookmarkEnd w:id="18"/>
      <w:bookmarkEnd w:id="19"/>
      <w:bookmarkEnd w:id="20"/>
    </w:p>
    <w:p w14:paraId="454996FC">
      <w:pPr>
        <w:spacing w:line="360" w:lineRule="auto"/>
        <w:rPr>
          <w:szCs w:val="21"/>
        </w:rPr>
      </w:pPr>
      <w:r>
        <w:rPr>
          <w:rFonts w:hint="eastAsia"/>
          <w:szCs w:val="21"/>
        </w:rPr>
        <w:t>2</w:t>
      </w:r>
      <w:r>
        <w:rPr>
          <w:szCs w:val="21"/>
        </w:rPr>
        <w:t>.3.1投标方应按本</w:t>
      </w:r>
      <w:r>
        <w:rPr>
          <w:rFonts w:hint="eastAsia"/>
          <w:szCs w:val="21"/>
        </w:rPr>
        <w:t>技术</w:t>
      </w:r>
      <w:r>
        <w:rPr>
          <w:szCs w:val="21"/>
        </w:rPr>
        <w:t>规范书的要求提供全新的、合格的</w:t>
      </w:r>
      <w:r>
        <w:rPr>
          <w:rFonts w:hint="eastAsia"/>
          <w:szCs w:val="21"/>
        </w:rPr>
        <w:t>微型固定式无人机机巢及相关附件（无人机机巢）</w:t>
      </w:r>
      <w:r>
        <w:rPr>
          <w:szCs w:val="21"/>
        </w:rPr>
        <w:t>及其附属设备、备品备件。投标方所提供的组件或附件如需向第三方外购时</w:t>
      </w:r>
      <w:r>
        <w:rPr>
          <w:rFonts w:hint="eastAsia"/>
          <w:szCs w:val="21"/>
        </w:rPr>
        <w:t>，投标方</w:t>
      </w:r>
      <w:r>
        <w:rPr>
          <w:szCs w:val="21"/>
        </w:rPr>
        <w:t>应对质量向招标方负责</w:t>
      </w:r>
      <w:r>
        <w:rPr>
          <w:rFonts w:hint="eastAsia"/>
          <w:szCs w:val="21"/>
        </w:rPr>
        <w:t>，</w:t>
      </w:r>
      <w:r>
        <w:rPr>
          <w:szCs w:val="21"/>
        </w:rPr>
        <w:t>并提供相应出厂和验收证明。</w:t>
      </w:r>
    </w:p>
    <w:p w14:paraId="33321578">
      <w:pPr>
        <w:spacing w:line="360" w:lineRule="auto"/>
        <w:rPr>
          <w:szCs w:val="21"/>
        </w:rPr>
      </w:pPr>
      <w:r>
        <w:rPr>
          <w:rFonts w:hint="eastAsia"/>
          <w:szCs w:val="21"/>
        </w:rPr>
        <w:t>2</w:t>
      </w:r>
      <w:r>
        <w:rPr>
          <w:szCs w:val="21"/>
        </w:rPr>
        <w:t>.3.2</w:t>
      </w:r>
      <w:r>
        <w:rPr>
          <w:rFonts w:hint="eastAsia"/>
          <w:szCs w:val="21"/>
        </w:rPr>
        <w:t>供货范围</w:t>
      </w:r>
    </w:p>
    <w:p w14:paraId="236E60DB">
      <w:pPr>
        <w:spacing w:line="360" w:lineRule="auto"/>
        <w:rPr>
          <w:szCs w:val="21"/>
        </w:rPr>
      </w:pPr>
      <w:r>
        <w:rPr>
          <w:rFonts w:hint="eastAsia"/>
          <w:szCs w:val="21"/>
        </w:rPr>
        <w:t>供货设备技术规格一览表详见专用部分。</w:t>
      </w:r>
    </w:p>
    <w:p w14:paraId="5C86773E">
      <w:pPr>
        <w:spacing w:line="360" w:lineRule="auto"/>
        <w:rPr>
          <w:szCs w:val="21"/>
        </w:rPr>
      </w:pPr>
      <w:r>
        <w:rPr>
          <w:rFonts w:hint="eastAsia"/>
          <w:szCs w:val="21"/>
        </w:rPr>
        <w:t>供货范围包括：</w:t>
      </w:r>
    </w:p>
    <w:p w14:paraId="2D995C84">
      <w:pPr>
        <w:spacing w:line="360" w:lineRule="auto"/>
        <w:ind w:left="210" w:firstLine="210"/>
        <w:rPr>
          <w:szCs w:val="21"/>
        </w:rPr>
      </w:pPr>
      <w:r>
        <w:rPr>
          <w:szCs w:val="21"/>
        </w:rPr>
        <w:t>（a）无人机机巢、配套无人机及相关配件等。</w:t>
      </w:r>
    </w:p>
    <w:p w14:paraId="6F7F095E">
      <w:pPr>
        <w:spacing w:line="360" w:lineRule="auto"/>
        <w:ind w:left="210" w:firstLine="210"/>
        <w:rPr>
          <w:szCs w:val="21"/>
        </w:rPr>
      </w:pPr>
      <w:r>
        <w:rPr>
          <w:szCs w:val="21"/>
        </w:rPr>
        <w:t>（</w:t>
      </w:r>
      <w:r>
        <w:rPr>
          <w:rFonts w:hint="eastAsia"/>
          <w:szCs w:val="21"/>
        </w:rPr>
        <w:t>b</w:t>
      </w:r>
      <w:r>
        <w:rPr>
          <w:szCs w:val="21"/>
        </w:rPr>
        <w:t>）无人机机巢管理软件、配套工作站服务器等。</w:t>
      </w:r>
    </w:p>
    <w:p w14:paraId="77975E0C">
      <w:pPr>
        <w:spacing w:line="360" w:lineRule="auto"/>
        <w:ind w:firstLine="420" w:firstLineChars="200"/>
        <w:rPr>
          <w:szCs w:val="21"/>
        </w:rPr>
      </w:pPr>
      <w:r>
        <w:rPr>
          <w:szCs w:val="21"/>
        </w:rPr>
        <w:t>投标方</w:t>
      </w:r>
      <w:r>
        <w:rPr>
          <w:rFonts w:hint="eastAsia"/>
          <w:szCs w:val="21"/>
        </w:rPr>
        <w:t>提供的微型固定式无人机机巢及相关附件（无人机机巢）的具体规格、数量见供货范围及设备技术规格一览表（专用部分表2.1），投标方应如实填写“投标方保证”栏。</w:t>
      </w:r>
    </w:p>
    <w:p w14:paraId="04FFD8CA">
      <w:pPr>
        <w:spacing w:line="360" w:lineRule="auto"/>
        <w:rPr>
          <w:szCs w:val="21"/>
        </w:rPr>
      </w:pPr>
      <w:r>
        <w:rPr>
          <w:szCs w:val="21"/>
        </w:rPr>
        <w:t>2.3.3</w:t>
      </w:r>
      <w:r>
        <w:rPr>
          <w:rFonts w:hint="eastAsia"/>
          <w:szCs w:val="21"/>
        </w:rPr>
        <w:t>工厂试验由投标方在生产厂家内完成，但应有招标方代表参加，参加工厂验收的人数及天数等规定详见规范书商务部分。</w:t>
      </w:r>
    </w:p>
    <w:p w14:paraId="662C7C8C">
      <w:pPr>
        <w:spacing w:line="360" w:lineRule="auto"/>
        <w:rPr>
          <w:szCs w:val="21"/>
        </w:rPr>
      </w:pPr>
      <w:r>
        <w:rPr>
          <w:szCs w:val="21"/>
        </w:rPr>
        <w:t>2.3.4</w:t>
      </w:r>
      <w:r>
        <w:rPr>
          <w:rFonts w:hint="eastAsia"/>
          <w:szCs w:val="21"/>
        </w:rPr>
        <w:t>装置从生产厂家到安装位置的运输全部由投标方完成，现场调试和安装在招标方指导下由投标方完成</w:t>
      </w:r>
      <w:r>
        <w:t>。</w:t>
      </w:r>
      <w:r>
        <w:rPr>
          <w:rFonts w:hint="eastAsia"/>
          <w:szCs w:val="21"/>
        </w:rPr>
        <w:t>投标方协助招标方按标准检查安装质量，处理调试投运过程中出现的问题，并提供备品、备件，做好销售服务工作.投标方应选派有经验的技术人员，对安装和运行人员免费培训。安装督导的工作范围及人数和天数等规定详见规范书商务部分。</w:t>
      </w:r>
    </w:p>
    <w:p w14:paraId="53B2E56B">
      <w:pPr>
        <w:spacing w:line="360" w:lineRule="auto"/>
        <w:rPr>
          <w:szCs w:val="21"/>
        </w:rPr>
      </w:pPr>
      <w:r>
        <w:rPr>
          <w:szCs w:val="21"/>
        </w:rPr>
        <w:t>2.3.5</w:t>
      </w:r>
      <w:r>
        <w:rPr>
          <w:rFonts w:hint="eastAsia"/>
          <w:szCs w:val="21"/>
        </w:rPr>
        <w:t>投标方应协助招标方解决设备运行中出现的问题。</w:t>
      </w:r>
    </w:p>
    <w:p w14:paraId="11181C8E">
      <w:pPr>
        <w:spacing w:line="360" w:lineRule="auto"/>
        <w:rPr>
          <w:szCs w:val="21"/>
        </w:rPr>
      </w:pPr>
      <w:r>
        <w:rPr>
          <w:szCs w:val="21"/>
        </w:rPr>
        <w:t>2.3.6</w:t>
      </w:r>
      <w:r>
        <w:rPr>
          <w:rFonts w:hint="eastAsia"/>
          <w:szCs w:val="21"/>
        </w:rPr>
        <w:t>设计联络会议的地点及招标方参加人员的人数和天数等规定详见规范书商务部分。</w:t>
      </w:r>
    </w:p>
    <w:p w14:paraId="650C2F87">
      <w:pPr>
        <w:spacing w:line="360" w:lineRule="auto"/>
        <w:rPr>
          <w:szCs w:val="21"/>
        </w:rPr>
      </w:pPr>
      <w:r>
        <w:rPr>
          <w:szCs w:val="21"/>
        </w:rPr>
        <w:t>2.3.7</w:t>
      </w:r>
      <w:r>
        <w:rPr>
          <w:rFonts w:hint="eastAsia"/>
          <w:szCs w:val="21"/>
        </w:rPr>
        <w:t>设备安装、调试和性能试验合格后方可投运。设备投运并稳定运行后，投标方和招标方（业主）双方应根据相关法律、法规和公司管理制度签署合同设备的验收证明书。该证明书共两份，双方各执一份。</w:t>
      </w:r>
    </w:p>
    <w:p w14:paraId="1F8833DF">
      <w:pPr>
        <w:spacing w:line="360" w:lineRule="auto"/>
        <w:rPr>
          <w:szCs w:val="21"/>
        </w:rPr>
      </w:pPr>
      <w:r>
        <w:rPr>
          <w:szCs w:val="21"/>
        </w:rPr>
        <w:t>2.3.8</w:t>
      </w:r>
      <w:r>
        <w:rPr>
          <w:rFonts w:hint="eastAsia"/>
          <w:szCs w:val="21"/>
        </w:rPr>
        <w:t>如果安装、调试、性能试验、试运行及质保期内技术指标一项或多项不能满足合同技术部分要求，买卖双方共同分析原因，分清责任，如属制造方面的原因，或涉及索赔部分，按商务部分有关条款执行。</w:t>
      </w:r>
    </w:p>
    <w:p w14:paraId="473AC615">
      <w:pPr>
        <w:pStyle w:val="3"/>
        <w:spacing w:before="0" w:after="0" w:line="360" w:lineRule="auto"/>
        <w:rPr>
          <w:rFonts w:ascii="Times New Roman" w:hAnsi="Times New Roman" w:eastAsia="黑体"/>
          <w:b w:val="0"/>
          <w:bCs/>
          <w:szCs w:val="21"/>
        </w:rPr>
      </w:pPr>
      <w:bookmarkStart w:id="21" w:name="_Toc229216691"/>
      <w:bookmarkStart w:id="22" w:name="_Toc222996013"/>
      <w:bookmarkStart w:id="23" w:name="_Toc72859314"/>
      <w:r>
        <w:rPr>
          <w:rFonts w:ascii="Times New Roman" w:hAnsi="Times New Roman" w:eastAsia="黑体"/>
          <w:b w:val="0"/>
          <w:bCs/>
          <w:szCs w:val="21"/>
        </w:rPr>
        <w:t xml:space="preserve">2.4 </w:t>
      </w:r>
      <w:r>
        <w:rPr>
          <w:rFonts w:hint="eastAsia" w:ascii="Times New Roman" w:hAnsi="Times New Roman" w:eastAsia="黑体"/>
          <w:b w:val="0"/>
          <w:bCs/>
          <w:szCs w:val="21"/>
        </w:rPr>
        <w:t>技术文件</w:t>
      </w:r>
      <w:bookmarkEnd w:id="21"/>
      <w:bookmarkEnd w:id="22"/>
      <w:bookmarkEnd w:id="23"/>
    </w:p>
    <w:p w14:paraId="34CDE5D4">
      <w:pPr>
        <w:spacing w:line="360" w:lineRule="auto"/>
        <w:rPr>
          <w:rFonts w:eastAsia="黑体"/>
          <w:szCs w:val="21"/>
        </w:rPr>
      </w:pPr>
      <w:r>
        <w:rPr>
          <w:szCs w:val="21"/>
        </w:rPr>
        <w:t>2.4.1</w:t>
      </w:r>
      <w:r>
        <w:rPr>
          <w:rFonts w:hint="eastAsia"/>
          <w:szCs w:val="21"/>
        </w:rPr>
        <w:t>一般要求</w:t>
      </w:r>
    </w:p>
    <w:p w14:paraId="59F6B375">
      <w:pPr>
        <w:adjustRightInd w:val="0"/>
        <w:snapToGrid w:val="0"/>
        <w:spacing w:line="360" w:lineRule="auto"/>
        <w:ind w:firstLine="420" w:firstLineChars="200"/>
        <w:rPr>
          <w:szCs w:val="21"/>
        </w:rPr>
      </w:pPr>
      <w:r>
        <w:rPr>
          <w:szCs w:val="21"/>
        </w:rPr>
        <w:t>1）投标方提供的</w:t>
      </w:r>
      <w:r>
        <w:rPr>
          <w:rFonts w:hint="eastAsia"/>
          <w:szCs w:val="21"/>
        </w:rPr>
        <w:t>图纸、</w:t>
      </w:r>
      <w:r>
        <w:rPr>
          <w:szCs w:val="21"/>
        </w:rPr>
        <w:t>资料</w:t>
      </w:r>
      <w:r>
        <w:rPr>
          <w:rFonts w:hint="eastAsia"/>
          <w:szCs w:val="21"/>
        </w:rPr>
        <w:t>、文件</w:t>
      </w:r>
      <w:r>
        <w:rPr>
          <w:szCs w:val="21"/>
        </w:rPr>
        <w:t>应使用国家法定单位制即国际单位制，语言为中文。</w:t>
      </w:r>
    </w:p>
    <w:p w14:paraId="684F673E">
      <w:pPr>
        <w:adjustRightInd w:val="0"/>
        <w:snapToGrid w:val="0"/>
        <w:spacing w:line="360" w:lineRule="auto"/>
        <w:ind w:firstLine="420" w:firstLineChars="200"/>
        <w:rPr>
          <w:szCs w:val="21"/>
        </w:rPr>
      </w:pPr>
      <w:r>
        <w:rPr>
          <w:szCs w:val="21"/>
        </w:rPr>
        <w:t>2）资料的组织结构清晰、逻辑性强。资料内容耍正确、准确、一致、清晰、完整，满足工程要求。</w:t>
      </w:r>
    </w:p>
    <w:p w14:paraId="4938AA43">
      <w:pPr>
        <w:adjustRightInd w:val="0"/>
        <w:snapToGrid w:val="0"/>
        <w:spacing w:line="360" w:lineRule="auto"/>
        <w:ind w:firstLine="420" w:firstLineChars="200"/>
        <w:rPr>
          <w:szCs w:val="21"/>
        </w:rPr>
      </w:pPr>
      <w:r>
        <w:rPr>
          <w:szCs w:val="21"/>
        </w:rPr>
        <w:t>3）对于其它没有列入合同技术资料清单，却是工程所必需的文件和资料，一经发现，投标方也应及时免费提供。如</w:t>
      </w:r>
      <w:r>
        <w:rPr>
          <w:rFonts w:hint="eastAsia"/>
          <w:szCs w:val="21"/>
        </w:rPr>
        <w:t>项目</w:t>
      </w:r>
      <w:r>
        <w:rPr>
          <w:szCs w:val="21"/>
        </w:rPr>
        <w:t>工程为多台设备构成，后续设备有改进时，投标方应及时免费提供新的技术资料。</w:t>
      </w:r>
    </w:p>
    <w:p w14:paraId="1DE8A608">
      <w:pPr>
        <w:adjustRightInd w:val="0"/>
        <w:snapToGrid w:val="0"/>
        <w:spacing w:line="360" w:lineRule="auto"/>
        <w:ind w:firstLine="420" w:firstLineChars="200"/>
        <w:rPr>
          <w:szCs w:val="21"/>
        </w:rPr>
      </w:pPr>
      <w:r>
        <w:rPr>
          <w:szCs w:val="21"/>
        </w:rPr>
        <w:t>4）</w:t>
      </w:r>
      <w:r>
        <w:rPr>
          <w:rFonts w:hint="eastAsia"/>
          <w:szCs w:val="21"/>
        </w:rPr>
        <w:t>技术文件应包括外形尺寸图、安装使用说明书、材料和设备清单、试验报告。</w:t>
      </w:r>
    </w:p>
    <w:p w14:paraId="013644A5">
      <w:pPr>
        <w:pStyle w:val="3"/>
        <w:rPr>
          <w:rFonts w:hint="eastAsia" w:ascii="黑体" w:hAnsi="黑体" w:eastAsia="黑体"/>
          <w:b w:val="0"/>
          <w:bCs/>
        </w:rPr>
      </w:pPr>
      <w:bookmarkStart w:id="24" w:name="_Toc222996014"/>
      <w:bookmarkStart w:id="25" w:name="_Toc229216692"/>
      <w:bookmarkStart w:id="26" w:name="_Toc6217"/>
      <w:bookmarkStart w:id="27" w:name="_Toc30637"/>
      <w:r>
        <w:rPr>
          <w:rFonts w:hint="eastAsia" w:ascii="黑体" w:hAnsi="黑体" w:eastAsia="黑体"/>
          <w:b w:val="0"/>
          <w:bCs/>
        </w:rPr>
        <w:t>技术文件的组成</w:t>
      </w:r>
      <w:bookmarkEnd w:id="24"/>
      <w:bookmarkEnd w:id="25"/>
      <w:bookmarkEnd w:id="26"/>
      <w:bookmarkEnd w:id="27"/>
    </w:p>
    <w:p w14:paraId="19F42936">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46DDCA18">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459ED904">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79F84BF6">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45871095">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6993F37A">
      <w:pPr>
        <w:numPr>
          <w:ilvl w:val="255"/>
          <w:numId w:val="0"/>
        </w:numPr>
        <w:spacing w:line="360" w:lineRule="auto"/>
        <w:rPr>
          <w:rFonts w:ascii="宋体" w:hAnsi="宋体" w:cs="宋体"/>
          <w:szCs w:val="21"/>
        </w:rPr>
      </w:pPr>
      <w:r>
        <w:rPr>
          <w:rFonts w:hint="eastAsia" w:ascii="宋体" w:hAnsi="宋体" w:cs="宋体"/>
          <w:szCs w:val="21"/>
        </w:rPr>
        <w:t>6.提供中文操作手册和维护手册。</w:t>
      </w:r>
    </w:p>
    <w:p w14:paraId="6BF076DE">
      <w:pPr>
        <w:spacing w:line="360" w:lineRule="auto"/>
        <w:rPr>
          <w:rFonts w:eastAsia="黑体"/>
          <w:szCs w:val="21"/>
        </w:rPr>
      </w:pPr>
      <w:r>
        <w:rPr>
          <w:szCs w:val="21"/>
        </w:rPr>
        <w:t xml:space="preserve">2.4.2  </w:t>
      </w:r>
      <w:bookmarkStart w:id="28" w:name="_Toc240363504"/>
      <w:bookmarkStart w:id="29" w:name="_Toc240363364"/>
      <w:bookmarkStart w:id="30" w:name="_Toc240364367"/>
      <w:r>
        <w:rPr>
          <w:rFonts w:hint="eastAsia"/>
          <w:szCs w:val="21"/>
        </w:rPr>
        <w:t>设计联络</w:t>
      </w:r>
    </w:p>
    <w:bookmarkEnd w:id="28"/>
    <w:bookmarkEnd w:id="29"/>
    <w:bookmarkEnd w:id="30"/>
    <w:p w14:paraId="030D23E7">
      <w:pPr>
        <w:adjustRightInd w:val="0"/>
        <w:snapToGrid w:val="0"/>
        <w:spacing w:line="360" w:lineRule="auto"/>
        <w:ind w:firstLine="420" w:firstLineChars="200"/>
        <w:rPr>
          <w:rFonts w:hint="eastAsia" w:ascii="宋体" w:hAnsi="宋体"/>
          <w:szCs w:val="21"/>
        </w:rPr>
      </w:pPr>
      <w:bookmarkStart w:id="31" w:name="_Toc82140158"/>
      <w:bookmarkStart w:id="32" w:name="_Toc81989605"/>
      <w:r>
        <w:rPr>
          <w:rFonts w:ascii="宋体" w:hAnsi="宋体"/>
          <w:szCs w:val="21"/>
        </w:rPr>
        <w:t>1</w:t>
      </w:r>
      <w:r>
        <w:rPr>
          <w:rFonts w:hint="eastAsia" w:ascii="宋体" w:hAnsi="宋体"/>
          <w:szCs w:val="21"/>
        </w:rPr>
        <w:t>）供方应按设计需要随时开展设计联络工作，提供设计所需的相关资料，以保证需方工期要求。</w:t>
      </w:r>
    </w:p>
    <w:p w14:paraId="2A271522">
      <w:pPr>
        <w:adjustRightInd w:val="0"/>
        <w:snapToGrid w:val="0"/>
        <w:spacing w:line="360" w:lineRule="auto"/>
        <w:ind w:firstLine="420" w:firstLineChars="200"/>
        <w:rPr>
          <w:szCs w:val="21"/>
        </w:rPr>
      </w:pPr>
      <w:r>
        <w:rPr>
          <w:rFonts w:ascii="宋体" w:hAnsi="宋体"/>
          <w:szCs w:val="21"/>
        </w:rPr>
        <w:t>2</w:t>
      </w:r>
      <w:r>
        <w:rPr>
          <w:rFonts w:hint="eastAsia" w:ascii="宋体" w:hAnsi="宋体"/>
          <w:szCs w:val="21"/>
        </w:rPr>
        <w:t>）供方提供的图纸必须经需方代表确认</w:t>
      </w:r>
      <w:r>
        <w:rPr>
          <w:rFonts w:hint="eastAsia"/>
          <w:szCs w:val="21"/>
        </w:rPr>
        <w:t>。</w:t>
      </w:r>
    </w:p>
    <w:p w14:paraId="38628662">
      <w:pPr>
        <w:spacing w:line="480" w:lineRule="auto"/>
        <w:outlineLvl w:val="0"/>
        <w:rPr>
          <w:rFonts w:eastAsia="黑体"/>
          <w:b/>
          <w:bCs/>
          <w:szCs w:val="21"/>
        </w:rPr>
      </w:pPr>
      <w:bookmarkStart w:id="33" w:name="_Toc72859315"/>
      <w:bookmarkStart w:id="34" w:name="_Toc222996015"/>
      <w:bookmarkStart w:id="35" w:name="_Toc229216693"/>
      <w:r>
        <w:rPr>
          <w:rFonts w:eastAsia="黑体"/>
          <w:b/>
          <w:bCs/>
          <w:szCs w:val="21"/>
        </w:rPr>
        <w:t xml:space="preserve">3 </w:t>
      </w:r>
      <w:r>
        <w:rPr>
          <w:rFonts w:hint="eastAsia" w:eastAsia="黑体"/>
          <w:b/>
          <w:bCs/>
          <w:szCs w:val="21"/>
        </w:rPr>
        <w:t>应遵循的主要标准</w:t>
      </w:r>
      <w:bookmarkEnd w:id="31"/>
      <w:bookmarkEnd w:id="32"/>
      <w:bookmarkEnd w:id="33"/>
      <w:bookmarkEnd w:id="34"/>
      <w:bookmarkEnd w:id="35"/>
    </w:p>
    <w:p w14:paraId="36CA1D97">
      <w:pPr>
        <w:spacing w:line="360" w:lineRule="auto"/>
        <w:ind w:left="210" w:firstLine="420" w:firstLineChars="200"/>
        <w:rPr>
          <w:szCs w:val="21"/>
        </w:rPr>
      </w:pPr>
      <w:r>
        <w:rPr>
          <w:szCs w:val="21"/>
        </w:rPr>
        <w:t>除本技术规范书特殊规定外，投标方所提供的设备均按规定的标准和规程的最新版本进行设计、制造、试验和安装。如果这些标准内容有矛盾时，应按最高标准的条款执行或按双方商定的标准执行。如果投标方选用本规范书规定以外的标准时，则需提交这种替换标准供审查和分析。仅在投标方已证明替换标准相当或优于规范书规定的标准，并从招标方处获得书面的认可才能使用。提交供审查的标准应为中文或英文版本。凡是未注明日期的引用标准，其最新版适用于本技术规范书。主要引用标准如下：</w:t>
      </w:r>
    </w:p>
    <w:p w14:paraId="02DE0858">
      <w:pPr>
        <w:spacing w:line="360" w:lineRule="auto"/>
        <w:ind w:firstLine="420" w:firstLineChars="200"/>
        <w:rPr>
          <w:szCs w:val="21"/>
        </w:rPr>
      </w:pPr>
      <w:r>
        <w:rPr>
          <w:rFonts w:hint="eastAsia"/>
          <w:szCs w:val="21"/>
        </w:rPr>
        <w:t>GB/T 4208-2017 外壳防护等级（IP代码）</w:t>
      </w:r>
    </w:p>
    <w:p w14:paraId="1AF2CD52">
      <w:pPr>
        <w:spacing w:line="360" w:lineRule="auto"/>
        <w:ind w:firstLine="420" w:firstLineChars="200"/>
        <w:rPr>
          <w:szCs w:val="21"/>
        </w:rPr>
      </w:pPr>
      <w:r>
        <w:rPr>
          <w:rFonts w:hint="eastAsia"/>
          <w:szCs w:val="21"/>
        </w:rPr>
        <w:t>GB/T 28591-2012 风力等级</w:t>
      </w:r>
    </w:p>
    <w:p w14:paraId="6FBB82DA">
      <w:pPr>
        <w:spacing w:line="360" w:lineRule="auto"/>
        <w:ind w:firstLine="420" w:firstLineChars="200"/>
        <w:rPr>
          <w:szCs w:val="21"/>
        </w:rPr>
      </w:pPr>
      <w:r>
        <w:rPr>
          <w:rFonts w:hint="eastAsia"/>
          <w:szCs w:val="21"/>
        </w:rPr>
        <w:t>GB 4943.1-2022 信息技术设备 安全 第1部分：通用要求GB/T 6388-1986 运输包装收发货标志</w:t>
      </w:r>
    </w:p>
    <w:p w14:paraId="0797E1A8">
      <w:pPr>
        <w:spacing w:line="360" w:lineRule="auto"/>
        <w:ind w:firstLine="420" w:firstLineChars="200"/>
        <w:rPr>
          <w:szCs w:val="21"/>
        </w:rPr>
      </w:pPr>
      <w:r>
        <w:rPr>
          <w:szCs w:val="21"/>
        </w:rPr>
        <w:t>GB 50395-2007 视频安防监控系统工程设计规范</w:t>
      </w:r>
    </w:p>
    <w:p w14:paraId="68B89244">
      <w:pPr>
        <w:spacing w:line="360" w:lineRule="auto"/>
        <w:ind w:firstLine="420" w:firstLineChars="200"/>
        <w:rPr>
          <w:szCs w:val="21"/>
        </w:rPr>
      </w:pPr>
      <w:r>
        <w:rPr>
          <w:rFonts w:hint="eastAsia"/>
          <w:szCs w:val="21"/>
        </w:rPr>
        <w:t>GB/T 191-2008 包装储运图示标志</w:t>
      </w:r>
    </w:p>
    <w:p w14:paraId="0BD0294D">
      <w:pPr>
        <w:spacing w:line="360" w:lineRule="auto"/>
        <w:ind w:firstLine="420" w:firstLineChars="200"/>
        <w:rPr>
          <w:szCs w:val="21"/>
        </w:rPr>
      </w:pPr>
      <w:r>
        <w:rPr>
          <w:rFonts w:hint="eastAsia"/>
          <w:szCs w:val="21"/>
        </w:rPr>
        <w:t>GB/T 2314-2008 电力金具通用技术条件</w:t>
      </w:r>
    </w:p>
    <w:p w14:paraId="4BCD2658">
      <w:pPr>
        <w:spacing w:line="360" w:lineRule="auto"/>
        <w:ind w:firstLine="420" w:firstLineChars="200"/>
        <w:rPr>
          <w:szCs w:val="21"/>
        </w:rPr>
      </w:pPr>
      <w:r>
        <w:rPr>
          <w:rFonts w:hint="eastAsia"/>
          <w:szCs w:val="21"/>
        </w:rPr>
        <w:t>GB/T 2317.2-2008 电力金具试验方法第2部分：电晕和无线电干扰试验</w:t>
      </w:r>
    </w:p>
    <w:p w14:paraId="1844E0BA">
      <w:pPr>
        <w:spacing w:line="360" w:lineRule="auto"/>
        <w:ind w:firstLine="420" w:firstLineChars="200"/>
        <w:rPr>
          <w:szCs w:val="21"/>
        </w:rPr>
      </w:pPr>
      <w:r>
        <w:rPr>
          <w:rFonts w:hint="eastAsia"/>
          <w:szCs w:val="21"/>
        </w:rPr>
        <w:t>GB/T 2317.3-2008 电力金具试验方法第3部分：热循环试验</w:t>
      </w:r>
    </w:p>
    <w:p w14:paraId="256E027C">
      <w:pPr>
        <w:spacing w:line="360" w:lineRule="auto"/>
        <w:ind w:firstLine="420" w:firstLineChars="200"/>
        <w:rPr>
          <w:szCs w:val="21"/>
        </w:rPr>
      </w:pPr>
      <w:r>
        <w:rPr>
          <w:rFonts w:hint="eastAsia"/>
          <w:szCs w:val="21"/>
        </w:rPr>
        <w:t>GB/T 2317.4-2023 电力金具试验方法第4部分：验收规则</w:t>
      </w:r>
    </w:p>
    <w:p w14:paraId="08620A65">
      <w:pPr>
        <w:spacing w:line="360" w:lineRule="auto"/>
        <w:ind w:firstLine="420" w:firstLineChars="200"/>
        <w:rPr>
          <w:szCs w:val="21"/>
        </w:rPr>
      </w:pPr>
      <w:r>
        <w:rPr>
          <w:rFonts w:hint="eastAsia"/>
          <w:szCs w:val="21"/>
        </w:rPr>
        <w:t>GB/T 2423.1</w:t>
      </w:r>
      <w:r>
        <w:rPr>
          <w:rFonts w:hint="eastAsia"/>
          <w:szCs w:val="21"/>
        </w:rPr>
        <w:tab/>
      </w:r>
      <w:r>
        <w:rPr>
          <w:rFonts w:hint="eastAsia"/>
          <w:szCs w:val="21"/>
        </w:rPr>
        <w:t>-2008 电工电子产品环境试验　第2部分：试验方法　试验A：低温</w:t>
      </w:r>
    </w:p>
    <w:p w14:paraId="343572C6">
      <w:pPr>
        <w:spacing w:line="360" w:lineRule="auto"/>
        <w:ind w:firstLine="420" w:firstLineChars="200"/>
        <w:rPr>
          <w:szCs w:val="21"/>
        </w:rPr>
      </w:pPr>
      <w:r>
        <w:rPr>
          <w:rFonts w:hint="eastAsia"/>
          <w:szCs w:val="21"/>
        </w:rPr>
        <w:t>GB/T 2423.2</w:t>
      </w:r>
      <w:r>
        <w:rPr>
          <w:rFonts w:hint="eastAsia"/>
          <w:szCs w:val="21"/>
        </w:rPr>
        <w:tab/>
      </w:r>
      <w:r>
        <w:rPr>
          <w:rFonts w:hint="eastAsia"/>
          <w:szCs w:val="21"/>
        </w:rPr>
        <w:t>-2008 电工电子产品环境试验　第2部分：试验方法　试验B：高温</w:t>
      </w:r>
    </w:p>
    <w:p w14:paraId="0180E49C">
      <w:pPr>
        <w:spacing w:line="360" w:lineRule="auto"/>
        <w:ind w:firstLine="420" w:firstLineChars="200"/>
        <w:rPr>
          <w:szCs w:val="21"/>
        </w:rPr>
      </w:pPr>
      <w:r>
        <w:rPr>
          <w:rFonts w:hint="eastAsia"/>
          <w:szCs w:val="21"/>
        </w:rPr>
        <w:t>GB/T 2423.4</w:t>
      </w:r>
      <w:r>
        <w:rPr>
          <w:rFonts w:hint="eastAsia"/>
          <w:szCs w:val="21"/>
        </w:rPr>
        <w:tab/>
      </w:r>
      <w:r>
        <w:rPr>
          <w:rFonts w:hint="eastAsia"/>
          <w:szCs w:val="21"/>
        </w:rPr>
        <w:t>-2008 电工电子产品环境试验　第2部分：试验方法　试验Db：交变湿热（12h＋12h循环）</w:t>
      </w:r>
    </w:p>
    <w:p w14:paraId="48CEDD82">
      <w:pPr>
        <w:spacing w:line="360" w:lineRule="auto"/>
        <w:ind w:firstLine="420" w:firstLineChars="200"/>
        <w:rPr>
          <w:szCs w:val="21"/>
        </w:rPr>
      </w:pPr>
      <w:r>
        <w:rPr>
          <w:rFonts w:hint="eastAsia"/>
        </w:rPr>
        <w:t>GB/T 2423.5-2019 环境试验 第2部分：试验方法 试验Ea和导则：冲击</w:t>
      </w:r>
    </w:p>
    <w:p w14:paraId="43149DD8">
      <w:pPr>
        <w:spacing w:line="360" w:lineRule="auto"/>
        <w:ind w:firstLine="420" w:firstLineChars="200"/>
        <w:rPr>
          <w:szCs w:val="21"/>
        </w:rPr>
      </w:pPr>
      <w:r>
        <w:rPr>
          <w:rFonts w:hint="eastAsia"/>
          <w:szCs w:val="21"/>
        </w:rPr>
        <w:t>GB/T 2423.10</w:t>
      </w:r>
      <w:r>
        <w:rPr>
          <w:rFonts w:hint="eastAsia"/>
          <w:szCs w:val="21"/>
        </w:rPr>
        <w:tab/>
      </w:r>
      <w:r>
        <w:rPr>
          <w:rFonts w:hint="eastAsia"/>
          <w:szCs w:val="21"/>
        </w:rPr>
        <w:t>-2008 电工电子产品环境试验　第2部分：试验方法　试验Fc：振动（正弦）</w:t>
      </w:r>
    </w:p>
    <w:p w14:paraId="08F82FB4">
      <w:pPr>
        <w:spacing w:line="360" w:lineRule="auto"/>
        <w:ind w:firstLine="420" w:firstLineChars="200"/>
        <w:rPr>
          <w:szCs w:val="21"/>
        </w:rPr>
      </w:pPr>
      <w:r>
        <w:rPr>
          <w:rFonts w:hint="eastAsia"/>
          <w:szCs w:val="21"/>
        </w:rPr>
        <w:t>GB/T 3482-2008 电子设备雷击试验方法</w:t>
      </w:r>
    </w:p>
    <w:p w14:paraId="344AC3C4">
      <w:pPr>
        <w:spacing w:line="360" w:lineRule="auto"/>
        <w:ind w:firstLine="420" w:firstLineChars="200"/>
        <w:rPr>
          <w:szCs w:val="21"/>
        </w:rPr>
      </w:pPr>
      <w:r>
        <w:rPr>
          <w:rFonts w:hint="eastAsia"/>
          <w:szCs w:val="21"/>
        </w:rPr>
        <w:t>GB/T 3512-2014 硫化橡胶或热塑性橡胶热空气加速老化和耐热试验</w:t>
      </w:r>
    </w:p>
    <w:p w14:paraId="3344F299">
      <w:pPr>
        <w:spacing w:line="360" w:lineRule="auto"/>
        <w:ind w:firstLine="420" w:firstLineChars="200"/>
        <w:rPr>
          <w:szCs w:val="21"/>
        </w:rPr>
      </w:pPr>
      <w:r>
        <w:rPr>
          <w:rFonts w:hint="eastAsia"/>
          <w:szCs w:val="21"/>
        </w:rPr>
        <w:t>GB/T 6587-2012 电子测量仪器通用规范GB/T 9969-2008  工业产品使用说明书总则</w:t>
      </w:r>
    </w:p>
    <w:p w14:paraId="771B9A7D">
      <w:pPr>
        <w:spacing w:line="360" w:lineRule="auto"/>
        <w:ind w:firstLine="420" w:firstLineChars="200"/>
        <w:rPr>
          <w:szCs w:val="21"/>
        </w:rPr>
      </w:pPr>
      <w:r>
        <w:rPr>
          <w:rFonts w:hint="eastAsia"/>
          <w:szCs w:val="21"/>
        </w:rPr>
        <w:t>GB/T 13384-2008 机电产品包装通用技术条件</w:t>
      </w:r>
    </w:p>
    <w:p w14:paraId="7902B57A">
      <w:pPr>
        <w:spacing w:line="360" w:lineRule="auto"/>
        <w:ind w:firstLine="420" w:firstLineChars="200"/>
        <w:rPr>
          <w:szCs w:val="21"/>
        </w:rPr>
      </w:pPr>
      <w:r>
        <w:rPr>
          <w:rFonts w:hint="eastAsia"/>
          <w:szCs w:val="21"/>
        </w:rPr>
        <w:t>GB/T 17626.2-2006 电磁兼容试验和测量技术　静电放电抗扰度试验</w:t>
      </w:r>
    </w:p>
    <w:p w14:paraId="77F90420">
      <w:pPr>
        <w:spacing w:line="360" w:lineRule="auto"/>
        <w:ind w:firstLine="420" w:firstLineChars="200"/>
        <w:rPr>
          <w:szCs w:val="21"/>
        </w:rPr>
      </w:pPr>
      <w:r>
        <w:rPr>
          <w:rFonts w:hint="eastAsia"/>
          <w:szCs w:val="21"/>
        </w:rPr>
        <w:t>GB/T 17626.3-2016 电磁兼容试验和测量技术　射频电磁场辐射抗扰度试验</w:t>
      </w:r>
    </w:p>
    <w:p w14:paraId="272034BD">
      <w:pPr>
        <w:spacing w:line="360" w:lineRule="auto"/>
        <w:ind w:firstLine="420" w:firstLineChars="200"/>
        <w:rPr>
          <w:szCs w:val="21"/>
        </w:rPr>
      </w:pPr>
      <w:r>
        <w:rPr>
          <w:rFonts w:hint="eastAsia"/>
          <w:szCs w:val="21"/>
        </w:rPr>
        <w:t>GB/T 17626.4</w:t>
      </w:r>
      <w:r>
        <w:rPr>
          <w:rFonts w:hint="eastAsia"/>
          <w:szCs w:val="21"/>
        </w:rPr>
        <w:tab/>
      </w:r>
      <w:r>
        <w:rPr>
          <w:rFonts w:hint="eastAsia"/>
          <w:szCs w:val="21"/>
        </w:rPr>
        <w:t>-2008 电磁兼容试验和测量技术电快速瞬变脉冲群抗扰度试验</w:t>
      </w:r>
    </w:p>
    <w:p w14:paraId="19940CE8">
      <w:pPr>
        <w:spacing w:line="360" w:lineRule="auto"/>
        <w:ind w:firstLine="420" w:firstLineChars="200"/>
        <w:rPr>
          <w:szCs w:val="21"/>
        </w:rPr>
      </w:pPr>
      <w:r>
        <w:rPr>
          <w:rFonts w:hint="eastAsia"/>
          <w:szCs w:val="21"/>
        </w:rPr>
        <w:t>GB/T 17626.5-2019 电磁兼容试验和测量技术浪涌（冲击）抗扰度试验</w:t>
      </w:r>
    </w:p>
    <w:p w14:paraId="5FBFD661">
      <w:pPr>
        <w:spacing w:line="360" w:lineRule="auto"/>
        <w:ind w:firstLine="420" w:firstLineChars="200"/>
        <w:rPr>
          <w:szCs w:val="21"/>
        </w:rPr>
      </w:pPr>
      <w:r>
        <w:rPr>
          <w:rFonts w:hint="eastAsia"/>
          <w:szCs w:val="21"/>
        </w:rPr>
        <w:t>GB/T 17626.6</w:t>
      </w:r>
      <w:r>
        <w:rPr>
          <w:rFonts w:hint="eastAsia"/>
          <w:szCs w:val="21"/>
        </w:rPr>
        <w:tab/>
      </w:r>
      <w:r>
        <w:rPr>
          <w:rFonts w:hint="eastAsia"/>
          <w:szCs w:val="21"/>
        </w:rPr>
        <w:t>-2008 电磁兼容试验和测量技术射频场感应的传导骚扰抗扰度</w:t>
      </w:r>
    </w:p>
    <w:p w14:paraId="5D90269F">
      <w:pPr>
        <w:spacing w:line="360" w:lineRule="auto"/>
        <w:ind w:firstLine="420" w:firstLineChars="200"/>
        <w:rPr>
          <w:szCs w:val="21"/>
        </w:rPr>
      </w:pPr>
      <w:r>
        <w:rPr>
          <w:rFonts w:hint="eastAsia"/>
          <w:szCs w:val="21"/>
        </w:rPr>
        <w:t>GB/T 17626.8-2006 电磁兼容试验和测量技术　工频磁场抗扰度试验</w:t>
      </w:r>
    </w:p>
    <w:p w14:paraId="7E26845D">
      <w:pPr>
        <w:spacing w:line="360" w:lineRule="auto"/>
        <w:ind w:firstLine="420" w:firstLineChars="200"/>
        <w:rPr>
          <w:szCs w:val="21"/>
        </w:rPr>
      </w:pPr>
      <w:r>
        <w:rPr>
          <w:rFonts w:hint="eastAsia"/>
          <w:szCs w:val="21"/>
        </w:rPr>
        <w:t>GB/T 17626.9-2011 电磁兼容试验和测量技术　脉冲磁场抗扰度试验</w:t>
      </w:r>
    </w:p>
    <w:p w14:paraId="26B0E57D">
      <w:pPr>
        <w:spacing w:line="360" w:lineRule="auto"/>
        <w:ind w:firstLine="420" w:firstLineChars="200"/>
        <w:rPr>
          <w:szCs w:val="21"/>
        </w:rPr>
      </w:pPr>
      <w:r>
        <w:rPr>
          <w:szCs w:val="21"/>
        </w:rPr>
        <w:t>Q/CSG 1203020 中国南方电网输电线路在线机巢通用技术规范</w:t>
      </w:r>
    </w:p>
    <w:p w14:paraId="6B60B011">
      <w:pPr>
        <w:spacing w:line="360" w:lineRule="auto"/>
        <w:ind w:firstLine="420" w:firstLineChars="200"/>
        <w:rPr>
          <w:szCs w:val="21"/>
        </w:rPr>
      </w:pPr>
      <w:r>
        <w:rPr>
          <w:rFonts w:hint="eastAsia"/>
          <w:szCs w:val="21"/>
        </w:rPr>
        <w:t>Q/CSG 1204009-2015 中国南方电网电力监控系统安全防护技术规范</w:t>
      </w:r>
    </w:p>
    <w:p w14:paraId="774F7D33">
      <w:pPr>
        <w:spacing w:line="360" w:lineRule="auto"/>
        <w:ind w:firstLine="420" w:firstLineChars="200"/>
        <w:rPr>
          <w:szCs w:val="21"/>
        </w:rPr>
      </w:pPr>
      <w:r>
        <w:rPr>
          <w:rFonts w:hint="eastAsia"/>
          <w:szCs w:val="21"/>
        </w:rPr>
        <w:t>Q/CSG 2072003-2021 中国南方电网电力监控系统网络安全管理办法</w:t>
      </w:r>
    </w:p>
    <w:p w14:paraId="3F8305A3">
      <w:pPr>
        <w:spacing w:line="360" w:lineRule="auto"/>
        <w:ind w:firstLine="420" w:firstLineChars="200"/>
        <w:rPr>
          <w:szCs w:val="21"/>
        </w:rPr>
      </w:pPr>
      <w:r>
        <w:rPr>
          <w:szCs w:val="21"/>
        </w:rPr>
        <w:t>Q/CSG218006-2018 中国南方电网有限责任公司互联网应用管理办法</w:t>
      </w:r>
    </w:p>
    <w:p w14:paraId="207C1EA6">
      <w:pPr>
        <w:spacing w:line="360" w:lineRule="auto"/>
        <w:ind w:firstLine="420" w:firstLineChars="200"/>
        <w:rPr>
          <w:szCs w:val="21"/>
        </w:rPr>
      </w:pPr>
      <w:r>
        <w:rPr>
          <w:szCs w:val="21"/>
        </w:rPr>
        <w:t>Q/CSG 1205031-2020 输电线路在线监测通信规约及信息交互规范</w:t>
      </w:r>
    </w:p>
    <w:p w14:paraId="54B09760">
      <w:pPr>
        <w:spacing w:line="360" w:lineRule="auto"/>
        <w:ind w:firstLine="420" w:firstLineChars="200"/>
        <w:rPr>
          <w:szCs w:val="20"/>
        </w:rPr>
      </w:pPr>
      <w:r>
        <w:rPr>
          <w:rFonts w:hint="eastAsia"/>
          <w:szCs w:val="20"/>
        </w:rPr>
        <w:t>Q/CSG1210050-2020 南方电网电力全域物联网平台接入技术规范</w:t>
      </w:r>
    </w:p>
    <w:p w14:paraId="15AC2C3F">
      <w:pPr>
        <w:spacing w:line="360" w:lineRule="auto"/>
        <w:ind w:firstLine="420" w:firstLineChars="200"/>
        <w:jc w:val="left"/>
        <w:rPr>
          <w:szCs w:val="20"/>
        </w:rPr>
      </w:pPr>
      <w:r>
        <w:rPr>
          <w:rFonts w:hint="eastAsia"/>
          <w:szCs w:val="21"/>
        </w:rPr>
        <w:t>Q/CSG 1210052-2020 南方电网电力全域物联网平台技术规范</w:t>
      </w:r>
    </w:p>
    <w:p w14:paraId="092A35B8">
      <w:pPr>
        <w:spacing w:line="360" w:lineRule="auto"/>
        <w:ind w:firstLine="420" w:firstLineChars="200"/>
        <w:jc w:val="left"/>
        <w:rPr>
          <w:szCs w:val="20"/>
        </w:rPr>
      </w:pPr>
      <w:r>
        <w:rPr>
          <w:rFonts w:hint="eastAsia"/>
          <w:szCs w:val="20"/>
        </w:rPr>
        <w:t>中国南方电网有限责任公司送样检测业务指导书</w:t>
      </w:r>
    </w:p>
    <w:p w14:paraId="335B9C9A">
      <w:pPr>
        <w:spacing w:line="360" w:lineRule="auto"/>
        <w:ind w:firstLine="420" w:firstLineChars="200"/>
        <w:jc w:val="left"/>
        <w:rPr>
          <w:szCs w:val="20"/>
        </w:rPr>
      </w:pPr>
      <w:r>
        <w:rPr>
          <w:rFonts w:hint="eastAsia"/>
          <w:szCs w:val="20"/>
        </w:rPr>
        <w:t>中国南方电网有限责任公司到货抽检业务指导书</w:t>
      </w:r>
    </w:p>
    <w:p w14:paraId="5C9381BB">
      <w:pPr>
        <w:widowControl/>
        <w:spacing w:line="360" w:lineRule="auto"/>
        <w:ind w:firstLine="420" w:firstLineChars="200"/>
        <w:jc w:val="left"/>
        <w:rPr>
          <w:szCs w:val="21"/>
        </w:rPr>
      </w:pPr>
      <w:r>
        <w:rPr>
          <w:rFonts w:hint="eastAsia"/>
          <w:szCs w:val="20"/>
        </w:rPr>
        <w:t>中国南方电网有限责任公司专项抽检业务指导书</w:t>
      </w:r>
    </w:p>
    <w:p w14:paraId="21E4CF35">
      <w:pPr>
        <w:adjustRightInd w:val="0"/>
        <w:spacing w:line="480" w:lineRule="auto"/>
        <w:outlineLvl w:val="0"/>
        <w:rPr>
          <w:rFonts w:hint="eastAsia" w:ascii="黑体" w:hAnsi="黑体" w:eastAsia="黑体" w:cs="黑体"/>
          <w:b/>
          <w:bCs/>
          <w:szCs w:val="21"/>
        </w:rPr>
      </w:pPr>
      <w:bookmarkStart w:id="36" w:name="_Toc222996016"/>
      <w:bookmarkStart w:id="37" w:name="_Toc229216694"/>
      <w:bookmarkStart w:id="38" w:name="_Toc72859316"/>
      <w:r>
        <w:rPr>
          <w:rFonts w:hint="eastAsia" w:ascii="黑体" w:hAnsi="黑体" w:eastAsia="黑体" w:cs="黑体"/>
          <w:b/>
          <w:bCs/>
          <w:szCs w:val="21"/>
        </w:rPr>
        <w:t>4 使用条件</w:t>
      </w:r>
      <w:bookmarkEnd w:id="36"/>
      <w:bookmarkEnd w:id="37"/>
      <w:bookmarkEnd w:id="38"/>
    </w:p>
    <w:p w14:paraId="61EDE9C9">
      <w:pPr>
        <w:pStyle w:val="3"/>
        <w:spacing w:before="0" w:after="0" w:line="360" w:lineRule="auto"/>
        <w:rPr>
          <w:rFonts w:ascii="Times New Roman" w:hAnsi="Times New Roman"/>
          <w:szCs w:val="21"/>
        </w:rPr>
      </w:pPr>
      <w:bookmarkStart w:id="39" w:name="_Toc222996017"/>
      <w:bookmarkStart w:id="40" w:name="_Toc72859317"/>
      <w:bookmarkStart w:id="41" w:name="_Toc229216695"/>
      <w:r>
        <w:rPr>
          <w:rFonts w:ascii="Times New Roman" w:hAnsi="Times New Roman" w:eastAsia="黑体"/>
          <w:b w:val="0"/>
          <w:bCs/>
          <w:szCs w:val="21"/>
        </w:rPr>
        <w:t>4.1</w:t>
      </w:r>
      <w:r>
        <w:rPr>
          <w:rFonts w:hint="eastAsia" w:ascii="Times New Roman" w:hAnsi="Times New Roman" w:eastAsia="黑体"/>
          <w:b w:val="0"/>
          <w:bCs/>
          <w:szCs w:val="21"/>
        </w:rPr>
        <w:t xml:space="preserve"> 正常工作条件</w:t>
      </w:r>
      <w:bookmarkEnd w:id="39"/>
      <w:bookmarkEnd w:id="40"/>
      <w:bookmarkEnd w:id="41"/>
    </w:p>
    <w:p w14:paraId="7F2EB36F">
      <w:pPr>
        <w:adjustRightInd w:val="0"/>
        <w:snapToGrid w:val="0"/>
        <w:spacing w:line="360" w:lineRule="auto"/>
        <w:ind w:firstLine="420" w:firstLineChars="200"/>
        <w:rPr>
          <w:szCs w:val="21"/>
        </w:rPr>
      </w:pPr>
      <w:bookmarkStart w:id="42" w:name="_Toc349051966"/>
      <w:bookmarkStart w:id="43" w:name="_Toc349050787"/>
      <w:r>
        <w:rPr>
          <w:szCs w:val="21"/>
        </w:rPr>
        <w:t>1）环境温度：</w:t>
      </w:r>
      <w:r>
        <w:rPr>
          <w:szCs w:val="21"/>
        </w:rPr>
        <w:sym w:font="Symbol" w:char="F02D"/>
      </w:r>
      <w:r>
        <w:rPr>
          <w:szCs w:val="21"/>
        </w:rPr>
        <w:t>2</w:t>
      </w:r>
      <w:r>
        <w:rPr>
          <w:rFonts w:hint="eastAsia"/>
          <w:szCs w:val="21"/>
        </w:rPr>
        <w:t>0</w:t>
      </w:r>
      <w:r>
        <w:rPr>
          <w:szCs w:val="21"/>
        </w:rPr>
        <w:t>℃～</w:t>
      </w:r>
      <w:r>
        <w:rPr>
          <w:rFonts w:hint="eastAsia"/>
          <w:szCs w:val="21"/>
        </w:rPr>
        <w:t>+45</w:t>
      </w:r>
      <w:r>
        <w:rPr>
          <w:szCs w:val="21"/>
        </w:rPr>
        <w:t>℃；</w:t>
      </w:r>
    </w:p>
    <w:p w14:paraId="3DA6AD59">
      <w:pPr>
        <w:adjustRightInd w:val="0"/>
        <w:snapToGrid w:val="0"/>
        <w:spacing w:line="360" w:lineRule="auto"/>
        <w:ind w:firstLine="420" w:firstLineChars="200"/>
        <w:rPr>
          <w:szCs w:val="21"/>
        </w:rPr>
      </w:pPr>
      <w:r>
        <w:rPr>
          <w:rFonts w:hint="eastAsia"/>
          <w:szCs w:val="21"/>
        </w:rPr>
        <w:t>2</w:t>
      </w:r>
      <w:r>
        <w:rPr>
          <w:szCs w:val="21"/>
        </w:rPr>
        <w:t>）环境相对湿度：5％～9</w:t>
      </w:r>
      <w:r>
        <w:rPr>
          <w:rFonts w:hint="eastAsia"/>
          <w:szCs w:val="21"/>
        </w:rPr>
        <w:t>8</w:t>
      </w:r>
      <w:r>
        <w:rPr>
          <w:szCs w:val="21"/>
        </w:rPr>
        <w:t>％（产品内部，既不应凝露</w:t>
      </w:r>
      <w:r>
        <w:rPr>
          <w:rFonts w:hint="eastAsia"/>
          <w:szCs w:val="21"/>
        </w:rPr>
        <w:t>、</w:t>
      </w:r>
      <w:r>
        <w:rPr>
          <w:szCs w:val="21"/>
        </w:rPr>
        <w:t>结冰）；</w:t>
      </w:r>
    </w:p>
    <w:p w14:paraId="3E550B45">
      <w:pPr>
        <w:adjustRightInd w:val="0"/>
        <w:snapToGrid w:val="0"/>
        <w:spacing w:line="360" w:lineRule="auto"/>
        <w:ind w:firstLine="420" w:firstLineChars="200"/>
        <w:rPr>
          <w:szCs w:val="21"/>
        </w:rPr>
      </w:pPr>
      <w:r>
        <w:rPr>
          <w:rFonts w:hint="eastAsia"/>
          <w:szCs w:val="21"/>
        </w:rPr>
        <w:t>3</w:t>
      </w:r>
      <w:r>
        <w:rPr>
          <w:szCs w:val="21"/>
        </w:rPr>
        <w:t>）大气压力：</w:t>
      </w:r>
      <w:r>
        <w:rPr>
          <w:rFonts w:hint="eastAsia"/>
          <w:szCs w:val="21"/>
        </w:rPr>
        <w:t>50k</w:t>
      </w:r>
      <w:r>
        <w:rPr>
          <w:szCs w:val="21"/>
        </w:rPr>
        <w:t>Pa～1</w:t>
      </w:r>
      <w:r>
        <w:rPr>
          <w:rFonts w:hint="eastAsia"/>
          <w:szCs w:val="21"/>
        </w:rPr>
        <w:t>06</w:t>
      </w:r>
      <w:r>
        <w:rPr>
          <w:szCs w:val="21"/>
        </w:rPr>
        <w:t>kPa；</w:t>
      </w:r>
    </w:p>
    <w:p w14:paraId="5F9E2B09">
      <w:pPr>
        <w:adjustRightInd w:val="0"/>
        <w:snapToGrid w:val="0"/>
        <w:spacing w:line="360" w:lineRule="auto"/>
        <w:ind w:firstLine="420" w:firstLineChars="200"/>
        <w:rPr>
          <w:szCs w:val="21"/>
        </w:rPr>
      </w:pPr>
      <w:r>
        <w:rPr>
          <w:rFonts w:hint="eastAsia"/>
          <w:szCs w:val="21"/>
        </w:rPr>
        <w:t>4</w:t>
      </w:r>
      <w:r>
        <w:rPr>
          <w:szCs w:val="21"/>
        </w:rPr>
        <w:t>）</w:t>
      </w:r>
      <w:r>
        <w:rPr>
          <w:rFonts w:hint="eastAsia"/>
          <w:szCs w:val="21"/>
        </w:rPr>
        <w:t>抗风等级</w:t>
      </w:r>
      <w:r>
        <w:rPr>
          <w:szCs w:val="21"/>
        </w:rPr>
        <w:t>：</w:t>
      </w:r>
      <w:r>
        <w:rPr>
          <w:rFonts w:hint="eastAsia"/>
          <w:szCs w:val="21"/>
        </w:rPr>
        <w:t>机巢应不低于装置安装线路本体抗风等级</w:t>
      </w:r>
      <w:r>
        <w:rPr>
          <w:szCs w:val="21"/>
        </w:rPr>
        <w:t>；</w:t>
      </w:r>
    </w:p>
    <w:p w14:paraId="51E5D15C">
      <w:pPr>
        <w:adjustRightInd w:val="0"/>
        <w:snapToGrid w:val="0"/>
        <w:spacing w:line="360" w:lineRule="auto"/>
        <w:ind w:firstLine="420" w:firstLineChars="200"/>
        <w:rPr>
          <w:szCs w:val="21"/>
        </w:rPr>
      </w:pPr>
      <w:r>
        <w:rPr>
          <w:rFonts w:hint="eastAsia"/>
          <w:szCs w:val="21"/>
        </w:rPr>
        <w:t>5</w:t>
      </w:r>
      <w:r>
        <w:rPr>
          <w:szCs w:val="21"/>
        </w:rPr>
        <w:t>）最大日温差：25℃；</w:t>
      </w:r>
    </w:p>
    <w:p w14:paraId="789D8F22">
      <w:pPr>
        <w:adjustRightInd w:val="0"/>
        <w:snapToGrid w:val="0"/>
        <w:spacing w:line="360" w:lineRule="auto"/>
        <w:ind w:firstLine="420" w:firstLineChars="200"/>
        <w:rPr>
          <w:szCs w:val="21"/>
        </w:rPr>
      </w:pPr>
      <w:r>
        <w:rPr>
          <w:rFonts w:hint="eastAsia"/>
          <w:szCs w:val="21"/>
        </w:rPr>
        <w:t>6</w:t>
      </w:r>
      <w:r>
        <w:rPr>
          <w:szCs w:val="21"/>
        </w:rPr>
        <w:t>）日照强度：0.1W/cm</w:t>
      </w:r>
      <w:r>
        <w:rPr>
          <w:szCs w:val="21"/>
          <w:vertAlign w:val="superscript"/>
        </w:rPr>
        <w:t>2</w:t>
      </w:r>
      <w:r>
        <w:rPr>
          <w:szCs w:val="21"/>
        </w:rPr>
        <w:t>（风速 0.5m/s）；</w:t>
      </w:r>
    </w:p>
    <w:p w14:paraId="4F890DF3">
      <w:pPr>
        <w:adjustRightInd w:val="0"/>
        <w:snapToGrid w:val="0"/>
        <w:spacing w:line="360" w:lineRule="auto"/>
        <w:ind w:firstLine="420" w:firstLineChars="200"/>
        <w:rPr>
          <w:szCs w:val="21"/>
        </w:rPr>
      </w:pPr>
      <w:r>
        <w:rPr>
          <w:rFonts w:hint="eastAsia"/>
          <w:szCs w:val="21"/>
        </w:rPr>
        <w:t>7）</w:t>
      </w:r>
      <w:r>
        <w:rPr>
          <w:szCs w:val="21"/>
        </w:rPr>
        <w:t>覆冰厚度：</w:t>
      </w:r>
      <w:r>
        <w:rPr>
          <w:rFonts w:hint="eastAsia"/>
          <w:szCs w:val="21"/>
        </w:rPr>
        <w:t>20mm</w:t>
      </w:r>
      <w:r>
        <w:rPr>
          <w:szCs w:val="21"/>
        </w:rPr>
        <w:t>；</w:t>
      </w:r>
    </w:p>
    <w:p w14:paraId="57E91431">
      <w:pPr>
        <w:adjustRightInd w:val="0"/>
        <w:snapToGrid w:val="0"/>
        <w:spacing w:line="360" w:lineRule="auto"/>
        <w:ind w:firstLine="420" w:firstLineChars="200"/>
        <w:rPr>
          <w:szCs w:val="21"/>
        </w:rPr>
      </w:pPr>
      <w:r>
        <w:rPr>
          <w:rFonts w:hint="eastAsia"/>
          <w:szCs w:val="21"/>
        </w:rPr>
        <w:t>8</w:t>
      </w:r>
      <w:r>
        <w:rPr>
          <w:szCs w:val="21"/>
        </w:rPr>
        <w:t>）安全要求：符合GB 4943 中的相关规定及计算机机房内的GB 9361中B类安全规定</w:t>
      </w:r>
      <w:r>
        <w:rPr>
          <w:rFonts w:hint="eastAsia"/>
          <w:szCs w:val="21"/>
        </w:rPr>
        <w:t>；</w:t>
      </w:r>
    </w:p>
    <w:p w14:paraId="23B891BD">
      <w:pPr>
        <w:adjustRightInd w:val="0"/>
        <w:snapToGrid w:val="0"/>
        <w:spacing w:line="360" w:lineRule="auto"/>
        <w:ind w:firstLine="420" w:firstLineChars="200"/>
        <w:rPr>
          <w:szCs w:val="21"/>
        </w:rPr>
      </w:pPr>
      <w:r>
        <w:rPr>
          <w:rFonts w:hint="eastAsia"/>
          <w:szCs w:val="21"/>
        </w:rPr>
        <w:t>9</w:t>
      </w:r>
      <w:r>
        <w:rPr>
          <w:szCs w:val="21"/>
        </w:rPr>
        <w:t>）装置（含太阳能板、电池等）在狂风、暴雨、冰冻等恶劣自然环境及强电磁环境中运行，其工作稳定性、可靠性不应受到明显影响</w:t>
      </w:r>
      <w:r>
        <w:rPr>
          <w:rFonts w:hint="eastAsia"/>
          <w:szCs w:val="21"/>
        </w:rPr>
        <w:t>；</w:t>
      </w:r>
    </w:p>
    <w:p w14:paraId="7ABBD5C0">
      <w:pPr>
        <w:adjustRightInd w:val="0"/>
        <w:snapToGrid w:val="0"/>
        <w:spacing w:line="360" w:lineRule="auto"/>
        <w:ind w:firstLine="420" w:firstLineChars="200"/>
        <w:rPr>
          <w:szCs w:val="21"/>
        </w:rPr>
      </w:pPr>
      <w:r>
        <w:rPr>
          <w:rFonts w:hint="eastAsia"/>
          <w:szCs w:val="21"/>
        </w:rPr>
        <w:t>1</w:t>
      </w:r>
      <w:r>
        <w:rPr>
          <w:szCs w:val="21"/>
        </w:rPr>
        <w:t>0</w:t>
      </w:r>
      <w:r>
        <w:rPr>
          <w:rFonts w:hint="eastAsia"/>
          <w:szCs w:val="21"/>
        </w:rPr>
        <w:t>）</w:t>
      </w:r>
      <w:r>
        <w:rPr>
          <w:szCs w:val="21"/>
        </w:rPr>
        <w:t>安装使用地点无强烈振动和冲击，无强烈电磁干扰，空气中无爆炸危险及导电介质，不含有腐蚀金属和破坏绝缘的有害气体等存在，周边无遮挡</w:t>
      </w:r>
      <w:r>
        <w:rPr>
          <w:rFonts w:hint="eastAsia"/>
          <w:szCs w:val="21"/>
        </w:rPr>
        <w:t>；</w:t>
      </w:r>
    </w:p>
    <w:p w14:paraId="13041BA4">
      <w:pPr>
        <w:adjustRightInd w:val="0"/>
        <w:snapToGrid w:val="0"/>
        <w:spacing w:line="360" w:lineRule="auto"/>
        <w:ind w:firstLine="420" w:firstLineChars="200"/>
        <w:rPr>
          <w:szCs w:val="21"/>
        </w:rPr>
      </w:pPr>
      <w:r>
        <w:rPr>
          <w:rFonts w:hint="eastAsia"/>
          <w:szCs w:val="21"/>
        </w:rPr>
        <w:t>1</w:t>
      </w:r>
      <w:r>
        <w:rPr>
          <w:szCs w:val="21"/>
        </w:rPr>
        <w:t>1</w:t>
      </w:r>
      <w:r>
        <w:rPr>
          <w:rFonts w:hint="eastAsia"/>
          <w:szCs w:val="21"/>
        </w:rPr>
        <w:t>）</w:t>
      </w:r>
      <w:r>
        <w:rPr>
          <w:szCs w:val="21"/>
        </w:rPr>
        <w:t>安装垂直倾斜度不超过5%</w:t>
      </w:r>
      <w:r>
        <w:rPr>
          <w:rFonts w:hint="eastAsia"/>
          <w:szCs w:val="21"/>
        </w:rPr>
        <w:t>；</w:t>
      </w:r>
    </w:p>
    <w:p w14:paraId="1FA523D8">
      <w:pPr>
        <w:adjustRightInd w:val="0"/>
        <w:snapToGrid w:val="0"/>
        <w:spacing w:line="360" w:lineRule="auto"/>
        <w:ind w:firstLine="420" w:firstLineChars="200"/>
        <w:rPr>
          <w:szCs w:val="21"/>
        </w:rPr>
      </w:pPr>
      <w:r>
        <w:rPr>
          <w:rFonts w:hint="eastAsia"/>
          <w:szCs w:val="21"/>
        </w:rPr>
        <w:t>1</w:t>
      </w:r>
      <w:r>
        <w:rPr>
          <w:szCs w:val="21"/>
        </w:rPr>
        <w:t>2</w:t>
      </w:r>
      <w:r>
        <w:rPr>
          <w:rFonts w:hint="eastAsia"/>
          <w:szCs w:val="21"/>
        </w:rPr>
        <w:t>）</w:t>
      </w:r>
      <w:r>
        <w:rPr>
          <w:szCs w:val="21"/>
        </w:rPr>
        <w:t>设备支持采用交流供电</w:t>
      </w:r>
      <w:r>
        <w:rPr>
          <w:rFonts w:hint="eastAsia"/>
          <w:szCs w:val="21"/>
        </w:rPr>
        <w:t>；</w:t>
      </w:r>
    </w:p>
    <w:p w14:paraId="1D5CD0F7">
      <w:pPr>
        <w:adjustRightInd w:val="0"/>
        <w:snapToGrid w:val="0"/>
        <w:spacing w:line="360" w:lineRule="auto"/>
        <w:ind w:firstLine="420" w:firstLineChars="200"/>
        <w:rPr>
          <w:szCs w:val="21"/>
        </w:rPr>
      </w:pPr>
      <w:r>
        <w:rPr>
          <w:rFonts w:hint="eastAsia"/>
          <w:szCs w:val="21"/>
        </w:rPr>
        <w:t>1</w:t>
      </w:r>
      <w:r>
        <w:rPr>
          <w:szCs w:val="21"/>
        </w:rPr>
        <w:t>3</w:t>
      </w:r>
      <w:r>
        <w:rPr>
          <w:rFonts w:hint="eastAsia"/>
          <w:szCs w:val="21"/>
        </w:rPr>
        <w:t>）</w:t>
      </w:r>
      <w:r>
        <w:rPr>
          <w:szCs w:val="21"/>
        </w:rPr>
        <w:t>设备通讯电缆（网线</w:t>
      </w:r>
      <w:r>
        <w:rPr>
          <w:rFonts w:hint="eastAsia"/>
          <w:szCs w:val="21"/>
        </w:rPr>
        <w:t>、光纤</w:t>
      </w:r>
      <w:r>
        <w:rPr>
          <w:szCs w:val="21"/>
        </w:rPr>
        <w:t>）</w:t>
      </w:r>
      <w:r>
        <w:rPr>
          <w:rFonts w:hint="eastAsia"/>
          <w:szCs w:val="21"/>
        </w:rPr>
        <w:t>；</w:t>
      </w:r>
    </w:p>
    <w:p w14:paraId="0CC94FC0">
      <w:pPr>
        <w:adjustRightInd w:val="0"/>
        <w:snapToGrid w:val="0"/>
        <w:spacing w:line="360" w:lineRule="auto"/>
        <w:ind w:firstLine="420" w:firstLineChars="200"/>
        <w:rPr>
          <w:szCs w:val="21"/>
        </w:rPr>
      </w:pPr>
      <w:r>
        <w:rPr>
          <w:rFonts w:hint="eastAsia"/>
          <w:szCs w:val="21"/>
        </w:rPr>
        <w:t>14）卫星系统技术要求：仅支持BDS且兼容北斗3号及以下卫星系统。</w:t>
      </w:r>
    </w:p>
    <w:p w14:paraId="22053F2F">
      <w:pPr>
        <w:pStyle w:val="3"/>
        <w:spacing w:before="0" w:after="0" w:line="360" w:lineRule="auto"/>
        <w:rPr>
          <w:rFonts w:ascii="Times New Roman" w:hAnsi="Times New Roman" w:eastAsia="黑体"/>
          <w:b w:val="0"/>
          <w:bCs/>
          <w:szCs w:val="21"/>
        </w:rPr>
      </w:pPr>
      <w:bookmarkStart w:id="44" w:name="_Toc222996018"/>
      <w:bookmarkStart w:id="45" w:name="_Toc72859318"/>
      <w:bookmarkStart w:id="46" w:name="_Toc229216696"/>
      <w:r>
        <w:rPr>
          <w:rFonts w:ascii="Times New Roman" w:hAnsi="Times New Roman" w:eastAsia="黑体"/>
          <w:b w:val="0"/>
          <w:bCs/>
          <w:szCs w:val="21"/>
        </w:rPr>
        <w:t>4.2</w:t>
      </w:r>
      <w:r>
        <w:rPr>
          <w:rFonts w:hint="eastAsia" w:ascii="Times New Roman" w:hAnsi="Times New Roman" w:eastAsia="黑体"/>
          <w:b w:val="0"/>
          <w:bCs/>
          <w:szCs w:val="21"/>
        </w:rPr>
        <w:t xml:space="preserve"> 特殊工作条件</w:t>
      </w:r>
      <w:bookmarkEnd w:id="42"/>
      <w:bookmarkEnd w:id="43"/>
      <w:bookmarkEnd w:id="44"/>
      <w:bookmarkEnd w:id="45"/>
      <w:bookmarkEnd w:id="46"/>
    </w:p>
    <w:p w14:paraId="3E55BE06">
      <w:pPr>
        <w:tabs>
          <w:tab w:val="left" w:pos="1985"/>
        </w:tabs>
        <w:spacing w:line="360" w:lineRule="auto"/>
        <w:ind w:firstLine="420"/>
        <w:rPr>
          <w:szCs w:val="21"/>
        </w:rPr>
      </w:pPr>
      <w:r>
        <w:rPr>
          <w:rFonts w:hint="eastAsia"/>
          <w:szCs w:val="21"/>
        </w:rPr>
        <w:t>针对具体工程，用户根据实际需求提出特殊工作条件（专用部分表格</w:t>
      </w:r>
      <w:r>
        <w:rPr>
          <w:szCs w:val="21"/>
        </w:rPr>
        <w:t>1.2</w:t>
      </w:r>
      <w:r>
        <w:rPr>
          <w:rFonts w:hint="eastAsia"/>
          <w:szCs w:val="21"/>
        </w:rPr>
        <w:t>）。当超出正常与特殊工作条件时，由用户与供应商协商确定。</w:t>
      </w:r>
    </w:p>
    <w:p w14:paraId="7A67BEBF">
      <w:pPr>
        <w:spacing w:line="480" w:lineRule="auto"/>
        <w:outlineLvl w:val="0"/>
        <w:rPr>
          <w:rFonts w:hint="eastAsia" w:ascii="黑体" w:hAnsi="黑体" w:eastAsia="黑体" w:cs="黑体"/>
          <w:b/>
          <w:bCs/>
          <w:szCs w:val="21"/>
        </w:rPr>
      </w:pPr>
      <w:bookmarkStart w:id="47" w:name="_Toc229216697"/>
      <w:bookmarkStart w:id="48" w:name="_Toc222996019"/>
      <w:bookmarkStart w:id="49" w:name="_Toc72859319"/>
      <w:r>
        <w:rPr>
          <w:rFonts w:hint="eastAsia" w:ascii="黑体" w:hAnsi="黑体" w:eastAsia="黑体" w:cs="黑体"/>
          <w:b/>
          <w:bCs/>
          <w:szCs w:val="21"/>
        </w:rPr>
        <w:t>5 技术要求</w:t>
      </w:r>
      <w:bookmarkEnd w:id="47"/>
      <w:bookmarkEnd w:id="48"/>
      <w:bookmarkEnd w:id="49"/>
    </w:p>
    <w:p w14:paraId="790DAC08">
      <w:pPr>
        <w:tabs>
          <w:tab w:val="left" w:pos="1985"/>
        </w:tabs>
        <w:spacing w:line="360" w:lineRule="auto"/>
        <w:ind w:firstLine="420"/>
        <w:rPr>
          <w:szCs w:val="21"/>
        </w:rPr>
      </w:pPr>
      <w:r>
        <w:rPr>
          <w:rFonts w:hint="eastAsia"/>
          <w:szCs w:val="21"/>
        </w:rPr>
        <w:t>本技术规范书采购的机巢及配套无人机等设备详细技术参数见专用部分。下文主要阐述通用要求及系统要求。</w:t>
      </w:r>
    </w:p>
    <w:p w14:paraId="1C8D987C">
      <w:pPr>
        <w:pStyle w:val="3"/>
        <w:spacing w:before="0" w:after="0" w:line="360" w:lineRule="auto"/>
        <w:rPr>
          <w:rFonts w:ascii="Times New Roman" w:hAnsi="Times New Roman" w:eastAsia="黑体"/>
          <w:b w:val="0"/>
          <w:bCs/>
          <w:szCs w:val="21"/>
        </w:rPr>
      </w:pPr>
      <w:bookmarkStart w:id="50" w:name="_Toc72859320"/>
      <w:bookmarkStart w:id="51" w:name="_Toc27906"/>
      <w:bookmarkStart w:id="52" w:name="_Toc222996020"/>
      <w:bookmarkStart w:id="53" w:name="_Toc229216698"/>
      <w:r>
        <w:rPr>
          <w:rFonts w:hint="eastAsia" w:ascii="Times New Roman" w:hAnsi="Times New Roman" w:eastAsia="黑体"/>
          <w:b w:val="0"/>
          <w:bCs/>
          <w:szCs w:val="21"/>
        </w:rPr>
        <w:t>5.</w:t>
      </w:r>
      <w:r>
        <w:rPr>
          <w:rFonts w:ascii="Times New Roman" w:hAnsi="Times New Roman" w:eastAsia="黑体"/>
          <w:b w:val="0"/>
          <w:bCs/>
          <w:szCs w:val="21"/>
        </w:rPr>
        <w:t xml:space="preserve">1 </w:t>
      </w:r>
      <w:r>
        <w:rPr>
          <w:rFonts w:hint="eastAsia" w:ascii="Times New Roman" w:hAnsi="Times New Roman" w:eastAsia="黑体"/>
          <w:b w:val="0"/>
          <w:bCs/>
          <w:szCs w:val="21"/>
        </w:rPr>
        <w:t>机巢外观要求</w:t>
      </w:r>
      <w:bookmarkEnd w:id="50"/>
      <w:bookmarkEnd w:id="51"/>
      <w:bookmarkEnd w:id="52"/>
      <w:bookmarkEnd w:id="53"/>
    </w:p>
    <w:p w14:paraId="7F1F7DF9">
      <w:pPr>
        <w:numPr>
          <w:ilvl w:val="0"/>
          <w:numId w:val="32"/>
        </w:numPr>
        <w:tabs>
          <w:tab w:val="left" w:pos="1985"/>
        </w:tabs>
        <w:spacing w:line="360" w:lineRule="auto"/>
        <w:ind w:firstLine="420" w:firstLineChars="200"/>
        <w:rPr>
          <w:szCs w:val="21"/>
        </w:rPr>
      </w:pPr>
      <w:r>
        <w:rPr>
          <w:rFonts w:hint="eastAsia"/>
          <w:szCs w:val="21"/>
        </w:rPr>
        <w:t>机巢</w:t>
      </w:r>
      <w:r>
        <w:rPr>
          <w:szCs w:val="21"/>
        </w:rPr>
        <w:t>外壳防护等级不低于IP54级</w:t>
      </w:r>
      <w:r>
        <w:rPr>
          <w:rFonts w:hint="eastAsia"/>
          <w:szCs w:val="21"/>
        </w:rPr>
        <w:t>，</w:t>
      </w:r>
      <w:r>
        <w:rPr>
          <w:szCs w:val="21"/>
        </w:rPr>
        <w:t>金属构件应采用耐腐蚀材料，非金属构件应采用耐老化材料；</w:t>
      </w:r>
    </w:p>
    <w:p w14:paraId="7630AABF">
      <w:pPr>
        <w:tabs>
          <w:tab w:val="left" w:pos="1985"/>
        </w:tabs>
        <w:spacing w:line="360" w:lineRule="auto"/>
        <w:ind w:firstLine="420"/>
        <w:rPr>
          <w:szCs w:val="21"/>
        </w:rPr>
      </w:pPr>
      <w:r>
        <w:rPr>
          <w:rFonts w:hint="eastAsia"/>
          <w:szCs w:val="21"/>
        </w:rPr>
        <w:t>2）</w:t>
      </w:r>
      <w:r>
        <w:rPr>
          <w:szCs w:val="21"/>
        </w:rPr>
        <w:t>应满足防腐蚀、防霉菌、防潮湿、防盐雾</w:t>
      </w:r>
      <w:r>
        <w:rPr>
          <w:rFonts w:hint="eastAsia"/>
          <w:szCs w:val="21"/>
        </w:rPr>
        <w:t>、</w:t>
      </w:r>
      <w:r>
        <w:rPr>
          <w:szCs w:val="21"/>
        </w:rPr>
        <w:t>防雨</w:t>
      </w:r>
      <w:r>
        <w:rPr>
          <w:rFonts w:hint="eastAsia"/>
          <w:szCs w:val="21"/>
        </w:rPr>
        <w:t>、</w:t>
      </w:r>
      <w:r>
        <w:rPr>
          <w:szCs w:val="21"/>
        </w:rPr>
        <w:t>防尘要求，并具有防止动物影响的措施；</w:t>
      </w:r>
    </w:p>
    <w:p w14:paraId="441353CD">
      <w:pPr>
        <w:tabs>
          <w:tab w:val="left" w:pos="1985"/>
        </w:tabs>
        <w:spacing w:line="360" w:lineRule="auto"/>
        <w:ind w:firstLine="420"/>
        <w:rPr>
          <w:szCs w:val="21"/>
        </w:rPr>
      </w:pPr>
      <w:r>
        <w:rPr>
          <w:rFonts w:hint="eastAsia"/>
          <w:szCs w:val="21"/>
        </w:rPr>
        <w:t>3）</w:t>
      </w:r>
      <w:r>
        <w:rPr>
          <w:szCs w:val="21"/>
        </w:rPr>
        <w:t>外接数据线应采用屏蔽线，数据线与电源线均应采用保护措施；电源和信号插口应采用防水插头，应具备防误插设计；</w:t>
      </w:r>
    </w:p>
    <w:p w14:paraId="3482C766">
      <w:pPr>
        <w:tabs>
          <w:tab w:val="left" w:pos="1985"/>
        </w:tabs>
        <w:spacing w:line="360" w:lineRule="auto"/>
        <w:ind w:firstLine="420"/>
        <w:rPr>
          <w:szCs w:val="21"/>
        </w:rPr>
      </w:pPr>
      <w:r>
        <w:rPr>
          <w:rFonts w:hint="eastAsia"/>
          <w:szCs w:val="21"/>
        </w:rPr>
        <w:t>4）机巢</w:t>
      </w:r>
      <w:r>
        <w:rPr>
          <w:szCs w:val="21"/>
        </w:rPr>
        <w:t>的外观和结构应与相应线路构件相匹配，便于安装和维护，且安装时应避免对</w:t>
      </w:r>
      <w:r>
        <w:rPr>
          <w:rFonts w:hint="eastAsia"/>
          <w:szCs w:val="21"/>
        </w:rPr>
        <w:t>设备</w:t>
      </w:r>
      <w:r>
        <w:rPr>
          <w:szCs w:val="21"/>
        </w:rPr>
        <w:t>造成不必要的改变或损伤</w:t>
      </w:r>
      <w:r>
        <w:rPr>
          <w:rFonts w:hint="eastAsia"/>
          <w:szCs w:val="21"/>
        </w:rPr>
        <w:t>；</w:t>
      </w:r>
    </w:p>
    <w:p w14:paraId="18286B6D">
      <w:pPr>
        <w:tabs>
          <w:tab w:val="left" w:pos="1985"/>
        </w:tabs>
        <w:spacing w:line="360" w:lineRule="auto"/>
        <w:ind w:firstLine="420"/>
        <w:rPr>
          <w:szCs w:val="21"/>
        </w:rPr>
      </w:pPr>
      <w:r>
        <w:rPr>
          <w:rFonts w:hint="eastAsia"/>
          <w:szCs w:val="21"/>
        </w:rPr>
        <w:t>5）机巢</w:t>
      </w:r>
      <w:r>
        <w:rPr>
          <w:szCs w:val="21"/>
        </w:rPr>
        <w:t>应具备现场校验测试接口，方便用户开展现场调试和检测</w:t>
      </w:r>
      <w:r>
        <w:rPr>
          <w:rFonts w:hint="eastAsia"/>
          <w:szCs w:val="21"/>
        </w:rPr>
        <w:t>；</w:t>
      </w:r>
    </w:p>
    <w:p w14:paraId="61ADE021">
      <w:pPr>
        <w:tabs>
          <w:tab w:val="left" w:pos="1985"/>
        </w:tabs>
        <w:spacing w:line="360" w:lineRule="auto"/>
        <w:ind w:firstLine="420"/>
        <w:rPr>
          <w:szCs w:val="21"/>
        </w:rPr>
      </w:pPr>
      <w:r>
        <w:rPr>
          <w:rFonts w:hint="eastAsia"/>
          <w:szCs w:val="21"/>
        </w:rPr>
        <w:t>6）机巢</w:t>
      </w:r>
      <w:r>
        <w:rPr>
          <w:szCs w:val="21"/>
        </w:rPr>
        <w:t>应具备过流和防雷保护功能</w:t>
      </w:r>
      <w:r>
        <w:rPr>
          <w:rFonts w:hint="eastAsia"/>
          <w:szCs w:val="21"/>
        </w:rPr>
        <w:t>；</w:t>
      </w:r>
    </w:p>
    <w:p w14:paraId="667C4048">
      <w:pPr>
        <w:tabs>
          <w:tab w:val="left" w:pos="1985"/>
        </w:tabs>
        <w:spacing w:line="360" w:lineRule="auto"/>
        <w:ind w:firstLine="420"/>
        <w:rPr>
          <w:szCs w:val="21"/>
        </w:rPr>
      </w:pPr>
      <w:r>
        <w:rPr>
          <w:rFonts w:hint="eastAsia"/>
          <w:szCs w:val="21"/>
        </w:rPr>
        <w:t>7）机巢</w:t>
      </w:r>
      <w:r>
        <w:rPr>
          <w:szCs w:val="21"/>
        </w:rPr>
        <w:t>外壳应可靠接地，</w:t>
      </w:r>
      <w:r>
        <w:rPr>
          <w:rFonts w:hint="eastAsia"/>
          <w:szCs w:val="21"/>
        </w:rPr>
        <w:t>机巢</w:t>
      </w:r>
      <w:r>
        <w:rPr>
          <w:szCs w:val="21"/>
        </w:rPr>
        <w:t>的输出端具备限压保护功能，空载输出电压应不危及人身安全</w:t>
      </w:r>
      <w:r>
        <w:rPr>
          <w:rFonts w:hint="eastAsia"/>
          <w:szCs w:val="21"/>
        </w:rPr>
        <w:t>；</w:t>
      </w:r>
    </w:p>
    <w:p w14:paraId="47BAF262">
      <w:pPr>
        <w:tabs>
          <w:tab w:val="left" w:pos="1985"/>
        </w:tabs>
        <w:spacing w:line="360" w:lineRule="auto"/>
        <w:ind w:firstLine="420"/>
        <w:rPr>
          <w:szCs w:val="21"/>
        </w:rPr>
      </w:pPr>
      <w:r>
        <w:rPr>
          <w:rFonts w:hint="eastAsia"/>
          <w:szCs w:val="21"/>
        </w:rPr>
        <w:t>8）</w:t>
      </w:r>
      <w:r>
        <w:rPr>
          <w:szCs w:val="21"/>
        </w:rPr>
        <w:t>应具有永久标识，铭牌、文字及符号应简明清晰；</w:t>
      </w:r>
    </w:p>
    <w:p w14:paraId="69F1667A">
      <w:pPr>
        <w:pStyle w:val="3"/>
        <w:spacing w:before="0" w:after="0" w:line="360" w:lineRule="auto"/>
        <w:rPr>
          <w:rFonts w:ascii="Times New Roman" w:hAnsi="Times New Roman" w:eastAsia="黑体"/>
          <w:b w:val="0"/>
          <w:bCs/>
          <w:szCs w:val="21"/>
        </w:rPr>
      </w:pPr>
      <w:bookmarkStart w:id="54" w:name="_Toc229216699"/>
      <w:bookmarkStart w:id="55" w:name="_Toc2586"/>
      <w:bookmarkStart w:id="56" w:name="_Toc72859321"/>
      <w:bookmarkStart w:id="57" w:name="_Toc222996021"/>
      <w:r>
        <w:rPr>
          <w:rFonts w:hint="eastAsia" w:ascii="Times New Roman" w:hAnsi="Times New Roman" w:eastAsia="黑体"/>
          <w:b w:val="0"/>
          <w:bCs/>
          <w:szCs w:val="21"/>
        </w:rPr>
        <w:t>5.2 机巢功能要求</w:t>
      </w:r>
      <w:bookmarkEnd w:id="54"/>
      <w:bookmarkEnd w:id="55"/>
      <w:bookmarkEnd w:id="56"/>
      <w:bookmarkEnd w:id="57"/>
    </w:p>
    <w:p w14:paraId="6CF53E18">
      <w:pPr>
        <w:tabs>
          <w:tab w:val="left" w:pos="1985"/>
        </w:tabs>
        <w:spacing w:line="360" w:lineRule="auto"/>
        <w:ind w:firstLine="420"/>
        <w:rPr>
          <w:szCs w:val="21"/>
        </w:rPr>
      </w:pPr>
      <w:r>
        <w:rPr>
          <w:rFonts w:hint="eastAsia"/>
          <w:szCs w:val="21"/>
        </w:rPr>
        <w:t>1）智能存储：固定式机巢可存储无人机，并为无人机提供起降场地；</w:t>
      </w:r>
    </w:p>
    <w:p w14:paraId="175C0E84">
      <w:pPr>
        <w:tabs>
          <w:tab w:val="left" w:pos="1985"/>
        </w:tabs>
        <w:spacing w:line="360" w:lineRule="auto"/>
        <w:ind w:firstLine="420"/>
        <w:rPr>
          <w:szCs w:val="21"/>
        </w:rPr>
      </w:pPr>
      <w:r>
        <w:rPr>
          <w:rFonts w:hint="eastAsia"/>
          <w:szCs w:val="21"/>
        </w:rPr>
        <w:t>2）无人值守：固定式机巢需具备环境与设备状态感知、远程一键式自动巡检、系统异常自恢复以及硬件故障准确定位等综合功能，实现异常情况下无人机机巢的自主决策，满足远程无人值守自主巡检要求；</w:t>
      </w:r>
    </w:p>
    <w:p w14:paraId="41A591BB">
      <w:pPr>
        <w:tabs>
          <w:tab w:val="left" w:pos="1985"/>
        </w:tabs>
        <w:spacing w:line="360" w:lineRule="auto"/>
        <w:ind w:firstLine="420"/>
        <w:rPr>
          <w:szCs w:val="21"/>
        </w:rPr>
      </w:pPr>
      <w:r>
        <w:rPr>
          <w:rFonts w:hint="eastAsia"/>
          <w:szCs w:val="21"/>
        </w:rPr>
        <w:t>3）无人机自主巡航：搭载可见光云台相机、红外云台相机等负载的无人机可在无人机机巢的自动控制下，自主起飞作业，并基于高精度定位技术拍摄目标图片，自主完成可见光精细化巡检、通道巡检、红外巡检等类型的巡航任务；</w:t>
      </w:r>
    </w:p>
    <w:p w14:paraId="07D47A1F">
      <w:pPr>
        <w:tabs>
          <w:tab w:val="left" w:pos="1985"/>
        </w:tabs>
        <w:spacing w:line="360" w:lineRule="auto"/>
        <w:ind w:firstLine="420"/>
        <w:rPr>
          <w:szCs w:val="21"/>
        </w:rPr>
      </w:pPr>
      <w:r>
        <w:rPr>
          <w:rFonts w:hint="eastAsia"/>
          <w:szCs w:val="21"/>
        </w:rPr>
        <w:t>4）无人机自主精准降落：固定式机巢应具备全天时引导其所搭载无人机精准降落至起降平台区域范围内并完成所有回收动作的功能；</w:t>
      </w:r>
    </w:p>
    <w:p w14:paraId="7D5D99CD">
      <w:pPr>
        <w:tabs>
          <w:tab w:val="left" w:pos="1985"/>
        </w:tabs>
        <w:spacing w:line="360" w:lineRule="auto"/>
        <w:ind w:firstLine="420"/>
        <w:rPr>
          <w:szCs w:val="21"/>
        </w:rPr>
      </w:pPr>
      <w:r>
        <w:rPr>
          <w:rFonts w:hint="eastAsia"/>
          <w:szCs w:val="21"/>
        </w:rPr>
        <w:t>5）无人机电池组管理：机巢可自动为无人机电池进行电能补充，支持电池充电次数</w:t>
      </w:r>
      <w:r>
        <w:rPr>
          <w:rFonts w:hint="eastAsia"/>
        </w:rPr>
        <w:t>，以及寿命监测，实时监控充电电量及充电温度显示，并可根据设置电池过热预警</w:t>
      </w:r>
      <w:r>
        <w:rPr>
          <w:rFonts w:hint="eastAsia"/>
          <w:szCs w:val="21"/>
        </w:rPr>
        <w:t>。</w:t>
      </w:r>
    </w:p>
    <w:p w14:paraId="0AE24390">
      <w:pPr>
        <w:tabs>
          <w:tab w:val="left" w:pos="1985"/>
        </w:tabs>
        <w:spacing w:line="360" w:lineRule="auto"/>
        <w:ind w:firstLine="420"/>
        <w:rPr>
          <w:szCs w:val="21"/>
        </w:rPr>
      </w:pPr>
      <w:r>
        <w:rPr>
          <w:rFonts w:hint="eastAsia"/>
          <w:szCs w:val="21"/>
        </w:rPr>
        <w:t>6）舱内环境控制：可实时监控机巢舱内环境状态，并对舱内温湿度自动进行调控，保障机巢内设备稳定运行；</w:t>
      </w:r>
    </w:p>
    <w:p w14:paraId="2546A8FB">
      <w:pPr>
        <w:tabs>
          <w:tab w:val="left" w:pos="1985"/>
        </w:tabs>
        <w:spacing w:line="360" w:lineRule="auto"/>
        <w:ind w:firstLine="420"/>
        <w:rPr>
          <w:szCs w:val="21"/>
        </w:rPr>
      </w:pPr>
      <w:r>
        <w:rPr>
          <w:rFonts w:hint="eastAsia"/>
          <w:szCs w:val="21"/>
        </w:rPr>
        <w:t>7）气象环境感知：固定式机巢可实时监控机巢周边气象状态，包含大气温度、相对湿度、风速、风向、雨量五大要素；系统实时检测无人机机巢周围气象状态，天气异常时禁止执行任务或自主取消任务并返航，以确保安全飞行；</w:t>
      </w:r>
    </w:p>
    <w:p w14:paraId="22CD6B78">
      <w:pPr>
        <w:tabs>
          <w:tab w:val="left" w:pos="1985"/>
        </w:tabs>
        <w:spacing w:line="360" w:lineRule="auto"/>
        <w:ind w:firstLine="420" w:firstLineChars="200"/>
        <w:jc w:val="left"/>
        <w:rPr>
          <w:szCs w:val="21"/>
        </w:rPr>
      </w:pPr>
      <w:r>
        <w:rPr>
          <w:rFonts w:hint="eastAsia"/>
          <w:szCs w:val="21"/>
        </w:rPr>
        <w:t>8）断电保护：当外部供电断开时，应会使用内置备用电源进行供电运行。当外部供电断开时，为保证无人机飞行安全，机巢不会执行新的任务以免影响无人机飞行安全；若当前机巢系统已开始执行作业任务，机巢会立即回收无人机，并不再执行任务，直至外部供电恢复；</w:t>
      </w:r>
    </w:p>
    <w:p w14:paraId="3DA09C9B">
      <w:pPr>
        <w:tabs>
          <w:tab w:val="left" w:pos="1985"/>
        </w:tabs>
        <w:spacing w:line="360" w:lineRule="auto"/>
        <w:ind w:firstLine="420" w:firstLineChars="200"/>
        <w:jc w:val="left"/>
        <w:rPr>
          <w:szCs w:val="21"/>
        </w:rPr>
      </w:pPr>
      <w:r>
        <w:rPr>
          <w:rFonts w:hint="eastAsia"/>
          <w:szCs w:val="21"/>
        </w:rPr>
        <w:t>9）外部环境监控：固定式机巢可将机巢外部监控视频实时上传至软件系统；</w:t>
      </w:r>
    </w:p>
    <w:p w14:paraId="55A4C11F">
      <w:pPr>
        <w:tabs>
          <w:tab w:val="left" w:pos="1985"/>
        </w:tabs>
        <w:adjustRightInd w:val="0"/>
        <w:ind w:firstLine="420" w:firstLineChars="200"/>
        <w:jc w:val="left"/>
        <w:rPr>
          <w:szCs w:val="21"/>
        </w:rPr>
      </w:pPr>
      <w:r>
        <w:rPr>
          <w:rFonts w:hint="eastAsia"/>
          <w:szCs w:val="21"/>
        </w:rPr>
        <w:t>10）</w:t>
      </w:r>
      <w:r>
        <w:rPr>
          <w:szCs w:val="21"/>
        </w:rPr>
        <w:t>卫星</w:t>
      </w:r>
      <w:r>
        <w:rPr>
          <w:rFonts w:hint="eastAsia"/>
          <w:szCs w:val="21"/>
        </w:rPr>
        <w:t>系统技术要求</w:t>
      </w:r>
      <w:r>
        <w:rPr>
          <w:szCs w:val="21"/>
        </w:rPr>
        <w:t>：</w:t>
      </w:r>
      <w:r>
        <w:rPr>
          <w:rFonts w:hint="eastAsia"/>
          <w:szCs w:val="21"/>
        </w:rPr>
        <w:t>仅支持BDS且兼容北斗3号及以下卫星通讯；</w:t>
      </w:r>
    </w:p>
    <w:p w14:paraId="2C91A1CC">
      <w:pPr>
        <w:pStyle w:val="23"/>
        <w:spacing w:after="0" w:line="360" w:lineRule="auto"/>
        <w:ind w:firstLine="420" w:firstLineChars="200"/>
        <w:rPr>
          <w:rFonts w:hint="eastAsia" w:ascii="宋体" w:hAnsi="宋体" w:cs="宋体"/>
          <w:szCs w:val="21"/>
        </w:rPr>
      </w:pPr>
      <w:r>
        <w:rPr>
          <w:rFonts w:hint="eastAsia" w:ascii="宋体" w:hAnsi="宋体" w:cs="宋体"/>
          <w:szCs w:val="21"/>
        </w:rPr>
        <w:t>11）通信传输功能：具备多旋翼无人机和机巢平台的测控数据和影像数据的实时传输功能；宜具有自适应跳频功能，可在飞行过程中自动跳开干扰信号频率；在通视环境飞行高度40m 的条件下，测控数据和影像数据的全向传输距离应不小于2km；测控数据传输时延不大于20ms，误码率不大于10⁻⁶；影像数据传输时延不大于300 ms。</w:t>
      </w:r>
    </w:p>
    <w:p w14:paraId="69F8D949">
      <w:pPr>
        <w:pStyle w:val="3"/>
        <w:spacing w:before="0" w:after="0" w:line="360" w:lineRule="auto"/>
        <w:rPr>
          <w:rFonts w:ascii="Times New Roman" w:hAnsi="Times New Roman" w:eastAsia="黑体"/>
          <w:b w:val="0"/>
          <w:bCs/>
          <w:szCs w:val="21"/>
        </w:rPr>
      </w:pPr>
      <w:bookmarkStart w:id="58" w:name="_Toc3306"/>
      <w:bookmarkStart w:id="59" w:name="_Toc72859322"/>
      <w:bookmarkStart w:id="60" w:name="_Toc222996022"/>
      <w:bookmarkStart w:id="61" w:name="_Toc229216700"/>
      <w:r>
        <w:rPr>
          <w:rFonts w:hint="eastAsia" w:ascii="Times New Roman" w:hAnsi="Times New Roman" w:eastAsia="黑体"/>
          <w:b w:val="0"/>
          <w:bCs/>
          <w:szCs w:val="21"/>
        </w:rPr>
        <w:t>5.3</w:t>
      </w:r>
      <w:r>
        <w:rPr>
          <w:rFonts w:ascii="Times New Roman" w:hAnsi="Times New Roman" w:eastAsia="黑体"/>
          <w:b w:val="0"/>
          <w:bCs/>
          <w:szCs w:val="21"/>
        </w:rPr>
        <w:t xml:space="preserve"> </w:t>
      </w:r>
      <w:r>
        <w:rPr>
          <w:rFonts w:hint="eastAsia" w:ascii="Times New Roman" w:hAnsi="Times New Roman" w:eastAsia="黑体"/>
          <w:b w:val="0"/>
          <w:bCs/>
          <w:szCs w:val="21"/>
        </w:rPr>
        <w:t>系统基本要求</w:t>
      </w:r>
      <w:bookmarkEnd w:id="58"/>
      <w:bookmarkEnd w:id="59"/>
      <w:bookmarkEnd w:id="60"/>
      <w:bookmarkEnd w:id="61"/>
    </w:p>
    <w:p w14:paraId="0AB4BEFB">
      <w:pPr>
        <w:tabs>
          <w:tab w:val="left" w:pos="1985"/>
        </w:tabs>
        <w:spacing w:line="360" w:lineRule="auto"/>
        <w:ind w:firstLine="420"/>
        <w:rPr>
          <w:szCs w:val="21"/>
        </w:rPr>
      </w:pPr>
      <w:r>
        <w:rPr>
          <w:rFonts w:hint="eastAsia"/>
          <w:szCs w:val="21"/>
        </w:rPr>
        <w:t>1）系统应配有配套主站设备，主机的操作系统应采用Ubuntu 18.04/CentOS 7.5及以上版本或统信UOS、麒麟、凝思等国产操作系统</w:t>
      </w:r>
      <w:r>
        <w:rPr>
          <w:szCs w:val="21"/>
        </w:rPr>
        <w:t>；</w:t>
      </w:r>
    </w:p>
    <w:p w14:paraId="530F6784">
      <w:pPr>
        <w:tabs>
          <w:tab w:val="left" w:pos="1985"/>
        </w:tabs>
        <w:spacing w:line="360" w:lineRule="auto"/>
        <w:ind w:firstLine="420"/>
        <w:rPr>
          <w:szCs w:val="21"/>
        </w:rPr>
      </w:pPr>
      <w:r>
        <w:rPr>
          <w:rFonts w:hint="eastAsia"/>
          <w:szCs w:val="21"/>
        </w:rPr>
        <w:t>2）web应用端：支持麒麟、凝思等国产系统，不应采用Windows操作系统；</w:t>
      </w:r>
    </w:p>
    <w:p w14:paraId="110325F9">
      <w:pPr>
        <w:tabs>
          <w:tab w:val="left" w:pos="1985"/>
        </w:tabs>
        <w:spacing w:line="360" w:lineRule="auto"/>
        <w:ind w:firstLine="420"/>
        <w:rPr>
          <w:szCs w:val="21"/>
        </w:rPr>
      </w:pPr>
      <w:r>
        <w:rPr>
          <w:rFonts w:hint="eastAsia"/>
          <w:szCs w:val="21"/>
        </w:rPr>
        <w:t>3）系统</w:t>
      </w:r>
      <w:r>
        <w:rPr>
          <w:szCs w:val="21"/>
        </w:rPr>
        <w:t>软件禁止使用135、137、138、139、445、3389等高危端口进行业务通信或同步；</w:t>
      </w:r>
    </w:p>
    <w:p w14:paraId="40D46DF7">
      <w:pPr>
        <w:tabs>
          <w:tab w:val="left" w:pos="1985"/>
        </w:tabs>
        <w:spacing w:line="360" w:lineRule="auto"/>
        <w:ind w:firstLine="420"/>
        <w:rPr>
          <w:szCs w:val="21"/>
        </w:rPr>
      </w:pPr>
      <w:r>
        <w:rPr>
          <w:rFonts w:hint="eastAsia"/>
          <w:szCs w:val="21"/>
        </w:rPr>
        <w:t>4）系统</w:t>
      </w:r>
      <w:r>
        <w:rPr>
          <w:szCs w:val="21"/>
        </w:rPr>
        <w:t>软件禁用服务：server、远程桌面、E-Mail、WEB、Rlogin、telnet、FTP、SMB等服务</w:t>
      </w:r>
      <w:r>
        <w:rPr>
          <w:rFonts w:hint="eastAsia"/>
          <w:szCs w:val="21"/>
        </w:rPr>
        <w:t>；</w:t>
      </w:r>
    </w:p>
    <w:p w14:paraId="308B7286">
      <w:pPr>
        <w:pStyle w:val="3"/>
        <w:spacing w:before="0" w:after="0" w:line="360" w:lineRule="auto"/>
        <w:rPr>
          <w:rFonts w:ascii="Times New Roman" w:hAnsi="Times New Roman" w:eastAsia="黑体"/>
          <w:b w:val="0"/>
          <w:bCs/>
          <w:szCs w:val="21"/>
        </w:rPr>
      </w:pPr>
      <w:bookmarkStart w:id="62" w:name="_Toc229216701"/>
      <w:bookmarkStart w:id="63" w:name="_Toc72859323"/>
      <w:bookmarkStart w:id="64" w:name="_Toc222996023"/>
      <w:bookmarkStart w:id="65" w:name="_Toc8733"/>
      <w:r>
        <w:rPr>
          <w:rFonts w:hint="eastAsia" w:ascii="Times New Roman" w:hAnsi="Times New Roman" w:eastAsia="黑体"/>
          <w:b w:val="0"/>
          <w:bCs/>
          <w:szCs w:val="21"/>
        </w:rPr>
        <w:t>5.4</w:t>
      </w:r>
      <w:r>
        <w:rPr>
          <w:rFonts w:ascii="Times New Roman" w:hAnsi="Times New Roman" w:eastAsia="黑体"/>
          <w:b w:val="0"/>
          <w:bCs/>
          <w:szCs w:val="21"/>
        </w:rPr>
        <w:t xml:space="preserve"> </w:t>
      </w:r>
      <w:r>
        <w:rPr>
          <w:rFonts w:hint="eastAsia" w:ascii="Times New Roman" w:hAnsi="Times New Roman" w:eastAsia="黑体"/>
          <w:b w:val="0"/>
          <w:bCs/>
          <w:szCs w:val="21"/>
        </w:rPr>
        <w:t>系统功能要求</w:t>
      </w:r>
      <w:bookmarkEnd w:id="62"/>
      <w:bookmarkEnd w:id="63"/>
      <w:bookmarkEnd w:id="64"/>
      <w:bookmarkEnd w:id="65"/>
    </w:p>
    <w:p w14:paraId="70B557B1">
      <w:pPr>
        <w:tabs>
          <w:tab w:val="left" w:pos="1985"/>
        </w:tabs>
        <w:spacing w:line="360" w:lineRule="auto"/>
        <w:ind w:firstLine="420"/>
        <w:rPr>
          <w:szCs w:val="21"/>
        </w:rPr>
      </w:pPr>
      <w:r>
        <w:rPr>
          <w:rFonts w:hint="eastAsia"/>
          <w:szCs w:val="21"/>
        </w:rPr>
        <w:t>1）自主巡航：下发自动巡检计划，无人机根据巡检计划自动完成巡航任务；系统可自动控制无人机系统开机或关机；</w:t>
      </w:r>
    </w:p>
    <w:p w14:paraId="77F21968">
      <w:pPr>
        <w:tabs>
          <w:tab w:val="left" w:pos="1985"/>
        </w:tabs>
        <w:spacing w:line="360" w:lineRule="auto"/>
        <w:ind w:firstLine="420"/>
        <w:rPr>
          <w:szCs w:val="21"/>
        </w:rPr>
      </w:pPr>
      <w:r>
        <w:rPr>
          <w:rFonts w:hint="eastAsia"/>
          <w:szCs w:val="21"/>
        </w:rPr>
        <w:t>2）无人机实时状态监测：实时监测无人机作业、悬停、起降以及停止等状态，并结合无人机实时状态，辅助机巢完成无人机自主精准降落，</w:t>
      </w:r>
      <w:r>
        <w:rPr>
          <w:szCs w:val="21"/>
        </w:rPr>
        <w:t>对巡检任务的无人机</w:t>
      </w:r>
      <w:r>
        <w:rPr>
          <w:rFonts w:hint="eastAsia"/>
          <w:szCs w:val="21"/>
        </w:rPr>
        <w:t>状态、</w:t>
      </w:r>
      <w:r>
        <w:rPr>
          <w:szCs w:val="21"/>
        </w:rPr>
        <w:t>图传等进行实时监控，支持多路无人机图传直播监控；</w:t>
      </w:r>
    </w:p>
    <w:p w14:paraId="1DC5B194">
      <w:pPr>
        <w:tabs>
          <w:tab w:val="left" w:pos="1985"/>
        </w:tabs>
        <w:spacing w:line="360" w:lineRule="auto"/>
        <w:ind w:firstLine="420"/>
        <w:rPr>
          <w:szCs w:val="21"/>
        </w:rPr>
      </w:pPr>
      <w:r>
        <w:rPr>
          <w:rFonts w:hint="eastAsia"/>
          <w:szCs w:val="21"/>
        </w:rPr>
        <w:t>3）断点续飞：机巢配套无人机在巡检过程中，因发生异常而中断任务并返航后，可重新起飞，从断点继续执行巡检任务；</w:t>
      </w:r>
    </w:p>
    <w:p w14:paraId="443A4BEA">
      <w:pPr>
        <w:tabs>
          <w:tab w:val="left" w:pos="1985"/>
        </w:tabs>
        <w:spacing w:line="360" w:lineRule="auto"/>
        <w:ind w:firstLine="420"/>
        <w:rPr>
          <w:szCs w:val="21"/>
        </w:rPr>
      </w:pPr>
      <w:r>
        <w:rPr>
          <w:rFonts w:hint="eastAsia"/>
          <w:szCs w:val="21"/>
        </w:rPr>
        <w:t>4）数据上传与下载：自动从无人机下载图片数据，并上传至控制中心端，并支持对图片等数据进行自动规范管理；支持远程处理无人机SD卡储存数据；</w:t>
      </w:r>
    </w:p>
    <w:p w14:paraId="0B7F1EFC">
      <w:pPr>
        <w:tabs>
          <w:tab w:val="left" w:pos="1985"/>
        </w:tabs>
        <w:spacing w:line="360" w:lineRule="auto"/>
        <w:ind w:firstLine="420"/>
        <w:rPr>
          <w:szCs w:val="21"/>
        </w:rPr>
      </w:pPr>
      <w:r>
        <w:rPr>
          <w:rFonts w:hint="eastAsia"/>
          <w:szCs w:val="21"/>
        </w:rPr>
        <w:t>5）支持黑匣子功能：记录机巢运行状态日志，操作记录，动作信息，响应情况等信息；黑匣子信息记录时长应不少于30日；</w:t>
      </w:r>
    </w:p>
    <w:p w14:paraId="26D46E42">
      <w:pPr>
        <w:tabs>
          <w:tab w:val="left" w:pos="1985"/>
        </w:tabs>
        <w:spacing w:line="360" w:lineRule="auto"/>
        <w:ind w:firstLine="420"/>
        <w:rPr>
          <w:szCs w:val="21"/>
        </w:rPr>
      </w:pPr>
      <w:r>
        <w:rPr>
          <w:rFonts w:hint="eastAsia"/>
          <w:szCs w:val="21"/>
        </w:rPr>
        <w:t>6）航线管理：支持远程下达航线，可依据用户需求新建、查看、删除、编辑巡视路线；</w:t>
      </w:r>
    </w:p>
    <w:p w14:paraId="3E96A31B">
      <w:pPr>
        <w:tabs>
          <w:tab w:val="left" w:pos="1985"/>
        </w:tabs>
        <w:spacing w:line="360" w:lineRule="auto"/>
        <w:ind w:firstLine="420"/>
        <w:rPr>
          <w:szCs w:val="21"/>
        </w:rPr>
      </w:pPr>
      <w:r>
        <w:rPr>
          <w:rFonts w:hint="eastAsia"/>
          <w:szCs w:val="21"/>
        </w:rPr>
        <w:t>7）任务管理：新建、查看、删除、编辑和分配巡检任务至无人机，支待对单个巡检目标执行特巡任务；</w:t>
      </w:r>
    </w:p>
    <w:p w14:paraId="33FC2770">
      <w:pPr>
        <w:tabs>
          <w:tab w:val="left" w:pos="1985"/>
        </w:tabs>
        <w:spacing w:line="360" w:lineRule="auto"/>
        <w:ind w:firstLine="420"/>
        <w:rPr>
          <w:szCs w:val="21"/>
        </w:rPr>
      </w:pPr>
      <w:r>
        <w:rPr>
          <w:rFonts w:hint="eastAsia"/>
          <w:szCs w:val="21"/>
        </w:rPr>
        <w:t>8）紧急备降：无人机在无法正常降落时，固定式机巢可自主控制无人机备降至3M*3M的区域内，并向无人机管控平台上报报警信息，保障无人机能安全回到起飞点，并安全降落。</w:t>
      </w:r>
    </w:p>
    <w:p w14:paraId="6B81CB5A">
      <w:pPr>
        <w:pStyle w:val="3"/>
        <w:spacing w:before="0" w:after="0" w:line="360" w:lineRule="auto"/>
        <w:rPr>
          <w:rFonts w:ascii="Times New Roman" w:hAnsi="Times New Roman" w:eastAsia="黑体"/>
          <w:b w:val="0"/>
          <w:bCs/>
          <w:szCs w:val="21"/>
        </w:rPr>
      </w:pPr>
      <w:bookmarkStart w:id="66" w:name="_Toc72859324"/>
      <w:bookmarkStart w:id="67" w:name="_Toc17873"/>
      <w:bookmarkStart w:id="68" w:name="_Toc222996024"/>
      <w:bookmarkStart w:id="69" w:name="_Toc229216702"/>
      <w:r>
        <w:rPr>
          <w:rFonts w:hint="eastAsia" w:ascii="Times New Roman" w:hAnsi="Times New Roman" w:eastAsia="黑体"/>
          <w:b w:val="0"/>
          <w:bCs/>
          <w:szCs w:val="21"/>
        </w:rPr>
        <w:t>5.5</w:t>
      </w:r>
      <w:r>
        <w:rPr>
          <w:rFonts w:ascii="Times New Roman" w:hAnsi="Times New Roman" w:eastAsia="黑体"/>
          <w:b w:val="0"/>
          <w:bCs/>
          <w:szCs w:val="21"/>
        </w:rPr>
        <w:t xml:space="preserve"> </w:t>
      </w:r>
      <w:r>
        <w:rPr>
          <w:rFonts w:hint="eastAsia" w:ascii="Times New Roman" w:hAnsi="Times New Roman" w:eastAsia="黑体"/>
          <w:b w:val="0"/>
          <w:bCs/>
          <w:szCs w:val="21"/>
        </w:rPr>
        <w:t>系统接入及安全要求</w:t>
      </w:r>
      <w:bookmarkEnd w:id="66"/>
      <w:bookmarkEnd w:id="67"/>
      <w:bookmarkEnd w:id="68"/>
      <w:bookmarkEnd w:id="69"/>
    </w:p>
    <w:p w14:paraId="6D632976">
      <w:pPr>
        <w:tabs>
          <w:tab w:val="left" w:pos="1985"/>
        </w:tabs>
        <w:spacing w:line="360" w:lineRule="auto"/>
        <w:ind w:firstLine="420"/>
        <w:rPr>
          <w:szCs w:val="21"/>
        </w:rPr>
      </w:pPr>
      <w:r>
        <w:rPr>
          <w:rFonts w:hint="eastAsia"/>
          <w:szCs w:val="21"/>
        </w:rPr>
        <w:t>1）机巢</w:t>
      </w:r>
      <w:r>
        <w:rPr>
          <w:szCs w:val="21"/>
        </w:rPr>
        <w:t>与后台系统之间的信息通信应满足安全接入要求，</w:t>
      </w:r>
      <w:r>
        <w:rPr>
          <w:rFonts w:hint="eastAsia"/>
          <w:szCs w:val="21"/>
        </w:rPr>
        <w:t>机巢</w:t>
      </w:r>
      <w:r>
        <w:rPr>
          <w:szCs w:val="21"/>
        </w:rPr>
        <w:t>的安全要求应符合GB4943</w:t>
      </w:r>
      <w:r>
        <w:rPr>
          <w:rFonts w:hint="eastAsia"/>
          <w:szCs w:val="21"/>
        </w:rPr>
        <w:t>.1</w:t>
      </w:r>
      <w:r>
        <w:rPr>
          <w:szCs w:val="21"/>
        </w:rPr>
        <w:t>中的相关规定；</w:t>
      </w:r>
    </w:p>
    <w:p w14:paraId="103A981E">
      <w:pPr>
        <w:tabs>
          <w:tab w:val="left" w:pos="1985"/>
        </w:tabs>
        <w:spacing w:line="360" w:lineRule="auto"/>
        <w:ind w:firstLine="420"/>
        <w:rPr>
          <w:szCs w:val="21"/>
        </w:rPr>
      </w:pPr>
      <w:r>
        <w:rPr>
          <w:rFonts w:hint="eastAsia"/>
          <w:szCs w:val="21"/>
        </w:rPr>
        <w:t>2）</w:t>
      </w:r>
      <w:r>
        <w:rPr>
          <w:szCs w:val="21"/>
        </w:rPr>
        <w:t>应至少提供基于websocket、HTTP/HTTP（s）、MQTT/MQTT（s）、GB/T 28181、CoAP、Kafka等协议的接口，且需要根据招标方提供的SDK、协议插件等方式接入招标方指定的平台、业务系统中</w:t>
      </w:r>
      <w:r>
        <w:rPr>
          <w:rFonts w:hint="eastAsia"/>
          <w:szCs w:val="21"/>
        </w:rPr>
        <w:t>；</w:t>
      </w:r>
    </w:p>
    <w:p w14:paraId="32EA814E">
      <w:pPr>
        <w:tabs>
          <w:tab w:val="left" w:pos="1985"/>
        </w:tabs>
        <w:spacing w:line="360" w:lineRule="auto"/>
        <w:ind w:firstLine="420"/>
        <w:rPr>
          <w:szCs w:val="21"/>
        </w:rPr>
      </w:pPr>
      <w:r>
        <w:rPr>
          <w:rFonts w:hint="eastAsia"/>
          <w:szCs w:val="21"/>
        </w:rPr>
        <w:t>3）机巢</w:t>
      </w:r>
      <w:r>
        <w:rPr>
          <w:szCs w:val="21"/>
        </w:rPr>
        <w:t>与后台系统之间通信方式</w:t>
      </w:r>
      <w:r>
        <w:rPr>
          <w:rFonts w:hint="eastAsia"/>
          <w:szCs w:val="21"/>
        </w:rPr>
        <w:t>若</w:t>
      </w:r>
      <w:r>
        <w:rPr>
          <w:szCs w:val="21"/>
        </w:rPr>
        <w:t>选用无线</w:t>
      </w:r>
      <w:r>
        <w:rPr>
          <w:rFonts w:hint="eastAsia"/>
          <w:szCs w:val="21"/>
        </w:rPr>
        <w:t>专用</w:t>
      </w:r>
      <w:r>
        <w:rPr>
          <w:szCs w:val="21"/>
        </w:rPr>
        <w:t>网络通信</w:t>
      </w:r>
      <w:r>
        <w:rPr>
          <w:rFonts w:hint="eastAsia"/>
          <w:szCs w:val="21"/>
        </w:rPr>
        <w:t>，机巢</w:t>
      </w:r>
      <w:r>
        <w:rPr>
          <w:szCs w:val="21"/>
        </w:rPr>
        <w:t>与主站系统之间应用层数据传输规约应满足</w:t>
      </w:r>
      <w:r>
        <w:rPr>
          <w:rFonts w:hint="eastAsia"/>
          <w:szCs w:val="21"/>
        </w:rPr>
        <w:t>招标方</w:t>
      </w:r>
      <w:r>
        <w:rPr>
          <w:szCs w:val="21"/>
        </w:rPr>
        <w:t>要求，同时满足和</w:t>
      </w:r>
      <w:r>
        <w:rPr>
          <w:rFonts w:hint="eastAsia"/>
          <w:szCs w:val="21"/>
        </w:rPr>
        <w:t>招标方制定系统</w:t>
      </w:r>
      <w:r>
        <w:rPr>
          <w:szCs w:val="21"/>
        </w:rPr>
        <w:t>的数据建模规范及接口规范</w:t>
      </w:r>
      <w:r>
        <w:rPr>
          <w:rFonts w:hint="eastAsia"/>
          <w:szCs w:val="21"/>
        </w:rPr>
        <w:t>；数据宜采用南方电网APN专网卡或wapi+光纤通信方式上传数据至主站，确保数据安全性与传输可靠性。同时，同一感知层终端在未做物理隔离措施的情况下，不可同时直接接入不同安全大区的主站，严禁使用外网卡（含ESIM卡等外网通讯卡），且装置仅配置一个通信插口（支持APN通信卡），不允许预留备用插口；</w:t>
      </w:r>
    </w:p>
    <w:p w14:paraId="696F4EF9">
      <w:pPr>
        <w:tabs>
          <w:tab w:val="left" w:pos="1985"/>
        </w:tabs>
        <w:spacing w:line="360" w:lineRule="auto"/>
        <w:ind w:firstLine="420"/>
        <w:rPr>
          <w:szCs w:val="21"/>
        </w:rPr>
      </w:pPr>
      <w:r>
        <w:rPr>
          <w:rFonts w:hint="eastAsia"/>
          <w:szCs w:val="21"/>
        </w:rPr>
        <w:t>4）投标方所供的设备应可接入招标方监控调度系统进行实时定位监控，符合国家及招标方飞行动态数据管理、实时动态监控、安全管控、巡检航线任务执行等要求。</w:t>
      </w:r>
    </w:p>
    <w:p w14:paraId="6E3584CA">
      <w:pPr>
        <w:tabs>
          <w:tab w:val="left" w:pos="1985"/>
        </w:tabs>
        <w:spacing w:line="360" w:lineRule="auto"/>
        <w:ind w:firstLine="420"/>
        <w:rPr>
          <w:szCs w:val="21"/>
        </w:rPr>
      </w:pPr>
      <w:r>
        <w:rPr>
          <w:rFonts w:hint="eastAsia"/>
          <w:szCs w:val="21"/>
        </w:rPr>
        <w:t>5）机巢数据应直接接入南方电网全域物联网平台，数据格式应符合《南方电网物联终端设备信息模型规范（试行）》的要求，并预留适配后期系统建设的接口，接入应遵循《南方电网电力全域物联网平台接入技术规范（试行）》（Q/CSG 1210050-2020）、《南方电网物联网平台接入协议插件标准》中相关技术规范及标准的要求，数据安全应符合南网数据加密要求。</w:t>
      </w:r>
    </w:p>
    <w:p w14:paraId="16342D86">
      <w:pPr>
        <w:pStyle w:val="3"/>
        <w:spacing w:before="0" w:after="0" w:line="360" w:lineRule="auto"/>
        <w:rPr>
          <w:rFonts w:ascii="Times New Roman" w:hAnsi="Times New Roman" w:eastAsia="黑体"/>
          <w:b w:val="0"/>
          <w:bCs/>
          <w:szCs w:val="21"/>
        </w:rPr>
      </w:pPr>
      <w:bookmarkStart w:id="70" w:name="_Toc72859325"/>
      <w:bookmarkStart w:id="71" w:name="_Toc15425"/>
      <w:bookmarkStart w:id="72" w:name="_Toc229216703"/>
      <w:bookmarkStart w:id="73" w:name="_Toc222996025"/>
      <w:bookmarkStart w:id="74" w:name="_Toc18016"/>
      <w:r>
        <w:rPr>
          <w:rFonts w:ascii="Times New Roman" w:hAnsi="Times New Roman" w:eastAsia="黑体"/>
          <w:b w:val="0"/>
          <w:bCs/>
          <w:szCs w:val="21"/>
        </w:rPr>
        <w:t>5.</w:t>
      </w:r>
      <w:r>
        <w:rPr>
          <w:rFonts w:hint="eastAsia" w:ascii="Times New Roman" w:hAnsi="Times New Roman" w:eastAsia="黑体"/>
          <w:b w:val="0"/>
          <w:bCs/>
          <w:szCs w:val="21"/>
        </w:rPr>
        <w:t>6 网络安全要求</w:t>
      </w:r>
      <w:bookmarkEnd w:id="70"/>
      <w:bookmarkEnd w:id="71"/>
      <w:bookmarkEnd w:id="72"/>
      <w:bookmarkEnd w:id="73"/>
      <w:bookmarkEnd w:id="74"/>
    </w:p>
    <w:p w14:paraId="6AC33622">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5E00A8FE">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5A5FEEAA">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2D53DA28">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04E507AD">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616434D6">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5C4BF066">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68526027">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3B3FB5F9">
      <w:pPr>
        <w:tabs>
          <w:tab w:val="left" w:pos="1985"/>
        </w:tabs>
        <w:spacing w:line="360" w:lineRule="auto"/>
        <w:ind w:firstLine="420"/>
        <w:rPr>
          <w:szCs w:val="21"/>
        </w:rPr>
      </w:pPr>
      <w:r>
        <w:rPr>
          <w:rFonts w:hint="eastAsia"/>
          <w:szCs w:val="21"/>
        </w:rPr>
        <w:t>8）未通过招标方测试、备案的软件系统和设备不得私自上线运行；</w:t>
      </w:r>
    </w:p>
    <w:p w14:paraId="1634EA53">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070E35F7">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473906F8">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71CD2172">
      <w:pPr>
        <w:spacing w:line="480" w:lineRule="auto"/>
        <w:outlineLvl w:val="0"/>
        <w:rPr>
          <w:rFonts w:hint="eastAsia" w:ascii="黑体" w:hAnsi="黑体" w:eastAsia="黑体" w:cs="黑体"/>
          <w:b/>
          <w:bCs/>
          <w:szCs w:val="21"/>
        </w:rPr>
      </w:pPr>
      <w:bookmarkStart w:id="75" w:name="_Toc229216704"/>
      <w:bookmarkStart w:id="76" w:name="_Toc72859326"/>
      <w:bookmarkStart w:id="77" w:name="_Toc222996026"/>
      <w:r>
        <w:rPr>
          <w:rFonts w:hint="eastAsia" w:ascii="黑体" w:hAnsi="黑体" w:eastAsia="黑体" w:cs="黑体"/>
          <w:b/>
          <w:bCs/>
          <w:szCs w:val="21"/>
        </w:rPr>
        <w:t>6 试验项目及要求</w:t>
      </w:r>
      <w:bookmarkEnd w:id="75"/>
      <w:bookmarkEnd w:id="76"/>
      <w:bookmarkEnd w:id="77"/>
    </w:p>
    <w:p w14:paraId="65890BF2">
      <w:pPr>
        <w:pStyle w:val="3"/>
        <w:spacing w:after="120"/>
        <w:rPr>
          <w:rFonts w:hint="eastAsia" w:ascii="黑体" w:hAnsi="黑体" w:eastAsia="黑体"/>
          <w:b w:val="0"/>
          <w:bCs/>
          <w:szCs w:val="21"/>
        </w:rPr>
      </w:pPr>
      <w:bookmarkStart w:id="78" w:name="_Toc21598"/>
      <w:bookmarkStart w:id="79" w:name="_Toc229216705"/>
      <w:bookmarkStart w:id="80" w:name="_Toc229213765"/>
      <w:bookmarkStart w:id="81" w:name="_Toc229215769"/>
      <w:bookmarkStart w:id="82" w:name="_Toc20335"/>
      <w:bookmarkStart w:id="83" w:name="_Toc500920862"/>
      <w:bookmarkStart w:id="84" w:name="_Toc265313591"/>
      <w:bookmarkStart w:id="85" w:name="_Ref68083963"/>
      <w:bookmarkStart w:id="86" w:name="_Toc130279636"/>
      <w:bookmarkStart w:id="87" w:name="_Toc130279890"/>
      <w:bookmarkStart w:id="88" w:name="_Toc88045606"/>
      <w:bookmarkStart w:id="89" w:name="_Toc132512177"/>
      <w:bookmarkStart w:id="90" w:name="_Toc121821370"/>
      <w:r>
        <w:rPr>
          <w:rFonts w:hint="eastAsia" w:ascii="黑体" w:hAnsi="黑体" w:eastAsia="黑体"/>
          <w:b w:val="0"/>
          <w:bCs/>
          <w:szCs w:val="21"/>
        </w:rPr>
        <w:t>6.1 试验环境</w:t>
      </w:r>
      <w:bookmarkEnd w:id="78"/>
      <w:bookmarkEnd w:id="79"/>
      <w:bookmarkEnd w:id="80"/>
      <w:bookmarkEnd w:id="81"/>
    </w:p>
    <w:p w14:paraId="559C34BB">
      <w:pPr>
        <w:spacing w:after="80"/>
        <w:ind w:firstLine="420"/>
        <w:rPr>
          <w:rFonts w:hint="eastAsia" w:ascii="宋体" w:hAnsi="宋体"/>
          <w:szCs w:val="21"/>
        </w:rPr>
      </w:pPr>
      <w:r>
        <w:rPr>
          <w:rFonts w:hint="eastAsia" w:ascii="宋体" w:hAnsi="宋体"/>
          <w:szCs w:val="21"/>
        </w:rPr>
        <w:t>除环境适应性试验、现场飞行试验及运行中试验外，其它试验项目宜在下列环境条件下进行；试验环境可参照 T/CEC 1196—2025 第5章有关要求执行：</w:t>
      </w:r>
    </w:p>
    <w:p w14:paraId="649FC066">
      <w:pPr>
        <w:spacing w:after="80"/>
        <w:ind w:firstLine="420"/>
        <w:rPr>
          <w:rFonts w:hint="eastAsia" w:ascii="宋体" w:hAnsi="宋体"/>
          <w:szCs w:val="21"/>
        </w:rPr>
      </w:pPr>
      <w:r>
        <w:rPr>
          <w:rFonts w:hint="eastAsia" w:ascii="宋体" w:hAnsi="宋体"/>
          <w:szCs w:val="21"/>
        </w:rPr>
        <w:t>1）环境温度：15℃～35℃；</w:t>
      </w:r>
    </w:p>
    <w:p w14:paraId="5FA4FA6B">
      <w:pPr>
        <w:spacing w:after="80"/>
        <w:ind w:firstLine="420"/>
        <w:rPr>
          <w:rFonts w:hint="eastAsia" w:ascii="宋体" w:hAnsi="宋体"/>
          <w:szCs w:val="21"/>
        </w:rPr>
      </w:pPr>
      <w:r>
        <w:rPr>
          <w:rFonts w:hint="eastAsia" w:ascii="宋体" w:hAnsi="宋体"/>
          <w:szCs w:val="21"/>
        </w:rPr>
        <w:t>2）相对湿度：25%～75%RH；</w:t>
      </w:r>
    </w:p>
    <w:p w14:paraId="5727D441">
      <w:pPr>
        <w:spacing w:after="80"/>
        <w:ind w:firstLine="420"/>
        <w:rPr>
          <w:rFonts w:hint="eastAsia" w:ascii="宋体" w:hAnsi="宋体"/>
          <w:szCs w:val="21"/>
        </w:rPr>
      </w:pPr>
      <w:r>
        <w:rPr>
          <w:rFonts w:hint="eastAsia" w:ascii="宋体" w:hAnsi="宋体"/>
          <w:szCs w:val="21"/>
        </w:rPr>
        <w:t>3）大气压力：80kPa～106kPa；</w:t>
      </w:r>
    </w:p>
    <w:p w14:paraId="2E06A558">
      <w:pPr>
        <w:spacing w:after="80"/>
        <w:ind w:firstLine="420"/>
        <w:rPr>
          <w:rFonts w:hint="eastAsia" w:ascii="宋体" w:hAnsi="宋体"/>
          <w:szCs w:val="21"/>
        </w:rPr>
      </w:pPr>
      <w:r>
        <w:rPr>
          <w:rFonts w:hint="eastAsia" w:ascii="宋体" w:hAnsi="宋体"/>
          <w:szCs w:val="21"/>
        </w:rPr>
        <w:t>4）供电电源应满足被试设备额定输入要求；</w:t>
      </w:r>
    </w:p>
    <w:p w14:paraId="5001F1BE">
      <w:pPr>
        <w:spacing w:after="80"/>
        <w:ind w:firstLine="420"/>
        <w:rPr>
          <w:rFonts w:hint="eastAsia" w:ascii="宋体" w:hAnsi="宋体"/>
          <w:szCs w:val="21"/>
        </w:rPr>
      </w:pPr>
      <w:r>
        <w:rPr>
          <w:rFonts w:hint="eastAsia" w:ascii="宋体" w:hAnsi="宋体"/>
          <w:szCs w:val="21"/>
        </w:rPr>
        <w:t>5）试验场地应无影响试验结果的强电磁干扰、剧烈振动、粉尘及腐蚀性气体。</w:t>
      </w:r>
    </w:p>
    <w:p w14:paraId="75A3D884">
      <w:pPr>
        <w:pStyle w:val="3"/>
        <w:spacing w:after="120"/>
        <w:rPr>
          <w:rFonts w:hint="eastAsia" w:ascii="黑体" w:hAnsi="黑体" w:eastAsia="黑体"/>
          <w:b w:val="0"/>
          <w:bCs/>
          <w:szCs w:val="21"/>
        </w:rPr>
      </w:pPr>
      <w:bookmarkStart w:id="91" w:name="_Toc22634"/>
      <w:bookmarkStart w:id="92" w:name="_Toc229213766"/>
      <w:bookmarkStart w:id="93" w:name="_Toc229215770"/>
      <w:bookmarkStart w:id="94" w:name="_Toc229216706"/>
      <w:r>
        <w:rPr>
          <w:rFonts w:hint="eastAsia" w:ascii="黑体" w:hAnsi="黑体" w:eastAsia="黑体"/>
          <w:b w:val="0"/>
          <w:bCs/>
          <w:szCs w:val="21"/>
        </w:rPr>
        <w:t>6.2 环境适应性试验</w:t>
      </w:r>
      <w:bookmarkEnd w:id="91"/>
      <w:bookmarkEnd w:id="92"/>
      <w:bookmarkEnd w:id="93"/>
      <w:bookmarkEnd w:id="94"/>
    </w:p>
    <w:p w14:paraId="29B63FA2">
      <w:pPr>
        <w:tabs>
          <w:tab w:val="left" w:pos="709"/>
        </w:tabs>
        <w:spacing w:line="360" w:lineRule="auto"/>
        <w:ind w:left="709" w:hanging="709"/>
        <w:outlineLvl w:val="2"/>
        <w:rPr>
          <w:rFonts w:hint="eastAsia" w:ascii="宋体" w:hAnsi="宋体"/>
          <w:szCs w:val="21"/>
        </w:rPr>
      </w:pPr>
      <w:r>
        <w:rPr>
          <w:rFonts w:hint="eastAsia" w:ascii="宋体" w:hAnsi="宋体"/>
          <w:szCs w:val="21"/>
        </w:rPr>
        <w:t>6.2.1 低温试验</w:t>
      </w:r>
    </w:p>
    <w:p w14:paraId="4FB3F11C">
      <w:pPr>
        <w:ind w:firstLine="420"/>
      </w:pPr>
      <w:r>
        <w:rPr>
          <w:rFonts w:hint="eastAsia"/>
        </w:rPr>
        <w:t>按 GB/T 2423.1 中“试验 Ae”进行，并按 DL/T 2966—2025 第6.1条及 T/CEC 1196—2025 第6.2.1条有关要求执行，试验温度为 -20℃，持续时间为16h。</w:t>
      </w:r>
    </w:p>
    <w:p w14:paraId="45358F0C">
      <w:pPr>
        <w:ind w:firstLine="420"/>
      </w:pPr>
      <w:r>
        <w:rPr>
          <w:rFonts w:hint="eastAsia"/>
        </w:rPr>
        <w:t>试验期间被试机巢应处于通电运行状态。</w:t>
      </w:r>
    </w:p>
    <w:p w14:paraId="32BD8AF7">
      <w:pPr>
        <w:spacing w:after="80"/>
        <w:ind w:firstLine="420"/>
      </w:pPr>
      <w:r>
        <w:rPr>
          <w:rFonts w:hint="eastAsia"/>
        </w:rPr>
        <w:t>试验期间及试验</w:t>
      </w:r>
      <w:r>
        <w:rPr>
          <w:rFonts w:hint="eastAsia" w:ascii="宋体" w:hAnsi="宋体"/>
          <w:szCs w:val="21"/>
        </w:rPr>
        <w:t>结束</w:t>
      </w:r>
      <w:r>
        <w:rPr>
          <w:rFonts w:hint="eastAsia"/>
        </w:rPr>
        <w:t>后，被试机巢应无变形、裂纹、结构松动等异常现象，与管控系统通信正常，各项功能应满足本规范书要求。</w:t>
      </w:r>
    </w:p>
    <w:p w14:paraId="2C88E3C6">
      <w:pPr>
        <w:tabs>
          <w:tab w:val="left" w:pos="709"/>
        </w:tabs>
        <w:spacing w:line="360" w:lineRule="auto"/>
        <w:ind w:left="709" w:hanging="709"/>
        <w:outlineLvl w:val="2"/>
        <w:rPr>
          <w:rFonts w:hint="eastAsia" w:ascii="宋体" w:hAnsi="宋体"/>
          <w:szCs w:val="21"/>
        </w:rPr>
      </w:pPr>
      <w:r>
        <w:rPr>
          <w:rFonts w:hint="eastAsia" w:ascii="宋体" w:hAnsi="宋体"/>
          <w:szCs w:val="21"/>
        </w:rPr>
        <w:t>6.2.2 高温试验</w:t>
      </w:r>
    </w:p>
    <w:p w14:paraId="1A96E5B2">
      <w:pPr>
        <w:spacing w:after="80"/>
        <w:ind w:firstLine="420"/>
      </w:pPr>
      <w:r>
        <w:rPr>
          <w:rFonts w:hint="eastAsia"/>
        </w:rPr>
        <w:t>按 GB/T 2423.2 中“试验 Be”进行，并按 DL/T 2966—2025 第6.1条及 T/CEC 1196—2025 第6.2.2条有关要求执行，</w:t>
      </w:r>
      <w:r>
        <w:rPr>
          <w:rFonts w:hint="eastAsia" w:ascii="宋体" w:hAnsi="宋体"/>
          <w:szCs w:val="21"/>
        </w:rPr>
        <w:t>试验</w:t>
      </w:r>
      <w:r>
        <w:rPr>
          <w:rFonts w:hint="eastAsia"/>
        </w:rPr>
        <w:t>温度为 55℃，持续时间为16h。</w:t>
      </w:r>
    </w:p>
    <w:p w14:paraId="29F68B13">
      <w:pPr>
        <w:spacing w:after="80"/>
        <w:ind w:firstLine="420"/>
      </w:pPr>
      <w:r>
        <w:rPr>
          <w:rFonts w:hint="eastAsia"/>
        </w:rPr>
        <w:t>试验期间被试机巢应</w:t>
      </w:r>
      <w:r>
        <w:rPr>
          <w:rFonts w:hint="eastAsia" w:ascii="宋体" w:hAnsi="宋体"/>
          <w:szCs w:val="21"/>
        </w:rPr>
        <w:t>处于</w:t>
      </w:r>
      <w:r>
        <w:rPr>
          <w:rFonts w:hint="eastAsia"/>
        </w:rPr>
        <w:t>通电运行状态。</w:t>
      </w:r>
    </w:p>
    <w:p w14:paraId="72420E39">
      <w:pPr>
        <w:ind w:firstLine="420"/>
      </w:pPr>
      <w:r>
        <w:rPr>
          <w:rFonts w:hint="eastAsia"/>
        </w:rPr>
        <w:t>试验期间及试验结束后，被试机巢应无变形、裂纹、结构松动等异常现象，与管控系统通信正常，各项功能应满足本规范书要求。</w:t>
      </w:r>
    </w:p>
    <w:p w14:paraId="6B2894FE">
      <w:pPr>
        <w:tabs>
          <w:tab w:val="left" w:pos="709"/>
        </w:tabs>
        <w:spacing w:line="360" w:lineRule="auto"/>
        <w:ind w:left="709" w:hanging="709"/>
        <w:outlineLvl w:val="2"/>
        <w:rPr>
          <w:rFonts w:hint="eastAsia" w:ascii="宋体" w:hAnsi="宋体"/>
          <w:szCs w:val="21"/>
        </w:rPr>
      </w:pPr>
      <w:r>
        <w:rPr>
          <w:rFonts w:hint="eastAsia" w:ascii="宋体" w:hAnsi="宋体"/>
          <w:szCs w:val="21"/>
        </w:rPr>
        <w:t>6.2.3 湿热试验</w:t>
      </w:r>
    </w:p>
    <w:p w14:paraId="0EE8D0E2">
      <w:pPr>
        <w:spacing w:after="80"/>
        <w:ind w:firstLine="420"/>
      </w:pPr>
      <w:r>
        <w:rPr>
          <w:rFonts w:hint="eastAsia"/>
        </w:rPr>
        <w:t>按 GB/T 2423.3 中“试验 Cab”进行，并按 DL/T 2966—2025 第6.1条及 T/CEC 1196—2025 第6.2.3条有关要求执行，</w:t>
      </w:r>
      <w:r>
        <w:rPr>
          <w:rFonts w:hint="eastAsia" w:ascii="宋体" w:hAnsi="宋体"/>
          <w:szCs w:val="21"/>
        </w:rPr>
        <w:t>试验</w:t>
      </w:r>
      <w:r>
        <w:rPr>
          <w:rFonts w:hint="eastAsia"/>
        </w:rPr>
        <w:t>温度为（40±2）℃，相对湿度为（93±3）%RH，持续时间为16h。</w:t>
      </w:r>
    </w:p>
    <w:p w14:paraId="14A22447">
      <w:pPr>
        <w:spacing w:after="80"/>
        <w:ind w:firstLine="420"/>
      </w:pPr>
      <w:r>
        <w:rPr>
          <w:rFonts w:hint="eastAsia"/>
        </w:rPr>
        <w:t>试验期间被试机巢应处于通电运行状态。</w:t>
      </w:r>
    </w:p>
    <w:p w14:paraId="2B5677C9">
      <w:pPr>
        <w:ind w:firstLine="420"/>
      </w:pPr>
      <w:r>
        <w:rPr>
          <w:rFonts w:hint="eastAsia"/>
        </w:rPr>
        <w:t>试验期间及试验结束后，被试机巢应无凝露导致的功能异常、无绝缘击穿、无结构损坏，与管控系统通信正常，各项功能应满足本规范书要求。</w:t>
      </w:r>
    </w:p>
    <w:p w14:paraId="2F3E1224">
      <w:pPr>
        <w:pStyle w:val="3"/>
        <w:spacing w:after="120"/>
        <w:rPr>
          <w:rFonts w:hint="eastAsia" w:ascii="黑体" w:hAnsi="黑体" w:eastAsia="黑体"/>
          <w:b w:val="0"/>
          <w:bCs/>
          <w:szCs w:val="21"/>
        </w:rPr>
      </w:pPr>
      <w:bookmarkStart w:id="95" w:name="_Toc229216707"/>
      <w:bookmarkStart w:id="96" w:name="_Toc7423"/>
      <w:bookmarkStart w:id="97" w:name="_Toc229215771"/>
      <w:bookmarkStart w:id="98" w:name="_Toc229213767"/>
      <w:r>
        <w:rPr>
          <w:rFonts w:hint="eastAsia" w:ascii="黑体" w:hAnsi="黑体" w:eastAsia="黑体"/>
          <w:b w:val="0"/>
          <w:bCs/>
          <w:szCs w:val="21"/>
        </w:rPr>
        <w:t>6.3 外观结构检查</w:t>
      </w:r>
      <w:bookmarkEnd w:id="95"/>
      <w:bookmarkEnd w:id="96"/>
      <w:bookmarkEnd w:id="97"/>
      <w:bookmarkEnd w:id="98"/>
    </w:p>
    <w:p w14:paraId="7B4ACAC9">
      <w:pPr>
        <w:spacing w:after="80"/>
        <w:ind w:firstLine="420"/>
      </w:pPr>
      <w:r>
        <w:rPr>
          <w:rFonts w:hint="eastAsia"/>
        </w:rPr>
        <w:t>采用目测及必要的量具检查方式，并按 DL/T 2966—2025 第6.2条及 T/CEC 1196—2025 第6.1条有关要求执行，对被试机巢外壳、电气线路、机械结构、接地标识、舱门、锁止机构、充电触点及相关执行机构进行检查。</w:t>
      </w:r>
    </w:p>
    <w:p w14:paraId="7F528DCE">
      <w:pPr>
        <w:ind w:firstLine="420"/>
      </w:pPr>
      <w:r>
        <w:rPr>
          <w:rFonts w:hint="eastAsia"/>
        </w:rPr>
        <w:t>检查内容应包括但不限于：</w:t>
      </w:r>
    </w:p>
    <w:p w14:paraId="1D1723BB">
      <w:pPr>
        <w:spacing w:after="80"/>
        <w:ind w:firstLine="420"/>
      </w:pPr>
      <w:r>
        <w:rPr>
          <w:rFonts w:hint="eastAsia"/>
        </w:rPr>
        <w:t>1）外表面应光洁、均匀，无明显伤痕、裂纹、毛刺、锈蚀及变形；</w:t>
      </w:r>
    </w:p>
    <w:p w14:paraId="1BC27535">
      <w:pPr>
        <w:spacing w:after="80"/>
        <w:ind w:firstLine="420"/>
      </w:pPr>
      <w:r>
        <w:rPr>
          <w:rFonts w:hint="eastAsia"/>
        </w:rPr>
        <w:t>2）内部电气线路应</w:t>
      </w:r>
      <w:r>
        <w:rPr>
          <w:rFonts w:hint="eastAsia" w:ascii="宋体" w:hAnsi="宋体"/>
          <w:szCs w:val="21"/>
        </w:rPr>
        <w:t>排列</w:t>
      </w:r>
      <w:r>
        <w:rPr>
          <w:rFonts w:hint="eastAsia"/>
        </w:rPr>
        <w:t>整齐、固定牢靠、走向合理；</w:t>
      </w:r>
    </w:p>
    <w:p w14:paraId="0E17358B">
      <w:pPr>
        <w:spacing w:after="80"/>
        <w:ind w:firstLine="420"/>
      </w:pPr>
      <w:r>
        <w:rPr>
          <w:rFonts w:hint="eastAsia"/>
        </w:rPr>
        <w:t>3）机械结构应坚实耐用，舱门、锁止机构、充电触点动作应顺畅，无卡滞、无异常噪声；</w:t>
      </w:r>
    </w:p>
    <w:p w14:paraId="2B6DCD52">
      <w:pPr>
        <w:ind w:firstLine="420"/>
      </w:pPr>
      <w:r>
        <w:rPr>
          <w:rFonts w:hint="eastAsia"/>
        </w:rPr>
        <w:t>4）固定式机巢应具有接地标识；</w:t>
      </w:r>
    </w:p>
    <w:p w14:paraId="2E6A82A1">
      <w:pPr>
        <w:spacing w:after="80"/>
        <w:ind w:firstLine="420"/>
      </w:pPr>
      <w:r>
        <w:rPr>
          <w:rFonts w:hint="eastAsia"/>
        </w:rPr>
        <w:t>5）密闭式机巢应</w:t>
      </w:r>
      <w:r>
        <w:rPr>
          <w:rFonts w:hint="eastAsia" w:ascii="宋体" w:hAnsi="宋体"/>
          <w:szCs w:val="21"/>
        </w:rPr>
        <w:t>具备</w:t>
      </w:r>
      <w:r>
        <w:rPr>
          <w:rFonts w:hint="eastAsia"/>
        </w:rPr>
        <w:t>防雨、防尘、防异物侵入条件。</w:t>
      </w:r>
    </w:p>
    <w:p w14:paraId="47222B09">
      <w:pPr>
        <w:spacing w:after="80"/>
        <w:ind w:firstLine="420"/>
      </w:pPr>
      <w:r>
        <w:rPr>
          <w:rFonts w:hint="eastAsia"/>
        </w:rPr>
        <w:t>检查结果应满足本</w:t>
      </w:r>
      <w:r>
        <w:rPr>
          <w:rFonts w:hint="eastAsia" w:ascii="宋体" w:hAnsi="宋体"/>
          <w:szCs w:val="21"/>
        </w:rPr>
        <w:t>规范</w:t>
      </w:r>
      <w:r>
        <w:rPr>
          <w:rFonts w:hint="eastAsia"/>
        </w:rPr>
        <w:t>书5.1的要求。</w:t>
      </w:r>
    </w:p>
    <w:p w14:paraId="04D9DC3A">
      <w:pPr>
        <w:pStyle w:val="3"/>
        <w:spacing w:after="120"/>
        <w:rPr>
          <w:rFonts w:hint="eastAsia" w:ascii="黑体" w:hAnsi="黑体" w:eastAsia="黑体"/>
          <w:b w:val="0"/>
          <w:bCs/>
          <w:szCs w:val="21"/>
        </w:rPr>
      </w:pPr>
      <w:bookmarkStart w:id="99" w:name="_Toc229216708"/>
      <w:bookmarkStart w:id="100" w:name="_Toc229215772"/>
      <w:bookmarkStart w:id="101" w:name="_Toc10308"/>
      <w:bookmarkStart w:id="102" w:name="_Toc229213768"/>
      <w:r>
        <w:rPr>
          <w:rFonts w:hint="eastAsia" w:ascii="黑体" w:hAnsi="黑体" w:eastAsia="黑体"/>
          <w:b w:val="0"/>
          <w:bCs/>
          <w:szCs w:val="21"/>
        </w:rPr>
        <w:t>6.4 基本功能试验</w:t>
      </w:r>
      <w:bookmarkEnd w:id="99"/>
      <w:bookmarkEnd w:id="100"/>
      <w:bookmarkEnd w:id="101"/>
      <w:bookmarkEnd w:id="102"/>
    </w:p>
    <w:p w14:paraId="34E25C63">
      <w:pPr>
        <w:tabs>
          <w:tab w:val="left" w:pos="709"/>
        </w:tabs>
        <w:spacing w:line="360" w:lineRule="auto"/>
        <w:ind w:left="709" w:hanging="709"/>
        <w:outlineLvl w:val="2"/>
        <w:rPr>
          <w:rFonts w:hint="eastAsia" w:ascii="宋体" w:hAnsi="宋体"/>
          <w:szCs w:val="21"/>
        </w:rPr>
      </w:pPr>
      <w:r>
        <w:rPr>
          <w:rFonts w:hint="eastAsia" w:ascii="宋体" w:hAnsi="宋体"/>
          <w:szCs w:val="21"/>
        </w:rPr>
        <w:t>6.4.1 状态指示试验</w:t>
      </w:r>
    </w:p>
    <w:p w14:paraId="6AFF0818">
      <w:pPr>
        <w:spacing w:after="80"/>
        <w:ind w:firstLine="420"/>
      </w:pPr>
      <w:r>
        <w:rPr>
          <w:rFonts w:hint="eastAsia"/>
        </w:rPr>
        <w:t>按 DL/T 2966—2025 第6.3条有关要求执行，模拟切换被试机巢的待机、运行、充电、故障、维护等状态，检查机巢是否能通过声音、灯光、界面状态等方式正确指示其当前状态。</w:t>
      </w:r>
    </w:p>
    <w:p w14:paraId="54E68185">
      <w:pPr>
        <w:spacing w:after="80"/>
        <w:ind w:firstLine="420"/>
      </w:pPr>
      <w:r>
        <w:rPr>
          <w:rFonts w:hint="eastAsia"/>
        </w:rPr>
        <w:t>试验结果应满足本规范书5.2的要求。</w:t>
      </w:r>
    </w:p>
    <w:p w14:paraId="2A03AE73">
      <w:pPr>
        <w:tabs>
          <w:tab w:val="left" w:pos="709"/>
        </w:tabs>
        <w:spacing w:line="360" w:lineRule="auto"/>
        <w:ind w:left="709" w:hanging="709"/>
        <w:outlineLvl w:val="2"/>
        <w:rPr>
          <w:rFonts w:hint="eastAsia" w:ascii="宋体" w:hAnsi="宋体"/>
          <w:szCs w:val="21"/>
        </w:rPr>
      </w:pPr>
      <w:r>
        <w:rPr>
          <w:rFonts w:hint="eastAsia" w:ascii="宋体" w:hAnsi="宋体"/>
          <w:szCs w:val="21"/>
        </w:rPr>
        <w:t>6.4.2 内部温控试验</w:t>
      </w:r>
    </w:p>
    <w:p w14:paraId="6A48312A">
      <w:pPr>
        <w:spacing w:after="80"/>
        <w:ind w:firstLine="420"/>
      </w:pPr>
      <w:r>
        <w:rPr>
          <w:rFonts w:hint="eastAsia"/>
        </w:rPr>
        <w:t>按 DL/T 2966</w:t>
      </w:r>
      <w:r>
        <w:rPr>
          <w:rFonts w:hint="eastAsia" w:ascii="宋体" w:hAnsi="宋体"/>
          <w:szCs w:val="21"/>
        </w:rPr>
        <w:t>—</w:t>
      </w:r>
      <w:r>
        <w:rPr>
          <w:rFonts w:hint="eastAsia"/>
        </w:rPr>
        <w:t>2025 第6.3条有关要求执行，在环境温度35℃、环境湿度（85±2）%RH条件下，设定被试机巢内部温度控制目标值为25℃，启动温控装置并静置30min后，采用标准温度计测量机巢内部温度。</w:t>
      </w:r>
    </w:p>
    <w:p w14:paraId="6E930BB8">
      <w:pPr>
        <w:spacing w:after="80"/>
        <w:ind w:firstLine="420"/>
      </w:pPr>
      <w:r>
        <w:rPr>
          <w:rFonts w:hint="eastAsia"/>
        </w:rPr>
        <w:t>测量值与设定值偏差应不大于±5℃，且主控模块、通信模块、监控模块、充电模块运行正常。</w:t>
      </w:r>
    </w:p>
    <w:p w14:paraId="1A358E87">
      <w:pPr>
        <w:spacing w:after="80"/>
        <w:ind w:firstLine="420"/>
      </w:pPr>
      <w:r>
        <w:rPr>
          <w:rFonts w:hint="eastAsia"/>
        </w:rPr>
        <w:t>试验结果应满足本规范书5.3的要求。</w:t>
      </w:r>
    </w:p>
    <w:p w14:paraId="13A98E1D">
      <w:pPr>
        <w:tabs>
          <w:tab w:val="left" w:pos="709"/>
        </w:tabs>
        <w:spacing w:line="360" w:lineRule="auto"/>
        <w:ind w:left="709" w:hanging="709"/>
        <w:outlineLvl w:val="2"/>
        <w:rPr>
          <w:rFonts w:hint="eastAsia" w:ascii="宋体" w:hAnsi="宋体"/>
          <w:szCs w:val="21"/>
        </w:rPr>
      </w:pPr>
      <w:r>
        <w:rPr>
          <w:rFonts w:hint="eastAsia" w:ascii="宋体" w:hAnsi="宋体"/>
          <w:szCs w:val="21"/>
        </w:rPr>
        <w:t>6.4.3 精准起降引导试验</w:t>
      </w:r>
    </w:p>
    <w:p w14:paraId="6ABDA36F">
      <w:pPr>
        <w:spacing w:after="80"/>
        <w:ind w:firstLine="420"/>
      </w:pPr>
      <w:r>
        <w:rPr>
          <w:rFonts w:hint="eastAsia"/>
        </w:rPr>
        <w:t>按 DL/T 2966—2025 第6.3条有关要求执行，被试机巢在 GB/T 28591 规定的0级风力且无雨条件下，执行10个架次飞行任务，其中夜间飞行任务不少于5个架次。</w:t>
      </w:r>
    </w:p>
    <w:p w14:paraId="0833BC4F">
      <w:pPr>
        <w:spacing w:after="80"/>
        <w:ind w:firstLine="420"/>
      </w:pPr>
      <w:r>
        <w:rPr>
          <w:rFonts w:hint="eastAsia"/>
        </w:rPr>
        <w:t>试验过程中应验证机巢能否全天时引导所搭载无人机精准降落至起降平台指定区域并完成停靠、锁定或回收动作。</w:t>
      </w:r>
    </w:p>
    <w:p w14:paraId="43CBD427">
      <w:pPr>
        <w:spacing w:after="80"/>
        <w:ind w:firstLine="420"/>
      </w:pPr>
      <w:r>
        <w:rPr>
          <w:rFonts w:hint="eastAsia"/>
        </w:rPr>
        <w:t>试验成功率应达到100%，并满足本规范书5.4的要求。</w:t>
      </w:r>
    </w:p>
    <w:p w14:paraId="7D96B182">
      <w:pPr>
        <w:tabs>
          <w:tab w:val="left" w:pos="709"/>
        </w:tabs>
        <w:spacing w:line="360" w:lineRule="auto"/>
        <w:ind w:left="709" w:hanging="709"/>
        <w:outlineLvl w:val="2"/>
        <w:rPr>
          <w:rFonts w:hint="eastAsia" w:ascii="宋体" w:hAnsi="宋体"/>
          <w:szCs w:val="21"/>
        </w:rPr>
      </w:pPr>
      <w:r>
        <w:rPr>
          <w:rFonts w:hint="eastAsia" w:ascii="宋体" w:hAnsi="宋体"/>
          <w:szCs w:val="21"/>
        </w:rPr>
        <w:t>6.4.4 气象监测试验</w:t>
      </w:r>
    </w:p>
    <w:p w14:paraId="1924C429">
      <w:pPr>
        <w:ind w:firstLine="420"/>
        <w:rPr>
          <w:szCs w:val="21"/>
        </w:rPr>
      </w:pPr>
      <w:r>
        <w:rPr>
          <w:szCs w:val="21"/>
        </w:rPr>
        <w:t>6.4.4</w:t>
      </w:r>
      <w:r>
        <w:rPr>
          <w:rFonts w:hint="eastAsia"/>
          <w:szCs w:val="21"/>
        </w:rPr>
        <w:t>.1 气温传感器</w:t>
      </w:r>
    </w:p>
    <w:p w14:paraId="32861D28">
      <w:pPr>
        <w:spacing w:after="80"/>
        <w:ind w:firstLine="420"/>
        <w:rPr>
          <w:szCs w:val="21"/>
        </w:rPr>
      </w:pPr>
      <w:r>
        <w:rPr>
          <w:rFonts w:hint="eastAsia"/>
          <w:szCs w:val="21"/>
        </w:rPr>
        <w:t>试验方法：</w:t>
      </w:r>
      <w:r>
        <w:rPr>
          <w:rFonts w:hint="eastAsia" w:ascii="宋体" w:hAnsi="宋体"/>
          <w:szCs w:val="21"/>
        </w:rPr>
        <w:t>按照</w:t>
      </w:r>
      <w:r>
        <w:rPr>
          <w:rFonts w:hint="eastAsia"/>
          <w:szCs w:val="21"/>
        </w:rPr>
        <w:t>-40 ℃、-20 ℃、-5 ℃、0 ℃、+5 ℃、+30 ℃、+50 ℃顺序，参照GB/T 35697 中7.2.4.1规定方法进行试验。</w:t>
      </w:r>
    </w:p>
    <w:p w14:paraId="5E194D37">
      <w:pPr>
        <w:spacing w:after="80"/>
        <w:ind w:firstLine="420"/>
        <w:rPr>
          <w:szCs w:val="21"/>
        </w:rPr>
      </w:pPr>
      <w:r>
        <w:rPr>
          <w:rFonts w:hint="eastAsia"/>
          <w:szCs w:val="21"/>
        </w:rPr>
        <w:t>判定准则：</w:t>
      </w:r>
      <w:r>
        <w:rPr>
          <w:rFonts w:hint="eastAsia" w:ascii="宋体" w:hAnsi="宋体"/>
          <w:szCs w:val="21"/>
        </w:rPr>
        <w:t>测量误差</w:t>
      </w:r>
      <w:r>
        <w:rPr>
          <w:rFonts w:hint="eastAsia"/>
          <w:szCs w:val="21"/>
        </w:rPr>
        <w:t>应满足本规范5.</w:t>
      </w:r>
      <w:r>
        <w:rPr>
          <w:szCs w:val="21"/>
        </w:rPr>
        <w:t>5</w:t>
      </w:r>
      <w:r>
        <w:rPr>
          <w:rFonts w:hint="eastAsia"/>
          <w:szCs w:val="21"/>
        </w:rPr>
        <w:t>规定的技术要求。</w:t>
      </w:r>
    </w:p>
    <w:p w14:paraId="0BB40DFA">
      <w:pPr>
        <w:ind w:firstLine="420"/>
        <w:rPr>
          <w:szCs w:val="21"/>
        </w:rPr>
      </w:pPr>
      <w:r>
        <w:rPr>
          <w:szCs w:val="21"/>
        </w:rPr>
        <w:t>6.4.4.2</w:t>
      </w:r>
      <w:r>
        <w:rPr>
          <w:rFonts w:hint="eastAsia"/>
          <w:szCs w:val="21"/>
        </w:rPr>
        <w:t xml:space="preserve"> 相对湿度传感器</w:t>
      </w:r>
    </w:p>
    <w:p w14:paraId="1588DEE1">
      <w:pPr>
        <w:spacing w:after="80"/>
        <w:ind w:firstLine="420"/>
        <w:rPr>
          <w:szCs w:val="21"/>
        </w:rPr>
      </w:pPr>
      <w:r>
        <w:rPr>
          <w:rFonts w:hint="eastAsia"/>
          <w:szCs w:val="21"/>
        </w:rPr>
        <w:t>试验方法：</w:t>
      </w:r>
      <w:r>
        <w:rPr>
          <w:rFonts w:hint="eastAsia" w:ascii="宋体" w:hAnsi="宋体"/>
          <w:szCs w:val="21"/>
        </w:rPr>
        <w:t>按照</w:t>
      </w:r>
      <w:r>
        <w:rPr>
          <w:rFonts w:hint="eastAsia"/>
          <w:szCs w:val="21"/>
        </w:rPr>
        <w:t>30%、50%、70%、80%、90%、98%、90%、80%、70%、50%、30%顺序，参照GB/T 35697 中7.2.4.1规定方法进行试验。</w:t>
      </w:r>
    </w:p>
    <w:p w14:paraId="3EDB13E9">
      <w:pPr>
        <w:spacing w:after="80"/>
        <w:ind w:firstLine="420"/>
        <w:rPr>
          <w:szCs w:val="21"/>
        </w:rPr>
      </w:pPr>
      <w:r>
        <w:rPr>
          <w:rFonts w:hint="eastAsia"/>
          <w:szCs w:val="21"/>
        </w:rPr>
        <w:t>判定准则：测量误差应满足本规范5.</w:t>
      </w:r>
      <w:r>
        <w:rPr>
          <w:szCs w:val="21"/>
        </w:rPr>
        <w:t>5</w:t>
      </w:r>
      <w:r>
        <w:rPr>
          <w:rFonts w:hint="eastAsia"/>
          <w:szCs w:val="21"/>
        </w:rPr>
        <w:t>规定的技术要求。</w:t>
      </w:r>
    </w:p>
    <w:p w14:paraId="7597B7FE">
      <w:pPr>
        <w:tabs>
          <w:tab w:val="left" w:pos="1276"/>
        </w:tabs>
        <w:spacing w:line="360" w:lineRule="auto"/>
        <w:ind w:firstLine="420"/>
        <w:rPr>
          <w:szCs w:val="21"/>
        </w:rPr>
      </w:pPr>
      <w:r>
        <w:rPr>
          <w:szCs w:val="21"/>
        </w:rPr>
        <w:t>6.4.4.3</w:t>
      </w:r>
      <w:r>
        <w:rPr>
          <w:rFonts w:hint="eastAsia"/>
          <w:szCs w:val="21"/>
        </w:rPr>
        <w:t xml:space="preserve"> 风速传感器</w:t>
      </w:r>
    </w:p>
    <w:p w14:paraId="587A901F">
      <w:pPr>
        <w:spacing w:after="80"/>
        <w:ind w:firstLine="420"/>
        <w:rPr>
          <w:szCs w:val="21"/>
        </w:rPr>
      </w:pPr>
      <w:r>
        <w:rPr>
          <w:rFonts w:hint="eastAsia"/>
          <w:szCs w:val="21"/>
        </w:rPr>
        <w:t>试验方法：按照2 m/s、5 m/s、10 m/s、20 m/s、30 m/s、35m/s、40m/s、50m/s、60m/s、50m/s、40m/s、30m/s、20m/s、10m/s顺序，参照GB/T 35697 中7.2.4.1规定方法进行试验。</w:t>
      </w:r>
    </w:p>
    <w:p w14:paraId="70F7D10C">
      <w:pPr>
        <w:spacing w:after="80"/>
        <w:ind w:firstLine="420"/>
      </w:pPr>
      <w:r>
        <w:rPr>
          <w:rFonts w:hint="eastAsia"/>
          <w:szCs w:val="21"/>
        </w:rPr>
        <w:t>判定准则：测量误差应满足本规范5.</w:t>
      </w:r>
      <w:r>
        <w:rPr>
          <w:szCs w:val="21"/>
        </w:rPr>
        <w:t>5</w:t>
      </w:r>
      <w:r>
        <w:rPr>
          <w:rFonts w:hint="eastAsia"/>
          <w:szCs w:val="21"/>
        </w:rPr>
        <w:t>规定的技术要求。</w:t>
      </w:r>
    </w:p>
    <w:p w14:paraId="6E1BA6C1">
      <w:pPr>
        <w:tabs>
          <w:tab w:val="left" w:pos="709"/>
        </w:tabs>
        <w:spacing w:line="360" w:lineRule="auto"/>
        <w:ind w:left="709" w:hanging="709"/>
        <w:outlineLvl w:val="2"/>
        <w:rPr>
          <w:rFonts w:hint="eastAsia" w:ascii="宋体" w:hAnsi="宋体"/>
          <w:szCs w:val="21"/>
        </w:rPr>
      </w:pPr>
      <w:r>
        <w:rPr>
          <w:rFonts w:hint="eastAsia" w:ascii="宋体" w:hAnsi="宋体"/>
          <w:szCs w:val="21"/>
        </w:rPr>
        <w:t>6.4.5 禁飞功能试验</w:t>
      </w:r>
    </w:p>
    <w:p w14:paraId="35D91B72">
      <w:pPr>
        <w:spacing w:after="80"/>
        <w:ind w:firstLine="420"/>
      </w:pPr>
      <w:r>
        <w:rPr>
          <w:rFonts w:hint="eastAsia"/>
        </w:rPr>
        <w:t>1）设定禁止无人机飞行的风速阈值，模拟超过设定阈值的风速环境（模拟风速值不宜超过设定阈值的30%），检查机巢是否自动向管控系统推送告警信息并禁止无人机起飞。</w:t>
      </w:r>
    </w:p>
    <w:p w14:paraId="64FEBC74">
      <w:pPr>
        <w:spacing w:after="80"/>
        <w:ind w:firstLine="420"/>
      </w:pPr>
      <w:r>
        <w:rPr>
          <w:rFonts w:hint="eastAsia"/>
        </w:rPr>
        <w:t>2）设定禁止无人机飞行的雨量阈值，模拟降雨环境，检查机巢是否自动向管控系统推送告警信息并禁止无人机起飞。</w:t>
      </w:r>
    </w:p>
    <w:p w14:paraId="1B909864">
      <w:pPr>
        <w:spacing w:after="80"/>
        <w:ind w:firstLine="420"/>
      </w:pPr>
      <w:r>
        <w:rPr>
          <w:rFonts w:hint="eastAsia"/>
        </w:rPr>
        <w:t>试验结果应</w:t>
      </w:r>
      <w:r>
        <w:rPr>
          <w:rFonts w:hint="eastAsia" w:ascii="宋体" w:hAnsi="宋体"/>
          <w:szCs w:val="21"/>
        </w:rPr>
        <w:t>满足</w:t>
      </w:r>
      <w:r>
        <w:rPr>
          <w:rFonts w:hint="eastAsia"/>
        </w:rPr>
        <w:t>本规范书5.5的要求。</w:t>
      </w:r>
    </w:p>
    <w:p w14:paraId="1532FD89">
      <w:pPr>
        <w:pStyle w:val="3"/>
        <w:spacing w:after="120"/>
        <w:rPr>
          <w:rFonts w:hint="eastAsia" w:ascii="黑体" w:hAnsi="黑体" w:eastAsia="黑体"/>
          <w:b w:val="0"/>
          <w:bCs/>
          <w:szCs w:val="21"/>
        </w:rPr>
      </w:pPr>
      <w:bookmarkStart w:id="103" w:name="_Toc229215773"/>
      <w:bookmarkStart w:id="104" w:name="_Toc229216709"/>
      <w:bookmarkStart w:id="105" w:name="_Toc22999"/>
      <w:bookmarkStart w:id="106" w:name="_Toc229213769"/>
      <w:r>
        <w:rPr>
          <w:rFonts w:hint="eastAsia" w:ascii="黑体" w:hAnsi="黑体" w:eastAsia="黑体"/>
          <w:b w:val="0"/>
          <w:bCs/>
          <w:szCs w:val="21"/>
        </w:rPr>
        <w:t>6.5 起降与停靠补充试验</w:t>
      </w:r>
      <w:bookmarkEnd w:id="103"/>
      <w:bookmarkEnd w:id="104"/>
      <w:bookmarkEnd w:id="105"/>
      <w:bookmarkEnd w:id="106"/>
    </w:p>
    <w:p w14:paraId="60353600">
      <w:pPr>
        <w:tabs>
          <w:tab w:val="left" w:pos="709"/>
        </w:tabs>
        <w:spacing w:line="360" w:lineRule="auto"/>
        <w:ind w:left="709" w:hanging="709"/>
        <w:outlineLvl w:val="2"/>
        <w:rPr>
          <w:rFonts w:hint="eastAsia" w:ascii="宋体" w:hAnsi="宋体"/>
          <w:szCs w:val="21"/>
        </w:rPr>
      </w:pPr>
      <w:r>
        <w:rPr>
          <w:rFonts w:hint="eastAsia" w:ascii="宋体" w:hAnsi="宋体"/>
          <w:szCs w:val="21"/>
        </w:rPr>
        <w:t>6.5.1 降落定位精度试验</w:t>
      </w:r>
    </w:p>
    <w:p w14:paraId="746597E8">
      <w:pPr>
        <w:spacing w:after="80"/>
        <w:ind w:firstLine="420"/>
      </w:pPr>
      <w:r>
        <w:rPr>
          <w:rFonts w:hint="eastAsia"/>
        </w:rPr>
        <w:t>在标准试验条件下，采用经检定或校准的高精度测量装置，对无人机降落完成后的水平偏差、垂直偏差及航向偏差进行测量。</w:t>
      </w:r>
    </w:p>
    <w:p w14:paraId="78818D6C">
      <w:pPr>
        <w:spacing w:after="80"/>
        <w:ind w:firstLine="420"/>
      </w:pPr>
      <w:r>
        <w:rPr>
          <w:rFonts w:hint="eastAsia"/>
        </w:rPr>
        <w:t>测量结果应</w:t>
      </w:r>
      <w:r>
        <w:rPr>
          <w:rFonts w:hint="eastAsia" w:ascii="宋体" w:hAnsi="宋体"/>
          <w:szCs w:val="21"/>
        </w:rPr>
        <w:t>满足</w:t>
      </w:r>
      <w:r>
        <w:rPr>
          <w:rFonts w:hint="eastAsia"/>
        </w:rPr>
        <w:t>本规范书5.4中水平偏差不大于±2cm、垂直偏差不大于±3cm、航向偏差不大于±2°的要求。</w:t>
      </w:r>
    </w:p>
    <w:p w14:paraId="1D1B690A">
      <w:pPr>
        <w:spacing w:after="80"/>
        <w:ind w:firstLine="420"/>
      </w:pPr>
      <w:r>
        <w:rPr>
          <w:rFonts w:hint="eastAsia"/>
        </w:rPr>
        <w:t>本项可参照 T/CEC 1196—2025 第6.3.2条有关要求执行。</w:t>
      </w:r>
    </w:p>
    <w:p w14:paraId="3F996166">
      <w:pPr>
        <w:tabs>
          <w:tab w:val="left" w:pos="709"/>
        </w:tabs>
        <w:spacing w:line="360" w:lineRule="auto"/>
        <w:ind w:left="709" w:hanging="709"/>
        <w:outlineLvl w:val="2"/>
        <w:rPr>
          <w:rFonts w:hint="eastAsia" w:ascii="宋体" w:hAnsi="宋体"/>
          <w:szCs w:val="21"/>
        </w:rPr>
      </w:pPr>
      <w:r>
        <w:rPr>
          <w:rFonts w:hint="eastAsia" w:ascii="宋体" w:hAnsi="宋体"/>
          <w:szCs w:val="21"/>
        </w:rPr>
        <w:t>6.5.2 停靠锁定/解锁试验</w:t>
      </w:r>
    </w:p>
    <w:p w14:paraId="7A3A6BCE">
      <w:pPr>
        <w:spacing w:after="80"/>
        <w:ind w:firstLine="420"/>
      </w:pPr>
      <w:r>
        <w:rPr>
          <w:rFonts w:hint="eastAsia"/>
        </w:rPr>
        <w:t>在无人机</w:t>
      </w:r>
      <w:r>
        <w:rPr>
          <w:rFonts w:hint="eastAsia" w:ascii="宋体" w:hAnsi="宋体"/>
          <w:szCs w:val="21"/>
        </w:rPr>
        <w:t>完成</w:t>
      </w:r>
      <w:r>
        <w:rPr>
          <w:rFonts w:hint="eastAsia"/>
        </w:rPr>
        <w:t>降落后，检查机巢停靠锁定机构是否能够可靠锁定无人机；在执行解锁指令后，锁定机构应能正常释放，无卡滞、无误动作。</w:t>
      </w:r>
    </w:p>
    <w:p w14:paraId="2E46B14D">
      <w:pPr>
        <w:spacing w:after="80"/>
        <w:ind w:firstLine="420"/>
      </w:pPr>
      <w:r>
        <w:rPr>
          <w:rFonts w:hint="eastAsia"/>
        </w:rPr>
        <w:t>连续试验不少于10次，动作应准确、可靠。</w:t>
      </w:r>
    </w:p>
    <w:p w14:paraId="690CAD5D">
      <w:pPr>
        <w:spacing w:after="80"/>
        <w:ind w:firstLine="420"/>
      </w:pPr>
      <w:r>
        <w:rPr>
          <w:rFonts w:hint="eastAsia"/>
        </w:rPr>
        <w:t>本项可</w:t>
      </w:r>
      <w:r>
        <w:rPr>
          <w:rFonts w:hint="eastAsia" w:ascii="宋体" w:hAnsi="宋体"/>
          <w:szCs w:val="21"/>
        </w:rPr>
        <w:t>参照 T</w:t>
      </w:r>
      <w:r>
        <w:rPr>
          <w:rFonts w:hint="eastAsia"/>
        </w:rPr>
        <w:t>/CEC 1196—2025 第6.3条有关要求执行。</w:t>
      </w:r>
    </w:p>
    <w:p w14:paraId="2663B32F">
      <w:pPr>
        <w:tabs>
          <w:tab w:val="left" w:pos="709"/>
        </w:tabs>
        <w:spacing w:line="360" w:lineRule="auto"/>
        <w:ind w:left="709" w:hanging="709"/>
        <w:outlineLvl w:val="2"/>
        <w:rPr>
          <w:rFonts w:hint="eastAsia" w:ascii="宋体" w:hAnsi="宋体"/>
          <w:szCs w:val="21"/>
        </w:rPr>
      </w:pPr>
      <w:r>
        <w:rPr>
          <w:rFonts w:hint="eastAsia" w:ascii="宋体" w:hAnsi="宋体"/>
          <w:szCs w:val="21"/>
        </w:rPr>
        <w:t>6.5.3 夜间起降试验</w:t>
      </w:r>
    </w:p>
    <w:p w14:paraId="59DDE937">
      <w:pPr>
        <w:spacing w:after="80"/>
        <w:ind w:firstLine="420"/>
      </w:pPr>
      <w:r>
        <w:rPr>
          <w:rFonts w:hint="eastAsia"/>
        </w:rPr>
        <w:t>结合 DL/T 2966—2025 第6.3条中夜间飞行任务要求执行，在机巢范围10m处无额外照明设备的夜间条件下，验证机巢引导无人机正常起飞和降落的能力。</w:t>
      </w:r>
    </w:p>
    <w:p w14:paraId="3148C656">
      <w:pPr>
        <w:spacing w:after="80"/>
        <w:ind w:firstLine="420"/>
      </w:pPr>
      <w:r>
        <w:rPr>
          <w:rFonts w:hint="eastAsia"/>
        </w:rPr>
        <w:t>试验中</w:t>
      </w:r>
      <w:r>
        <w:rPr>
          <w:rFonts w:hint="eastAsia" w:ascii="宋体" w:hAnsi="宋体"/>
          <w:szCs w:val="21"/>
        </w:rPr>
        <w:t>无人机</w:t>
      </w:r>
      <w:r>
        <w:rPr>
          <w:rFonts w:hint="eastAsia"/>
        </w:rPr>
        <w:t>应能安全完成起降并准确停靠至起降平台。</w:t>
      </w:r>
    </w:p>
    <w:p w14:paraId="4FEDA589">
      <w:pPr>
        <w:ind w:firstLine="420"/>
      </w:pPr>
      <w:r>
        <w:rPr>
          <w:rFonts w:hint="eastAsia"/>
        </w:rPr>
        <w:t>本项可参照 T/CEC 1196—2025 第6.3.3条有关要求执行。</w:t>
      </w:r>
    </w:p>
    <w:p w14:paraId="6AF45FDE">
      <w:pPr>
        <w:tabs>
          <w:tab w:val="left" w:pos="709"/>
        </w:tabs>
        <w:spacing w:line="360" w:lineRule="auto"/>
        <w:ind w:left="709" w:hanging="709"/>
        <w:outlineLvl w:val="2"/>
        <w:rPr>
          <w:rFonts w:hint="eastAsia" w:ascii="宋体" w:hAnsi="宋体"/>
          <w:szCs w:val="21"/>
        </w:rPr>
      </w:pPr>
      <w:r>
        <w:rPr>
          <w:rFonts w:hint="eastAsia" w:ascii="宋体" w:hAnsi="宋体"/>
          <w:szCs w:val="21"/>
        </w:rPr>
        <w:t>6.5.4 弱GNSS或轻微侧风条件起降验证试验</w:t>
      </w:r>
    </w:p>
    <w:p w14:paraId="3C0EC574">
      <w:pPr>
        <w:spacing w:after="80"/>
        <w:ind w:firstLine="420"/>
      </w:pPr>
      <w:r>
        <w:rPr>
          <w:rFonts w:hint="eastAsia"/>
        </w:rPr>
        <w:t>在不影响安全的前提下，通过弱GNSS场景模拟或轻微侧风环境，验证无人机在机巢引导下仍可正常完成起降、停靠和锁定动作。</w:t>
      </w:r>
    </w:p>
    <w:p w14:paraId="1DB9CC15">
      <w:pPr>
        <w:spacing w:after="80"/>
        <w:ind w:firstLine="420"/>
      </w:pPr>
      <w:r>
        <w:rPr>
          <w:rFonts w:hint="eastAsia"/>
        </w:rPr>
        <w:t>试验结果应满足本规范书5.4的要求。</w:t>
      </w:r>
    </w:p>
    <w:p w14:paraId="7BD70C67">
      <w:pPr>
        <w:spacing w:after="80"/>
        <w:ind w:firstLine="420"/>
      </w:pPr>
      <w:r>
        <w:rPr>
          <w:rFonts w:hint="eastAsia"/>
        </w:rPr>
        <w:t>本项可参照 T/CEC 1196—2025 第6.3.3条有关要求执行。</w:t>
      </w:r>
    </w:p>
    <w:p w14:paraId="0403D644">
      <w:pPr>
        <w:pStyle w:val="3"/>
        <w:spacing w:after="120"/>
        <w:rPr>
          <w:rFonts w:hint="eastAsia" w:ascii="黑体" w:hAnsi="黑体" w:eastAsia="黑体"/>
          <w:b w:val="0"/>
          <w:bCs/>
          <w:szCs w:val="21"/>
        </w:rPr>
      </w:pPr>
      <w:bookmarkStart w:id="107" w:name="_Toc229215774"/>
      <w:bookmarkStart w:id="108" w:name="_Toc28585"/>
      <w:bookmarkStart w:id="109" w:name="_Toc229213770"/>
      <w:bookmarkStart w:id="110" w:name="_Toc229216710"/>
      <w:r>
        <w:rPr>
          <w:rFonts w:hint="eastAsia" w:ascii="黑体" w:hAnsi="黑体" w:eastAsia="黑体"/>
          <w:b w:val="0"/>
          <w:bCs/>
          <w:szCs w:val="21"/>
        </w:rPr>
        <w:t>6.6 自动充电与充电保护试验</w:t>
      </w:r>
      <w:bookmarkEnd w:id="107"/>
      <w:bookmarkEnd w:id="108"/>
      <w:bookmarkEnd w:id="109"/>
      <w:bookmarkEnd w:id="110"/>
    </w:p>
    <w:p w14:paraId="223F9225">
      <w:pPr>
        <w:tabs>
          <w:tab w:val="left" w:pos="709"/>
        </w:tabs>
        <w:spacing w:line="360" w:lineRule="auto"/>
        <w:ind w:left="709" w:hanging="709"/>
        <w:outlineLvl w:val="2"/>
        <w:rPr>
          <w:rFonts w:hint="eastAsia" w:ascii="宋体" w:hAnsi="宋体"/>
          <w:szCs w:val="21"/>
        </w:rPr>
      </w:pPr>
      <w:r>
        <w:rPr>
          <w:rFonts w:hint="eastAsia" w:ascii="宋体" w:hAnsi="宋体"/>
          <w:szCs w:val="21"/>
        </w:rPr>
        <w:t>6.6.1 无人机电池充电时长试验</w:t>
      </w:r>
    </w:p>
    <w:p w14:paraId="7BD66C0E">
      <w:pPr>
        <w:spacing w:after="80"/>
        <w:ind w:firstLine="420"/>
      </w:pPr>
      <w:r>
        <w:rPr>
          <w:rFonts w:hint="eastAsia"/>
        </w:rPr>
        <w:t>按 DL/T 2966—2025 第6.9条及 T/CEC 1196—2025 第6.4.1条有关要求执行，在环境温度25℃条件下，将无人机电池初始电量调整至20%，作业完成返巢后启动机巢自动充电功能，记录充电至90%所需时间。</w:t>
      </w:r>
    </w:p>
    <w:p w14:paraId="6BFC5463">
      <w:pPr>
        <w:ind w:firstLine="420"/>
      </w:pPr>
      <w:r>
        <w:rPr>
          <w:rFonts w:hint="eastAsia"/>
        </w:rPr>
        <w:t>试验结果应小于40min，并满足本规范书5.7的要求。</w:t>
      </w:r>
    </w:p>
    <w:p w14:paraId="4A3E4B2E">
      <w:pPr>
        <w:tabs>
          <w:tab w:val="left" w:pos="709"/>
        </w:tabs>
        <w:spacing w:line="360" w:lineRule="auto"/>
        <w:ind w:left="709" w:hanging="709"/>
        <w:outlineLvl w:val="2"/>
        <w:rPr>
          <w:rFonts w:hint="eastAsia" w:ascii="宋体" w:hAnsi="宋体"/>
          <w:szCs w:val="21"/>
        </w:rPr>
      </w:pPr>
      <w:r>
        <w:rPr>
          <w:rFonts w:hint="eastAsia" w:ascii="宋体" w:hAnsi="宋体"/>
          <w:szCs w:val="21"/>
        </w:rPr>
        <w:t>6.6.2 过压保护试验</w:t>
      </w:r>
    </w:p>
    <w:p w14:paraId="52D70F3B">
      <w:pPr>
        <w:ind w:firstLine="420"/>
      </w:pPr>
      <w:r>
        <w:rPr>
          <w:rFonts w:hint="eastAsia"/>
        </w:rPr>
        <w:t>按 T/CEC 1196—2025 第6.4.2条有关要求执行，模拟充电回路出现过压情况，检查机巢是否能触发保护动作并自动中止异常充电。</w:t>
      </w:r>
    </w:p>
    <w:p w14:paraId="1F703D60">
      <w:pPr>
        <w:ind w:firstLine="420"/>
      </w:pPr>
      <w:r>
        <w:rPr>
          <w:rFonts w:hint="eastAsia"/>
        </w:rPr>
        <w:t>故障恢复后，设备应能按设定逻辑重新判定并恢复正常充电。</w:t>
      </w:r>
    </w:p>
    <w:p w14:paraId="2FEF57C7">
      <w:pPr>
        <w:tabs>
          <w:tab w:val="left" w:pos="709"/>
        </w:tabs>
        <w:spacing w:line="360" w:lineRule="auto"/>
        <w:ind w:left="709" w:hanging="709"/>
        <w:outlineLvl w:val="2"/>
        <w:rPr>
          <w:rFonts w:hint="eastAsia" w:ascii="宋体" w:hAnsi="宋体"/>
          <w:szCs w:val="21"/>
        </w:rPr>
      </w:pPr>
      <w:r>
        <w:rPr>
          <w:rFonts w:hint="eastAsia" w:ascii="宋体" w:hAnsi="宋体"/>
          <w:szCs w:val="21"/>
        </w:rPr>
        <w:t>6.6.3 欠压保护试验</w:t>
      </w:r>
    </w:p>
    <w:p w14:paraId="0C074736">
      <w:pPr>
        <w:ind w:firstLine="420"/>
      </w:pPr>
      <w:r>
        <w:rPr>
          <w:rFonts w:hint="eastAsia"/>
        </w:rPr>
        <w:t>按 T/CEC 1196—2025 第6.4.2条有关要求执行，模拟输入电压低于允许范围，检查机巢是否能识别欠压状态，触发保护并进行告警。</w:t>
      </w:r>
    </w:p>
    <w:p w14:paraId="0E4394E6">
      <w:pPr>
        <w:ind w:firstLine="420"/>
      </w:pPr>
      <w:r>
        <w:rPr>
          <w:rFonts w:hint="eastAsia"/>
        </w:rPr>
        <w:t>试验结果应满足本规范书5.8的要求。</w:t>
      </w:r>
    </w:p>
    <w:p w14:paraId="51B3EA76">
      <w:pPr>
        <w:tabs>
          <w:tab w:val="left" w:pos="709"/>
        </w:tabs>
        <w:spacing w:line="360" w:lineRule="auto"/>
        <w:ind w:left="709" w:hanging="709"/>
        <w:outlineLvl w:val="2"/>
        <w:rPr>
          <w:rFonts w:hint="eastAsia" w:ascii="宋体" w:hAnsi="宋体"/>
          <w:szCs w:val="21"/>
        </w:rPr>
      </w:pPr>
      <w:r>
        <w:rPr>
          <w:rFonts w:hint="eastAsia" w:ascii="宋体" w:hAnsi="宋体"/>
          <w:szCs w:val="21"/>
        </w:rPr>
        <w:t>6.6.4 过流保护试验</w:t>
      </w:r>
    </w:p>
    <w:p w14:paraId="7E367F77">
      <w:pPr>
        <w:ind w:firstLine="420"/>
      </w:pPr>
      <w:r>
        <w:rPr>
          <w:rFonts w:hint="eastAsia"/>
        </w:rPr>
        <w:t>按 T/CEC 1196—2025 第6.4.2条有关要求执行，模拟充电电流超过设定值，检查保护功能是否及时动作，避免充电回路损坏。</w:t>
      </w:r>
    </w:p>
    <w:p w14:paraId="0BC4E6D4">
      <w:pPr>
        <w:ind w:firstLine="420"/>
      </w:pPr>
      <w:r>
        <w:rPr>
          <w:rFonts w:hint="eastAsia"/>
        </w:rPr>
        <w:t>试验结果应满足本规范书5.8的要求。</w:t>
      </w:r>
    </w:p>
    <w:p w14:paraId="1BD80A64">
      <w:pPr>
        <w:tabs>
          <w:tab w:val="left" w:pos="709"/>
        </w:tabs>
        <w:spacing w:line="360" w:lineRule="auto"/>
        <w:ind w:left="709" w:hanging="709"/>
        <w:outlineLvl w:val="2"/>
        <w:rPr>
          <w:rFonts w:hint="eastAsia" w:ascii="宋体" w:hAnsi="宋体"/>
          <w:szCs w:val="21"/>
        </w:rPr>
      </w:pPr>
      <w:r>
        <w:rPr>
          <w:rFonts w:hint="eastAsia" w:ascii="宋体" w:hAnsi="宋体"/>
          <w:szCs w:val="21"/>
        </w:rPr>
        <w:t>6.6.5 短路保护试验</w:t>
      </w:r>
    </w:p>
    <w:p w14:paraId="4A135AB8">
      <w:pPr>
        <w:ind w:firstLine="420"/>
      </w:pPr>
      <w:r>
        <w:rPr>
          <w:rFonts w:hint="eastAsia"/>
        </w:rPr>
        <w:t>按 T/CEC 1196—2025 第6.4.2条有关要求执行，模拟充电输出端短路，检查机巢是否能迅速切断输出并进行告警。</w:t>
      </w:r>
    </w:p>
    <w:p w14:paraId="638C2E1E">
      <w:pPr>
        <w:ind w:firstLine="420"/>
      </w:pPr>
      <w:r>
        <w:rPr>
          <w:rFonts w:hint="eastAsia"/>
        </w:rPr>
        <w:t>故障解除后设备不应受损，各项功能应正常。</w:t>
      </w:r>
    </w:p>
    <w:p w14:paraId="13D2169C">
      <w:pPr>
        <w:tabs>
          <w:tab w:val="left" w:pos="709"/>
        </w:tabs>
        <w:spacing w:line="360" w:lineRule="auto"/>
        <w:ind w:left="709" w:hanging="709"/>
        <w:outlineLvl w:val="2"/>
        <w:rPr>
          <w:rFonts w:hint="eastAsia" w:ascii="宋体" w:hAnsi="宋体"/>
          <w:szCs w:val="21"/>
        </w:rPr>
      </w:pPr>
      <w:r>
        <w:rPr>
          <w:rFonts w:hint="eastAsia" w:ascii="宋体" w:hAnsi="宋体"/>
          <w:szCs w:val="21"/>
        </w:rPr>
        <w:t>6.6.6 反接保护试验</w:t>
      </w:r>
    </w:p>
    <w:p w14:paraId="7DBA0CC0">
      <w:pPr>
        <w:ind w:firstLine="420"/>
      </w:pPr>
      <w:r>
        <w:rPr>
          <w:rFonts w:hint="eastAsia"/>
        </w:rPr>
        <w:t>按 T/CEC 1196—2025 第6.4.2条有关要求执行，模拟充电极性异常连接或等效反接工况，检查机巢是否能有效识别并采取保护措施，避免设备损坏。</w:t>
      </w:r>
    </w:p>
    <w:p w14:paraId="658816C9">
      <w:pPr>
        <w:ind w:firstLine="420"/>
      </w:pPr>
      <w:r>
        <w:rPr>
          <w:rFonts w:hint="eastAsia"/>
        </w:rPr>
        <w:t>试验结果应满足本规范书5.8的要求。</w:t>
      </w:r>
    </w:p>
    <w:p w14:paraId="30DF12BC">
      <w:pPr>
        <w:tabs>
          <w:tab w:val="left" w:pos="709"/>
        </w:tabs>
        <w:spacing w:line="360" w:lineRule="auto"/>
        <w:ind w:left="709" w:hanging="709"/>
        <w:outlineLvl w:val="2"/>
        <w:rPr>
          <w:rFonts w:hint="eastAsia" w:ascii="宋体" w:hAnsi="宋体"/>
          <w:szCs w:val="21"/>
        </w:rPr>
      </w:pPr>
      <w:r>
        <w:rPr>
          <w:rFonts w:hint="eastAsia" w:ascii="宋体" w:hAnsi="宋体"/>
          <w:szCs w:val="21"/>
        </w:rPr>
        <w:t>6.6.7 过温保护试验</w:t>
      </w:r>
    </w:p>
    <w:p w14:paraId="78DE777B">
      <w:pPr>
        <w:ind w:firstLine="420"/>
      </w:pPr>
      <w:r>
        <w:rPr>
          <w:rFonts w:hint="eastAsia"/>
        </w:rPr>
        <w:t>按 T/CEC 1196—2025 第6.4.2条有关要求执行，模拟充电过程中电池温度或充电模块温度达到保护阈值，检查机巢是否能自动中止充电并发出告警。</w:t>
      </w:r>
    </w:p>
    <w:p w14:paraId="099AAAF0">
      <w:pPr>
        <w:ind w:firstLine="420"/>
      </w:pPr>
      <w:r>
        <w:rPr>
          <w:rFonts w:hint="eastAsia"/>
        </w:rPr>
        <w:t>温度恢复后，应能重新判定并在满足条件时恢复充电。</w:t>
      </w:r>
    </w:p>
    <w:p w14:paraId="0D9C7968">
      <w:pPr>
        <w:pStyle w:val="3"/>
        <w:spacing w:after="120"/>
        <w:rPr>
          <w:rFonts w:hint="eastAsia" w:ascii="黑体" w:hAnsi="黑体" w:eastAsia="黑体"/>
          <w:b w:val="0"/>
          <w:bCs/>
          <w:szCs w:val="21"/>
        </w:rPr>
      </w:pPr>
      <w:bookmarkStart w:id="111" w:name="_Toc129"/>
      <w:bookmarkStart w:id="112" w:name="_Toc229213771"/>
      <w:bookmarkStart w:id="113" w:name="_Toc229215775"/>
      <w:bookmarkStart w:id="114" w:name="_Toc229216711"/>
      <w:r>
        <w:rPr>
          <w:rFonts w:hint="eastAsia" w:ascii="黑体" w:hAnsi="黑体" w:eastAsia="黑体"/>
          <w:b w:val="0"/>
          <w:bCs/>
          <w:szCs w:val="21"/>
        </w:rPr>
        <w:t>6.7 备用电源功能试验</w:t>
      </w:r>
      <w:bookmarkEnd w:id="111"/>
      <w:bookmarkEnd w:id="112"/>
      <w:bookmarkEnd w:id="113"/>
      <w:bookmarkEnd w:id="114"/>
    </w:p>
    <w:p w14:paraId="46EA3172">
      <w:pPr>
        <w:ind w:firstLine="420"/>
      </w:pPr>
      <w:r>
        <w:rPr>
          <w:rFonts w:hint="eastAsia"/>
        </w:rPr>
        <w:t>按 DL/T 2966—2025 第6.4条及 T/CEC 1196—2025 第6.4.4条有关要求执行，断开被试机巢外部供电电源，检查机巢是否自动切换至备用电源供电状态，并验证主控模块、通信模块、监控模块、起降平台及必要安全控制单元能否保持正常运行。</w:t>
      </w:r>
    </w:p>
    <w:p w14:paraId="2177B1C4">
      <w:pPr>
        <w:ind w:firstLine="420"/>
      </w:pPr>
      <w:r>
        <w:rPr>
          <w:rFonts w:hint="eastAsia"/>
        </w:rPr>
        <w:t>备用电源独立供电时长应满足本规范书5.9和关键指标表要求。</w:t>
      </w:r>
    </w:p>
    <w:p w14:paraId="07EB6D65">
      <w:pPr>
        <w:pStyle w:val="3"/>
        <w:spacing w:after="120"/>
        <w:rPr>
          <w:rFonts w:hint="eastAsia" w:ascii="黑体" w:hAnsi="黑体" w:eastAsia="黑体"/>
          <w:b w:val="0"/>
          <w:bCs/>
          <w:szCs w:val="21"/>
        </w:rPr>
      </w:pPr>
      <w:bookmarkStart w:id="115" w:name="_Toc229215776"/>
      <w:bookmarkStart w:id="116" w:name="_Toc8515"/>
      <w:bookmarkStart w:id="117" w:name="_Toc229216712"/>
      <w:bookmarkStart w:id="118" w:name="_Toc229213772"/>
      <w:r>
        <w:rPr>
          <w:rFonts w:hint="eastAsia" w:ascii="黑体" w:hAnsi="黑体" w:eastAsia="黑体"/>
          <w:b w:val="0"/>
          <w:bCs/>
          <w:szCs w:val="21"/>
        </w:rPr>
        <w:t>6.8 远程控制功能试验</w:t>
      </w:r>
      <w:bookmarkEnd w:id="115"/>
      <w:bookmarkEnd w:id="116"/>
      <w:bookmarkEnd w:id="117"/>
      <w:bookmarkEnd w:id="118"/>
    </w:p>
    <w:p w14:paraId="6DD07037">
      <w:pPr>
        <w:ind w:firstLine="420"/>
      </w:pPr>
      <w:r>
        <w:rPr>
          <w:rFonts w:hint="eastAsia"/>
        </w:rPr>
        <w:t>按 DL/T 2966—2025 第6.5条有关要求执行，开启无人机电源并使其处于安全可控状态，通过管控系统分别下发起飞、俯仰、横滚、偏航、升降、返航、悬停、降落等遥控指令，检查无人机动作响应是否正确。</w:t>
      </w:r>
    </w:p>
    <w:p w14:paraId="706DD47B">
      <w:pPr>
        <w:ind w:firstLine="420"/>
      </w:pPr>
      <w:r>
        <w:rPr>
          <w:rFonts w:hint="eastAsia"/>
        </w:rPr>
        <w:t>各遥控指令对应动作应满足下列要求：</w:t>
      </w:r>
    </w:p>
    <w:p w14:paraId="407D5F1B">
      <w:pPr>
        <w:ind w:firstLine="420"/>
      </w:pPr>
      <w:r>
        <w:rPr>
          <w:rFonts w:hint="eastAsia"/>
        </w:rPr>
        <w:t>1）起飞：无人机由静止状态起飞后在指定高度悬停；</w:t>
      </w:r>
    </w:p>
    <w:p w14:paraId="24B6625B">
      <w:pPr>
        <w:ind w:firstLine="420"/>
      </w:pPr>
      <w:r>
        <w:rPr>
          <w:rFonts w:hint="eastAsia"/>
        </w:rPr>
        <w:t>2）俯仰：无人机水平向前或向后飞行；</w:t>
      </w:r>
    </w:p>
    <w:p w14:paraId="03E804D8">
      <w:pPr>
        <w:ind w:firstLine="420"/>
      </w:pPr>
      <w:r>
        <w:rPr>
          <w:rFonts w:hint="eastAsia"/>
        </w:rPr>
        <w:t>3）横滚：无人机水平向左或向右飞行；</w:t>
      </w:r>
    </w:p>
    <w:p w14:paraId="770E8664">
      <w:pPr>
        <w:ind w:firstLine="420"/>
      </w:pPr>
      <w:r>
        <w:rPr>
          <w:rFonts w:hint="eastAsia"/>
        </w:rPr>
        <w:t>4）偏航：无人机在当前位置向左或向右旋转；</w:t>
      </w:r>
    </w:p>
    <w:p w14:paraId="0346A5D0">
      <w:pPr>
        <w:ind w:firstLine="420"/>
      </w:pPr>
      <w:r>
        <w:rPr>
          <w:rFonts w:hint="eastAsia"/>
        </w:rPr>
        <w:t>5）升降：无人机垂直上升或垂直下降；</w:t>
      </w:r>
    </w:p>
    <w:p w14:paraId="4853DD3A">
      <w:pPr>
        <w:ind w:firstLine="420"/>
      </w:pPr>
      <w:r>
        <w:rPr>
          <w:rFonts w:hint="eastAsia"/>
        </w:rPr>
        <w:t>6）返航：无人机自动返回预设返航点；</w:t>
      </w:r>
    </w:p>
    <w:p w14:paraId="545ACA8B">
      <w:pPr>
        <w:ind w:firstLine="420"/>
      </w:pPr>
      <w:r>
        <w:rPr>
          <w:rFonts w:hint="eastAsia"/>
        </w:rPr>
        <w:t>7）悬停：无人机在当前位置保持悬停；</w:t>
      </w:r>
    </w:p>
    <w:p w14:paraId="3A192A7C">
      <w:pPr>
        <w:ind w:firstLine="420"/>
      </w:pPr>
      <w:r>
        <w:rPr>
          <w:rFonts w:hint="eastAsia"/>
        </w:rPr>
        <w:t>8）降落：无人机在当前位置垂直降落。</w:t>
      </w:r>
    </w:p>
    <w:p w14:paraId="727FB7C7">
      <w:pPr>
        <w:ind w:firstLine="420"/>
      </w:pPr>
      <w:r>
        <w:rPr>
          <w:rFonts w:hint="eastAsia"/>
        </w:rPr>
        <w:t>试验结果应满足本规范书5.10的要求。</w:t>
      </w:r>
    </w:p>
    <w:p w14:paraId="28BA3A3E">
      <w:pPr>
        <w:pStyle w:val="3"/>
        <w:spacing w:after="120"/>
        <w:rPr>
          <w:rFonts w:hint="eastAsia" w:ascii="黑体" w:hAnsi="黑体" w:eastAsia="黑体"/>
          <w:b w:val="0"/>
          <w:bCs/>
          <w:szCs w:val="21"/>
        </w:rPr>
      </w:pPr>
      <w:bookmarkStart w:id="119" w:name="_Toc229216713"/>
      <w:bookmarkStart w:id="120" w:name="_Toc229213773"/>
      <w:bookmarkStart w:id="121" w:name="_Toc9871"/>
      <w:bookmarkStart w:id="122" w:name="_Toc229215777"/>
      <w:r>
        <w:rPr>
          <w:rFonts w:hint="eastAsia" w:ascii="黑体" w:hAnsi="黑体" w:eastAsia="黑体"/>
          <w:b w:val="0"/>
          <w:bCs/>
          <w:szCs w:val="21"/>
        </w:rPr>
        <w:t>6.9 应急功能试验</w:t>
      </w:r>
      <w:bookmarkEnd w:id="119"/>
      <w:bookmarkEnd w:id="120"/>
      <w:bookmarkEnd w:id="121"/>
      <w:bookmarkEnd w:id="122"/>
    </w:p>
    <w:p w14:paraId="0B591433">
      <w:pPr>
        <w:tabs>
          <w:tab w:val="left" w:pos="709"/>
        </w:tabs>
        <w:spacing w:line="360" w:lineRule="auto"/>
        <w:ind w:left="709" w:hanging="709"/>
        <w:outlineLvl w:val="2"/>
        <w:rPr>
          <w:rFonts w:hint="eastAsia" w:ascii="宋体" w:hAnsi="宋体"/>
          <w:szCs w:val="21"/>
        </w:rPr>
      </w:pPr>
      <w:r>
        <w:rPr>
          <w:rFonts w:hint="eastAsia" w:ascii="宋体" w:hAnsi="宋体"/>
          <w:szCs w:val="21"/>
        </w:rPr>
        <w:t>6.9.1 紧急备降试验</w:t>
      </w:r>
    </w:p>
    <w:p w14:paraId="73689A6D">
      <w:pPr>
        <w:ind w:firstLine="420"/>
      </w:pPr>
      <w:r>
        <w:rPr>
          <w:rFonts w:hint="eastAsia"/>
        </w:rPr>
        <w:t>按 DL/T 2966—2025 第6.6条有关要求执行，预先设置备降点经度、纬度，采用遮挡起降平台、断开机巢内部相关驱动信号线等方式，模拟无人机无法正常降落至起降平台的异常情形，检查机巢能否正确引导无人机降落至备降点，并向管控系统上报告警信息。</w:t>
      </w:r>
    </w:p>
    <w:p w14:paraId="0EF946C1">
      <w:pPr>
        <w:ind w:firstLine="420"/>
      </w:pPr>
      <w:r>
        <w:rPr>
          <w:rFonts w:hint="eastAsia"/>
        </w:rPr>
        <w:t>试验结果应满足本规范书5.11的要求。</w:t>
      </w:r>
    </w:p>
    <w:p w14:paraId="0C1C1709">
      <w:pPr>
        <w:tabs>
          <w:tab w:val="left" w:pos="709"/>
        </w:tabs>
        <w:spacing w:line="360" w:lineRule="auto"/>
        <w:ind w:left="709" w:hanging="709"/>
        <w:outlineLvl w:val="2"/>
        <w:rPr>
          <w:rFonts w:hint="eastAsia" w:ascii="宋体" w:hAnsi="宋体"/>
          <w:szCs w:val="21"/>
        </w:rPr>
      </w:pPr>
      <w:r>
        <w:rPr>
          <w:rFonts w:hint="eastAsia" w:ascii="宋体" w:hAnsi="宋体"/>
          <w:szCs w:val="21"/>
        </w:rPr>
        <w:t>6.9.2 紧急召回试验</w:t>
      </w:r>
    </w:p>
    <w:p w14:paraId="2CAC5B3C">
      <w:pPr>
        <w:ind w:firstLine="420"/>
      </w:pPr>
      <w:r>
        <w:rPr>
          <w:rFonts w:hint="eastAsia"/>
        </w:rPr>
        <w:t>按 DL/T 2966—2025 第6.6条有关要求执行，分别模拟以下异常情形：</w:t>
      </w:r>
    </w:p>
    <w:p w14:paraId="6B34D1A7">
      <w:pPr>
        <w:ind w:firstLine="420"/>
      </w:pPr>
      <w:r>
        <w:rPr>
          <w:rFonts w:hint="eastAsia"/>
        </w:rPr>
        <w:t>1）外部供电中断；</w:t>
      </w:r>
    </w:p>
    <w:p w14:paraId="645BF119">
      <w:pPr>
        <w:ind w:firstLine="420"/>
      </w:pPr>
      <w:r>
        <w:rPr>
          <w:rFonts w:hint="eastAsia"/>
        </w:rPr>
        <w:t>2）突发恶劣天气；</w:t>
      </w:r>
    </w:p>
    <w:p w14:paraId="363D289F">
      <w:pPr>
        <w:ind w:firstLine="420"/>
      </w:pPr>
      <w:r>
        <w:rPr>
          <w:rFonts w:hint="eastAsia"/>
        </w:rPr>
        <w:t>3）平台不可用或不满足正常降落条件。</w:t>
      </w:r>
    </w:p>
    <w:p w14:paraId="634C1BC0">
      <w:pPr>
        <w:ind w:firstLine="420"/>
      </w:pPr>
      <w:r>
        <w:rPr>
          <w:rFonts w:hint="eastAsia"/>
        </w:rPr>
        <w:t>检查机巢是否能自动向管控系统推送告警信息，同时自动下发紧急召回指令，并引导无人机安全降落。</w:t>
      </w:r>
    </w:p>
    <w:p w14:paraId="79D1733B">
      <w:pPr>
        <w:ind w:firstLine="420"/>
      </w:pPr>
      <w:r>
        <w:rPr>
          <w:rFonts w:hint="eastAsia"/>
        </w:rPr>
        <w:t>试验结果应满足本规范书5.11的要求。</w:t>
      </w:r>
    </w:p>
    <w:p w14:paraId="733EA082">
      <w:pPr>
        <w:pStyle w:val="3"/>
        <w:spacing w:after="120"/>
        <w:rPr>
          <w:rFonts w:hint="eastAsia" w:ascii="黑体" w:hAnsi="黑体" w:eastAsia="黑体"/>
          <w:b w:val="0"/>
          <w:bCs/>
          <w:szCs w:val="21"/>
        </w:rPr>
      </w:pPr>
      <w:bookmarkStart w:id="123" w:name="_Toc229213774"/>
      <w:bookmarkStart w:id="124" w:name="_Toc31651"/>
      <w:bookmarkStart w:id="125" w:name="_Toc229215778"/>
      <w:bookmarkStart w:id="126" w:name="_Toc229216714"/>
      <w:r>
        <w:rPr>
          <w:rFonts w:hint="eastAsia" w:ascii="黑体" w:hAnsi="黑体" w:eastAsia="黑体"/>
          <w:b w:val="0"/>
          <w:bCs/>
          <w:szCs w:val="21"/>
        </w:rPr>
        <w:t>6.10 数据传输试验</w:t>
      </w:r>
      <w:bookmarkEnd w:id="123"/>
      <w:bookmarkEnd w:id="124"/>
      <w:bookmarkEnd w:id="125"/>
      <w:bookmarkEnd w:id="126"/>
    </w:p>
    <w:p w14:paraId="44A081A7">
      <w:pPr>
        <w:tabs>
          <w:tab w:val="left" w:pos="709"/>
        </w:tabs>
        <w:spacing w:line="360" w:lineRule="auto"/>
        <w:ind w:left="709" w:hanging="709"/>
        <w:outlineLvl w:val="2"/>
        <w:rPr>
          <w:rFonts w:hint="eastAsia" w:ascii="宋体" w:hAnsi="宋体"/>
          <w:szCs w:val="21"/>
        </w:rPr>
      </w:pPr>
      <w:r>
        <w:rPr>
          <w:rFonts w:hint="eastAsia" w:ascii="宋体" w:hAnsi="宋体"/>
          <w:szCs w:val="21"/>
        </w:rPr>
        <w:t>6.10.1 数据传输试验</w:t>
      </w:r>
    </w:p>
    <w:p w14:paraId="5C9AC932">
      <w:pPr>
        <w:spacing w:after="80"/>
        <w:ind w:firstLine="420"/>
      </w:pPr>
      <w:r>
        <w:rPr>
          <w:rFonts w:hint="eastAsia"/>
        </w:rPr>
        <w:t>按 DL/T 2966—2025 第6.3条及 T/CEC 1196—2025 第6.6条有关要求执行，将被试机巢接入管控系统，分别记录：</w:t>
      </w:r>
    </w:p>
    <w:p w14:paraId="392561B9">
      <w:pPr>
        <w:spacing w:after="80"/>
        <w:ind w:firstLine="420"/>
      </w:pPr>
      <w:r>
        <w:rPr>
          <w:rFonts w:hint="eastAsia"/>
        </w:rPr>
        <w:t>1）机巢对</w:t>
      </w:r>
      <w:r>
        <w:rPr>
          <w:rFonts w:hint="eastAsia" w:ascii="宋体" w:hAnsi="宋体"/>
          <w:szCs w:val="21"/>
        </w:rPr>
        <w:t>无人机</w:t>
      </w:r>
      <w:r>
        <w:rPr>
          <w:rFonts w:hint="eastAsia"/>
        </w:rPr>
        <w:t>下发的航线数据；</w:t>
      </w:r>
    </w:p>
    <w:p w14:paraId="6A22D8E3">
      <w:pPr>
        <w:spacing w:after="80"/>
        <w:ind w:firstLine="420"/>
      </w:pPr>
      <w:r>
        <w:rPr>
          <w:rFonts w:hint="eastAsia"/>
        </w:rPr>
        <w:t>2）无人机飞行状态信息和机载视频推流；</w:t>
      </w:r>
    </w:p>
    <w:p w14:paraId="55E75EC5">
      <w:pPr>
        <w:spacing w:after="80"/>
        <w:ind w:firstLine="420"/>
      </w:pPr>
      <w:r>
        <w:rPr>
          <w:rFonts w:hint="eastAsia"/>
        </w:rPr>
        <w:t>3）机巢向管控系统推送的状态信息和气象监测数据；</w:t>
      </w:r>
    </w:p>
    <w:p w14:paraId="282B9165">
      <w:pPr>
        <w:spacing w:after="80"/>
        <w:ind w:firstLine="420"/>
      </w:pPr>
      <w:r>
        <w:rPr>
          <w:rFonts w:hint="eastAsia"/>
        </w:rPr>
        <w:t>4）机巢内部各模块间的双向传输数据。</w:t>
      </w:r>
    </w:p>
    <w:p w14:paraId="2A75A3C3">
      <w:pPr>
        <w:spacing w:after="80"/>
        <w:ind w:firstLine="420"/>
      </w:pPr>
      <w:r>
        <w:rPr>
          <w:rFonts w:hint="eastAsia"/>
        </w:rPr>
        <w:t>发送端发送的数据与接收端接收的数据应一致，试验结果应满足本规范书5.6的要求。</w:t>
      </w:r>
    </w:p>
    <w:p w14:paraId="7E184208">
      <w:pPr>
        <w:tabs>
          <w:tab w:val="left" w:pos="709"/>
        </w:tabs>
        <w:spacing w:line="360" w:lineRule="auto"/>
        <w:ind w:left="709" w:hanging="709"/>
        <w:outlineLvl w:val="2"/>
        <w:rPr>
          <w:rFonts w:hint="eastAsia" w:ascii="宋体" w:hAnsi="宋体"/>
          <w:szCs w:val="21"/>
        </w:rPr>
      </w:pPr>
      <w:r>
        <w:rPr>
          <w:rFonts w:hint="eastAsia" w:ascii="宋体" w:hAnsi="宋体"/>
          <w:szCs w:val="21"/>
        </w:rPr>
        <w:t>6.10.2 数据续传试验</w:t>
      </w:r>
    </w:p>
    <w:p w14:paraId="03AA3714">
      <w:pPr>
        <w:ind w:firstLine="420"/>
      </w:pPr>
      <w:r>
        <w:rPr>
          <w:rFonts w:hint="eastAsia"/>
        </w:rPr>
        <w:t>建立正常数据传输链路后，人为中断机巢与管控系统之间的通信，保持一定时间后恢复通信。</w:t>
      </w:r>
    </w:p>
    <w:p w14:paraId="340FABA5">
      <w:pPr>
        <w:ind w:firstLine="420"/>
      </w:pPr>
      <w:r>
        <w:rPr>
          <w:rFonts w:hint="eastAsia"/>
        </w:rPr>
        <w:t>检查被试机巢是否具备本地缓存能力，并在通信恢复后自动完成数据补传。</w:t>
      </w:r>
    </w:p>
    <w:p w14:paraId="5838A751">
      <w:pPr>
        <w:ind w:firstLine="420"/>
      </w:pPr>
      <w:r>
        <w:rPr>
          <w:rFonts w:hint="eastAsia"/>
        </w:rPr>
        <w:t>补传后的数据应完整、时序正确、无错传、无漏传，满足本规范书5.6的要求。</w:t>
      </w:r>
    </w:p>
    <w:p w14:paraId="1077A81E">
      <w:pPr>
        <w:ind w:firstLine="420"/>
      </w:pPr>
      <w:r>
        <w:rPr>
          <w:rFonts w:hint="eastAsia"/>
        </w:rPr>
        <w:t>本项可参照 T/CEC 1196—2025 第6.6.3条有关要求执行。</w:t>
      </w:r>
    </w:p>
    <w:p w14:paraId="59794AA2">
      <w:pPr>
        <w:pStyle w:val="3"/>
        <w:spacing w:after="120"/>
        <w:rPr>
          <w:rFonts w:hint="eastAsia" w:ascii="黑体" w:hAnsi="黑体" w:eastAsia="黑体"/>
          <w:b w:val="0"/>
          <w:bCs/>
          <w:szCs w:val="21"/>
        </w:rPr>
      </w:pPr>
      <w:bookmarkStart w:id="127" w:name="_Toc229216715"/>
      <w:bookmarkStart w:id="128" w:name="_Toc229213775"/>
      <w:bookmarkStart w:id="129" w:name="_Toc14963"/>
      <w:bookmarkStart w:id="130" w:name="_Toc229215779"/>
      <w:r>
        <w:rPr>
          <w:rFonts w:hint="eastAsia" w:ascii="黑体" w:hAnsi="黑体" w:eastAsia="黑体"/>
          <w:b w:val="0"/>
          <w:bCs/>
          <w:szCs w:val="21"/>
        </w:rPr>
        <w:t>6.11 自检与故障诊断试验</w:t>
      </w:r>
      <w:bookmarkEnd w:id="127"/>
      <w:bookmarkEnd w:id="128"/>
      <w:bookmarkEnd w:id="129"/>
      <w:bookmarkEnd w:id="130"/>
    </w:p>
    <w:p w14:paraId="1D310A7C">
      <w:pPr>
        <w:tabs>
          <w:tab w:val="left" w:pos="709"/>
        </w:tabs>
        <w:spacing w:line="360" w:lineRule="auto"/>
        <w:ind w:left="709" w:hanging="709"/>
        <w:outlineLvl w:val="2"/>
        <w:rPr>
          <w:rFonts w:hint="eastAsia" w:ascii="宋体" w:hAnsi="宋体"/>
          <w:szCs w:val="21"/>
        </w:rPr>
      </w:pPr>
      <w:r>
        <w:rPr>
          <w:rFonts w:hint="eastAsia" w:ascii="宋体" w:hAnsi="宋体"/>
          <w:szCs w:val="21"/>
        </w:rPr>
        <w:t>6.11.1 冷启动与热启动自检完整性试验</w:t>
      </w:r>
    </w:p>
    <w:p w14:paraId="7D6C0485">
      <w:pPr>
        <w:ind w:firstLine="420"/>
      </w:pPr>
      <w:r>
        <w:rPr>
          <w:rFonts w:hint="eastAsia"/>
        </w:rPr>
        <w:t>按 T/CEC 1196—2025 第6.8.1条有关要求执行，分别进行冷启动和热启动试验，检查主控、通信、监控、舱门、充电、传感器、供电等关键单元是否纳入自检范围，自检流程是否完整，自检结论是否正确。</w:t>
      </w:r>
    </w:p>
    <w:p w14:paraId="33F65B7A">
      <w:pPr>
        <w:ind w:firstLine="420"/>
      </w:pPr>
      <w:r>
        <w:rPr>
          <w:rFonts w:hint="eastAsia"/>
        </w:rPr>
        <w:t>试验结果应满足本规范书5.12的要求。</w:t>
      </w:r>
    </w:p>
    <w:p w14:paraId="0D202639">
      <w:pPr>
        <w:tabs>
          <w:tab w:val="left" w:pos="709"/>
        </w:tabs>
        <w:spacing w:line="360" w:lineRule="auto"/>
        <w:ind w:left="709" w:hanging="709"/>
        <w:outlineLvl w:val="2"/>
        <w:rPr>
          <w:rFonts w:hint="eastAsia" w:ascii="宋体" w:hAnsi="宋体"/>
          <w:szCs w:val="21"/>
        </w:rPr>
      </w:pPr>
      <w:r>
        <w:rPr>
          <w:rFonts w:hint="eastAsia" w:ascii="宋体" w:hAnsi="宋体"/>
          <w:szCs w:val="21"/>
        </w:rPr>
        <w:t>6.11.2 通信故障注入试验</w:t>
      </w:r>
    </w:p>
    <w:p w14:paraId="25671673">
      <w:pPr>
        <w:ind w:firstLine="420"/>
      </w:pPr>
      <w:r>
        <w:rPr>
          <w:rFonts w:hint="eastAsia"/>
        </w:rPr>
        <w:t>按 T/CEC 1196—2025 第6.8.2条有关要求执行，模拟通信链路中断、通信模块异常等故障，检查机巢是否能正确识别故障、定位故障位置并发出告警。</w:t>
      </w:r>
    </w:p>
    <w:p w14:paraId="7ED50706">
      <w:pPr>
        <w:tabs>
          <w:tab w:val="left" w:pos="709"/>
        </w:tabs>
        <w:spacing w:line="360" w:lineRule="auto"/>
        <w:ind w:left="709" w:hanging="709"/>
        <w:outlineLvl w:val="2"/>
        <w:rPr>
          <w:rFonts w:hint="eastAsia" w:ascii="宋体" w:hAnsi="宋体"/>
          <w:szCs w:val="21"/>
        </w:rPr>
      </w:pPr>
      <w:r>
        <w:rPr>
          <w:rFonts w:hint="eastAsia" w:ascii="宋体" w:hAnsi="宋体"/>
          <w:szCs w:val="21"/>
        </w:rPr>
        <w:t>6.11.3 供电故障注入试验</w:t>
      </w:r>
    </w:p>
    <w:p w14:paraId="4D7B7BCC">
      <w:pPr>
        <w:ind w:firstLine="420"/>
      </w:pPr>
      <w:r>
        <w:rPr>
          <w:rFonts w:hint="eastAsia"/>
        </w:rPr>
        <w:t>按 T/CEC 1196—2025 第6.8.2条有关要求执行，模拟输入电源异常、供电模块异常等故障，检查机巢是否能识别并告警，必要时切换至备用电源。</w:t>
      </w:r>
    </w:p>
    <w:p w14:paraId="15491C73">
      <w:pPr>
        <w:tabs>
          <w:tab w:val="left" w:pos="709"/>
        </w:tabs>
        <w:spacing w:line="360" w:lineRule="auto"/>
        <w:ind w:left="709" w:hanging="709"/>
        <w:outlineLvl w:val="2"/>
        <w:rPr>
          <w:rFonts w:hint="eastAsia" w:ascii="宋体" w:hAnsi="宋体"/>
          <w:szCs w:val="21"/>
        </w:rPr>
      </w:pPr>
      <w:r>
        <w:rPr>
          <w:rFonts w:hint="eastAsia" w:ascii="宋体" w:hAnsi="宋体"/>
          <w:szCs w:val="21"/>
        </w:rPr>
        <w:t>6.11.4 舱门故障注入试验</w:t>
      </w:r>
    </w:p>
    <w:p w14:paraId="30D52B5D">
      <w:pPr>
        <w:ind w:firstLine="420"/>
      </w:pPr>
      <w:r>
        <w:rPr>
          <w:rFonts w:hint="eastAsia"/>
        </w:rPr>
        <w:t>按 T/CEC 1196—2025 第6.8.2条有关要求执行，模拟舱门无法正常开启、关闭、限位失效等故障，检查机巢是否能识别并禁止执行相关危险动作。</w:t>
      </w:r>
    </w:p>
    <w:p w14:paraId="7CED627A">
      <w:pPr>
        <w:tabs>
          <w:tab w:val="left" w:pos="709"/>
        </w:tabs>
        <w:spacing w:line="360" w:lineRule="auto"/>
        <w:ind w:left="709" w:hanging="709"/>
        <w:outlineLvl w:val="2"/>
        <w:rPr>
          <w:rFonts w:hint="eastAsia" w:ascii="宋体" w:hAnsi="宋体"/>
          <w:szCs w:val="21"/>
        </w:rPr>
      </w:pPr>
      <w:r>
        <w:rPr>
          <w:rFonts w:hint="eastAsia" w:ascii="宋体" w:hAnsi="宋体"/>
          <w:szCs w:val="21"/>
        </w:rPr>
        <w:t>6.11.5 充电故障注入试验</w:t>
      </w:r>
    </w:p>
    <w:p w14:paraId="39E7DE67">
      <w:pPr>
        <w:ind w:firstLine="420"/>
      </w:pPr>
      <w:r>
        <w:rPr>
          <w:rFonts w:hint="eastAsia"/>
        </w:rPr>
        <w:t>按 T/CEC 1196—2025 第6.8.2条有关要求执行，模拟充电模块异常、接触不良、温度异常等故障，检查机巢是否能正确告警并采取保护动作。</w:t>
      </w:r>
    </w:p>
    <w:p w14:paraId="0F4BE778">
      <w:pPr>
        <w:tabs>
          <w:tab w:val="left" w:pos="709"/>
        </w:tabs>
        <w:spacing w:line="360" w:lineRule="auto"/>
        <w:ind w:left="709" w:hanging="709"/>
        <w:outlineLvl w:val="2"/>
        <w:rPr>
          <w:rFonts w:hint="eastAsia" w:ascii="宋体" w:hAnsi="宋体"/>
          <w:szCs w:val="21"/>
        </w:rPr>
      </w:pPr>
      <w:r>
        <w:rPr>
          <w:rFonts w:hint="eastAsia" w:ascii="宋体" w:hAnsi="宋体"/>
          <w:szCs w:val="21"/>
        </w:rPr>
        <w:t>6.11.6 传感器故障注入试验</w:t>
      </w:r>
    </w:p>
    <w:p w14:paraId="6DFB9619">
      <w:pPr>
        <w:ind w:firstLine="420"/>
      </w:pPr>
      <w:r>
        <w:rPr>
          <w:rFonts w:hint="eastAsia"/>
        </w:rPr>
        <w:t>按 T/CEC 1196—2025 第6.8.2条有关要求执行，模拟温湿度、风速、雨量、水浸等传感器信号异常、断线或失真，检查机巢是否能识别并定位故障。</w:t>
      </w:r>
    </w:p>
    <w:p w14:paraId="67BA1D10">
      <w:pPr>
        <w:tabs>
          <w:tab w:val="left" w:pos="709"/>
        </w:tabs>
        <w:spacing w:line="360" w:lineRule="auto"/>
        <w:ind w:left="709" w:hanging="709"/>
        <w:outlineLvl w:val="2"/>
        <w:rPr>
          <w:rFonts w:hint="eastAsia" w:ascii="宋体" w:hAnsi="宋体"/>
          <w:szCs w:val="21"/>
        </w:rPr>
      </w:pPr>
      <w:r>
        <w:rPr>
          <w:rFonts w:hint="eastAsia" w:ascii="宋体" w:hAnsi="宋体"/>
          <w:szCs w:val="21"/>
        </w:rPr>
        <w:t>6.11.7 日志记录与导出试验</w:t>
      </w:r>
    </w:p>
    <w:p w14:paraId="69F9E2E0">
      <w:pPr>
        <w:ind w:firstLine="420"/>
      </w:pPr>
      <w:r>
        <w:rPr>
          <w:rFonts w:hint="eastAsia"/>
        </w:rPr>
        <w:t>按 T/CEC 1196—2025 第6.8.3条有关要求执行，检查日志是否支持本地存储、导出和追溯，日志记录内容应覆盖运行状态、操作记录、故障信息、告警信息等。</w:t>
      </w:r>
    </w:p>
    <w:p w14:paraId="32819314">
      <w:pPr>
        <w:ind w:firstLine="420"/>
      </w:pPr>
      <w:r>
        <w:rPr>
          <w:rFonts w:hint="eastAsia"/>
        </w:rPr>
        <w:t>日志保存周期应满足本规范书5.12的要求。</w:t>
      </w:r>
    </w:p>
    <w:p w14:paraId="2FF428BA">
      <w:pPr>
        <w:pStyle w:val="3"/>
        <w:spacing w:after="120"/>
        <w:rPr>
          <w:rFonts w:hint="eastAsia" w:ascii="黑体" w:hAnsi="黑体" w:eastAsia="黑体"/>
          <w:b w:val="0"/>
          <w:bCs/>
          <w:szCs w:val="21"/>
        </w:rPr>
      </w:pPr>
      <w:bookmarkStart w:id="131" w:name="_Toc229216716"/>
      <w:bookmarkStart w:id="132" w:name="_Toc229213776"/>
      <w:bookmarkStart w:id="133" w:name="_Toc15629"/>
      <w:bookmarkStart w:id="134" w:name="_Toc229215780"/>
      <w:r>
        <w:rPr>
          <w:rFonts w:hint="eastAsia" w:ascii="黑体" w:hAnsi="黑体" w:eastAsia="黑体"/>
          <w:b w:val="0"/>
          <w:bCs/>
          <w:szCs w:val="21"/>
        </w:rPr>
        <w:t>6.12 防护性能试验</w:t>
      </w:r>
      <w:bookmarkEnd w:id="131"/>
      <w:bookmarkEnd w:id="132"/>
      <w:bookmarkEnd w:id="133"/>
      <w:bookmarkEnd w:id="134"/>
    </w:p>
    <w:p w14:paraId="44CB45D5">
      <w:pPr>
        <w:tabs>
          <w:tab w:val="left" w:pos="709"/>
        </w:tabs>
        <w:spacing w:line="360" w:lineRule="auto"/>
        <w:ind w:left="709" w:hanging="709"/>
        <w:outlineLvl w:val="2"/>
        <w:rPr>
          <w:rFonts w:hint="eastAsia" w:ascii="宋体" w:hAnsi="宋体"/>
          <w:szCs w:val="21"/>
        </w:rPr>
      </w:pPr>
      <w:r>
        <w:rPr>
          <w:rFonts w:hint="eastAsia" w:ascii="宋体" w:hAnsi="宋体"/>
          <w:szCs w:val="21"/>
        </w:rPr>
        <w:t>6.12.1 外壳防护等级试验</w:t>
      </w:r>
    </w:p>
    <w:p w14:paraId="4542C330">
      <w:pPr>
        <w:ind w:firstLine="420"/>
      </w:pPr>
      <w:r>
        <w:rPr>
          <w:rFonts w:hint="eastAsia"/>
        </w:rPr>
        <w:t>按 GB/T 4208 中规定的方法进行，并按 DL/T 2966—2025 第6.7条及 T/CEC 1196—2025 第6.2.4条有关要求执行，被试机巢外壳防护等级应满足本规范书5.13的要求。</w:t>
      </w:r>
    </w:p>
    <w:p w14:paraId="2D46D4DE">
      <w:pPr>
        <w:ind w:firstLine="420"/>
      </w:pPr>
      <w:r>
        <w:rPr>
          <w:rFonts w:hint="eastAsia"/>
        </w:rPr>
        <w:t>试验结束后机巢通电运行，各项功能应正常。</w:t>
      </w:r>
    </w:p>
    <w:p w14:paraId="1161069E">
      <w:pPr>
        <w:tabs>
          <w:tab w:val="left" w:pos="709"/>
        </w:tabs>
        <w:spacing w:line="360" w:lineRule="auto"/>
        <w:ind w:left="709" w:hanging="709"/>
        <w:outlineLvl w:val="2"/>
        <w:rPr>
          <w:rFonts w:hint="eastAsia" w:ascii="宋体" w:hAnsi="宋体"/>
          <w:szCs w:val="21"/>
        </w:rPr>
      </w:pPr>
      <w:r>
        <w:rPr>
          <w:rFonts w:hint="eastAsia" w:ascii="宋体" w:hAnsi="宋体"/>
          <w:szCs w:val="21"/>
        </w:rPr>
        <w:t>6.12.2 耐腐蚀性能试验</w:t>
      </w:r>
    </w:p>
    <w:p w14:paraId="52479731">
      <w:pPr>
        <w:ind w:firstLine="420"/>
      </w:pPr>
      <w:r>
        <w:rPr>
          <w:rFonts w:hint="eastAsia"/>
        </w:rPr>
        <w:t>按 GB/T 2423.17 中“试验 Ka”进行，并按 DL/T 2966—2025 第6.7条及 T/CEC 1196—2025 第6.2.5条有关要求执行，盐溶液浓度为（5±1）%，温度为（35±2）℃，溶液pH值应在6.5～7.2范围内，试验持续时间为16h。</w:t>
      </w:r>
    </w:p>
    <w:p w14:paraId="1F800AB2">
      <w:pPr>
        <w:ind w:firstLine="420"/>
      </w:pPr>
      <w:r>
        <w:rPr>
          <w:rFonts w:hint="eastAsia"/>
        </w:rPr>
        <w:t>试验结束后按 GB/T 6461 的方法对金属外壳进行保护评级评定，评级结果应满足本规范书5.13的要求。</w:t>
      </w:r>
    </w:p>
    <w:p w14:paraId="0E27049E">
      <w:pPr>
        <w:pStyle w:val="3"/>
        <w:spacing w:after="120"/>
        <w:rPr>
          <w:rFonts w:hint="eastAsia" w:ascii="黑体" w:hAnsi="黑体" w:eastAsia="黑体"/>
          <w:b w:val="0"/>
          <w:bCs/>
          <w:szCs w:val="21"/>
        </w:rPr>
      </w:pPr>
      <w:bookmarkStart w:id="135" w:name="_Toc19600"/>
      <w:bookmarkStart w:id="136" w:name="_Toc229216717"/>
      <w:bookmarkStart w:id="137" w:name="_Toc229215781"/>
      <w:bookmarkStart w:id="138" w:name="_Toc229213777"/>
      <w:r>
        <w:rPr>
          <w:rFonts w:hint="eastAsia" w:ascii="黑体" w:hAnsi="黑体" w:eastAsia="黑体"/>
          <w:b w:val="0"/>
          <w:bCs/>
          <w:szCs w:val="21"/>
        </w:rPr>
        <w:t>6.13 机械性能试验</w:t>
      </w:r>
      <w:bookmarkEnd w:id="135"/>
      <w:bookmarkEnd w:id="136"/>
      <w:bookmarkEnd w:id="137"/>
      <w:bookmarkEnd w:id="138"/>
    </w:p>
    <w:p w14:paraId="09E8CC7C">
      <w:pPr>
        <w:tabs>
          <w:tab w:val="left" w:pos="709"/>
        </w:tabs>
        <w:spacing w:line="360" w:lineRule="auto"/>
        <w:ind w:left="709" w:hanging="709"/>
        <w:outlineLvl w:val="2"/>
        <w:rPr>
          <w:rFonts w:hint="eastAsia" w:ascii="宋体" w:hAnsi="宋体"/>
          <w:szCs w:val="21"/>
        </w:rPr>
      </w:pPr>
      <w:r>
        <w:rPr>
          <w:rFonts w:hint="eastAsia" w:ascii="宋体" w:hAnsi="宋体"/>
          <w:szCs w:val="21"/>
        </w:rPr>
        <w:t>6.13.1 运动机构可靠性试验</w:t>
      </w:r>
    </w:p>
    <w:p w14:paraId="42F97588">
      <w:pPr>
        <w:ind w:firstLine="420"/>
      </w:pPr>
      <w:r>
        <w:rPr>
          <w:rFonts w:hint="eastAsia"/>
        </w:rPr>
        <w:t>按 DL/T 2966—2025 第6.8条及 T/CEC 1196—2025 第6.9.3条有关要求执行，被试机巢按正常工作状态通电自检后，对舱门、锁止机构、充电接触机构及其他运动机构进行不间断循环动作试验，循环次数应不少于10000次。</w:t>
      </w:r>
    </w:p>
    <w:p w14:paraId="771EBCFE">
      <w:pPr>
        <w:ind w:firstLine="420"/>
      </w:pPr>
      <w:r>
        <w:rPr>
          <w:rFonts w:hint="eastAsia"/>
        </w:rPr>
        <w:t>试验结束后，被试机巢不应发生紧固件松动、机械结构损坏、动作失灵等现象，各项功能应正常。</w:t>
      </w:r>
    </w:p>
    <w:p w14:paraId="71454D43">
      <w:pPr>
        <w:tabs>
          <w:tab w:val="left" w:pos="709"/>
        </w:tabs>
        <w:spacing w:line="360" w:lineRule="auto"/>
        <w:ind w:left="709" w:hanging="709"/>
        <w:outlineLvl w:val="2"/>
        <w:rPr>
          <w:rFonts w:hint="eastAsia" w:ascii="宋体" w:hAnsi="宋体"/>
          <w:szCs w:val="21"/>
        </w:rPr>
      </w:pPr>
      <w:r>
        <w:rPr>
          <w:rFonts w:hint="eastAsia" w:ascii="宋体" w:hAnsi="宋体"/>
          <w:szCs w:val="21"/>
        </w:rPr>
        <w:t>6.13.2 振动耐久试验</w:t>
      </w:r>
    </w:p>
    <w:p w14:paraId="0AB20040">
      <w:pPr>
        <w:ind w:firstLine="420"/>
      </w:pPr>
      <w:r>
        <w:rPr>
          <w:rFonts w:hint="eastAsia"/>
        </w:rPr>
        <w:t>按 GB/T 2423.10 中规定的方法进行，并按 DL/T 2966—2025 第6.8条有关要求执行。</w:t>
      </w:r>
    </w:p>
    <w:p w14:paraId="69C042EE">
      <w:pPr>
        <w:ind w:firstLine="420"/>
      </w:pPr>
      <w:r>
        <w:rPr>
          <w:rFonts w:hint="eastAsia"/>
        </w:rPr>
        <w:t>扫频范围为10Hz～150Hz，交越频率为58Hz～60Hz；交越频率以下位移振幅为0.15mm，交越频率以上峰值加速度为20m/s²；扫描循环时间为8min，每一轴线方向扫频循环10次，总试验时间为240min。</w:t>
      </w:r>
    </w:p>
    <w:p w14:paraId="0FD4A0B2">
      <w:pPr>
        <w:ind w:firstLine="420"/>
      </w:pPr>
      <w:r>
        <w:rPr>
          <w:rFonts w:hint="eastAsia"/>
        </w:rPr>
        <w:t>试验结束后，被试机巢不应发生紧固件松动和机械结构损坏，通电后各项功能应正常。</w:t>
      </w:r>
    </w:p>
    <w:p w14:paraId="6B258648">
      <w:pPr>
        <w:ind w:firstLine="420"/>
      </w:pPr>
      <w:r>
        <w:rPr>
          <w:rFonts w:hint="eastAsia"/>
        </w:rPr>
        <w:t>本项同时可参照 T/CEC 1196—2025 第6.2.6条有关要求执行。</w:t>
      </w:r>
    </w:p>
    <w:p w14:paraId="199D6C26">
      <w:pPr>
        <w:pStyle w:val="3"/>
        <w:spacing w:after="120"/>
        <w:rPr>
          <w:rFonts w:hint="eastAsia" w:ascii="黑体" w:hAnsi="黑体" w:eastAsia="黑体"/>
          <w:b w:val="0"/>
          <w:bCs/>
          <w:szCs w:val="21"/>
        </w:rPr>
      </w:pPr>
      <w:bookmarkStart w:id="139" w:name="_Toc229215782"/>
      <w:bookmarkStart w:id="140" w:name="_Toc229213778"/>
      <w:bookmarkStart w:id="141" w:name="_Toc6852"/>
      <w:bookmarkStart w:id="142" w:name="_Toc229216718"/>
      <w:r>
        <w:rPr>
          <w:rFonts w:hint="eastAsia" w:ascii="黑体" w:hAnsi="黑体" w:eastAsia="黑体"/>
          <w:b w:val="0"/>
          <w:bCs/>
          <w:szCs w:val="21"/>
        </w:rPr>
        <w:t>6.14 无线通信性能试验</w:t>
      </w:r>
      <w:bookmarkEnd w:id="139"/>
      <w:bookmarkEnd w:id="140"/>
      <w:bookmarkEnd w:id="141"/>
      <w:bookmarkEnd w:id="142"/>
    </w:p>
    <w:p w14:paraId="474AA82C">
      <w:pPr>
        <w:ind w:firstLine="420"/>
      </w:pPr>
      <w:r>
        <w:rPr>
          <w:rFonts w:hint="eastAsia"/>
        </w:rPr>
        <w:t>按 DL/T 1578 中规定的通信传输功能试验方法进行，并按 DL/T 2966—2025 第6.10条及 T/CEC 1196—2025 第6.6.1、6.6.2条有关要求执行。</w:t>
      </w:r>
    </w:p>
    <w:p w14:paraId="16228CEF">
      <w:pPr>
        <w:ind w:firstLine="420"/>
      </w:pPr>
      <w:r>
        <w:rPr>
          <w:rFonts w:hint="eastAsia"/>
        </w:rPr>
        <w:t>在通视环境、飞行高度40m条件下，检查机巢与所搭载无人机之间的测控数据和影像数据传输性能。</w:t>
      </w:r>
    </w:p>
    <w:p w14:paraId="46856459">
      <w:pPr>
        <w:ind w:firstLine="420"/>
      </w:pPr>
      <w:r>
        <w:rPr>
          <w:rFonts w:hint="eastAsia"/>
        </w:rPr>
        <w:t>试验结果应满足下列要求：</w:t>
      </w:r>
    </w:p>
    <w:p w14:paraId="066774AA">
      <w:pPr>
        <w:ind w:firstLine="420"/>
      </w:pPr>
      <w:r>
        <w:rPr>
          <w:rFonts w:hint="eastAsia"/>
        </w:rPr>
        <w:t>1）全向传输距离不小于4km；</w:t>
      </w:r>
    </w:p>
    <w:p w14:paraId="49F3586D">
      <w:pPr>
        <w:ind w:firstLine="420"/>
      </w:pPr>
      <w:r>
        <w:rPr>
          <w:rFonts w:hint="eastAsia"/>
        </w:rPr>
        <w:t>2）测控数据传输时延不大于20ms；</w:t>
      </w:r>
    </w:p>
    <w:p w14:paraId="1794300E">
      <w:pPr>
        <w:ind w:firstLine="420"/>
      </w:pPr>
      <w:r>
        <w:rPr>
          <w:rFonts w:hint="eastAsia"/>
        </w:rPr>
        <w:t>3）误码率不大于10^-6；</w:t>
      </w:r>
    </w:p>
    <w:p w14:paraId="2B04567D">
      <w:pPr>
        <w:ind w:firstLine="420"/>
      </w:pPr>
      <w:r>
        <w:rPr>
          <w:rFonts w:hint="eastAsia"/>
        </w:rPr>
        <w:t>4）影像传输时延不大于300ms。</w:t>
      </w:r>
    </w:p>
    <w:p w14:paraId="6076C53C">
      <w:pPr>
        <w:pStyle w:val="3"/>
        <w:spacing w:after="120"/>
        <w:rPr>
          <w:rFonts w:hint="eastAsia" w:ascii="黑体" w:hAnsi="黑体" w:eastAsia="黑体"/>
          <w:b w:val="0"/>
          <w:bCs/>
          <w:szCs w:val="21"/>
        </w:rPr>
      </w:pPr>
      <w:bookmarkStart w:id="143" w:name="_Toc12769"/>
      <w:bookmarkStart w:id="144" w:name="_Toc229213779"/>
      <w:bookmarkStart w:id="145" w:name="_Toc229215783"/>
      <w:bookmarkStart w:id="146" w:name="_Toc229216719"/>
      <w:r>
        <w:rPr>
          <w:rFonts w:hint="eastAsia" w:ascii="黑体" w:hAnsi="黑体" w:eastAsia="黑体"/>
          <w:b w:val="0"/>
          <w:bCs/>
          <w:szCs w:val="21"/>
        </w:rPr>
        <w:t>6.15 信息安全试验</w:t>
      </w:r>
      <w:bookmarkEnd w:id="143"/>
      <w:bookmarkEnd w:id="144"/>
      <w:bookmarkEnd w:id="145"/>
      <w:bookmarkEnd w:id="146"/>
    </w:p>
    <w:p w14:paraId="4779881B">
      <w:pPr>
        <w:ind w:firstLine="420"/>
      </w:pPr>
      <w:r>
        <w:rPr>
          <w:rFonts w:hint="eastAsia"/>
        </w:rPr>
        <w:t>按 GB/T 28448 规定的方法，并按 DL/T 2966—2025 第6.11条有关要求执行，对被试机巢开展第三级安全通用要求和物联网安全扩展要求相关测评。</w:t>
      </w:r>
    </w:p>
    <w:p w14:paraId="1C675093">
      <w:pPr>
        <w:ind w:firstLine="420"/>
      </w:pPr>
      <w:r>
        <w:rPr>
          <w:rFonts w:hint="eastAsia"/>
        </w:rPr>
        <w:t>试验内容宜包括身份鉴别、访问控制、安全审计、入侵防范、恶意代码防范、数据完整性保护、通信加密等。</w:t>
      </w:r>
    </w:p>
    <w:p w14:paraId="428AC5EF">
      <w:pPr>
        <w:ind w:firstLine="420"/>
      </w:pPr>
      <w:r>
        <w:rPr>
          <w:rFonts w:hint="eastAsia"/>
        </w:rPr>
        <w:t>其中安全加密、身份认证、日志审计等内容可参照 T/CEC 1196—2025 第6.6.4条有关要求执行。</w:t>
      </w:r>
    </w:p>
    <w:p w14:paraId="60D833F2">
      <w:pPr>
        <w:ind w:firstLine="420"/>
      </w:pPr>
      <w:r>
        <w:rPr>
          <w:rFonts w:hint="eastAsia"/>
        </w:rPr>
        <w:t>试验结果应满足本规范书5.16的要求。</w:t>
      </w:r>
    </w:p>
    <w:p w14:paraId="614DA7C0">
      <w:pPr>
        <w:pStyle w:val="3"/>
        <w:spacing w:after="120"/>
        <w:rPr>
          <w:rFonts w:hint="eastAsia" w:ascii="黑体" w:hAnsi="黑体" w:eastAsia="黑体"/>
          <w:b w:val="0"/>
          <w:bCs/>
          <w:szCs w:val="21"/>
        </w:rPr>
      </w:pPr>
      <w:bookmarkStart w:id="147" w:name="_Toc16272"/>
      <w:bookmarkStart w:id="148" w:name="_Toc229216720"/>
      <w:bookmarkStart w:id="149" w:name="_Toc229215784"/>
      <w:bookmarkStart w:id="150" w:name="_Toc229213780"/>
      <w:r>
        <w:rPr>
          <w:rFonts w:hint="eastAsia" w:ascii="黑体" w:hAnsi="黑体" w:eastAsia="黑体"/>
          <w:b w:val="0"/>
          <w:bCs/>
          <w:szCs w:val="21"/>
        </w:rPr>
        <w:t>6.16 电气安全试验</w:t>
      </w:r>
      <w:bookmarkEnd w:id="147"/>
      <w:bookmarkEnd w:id="148"/>
      <w:bookmarkEnd w:id="149"/>
      <w:bookmarkEnd w:id="150"/>
    </w:p>
    <w:p w14:paraId="7B294C9C">
      <w:pPr>
        <w:ind w:firstLine="420"/>
      </w:pPr>
      <w:r>
        <w:rPr>
          <w:rFonts w:hint="eastAsia"/>
        </w:rPr>
        <w:t>按 GB/T 13729 规定的方法，并按 DL/T 2966—2025 第6.12条有关要求执行，对被试机巢开展绝缘电阻、介质强度和冲击电压试验。</w:t>
      </w:r>
    </w:p>
    <w:p w14:paraId="7A6CF108">
      <w:pPr>
        <w:ind w:firstLine="420"/>
      </w:pPr>
      <w:r>
        <w:rPr>
          <w:rFonts w:hint="eastAsia"/>
        </w:rPr>
        <w:t>对固定式机巢，还应验证接地配置、接地端子设置、供电线缆、防雷保护器和漏电保护器配置的有效性。</w:t>
      </w:r>
    </w:p>
    <w:p w14:paraId="4067C38E">
      <w:pPr>
        <w:ind w:firstLine="420"/>
      </w:pPr>
      <w:r>
        <w:rPr>
          <w:rFonts w:hint="eastAsia"/>
        </w:rPr>
        <w:t>移动式机巢应结合供电方式采取等效验证方式。</w:t>
      </w:r>
    </w:p>
    <w:p w14:paraId="67C5FDF8">
      <w:pPr>
        <w:ind w:firstLine="420"/>
      </w:pPr>
      <w:r>
        <w:rPr>
          <w:rFonts w:hint="eastAsia"/>
        </w:rPr>
        <w:t>试验结果应满足本规范书5.17的要求。</w:t>
      </w:r>
    </w:p>
    <w:p w14:paraId="31ACF5B3">
      <w:pPr>
        <w:ind w:firstLine="420"/>
      </w:pPr>
      <w:r>
        <w:rPr>
          <w:rFonts w:hint="eastAsia"/>
        </w:rPr>
        <w:t>其中防雷保护相关内容可参照 T/CEC 1196—2025 第6.10.1条有关要求执行。</w:t>
      </w:r>
    </w:p>
    <w:p w14:paraId="535AAF5D">
      <w:pPr>
        <w:pStyle w:val="3"/>
        <w:spacing w:after="120"/>
        <w:rPr>
          <w:rFonts w:hint="eastAsia" w:ascii="黑体" w:hAnsi="黑体" w:eastAsia="黑体"/>
          <w:b w:val="0"/>
          <w:bCs/>
          <w:szCs w:val="21"/>
        </w:rPr>
      </w:pPr>
      <w:bookmarkStart w:id="151" w:name="_Toc21727"/>
      <w:bookmarkStart w:id="152" w:name="_Toc229215785"/>
      <w:bookmarkStart w:id="153" w:name="_Toc229213781"/>
      <w:bookmarkStart w:id="154" w:name="_Toc229216721"/>
      <w:r>
        <w:rPr>
          <w:rFonts w:hint="eastAsia" w:ascii="黑体" w:hAnsi="黑体" w:eastAsia="黑体"/>
          <w:b w:val="0"/>
          <w:bCs/>
          <w:szCs w:val="21"/>
        </w:rPr>
        <w:t>6.17 电磁兼容试验</w:t>
      </w:r>
      <w:bookmarkEnd w:id="151"/>
      <w:bookmarkEnd w:id="152"/>
      <w:bookmarkEnd w:id="153"/>
      <w:bookmarkEnd w:id="154"/>
    </w:p>
    <w:p w14:paraId="59066CBC">
      <w:pPr>
        <w:ind w:firstLine="420"/>
      </w:pPr>
      <w:r>
        <w:rPr>
          <w:rFonts w:hint="eastAsia"/>
        </w:rPr>
        <w:t>应按 GB/T 17626 系列标准分别开展静电放电抗扰度、射频电磁场辐射抗扰度、电快速瞬变脉冲群抗扰度、浪涌（冲击）抗扰度和工频磁场抗扰度试验，并按 DL/T 2966—2025 第6.13条及 T/CEC 1196—2025 第6.7条有关要求执行。</w:t>
      </w:r>
    </w:p>
    <w:p w14:paraId="66863BFD">
      <w:pPr>
        <w:ind w:firstLine="420"/>
      </w:pPr>
      <w:r>
        <w:rPr>
          <w:rFonts w:hint="eastAsia"/>
        </w:rPr>
        <w:t>试验等级应满足下列要求：</w:t>
      </w:r>
    </w:p>
    <w:p w14:paraId="46B854FE">
      <w:pPr>
        <w:ind w:firstLine="420"/>
      </w:pPr>
      <w:r>
        <w:rPr>
          <w:rFonts w:hint="eastAsia"/>
        </w:rPr>
        <w:t>1）静电放电抗扰度：接触放电2级、空气放电3级；</w:t>
      </w:r>
    </w:p>
    <w:p w14:paraId="28A16652">
      <w:pPr>
        <w:ind w:firstLine="420"/>
      </w:pPr>
      <w:r>
        <w:rPr>
          <w:rFonts w:hint="eastAsia"/>
        </w:rPr>
        <w:t>2）射频电磁场辐射抗扰度：3级；</w:t>
      </w:r>
    </w:p>
    <w:p w14:paraId="52DF2DA8">
      <w:pPr>
        <w:ind w:firstLine="420"/>
      </w:pPr>
      <w:r>
        <w:rPr>
          <w:rFonts w:hint="eastAsia"/>
        </w:rPr>
        <w:t>3）固定式机巢电快速瞬变脉冲群抗扰度：3级；</w:t>
      </w:r>
    </w:p>
    <w:p w14:paraId="56E76603">
      <w:pPr>
        <w:ind w:firstLine="420"/>
      </w:pPr>
      <w:r>
        <w:rPr>
          <w:rFonts w:hint="eastAsia"/>
        </w:rPr>
        <w:t>4）固定式机巢浪涌（冲击）抗扰度：3级；</w:t>
      </w:r>
    </w:p>
    <w:p w14:paraId="06417515">
      <w:pPr>
        <w:ind w:firstLine="420"/>
      </w:pPr>
      <w:r>
        <w:rPr>
          <w:rFonts w:hint="eastAsia"/>
        </w:rPr>
        <w:t>5）工频磁场抗扰度：4级。</w:t>
      </w:r>
    </w:p>
    <w:p w14:paraId="18356100">
      <w:pPr>
        <w:ind w:firstLine="420"/>
      </w:pPr>
      <w:r>
        <w:rPr>
          <w:rFonts w:hint="eastAsia"/>
        </w:rPr>
        <w:t>试验期间及试验后，被试机巢功能和性能应满足相关标准规定的判定要求。</w:t>
      </w:r>
    </w:p>
    <w:p w14:paraId="52D70395">
      <w:pPr>
        <w:pStyle w:val="3"/>
        <w:spacing w:after="120"/>
        <w:rPr>
          <w:rFonts w:hint="eastAsia" w:ascii="黑体" w:hAnsi="黑体" w:eastAsia="黑体"/>
          <w:b w:val="0"/>
          <w:bCs/>
          <w:szCs w:val="21"/>
        </w:rPr>
      </w:pPr>
      <w:bookmarkStart w:id="155" w:name="_Toc229216722"/>
      <w:bookmarkStart w:id="156" w:name="_Toc229213782"/>
      <w:bookmarkStart w:id="157" w:name="_Toc229215786"/>
      <w:bookmarkStart w:id="158" w:name="_Toc29586"/>
      <w:r>
        <w:rPr>
          <w:rFonts w:hint="eastAsia" w:ascii="黑体" w:hAnsi="黑体" w:eastAsia="黑体"/>
          <w:b w:val="0"/>
          <w:bCs/>
          <w:szCs w:val="21"/>
        </w:rPr>
        <w:t>6.18 水浸与防盗报警功能试验</w:t>
      </w:r>
      <w:bookmarkEnd w:id="155"/>
      <w:bookmarkEnd w:id="156"/>
      <w:bookmarkEnd w:id="157"/>
      <w:bookmarkEnd w:id="158"/>
    </w:p>
    <w:p w14:paraId="1DB14904">
      <w:pPr>
        <w:tabs>
          <w:tab w:val="left" w:pos="709"/>
        </w:tabs>
        <w:spacing w:line="360" w:lineRule="auto"/>
        <w:ind w:left="709" w:hanging="709"/>
        <w:outlineLvl w:val="2"/>
        <w:rPr>
          <w:rFonts w:hint="eastAsia" w:ascii="宋体" w:hAnsi="宋体"/>
          <w:szCs w:val="21"/>
        </w:rPr>
      </w:pPr>
      <w:r>
        <w:rPr>
          <w:rFonts w:hint="eastAsia" w:ascii="宋体" w:hAnsi="宋体"/>
          <w:szCs w:val="21"/>
        </w:rPr>
        <w:t>6.18.1 水浸报警功能试验</w:t>
      </w:r>
    </w:p>
    <w:p w14:paraId="354AE8C8">
      <w:pPr>
        <w:ind w:firstLine="420"/>
      </w:pPr>
      <w:r>
        <w:rPr>
          <w:rFonts w:hint="eastAsia"/>
        </w:rPr>
        <w:t>对配置有水浸检测功能的机巢，模拟机巢底部或设定区域出现积水，检查机巢是否能及时识别水浸状态并向管控系统上报告警信息，必要时采取保护措施。</w:t>
      </w:r>
    </w:p>
    <w:p w14:paraId="15D121B1">
      <w:pPr>
        <w:ind w:firstLine="420"/>
      </w:pPr>
      <w:r>
        <w:rPr>
          <w:rFonts w:hint="eastAsia"/>
        </w:rPr>
        <w:t>本项可参照 T/CEC 1196—2025 第6.10.3条有关要求执行。</w:t>
      </w:r>
    </w:p>
    <w:p w14:paraId="13063F65">
      <w:pPr>
        <w:ind w:firstLine="420"/>
      </w:pPr>
      <w:r>
        <w:rPr>
          <w:rFonts w:hint="eastAsia"/>
        </w:rPr>
        <w:t>试验结果应满足本规范书5.13的要求。</w:t>
      </w:r>
    </w:p>
    <w:p w14:paraId="71BAD317">
      <w:pPr>
        <w:tabs>
          <w:tab w:val="left" w:pos="709"/>
        </w:tabs>
        <w:spacing w:line="360" w:lineRule="auto"/>
        <w:ind w:left="709" w:hanging="709"/>
        <w:outlineLvl w:val="2"/>
        <w:rPr>
          <w:rFonts w:hint="eastAsia" w:ascii="宋体" w:hAnsi="宋体"/>
          <w:szCs w:val="21"/>
        </w:rPr>
      </w:pPr>
      <w:r>
        <w:rPr>
          <w:rFonts w:hint="eastAsia" w:ascii="宋体" w:hAnsi="宋体"/>
          <w:szCs w:val="21"/>
        </w:rPr>
        <w:t>6.18.2 防盗、防撬报警功能试验</w:t>
      </w:r>
    </w:p>
    <w:p w14:paraId="27410B8C">
      <w:pPr>
        <w:ind w:firstLine="420"/>
      </w:pPr>
      <w:r>
        <w:rPr>
          <w:rFonts w:hint="eastAsia"/>
        </w:rPr>
        <w:t>对配置有防盗、防撬、防非法开启报警功能的机巢，模拟箱门被非法开启、外壳被撬动等异常情况，检查机巢是否能及时发出本地或远程报警信息。</w:t>
      </w:r>
    </w:p>
    <w:p w14:paraId="0564CCCF">
      <w:pPr>
        <w:ind w:firstLine="420"/>
      </w:pPr>
      <w:r>
        <w:rPr>
          <w:rFonts w:hint="eastAsia"/>
        </w:rPr>
        <w:t>本项可参照 T/CEC 1196—2025 第6.10.2条有关要求执行。</w:t>
      </w:r>
    </w:p>
    <w:p w14:paraId="0711D79A">
      <w:pPr>
        <w:spacing w:line="360" w:lineRule="auto"/>
        <w:ind w:firstLine="420"/>
        <w:rPr>
          <w:rFonts w:hint="eastAsia" w:ascii="宋体" w:hAnsi="宋体"/>
          <w:szCs w:val="21"/>
        </w:rPr>
      </w:pPr>
      <w:r>
        <w:rPr>
          <w:rFonts w:hint="eastAsia"/>
        </w:rPr>
        <w:t>试验结果应满足本规范书5.13的要求。</w:t>
      </w:r>
    </w:p>
    <w:p w14:paraId="5288DD7A">
      <w:pPr>
        <w:pStyle w:val="2"/>
        <w:topLinePunct/>
        <w:autoSpaceDE/>
        <w:autoSpaceDN/>
        <w:adjustRightInd/>
        <w:spacing w:before="0" w:after="0" w:line="360" w:lineRule="auto"/>
        <w:jc w:val="both"/>
        <w:rPr>
          <w:rFonts w:eastAsia="黑体"/>
          <w:kern w:val="44"/>
          <w:sz w:val="21"/>
          <w:szCs w:val="21"/>
        </w:rPr>
      </w:pPr>
      <w:bookmarkStart w:id="159" w:name="_Toc229215787"/>
      <w:bookmarkStart w:id="160" w:name="_Toc30581"/>
      <w:bookmarkStart w:id="161" w:name="_Toc229216723"/>
      <w:bookmarkStart w:id="162" w:name="_Toc21089"/>
      <w:bookmarkStart w:id="163" w:name="_Toc10207"/>
      <w:bookmarkStart w:id="164" w:name="_Toc10574"/>
      <w:bookmarkStart w:id="165" w:name="_Toc16730"/>
      <w:bookmarkStart w:id="166" w:name="_Toc168869426"/>
      <w:bookmarkStart w:id="167" w:name="_Toc2054"/>
      <w:bookmarkStart w:id="168" w:name="_Toc14493"/>
      <w:bookmarkStart w:id="169" w:name="_Toc11765"/>
      <w:bookmarkStart w:id="170" w:name="_Toc28296"/>
      <w:bookmarkStart w:id="171" w:name="_Toc17945"/>
      <w:bookmarkStart w:id="172" w:name="_Toc229213783"/>
      <w:bookmarkStart w:id="173" w:name="_Toc15226"/>
      <w:r>
        <w:rPr>
          <w:rFonts w:hint="eastAsia" w:ascii="Times New Roman" w:hAnsi="Times New Roman" w:eastAsia="黑体"/>
          <w:kern w:val="44"/>
          <w:sz w:val="21"/>
          <w:szCs w:val="21"/>
        </w:rPr>
        <w:t>7 检验规则</w:t>
      </w:r>
      <w:bookmarkEnd w:id="82"/>
      <w:bookmarkEnd w:id="83"/>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7A56371">
      <w:pPr>
        <w:pStyle w:val="383"/>
        <w:spacing w:line="360" w:lineRule="auto"/>
        <w:ind w:firstLine="420" w:firstLineChars="200"/>
        <w:rPr>
          <w:rFonts w:eastAsia="黑体"/>
          <w:sz w:val="28"/>
          <w:szCs w:val="28"/>
        </w:rPr>
      </w:pPr>
      <w:r>
        <w:rPr>
          <w:rFonts w:hint="eastAsia"/>
        </w:rPr>
        <w:t>设备检验分为型式试验、出厂检验、送样检测、到货抽检、交接试验试验五类、试验项目按表2所列规定执行，检验报告应具有试验方法、试验过程数据和试验结论。</w:t>
      </w:r>
    </w:p>
    <w:p w14:paraId="4EE4C2E3">
      <w:pPr>
        <w:spacing w:line="360" w:lineRule="auto"/>
        <w:jc w:val="center"/>
        <w:rPr>
          <w:rStyle w:val="115"/>
          <w:rFonts w:hint="eastAsia" w:ascii="宋体" w:hAnsi="宋体" w:eastAsia="宋体"/>
          <w:szCs w:val="21"/>
        </w:rPr>
      </w:pPr>
      <w:r>
        <w:rPr>
          <w:rStyle w:val="115"/>
          <w:rFonts w:hint="eastAsia" w:ascii="宋体" w:hAnsi="宋体" w:eastAsia="宋体"/>
          <w:szCs w:val="21"/>
        </w:rPr>
        <w:t>表2 无人机巢检验项目</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275"/>
        <w:gridCol w:w="1055"/>
        <w:gridCol w:w="864"/>
        <w:gridCol w:w="864"/>
        <w:gridCol w:w="864"/>
        <w:gridCol w:w="864"/>
        <w:gridCol w:w="864"/>
      </w:tblGrid>
      <w:tr w14:paraId="00C5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3" w:type="pct"/>
            <w:shd w:val="clear" w:color="auto" w:fill="D9EAF7"/>
            <w:vAlign w:val="center"/>
          </w:tcPr>
          <w:p w14:paraId="39155A54">
            <w:pPr>
              <w:jc w:val="center"/>
              <w:rPr>
                <w:rFonts w:hint="eastAsia" w:ascii="宋体" w:hAnsi="宋体"/>
                <w:szCs w:val="21"/>
              </w:rPr>
            </w:pPr>
            <w:r>
              <w:rPr>
                <w:rFonts w:hint="eastAsia" w:ascii="宋体" w:hAnsi="宋体"/>
                <w:b/>
                <w:szCs w:val="21"/>
              </w:rPr>
              <w:t>序号</w:t>
            </w:r>
          </w:p>
        </w:tc>
        <w:tc>
          <w:tcPr>
            <w:tcW w:w="1763" w:type="pct"/>
            <w:shd w:val="clear" w:color="auto" w:fill="D9EAF7"/>
            <w:vAlign w:val="center"/>
          </w:tcPr>
          <w:p w14:paraId="03371685">
            <w:pPr>
              <w:jc w:val="center"/>
              <w:rPr>
                <w:rFonts w:hint="eastAsia" w:ascii="宋体" w:hAnsi="宋体"/>
                <w:szCs w:val="21"/>
              </w:rPr>
            </w:pPr>
            <w:r>
              <w:rPr>
                <w:rFonts w:hint="eastAsia" w:ascii="宋体" w:hAnsi="宋体"/>
                <w:b/>
                <w:szCs w:val="21"/>
              </w:rPr>
              <w:t>检验项目</w:t>
            </w:r>
          </w:p>
        </w:tc>
        <w:tc>
          <w:tcPr>
            <w:tcW w:w="568" w:type="pct"/>
            <w:shd w:val="clear" w:color="auto" w:fill="D9EAF7"/>
            <w:vAlign w:val="center"/>
          </w:tcPr>
          <w:p w14:paraId="7367A329">
            <w:pPr>
              <w:jc w:val="center"/>
              <w:rPr>
                <w:rFonts w:hint="eastAsia" w:ascii="宋体" w:hAnsi="宋体"/>
                <w:szCs w:val="21"/>
              </w:rPr>
            </w:pPr>
            <w:r>
              <w:rPr>
                <w:rFonts w:hint="eastAsia" w:ascii="宋体" w:hAnsi="宋体"/>
                <w:b/>
                <w:szCs w:val="21"/>
              </w:rPr>
              <w:t>依据条款</w:t>
            </w:r>
          </w:p>
        </w:tc>
        <w:tc>
          <w:tcPr>
            <w:tcW w:w="465" w:type="pct"/>
            <w:shd w:val="clear" w:color="auto" w:fill="D9EAF7"/>
            <w:vAlign w:val="center"/>
          </w:tcPr>
          <w:p w14:paraId="69EB5A99">
            <w:pPr>
              <w:jc w:val="center"/>
              <w:rPr>
                <w:rFonts w:hint="eastAsia" w:ascii="宋体" w:hAnsi="宋体"/>
                <w:szCs w:val="21"/>
              </w:rPr>
            </w:pPr>
            <w:r>
              <w:rPr>
                <w:rFonts w:hint="eastAsia" w:ascii="宋体" w:hAnsi="宋体"/>
                <w:b/>
                <w:szCs w:val="21"/>
              </w:rPr>
              <w:t>型式试验</w:t>
            </w:r>
          </w:p>
        </w:tc>
        <w:tc>
          <w:tcPr>
            <w:tcW w:w="465" w:type="pct"/>
            <w:shd w:val="clear" w:color="auto" w:fill="D9EAF7"/>
            <w:vAlign w:val="center"/>
          </w:tcPr>
          <w:p w14:paraId="04FF9659">
            <w:pPr>
              <w:jc w:val="center"/>
              <w:rPr>
                <w:rFonts w:hint="eastAsia" w:ascii="宋体" w:hAnsi="宋体"/>
                <w:szCs w:val="21"/>
              </w:rPr>
            </w:pPr>
            <w:r>
              <w:rPr>
                <w:rFonts w:hint="eastAsia" w:ascii="宋体" w:hAnsi="宋体"/>
                <w:b/>
                <w:szCs w:val="21"/>
              </w:rPr>
              <w:t>出厂试验</w:t>
            </w:r>
          </w:p>
        </w:tc>
        <w:tc>
          <w:tcPr>
            <w:tcW w:w="465" w:type="pct"/>
            <w:shd w:val="clear" w:color="auto" w:fill="D9EAF7"/>
            <w:vAlign w:val="center"/>
          </w:tcPr>
          <w:p w14:paraId="5C3783FC">
            <w:pPr>
              <w:jc w:val="center"/>
              <w:rPr>
                <w:rFonts w:hint="eastAsia" w:ascii="宋体" w:hAnsi="宋体"/>
                <w:szCs w:val="21"/>
              </w:rPr>
            </w:pPr>
            <w:r>
              <w:rPr>
                <w:rFonts w:hint="eastAsia" w:ascii="宋体" w:hAnsi="宋体"/>
                <w:b/>
                <w:szCs w:val="21"/>
              </w:rPr>
              <w:t>送样检测</w:t>
            </w:r>
          </w:p>
        </w:tc>
        <w:tc>
          <w:tcPr>
            <w:tcW w:w="465" w:type="pct"/>
            <w:shd w:val="clear" w:color="auto" w:fill="D9EAF7"/>
            <w:vAlign w:val="center"/>
          </w:tcPr>
          <w:p w14:paraId="58CF4877">
            <w:pPr>
              <w:jc w:val="center"/>
              <w:rPr>
                <w:rFonts w:hint="eastAsia" w:ascii="宋体" w:hAnsi="宋体"/>
                <w:szCs w:val="21"/>
              </w:rPr>
            </w:pPr>
            <w:r>
              <w:rPr>
                <w:rFonts w:hint="eastAsia" w:ascii="宋体" w:hAnsi="宋体"/>
                <w:b/>
                <w:szCs w:val="21"/>
              </w:rPr>
              <w:t>到货抽检</w:t>
            </w:r>
          </w:p>
        </w:tc>
        <w:tc>
          <w:tcPr>
            <w:tcW w:w="465" w:type="pct"/>
            <w:shd w:val="clear" w:color="auto" w:fill="D9EAF7"/>
            <w:vAlign w:val="center"/>
          </w:tcPr>
          <w:p w14:paraId="231BE8FB">
            <w:pPr>
              <w:jc w:val="center"/>
              <w:rPr>
                <w:rFonts w:hint="eastAsia" w:ascii="宋体" w:hAnsi="宋体"/>
                <w:szCs w:val="21"/>
              </w:rPr>
            </w:pPr>
            <w:r>
              <w:rPr>
                <w:rFonts w:hint="eastAsia" w:ascii="宋体" w:hAnsi="宋体"/>
                <w:b/>
                <w:szCs w:val="21"/>
              </w:rPr>
              <w:t>交接试验</w:t>
            </w:r>
          </w:p>
        </w:tc>
      </w:tr>
      <w:tr w14:paraId="31A1C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38A38FE0">
            <w:pPr>
              <w:pStyle w:val="453"/>
              <w:numPr>
                <w:ilvl w:val="0"/>
                <w:numId w:val="33"/>
              </w:numPr>
              <w:ind w:firstLineChars="0"/>
              <w:jc w:val="center"/>
              <w:rPr>
                <w:rFonts w:hint="eastAsia" w:ascii="宋体" w:hAnsi="宋体"/>
                <w:szCs w:val="21"/>
              </w:rPr>
            </w:pPr>
          </w:p>
        </w:tc>
        <w:tc>
          <w:tcPr>
            <w:tcW w:w="1763" w:type="pct"/>
          </w:tcPr>
          <w:p w14:paraId="75D35F69">
            <w:pPr>
              <w:rPr>
                <w:rFonts w:hint="eastAsia" w:ascii="宋体" w:hAnsi="宋体"/>
                <w:szCs w:val="21"/>
              </w:rPr>
            </w:pPr>
            <w:r>
              <w:rPr>
                <w:rFonts w:hint="eastAsia" w:ascii="宋体" w:hAnsi="宋体"/>
                <w:szCs w:val="21"/>
              </w:rPr>
              <w:t>环境适应性试验</w:t>
            </w:r>
          </w:p>
        </w:tc>
        <w:tc>
          <w:tcPr>
            <w:tcW w:w="568" w:type="pct"/>
            <w:vAlign w:val="center"/>
          </w:tcPr>
          <w:p w14:paraId="49003F0C">
            <w:pPr>
              <w:jc w:val="center"/>
              <w:rPr>
                <w:rFonts w:hint="eastAsia" w:ascii="宋体" w:hAnsi="宋体"/>
                <w:szCs w:val="21"/>
              </w:rPr>
            </w:pPr>
            <w:r>
              <w:rPr>
                <w:rFonts w:hint="eastAsia" w:ascii="宋体" w:hAnsi="宋体"/>
                <w:szCs w:val="21"/>
              </w:rPr>
              <w:t>6.2</w:t>
            </w:r>
          </w:p>
        </w:tc>
        <w:tc>
          <w:tcPr>
            <w:tcW w:w="465" w:type="pct"/>
            <w:vAlign w:val="center"/>
          </w:tcPr>
          <w:p w14:paraId="297F8B99">
            <w:pPr>
              <w:jc w:val="center"/>
              <w:rPr>
                <w:rFonts w:hint="eastAsia" w:ascii="宋体" w:hAnsi="宋体"/>
                <w:szCs w:val="21"/>
              </w:rPr>
            </w:pPr>
            <w:r>
              <w:rPr>
                <w:rFonts w:hint="eastAsia" w:ascii="宋体" w:hAnsi="宋体"/>
                <w:szCs w:val="21"/>
              </w:rPr>
              <w:t>●</w:t>
            </w:r>
          </w:p>
        </w:tc>
        <w:tc>
          <w:tcPr>
            <w:tcW w:w="465" w:type="pct"/>
            <w:vAlign w:val="center"/>
          </w:tcPr>
          <w:p w14:paraId="1D1B3710">
            <w:pPr>
              <w:jc w:val="center"/>
              <w:rPr>
                <w:rFonts w:hint="eastAsia" w:ascii="宋体" w:hAnsi="宋体"/>
                <w:szCs w:val="21"/>
              </w:rPr>
            </w:pPr>
            <w:r>
              <w:rPr>
                <w:rFonts w:hint="eastAsia" w:ascii="宋体" w:hAnsi="宋体"/>
                <w:szCs w:val="21"/>
              </w:rPr>
              <w:t>○</w:t>
            </w:r>
          </w:p>
        </w:tc>
        <w:tc>
          <w:tcPr>
            <w:tcW w:w="465" w:type="pct"/>
            <w:vAlign w:val="center"/>
          </w:tcPr>
          <w:p w14:paraId="381C296B">
            <w:pPr>
              <w:jc w:val="center"/>
              <w:rPr>
                <w:rFonts w:hint="eastAsia" w:ascii="宋体" w:hAnsi="宋体"/>
                <w:szCs w:val="21"/>
              </w:rPr>
            </w:pPr>
            <w:r>
              <w:rPr>
                <w:rFonts w:hint="eastAsia" w:ascii="宋体" w:hAnsi="宋体"/>
                <w:szCs w:val="21"/>
              </w:rPr>
              <w:t>●</w:t>
            </w:r>
          </w:p>
        </w:tc>
        <w:tc>
          <w:tcPr>
            <w:tcW w:w="465" w:type="pct"/>
            <w:vAlign w:val="center"/>
          </w:tcPr>
          <w:p w14:paraId="2B6DC816">
            <w:pPr>
              <w:jc w:val="center"/>
              <w:rPr>
                <w:rFonts w:hint="eastAsia" w:ascii="宋体" w:hAnsi="宋体"/>
                <w:szCs w:val="21"/>
              </w:rPr>
            </w:pPr>
            <w:r>
              <w:rPr>
                <w:rFonts w:hint="eastAsia" w:ascii="宋体" w:hAnsi="宋体"/>
                <w:szCs w:val="21"/>
              </w:rPr>
              <w:t>○</w:t>
            </w:r>
          </w:p>
        </w:tc>
        <w:tc>
          <w:tcPr>
            <w:tcW w:w="465" w:type="pct"/>
            <w:vAlign w:val="center"/>
          </w:tcPr>
          <w:p w14:paraId="2DA1C225">
            <w:pPr>
              <w:jc w:val="center"/>
              <w:rPr>
                <w:rFonts w:hint="eastAsia" w:ascii="宋体" w:hAnsi="宋体"/>
                <w:szCs w:val="21"/>
              </w:rPr>
            </w:pPr>
            <w:r>
              <w:rPr>
                <w:rFonts w:hint="eastAsia" w:ascii="宋体" w:hAnsi="宋体"/>
                <w:szCs w:val="21"/>
              </w:rPr>
              <w:t>○</w:t>
            </w:r>
          </w:p>
        </w:tc>
      </w:tr>
      <w:tr w14:paraId="408F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26D7E32C">
            <w:pPr>
              <w:pStyle w:val="453"/>
              <w:numPr>
                <w:ilvl w:val="0"/>
                <w:numId w:val="33"/>
              </w:numPr>
              <w:ind w:firstLineChars="0"/>
              <w:jc w:val="center"/>
              <w:rPr>
                <w:rFonts w:hint="eastAsia" w:ascii="宋体" w:hAnsi="宋体"/>
                <w:szCs w:val="21"/>
              </w:rPr>
            </w:pPr>
          </w:p>
        </w:tc>
        <w:tc>
          <w:tcPr>
            <w:tcW w:w="1763" w:type="pct"/>
          </w:tcPr>
          <w:p w14:paraId="4332C921">
            <w:pPr>
              <w:rPr>
                <w:rFonts w:hint="eastAsia" w:ascii="宋体" w:hAnsi="宋体"/>
                <w:szCs w:val="21"/>
              </w:rPr>
            </w:pPr>
            <w:r>
              <w:rPr>
                <w:rFonts w:hint="eastAsia" w:ascii="宋体" w:hAnsi="宋体"/>
                <w:szCs w:val="21"/>
              </w:rPr>
              <w:t>外观结构检查</w:t>
            </w:r>
          </w:p>
        </w:tc>
        <w:tc>
          <w:tcPr>
            <w:tcW w:w="568" w:type="pct"/>
            <w:vAlign w:val="center"/>
          </w:tcPr>
          <w:p w14:paraId="0E5ACF08">
            <w:pPr>
              <w:jc w:val="center"/>
              <w:rPr>
                <w:rFonts w:hint="eastAsia" w:ascii="宋体" w:hAnsi="宋体"/>
                <w:szCs w:val="21"/>
              </w:rPr>
            </w:pPr>
            <w:r>
              <w:rPr>
                <w:rFonts w:hint="eastAsia" w:ascii="宋体" w:hAnsi="宋体"/>
                <w:szCs w:val="21"/>
              </w:rPr>
              <w:t>6.3</w:t>
            </w:r>
          </w:p>
        </w:tc>
        <w:tc>
          <w:tcPr>
            <w:tcW w:w="465" w:type="pct"/>
            <w:vAlign w:val="center"/>
          </w:tcPr>
          <w:p w14:paraId="4CC529CA">
            <w:pPr>
              <w:jc w:val="center"/>
              <w:rPr>
                <w:rFonts w:hint="eastAsia" w:ascii="宋体" w:hAnsi="宋体"/>
                <w:szCs w:val="21"/>
              </w:rPr>
            </w:pPr>
            <w:r>
              <w:rPr>
                <w:rFonts w:hint="eastAsia" w:ascii="宋体" w:hAnsi="宋体"/>
                <w:szCs w:val="21"/>
              </w:rPr>
              <w:t>●</w:t>
            </w:r>
          </w:p>
        </w:tc>
        <w:tc>
          <w:tcPr>
            <w:tcW w:w="465" w:type="pct"/>
            <w:vAlign w:val="center"/>
          </w:tcPr>
          <w:p w14:paraId="42E119F4">
            <w:pPr>
              <w:jc w:val="center"/>
              <w:rPr>
                <w:rFonts w:hint="eastAsia" w:ascii="宋体" w:hAnsi="宋体"/>
                <w:szCs w:val="21"/>
              </w:rPr>
            </w:pPr>
            <w:r>
              <w:rPr>
                <w:rFonts w:hint="eastAsia" w:ascii="宋体" w:hAnsi="宋体"/>
                <w:szCs w:val="21"/>
              </w:rPr>
              <w:t>●</w:t>
            </w:r>
          </w:p>
        </w:tc>
        <w:tc>
          <w:tcPr>
            <w:tcW w:w="465" w:type="pct"/>
            <w:vAlign w:val="center"/>
          </w:tcPr>
          <w:p w14:paraId="50AD6AE0">
            <w:pPr>
              <w:jc w:val="center"/>
              <w:rPr>
                <w:rFonts w:hint="eastAsia" w:ascii="宋体" w:hAnsi="宋体"/>
                <w:szCs w:val="21"/>
              </w:rPr>
            </w:pPr>
            <w:r>
              <w:rPr>
                <w:rFonts w:hint="eastAsia" w:ascii="宋体" w:hAnsi="宋体"/>
                <w:szCs w:val="21"/>
              </w:rPr>
              <w:t>●</w:t>
            </w:r>
          </w:p>
        </w:tc>
        <w:tc>
          <w:tcPr>
            <w:tcW w:w="465" w:type="pct"/>
            <w:vAlign w:val="center"/>
          </w:tcPr>
          <w:p w14:paraId="27E9E6EC">
            <w:pPr>
              <w:jc w:val="center"/>
              <w:rPr>
                <w:rFonts w:hint="eastAsia" w:ascii="宋体" w:hAnsi="宋体"/>
                <w:szCs w:val="21"/>
              </w:rPr>
            </w:pPr>
            <w:r>
              <w:rPr>
                <w:rFonts w:hint="eastAsia" w:ascii="宋体" w:hAnsi="宋体"/>
                <w:szCs w:val="21"/>
              </w:rPr>
              <w:t>●</w:t>
            </w:r>
          </w:p>
        </w:tc>
        <w:tc>
          <w:tcPr>
            <w:tcW w:w="465" w:type="pct"/>
            <w:vAlign w:val="center"/>
          </w:tcPr>
          <w:p w14:paraId="534CB384">
            <w:pPr>
              <w:jc w:val="center"/>
              <w:rPr>
                <w:rFonts w:hint="eastAsia" w:ascii="宋体" w:hAnsi="宋体"/>
                <w:szCs w:val="21"/>
              </w:rPr>
            </w:pPr>
            <w:r>
              <w:rPr>
                <w:rFonts w:hint="eastAsia" w:ascii="宋体" w:hAnsi="宋体"/>
                <w:szCs w:val="21"/>
              </w:rPr>
              <w:t>●</w:t>
            </w:r>
          </w:p>
        </w:tc>
      </w:tr>
      <w:tr w14:paraId="639C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625C84A4">
            <w:pPr>
              <w:pStyle w:val="453"/>
              <w:numPr>
                <w:ilvl w:val="0"/>
                <w:numId w:val="33"/>
              </w:numPr>
              <w:ind w:firstLineChars="0"/>
              <w:jc w:val="center"/>
              <w:rPr>
                <w:rFonts w:hint="eastAsia" w:ascii="宋体" w:hAnsi="宋体"/>
                <w:szCs w:val="21"/>
              </w:rPr>
            </w:pPr>
          </w:p>
        </w:tc>
        <w:tc>
          <w:tcPr>
            <w:tcW w:w="1763" w:type="pct"/>
            <w:vAlign w:val="center"/>
          </w:tcPr>
          <w:p w14:paraId="12596E9C">
            <w:pPr>
              <w:rPr>
                <w:rFonts w:hint="eastAsia" w:ascii="宋体" w:hAnsi="宋体"/>
                <w:szCs w:val="21"/>
              </w:rPr>
            </w:pPr>
            <w:r>
              <w:rPr>
                <w:rFonts w:hint="eastAsia" w:ascii="宋体" w:hAnsi="宋体"/>
                <w:szCs w:val="21"/>
              </w:rPr>
              <w:t>基本功能试验</w:t>
            </w:r>
          </w:p>
        </w:tc>
        <w:tc>
          <w:tcPr>
            <w:tcW w:w="568" w:type="pct"/>
            <w:vAlign w:val="center"/>
          </w:tcPr>
          <w:p w14:paraId="0BF500C9">
            <w:pPr>
              <w:jc w:val="center"/>
              <w:rPr>
                <w:rFonts w:hint="eastAsia" w:ascii="宋体" w:hAnsi="宋体"/>
                <w:szCs w:val="21"/>
              </w:rPr>
            </w:pPr>
            <w:r>
              <w:rPr>
                <w:rFonts w:hint="eastAsia" w:ascii="宋体" w:hAnsi="宋体"/>
                <w:szCs w:val="21"/>
              </w:rPr>
              <w:t>6.4</w:t>
            </w:r>
          </w:p>
        </w:tc>
        <w:tc>
          <w:tcPr>
            <w:tcW w:w="465" w:type="pct"/>
            <w:vAlign w:val="center"/>
          </w:tcPr>
          <w:p w14:paraId="512BD5A4">
            <w:pPr>
              <w:jc w:val="center"/>
              <w:rPr>
                <w:rFonts w:hint="eastAsia" w:ascii="宋体" w:hAnsi="宋体"/>
                <w:szCs w:val="21"/>
              </w:rPr>
            </w:pPr>
            <w:r>
              <w:rPr>
                <w:rFonts w:hint="eastAsia" w:ascii="宋体" w:hAnsi="宋体"/>
                <w:szCs w:val="21"/>
              </w:rPr>
              <w:t>●</w:t>
            </w:r>
          </w:p>
        </w:tc>
        <w:tc>
          <w:tcPr>
            <w:tcW w:w="465" w:type="pct"/>
            <w:vAlign w:val="center"/>
          </w:tcPr>
          <w:p w14:paraId="19AFDE61">
            <w:pPr>
              <w:jc w:val="center"/>
              <w:rPr>
                <w:rFonts w:hint="eastAsia" w:ascii="宋体" w:hAnsi="宋体"/>
                <w:szCs w:val="21"/>
              </w:rPr>
            </w:pPr>
            <w:r>
              <w:rPr>
                <w:rFonts w:hint="eastAsia" w:ascii="宋体" w:hAnsi="宋体"/>
                <w:szCs w:val="21"/>
              </w:rPr>
              <w:t>—</w:t>
            </w:r>
          </w:p>
        </w:tc>
        <w:tc>
          <w:tcPr>
            <w:tcW w:w="465" w:type="pct"/>
            <w:vAlign w:val="center"/>
          </w:tcPr>
          <w:p w14:paraId="0AF2F500">
            <w:pPr>
              <w:jc w:val="center"/>
              <w:rPr>
                <w:rFonts w:hint="eastAsia" w:ascii="宋体" w:hAnsi="宋体"/>
                <w:szCs w:val="21"/>
              </w:rPr>
            </w:pPr>
            <w:r>
              <w:rPr>
                <w:rFonts w:hint="eastAsia" w:ascii="宋体" w:hAnsi="宋体"/>
                <w:szCs w:val="21"/>
              </w:rPr>
              <w:t>●</w:t>
            </w:r>
          </w:p>
        </w:tc>
        <w:tc>
          <w:tcPr>
            <w:tcW w:w="465" w:type="pct"/>
            <w:vAlign w:val="center"/>
          </w:tcPr>
          <w:p w14:paraId="25ADB899">
            <w:pPr>
              <w:jc w:val="center"/>
              <w:rPr>
                <w:rFonts w:hint="eastAsia" w:ascii="宋体" w:hAnsi="宋体"/>
                <w:szCs w:val="21"/>
              </w:rPr>
            </w:pPr>
            <w:r>
              <w:rPr>
                <w:rFonts w:hint="eastAsia" w:ascii="宋体" w:hAnsi="宋体"/>
                <w:szCs w:val="21"/>
              </w:rPr>
              <w:t>●</w:t>
            </w:r>
          </w:p>
        </w:tc>
        <w:tc>
          <w:tcPr>
            <w:tcW w:w="465" w:type="pct"/>
            <w:vAlign w:val="center"/>
          </w:tcPr>
          <w:p w14:paraId="148F96E2">
            <w:pPr>
              <w:jc w:val="center"/>
              <w:rPr>
                <w:rFonts w:hint="eastAsia" w:ascii="宋体" w:hAnsi="宋体"/>
                <w:szCs w:val="21"/>
              </w:rPr>
            </w:pPr>
            <w:r>
              <w:rPr>
                <w:rFonts w:hint="eastAsia" w:ascii="宋体" w:hAnsi="宋体"/>
                <w:szCs w:val="21"/>
              </w:rPr>
              <w:t>●</w:t>
            </w:r>
          </w:p>
        </w:tc>
      </w:tr>
      <w:tr w14:paraId="3A35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5844D22">
            <w:pPr>
              <w:pStyle w:val="453"/>
              <w:numPr>
                <w:ilvl w:val="0"/>
                <w:numId w:val="33"/>
              </w:numPr>
              <w:ind w:firstLineChars="0"/>
              <w:jc w:val="center"/>
              <w:rPr>
                <w:rFonts w:hint="eastAsia" w:ascii="宋体" w:hAnsi="宋体"/>
                <w:szCs w:val="21"/>
              </w:rPr>
            </w:pPr>
          </w:p>
        </w:tc>
        <w:tc>
          <w:tcPr>
            <w:tcW w:w="1763" w:type="pct"/>
            <w:vAlign w:val="center"/>
          </w:tcPr>
          <w:p w14:paraId="6F900197">
            <w:pPr>
              <w:rPr>
                <w:rFonts w:hint="eastAsia" w:ascii="宋体" w:hAnsi="宋体"/>
                <w:szCs w:val="21"/>
              </w:rPr>
            </w:pPr>
            <w:r>
              <w:rPr>
                <w:rFonts w:hint="eastAsia" w:ascii="宋体" w:hAnsi="宋体"/>
                <w:szCs w:val="21"/>
              </w:rPr>
              <w:t>起降与停靠补充试验</w:t>
            </w:r>
          </w:p>
        </w:tc>
        <w:tc>
          <w:tcPr>
            <w:tcW w:w="568" w:type="pct"/>
            <w:vAlign w:val="center"/>
          </w:tcPr>
          <w:p w14:paraId="029A01F5">
            <w:pPr>
              <w:jc w:val="center"/>
              <w:rPr>
                <w:rFonts w:hint="eastAsia" w:ascii="宋体" w:hAnsi="宋体"/>
                <w:szCs w:val="21"/>
              </w:rPr>
            </w:pPr>
            <w:r>
              <w:rPr>
                <w:rFonts w:hint="eastAsia" w:ascii="宋体" w:hAnsi="宋体"/>
                <w:szCs w:val="21"/>
              </w:rPr>
              <w:t>6.5</w:t>
            </w:r>
          </w:p>
        </w:tc>
        <w:tc>
          <w:tcPr>
            <w:tcW w:w="465" w:type="pct"/>
            <w:vAlign w:val="center"/>
          </w:tcPr>
          <w:p w14:paraId="6949D078">
            <w:pPr>
              <w:jc w:val="center"/>
              <w:rPr>
                <w:rFonts w:hint="eastAsia" w:ascii="宋体" w:hAnsi="宋体"/>
                <w:szCs w:val="21"/>
              </w:rPr>
            </w:pPr>
            <w:r>
              <w:rPr>
                <w:rFonts w:hint="eastAsia" w:ascii="宋体" w:hAnsi="宋体"/>
                <w:szCs w:val="21"/>
              </w:rPr>
              <w:t>●</w:t>
            </w:r>
          </w:p>
        </w:tc>
        <w:tc>
          <w:tcPr>
            <w:tcW w:w="465" w:type="pct"/>
            <w:vAlign w:val="center"/>
          </w:tcPr>
          <w:p w14:paraId="4FCF7BD7">
            <w:pPr>
              <w:jc w:val="center"/>
              <w:rPr>
                <w:rFonts w:hint="eastAsia" w:ascii="宋体" w:hAnsi="宋体"/>
                <w:szCs w:val="21"/>
              </w:rPr>
            </w:pPr>
            <w:r>
              <w:rPr>
                <w:rFonts w:hint="eastAsia" w:ascii="宋体" w:hAnsi="宋体"/>
                <w:szCs w:val="21"/>
              </w:rPr>
              <w:t>○</w:t>
            </w:r>
          </w:p>
        </w:tc>
        <w:tc>
          <w:tcPr>
            <w:tcW w:w="465" w:type="pct"/>
            <w:vAlign w:val="center"/>
          </w:tcPr>
          <w:p w14:paraId="65CEB554">
            <w:pPr>
              <w:jc w:val="center"/>
              <w:rPr>
                <w:rFonts w:hint="eastAsia" w:ascii="宋体" w:hAnsi="宋体"/>
                <w:szCs w:val="21"/>
              </w:rPr>
            </w:pPr>
            <w:r>
              <w:rPr>
                <w:rFonts w:hint="eastAsia" w:ascii="宋体" w:hAnsi="宋体"/>
                <w:szCs w:val="21"/>
              </w:rPr>
              <w:t>●</w:t>
            </w:r>
          </w:p>
        </w:tc>
        <w:tc>
          <w:tcPr>
            <w:tcW w:w="465" w:type="pct"/>
            <w:vAlign w:val="center"/>
          </w:tcPr>
          <w:p w14:paraId="460F49A2">
            <w:pPr>
              <w:jc w:val="center"/>
              <w:rPr>
                <w:rFonts w:hint="eastAsia" w:ascii="宋体" w:hAnsi="宋体"/>
                <w:szCs w:val="21"/>
              </w:rPr>
            </w:pPr>
            <w:r>
              <w:rPr>
                <w:rFonts w:hint="eastAsia" w:ascii="宋体" w:hAnsi="宋体"/>
                <w:szCs w:val="21"/>
              </w:rPr>
              <w:t>○</w:t>
            </w:r>
          </w:p>
        </w:tc>
        <w:tc>
          <w:tcPr>
            <w:tcW w:w="465" w:type="pct"/>
            <w:vAlign w:val="center"/>
          </w:tcPr>
          <w:p w14:paraId="538897D4">
            <w:pPr>
              <w:jc w:val="center"/>
              <w:rPr>
                <w:rFonts w:hint="eastAsia" w:ascii="宋体" w:hAnsi="宋体"/>
                <w:szCs w:val="21"/>
              </w:rPr>
            </w:pPr>
            <w:r>
              <w:rPr>
                <w:rFonts w:hint="eastAsia" w:ascii="宋体" w:hAnsi="宋体"/>
                <w:szCs w:val="21"/>
              </w:rPr>
              <w:t>○</w:t>
            </w:r>
          </w:p>
        </w:tc>
      </w:tr>
      <w:tr w14:paraId="68F2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319ECC13">
            <w:pPr>
              <w:pStyle w:val="453"/>
              <w:numPr>
                <w:ilvl w:val="0"/>
                <w:numId w:val="33"/>
              </w:numPr>
              <w:ind w:firstLineChars="0"/>
              <w:jc w:val="center"/>
              <w:rPr>
                <w:rFonts w:hint="eastAsia" w:ascii="宋体" w:hAnsi="宋体"/>
                <w:szCs w:val="21"/>
              </w:rPr>
            </w:pPr>
          </w:p>
        </w:tc>
        <w:tc>
          <w:tcPr>
            <w:tcW w:w="1763" w:type="pct"/>
            <w:vAlign w:val="center"/>
          </w:tcPr>
          <w:p w14:paraId="3407CA8C">
            <w:pPr>
              <w:rPr>
                <w:rFonts w:hint="eastAsia" w:ascii="宋体" w:hAnsi="宋体"/>
                <w:szCs w:val="21"/>
              </w:rPr>
            </w:pPr>
            <w:r>
              <w:rPr>
                <w:rFonts w:hint="eastAsia" w:ascii="宋体" w:hAnsi="宋体"/>
                <w:szCs w:val="21"/>
              </w:rPr>
              <w:t>自动充电与充电保护试验</w:t>
            </w:r>
          </w:p>
        </w:tc>
        <w:tc>
          <w:tcPr>
            <w:tcW w:w="568" w:type="pct"/>
            <w:vAlign w:val="center"/>
          </w:tcPr>
          <w:p w14:paraId="29F227F0">
            <w:pPr>
              <w:jc w:val="center"/>
              <w:rPr>
                <w:rFonts w:hint="eastAsia" w:ascii="宋体" w:hAnsi="宋体"/>
                <w:szCs w:val="21"/>
              </w:rPr>
            </w:pPr>
            <w:r>
              <w:rPr>
                <w:rFonts w:hint="eastAsia" w:ascii="宋体" w:hAnsi="宋体"/>
                <w:szCs w:val="21"/>
              </w:rPr>
              <w:t>6.6</w:t>
            </w:r>
          </w:p>
        </w:tc>
        <w:tc>
          <w:tcPr>
            <w:tcW w:w="465" w:type="pct"/>
            <w:vAlign w:val="center"/>
          </w:tcPr>
          <w:p w14:paraId="49F2FC2D">
            <w:pPr>
              <w:jc w:val="center"/>
              <w:rPr>
                <w:rFonts w:hint="eastAsia" w:ascii="宋体" w:hAnsi="宋体"/>
                <w:szCs w:val="21"/>
              </w:rPr>
            </w:pPr>
            <w:r>
              <w:rPr>
                <w:rFonts w:hint="eastAsia" w:ascii="宋体" w:hAnsi="宋体"/>
                <w:szCs w:val="21"/>
              </w:rPr>
              <w:t>●</w:t>
            </w:r>
          </w:p>
        </w:tc>
        <w:tc>
          <w:tcPr>
            <w:tcW w:w="465" w:type="pct"/>
            <w:vAlign w:val="center"/>
          </w:tcPr>
          <w:p w14:paraId="09C129F6">
            <w:pPr>
              <w:jc w:val="center"/>
              <w:rPr>
                <w:rFonts w:hint="eastAsia" w:ascii="宋体" w:hAnsi="宋体"/>
                <w:szCs w:val="21"/>
              </w:rPr>
            </w:pPr>
            <w:r>
              <w:rPr>
                <w:rFonts w:hint="eastAsia" w:ascii="宋体" w:hAnsi="宋体"/>
                <w:szCs w:val="21"/>
              </w:rPr>
              <w:t>●</w:t>
            </w:r>
          </w:p>
        </w:tc>
        <w:tc>
          <w:tcPr>
            <w:tcW w:w="465" w:type="pct"/>
            <w:vAlign w:val="center"/>
          </w:tcPr>
          <w:p w14:paraId="52736D27">
            <w:pPr>
              <w:jc w:val="center"/>
              <w:rPr>
                <w:rFonts w:hint="eastAsia" w:ascii="宋体" w:hAnsi="宋体"/>
                <w:szCs w:val="21"/>
              </w:rPr>
            </w:pPr>
            <w:r>
              <w:rPr>
                <w:rFonts w:hint="eastAsia" w:ascii="宋体" w:hAnsi="宋体"/>
                <w:szCs w:val="21"/>
              </w:rPr>
              <w:t>○</w:t>
            </w:r>
          </w:p>
        </w:tc>
        <w:tc>
          <w:tcPr>
            <w:tcW w:w="465" w:type="pct"/>
            <w:vAlign w:val="center"/>
          </w:tcPr>
          <w:p w14:paraId="312F4025">
            <w:pPr>
              <w:jc w:val="center"/>
              <w:rPr>
                <w:rFonts w:hint="eastAsia" w:ascii="宋体" w:hAnsi="宋体"/>
                <w:szCs w:val="21"/>
              </w:rPr>
            </w:pPr>
            <w:r>
              <w:rPr>
                <w:rFonts w:hint="eastAsia" w:ascii="宋体" w:hAnsi="宋体"/>
                <w:szCs w:val="21"/>
              </w:rPr>
              <w:t>○</w:t>
            </w:r>
          </w:p>
        </w:tc>
        <w:tc>
          <w:tcPr>
            <w:tcW w:w="465" w:type="pct"/>
            <w:vAlign w:val="center"/>
          </w:tcPr>
          <w:p w14:paraId="7CBC9026">
            <w:pPr>
              <w:jc w:val="center"/>
              <w:rPr>
                <w:rFonts w:hint="eastAsia" w:ascii="宋体" w:hAnsi="宋体"/>
                <w:szCs w:val="21"/>
              </w:rPr>
            </w:pPr>
            <w:r>
              <w:rPr>
                <w:rFonts w:hint="eastAsia" w:ascii="宋体" w:hAnsi="宋体"/>
                <w:szCs w:val="21"/>
              </w:rPr>
              <w:t>○</w:t>
            </w:r>
          </w:p>
        </w:tc>
      </w:tr>
      <w:tr w14:paraId="0316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B1FD53D">
            <w:pPr>
              <w:pStyle w:val="453"/>
              <w:numPr>
                <w:ilvl w:val="0"/>
                <w:numId w:val="33"/>
              </w:numPr>
              <w:ind w:firstLineChars="0"/>
              <w:jc w:val="center"/>
              <w:rPr>
                <w:rFonts w:hint="eastAsia" w:ascii="宋体" w:hAnsi="宋体"/>
                <w:szCs w:val="21"/>
              </w:rPr>
            </w:pPr>
          </w:p>
        </w:tc>
        <w:tc>
          <w:tcPr>
            <w:tcW w:w="1763" w:type="pct"/>
            <w:vAlign w:val="center"/>
          </w:tcPr>
          <w:p w14:paraId="1F445CD4">
            <w:pPr>
              <w:rPr>
                <w:rFonts w:hint="eastAsia" w:ascii="宋体" w:hAnsi="宋体"/>
                <w:szCs w:val="21"/>
              </w:rPr>
            </w:pPr>
            <w:r>
              <w:rPr>
                <w:rFonts w:hint="eastAsia" w:ascii="宋体" w:hAnsi="宋体"/>
                <w:szCs w:val="21"/>
              </w:rPr>
              <w:t>备用电源功能试验</w:t>
            </w:r>
          </w:p>
        </w:tc>
        <w:tc>
          <w:tcPr>
            <w:tcW w:w="568" w:type="pct"/>
            <w:vAlign w:val="center"/>
          </w:tcPr>
          <w:p w14:paraId="1CA9F86D">
            <w:pPr>
              <w:jc w:val="center"/>
              <w:rPr>
                <w:rFonts w:hint="eastAsia" w:ascii="宋体" w:hAnsi="宋体"/>
                <w:szCs w:val="21"/>
              </w:rPr>
            </w:pPr>
            <w:r>
              <w:rPr>
                <w:rFonts w:hint="eastAsia" w:ascii="宋体" w:hAnsi="宋体"/>
                <w:szCs w:val="21"/>
              </w:rPr>
              <w:t>6.7</w:t>
            </w:r>
          </w:p>
        </w:tc>
        <w:tc>
          <w:tcPr>
            <w:tcW w:w="465" w:type="pct"/>
            <w:vAlign w:val="center"/>
          </w:tcPr>
          <w:p w14:paraId="3FAC250C">
            <w:pPr>
              <w:jc w:val="center"/>
              <w:rPr>
                <w:rFonts w:hint="eastAsia" w:ascii="宋体" w:hAnsi="宋体"/>
                <w:szCs w:val="21"/>
              </w:rPr>
            </w:pPr>
            <w:r>
              <w:rPr>
                <w:rFonts w:hint="eastAsia" w:ascii="宋体" w:hAnsi="宋体"/>
                <w:szCs w:val="21"/>
              </w:rPr>
              <w:t>●</w:t>
            </w:r>
          </w:p>
        </w:tc>
        <w:tc>
          <w:tcPr>
            <w:tcW w:w="465" w:type="pct"/>
            <w:vAlign w:val="center"/>
          </w:tcPr>
          <w:p w14:paraId="4A1600B8">
            <w:pPr>
              <w:jc w:val="center"/>
              <w:rPr>
                <w:rFonts w:hint="eastAsia" w:ascii="宋体" w:hAnsi="宋体"/>
                <w:szCs w:val="21"/>
              </w:rPr>
            </w:pPr>
            <w:r>
              <w:rPr>
                <w:rFonts w:hint="eastAsia" w:ascii="宋体" w:hAnsi="宋体"/>
                <w:szCs w:val="21"/>
              </w:rPr>
              <w:t>●</w:t>
            </w:r>
          </w:p>
        </w:tc>
        <w:tc>
          <w:tcPr>
            <w:tcW w:w="465" w:type="pct"/>
            <w:vAlign w:val="center"/>
          </w:tcPr>
          <w:p w14:paraId="492677FF">
            <w:pPr>
              <w:jc w:val="center"/>
              <w:rPr>
                <w:rFonts w:hint="eastAsia" w:ascii="宋体" w:hAnsi="宋体"/>
                <w:szCs w:val="21"/>
              </w:rPr>
            </w:pPr>
            <w:r>
              <w:rPr>
                <w:rFonts w:hint="eastAsia" w:ascii="宋体" w:hAnsi="宋体"/>
                <w:szCs w:val="21"/>
              </w:rPr>
              <w:t>●</w:t>
            </w:r>
          </w:p>
        </w:tc>
        <w:tc>
          <w:tcPr>
            <w:tcW w:w="465" w:type="pct"/>
            <w:vAlign w:val="center"/>
          </w:tcPr>
          <w:p w14:paraId="63D653B7">
            <w:pPr>
              <w:jc w:val="center"/>
              <w:rPr>
                <w:rFonts w:hint="eastAsia" w:ascii="宋体" w:hAnsi="宋体"/>
                <w:szCs w:val="21"/>
              </w:rPr>
            </w:pPr>
            <w:r>
              <w:rPr>
                <w:rFonts w:hint="eastAsia" w:ascii="宋体" w:hAnsi="宋体"/>
                <w:szCs w:val="21"/>
              </w:rPr>
              <w:t>○</w:t>
            </w:r>
          </w:p>
        </w:tc>
        <w:tc>
          <w:tcPr>
            <w:tcW w:w="465" w:type="pct"/>
            <w:vAlign w:val="center"/>
          </w:tcPr>
          <w:p w14:paraId="30568AC5">
            <w:pPr>
              <w:jc w:val="center"/>
              <w:rPr>
                <w:rFonts w:hint="eastAsia" w:ascii="宋体" w:hAnsi="宋体"/>
                <w:szCs w:val="21"/>
              </w:rPr>
            </w:pPr>
            <w:r>
              <w:rPr>
                <w:rFonts w:hint="eastAsia" w:ascii="宋体" w:hAnsi="宋体"/>
                <w:szCs w:val="21"/>
              </w:rPr>
              <w:t>○</w:t>
            </w:r>
          </w:p>
        </w:tc>
      </w:tr>
      <w:tr w14:paraId="3DBA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CAC7B4A">
            <w:pPr>
              <w:pStyle w:val="453"/>
              <w:numPr>
                <w:ilvl w:val="0"/>
                <w:numId w:val="33"/>
              </w:numPr>
              <w:ind w:firstLineChars="0"/>
              <w:jc w:val="center"/>
              <w:rPr>
                <w:rFonts w:hint="eastAsia" w:ascii="宋体" w:hAnsi="宋体"/>
                <w:szCs w:val="21"/>
              </w:rPr>
            </w:pPr>
          </w:p>
        </w:tc>
        <w:tc>
          <w:tcPr>
            <w:tcW w:w="1763" w:type="pct"/>
            <w:vAlign w:val="center"/>
          </w:tcPr>
          <w:p w14:paraId="50028DE4">
            <w:pPr>
              <w:rPr>
                <w:rFonts w:hint="eastAsia" w:ascii="宋体" w:hAnsi="宋体"/>
                <w:szCs w:val="21"/>
              </w:rPr>
            </w:pPr>
            <w:r>
              <w:rPr>
                <w:rFonts w:hint="eastAsia" w:ascii="宋体" w:hAnsi="宋体"/>
                <w:szCs w:val="21"/>
              </w:rPr>
              <w:t>远程控制功能试验</w:t>
            </w:r>
          </w:p>
        </w:tc>
        <w:tc>
          <w:tcPr>
            <w:tcW w:w="568" w:type="pct"/>
            <w:vAlign w:val="center"/>
          </w:tcPr>
          <w:p w14:paraId="0D0A43A8">
            <w:pPr>
              <w:jc w:val="center"/>
              <w:rPr>
                <w:rFonts w:hint="eastAsia" w:ascii="宋体" w:hAnsi="宋体"/>
                <w:szCs w:val="21"/>
              </w:rPr>
            </w:pPr>
            <w:r>
              <w:rPr>
                <w:rFonts w:hint="eastAsia" w:ascii="宋体" w:hAnsi="宋体"/>
                <w:szCs w:val="21"/>
              </w:rPr>
              <w:t>6.8</w:t>
            </w:r>
          </w:p>
        </w:tc>
        <w:tc>
          <w:tcPr>
            <w:tcW w:w="465" w:type="pct"/>
            <w:vAlign w:val="center"/>
          </w:tcPr>
          <w:p w14:paraId="5DD2346F">
            <w:pPr>
              <w:jc w:val="center"/>
              <w:rPr>
                <w:rFonts w:hint="eastAsia" w:ascii="宋体" w:hAnsi="宋体"/>
                <w:szCs w:val="21"/>
              </w:rPr>
            </w:pPr>
            <w:r>
              <w:rPr>
                <w:rFonts w:hint="eastAsia" w:ascii="宋体" w:hAnsi="宋体"/>
                <w:szCs w:val="21"/>
              </w:rPr>
              <w:t>●</w:t>
            </w:r>
          </w:p>
        </w:tc>
        <w:tc>
          <w:tcPr>
            <w:tcW w:w="465" w:type="pct"/>
            <w:vAlign w:val="center"/>
          </w:tcPr>
          <w:p w14:paraId="64326D33">
            <w:pPr>
              <w:jc w:val="center"/>
              <w:rPr>
                <w:rFonts w:hint="eastAsia" w:ascii="宋体" w:hAnsi="宋体"/>
                <w:szCs w:val="21"/>
              </w:rPr>
            </w:pPr>
            <w:r>
              <w:rPr>
                <w:rFonts w:hint="eastAsia" w:ascii="宋体" w:hAnsi="宋体"/>
                <w:szCs w:val="21"/>
              </w:rPr>
              <w:t>○</w:t>
            </w:r>
          </w:p>
        </w:tc>
        <w:tc>
          <w:tcPr>
            <w:tcW w:w="465" w:type="pct"/>
            <w:vAlign w:val="center"/>
          </w:tcPr>
          <w:p w14:paraId="7D94266C">
            <w:pPr>
              <w:jc w:val="center"/>
              <w:rPr>
                <w:rFonts w:hint="eastAsia" w:ascii="宋体" w:hAnsi="宋体"/>
                <w:szCs w:val="21"/>
              </w:rPr>
            </w:pPr>
            <w:r>
              <w:rPr>
                <w:rFonts w:hint="eastAsia" w:ascii="宋体" w:hAnsi="宋体"/>
                <w:szCs w:val="21"/>
              </w:rPr>
              <w:t>●</w:t>
            </w:r>
          </w:p>
        </w:tc>
        <w:tc>
          <w:tcPr>
            <w:tcW w:w="465" w:type="pct"/>
            <w:vAlign w:val="center"/>
          </w:tcPr>
          <w:p w14:paraId="379308D4">
            <w:pPr>
              <w:jc w:val="center"/>
              <w:rPr>
                <w:rFonts w:hint="eastAsia" w:ascii="宋体" w:hAnsi="宋体"/>
                <w:szCs w:val="21"/>
              </w:rPr>
            </w:pPr>
            <w:r>
              <w:rPr>
                <w:rFonts w:hint="eastAsia" w:ascii="宋体" w:hAnsi="宋体"/>
                <w:szCs w:val="21"/>
              </w:rPr>
              <w:t>○</w:t>
            </w:r>
          </w:p>
        </w:tc>
        <w:tc>
          <w:tcPr>
            <w:tcW w:w="465" w:type="pct"/>
            <w:vAlign w:val="center"/>
          </w:tcPr>
          <w:p w14:paraId="1EC66FC7">
            <w:pPr>
              <w:jc w:val="center"/>
              <w:rPr>
                <w:rFonts w:hint="eastAsia" w:ascii="宋体" w:hAnsi="宋体"/>
                <w:szCs w:val="21"/>
              </w:rPr>
            </w:pPr>
            <w:r>
              <w:rPr>
                <w:rFonts w:hint="eastAsia" w:ascii="宋体" w:hAnsi="宋体"/>
                <w:szCs w:val="21"/>
              </w:rPr>
              <w:t>○</w:t>
            </w:r>
          </w:p>
        </w:tc>
      </w:tr>
      <w:tr w14:paraId="0EE7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43" w:type="pct"/>
            <w:vAlign w:val="center"/>
          </w:tcPr>
          <w:p w14:paraId="48F1B780">
            <w:pPr>
              <w:pStyle w:val="453"/>
              <w:numPr>
                <w:ilvl w:val="0"/>
                <w:numId w:val="33"/>
              </w:numPr>
              <w:ind w:firstLineChars="0"/>
              <w:jc w:val="center"/>
              <w:rPr>
                <w:rFonts w:hint="eastAsia" w:ascii="宋体" w:hAnsi="宋体"/>
                <w:szCs w:val="21"/>
              </w:rPr>
            </w:pPr>
          </w:p>
        </w:tc>
        <w:tc>
          <w:tcPr>
            <w:tcW w:w="1763" w:type="pct"/>
            <w:vAlign w:val="center"/>
          </w:tcPr>
          <w:p w14:paraId="7C19776C">
            <w:pPr>
              <w:rPr>
                <w:rFonts w:hint="eastAsia" w:ascii="宋体" w:hAnsi="宋体"/>
                <w:szCs w:val="21"/>
              </w:rPr>
            </w:pPr>
            <w:r>
              <w:rPr>
                <w:rFonts w:hint="eastAsia" w:ascii="宋体" w:hAnsi="宋体"/>
                <w:szCs w:val="21"/>
              </w:rPr>
              <w:t>应急功能试验</w:t>
            </w:r>
          </w:p>
        </w:tc>
        <w:tc>
          <w:tcPr>
            <w:tcW w:w="568" w:type="pct"/>
            <w:vAlign w:val="center"/>
          </w:tcPr>
          <w:p w14:paraId="780766D6">
            <w:pPr>
              <w:jc w:val="center"/>
              <w:rPr>
                <w:rFonts w:hint="eastAsia" w:ascii="宋体" w:hAnsi="宋体"/>
                <w:szCs w:val="21"/>
              </w:rPr>
            </w:pPr>
            <w:r>
              <w:rPr>
                <w:rFonts w:hint="eastAsia" w:ascii="宋体" w:hAnsi="宋体"/>
                <w:szCs w:val="21"/>
              </w:rPr>
              <w:t>6.9</w:t>
            </w:r>
          </w:p>
        </w:tc>
        <w:tc>
          <w:tcPr>
            <w:tcW w:w="465" w:type="pct"/>
            <w:vAlign w:val="center"/>
          </w:tcPr>
          <w:p w14:paraId="4F0122A4">
            <w:pPr>
              <w:jc w:val="center"/>
              <w:rPr>
                <w:rFonts w:hint="eastAsia" w:ascii="宋体" w:hAnsi="宋体"/>
                <w:szCs w:val="21"/>
              </w:rPr>
            </w:pPr>
            <w:r>
              <w:rPr>
                <w:rFonts w:hint="eastAsia" w:ascii="宋体" w:hAnsi="宋体"/>
                <w:szCs w:val="21"/>
              </w:rPr>
              <w:t>●</w:t>
            </w:r>
          </w:p>
        </w:tc>
        <w:tc>
          <w:tcPr>
            <w:tcW w:w="465" w:type="pct"/>
            <w:vAlign w:val="center"/>
          </w:tcPr>
          <w:p w14:paraId="799AD400">
            <w:pPr>
              <w:jc w:val="center"/>
              <w:rPr>
                <w:rFonts w:hint="eastAsia" w:ascii="宋体" w:hAnsi="宋体"/>
                <w:szCs w:val="21"/>
              </w:rPr>
            </w:pPr>
            <w:r>
              <w:rPr>
                <w:rFonts w:hint="eastAsia" w:ascii="宋体" w:hAnsi="宋体"/>
                <w:szCs w:val="21"/>
              </w:rPr>
              <w:t>○</w:t>
            </w:r>
          </w:p>
        </w:tc>
        <w:tc>
          <w:tcPr>
            <w:tcW w:w="465" w:type="pct"/>
            <w:vAlign w:val="center"/>
          </w:tcPr>
          <w:p w14:paraId="43C40FD1">
            <w:pPr>
              <w:jc w:val="center"/>
              <w:rPr>
                <w:rFonts w:hint="eastAsia" w:ascii="宋体" w:hAnsi="宋体"/>
                <w:szCs w:val="21"/>
              </w:rPr>
            </w:pPr>
            <w:r>
              <w:rPr>
                <w:rFonts w:hint="eastAsia" w:ascii="宋体" w:hAnsi="宋体"/>
                <w:szCs w:val="21"/>
              </w:rPr>
              <w:t>○</w:t>
            </w:r>
          </w:p>
        </w:tc>
        <w:tc>
          <w:tcPr>
            <w:tcW w:w="465" w:type="pct"/>
            <w:vAlign w:val="center"/>
          </w:tcPr>
          <w:p w14:paraId="539F9CAA">
            <w:pPr>
              <w:jc w:val="center"/>
              <w:rPr>
                <w:rFonts w:hint="eastAsia" w:ascii="宋体" w:hAnsi="宋体"/>
                <w:szCs w:val="21"/>
              </w:rPr>
            </w:pPr>
            <w:r>
              <w:rPr>
                <w:rFonts w:hint="eastAsia" w:ascii="宋体" w:hAnsi="宋体"/>
                <w:szCs w:val="21"/>
              </w:rPr>
              <w:t>○</w:t>
            </w:r>
          </w:p>
        </w:tc>
        <w:tc>
          <w:tcPr>
            <w:tcW w:w="465" w:type="pct"/>
            <w:vAlign w:val="center"/>
          </w:tcPr>
          <w:p w14:paraId="2D4A1A7F">
            <w:pPr>
              <w:jc w:val="center"/>
              <w:rPr>
                <w:rFonts w:hint="eastAsia" w:ascii="宋体" w:hAnsi="宋体"/>
                <w:szCs w:val="21"/>
              </w:rPr>
            </w:pPr>
            <w:r>
              <w:rPr>
                <w:rFonts w:hint="eastAsia" w:ascii="宋体" w:hAnsi="宋体"/>
                <w:szCs w:val="21"/>
              </w:rPr>
              <w:t>○</w:t>
            </w:r>
          </w:p>
        </w:tc>
      </w:tr>
      <w:tr w14:paraId="5941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B87AFC0">
            <w:pPr>
              <w:pStyle w:val="453"/>
              <w:numPr>
                <w:ilvl w:val="0"/>
                <w:numId w:val="33"/>
              </w:numPr>
              <w:ind w:firstLineChars="0"/>
              <w:jc w:val="center"/>
              <w:rPr>
                <w:rFonts w:hint="eastAsia" w:ascii="宋体" w:hAnsi="宋体"/>
                <w:szCs w:val="21"/>
              </w:rPr>
            </w:pPr>
          </w:p>
        </w:tc>
        <w:tc>
          <w:tcPr>
            <w:tcW w:w="1763" w:type="pct"/>
            <w:vAlign w:val="center"/>
          </w:tcPr>
          <w:p w14:paraId="7F6E3A61">
            <w:pPr>
              <w:rPr>
                <w:rFonts w:hint="eastAsia" w:ascii="宋体" w:hAnsi="宋体"/>
                <w:szCs w:val="21"/>
              </w:rPr>
            </w:pPr>
            <w:r>
              <w:rPr>
                <w:rFonts w:hint="eastAsia" w:ascii="宋体" w:hAnsi="宋体"/>
                <w:szCs w:val="21"/>
              </w:rPr>
              <w:t>数据传输试验</w:t>
            </w:r>
          </w:p>
        </w:tc>
        <w:tc>
          <w:tcPr>
            <w:tcW w:w="568" w:type="pct"/>
            <w:vAlign w:val="center"/>
          </w:tcPr>
          <w:p w14:paraId="42C28F14">
            <w:pPr>
              <w:jc w:val="center"/>
              <w:rPr>
                <w:rFonts w:hint="eastAsia" w:ascii="宋体" w:hAnsi="宋体"/>
                <w:szCs w:val="21"/>
              </w:rPr>
            </w:pPr>
            <w:r>
              <w:rPr>
                <w:rFonts w:hint="eastAsia" w:ascii="宋体" w:hAnsi="宋体"/>
                <w:szCs w:val="21"/>
              </w:rPr>
              <w:t>6.10</w:t>
            </w:r>
          </w:p>
        </w:tc>
        <w:tc>
          <w:tcPr>
            <w:tcW w:w="465" w:type="pct"/>
            <w:vAlign w:val="center"/>
          </w:tcPr>
          <w:p w14:paraId="3CF7C536">
            <w:pPr>
              <w:jc w:val="center"/>
              <w:rPr>
                <w:rFonts w:hint="eastAsia" w:ascii="宋体" w:hAnsi="宋体"/>
                <w:szCs w:val="21"/>
              </w:rPr>
            </w:pPr>
            <w:r>
              <w:rPr>
                <w:rFonts w:hint="eastAsia" w:ascii="宋体" w:hAnsi="宋体"/>
                <w:szCs w:val="21"/>
              </w:rPr>
              <w:t>●</w:t>
            </w:r>
          </w:p>
        </w:tc>
        <w:tc>
          <w:tcPr>
            <w:tcW w:w="465" w:type="pct"/>
            <w:vAlign w:val="center"/>
          </w:tcPr>
          <w:p w14:paraId="08558562">
            <w:pPr>
              <w:jc w:val="center"/>
              <w:rPr>
                <w:rFonts w:hint="eastAsia" w:ascii="宋体" w:hAnsi="宋体"/>
                <w:szCs w:val="21"/>
              </w:rPr>
            </w:pPr>
            <w:r>
              <w:rPr>
                <w:rFonts w:hint="eastAsia" w:ascii="宋体" w:hAnsi="宋体"/>
                <w:szCs w:val="21"/>
              </w:rPr>
              <w:t>○</w:t>
            </w:r>
          </w:p>
        </w:tc>
        <w:tc>
          <w:tcPr>
            <w:tcW w:w="465" w:type="pct"/>
            <w:vAlign w:val="center"/>
          </w:tcPr>
          <w:p w14:paraId="53EAAF22">
            <w:pPr>
              <w:jc w:val="center"/>
              <w:rPr>
                <w:rFonts w:hint="eastAsia" w:ascii="宋体" w:hAnsi="宋体"/>
                <w:szCs w:val="21"/>
              </w:rPr>
            </w:pPr>
            <w:r>
              <w:rPr>
                <w:rFonts w:hint="eastAsia" w:ascii="宋体" w:hAnsi="宋体"/>
                <w:szCs w:val="21"/>
              </w:rPr>
              <w:t>●</w:t>
            </w:r>
          </w:p>
        </w:tc>
        <w:tc>
          <w:tcPr>
            <w:tcW w:w="465" w:type="pct"/>
            <w:vAlign w:val="center"/>
          </w:tcPr>
          <w:p w14:paraId="6D4D7D78">
            <w:pPr>
              <w:jc w:val="center"/>
              <w:rPr>
                <w:rFonts w:hint="eastAsia" w:ascii="宋体" w:hAnsi="宋体"/>
                <w:szCs w:val="21"/>
              </w:rPr>
            </w:pPr>
            <w:r>
              <w:rPr>
                <w:rFonts w:hint="eastAsia" w:ascii="宋体" w:hAnsi="宋体"/>
                <w:szCs w:val="21"/>
              </w:rPr>
              <w:t>○</w:t>
            </w:r>
          </w:p>
        </w:tc>
        <w:tc>
          <w:tcPr>
            <w:tcW w:w="465" w:type="pct"/>
            <w:vAlign w:val="center"/>
          </w:tcPr>
          <w:p w14:paraId="50D367CB">
            <w:pPr>
              <w:jc w:val="center"/>
              <w:rPr>
                <w:rFonts w:hint="eastAsia" w:ascii="宋体" w:hAnsi="宋体"/>
                <w:szCs w:val="21"/>
              </w:rPr>
            </w:pPr>
            <w:r>
              <w:rPr>
                <w:rFonts w:hint="eastAsia" w:ascii="宋体" w:hAnsi="宋体"/>
                <w:szCs w:val="21"/>
              </w:rPr>
              <w:t>○</w:t>
            </w:r>
          </w:p>
        </w:tc>
      </w:tr>
      <w:tr w14:paraId="1D06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870B88B">
            <w:pPr>
              <w:pStyle w:val="453"/>
              <w:numPr>
                <w:ilvl w:val="0"/>
                <w:numId w:val="33"/>
              </w:numPr>
              <w:ind w:firstLineChars="0"/>
              <w:jc w:val="center"/>
              <w:rPr>
                <w:rFonts w:hint="eastAsia" w:ascii="宋体" w:hAnsi="宋体"/>
                <w:szCs w:val="21"/>
              </w:rPr>
            </w:pPr>
          </w:p>
        </w:tc>
        <w:tc>
          <w:tcPr>
            <w:tcW w:w="1763" w:type="pct"/>
            <w:vAlign w:val="center"/>
          </w:tcPr>
          <w:p w14:paraId="27648596">
            <w:pPr>
              <w:rPr>
                <w:rFonts w:hint="eastAsia" w:ascii="宋体" w:hAnsi="宋体"/>
                <w:szCs w:val="21"/>
              </w:rPr>
            </w:pPr>
            <w:r>
              <w:rPr>
                <w:rFonts w:hint="eastAsia" w:ascii="宋体" w:hAnsi="宋体"/>
                <w:szCs w:val="21"/>
              </w:rPr>
              <w:t>自检与故障诊断试验</w:t>
            </w:r>
          </w:p>
        </w:tc>
        <w:tc>
          <w:tcPr>
            <w:tcW w:w="568" w:type="pct"/>
            <w:vAlign w:val="center"/>
          </w:tcPr>
          <w:p w14:paraId="5665A435">
            <w:pPr>
              <w:jc w:val="center"/>
              <w:rPr>
                <w:rFonts w:hint="eastAsia" w:ascii="宋体" w:hAnsi="宋体"/>
                <w:szCs w:val="21"/>
              </w:rPr>
            </w:pPr>
            <w:r>
              <w:rPr>
                <w:rFonts w:hint="eastAsia" w:ascii="宋体" w:hAnsi="宋体"/>
                <w:szCs w:val="21"/>
              </w:rPr>
              <w:t>6.11</w:t>
            </w:r>
          </w:p>
        </w:tc>
        <w:tc>
          <w:tcPr>
            <w:tcW w:w="465" w:type="pct"/>
            <w:vAlign w:val="center"/>
          </w:tcPr>
          <w:p w14:paraId="1459617E">
            <w:pPr>
              <w:jc w:val="center"/>
              <w:rPr>
                <w:rFonts w:hint="eastAsia" w:ascii="宋体" w:hAnsi="宋体"/>
                <w:szCs w:val="21"/>
              </w:rPr>
            </w:pPr>
            <w:r>
              <w:rPr>
                <w:rFonts w:hint="eastAsia" w:ascii="宋体" w:hAnsi="宋体"/>
                <w:szCs w:val="21"/>
              </w:rPr>
              <w:t>●</w:t>
            </w:r>
          </w:p>
        </w:tc>
        <w:tc>
          <w:tcPr>
            <w:tcW w:w="465" w:type="pct"/>
            <w:vAlign w:val="center"/>
          </w:tcPr>
          <w:p w14:paraId="43FDE941">
            <w:pPr>
              <w:jc w:val="center"/>
              <w:rPr>
                <w:rFonts w:hint="eastAsia" w:ascii="宋体" w:hAnsi="宋体"/>
                <w:szCs w:val="21"/>
              </w:rPr>
            </w:pPr>
            <w:r>
              <w:rPr>
                <w:rFonts w:hint="eastAsia" w:ascii="宋体" w:hAnsi="宋体"/>
                <w:szCs w:val="21"/>
              </w:rPr>
              <w:t>●</w:t>
            </w:r>
          </w:p>
        </w:tc>
        <w:tc>
          <w:tcPr>
            <w:tcW w:w="465" w:type="pct"/>
            <w:vAlign w:val="center"/>
          </w:tcPr>
          <w:p w14:paraId="7EEA2B37">
            <w:pPr>
              <w:jc w:val="center"/>
              <w:rPr>
                <w:rFonts w:hint="eastAsia" w:ascii="宋体" w:hAnsi="宋体"/>
                <w:szCs w:val="21"/>
              </w:rPr>
            </w:pPr>
            <w:r>
              <w:rPr>
                <w:rFonts w:hint="eastAsia" w:ascii="宋体" w:hAnsi="宋体"/>
                <w:szCs w:val="21"/>
              </w:rPr>
              <w:t>●</w:t>
            </w:r>
          </w:p>
        </w:tc>
        <w:tc>
          <w:tcPr>
            <w:tcW w:w="465" w:type="pct"/>
            <w:vAlign w:val="center"/>
          </w:tcPr>
          <w:p w14:paraId="7888DD8E">
            <w:pPr>
              <w:jc w:val="center"/>
              <w:rPr>
                <w:rFonts w:hint="eastAsia" w:ascii="宋体" w:hAnsi="宋体"/>
                <w:szCs w:val="21"/>
              </w:rPr>
            </w:pPr>
            <w:r>
              <w:rPr>
                <w:rFonts w:hint="eastAsia" w:ascii="宋体" w:hAnsi="宋体"/>
                <w:szCs w:val="21"/>
              </w:rPr>
              <w:t>○</w:t>
            </w:r>
          </w:p>
        </w:tc>
        <w:tc>
          <w:tcPr>
            <w:tcW w:w="465" w:type="pct"/>
            <w:vAlign w:val="center"/>
          </w:tcPr>
          <w:p w14:paraId="35A8851A">
            <w:pPr>
              <w:jc w:val="center"/>
              <w:rPr>
                <w:rFonts w:hint="eastAsia" w:ascii="宋体" w:hAnsi="宋体"/>
                <w:szCs w:val="21"/>
              </w:rPr>
            </w:pPr>
            <w:r>
              <w:rPr>
                <w:rFonts w:hint="eastAsia" w:ascii="宋体" w:hAnsi="宋体"/>
                <w:szCs w:val="21"/>
              </w:rPr>
              <w:t>○</w:t>
            </w:r>
          </w:p>
        </w:tc>
      </w:tr>
      <w:tr w14:paraId="0550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2FE3B667">
            <w:pPr>
              <w:pStyle w:val="453"/>
              <w:numPr>
                <w:ilvl w:val="0"/>
                <w:numId w:val="33"/>
              </w:numPr>
              <w:ind w:firstLineChars="0"/>
              <w:jc w:val="center"/>
              <w:rPr>
                <w:rFonts w:hint="eastAsia" w:ascii="宋体" w:hAnsi="宋体"/>
                <w:szCs w:val="21"/>
              </w:rPr>
            </w:pPr>
          </w:p>
        </w:tc>
        <w:tc>
          <w:tcPr>
            <w:tcW w:w="1763" w:type="pct"/>
            <w:vAlign w:val="center"/>
          </w:tcPr>
          <w:p w14:paraId="4DD969CE">
            <w:pPr>
              <w:rPr>
                <w:rFonts w:hint="eastAsia" w:ascii="宋体" w:hAnsi="宋体"/>
                <w:szCs w:val="21"/>
              </w:rPr>
            </w:pPr>
            <w:r>
              <w:rPr>
                <w:rFonts w:hint="eastAsia" w:ascii="宋体" w:hAnsi="宋体"/>
                <w:szCs w:val="21"/>
              </w:rPr>
              <w:t>防护性能试验</w:t>
            </w:r>
          </w:p>
        </w:tc>
        <w:tc>
          <w:tcPr>
            <w:tcW w:w="568" w:type="pct"/>
            <w:vAlign w:val="center"/>
          </w:tcPr>
          <w:p w14:paraId="28BCDC41">
            <w:pPr>
              <w:jc w:val="center"/>
              <w:rPr>
                <w:rFonts w:hint="eastAsia" w:ascii="宋体" w:hAnsi="宋体"/>
                <w:szCs w:val="21"/>
              </w:rPr>
            </w:pPr>
            <w:r>
              <w:rPr>
                <w:rFonts w:hint="eastAsia" w:ascii="宋体" w:hAnsi="宋体"/>
                <w:szCs w:val="21"/>
              </w:rPr>
              <w:t>6.12</w:t>
            </w:r>
          </w:p>
        </w:tc>
        <w:tc>
          <w:tcPr>
            <w:tcW w:w="465" w:type="pct"/>
            <w:vAlign w:val="center"/>
          </w:tcPr>
          <w:p w14:paraId="705A69F9">
            <w:pPr>
              <w:jc w:val="center"/>
              <w:rPr>
                <w:rFonts w:hint="eastAsia" w:ascii="宋体" w:hAnsi="宋体"/>
                <w:szCs w:val="21"/>
              </w:rPr>
            </w:pPr>
            <w:r>
              <w:rPr>
                <w:rFonts w:hint="eastAsia" w:ascii="宋体" w:hAnsi="宋体"/>
                <w:szCs w:val="21"/>
              </w:rPr>
              <w:t>●</w:t>
            </w:r>
          </w:p>
        </w:tc>
        <w:tc>
          <w:tcPr>
            <w:tcW w:w="465" w:type="pct"/>
            <w:vAlign w:val="center"/>
          </w:tcPr>
          <w:p w14:paraId="57A076C8">
            <w:pPr>
              <w:jc w:val="center"/>
              <w:rPr>
                <w:rFonts w:hint="eastAsia" w:ascii="宋体" w:hAnsi="宋体"/>
                <w:szCs w:val="21"/>
              </w:rPr>
            </w:pPr>
            <w:r>
              <w:rPr>
                <w:rFonts w:hint="eastAsia" w:ascii="宋体" w:hAnsi="宋体"/>
                <w:szCs w:val="21"/>
              </w:rPr>
              <w:t>—</w:t>
            </w:r>
          </w:p>
        </w:tc>
        <w:tc>
          <w:tcPr>
            <w:tcW w:w="465" w:type="pct"/>
            <w:vAlign w:val="center"/>
          </w:tcPr>
          <w:p w14:paraId="41F9C447">
            <w:pPr>
              <w:jc w:val="center"/>
              <w:rPr>
                <w:rFonts w:hint="eastAsia" w:ascii="宋体" w:hAnsi="宋体"/>
                <w:szCs w:val="21"/>
              </w:rPr>
            </w:pPr>
            <w:r>
              <w:rPr>
                <w:rFonts w:hint="eastAsia" w:ascii="宋体" w:hAnsi="宋体"/>
                <w:szCs w:val="21"/>
              </w:rPr>
              <w:t>●</w:t>
            </w:r>
          </w:p>
        </w:tc>
        <w:tc>
          <w:tcPr>
            <w:tcW w:w="465" w:type="pct"/>
            <w:vAlign w:val="center"/>
          </w:tcPr>
          <w:p w14:paraId="25EBA7AB">
            <w:pPr>
              <w:jc w:val="center"/>
              <w:rPr>
                <w:rFonts w:hint="eastAsia" w:ascii="宋体" w:hAnsi="宋体"/>
                <w:szCs w:val="21"/>
              </w:rPr>
            </w:pPr>
            <w:r>
              <w:rPr>
                <w:rFonts w:hint="eastAsia" w:ascii="宋体" w:hAnsi="宋体"/>
                <w:szCs w:val="21"/>
              </w:rPr>
              <w:t>●</w:t>
            </w:r>
          </w:p>
        </w:tc>
        <w:tc>
          <w:tcPr>
            <w:tcW w:w="465" w:type="pct"/>
            <w:vAlign w:val="center"/>
          </w:tcPr>
          <w:p w14:paraId="5C8C16B9">
            <w:pPr>
              <w:jc w:val="center"/>
              <w:rPr>
                <w:rFonts w:hint="eastAsia" w:ascii="宋体" w:hAnsi="宋体"/>
                <w:szCs w:val="21"/>
              </w:rPr>
            </w:pPr>
            <w:r>
              <w:rPr>
                <w:rFonts w:hint="eastAsia" w:ascii="宋体" w:hAnsi="宋体"/>
                <w:szCs w:val="21"/>
              </w:rPr>
              <w:t>—</w:t>
            </w:r>
          </w:p>
        </w:tc>
      </w:tr>
      <w:tr w14:paraId="6171E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06E98CD">
            <w:pPr>
              <w:pStyle w:val="453"/>
              <w:numPr>
                <w:ilvl w:val="0"/>
                <w:numId w:val="33"/>
              </w:numPr>
              <w:ind w:firstLineChars="0"/>
              <w:jc w:val="center"/>
              <w:rPr>
                <w:rFonts w:hint="eastAsia" w:ascii="宋体" w:hAnsi="宋体"/>
                <w:szCs w:val="21"/>
              </w:rPr>
            </w:pPr>
          </w:p>
        </w:tc>
        <w:tc>
          <w:tcPr>
            <w:tcW w:w="1763" w:type="pct"/>
            <w:vAlign w:val="center"/>
          </w:tcPr>
          <w:p w14:paraId="2DE89DE1">
            <w:pPr>
              <w:rPr>
                <w:rFonts w:hint="eastAsia" w:ascii="宋体" w:hAnsi="宋体"/>
                <w:szCs w:val="21"/>
              </w:rPr>
            </w:pPr>
            <w:r>
              <w:rPr>
                <w:rFonts w:hint="eastAsia" w:ascii="宋体" w:hAnsi="宋体"/>
                <w:szCs w:val="21"/>
              </w:rPr>
              <w:t>机械性能试验</w:t>
            </w:r>
          </w:p>
        </w:tc>
        <w:tc>
          <w:tcPr>
            <w:tcW w:w="568" w:type="pct"/>
            <w:vAlign w:val="center"/>
          </w:tcPr>
          <w:p w14:paraId="4FFD9D6D">
            <w:pPr>
              <w:jc w:val="center"/>
              <w:rPr>
                <w:rFonts w:hint="eastAsia" w:ascii="宋体" w:hAnsi="宋体"/>
                <w:szCs w:val="21"/>
              </w:rPr>
            </w:pPr>
            <w:r>
              <w:rPr>
                <w:rFonts w:hint="eastAsia" w:ascii="宋体" w:hAnsi="宋体"/>
                <w:szCs w:val="21"/>
              </w:rPr>
              <w:t>6.13</w:t>
            </w:r>
          </w:p>
        </w:tc>
        <w:tc>
          <w:tcPr>
            <w:tcW w:w="465" w:type="pct"/>
            <w:vAlign w:val="center"/>
          </w:tcPr>
          <w:p w14:paraId="4F8D3806">
            <w:pPr>
              <w:jc w:val="center"/>
              <w:rPr>
                <w:rFonts w:hint="eastAsia" w:ascii="宋体" w:hAnsi="宋体"/>
                <w:szCs w:val="21"/>
              </w:rPr>
            </w:pPr>
            <w:r>
              <w:rPr>
                <w:rFonts w:hint="eastAsia" w:ascii="宋体" w:hAnsi="宋体"/>
                <w:szCs w:val="21"/>
              </w:rPr>
              <w:t>○</w:t>
            </w:r>
          </w:p>
        </w:tc>
        <w:tc>
          <w:tcPr>
            <w:tcW w:w="465" w:type="pct"/>
            <w:vAlign w:val="center"/>
          </w:tcPr>
          <w:p w14:paraId="77AB2308">
            <w:pPr>
              <w:jc w:val="center"/>
              <w:rPr>
                <w:rFonts w:hint="eastAsia" w:ascii="宋体" w:hAnsi="宋体"/>
                <w:szCs w:val="21"/>
              </w:rPr>
            </w:pPr>
            <w:r>
              <w:rPr>
                <w:rFonts w:hint="eastAsia" w:ascii="宋体" w:hAnsi="宋体"/>
                <w:szCs w:val="21"/>
              </w:rPr>
              <w:t>—</w:t>
            </w:r>
          </w:p>
        </w:tc>
        <w:tc>
          <w:tcPr>
            <w:tcW w:w="465" w:type="pct"/>
            <w:vAlign w:val="center"/>
          </w:tcPr>
          <w:p w14:paraId="7B6BD679">
            <w:pPr>
              <w:jc w:val="center"/>
              <w:rPr>
                <w:rFonts w:hint="eastAsia" w:ascii="宋体" w:hAnsi="宋体"/>
                <w:szCs w:val="21"/>
              </w:rPr>
            </w:pPr>
            <w:r>
              <w:rPr>
                <w:rFonts w:hint="eastAsia" w:ascii="宋体" w:hAnsi="宋体"/>
                <w:szCs w:val="21"/>
              </w:rPr>
              <w:t>○</w:t>
            </w:r>
          </w:p>
        </w:tc>
        <w:tc>
          <w:tcPr>
            <w:tcW w:w="465" w:type="pct"/>
            <w:vAlign w:val="center"/>
          </w:tcPr>
          <w:p w14:paraId="730FE7CD">
            <w:pPr>
              <w:jc w:val="center"/>
              <w:rPr>
                <w:rFonts w:hint="eastAsia" w:ascii="宋体" w:hAnsi="宋体"/>
                <w:szCs w:val="21"/>
              </w:rPr>
            </w:pPr>
            <w:r>
              <w:rPr>
                <w:rFonts w:hint="eastAsia" w:ascii="宋体" w:hAnsi="宋体"/>
                <w:szCs w:val="21"/>
              </w:rPr>
              <w:t>○</w:t>
            </w:r>
          </w:p>
        </w:tc>
        <w:tc>
          <w:tcPr>
            <w:tcW w:w="465" w:type="pct"/>
            <w:vAlign w:val="center"/>
          </w:tcPr>
          <w:p w14:paraId="443C8973">
            <w:pPr>
              <w:jc w:val="center"/>
              <w:rPr>
                <w:rFonts w:hint="eastAsia" w:ascii="宋体" w:hAnsi="宋体"/>
                <w:szCs w:val="21"/>
              </w:rPr>
            </w:pPr>
            <w:r>
              <w:rPr>
                <w:rFonts w:hint="eastAsia" w:ascii="宋体" w:hAnsi="宋体"/>
                <w:szCs w:val="21"/>
              </w:rPr>
              <w:t>—</w:t>
            </w:r>
          </w:p>
        </w:tc>
      </w:tr>
      <w:tr w14:paraId="60C6F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6918E2D8">
            <w:pPr>
              <w:pStyle w:val="453"/>
              <w:numPr>
                <w:ilvl w:val="0"/>
                <w:numId w:val="33"/>
              </w:numPr>
              <w:ind w:firstLineChars="0"/>
              <w:jc w:val="center"/>
              <w:rPr>
                <w:rFonts w:hint="eastAsia" w:ascii="宋体" w:hAnsi="宋体"/>
                <w:szCs w:val="21"/>
              </w:rPr>
            </w:pPr>
          </w:p>
        </w:tc>
        <w:tc>
          <w:tcPr>
            <w:tcW w:w="1763" w:type="pct"/>
            <w:vAlign w:val="center"/>
          </w:tcPr>
          <w:p w14:paraId="7AC358E6">
            <w:pPr>
              <w:rPr>
                <w:rFonts w:hint="eastAsia" w:ascii="宋体" w:hAnsi="宋体"/>
                <w:szCs w:val="21"/>
              </w:rPr>
            </w:pPr>
            <w:r>
              <w:rPr>
                <w:rFonts w:hint="eastAsia" w:ascii="宋体" w:hAnsi="宋体"/>
                <w:szCs w:val="21"/>
              </w:rPr>
              <w:t>无线通信性能试验</w:t>
            </w:r>
          </w:p>
        </w:tc>
        <w:tc>
          <w:tcPr>
            <w:tcW w:w="568" w:type="pct"/>
            <w:vAlign w:val="center"/>
          </w:tcPr>
          <w:p w14:paraId="333666FE">
            <w:pPr>
              <w:jc w:val="center"/>
              <w:rPr>
                <w:rFonts w:hint="eastAsia" w:ascii="宋体" w:hAnsi="宋体"/>
                <w:szCs w:val="21"/>
              </w:rPr>
            </w:pPr>
            <w:r>
              <w:rPr>
                <w:rFonts w:hint="eastAsia" w:ascii="宋体" w:hAnsi="宋体"/>
                <w:szCs w:val="21"/>
              </w:rPr>
              <w:t>6.14</w:t>
            </w:r>
          </w:p>
        </w:tc>
        <w:tc>
          <w:tcPr>
            <w:tcW w:w="465" w:type="pct"/>
            <w:vAlign w:val="center"/>
          </w:tcPr>
          <w:p w14:paraId="4919E66E">
            <w:pPr>
              <w:jc w:val="center"/>
              <w:rPr>
                <w:rFonts w:hint="eastAsia" w:ascii="宋体" w:hAnsi="宋体"/>
                <w:szCs w:val="21"/>
              </w:rPr>
            </w:pPr>
            <w:r>
              <w:rPr>
                <w:rFonts w:hint="eastAsia" w:ascii="宋体" w:hAnsi="宋体"/>
                <w:szCs w:val="21"/>
              </w:rPr>
              <w:t>●</w:t>
            </w:r>
          </w:p>
        </w:tc>
        <w:tc>
          <w:tcPr>
            <w:tcW w:w="465" w:type="pct"/>
            <w:vAlign w:val="center"/>
          </w:tcPr>
          <w:p w14:paraId="01A9E0BB">
            <w:pPr>
              <w:jc w:val="center"/>
              <w:rPr>
                <w:rFonts w:hint="eastAsia" w:ascii="宋体" w:hAnsi="宋体"/>
                <w:szCs w:val="21"/>
              </w:rPr>
            </w:pPr>
            <w:r>
              <w:rPr>
                <w:rFonts w:hint="eastAsia" w:ascii="宋体" w:hAnsi="宋体"/>
                <w:szCs w:val="21"/>
              </w:rPr>
              <w:t>●</w:t>
            </w:r>
          </w:p>
        </w:tc>
        <w:tc>
          <w:tcPr>
            <w:tcW w:w="465" w:type="pct"/>
            <w:vAlign w:val="center"/>
          </w:tcPr>
          <w:p w14:paraId="6D1F2672">
            <w:pPr>
              <w:jc w:val="center"/>
              <w:rPr>
                <w:rFonts w:hint="eastAsia" w:ascii="宋体" w:hAnsi="宋体"/>
                <w:szCs w:val="21"/>
              </w:rPr>
            </w:pPr>
            <w:r>
              <w:rPr>
                <w:rFonts w:hint="eastAsia" w:ascii="宋体" w:hAnsi="宋体"/>
                <w:szCs w:val="21"/>
              </w:rPr>
              <w:t>○</w:t>
            </w:r>
          </w:p>
        </w:tc>
        <w:tc>
          <w:tcPr>
            <w:tcW w:w="465" w:type="pct"/>
            <w:vAlign w:val="center"/>
          </w:tcPr>
          <w:p w14:paraId="5F12CC50">
            <w:pPr>
              <w:jc w:val="center"/>
              <w:rPr>
                <w:rFonts w:hint="eastAsia" w:ascii="宋体" w:hAnsi="宋体"/>
                <w:szCs w:val="21"/>
              </w:rPr>
            </w:pPr>
            <w:r>
              <w:rPr>
                <w:rFonts w:hint="eastAsia" w:ascii="宋体" w:hAnsi="宋体"/>
                <w:szCs w:val="21"/>
              </w:rPr>
              <w:t>○</w:t>
            </w:r>
          </w:p>
        </w:tc>
        <w:tc>
          <w:tcPr>
            <w:tcW w:w="465" w:type="pct"/>
            <w:vAlign w:val="center"/>
          </w:tcPr>
          <w:p w14:paraId="6F3509D4">
            <w:pPr>
              <w:jc w:val="center"/>
              <w:rPr>
                <w:rFonts w:hint="eastAsia" w:ascii="宋体" w:hAnsi="宋体"/>
                <w:szCs w:val="21"/>
              </w:rPr>
            </w:pPr>
            <w:r>
              <w:rPr>
                <w:rFonts w:hint="eastAsia" w:ascii="宋体" w:hAnsi="宋体"/>
                <w:szCs w:val="21"/>
              </w:rPr>
              <w:t>—</w:t>
            </w:r>
          </w:p>
        </w:tc>
      </w:tr>
      <w:tr w14:paraId="630A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B3F61CA">
            <w:pPr>
              <w:pStyle w:val="453"/>
              <w:numPr>
                <w:ilvl w:val="0"/>
                <w:numId w:val="33"/>
              </w:numPr>
              <w:ind w:firstLineChars="0"/>
              <w:jc w:val="center"/>
              <w:rPr>
                <w:rFonts w:hint="eastAsia" w:ascii="宋体" w:hAnsi="宋体"/>
                <w:szCs w:val="21"/>
              </w:rPr>
            </w:pPr>
          </w:p>
        </w:tc>
        <w:tc>
          <w:tcPr>
            <w:tcW w:w="1763" w:type="pct"/>
            <w:vAlign w:val="center"/>
          </w:tcPr>
          <w:p w14:paraId="59975028">
            <w:pPr>
              <w:rPr>
                <w:rFonts w:hint="eastAsia" w:ascii="宋体" w:hAnsi="宋体"/>
                <w:szCs w:val="21"/>
              </w:rPr>
            </w:pPr>
            <w:r>
              <w:rPr>
                <w:rFonts w:hint="eastAsia" w:ascii="宋体" w:hAnsi="宋体"/>
                <w:szCs w:val="21"/>
              </w:rPr>
              <w:t>信息安全试验</w:t>
            </w:r>
          </w:p>
        </w:tc>
        <w:tc>
          <w:tcPr>
            <w:tcW w:w="568" w:type="pct"/>
            <w:vAlign w:val="center"/>
          </w:tcPr>
          <w:p w14:paraId="1CEAFD34">
            <w:pPr>
              <w:jc w:val="center"/>
              <w:rPr>
                <w:rFonts w:hint="eastAsia" w:ascii="宋体" w:hAnsi="宋体"/>
                <w:szCs w:val="21"/>
              </w:rPr>
            </w:pPr>
            <w:r>
              <w:rPr>
                <w:rFonts w:hint="eastAsia" w:ascii="宋体" w:hAnsi="宋体"/>
                <w:szCs w:val="21"/>
              </w:rPr>
              <w:t>6.15</w:t>
            </w:r>
          </w:p>
        </w:tc>
        <w:tc>
          <w:tcPr>
            <w:tcW w:w="465" w:type="pct"/>
            <w:vAlign w:val="center"/>
          </w:tcPr>
          <w:p w14:paraId="7E00723A">
            <w:pPr>
              <w:jc w:val="center"/>
              <w:rPr>
                <w:rFonts w:hint="eastAsia" w:ascii="宋体" w:hAnsi="宋体"/>
                <w:szCs w:val="21"/>
              </w:rPr>
            </w:pPr>
            <w:r>
              <w:rPr>
                <w:rFonts w:hint="eastAsia" w:ascii="宋体" w:hAnsi="宋体"/>
                <w:szCs w:val="21"/>
              </w:rPr>
              <w:t>○</w:t>
            </w:r>
          </w:p>
        </w:tc>
        <w:tc>
          <w:tcPr>
            <w:tcW w:w="465" w:type="pct"/>
            <w:vAlign w:val="center"/>
          </w:tcPr>
          <w:p w14:paraId="722B2011">
            <w:pPr>
              <w:jc w:val="center"/>
              <w:rPr>
                <w:rFonts w:hint="eastAsia" w:ascii="宋体" w:hAnsi="宋体"/>
                <w:szCs w:val="21"/>
              </w:rPr>
            </w:pPr>
            <w:r>
              <w:rPr>
                <w:rFonts w:hint="eastAsia" w:ascii="宋体" w:hAnsi="宋体"/>
                <w:szCs w:val="21"/>
              </w:rPr>
              <w:t>—</w:t>
            </w:r>
          </w:p>
        </w:tc>
        <w:tc>
          <w:tcPr>
            <w:tcW w:w="465" w:type="pct"/>
            <w:vAlign w:val="center"/>
          </w:tcPr>
          <w:p w14:paraId="7B7A15E5">
            <w:pPr>
              <w:jc w:val="center"/>
              <w:rPr>
                <w:rFonts w:hint="eastAsia" w:ascii="宋体" w:hAnsi="宋体"/>
                <w:szCs w:val="21"/>
              </w:rPr>
            </w:pPr>
            <w:r>
              <w:rPr>
                <w:rFonts w:hint="eastAsia" w:ascii="宋体" w:hAnsi="宋体"/>
                <w:szCs w:val="21"/>
              </w:rPr>
              <w:t>○</w:t>
            </w:r>
          </w:p>
        </w:tc>
        <w:tc>
          <w:tcPr>
            <w:tcW w:w="465" w:type="pct"/>
            <w:vAlign w:val="center"/>
          </w:tcPr>
          <w:p w14:paraId="15A6FDC9">
            <w:pPr>
              <w:jc w:val="center"/>
              <w:rPr>
                <w:rFonts w:hint="eastAsia" w:ascii="宋体" w:hAnsi="宋体"/>
                <w:szCs w:val="21"/>
              </w:rPr>
            </w:pPr>
            <w:r>
              <w:rPr>
                <w:rFonts w:hint="eastAsia" w:ascii="宋体" w:hAnsi="宋体"/>
                <w:szCs w:val="21"/>
              </w:rPr>
              <w:t>—</w:t>
            </w:r>
          </w:p>
        </w:tc>
        <w:tc>
          <w:tcPr>
            <w:tcW w:w="465" w:type="pct"/>
            <w:vAlign w:val="center"/>
          </w:tcPr>
          <w:p w14:paraId="4262CAC8">
            <w:pPr>
              <w:jc w:val="center"/>
              <w:rPr>
                <w:rFonts w:hint="eastAsia" w:ascii="宋体" w:hAnsi="宋体"/>
                <w:szCs w:val="21"/>
              </w:rPr>
            </w:pPr>
            <w:r>
              <w:rPr>
                <w:rFonts w:hint="eastAsia" w:ascii="宋体" w:hAnsi="宋体"/>
                <w:szCs w:val="21"/>
              </w:rPr>
              <w:t>—</w:t>
            </w:r>
          </w:p>
        </w:tc>
      </w:tr>
      <w:tr w14:paraId="35B0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18A3E849">
            <w:pPr>
              <w:pStyle w:val="453"/>
              <w:numPr>
                <w:ilvl w:val="0"/>
                <w:numId w:val="33"/>
              </w:numPr>
              <w:ind w:firstLineChars="0"/>
              <w:jc w:val="center"/>
              <w:rPr>
                <w:rFonts w:hint="eastAsia" w:ascii="宋体" w:hAnsi="宋体"/>
                <w:szCs w:val="21"/>
              </w:rPr>
            </w:pPr>
          </w:p>
        </w:tc>
        <w:tc>
          <w:tcPr>
            <w:tcW w:w="1763" w:type="pct"/>
            <w:vAlign w:val="center"/>
          </w:tcPr>
          <w:p w14:paraId="63130671">
            <w:pPr>
              <w:rPr>
                <w:rFonts w:hint="eastAsia" w:ascii="宋体" w:hAnsi="宋体"/>
                <w:szCs w:val="21"/>
              </w:rPr>
            </w:pPr>
            <w:r>
              <w:rPr>
                <w:rFonts w:hint="eastAsia" w:ascii="宋体" w:hAnsi="宋体"/>
                <w:szCs w:val="21"/>
              </w:rPr>
              <w:t>电气安全试验</w:t>
            </w:r>
          </w:p>
        </w:tc>
        <w:tc>
          <w:tcPr>
            <w:tcW w:w="568" w:type="pct"/>
            <w:vAlign w:val="center"/>
          </w:tcPr>
          <w:p w14:paraId="6BEB19A7">
            <w:pPr>
              <w:jc w:val="center"/>
              <w:rPr>
                <w:rFonts w:hint="eastAsia" w:ascii="宋体" w:hAnsi="宋体"/>
                <w:szCs w:val="21"/>
              </w:rPr>
            </w:pPr>
            <w:r>
              <w:rPr>
                <w:rFonts w:hint="eastAsia" w:ascii="宋体" w:hAnsi="宋体"/>
                <w:szCs w:val="21"/>
              </w:rPr>
              <w:t>6.16</w:t>
            </w:r>
          </w:p>
        </w:tc>
        <w:tc>
          <w:tcPr>
            <w:tcW w:w="465" w:type="pct"/>
            <w:vAlign w:val="center"/>
          </w:tcPr>
          <w:p w14:paraId="35441E7E">
            <w:pPr>
              <w:jc w:val="center"/>
              <w:rPr>
                <w:rFonts w:hint="eastAsia" w:ascii="宋体" w:hAnsi="宋体"/>
                <w:szCs w:val="21"/>
              </w:rPr>
            </w:pPr>
            <w:r>
              <w:rPr>
                <w:rFonts w:hint="eastAsia" w:ascii="宋体" w:hAnsi="宋体"/>
                <w:szCs w:val="21"/>
              </w:rPr>
              <w:t>●</w:t>
            </w:r>
          </w:p>
        </w:tc>
        <w:tc>
          <w:tcPr>
            <w:tcW w:w="465" w:type="pct"/>
            <w:vAlign w:val="center"/>
          </w:tcPr>
          <w:p w14:paraId="1152A74F">
            <w:pPr>
              <w:jc w:val="center"/>
              <w:rPr>
                <w:rFonts w:hint="eastAsia" w:ascii="宋体" w:hAnsi="宋体"/>
                <w:szCs w:val="21"/>
              </w:rPr>
            </w:pPr>
            <w:r>
              <w:rPr>
                <w:rFonts w:hint="eastAsia" w:ascii="宋体" w:hAnsi="宋体"/>
                <w:szCs w:val="21"/>
              </w:rPr>
              <w:t>○</w:t>
            </w:r>
          </w:p>
        </w:tc>
        <w:tc>
          <w:tcPr>
            <w:tcW w:w="465" w:type="pct"/>
            <w:vAlign w:val="center"/>
          </w:tcPr>
          <w:p w14:paraId="2AE94BE1">
            <w:pPr>
              <w:jc w:val="center"/>
              <w:rPr>
                <w:rFonts w:hint="eastAsia" w:ascii="宋体" w:hAnsi="宋体"/>
                <w:szCs w:val="21"/>
              </w:rPr>
            </w:pPr>
            <w:r>
              <w:rPr>
                <w:rFonts w:hint="eastAsia" w:ascii="宋体" w:hAnsi="宋体"/>
                <w:szCs w:val="21"/>
              </w:rPr>
              <w:t>●</w:t>
            </w:r>
          </w:p>
        </w:tc>
        <w:tc>
          <w:tcPr>
            <w:tcW w:w="465" w:type="pct"/>
            <w:vAlign w:val="center"/>
          </w:tcPr>
          <w:p w14:paraId="5310C9D5">
            <w:pPr>
              <w:jc w:val="center"/>
              <w:rPr>
                <w:rFonts w:hint="eastAsia" w:ascii="宋体" w:hAnsi="宋体"/>
                <w:szCs w:val="21"/>
              </w:rPr>
            </w:pPr>
            <w:r>
              <w:rPr>
                <w:rFonts w:hint="eastAsia" w:ascii="宋体" w:hAnsi="宋体"/>
                <w:szCs w:val="21"/>
              </w:rPr>
              <w:t>—</w:t>
            </w:r>
          </w:p>
        </w:tc>
        <w:tc>
          <w:tcPr>
            <w:tcW w:w="465" w:type="pct"/>
            <w:vAlign w:val="center"/>
          </w:tcPr>
          <w:p w14:paraId="461BDB14">
            <w:pPr>
              <w:jc w:val="center"/>
              <w:rPr>
                <w:rFonts w:hint="eastAsia" w:ascii="宋体" w:hAnsi="宋体"/>
                <w:szCs w:val="21"/>
              </w:rPr>
            </w:pPr>
            <w:r>
              <w:rPr>
                <w:rFonts w:hint="eastAsia" w:ascii="宋体" w:hAnsi="宋体"/>
                <w:szCs w:val="21"/>
              </w:rPr>
              <w:t>—</w:t>
            </w:r>
          </w:p>
        </w:tc>
      </w:tr>
      <w:tr w14:paraId="7274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99CBC3E">
            <w:pPr>
              <w:pStyle w:val="453"/>
              <w:numPr>
                <w:ilvl w:val="0"/>
                <w:numId w:val="33"/>
              </w:numPr>
              <w:ind w:firstLineChars="0"/>
              <w:jc w:val="center"/>
              <w:rPr>
                <w:rFonts w:hint="eastAsia" w:ascii="宋体" w:hAnsi="宋体"/>
                <w:szCs w:val="21"/>
              </w:rPr>
            </w:pPr>
          </w:p>
        </w:tc>
        <w:tc>
          <w:tcPr>
            <w:tcW w:w="1763" w:type="pct"/>
            <w:vAlign w:val="center"/>
          </w:tcPr>
          <w:p w14:paraId="1CEE6C52">
            <w:pPr>
              <w:rPr>
                <w:rFonts w:hint="eastAsia" w:ascii="宋体" w:hAnsi="宋体"/>
                <w:szCs w:val="21"/>
              </w:rPr>
            </w:pPr>
            <w:r>
              <w:rPr>
                <w:rFonts w:hint="eastAsia" w:ascii="宋体" w:hAnsi="宋体"/>
                <w:szCs w:val="21"/>
              </w:rPr>
              <w:t>电磁兼容试验</w:t>
            </w:r>
          </w:p>
        </w:tc>
        <w:tc>
          <w:tcPr>
            <w:tcW w:w="568" w:type="pct"/>
            <w:vAlign w:val="center"/>
          </w:tcPr>
          <w:p w14:paraId="01BE3872">
            <w:pPr>
              <w:jc w:val="center"/>
              <w:rPr>
                <w:rFonts w:hint="eastAsia" w:ascii="宋体" w:hAnsi="宋体"/>
                <w:szCs w:val="21"/>
              </w:rPr>
            </w:pPr>
            <w:r>
              <w:rPr>
                <w:rFonts w:hint="eastAsia" w:ascii="宋体" w:hAnsi="宋体"/>
                <w:szCs w:val="21"/>
              </w:rPr>
              <w:t>6.17</w:t>
            </w:r>
          </w:p>
        </w:tc>
        <w:tc>
          <w:tcPr>
            <w:tcW w:w="465" w:type="pct"/>
            <w:vAlign w:val="center"/>
          </w:tcPr>
          <w:p w14:paraId="798818CB">
            <w:pPr>
              <w:jc w:val="center"/>
              <w:rPr>
                <w:rFonts w:hint="eastAsia" w:ascii="宋体" w:hAnsi="宋体"/>
                <w:szCs w:val="21"/>
              </w:rPr>
            </w:pPr>
            <w:r>
              <w:rPr>
                <w:rFonts w:hint="eastAsia" w:ascii="宋体" w:hAnsi="宋体"/>
                <w:szCs w:val="21"/>
              </w:rPr>
              <w:t>●</w:t>
            </w:r>
          </w:p>
        </w:tc>
        <w:tc>
          <w:tcPr>
            <w:tcW w:w="465" w:type="pct"/>
            <w:vAlign w:val="center"/>
          </w:tcPr>
          <w:p w14:paraId="752C2A77">
            <w:pPr>
              <w:jc w:val="center"/>
              <w:rPr>
                <w:rFonts w:hint="eastAsia" w:ascii="宋体" w:hAnsi="宋体"/>
                <w:szCs w:val="21"/>
              </w:rPr>
            </w:pPr>
            <w:r>
              <w:rPr>
                <w:rFonts w:hint="eastAsia" w:ascii="宋体" w:hAnsi="宋体"/>
                <w:szCs w:val="21"/>
              </w:rPr>
              <w:t>○</w:t>
            </w:r>
          </w:p>
        </w:tc>
        <w:tc>
          <w:tcPr>
            <w:tcW w:w="465" w:type="pct"/>
            <w:vAlign w:val="center"/>
          </w:tcPr>
          <w:p w14:paraId="3A661EC7">
            <w:pPr>
              <w:jc w:val="center"/>
              <w:rPr>
                <w:rFonts w:hint="eastAsia" w:ascii="宋体" w:hAnsi="宋体"/>
                <w:szCs w:val="21"/>
              </w:rPr>
            </w:pPr>
            <w:r>
              <w:rPr>
                <w:rFonts w:hint="eastAsia" w:ascii="宋体" w:hAnsi="宋体"/>
                <w:szCs w:val="21"/>
              </w:rPr>
              <w:t>●</w:t>
            </w:r>
          </w:p>
        </w:tc>
        <w:tc>
          <w:tcPr>
            <w:tcW w:w="465" w:type="pct"/>
            <w:vAlign w:val="center"/>
          </w:tcPr>
          <w:p w14:paraId="7AB78265">
            <w:pPr>
              <w:jc w:val="center"/>
              <w:rPr>
                <w:rFonts w:hint="eastAsia" w:ascii="宋体" w:hAnsi="宋体"/>
                <w:szCs w:val="21"/>
              </w:rPr>
            </w:pPr>
            <w:r>
              <w:rPr>
                <w:rFonts w:hint="eastAsia" w:ascii="宋体" w:hAnsi="宋体"/>
                <w:szCs w:val="21"/>
              </w:rPr>
              <w:t>—</w:t>
            </w:r>
          </w:p>
        </w:tc>
        <w:tc>
          <w:tcPr>
            <w:tcW w:w="465" w:type="pct"/>
            <w:vAlign w:val="center"/>
          </w:tcPr>
          <w:p w14:paraId="6D124F2E">
            <w:pPr>
              <w:jc w:val="center"/>
              <w:rPr>
                <w:rFonts w:hint="eastAsia" w:ascii="宋体" w:hAnsi="宋体"/>
                <w:szCs w:val="21"/>
              </w:rPr>
            </w:pPr>
            <w:r>
              <w:rPr>
                <w:rFonts w:hint="eastAsia" w:ascii="宋体" w:hAnsi="宋体"/>
                <w:szCs w:val="21"/>
              </w:rPr>
              <w:t>—</w:t>
            </w:r>
          </w:p>
        </w:tc>
      </w:tr>
      <w:tr w14:paraId="3B1D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B59DBC1">
            <w:pPr>
              <w:pStyle w:val="453"/>
              <w:numPr>
                <w:ilvl w:val="0"/>
                <w:numId w:val="33"/>
              </w:numPr>
              <w:ind w:firstLineChars="0"/>
              <w:jc w:val="center"/>
              <w:rPr>
                <w:rFonts w:hint="eastAsia" w:ascii="宋体" w:hAnsi="宋体"/>
                <w:szCs w:val="21"/>
              </w:rPr>
            </w:pPr>
          </w:p>
        </w:tc>
        <w:tc>
          <w:tcPr>
            <w:tcW w:w="1763" w:type="pct"/>
            <w:vAlign w:val="center"/>
          </w:tcPr>
          <w:p w14:paraId="41507EEA">
            <w:pPr>
              <w:rPr>
                <w:rFonts w:hint="eastAsia" w:ascii="宋体" w:hAnsi="宋体"/>
                <w:szCs w:val="21"/>
              </w:rPr>
            </w:pPr>
            <w:r>
              <w:rPr>
                <w:rFonts w:hint="eastAsia" w:ascii="宋体" w:hAnsi="宋体"/>
                <w:szCs w:val="21"/>
              </w:rPr>
              <w:t>水浸与防盗报警功能试验</w:t>
            </w:r>
          </w:p>
        </w:tc>
        <w:tc>
          <w:tcPr>
            <w:tcW w:w="568" w:type="pct"/>
            <w:vAlign w:val="center"/>
          </w:tcPr>
          <w:p w14:paraId="48219DF7">
            <w:pPr>
              <w:jc w:val="center"/>
              <w:rPr>
                <w:rFonts w:hint="eastAsia" w:ascii="宋体" w:hAnsi="宋体"/>
                <w:szCs w:val="21"/>
              </w:rPr>
            </w:pPr>
            <w:r>
              <w:rPr>
                <w:rFonts w:hint="eastAsia" w:ascii="宋体" w:hAnsi="宋体"/>
                <w:szCs w:val="21"/>
              </w:rPr>
              <w:t>6.18</w:t>
            </w:r>
          </w:p>
        </w:tc>
        <w:tc>
          <w:tcPr>
            <w:tcW w:w="465" w:type="pct"/>
            <w:vAlign w:val="center"/>
          </w:tcPr>
          <w:p w14:paraId="4CB5E718">
            <w:pPr>
              <w:jc w:val="center"/>
              <w:rPr>
                <w:rFonts w:hint="eastAsia" w:ascii="宋体" w:hAnsi="宋体"/>
                <w:szCs w:val="21"/>
              </w:rPr>
            </w:pPr>
            <w:r>
              <w:rPr>
                <w:rFonts w:hint="eastAsia" w:ascii="宋体" w:hAnsi="宋体"/>
                <w:szCs w:val="21"/>
              </w:rPr>
              <w:t>●</w:t>
            </w:r>
          </w:p>
        </w:tc>
        <w:tc>
          <w:tcPr>
            <w:tcW w:w="465" w:type="pct"/>
            <w:vAlign w:val="center"/>
          </w:tcPr>
          <w:p w14:paraId="796F5FCD">
            <w:pPr>
              <w:jc w:val="center"/>
              <w:rPr>
                <w:rFonts w:hint="eastAsia" w:ascii="宋体" w:hAnsi="宋体"/>
                <w:szCs w:val="21"/>
              </w:rPr>
            </w:pPr>
            <w:r>
              <w:rPr>
                <w:rFonts w:hint="eastAsia" w:ascii="宋体" w:hAnsi="宋体"/>
                <w:szCs w:val="21"/>
              </w:rPr>
              <w:t>○</w:t>
            </w:r>
          </w:p>
        </w:tc>
        <w:tc>
          <w:tcPr>
            <w:tcW w:w="465" w:type="pct"/>
            <w:vAlign w:val="center"/>
          </w:tcPr>
          <w:p w14:paraId="40BB44BE">
            <w:pPr>
              <w:jc w:val="center"/>
              <w:rPr>
                <w:rFonts w:hint="eastAsia" w:ascii="宋体" w:hAnsi="宋体"/>
                <w:szCs w:val="21"/>
              </w:rPr>
            </w:pPr>
            <w:r>
              <w:rPr>
                <w:rFonts w:hint="eastAsia" w:ascii="宋体" w:hAnsi="宋体"/>
                <w:szCs w:val="21"/>
              </w:rPr>
              <w:t>●</w:t>
            </w:r>
          </w:p>
        </w:tc>
        <w:tc>
          <w:tcPr>
            <w:tcW w:w="465" w:type="pct"/>
            <w:vAlign w:val="center"/>
          </w:tcPr>
          <w:p w14:paraId="6B48FDDE">
            <w:pPr>
              <w:jc w:val="center"/>
              <w:rPr>
                <w:rFonts w:hint="eastAsia" w:ascii="宋体" w:hAnsi="宋体"/>
                <w:szCs w:val="21"/>
              </w:rPr>
            </w:pPr>
            <w:r>
              <w:rPr>
                <w:rFonts w:hint="eastAsia" w:ascii="宋体" w:hAnsi="宋体"/>
                <w:szCs w:val="21"/>
              </w:rPr>
              <w:t>○</w:t>
            </w:r>
          </w:p>
        </w:tc>
        <w:tc>
          <w:tcPr>
            <w:tcW w:w="465" w:type="pct"/>
            <w:vAlign w:val="center"/>
          </w:tcPr>
          <w:p w14:paraId="6A402D79">
            <w:pPr>
              <w:jc w:val="center"/>
              <w:rPr>
                <w:rFonts w:hint="eastAsia" w:ascii="宋体" w:hAnsi="宋体"/>
                <w:szCs w:val="21"/>
              </w:rPr>
            </w:pPr>
            <w:r>
              <w:rPr>
                <w:rFonts w:hint="eastAsia" w:ascii="宋体" w:hAnsi="宋体"/>
                <w:szCs w:val="21"/>
              </w:rPr>
              <w:t>○</w:t>
            </w:r>
          </w:p>
        </w:tc>
      </w:tr>
    </w:tbl>
    <w:p w14:paraId="745E2D53">
      <w:pPr>
        <w:spacing w:line="360" w:lineRule="auto"/>
        <w:jc w:val="center"/>
        <w:rPr>
          <w:rFonts w:hint="eastAsia" w:ascii="宋体" w:hAnsi="宋体"/>
          <w:szCs w:val="21"/>
        </w:rPr>
      </w:pPr>
    </w:p>
    <w:p w14:paraId="5BFDB3A0">
      <w:pPr>
        <w:pStyle w:val="3"/>
        <w:spacing w:before="0" w:after="0" w:line="360" w:lineRule="auto"/>
        <w:rPr>
          <w:rFonts w:hint="eastAsia" w:ascii="黑体" w:hAnsi="黑体" w:eastAsia="黑体"/>
          <w:b w:val="0"/>
          <w:bCs/>
          <w:szCs w:val="21"/>
        </w:rPr>
      </w:pPr>
      <w:bookmarkStart w:id="174" w:name="_Toc27498"/>
      <w:bookmarkStart w:id="175" w:name="_Toc229215788"/>
      <w:bookmarkStart w:id="176" w:name="_Toc14480"/>
      <w:bookmarkStart w:id="177" w:name="_Toc11022"/>
      <w:bookmarkStart w:id="178" w:name="_Toc229213784"/>
      <w:bookmarkStart w:id="179" w:name="_Toc6743"/>
      <w:bookmarkStart w:id="180" w:name="_Toc12096"/>
      <w:bookmarkStart w:id="181" w:name="_Toc26260"/>
      <w:bookmarkStart w:id="182" w:name="_Toc22043"/>
      <w:bookmarkStart w:id="183" w:name="_Toc168869427"/>
      <w:bookmarkStart w:id="184" w:name="_Toc17805"/>
      <w:bookmarkStart w:id="185" w:name="_Toc1775"/>
      <w:bookmarkStart w:id="186" w:name="_Toc167"/>
      <w:bookmarkStart w:id="187" w:name="_Toc24487"/>
      <w:bookmarkStart w:id="188" w:name="_Toc12089"/>
      <w:bookmarkStart w:id="189" w:name="_Toc500920863"/>
      <w:bookmarkStart w:id="190" w:name="_Toc229216724"/>
      <w:r>
        <w:rPr>
          <w:rFonts w:hint="eastAsia" w:ascii="黑体" w:hAnsi="黑体" w:eastAsia="黑体"/>
          <w:b w:val="0"/>
          <w:bCs/>
          <w:szCs w:val="21"/>
        </w:rPr>
        <w:t>7.1 型式试验</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EE0DF50">
      <w:pPr>
        <w:pStyle w:val="383"/>
        <w:spacing w:line="360" w:lineRule="auto"/>
        <w:ind w:firstLine="420" w:firstLineChars="200"/>
      </w:pPr>
      <w:r>
        <w:rPr>
          <w:rFonts w:hint="eastAsia"/>
        </w:rPr>
        <w:t>型式试验应该是制造厂家将设备送交具有资质的检测单位，由检测单位依据试验条目完成检验，并出具型式检验报告。当出现下列情况之一时，应进行型式试验：</w:t>
      </w:r>
    </w:p>
    <w:p w14:paraId="03E3BFE8">
      <w:pPr>
        <w:pStyle w:val="383"/>
        <w:spacing w:line="360" w:lineRule="auto"/>
        <w:ind w:firstLine="420" w:firstLineChars="200"/>
      </w:pPr>
      <w:r>
        <w:rPr>
          <w:rFonts w:hint="eastAsia"/>
        </w:rPr>
        <w:t>1） 新产品定型，投运前；</w:t>
      </w:r>
    </w:p>
    <w:p w14:paraId="5345D177">
      <w:pPr>
        <w:pStyle w:val="383"/>
        <w:spacing w:line="360" w:lineRule="auto"/>
        <w:ind w:firstLine="420" w:firstLineChars="200"/>
      </w:pPr>
      <w:r>
        <w:rPr>
          <w:rFonts w:hint="eastAsia"/>
        </w:rPr>
        <w:t>2） 连续批量生产的设备每三年一次；</w:t>
      </w:r>
    </w:p>
    <w:p w14:paraId="3881A630">
      <w:pPr>
        <w:pStyle w:val="383"/>
        <w:spacing w:line="360" w:lineRule="auto"/>
        <w:ind w:firstLine="420" w:firstLineChars="200"/>
      </w:pPr>
      <w:r>
        <w:rPr>
          <w:rFonts w:hint="eastAsia"/>
        </w:rPr>
        <w:t>3） 正式投产后，如设计、工艺材料、元器件有较大改变，可能影响产品性能时；</w:t>
      </w:r>
    </w:p>
    <w:p w14:paraId="60D13EC0">
      <w:pPr>
        <w:pStyle w:val="383"/>
        <w:spacing w:line="360" w:lineRule="auto"/>
        <w:ind w:firstLine="420" w:firstLineChars="200"/>
      </w:pPr>
      <w:r>
        <w:rPr>
          <w:rFonts w:hint="eastAsia"/>
        </w:rPr>
        <w:t>4） 产品停产一年以上又重新恢复生产时；</w:t>
      </w:r>
    </w:p>
    <w:p w14:paraId="5661383F">
      <w:pPr>
        <w:pStyle w:val="383"/>
        <w:spacing w:line="360" w:lineRule="auto"/>
        <w:ind w:firstLine="420" w:firstLineChars="200"/>
      </w:pPr>
      <w:r>
        <w:rPr>
          <w:rFonts w:hint="eastAsia"/>
        </w:rPr>
        <w:t>5） 出厂试验结果与型式试验有较大差异时；</w:t>
      </w:r>
    </w:p>
    <w:p w14:paraId="6AB7A353">
      <w:pPr>
        <w:pStyle w:val="383"/>
        <w:spacing w:line="360" w:lineRule="auto"/>
        <w:ind w:firstLine="420" w:firstLineChars="200"/>
      </w:pPr>
      <w:r>
        <w:rPr>
          <w:rFonts w:hint="eastAsia"/>
        </w:rPr>
        <w:t>6） 国家技术监督机构或受其委托的技术检验部门提出型式试验要求时；</w:t>
      </w:r>
    </w:p>
    <w:p w14:paraId="22018A36">
      <w:pPr>
        <w:pStyle w:val="383"/>
        <w:spacing w:line="360" w:lineRule="auto"/>
        <w:ind w:firstLine="420" w:firstLineChars="200"/>
        <w:rPr>
          <w:rFonts w:eastAsia="黑体"/>
          <w:bCs/>
          <w:sz w:val="24"/>
          <w:szCs w:val="24"/>
        </w:rPr>
      </w:pPr>
      <w:r>
        <w:rPr>
          <w:rFonts w:hint="eastAsia"/>
        </w:rPr>
        <w:t>7） 合同规定进行型式试验时。</w:t>
      </w:r>
      <w:bookmarkStart w:id="191" w:name="_Toc500920864"/>
    </w:p>
    <w:p w14:paraId="301FF20A">
      <w:pPr>
        <w:pStyle w:val="3"/>
        <w:spacing w:before="0" w:after="0" w:line="360" w:lineRule="auto"/>
        <w:rPr>
          <w:rFonts w:hint="eastAsia" w:ascii="黑体" w:hAnsi="黑体" w:eastAsia="黑体"/>
          <w:b w:val="0"/>
          <w:bCs/>
          <w:szCs w:val="21"/>
        </w:rPr>
      </w:pPr>
      <w:bookmarkStart w:id="192" w:name="_Toc27715"/>
      <w:bookmarkStart w:id="193" w:name="_Toc229216725"/>
      <w:bookmarkStart w:id="194" w:name="_Toc11725"/>
      <w:bookmarkStart w:id="195" w:name="_Toc27250"/>
      <w:bookmarkStart w:id="196" w:name="_Toc229213785"/>
      <w:bookmarkStart w:id="197" w:name="_Toc229215789"/>
      <w:bookmarkStart w:id="198" w:name="_Toc31526"/>
      <w:bookmarkStart w:id="199" w:name="_Toc5668"/>
      <w:bookmarkStart w:id="200" w:name="_Toc7584"/>
      <w:bookmarkStart w:id="201" w:name="_Toc13157"/>
      <w:bookmarkStart w:id="202" w:name="_Toc12209"/>
      <w:bookmarkStart w:id="203" w:name="_Toc30422"/>
      <w:bookmarkStart w:id="204" w:name="_Toc9782"/>
      <w:bookmarkStart w:id="205" w:name="_Toc28857"/>
      <w:bookmarkStart w:id="206" w:name="_Toc168869428"/>
      <w:bookmarkStart w:id="207" w:name="_Toc8610"/>
      <w:r>
        <w:rPr>
          <w:rFonts w:hint="eastAsia" w:ascii="黑体" w:hAnsi="黑体" w:eastAsia="黑体"/>
          <w:b w:val="0"/>
          <w:bCs/>
          <w:szCs w:val="21"/>
        </w:rPr>
        <w:t>7.2 出厂检验</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4953ADB">
      <w:pPr>
        <w:pStyle w:val="383"/>
        <w:spacing w:line="360" w:lineRule="auto"/>
        <w:ind w:firstLine="420" w:firstLineChars="200"/>
      </w:pPr>
      <w:r>
        <w:rPr>
          <w:rFonts w:hint="eastAsia"/>
        </w:rPr>
        <w:t>每台设备出厂前在正常试验条件下逐个按规定进行例行检验，检验合格后，附有合格证，方可允许出厂。</w:t>
      </w:r>
    </w:p>
    <w:p w14:paraId="7BFFB97F">
      <w:pPr>
        <w:pStyle w:val="3"/>
        <w:spacing w:before="0" w:after="0" w:line="360" w:lineRule="auto"/>
        <w:rPr>
          <w:rFonts w:hint="eastAsia" w:ascii="黑体" w:hAnsi="黑体" w:eastAsia="黑体"/>
          <w:b w:val="0"/>
          <w:bCs/>
          <w:szCs w:val="21"/>
        </w:rPr>
      </w:pPr>
      <w:bookmarkStart w:id="208" w:name="_Toc500920865"/>
      <w:bookmarkStart w:id="209" w:name="_Toc18027"/>
      <w:bookmarkStart w:id="210" w:name="_Toc229215790"/>
      <w:bookmarkStart w:id="211" w:name="_Toc12515"/>
      <w:bookmarkStart w:id="212" w:name="_Toc229213786"/>
      <w:bookmarkStart w:id="213" w:name="_Toc229216726"/>
      <w:bookmarkStart w:id="214" w:name="_Toc26220"/>
      <w:bookmarkStart w:id="215" w:name="_Toc23342"/>
      <w:bookmarkStart w:id="216" w:name="_Toc28381"/>
      <w:bookmarkStart w:id="217" w:name="_Toc20994"/>
      <w:bookmarkStart w:id="218" w:name="_Toc8872"/>
      <w:bookmarkStart w:id="219" w:name="_Toc2706"/>
      <w:bookmarkStart w:id="220" w:name="_Toc13856"/>
      <w:bookmarkStart w:id="221" w:name="_Toc1001"/>
      <w:bookmarkStart w:id="222" w:name="_Toc168869429"/>
      <w:bookmarkStart w:id="223" w:name="_Toc14653"/>
      <w:bookmarkStart w:id="224" w:name="_Toc11556"/>
      <w:r>
        <w:rPr>
          <w:rFonts w:hint="eastAsia" w:ascii="黑体" w:hAnsi="黑体" w:eastAsia="黑体"/>
          <w:b w:val="0"/>
          <w:bCs/>
          <w:szCs w:val="21"/>
        </w:rPr>
        <w:t xml:space="preserve">7.3 </w:t>
      </w:r>
      <w:bookmarkEnd w:id="208"/>
      <w:bookmarkEnd w:id="209"/>
      <w:r>
        <w:rPr>
          <w:rFonts w:hint="eastAsia" w:ascii="黑体" w:hAnsi="黑体" w:eastAsia="黑体"/>
          <w:b w:val="0"/>
          <w:bCs/>
          <w:szCs w:val="21"/>
        </w:rPr>
        <w:t>送样检测</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C7C4A74">
      <w:pPr>
        <w:spacing w:line="360" w:lineRule="auto"/>
        <w:ind w:firstLine="420" w:firstLineChars="200"/>
        <w:rPr>
          <w:rFonts w:hint="eastAsia" w:ascii="宋体" w:hAnsi="宋体"/>
          <w:szCs w:val="21"/>
        </w:rPr>
      </w:pPr>
      <w:r>
        <w:rPr>
          <w:rFonts w:hint="eastAsia" w:ascii="宋体" w:hAnsi="宋体"/>
          <w:szCs w:val="21"/>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14:paraId="67410DCB">
      <w:pPr>
        <w:spacing w:line="360" w:lineRule="auto"/>
        <w:ind w:firstLine="420" w:firstLineChars="200"/>
        <w:rPr>
          <w:rFonts w:hint="eastAsia" w:ascii="宋体" w:hAnsi="宋体"/>
          <w:szCs w:val="21"/>
        </w:rPr>
      </w:pPr>
      <w:r>
        <w:rPr>
          <w:rFonts w:hint="eastAsia" w:ascii="宋体" w:hAnsi="宋体"/>
          <w:szCs w:val="21"/>
        </w:rPr>
        <w:t>A类：基本功能试验、起降与停靠性能试验、远程控制功能试验、应急功能试验、数据传输试验、自检故障诊断与日志管理试验、信息安全试验、电气安全试验、电磁兼容试验；</w:t>
      </w:r>
    </w:p>
    <w:p w14:paraId="45BB13CA">
      <w:pPr>
        <w:spacing w:line="360" w:lineRule="auto"/>
        <w:ind w:firstLine="420" w:firstLineChars="200"/>
        <w:rPr>
          <w:rFonts w:hint="eastAsia" w:ascii="宋体" w:hAnsi="宋体"/>
          <w:szCs w:val="21"/>
        </w:rPr>
      </w:pPr>
      <w:r>
        <w:rPr>
          <w:rFonts w:hint="eastAsia" w:ascii="宋体" w:hAnsi="宋体"/>
          <w:szCs w:val="21"/>
        </w:rPr>
        <w:t>B类：环境适应性试验、自动充电及充电保护试验、备用电源功能试验、防护性能试验、机械性能</w:t>
      </w:r>
      <w:r>
        <w:rPr>
          <w:rFonts w:hint="eastAsia"/>
          <w:szCs w:val="21"/>
        </w:rPr>
        <w:t>、水浸与防盗报警功能试验</w:t>
      </w:r>
      <w:r>
        <w:rPr>
          <w:rFonts w:hint="eastAsia" w:ascii="宋体" w:hAnsi="宋体"/>
          <w:szCs w:val="21"/>
        </w:rPr>
        <w:t>、无线通信性能试验；</w:t>
      </w:r>
    </w:p>
    <w:p w14:paraId="34F30D91">
      <w:pPr>
        <w:pStyle w:val="42"/>
        <w:spacing w:line="360" w:lineRule="auto"/>
        <w:ind w:firstLine="420"/>
        <w:rPr>
          <w:rFonts w:ascii="Times New Roman"/>
          <w:szCs w:val="21"/>
        </w:rPr>
      </w:pPr>
      <w:r>
        <w:rPr>
          <w:rFonts w:hint="eastAsia" w:ascii="Times New Roman"/>
          <w:szCs w:val="21"/>
        </w:rPr>
        <w:t>C类：外观结构检查试验。</w:t>
      </w:r>
    </w:p>
    <w:p w14:paraId="6B5C3DB4">
      <w:pPr>
        <w:pStyle w:val="3"/>
        <w:spacing w:before="0" w:after="0" w:line="360" w:lineRule="auto"/>
        <w:rPr>
          <w:rFonts w:hint="eastAsia" w:ascii="黑体" w:hAnsi="黑体" w:eastAsia="黑体"/>
          <w:b w:val="0"/>
          <w:bCs/>
          <w:szCs w:val="21"/>
        </w:rPr>
      </w:pPr>
      <w:bookmarkStart w:id="225" w:name="_Toc4683"/>
      <w:bookmarkStart w:id="226" w:name="_Toc8245"/>
      <w:bookmarkStart w:id="227" w:name="_Toc24481"/>
      <w:bookmarkStart w:id="228" w:name="_Toc19186"/>
      <w:bookmarkStart w:id="229" w:name="_Toc6738"/>
      <w:bookmarkStart w:id="230" w:name="_Toc229216727"/>
      <w:bookmarkStart w:id="231" w:name="_Toc11136"/>
      <w:bookmarkStart w:id="232" w:name="_Toc4770"/>
      <w:bookmarkStart w:id="233" w:name="_Toc229213787"/>
      <w:bookmarkStart w:id="234" w:name="_Toc2253"/>
      <w:bookmarkStart w:id="235" w:name="_Toc29752"/>
      <w:bookmarkStart w:id="236" w:name="_Toc18244"/>
      <w:bookmarkStart w:id="237" w:name="_Toc229215791"/>
      <w:bookmarkStart w:id="238" w:name="_Toc16604"/>
      <w:bookmarkStart w:id="239" w:name="_Toc168869430"/>
      <w:bookmarkStart w:id="240" w:name="_Toc23674"/>
      <w:r>
        <w:rPr>
          <w:rFonts w:hint="eastAsia" w:ascii="黑体" w:hAnsi="黑体" w:eastAsia="黑体"/>
          <w:b w:val="0"/>
          <w:bCs/>
          <w:szCs w:val="21"/>
        </w:rPr>
        <w:t>7.4 到货</w:t>
      </w:r>
      <w:bookmarkEnd w:id="225"/>
      <w:r>
        <w:rPr>
          <w:rFonts w:hint="eastAsia" w:ascii="黑体" w:hAnsi="黑体" w:eastAsia="黑体"/>
          <w:b w:val="0"/>
          <w:bCs/>
          <w:szCs w:val="21"/>
        </w:rPr>
        <w:t>抽检</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CB80DEA">
      <w:pPr>
        <w:pStyle w:val="16"/>
        <w:spacing w:line="360" w:lineRule="auto"/>
        <w:ind w:firstLineChars="200"/>
        <w:rPr>
          <w:szCs w:val="21"/>
        </w:rPr>
      </w:pPr>
      <w:r>
        <w:rPr>
          <w:rFonts w:hint="eastAsia"/>
          <w:szCs w:val="21"/>
        </w:rPr>
        <w:t>由运行单位组织开展，在供货阶段，对供应商送达指定地点的货物进行抽样检测，通过后方可收货。</w:t>
      </w:r>
    </w:p>
    <w:p w14:paraId="4BFA96A9">
      <w:pPr>
        <w:pStyle w:val="3"/>
        <w:spacing w:before="0" w:after="0" w:line="360" w:lineRule="auto"/>
        <w:rPr>
          <w:rFonts w:hint="eastAsia" w:ascii="黑体" w:hAnsi="黑体" w:eastAsia="黑体"/>
          <w:b w:val="0"/>
          <w:bCs/>
          <w:szCs w:val="21"/>
        </w:rPr>
      </w:pPr>
      <w:bookmarkStart w:id="241" w:name="_Toc18178"/>
      <w:bookmarkStart w:id="242" w:name="_Toc4321"/>
      <w:bookmarkStart w:id="243" w:name="_Toc168869431"/>
      <w:bookmarkStart w:id="244" w:name="_Toc19502"/>
      <w:bookmarkStart w:id="245" w:name="_Toc5829"/>
      <w:bookmarkStart w:id="246" w:name="_Toc229215792"/>
      <w:bookmarkStart w:id="247" w:name="_Toc17647"/>
      <w:bookmarkStart w:id="248" w:name="_Toc23681"/>
      <w:bookmarkStart w:id="249" w:name="_Toc5925"/>
      <w:bookmarkStart w:id="250" w:name="_Toc14460"/>
      <w:bookmarkStart w:id="251" w:name="_Toc3177"/>
      <w:bookmarkStart w:id="252" w:name="_Toc4461"/>
      <w:bookmarkStart w:id="253" w:name="_Toc229213788"/>
      <w:bookmarkStart w:id="254" w:name="_Toc229216728"/>
      <w:bookmarkStart w:id="255" w:name="_Toc12145"/>
      <w:bookmarkStart w:id="256" w:name="_Toc3007"/>
      <w:r>
        <w:rPr>
          <w:rFonts w:hint="eastAsia" w:ascii="黑体" w:hAnsi="黑体" w:eastAsia="黑体"/>
          <w:b w:val="0"/>
          <w:bCs/>
          <w:szCs w:val="21"/>
        </w:rPr>
        <w:t>7.5 交接试验</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772A443">
      <w:pPr>
        <w:pStyle w:val="16"/>
        <w:spacing w:line="360" w:lineRule="auto"/>
        <w:rPr>
          <w:szCs w:val="21"/>
        </w:rPr>
      </w:pPr>
      <w:bookmarkStart w:id="257" w:name="_Toc8534"/>
      <w:r>
        <w:rPr>
          <w:rFonts w:hint="eastAsia"/>
          <w:szCs w:val="21"/>
        </w:rPr>
        <w:t>由运行单位组织开展，在设备交接验收阶段对到货设备逐套开展检测，合格后方可投运。</w:t>
      </w:r>
      <w:bookmarkEnd w:id="257"/>
    </w:p>
    <w:bookmarkEnd w:id="84"/>
    <w:bookmarkEnd w:id="85"/>
    <w:bookmarkEnd w:id="86"/>
    <w:bookmarkEnd w:id="87"/>
    <w:bookmarkEnd w:id="88"/>
    <w:bookmarkEnd w:id="89"/>
    <w:bookmarkEnd w:id="90"/>
    <w:p w14:paraId="34149A7F">
      <w:pPr>
        <w:spacing w:line="480" w:lineRule="auto"/>
        <w:outlineLvl w:val="0"/>
        <w:rPr>
          <w:rFonts w:eastAsia="黑体"/>
          <w:b/>
          <w:bCs/>
          <w:szCs w:val="21"/>
        </w:rPr>
      </w:pPr>
      <w:bookmarkStart w:id="258" w:name="_Toc276490917"/>
      <w:bookmarkStart w:id="259" w:name="_Toc279695207"/>
      <w:bookmarkStart w:id="260" w:name="_Toc276492435"/>
      <w:bookmarkStart w:id="261" w:name="_Toc384341033"/>
      <w:bookmarkStart w:id="262" w:name="_Toc6310"/>
      <w:bookmarkStart w:id="263" w:name="_Toc222996031"/>
      <w:bookmarkStart w:id="264" w:name="_Toc495916661"/>
      <w:bookmarkStart w:id="265" w:name="_Toc229216729"/>
      <w:bookmarkStart w:id="266" w:name="_Toc282433758"/>
      <w:bookmarkStart w:id="267" w:name="_Toc72859333"/>
      <w:bookmarkStart w:id="268" w:name="_Toc282993359"/>
      <w:r>
        <w:rPr>
          <w:rFonts w:eastAsia="黑体"/>
          <w:b/>
          <w:bCs/>
          <w:szCs w:val="21"/>
        </w:rPr>
        <w:t>8</w:t>
      </w:r>
      <w:r>
        <w:rPr>
          <w:rFonts w:hint="eastAsia" w:eastAsia="黑体"/>
          <w:b/>
          <w:bCs/>
          <w:szCs w:val="21"/>
        </w:rPr>
        <w:t xml:space="preserve"> 监造、包装、储存、运输、安装</w:t>
      </w:r>
      <w:bookmarkEnd w:id="258"/>
      <w:bookmarkEnd w:id="259"/>
      <w:bookmarkEnd w:id="260"/>
      <w:r>
        <w:rPr>
          <w:rFonts w:hint="eastAsia" w:eastAsia="黑体"/>
          <w:b/>
          <w:bCs/>
          <w:szCs w:val="21"/>
        </w:rPr>
        <w:t>及质量保证</w:t>
      </w:r>
      <w:bookmarkEnd w:id="261"/>
      <w:bookmarkEnd w:id="262"/>
      <w:bookmarkEnd w:id="263"/>
      <w:bookmarkEnd w:id="264"/>
      <w:bookmarkEnd w:id="265"/>
      <w:bookmarkEnd w:id="266"/>
      <w:bookmarkEnd w:id="267"/>
      <w:bookmarkEnd w:id="268"/>
    </w:p>
    <w:p w14:paraId="1577D328">
      <w:pPr>
        <w:pStyle w:val="3"/>
        <w:spacing w:before="0" w:after="0" w:line="360" w:lineRule="auto"/>
        <w:rPr>
          <w:rFonts w:ascii="Times New Roman" w:hAnsi="Times New Roman" w:eastAsia="黑体"/>
          <w:b w:val="0"/>
          <w:bCs/>
          <w:szCs w:val="21"/>
        </w:rPr>
      </w:pPr>
      <w:bookmarkStart w:id="269" w:name="_Toc276490898"/>
      <w:bookmarkStart w:id="270" w:name="_Toc279695208"/>
      <w:bookmarkStart w:id="271" w:name="_Toc282433759"/>
      <w:bookmarkStart w:id="272" w:name="_Toc276492370"/>
      <w:bookmarkStart w:id="273" w:name="_Toc23348"/>
      <w:bookmarkStart w:id="274" w:name="_Toc495916662"/>
      <w:bookmarkStart w:id="275" w:name="_Toc222996032"/>
      <w:bookmarkStart w:id="276" w:name="_Toc384341034"/>
      <w:bookmarkStart w:id="277" w:name="_Toc229216730"/>
      <w:bookmarkStart w:id="278" w:name="_Toc72859334"/>
      <w:bookmarkStart w:id="279" w:name="_Toc282993360"/>
      <w:bookmarkStart w:id="280" w:name="_Toc53672785"/>
      <w:bookmarkStart w:id="281" w:name="_Toc472997247"/>
      <w:bookmarkStart w:id="282" w:name="_Toc471528253"/>
      <w:bookmarkStart w:id="283" w:name="_Toc200531202"/>
      <w:r>
        <w:rPr>
          <w:rFonts w:ascii="Times New Roman" w:hAnsi="Times New Roman" w:eastAsia="黑体"/>
          <w:b w:val="0"/>
          <w:bCs/>
          <w:szCs w:val="21"/>
        </w:rPr>
        <w:t>8.</w:t>
      </w:r>
      <w:r>
        <w:rPr>
          <w:rFonts w:hint="eastAsia" w:ascii="Times New Roman" w:hAnsi="Times New Roman" w:eastAsia="黑体"/>
          <w:b w:val="0"/>
          <w:bCs/>
          <w:szCs w:val="21"/>
        </w:rPr>
        <w:t>1 监造</w:t>
      </w:r>
      <w:bookmarkEnd w:id="269"/>
      <w:bookmarkEnd w:id="270"/>
      <w:bookmarkEnd w:id="271"/>
      <w:bookmarkEnd w:id="272"/>
      <w:bookmarkEnd w:id="273"/>
      <w:bookmarkEnd w:id="274"/>
      <w:bookmarkEnd w:id="275"/>
      <w:bookmarkEnd w:id="276"/>
      <w:bookmarkEnd w:id="277"/>
      <w:bookmarkEnd w:id="278"/>
      <w:bookmarkEnd w:id="279"/>
    </w:p>
    <w:p w14:paraId="30EC50EA">
      <w:pPr>
        <w:spacing w:line="360" w:lineRule="auto"/>
        <w:ind w:firstLine="420" w:firstLineChars="200"/>
        <w:rPr>
          <w:szCs w:val="21"/>
        </w:rPr>
      </w:pPr>
      <w:bookmarkStart w:id="284" w:name="_Toc282993361"/>
      <w:bookmarkStart w:id="285" w:name="_Toc384341035"/>
      <w:bookmarkStart w:id="286" w:name="_Toc276492436"/>
      <w:bookmarkStart w:id="287" w:name="_Toc282993364"/>
      <w:bookmarkStart w:id="288" w:name="_Toc276301528"/>
      <w:bookmarkStart w:id="289" w:name="_Toc276490918"/>
      <w:bookmarkStart w:id="290" w:name="_Toc282433760"/>
      <w:bookmarkStart w:id="291" w:name="_Toc279695209"/>
      <w:r>
        <w:rPr>
          <w:rFonts w:hint="eastAsia"/>
          <w:szCs w:val="21"/>
        </w:rPr>
        <w:t>1）投标方必须在签订合同后10天之内以书面形式提供所供设备的制造进度表。按照DL/T586-</w:t>
      </w:r>
      <w:r>
        <w:rPr>
          <w:szCs w:val="21"/>
        </w:rPr>
        <w:t>200</w:t>
      </w:r>
      <w:r>
        <w:rPr>
          <w:rFonts w:hint="eastAsia"/>
          <w:szCs w:val="21"/>
        </w:rPr>
        <w:t>5《电力设备用户监造导则》的要求，招标方可随时进厂监造。监造和检验人员有权了解生产过程、查询质量记录和参加各种试验。</w:t>
      </w:r>
      <w:bookmarkEnd w:id="284"/>
    </w:p>
    <w:p w14:paraId="74E9015D">
      <w:pPr>
        <w:spacing w:line="360" w:lineRule="auto"/>
        <w:ind w:firstLine="420" w:firstLineChars="200"/>
        <w:rPr>
          <w:szCs w:val="21"/>
        </w:rPr>
      </w:pPr>
      <w:bookmarkStart w:id="292" w:name="_Toc282993362"/>
      <w:r>
        <w:rPr>
          <w:rFonts w:hint="eastAsia"/>
          <w:szCs w:val="21"/>
        </w:rPr>
        <w:t>2）监造范围包括设备的设计、加工、制造、储运、材料采购、组装和试验等重要过程，关键部件的质量控制，进行见证、检验和审核。</w:t>
      </w:r>
      <w:bookmarkEnd w:id="292"/>
    </w:p>
    <w:p w14:paraId="29E63D41">
      <w:pPr>
        <w:spacing w:line="360" w:lineRule="auto"/>
        <w:ind w:firstLine="420" w:firstLineChars="200"/>
        <w:rPr>
          <w:szCs w:val="21"/>
        </w:rPr>
      </w:pPr>
      <w:bookmarkStart w:id="293" w:name="_Toc282993363"/>
      <w:r>
        <w:rPr>
          <w:rFonts w:hint="eastAsia"/>
          <w:szCs w:val="21"/>
        </w:rPr>
        <w:t>3）运行单位的工厂监造和检验工作，不减少投标方对产品的质量责任，监造和检验人员不签署任何质量证明。</w:t>
      </w:r>
      <w:bookmarkEnd w:id="293"/>
    </w:p>
    <w:p w14:paraId="00C8B2D2">
      <w:pPr>
        <w:spacing w:line="360" w:lineRule="auto"/>
        <w:ind w:firstLine="420" w:firstLineChars="200"/>
        <w:rPr>
          <w:szCs w:val="21"/>
        </w:rPr>
      </w:pPr>
      <w:r>
        <w:rPr>
          <w:rFonts w:hint="eastAsia"/>
          <w:szCs w:val="21"/>
        </w:rPr>
        <w:t>4）投标方应在出厂前提前至少5个工作日书面通知招标方进行出厂试验监督。</w:t>
      </w:r>
    </w:p>
    <w:p w14:paraId="2E80CB5A">
      <w:pPr>
        <w:pStyle w:val="3"/>
        <w:spacing w:before="0" w:after="0" w:line="360" w:lineRule="auto"/>
        <w:rPr>
          <w:rFonts w:ascii="Times New Roman" w:hAnsi="Times New Roman" w:eastAsia="黑体"/>
          <w:b w:val="0"/>
          <w:bCs/>
          <w:szCs w:val="21"/>
        </w:rPr>
      </w:pPr>
      <w:bookmarkStart w:id="294" w:name="_Toc495916663"/>
      <w:bookmarkStart w:id="295" w:name="_Toc9060"/>
      <w:bookmarkStart w:id="296" w:name="_Toc229216731"/>
      <w:bookmarkStart w:id="297" w:name="_Toc222996033"/>
      <w:bookmarkStart w:id="298" w:name="_Toc72859335"/>
      <w:r>
        <w:rPr>
          <w:rFonts w:ascii="Times New Roman" w:hAnsi="Times New Roman" w:eastAsia="黑体"/>
          <w:b w:val="0"/>
          <w:bCs/>
          <w:szCs w:val="21"/>
        </w:rPr>
        <w:t>8.2</w:t>
      </w:r>
      <w:bookmarkEnd w:id="280"/>
      <w:bookmarkEnd w:id="281"/>
      <w:bookmarkEnd w:id="282"/>
      <w:bookmarkEnd w:id="283"/>
      <w:bookmarkEnd w:id="285"/>
      <w:bookmarkEnd w:id="286"/>
      <w:bookmarkEnd w:id="287"/>
      <w:bookmarkEnd w:id="288"/>
      <w:bookmarkEnd w:id="289"/>
      <w:bookmarkEnd w:id="290"/>
      <w:bookmarkEnd w:id="291"/>
      <w:bookmarkEnd w:id="294"/>
      <w:bookmarkEnd w:id="295"/>
      <w:r>
        <w:rPr>
          <w:rFonts w:hint="eastAsia" w:ascii="Times New Roman" w:hAnsi="Times New Roman" w:eastAsia="黑体"/>
          <w:b w:val="0"/>
          <w:bCs/>
          <w:szCs w:val="21"/>
        </w:rPr>
        <w:t xml:space="preserve"> </w:t>
      </w:r>
      <w:r>
        <w:rPr>
          <w:rFonts w:ascii="Times New Roman" w:hAnsi="Times New Roman" w:eastAsia="黑体"/>
          <w:b w:val="0"/>
          <w:bCs/>
          <w:szCs w:val="21"/>
        </w:rPr>
        <w:t>包装</w:t>
      </w:r>
      <w:bookmarkEnd w:id="296"/>
      <w:bookmarkEnd w:id="297"/>
      <w:bookmarkEnd w:id="298"/>
    </w:p>
    <w:p w14:paraId="1E0603DB">
      <w:pPr>
        <w:spacing w:line="360" w:lineRule="auto"/>
        <w:ind w:firstLine="420" w:firstLineChars="200"/>
        <w:rPr>
          <w:szCs w:val="21"/>
        </w:rPr>
      </w:pPr>
      <w:bookmarkStart w:id="299" w:name="_Toc282993365"/>
      <w:bookmarkStart w:id="300" w:name="_Toc279695210"/>
      <w:bookmarkStart w:id="301" w:name="_Toc276490919"/>
      <w:bookmarkStart w:id="302" w:name="_Toc282433761"/>
      <w:bookmarkStart w:id="303" w:name="_Toc276301529"/>
      <w:bookmarkStart w:id="304" w:name="_Toc384341036"/>
      <w:bookmarkStart w:id="305" w:name="_Toc276492437"/>
      <w:r>
        <w:rPr>
          <w:szCs w:val="21"/>
        </w:rPr>
        <w:t>1）制造厂应根据双方商定好的标准和买方的实际运输条件，将</w:t>
      </w:r>
      <w:r>
        <w:rPr>
          <w:rFonts w:hint="eastAsia"/>
          <w:szCs w:val="21"/>
        </w:rPr>
        <w:t>机巢设备</w:t>
      </w:r>
      <w:r>
        <w:rPr>
          <w:szCs w:val="21"/>
        </w:rPr>
        <w:t>和所有零部件包装好，并将全套安装使用说明书，产品合格证明书、出厂试验记录、产品外形尺寸图、运输尺寸图、产品拆卸件一览表、装箱单、铭牌图或铭牌标志图及备件一览表等包装好，防止受潮。从制造厂发货至买方收到期间，设备和资料应完好无损。</w:t>
      </w:r>
    </w:p>
    <w:p w14:paraId="67CEA476">
      <w:pPr>
        <w:spacing w:line="360" w:lineRule="auto"/>
        <w:ind w:firstLine="420" w:firstLineChars="200"/>
        <w:rPr>
          <w:szCs w:val="21"/>
        </w:rPr>
      </w:pPr>
      <w:r>
        <w:rPr>
          <w:szCs w:val="21"/>
        </w:rPr>
        <w:t>2）包装箱应连续编号，不能有重号。</w:t>
      </w:r>
    </w:p>
    <w:p w14:paraId="7D883864">
      <w:pPr>
        <w:spacing w:line="360" w:lineRule="auto"/>
        <w:ind w:firstLine="420" w:firstLineChars="200"/>
        <w:rPr>
          <w:szCs w:val="21"/>
        </w:rPr>
      </w:pPr>
      <w:r>
        <w:rPr>
          <w:szCs w:val="21"/>
        </w:rPr>
        <w:t>设备、零部件、材料启运前投标方应按下述内容在箱面上写不褪色的醒目标志：</w:t>
      </w:r>
    </w:p>
    <w:p w14:paraId="6DE83DAD">
      <w:pPr>
        <w:spacing w:line="360" w:lineRule="auto"/>
        <w:ind w:firstLine="420" w:firstLineChars="200"/>
        <w:rPr>
          <w:szCs w:val="21"/>
        </w:rPr>
      </w:pPr>
      <w:r>
        <w:rPr>
          <w:szCs w:val="21"/>
        </w:rPr>
        <w:t>a.合同号；</w:t>
      </w:r>
    </w:p>
    <w:p w14:paraId="0192FEAD">
      <w:pPr>
        <w:spacing w:line="360" w:lineRule="auto"/>
        <w:ind w:firstLine="420" w:firstLineChars="200"/>
        <w:rPr>
          <w:szCs w:val="21"/>
        </w:rPr>
      </w:pPr>
      <w:r>
        <w:rPr>
          <w:szCs w:val="21"/>
        </w:rPr>
        <w:t>b.装船（海运）标志；</w:t>
      </w:r>
    </w:p>
    <w:p w14:paraId="7F40EAD1">
      <w:pPr>
        <w:spacing w:line="360" w:lineRule="auto"/>
        <w:ind w:firstLine="420" w:firstLineChars="200"/>
        <w:rPr>
          <w:szCs w:val="21"/>
        </w:rPr>
      </w:pPr>
      <w:r>
        <w:rPr>
          <w:szCs w:val="21"/>
        </w:rPr>
        <w:t>c.目的港（海运）或站名称；</w:t>
      </w:r>
    </w:p>
    <w:p w14:paraId="787D4810">
      <w:pPr>
        <w:spacing w:line="360" w:lineRule="auto"/>
        <w:ind w:firstLine="420" w:firstLineChars="200"/>
        <w:rPr>
          <w:szCs w:val="21"/>
        </w:rPr>
      </w:pPr>
      <w:r>
        <w:rPr>
          <w:szCs w:val="21"/>
        </w:rPr>
        <w:t>d.收货人及代码；</w:t>
      </w:r>
    </w:p>
    <w:p w14:paraId="79428804">
      <w:pPr>
        <w:spacing w:line="360" w:lineRule="auto"/>
        <w:ind w:firstLine="420" w:firstLineChars="200"/>
        <w:rPr>
          <w:szCs w:val="21"/>
        </w:rPr>
      </w:pPr>
      <w:r>
        <w:rPr>
          <w:szCs w:val="21"/>
        </w:rPr>
        <w:t>e.设备名称和项目号；</w:t>
      </w:r>
    </w:p>
    <w:p w14:paraId="08690B8D">
      <w:pPr>
        <w:spacing w:line="360" w:lineRule="auto"/>
        <w:ind w:firstLine="420" w:firstLineChars="200"/>
        <w:rPr>
          <w:szCs w:val="21"/>
        </w:rPr>
      </w:pPr>
      <w:r>
        <w:rPr>
          <w:szCs w:val="21"/>
        </w:rPr>
        <w:t>f.箱号；</w:t>
      </w:r>
    </w:p>
    <w:p w14:paraId="40ECCAB5">
      <w:pPr>
        <w:spacing w:line="360" w:lineRule="auto"/>
        <w:ind w:firstLine="420" w:firstLineChars="200"/>
        <w:rPr>
          <w:szCs w:val="21"/>
        </w:rPr>
      </w:pPr>
      <w:r>
        <w:rPr>
          <w:szCs w:val="21"/>
        </w:rPr>
        <w:t>g.毛重与净重；</w:t>
      </w:r>
    </w:p>
    <w:p w14:paraId="57295B38">
      <w:pPr>
        <w:spacing w:line="360" w:lineRule="auto"/>
        <w:ind w:firstLine="420" w:firstLineChars="200"/>
        <w:rPr>
          <w:szCs w:val="21"/>
        </w:rPr>
      </w:pPr>
      <w:r>
        <w:rPr>
          <w:szCs w:val="21"/>
        </w:rPr>
        <w:t>h.外形尺寸；</w:t>
      </w:r>
    </w:p>
    <w:p w14:paraId="689D4889">
      <w:pPr>
        <w:spacing w:line="360" w:lineRule="auto"/>
        <w:ind w:firstLine="420" w:firstLineChars="200"/>
        <w:rPr>
          <w:szCs w:val="21"/>
        </w:rPr>
      </w:pPr>
      <w:r>
        <w:rPr>
          <w:szCs w:val="21"/>
        </w:rPr>
        <w:t>i.在设备的包装箱外面应标上“重心”、“起吊点”、“小心搬运”、“正面向上”、“防止受潮”、“勿倒”、“勿倾斜”、“防火”等字样。</w:t>
      </w:r>
    </w:p>
    <w:p w14:paraId="74F49DC3">
      <w:pPr>
        <w:spacing w:line="360" w:lineRule="auto"/>
        <w:ind w:firstLine="420" w:firstLineChars="200"/>
        <w:rPr>
          <w:szCs w:val="21"/>
        </w:rPr>
      </w:pPr>
      <w:r>
        <w:rPr>
          <w:szCs w:val="21"/>
        </w:rPr>
        <w:t>3）制造厂提供的技术文件的包装内外表面上应有如下中文标志：</w:t>
      </w:r>
    </w:p>
    <w:p w14:paraId="6755348E">
      <w:pPr>
        <w:spacing w:line="360" w:lineRule="auto"/>
        <w:ind w:firstLine="420" w:firstLineChars="200"/>
        <w:rPr>
          <w:szCs w:val="21"/>
        </w:rPr>
      </w:pPr>
      <w:r>
        <w:rPr>
          <w:szCs w:val="21"/>
        </w:rPr>
        <w:t>a.合同号；</w:t>
      </w:r>
    </w:p>
    <w:p w14:paraId="4ACE0905">
      <w:pPr>
        <w:spacing w:line="360" w:lineRule="auto"/>
        <w:ind w:firstLine="420" w:firstLineChars="200"/>
        <w:rPr>
          <w:szCs w:val="21"/>
        </w:rPr>
      </w:pPr>
      <w:r>
        <w:rPr>
          <w:szCs w:val="21"/>
        </w:rPr>
        <w:t>b.收货人；</w:t>
      </w:r>
    </w:p>
    <w:p w14:paraId="5D3CF20F">
      <w:pPr>
        <w:spacing w:line="360" w:lineRule="auto"/>
        <w:ind w:firstLine="420" w:firstLineChars="200"/>
        <w:rPr>
          <w:szCs w:val="21"/>
        </w:rPr>
      </w:pPr>
      <w:r>
        <w:rPr>
          <w:szCs w:val="21"/>
        </w:rPr>
        <w:t>c.目的地；</w:t>
      </w:r>
    </w:p>
    <w:p w14:paraId="061F2336">
      <w:pPr>
        <w:spacing w:line="360" w:lineRule="auto"/>
        <w:ind w:firstLine="420" w:firstLineChars="200"/>
        <w:rPr>
          <w:szCs w:val="21"/>
        </w:rPr>
      </w:pPr>
      <w:r>
        <w:rPr>
          <w:szCs w:val="21"/>
        </w:rPr>
        <w:t>d.毛重；</w:t>
      </w:r>
    </w:p>
    <w:p w14:paraId="73968876">
      <w:pPr>
        <w:spacing w:line="360" w:lineRule="auto"/>
        <w:ind w:firstLine="420" w:firstLineChars="200"/>
        <w:rPr>
          <w:szCs w:val="21"/>
        </w:rPr>
      </w:pPr>
      <w:r>
        <w:rPr>
          <w:szCs w:val="21"/>
        </w:rPr>
        <w:t>e.箱号。</w:t>
      </w:r>
    </w:p>
    <w:p w14:paraId="70FDF965">
      <w:pPr>
        <w:spacing w:line="360" w:lineRule="auto"/>
        <w:ind w:firstLine="420" w:firstLineChars="200"/>
        <w:rPr>
          <w:szCs w:val="21"/>
        </w:rPr>
      </w:pPr>
      <w:r>
        <w:rPr>
          <w:rFonts w:hint="eastAsia"/>
          <w:szCs w:val="21"/>
        </w:rPr>
        <w:t>4</w:t>
      </w:r>
      <w:r>
        <w:rPr>
          <w:szCs w:val="21"/>
        </w:rPr>
        <w:t>）在设备启运后一周内，制造厂应以最快捷的方式通知买方以下内容：</w:t>
      </w:r>
    </w:p>
    <w:p w14:paraId="5A55927F">
      <w:pPr>
        <w:spacing w:line="360" w:lineRule="auto"/>
        <w:ind w:firstLine="420" w:firstLineChars="200"/>
        <w:rPr>
          <w:szCs w:val="21"/>
        </w:rPr>
      </w:pPr>
      <w:r>
        <w:rPr>
          <w:szCs w:val="21"/>
        </w:rPr>
        <w:t>a.设备名称；</w:t>
      </w:r>
    </w:p>
    <w:p w14:paraId="1FE20740">
      <w:pPr>
        <w:spacing w:line="360" w:lineRule="auto"/>
        <w:ind w:firstLine="420" w:firstLineChars="200"/>
        <w:rPr>
          <w:szCs w:val="21"/>
        </w:rPr>
      </w:pPr>
      <w:r>
        <w:rPr>
          <w:szCs w:val="21"/>
        </w:rPr>
        <w:t>b.件数、件号、重量；</w:t>
      </w:r>
    </w:p>
    <w:p w14:paraId="3D3CF86B">
      <w:pPr>
        <w:spacing w:line="360" w:lineRule="auto"/>
        <w:ind w:firstLine="420" w:firstLineChars="200"/>
        <w:rPr>
          <w:szCs w:val="21"/>
        </w:rPr>
      </w:pPr>
      <w:r>
        <w:rPr>
          <w:szCs w:val="21"/>
        </w:rPr>
        <w:t>c.合同号；</w:t>
      </w:r>
    </w:p>
    <w:p w14:paraId="6712F65D">
      <w:pPr>
        <w:spacing w:line="360" w:lineRule="auto"/>
        <w:ind w:firstLine="420" w:firstLineChars="200"/>
        <w:rPr>
          <w:szCs w:val="21"/>
        </w:rPr>
      </w:pPr>
      <w:r>
        <w:rPr>
          <w:szCs w:val="21"/>
        </w:rPr>
        <w:t>d.货运单号；</w:t>
      </w:r>
    </w:p>
    <w:p w14:paraId="5D82314A">
      <w:pPr>
        <w:spacing w:line="360" w:lineRule="auto"/>
        <w:ind w:firstLine="420" w:firstLineChars="200"/>
        <w:rPr>
          <w:szCs w:val="21"/>
        </w:rPr>
      </w:pPr>
      <w:r>
        <w:rPr>
          <w:szCs w:val="21"/>
        </w:rPr>
        <w:t>e.达到港（站）；</w:t>
      </w:r>
    </w:p>
    <w:p w14:paraId="66A9C61D">
      <w:pPr>
        <w:spacing w:line="360" w:lineRule="auto"/>
        <w:ind w:firstLine="420" w:firstLineChars="200"/>
        <w:rPr>
          <w:szCs w:val="21"/>
        </w:rPr>
      </w:pPr>
      <w:r>
        <w:rPr>
          <w:szCs w:val="21"/>
        </w:rPr>
        <w:t>f.设备发出日期。</w:t>
      </w:r>
    </w:p>
    <w:p w14:paraId="1A222566">
      <w:pPr>
        <w:spacing w:line="360" w:lineRule="auto"/>
        <w:ind w:firstLine="420" w:firstLineChars="200"/>
        <w:rPr>
          <w:szCs w:val="21"/>
        </w:rPr>
      </w:pPr>
      <w:r>
        <w:rPr>
          <w:rFonts w:hint="eastAsia"/>
          <w:szCs w:val="21"/>
        </w:rPr>
        <w:t>5</w:t>
      </w:r>
      <w:r>
        <w:rPr>
          <w:szCs w:val="21"/>
        </w:rPr>
        <w:t>）所有部件的装运方式均应便于卸货、操作和现场就位，标有千斤顶支架位置的起吊图和安装图，应与装运文件一起提供。</w:t>
      </w:r>
    </w:p>
    <w:p w14:paraId="2B016BE2">
      <w:pPr>
        <w:spacing w:line="360" w:lineRule="auto"/>
        <w:ind w:firstLine="420" w:firstLineChars="200"/>
        <w:rPr>
          <w:szCs w:val="21"/>
        </w:rPr>
      </w:pPr>
      <w:r>
        <w:rPr>
          <w:rFonts w:hint="eastAsia"/>
          <w:szCs w:val="21"/>
        </w:rPr>
        <w:t>6</w:t>
      </w:r>
      <w:r>
        <w:rPr>
          <w:szCs w:val="21"/>
        </w:rPr>
        <w:t>）任何在装运中可能丢失的成品应用箱式包装或捆成一束，并标志以清晰的记号以便识别。</w:t>
      </w:r>
    </w:p>
    <w:p w14:paraId="70948EEC">
      <w:pPr>
        <w:spacing w:line="360" w:lineRule="auto"/>
        <w:ind w:firstLine="420" w:firstLineChars="200"/>
        <w:rPr>
          <w:szCs w:val="21"/>
        </w:rPr>
      </w:pPr>
      <w:r>
        <w:rPr>
          <w:rFonts w:hint="eastAsia"/>
          <w:szCs w:val="21"/>
        </w:rPr>
        <w:t>7</w:t>
      </w:r>
      <w:r>
        <w:rPr>
          <w:szCs w:val="21"/>
        </w:rPr>
        <w:t>）运输、贮存直到安装时应保护</w:t>
      </w:r>
      <w:r>
        <w:rPr>
          <w:rFonts w:hint="eastAsia"/>
          <w:szCs w:val="21"/>
        </w:rPr>
        <w:t>机巢</w:t>
      </w:r>
      <w:r>
        <w:rPr>
          <w:szCs w:val="21"/>
        </w:rPr>
        <w:t>所有组、部件不得损坏、不得进水和受潮。</w:t>
      </w:r>
    </w:p>
    <w:p w14:paraId="0E3BDB10">
      <w:pPr>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294FBADF">
      <w:pPr>
        <w:spacing w:line="360" w:lineRule="auto"/>
        <w:ind w:firstLine="420" w:firstLineChars="200"/>
        <w:rPr>
          <w:rFonts w:hint="eastAsia" w:ascii="宋体" w:hAnsi="宋体" w:cs="宋体"/>
          <w:szCs w:val="21"/>
        </w:rPr>
      </w:pPr>
      <w:r>
        <w:rPr>
          <w:rFonts w:hint="eastAsia"/>
          <w:szCs w:val="21"/>
        </w:rPr>
        <w:t>8）</w:t>
      </w:r>
      <w:r>
        <w:rPr>
          <w:rFonts w:hint="eastAsia" w:ascii="宋体" w:hAnsi="宋体" w:cs="宋体"/>
          <w:szCs w:val="21"/>
        </w:rPr>
        <w:t>所有设备分别包装、装箱、或采取其他防护措施，以避免设备在运输过程中散失、损坏或被盗。</w:t>
      </w:r>
    </w:p>
    <w:p w14:paraId="72C0D07B">
      <w:pPr>
        <w:pStyle w:val="3"/>
        <w:spacing w:before="0" w:after="0" w:line="360" w:lineRule="auto"/>
        <w:rPr>
          <w:rFonts w:ascii="Times New Roman" w:hAnsi="Times New Roman" w:eastAsia="黑体"/>
          <w:b w:val="0"/>
          <w:bCs/>
          <w:szCs w:val="21"/>
        </w:rPr>
      </w:pPr>
      <w:bookmarkStart w:id="306" w:name="_Toc12213"/>
      <w:bookmarkStart w:id="307" w:name="_Toc495916664"/>
      <w:bookmarkStart w:id="308" w:name="_Toc72859336"/>
      <w:bookmarkStart w:id="309" w:name="_Toc229216732"/>
      <w:bookmarkStart w:id="310" w:name="_Toc222996034"/>
      <w:r>
        <w:rPr>
          <w:rFonts w:ascii="Times New Roman" w:hAnsi="Times New Roman" w:eastAsia="黑体"/>
          <w:b w:val="0"/>
          <w:bCs/>
          <w:szCs w:val="21"/>
        </w:rPr>
        <w:t>8</w:t>
      </w:r>
      <w:r>
        <w:rPr>
          <w:rFonts w:hint="eastAsia" w:ascii="Times New Roman" w:hAnsi="Times New Roman" w:eastAsia="黑体"/>
          <w:b w:val="0"/>
          <w:bCs/>
          <w:szCs w:val="21"/>
        </w:rPr>
        <w:t>.3 储存与运输</w:t>
      </w:r>
      <w:bookmarkEnd w:id="299"/>
      <w:bookmarkEnd w:id="300"/>
      <w:bookmarkEnd w:id="301"/>
      <w:bookmarkEnd w:id="302"/>
      <w:bookmarkEnd w:id="303"/>
      <w:bookmarkEnd w:id="304"/>
      <w:bookmarkEnd w:id="305"/>
      <w:bookmarkEnd w:id="306"/>
      <w:bookmarkEnd w:id="307"/>
      <w:bookmarkEnd w:id="308"/>
      <w:bookmarkEnd w:id="309"/>
      <w:bookmarkEnd w:id="310"/>
    </w:p>
    <w:p w14:paraId="6A0AE5DC">
      <w:pPr>
        <w:spacing w:line="360" w:lineRule="auto"/>
        <w:ind w:firstLine="420" w:firstLineChars="200"/>
        <w:rPr>
          <w:szCs w:val="21"/>
        </w:rPr>
      </w:pPr>
      <w:r>
        <w:rPr>
          <w:rFonts w:hint="eastAsia"/>
          <w:szCs w:val="21"/>
        </w:rPr>
        <w:t>1）</w:t>
      </w:r>
      <w:r>
        <w:rPr>
          <w:szCs w:val="21"/>
        </w:rPr>
        <w:t>制造厂负责将设备安全地运到运行单位指定地点，并负责设备卸车落地。制造厂应做到使设备在任何运输过程中不受损坏。制造厂应考虑到设备在船运和陆运运输中，可能受到的最大加速度所产生的冲击力而不松动、不损坏、不变形。</w:t>
      </w:r>
    </w:p>
    <w:p w14:paraId="3F210768">
      <w:pPr>
        <w:spacing w:line="360" w:lineRule="auto"/>
        <w:ind w:firstLine="420" w:firstLineChars="200"/>
        <w:rPr>
          <w:szCs w:val="21"/>
        </w:rPr>
      </w:pPr>
      <w:r>
        <w:rPr>
          <w:rFonts w:hint="eastAsia"/>
          <w:szCs w:val="21"/>
        </w:rPr>
        <w:t>2）</w:t>
      </w:r>
      <w:r>
        <w:rPr>
          <w:szCs w:val="21"/>
        </w:rPr>
        <w:t>所有组、部件在装运时必须做到便于卸货、搬运和现场安装。为了能正确搬运和安装，在必要处应提供吊钩或起吊设施，并提供吊索布置图。</w:t>
      </w:r>
    </w:p>
    <w:p w14:paraId="7125FC7E">
      <w:pPr>
        <w:spacing w:line="360" w:lineRule="auto"/>
        <w:ind w:firstLine="420" w:firstLineChars="200"/>
        <w:rPr>
          <w:szCs w:val="21"/>
        </w:rPr>
      </w:pPr>
      <w:r>
        <w:rPr>
          <w:rFonts w:hint="eastAsia"/>
          <w:szCs w:val="21"/>
        </w:rPr>
        <w:t>3）</w:t>
      </w:r>
      <w:r>
        <w:rPr>
          <w:szCs w:val="21"/>
        </w:rPr>
        <w:t>备品备件、专用工具和仪表应随</w:t>
      </w:r>
      <w:r>
        <w:rPr>
          <w:rFonts w:hint="eastAsia"/>
          <w:szCs w:val="21"/>
        </w:rPr>
        <w:t>机巢</w:t>
      </w:r>
      <w:r>
        <w:rPr>
          <w:szCs w:val="21"/>
        </w:rPr>
        <w:t>同时装运，但必须单独包装，并明显标记，以便与提供的其它设备相区别。</w:t>
      </w:r>
    </w:p>
    <w:p w14:paraId="5954543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4）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132F0E0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e.从投标方到用户方指定的目的地的运输由投标方负责。</w:t>
      </w:r>
    </w:p>
    <w:p w14:paraId="0F3B0DA6">
      <w:pPr>
        <w:pStyle w:val="3"/>
        <w:spacing w:before="0" w:after="0" w:line="360" w:lineRule="auto"/>
        <w:rPr>
          <w:rFonts w:ascii="Times New Roman" w:hAnsi="Times New Roman" w:eastAsia="黑体"/>
          <w:b w:val="0"/>
          <w:bCs/>
          <w:szCs w:val="21"/>
        </w:rPr>
      </w:pPr>
      <w:bookmarkStart w:id="311" w:name="_Toc24272"/>
      <w:bookmarkStart w:id="312" w:name="_Toc495916665"/>
      <w:bookmarkStart w:id="313" w:name="_Toc72859337"/>
      <w:bookmarkStart w:id="314" w:name="_Toc229216733"/>
      <w:bookmarkStart w:id="315" w:name="_Toc222996035"/>
      <w:r>
        <w:rPr>
          <w:rFonts w:ascii="Times New Roman" w:hAnsi="Times New Roman" w:eastAsia="黑体"/>
          <w:b w:val="0"/>
          <w:bCs/>
          <w:szCs w:val="21"/>
        </w:rPr>
        <w:t>8</w:t>
      </w:r>
      <w:r>
        <w:rPr>
          <w:rFonts w:hint="eastAsia" w:ascii="Times New Roman" w:hAnsi="Times New Roman" w:eastAsia="黑体"/>
          <w:b w:val="0"/>
          <w:bCs/>
          <w:szCs w:val="21"/>
        </w:rPr>
        <w:t>.4</w:t>
      </w:r>
      <w:bookmarkStart w:id="316" w:name="_Toc276301530"/>
      <w:bookmarkStart w:id="317" w:name="_Toc279695211"/>
      <w:bookmarkStart w:id="318" w:name="_Toc276490920"/>
      <w:bookmarkStart w:id="319" w:name="_Toc282433762"/>
      <w:bookmarkStart w:id="320" w:name="_Toc276492438"/>
      <w:bookmarkStart w:id="321" w:name="_Toc384341037"/>
      <w:bookmarkStart w:id="322" w:name="_Toc282993366"/>
      <w:r>
        <w:rPr>
          <w:rFonts w:hint="eastAsia" w:ascii="Times New Roman" w:hAnsi="Times New Roman" w:eastAsia="黑体"/>
          <w:b w:val="0"/>
          <w:bCs/>
          <w:szCs w:val="21"/>
        </w:rPr>
        <w:t xml:space="preserve"> 安装</w:t>
      </w:r>
      <w:bookmarkEnd w:id="311"/>
      <w:bookmarkEnd w:id="312"/>
      <w:bookmarkEnd w:id="313"/>
      <w:bookmarkEnd w:id="316"/>
      <w:bookmarkEnd w:id="317"/>
      <w:bookmarkEnd w:id="318"/>
      <w:bookmarkEnd w:id="319"/>
      <w:bookmarkEnd w:id="320"/>
      <w:bookmarkEnd w:id="321"/>
      <w:bookmarkEnd w:id="322"/>
      <w:r>
        <w:rPr>
          <w:rFonts w:hint="eastAsia" w:ascii="Times New Roman" w:hAnsi="Times New Roman" w:eastAsia="黑体"/>
          <w:b w:val="0"/>
          <w:bCs/>
          <w:szCs w:val="21"/>
        </w:rPr>
        <w:t>及调试及技术培训</w:t>
      </w:r>
      <w:bookmarkEnd w:id="314"/>
      <w:bookmarkEnd w:id="315"/>
    </w:p>
    <w:p w14:paraId="6787559F">
      <w:pPr>
        <w:spacing w:line="360" w:lineRule="auto"/>
        <w:ind w:firstLine="420" w:firstLineChars="200"/>
        <w:rPr>
          <w:szCs w:val="21"/>
        </w:rPr>
      </w:pPr>
      <w:r>
        <w:rPr>
          <w:rFonts w:hint="eastAsia"/>
          <w:szCs w:val="21"/>
        </w:rPr>
        <w:t>制造厂在安装和启动时应安排技术人员免费提供现场安装及调试服务，并有对运行人员提供相关培训的义务。</w:t>
      </w:r>
    </w:p>
    <w:p w14:paraId="4DEC9711">
      <w:pPr>
        <w:spacing w:line="360" w:lineRule="auto"/>
        <w:ind w:firstLine="420" w:firstLineChars="200"/>
        <w:rPr>
          <w:szCs w:val="21"/>
        </w:rPr>
      </w:pPr>
      <w:r>
        <w:rPr>
          <w:rFonts w:hint="eastAsia"/>
          <w:szCs w:val="21"/>
        </w:rPr>
        <w:t>技术培训</w:t>
      </w:r>
    </w:p>
    <w:p w14:paraId="086C4D02">
      <w:pPr>
        <w:spacing w:line="360" w:lineRule="auto"/>
        <w:ind w:firstLine="420" w:firstLineChars="200"/>
        <w:rPr>
          <w:szCs w:val="21"/>
        </w:rPr>
      </w:pPr>
      <w:r>
        <w:rPr>
          <w:rFonts w:hint="eastAsia"/>
          <w:szCs w:val="21"/>
        </w:rPr>
        <w:t>8.4.1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3DD2F36F">
      <w:pPr>
        <w:spacing w:line="360" w:lineRule="auto"/>
        <w:ind w:firstLine="420" w:firstLineChars="200"/>
        <w:rPr>
          <w:szCs w:val="21"/>
        </w:rPr>
      </w:pPr>
      <w:r>
        <w:rPr>
          <w:rFonts w:hint="eastAsia"/>
          <w:szCs w:val="21"/>
        </w:rPr>
        <w:t>8.4.2 投标方提供培训应分为工厂培训和现场培训两种；</w:t>
      </w:r>
    </w:p>
    <w:p w14:paraId="60D1BB85">
      <w:pPr>
        <w:spacing w:line="360" w:lineRule="auto"/>
        <w:ind w:firstLine="420" w:firstLineChars="200"/>
        <w:rPr>
          <w:szCs w:val="21"/>
        </w:rPr>
      </w:pPr>
      <w:r>
        <w:rPr>
          <w:rFonts w:hint="eastAsia"/>
          <w:szCs w:val="21"/>
        </w:rPr>
        <w:t>8.4.3 投标方提供培训教师、培训安排、培训教材及培训设备；</w:t>
      </w:r>
    </w:p>
    <w:p w14:paraId="6913C11E">
      <w:pPr>
        <w:spacing w:line="360" w:lineRule="auto"/>
        <w:ind w:firstLine="420" w:firstLineChars="200"/>
        <w:rPr>
          <w:szCs w:val="21"/>
        </w:rPr>
      </w:pPr>
      <w:r>
        <w:rPr>
          <w:rFonts w:hint="eastAsia"/>
          <w:szCs w:val="21"/>
        </w:rPr>
        <w:t>8.4.4 投标方应设计专门的培训课程，重点包括飞行器的整体使用方法，数据上传处理，常见故障排查处理等。培训内容包括以上但不限于此。</w:t>
      </w:r>
    </w:p>
    <w:p w14:paraId="35E49A01">
      <w:pPr>
        <w:spacing w:line="360" w:lineRule="auto"/>
        <w:ind w:firstLine="420" w:firstLineChars="200"/>
        <w:rPr>
          <w:szCs w:val="21"/>
        </w:rPr>
      </w:pPr>
      <w:r>
        <w:rPr>
          <w:rFonts w:hint="eastAsia"/>
          <w:szCs w:val="21"/>
        </w:rPr>
        <w:t>8.4.5 培训时间不少2天。其中，交货后招标方所需开展培训的分子公司、基层单位、班站所各进行不少于2天时间的培训。</w:t>
      </w:r>
    </w:p>
    <w:p w14:paraId="1DF4E6BE">
      <w:pPr>
        <w:ind w:firstLine="420" w:firstLineChars="200"/>
        <w:rPr>
          <w:szCs w:val="21"/>
        </w:rPr>
      </w:pPr>
      <w:r>
        <w:rPr>
          <w:rFonts w:hint="eastAsia"/>
          <w:szCs w:val="21"/>
        </w:rPr>
        <w:t>8.4.6培训人员每次不少3人；</w:t>
      </w:r>
      <w:bookmarkStart w:id="323" w:name="_Toc76025500"/>
      <w:bookmarkStart w:id="324" w:name="_Toc219451498"/>
      <w:bookmarkStart w:id="325" w:name="_Toc23280"/>
      <w:bookmarkStart w:id="326" w:name="_Toc16410"/>
    </w:p>
    <w:bookmarkEnd w:id="323"/>
    <w:bookmarkEnd w:id="324"/>
    <w:bookmarkEnd w:id="325"/>
    <w:bookmarkEnd w:id="326"/>
    <w:p w14:paraId="5744BA59">
      <w:pPr>
        <w:spacing w:line="360" w:lineRule="auto"/>
        <w:ind w:firstLine="420" w:firstLineChars="200"/>
        <w:rPr>
          <w:szCs w:val="21"/>
        </w:rPr>
      </w:pPr>
      <w:r>
        <w:rPr>
          <w:rFonts w:hint="eastAsia"/>
          <w:szCs w:val="21"/>
        </w:rPr>
        <w:t>8.4.7投标方派出的工程师，在设备的安装接线、调试和测试期间，应负责指导。</w:t>
      </w:r>
    </w:p>
    <w:p w14:paraId="02ADD26F">
      <w:pPr>
        <w:spacing w:line="360" w:lineRule="auto"/>
        <w:ind w:firstLine="420" w:firstLineChars="200"/>
        <w:rPr>
          <w:szCs w:val="21"/>
        </w:rPr>
      </w:pPr>
      <w:r>
        <w:rPr>
          <w:rFonts w:hint="eastAsia"/>
          <w:szCs w:val="21"/>
        </w:rPr>
        <w:t>8.4.8 投标方派出的工程师，还应负责对买方的安装及维护人员进行现场培训，教会他们如何启动、操作及维护设备。</w:t>
      </w:r>
    </w:p>
    <w:p w14:paraId="616EA797">
      <w:pPr>
        <w:spacing w:line="360" w:lineRule="auto"/>
        <w:ind w:firstLine="420" w:firstLineChars="200"/>
        <w:rPr>
          <w:szCs w:val="21"/>
        </w:rPr>
      </w:pPr>
      <w:r>
        <w:rPr>
          <w:rFonts w:hint="eastAsia"/>
          <w:szCs w:val="21"/>
        </w:rPr>
        <w:t>8.4.9 投标方应免费提供远程技术服务，远程技术服务项目期限不受限于保修期，远程技术服务在设备报废前有效。</w:t>
      </w:r>
    </w:p>
    <w:p w14:paraId="6D203FB2">
      <w:pPr>
        <w:spacing w:line="360" w:lineRule="auto"/>
        <w:ind w:firstLine="420" w:firstLineChars="200"/>
        <w:rPr>
          <w:szCs w:val="21"/>
        </w:rPr>
      </w:pPr>
      <w:r>
        <w:rPr>
          <w:rFonts w:hint="eastAsia"/>
          <w:szCs w:val="21"/>
        </w:rPr>
        <w:t xml:space="preserve">8.4.10 </w:t>
      </w:r>
      <w:r>
        <w:rPr>
          <w:rFonts w:hint="eastAsia" w:ascii="宋体" w:hAnsi="宋体" w:cs="宋体"/>
          <w:szCs w:val="21"/>
        </w:rPr>
        <w:t>招标方通过网络直播等方式每年组织1次设备使用及日常维护培训课程。</w:t>
      </w:r>
    </w:p>
    <w:p w14:paraId="09387977">
      <w:pPr>
        <w:pStyle w:val="3"/>
        <w:spacing w:before="0" w:after="0" w:line="360" w:lineRule="auto"/>
        <w:rPr>
          <w:rFonts w:ascii="Times New Roman" w:hAnsi="Times New Roman" w:eastAsia="黑体"/>
          <w:b w:val="0"/>
          <w:bCs/>
          <w:szCs w:val="21"/>
        </w:rPr>
      </w:pPr>
      <w:bookmarkStart w:id="327" w:name="_Toc3400"/>
      <w:bookmarkStart w:id="328" w:name="_Toc495916666"/>
      <w:bookmarkStart w:id="329" w:name="_Toc282993367"/>
      <w:bookmarkStart w:id="330" w:name="_Toc282433763"/>
      <w:bookmarkStart w:id="331" w:name="_Toc222996036"/>
      <w:bookmarkStart w:id="332" w:name="_Toc229216734"/>
      <w:bookmarkStart w:id="333" w:name="_Toc384341038"/>
      <w:bookmarkStart w:id="334" w:name="_Toc72859338"/>
      <w:r>
        <w:rPr>
          <w:rFonts w:ascii="Times New Roman" w:hAnsi="Times New Roman" w:eastAsia="黑体"/>
          <w:b w:val="0"/>
          <w:bCs/>
          <w:szCs w:val="21"/>
        </w:rPr>
        <w:t>8</w:t>
      </w:r>
      <w:r>
        <w:rPr>
          <w:rFonts w:hint="eastAsia" w:ascii="Times New Roman" w:hAnsi="Times New Roman" w:eastAsia="黑体"/>
          <w:b w:val="0"/>
          <w:bCs/>
          <w:szCs w:val="21"/>
        </w:rPr>
        <w:t>.5 质量保证</w:t>
      </w:r>
      <w:bookmarkEnd w:id="327"/>
      <w:bookmarkEnd w:id="328"/>
      <w:bookmarkEnd w:id="329"/>
      <w:bookmarkEnd w:id="330"/>
      <w:bookmarkEnd w:id="331"/>
      <w:bookmarkEnd w:id="332"/>
      <w:bookmarkEnd w:id="333"/>
      <w:bookmarkEnd w:id="334"/>
    </w:p>
    <w:p w14:paraId="56988FFD">
      <w:pPr>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1）全部设备必须是全新的，持久耐用的，应满足作为一个完整产品所能满足的全部要求。投标方应保证设备在规定的使用条件下运行、并按使用说明书进行安装和维护、预期寿命应不少于5年</w:t>
      </w:r>
      <w:r>
        <w:rPr>
          <w:szCs w:val="21"/>
        </w:rPr>
        <w:t>。</w:t>
      </w:r>
    </w:p>
    <w:p w14:paraId="35D8BADF">
      <w:pPr>
        <w:spacing w:line="360" w:lineRule="auto"/>
        <w:ind w:firstLine="420" w:firstLineChars="200"/>
        <w:rPr>
          <w:szCs w:val="21"/>
        </w:rPr>
      </w:pPr>
      <w:r>
        <w:rPr>
          <w:rFonts w:hint="eastAsia"/>
          <w:szCs w:val="21"/>
        </w:rPr>
        <w:t>2）投标方应对其整组设备在到货后提供不少于3年的“三包”质量保证。质保期之后如发生产品质量原因导致的损坏，投标方应免费更换或检修；如发生非产品质量原因导致的损坏，投标方应及时提供维修部件，并按最近的投标价提供。</w:t>
      </w:r>
    </w:p>
    <w:p w14:paraId="5685CE4F">
      <w:pPr>
        <w:spacing w:line="360" w:lineRule="auto"/>
        <w:ind w:firstLine="420" w:firstLineChars="200"/>
        <w:rPr>
          <w:szCs w:val="21"/>
        </w:rPr>
      </w:pPr>
      <w:r>
        <w:rPr>
          <w:rFonts w:hint="eastAsia"/>
          <w:szCs w:val="21"/>
        </w:rPr>
        <w:t>3）订购的新型产品除应满足本技术规范外，投标方还应提供该产品的鉴定证书。</w:t>
      </w:r>
    </w:p>
    <w:p w14:paraId="6648899C">
      <w:pPr>
        <w:spacing w:line="360" w:lineRule="auto"/>
        <w:ind w:firstLine="420" w:firstLineChars="200"/>
        <w:rPr>
          <w:szCs w:val="21"/>
        </w:rPr>
      </w:pPr>
      <w:r>
        <w:rPr>
          <w:rFonts w:hint="eastAsia"/>
          <w:szCs w:val="21"/>
        </w:rPr>
        <w:t>4）投标方应保证制造过程中的所有工艺、材料试验等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均应符合本规范的规定。若需根据运行经验指定投标方提供某种外购零部件，投标方应积极配合。</w:t>
      </w:r>
    </w:p>
    <w:p w14:paraId="07D40882">
      <w:pPr>
        <w:spacing w:line="360" w:lineRule="auto"/>
        <w:ind w:firstLine="420" w:firstLineChars="200"/>
        <w:rPr>
          <w:szCs w:val="21"/>
        </w:rPr>
      </w:pPr>
      <w:r>
        <w:rPr>
          <w:rFonts w:hint="eastAsia"/>
          <w:szCs w:val="21"/>
        </w:rPr>
        <w:t>5）附属及配套设备必须满足有关行业标准的要求，并提供试验报告和产品合格证。</w:t>
      </w:r>
    </w:p>
    <w:p w14:paraId="6C5706BD">
      <w:pPr>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61AA849B">
      <w:pPr>
        <w:spacing w:line="360" w:lineRule="auto"/>
        <w:ind w:firstLine="420" w:firstLineChars="200"/>
        <w:rPr>
          <w:szCs w:val="21"/>
        </w:rPr>
      </w:pPr>
      <w:r>
        <w:rPr>
          <w:rFonts w:hint="eastAsia"/>
          <w:szCs w:val="21"/>
        </w:rPr>
        <w:t>6）投标方应有遵守本标准中各条款和工作项目的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65AE2990">
      <w:pPr>
        <w:pStyle w:val="3"/>
        <w:spacing w:before="0" w:after="0" w:line="360" w:lineRule="auto"/>
        <w:rPr>
          <w:rFonts w:ascii="Times New Roman" w:hAnsi="Times New Roman" w:eastAsia="黑体"/>
          <w:b w:val="0"/>
          <w:bCs/>
          <w:szCs w:val="21"/>
        </w:rPr>
      </w:pPr>
      <w:bookmarkStart w:id="335" w:name="_Toc72859339"/>
      <w:bookmarkStart w:id="336" w:name="_Toc229216735"/>
      <w:bookmarkStart w:id="337" w:name="_Toc26296"/>
      <w:bookmarkStart w:id="338" w:name="_Toc29281"/>
      <w:bookmarkStart w:id="339" w:name="_Toc222996037"/>
      <w:bookmarkStart w:id="340" w:name="_Toc1296"/>
      <w:r>
        <w:rPr>
          <w:rFonts w:ascii="Times New Roman" w:hAnsi="Times New Roman" w:eastAsia="黑体"/>
          <w:b w:val="0"/>
          <w:bCs/>
          <w:szCs w:val="21"/>
        </w:rPr>
        <w:t>8</w:t>
      </w:r>
      <w:r>
        <w:rPr>
          <w:rFonts w:hint="eastAsia" w:ascii="Times New Roman" w:hAnsi="Times New Roman" w:eastAsia="黑体"/>
          <w:b w:val="0"/>
          <w:bCs/>
          <w:szCs w:val="21"/>
        </w:rPr>
        <w:t>.6</w:t>
      </w:r>
      <w:r>
        <w:rPr>
          <w:rFonts w:ascii="Times New Roman" w:hAnsi="Times New Roman" w:eastAsia="黑体"/>
          <w:b w:val="0"/>
          <w:bCs/>
          <w:szCs w:val="21"/>
        </w:rPr>
        <w:t xml:space="preserve"> </w:t>
      </w:r>
      <w:r>
        <w:rPr>
          <w:rFonts w:hint="eastAsia" w:ascii="Times New Roman" w:hAnsi="Times New Roman" w:eastAsia="黑体"/>
          <w:b w:val="0"/>
          <w:bCs/>
          <w:szCs w:val="21"/>
        </w:rPr>
        <w:t>售后服务</w:t>
      </w:r>
      <w:bookmarkEnd w:id="335"/>
      <w:bookmarkEnd w:id="336"/>
      <w:bookmarkEnd w:id="337"/>
      <w:bookmarkEnd w:id="338"/>
      <w:bookmarkEnd w:id="339"/>
      <w:bookmarkEnd w:id="340"/>
    </w:p>
    <w:p w14:paraId="657D71CC">
      <w:pPr>
        <w:spacing w:line="360" w:lineRule="auto"/>
        <w:ind w:firstLine="420" w:firstLineChars="200"/>
        <w:rPr>
          <w:szCs w:val="21"/>
        </w:rPr>
      </w:pPr>
      <w:r>
        <w:rPr>
          <w:szCs w:val="21"/>
        </w:rPr>
        <w:t>1）投标方应派代表到现场指导安装、调试和运行，并负责解决合同设备制造及性能等方面的有关问题，详细解答合同范围内招标方提出的问题。</w:t>
      </w:r>
    </w:p>
    <w:p w14:paraId="18837BF3">
      <w:pPr>
        <w:spacing w:line="360" w:lineRule="auto"/>
        <w:ind w:firstLine="420" w:firstLineChars="200"/>
        <w:rPr>
          <w:szCs w:val="21"/>
        </w:rPr>
      </w:pPr>
      <w:r>
        <w:rPr>
          <w:szCs w:val="21"/>
        </w:rPr>
        <w:t>2）在产品</w:t>
      </w:r>
      <w:r>
        <w:rPr>
          <w:rFonts w:hint="eastAsia"/>
          <w:szCs w:val="21"/>
        </w:rPr>
        <w:t>自对账单全部设备到货验收合格并移交之日起不短于正常运行三年内为质保期（供方承诺的质保期若长于上述时间，则按承诺时间执行）</w:t>
      </w:r>
      <w:r>
        <w:rPr>
          <w:szCs w:val="21"/>
        </w:rPr>
        <w:t>，保质期内配件或设备损坏，由投标方负责免费修理或更换</w:t>
      </w:r>
      <w:r>
        <w:rPr>
          <w:rFonts w:hint="eastAsia"/>
          <w:szCs w:val="21"/>
        </w:rPr>
        <w:t>，保质期内涉及的系统软件维护、升级，由投标方负责免费完成；</w:t>
      </w:r>
      <w:r>
        <w:rPr>
          <w:szCs w:val="21"/>
        </w:rPr>
        <w:t>超过保质期有配件或设备损坏，投标方有优先提供配件和修理的义务；</w:t>
      </w:r>
    </w:p>
    <w:p w14:paraId="0736CEC8">
      <w:pPr>
        <w:spacing w:line="360" w:lineRule="auto"/>
        <w:ind w:firstLine="420" w:firstLineChars="200"/>
        <w:rPr>
          <w:szCs w:val="21"/>
        </w:rPr>
      </w:pPr>
      <w:r>
        <w:rPr>
          <w:szCs w:val="21"/>
        </w:rPr>
        <w:t>3）对招标方选购的与本合同设备有关的配套设备（如备品备件及专用工具等），投标方有提供技术配合的义务，并不由此而增加任何费用。投标方需填写5年内需正常更换的备件、工器具及数量由招标方选购，具体费用不需要厂家报价，待需要采购时由招标方与投标方商谈，未列的由厂家免费更换。</w:t>
      </w:r>
    </w:p>
    <w:p w14:paraId="5CA7764B">
      <w:pPr>
        <w:spacing w:line="360" w:lineRule="auto"/>
        <w:ind w:firstLine="420" w:firstLineChars="200"/>
        <w:rPr>
          <w:szCs w:val="21"/>
        </w:rPr>
      </w:pPr>
      <w:r>
        <w:rPr>
          <w:szCs w:val="21"/>
        </w:rPr>
        <w:t>4）投标方应提供</w:t>
      </w:r>
      <w:r>
        <w:rPr>
          <w:rFonts w:hint="eastAsia"/>
          <w:szCs w:val="21"/>
        </w:rPr>
        <w:t>全天候</w:t>
      </w:r>
      <w:r>
        <w:rPr>
          <w:szCs w:val="21"/>
        </w:rPr>
        <w:t>技术支持服务，包括设备使用状态、故障处理和远程支持。</w:t>
      </w:r>
    </w:p>
    <w:p w14:paraId="1F71F876">
      <w:pPr>
        <w:spacing w:line="360" w:lineRule="auto"/>
        <w:ind w:firstLine="420" w:firstLineChars="200"/>
        <w:rPr>
          <w:szCs w:val="21"/>
        </w:rPr>
      </w:pPr>
      <w:r>
        <w:rPr>
          <w:szCs w:val="21"/>
        </w:rPr>
        <w:t>5）投诉处理保证：承诺在收到有关设备质量、服务质量或技术支持质量的投诉后立即作出反应，派专人赶赴现场处理，并向使用方提交有关处理报告。</w:t>
      </w:r>
    </w:p>
    <w:p w14:paraId="725578D7">
      <w:pPr>
        <w:spacing w:line="360" w:lineRule="auto"/>
        <w:ind w:firstLine="420" w:firstLineChars="200"/>
        <w:rPr>
          <w:szCs w:val="21"/>
        </w:rPr>
      </w:pPr>
      <w:r>
        <w:rPr>
          <w:szCs w:val="21"/>
        </w:rPr>
        <w:t>6）装置投运后，招标方按年对装置的运行率进行统计，对于装置运行率低于9</w:t>
      </w:r>
      <w:r>
        <w:rPr>
          <w:rFonts w:hint="eastAsia"/>
          <w:szCs w:val="21"/>
        </w:rPr>
        <w:t>5</w:t>
      </w:r>
      <w:r>
        <w:rPr>
          <w:szCs w:val="21"/>
        </w:rPr>
        <w:t>%，招标方有权对质保金进行扣减、将装置质保期延长1年或要求投标方以其它形式承担相应违约责任。</w:t>
      </w:r>
    </w:p>
    <w:p w14:paraId="5409D63A">
      <w:pPr>
        <w:spacing w:line="360" w:lineRule="auto"/>
        <w:ind w:firstLine="420" w:firstLineChars="200"/>
        <w:rPr>
          <w:szCs w:val="21"/>
        </w:rPr>
      </w:pPr>
      <w:r>
        <w:rPr>
          <w:szCs w:val="21"/>
        </w:rPr>
        <w:t>7）在质保期内，装置不能按条款规定实现本技术条件书约定的功能，投标方应查明原因，出具报告，如果是因装置或附属设备异常，则投标方负责免费更换该装置，并应根据投标方要求的时限完成更换。如果造成投标方其他损失的，投标方有权对质保金进行扣减或要求投标方以其它形式承担相应违约责任。</w:t>
      </w:r>
    </w:p>
    <w:p w14:paraId="186C4E4F">
      <w:pPr>
        <w:spacing w:line="360" w:lineRule="auto"/>
        <w:ind w:firstLine="420" w:firstLineChars="200"/>
        <w:rPr>
          <w:szCs w:val="21"/>
        </w:rPr>
      </w:pPr>
      <w:r>
        <w:rPr>
          <w:szCs w:val="21"/>
        </w:rPr>
        <w:t>8）系统诊断软件终身免费升级，并有规范的版本管理；</w:t>
      </w:r>
    </w:p>
    <w:p w14:paraId="0E04DB02">
      <w:pPr>
        <w:spacing w:line="360" w:lineRule="auto"/>
        <w:ind w:firstLine="420" w:firstLineChars="200"/>
        <w:rPr>
          <w:szCs w:val="21"/>
        </w:rPr>
      </w:pPr>
      <w:r>
        <w:rPr>
          <w:szCs w:val="21"/>
        </w:rPr>
        <w:t>9）</w:t>
      </w:r>
      <w:r>
        <w:rPr>
          <w:rFonts w:hint="eastAsia"/>
          <w:szCs w:val="21"/>
        </w:rPr>
        <w:t>机巢由中标方</w:t>
      </w:r>
      <w:r>
        <w:rPr>
          <w:szCs w:val="21"/>
        </w:rPr>
        <w:t>每年定期现场校准及维护一次，当监测传感器测量值长期为零（如</w:t>
      </w:r>
      <w:r>
        <w:rPr>
          <w:rFonts w:hint="eastAsia"/>
          <w:szCs w:val="21"/>
        </w:rPr>
        <w:t>雨量、风速</w:t>
      </w:r>
      <w:r>
        <w:rPr>
          <w:szCs w:val="21"/>
        </w:rPr>
        <w:t>），要求厂家根据招标方需要在现场免费对系统进行校准标定；</w:t>
      </w:r>
    </w:p>
    <w:p w14:paraId="6B5298F1">
      <w:pPr>
        <w:spacing w:line="360" w:lineRule="auto"/>
        <w:ind w:firstLine="420" w:firstLineChars="200"/>
        <w:rPr>
          <w:szCs w:val="21"/>
        </w:rPr>
      </w:pPr>
      <w:r>
        <w:rPr>
          <w:szCs w:val="21"/>
        </w:rPr>
        <w:t>10）系统出现误报，投标方必须对抗干扰性能进行免费整改，包括需重新对屏蔽措施、软件性能等进行整改；</w:t>
      </w:r>
    </w:p>
    <w:p w14:paraId="5AC23EC0">
      <w:pPr>
        <w:spacing w:line="360" w:lineRule="auto"/>
        <w:ind w:firstLine="420" w:firstLineChars="200"/>
        <w:rPr>
          <w:szCs w:val="21"/>
        </w:rPr>
      </w:pPr>
      <w:r>
        <w:rPr>
          <w:szCs w:val="21"/>
        </w:rPr>
        <w:t>11）软件系统必须能根据用户要求对软件功能进行修改，包括进口产品。</w:t>
      </w:r>
    </w:p>
    <w:p w14:paraId="68EE267C">
      <w:pPr>
        <w:spacing w:line="360" w:lineRule="auto"/>
        <w:ind w:firstLine="420" w:firstLineChars="200"/>
        <w:rPr>
          <w:szCs w:val="21"/>
        </w:rPr>
      </w:pPr>
      <w:r>
        <w:rPr>
          <w:szCs w:val="21"/>
        </w:rPr>
        <w:t>12）在质保期内，投标方还应提供撰写季度、年度运行报告的免费服务。在质保期内每年免费现场服务不少于1次（不限于每年运行现场校准、硬件维修或更换、软件升级、数据维护服务等）</w:t>
      </w:r>
      <w:r>
        <w:rPr>
          <w:rFonts w:hint="eastAsia"/>
          <w:szCs w:val="21"/>
        </w:rPr>
        <w:t>。</w:t>
      </w:r>
    </w:p>
    <w:p w14:paraId="3486821F">
      <w:pPr>
        <w:spacing w:line="360" w:lineRule="auto"/>
        <w:ind w:firstLine="420" w:firstLineChars="200"/>
        <w:rPr>
          <w:szCs w:val="21"/>
        </w:rPr>
      </w:pPr>
      <w:r>
        <w:rPr>
          <w:rFonts w:hint="eastAsia"/>
          <w:szCs w:val="21"/>
        </w:rPr>
        <w:t>1</w:t>
      </w:r>
      <w:r>
        <w:rPr>
          <w:rFonts w:hint="eastAsia"/>
          <w:szCs w:val="21"/>
          <w:lang w:val="en-US" w:eastAsia="zh-CN"/>
        </w:rPr>
        <w:t>3</w:t>
      </w:r>
      <w:bookmarkStart w:id="345" w:name="_GoBack"/>
      <w:bookmarkEnd w:id="345"/>
      <w:r>
        <w:rPr>
          <w:rFonts w:hint="eastAsia"/>
          <w:szCs w:val="21"/>
        </w:rPr>
        <w:t>）投标单位应提高售后处理服务水平和质量，质保期内在接到使用单位报障后，应在15日内处理完毕，确保使用单位策略按时完成。</w:t>
      </w:r>
    </w:p>
    <w:p w14:paraId="273AB1FC">
      <w:pPr>
        <w:pStyle w:val="3"/>
        <w:spacing w:before="0" w:after="0" w:line="360" w:lineRule="auto"/>
        <w:rPr>
          <w:rFonts w:ascii="Times New Roman" w:hAnsi="Times New Roman" w:eastAsia="黑体"/>
          <w:b w:val="0"/>
          <w:bCs/>
          <w:szCs w:val="21"/>
        </w:rPr>
      </w:pPr>
      <w:bookmarkStart w:id="341" w:name="_Toc229216736"/>
      <w:bookmarkStart w:id="342" w:name="_Toc222996038"/>
      <w:bookmarkStart w:id="343" w:name="_Toc23887"/>
      <w:bookmarkStart w:id="344" w:name="_Toc21661"/>
      <w:r>
        <w:rPr>
          <w:rFonts w:ascii="Times New Roman" w:hAnsi="Times New Roman" w:eastAsia="黑体"/>
          <w:b w:val="0"/>
          <w:bCs/>
          <w:szCs w:val="21"/>
        </w:rPr>
        <w:t xml:space="preserve">8.7 </w:t>
      </w:r>
      <w:r>
        <w:rPr>
          <w:rFonts w:hint="eastAsia" w:ascii="Times New Roman" w:hAnsi="Times New Roman" w:eastAsia="黑体"/>
          <w:b w:val="0"/>
          <w:bCs/>
          <w:szCs w:val="21"/>
        </w:rPr>
        <w:t>设备验收</w:t>
      </w:r>
      <w:bookmarkEnd w:id="341"/>
      <w:bookmarkEnd w:id="342"/>
      <w:bookmarkEnd w:id="343"/>
      <w:bookmarkEnd w:id="344"/>
    </w:p>
    <w:p w14:paraId="11CAD868">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2DDCC8AD">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0A0B65D9">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724EF6DE">
      <w:pPr>
        <w:spacing w:line="360" w:lineRule="auto"/>
        <w:ind w:firstLine="420" w:firstLineChars="200"/>
        <w:rPr>
          <w:rFonts w:hint="eastAsia" w:ascii="宋体" w:hAnsi="宋体"/>
          <w:sz w:val="2"/>
          <w:szCs w:val="2"/>
        </w:rPr>
      </w:pPr>
      <w:r>
        <w:rPr>
          <w:rFonts w:hint="eastAsia" w:ascii="宋体" w:hAnsi="宋体" w:cs="宋体"/>
          <w:szCs w:val="21"/>
        </w:rPr>
        <w:t>c.验收时若发现设备或附件存在由中标方造成的缺陷或不符合本技术条件要求时，中标方应无条件更换设备或附件。</w:t>
      </w:r>
    </w:p>
    <w:sectPr>
      <w:footerReference r:id="rId11"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ˎ̥">
    <w:altName w:val="Segoe Print"/>
    <w:panose1 w:val="00000000000000000000"/>
    <w:charset w:val="00"/>
    <w:family w:val="roman"/>
    <w:pitch w:val="default"/>
    <w:sig w:usb0="00000000" w:usb1="00000000" w:usb2="00000000"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00006FF" w:usb1="4000205B" w:usb2="00000010" w:usb3="00000000" w:csb0="2000019F" w:csb1="00000000"/>
  </w:font>
  <w:font w:name="Book Antiqua">
    <w:altName w:val="Segoe Print"/>
    <w:panose1 w:val="02040602050305030304"/>
    <w:charset w:val="00"/>
    <w:family w:val="roman"/>
    <w:pitch w:val="default"/>
    <w:sig w:usb0="00000000" w:usb1="00000000" w:usb2="00000000" w:usb3="00000000" w:csb0="0000009F" w:csb1="00000000"/>
  </w:font>
  <w:font w:name="方正书宋简体">
    <w:altName w:val="宋体"/>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08AD8">
    <w:pPr>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729B47A6">
    <w:pP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DB8CE">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31FCB">
    <w:pPr>
      <w:framePr w:wrap="around" w:vAnchor="text" w:hAnchor="margin" w:xAlign="right" w:y="1"/>
    </w:pPr>
    <w:r>
      <w:fldChar w:fldCharType="begin"/>
    </w:r>
    <w:r>
      <w:instrText xml:space="preserve">PAGE  </w:instrText>
    </w:r>
    <w:r>
      <w:fldChar w:fldCharType="separate"/>
    </w:r>
    <w:r>
      <w:t>2</w:t>
    </w:r>
    <w:r>
      <w:fldChar w:fldCharType="end"/>
    </w:r>
  </w:p>
  <w:p w14:paraId="6467A581">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BFADF">
    <w:pPr>
      <w:framePr w:wrap="around" w:vAnchor="text" w:hAnchor="margin" w:xAlign="right" w:y="1"/>
    </w:pPr>
    <w:r>
      <w:fldChar w:fldCharType="begin"/>
    </w:r>
    <w:r>
      <w:instrText xml:space="preserve">PAGE  </w:instrText>
    </w:r>
    <w:r>
      <w:fldChar w:fldCharType="end"/>
    </w:r>
  </w:p>
  <w:p w14:paraId="463407F1">
    <w:pP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E1251">
    <w:pPr>
      <w:jc w:val="center"/>
    </w:pPr>
    <w:r>
      <w:fldChar w:fldCharType="begin"/>
    </w:r>
    <w:r>
      <w:instrText xml:space="preserve">PAGE   \* MERGEFORMAT</w:instrText>
    </w:r>
    <w:r>
      <w:fldChar w:fldCharType="separate"/>
    </w:r>
    <w:r>
      <w:rPr>
        <w:lang w:val="zh-CN"/>
      </w:rPr>
      <w:t>14</w:t>
    </w:r>
    <w:r>
      <w:fldChar w:fldCharType="end"/>
    </w:r>
  </w:p>
  <w:p w14:paraId="31E16EB1">
    <w:pPr>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DCDEF">
    <w:pPr>
      <w:pStyle w:val="24"/>
      <w:rPr>
        <w:rFonts w:hint="eastAsia"/>
      </w:rPr>
    </w:pPr>
    <w:r>
      <w:rPr>
        <w:rFonts w:hint="eastAsia"/>
      </w:rPr>
      <w:t>微型固定式无人机机巢及相关附件技术规范书（通用部分）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FA1C7">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EC934">
    <w:pPr>
      <w:pStyle w:val="37"/>
      <w:spacing w:after="160" w:line="259" w:lineRule="auto"/>
    </w:pPr>
    <w:r>
      <w:rPr>
        <w:rFonts w:hint="eastAsia"/>
      </w:rPr>
      <w:t>微型固定式无人机机巢及相关附件（无人机机巢）</w:t>
    </w:r>
    <w:r>
      <w:t>技术规范书（通用部分）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3C135">
    <w:pPr>
      <w:pStyle w:val="37"/>
      <w:spacing w:after="160" w:line="259" w:lineRule="auto"/>
    </w:pPr>
    <w:r>
      <w:rPr>
        <w:rFonts w:hint="eastAsia"/>
      </w:rPr>
      <w:t>微型固定式无人机机巢及相关附件（无人机机巢）</w:t>
    </w:r>
    <w:r>
      <w:t>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2"/>
      <w:lvlText w:val="%1."/>
      <w:lvlJc w:val="left"/>
      <w:pPr>
        <w:tabs>
          <w:tab w:val="left" w:pos="780"/>
        </w:tabs>
        <w:ind w:left="780" w:hanging="360"/>
      </w:pPr>
    </w:lvl>
  </w:abstractNum>
  <w:abstractNum w:abstractNumId="1">
    <w:nsid w:val="FFFFFF88"/>
    <w:multiLevelType w:val="singleLevel"/>
    <w:tmpl w:val="FFFFFF88"/>
    <w:lvl w:ilvl="0" w:tentative="0">
      <w:start w:val="1"/>
      <w:numFmt w:val="decimal"/>
      <w:pStyle w:val="15"/>
      <w:lvlText w:val="%1."/>
      <w:lvlJc w:val="left"/>
      <w:pPr>
        <w:tabs>
          <w:tab w:val="left" w:pos="3763"/>
        </w:tabs>
        <w:ind w:left="3763" w:hanging="360"/>
      </w:pPr>
    </w:lvl>
  </w:abstractNum>
  <w:abstractNum w:abstractNumId="2">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3">
    <w:nsid w:val="0000000F"/>
    <w:multiLevelType w:val="multilevel"/>
    <w:tmpl w:val="0000000F"/>
    <w:lvl w:ilvl="0" w:tentative="0">
      <w:start w:val="1"/>
      <w:numFmt w:val="none"/>
      <w:pStyle w:val="31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374"/>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6">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6"/>
      <w:suff w:val="nothing"/>
      <w:lvlText w:val="%1%2.%3　"/>
      <w:lvlJc w:val="left"/>
      <w:pPr>
        <w:ind w:left="0" w:firstLine="0"/>
      </w:pPr>
      <w:rPr>
        <w:rFonts w:hint="eastAsia" w:ascii="黑体" w:hAnsi="Times New Roman" w:eastAsia="黑体"/>
        <w:b w:val="0"/>
        <w:i w:val="0"/>
        <w:sz w:val="21"/>
      </w:rPr>
    </w:lvl>
    <w:lvl w:ilvl="3" w:tentative="0">
      <w:start w:val="1"/>
      <w:numFmt w:val="decimal"/>
      <w:pStyle w:val="404"/>
      <w:suff w:val="nothing"/>
      <w:lvlText w:val="%1%2.%3.%4　"/>
      <w:lvlJc w:val="left"/>
      <w:pPr>
        <w:ind w:left="0" w:firstLine="0"/>
      </w:pPr>
      <w:rPr>
        <w:rFonts w:hint="eastAsia" w:ascii="黑体" w:hAnsi="Times New Roman" w:eastAsia="黑体"/>
        <w:b w:val="0"/>
        <w:i w:val="0"/>
        <w:sz w:val="21"/>
      </w:rPr>
    </w:lvl>
    <w:lvl w:ilvl="4" w:tentative="0">
      <w:start w:val="1"/>
      <w:numFmt w:val="decimal"/>
      <w:pStyle w:val="315"/>
      <w:suff w:val="nothing"/>
      <w:lvlText w:val="%1%2.%3.%4.%5　"/>
      <w:lvlJc w:val="left"/>
      <w:pPr>
        <w:ind w:left="0" w:firstLine="0"/>
      </w:pPr>
      <w:rPr>
        <w:rFonts w:hint="eastAsia" w:ascii="黑体" w:hAnsi="Times New Roman" w:eastAsia="黑体"/>
        <w:b w:val="0"/>
        <w:i w:val="0"/>
        <w:sz w:val="21"/>
      </w:rPr>
    </w:lvl>
    <w:lvl w:ilvl="5" w:tentative="0">
      <w:start w:val="1"/>
      <w:numFmt w:val="decimal"/>
      <w:pStyle w:val="233"/>
      <w:suff w:val="nothing"/>
      <w:lvlText w:val="%1%2.%3.%4.%5.%6　"/>
      <w:lvlJc w:val="left"/>
      <w:pPr>
        <w:ind w:left="0" w:firstLine="0"/>
      </w:pPr>
      <w:rPr>
        <w:rFonts w:hint="eastAsia" w:ascii="黑体" w:hAnsi="Times New Roman" w:eastAsia="黑体"/>
        <w:b w:val="0"/>
        <w:i w:val="0"/>
        <w:sz w:val="21"/>
      </w:rPr>
    </w:lvl>
    <w:lvl w:ilvl="6" w:tentative="0">
      <w:start w:val="1"/>
      <w:numFmt w:val="decimal"/>
      <w:pStyle w:val="2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79102AD"/>
    <w:multiLevelType w:val="multilevel"/>
    <w:tmpl w:val="079102AD"/>
    <w:lvl w:ilvl="0" w:tentative="0">
      <w:start w:val="1"/>
      <w:numFmt w:val="decimal"/>
      <w:pStyle w:val="36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93C6778"/>
    <w:multiLevelType w:val="multilevel"/>
    <w:tmpl w:val="093C6778"/>
    <w:lvl w:ilvl="0" w:tentative="0">
      <w:start w:val="1"/>
      <w:numFmt w:val="decimal"/>
      <w:pStyle w:val="41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0AE367E9"/>
    <w:multiLevelType w:val="multilevel"/>
    <w:tmpl w:val="0AE367E9"/>
    <w:lvl w:ilvl="0" w:tentative="0">
      <w:start w:val="1"/>
      <w:numFmt w:val="none"/>
      <w:pStyle w:val="247"/>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12CD65E8"/>
    <w:multiLevelType w:val="multilevel"/>
    <w:tmpl w:val="12CD65E8"/>
    <w:lvl w:ilvl="0" w:tentative="0">
      <w:start w:val="1"/>
      <w:numFmt w:val="decimal"/>
      <w:pStyle w:val="114"/>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384"/>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2">
    <w:nsid w:val="1DBF583A"/>
    <w:multiLevelType w:val="multilevel"/>
    <w:tmpl w:val="1DBF583A"/>
    <w:lvl w:ilvl="0" w:tentative="0">
      <w:start w:val="1"/>
      <w:numFmt w:val="decimal"/>
      <w:pStyle w:val="29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3">
    <w:nsid w:val="1E7515B2"/>
    <w:multiLevelType w:val="multilevel"/>
    <w:tmpl w:val="1E7515B2"/>
    <w:lvl w:ilvl="0" w:tentative="0">
      <w:start w:val="1"/>
      <w:numFmt w:val="lowerLetter"/>
      <w:pStyle w:val="319"/>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4">
    <w:nsid w:val="1FE246FA"/>
    <w:multiLevelType w:val="multilevel"/>
    <w:tmpl w:val="1FE246FA"/>
    <w:lvl w:ilvl="0" w:tentative="0">
      <w:start w:val="1"/>
      <w:numFmt w:val="lowerLetter"/>
      <w:pStyle w:val="325"/>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2A8F7113"/>
    <w:multiLevelType w:val="multilevel"/>
    <w:tmpl w:val="2A8F7113"/>
    <w:lvl w:ilvl="0" w:tentative="0">
      <w:start w:val="1"/>
      <w:numFmt w:val="upperLetter"/>
      <w:pStyle w:val="400"/>
      <w:suff w:val="space"/>
      <w:lvlText w:val="%1"/>
      <w:lvlJc w:val="left"/>
      <w:pPr>
        <w:ind w:left="623" w:hanging="425"/>
      </w:pPr>
      <w:rPr>
        <w:rFonts w:hint="eastAsia"/>
      </w:rPr>
    </w:lvl>
    <w:lvl w:ilvl="1" w:tentative="0">
      <w:start w:val="1"/>
      <w:numFmt w:val="decimal"/>
      <w:pStyle w:val="28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6">
    <w:nsid w:val="2C5917C3"/>
    <w:multiLevelType w:val="multilevel"/>
    <w:tmpl w:val="2C5917C3"/>
    <w:lvl w:ilvl="0" w:tentative="0">
      <w:start w:val="1"/>
      <w:numFmt w:val="none"/>
      <w:pStyle w:val="270"/>
      <w:suff w:val="nothing"/>
      <w:lvlText w:val="%1——"/>
      <w:lvlJc w:val="left"/>
      <w:pPr>
        <w:ind w:left="833" w:hanging="408"/>
      </w:pPr>
      <w:rPr>
        <w:rFonts w:hint="eastAsia"/>
      </w:rPr>
    </w:lvl>
    <w:lvl w:ilvl="1" w:tentative="0">
      <w:start w:val="1"/>
      <w:numFmt w:val="bullet"/>
      <w:pStyle w:val="290"/>
      <w:lvlText w:val=""/>
      <w:lvlJc w:val="left"/>
      <w:pPr>
        <w:tabs>
          <w:tab w:val="left" w:pos="760"/>
        </w:tabs>
        <w:ind w:left="1264" w:hanging="413"/>
      </w:pPr>
      <w:rPr>
        <w:rFonts w:hint="default" w:ascii="Symbol" w:hAnsi="Symbol"/>
        <w:color w:val="auto"/>
      </w:rPr>
    </w:lvl>
    <w:lvl w:ilvl="2" w:tentative="0">
      <w:start w:val="1"/>
      <w:numFmt w:val="bullet"/>
      <w:pStyle w:val="3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8862E23"/>
    <w:multiLevelType w:val="multilevel"/>
    <w:tmpl w:val="38862E23"/>
    <w:lvl w:ilvl="0" w:tentative="0">
      <w:start w:val="1"/>
      <w:numFmt w:val="decimal"/>
      <w:pStyle w:val="450"/>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8">
    <w:nsid w:val="390B2C3D"/>
    <w:multiLevelType w:val="multilevel"/>
    <w:tmpl w:val="390B2C3D"/>
    <w:lvl w:ilvl="0" w:tentative="0">
      <w:start w:val="1"/>
      <w:numFmt w:val="lowerLetter"/>
      <w:pStyle w:val="321"/>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0">
    <w:nsid w:val="407E65F9"/>
    <w:multiLevelType w:val="multilevel"/>
    <w:tmpl w:val="407E65F9"/>
    <w:lvl w:ilvl="0" w:tentative="0">
      <w:start w:val="1"/>
      <w:numFmt w:val="none"/>
      <w:pStyle w:val="311"/>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456E57A8"/>
    <w:multiLevelType w:val="multilevel"/>
    <w:tmpl w:val="456E57A8"/>
    <w:lvl w:ilvl="0" w:tentative="0">
      <w:start w:val="1"/>
      <w:numFmt w:val="lowerLetter"/>
      <w:pStyle w:val="371"/>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2">
    <w:nsid w:val="53553391"/>
    <w:multiLevelType w:val="multilevel"/>
    <w:tmpl w:val="53553391"/>
    <w:lvl w:ilvl="0" w:tentative="0">
      <w:start w:val="1"/>
      <w:numFmt w:val="decimal"/>
      <w:pStyle w:val="352"/>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8307737"/>
    <w:multiLevelType w:val="multilevel"/>
    <w:tmpl w:val="5830773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4">
    <w:nsid w:val="5B621A86"/>
    <w:multiLevelType w:val="multilevel"/>
    <w:tmpl w:val="5B621A86"/>
    <w:lvl w:ilvl="0" w:tentative="0">
      <w:start w:val="1"/>
      <w:numFmt w:val="bullet"/>
      <w:pStyle w:val="439"/>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5">
    <w:nsid w:val="5CAD2364"/>
    <w:multiLevelType w:val="multilevel"/>
    <w:tmpl w:val="5CAD2364"/>
    <w:lvl w:ilvl="0" w:tentative="0">
      <w:start w:val="1"/>
      <w:numFmt w:val="lowerLetter"/>
      <w:pStyle w:val="14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6">
    <w:nsid w:val="5FE2FFAA"/>
    <w:multiLevelType w:val="singleLevel"/>
    <w:tmpl w:val="5FE2FFAA"/>
    <w:lvl w:ilvl="0" w:tentative="0">
      <w:start w:val="1"/>
      <w:numFmt w:val="decimal"/>
      <w:suff w:val="nothing"/>
      <w:lvlText w:val="%1）"/>
      <w:lvlJc w:val="left"/>
    </w:lvl>
  </w:abstractNum>
  <w:abstractNum w:abstractNumId="27">
    <w:nsid w:val="60B55DC2"/>
    <w:multiLevelType w:val="multilevel"/>
    <w:tmpl w:val="60B55DC2"/>
    <w:lvl w:ilvl="0" w:tentative="0">
      <w:start w:val="1"/>
      <w:numFmt w:val="upperLetter"/>
      <w:pStyle w:val="390"/>
      <w:lvlText w:val="%1"/>
      <w:lvlJc w:val="left"/>
      <w:pPr>
        <w:tabs>
          <w:tab w:val="left" w:pos="0"/>
        </w:tabs>
        <w:ind w:left="0" w:hanging="425"/>
      </w:pPr>
      <w:rPr>
        <w:rFonts w:hint="eastAsia"/>
      </w:rPr>
    </w:lvl>
    <w:lvl w:ilvl="1" w:tentative="0">
      <w:start w:val="1"/>
      <w:numFmt w:val="decimal"/>
      <w:pStyle w:val="27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43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6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4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43"/>
      <w:suff w:val="nothing"/>
      <w:lvlText w:val="%1.%2.%3　"/>
      <w:lvlJc w:val="left"/>
      <w:pPr>
        <w:ind w:left="0" w:firstLine="0"/>
      </w:pPr>
      <w:rPr>
        <w:rFonts w:hint="eastAsia" w:ascii="黑体" w:hAnsi="Times New Roman" w:eastAsia="黑体"/>
        <w:b w:val="0"/>
        <w:i w:val="0"/>
        <w:sz w:val="21"/>
      </w:rPr>
    </w:lvl>
    <w:lvl w:ilvl="3" w:tentative="0">
      <w:start w:val="1"/>
      <w:numFmt w:val="decimal"/>
      <w:pStyle w:val="264"/>
      <w:suff w:val="nothing"/>
      <w:lvlText w:val="%1.%2.%3.%4　"/>
      <w:lvlJc w:val="left"/>
      <w:pPr>
        <w:ind w:left="0" w:firstLine="0"/>
      </w:pPr>
      <w:rPr>
        <w:rFonts w:hint="eastAsia" w:ascii="黑体" w:hAnsi="Times New Roman" w:eastAsia="黑体"/>
        <w:b w:val="0"/>
        <w:i w:val="0"/>
        <w:sz w:val="21"/>
      </w:rPr>
    </w:lvl>
    <w:lvl w:ilvl="4" w:tentative="0">
      <w:start w:val="1"/>
      <w:numFmt w:val="decimal"/>
      <w:pStyle w:val="263"/>
      <w:suff w:val="nothing"/>
      <w:lvlText w:val="%1.%2.%3.%4.%5　"/>
      <w:lvlJc w:val="left"/>
      <w:pPr>
        <w:ind w:left="0" w:firstLine="0"/>
      </w:pPr>
      <w:rPr>
        <w:rFonts w:hint="eastAsia" w:ascii="黑体" w:hAnsi="Times New Roman" w:eastAsia="黑体"/>
        <w:b w:val="0"/>
        <w:i w:val="0"/>
        <w:sz w:val="21"/>
      </w:rPr>
    </w:lvl>
    <w:lvl w:ilvl="5" w:tentative="0">
      <w:start w:val="1"/>
      <w:numFmt w:val="decimal"/>
      <w:pStyle w:val="262"/>
      <w:suff w:val="nothing"/>
      <w:lvlText w:val="%1.%2.%3.%4.%5.%6　"/>
      <w:lvlJc w:val="left"/>
      <w:pPr>
        <w:ind w:left="0" w:firstLine="0"/>
      </w:pPr>
      <w:rPr>
        <w:rFonts w:hint="eastAsia" w:ascii="黑体" w:hAnsi="Times New Roman" w:eastAsia="黑体"/>
        <w:b w:val="0"/>
        <w:i w:val="0"/>
        <w:sz w:val="21"/>
      </w:rPr>
    </w:lvl>
    <w:lvl w:ilvl="6" w:tentative="0">
      <w:start w:val="1"/>
      <w:numFmt w:val="decimal"/>
      <w:pStyle w:val="27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388"/>
      <w:lvlText w:val="%1)"/>
      <w:lvlJc w:val="left"/>
      <w:pPr>
        <w:tabs>
          <w:tab w:val="left" w:pos="839"/>
        </w:tabs>
        <w:ind w:left="0" w:firstLine="420"/>
      </w:pPr>
      <w:rPr>
        <w:rFonts w:hint="eastAsia"/>
      </w:rPr>
    </w:lvl>
    <w:lvl w:ilvl="1" w:tentative="0">
      <w:start w:val="1"/>
      <w:numFmt w:val="lowerLetter"/>
      <w:pStyle w:val="435"/>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282"/>
      <w:lvlText w:val="%1)"/>
      <w:lvlJc w:val="left"/>
      <w:pPr>
        <w:tabs>
          <w:tab w:val="left" w:pos="839"/>
        </w:tabs>
        <w:ind w:left="839" w:hanging="419"/>
      </w:pPr>
      <w:rPr>
        <w:rFonts w:hint="eastAsia" w:ascii="宋体" w:eastAsia="宋体"/>
        <w:b w:val="0"/>
        <w:i w:val="0"/>
        <w:sz w:val="21"/>
      </w:rPr>
    </w:lvl>
    <w:lvl w:ilvl="1" w:tentative="0">
      <w:start w:val="1"/>
      <w:numFmt w:val="decimal"/>
      <w:pStyle w:val="41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348"/>
      <w:lvlText w:val="%1)"/>
      <w:lvlJc w:val="left"/>
      <w:pPr>
        <w:tabs>
          <w:tab w:val="left" w:pos="-420"/>
        </w:tabs>
        <w:ind w:left="420" w:hanging="420"/>
      </w:pPr>
    </w:lvl>
    <w:lvl w:ilvl="1" w:tentative="0">
      <w:start w:val="1"/>
      <w:numFmt w:val="lowerLetter"/>
      <w:lvlText w:val="%2)"/>
      <w:lvlJc w:val="left"/>
      <w:pPr>
        <w:tabs>
          <w:tab w:val="left" w:pos="-420"/>
        </w:tabs>
        <w:ind w:left="840" w:hanging="420"/>
      </w:pPr>
    </w:lvl>
    <w:lvl w:ilvl="2" w:tentative="0">
      <w:start w:val="1"/>
      <w:numFmt w:val="lowerRoman"/>
      <w:lvlText w:val="%3."/>
      <w:lvlJc w:val="right"/>
      <w:pPr>
        <w:tabs>
          <w:tab w:val="left" w:pos="-420"/>
        </w:tabs>
        <w:ind w:left="1260" w:hanging="420"/>
      </w:pPr>
    </w:lvl>
    <w:lvl w:ilvl="3" w:tentative="0">
      <w:start w:val="1"/>
      <w:numFmt w:val="decimal"/>
      <w:pStyle w:val="5"/>
      <w:lvlText w:val="%4."/>
      <w:lvlJc w:val="left"/>
      <w:pPr>
        <w:tabs>
          <w:tab w:val="left" w:pos="-420"/>
        </w:tabs>
        <w:ind w:left="1680" w:hanging="420"/>
      </w:pPr>
    </w:lvl>
    <w:lvl w:ilvl="4" w:tentative="0">
      <w:start w:val="1"/>
      <w:numFmt w:val="lowerLetter"/>
      <w:lvlText w:val="%5)"/>
      <w:lvlJc w:val="left"/>
      <w:pPr>
        <w:tabs>
          <w:tab w:val="left" w:pos="-420"/>
        </w:tabs>
        <w:ind w:left="2100" w:hanging="420"/>
      </w:pPr>
    </w:lvl>
    <w:lvl w:ilvl="5" w:tentative="0">
      <w:start w:val="1"/>
      <w:numFmt w:val="lowerRoman"/>
      <w:lvlText w:val="%6."/>
      <w:lvlJc w:val="right"/>
      <w:pPr>
        <w:tabs>
          <w:tab w:val="left" w:pos="-420"/>
        </w:tabs>
        <w:ind w:left="2520" w:hanging="420"/>
      </w:pPr>
    </w:lvl>
    <w:lvl w:ilvl="6" w:tentative="0">
      <w:start w:val="1"/>
      <w:numFmt w:val="decimal"/>
      <w:lvlText w:val="%7."/>
      <w:lvlJc w:val="left"/>
      <w:pPr>
        <w:tabs>
          <w:tab w:val="left" w:pos="-420"/>
        </w:tabs>
        <w:ind w:left="2940" w:hanging="420"/>
      </w:pPr>
    </w:lvl>
    <w:lvl w:ilvl="7" w:tentative="0">
      <w:start w:val="1"/>
      <w:numFmt w:val="lowerLetter"/>
      <w:lvlText w:val="%8)"/>
      <w:lvlJc w:val="left"/>
      <w:pPr>
        <w:tabs>
          <w:tab w:val="left" w:pos="-420"/>
        </w:tabs>
        <w:ind w:left="3360" w:hanging="420"/>
      </w:pPr>
    </w:lvl>
    <w:lvl w:ilvl="8" w:tentative="0">
      <w:start w:val="1"/>
      <w:numFmt w:val="lowerRoman"/>
      <w:lvlText w:val="%9."/>
      <w:lvlJc w:val="right"/>
      <w:pPr>
        <w:tabs>
          <w:tab w:val="left" w:pos="-420"/>
        </w:tabs>
        <w:ind w:left="3780" w:hanging="420"/>
      </w:pPr>
    </w:lvl>
  </w:abstractNum>
  <w:num w:numId="1">
    <w:abstractNumId w:val="32"/>
  </w:num>
  <w:num w:numId="2">
    <w:abstractNumId w:val="0"/>
  </w:num>
  <w:num w:numId="3">
    <w:abstractNumId w:val="1"/>
  </w:num>
  <w:num w:numId="4">
    <w:abstractNumId w:val="2"/>
  </w:num>
  <w:num w:numId="5">
    <w:abstractNumId w:val="1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9"/>
  </w:num>
  <w:num w:numId="9">
    <w:abstractNumId w:val="6"/>
  </w:num>
  <w:num w:numId="10">
    <w:abstractNumId w:val="9"/>
  </w:num>
  <w:num w:numId="11">
    <w:abstractNumId w:val="16"/>
  </w:num>
  <w:num w:numId="12">
    <w:abstractNumId w:val="27"/>
  </w:num>
  <w:num w:numId="13">
    <w:abstractNumId w:val="31"/>
  </w:num>
  <w:num w:numId="14">
    <w:abstractNumId w:val="15"/>
  </w:num>
  <w:num w:numId="15">
    <w:abstractNumId w:val="1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18"/>
  </w:num>
  <w:num w:numId="20">
    <w:abstractNumId w:val="14"/>
  </w:num>
  <w:num w:numId="21">
    <w:abstractNumId w:val="22"/>
  </w:num>
  <w:num w:numId="22">
    <w:abstractNumId w:val="7"/>
  </w:num>
  <w:num w:numId="23">
    <w:abstractNumId w:val="21"/>
  </w:num>
  <w:num w:numId="24">
    <w:abstractNumId w:val="5"/>
  </w:num>
  <w:num w:numId="25">
    <w:abstractNumId w:val="11"/>
  </w:num>
  <w:num w:numId="26">
    <w:abstractNumId w:val="30"/>
  </w:num>
  <w:num w:numId="27">
    <w:abstractNumId w:val="8"/>
  </w:num>
  <w:num w:numId="28">
    <w:abstractNumId w:val="28"/>
  </w:num>
  <w:num w:numId="29">
    <w:abstractNumId w:val="24"/>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36675"/>
    <w:rsid w:val="00040159"/>
    <w:rsid w:val="000406CD"/>
    <w:rsid w:val="000454E9"/>
    <w:rsid w:val="0005317E"/>
    <w:rsid w:val="00062943"/>
    <w:rsid w:val="0006624D"/>
    <w:rsid w:val="00067FA1"/>
    <w:rsid w:val="0007012F"/>
    <w:rsid w:val="00070DCC"/>
    <w:rsid w:val="00073D69"/>
    <w:rsid w:val="00075737"/>
    <w:rsid w:val="00075B71"/>
    <w:rsid w:val="0007661F"/>
    <w:rsid w:val="00083BA3"/>
    <w:rsid w:val="00091372"/>
    <w:rsid w:val="0009630E"/>
    <w:rsid w:val="000B3B04"/>
    <w:rsid w:val="000C5386"/>
    <w:rsid w:val="000C7FF6"/>
    <w:rsid w:val="000D07D9"/>
    <w:rsid w:val="000D494A"/>
    <w:rsid w:val="000E0721"/>
    <w:rsid w:val="000E0F43"/>
    <w:rsid w:val="000E120E"/>
    <w:rsid w:val="000E53A3"/>
    <w:rsid w:val="000F0E79"/>
    <w:rsid w:val="000F2440"/>
    <w:rsid w:val="000F4FA6"/>
    <w:rsid w:val="001014E1"/>
    <w:rsid w:val="00106C86"/>
    <w:rsid w:val="00110C50"/>
    <w:rsid w:val="00114F96"/>
    <w:rsid w:val="00117DAA"/>
    <w:rsid w:val="00141851"/>
    <w:rsid w:val="0014399F"/>
    <w:rsid w:val="00181997"/>
    <w:rsid w:val="00182A1B"/>
    <w:rsid w:val="001901EA"/>
    <w:rsid w:val="00192EF9"/>
    <w:rsid w:val="001946A1"/>
    <w:rsid w:val="001A1D16"/>
    <w:rsid w:val="001C125D"/>
    <w:rsid w:val="001C424E"/>
    <w:rsid w:val="001D0189"/>
    <w:rsid w:val="001D1DBD"/>
    <w:rsid w:val="001E10B8"/>
    <w:rsid w:val="001F71EB"/>
    <w:rsid w:val="002027D6"/>
    <w:rsid w:val="002044C9"/>
    <w:rsid w:val="002101BA"/>
    <w:rsid w:val="00235C57"/>
    <w:rsid w:val="00243124"/>
    <w:rsid w:val="00246C26"/>
    <w:rsid w:val="00252B17"/>
    <w:rsid w:val="002650A9"/>
    <w:rsid w:val="00265C1B"/>
    <w:rsid w:val="0029334C"/>
    <w:rsid w:val="002B6C4E"/>
    <w:rsid w:val="002C784E"/>
    <w:rsid w:val="002D7FB3"/>
    <w:rsid w:val="002E646C"/>
    <w:rsid w:val="002E7690"/>
    <w:rsid w:val="002F1A5C"/>
    <w:rsid w:val="002F34E6"/>
    <w:rsid w:val="00300A42"/>
    <w:rsid w:val="00304806"/>
    <w:rsid w:val="00310E29"/>
    <w:rsid w:val="00316AD4"/>
    <w:rsid w:val="00320674"/>
    <w:rsid w:val="00324E79"/>
    <w:rsid w:val="00333EC9"/>
    <w:rsid w:val="00342AA0"/>
    <w:rsid w:val="00354281"/>
    <w:rsid w:val="00366D72"/>
    <w:rsid w:val="00372C5D"/>
    <w:rsid w:val="0038584C"/>
    <w:rsid w:val="003A686D"/>
    <w:rsid w:val="003B7C3F"/>
    <w:rsid w:val="003C59B0"/>
    <w:rsid w:val="003D79DF"/>
    <w:rsid w:val="0040271C"/>
    <w:rsid w:val="00405A29"/>
    <w:rsid w:val="00414F67"/>
    <w:rsid w:val="00423C90"/>
    <w:rsid w:val="004312C3"/>
    <w:rsid w:val="00435272"/>
    <w:rsid w:val="00440743"/>
    <w:rsid w:val="004451B7"/>
    <w:rsid w:val="00455581"/>
    <w:rsid w:val="00455882"/>
    <w:rsid w:val="004633AE"/>
    <w:rsid w:val="00466526"/>
    <w:rsid w:val="00496C03"/>
    <w:rsid w:val="00496ECC"/>
    <w:rsid w:val="004A5565"/>
    <w:rsid w:val="004B1EFC"/>
    <w:rsid w:val="004B3196"/>
    <w:rsid w:val="004B3F99"/>
    <w:rsid w:val="004C7FB9"/>
    <w:rsid w:val="004D3058"/>
    <w:rsid w:val="004E44E7"/>
    <w:rsid w:val="004E5FF2"/>
    <w:rsid w:val="004F6BA4"/>
    <w:rsid w:val="0050274F"/>
    <w:rsid w:val="005111F0"/>
    <w:rsid w:val="005159DB"/>
    <w:rsid w:val="00517F33"/>
    <w:rsid w:val="00524C30"/>
    <w:rsid w:val="00532948"/>
    <w:rsid w:val="005362C0"/>
    <w:rsid w:val="005550B8"/>
    <w:rsid w:val="00556EB6"/>
    <w:rsid w:val="005571FB"/>
    <w:rsid w:val="005739C4"/>
    <w:rsid w:val="00573A1E"/>
    <w:rsid w:val="00581BFB"/>
    <w:rsid w:val="00583D17"/>
    <w:rsid w:val="00590CDB"/>
    <w:rsid w:val="00594663"/>
    <w:rsid w:val="005A4A40"/>
    <w:rsid w:val="005B4370"/>
    <w:rsid w:val="005B4802"/>
    <w:rsid w:val="005B76C7"/>
    <w:rsid w:val="005C61CC"/>
    <w:rsid w:val="005D013D"/>
    <w:rsid w:val="005D0610"/>
    <w:rsid w:val="005D0FB4"/>
    <w:rsid w:val="005D12C6"/>
    <w:rsid w:val="005D2E49"/>
    <w:rsid w:val="005D6366"/>
    <w:rsid w:val="005D77CC"/>
    <w:rsid w:val="005E33BF"/>
    <w:rsid w:val="005E4648"/>
    <w:rsid w:val="005E4C4B"/>
    <w:rsid w:val="005F1287"/>
    <w:rsid w:val="005F7CCC"/>
    <w:rsid w:val="00607930"/>
    <w:rsid w:val="00607B7D"/>
    <w:rsid w:val="006148CE"/>
    <w:rsid w:val="00626053"/>
    <w:rsid w:val="0063510B"/>
    <w:rsid w:val="00635A9A"/>
    <w:rsid w:val="00662FB2"/>
    <w:rsid w:val="00667EEB"/>
    <w:rsid w:val="0067034B"/>
    <w:rsid w:val="00696E4F"/>
    <w:rsid w:val="006B420F"/>
    <w:rsid w:val="006B566B"/>
    <w:rsid w:val="006B761E"/>
    <w:rsid w:val="006B78F0"/>
    <w:rsid w:val="006D30EB"/>
    <w:rsid w:val="006D4D03"/>
    <w:rsid w:val="006D5F55"/>
    <w:rsid w:val="006F4C5E"/>
    <w:rsid w:val="006F63B3"/>
    <w:rsid w:val="00700A7D"/>
    <w:rsid w:val="00732E12"/>
    <w:rsid w:val="00742382"/>
    <w:rsid w:val="0074278E"/>
    <w:rsid w:val="00763D16"/>
    <w:rsid w:val="007741D2"/>
    <w:rsid w:val="00795748"/>
    <w:rsid w:val="007C1493"/>
    <w:rsid w:val="007C2D44"/>
    <w:rsid w:val="007D345B"/>
    <w:rsid w:val="007E6F66"/>
    <w:rsid w:val="007F1334"/>
    <w:rsid w:val="007F6693"/>
    <w:rsid w:val="00800A4B"/>
    <w:rsid w:val="00805C1A"/>
    <w:rsid w:val="00826C56"/>
    <w:rsid w:val="00830E76"/>
    <w:rsid w:val="00841971"/>
    <w:rsid w:val="00843848"/>
    <w:rsid w:val="0084452F"/>
    <w:rsid w:val="00847F5E"/>
    <w:rsid w:val="008677AC"/>
    <w:rsid w:val="00872EAE"/>
    <w:rsid w:val="00887145"/>
    <w:rsid w:val="008965AF"/>
    <w:rsid w:val="008A3860"/>
    <w:rsid w:val="008A666B"/>
    <w:rsid w:val="008B7582"/>
    <w:rsid w:val="008E13CC"/>
    <w:rsid w:val="008E316A"/>
    <w:rsid w:val="008E4620"/>
    <w:rsid w:val="008F044C"/>
    <w:rsid w:val="008F38AE"/>
    <w:rsid w:val="009039B0"/>
    <w:rsid w:val="009047A9"/>
    <w:rsid w:val="00907262"/>
    <w:rsid w:val="0090759A"/>
    <w:rsid w:val="00911C44"/>
    <w:rsid w:val="00913A19"/>
    <w:rsid w:val="009225B6"/>
    <w:rsid w:val="00922EBB"/>
    <w:rsid w:val="0092390F"/>
    <w:rsid w:val="00927816"/>
    <w:rsid w:val="00927867"/>
    <w:rsid w:val="009279E5"/>
    <w:rsid w:val="0093077A"/>
    <w:rsid w:val="009345DB"/>
    <w:rsid w:val="0093478B"/>
    <w:rsid w:val="00934896"/>
    <w:rsid w:val="00942BD5"/>
    <w:rsid w:val="00976C50"/>
    <w:rsid w:val="00981BA3"/>
    <w:rsid w:val="00984E72"/>
    <w:rsid w:val="009853E4"/>
    <w:rsid w:val="00985B96"/>
    <w:rsid w:val="00987047"/>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079C4"/>
    <w:rsid w:val="00A15F72"/>
    <w:rsid w:val="00A163F6"/>
    <w:rsid w:val="00A3191C"/>
    <w:rsid w:val="00A42682"/>
    <w:rsid w:val="00A53839"/>
    <w:rsid w:val="00A67DF9"/>
    <w:rsid w:val="00A7143E"/>
    <w:rsid w:val="00A719FB"/>
    <w:rsid w:val="00A74544"/>
    <w:rsid w:val="00A77A18"/>
    <w:rsid w:val="00AA0029"/>
    <w:rsid w:val="00AA0F83"/>
    <w:rsid w:val="00AA1228"/>
    <w:rsid w:val="00AA1C07"/>
    <w:rsid w:val="00AA23E7"/>
    <w:rsid w:val="00AA6BF7"/>
    <w:rsid w:val="00AA7F8C"/>
    <w:rsid w:val="00AB245B"/>
    <w:rsid w:val="00AB25AA"/>
    <w:rsid w:val="00AB3975"/>
    <w:rsid w:val="00AC16D1"/>
    <w:rsid w:val="00AC2D5F"/>
    <w:rsid w:val="00AC49A8"/>
    <w:rsid w:val="00AC4AB0"/>
    <w:rsid w:val="00AE02CA"/>
    <w:rsid w:val="00AE2D2E"/>
    <w:rsid w:val="00B15B81"/>
    <w:rsid w:val="00B24C8D"/>
    <w:rsid w:val="00B30138"/>
    <w:rsid w:val="00B44B9B"/>
    <w:rsid w:val="00B559E2"/>
    <w:rsid w:val="00B55B88"/>
    <w:rsid w:val="00B73A7B"/>
    <w:rsid w:val="00B870EF"/>
    <w:rsid w:val="00B87934"/>
    <w:rsid w:val="00B91207"/>
    <w:rsid w:val="00B9260F"/>
    <w:rsid w:val="00B94A17"/>
    <w:rsid w:val="00BB6896"/>
    <w:rsid w:val="00BC35B8"/>
    <w:rsid w:val="00BD2940"/>
    <w:rsid w:val="00BF0409"/>
    <w:rsid w:val="00BF3B1D"/>
    <w:rsid w:val="00BF69EF"/>
    <w:rsid w:val="00BF6FF2"/>
    <w:rsid w:val="00C03136"/>
    <w:rsid w:val="00C05007"/>
    <w:rsid w:val="00C13CA0"/>
    <w:rsid w:val="00C16D98"/>
    <w:rsid w:val="00C175FC"/>
    <w:rsid w:val="00C37748"/>
    <w:rsid w:val="00C412C7"/>
    <w:rsid w:val="00C4167F"/>
    <w:rsid w:val="00C419D7"/>
    <w:rsid w:val="00C43A3C"/>
    <w:rsid w:val="00C51F28"/>
    <w:rsid w:val="00C738B0"/>
    <w:rsid w:val="00C764F9"/>
    <w:rsid w:val="00C77719"/>
    <w:rsid w:val="00C81C7C"/>
    <w:rsid w:val="00C84F43"/>
    <w:rsid w:val="00C91C66"/>
    <w:rsid w:val="00CA2C59"/>
    <w:rsid w:val="00CA5255"/>
    <w:rsid w:val="00CA5C7B"/>
    <w:rsid w:val="00CB2ED6"/>
    <w:rsid w:val="00CD4712"/>
    <w:rsid w:val="00CF095F"/>
    <w:rsid w:val="00CF1575"/>
    <w:rsid w:val="00D00FAF"/>
    <w:rsid w:val="00D121F6"/>
    <w:rsid w:val="00D13237"/>
    <w:rsid w:val="00D1747E"/>
    <w:rsid w:val="00D214B5"/>
    <w:rsid w:val="00D2157E"/>
    <w:rsid w:val="00D431DD"/>
    <w:rsid w:val="00D546DD"/>
    <w:rsid w:val="00D54D31"/>
    <w:rsid w:val="00D557AE"/>
    <w:rsid w:val="00D76F40"/>
    <w:rsid w:val="00D81C65"/>
    <w:rsid w:val="00D85F8D"/>
    <w:rsid w:val="00D9108D"/>
    <w:rsid w:val="00D926A1"/>
    <w:rsid w:val="00D92FF6"/>
    <w:rsid w:val="00D933D1"/>
    <w:rsid w:val="00D9703F"/>
    <w:rsid w:val="00DA266B"/>
    <w:rsid w:val="00DA49F7"/>
    <w:rsid w:val="00DB234E"/>
    <w:rsid w:val="00DB463E"/>
    <w:rsid w:val="00DC42C4"/>
    <w:rsid w:val="00DD12D1"/>
    <w:rsid w:val="00DE3CBA"/>
    <w:rsid w:val="00DE4FA6"/>
    <w:rsid w:val="00DE614A"/>
    <w:rsid w:val="00DF0266"/>
    <w:rsid w:val="00DF0EC8"/>
    <w:rsid w:val="00DF143F"/>
    <w:rsid w:val="00DF7D20"/>
    <w:rsid w:val="00E013FC"/>
    <w:rsid w:val="00E10DA4"/>
    <w:rsid w:val="00E12837"/>
    <w:rsid w:val="00E13969"/>
    <w:rsid w:val="00E170E8"/>
    <w:rsid w:val="00E24699"/>
    <w:rsid w:val="00E36EBF"/>
    <w:rsid w:val="00E43633"/>
    <w:rsid w:val="00E441DC"/>
    <w:rsid w:val="00E5249C"/>
    <w:rsid w:val="00E53A08"/>
    <w:rsid w:val="00E60D7D"/>
    <w:rsid w:val="00E6130B"/>
    <w:rsid w:val="00E8537D"/>
    <w:rsid w:val="00E91AE3"/>
    <w:rsid w:val="00E961E1"/>
    <w:rsid w:val="00EA25D5"/>
    <w:rsid w:val="00EB191A"/>
    <w:rsid w:val="00EB715D"/>
    <w:rsid w:val="00EC2BA8"/>
    <w:rsid w:val="00EE72E1"/>
    <w:rsid w:val="00EF2397"/>
    <w:rsid w:val="00EF5C23"/>
    <w:rsid w:val="00F124B1"/>
    <w:rsid w:val="00F209E3"/>
    <w:rsid w:val="00F23D57"/>
    <w:rsid w:val="00F30954"/>
    <w:rsid w:val="00F33579"/>
    <w:rsid w:val="00F63748"/>
    <w:rsid w:val="00F80315"/>
    <w:rsid w:val="00F8487D"/>
    <w:rsid w:val="00F85343"/>
    <w:rsid w:val="00F860FB"/>
    <w:rsid w:val="00F87738"/>
    <w:rsid w:val="00F92C8A"/>
    <w:rsid w:val="00FA1F0E"/>
    <w:rsid w:val="00FB6D46"/>
    <w:rsid w:val="00FC21BC"/>
    <w:rsid w:val="00FD323B"/>
    <w:rsid w:val="00FD6CCF"/>
    <w:rsid w:val="00FF044D"/>
    <w:rsid w:val="00FF430C"/>
    <w:rsid w:val="011E5366"/>
    <w:rsid w:val="013721DA"/>
    <w:rsid w:val="01986991"/>
    <w:rsid w:val="01E142BF"/>
    <w:rsid w:val="02DD77F9"/>
    <w:rsid w:val="02E969AE"/>
    <w:rsid w:val="033D724C"/>
    <w:rsid w:val="0355497F"/>
    <w:rsid w:val="03571091"/>
    <w:rsid w:val="03D1158F"/>
    <w:rsid w:val="04062DD5"/>
    <w:rsid w:val="050C51FD"/>
    <w:rsid w:val="05642806"/>
    <w:rsid w:val="05BB1769"/>
    <w:rsid w:val="05C16250"/>
    <w:rsid w:val="05DE7F94"/>
    <w:rsid w:val="060A6FDB"/>
    <w:rsid w:val="0613006C"/>
    <w:rsid w:val="065019DC"/>
    <w:rsid w:val="065A5D9E"/>
    <w:rsid w:val="067851B2"/>
    <w:rsid w:val="06AB256C"/>
    <w:rsid w:val="06E97165"/>
    <w:rsid w:val="06F832D7"/>
    <w:rsid w:val="0732492C"/>
    <w:rsid w:val="08226642"/>
    <w:rsid w:val="084F2E8D"/>
    <w:rsid w:val="08A41184"/>
    <w:rsid w:val="08B73ABC"/>
    <w:rsid w:val="08D86F1C"/>
    <w:rsid w:val="08D87C20"/>
    <w:rsid w:val="093B7E5E"/>
    <w:rsid w:val="098B2941"/>
    <w:rsid w:val="09A365D0"/>
    <w:rsid w:val="09DB3207"/>
    <w:rsid w:val="0A0353FE"/>
    <w:rsid w:val="0A0C625C"/>
    <w:rsid w:val="0A1F71CE"/>
    <w:rsid w:val="0A352BD5"/>
    <w:rsid w:val="0A4C5AF7"/>
    <w:rsid w:val="0A6F2854"/>
    <w:rsid w:val="0A872672"/>
    <w:rsid w:val="0A9335D1"/>
    <w:rsid w:val="0AAF10FD"/>
    <w:rsid w:val="0AC14C1F"/>
    <w:rsid w:val="0B393F53"/>
    <w:rsid w:val="0BA303B0"/>
    <w:rsid w:val="0BB72438"/>
    <w:rsid w:val="0BBF7D10"/>
    <w:rsid w:val="0BD7170D"/>
    <w:rsid w:val="0C150ED8"/>
    <w:rsid w:val="0CA06821"/>
    <w:rsid w:val="0CD028C8"/>
    <w:rsid w:val="0D4479B6"/>
    <w:rsid w:val="0D886883"/>
    <w:rsid w:val="0D923F0A"/>
    <w:rsid w:val="0DFE1EB2"/>
    <w:rsid w:val="0E0B5D01"/>
    <w:rsid w:val="0F21718D"/>
    <w:rsid w:val="0FAD1102"/>
    <w:rsid w:val="0FB20FE0"/>
    <w:rsid w:val="100A200F"/>
    <w:rsid w:val="10661E8E"/>
    <w:rsid w:val="10C73D53"/>
    <w:rsid w:val="114B00C6"/>
    <w:rsid w:val="11536759"/>
    <w:rsid w:val="118C4D48"/>
    <w:rsid w:val="11951E4E"/>
    <w:rsid w:val="11B439A4"/>
    <w:rsid w:val="124750E0"/>
    <w:rsid w:val="12600D6D"/>
    <w:rsid w:val="12774F13"/>
    <w:rsid w:val="12BE5DCE"/>
    <w:rsid w:val="12DE1EBF"/>
    <w:rsid w:val="12E82CEB"/>
    <w:rsid w:val="13551C50"/>
    <w:rsid w:val="138F609D"/>
    <w:rsid w:val="13921D93"/>
    <w:rsid w:val="13BC146C"/>
    <w:rsid w:val="13DE66E5"/>
    <w:rsid w:val="13EE003F"/>
    <w:rsid w:val="14717675"/>
    <w:rsid w:val="14D902A4"/>
    <w:rsid w:val="14DA7A14"/>
    <w:rsid w:val="14E33934"/>
    <w:rsid w:val="150A219B"/>
    <w:rsid w:val="157F4624"/>
    <w:rsid w:val="15AA5FC5"/>
    <w:rsid w:val="15EE5E19"/>
    <w:rsid w:val="15F119AD"/>
    <w:rsid w:val="160475A2"/>
    <w:rsid w:val="16DF0DFB"/>
    <w:rsid w:val="176D2108"/>
    <w:rsid w:val="177477F9"/>
    <w:rsid w:val="179B7A92"/>
    <w:rsid w:val="18945AF0"/>
    <w:rsid w:val="18BA4890"/>
    <w:rsid w:val="18CE7E1D"/>
    <w:rsid w:val="18CF1EF1"/>
    <w:rsid w:val="18E15BC5"/>
    <w:rsid w:val="19063631"/>
    <w:rsid w:val="199944A6"/>
    <w:rsid w:val="19CA7C5E"/>
    <w:rsid w:val="1AD75285"/>
    <w:rsid w:val="1ADC5922"/>
    <w:rsid w:val="1AEC6406"/>
    <w:rsid w:val="1AF776D6"/>
    <w:rsid w:val="1B0837BD"/>
    <w:rsid w:val="1B324DAE"/>
    <w:rsid w:val="1BCD22E0"/>
    <w:rsid w:val="1BEF72DA"/>
    <w:rsid w:val="1C516953"/>
    <w:rsid w:val="1C8F393E"/>
    <w:rsid w:val="1D7811BD"/>
    <w:rsid w:val="1D8965DF"/>
    <w:rsid w:val="1DE72E9D"/>
    <w:rsid w:val="1DF11734"/>
    <w:rsid w:val="1EE305D1"/>
    <w:rsid w:val="1EEC30EE"/>
    <w:rsid w:val="1F3D3B25"/>
    <w:rsid w:val="1FBD7BA5"/>
    <w:rsid w:val="202C0AA6"/>
    <w:rsid w:val="203A20BE"/>
    <w:rsid w:val="203D5583"/>
    <w:rsid w:val="20C4005A"/>
    <w:rsid w:val="21851EDD"/>
    <w:rsid w:val="21915D8E"/>
    <w:rsid w:val="21E7529B"/>
    <w:rsid w:val="220C231F"/>
    <w:rsid w:val="220D77DF"/>
    <w:rsid w:val="221D1F36"/>
    <w:rsid w:val="227F4693"/>
    <w:rsid w:val="22C91F18"/>
    <w:rsid w:val="23512729"/>
    <w:rsid w:val="23722519"/>
    <w:rsid w:val="23D63454"/>
    <w:rsid w:val="23D87965"/>
    <w:rsid w:val="24942439"/>
    <w:rsid w:val="249843DE"/>
    <w:rsid w:val="254600B5"/>
    <w:rsid w:val="25495BD7"/>
    <w:rsid w:val="259306D3"/>
    <w:rsid w:val="25FF6F93"/>
    <w:rsid w:val="260B1B1B"/>
    <w:rsid w:val="2638417E"/>
    <w:rsid w:val="26964247"/>
    <w:rsid w:val="26E46B93"/>
    <w:rsid w:val="271D6716"/>
    <w:rsid w:val="27494ED1"/>
    <w:rsid w:val="276C0EEB"/>
    <w:rsid w:val="27864C1F"/>
    <w:rsid w:val="27870033"/>
    <w:rsid w:val="27A110F5"/>
    <w:rsid w:val="27E176BC"/>
    <w:rsid w:val="28200983"/>
    <w:rsid w:val="28243AD4"/>
    <w:rsid w:val="285275E8"/>
    <w:rsid w:val="285820EF"/>
    <w:rsid w:val="288E4BBA"/>
    <w:rsid w:val="28F05DD1"/>
    <w:rsid w:val="29D47539"/>
    <w:rsid w:val="29E03626"/>
    <w:rsid w:val="29E2706C"/>
    <w:rsid w:val="29E8398B"/>
    <w:rsid w:val="2A4D10C0"/>
    <w:rsid w:val="2AE54CEB"/>
    <w:rsid w:val="2BDA5335"/>
    <w:rsid w:val="2C5069BA"/>
    <w:rsid w:val="2C6C7D95"/>
    <w:rsid w:val="2CEC6D5B"/>
    <w:rsid w:val="2D096C0B"/>
    <w:rsid w:val="2D303E35"/>
    <w:rsid w:val="2D3D5D44"/>
    <w:rsid w:val="2D921CB7"/>
    <w:rsid w:val="2DA3549B"/>
    <w:rsid w:val="2E032B51"/>
    <w:rsid w:val="2E21074A"/>
    <w:rsid w:val="2E245E99"/>
    <w:rsid w:val="2E2B59C1"/>
    <w:rsid w:val="2E3654DC"/>
    <w:rsid w:val="2E4538A7"/>
    <w:rsid w:val="2E487E15"/>
    <w:rsid w:val="2E526349"/>
    <w:rsid w:val="2EB76ECB"/>
    <w:rsid w:val="2EDC6EB7"/>
    <w:rsid w:val="2F556ACC"/>
    <w:rsid w:val="2F577DDB"/>
    <w:rsid w:val="2F5D5910"/>
    <w:rsid w:val="2F876E0B"/>
    <w:rsid w:val="2FAF1CBA"/>
    <w:rsid w:val="3055446E"/>
    <w:rsid w:val="31774C75"/>
    <w:rsid w:val="31A03F61"/>
    <w:rsid w:val="31BE6C8E"/>
    <w:rsid w:val="31DD5BFA"/>
    <w:rsid w:val="323C151D"/>
    <w:rsid w:val="346534AA"/>
    <w:rsid w:val="34A02168"/>
    <w:rsid w:val="34EC3193"/>
    <w:rsid w:val="36191B38"/>
    <w:rsid w:val="36C13BAD"/>
    <w:rsid w:val="36EF636B"/>
    <w:rsid w:val="375F0685"/>
    <w:rsid w:val="38174D54"/>
    <w:rsid w:val="382C107A"/>
    <w:rsid w:val="3850267B"/>
    <w:rsid w:val="38775208"/>
    <w:rsid w:val="39B87A06"/>
    <w:rsid w:val="3A5D7BEB"/>
    <w:rsid w:val="3AFC6AA1"/>
    <w:rsid w:val="3BD67514"/>
    <w:rsid w:val="3BFD11AB"/>
    <w:rsid w:val="3CAD2B1E"/>
    <w:rsid w:val="3D2D6B2F"/>
    <w:rsid w:val="3D6F70E5"/>
    <w:rsid w:val="3DB57993"/>
    <w:rsid w:val="3DDE74ED"/>
    <w:rsid w:val="3E3240BB"/>
    <w:rsid w:val="3E596A1A"/>
    <w:rsid w:val="3E8D7AD0"/>
    <w:rsid w:val="3EE12AA7"/>
    <w:rsid w:val="3FFF1571"/>
    <w:rsid w:val="402163D2"/>
    <w:rsid w:val="40425005"/>
    <w:rsid w:val="413B6A9C"/>
    <w:rsid w:val="41A75074"/>
    <w:rsid w:val="42124EF1"/>
    <w:rsid w:val="423559AB"/>
    <w:rsid w:val="42554B5E"/>
    <w:rsid w:val="4377225D"/>
    <w:rsid w:val="43F87E97"/>
    <w:rsid w:val="44E0101F"/>
    <w:rsid w:val="44FB78A9"/>
    <w:rsid w:val="457E69BC"/>
    <w:rsid w:val="4603113E"/>
    <w:rsid w:val="46143B4A"/>
    <w:rsid w:val="46155194"/>
    <w:rsid w:val="461B4838"/>
    <w:rsid w:val="464044A1"/>
    <w:rsid w:val="46F2073D"/>
    <w:rsid w:val="470809A7"/>
    <w:rsid w:val="47630C85"/>
    <w:rsid w:val="476F1AD2"/>
    <w:rsid w:val="478D6555"/>
    <w:rsid w:val="47B915E0"/>
    <w:rsid w:val="47C52001"/>
    <w:rsid w:val="47FC7EFD"/>
    <w:rsid w:val="47FF3D8A"/>
    <w:rsid w:val="484D03C3"/>
    <w:rsid w:val="48571022"/>
    <w:rsid w:val="48842CB5"/>
    <w:rsid w:val="48B94B63"/>
    <w:rsid w:val="493279A7"/>
    <w:rsid w:val="496D4E83"/>
    <w:rsid w:val="49BB4291"/>
    <w:rsid w:val="49BD10BE"/>
    <w:rsid w:val="4A5C032F"/>
    <w:rsid w:val="4A7F6A5C"/>
    <w:rsid w:val="4A8F0E29"/>
    <w:rsid w:val="4AA91EEB"/>
    <w:rsid w:val="4AAE362A"/>
    <w:rsid w:val="4B1C6C66"/>
    <w:rsid w:val="4B2F6C6B"/>
    <w:rsid w:val="4B313C8F"/>
    <w:rsid w:val="4B43150A"/>
    <w:rsid w:val="4B9A5AE5"/>
    <w:rsid w:val="4BF330B8"/>
    <w:rsid w:val="4C3552A5"/>
    <w:rsid w:val="4C544FD1"/>
    <w:rsid w:val="4C5452FB"/>
    <w:rsid w:val="4C971150"/>
    <w:rsid w:val="4CAA5AA7"/>
    <w:rsid w:val="4D80575E"/>
    <w:rsid w:val="4D9C0381"/>
    <w:rsid w:val="4DD858FA"/>
    <w:rsid w:val="4DF74CEE"/>
    <w:rsid w:val="4E382B88"/>
    <w:rsid w:val="4E520189"/>
    <w:rsid w:val="4ED40D2D"/>
    <w:rsid w:val="500C4824"/>
    <w:rsid w:val="501E11F1"/>
    <w:rsid w:val="50E570C9"/>
    <w:rsid w:val="51032240"/>
    <w:rsid w:val="512651A9"/>
    <w:rsid w:val="519A5ED2"/>
    <w:rsid w:val="51D23F1D"/>
    <w:rsid w:val="525434C6"/>
    <w:rsid w:val="527640EF"/>
    <w:rsid w:val="527E7654"/>
    <w:rsid w:val="52B72988"/>
    <w:rsid w:val="52D00377"/>
    <w:rsid w:val="52D23F0A"/>
    <w:rsid w:val="52E70C6A"/>
    <w:rsid w:val="52EB0A28"/>
    <w:rsid w:val="53236DB5"/>
    <w:rsid w:val="532979BA"/>
    <w:rsid w:val="534C2062"/>
    <w:rsid w:val="53566E47"/>
    <w:rsid w:val="53600ABC"/>
    <w:rsid w:val="537F15EB"/>
    <w:rsid w:val="53B86B6C"/>
    <w:rsid w:val="53DE1CD8"/>
    <w:rsid w:val="54117396"/>
    <w:rsid w:val="541F714E"/>
    <w:rsid w:val="54214CFE"/>
    <w:rsid w:val="54363555"/>
    <w:rsid w:val="544B7B6F"/>
    <w:rsid w:val="54507003"/>
    <w:rsid w:val="54AF46CA"/>
    <w:rsid w:val="54E770DC"/>
    <w:rsid w:val="55225E67"/>
    <w:rsid w:val="552558DD"/>
    <w:rsid w:val="55440C41"/>
    <w:rsid w:val="556F44C2"/>
    <w:rsid w:val="55E40C90"/>
    <w:rsid w:val="560B22E6"/>
    <w:rsid w:val="5612303A"/>
    <w:rsid w:val="566E7E34"/>
    <w:rsid w:val="56A87492"/>
    <w:rsid w:val="56B97997"/>
    <w:rsid w:val="56C65AF2"/>
    <w:rsid w:val="57060082"/>
    <w:rsid w:val="570A3D11"/>
    <w:rsid w:val="576B41D2"/>
    <w:rsid w:val="579C3026"/>
    <w:rsid w:val="579E4C8F"/>
    <w:rsid w:val="57EB5809"/>
    <w:rsid w:val="58884ABF"/>
    <w:rsid w:val="58E93DFA"/>
    <w:rsid w:val="593C03CE"/>
    <w:rsid w:val="5952374E"/>
    <w:rsid w:val="599F4122"/>
    <w:rsid w:val="59ED4FE7"/>
    <w:rsid w:val="5AC63E1F"/>
    <w:rsid w:val="5ACA3908"/>
    <w:rsid w:val="5AD46BC2"/>
    <w:rsid w:val="5AD93DD9"/>
    <w:rsid w:val="5AFC0247"/>
    <w:rsid w:val="5B1E248F"/>
    <w:rsid w:val="5B3550D5"/>
    <w:rsid w:val="5B4342F6"/>
    <w:rsid w:val="5B7A0127"/>
    <w:rsid w:val="5BB046F7"/>
    <w:rsid w:val="5BCE7A03"/>
    <w:rsid w:val="5CC27537"/>
    <w:rsid w:val="5CEB66BA"/>
    <w:rsid w:val="5DA231F7"/>
    <w:rsid w:val="5DCA7B72"/>
    <w:rsid w:val="5DE00E55"/>
    <w:rsid w:val="5DF054F2"/>
    <w:rsid w:val="5DFB4073"/>
    <w:rsid w:val="5E224037"/>
    <w:rsid w:val="5E28575E"/>
    <w:rsid w:val="5F096FA4"/>
    <w:rsid w:val="5F162475"/>
    <w:rsid w:val="5F5F65C0"/>
    <w:rsid w:val="5F7B2BB2"/>
    <w:rsid w:val="5FE07E02"/>
    <w:rsid w:val="60467E46"/>
    <w:rsid w:val="607344EC"/>
    <w:rsid w:val="60AD0A44"/>
    <w:rsid w:val="60BA75C8"/>
    <w:rsid w:val="60C33D90"/>
    <w:rsid w:val="62042942"/>
    <w:rsid w:val="620F21D5"/>
    <w:rsid w:val="62847485"/>
    <w:rsid w:val="63444A2E"/>
    <w:rsid w:val="636F5846"/>
    <w:rsid w:val="637E5597"/>
    <w:rsid w:val="63C24F56"/>
    <w:rsid w:val="63CD02A5"/>
    <w:rsid w:val="63F35B2D"/>
    <w:rsid w:val="642E756D"/>
    <w:rsid w:val="647C1F5E"/>
    <w:rsid w:val="64CC65BA"/>
    <w:rsid w:val="64DE64A0"/>
    <w:rsid w:val="64F8594D"/>
    <w:rsid w:val="65091AAC"/>
    <w:rsid w:val="655B1B6E"/>
    <w:rsid w:val="65BD7C07"/>
    <w:rsid w:val="65F647F4"/>
    <w:rsid w:val="666D4068"/>
    <w:rsid w:val="66B35EF8"/>
    <w:rsid w:val="66B7430E"/>
    <w:rsid w:val="66C35C8B"/>
    <w:rsid w:val="66E05F37"/>
    <w:rsid w:val="6710760F"/>
    <w:rsid w:val="67212288"/>
    <w:rsid w:val="67681639"/>
    <w:rsid w:val="677D5795"/>
    <w:rsid w:val="6796433E"/>
    <w:rsid w:val="67D111AB"/>
    <w:rsid w:val="67DD453C"/>
    <w:rsid w:val="67E265E5"/>
    <w:rsid w:val="683F7FFE"/>
    <w:rsid w:val="688E2F9F"/>
    <w:rsid w:val="68AA0EB0"/>
    <w:rsid w:val="68F83693"/>
    <w:rsid w:val="691F2110"/>
    <w:rsid w:val="6946190A"/>
    <w:rsid w:val="694828CD"/>
    <w:rsid w:val="698D5697"/>
    <w:rsid w:val="6A3177DD"/>
    <w:rsid w:val="6A617274"/>
    <w:rsid w:val="6A915403"/>
    <w:rsid w:val="6A9D0048"/>
    <w:rsid w:val="6AAC10CF"/>
    <w:rsid w:val="6AEA6A79"/>
    <w:rsid w:val="6B680BAF"/>
    <w:rsid w:val="6BCC3834"/>
    <w:rsid w:val="6C547C8E"/>
    <w:rsid w:val="6CB03CCD"/>
    <w:rsid w:val="6D617A39"/>
    <w:rsid w:val="6D6B4986"/>
    <w:rsid w:val="6D73217F"/>
    <w:rsid w:val="6D9C0C25"/>
    <w:rsid w:val="6DCB4D59"/>
    <w:rsid w:val="6E52595A"/>
    <w:rsid w:val="6E5F6F10"/>
    <w:rsid w:val="6F0A22FE"/>
    <w:rsid w:val="6F210F48"/>
    <w:rsid w:val="6F2344F9"/>
    <w:rsid w:val="6F424FF4"/>
    <w:rsid w:val="6F5E7B7E"/>
    <w:rsid w:val="6F710B18"/>
    <w:rsid w:val="6FA8287C"/>
    <w:rsid w:val="6FD53F4C"/>
    <w:rsid w:val="700B5939"/>
    <w:rsid w:val="703E1AC2"/>
    <w:rsid w:val="70632759"/>
    <w:rsid w:val="70EB6837"/>
    <w:rsid w:val="70EE44D3"/>
    <w:rsid w:val="70F73101"/>
    <w:rsid w:val="71203B39"/>
    <w:rsid w:val="713218B7"/>
    <w:rsid w:val="722D6A9F"/>
    <w:rsid w:val="72395053"/>
    <w:rsid w:val="72F92942"/>
    <w:rsid w:val="73223A36"/>
    <w:rsid w:val="73BD558A"/>
    <w:rsid w:val="73E92500"/>
    <w:rsid w:val="74242CF8"/>
    <w:rsid w:val="75CC47B3"/>
    <w:rsid w:val="75D8559E"/>
    <w:rsid w:val="760D7C82"/>
    <w:rsid w:val="7636003D"/>
    <w:rsid w:val="767A2538"/>
    <w:rsid w:val="768D59DD"/>
    <w:rsid w:val="7693184A"/>
    <w:rsid w:val="76CD5077"/>
    <w:rsid w:val="76EF63CF"/>
    <w:rsid w:val="77586DC2"/>
    <w:rsid w:val="777D05B3"/>
    <w:rsid w:val="77E352B8"/>
    <w:rsid w:val="77F62F60"/>
    <w:rsid w:val="780E346E"/>
    <w:rsid w:val="78767001"/>
    <w:rsid w:val="78AA5252"/>
    <w:rsid w:val="796A572C"/>
    <w:rsid w:val="796C5147"/>
    <w:rsid w:val="79725A1A"/>
    <w:rsid w:val="79D815F5"/>
    <w:rsid w:val="7A225E29"/>
    <w:rsid w:val="7A2313B7"/>
    <w:rsid w:val="7A2428C5"/>
    <w:rsid w:val="7A400C26"/>
    <w:rsid w:val="7AF83CFD"/>
    <w:rsid w:val="7B635C81"/>
    <w:rsid w:val="7BA70921"/>
    <w:rsid w:val="7BF210C1"/>
    <w:rsid w:val="7C197358"/>
    <w:rsid w:val="7C713E55"/>
    <w:rsid w:val="7CBA6D7C"/>
    <w:rsid w:val="7CD04806"/>
    <w:rsid w:val="7CF81EE7"/>
    <w:rsid w:val="7E61214D"/>
    <w:rsid w:val="7EA072A8"/>
    <w:rsid w:val="7EA82723"/>
    <w:rsid w:val="7EB610B9"/>
    <w:rsid w:val="7EF06E63"/>
    <w:rsid w:val="7F037115"/>
    <w:rsid w:val="7F0D6C7E"/>
    <w:rsid w:val="7F2E11A0"/>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2"/>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0"/>
    <w:qFormat/>
    <w:uiPriority w:val="9"/>
    <w:pPr>
      <w:keepNext/>
      <w:keepLines/>
      <w:spacing w:before="260" w:after="260"/>
      <w:outlineLvl w:val="1"/>
    </w:pPr>
    <w:rPr>
      <w:rFonts w:ascii="Arial" w:hAnsi="Arial"/>
      <w:b/>
      <w:szCs w:val="20"/>
    </w:rPr>
  </w:style>
  <w:style w:type="paragraph" w:styleId="4">
    <w:name w:val="heading 3"/>
    <w:basedOn w:val="1"/>
    <w:next w:val="1"/>
    <w:link w:val="71"/>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5"/>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76"/>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77"/>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78"/>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9"/>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80"/>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4"/>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81"/>
    <w:qFormat/>
    <w:uiPriority w:val="0"/>
    <w:pPr>
      <w:shd w:val="clear" w:color="auto" w:fill="000080"/>
    </w:pPr>
  </w:style>
  <w:style w:type="paragraph" w:styleId="21">
    <w:name w:val="annotation text"/>
    <w:basedOn w:val="1"/>
    <w:link w:val="82"/>
    <w:qFormat/>
    <w:uiPriority w:val="99"/>
    <w:pPr>
      <w:ind w:firstLine="200" w:firstLineChars="200"/>
      <w:jc w:val="left"/>
    </w:p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84"/>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85"/>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86"/>
    <w:qFormat/>
    <w:uiPriority w:val="0"/>
    <w:pPr>
      <w:ind w:left="100" w:leftChars="2500"/>
    </w:pPr>
    <w:rPr>
      <w:rFonts w:ascii="宋体" w:hAnsi="宋体"/>
      <w:b/>
      <w:color w:val="FF0000"/>
      <w:sz w:val="36"/>
      <w:szCs w:val="30"/>
    </w:rPr>
  </w:style>
  <w:style w:type="paragraph" w:styleId="33">
    <w:name w:val="Body Text Indent 2"/>
    <w:basedOn w:val="1"/>
    <w:link w:val="87"/>
    <w:qFormat/>
    <w:uiPriority w:val="0"/>
    <w:pPr>
      <w:spacing w:after="120" w:line="480" w:lineRule="auto"/>
      <w:ind w:left="420" w:leftChars="200"/>
    </w:pPr>
    <w:rPr>
      <w:szCs w:val="20"/>
    </w:rPr>
  </w:style>
  <w:style w:type="paragraph" w:styleId="34">
    <w:name w:val="endnote text"/>
    <w:basedOn w:val="1"/>
    <w:link w:val="88"/>
    <w:semiHidden/>
    <w:qFormat/>
    <w:uiPriority w:val="0"/>
    <w:pPr>
      <w:snapToGrid w:val="0"/>
      <w:jc w:val="left"/>
    </w:pPr>
  </w:style>
  <w:style w:type="paragraph" w:styleId="35">
    <w:name w:val="Balloon Text"/>
    <w:basedOn w:val="1"/>
    <w:link w:val="89"/>
    <w:qFormat/>
    <w:uiPriority w:val="0"/>
    <w:rPr>
      <w:sz w:val="18"/>
      <w:szCs w:val="18"/>
    </w:rPr>
  </w:style>
  <w:style w:type="paragraph" w:styleId="36">
    <w:name w:val="footer"/>
    <w:basedOn w:val="1"/>
    <w:link w:val="90"/>
    <w:qFormat/>
    <w:uiPriority w:val="99"/>
    <w:pPr>
      <w:tabs>
        <w:tab w:val="center" w:pos="4153"/>
        <w:tab w:val="right" w:pos="8306"/>
      </w:tabs>
      <w:snapToGrid w:val="0"/>
      <w:jc w:val="left"/>
    </w:pPr>
    <w:rPr>
      <w:sz w:val="18"/>
      <w:szCs w:val="18"/>
    </w:rPr>
  </w:style>
  <w:style w:type="paragraph" w:styleId="37">
    <w:name w:val="header"/>
    <w:basedOn w:val="1"/>
    <w:link w:val="91"/>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92"/>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93"/>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94"/>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95"/>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96"/>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97"/>
    <w:qFormat/>
    <w:uiPriority w:val="0"/>
    <w:pPr>
      <w:ind w:firstLine="0" w:firstLineChars="0"/>
    </w:pPr>
    <w:rPr>
      <w:b/>
      <w:bCs/>
    </w:rPr>
  </w:style>
  <w:style w:type="paragraph" w:styleId="55">
    <w:name w:val="Body Text First Indent"/>
    <w:basedOn w:val="23"/>
    <w:link w:val="98"/>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99"/>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61">
    <w:name w:val="endnote reference"/>
    <w:semiHidden/>
    <w:qFormat/>
    <w:uiPriority w:val="0"/>
    <w:rPr>
      <w:vertAlign w:val="superscript"/>
    </w:rPr>
  </w:style>
  <w:style w:type="character" w:styleId="62">
    <w:name w:val="page number"/>
    <w:qFormat/>
    <w:uiPriority w:val="0"/>
  </w:style>
  <w:style w:type="character" w:styleId="63">
    <w:name w:val="FollowedHyperlink"/>
    <w:unhideWhenUsed/>
    <w:qFormat/>
    <w:uiPriority w:val="99"/>
    <w:rPr>
      <w:color w:val="954F72"/>
      <w:u w:val="single"/>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2 字符"/>
    <w:link w:val="3"/>
    <w:qFormat/>
    <w:uiPriority w:val="9"/>
    <w:rPr>
      <w:rFonts w:ascii="Arial" w:hAnsi="Arial" w:cs="Times New Roman"/>
      <w:b/>
      <w:sz w:val="21"/>
      <w:szCs w:val="20"/>
    </w:rPr>
  </w:style>
  <w:style w:type="character" w:customStyle="1" w:styleId="71">
    <w:name w:val="标题 3 字符"/>
    <w:link w:val="4"/>
    <w:qFormat/>
    <w:uiPriority w:val="9"/>
    <w:rPr>
      <w:rFonts w:cs="Times New Roman"/>
      <w:b/>
      <w:kern w:val="0"/>
      <w:sz w:val="32"/>
      <w:szCs w:val="20"/>
    </w:rPr>
  </w:style>
  <w:style w:type="character" w:customStyle="1" w:styleId="72">
    <w:name w:val="标题 1 字符"/>
    <w:link w:val="2"/>
    <w:qFormat/>
    <w:uiPriority w:val="0"/>
    <w:rPr>
      <w:rFonts w:cs="Times New Roman"/>
      <w:b/>
      <w:kern w:val="0"/>
      <w:sz w:val="44"/>
      <w:szCs w:val="20"/>
    </w:rPr>
  </w:style>
  <w:style w:type="character" w:customStyle="1" w:styleId="73">
    <w:name w:val="标题 4 字符"/>
    <w:qFormat/>
    <w:uiPriority w:val="0"/>
    <w:rPr>
      <w:rFonts w:ascii="等线 Light" w:hAnsi="等线 Light" w:eastAsia="等线 Light" w:cs="Times New Roman"/>
      <w:b/>
      <w:bCs/>
      <w:sz w:val="28"/>
      <w:szCs w:val="28"/>
    </w:rPr>
  </w:style>
  <w:style w:type="character" w:customStyle="1" w:styleId="74">
    <w:name w:val="正文缩进 字符"/>
    <w:link w:val="16"/>
    <w:qFormat/>
    <w:uiPriority w:val="0"/>
    <w:rPr>
      <w:rFonts w:cs="Times New Roman"/>
      <w:sz w:val="21"/>
      <w:szCs w:val="20"/>
    </w:rPr>
  </w:style>
  <w:style w:type="character" w:customStyle="1" w:styleId="75">
    <w:name w:val="标题 4 字符1"/>
    <w:link w:val="5"/>
    <w:qFormat/>
    <w:uiPriority w:val="0"/>
    <w:rPr>
      <w:b/>
      <w:bCs/>
      <w:kern w:val="2"/>
      <w:sz w:val="24"/>
      <w:szCs w:val="24"/>
      <w:lang w:val="sv-SE"/>
    </w:rPr>
  </w:style>
  <w:style w:type="character" w:customStyle="1" w:styleId="76">
    <w:name w:val="标题 5 字符1"/>
    <w:link w:val="6"/>
    <w:qFormat/>
    <w:uiPriority w:val="9"/>
    <w:rPr>
      <w:rFonts w:ascii="宋体" w:hAnsi="宋体" w:cs="Times New Roman"/>
      <w:bCs/>
      <w:szCs w:val="24"/>
    </w:rPr>
  </w:style>
  <w:style w:type="character" w:customStyle="1" w:styleId="77">
    <w:name w:val="标题 6 字符1"/>
    <w:link w:val="7"/>
    <w:qFormat/>
    <w:uiPriority w:val="0"/>
    <w:rPr>
      <w:rFonts w:ascii="Arial" w:hAnsi="Arial" w:eastAsia="黑体" w:cs="Times New Roman"/>
      <w:b/>
      <w:kern w:val="0"/>
      <w:szCs w:val="21"/>
    </w:rPr>
  </w:style>
  <w:style w:type="character" w:customStyle="1" w:styleId="78">
    <w:name w:val="标题 7 字符1"/>
    <w:link w:val="8"/>
    <w:qFormat/>
    <w:uiPriority w:val="0"/>
    <w:rPr>
      <w:rFonts w:ascii="宋体" w:hAnsi="宋体" w:cs="Times New Roman"/>
      <w:b/>
      <w:kern w:val="0"/>
      <w:szCs w:val="21"/>
    </w:rPr>
  </w:style>
  <w:style w:type="character" w:customStyle="1" w:styleId="79">
    <w:name w:val="标题 8 字符1"/>
    <w:link w:val="9"/>
    <w:qFormat/>
    <w:uiPriority w:val="0"/>
    <w:rPr>
      <w:rFonts w:ascii="Arial" w:hAnsi="Arial" w:eastAsia="黑体" w:cs="Times New Roman"/>
      <w:szCs w:val="24"/>
    </w:rPr>
  </w:style>
  <w:style w:type="character" w:customStyle="1" w:styleId="80">
    <w:name w:val="标题 9 字符1"/>
    <w:link w:val="10"/>
    <w:qFormat/>
    <w:uiPriority w:val="0"/>
    <w:rPr>
      <w:rFonts w:ascii="Arial" w:hAnsi="Arial" w:eastAsia="黑体" w:cs="Times New Roman"/>
      <w:kern w:val="0"/>
      <w:sz w:val="21"/>
      <w:szCs w:val="21"/>
    </w:rPr>
  </w:style>
  <w:style w:type="character" w:customStyle="1" w:styleId="81">
    <w:name w:val="文档结构图 字符"/>
    <w:link w:val="20"/>
    <w:qFormat/>
    <w:uiPriority w:val="0"/>
    <w:rPr>
      <w:rFonts w:cs="Times New Roman"/>
      <w:sz w:val="21"/>
      <w:szCs w:val="24"/>
      <w:shd w:val="clear" w:color="auto" w:fill="000080"/>
    </w:rPr>
  </w:style>
  <w:style w:type="character" w:customStyle="1" w:styleId="82">
    <w:name w:val="批注文字 字符1"/>
    <w:link w:val="21"/>
    <w:qFormat/>
    <w:uiPriority w:val="0"/>
    <w:rPr>
      <w:sz w:val="21"/>
      <w:szCs w:val="24"/>
    </w:rPr>
  </w:style>
  <w:style w:type="character" w:customStyle="1" w:styleId="83">
    <w:name w:val="正文文本 字符"/>
    <w:link w:val="23"/>
    <w:qFormat/>
    <w:uiPriority w:val="0"/>
    <w:rPr>
      <w:rFonts w:cs="Times New Roman"/>
      <w:sz w:val="21"/>
      <w:szCs w:val="20"/>
    </w:rPr>
  </w:style>
  <w:style w:type="character" w:customStyle="1" w:styleId="84">
    <w:name w:val="正文文本缩进 字符1"/>
    <w:link w:val="24"/>
    <w:qFormat/>
    <w:uiPriority w:val="0"/>
    <w:rPr>
      <w:rFonts w:ascii="宋体" w:hAnsi="宋体" w:cs="Times New Roman"/>
      <w:sz w:val="21"/>
      <w:szCs w:val="21"/>
    </w:rPr>
  </w:style>
  <w:style w:type="character" w:customStyle="1" w:styleId="85">
    <w:name w:val="纯文本 字符1"/>
    <w:link w:val="29"/>
    <w:qFormat/>
    <w:uiPriority w:val="0"/>
    <w:rPr>
      <w:rFonts w:ascii="宋体" w:hAnsi="Courier New" w:cs="Times New Roman"/>
      <w:sz w:val="21"/>
      <w:szCs w:val="20"/>
    </w:rPr>
  </w:style>
  <w:style w:type="character" w:customStyle="1" w:styleId="86">
    <w:name w:val="日期 字符"/>
    <w:link w:val="32"/>
    <w:qFormat/>
    <w:uiPriority w:val="0"/>
    <w:rPr>
      <w:rFonts w:ascii="宋体" w:hAnsi="宋体" w:cs="Times New Roman"/>
      <w:b/>
      <w:color w:val="FF0000"/>
      <w:sz w:val="36"/>
      <w:szCs w:val="30"/>
    </w:rPr>
  </w:style>
  <w:style w:type="character" w:customStyle="1" w:styleId="87">
    <w:name w:val="正文文本缩进 2 字符"/>
    <w:link w:val="33"/>
    <w:qFormat/>
    <w:uiPriority w:val="0"/>
    <w:rPr>
      <w:rFonts w:cs="Times New Roman"/>
      <w:sz w:val="21"/>
      <w:szCs w:val="20"/>
    </w:rPr>
  </w:style>
  <w:style w:type="character" w:customStyle="1" w:styleId="88">
    <w:name w:val="尾注文本 字符1"/>
    <w:link w:val="34"/>
    <w:semiHidden/>
    <w:qFormat/>
    <w:uiPriority w:val="0"/>
    <w:rPr>
      <w:rFonts w:cs="Times New Roman"/>
      <w:sz w:val="21"/>
      <w:szCs w:val="24"/>
    </w:rPr>
  </w:style>
  <w:style w:type="character" w:customStyle="1" w:styleId="89">
    <w:name w:val="批注框文本 字符"/>
    <w:link w:val="35"/>
    <w:qFormat/>
    <w:uiPriority w:val="0"/>
    <w:rPr>
      <w:rFonts w:cs="Times New Roman"/>
      <w:sz w:val="18"/>
      <w:szCs w:val="18"/>
    </w:rPr>
  </w:style>
  <w:style w:type="character" w:customStyle="1" w:styleId="90">
    <w:name w:val="页脚 字符1"/>
    <w:link w:val="36"/>
    <w:qFormat/>
    <w:uiPriority w:val="99"/>
    <w:rPr>
      <w:rFonts w:cs="Times New Roman"/>
      <w:sz w:val="18"/>
      <w:szCs w:val="18"/>
    </w:rPr>
  </w:style>
  <w:style w:type="character" w:customStyle="1" w:styleId="91">
    <w:name w:val="页眉 字符1"/>
    <w:link w:val="37"/>
    <w:qFormat/>
    <w:uiPriority w:val="99"/>
    <w:rPr>
      <w:rFonts w:cs="Times New Roman"/>
      <w:sz w:val="18"/>
      <w:szCs w:val="18"/>
    </w:rPr>
  </w:style>
  <w:style w:type="character" w:customStyle="1" w:styleId="92">
    <w:name w:val="段 Char"/>
    <w:link w:val="42"/>
    <w:qFormat/>
    <w:uiPriority w:val="0"/>
    <w:rPr>
      <w:rFonts w:ascii="宋体" w:cs="Times New Roman"/>
      <w:kern w:val="0"/>
      <w:sz w:val="21"/>
      <w:szCs w:val="20"/>
    </w:rPr>
  </w:style>
  <w:style w:type="character" w:customStyle="1" w:styleId="93">
    <w:name w:val="副标题 字符1"/>
    <w:link w:val="43"/>
    <w:qFormat/>
    <w:uiPriority w:val="0"/>
    <w:rPr>
      <w:rFonts w:ascii="Cambria" w:hAnsi="Cambria" w:cs="Times New Roman"/>
      <w:b/>
      <w:bCs/>
      <w:kern w:val="28"/>
      <w:sz w:val="32"/>
      <w:szCs w:val="32"/>
    </w:rPr>
  </w:style>
  <w:style w:type="character" w:customStyle="1" w:styleId="94">
    <w:name w:val="脚注文本 字符1"/>
    <w:link w:val="44"/>
    <w:qFormat/>
    <w:uiPriority w:val="0"/>
    <w:rPr>
      <w:rFonts w:ascii="宋体"/>
      <w:kern w:val="2"/>
      <w:sz w:val="18"/>
      <w:szCs w:val="18"/>
    </w:rPr>
  </w:style>
  <w:style w:type="character" w:customStyle="1" w:styleId="95">
    <w:name w:val="正文文本缩进 3 字符1"/>
    <w:link w:val="46"/>
    <w:qFormat/>
    <w:uiPriority w:val="0"/>
    <w:rPr>
      <w:rFonts w:ascii="宋体" w:hAnsi="宋体" w:cs="Times New Roman"/>
      <w:color w:val="000000"/>
      <w:szCs w:val="21"/>
    </w:rPr>
  </w:style>
  <w:style w:type="character" w:customStyle="1" w:styleId="96">
    <w:name w:val="标题 字符1"/>
    <w:link w:val="53"/>
    <w:qFormat/>
    <w:locked/>
    <w:uiPriority w:val="0"/>
    <w:rPr>
      <w:rFonts w:ascii="Cambria" w:hAnsi="Cambria" w:cs="Times New Roman"/>
      <w:b/>
      <w:sz w:val="32"/>
      <w:szCs w:val="21"/>
    </w:rPr>
  </w:style>
  <w:style w:type="character" w:customStyle="1" w:styleId="97">
    <w:name w:val="批注主题 字符1"/>
    <w:link w:val="54"/>
    <w:qFormat/>
    <w:uiPriority w:val="0"/>
    <w:rPr>
      <w:b/>
      <w:bCs/>
      <w:sz w:val="21"/>
      <w:szCs w:val="24"/>
    </w:rPr>
  </w:style>
  <w:style w:type="character" w:customStyle="1" w:styleId="98">
    <w:name w:val="正文文本首行缩进 字符"/>
    <w:link w:val="55"/>
    <w:qFormat/>
    <w:uiPriority w:val="0"/>
    <w:rPr>
      <w:rFonts w:ascii="宋体" w:hAnsi="宋体" w:cs="Times New Roman"/>
      <w:szCs w:val="24"/>
    </w:rPr>
  </w:style>
  <w:style w:type="character" w:customStyle="1" w:styleId="99">
    <w:name w:val="正文文本首行缩进 2 字符"/>
    <w:link w:val="56"/>
    <w:qFormat/>
    <w:uiPriority w:val="0"/>
    <w:rPr>
      <w:rFonts w:ascii="宋体" w:hAnsi="宋体" w:cs="Times New Roman"/>
      <w:szCs w:val="21"/>
    </w:rPr>
  </w:style>
  <w:style w:type="character" w:customStyle="1" w:styleId="100">
    <w:name w:val="样式 (西文) 仿宋_GB2312 黑色"/>
    <w:qFormat/>
    <w:uiPriority w:val="0"/>
    <w:rPr>
      <w:rFonts w:hint="eastAsia" w:ascii="宋体" w:hAnsi="宋体" w:eastAsia="宋体"/>
      <w:color w:val="000000"/>
      <w:sz w:val="21"/>
      <w:szCs w:val="21"/>
      <w:lang w:val="en-US" w:eastAsia="zh-CN" w:bidi="ar-SA"/>
    </w:rPr>
  </w:style>
  <w:style w:type="character" w:customStyle="1" w:styleId="101">
    <w:name w:val="不明显强调2"/>
    <w:qFormat/>
    <w:uiPriority w:val="0"/>
    <w:rPr>
      <w:i/>
      <w:iCs/>
      <w:color w:val="808080"/>
    </w:rPr>
  </w:style>
  <w:style w:type="character" w:customStyle="1" w:styleId="102">
    <w:name w:val="页脚 Char1"/>
    <w:semiHidden/>
    <w:qFormat/>
    <w:uiPriority w:val="0"/>
    <w:rPr>
      <w:rFonts w:ascii="宋体" w:hAnsi="宋体" w:eastAsia="宋体"/>
      <w:kern w:val="2"/>
      <w:sz w:val="18"/>
      <w:szCs w:val="18"/>
      <w:lang w:val="en-US" w:eastAsia="zh-CN" w:bidi="ar-SA"/>
    </w:rPr>
  </w:style>
  <w:style w:type="character" w:customStyle="1" w:styleId="103">
    <w:name w:val="正文文本缩进 2 Char1"/>
    <w:semiHidden/>
    <w:qFormat/>
    <w:uiPriority w:val="0"/>
    <w:rPr>
      <w:kern w:val="2"/>
      <w:sz w:val="21"/>
      <w:szCs w:val="24"/>
    </w:rPr>
  </w:style>
  <w:style w:type="character" w:customStyle="1" w:styleId="104">
    <w:name w:val="SJ-标题2 Char"/>
    <w:link w:val="105"/>
    <w:qFormat/>
    <w:locked/>
    <w:uiPriority w:val="0"/>
    <w:rPr>
      <w:rFonts w:ascii="宋体" w:hAnsi="宋体" w:eastAsia="黑体"/>
      <w:szCs w:val="24"/>
    </w:rPr>
  </w:style>
  <w:style w:type="paragraph" w:customStyle="1" w:styleId="105">
    <w:name w:val="SJ-标题2"/>
    <w:link w:val="104"/>
    <w:qFormat/>
    <w:uiPriority w:val="0"/>
    <w:pPr>
      <w:keepLines/>
      <w:widowControl w:val="0"/>
      <w:spacing w:before="200" w:after="200"/>
      <w:ind w:left="-28" w:firstLine="454"/>
      <w:outlineLvl w:val="1"/>
    </w:pPr>
    <w:rPr>
      <w:rFonts w:ascii="宋体" w:hAnsi="宋体" w:eastAsia="黑体" w:cs="Times New Roman"/>
      <w:kern w:val="2"/>
      <w:sz w:val="24"/>
      <w:szCs w:val="24"/>
      <w:lang w:val="en-US" w:eastAsia="zh-CN" w:bidi="ar-SA"/>
    </w:rPr>
  </w:style>
  <w:style w:type="character" w:customStyle="1" w:styleId="106">
    <w:name w:val="占位符文本1"/>
    <w:semiHidden/>
    <w:qFormat/>
    <w:uiPriority w:val="99"/>
    <w:rPr>
      <w:color w:val="808080"/>
    </w:rPr>
  </w:style>
  <w:style w:type="character" w:customStyle="1" w:styleId="107">
    <w:name w:val="标题 8 Char"/>
    <w:qFormat/>
    <w:uiPriority w:val="0"/>
    <w:rPr>
      <w:rFonts w:ascii="Arial" w:hAnsi="Arial" w:eastAsia="黑体"/>
      <w:sz w:val="24"/>
      <w:szCs w:val="21"/>
    </w:rPr>
  </w:style>
  <w:style w:type="character" w:customStyle="1" w:styleId="108">
    <w:name w:val="Char Char7"/>
    <w:qFormat/>
    <w:uiPriority w:val="0"/>
    <w:rPr>
      <w:rFonts w:hint="default" w:ascii="Arial" w:hAnsi="Arial" w:eastAsia="黑体" w:cs="Arial"/>
      <w:b/>
      <w:kern w:val="2"/>
      <w:sz w:val="32"/>
      <w:szCs w:val="21"/>
      <w:lang w:val="en-US" w:eastAsia="zh-CN" w:bidi="ar-SA"/>
    </w:rPr>
  </w:style>
  <w:style w:type="character" w:customStyle="1" w:styleId="109">
    <w:name w:val="标题 9 字符"/>
    <w:qFormat/>
    <w:uiPriority w:val="0"/>
    <w:rPr>
      <w:rFonts w:ascii="等线 Light" w:hAnsi="等线 Light" w:eastAsia="等线 Light" w:cs="Times New Roman"/>
      <w:sz w:val="21"/>
      <w:szCs w:val="21"/>
    </w:rPr>
  </w:style>
  <w:style w:type="character" w:customStyle="1" w:styleId="110">
    <w:name w:val="标题 8 Char1"/>
    <w:semiHidden/>
    <w:qFormat/>
    <w:uiPriority w:val="0"/>
    <w:rPr>
      <w:rFonts w:ascii="Cambria" w:hAnsi="Cambria" w:eastAsia="宋体" w:cs="Times New Roman"/>
      <w:kern w:val="2"/>
      <w:sz w:val="24"/>
      <w:szCs w:val="24"/>
      <w:lang w:val="en-US" w:eastAsia="zh-CN" w:bidi="ar-SA"/>
    </w:rPr>
  </w:style>
  <w:style w:type="character" w:customStyle="1" w:styleId="111">
    <w:name w:val="正文文本缩进 Char2"/>
    <w:semiHidden/>
    <w:qFormat/>
    <w:locked/>
    <w:uiPriority w:val="0"/>
    <w:rPr>
      <w:kern w:val="2"/>
      <w:sz w:val="21"/>
      <w:szCs w:val="24"/>
    </w:rPr>
  </w:style>
  <w:style w:type="character" w:customStyle="1" w:styleId="112">
    <w:name w:val="正文文本 Char"/>
    <w:qFormat/>
    <w:locked/>
    <w:uiPriority w:val="0"/>
    <w:rPr>
      <w:rFonts w:ascii="宋体" w:hAnsi="宋体"/>
      <w:kern w:val="2"/>
      <w:sz w:val="21"/>
      <w:szCs w:val="24"/>
    </w:rPr>
  </w:style>
  <w:style w:type="character" w:customStyle="1" w:styleId="113">
    <w:name w:val="Table Text Char1"/>
    <w:link w:val="114"/>
    <w:qFormat/>
    <w:locked/>
    <w:uiPriority w:val="0"/>
    <w:rPr>
      <w:rFonts w:ascii="宋体" w:hAnsi="宋体" w:cs="Times New Roman"/>
      <w:kern w:val="2"/>
      <w:sz w:val="21"/>
      <w:szCs w:val="21"/>
    </w:rPr>
  </w:style>
  <w:style w:type="paragraph" w:customStyle="1" w:styleId="114">
    <w:name w:val="Table Text"/>
    <w:basedOn w:val="1"/>
    <w:link w:val="113"/>
    <w:qFormat/>
    <w:uiPriority w:val="0"/>
    <w:pPr>
      <w:numPr>
        <w:ilvl w:val="0"/>
        <w:numId w:val="6"/>
      </w:numPr>
      <w:topLinePunct/>
      <w:adjustRightInd w:val="0"/>
      <w:snapToGrid w:val="0"/>
      <w:spacing w:before="80" w:after="80" w:line="240" w:lineRule="atLeast"/>
      <w:ind w:left="0" w:firstLine="0"/>
      <w:jc w:val="left"/>
    </w:pPr>
    <w:rPr>
      <w:rFonts w:ascii="宋体" w:hAnsi="宋体"/>
      <w:szCs w:val="21"/>
    </w:rPr>
  </w:style>
  <w:style w:type="character" w:customStyle="1" w:styleId="115">
    <w:name w:val="不明显强调1"/>
    <w:qFormat/>
    <w:uiPriority w:val="0"/>
    <w:rPr>
      <w:rFonts w:eastAsia="黑体"/>
      <w:iCs/>
      <w:color w:val="auto"/>
      <w:sz w:val="21"/>
    </w:rPr>
  </w:style>
  <w:style w:type="character" w:customStyle="1" w:styleId="116">
    <w:name w:val="正文文本缩进 2 Char"/>
    <w:qFormat/>
    <w:uiPriority w:val="0"/>
    <w:rPr>
      <w:rFonts w:ascii="宋体" w:hAnsi="宋体"/>
      <w:kern w:val="2"/>
      <w:sz w:val="24"/>
      <w:szCs w:val="21"/>
    </w:rPr>
  </w:style>
  <w:style w:type="character" w:customStyle="1" w:styleId="117">
    <w:name w:val="Char Char6"/>
    <w:qFormat/>
    <w:uiPriority w:val="0"/>
    <w:rPr>
      <w:rFonts w:hint="eastAsia" w:ascii="宋体" w:hAnsi="宋体" w:eastAsia="宋体"/>
      <w:b/>
      <w:kern w:val="2"/>
      <w:sz w:val="32"/>
      <w:szCs w:val="21"/>
      <w:lang w:val="en-US" w:eastAsia="zh-CN" w:bidi="ar-SA"/>
    </w:rPr>
  </w:style>
  <w:style w:type="character" w:customStyle="1" w:styleId="118">
    <w:name w:val="标题 1 Char"/>
    <w:qFormat/>
    <w:uiPriority w:val="0"/>
    <w:rPr>
      <w:rFonts w:ascii="宋体" w:hAnsi="宋体" w:eastAsia="黑体"/>
      <w:b/>
      <w:bCs/>
      <w:kern w:val="44"/>
      <w:sz w:val="24"/>
      <w:szCs w:val="44"/>
    </w:rPr>
  </w:style>
  <w:style w:type="character" w:customStyle="1" w:styleId="119">
    <w:name w:val="表头 Char"/>
    <w:link w:val="120"/>
    <w:qFormat/>
    <w:locked/>
    <w:uiPriority w:val="0"/>
    <w:rPr>
      <w:rFonts w:ascii="Arial" w:hAnsi="Arial" w:cs="Times New Roman"/>
      <w:kern w:val="0"/>
      <w:sz w:val="18"/>
      <w:szCs w:val="18"/>
    </w:rPr>
  </w:style>
  <w:style w:type="paragraph" w:customStyle="1" w:styleId="120">
    <w:name w:val="表头"/>
    <w:basedOn w:val="1"/>
    <w:link w:val="119"/>
    <w:qFormat/>
    <w:uiPriority w:val="0"/>
    <w:pPr>
      <w:autoSpaceDE w:val="0"/>
      <w:autoSpaceDN w:val="0"/>
      <w:adjustRightInd w:val="0"/>
      <w:jc w:val="center"/>
    </w:pPr>
    <w:rPr>
      <w:rFonts w:ascii="Arial" w:hAnsi="Arial"/>
      <w:kern w:val="0"/>
      <w:sz w:val="18"/>
      <w:szCs w:val="18"/>
    </w:rPr>
  </w:style>
  <w:style w:type="character" w:customStyle="1" w:styleId="121">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122">
    <w:name w:val="标题 7 字符"/>
    <w:qFormat/>
    <w:uiPriority w:val="0"/>
    <w:rPr>
      <w:rFonts w:cs="Times New Roman"/>
      <w:b/>
      <w:bCs/>
      <w:szCs w:val="24"/>
    </w:rPr>
  </w:style>
  <w:style w:type="character" w:customStyle="1" w:styleId="123">
    <w:name w:val="未处理的提及1"/>
    <w:unhideWhenUsed/>
    <w:qFormat/>
    <w:uiPriority w:val="99"/>
    <w:rPr>
      <w:color w:val="605E5C"/>
      <w:shd w:val="clear" w:color="auto" w:fill="E1DFDD"/>
    </w:rPr>
  </w:style>
  <w:style w:type="character" w:customStyle="1" w:styleId="124">
    <w:name w:val="脚注文本 字符"/>
    <w:semiHidden/>
    <w:qFormat/>
    <w:uiPriority w:val="99"/>
    <w:rPr>
      <w:rFonts w:cs="Times New Roman"/>
      <w:sz w:val="18"/>
      <w:szCs w:val="18"/>
    </w:rPr>
  </w:style>
  <w:style w:type="character" w:customStyle="1" w:styleId="125">
    <w:name w:val="正文首行缩进 Char1"/>
    <w:semiHidden/>
    <w:qFormat/>
    <w:uiPriority w:val="0"/>
  </w:style>
  <w:style w:type="character" w:customStyle="1" w:styleId="126">
    <w:name w:val="文档结构图 Char"/>
    <w:qFormat/>
    <w:uiPriority w:val="0"/>
    <w:rPr>
      <w:rFonts w:ascii="Times New Roman" w:hAnsi="Times New Roman"/>
      <w:kern w:val="2"/>
      <w:sz w:val="21"/>
      <w:szCs w:val="24"/>
      <w:shd w:val="clear" w:color="auto" w:fill="000080"/>
    </w:rPr>
  </w:style>
  <w:style w:type="character" w:customStyle="1" w:styleId="127">
    <w:name w:val="Not Bold Char"/>
    <w:qFormat/>
    <w:uiPriority w:val="0"/>
    <w:rPr>
      <w:rFonts w:hint="eastAsia" w:ascii="宋体" w:hAnsi="宋体" w:eastAsia="宋体"/>
      <w:b/>
      <w:kern w:val="44"/>
      <w:sz w:val="44"/>
      <w:szCs w:val="21"/>
      <w:lang w:val="en-US" w:eastAsia="zh-CN" w:bidi="ar-SA"/>
    </w:rPr>
  </w:style>
  <w:style w:type="character" w:customStyle="1" w:styleId="128">
    <w:name w:val="页眉 Char"/>
    <w:qFormat/>
    <w:uiPriority w:val="99"/>
    <w:rPr>
      <w:sz w:val="18"/>
      <w:szCs w:val="18"/>
    </w:rPr>
  </w:style>
  <w:style w:type="character" w:customStyle="1" w:styleId="129">
    <w:name w:val="Char Char"/>
    <w:qFormat/>
    <w:uiPriority w:val="0"/>
    <w:rPr>
      <w:rFonts w:hint="eastAsia" w:ascii="宋体" w:hAnsi="宋体" w:eastAsia="宋体"/>
      <w:kern w:val="2"/>
      <w:sz w:val="28"/>
      <w:szCs w:val="21"/>
      <w:lang w:val="en-US" w:eastAsia="zh-CN" w:bidi="ar-SA"/>
    </w:rPr>
  </w:style>
  <w:style w:type="character" w:customStyle="1" w:styleId="130">
    <w:name w:val="Char Char2"/>
    <w:qFormat/>
    <w:uiPriority w:val="0"/>
    <w:rPr>
      <w:kern w:val="2"/>
      <w:sz w:val="21"/>
      <w:szCs w:val="24"/>
    </w:rPr>
  </w:style>
  <w:style w:type="character" w:customStyle="1" w:styleId="131">
    <w:name w:val="正文文本 Char1"/>
    <w:qFormat/>
    <w:uiPriority w:val="0"/>
    <w:rPr>
      <w:kern w:val="2"/>
      <w:sz w:val="21"/>
      <w:szCs w:val="22"/>
    </w:rPr>
  </w:style>
  <w:style w:type="character" w:customStyle="1" w:styleId="132">
    <w:name w:val="页脚 字符"/>
    <w:qFormat/>
    <w:uiPriority w:val="0"/>
    <w:rPr>
      <w:rFonts w:cs="Times New Roman"/>
      <w:sz w:val="18"/>
      <w:szCs w:val="18"/>
    </w:rPr>
  </w:style>
  <w:style w:type="character" w:customStyle="1" w:styleId="133">
    <w:name w:val="脚注文本 Char1"/>
    <w:semiHidden/>
    <w:qFormat/>
    <w:uiPriority w:val="0"/>
    <w:rPr>
      <w:kern w:val="2"/>
      <w:sz w:val="18"/>
      <w:szCs w:val="18"/>
    </w:rPr>
  </w:style>
  <w:style w:type="character" w:customStyle="1" w:styleId="134">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135">
    <w:name w:val="纯文本 Char1"/>
    <w:semiHidden/>
    <w:qFormat/>
    <w:uiPriority w:val="0"/>
    <w:rPr>
      <w:rFonts w:hint="eastAsia" w:ascii="宋体" w:hAnsi="Courier New" w:eastAsia="宋体" w:cs="Courier New"/>
      <w:kern w:val="2"/>
      <w:sz w:val="21"/>
      <w:szCs w:val="21"/>
    </w:rPr>
  </w:style>
  <w:style w:type="character" w:customStyle="1" w:styleId="136">
    <w:name w:val="批注文字 Char"/>
    <w:qFormat/>
    <w:uiPriority w:val="99"/>
    <w:rPr>
      <w:rFonts w:ascii="宋体" w:hAnsi="宋体"/>
      <w:kern w:val="2"/>
      <w:sz w:val="21"/>
      <w:szCs w:val="24"/>
    </w:rPr>
  </w:style>
  <w:style w:type="character" w:customStyle="1" w:styleId="137">
    <w:name w:val="正文文本 Char2"/>
    <w:semiHidden/>
    <w:qFormat/>
    <w:uiPriority w:val="0"/>
    <w:rPr>
      <w:kern w:val="2"/>
      <w:sz w:val="21"/>
      <w:szCs w:val="24"/>
    </w:rPr>
  </w:style>
  <w:style w:type="character" w:customStyle="1" w:styleId="138">
    <w:name w:val="标题 Char"/>
    <w:qFormat/>
    <w:uiPriority w:val="0"/>
    <w:rPr>
      <w:rFonts w:ascii="Cambria" w:hAnsi="Cambria" w:cs="Times New Roman"/>
      <w:b/>
      <w:bCs/>
      <w:kern w:val="2"/>
      <w:sz w:val="32"/>
      <w:szCs w:val="32"/>
    </w:rPr>
  </w:style>
  <w:style w:type="character" w:customStyle="1" w:styleId="139">
    <w:name w:val="批注框文本 Char"/>
    <w:qFormat/>
    <w:uiPriority w:val="99"/>
    <w:rPr>
      <w:rFonts w:ascii="宋体" w:hAnsi="宋体"/>
      <w:kern w:val="2"/>
      <w:sz w:val="18"/>
      <w:szCs w:val="18"/>
    </w:rPr>
  </w:style>
  <w:style w:type="character" w:customStyle="1" w:styleId="140">
    <w:name w:val="txt"/>
    <w:qFormat/>
    <w:uiPriority w:val="0"/>
    <w:rPr>
      <w:rFonts w:ascii="宋体" w:hAnsi="宋体" w:eastAsia="宋体"/>
      <w:sz w:val="21"/>
      <w:szCs w:val="21"/>
      <w:lang w:val="en-US" w:eastAsia="zh-CN" w:bidi="ar-SA"/>
    </w:rPr>
  </w:style>
  <w:style w:type="character" w:customStyle="1" w:styleId="141">
    <w:name w:val="Char Char4"/>
    <w:qFormat/>
    <w:uiPriority w:val="0"/>
    <w:rPr>
      <w:rFonts w:hint="eastAsia" w:ascii="宋体" w:hAnsi="宋体" w:eastAsia="宋体"/>
      <w:sz w:val="18"/>
      <w:szCs w:val="21"/>
      <w:lang w:val="en-US" w:eastAsia="zh-CN" w:bidi="ar-SA"/>
    </w:rPr>
  </w:style>
  <w:style w:type="character" w:customStyle="1" w:styleId="142">
    <w:name w:val="标题 3 Char"/>
    <w:qFormat/>
    <w:uiPriority w:val="9"/>
    <w:rPr>
      <w:rFonts w:ascii="黑体" w:hAnsi="宋体"/>
      <w:bCs/>
      <w:kern w:val="2"/>
      <w:sz w:val="21"/>
      <w:szCs w:val="24"/>
    </w:rPr>
  </w:style>
  <w:style w:type="character" w:customStyle="1" w:styleId="143">
    <w:name w:val="封面“EPC联合体”中文文字 Char Char"/>
    <w:link w:val="144"/>
    <w:semiHidden/>
    <w:qFormat/>
    <w:uiPriority w:val="0"/>
    <w:rPr>
      <w:rFonts w:ascii="宋体" w:hAnsi="宋体"/>
      <w:b/>
      <w:sz w:val="32"/>
      <w:szCs w:val="32"/>
    </w:rPr>
  </w:style>
  <w:style w:type="paragraph" w:customStyle="1" w:styleId="144">
    <w:name w:val="封面“EPC联合体”中文文字"/>
    <w:basedOn w:val="145"/>
    <w:link w:val="143"/>
    <w:semiHidden/>
    <w:qFormat/>
    <w:uiPriority w:val="0"/>
    <w:pPr>
      <w:ind w:firstLine="0" w:firstLineChars="0"/>
      <w:jc w:val="center"/>
    </w:pPr>
    <w:rPr>
      <w:b/>
      <w:sz w:val="32"/>
      <w:szCs w:val="32"/>
    </w:rPr>
  </w:style>
  <w:style w:type="paragraph" w:customStyle="1" w:styleId="145">
    <w:name w:val="正文文字样式"/>
    <w:basedOn w:val="1"/>
    <w:link w:val="146"/>
    <w:qFormat/>
    <w:uiPriority w:val="0"/>
    <w:pPr>
      <w:spacing w:line="480" w:lineRule="exact"/>
      <w:ind w:firstLine="480" w:firstLineChars="200"/>
    </w:pPr>
    <w:rPr>
      <w:rFonts w:ascii="宋体" w:hAnsi="宋体"/>
      <w:sz w:val="24"/>
    </w:rPr>
  </w:style>
  <w:style w:type="character" w:customStyle="1" w:styleId="146">
    <w:name w:val="正文文字样式 Char Char"/>
    <w:link w:val="145"/>
    <w:qFormat/>
    <w:uiPriority w:val="0"/>
    <w:rPr>
      <w:rFonts w:ascii="宋体" w:hAnsi="宋体"/>
      <w:szCs w:val="24"/>
    </w:rPr>
  </w:style>
  <w:style w:type="character" w:customStyle="1" w:styleId="147">
    <w:name w:val="首示例 Char"/>
    <w:link w:val="148"/>
    <w:qFormat/>
    <w:uiPriority w:val="0"/>
    <w:rPr>
      <w:rFonts w:ascii="宋体" w:hAnsi="宋体"/>
      <w:kern w:val="2"/>
      <w:sz w:val="18"/>
      <w:szCs w:val="18"/>
    </w:rPr>
  </w:style>
  <w:style w:type="paragraph" w:customStyle="1" w:styleId="148">
    <w:name w:val="首示例"/>
    <w:next w:val="42"/>
    <w:link w:val="147"/>
    <w:qFormat/>
    <w:uiPriority w:val="0"/>
    <w:pPr>
      <w:numPr>
        <w:ilvl w:val="0"/>
        <w:numId w:val="7"/>
      </w:numPr>
      <w:tabs>
        <w:tab w:val="left" w:pos="360"/>
      </w:tabs>
      <w:ind w:firstLine="0"/>
    </w:pPr>
    <w:rPr>
      <w:rFonts w:ascii="宋体" w:hAnsi="宋体" w:eastAsia="宋体" w:cs="Times New Roman"/>
      <w:kern w:val="2"/>
      <w:sz w:val="18"/>
      <w:szCs w:val="18"/>
      <w:lang w:val="en-US" w:eastAsia="zh-CN" w:bidi="ar-SA"/>
    </w:rPr>
  </w:style>
  <w:style w:type="character" w:customStyle="1" w:styleId="149">
    <w:name w:val="页眉 Char2"/>
    <w:semiHidden/>
    <w:qFormat/>
    <w:uiPriority w:val="0"/>
    <w:rPr>
      <w:kern w:val="2"/>
      <w:sz w:val="18"/>
      <w:szCs w:val="18"/>
    </w:rPr>
  </w:style>
  <w:style w:type="character" w:customStyle="1" w:styleId="150">
    <w:name w:val="正文文本缩进 Char"/>
    <w:qFormat/>
    <w:uiPriority w:val="0"/>
    <w:rPr>
      <w:kern w:val="2"/>
      <w:sz w:val="21"/>
      <w:szCs w:val="22"/>
    </w:rPr>
  </w:style>
  <w:style w:type="character" w:customStyle="1" w:styleId="151">
    <w:name w:val="日期 Char1"/>
    <w:semiHidden/>
    <w:qFormat/>
    <w:uiPriority w:val="0"/>
    <w:rPr>
      <w:kern w:val="2"/>
      <w:sz w:val="21"/>
      <w:szCs w:val="24"/>
    </w:rPr>
  </w:style>
  <w:style w:type="character" w:customStyle="1" w:styleId="152">
    <w:name w:val="f-10"/>
    <w:qFormat/>
    <w:uiPriority w:val="0"/>
    <w:rPr>
      <w:rFonts w:ascii="宋体" w:hAnsi="宋体" w:eastAsia="宋体"/>
      <w:sz w:val="21"/>
      <w:szCs w:val="21"/>
      <w:lang w:val="en-US" w:eastAsia="zh-CN" w:bidi="ar-SA"/>
    </w:rPr>
  </w:style>
  <w:style w:type="character" w:customStyle="1" w:styleId="153">
    <w:name w:val="标题 7 Char1"/>
    <w:semiHidden/>
    <w:qFormat/>
    <w:uiPriority w:val="0"/>
    <w:rPr>
      <w:rFonts w:ascii="宋体" w:hAnsi="宋体" w:eastAsia="宋体"/>
      <w:b/>
      <w:bCs/>
      <w:kern w:val="2"/>
      <w:sz w:val="24"/>
      <w:szCs w:val="24"/>
      <w:lang w:val="en-US" w:eastAsia="zh-CN" w:bidi="ar-SA"/>
    </w:rPr>
  </w:style>
  <w:style w:type="character" w:customStyle="1" w:styleId="154">
    <w:name w:val="文档结构图 Char1"/>
    <w:semiHidden/>
    <w:qFormat/>
    <w:uiPriority w:val="0"/>
    <w:rPr>
      <w:rFonts w:hint="eastAsia" w:ascii="宋体" w:hAnsi="宋体" w:eastAsia="宋体"/>
      <w:kern w:val="2"/>
      <w:sz w:val="18"/>
      <w:szCs w:val="18"/>
    </w:rPr>
  </w:style>
  <w:style w:type="character" w:customStyle="1" w:styleId="155">
    <w:name w:val="样式3 Char"/>
    <w:link w:val="156"/>
    <w:qFormat/>
    <w:locked/>
    <w:uiPriority w:val="0"/>
    <w:rPr>
      <w:rFonts w:ascii="黑体" w:hAnsi="宋体" w:eastAsia="黑体"/>
      <w:sz w:val="21"/>
      <w:szCs w:val="21"/>
    </w:rPr>
  </w:style>
  <w:style w:type="paragraph" w:customStyle="1" w:styleId="156">
    <w:name w:val="样式3"/>
    <w:basedOn w:val="1"/>
    <w:link w:val="155"/>
    <w:qFormat/>
    <w:uiPriority w:val="0"/>
    <w:pPr>
      <w:widowControl/>
      <w:outlineLvl w:val="4"/>
    </w:pPr>
    <w:rPr>
      <w:rFonts w:ascii="黑体" w:hAnsi="宋体" w:eastAsia="黑体"/>
      <w:szCs w:val="21"/>
    </w:rPr>
  </w:style>
  <w:style w:type="character" w:customStyle="1" w:styleId="157">
    <w:name w:val="Char2"/>
    <w:qFormat/>
    <w:uiPriority w:val="0"/>
    <w:rPr>
      <w:rFonts w:hint="eastAsia" w:ascii="宋体" w:hAnsi="宋体" w:eastAsia="宋体"/>
      <w:sz w:val="18"/>
      <w:szCs w:val="21"/>
      <w:lang w:val="en-US" w:eastAsia="zh-CN" w:bidi="ar-SA"/>
    </w:rPr>
  </w:style>
  <w:style w:type="character" w:customStyle="1" w:styleId="158">
    <w:name w:val="发布"/>
    <w:qFormat/>
    <w:uiPriority w:val="0"/>
    <w:rPr>
      <w:rFonts w:ascii="黑体" w:eastAsia="黑体"/>
      <w:spacing w:val="85"/>
      <w:w w:val="100"/>
      <w:position w:val="3"/>
      <w:sz w:val="28"/>
      <w:szCs w:val="28"/>
    </w:rPr>
  </w:style>
  <w:style w:type="character" w:customStyle="1" w:styleId="159">
    <w:name w:val="首行缩进 Char"/>
    <w:qFormat/>
    <w:uiPriority w:val="0"/>
    <w:rPr>
      <w:rFonts w:hint="default" w:ascii="Times" w:hAnsi="Times" w:eastAsia="宋体" w:cs="Times"/>
      <w:sz w:val="24"/>
      <w:szCs w:val="21"/>
      <w:lang w:val="en-GB" w:eastAsia="zh-CN" w:bidi="ar-SA"/>
    </w:rPr>
  </w:style>
  <w:style w:type="character" w:customStyle="1" w:styleId="160">
    <w:name w:val="页脚 Char"/>
    <w:qFormat/>
    <w:uiPriority w:val="99"/>
    <w:rPr>
      <w:sz w:val="18"/>
      <w:szCs w:val="18"/>
    </w:rPr>
  </w:style>
  <w:style w:type="character" w:customStyle="1" w:styleId="161">
    <w:name w:val="Alt+J Char Char"/>
    <w:qFormat/>
    <w:uiPriority w:val="0"/>
    <w:rPr>
      <w:rFonts w:hint="default" w:ascii="Arial Narrow" w:hAnsi="Arial Narrow" w:eastAsia="宋体" w:cs="Arial"/>
      <w:sz w:val="21"/>
      <w:szCs w:val="21"/>
      <w:lang w:val="en-US" w:eastAsia="zh-CN" w:bidi="ar-SA"/>
    </w:rPr>
  </w:style>
  <w:style w:type="character" w:customStyle="1" w:styleId="162">
    <w:name w:val="标题 6 字符"/>
    <w:qFormat/>
    <w:uiPriority w:val="0"/>
    <w:rPr>
      <w:rFonts w:ascii="等线 Light" w:hAnsi="等线 Light" w:eastAsia="等线 Light" w:cs="Times New Roman"/>
      <w:b/>
      <w:bCs/>
      <w:szCs w:val="24"/>
    </w:rPr>
  </w:style>
  <w:style w:type="character" w:customStyle="1" w:styleId="163">
    <w:name w:val="SC.9.135216"/>
    <w:qFormat/>
    <w:uiPriority w:val="0"/>
    <w:rPr>
      <w:color w:val="000000"/>
      <w:sz w:val="16"/>
    </w:rPr>
  </w:style>
  <w:style w:type="character" w:customStyle="1" w:styleId="164">
    <w:name w:val="批注主题 字符"/>
    <w:qFormat/>
    <w:uiPriority w:val="0"/>
    <w:rPr>
      <w:rFonts w:cs="Times New Roman"/>
      <w:b/>
      <w:bCs/>
      <w:sz w:val="21"/>
      <w:szCs w:val="24"/>
    </w:rPr>
  </w:style>
  <w:style w:type="character" w:customStyle="1" w:styleId="165">
    <w:name w:val="封面黑体内容 Char"/>
    <w:qFormat/>
    <w:uiPriority w:val="0"/>
    <w:rPr>
      <w:rFonts w:hint="eastAsia" w:ascii="黑体" w:hAnsi="宋体" w:eastAsia="黑体"/>
      <w:sz w:val="32"/>
      <w:szCs w:val="32"/>
      <w:lang w:val="en-US" w:eastAsia="zh-CN" w:bidi="ar-SA"/>
    </w:rPr>
  </w:style>
  <w:style w:type="character" w:customStyle="1" w:styleId="166">
    <w:name w:val="标题 2 Char"/>
    <w:qFormat/>
    <w:uiPriority w:val="9"/>
    <w:rPr>
      <w:rFonts w:ascii="宋体" w:hAnsi="Arial"/>
      <w:bCs/>
      <w:kern w:val="2"/>
      <w:sz w:val="21"/>
      <w:szCs w:val="21"/>
    </w:rPr>
  </w:style>
  <w:style w:type="character" w:customStyle="1" w:styleId="167">
    <w:name w:val="附录 Char"/>
    <w:link w:val="168"/>
    <w:qFormat/>
    <w:uiPriority w:val="0"/>
    <w:rPr>
      <w:rFonts w:hAnsi="宋体" w:cs="Times New Roman"/>
      <w:b/>
      <w:color w:val="000000"/>
      <w:kern w:val="0"/>
      <w:sz w:val="21"/>
      <w:szCs w:val="21"/>
      <w:shd w:val="clear" w:color="FFFFFF" w:fill="FFFFFF"/>
    </w:rPr>
  </w:style>
  <w:style w:type="paragraph" w:customStyle="1" w:styleId="168">
    <w:name w:val="附录"/>
    <w:basedOn w:val="169"/>
    <w:link w:val="167"/>
    <w:qFormat/>
    <w:uiPriority w:val="0"/>
    <w:pPr>
      <w:keepNext w:val="0"/>
      <w:numPr>
        <w:numId w:val="0"/>
      </w:numPr>
      <w:tabs>
        <w:tab w:val="left" w:pos="360"/>
        <w:tab w:val="left" w:pos="6405"/>
      </w:tabs>
      <w:spacing w:before="240" w:after="200" w:line="360" w:lineRule="auto"/>
      <w:jc w:val="both"/>
    </w:pPr>
    <w:rPr>
      <w:rFonts w:ascii="Times New Roman" w:hAnsi="宋体" w:eastAsia="宋体"/>
      <w:b/>
      <w:color w:val="000000"/>
      <w:szCs w:val="21"/>
    </w:rPr>
  </w:style>
  <w:style w:type="paragraph" w:customStyle="1" w:styleId="169">
    <w:name w:val="附录标识"/>
    <w:basedOn w:val="1"/>
    <w:next w:val="42"/>
    <w:link w:val="170"/>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character" w:customStyle="1" w:styleId="170">
    <w:name w:val="附录标识 Char"/>
    <w:link w:val="169"/>
    <w:qFormat/>
    <w:uiPriority w:val="0"/>
    <w:rPr>
      <w:rFonts w:ascii="黑体" w:eastAsia="黑体"/>
      <w:sz w:val="21"/>
      <w:shd w:val="clear" w:color="FFFFFF" w:fill="FFFFFF"/>
    </w:rPr>
  </w:style>
  <w:style w:type="character" w:customStyle="1" w:styleId="171">
    <w:name w:val="二级条标题 Char"/>
    <w:link w:val="172"/>
    <w:qFormat/>
    <w:uiPriority w:val="0"/>
    <w:rPr>
      <w:rFonts w:ascii="黑体" w:eastAsia="黑体"/>
      <w:sz w:val="21"/>
      <w:szCs w:val="21"/>
    </w:rPr>
  </w:style>
  <w:style w:type="paragraph" w:customStyle="1" w:styleId="172">
    <w:name w:val="二级条标题"/>
    <w:basedOn w:val="173"/>
    <w:next w:val="42"/>
    <w:link w:val="171"/>
    <w:qFormat/>
    <w:uiPriority w:val="0"/>
    <w:pPr>
      <w:tabs>
        <w:tab w:val="left" w:pos="360"/>
      </w:tabs>
      <w:spacing w:beforeLines="50" w:afterLines="50"/>
      <w:jc w:val="left"/>
      <w:outlineLvl w:val="3"/>
    </w:pPr>
    <w:rPr>
      <w:szCs w:val="21"/>
    </w:rPr>
  </w:style>
  <w:style w:type="paragraph" w:customStyle="1" w:styleId="173">
    <w:name w:val="一级条标题"/>
    <w:basedOn w:val="174"/>
    <w:next w:val="42"/>
    <w:qFormat/>
    <w:uiPriority w:val="0"/>
    <w:pPr>
      <w:tabs>
        <w:tab w:val="left" w:pos="360"/>
      </w:tabs>
      <w:spacing w:beforeLines="0" w:afterLines="0"/>
      <w:outlineLvl w:val="2"/>
    </w:pPr>
  </w:style>
  <w:style w:type="paragraph" w:customStyle="1" w:styleId="174">
    <w:name w:val="章标题"/>
    <w:next w:val="42"/>
    <w:link w:val="175"/>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character" w:customStyle="1" w:styleId="175">
    <w:name w:val="章标题 Char"/>
    <w:link w:val="174"/>
    <w:qFormat/>
    <w:uiPriority w:val="0"/>
    <w:rPr>
      <w:rFonts w:ascii="黑体" w:eastAsia="黑体" w:cs="Times New Roman"/>
      <w:kern w:val="0"/>
      <w:sz w:val="21"/>
      <w:szCs w:val="20"/>
    </w:rPr>
  </w:style>
  <w:style w:type="character" w:customStyle="1" w:styleId="176">
    <w:name w:val="段 Char Char"/>
    <w:qFormat/>
    <w:uiPriority w:val="0"/>
    <w:rPr>
      <w:rFonts w:ascii="宋体" w:eastAsia="宋体"/>
      <w:sz w:val="24"/>
      <w:lang w:val="en-US" w:eastAsia="zh-CN"/>
    </w:rPr>
  </w:style>
  <w:style w:type="character" w:customStyle="1" w:styleId="177">
    <w:name w:val="正文首行缩进 字符"/>
    <w:semiHidden/>
    <w:qFormat/>
    <w:uiPriority w:val="99"/>
    <w:rPr>
      <w:rFonts w:cs="Times New Roman"/>
      <w:sz w:val="21"/>
      <w:szCs w:val="24"/>
    </w:rPr>
  </w:style>
  <w:style w:type="character" w:customStyle="1" w:styleId="178">
    <w:name w:val="标题 Char2"/>
    <w:qFormat/>
    <w:uiPriority w:val="0"/>
    <w:rPr>
      <w:rFonts w:hint="default" w:ascii="Cambria" w:hAnsi="Cambria" w:cs="Times New Roman"/>
      <w:b/>
      <w:bCs/>
      <w:kern w:val="2"/>
      <w:sz w:val="32"/>
      <w:szCs w:val="32"/>
    </w:rPr>
  </w:style>
  <w:style w:type="character" w:customStyle="1" w:styleId="179">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180">
    <w:name w:val="mc1"/>
    <w:qFormat/>
    <w:uiPriority w:val="0"/>
    <w:rPr>
      <w:rFonts w:ascii="宋体" w:hAnsi="宋体" w:eastAsia="宋体"/>
      <w:b/>
      <w:bCs/>
      <w:color w:val="009900"/>
      <w:sz w:val="21"/>
      <w:szCs w:val="21"/>
      <w:lang w:val="en-US" w:eastAsia="zh-CN" w:bidi="ar-SA"/>
    </w:rPr>
  </w:style>
  <w:style w:type="character" w:customStyle="1" w:styleId="181">
    <w:name w:val="Char Char1"/>
    <w:qFormat/>
    <w:uiPriority w:val="0"/>
    <w:rPr>
      <w:rFonts w:hint="default" w:ascii="Calibri" w:hAnsi="Calibri" w:eastAsia="宋体"/>
      <w:kern w:val="2"/>
      <w:sz w:val="21"/>
      <w:szCs w:val="21"/>
      <w:lang w:val="en-US" w:eastAsia="zh-CN" w:bidi="ar-SA"/>
    </w:rPr>
  </w:style>
  <w:style w:type="character" w:customStyle="1" w:styleId="182">
    <w:name w:val="批注文字 Char1"/>
    <w:semiHidden/>
    <w:qFormat/>
    <w:locked/>
    <w:uiPriority w:val="99"/>
    <w:rPr>
      <w:kern w:val="2"/>
      <w:sz w:val="21"/>
      <w:szCs w:val="24"/>
    </w:rPr>
  </w:style>
  <w:style w:type="character" w:customStyle="1" w:styleId="183">
    <w:name w:val="批注框文本 Char1"/>
    <w:semiHidden/>
    <w:qFormat/>
    <w:uiPriority w:val="0"/>
    <w:rPr>
      <w:kern w:val="2"/>
      <w:sz w:val="18"/>
      <w:szCs w:val="18"/>
    </w:rPr>
  </w:style>
  <w:style w:type="character" w:customStyle="1" w:styleId="184">
    <w:name w:val="附录公式 Char"/>
    <w:link w:val="185"/>
    <w:qFormat/>
    <w:uiPriority w:val="0"/>
    <w:rPr>
      <w:rFonts w:ascii="宋体" w:cs="Times New Roman"/>
      <w:kern w:val="0"/>
      <w:sz w:val="21"/>
      <w:szCs w:val="20"/>
    </w:rPr>
  </w:style>
  <w:style w:type="paragraph" w:customStyle="1" w:styleId="185">
    <w:name w:val="附录公式"/>
    <w:basedOn w:val="42"/>
    <w:next w:val="42"/>
    <w:link w:val="184"/>
    <w:qFormat/>
    <w:uiPriority w:val="0"/>
    <w:pPr>
      <w:tabs>
        <w:tab w:val="center" w:pos="4201"/>
        <w:tab w:val="right" w:leader="dot" w:pos="9298"/>
      </w:tabs>
      <w:autoSpaceDE w:val="0"/>
      <w:autoSpaceDN w:val="0"/>
      <w:ind w:firstLine="420"/>
    </w:pPr>
  </w:style>
  <w:style w:type="character" w:customStyle="1" w:styleId="186">
    <w:name w:val="副标题 字符"/>
    <w:qFormat/>
    <w:uiPriority w:val="11"/>
    <w:rPr>
      <w:rFonts w:ascii="等线" w:hAnsi="等线" w:eastAsia="等线"/>
      <w:b/>
      <w:bCs/>
      <w:kern w:val="28"/>
      <w:sz w:val="32"/>
      <w:szCs w:val="32"/>
    </w:rPr>
  </w:style>
  <w:style w:type="character" w:customStyle="1" w:styleId="187">
    <w:name w:val="正文文本缩进 3 字符"/>
    <w:qFormat/>
    <w:uiPriority w:val="0"/>
    <w:rPr>
      <w:rFonts w:cs="Times New Roman"/>
      <w:sz w:val="16"/>
      <w:szCs w:val="16"/>
    </w:rPr>
  </w:style>
  <w:style w:type="character" w:customStyle="1" w:styleId="188">
    <w:name w:val="正文文本缩进 3 Char1"/>
    <w:semiHidden/>
    <w:qFormat/>
    <w:uiPriority w:val="0"/>
    <w:rPr>
      <w:kern w:val="2"/>
      <w:sz w:val="16"/>
      <w:szCs w:val="16"/>
    </w:rPr>
  </w:style>
  <w:style w:type="character" w:customStyle="1" w:styleId="189">
    <w:name w:val="页眉 Char1"/>
    <w:qFormat/>
    <w:uiPriority w:val="99"/>
    <w:rPr>
      <w:rFonts w:ascii="宋体" w:hAnsi="宋体" w:eastAsia="宋体"/>
      <w:kern w:val="2"/>
      <w:sz w:val="18"/>
      <w:szCs w:val="18"/>
      <w:lang w:val="en-US" w:eastAsia="zh-CN" w:bidi="ar-SA"/>
    </w:rPr>
  </w:style>
  <w:style w:type="character" w:customStyle="1" w:styleId="190">
    <w:name w:val="页脚 Char2"/>
    <w:semiHidden/>
    <w:qFormat/>
    <w:uiPriority w:val="0"/>
    <w:rPr>
      <w:kern w:val="2"/>
      <w:sz w:val="18"/>
      <w:szCs w:val="18"/>
    </w:rPr>
  </w:style>
  <w:style w:type="character" w:customStyle="1" w:styleId="191">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192">
    <w:name w:val="Char Char3"/>
    <w:qFormat/>
    <w:uiPriority w:val="0"/>
    <w:rPr>
      <w:rFonts w:hint="eastAsia" w:ascii="宋体" w:hAnsi="宋体" w:eastAsia="宋体"/>
      <w:sz w:val="18"/>
      <w:szCs w:val="21"/>
      <w:lang w:val="en-US" w:eastAsia="zh-CN" w:bidi="ar-SA"/>
    </w:rPr>
  </w:style>
  <w:style w:type="character" w:customStyle="1" w:styleId="193">
    <w:name w:val="标题 5 字符"/>
    <w:qFormat/>
    <w:uiPriority w:val="9"/>
    <w:rPr>
      <w:rFonts w:cs="Times New Roman"/>
      <w:b/>
      <w:bCs/>
      <w:sz w:val="28"/>
      <w:szCs w:val="28"/>
    </w:rPr>
  </w:style>
  <w:style w:type="character" w:customStyle="1" w:styleId="194">
    <w:name w:val="GHT-正文 Char"/>
    <w:link w:val="195"/>
    <w:qFormat/>
    <w:locked/>
    <w:uiPriority w:val="0"/>
    <w:rPr>
      <w:rFonts w:ascii="宋体" w:hAnsi="宋体"/>
      <w:color w:val="000000"/>
      <w:spacing w:val="10"/>
      <w:szCs w:val="21"/>
    </w:rPr>
  </w:style>
  <w:style w:type="paragraph" w:customStyle="1" w:styleId="195">
    <w:name w:val="GHT-正文"/>
    <w:basedOn w:val="1"/>
    <w:link w:val="194"/>
    <w:qFormat/>
    <w:uiPriority w:val="0"/>
    <w:pPr>
      <w:adjustRightInd w:val="0"/>
      <w:spacing w:line="400" w:lineRule="exact"/>
      <w:ind w:firstLine="520" w:firstLineChars="200"/>
    </w:pPr>
    <w:rPr>
      <w:rFonts w:ascii="宋体" w:hAnsi="宋体"/>
      <w:color w:val="000000"/>
      <w:spacing w:val="10"/>
      <w:sz w:val="24"/>
      <w:szCs w:val="21"/>
    </w:rPr>
  </w:style>
  <w:style w:type="character" w:customStyle="1" w:styleId="196">
    <w:name w:val="Char Char5"/>
    <w:qFormat/>
    <w:uiPriority w:val="0"/>
    <w:rPr>
      <w:rFonts w:hint="default" w:ascii="Arial" w:hAnsi="Arial" w:eastAsia="黑体" w:cs="Arial"/>
      <w:kern w:val="2"/>
      <w:sz w:val="21"/>
      <w:szCs w:val="21"/>
      <w:lang w:val="en-US" w:eastAsia="zh-CN" w:bidi="ar-SA"/>
    </w:rPr>
  </w:style>
  <w:style w:type="character" w:customStyle="1" w:styleId="197">
    <w:name w:val="t141"/>
    <w:qFormat/>
    <w:uiPriority w:val="0"/>
    <w:rPr>
      <w:rFonts w:ascii="宋体" w:hAnsi="宋体" w:eastAsia="宋体"/>
      <w:sz w:val="24"/>
      <w:szCs w:val="24"/>
      <w:lang w:val="en-US" w:eastAsia="zh-CN" w:bidi="ar-SA"/>
    </w:rPr>
  </w:style>
  <w:style w:type="character" w:customStyle="1" w:styleId="198">
    <w:name w:val="标题 3 Char1"/>
    <w:semiHidden/>
    <w:qFormat/>
    <w:uiPriority w:val="0"/>
    <w:rPr>
      <w:rFonts w:ascii="宋体" w:hAnsi="宋体" w:eastAsia="宋体"/>
      <w:b/>
      <w:bCs/>
      <w:kern w:val="2"/>
      <w:sz w:val="32"/>
      <w:szCs w:val="32"/>
      <w:lang w:val="en-US" w:eastAsia="zh-CN" w:bidi="ar-SA"/>
    </w:rPr>
  </w:style>
  <w:style w:type="character" w:customStyle="1" w:styleId="199">
    <w:name w:val="纯文本 字符"/>
    <w:qFormat/>
    <w:uiPriority w:val="0"/>
    <w:rPr>
      <w:rFonts w:ascii="等线" w:hAnsi="Courier New" w:eastAsia="等线" w:cs="Courier New"/>
      <w:sz w:val="21"/>
      <w:szCs w:val="24"/>
    </w:rPr>
  </w:style>
  <w:style w:type="character" w:customStyle="1" w:styleId="200">
    <w:name w:val="日期 Char"/>
    <w:qFormat/>
    <w:uiPriority w:val="0"/>
    <w:rPr>
      <w:kern w:val="2"/>
      <w:sz w:val="21"/>
      <w:szCs w:val="21"/>
    </w:rPr>
  </w:style>
  <w:style w:type="character" w:customStyle="1" w:styleId="201">
    <w:name w:val="页眉 字符"/>
    <w:qFormat/>
    <w:uiPriority w:val="99"/>
    <w:rPr>
      <w:rFonts w:cs="Times New Roman"/>
      <w:sz w:val="18"/>
      <w:szCs w:val="18"/>
    </w:rPr>
  </w:style>
  <w:style w:type="character" w:customStyle="1" w:styleId="202">
    <w:name w:val="± Char"/>
    <w:qFormat/>
    <w:uiPriority w:val="0"/>
    <w:rPr>
      <w:rFonts w:hint="default" w:ascii="Times" w:hAnsi="Times" w:eastAsia="宋体" w:cs="Times"/>
      <w:sz w:val="24"/>
      <w:szCs w:val="21"/>
      <w:lang w:val="en-GB" w:eastAsia="zh-CN" w:bidi="ar-SA"/>
    </w:rPr>
  </w:style>
  <w:style w:type="character" w:customStyle="1" w:styleId="203">
    <w:name w:val="标题 4 Char"/>
    <w:qFormat/>
    <w:uiPriority w:val="0"/>
    <w:rPr>
      <w:rFonts w:ascii="黑体" w:hAnsi="宋体"/>
      <w:kern w:val="2"/>
      <w:sz w:val="21"/>
      <w:szCs w:val="24"/>
    </w:rPr>
  </w:style>
  <w:style w:type="character" w:customStyle="1" w:styleId="204">
    <w:name w:val="封面“EPC联合体”西文文字 Char Char"/>
    <w:link w:val="205"/>
    <w:semiHidden/>
    <w:qFormat/>
    <w:uiPriority w:val="0"/>
    <w:rPr>
      <w:rFonts w:ascii="宋体"/>
      <w:b/>
      <w:sz w:val="32"/>
      <w:szCs w:val="32"/>
    </w:rPr>
  </w:style>
  <w:style w:type="paragraph" w:customStyle="1" w:styleId="205">
    <w:name w:val="封面“EPC联合体”西文文字"/>
    <w:basedOn w:val="144"/>
    <w:link w:val="204"/>
    <w:semiHidden/>
    <w:qFormat/>
    <w:uiPriority w:val="0"/>
    <w:rPr>
      <w:rFonts w:hAnsi="Times New Roman"/>
    </w:rPr>
  </w:style>
  <w:style w:type="character" w:customStyle="1" w:styleId="206">
    <w:name w:val="尾注文本 字符"/>
    <w:semiHidden/>
    <w:qFormat/>
    <w:uiPriority w:val="99"/>
    <w:rPr>
      <w:rFonts w:cs="Times New Roman"/>
      <w:sz w:val="21"/>
      <w:szCs w:val="24"/>
    </w:rPr>
  </w:style>
  <w:style w:type="character" w:customStyle="1" w:styleId="207">
    <w:name w:val="文档正文 Char1"/>
    <w:link w:val="208"/>
    <w:qFormat/>
    <w:locked/>
    <w:uiPriority w:val="0"/>
    <w:rPr>
      <w:rFonts w:ascii="楷体_GB2312" w:hAnsi="宋体" w:eastAsia="楷体_GB2312"/>
      <w:sz w:val="28"/>
      <w:szCs w:val="21"/>
    </w:rPr>
  </w:style>
  <w:style w:type="paragraph" w:customStyle="1" w:styleId="208">
    <w:name w:val="文档正文"/>
    <w:basedOn w:val="1"/>
    <w:link w:val="207"/>
    <w:qFormat/>
    <w:uiPriority w:val="0"/>
    <w:pPr>
      <w:spacing w:line="480" w:lineRule="atLeast"/>
      <w:ind w:firstLine="567"/>
    </w:pPr>
    <w:rPr>
      <w:rFonts w:ascii="楷体_GB2312" w:hAnsi="宋体" w:eastAsia="楷体_GB2312"/>
      <w:sz w:val="28"/>
      <w:szCs w:val="21"/>
    </w:rPr>
  </w:style>
  <w:style w:type="character" w:customStyle="1" w:styleId="209">
    <w:name w:val="正文首行缩进 2 Char1"/>
    <w:semiHidden/>
    <w:qFormat/>
    <w:uiPriority w:val="0"/>
  </w:style>
  <w:style w:type="character" w:customStyle="1" w:styleId="210">
    <w:name w:val="纯文本 Char"/>
    <w:qFormat/>
    <w:uiPriority w:val="99"/>
    <w:rPr>
      <w:rFonts w:ascii="宋体" w:hAnsi="Courier New"/>
      <w:kern w:val="2"/>
      <w:sz w:val="21"/>
      <w:szCs w:val="21"/>
    </w:rPr>
  </w:style>
  <w:style w:type="character" w:customStyle="1" w:styleId="211">
    <w:name w:val="表格内容 Char"/>
    <w:link w:val="212"/>
    <w:qFormat/>
    <w:locked/>
    <w:uiPriority w:val="0"/>
    <w:rPr>
      <w:rFonts w:ascii="仿宋_GB2312" w:hAnsi="宋体" w:eastAsia="仿宋_GB2312" w:cs="宋体"/>
      <w:szCs w:val="24"/>
    </w:rPr>
  </w:style>
  <w:style w:type="paragraph" w:customStyle="1" w:styleId="212">
    <w:name w:val="表格内容"/>
    <w:basedOn w:val="1"/>
    <w:link w:val="211"/>
    <w:qFormat/>
    <w:uiPriority w:val="0"/>
    <w:pPr>
      <w:adjustRightInd w:val="0"/>
      <w:spacing w:before="40" w:after="40"/>
      <w:jc w:val="center"/>
    </w:pPr>
    <w:rPr>
      <w:rFonts w:ascii="仿宋_GB2312" w:hAnsi="宋体" w:eastAsia="仿宋_GB2312" w:cs="宋体"/>
      <w:sz w:val="24"/>
    </w:rPr>
  </w:style>
  <w:style w:type="character" w:customStyle="1" w:styleId="213">
    <w:name w:val="标题 1 Char1"/>
    <w:qFormat/>
    <w:uiPriority w:val="0"/>
    <w:rPr>
      <w:rFonts w:hint="eastAsia" w:ascii="宋体" w:hAnsi="宋体" w:eastAsia="宋体"/>
      <w:b/>
      <w:kern w:val="44"/>
      <w:sz w:val="44"/>
      <w:szCs w:val="21"/>
      <w:lang w:val="en-US" w:eastAsia="zh-CN" w:bidi="ar-SA"/>
    </w:rPr>
  </w:style>
  <w:style w:type="character" w:customStyle="1" w:styleId="214">
    <w:name w:val="标题 8 字符"/>
    <w:qFormat/>
    <w:uiPriority w:val="0"/>
    <w:rPr>
      <w:rFonts w:ascii="等线 Light" w:hAnsi="等线 Light" w:eastAsia="等线 Light" w:cs="Times New Roman"/>
      <w:szCs w:val="24"/>
    </w:rPr>
  </w:style>
  <w:style w:type="character" w:customStyle="1" w:styleId="215">
    <w:name w:val="“上标”样式"/>
    <w:qFormat/>
    <w:uiPriority w:val="0"/>
    <w:rPr>
      <w:rFonts w:ascii="Times New Roman" w:hAnsi="Times New Roman" w:eastAsia="宋体"/>
      <w:sz w:val="24"/>
      <w:vertAlign w:val="superscript"/>
    </w:rPr>
  </w:style>
  <w:style w:type="character" w:customStyle="1" w:styleId="216">
    <w:name w:val="标题 字符"/>
    <w:qFormat/>
    <w:uiPriority w:val="0"/>
    <w:rPr>
      <w:rFonts w:ascii="等线 Light" w:hAnsi="等线 Light" w:eastAsia="等线 Light" w:cs="Times New Roman"/>
      <w:b/>
      <w:bCs/>
      <w:sz w:val="32"/>
      <w:szCs w:val="32"/>
    </w:rPr>
  </w:style>
  <w:style w:type="character" w:customStyle="1" w:styleId="217">
    <w:name w:val="批注主题 Char1"/>
    <w:semiHidden/>
    <w:qFormat/>
    <w:uiPriority w:val="0"/>
    <w:rPr>
      <w:b/>
      <w:bCs/>
      <w:kern w:val="2"/>
      <w:sz w:val="21"/>
      <w:szCs w:val="24"/>
    </w:rPr>
  </w:style>
  <w:style w:type="character" w:customStyle="1" w:styleId="218">
    <w:name w:val="副标题 Char1"/>
    <w:qFormat/>
    <w:uiPriority w:val="0"/>
    <w:rPr>
      <w:rFonts w:hint="default" w:ascii="Cambria" w:hAnsi="Cambria" w:cs="Times New Roman"/>
      <w:b/>
      <w:bCs/>
      <w:kern w:val="28"/>
      <w:sz w:val="32"/>
      <w:szCs w:val="32"/>
    </w:rPr>
  </w:style>
  <w:style w:type="character" w:customStyle="1" w:styleId="219">
    <w:name w:val="标题 5 Char1"/>
    <w:semiHidden/>
    <w:qFormat/>
    <w:uiPriority w:val="0"/>
    <w:rPr>
      <w:rFonts w:ascii="宋体" w:hAnsi="宋体" w:eastAsia="宋体"/>
      <w:b/>
      <w:bCs/>
      <w:kern w:val="2"/>
      <w:sz w:val="28"/>
      <w:szCs w:val="28"/>
      <w:lang w:val="en-US" w:eastAsia="zh-CN" w:bidi="ar-SA"/>
    </w:rPr>
  </w:style>
  <w:style w:type="character" w:customStyle="1" w:styleId="220">
    <w:name w:val="“下标”样式"/>
    <w:qFormat/>
    <w:uiPriority w:val="0"/>
    <w:rPr>
      <w:vertAlign w:val="subscript"/>
    </w:rPr>
  </w:style>
  <w:style w:type="character" w:customStyle="1" w:styleId="221">
    <w:name w:val="批注主题 Char"/>
    <w:qFormat/>
    <w:uiPriority w:val="0"/>
    <w:rPr>
      <w:rFonts w:ascii="宋体" w:hAnsi="宋体"/>
      <w:b/>
      <w:bCs/>
      <w:kern w:val="2"/>
      <w:sz w:val="21"/>
      <w:szCs w:val="24"/>
    </w:rPr>
  </w:style>
  <w:style w:type="character" w:customStyle="1" w:styleId="222">
    <w:name w:val="Item List Char1"/>
    <w:link w:val="223"/>
    <w:qFormat/>
    <w:locked/>
    <w:uiPriority w:val="0"/>
    <w:rPr>
      <w:rFonts w:ascii="Arial" w:hAnsi="Arial" w:cs="Arial"/>
      <w:sz w:val="21"/>
      <w:szCs w:val="21"/>
    </w:rPr>
  </w:style>
  <w:style w:type="paragraph" w:customStyle="1" w:styleId="223">
    <w:name w:val="Item List"/>
    <w:link w:val="222"/>
    <w:qFormat/>
    <w:uiPriority w:val="0"/>
    <w:pPr>
      <w:spacing w:line="300" w:lineRule="auto"/>
      <w:ind w:left="420" w:hanging="420"/>
      <w:jc w:val="both"/>
    </w:pPr>
    <w:rPr>
      <w:rFonts w:ascii="Arial" w:hAnsi="Arial" w:eastAsia="宋体" w:cs="Arial"/>
      <w:kern w:val="2"/>
      <w:sz w:val="21"/>
      <w:szCs w:val="21"/>
      <w:lang w:val="en-US" w:eastAsia="zh-CN" w:bidi="ar-SA"/>
    </w:rPr>
  </w:style>
  <w:style w:type="character" w:customStyle="1" w:styleId="224">
    <w:name w:val="正文首行缩进 2 字符"/>
    <w:semiHidden/>
    <w:qFormat/>
    <w:uiPriority w:val="99"/>
    <w:rPr>
      <w:rFonts w:cs="Times New Roman"/>
      <w:sz w:val="21"/>
      <w:szCs w:val="24"/>
    </w:rPr>
  </w:style>
  <w:style w:type="character" w:customStyle="1" w:styleId="225">
    <w:name w:val="标题 9 Char1"/>
    <w:semiHidden/>
    <w:qFormat/>
    <w:uiPriority w:val="0"/>
    <w:rPr>
      <w:rFonts w:ascii="Cambria" w:hAnsi="Cambria" w:eastAsia="宋体" w:cs="Times New Roman"/>
      <w:kern w:val="2"/>
      <w:sz w:val="21"/>
      <w:szCs w:val="21"/>
      <w:lang w:val="en-US" w:eastAsia="zh-CN" w:bidi="ar-SA"/>
    </w:rPr>
  </w:style>
  <w:style w:type="character" w:customStyle="1" w:styleId="226">
    <w:name w:val="C标准-字母列项 Char Char"/>
    <w:link w:val="227"/>
    <w:qFormat/>
    <w:uiPriority w:val="0"/>
    <w:rPr>
      <w:szCs w:val="24"/>
    </w:rPr>
  </w:style>
  <w:style w:type="paragraph" w:customStyle="1" w:styleId="227">
    <w:name w:val="C标准-字母列项"/>
    <w:basedOn w:val="1"/>
    <w:link w:val="226"/>
    <w:qFormat/>
    <w:uiPriority w:val="0"/>
    <w:pPr>
      <w:tabs>
        <w:tab w:val="left" w:pos="0"/>
      </w:tabs>
      <w:spacing w:beforeLines="50" w:line="360" w:lineRule="auto"/>
    </w:pPr>
    <w:rPr>
      <w:sz w:val="24"/>
    </w:rPr>
  </w:style>
  <w:style w:type="character" w:customStyle="1" w:styleId="228">
    <w:name w:val="正文文本缩进 字符"/>
    <w:qFormat/>
    <w:uiPriority w:val="0"/>
    <w:rPr>
      <w:rFonts w:cs="Times New Roman"/>
      <w:sz w:val="21"/>
      <w:szCs w:val="24"/>
    </w:rPr>
  </w:style>
  <w:style w:type="character" w:customStyle="1" w:styleId="229">
    <w:name w:val="正文格式 Char"/>
    <w:link w:val="230"/>
    <w:qFormat/>
    <w:locked/>
    <w:uiPriority w:val="0"/>
    <w:rPr>
      <w:rFonts w:ascii="宋体" w:hAnsi="宋体"/>
      <w:bCs/>
      <w:sz w:val="21"/>
      <w:szCs w:val="21"/>
    </w:rPr>
  </w:style>
  <w:style w:type="paragraph" w:customStyle="1" w:styleId="230">
    <w:name w:val="正文格式"/>
    <w:basedOn w:val="1"/>
    <w:link w:val="229"/>
    <w:qFormat/>
    <w:uiPriority w:val="0"/>
    <w:pPr>
      <w:topLinePunct/>
      <w:ind w:firstLine="420" w:firstLineChars="200"/>
    </w:pPr>
    <w:rPr>
      <w:rFonts w:ascii="宋体" w:hAnsi="宋体"/>
      <w:bCs/>
      <w:szCs w:val="21"/>
    </w:rPr>
  </w:style>
  <w:style w:type="character" w:customStyle="1" w:styleId="231">
    <w:name w:val="批注文字 字符"/>
    <w:qFormat/>
    <w:uiPriority w:val="0"/>
    <w:rPr>
      <w:rFonts w:cs="Times New Roman"/>
      <w:sz w:val="21"/>
      <w:szCs w:val="24"/>
    </w:rPr>
  </w:style>
  <w:style w:type="paragraph" w:customStyle="1" w:styleId="232">
    <w:name w:val="版本记录标题文字"/>
    <w:basedOn w:val="1"/>
    <w:semiHidden/>
    <w:qFormat/>
    <w:uiPriority w:val="0"/>
    <w:pPr>
      <w:spacing w:line="480" w:lineRule="exact"/>
    </w:pPr>
    <w:rPr>
      <w:sz w:val="24"/>
    </w:rPr>
  </w:style>
  <w:style w:type="paragraph" w:customStyle="1" w:styleId="233">
    <w:name w:val="四级无标题条"/>
    <w:basedOn w:val="1"/>
    <w:qFormat/>
    <w:uiPriority w:val="0"/>
    <w:pPr>
      <w:numPr>
        <w:ilvl w:val="5"/>
        <w:numId w:val="9"/>
      </w:numPr>
    </w:pPr>
  </w:style>
  <w:style w:type="paragraph" w:customStyle="1" w:styleId="234">
    <w:name w:val="样式 Tahoma 行距: 单倍行距"/>
    <w:basedOn w:val="1"/>
    <w:qFormat/>
    <w:uiPriority w:val="0"/>
    <w:pPr>
      <w:ind w:firstLine="420" w:firstLineChars="200"/>
    </w:pPr>
    <w:rPr>
      <w:rFonts w:ascii="Tahoma" w:hAnsi="Tahoma" w:cs="宋体"/>
      <w:szCs w:val="21"/>
    </w:rPr>
  </w:style>
  <w:style w:type="paragraph" w:customStyle="1" w:styleId="23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36">
    <w:name w:val="正文文本缩进 21"/>
    <w:basedOn w:val="237"/>
    <w:qFormat/>
    <w:uiPriority w:val="0"/>
    <w:pPr>
      <w:ind w:left="1440"/>
      <w:jc w:val="both"/>
    </w:pPr>
    <w:rPr>
      <w:sz w:val="24"/>
    </w:rPr>
  </w:style>
  <w:style w:type="paragraph" w:customStyle="1" w:styleId="237">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238">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239">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40">
    <w:name w:val="Char Char Char Char Char Char Char Char Char Char Char Char Char"/>
    <w:basedOn w:val="1"/>
    <w:qFormat/>
    <w:uiPriority w:val="0"/>
    <w:pPr>
      <w:spacing w:line="360" w:lineRule="auto"/>
    </w:pPr>
    <w:rPr>
      <w:rFonts w:ascii="Tahoma" w:hAnsi="Tahoma"/>
      <w:sz w:val="24"/>
      <w:szCs w:val="20"/>
    </w:rPr>
  </w:style>
  <w:style w:type="paragraph" w:customStyle="1" w:styleId="241">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242">
    <w:name w:val="附录一级无"/>
    <w:basedOn w:val="243"/>
    <w:qFormat/>
    <w:uiPriority w:val="0"/>
    <w:pPr>
      <w:tabs>
        <w:tab w:val="left" w:pos="360"/>
      </w:tabs>
      <w:spacing w:beforeLines="0" w:afterLines="0"/>
    </w:pPr>
    <w:rPr>
      <w:rFonts w:ascii="宋体" w:eastAsia="宋体"/>
      <w:szCs w:val="21"/>
    </w:rPr>
  </w:style>
  <w:style w:type="paragraph" w:customStyle="1" w:styleId="243">
    <w:name w:val="附录一级条标题"/>
    <w:basedOn w:val="244"/>
    <w:next w:val="42"/>
    <w:qFormat/>
    <w:uiPriority w:val="0"/>
    <w:pPr>
      <w:numPr>
        <w:ilvl w:val="2"/>
      </w:numPr>
      <w:tabs>
        <w:tab w:val="left" w:pos="360"/>
      </w:tabs>
      <w:autoSpaceDN w:val="0"/>
      <w:spacing w:beforeLines="50" w:afterLines="50"/>
      <w:outlineLvl w:val="2"/>
    </w:pPr>
  </w:style>
  <w:style w:type="paragraph" w:customStyle="1" w:styleId="244">
    <w:name w:val="附录章标题"/>
    <w:next w:val="42"/>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5">
    <w:name w:val="五级条标题"/>
    <w:basedOn w:val="246"/>
    <w:next w:val="42"/>
    <w:qFormat/>
    <w:uiPriority w:val="0"/>
    <w:pPr>
      <w:tabs>
        <w:tab w:val="left" w:pos="360"/>
      </w:tabs>
      <w:outlineLvl w:val="6"/>
    </w:pPr>
  </w:style>
  <w:style w:type="paragraph" w:customStyle="1" w:styleId="246">
    <w:name w:val="四级条标题"/>
    <w:basedOn w:val="247"/>
    <w:next w:val="42"/>
    <w:qFormat/>
    <w:uiPriority w:val="0"/>
    <w:pPr>
      <w:tabs>
        <w:tab w:val="left" w:pos="360"/>
      </w:tabs>
      <w:outlineLvl w:val="5"/>
    </w:pPr>
  </w:style>
  <w:style w:type="paragraph" w:customStyle="1" w:styleId="247">
    <w:name w:val="三级条标题"/>
    <w:basedOn w:val="172"/>
    <w:next w:val="42"/>
    <w:qFormat/>
    <w:uiPriority w:val="0"/>
    <w:pPr>
      <w:numPr>
        <w:ilvl w:val="0"/>
        <w:numId w:val="10"/>
      </w:numPr>
      <w:ind w:firstLine="0"/>
      <w:outlineLvl w:val="4"/>
    </w:pPr>
  </w:style>
  <w:style w:type="paragraph" w:customStyle="1" w:styleId="248">
    <w:name w:val="封面文档编号"/>
    <w:basedOn w:val="145"/>
    <w:semiHidden/>
    <w:qFormat/>
    <w:uiPriority w:val="0"/>
    <w:pPr>
      <w:spacing w:line="640" w:lineRule="exact"/>
      <w:ind w:firstLine="0" w:firstLineChars="0"/>
      <w:jc w:val="center"/>
    </w:pPr>
    <w:rPr>
      <w:rFonts w:ascii="黑体" w:eastAsia="黑体"/>
      <w:b/>
      <w:sz w:val="32"/>
      <w:szCs w:val="32"/>
    </w:rPr>
  </w:style>
  <w:style w:type="paragraph" w:customStyle="1" w:styleId="249">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50">
    <w:name w:val="SJ-图"/>
    <w:basedOn w:val="105"/>
    <w:qFormat/>
    <w:uiPriority w:val="0"/>
    <w:pPr>
      <w:tabs>
        <w:tab w:val="left" w:pos="3360"/>
      </w:tabs>
      <w:ind w:left="3360" w:hanging="420"/>
      <w:jc w:val="center"/>
      <w:outlineLvl w:val="7"/>
    </w:pPr>
    <w:rPr>
      <w:b/>
    </w:rPr>
  </w:style>
  <w:style w:type="paragraph" w:customStyle="1" w:styleId="251">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52">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253">
    <w:name w:val="列出段落1"/>
    <w:basedOn w:val="1"/>
    <w:qFormat/>
    <w:uiPriority w:val="99"/>
    <w:pPr>
      <w:ind w:firstLine="420" w:firstLineChars="200"/>
    </w:pPr>
    <w:rPr>
      <w:rFonts w:ascii="Calibri" w:hAnsi="Calibri"/>
      <w:szCs w:val="22"/>
    </w:rPr>
  </w:style>
  <w:style w:type="paragraph" w:customStyle="1" w:styleId="25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55">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6">
    <w:name w:val="注标题"/>
    <w:basedOn w:val="1"/>
    <w:qFormat/>
    <w:uiPriority w:val="0"/>
    <w:pPr>
      <w:topLinePunct/>
    </w:pPr>
    <w:rPr>
      <w:sz w:val="18"/>
      <w:szCs w:val="18"/>
    </w:rPr>
  </w:style>
  <w:style w:type="paragraph" w:customStyle="1" w:styleId="257">
    <w:name w:val="Char Char Char Char"/>
    <w:basedOn w:val="174"/>
    <w:qFormat/>
    <w:uiPriority w:val="0"/>
    <w:pPr>
      <w:spacing w:before="156" w:after="156" w:line="360" w:lineRule="auto"/>
    </w:pPr>
    <w:rPr>
      <w:rFonts w:ascii="宋体" w:hAnsi="宋体" w:eastAsia="宋体"/>
      <w:szCs w:val="21"/>
    </w:rPr>
  </w:style>
  <w:style w:type="paragraph" w:customStyle="1" w:styleId="258">
    <w:name w:val="Char Char Char"/>
    <w:basedOn w:val="1"/>
    <w:qFormat/>
    <w:uiPriority w:val="0"/>
  </w:style>
  <w:style w:type="paragraph" w:customStyle="1" w:styleId="259">
    <w:name w:val="封面二级标题文字"/>
    <w:basedOn w:val="145"/>
    <w:semiHidden/>
    <w:qFormat/>
    <w:uiPriority w:val="0"/>
    <w:pPr>
      <w:ind w:firstLine="0" w:firstLineChars="0"/>
      <w:jc w:val="center"/>
    </w:pPr>
    <w:rPr>
      <w:rFonts w:ascii="黑体" w:eastAsia="黑体"/>
      <w:b/>
      <w:sz w:val="44"/>
      <w:szCs w:val="44"/>
    </w:rPr>
  </w:style>
  <w:style w:type="paragraph" w:customStyle="1" w:styleId="26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261">
    <w:name w:val="附录四级无"/>
    <w:basedOn w:val="262"/>
    <w:qFormat/>
    <w:uiPriority w:val="0"/>
    <w:pPr>
      <w:tabs>
        <w:tab w:val="left" w:pos="360"/>
      </w:tabs>
      <w:spacing w:beforeLines="0" w:afterLines="0"/>
    </w:pPr>
    <w:rPr>
      <w:rFonts w:ascii="宋体" w:eastAsia="宋体"/>
      <w:szCs w:val="21"/>
    </w:rPr>
  </w:style>
  <w:style w:type="paragraph" w:customStyle="1" w:styleId="262">
    <w:name w:val="附录四级条标题"/>
    <w:basedOn w:val="263"/>
    <w:next w:val="42"/>
    <w:qFormat/>
    <w:uiPriority w:val="0"/>
    <w:pPr>
      <w:numPr>
        <w:ilvl w:val="5"/>
      </w:numPr>
      <w:tabs>
        <w:tab w:val="left" w:pos="360"/>
      </w:tabs>
      <w:outlineLvl w:val="5"/>
    </w:pPr>
  </w:style>
  <w:style w:type="paragraph" w:customStyle="1" w:styleId="263">
    <w:name w:val="附录三级条标题"/>
    <w:basedOn w:val="264"/>
    <w:next w:val="42"/>
    <w:qFormat/>
    <w:uiPriority w:val="0"/>
    <w:pPr>
      <w:numPr>
        <w:ilvl w:val="4"/>
      </w:numPr>
      <w:tabs>
        <w:tab w:val="left" w:pos="360"/>
      </w:tabs>
      <w:outlineLvl w:val="4"/>
    </w:pPr>
  </w:style>
  <w:style w:type="paragraph" w:customStyle="1" w:styleId="264">
    <w:name w:val="附录二级条标题"/>
    <w:basedOn w:val="1"/>
    <w:next w:val="42"/>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265">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266">
    <w:name w:val="一级无标题条"/>
    <w:basedOn w:val="1"/>
    <w:qFormat/>
    <w:uiPriority w:val="0"/>
    <w:pPr>
      <w:numPr>
        <w:ilvl w:val="2"/>
        <w:numId w:val="9"/>
      </w:numPr>
    </w:pPr>
  </w:style>
  <w:style w:type="paragraph" w:customStyle="1" w:styleId="267">
    <w:name w:val="列出段落11"/>
    <w:basedOn w:val="1"/>
    <w:qFormat/>
    <w:uiPriority w:val="0"/>
    <w:pPr>
      <w:ind w:firstLine="420" w:firstLineChars="200"/>
    </w:pPr>
    <w:rPr>
      <w:rFonts w:ascii="Calibri" w:hAnsi="Calibri"/>
    </w:rPr>
  </w:style>
  <w:style w:type="paragraph" w:customStyle="1" w:styleId="268">
    <w:name w:val="本正文"/>
    <w:basedOn w:val="208"/>
    <w:qFormat/>
    <w:uiPriority w:val="0"/>
    <w:pPr>
      <w:adjustRightInd w:val="0"/>
      <w:spacing w:line="360" w:lineRule="auto"/>
      <w:ind w:firstLine="360"/>
      <w:jc w:val="left"/>
    </w:pPr>
    <w:rPr>
      <w:rFonts w:ascii="长城仿宋" w:eastAsia="长城仿宋"/>
      <w:spacing w:val="10"/>
    </w:rPr>
  </w:style>
  <w:style w:type="paragraph" w:customStyle="1" w:styleId="269">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70">
    <w:name w:val="列项——（一级）"/>
    <w:qFormat/>
    <w:uiPriority w:val="0"/>
    <w:pPr>
      <w:widowControl w:val="0"/>
      <w:numPr>
        <w:ilvl w:val="0"/>
        <w:numId w:val="11"/>
      </w:numPr>
      <w:jc w:val="both"/>
    </w:pPr>
    <w:rPr>
      <w:rFonts w:ascii="宋体" w:hAnsi="Times New Roman" w:eastAsia="宋体" w:cs="Times New Roman"/>
      <w:sz w:val="21"/>
      <w:lang w:val="en-US" w:eastAsia="zh-CN" w:bidi="ar-SA"/>
    </w:rPr>
  </w:style>
  <w:style w:type="paragraph" w:customStyle="1" w:styleId="271">
    <w:name w:val="????"/>
    <w:basedOn w:val="237"/>
    <w:qFormat/>
    <w:uiPriority w:val="0"/>
    <w:pPr>
      <w:jc w:val="both"/>
    </w:pPr>
    <w:rPr>
      <w:sz w:val="22"/>
    </w:rPr>
  </w:style>
  <w:style w:type="paragraph" w:customStyle="1" w:styleId="272">
    <w:name w:val="目录"/>
    <w:basedOn w:val="1"/>
    <w:next w:val="208"/>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27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27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27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76">
    <w:name w:val="附录五级条标题"/>
    <w:basedOn w:val="262"/>
    <w:next w:val="42"/>
    <w:qFormat/>
    <w:uiPriority w:val="0"/>
    <w:pPr>
      <w:numPr>
        <w:ilvl w:val="6"/>
      </w:numPr>
      <w:outlineLvl w:val="6"/>
    </w:pPr>
  </w:style>
  <w:style w:type="paragraph" w:customStyle="1" w:styleId="277">
    <w:name w:val="附录表标题"/>
    <w:basedOn w:val="1"/>
    <w:next w:val="42"/>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278">
    <w:name w:val="B"/>
    <w:basedOn w:val="1"/>
    <w:qFormat/>
    <w:uiPriority w:val="0"/>
    <w:pPr>
      <w:adjustRightInd w:val="0"/>
      <w:spacing w:line="480" w:lineRule="atLeast"/>
      <w:ind w:firstLine="601"/>
      <w:jc w:val="center"/>
      <w:textAlignment w:val="baseline"/>
    </w:pPr>
    <w:rPr>
      <w:rFonts w:ascii="宋体"/>
      <w:kern w:val="0"/>
      <w:sz w:val="32"/>
      <w:szCs w:val="20"/>
    </w:rPr>
  </w:style>
  <w:style w:type="paragraph" w:customStyle="1" w:styleId="279">
    <w:name w:val="文档正文 Char"/>
    <w:basedOn w:val="1"/>
    <w:qFormat/>
    <w:uiPriority w:val="0"/>
    <w:pPr>
      <w:adjustRightInd w:val="0"/>
      <w:spacing w:line="480" w:lineRule="atLeast"/>
      <w:ind w:firstLine="567"/>
    </w:pPr>
    <w:rPr>
      <w:rFonts w:ascii="仿宋_GB2312" w:eastAsia="仿宋_GB2312"/>
      <w:sz w:val="28"/>
      <w:szCs w:val="28"/>
    </w:rPr>
  </w:style>
  <w:style w:type="paragraph" w:customStyle="1" w:styleId="280">
    <w:name w:val="默认段落字体 Para Char Char Char Char"/>
    <w:basedOn w:val="1"/>
    <w:qFormat/>
    <w:uiPriority w:val="0"/>
    <w:pPr>
      <w:spacing w:line="500" w:lineRule="exact"/>
    </w:pPr>
    <w:rPr>
      <w:rFonts w:ascii="Arial" w:hAnsi="Arial" w:cs="Arial"/>
      <w:sz w:val="24"/>
      <w:szCs w:val="21"/>
    </w:rPr>
  </w:style>
  <w:style w:type="paragraph" w:customStyle="1" w:styleId="281">
    <w:name w:val="“目录”"/>
    <w:basedOn w:val="145"/>
    <w:semiHidden/>
    <w:qFormat/>
    <w:uiPriority w:val="0"/>
    <w:pPr>
      <w:ind w:firstLine="0" w:firstLineChars="0"/>
      <w:jc w:val="center"/>
    </w:pPr>
    <w:rPr>
      <w:b/>
      <w:sz w:val="44"/>
    </w:rPr>
  </w:style>
  <w:style w:type="paragraph" w:customStyle="1" w:styleId="282">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283">
    <w:name w:val="封面标准英文名称"/>
    <w:basedOn w:val="284"/>
    <w:qFormat/>
    <w:uiPriority w:val="0"/>
    <w:pPr>
      <w:framePr w:wrap="around"/>
      <w:spacing w:before="370" w:line="400" w:lineRule="exact"/>
    </w:pPr>
    <w:rPr>
      <w:rFonts w:ascii="Times New Roman"/>
      <w:sz w:val="28"/>
      <w:szCs w:val="28"/>
    </w:rPr>
  </w:style>
  <w:style w:type="paragraph" w:customStyle="1" w:styleId="28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85">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8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287">
    <w:name w:val="附录图标题"/>
    <w:basedOn w:val="1"/>
    <w:next w:val="42"/>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288">
    <w:name w:val="Char Char Char Char Char Char Char Char Char Char Char Char1"/>
    <w:basedOn w:val="1"/>
    <w:qFormat/>
    <w:uiPriority w:val="0"/>
    <w:rPr>
      <w:rFonts w:ascii="Tahoma" w:hAnsi="Tahoma"/>
      <w:sz w:val="24"/>
      <w:szCs w:val="20"/>
    </w:rPr>
  </w:style>
  <w:style w:type="paragraph" w:customStyle="1" w:styleId="289">
    <w:name w:val="其他标准标志"/>
    <w:basedOn w:val="273"/>
    <w:qFormat/>
    <w:uiPriority w:val="0"/>
    <w:pPr>
      <w:framePr w:w="6101" w:wrap="around" w:vAnchor="page" w:hAnchor="page" w:x="4673" w:y="942"/>
    </w:pPr>
    <w:rPr>
      <w:w w:val="130"/>
    </w:rPr>
  </w:style>
  <w:style w:type="paragraph" w:customStyle="1" w:styleId="290">
    <w:name w:val="列项●（二级）"/>
    <w:qFormat/>
    <w:uiPriority w:val="0"/>
    <w:pPr>
      <w:numPr>
        <w:ilvl w:val="1"/>
        <w:numId w:val="11"/>
      </w:numPr>
      <w:tabs>
        <w:tab w:val="left" w:pos="840"/>
      </w:tabs>
      <w:jc w:val="both"/>
    </w:pPr>
    <w:rPr>
      <w:rFonts w:ascii="宋体" w:hAnsi="Times New Roman" w:eastAsia="宋体" w:cs="Times New Roman"/>
      <w:sz w:val="21"/>
      <w:lang w:val="en-US" w:eastAsia="zh-CN" w:bidi="ar-SA"/>
    </w:rPr>
  </w:style>
  <w:style w:type="paragraph" w:customStyle="1" w:styleId="291">
    <w:name w:val="签名页文字"/>
    <w:basedOn w:val="145"/>
    <w:semiHidden/>
    <w:qFormat/>
    <w:uiPriority w:val="0"/>
    <w:pPr>
      <w:spacing w:line="600" w:lineRule="exact"/>
      <w:ind w:left="1100" w:leftChars="1100" w:firstLine="0" w:firstLineChars="0"/>
    </w:pPr>
    <w:rPr>
      <w:sz w:val="32"/>
      <w:szCs w:val="32"/>
    </w:rPr>
  </w:style>
  <w:style w:type="paragraph" w:customStyle="1" w:styleId="292">
    <w:name w:val="五级无标题条"/>
    <w:basedOn w:val="1"/>
    <w:qFormat/>
    <w:uiPriority w:val="0"/>
    <w:pPr>
      <w:numPr>
        <w:ilvl w:val="6"/>
        <w:numId w:val="9"/>
      </w:numPr>
    </w:pPr>
  </w:style>
  <w:style w:type="paragraph" w:customStyle="1" w:styleId="293">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94">
    <w:name w:val="三级无"/>
    <w:basedOn w:val="247"/>
    <w:qFormat/>
    <w:uiPriority w:val="0"/>
    <w:pPr>
      <w:spacing w:beforeLines="0" w:afterLines="0"/>
    </w:pPr>
    <w:rPr>
      <w:rFonts w:ascii="宋体" w:eastAsia="宋体"/>
    </w:rPr>
  </w:style>
  <w:style w:type="paragraph" w:customStyle="1" w:styleId="29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96">
    <w:name w:val="注×：（正文）"/>
    <w:qFormat/>
    <w:uiPriority w:val="0"/>
    <w:pPr>
      <w:numPr>
        <w:ilvl w:val="0"/>
        <w:numId w:val="15"/>
      </w:numPr>
      <w:jc w:val="both"/>
    </w:pPr>
    <w:rPr>
      <w:rFonts w:ascii="宋体" w:hAnsi="Times New Roman" w:eastAsia="宋体" w:cs="Times New Roman"/>
      <w:sz w:val="18"/>
      <w:szCs w:val="18"/>
      <w:lang w:val="en-US" w:eastAsia="zh-CN" w:bidi="ar-SA"/>
    </w:rPr>
  </w:style>
  <w:style w:type="paragraph" w:customStyle="1" w:styleId="29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29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300">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301">
    <w:name w:val="Char1 Char Char Char"/>
    <w:basedOn w:val="1"/>
    <w:qFormat/>
    <w:uiPriority w:val="0"/>
  </w:style>
  <w:style w:type="paragraph" w:customStyle="1" w:styleId="302">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303">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paragraph" w:customStyle="1" w:styleId="304">
    <w:name w:val="附录五级无"/>
    <w:basedOn w:val="276"/>
    <w:qFormat/>
    <w:uiPriority w:val="0"/>
    <w:pPr>
      <w:tabs>
        <w:tab w:val="clear" w:pos="360"/>
      </w:tabs>
      <w:spacing w:beforeLines="0" w:afterLines="0"/>
    </w:pPr>
    <w:rPr>
      <w:rFonts w:ascii="宋体" w:eastAsia="宋体"/>
      <w:szCs w:val="21"/>
    </w:rPr>
  </w:style>
  <w:style w:type="paragraph" w:customStyle="1" w:styleId="305">
    <w:name w:val="2 Char"/>
    <w:basedOn w:val="1"/>
    <w:qFormat/>
    <w:uiPriority w:val="0"/>
  </w:style>
  <w:style w:type="paragraph" w:customStyle="1" w:styleId="306">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07">
    <w:name w:val="实施日期"/>
    <w:basedOn w:val="254"/>
    <w:qFormat/>
    <w:uiPriority w:val="0"/>
    <w:pPr>
      <w:framePr w:hSpace="0" w:wrap="around" w:xAlign="right"/>
      <w:jc w:val="right"/>
    </w:pPr>
  </w:style>
  <w:style w:type="paragraph" w:customStyle="1" w:styleId="308">
    <w:name w:val="Char Char Char Char Char"/>
    <w:basedOn w:val="1"/>
    <w:qFormat/>
    <w:uiPriority w:val="0"/>
  </w:style>
  <w:style w:type="paragraph" w:customStyle="1" w:styleId="309">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10">
    <w:name w:val="字母编号列项（一级）"/>
    <w:qFormat/>
    <w:uiPriority w:val="0"/>
    <w:pPr>
      <w:jc w:val="both"/>
    </w:pPr>
    <w:rPr>
      <w:rFonts w:ascii="宋体" w:hAnsi="Times New Roman" w:eastAsia="宋体" w:cs="Times New Roman"/>
      <w:sz w:val="21"/>
      <w:lang w:val="en-US" w:eastAsia="zh-CN" w:bidi="ar-SA"/>
    </w:rPr>
  </w:style>
  <w:style w:type="paragraph" w:customStyle="1" w:styleId="311">
    <w:name w:val="列项·"/>
    <w:qFormat/>
    <w:uiPriority w:val="0"/>
    <w:pPr>
      <w:numPr>
        <w:ilvl w:val="0"/>
        <w:numId w:val="16"/>
      </w:numPr>
      <w:tabs>
        <w:tab w:val="left" w:pos="840"/>
      </w:tabs>
      <w:jc w:val="both"/>
    </w:pPr>
    <w:rPr>
      <w:rFonts w:ascii="宋体" w:hAnsi="Times New Roman" w:eastAsia="宋体" w:cs="Times New Roman"/>
      <w:sz w:val="21"/>
      <w:lang w:val="en-US" w:eastAsia="zh-CN" w:bidi="ar-SA"/>
    </w:rPr>
  </w:style>
  <w:style w:type="paragraph" w:customStyle="1" w:styleId="312">
    <w:name w:val="CM29"/>
    <w:basedOn w:val="313"/>
    <w:next w:val="313"/>
    <w:qFormat/>
    <w:uiPriority w:val="0"/>
    <w:pPr>
      <w:spacing w:after="250"/>
    </w:pPr>
    <w:rPr>
      <w:color w:val="auto"/>
      <w:szCs w:val="20"/>
    </w:rPr>
  </w:style>
  <w:style w:type="paragraph" w:customStyle="1" w:styleId="313">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paragraph" w:customStyle="1" w:styleId="314">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315">
    <w:name w:val="三级无标题条"/>
    <w:basedOn w:val="1"/>
    <w:qFormat/>
    <w:uiPriority w:val="0"/>
    <w:pPr>
      <w:numPr>
        <w:ilvl w:val="4"/>
        <w:numId w:val="9"/>
      </w:numPr>
    </w:pPr>
  </w:style>
  <w:style w:type="paragraph" w:customStyle="1" w:styleId="316">
    <w:name w:val="表格"/>
    <w:basedOn w:val="1"/>
    <w:qFormat/>
    <w:uiPriority w:val="0"/>
    <w:pPr>
      <w:adjustRightInd w:val="0"/>
      <w:spacing w:line="360" w:lineRule="atLeast"/>
      <w:ind w:left="-20" w:right="-20"/>
      <w:jc w:val="center"/>
    </w:pPr>
    <w:rPr>
      <w:kern w:val="0"/>
      <w:szCs w:val="20"/>
    </w:rPr>
  </w:style>
  <w:style w:type="paragraph" w:customStyle="1" w:styleId="31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18">
    <w:name w:val="附录表标题续表"/>
    <w:basedOn w:val="277"/>
    <w:next w:val="42"/>
    <w:qFormat/>
    <w:uiPriority w:val="0"/>
    <w:pPr>
      <w:widowControl/>
      <w:numPr>
        <w:ilvl w:val="0"/>
        <w:numId w:val="17"/>
      </w:numPr>
      <w:spacing w:beforeLines="0" w:afterLines="0" w:line="360" w:lineRule="auto"/>
      <w:textAlignment w:val="baseline"/>
    </w:pPr>
    <w:rPr>
      <w:rFonts w:ascii="宋体" w:eastAsia="宋体"/>
      <w:kern w:val="21"/>
      <w:szCs w:val="20"/>
    </w:rPr>
  </w:style>
  <w:style w:type="paragraph" w:customStyle="1" w:styleId="319">
    <w:name w:val="TEST"/>
    <w:basedOn w:val="223"/>
    <w:qFormat/>
    <w:uiPriority w:val="0"/>
    <w:pPr>
      <w:numPr>
        <w:ilvl w:val="0"/>
        <w:numId w:val="18"/>
      </w:numPr>
      <w:spacing w:line="360" w:lineRule="auto"/>
    </w:pPr>
    <w:rPr>
      <w:sz w:val="24"/>
      <w:szCs w:val="24"/>
    </w:rPr>
  </w:style>
  <w:style w:type="paragraph" w:customStyle="1" w:styleId="320">
    <w:name w:val="IN Feature"/>
    <w:next w:val="321"/>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21">
    <w:name w:val="IN Step"/>
    <w:basedOn w:val="1"/>
    <w:qFormat/>
    <w:uiPriority w:val="0"/>
    <w:pPr>
      <w:keepLines/>
      <w:widowControl/>
      <w:numPr>
        <w:ilvl w:val="0"/>
        <w:numId w:val="19"/>
      </w:numPr>
      <w:tabs>
        <w:tab w:val="left" w:pos="1134"/>
      </w:tabs>
      <w:spacing w:before="80" w:after="80" w:line="300" w:lineRule="auto"/>
      <w:ind w:left="1134" w:hanging="907"/>
      <w:outlineLvl w:val="8"/>
    </w:pPr>
    <w:rPr>
      <w:rFonts w:ascii="Arial" w:hAnsi="Arial" w:cs="Arial"/>
      <w:kern w:val="0"/>
      <w:szCs w:val="21"/>
    </w:rPr>
  </w:style>
  <w:style w:type="paragraph" w:customStyle="1" w:styleId="322">
    <w:name w:val="二级无"/>
    <w:basedOn w:val="172"/>
    <w:qFormat/>
    <w:uiPriority w:val="0"/>
    <w:pPr>
      <w:spacing w:beforeLines="0" w:afterLines="0"/>
    </w:pPr>
    <w:rPr>
      <w:rFonts w:ascii="宋体" w:eastAsia="宋体"/>
    </w:rPr>
  </w:style>
  <w:style w:type="paragraph" w:customStyle="1" w:styleId="323">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324">
    <w:name w:val="Char1"/>
    <w:basedOn w:val="1"/>
    <w:qFormat/>
    <w:uiPriority w:val="0"/>
    <w:pPr>
      <w:spacing w:line="300" w:lineRule="auto"/>
    </w:pPr>
    <w:rPr>
      <w:rFonts w:ascii="Tahoma" w:hAnsi="Tahoma"/>
      <w:sz w:val="24"/>
      <w:szCs w:val="20"/>
    </w:rPr>
  </w:style>
  <w:style w:type="paragraph" w:customStyle="1" w:styleId="325">
    <w:name w:val="示例×："/>
    <w:basedOn w:val="174"/>
    <w:qFormat/>
    <w:uiPriority w:val="0"/>
    <w:pPr>
      <w:numPr>
        <w:ilvl w:val="0"/>
        <w:numId w:val="20"/>
      </w:numPr>
      <w:spacing w:beforeLines="0" w:afterLines="0"/>
      <w:outlineLvl w:val="9"/>
    </w:pPr>
    <w:rPr>
      <w:rFonts w:ascii="宋体" w:eastAsia="宋体"/>
      <w:sz w:val="18"/>
      <w:szCs w:val="18"/>
    </w:rPr>
  </w:style>
  <w:style w:type="paragraph" w:customStyle="1" w:styleId="326">
    <w:name w:val="封面日期地点文字"/>
    <w:basedOn w:val="145"/>
    <w:semiHidden/>
    <w:qFormat/>
    <w:uiPriority w:val="0"/>
    <w:pPr>
      <w:spacing w:line="360" w:lineRule="exact"/>
      <w:ind w:firstLine="0" w:firstLineChars="0"/>
      <w:jc w:val="center"/>
    </w:pPr>
    <w:rPr>
      <w:sz w:val="32"/>
      <w:szCs w:val="32"/>
    </w:rPr>
  </w:style>
  <w:style w:type="paragraph" w:customStyle="1" w:styleId="327">
    <w:name w:val="名称"/>
    <w:basedOn w:val="328"/>
    <w:next w:val="42"/>
    <w:qFormat/>
    <w:uiPriority w:val="0"/>
    <w:pPr>
      <w:keepNext w:val="0"/>
      <w:pageBreakBefore w:val="0"/>
      <w:shd w:val="clear" w:color="auto" w:fill="FFFFFF"/>
      <w:spacing w:line="460" w:lineRule="exact"/>
      <w:outlineLvl w:val="9"/>
    </w:pPr>
    <w:rPr>
      <w:b/>
    </w:rPr>
  </w:style>
  <w:style w:type="paragraph" w:customStyle="1" w:styleId="328">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2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330">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3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32">
    <w:name w:val="附录二"/>
    <w:basedOn w:val="1"/>
    <w:qFormat/>
    <w:uiPriority w:val="0"/>
    <w:pPr>
      <w:widowControl/>
      <w:spacing w:line="312" w:lineRule="exact"/>
      <w:jc w:val="left"/>
    </w:pPr>
    <w:rPr>
      <w:rFonts w:ascii="E-F1" w:eastAsia="黑体"/>
      <w:kern w:val="21"/>
      <w:sz w:val="32"/>
      <w:szCs w:val="20"/>
    </w:rPr>
  </w:style>
  <w:style w:type="paragraph" w:customStyle="1" w:styleId="333">
    <w:name w:val="?? 6"/>
    <w:basedOn w:val="237"/>
    <w:next w:val="237"/>
    <w:qFormat/>
    <w:uiPriority w:val="0"/>
    <w:pPr>
      <w:keepNext/>
      <w:tabs>
        <w:tab w:val="left" w:pos="5040"/>
      </w:tabs>
      <w:ind w:left="720"/>
      <w:jc w:val="both"/>
    </w:pPr>
    <w:rPr>
      <w:sz w:val="24"/>
    </w:rPr>
  </w:style>
  <w:style w:type="paragraph" w:customStyle="1" w:styleId="334">
    <w:name w:val="终结线"/>
    <w:basedOn w:val="1"/>
    <w:qFormat/>
    <w:uiPriority w:val="0"/>
    <w:pPr>
      <w:framePr w:hSpace="181" w:vSpace="181" w:wrap="around" w:vAnchor="text" w:hAnchor="margin" w:xAlign="center" w:y="285"/>
    </w:pPr>
  </w:style>
  <w:style w:type="paragraph" w:customStyle="1" w:styleId="335">
    <w:name w:val="SJ-a)"/>
    <w:basedOn w:val="1"/>
    <w:qFormat/>
    <w:uiPriority w:val="0"/>
    <w:pPr>
      <w:widowControl/>
      <w:ind w:firstLine="680"/>
      <w:jc w:val="left"/>
    </w:pPr>
    <w:rPr>
      <w:sz w:val="24"/>
    </w:rPr>
  </w:style>
  <w:style w:type="paragraph" w:customStyle="1" w:styleId="336">
    <w:name w:val="表格内容-左"/>
    <w:basedOn w:val="1"/>
    <w:qFormat/>
    <w:uiPriority w:val="0"/>
    <w:pPr>
      <w:widowControl/>
      <w:spacing w:line="288" w:lineRule="auto"/>
      <w:jc w:val="left"/>
    </w:pPr>
    <w:rPr>
      <w:rFonts w:cs="宋体"/>
      <w:color w:val="000000"/>
      <w:kern w:val="0"/>
      <w:sz w:val="18"/>
      <w:szCs w:val="18"/>
    </w:rPr>
  </w:style>
  <w:style w:type="paragraph" w:customStyle="1" w:styleId="337">
    <w:name w:val="封面标准文稿类别2"/>
    <w:basedOn w:val="338"/>
    <w:qFormat/>
    <w:uiPriority w:val="0"/>
    <w:pPr>
      <w:framePr w:wrap="around" w:y="4469"/>
    </w:pPr>
  </w:style>
  <w:style w:type="paragraph" w:customStyle="1" w:styleId="338">
    <w:name w:val="封面标准文稿类别"/>
    <w:basedOn w:val="339"/>
    <w:qFormat/>
    <w:uiPriority w:val="0"/>
    <w:pPr>
      <w:framePr w:wrap="around"/>
      <w:spacing w:after="160" w:line="240" w:lineRule="auto"/>
    </w:pPr>
    <w:rPr>
      <w:sz w:val="24"/>
    </w:rPr>
  </w:style>
  <w:style w:type="paragraph" w:customStyle="1" w:styleId="339">
    <w:name w:val="封面一致性程度标识"/>
    <w:basedOn w:val="283"/>
    <w:qFormat/>
    <w:uiPriority w:val="0"/>
    <w:pPr>
      <w:framePr w:wrap="around"/>
      <w:spacing w:before="440"/>
    </w:pPr>
    <w:rPr>
      <w:rFonts w:ascii="宋体" w:eastAsia="宋体"/>
    </w:rPr>
  </w:style>
  <w:style w:type="paragraph" w:customStyle="1" w:styleId="340">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4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42">
    <w:name w:val="Char Char Char Char Char Char Char"/>
    <w:basedOn w:val="1"/>
    <w:qFormat/>
    <w:uiPriority w:val="0"/>
    <w:rPr>
      <w:rFonts w:ascii="Tahoma" w:hAnsi="Tahoma"/>
      <w:sz w:val="24"/>
    </w:rPr>
  </w:style>
  <w:style w:type="paragraph" w:customStyle="1" w:styleId="343">
    <w:name w:val="表格正文"/>
    <w:basedOn w:val="1"/>
    <w:qFormat/>
    <w:uiPriority w:val="0"/>
    <w:pPr>
      <w:adjustRightInd w:val="0"/>
      <w:snapToGrid w:val="0"/>
      <w:spacing w:before="60" w:after="60"/>
      <w:jc w:val="center"/>
    </w:pPr>
    <w:rPr>
      <w:kern w:val="0"/>
      <w:sz w:val="24"/>
      <w:szCs w:val="20"/>
    </w:rPr>
  </w:style>
  <w:style w:type="paragraph" w:customStyle="1" w:styleId="344">
    <w:name w:val="Table Description"/>
    <w:basedOn w:val="1"/>
    <w:qFormat/>
    <w:uiPriority w:val="0"/>
    <w:pPr>
      <w:ind w:left="1701"/>
    </w:pPr>
    <w:rPr>
      <w:szCs w:val="20"/>
    </w:rPr>
  </w:style>
  <w:style w:type="paragraph" w:customStyle="1" w:styleId="345">
    <w:name w:val="表格(五号)"/>
    <w:basedOn w:val="1"/>
    <w:qFormat/>
    <w:uiPriority w:val="0"/>
    <w:pPr>
      <w:adjustRightInd w:val="0"/>
      <w:snapToGrid w:val="0"/>
      <w:spacing w:before="60" w:after="60"/>
      <w:ind w:left="11"/>
      <w:jc w:val="center"/>
    </w:pPr>
    <w:rPr>
      <w:kern w:val="0"/>
      <w:szCs w:val="20"/>
    </w:rPr>
  </w:style>
  <w:style w:type="paragraph" w:customStyle="1" w:styleId="346">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347">
    <w:name w:val="默认段落字体 Para Char Char Char Char Char Char Char Char Char"/>
    <w:basedOn w:val="1"/>
    <w:qFormat/>
    <w:uiPriority w:val="0"/>
    <w:rPr>
      <w:rFonts w:ascii="Tahoma" w:hAnsi="Tahoma"/>
      <w:sz w:val="24"/>
      <w:szCs w:val="20"/>
    </w:rPr>
  </w:style>
  <w:style w:type="paragraph" w:customStyle="1" w:styleId="348">
    <w:name w:val="示例"/>
    <w:next w:val="349"/>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34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50">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paragraph" w:customStyle="1" w:styleId="351">
    <w:name w:val="一级无"/>
    <w:basedOn w:val="173"/>
    <w:qFormat/>
    <w:uiPriority w:val="0"/>
    <w:pPr>
      <w:jc w:val="left"/>
    </w:pPr>
    <w:rPr>
      <w:rFonts w:ascii="宋体" w:eastAsia="宋体"/>
      <w:szCs w:val="21"/>
    </w:rPr>
  </w:style>
  <w:style w:type="paragraph" w:customStyle="1" w:styleId="352">
    <w:name w:val="注×："/>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53">
    <w:name w:val="23"/>
    <w:basedOn w:val="1"/>
    <w:qFormat/>
    <w:uiPriority w:val="0"/>
    <w:rPr>
      <w:rFonts w:eastAsia="Arial" w:cs="Arial"/>
      <w:sz w:val="24"/>
    </w:rPr>
  </w:style>
  <w:style w:type="paragraph" w:customStyle="1" w:styleId="354">
    <w:name w:val="?? 1"/>
    <w:basedOn w:val="237"/>
    <w:next w:val="237"/>
    <w:qFormat/>
    <w:uiPriority w:val="0"/>
    <w:pPr>
      <w:keepNext/>
      <w:jc w:val="center"/>
    </w:pPr>
    <w:rPr>
      <w:b/>
      <w:sz w:val="32"/>
    </w:rPr>
  </w:style>
  <w:style w:type="paragraph" w:customStyle="1" w:styleId="35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6">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57">
    <w:name w:val="术语定义条标题"/>
    <w:basedOn w:val="174"/>
    <w:next w:val="42"/>
    <w:qFormat/>
    <w:uiPriority w:val="0"/>
    <w:pPr>
      <w:tabs>
        <w:tab w:val="left" w:pos="525"/>
      </w:tabs>
      <w:spacing w:beforeLines="0" w:afterLines="0"/>
      <w:jc w:val="left"/>
      <w:outlineLvl w:val="9"/>
    </w:pPr>
    <w:rPr>
      <w:rFonts w:hAnsi="Calibri"/>
      <w:color w:val="000000"/>
    </w:rPr>
  </w:style>
  <w:style w:type="paragraph" w:customStyle="1" w:styleId="358">
    <w:name w:val="SJ-表"/>
    <w:basedOn w:val="1"/>
    <w:qFormat/>
    <w:uiPriority w:val="0"/>
    <w:pPr>
      <w:widowControl/>
      <w:tabs>
        <w:tab w:val="left" w:pos="0"/>
      </w:tabs>
      <w:jc w:val="left"/>
    </w:pPr>
    <w:rPr>
      <w:sz w:val="24"/>
    </w:rPr>
  </w:style>
  <w:style w:type="paragraph" w:customStyle="1" w:styleId="359">
    <w:name w:val="表格文字样式"/>
    <w:basedOn w:val="145"/>
    <w:qFormat/>
    <w:uiPriority w:val="0"/>
    <w:pPr>
      <w:ind w:firstLine="0" w:firstLineChars="0"/>
    </w:pPr>
    <w:rPr>
      <w:sz w:val="21"/>
      <w:szCs w:val="21"/>
    </w:rPr>
  </w:style>
  <w:style w:type="paragraph" w:customStyle="1" w:styleId="360">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61">
    <w:name w:val="其他发布日期"/>
    <w:basedOn w:val="254"/>
    <w:qFormat/>
    <w:uiPriority w:val="0"/>
    <w:pPr>
      <w:framePr w:w="3997" w:h="471" w:hRule="exact" w:hSpace="0" w:vSpace="181" w:wrap="around" w:vAnchor="page" w:hAnchor="page" w:x="1419" w:y="14097"/>
    </w:pPr>
  </w:style>
  <w:style w:type="paragraph" w:customStyle="1" w:styleId="362">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363">
    <w:name w:val="A"/>
    <w:basedOn w:val="1"/>
    <w:qFormat/>
    <w:uiPriority w:val="0"/>
    <w:pPr>
      <w:adjustRightInd w:val="0"/>
      <w:spacing w:line="480" w:lineRule="atLeast"/>
      <w:ind w:firstLine="601"/>
      <w:jc w:val="center"/>
      <w:textAlignment w:val="baseline"/>
    </w:pPr>
    <w:rPr>
      <w:rFonts w:ascii="宋体"/>
      <w:kern w:val="0"/>
      <w:sz w:val="28"/>
      <w:szCs w:val="20"/>
    </w:rPr>
  </w:style>
  <w:style w:type="paragraph" w:customStyle="1" w:styleId="364">
    <w:name w:val="封面一致性程度标识2"/>
    <w:basedOn w:val="339"/>
    <w:qFormat/>
    <w:uiPriority w:val="0"/>
    <w:pPr>
      <w:framePr w:wrap="around" w:y="4469"/>
    </w:pPr>
  </w:style>
  <w:style w:type="paragraph" w:customStyle="1" w:styleId="365">
    <w:name w:val="注："/>
    <w:next w:val="42"/>
    <w:qFormat/>
    <w:uiPriority w:val="0"/>
    <w:pPr>
      <w:widowControl w:val="0"/>
      <w:numPr>
        <w:ilvl w:val="0"/>
        <w:numId w:val="22"/>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366">
    <w:name w:val="缺省文本"/>
    <w:basedOn w:val="1"/>
    <w:qFormat/>
    <w:uiPriority w:val="0"/>
    <w:pPr>
      <w:autoSpaceDE w:val="0"/>
      <w:autoSpaceDN w:val="0"/>
      <w:adjustRightInd w:val="0"/>
      <w:jc w:val="left"/>
    </w:pPr>
    <w:rPr>
      <w:kern w:val="0"/>
      <w:sz w:val="24"/>
      <w:szCs w:val="20"/>
    </w:rPr>
  </w:style>
  <w:style w:type="paragraph" w:customStyle="1" w:styleId="367">
    <w:name w:val="列项◆（三级）"/>
    <w:basedOn w:val="1"/>
    <w:qFormat/>
    <w:uiPriority w:val="0"/>
    <w:pPr>
      <w:numPr>
        <w:ilvl w:val="2"/>
        <w:numId w:val="11"/>
      </w:numPr>
    </w:pPr>
    <w:rPr>
      <w:rFonts w:ascii="宋体"/>
      <w:szCs w:val="21"/>
    </w:rPr>
  </w:style>
  <w:style w:type="paragraph" w:customStyle="1" w:styleId="368">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369">
    <w:name w:val="默认段落字体 Para Char Char Char Char Char Char Char"/>
    <w:basedOn w:val="1"/>
    <w:qFormat/>
    <w:uiPriority w:val="0"/>
    <w:rPr>
      <w:rFonts w:eastAsia="仿宋_GB2312"/>
      <w:color w:val="000000"/>
      <w:kern w:val="0"/>
      <w:sz w:val="28"/>
      <w:szCs w:val="20"/>
    </w:rPr>
  </w:style>
  <w:style w:type="paragraph" w:customStyle="1" w:styleId="370">
    <w:name w:val="SJ-标题6"/>
    <w:basedOn w:val="1"/>
    <w:qFormat/>
    <w:uiPriority w:val="0"/>
    <w:pPr>
      <w:widowControl/>
      <w:ind w:firstLine="454"/>
    </w:pPr>
    <w:rPr>
      <w:sz w:val="24"/>
    </w:rPr>
  </w:style>
  <w:style w:type="paragraph" w:customStyle="1" w:styleId="371">
    <w:name w:val="图表脚注说明"/>
    <w:basedOn w:val="1"/>
    <w:qFormat/>
    <w:uiPriority w:val="0"/>
    <w:pPr>
      <w:numPr>
        <w:ilvl w:val="0"/>
        <w:numId w:val="23"/>
      </w:numPr>
    </w:pPr>
    <w:rPr>
      <w:rFonts w:ascii="宋体"/>
      <w:sz w:val="18"/>
      <w:szCs w:val="18"/>
    </w:rPr>
  </w:style>
  <w:style w:type="paragraph" w:customStyle="1" w:styleId="372">
    <w:name w:val="样式 行距: 多倍行距 1.25 字行"/>
    <w:basedOn w:val="1"/>
    <w:qFormat/>
    <w:uiPriority w:val="0"/>
    <w:pPr>
      <w:spacing w:line="300" w:lineRule="auto"/>
      <w:ind w:firstLine="480" w:firstLineChars="200"/>
    </w:pPr>
    <w:rPr>
      <w:rFonts w:cs="宋体"/>
      <w:sz w:val="24"/>
      <w:szCs w:val="20"/>
    </w:rPr>
  </w:style>
  <w:style w:type="paragraph" w:customStyle="1" w:styleId="373">
    <w:name w:val="封面标准名称2"/>
    <w:basedOn w:val="284"/>
    <w:qFormat/>
    <w:uiPriority w:val="0"/>
    <w:pPr>
      <w:framePr w:wrap="around" w:y="4469"/>
      <w:spacing w:beforeLines="630"/>
    </w:pPr>
  </w:style>
  <w:style w:type="paragraph" w:customStyle="1" w:styleId="374">
    <w:name w:val="样式 样式 我的正文首行缩进 + 首行缩进:  2 字符 + 首行缩进:  2 字符 Char"/>
    <w:basedOn w:val="1"/>
    <w:qFormat/>
    <w:uiPriority w:val="0"/>
    <w:pPr>
      <w:numPr>
        <w:ilvl w:val="1"/>
        <w:numId w:val="24"/>
      </w:numPr>
    </w:pPr>
    <w:rPr>
      <w:szCs w:val="20"/>
    </w:rPr>
  </w:style>
  <w:style w:type="paragraph" w:customStyle="1" w:styleId="375">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76">
    <w:name w:val="封面标准文稿编辑信息2"/>
    <w:basedOn w:val="377"/>
    <w:qFormat/>
    <w:uiPriority w:val="0"/>
    <w:pPr>
      <w:framePr w:wrap="around" w:y="4469"/>
    </w:pPr>
  </w:style>
  <w:style w:type="paragraph" w:customStyle="1" w:styleId="377">
    <w:name w:val="封面标准文稿编辑信息"/>
    <w:basedOn w:val="338"/>
    <w:qFormat/>
    <w:uiPriority w:val="0"/>
    <w:pPr>
      <w:framePr w:wrap="around"/>
      <w:spacing w:before="180" w:line="180" w:lineRule="exact"/>
    </w:pPr>
    <w:rPr>
      <w:sz w:val="21"/>
    </w:rPr>
  </w:style>
  <w:style w:type="paragraph" w:customStyle="1" w:styleId="378">
    <w:name w:val="SJ-标题3"/>
    <w:basedOn w:val="105"/>
    <w:qFormat/>
    <w:uiPriority w:val="0"/>
    <w:pPr>
      <w:tabs>
        <w:tab w:val="left" w:pos="1200"/>
      </w:tabs>
      <w:ind w:left="1200" w:hanging="360"/>
      <w:outlineLvl w:val="2"/>
    </w:pPr>
  </w:style>
  <w:style w:type="paragraph" w:customStyle="1" w:styleId="379">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38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81">
    <w:name w:val="样式 小四 首行缩进:  2 字符"/>
    <w:basedOn w:val="1"/>
    <w:next w:val="29"/>
    <w:qFormat/>
    <w:uiPriority w:val="0"/>
    <w:pPr>
      <w:ind w:firstLine="480" w:firstLineChars="200"/>
    </w:pPr>
    <w:rPr>
      <w:rFonts w:cs="宋体"/>
      <w:sz w:val="24"/>
      <w:szCs w:val="20"/>
    </w:rPr>
  </w:style>
  <w:style w:type="paragraph" w:customStyle="1" w:styleId="382">
    <w:name w:val="标准书眉一"/>
    <w:qFormat/>
    <w:uiPriority w:val="0"/>
    <w:pPr>
      <w:jc w:val="both"/>
    </w:pPr>
    <w:rPr>
      <w:rFonts w:ascii="Times New Roman" w:hAnsi="Times New Roman" w:eastAsia="宋体" w:cs="Times New Roman"/>
      <w:lang w:val="en-US" w:eastAsia="zh-CN" w:bidi="ar-SA"/>
    </w:rPr>
  </w:style>
  <w:style w:type="paragraph" w:customStyle="1" w:styleId="383">
    <w:name w:val="p0"/>
    <w:basedOn w:val="1"/>
    <w:qFormat/>
    <w:uiPriority w:val="0"/>
    <w:pPr>
      <w:widowControl/>
    </w:pPr>
    <w:rPr>
      <w:kern w:val="0"/>
      <w:szCs w:val="21"/>
    </w:rPr>
  </w:style>
  <w:style w:type="paragraph" w:customStyle="1" w:styleId="384">
    <w:name w:val="标题2"/>
    <w:basedOn w:val="51"/>
    <w:qFormat/>
    <w:uiPriority w:val="0"/>
    <w:pPr>
      <w:widowControl/>
      <w:numPr>
        <w:ilvl w:val="1"/>
        <w:numId w:val="25"/>
      </w:numPr>
      <w:spacing w:before="100" w:beforeAutospacing="1" w:after="100" w:afterAutospacing="1" w:line="360" w:lineRule="auto"/>
      <w:jc w:val="left"/>
      <w:outlineLvl w:val="1"/>
    </w:pPr>
    <w:rPr>
      <w:kern w:val="0"/>
      <w:sz w:val="21"/>
      <w:szCs w:val="32"/>
    </w:rPr>
  </w:style>
  <w:style w:type="paragraph" w:customStyle="1" w:styleId="385">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8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87">
    <w:name w:val="样式 段 + 首行缩进:  2 字符"/>
    <w:basedOn w:val="42"/>
    <w:qFormat/>
    <w:uiPriority w:val="0"/>
    <w:pPr>
      <w:ind w:firstLine="0" w:firstLineChars="0"/>
    </w:pPr>
    <w:rPr>
      <w:rFonts w:eastAsia="仿宋_GB2312" w:cs="宋体"/>
      <w:sz w:val="32"/>
    </w:rPr>
  </w:style>
  <w:style w:type="paragraph" w:customStyle="1" w:styleId="388">
    <w:name w:val="1级列项"/>
    <w:basedOn w:val="1"/>
    <w:qFormat/>
    <w:uiPriority w:val="0"/>
    <w:pPr>
      <w:numPr>
        <w:ilvl w:val="0"/>
        <w:numId w:val="26"/>
      </w:numPr>
      <w:spacing w:line="480" w:lineRule="exact"/>
    </w:pPr>
    <w:rPr>
      <w:sz w:val="24"/>
    </w:rPr>
  </w:style>
  <w:style w:type="paragraph" w:customStyle="1" w:styleId="389">
    <w:name w:val="五级无"/>
    <w:basedOn w:val="245"/>
    <w:qFormat/>
    <w:uiPriority w:val="0"/>
    <w:pPr>
      <w:spacing w:beforeLines="0" w:afterLines="0"/>
    </w:pPr>
    <w:rPr>
      <w:rFonts w:ascii="宋体" w:eastAsia="宋体"/>
    </w:rPr>
  </w:style>
  <w:style w:type="paragraph" w:customStyle="1" w:styleId="390">
    <w:name w:val="附录表标号"/>
    <w:basedOn w:val="1"/>
    <w:next w:val="42"/>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3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92">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393">
    <w:name w:val="我的标题5"/>
    <w:basedOn w:val="394"/>
    <w:qFormat/>
    <w:uiPriority w:val="0"/>
  </w:style>
  <w:style w:type="paragraph" w:customStyle="1" w:styleId="394">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9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96">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397">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paragraph" w:customStyle="1" w:styleId="398">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99">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400">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401">
    <w:name w:val="Char Char Char Char Char Char Char Char Char Char Char Char Char Char Char Char Char Char Char Char Char Char Char Char"/>
    <w:basedOn w:val="1"/>
    <w:qFormat/>
    <w:uiPriority w:val="0"/>
    <w:pPr>
      <w:spacing w:line="360" w:lineRule="auto"/>
    </w:pPr>
  </w:style>
  <w:style w:type="paragraph" w:customStyle="1" w:styleId="402">
    <w:name w:val="封面一级标题文字"/>
    <w:basedOn w:val="145"/>
    <w:semiHidden/>
    <w:qFormat/>
    <w:uiPriority w:val="0"/>
    <w:pPr>
      <w:spacing w:line="640" w:lineRule="exact"/>
      <w:ind w:firstLine="0" w:firstLineChars="0"/>
      <w:jc w:val="center"/>
    </w:pPr>
    <w:rPr>
      <w:rFonts w:ascii="黑体" w:hAnsi="黑体" w:eastAsia="黑体"/>
      <w:b/>
      <w:bCs/>
      <w:sz w:val="52"/>
    </w:rPr>
  </w:style>
  <w:style w:type="paragraph" w:customStyle="1" w:styleId="403">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404">
    <w:name w:val="二级无标题条"/>
    <w:basedOn w:val="1"/>
    <w:qFormat/>
    <w:uiPriority w:val="0"/>
    <w:pPr>
      <w:numPr>
        <w:ilvl w:val="3"/>
        <w:numId w:val="9"/>
      </w:numPr>
    </w:pPr>
  </w:style>
  <w:style w:type="paragraph" w:customStyle="1" w:styleId="405">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406">
    <w:name w:val="图名/表名/表头样式"/>
    <w:basedOn w:val="145"/>
    <w:qFormat/>
    <w:uiPriority w:val="0"/>
    <w:pPr>
      <w:ind w:firstLine="0" w:firstLineChars="0"/>
      <w:jc w:val="center"/>
    </w:pPr>
    <w:rPr>
      <w:b/>
      <w:sz w:val="21"/>
      <w:szCs w:val="21"/>
    </w:rPr>
  </w:style>
  <w:style w:type="paragraph" w:customStyle="1" w:styleId="407">
    <w:name w:val="封面落款"/>
    <w:basedOn w:val="1"/>
    <w:qFormat/>
    <w:uiPriority w:val="0"/>
    <w:pPr>
      <w:adjustRightInd w:val="0"/>
      <w:spacing w:line="300" w:lineRule="auto"/>
      <w:jc w:val="center"/>
    </w:pPr>
    <w:rPr>
      <w:spacing w:val="10"/>
      <w:kern w:val="0"/>
      <w:sz w:val="30"/>
      <w:szCs w:val="20"/>
    </w:rPr>
  </w:style>
  <w:style w:type="paragraph" w:customStyle="1" w:styleId="408">
    <w:name w:val="Char"/>
    <w:basedOn w:val="20"/>
    <w:qFormat/>
    <w:uiPriority w:val="0"/>
    <w:pPr>
      <w:tabs>
        <w:tab w:val="left" w:pos="360"/>
      </w:tabs>
      <w:snapToGrid w:val="0"/>
      <w:ind w:firstLine="200" w:firstLineChars="200"/>
      <w:jc w:val="left"/>
    </w:pPr>
    <w:rPr>
      <w:rFonts w:ascii="Tahoma" w:hAnsi="Tahoma"/>
      <w:sz w:val="24"/>
    </w:rPr>
  </w:style>
  <w:style w:type="paragraph" w:customStyle="1" w:styleId="409">
    <w:name w:val="Figure Description"/>
    <w:basedOn w:val="1"/>
    <w:qFormat/>
    <w:uiPriority w:val="0"/>
    <w:pPr>
      <w:ind w:left="1701"/>
    </w:pPr>
    <w:rPr>
      <w:szCs w:val="20"/>
    </w:rPr>
  </w:style>
  <w:style w:type="paragraph" w:customStyle="1" w:styleId="410">
    <w:name w:val="样式 首行缩进:  0.74 厘米"/>
    <w:basedOn w:val="1"/>
    <w:qFormat/>
    <w:uiPriority w:val="0"/>
    <w:pPr>
      <w:spacing w:line="360" w:lineRule="auto"/>
      <w:ind w:firstLine="420"/>
    </w:pPr>
    <w:rPr>
      <w:rFonts w:cs="宋体"/>
      <w:sz w:val="24"/>
    </w:rPr>
  </w:style>
  <w:style w:type="paragraph" w:customStyle="1" w:styleId="411">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412">
    <w:name w:val="四级无"/>
    <w:basedOn w:val="246"/>
    <w:qFormat/>
    <w:uiPriority w:val="0"/>
    <w:pPr>
      <w:numPr>
        <w:ilvl w:val="0"/>
        <w:numId w:val="27"/>
      </w:numPr>
      <w:spacing w:beforeLines="0" w:afterLines="0"/>
      <w:ind w:firstLine="0"/>
    </w:pPr>
    <w:rPr>
      <w:rFonts w:ascii="宋体" w:eastAsia="宋体"/>
    </w:rPr>
  </w:style>
  <w:style w:type="paragraph" w:customStyle="1" w:styleId="41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14">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15">
    <w:name w:val="其他实施日期"/>
    <w:basedOn w:val="307"/>
    <w:qFormat/>
    <w:uiPriority w:val="0"/>
    <w:pPr>
      <w:framePr w:w="3997" w:h="471" w:hRule="exact" w:vSpace="181" w:wrap="around" w:vAnchor="page" w:hAnchor="page" w:x="7089" w:y="14097"/>
    </w:pPr>
  </w:style>
  <w:style w:type="paragraph" w:customStyle="1" w:styleId="416">
    <w:name w:val="Char Char Char Char Char Char"/>
    <w:basedOn w:val="1"/>
    <w:qFormat/>
    <w:uiPriority w:val="0"/>
    <w:rPr>
      <w:rFonts w:ascii="Tahoma" w:hAnsi="Tahoma"/>
      <w:sz w:val="24"/>
      <w:szCs w:val="20"/>
    </w:rPr>
  </w:style>
  <w:style w:type="paragraph" w:customStyle="1" w:styleId="417">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418">
    <w:name w:val="封面正文"/>
    <w:qFormat/>
    <w:uiPriority w:val="0"/>
    <w:pPr>
      <w:jc w:val="both"/>
    </w:pPr>
    <w:rPr>
      <w:rFonts w:ascii="Times New Roman" w:hAnsi="Times New Roman" w:eastAsia="宋体" w:cs="Times New Roman"/>
      <w:lang w:val="en-US" w:eastAsia="zh-CN" w:bidi="ar-SA"/>
    </w:rPr>
  </w:style>
  <w:style w:type="paragraph" w:customStyle="1" w:styleId="419">
    <w:name w:val="注：（正文）"/>
    <w:basedOn w:val="365"/>
    <w:next w:val="42"/>
    <w:qFormat/>
    <w:uiPriority w:val="0"/>
  </w:style>
  <w:style w:type="paragraph" w:customStyle="1" w:styleId="420">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paragraph" w:customStyle="1" w:styleId="421">
    <w:name w:val="条文脚注"/>
    <w:basedOn w:val="44"/>
    <w:qFormat/>
    <w:uiPriority w:val="0"/>
    <w:pPr>
      <w:numPr>
        <w:numId w:val="0"/>
      </w:numPr>
      <w:jc w:val="both"/>
    </w:pPr>
  </w:style>
  <w:style w:type="paragraph" w:customStyle="1" w:styleId="422">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423">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424">
    <w:name w:val="标准书眉_偶数页"/>
    <w:basedOn w:val="386"/>
    <w:next w:val="1"/>
    <w:qFormat/>
    <w:uiPriority w:val="0"/>
    <w:pPr>
      <w:jc w:val="left"/>
    </w:pPr>
  </w:style>
  <w:style w:type="paragraph" w:customStyle="1" w:styleId="425">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426">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427">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428">
    <w:name w:val="正文文本 21"/>
    <w:basedOn w:val="237"/>
    <w:qFormat/>
    <w:uiPriority w:val="0"/>
    <w:pPr>
      <w:tabs>
        <w:tab w:val="left" w:pos="1260"/>
        <w:tab w:val="left" w:pos="2160"/>
        <w:tab w:val="left" w:pos="7920"/>
      </w:tabs>
      <w:ind w:left="720"/>
      <w:jc w:val="both"/>
    </w:pPr>
    <w:rPr>
      <w:sz w:val="24"/>
    </w:rPr>
  </w:style>
  <w:style w:type="paragraph" w:customStyle="1" w:styleId="429">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430">
    <w:name w:val="附件标题"/>
    <w:basedOn w:val="1"/>
    <w:qFormat/>
    <w:uiPriority w:val="0"/>
    <w:pPr>
      <w:spacing w:line="360" w:lineRule="auto"/>
      <w:jc w:val="center"/>
    </w:pPr>
    <w:rPr>
      <w:rFonts w:ascii="Arial" w:hAnsi="Arial" w:eastAsia="黑体"/>
      <w:sz w:val="24"/>
      <w:szCs w:val="20"/>
    </w:rPr>
  </w:style>
  <w:style w:type="paragraph" w:customStyle="1" w:styleId="431">
    <w:name w:val="版本记录表格内文字"/>
    <w:basedOn w:val="1"/>
    <w:semiHidden/>
    <w:qFormat/>
    <w:uiPriority w:val="0"/>
    <w:pPr>
      <w:spacing w:line="360" w:lineRule="auto"/>
      <w:jc w:val="center"/>
    </w:pPr>
    <w:rPr>
      <w:sz w:val="24"/>
    </w:rPr>
  </w:style>
  <w:style w:type="paragraph" w:customStyle="1" w:styleId="432">
    <w:name w:val="附录二级无"/>
    <w:basedOn w:val="264"/>
    <w:qFormat/>
    <w:uiPriority w:val="0"/>
    <w:pPr>
      <w:tabs>
        <w:tab w:val="clear" w:pos="360"/>
      </w:tabs>
      <w:spacing w:beforeLines="0" w:afterLines="0"/>
    </w:pPr>
    <w:rPr>
      <w:rFonts w:ascii="宋体" w:eastAsia="宋体"/>
      <w:szCs w:val="21"/>
    </w:rPr>
  </w:style>
  <w:style w:type="paragraph" w:customStyle="1" w:styleId="433">
    <w:name w:val="封面标准英文名称2"/>
    <w:basedOn w:val="283"/>
    <w:qFormat/>
    <w:uiPriority w:val="0"/>
    <w:pPr>
      <w:framePr w:wrap="around" w:y="4469"/>
    </w:pPr>
  </w:style>
  <w:style w:type="paragraph" w:customStyle="1" w:styleId="434">
    <w:name w:val="正文1"/>
    <w:basedOn w:val="1"/>
    <w:qFormat/>
    <w:uiPriority w:val="0"/>
    <w:pPr>
      <w:ind w:firstLine="540" w:firstLineChars="257"/>
    </w:pPr>
    <w:rPr>
      <w:szCs w:val="20"/>
    </w:rPr>
  </w:style>
  <w:style w:type="paragraph" w:customStyle="1" w:styleId="435">
    <w:name w:val="2级列项"/>
    <w:basedOn w:val="388"/>
    <w:qFormat/>
    <w:uiPriority w:val="0"/>
    <w:pPr>
      <w:numPr>
        <w:ilvl w:val="1"/>
      </w:numPr>
    </w:pPr>
  </w:style>
  <w:style w:type="paragraph" w:customStyle="1" w:styleId="436">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7">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438">
    <w:name w:val="正文表标题"/>
    <w:next w:val="42"/>
    <w:qFormat/>
    <w:uiPriority w:val="0"/>
    <w:pPr>
      <w:numPr>
        <w:ilvl w:val="0"/>
        <w:numId w:val="28"/>
      </w:numPr>
      <w:spacing w:beforeLines="50" w:afterLines="50"/>
      <w:jc w:val="center"/>
    </w:pPr>
    <w:rPr>
      <w:rFonts w:ascii="黑体" w:hAnsi="Times New Roman" w:eastAsia="黑体" w:cs="Times New Roman"/>
      <w:sz w:val="21"/>
      <w:lang w:val="en-US" w:eastAsia="zh-CN" w:bidi="ar-SA"/>
    </w:rPr>
  </w:style>
  <w:style w:type="paragraph" w:customStyle="1" w:styleId="439">
    <w:name w:val="项目符号"/>
    <w:basedOn w:val="1"/>
    <w:qFormat/>
    <w:uiPriority w:val="0"/>
    <w:pPr>
      <w:numPr>
        <w:ilvl w:val="0"/>
        <w:numId w:val="29"/>
      </w:numPr>
      <w:spacing w:line="480" w:lineRule="exact"/>
    </w:pPr>
    <w:rPr>
      <w:sz w:val="24"/>
    </w:rPr>
  </w:style>
  <w:style w:type="paragraph" w:customStyle="1" w:styleId="440">
    <w:name w:val="附录三级无"/>
    <w:basedOn w:val="263"/>
    <w:qFormat/>
    <w:uiPriority w:val="0"/>
    <w:pPr>
      <w:tabs>
        <w:tab w:val="clear" w:pos="360"/>
      </w:tabs>
      <w:spacing w:beforeLines="0" w:afterLines="0"/>
    </w:pPr>
    <w:rPr>
      <w:rFonts w:ascii="宋体" w:eastAsia="宋体"/>
      <w:szCs w:val="21"/>
    </w:rPr>
  </w:style>
  <w:style w:type="paragraph" w:customStyle="1" w:styleId="441">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442">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443">
    <w:name w:val="表格标题(居中)"/>
    <w:basedOn w:val="1"/>
    <w:qFormat/>
    <w:uiPriority w:val="0"/>
    <w:pPr>
      <w:snapToGrid w:val="0"/>
      <w:spacing w:line="300" w:lineRule="auto"/>
      <w:jc w:val="center"/>
    </w:pPr>
    <w:rPr>
      <w:rFonts w:eastAsia="黑体"/>
      <w:sz w:val="24"/>
      <w:szCs w:val="20"/>
    </w:rPr>
  </w:style>
  <w:style w:type="paragraph" w:customStyle="1" w:styleId="444">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445">
    <w:name w:val="SJ-标题4"/>
    <w:basedOn w:val="378"/>
    <w:qFormat/>
    <w:uiPriority w:val="0"/>
    <w:pPr>
      <w:tabs>
        <w:tab w:val="left" w:pos="1680"/>
        <w:tab w:val="clear" w:pos="1200"/>
      </w:tabs>
      <w:spacing w:before="120" w:after="120"/>
      <w:ind w:left="1680" w:hanging="420"/>
      <w:outlineLvl w:val="3"/>
    </w:pPr>
  </w:style>
  <w:style w:type="paragraph" w:customStyle="1" w:styleId="446">
    <w:name w:val="1234 Char"/>
    <w:basedOn w:val="56"/>
    <w:next w:val="1"/>
    <w:qFormat/>
    <w:uiPriority w:val="0"/>
    <w:pPr>
      <w:adjustRightInd/>
      <w:spacing w:line="360" w:lineRule="auto"/>
      <w:ind w:firstLine="482"/>
    </w:pPr>
    <w:rPr>
      <w:b/>
      <w:szCs w:val="24"/>
    </w:rPr>
  </w:style>
  <w:style w:type="paragraph" w:customStyle="1" w:styleId="447">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448">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449">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450">
    <w:name w:val="Table Heading"/>
    <w:basedOn w:val="1"/>
    <w:qFormat/>
    <w:uiPriority w:val="0"/>
    <w:pPr>
      <w:keepNext/>
      <w:numPr>
        <w:ilvl w:val="0"/>
        <w:numId w:val="30"/>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table" w:customStyle="1" w:styleId="451">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452">
    <w:name w:val="标准规范2级"/>
    <w:basedOn w:val="1"/>
    <w:qFormat/>
    <w:uiPriority w:val="0"/>
    <w:pPr>
      <w:numPr>
        <w:ilvl w:val="1"/>
        <w:numId w:val="31"/>
      </w:numPr>
      <w:spacing w:before="120" w:line="360" w:lineRule="auto"/>
    </w:pPr>
    <w:rPr>
      <w:rFonts w:cs="宋体"/>
      <w:color w:val="000000"/>
      <w:sz w:val="24"/>
      <w:szCs w:val="20"/>
    </w:rPr>
  </w:style>
  <w:style w:type="paragraph" w:styleId="453">
    <w:name w:val="List Paragraph"/>
    <w:basedOn w:val="1"/>
    <w:qFormat/>
    <w:uiPriority w:val="99"/>
    <w:pPr>
      <w:ind w:firstLine="420" w:firstLineChars="200"/>
    </w:pPr>
    <w:rPr>
      <w:rFonts w:ascii="Calibri" w:hAnsi="Calibri"/>
      <w:szCs w:val="22"/>
    </w:rPr>
  </w:style>
  <w:style w:type="paragraph" w:customStyle="1" w:styleId="454">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首行缩进"/>
    <w:basedOn w:val="1"/>
    <w:qFormat/>
    <w:uiPriority w:val="0"/>
    <w:pPr>
      <w:spacing w:line="300" w:lineRule="auto"/>
      <w:ind w:firstLine="420" w:firstLineChars="200"/>
    </w:pPr>
    <w:rPr>
      <w:rFonts w:eastAsia="方正书宋简体" w:cs="宋体"/>
      <w:szCs w:val="20"/>
    </w:rPr>
  </w:style>
  <w:style w:type="paragraph" w:customStyle="1" w:styleId="456">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7">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8">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459">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609A-76EB-4433-A880-1553A0DD2A26}">
  <ds:schemaRefs/>
</ds:datastoreItem>
</file>

<file path=docProps/app.xml><?xml version="1.0" encoding="utf-8"?>
<Properties xmlns="http://schemas.openxmlformats.org/officeDocument/2006/extended-properties" xmlns:vt="http://schemas.openxmlformats.org/officeDocument/2006/docPropsVTypes">
  <Template>Normal.dotm</Template>
  <Pages>27</Pages>
  <Words>3719</Words>
  <Characters>21201</Characters>
  <Lines>176</Lines>
  <Paragraphs>49</Paragraphs>
  <TotalTime>114</TotalTime>
  <ScaleCrop>false</ScaleCrop>
  <LinksUpToDate>false</LinksUpToDate>
  <CharactersWithSpaces>24871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2026-05-14T04:00:01Z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3D5FFBEB7AFD4A0FAA67E0807385732D_13</vt:lpwstr>
  </property>
  <property fmtid="{D5CDD505-2E9C-101B-9397-08002B2CF9AE}" pid="4" name="KSOTemplateDocerSaveRecord">
    <vt:lpwstr>eyJoZGlkIjoiY2VjNzgwM2ZmOTcyZmY3OWI3NjUwZTgyZTllNTNmMzgiLCJ1c2VySWQiOiI3OTkxNTU0ODkifQ==</vt:lpwstr>
  </property>
</Properties>
</file>