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A29F49">
      <w:pPr>
        <w:spacing w:before="480" w:beforeLines="200"/>
        <w:jc w:val="center"/>
        <w:rPr>
          <w:rFonts w:hint="eastAsia" w:eastAsia="黑体"/>
          <w:b/>
          <w:color w:val="auto"/>
          <w:sz w:val="52"/>
        </w:rPr>
      </w:pPr>
      <w:r>
        <w:rPr>
          <w:b/>
          <w:color w:val="auto"/>
          <w:sz w:val="44"/>
          <w:szCs w:val="21"/>
        </w:rPr>
        <w:drawing>
          <wp:anchor distT="0" distB="0" distL="114300" distR="114300" simplePos="0" relativeHeight="251659264" behindDoc="1" locked="0" layoutInCell="1" allowOverlap="1">
            <wp:simplePos x="0" y="0"/>
            <wp:positionH relativeFrom="column">
              <wp:posOffset>-1033145</wp:posOffset>
            </wp:positionH>
            <wp:positionV relativeFrom="paragraph">
              <wp:posOffset>-914400</wp:posOffset>
            </wp:positionV>
            <wp:extent cx="7747635" cy="2736850"/>
            <wp:effectExtent l="0" t="0" r="12065" b="6350"/>
            <wp:wrapTight wrapText="bothSides">
              <wp:wrapPolygon>
                <wp:start x="0" y="0"/>
                <wp:lineTo x="0" y="21550"/>
                <wp:lineTo x="21563" y="21550"/>
                <wp:lineTo x="21563" y="0"/>
                <wp:lineTo x="0" y="0"/>
              </wp:wrapPolygon>
            </wp:wrapTight>
            <wp:docPr id="2" name="图片 2"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模板-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747635" cy="2736850"/>
                    </a:xfrm>
                    <a:prstGeom prst="rect">
                      <a:avLst/>
                    </a:prstGeom>
                    <a:noFill/>
                    <a:ln>
                      <a:noFill/>
                    </a:ln>
                  </pic:spPr>
                </pic:pic>
              </a:graphicData>
            </a:graphic>
          </wp:anchor>
        </w:drawing>
      </w:r>
      <w:r>
        <w:rPr>
          <w:rFonts w:eastAsia="黑体"/>
          <w:b/>
          <w:color w:val="auto"/>
          <w:sz w:val="52"/>
        </w:rPr>
        <w:br w:type="textWrapping"/>
      </w:r>
      <w:r>
        <w:rPr>
          <w:rFonts w:hint="eastAsia" w:eastAsia="黑体"/>
          <w:b/>
          <w:color w:val="auto"/>
          <w:sz w:val="52"/>
        </w:rPr>
        <w:t>树障修剪无人机（多旋翼无人机）</w:t>
      </w:r>
    </w:p>
    <w:p w14:paraId="4DC5B1FF">
      <w:pPr>
        <w:spacing w:before="480" w:beforeLines="200" w:line="360" w:lineRule="auto"/>
        <w:ind w:left="420" w:hanging="420"/>
        <w:jc w:val="center"/>
        <w:rPr>
          <w:rFonts w:hint="eastAsia" w:eastAsia="黑体"/>
          <w:b/>
          <w:color w:val="auto"/>
          <w:sz w:val="52"/>
        </w:rPr>
      </w:pPr>
      <w:r>
        <w:rPr>
          <w:rFonts w:hint="eastAsia" w:eastAsia="黑体"/>
          <w:b/>
          <w:color w:val="auto"/>
          <w:sz w:val="52"/>
        </w:rPr>
        <w:t>技术规范书</w:t>
      </w:r>
    </w:p>
    <w:p w14:paraId="344A74DB">
      <w:pPr>
        <w:spacing w:before="480" w:beforeLines="200" w:line="360" w:lineRule="auto"/>
        <w:ind w:left="420" w:hanging="420"/>
        <w:jc w:val="center"/>
        <w:rPr>
          <w:rFonts w:hint="eastAsia" w:eastAsia="黑体"/>
          <w:b/>
          <w:color w:val="auto"/>
          <w:sz w:val="52"/>
        </w:rPr>
      </w:pPr>
      <w:r>
        <w:rPr>
          <w:rFonts w:hint="eastAsia" w:eastAsia="黑体"/>
          <w:b/>
          <w:color w:val="auto"/>
          <w:sz w:val="52"/>
        </w:rPr>
        <w:t>（通用部分）</w:t>
      </w:r>
    </w:p>
    <w:p w14:paraId="2771BAA5">
      <w:pPr>
        <w:spacing w:before="480" w:beforeLines="200" w:line="360" w:lineRule="auto"/>
        <w:ind w:left="570" w:leftChars="259" w:firstLine="2530" w:firstLineChars="700"/>
        <w:rPr>
          <w:rFonts w:hint="eastAsia" w:eastAsia="黑体"/>
          <w:b/>
          <w:color w:val="auto"/>
          <w:sz w:val="36"/>
        </w:rPr>
      </w:pPr>
      <w:r>
        <w:rPr>
          <w:rFonts w:hint="eastAsia" w:eastAsia="黑体"/>
          <w:b/>
          <w:color w:val="auto"/>
          <w:sz w:val="36"/>
        </w:rPr>
        <w:t xml:space="preserve">版本号：  </w:t>
      </w:r>
      <w:r>
        <w:rPr>
          <w:rFonts w:eastAsia="黑体"/>
          <w:b/>
          <w:color w:val="auto"/>
          <w:sz w:val="36"/>
        </w:rPr>
        <w:t>20</w:t>
      </w:r>
      <w:r>
        <w:rPr>
          <w:rFonts w:hint="eastAsia" w:eastAsia="黑体"/>
          <w:b/>
          <w:color w:val="auto"/>
          <w:sz w:val="36"/>
        </w:rPr>
        <w:t>25</w:t>
      </w:r>
      <w:r>
        <w:rPr>
          <w:rFonts w:eastAsia="黑体"/>
          <w:b/>
          <w:color w:val="auto"/>
          <w:sz w:val="36"/>
        </w:rPr>
        <w:t>版V</w:t>
      </w:r>
      <w:r>
        <w:rPr>
          <w:rFonts w:hint="eastAsia" w:eastAsia="黑体"/>
          <w:b/>
          <w:color w:val="auto"/>
          <w:sz w:val="36"/>
        </w:rPr>
        <w:t>1</w:t>
      </w:r>
      <w:r>
        <w:rPr>
          <w:rFonts w:eastAsia="黑体"/>
          <w:b/>
          <w:color w:val="auto"/>
          <w:sz w:val="36"/>
        </w:rPr>
        <w:t>.0</w:t>
      </w:r>
    </w:p>
    <w:p w14:paraId="5112118D">
      <w:pPr>
        <w:spacing w:line="360" w:lineRule="auto"/>
        <w:ind w:firstLine="3253" w:firstLineChars="900"/>
        <w:rPr>
          <w:rFonts w:hint="eastAsia" w:eastAsia="黑体"/>
          <w:b/>
          <w:color w:val="auto"/>
          <w:sz w:val="36"/>
        </w:rPr>
      </w:pPr>
      <w:r>
        <w:rPr>
          <w:rFonts w:hint="eastAsia" w:eastAsia="黑体"/>
          <w:b/>
          <w:color w:val="auto"/>
          <w:sz w:val="36"/>
        </w:rPr>
        <w:t>编号：</w:t>
      </w:r>
      <w:r>
        <w:rPr>
          <w:rFonts w:eastAsia="黑体"/>
          <w:b/>
          <w:color w:val="auto"/>
          <w:sz w:val="36"/>
        </w:rPr>
        <w:tab/>
      </w:r>
    </w:p>
    <w:p w14:paraId="3D381E3F">
      <w:pPr>
        <w:spacing w:before="480" w:beforeLines="200" w:line="360" w:lineRule="auto"/>
        <w:rPr>
          <w:rFonts w:hint="eastAsia" w:eastAsia="黑体"/>
          <w:b/>
          <w:color w:val="auto"/>
          <w:sz w:val="2"/>
          <w:szCs w:val="2"/>
        </w:rPr>
      </w:pPr>
    </w:p>
    <w:p w14:paraId="2CED306D">
      <w:pPr>
        <w:spacing w:before="480" w:beforeLines="200"/>
        <w:ind w:left="413" w:hanging="415" w:hangingChars="93"/>
        <w:jc w:val="center"/>
        <w:rPr>
          <w:rFonts w:hint="eastAsia" w:eastAsia="黑体"/>
          <w:b/>
          <w:color w:val="auto"/>
          <w:spacing w:val="20"/>
          <w:w w:val="135"/>
          <w:sz w:val="30"/>
        </w:rPr>
      </w:pPr>
      <w:r>
        <w:rPr>
          <w:rFonts w:eastAsia="黑体"/>
          <w:b/>
          <w:color w:val="auto"/>
          <w:spacing w:val="20"/>
          <w:w w:val="135"/>
          <w:sz w:val="30"/>
        </w:rPr>
        <w:t>中国南方电网有限责任公司</w:t>
      </w:r>
    </w:p>
    <w:p w14:paraId="2267A1C3">
      <w:pPr>
        <w:jc w:val="center"/>
        <w:rPr>
          <w:rFonts w:hint="eastAsia" w:eastAsia="黑体"/>
          <w:b/>
          <w:color w:val="auto"/>
          <w:spacing w:val="20"/>
          <w:w w:val="135"/>
          <w:sz w:val="30"/>
        </w:rPr>
      </w:pPr>
      <w:r>
        <w:rPr>
          <w:rFonts w:eastAsia="黑体"/>
          <w:b/>
          <w:color w:val="auto"/>
          <w:spacing w:val="20"/>
          <w:w w:val="135"/>
          <w:sz w:val="30"/>
        </w:rPr>
        <w:t>202</w:t>
      </w:r>
      <w:r>
        <w:rPr>
          <w:rFonts w:hint="eastAsia" w:eastAsia="黑体"/>
          <w:b/>
          <w:color w:val="auto"/>
          <w:spacing w:val="20"/>
          <w:w w:val="135"/>
          <w:sz w:val="30"/>
        </w:rPr>
        <w:t>6</w:t>
      </w:r>
      <w:r>
        <w:rPr>
          <w:rFonts w:eastAsia="黑体"/>
          <w:b/>
          <w:color w:val="auto"/>
          <w:spacing w:val="20"/>
          <w:w w:val="135"/>
          <w:sz w:val="30"/>
        </w:rPr>
        <w:t>年</w:t>
      </w:r>
      <w:r>
        <w:rPr>
          <w:rFonts w:hint="eastAsia" w:eastAsia="黑体"/>
          <w:b/>
          <w:color w:val="auto"/>
          <w:spacing w:val="20"/>
          <w:w w:val="135"/>
          <w:sz w:val="30"/>
        </w:rPr>
        <w:t>1</w:t>
      </w:r>
      <w:r>
        <w:rPr>
          <w:rFonts w:eastAsia="黑体"/>
          <w:b/>
          <w:color w:val="auto"/>
          <w:spacing w:val="20"/>
          <w:w w:val="135"/>
          <w:sz w:val="30"/>
        </w:rPr>
        <w:t>月</w:t>
      </w:r>
    </w:p>
    <w:p w14:paraId="7CB57959">
      <w:pPr>
        <w:rPr>
          <w:rFonts w:hint="eastAsia" w:eastAsia="黑体"/>
          <w:b/>
          <w:color w:val="auto"/>
          <w:spacing w:val="20"/>
          <w:w w:val="135"/>
          <w:sz w:val="30"/>
        </w:rPr>
      </w:pPr>
      <w:r>
        <w:rPr>
          <w:rFonts w:eastAsia="黑体"/>
          <w:b/>
          <w:color w:val="auto"/>
          <w:spacing w:val="20"/>
          <w:w w:val="135"/>
          <w:sz w:val="30"/>
        </w:rPr>
        <w:br w:type="page"/>
      </w:r>
    </w:p>
    <w:p w14:paraId="58FD3E6C">
      <w:pPr>
        <w:snapToGrid w:val="0"/>
        <w:jc w:val="center"/>
        <w:rPr>
          <w:rFonts w:hint="eastAsia" w:eastAsia="黑体"/>
          <w:color w:val="auto"/>
          <w:sz w:val="32"/>
          <w:szCs w:val="28"/>
        </w:rPr>
      </w:pPr>
      <w:r>
        <w:rPr>
          <w:rFonts w:hint="eastAsia" w:eastAsia="黑体"/>
          <w:color w:val="auto"/>
          <w:sz w:val="32"/>
          <w:szCs w:val="28"/>
        </w:rPr>
        <w:t>本技术规范书对应的专用部分目录</w:t>
      </w:r>
    </w:p>
    <w:tbl>
      <w:tblPr>
        <w:tblStyle w:val="14"/>
        <w:tblW w:w="83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01"/>
        <w:gridCol w:w="4069"/>
        <w:gridCol w:w="3176"/>
      </w:tblGrid>
      <w:tr w14:paraId="6589C2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101" w:type="dxa"/>
          </w:tcPr>
          <w:p w14:paraId="06508F14">
            <w:pPr>
              <w:spacing w:line="360" w:lineRule="auto"/>
              <w:jc w:val="center"/>
              <w:rPr>
                <w:rFonts w:hint="eastAsia" w:ascii="宋体" w:hAnsi="宋体" w:eastAsia="宋体"/>
                <w:color w:val="auto"/>
                <w:sz w:val="24"/>
              </w:rPr>
            </w:pPr>
            <w:r>
              <w:rPr>
                <w:rFonts w:hint="eastAsia" w:ascii="宋体" w:hAnsi="宋体" w:eastAsia="宋体"/>
                <w:color w:val="auto"/>
                <w:sz w:val="24"/>
              </w:rPr>
              <w:t>序号</w:t>
            </w:r>
          </w:p>
        </w:tc>
        <w:tc>
          <w:tcPr>
            <w:tcW w:w="4069" w:type="dxa"/>
          </w:tcPr>
          <w:p w14:paraId="5B8D9D93">
            <w:pPr>
              <w:spacing w:line="360" w:lineRule="auto"/>
              <w:jc w:val="center"/>
              <w:rPr>
                <w:rFonts w:hint="eastAsia" w:ascii="宋体" w:hAnsi="宋体" w:eastAsia="宋体"/>
                <w:color w:val="auto"/>
                <w:sz w:val="24"/>
              </w:rPr>
            </w:pPr>
            <w:r>
              <w:rPr>
                <w:rFonts w:hint="eastAsia" w:ascii="宋体" w:hAnsi="宋体" w:eastAsia="宋体"/>
                <w:color w:val="auto"/>
                <w:sz w:val="24"/>
              </w:rPr>
              <w:t>名称</w:t>
            </w:r>
          </w:p>
        </w:tc>
        <w:tc>
          <w:tcPr>
            <w:tcW w:w="3176" w:type="dxa"/>
          </w:tcPr>
          <w:p w14:paraId="62E2E9CA">
            <w:pPr>
              <w:spacing w:line="360" w:lineRule="auto"/>
              <w:jc w:val="center"/>
              <w:rPr>
                <w:rFonts w:hint="eastAsia" w:ascii="宋体" w:hAnsi="宋体" w:eastAsia="宋体"/>
                <w:color w:val="auto"/>
                <w:sz w:val="24"/>
              </w:rPr>
            </w:pPr>
            <w:r>
              <w:rPr>
                <w:rFonts w:hint="eastAsia" w:ascii="宋体" w:hAnsi="宋体" w:eastAsia="宋体"/>
                <w:color w:val="auto"/>
                <w:sz w:val="24"/>
              </w:rPr>
              <w:t>品类优化清单</w:t>
            </w:r>
          </w:p>
          <w:p w14:paraId="362FDEF9">
            <w:pPr>
              <w:spacing w:line="360" w:lineRule="auto"/>
              <w:jc w:val="center"/>
              <w:rPr>
                <w:rFonts w:hint="eastAsia" w:ascii="宋体" w:hAnsi="宋体" w:eastAsia="宋体"/>
                <w:color w:val="auto"/>
                <w:sz w:val="24"/>
              </w:rPr>
            </w:pPr>
            <w:r>
              <w:rPr>
                <w:rFonts w:hint="eastAsia" w:ascii="宋体" w:hAnsi="宋体" w:eastAsia="宋体"/>
                <w:color w:val="auto"/>
                <w:sz w:val="24"/>
              </w:rPr>
              <w:t>对应型号</w:t>
            </w:r>
          </w:p>
        </w:tc>
      </w:tr>
      <w:tr w14:paraId="6A0AA7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101" w:type="dxa"/>
            <w:vAlign w:val="center"/>
          </w:tcPr>
          <w:p w14:paraId="70EC5D98">
            <w:pPr>
              <w:spacing w:line="360" w:lineRule="auto"/>
              <w:jc w:val="center"/>
              <w:rPr>
                <w:rFonts w:hint="eastAsia" w:ascii="宋体" w:hAnsi="宋体" w:eastAsia="宋体"/>
                <w:color w:val="auto"/>
                <w:sz w:val="24"/>
              </w:rPr>
            </w:pPr>
            <w:r>
              <w:rPr>
                <w:rFonts w:hint="eastAsia" w:ascii="宋体" w:hAnsi="宋体" w:eastAsia="宋体"/>
                <w:color w:val="auto"/>
                <w:sz w:val="24"/>
              </w:rPr>
              <w:t>1</w:t>
            </w:r>
          </w:p>
        </w:tc>
        <w:tc>
          <w:tcPr>
            <w:tcW w:w="4069" w:type="dxa"/>
          </w:tcPr>
          <w:p w14:paraId="36CF711A">
            <w:pPr>
              <w:numPr>
                <w:ilvl w:val="255"/>
                <w:numId w:val="0"/>
              </w:numPr>
              <w:spacing w:line="360" w:lineRule="auto"/>
              <w:jc w:val="center"/>
              <w:rPr>
                <w:rFonts w:hint="eastAsia" w:ascii="宋体" w:hAnsi="宋体" w:eastAsia="宋体"/>
                <w:color w:val="auto"/>
                <w:sz w:val="24"/>
              </w:rPr>
            </w:pPr>
            <w:bookmarkStart w:id="0" w:name="_Toc29552"/>
            <w:bookmarkStart w:id="1" w:name="_Toc50889640"/>
            <w:r>
              <w:rPr>
                <w:rFonts w:hint="eastAsia" w:ascii="宋体" w:hAnsi="宋体" w:eastAsia="宋体"/>
                <w:color w:val="auto"/>
                <w:sz w:val="24"/>
              </w:rPr>
              <w:t>树障修剪无人机技术规范书（通用部分）</w:t>
            </w:r>
            <w:bookmarkEnd w:id="0"/>
            <w:bookmarkEnd w:id="1"/>
          </w:p>
        </w:tc>
        <w:tc>
          <w:tcPr>
            <w:tcW w:w="3176" w:type="dxa"/>
          </w:tcPr>
          <w:p w14:paraId="4F32C70A">
            <w:pPr>
              <w:spacing w:line="360" w:lineRule="auto"/>
              <w:jc w:val="center"/>
              <w:rPr>
                <w:rFonts w:hint="eastAsia" w:ascii="宋体" w:hAnsi="宋体" w:eastAsia="宋体"/>
                <w:color w:val="auto"/>
                <w:sz w:val="24"/>
              </w:rPr>
            </w:pPr>
            <w:r>
              <w:rPr>
                <w:rFonts w:hint="eastAsia" w:ascii="宋体" w:hAnsi="宋体" w:eastAsia="宋体"/>
                <w:color w:val="auto"/>
                <w:sz w:val="24"/>
              </w:rPr>
              <w:t>/</w:t>
            </w:r>
          </w:p>
        </w:tc>
      </w:tr>
    </w:tbl>
    <w:p w14:paraId="35BEE2D8">
      <w:pPr>
        <w:rPr>
          <w:rFonts w:hint="eastAsia" w:eastAsia="黑体"/>
          <w:b/>
          <w:color w:val="auto"/>
          <w:spacing w:val="20"/>
          <w:w w:val="135"/>
          <w:sz w:val="30"/>
        </w:rPr>
      </w:pPr>
      <w:r>
        <w:rPr>
          <w:rFonts w:eastAsia="黑体"/>
          <w:b/>
          <w:color w:val="auto"/>
          <w:spacing w:val="20"/>
          <w:w w:val="135"/>
          <w:sz w:val="30"/>
        </w:rPr>
        <w:br w:type="page"/>
      </w:r>
    </w:p>
    <w:sdt>
      <w:sdtPr>
        <w:rPr>
          <w:rFonts w:ascii="Times New Roman" w:hAnsi="Times New Roman" w:eastAsia="黑体" w:cs="Times New Roman"/>
          <w:bCs/>
          <w:color w:val="auto"/>
          <w:kern w:val="2"/>
          <w:sz w:val="36"/>
          <w:szCs w:val="36"/>
        </w:rPr>
        <w:id w:val="147479094"/>
        <w15:color w:val="DBDBDB"/>
        <w:docPartObj>
          <w:docPartGallery w:val="Table of Contents"/>
          <w:docPartUnique/>
        </w:docPartObj>
      </w:sdtPr>
      <w:sdtEndPr>
        <w:rPr>
          <w:rFonts w:ascii="微软雅黑" w:hAnsi="微软雅黑" w:eastAsia="黑体" w:cs="微软雅黑"/>
          <w:bCs/>
          <w:color w:val="auto"/>
          <w:spacing w:val="20"/>
          <w:w w:val="135"/>
          <w:kern w:val="2"/>
          <w:sz w:val="22"/>
          <w:szCs w:val="36"/>
        </w:rPr>
      </w:sdtEndPr>
      <w:sdtContent>
        <w:p w14:paraId="771152D4">
          <w:pPr>
            <w:widowControl w:val="0"/>
            <w:spacing w:line="360" w:lineRule="auto"/>
            <w:jc w:val="center"/>
            <w:textAlignment w:val="auto"/>
            <w:rPr>
              <w:rFonts w:ascii="Times New Roman" w:hAnsi="Times New Roman" w:eastAsia="黑体" w:cs="Times New Roman"/>
              <w:bCs/>
              <w:color w:val="auto"/>
              <w:kern w:val="2"/>
              <w:sz w:val="36"/>
              <w:szCs w:val="36"/>
            </w:rPr>
          </w:pPr>
          <w:r>
            <w:rPr>
              <w:rFonts w:ascii="Times New Roman" w:hAnsi="Times New Roman" w:eastAsia="黑体" w:cs="Times New Roman"/>
              <w:bCs/>
              <w:color w:val="auto"/>
              <w:kern w:val="2"/>
              <w:sz w:val="36"/>
              <w:szCs w:val="36"/>
            </w:rPr>
            <w:t>目</w:t>
          </w:r>
          <w:r>
            <w:rPr>
              <w:rFonts w:hint="eastAsia" w:ascii="Times New Roman" w:hAnsi="Times New Roman" w:eastAsia="黑体" w:cs="Times New Roman"/>
              <w:bCs/>
              <w:color w:val="auto"/>
              <w:kern w:val="2"/>
              <w:sz w:val="36"/>
              <w:szCs w:val="36"/>
            </w:rPr>
            <w:t xml:space="preserve">    </w:t>
          </w:r>
          <w:r>
            <w:rPr>
              <w:rFonts w:ascii="Times New Roman" w:hAnsi="Times New Roman" w:eastAsia="黑体" w:cs="Times New Roman"/>
              <w:bCs/>
              <w:color w:val="auto"/>
              <w:kern w:val="2"/>
              <w:sz w:val="36"/>
              <w:szCs w:val="36"/>
            </w:rPr>
            <w:t>录</w:t>
          </w:r>
        </w:p>
        <w:p w14:paraId="6EA39177">
          <w:pPr>
            <w:widowControl w:val="0"/>
            <w:spacing w:line="360" w:lineRule="auto"/>
            <w:jc w:val="center"/>
            <w:textAlignment w:val="auto"/>
            <w:rPr>
              <w:rFonts w:ascii="Times New Roman" w:hAnsi="Times New Roman" w:eastAsia="黑体" w:cs="Times New Roman"/>
              <w:bCs/>
              <w:color w:val="auto"/>
              <w:kern w:val="2"/>
              <w:sz w:val="36"/>
              <w:szCs w:val="36"/>
            </w:rPr>
          </w:pPr>
        </w:p>
        <w:p w14:paraId="14106537">
          <w:pPr>
            <w:pStyle w:val="12"/>
            <w:tabs>
              <w:tab w:val="right" w:leader="dot" w:pos="9072"/>
            </w:tabs>
            <w:rPr>
              <w:rFonts w:hint="eastAsia"/>
            </w:rPr>
          </w:pPr>
          <w:r>
            <w:rPr>
              <w:rFonts w:asciiTheme="minorEastAsia" w:hAnsiTheme="minorEastAsia" w:eastAsiaTheme="minorEastAsia"/>
              <w:b/>
              <w:color w:val="auto"/>
              <w:spacing w:val="20"/>
              <w:w w:val="135"/>
              <w:sz w:val="21"/>
              <w:szCs w:val="21"/>
            </w:rPr>
            <w:fldChar w:fldCharType="begin"/>
          </w:r>
          <w:r>
            <w:rPr>
              <w:rFonts w:asciiTheme="minorEastAsia" w:hAnsiTheme="minorEastAsia" w:eastAsiaTheme="minorEastAsia"/>
              <w:b/>
              <w:color w:val="auto"/>
              <w:spacing w:val="20"/>
              <w:w w:val="135"/>
              <w:sz w:val="21"/>
              <w:szCs w:val="21"/>
            </w:rPr>
            <w:instrText xml:space="preserve">TOC \o "1-3" \h \u </w:instrText>
          </w:r>
          <w:r>
            <w:rPr>
              <w:rFonts w:asciiTheme="minorEastAsia" w:hAnsiTheme="minorEastAsia" w:eastAsiaTheme="minorEastAsia"/>
              <w:b/>
              <w:color w:val="auto"/>
              <w:spacing w:val="20"/>
              <w:w w:val="135"/>
              <w:sz w:val="21"/>
              <w:szCs w:val="21"/>
            </w:rPr>
            <w:fldChar w:fldCharType="separate"/>
          </w:r>
          <w:r>
            <w:fldChar w:fldCharType="begin"/>
          </w:r>
          <w:r>
            <w:instrText xml:space="preserve"> HYPERLINK \l "_Toc5618" </w:instrText>
          </w:r>
          <w:r>
            <w:fldChar w:fldCharType="separate"/>
          </w:r>
          <w:r>
            <w:rPr>
              <w:rFonts w:ascii="Times New Roman" w:hAnsi="Times New Roman" w:eastAsia="黑体" w:cs="Times New Roman"/>
              <w:kern w:val="44"/>
              <w:szCs w:val="21"/>
            </w:rPr>
            <w:t>1 总则</w:t>
          </w:r>
          <w:r>
            <w:tab/>
          </w:r>
          <w:r>
            <w:fldChar w:fldCharType="begin"/>
          </w:r>
          <w:r>
            <w:instrText xml:space="preserve"> PAGEREF _Toc5618 \h </w:instrText>
          </w:r>
          <w:r>
            <w:fldChar w:fldCharType="separate"/>
          </w:r>
          <w:r>
            <w:t>5</w:t>
          </w:r>
          <w:r>
            <w:fldChar w:fldCharType="end"/>
          </w:r>
          <w:r>
            <w:fldChar w:fldCharType="end"/>
          </w:r>
        </w:p>
        <w:p w14:paraId="5407A082">
          <w:pPr>
            <w:pStyle w:val="12"/>
            <w:tabs>
              <w:tab w:val="right" w:leader="dot" w:pos="9072"/>
            </w:tabs>
            <w:rPr>
              <w:rFonts w:hint="eastAsia"/>
            </w:rPr>
          </w:pPr>
          <w:r>
            <w:fldChar w:fldCharType="begin"/>
          </w:r>
          <w:r>
            <w:instrText xml:space="preserve"> HYPERLINK \l "_Toc28263" </w:instrText>
          </w:r>
          <w:r>
            <w:fldChar w:fldCharType="separate"/>
          </w:r>
          <w:r>
            <w:rPr>
              <w:rFonts w:ascii="Times New Roman" w:hAnsi="Times New Roman" w:eastAsia="黑体" w:cs="Times New Roman"/>
              <w:kern w:val="44"/>
              <w:szCs w:val="21"/>
            </w:rPr>
            <w:t>2 工作范围</w:t>
          </w:r>
          <w:r>
            <w:tab/>
          </w:r>
          <w:r>
            <w:fldChar w:fldCharType="begin"/>
          </w:r>
          <w:r>
            <w:instrText xml:space="preserve"> PAGEREF _Toc28263 \h </w:instrText>
          </w:r>
          <w:r>
            <w:fldChar w:fldCharType="separate"/>
          </w:r>
          <w:r>
            <w:t>6</w:t>
          </w:r>
          <w:r>
            <w:fldChar w:fldCharType="end"/>
          </w:r>
          <w:r>
            <w:fldChar w:fldCharType="end"/>
          </w:r>
        </w:p>
        <w:p w14:paraId="43A5778A">
          <w:pPr>
            <w:pStyle w:val="13"/>
            <w:tabs>
              <w:tab w:val="right" w:leader="dot" w:pos="9072"/>
            </w:tabs>
            <w:ind w:left="440"/>
            <w:rPr>
              <w:rFonts w:hint="eastAsia"/>
            </w:rPr>
          </w:pPr>
          <w:r>
            <w:fldChar w:fldCharType="begin"/>
          </w:r>
          <w:r>
            <w:instrText xml:space="preserve"> HYPERLINK \l "_Toc285" </w:instrText>
          </w:r>
          <w:r>
            <w:fldChar w:fldCharType="separate"/>
          </w:r>
          <w:r>
            <w:rPr>
              <w:rFonts w:ascii="Times New Roman" w:hAnsi="Times New Roman" w:eastAsia="黑体" w:cs="Times New Roman"/>
              <w:bCs/>
              <w:kern w:val="2"/>
              <w:szCs w:val="21"/>
            </w:rPr>
            <w:t>2.1 供货范围</w:t>
          </w:r>
          <w:r>
            <w:tab/>
          </w:r>
          <w:r>
            <w:fldChar w:fldCharType="begin"/>
          </w:r>
          <w:r>
            <w:instrText xml:space="preserve"> PAGEREF _Toc285 \h </w:instrText>
          </w:r>
          <w:r>
            <w:fldChar w:fldCharType="separate"/>
          </w:r>
          <w:r>
            <w:t>6</w:t>
          </w:r>
          <w:r>
            <w:fldChar w:fldCharType="end"/>
          </w:r>
          <w:r>
            <w:fldChar w:fldCharType="end"/>
          </w:r>
        </w:p>
        <w:p w14:paraId="3DE7BA95">
          <w:pPr>
            <w:pStyle w:val="13"/>
            <w:tabs>
              <w:tab w:val="right" w:leader="dot" w:pos="9072"/>
            </w:tabs>
            <w:ind w:left="440"/>
            <w:rPr>
              <w:rFonts w:hint="eastAsia"/>
            </w:rPr>
          </w:pPr>
          <w:r>
            <w:fldChar w:fldCharType="begin"/>
          </w:r>
          <w:r>
            <w:instrText xml:space="preserve"> HYPERLINK \l "_Toc26343" </w:instrText>
          </w:r>
          <w:r>
            <w:fldChar w:fldCharType="separate"/>
          </w:r>
          <w:r>
            <w:rPr>
              <w:rFonts w:ascii="Times New Roman" w:hAnsi="Times New Roman" w:eastAsia="黑体" w:cs="Times New Roman"/>
              <w:bCs/>
              <w:kern w:val="2"/>
              <w:szCs w:val="21"/>
            </w:rPr>
            <w:t>2.2 服务界限</w:t>
          </w:r>
          <w:r>
            <w:tab/>
          </w:r>
          <w:r>
            <w:fldChar w:fldCharType="begin"/>
          </w:r>
          <w:r>
            <w:instrText xml:space="preserve"> PAGEREF _Toc26343 \h </w:instrText>
          </w:r>
          <w:r>
            <w:fldChar w:fldCharType="separate"/>
          </w:r>
          <w:r>
            <w:t>6</w:t>
          </w:r>
          <w:r>
            <w:fldChar w:fldCharType="end"/>
          </w:r>
          <w:r>
            <w:fldChar w:fldCharType="end"/>
          </w:r>
        </w:p>
        <w:p w14:paraId="7DEDAA9C">
          <w:pPr>
            <w:pStyle w:val="13"/>
            <w:tabs>
              <w:tab w:val="right" w:leader="dot" w:pos="9072"/>
            </w:tabs>
            <w:ind w:left="440"/>
            <w:rPr>
              <w:rFonts w:hint="eastAsia"/>
            </w:rPr>
          </w:pPr>
          <w:r>
            <w:fldChar w:fldCharType="begin"/>
          </w:r>
          <w:r>
            <w:instrText xml:space="preserve"> HYPERLINK \l "_Toc17719" </w:instrText>
          </w:r>
          <w:r>
            <w:fldChar w:fldCharType="separate"/>
          </w:r>
          <w:r>
            <w:rPr>
              <w:rFonts w:ascii="Times New Roman" w:hAnsi="Times New Roman" w:eastAsia="黑体" w:cs="Times New Roman"/>
              <w:bCs/>
              <w:kern w:val="2"/>
              <w:szCs w:val="21"/>
            </w:rPr>
            <w:t>2.3 技术文件</w:t>
          </w:r>
          <w:r>
            <w:tab/>
          </w:r>
          <w:r>
            <w:fldChar w:fldCharType="begin"/>
          </w:r>
          <w:r>
            <w:instrText xml:space="preserve"> PAGEREF _Toc17719 \h </w:instrText>
          </w:r>
          <w:r>
            <w:fldChar w:fldCharType="separate"/>
          </w:r>
          <w:r>
            <w:t>6</w:t>
          </w:r>
          <w:r>
            <w:fldChar w:fldCharType="end"/>
          </w:r>
          <w:r>
            <w:fldChar w:fldCharType="end"/>
          </w:r>
        </w:p>
        <w:p w14:paraId="21B723A0">
          <w:pPr>
            <w:pStyle w:val="13"/>
            <w:tabs>
              <w:tab w:val="right" w:leader="dot" w:pos="9072"/>
            </w:tabs>
            <w:ind w:left="440"/>
            <w:rPr>
              <w:rFonts w:hint="eastAsia"/>
            </w:rPr>
          </w:pPr>
          <w:r>
            <w:fldChar w:fldCharType="begin"/>
          </w:r>
          <w:r>
            <w:instrText xml:space="preserve"> HYPERLINK \l "_Toc32496" </w:instrText>
          </w:r>
          <w:r>
            <w:fldChar w:fldCharType="separate"/>
          </w:r>
          <w:r>
            <w:rPr>
              <w:rFonts w:hint="eastAsia" w:ascii="黑体" w:hAnsi="黑体" w:eastAsia="黑体" w:cs="黑体"/>
              <w:bCs/>
              <w:szCs w:val="21"/>
            </w:rPr>
            <w:t>技术文件的组成</w:t>
          </w:r>
          <w:r>
            <w:tab/>
          </w:r>
          <w:r>
            <w:fldChar w:fldCharType="begin"/>
          </w:r>
          <w:r>
            <w:instrText xml:space="preserve"> PAGEREF _Toc32496 \h </w:instrText>
          </w:r>
          <w:r>
            <w:fldChar w:fldCharType="separate"/>
          </w:r>
          <w:r>
            <w:t>6</w:t>
          </w:r>
          <w:r>
            <w:fldChar w:fldCharType="end"/>
          </w:r>
          <w:r>
            <w:fldChar w:fldCharType="end"/>
          </w:r>
        </w:p>
        <w:p w14:paraId="09DE7BD5">
          <w:pPr>
            <w:pStyle w:val="12"/>
            <w:tabs>
              <w:tab w:val="right" w:leader="dot" w:pos="9072"/>
            </w:tabs>
            <w:rPr>
              <w:rFonts w:hint="eastAsia"/>
            </w:rPr>
          </w:pPr>
          <w:r>
            <w:fldChar w:fldCharType="begin"/>
          </w:r>
          <w:r>
            <w:instrText xml:space="preserve"> HYPERLINK \l "_Toc2235" </w:instrText>
          </w:r>
          <w:r>
            <w:fldChar w:fldCharType="separate"/>
          </w:r>
          <w:r>
            <w:rPr>
              <w:rFonts w:ascii="Times New Roman" w:hAnsi="Times New Roman" w:eastAsia="黑体" w:cs="Times New Roman"/>
              <w:bCs/>
              <w:kern w:val="2"/>
              <w:szCs w:val="21"/>
            </w:rPr>
            <w:t>3 应遵循的主要标准</w:t>
          </w:r>
          <w:r>
            <w:tab/>
          </w:r>
          <w:r>
            <w:fldChar w:fldCharType="begin"/>
          </w:r>
          <w:r>
            <w:instrText xml:space="preserve"> PAGEREF _Toc2235 \h </w:instrText>
          </w:r>
          <w:r>
            <w:fldChar w:fldCharType="separate"/>
          </w:r>
          <w:r>
            <w:t>7</w:t>
          </w:r>
          <w:r>
            <w:fldChar w:fldCharType="end"/>
          </w:r>
          <w:r>
            <w:fldChar w:fldCharType="end"/>
          </w:r>
        </w:p>
        <w:p w14:paraId="37415187">
          <w:pPr>
            <w:pStyle w:val="12"/>
            <w:tabs>
              <w:tab w:val="right" w:leader="dot" w:pos="9072"/>
            </w:tabs>
            <w:rPr>
              <w:rFonts w:hint="eastAsia"/>
            </w:rPr>
          </w:pPr>
          <w:r>
            <w:fldChar w:fldCharType="begin"/>
          </w:r>
          <w:r>
            <w:instrText xml:space="preserve"> HYPERLINK \l "_Toc26535" </w:instrText>
          </w:r>
          <w:r>
            <w:fldChar w:fldCharType="separate"/>
          </w:r>
          <w:r>
            <w:rPr>
              <w:rFonts w:ascii="Times New Roman" w:hAnsi="Times New Roman" w:eastAsia="黑体" w:cs="Times New Roman"/>
              <w:bCs/>
              <w:kern w:val="2"/>
              <w:szCs w:val="21"/>
            </w:rPr>
            <w:t>4 使用条件</w:t>
          </w:r>
          <w:r>
            <w:tab/>
          </w:r>
          <w:r>
            <w:fldChar w:fldCharType="begin"/>
          </w:r>
          <w:r>
            <w:instrText xml:space="preserve"> PAGEREF _Toc26535 \h </w:instrText>
          </w:r>
          <w:r>
            <w:fldChar w:fldCharType="separate"/>
          </w:r>
          <w:r>
            <w:t>8</w:t>
          </w:r>
          <w:r>
            <w:fldChar w:fldCharType="end"/>
          </w:r>
          <w:r>
            <w:fldChar w:fldCharType="end"/>
          </w:r>
        </w:p>
        <w:p w14:paraId="5FE175E4">
          <w:pPr>
            <w:pStyle w:val="13"/>
            <w:tabs>
              <w:tab w:val="right" w:leader="dot" w:pos="9072"/>
            </w:tabs>
            <w:ind w:left="440"/>
            <w:rPr>
              <w:rFonts w:hint="eastAsia"/>
            </w:rPr>
          </w:pPr>
          <w:r>
            <w:fldChar w:fldCharType="begin"/>
          </w:r>
          <w:r>
            <w:instrText xml:space="preserve"> HYPERLINK \l "_Toc12908" </w:instrText>
          </w:r>
          <w:r>
            <w:fldChar w:fldCharType="separate"/>
          </w:r>
          <w:r>
            <w:rPr>
              <w:rFonts w:ascii="Times New Roman" w:hAnsi="Times New Roman" w:eastAsia="黑体" w:cs="Times New Roman"/>
              <w:kern w:val="2"/>
              <w:szCs w:val="21"/>
            </w:rPr>
            <w:t>4.1 正常使用条件</w:t>
          </w:r>
          <w:r>
            <w:tab/>
          </w:r>
          <w:r>
            <w:fldChar w:fldCharType="begin"/>
          </w:r>
          <w:r>
            <w:instrText xml:space="preserve"> PAGEREF _Toc12908 \h </w:instrText>
          </w:r>
          <w:r>
            <w:fldChar w:fldCharType="separate"/>
          </w:r>
          <w:r>
            <w:t>8</w:t>
          </w:r>
          <w:r>
            <w:fldChar w:fldCharType="end"/>
          </w:r>
          <w:r>
            <w:fldChar w:fldCharType="end"/>
          </w:r>
        </w:p>
        <w:p w14:paraId="6774A177">
          <w:pPr>
            <w:pStyle w:val="13"/>
            <w:tabs>
              <w:tab w:val="right" w:leader="dot" w:pos="9072"/>
            </w:tabs>
            <w:ind w:left="440"/>
            <w:rPr>
              <w:rFonts w:hint="eastAsia"/>
            </w:rPr>
          </w:pPr>
          <w:r>
            <w:fldChar w:fldCharType="begin"/>
          </w:r>
          <w:r>
            <w:instrText xml:space="preserve"> HYPERLINK \l "_Toc17965" </w:instrText>
          </w:r>
          <w:r>
            <w:fldChar w:fldCharType="separate"/>
          </w:r>
          <w:r>
            <w:rPr>
              <w:rFonts w:ascii="Times New Roman" w:hAnsi="Times New Roman" w:eastAsia="黑体" w:cs="Times New Roman"/>
              <w:kern w:val="2"/>
              <w:szCs w:val="21"/>
            </w:rPr>
            <w:t>4.2 特殊使用条件</w:t>
          </w:r>
          <w:r>
            <w:tab/>
          </w:r>
          <w:r>
            <w:fldChar w:fldCharType="begin"/>
          </w:r>
          <w:r>
            <w:instrText xml:space="preserve"> PAGEREF _Toc17965 \h </w:instrText>
          </w:r>
          <w:r>
            <w:fldChar w:fldCharType="separate"/>
          </w:r>
          <w:r>
            <w:t>8</w:t>
          </w:r>
          <w:r>
            <w:fldChar w:fldCharType="end"/>
          </w:r>
          <w:r>
            <w:fldChar w:fldCharType="end"/>
          </w:r>
        </w:p>
        <w:p w14:paraId="006332D1">
          <w:pPr>
            <w:pStyle w:val="12"/>
            <w:tabs>
              <w:tab w:val="right" w:leader="dot" w:pos="9072"/>
            </w:tabs>
            <w:rPr>
              <w:rFonts w:hint="eastAsia"/>
            </w:rPr>
          </w:pPr>
          <w:r>
            <w:fldChar w:fldCharType="begin"/>
          </w:r>
          <w:r>
            <w:instrText xml:space="preserve"> HYPERLINK \l "_Toc28333" </w:instrText>
          </w:r>
          <w:r>
            <w:fldChar w:fldCharType="separate"/>
          </w:r>
          <w:r>
            <w:rPr>
              <w:rFonts w:ascii="Times New Roman" w:hAnsi="Times New Roman" w:eastAsia="黑体" w:cs="Times New Roman"/>
              <w:bCs/>
              <w:kern w:val="2"/>
              <w:szCs w:val="21"/>
            </w:rPr>
            <w:t>5 技术要求</w:t>
          </w:r>
          <w:r>
            <w:tab/>
          </w:r>
          <w:r>
            <w:fldChar w:fldCharType="begin"/>
          </w:r>
          <w:r>
            <w:instrText xml:space="preserve"> PAGEREF _Toc28333 \h </w:instrText>
          </w:r>
          <w:r>
            <w:fldChar w:fldCharType="separate"/>
          </w:r>
          <w:r>
            <w:t>8</w:t>
          </w:r>
          <w:r>
            <w:fldChar w:fldCharType="end"/>
          </w:r>
          <w:r>
            <w:fldChar w:fldCharType="end"/>
          </w:r>
        </w:p>
        <w:p w14:paraId="78A13492">
          <w:pPr>
            <w:pStyle w:val="13"/>
            <w:tabs>
              <w:tab w:val="right" w:leader="dot" w:pos="9072"/>
            </w:tabs>
            <w:ind w:left="440"/>
            <w:rPr>
              <w:rFonts w:hint="eastAsia"/>
            </w:rPr>
          </w:pPr>
          <w:r>
            <w:fldChar w:fldCharType="begin"/>
          </w:r>
          <w:r>
            <w:instrText xml:space="preserve"> HYPERLINK \l "_Toc18965" </w:instrText>
          </w:r>
          <w:r>
            <w:fldChar w:fldCharType="separate"/>
          </w:r>
          <w:r>
            <w:rPr>
              <w:rFonts w:hint="eastAsia" w:ascii="Times New Roman" w:hAnsi="Times New Roman" w:eastAsia="黑体" w:cs="Times New Roman"/>
              <w:bCs/>
              <w:kern w:val="2"/>
              <w:szCs w:val="21"/>
            </w:rPr>
            <w:t>5.1 飞行器技术要求</w:t>
          </w:r>
          <w:r>
            <w:tab/>
          </w:r>
          <w:r>
            <w:fldChar w:fldCharType="begin"/>
          </w:r>
          <w:r>
            <w:instrText xml:space="preserve"> PAGEREF _Toc18965 \h </w:instrText>
          </w:r>
          <w:r>
            <w:fldChar w:fldCharType="separate"/>
          </w:r>
          <w:r>
            <w:t>8</w:t>
          </w:r>
          <w:r>
            <w:fldChar w:fldCharType="end"/>
          </w:r>
          <w:r>
            <w:fldChar w:fldCharType="end"/>
          </w:r>
        </w:p>
        <w:p w14:paraId="5B6AAB2B">
          <w:pPr>
            <w:pStyle w:val="13"/>
            <w:tabs>
              <w:tab w:val="right" w:leader="dot" w:pos="9072"/>
            </w:tabs>
            <w:ind w:left="440"/>
            <w:rPr>
              <w:rFonts w:hint="eastAsia"/>
            </w:rPr>
          </w:pPr>
          <w:r>
            <w:fldChar w:fldCharType="begin"/>
          </w:r>
          <w:r>
            <w:instrText xml:space="preserve"> HYPERLINK \l "_Toc30867" </w:instrText>
          </w:r>
          <w:r>
            <w:fldChar w:fldCharType="separate"/>
          </w:r>
          <w:r>
            <w:rPr>
              <w:rFonts w:hint="eastAsia" w:ascii="Times New Roman" w:hAnsi="Times New Roman" w:eastAsia="黑体" w:cs="Times New Roman"/>
              <w:bCs/>
              <w:kern w:val="2"/>
              <w:szCs w:val="21"/>
            </w:rPr>
            <w:t>5.2 遥控器技术要求</w:t>
          </w:r>
          <w:r>
            <w:tab/>
          </w:r>
          <w:r>
            <w:fldChar w:fldCharType="begin"/>
          </w:r>
          <w:r>
            <w:instrText xml:space="preserve"> PAGEREF _Toc30867 \h </w:instrText>
          </w:r>
          <w:r>
            <w:fldChar w:fldCharType="separate"/>
          </w:r>
          <w:r>
            <w:t>9</w:t>
          </w:r>
          <w:r>
            <w:fldChar w:fldCharType="end"/>
          </w:r>
          <w:r>
            <w:fldChar w:fldCharType="end"/>
          </w:r>
        </w:p>
        <w:p w14:paraId="263568AA">
          <w:pPr>
            <w:pStyle w:val="13"/>
            <w:tabs>
              <w:tab w:val="right" w:leader="dot" w:pos="9072"/>
            </w:tabs>
            <w:ind w:left="440"/>
            <w:rPr>
              <w:rFonts w:hint="eastAsia"/>
            </w:rPr>
          </w:pPr>
          <w:r>
            <w:fldChar w:fldCharType="begin"/>
          </w:r>
          <w:r>
            <w:instrText xml:space="preserve"> HYPERLINK \l "_Toc11434" </w:instrText>
          </w:r>
          <w:r>
            <w:fldChar w:fldCharType="separate"/>
          </w:r>
          <w:r>
            <w:rPr>
              <w:rFonts w:hint="eastAsia" w:ascii="Times New Roman" w:hAnsi="Times New Roman" w:eastAsia="黑体" w:cs="Times New Roman"/>
              <w:bCs/>
              <w:kern w:val="2"/>
              <w:szCs w:val="21"/>
            </w:rPr>
            <w:t>5.3 电池技术要求</w:t>
          </w:r>
          <w:r>
            <w:tab/>
          </w:r>
          <w:r>
            <w:fldChar w:fldCharType="begin"/>
          </w:r>
          <w:r>
            <w:instrText xml:space="preserve"> PAGEREF _Toc11434 \h </w:instrText>
          </w:r>
          <w:r>
            <w:fldChar w:fldCharType="separate"/>
          </w:r>
          <w:r>
            <w:t>9</w:t>
          </w:r>
          <w:r>
            <w:fldChar w:fldCharType="end"/>
          </w:r>
          <w:r>
            <w:fldChar w:fldCharType="end"/>
          </w:r>
        </w:p>
        <w:p w14:paraId="69FD05A4">
          <w:pPr>
            <w:pStyle w:val="13"/>
            <w:tabs>
              <w:tab w:val="right" w:leader="dot" w:pos="9072"/>
            </w:tabs>
            <w:ind w:left="440"/>
            <w:rPr>
              <w:rFonts w:hint="eastAsia"/>
            </w:rPr>
          </w:pPr>
          <w:r>
            <w:fldChar w:fldCharType="begin"/>
          </w:r>
          <w:r>
            <w:instrText xml:space="preserve"> HYPERLINK \l "_Toc3232" </w:instrText>
          </w:r>
          <w:r>
            <w:fldChar w:fldCharType="separate"/>
          </w:r>
          <w:r>
            <w:rPr>
              <w:rFonts w:hint="eastAsia" w:ascii="Times New Roman" w:hAnsi="Times New Roman" w:eastAsia="黑体" w:cs="Times New Roman"/>
              <w:bCs/>
              <w:kern w:val="2"/>
              <w:szCs w:val="21"/>
            </w:rPr>
            <w:t>5.4 图传技术要求</w:t>
          </w:r>
          <w:r>
            <w:tab/>
          </w:r>
          <w:r>
            <w:fldChar w:fldCharType="begin"/>
          </w:r>
          <w:r>
            <w:instrText xml:space="preserve"> PAGEREF _Toc3232 \h </w:instrText>
          </w:r>
          <w:r>
            <w:fldChar w:fldCharType="separate"/>
          </w:r>
          <w:r>
            <w:t>9</w:t>
          </w:r>
          <w:r>
            <w:fldChar w:fldCharType="end"/>
          </w:r>
          <w:r>
            <w:fldChar w:fldCharType="end"/>
          </w:r>
        </w:p>
        <w:p w14:paraId="2ACE5426">
          <w:pPr>
            <w:pStyle w:val="13"/>
            <w:tabs>
              <w:tab w:val="right" w:leader="dot" w:pos="9072"/>
            </w:tabs>
            <w:ind w:left="440"/>
            <w:rPr>
              <w:rFonts w:hint="eastAsia"/>
            </w:rPr>
          </w:pPr>
          <w:r>
            <w:fldChar w:fldCharType="begin"/>
          </w:r>
          <w:r>
            <w:instrText xml:space="preserve"> HYPERLINK \l "_Toc1857" </w:instrText>
          </w:r>
          <w:r>
            <w:fldChar w:fldCharType="separate"/>
          </w:r>
          <w:r>
            <w:rPr>
              <w:rFonts w:hint="eastAsia" w:ascii="Times New Roman" w:hAnsi="Times New Roman" w:eastAsia="黑体" w:cs="Times New Roman"/>
              <w:bCs/>
              <w:kern w:val="2"/>
              <w:szCs w:val="21"/>
            </w:rPr>
            <w:t>5.5 云台相机（除障专用）技术要求</w:t>
          </w:r>
          <w:r>
            <w:tab/>
          </w:r>
          <w:r>
            <w:fldChar w:fldCharType="begin"/>
          </w:r>
          <w:r>
            <w:instrText xml:space="preserve"> PAGEREF _Toc1857 \h </w:instrText>
          </w:r>
          <w:r>
            <w:fldChar w:fldCharType="separate"/>
          </w:r>
          <w:r>
            <w:t>9</w:t>
          </w:r>
          <w:r>
            <w:fldChar w:fldCharType="end"/>
          </w:r>
          <w:r>
            <w:fldChar w:fldCharType="end"/>
          </w:r>
        </w:p>
        <w:p w14:paraId="487EFB0A">
          <w:pPr>
            <w:pStyle w:val="13"/>
            <w:tabs>
              <w:tab w:val="right" w:leader="dot" w:pos="9072"/>
            </w:tabs>
            <w:ind w:left="440"/>
            <w:rPr>
              <w:rFonts w:hint="eastAsia"/>
            </w:rPr>
          </w:pPr>
          <w:r>
            <w:fldChar w:fldCharType="begin"/>
          </w:r>
          <w:r>
            <w:instrText xml:space="preserve"> HYPERLINK \l "_Toc23112" </w:instrText>
          </w:r>
          <w:r>
            <w:fldChar w:fldCharType="separate"/>
          </w:r>
          <w:r>
            <w:rPr>
              <w:rFonts w:hint="eastAsia" w:ascii="Times New Roman" w:hAnsi="Times New Roman" w:eastAsia="黑体" w:cs="Times New Roman"/>
              <w:bCs/>
              <w:kern w:val="2"/>
              <w:szCs w:val="21"/>
            </w:rPr>
            <w:t>5.6 除障装置（核心除树障）技术要求</w:t>
          </w:r>
          <w:r>
            <w:tab/>
          </w:r>
          <w:r>
            <w:fldChar w:fldCharType="begin"/>
          </w:r>
          <w:r>
            <w:instrText xml:space="preserve"> PAGEREF _Toc23112 \h </w:instrText>
          </w:r>
          <w:r>
            <w:fldChar w:fldCharType="separate"/>
          </w:r>
          <w:r>
            <w:t>10</w:t>
          </w:r>
          <w:r>
            <w:fldChar w:fldCharType="end"/>
          </w:r>
          <w:r>
            <w:fldChar w:fldCharType="end"/>
          </w:r>
        </w:p>
        <w:p w14:paraId="4A71822D">
          <w:pPr>
            <w:pStyle w:val="13"/>
            <w:tabs>
              <w:tab w:val="right" w:leader="dot" w:pos="9072"/>
            </w:tabs>
            <w:ind w:left="440"/>
            <w:rPr>
              <w:rFonts w:hint="eastAsia"/>
            </w:rPr>
          </w:pPr>
          <w:r>
            <w:fldChar w:fldCharType="begin"/>
          </w:r>
          <w:r>
            <w:instrText xml:space="preserve"> HYPERLINK \l "_Toc8482" </w:instrText>
          </w:r>
          <w:r>
            <w:fldChar w:fldCharType="separate"/>
          </w:r>
          <w:r>
            <w:rPr>
              <w:rFonts w:hint="eastAsia" w:ascii="Times New Roman" w:hAnsi="Times New Roman" w:eastAsia="黑体" w:cs="Times New Roman"/>
              <w:bCs/>
              <w:kern w:val="2"/>
              <w:szCs w:val="21"/>
            </w:rPr>
            <w:t>5.7 运输箱技术要求</w:t>
          </w:r>
          <w:r>
            <w:tab/>
          </w:r>
          <w:r>
            <w:fldChar w:fldCharType="begin"/>
          </w:r>
          <w:r>
            <w:instrText xml:space="preserve"> PAGEREF _Toc8482 \h </w:instrText>
          </w:r>
          <w:r>
            <w:fldChar w:fldCharType="separate"/>
          </w:r>
          <w:r>
            <w:t>10</w:t>
          </w:r>
          <w:r>
            <w:fldChar w:fldCharType="end"/>
          </w:r>
          <w:r>
            <w:fldChar w:fldCharType="end"/>
          </w:r>
        </w:p>
        <w:p w14:paraId="7F9BE67D">
          <w:pPr>
            <w:pStyle w:val="13"/>
            <w:tabs>
              <w:tab w:val="right" w:leader="dot" w:pos="9072"/>
            </w:tabs>
            <w:ind w:left="440"/>
            <w:rPr>
              <w:rFonts w:hint="eastAsia"/>
            </w:rPr>
          </w:pPr>
          <w:r>
            <w:fldChar w:fldCharType="begin"/>
          </w:r>
          <w:r>
            <w:instrText xml:space="preserve"> HYPERLINK \l "_Toc12977" </w:instrText>
          </w:r>
          <w:r>
            <w:fldChar w:fldCharType="separate"/>
          </w:r>
          <w:r>
            <w:rPr>
              <w:rFonts w:hint="eastAsia" w:ascii="Times New Roman" w:hAnsi="Times New Roman" w:eastAsia="黑体" w:cs="Times New Roman"/>
              <w:bCs/>
              <w:kern w:val="2"/>
              <w:szCs w:val="21"/>
            </w:rPr>
            <w:t>5.8 网络安全要求</w:t>
          </w:r>
          <w:r>
            <w:tab/>
          </w:r>
          <w:r>
            <w:fldChar w:fldCharType="begin"/>
          </w:r>
          <w:r>
            <w:instrText xml:space="preserve"> PAGEREF _Toc12977 \h </w:instrText>
          </w:r>
          <w:r>
            <w:fldChar w:fldCharType="separate"/>
          </w:r>
          <w:r>
            <w:t>10</w:t>
          </w:r>
          <w:r>
            <w:fldChar w:fldCharType="end"/>
          </w:r>
          <w:r>
            <w:fldChar w:fldCharType="end"/>
          </w:r>
        </w:p>
        <w:p w14:paraId="1AE64A11">
          <w:pPr>
            <w:pStyle w:val="12"/>
            <w:tabs>
              <w:tab w:val="right" w:leader="dot" w:pos="9072"/>
            </w:tabs>
            <w:rPr>
              <w:rFonts w:hint="eastAsia"/>
            </w:rPr>
          </w:pPr>
          <w:r>
            <w:fldChar w:fldCharType="begin"/>
          </w:r>
          <w:r>
            <w:instrText xml:space="preserve"> HYPERLINK \l "_Toc6620" </w:instrText>
          </w:r>
          <w:r>
            <w:fldChar w:fldCharType="separate"/>
          </w:r>
          <w:r>
            <w:rPr>
              <w:rFonts w:ascii="Times New Roman" w:hAnsi="Times New Roman" w:eastAsia="黑体" w:cs="Times New Roman"/>
              <w:bCs/>
              <w:kern w:val="2"/>
              <w:szCs w:val="21"/>
            </w:rPr>
            <w:t>6 试验项目及要求</w:t>
          </w:r>
          <w:r>
            <w:tab/>
          </w:r>
          <w:r>
            <w:fldChar w:fldCharType="begin"/>
          </w:r>
          <w:r>
            <w:instrText xml:space="preserve"> PAGEREF _Toc6620 \h </w:instrText>
          </w:r>
          <w:r>
            <w:fldChar w:fldCharType="separate"/>
          </w:r>
          <w:r>
            <w:t>11</w:t>
          </w:r>
          <w:r>
            <w:fldChar w:fldCharType="end"/>
          </w:r>
          <w:r>
            <w:fldChar w:fldCharType="end"/>
          </w:r>
        </w:p>
        <w:p w14:paraId="0FB41D02">
          <w:pPr>
            <w:pStyle w:val="13"/>
            <w:tabs>
              <w:tab w:val="right" w:leader="dot" w:pos="9072"/>
            </w:tabs>
            <w:ind w:left="440"/>
            <w:rPr>
              <w:rFonts w:hint="eastAsia"/>
            </w:rPr>
          </w:pPr>
          <w:r>
            <w:fldChar w:fldCharType="begin"/>
          </w:r>
          <w:r>
            <w:instrText xml:space="preserve"> HYPERLINK \l "_Toc26182" </w:instrText>
          </w:r>
          <w:r>
            <w:fldChar w:fldCharType="separate"/>
          </w:r>
          <w:r>
            <w:rPr>
              <w:rFonts w:hint="eastAsia" w:ascii="Times New Roman" w:hAnsi="Times New Roman" w:eastAsia="黑体" w:cs="Times New Roman"/>
              <w:bCs/>
              <w:kern w:val="2"/>
              <w:szCs w:val="21"/>
            </w:rPr>
            <w:t>6.1 结构和外观检查</w:t>
          </w:r>
          <w:r>
            <w:tab/>
          </w:r>
          <w:r>
            <w:fldChar w:fldCharType="begin"/>
          </w:r>
          <w:r>
            <w:instrText xml:space="preserve"> PAGEREF _Toc26182 \h </w:instrText>
          </w:r>
          <w:r>
            <w:fldChar w:fldCharType="separate"/>
          </w:r>
          <w:r>
            <w:t>11</w:t>
          </w:r>
          <w:r>
            <w:fldChar w:fldCharType="end"/>
          </w:r>
          <w:r>
            <w:fldChar w:fldCharType="end"/>
          </w:r>
        </w:p>
        <w:p w14:paraId="0BC99D5D">
          <w:pPr>
            <w:pStyle w:val="13"/>
            <w:tabs>
              <w:tab w:val="right" w:leader="dot" w:pos="9072"/>
            </w:tabs>
            <w:ind w:left="440"/>
            <w:rPr>
              <w:rFonts w:hint="eastAsia"/>
            </w:rPr>
          </w:pPr>
          <w:r>
            <w:fldChar w:fldCharType="begin"/>
          </w:r>
          <w:r>
            <w:instrText xml:space="preserve"> HYPERLINK \l "_Toc15091" </w:instrText>
          </w:r>
          <w:r>
            <w:fldChar w:fldCharType="separate"/>
          </w:r>
          <w:r>
            <w:rPr>
              <w:rFonts w:ascii="Times New Roman" w:hAnsi="Times New Roman" w:eastAsia="黑体" w:cs="Times New Roman"/>
              <w:bCs/>
              <w:kern w:val="2"/>
              <w:szCs w:val="21"/>
            </w:rPr>
            <w:t>6.2 环境试验</w:t>
          </w:r>
          <w:r>
            <w:tab/>
          </w:r>
          <w:r>
            <w:fldChar w:fldCharType="begin"/>
          </w:r>
          <w:r>
            <w:instrText xml:space="preserve"> PAGEREF _Toc15091 \h </w:instrText>
          </w:r>
          <w:r>
            <w:fldChar w:fldCharType="separate"/>
          </w:r>
          <w:r>
            <w:t>11</w:t>
          </w:r>
          <w:r>
            <w:fldChar w:fldCharType="end"/>
          </w:r>
          <w:r>
            <w:fldChar w:fldCharType="end"/>
          </w:r>
        </w:p>
        <w:p w14:paraId="50A69EC6">
          <w:pPr>
            <w:pStyle w:val="13"/>
            <w:tabs>
              <w:tab w:val="right" w:leader="dot" w:pos="9072"/>
            </w:tabs>
            <w:ind w:left="440"/>
            <w:rPr>
              <w:rFonts w:hint="eastAsia"/>
            </w:rPr>
          </w:pPr>
          <w:r>
            <w:fldChar w:fldCharType="begin"/>
          </w:r>
          <w:r>
            <w:instrText xml:space="preserve"> HYPERLINK \l "_Toc4122" </w:instrText>
          </w:r>
          <w:r>
            <w:fldChar w:fldCharType="separate"/>
          </w:r>
          <w:r>
            <w:rPr>
              <w:rFonts w:ascii="Times New Roman" w:hAnsi="Times New Roman" w:eastAsia="黑体" w:cs="Times New Roman"/>
              <w:bCs/>
              <w:kern w:val="2"/>
              <w:szCs w:val="21"/>
            </w:rPr>
            <w:t>6.3 功能试验</w:t>
          </w:r>
          <w:r>
            <w:tab/>
          </w:r>
          <w:r>
            <w:fldChar w:fldCharType="begin"/>
          </w:r>
          <w:r>
            <w:instrText xml:space="preserve"> PAGEREF _Toc4122 \h </w:instrText>
          </w:r>
          <w:r>
            <w:fldChar w:fldCharType="separate"/>
          </w:r>
          <w:r>
            <w:t>12</w:t>
          </w:r>
          <w:r>
            <w:fldChar w:fldCharType="end"/>
          </w:r>
          <w:r>
            <w:fldChar w:fldCharType="end"/>
          </w:r>
        </w:p>
        <w:p w14:paraId="2325EF4B">
          <w:pPr>
            <w:pStyle w:val="13"/>
            <w:tabs>
              <w:tab w:val="right" w:leader="dot" w:pos="9072"/>
            </w:tabs>
            <w:ind w:left="440"/>
            <w:rPr>
              <w:rFonts w:hint="eastAsia"/>
            </w:rPr>
          </w:pPr>
          <w:r>
            <w:fldChar w:fldCharType="begin"/>
          </w:r>
          <w:r>
            <w:instrText xml:space="preserve"> HYPERLINK \l "_Toc21581" </w:instrText>
          </w:r>
          <w:r>
            <w:fldChar w:fldCharType="separate"/>
          </w:r>
          <w:r>
            <w:rPr>
              <w:rFonts w:hint="eastAsia" w:ascii="Times New Roman" w:hAnsi="Times New Roman" w:eastAsia="黑体" w:cs="Times New Roman"/>
              <w:bCs/>
              <w:kern w:val="2"/>
              <w:szCs w:val="21"/>
            </w:rPr>
            <w:t>6.4 电磁兼容试验</w:t>
          </w:r>
          <w:r>
            <w:tab/>
          </w:r>
          <w:r>
            <w:fldChar w:fldCharType="begin"/>
          </w:r>
          <w:r>
            <w:instrText xml:space="preserve"> PAGEREF _Toc21581 \h </w:instrText>
          </w:r>
          <w:r>
            <w:fldChar w:fldCharType="separate"/>
          </w:r>
          <w:r>
            <w:t>14</w:t>
          </w:r>
          <w:r>
            <w:fldChar w:fldCharType="end"/>
          </w:r>
          <w:r>
            <w:fldChar w:fldCharType="end"/>
          </w:r>
        </w:p>
        <w:p w14:paraId="0159D02A">
          <w:pPr>
            <w:pStyle w:val="13"/>
            <w:tabs>
              <w:tab w:val="right" w:leader="dot" w:pos="9072"/>
            </w:tabs>
            <w:ind w:left="440"/>
            <w:rPr>
              <w:rFonts w:hint="eastAsia"/>
            </w:rPr>
          </w:pPr>
          <w:r>
            <w:fldChar w:fldCharType="begin"/>
          </w:r>
          <w:r>
            <w:instrText xml:space="preserve"> HYPERLINK \l "_Toc17709" </w:instrText>
          </w:r>
          <w:r>
            <w:fldChar w:fldCharType="separate"/>
          </w:r>
          <w:r>
            <w:rPr>
              <w:rFonts w:hint="eastAsia" w:ascii="Times New Roman" w:hAnsi="Times New Roman" w:eastAsia="黑体" w:cs="Times New Roman"/>
              <w:bCs/>
              <w:kern w:val="2"/>
              <w:szCs w:val="21"/>
            </w:rPr>
            <w:t>6.5 性能试验</w:t>
          </w:r>
          <w:r>
            <w:tab/>
          </w:r>
          <w:r>
            <w:fldChar w:fldCharType="begin"/>
          </w:r>
          <w:r>
            <w:instrText xml:space="preserve"> PAGEREF _Toc17709 \h </w:instrText>
          </w:r>
          <w:r>
            <w:fldChar w:fldCharType="separate"/>
          </w:r>
          <w:r>
            <w:t>15</w:t>
          </w:r>
          <w:r>
            <w:fldChar w:fldCharType="end"/>
          </w:r>
          <w:r>
            <w:fldChar w:fldCharType="end"/>
          </w:r>
        </w:p>
        <w:p w14:paraId="6D938C69">
          <w:pPr>
            <w:pStyle w:val="12"/>
            <w:tabs>
              <w:tab w:val="right" w:leader="dot" w:pos="9072"/>
            </w:tabs>
            <w:rPr>
              <w:rFonts w:hint="eastAsia"/>
            </w:rPr>
          </w:pPr>
          <w:r>
            <w:fldChar w:fldCharType="begin"/>
          </w:r>
          <w:r>
            <w:instrText xml:space="preserve"> HYPERLINK \l "_Toc24784" </w:instrText>
          </w:r>
          <w:r>
            <w:fldChar w:fldCharType="separate"/>
          </w:r>
          <w:r>
            <w:rPr>
              <w:rFonts w:ascii="Times New Roman" w:hAnsi="Times New Roman" w:eastAsia="黑体" w:cs="Times New Roman"/>
              <w:bCs/>
              <w:kern w:val="2"/>
              <w:szCs w:val="21"/>
            </w:rPr>
            <w:t>7 检验规则</w:t>
          </w:r>
          <w:r>
            <w:tab/>
          </w:r>
          <w:r>
            <w:fldChar w:fldCharType="begin"/>
          </w:r>
          <w:r>
            <w:instrText xml:space="preserve"> PAGEREF _Toc24784 \h </w:instrText>
          </w:r>
          <w:r>
            <w:fldChar w:fldCharType="separate"/>
          </w:r>
          <w:r>
            <w:t>15</w:t>
          </w:r>
          <w:r>
            <w:fldChar w:fldCharType="end"/>
          </w:r>
          <w:r>
            <w:fldChar w:fldCharType="end"/>
          </w:r>
        </w:p>
        <w:p w14:paraId="507E77FA">
          <w:pPr>
            <w:pStyle w:val="12"/>
            <w:tabs>
              <w:tab w:val="right" w:leader="dot" w:pos="9072"/>
            </w:tabs>
            <w:rPr>
              <w:rFonts w:hint="eastAsia"/>
            </w:rPr>
          </w:pPr>
          <w:r>
            <w:fldChar w:fldCharType="begin"/>
          </w:r>
          <w:r>
            <w:instrText xml:space="preserve"> HYPERLINK \l "_Toc3857" </w:instrText>
          </w:r>
          <w:r>
            <w:fldChar w:fldCharType="separate"/>
          </w:r>
          <w:r>
            <w:rPr>
              <w:rFonts w:ascii="Times New Roman" w:hAnsi="Times New Roman" w:eastAsia="黑体" w:cs="Times New Roman"/>
              <w:bCs/>
              <w:kern w:val="2"/>
              <w:szCs w:val="21"/>
            </w:rPr>
            <w:t>8 技术联络、技术培训及售后服务</w:t>
          </w:r>
          <w:r>
            <w:tab/>
          </w:r>
          <w:r>
            <w:fldChar w:fldCharType="begin"/>
          </w:r>
          <w:r>
            <w:instrText xml:space="preserve"> PAGEREF _Toc3857 \h </w:instrText>
          </w:r>
          <w:r>
            <w:fldChar w:fldCharType="separate"/>
          </w:r>
          <w:r>
            <w:t>17</w:t>
          </w:r>
          <w:r>
            <w:fldChar w:fldCharType="end"/>
          </w:r>
          <w:r>
            <w:fldChar w:fldCharType="end"/>
          </w:r>
        </w:p>
        <w:p w14:paraId="1ECDA37D">
          <w:pPr>
            <w:pStyle w:val="13"/>
            <w:tabs>
              <w:tab w:val="right" w:leader="dot" w:pos="9072"/>
            </w:tabs>
            <w:ind w:left="440"/>
            <w:rPr>
              <w:rFonts w:hint="eastAsia"/>
            </w:rPr>
          </w:pPr>
          <w:r>
            <w:fldChar w:fldCharType="begin"/>
          </w:r>
          <w:r>
            <w:instrText xml:space="preserve"> HYPERLINK \l "_Toc23810" </w:instrText>
          </w:r>
          <w:r>
            <w:fldChar w:fldCharType="separate"/>
          </w:r>
          <w:r>
            <w:rPr>
              <w:rFonts w:hint="eastAsia" w:ascii="Times New Roman" w:hAnsi="Times New Roman" w:eastAsia="黑体" w:cs="Times New Roman"/>
              <w:bCs/>
              <w:kern w:val="2"/>
              <w:szCs w:val="21"/>
            </w:rPr>
            <w:t>8.1 技术培训</w:t>
          </w:r>
          <w:r>
            <w:tab/>
          </w:r>
          <w:r>
            <w:fldChar w:fldCharType="begin"/>
          </w:r>
          <w:r>
            <w:instrText xml:space="preserve"> PAGEREF _Toc23810 \h </w:instrText>
          </w:r>
          <w:r>
            <w:fldChar w:fldCharType="separate"/>
          </w:r>
          <w:r>
            <w:t>17</w:t>
          </w:r>
          <w:r>
            <w:fldChar w:fldCharType="end"/>
          </w:r>
          <w:r>
            <w:fldChar w:fldCharType="end"/>
          </w:r>
        </w:p>
        <w:p w14:paraId="5205BAF1">
          <w:pPr>
            <w:pStyle w:val="13"/>
            <w:tabs>
              <w:tab w:val="right" w:leader="dot" w:pos="9072"/>
            </w:tabs>
            <w:ind w:left="440"/>
            <w:rPr>
              <w:rFonts w:hint="eastAsia"/>
            </w:rPr>
          </w:pPr>
          <w:r>
            <w:fldChar w:fldCharType="begin"/>
          </w:r>
          <w:r>
            <w:instrText xml:space="preserve"> HYPERLINK \l "_Toc5251" </w:instrText>
          </w:r>
          <w:r>
            <w:fldChar w:fldCharType="separate"/>
          </w:r>
          <w:r>
            <w:rPr>
              <w:rFonts w:hint="eastAsia" w:ascii="Times New Roman" w:hAnsi="Times New Roman" w:eastAsia="黑体" w:cs="Times New Roman"/>
              <w:bCs/>
              <w:kern w:val="2"/>
              <w:szCs w:val="21"/>
            </w:rPr>
            <w:t>8.2 现场及远程技术服务</w:t>
          </w:r>
          <w:r>
            <w:tab/>
          </w:r>
          <w:r>
            <w:fldChar w:fldCharType="begin"/>
          </w:r>
          <w:r>
            <w:instrText xml:space="preserve"> PAGEREF _Toc5251 \h </w:instrText>
          </w:r>
          <w:r>
            <w:fldChar w:fldCharType="separate"/>
          </w:r>
          <w:r>
            <w:t>18</w:t>
          </w:r>
          <w:r>
            <w:fldChar w:fldCharType="end"/>
          </w:r>
          <w:r>
            <w:fldChar w:fldCharType="end"/>
          </w:r>
        </w:p>
        <w:p w14:paraId="40E182CC">
          <w:pPr>
            <w:pStyle w:val="13"/>
            <w:tabs>
              <w:tab w:val="right" w:leader="dot" w:pos="9072"/>
            </w:tabs>
            <w:ind w:left="440"/>
            <w:rPr>
              <w:rFonts w:hint="eastAsia"/>
            </w:rPr>
          </w:pPr>
          <w:r>
            <w:fldChar w:fldCharType="begin"/>
          </w:r>
          <w:r>
            <w:instrText xml:space="preserve"> HYPERLINK \l "_Toc18358" </w:instrText>
          </w:r>
          <w:r>
            <w:fldChar w:fldCharType="separate"/>
          </w:r>
          <w:r>
            <w:rPr>
              <w:rFonts w:ascii="Times New Roman" w:hAnsi="Times New Roman" w:eastAsia="黑体" w:cs="Times New Roman"/>
              <w:bCs/>
              <w:kern w:val="2"/>
              <w:szCs w:val="21"/>
            </w:rPr>
            <w:t>8.3 售后服务</w:t>
          </w:r>
          <w:r>
            <w:tab/>
          </w:r>
          <w:r>
            <w:fldChar w:fldCharType="begin"/>
          </w:r>
          <w:r>
            <w:instrText xml:space="preserve"> PAGEREF _Toc18358 \h </w:instrText>
          </w:r>
          <w:r>
            <w:fldChar w:fldCharType="separate"/>
          </w:r>
          <w:r>
            <w:t>18</w:t>
          </w:r>
          <w:r>
            <w:fldChar w:fldCharType="end"/>
          </w:r>
          <w:r>
            <w:fldChar w:fldCharType="end"/>
          </w:r>
        </w:p>
        <w:p w14:paraId="26639E62">
          <w:pPr>
            <w:pStyle w:val="12"/>
            <w:tabs>
              <w:tab w:val="right" w:leader="dot" w:pos="9072"/>
            </w:tabs>
            <w:rPr>
              <w:rFonts w:hint="eastAsia"/>
            </w:rPr>
          </w:pPr>
          <w:r>
            <w:fldChar w:fldCharType="begin"/>
          </w:r>
          <w:r>
            <w:instrText xml:space="preserve"> HYPERLINK \l "_Toc10221" </w:instrText>
          </w:r>
          <w:r>
            <w:fldChar w:fldCharType="separate"/>
          </w:r>
          <w:r>
            <w:rPr>
              <w:rFonts w:ascii="Times New Roman" w:hAnsi="Times New Roman" w:eastAsia="黑体" w:cs="Times New Roman"/>
              <w:bCs/>
              <w:kern w:val="2"/>
              <w:szCs w:val="21"/>
            </w:rPr>
            <w:t>9 标志、包装、运输、贮存</w:t>
          </w:r>
          <w:r>
            <w:tab/>
          </w:r>
          <w:r>
            <w:fldChar w:fldCharType="begin"/>
          </w:r>
          <w:r>
            <w:instrText xml:space="preserve"> PAGEREF _Toc10221 \h </w:instrText>
          </w:r>
          <w:r>
            <w:fldChar w:fldCharType="separate"/>
          </w:r>
          <w:r>
            <w:t>18</w:t>
          </w:r>
          <w:r>
            <w:fldChar w:fldCharType="end"/>
          </w:r>
          <w:r>
            <w:fldChar w:fldCharType="end"/>
          </w:r>
        </w:p>
        <w:p w14:paraId="56BFDA03">
          <w:pPr>
            <w:pStyle w:val="13"/>
            <w:tabs>
              <w:tab w:val="right" w:leader="dot" w:pos="9072"/>
            </w:tabs>
            <w:ind w:left="440"/>
            <w:rPr>
              <w:rFonts w:hint="eastAsia"/>
            </w:rPr>
          </w:pPr>
          <w:r>
            <w:fldChar w:fldCharType="begin"/>
          </w:r>
          <w:r>
            <w:instrText xml:space="preserve"> HYPERLINK \l "_Toc17668" </w:instrText>
          </w:r>
          <w:r>
            <w:fldChar w:fldCharType="separate"/>
          </w:r>
          <w:r>
            <w:rPr>
              <w:rFonts w:ascii="Times New Roman" w:hAnsi="Times New Roman" w:eastAsia="黑体" w:cs="Times New Roman"/>
              <w:bCs/>
              <w:kern w:val="2"/>
              <w:szCs w:val="21"/>
            </w:rPr>
            <w:t>9.1 包装</w:t>
          </w:r>
          <w:r>
            <w:tab/>
          </w:r>
          <w:r>
            <w:fldChar w:fldCharType="begin"/>
          </w:r>
          <w:r>
            <w:instrText xml:space="preserve"> PAGEREF _Toc17668 \h </w:instrText>
          </w:r>
          <w:r>
            <w:fldChar w:fldCharType="separate"/>
          </w:r>
          <w:r>
            <w:t>18</w:t>
          </w:r>
          <w:r>
            <w:fldChar w:fldCharType="end"/>
          </w:r>
          <w:r>
            <w:fldChar w:fldCharType="end"/>
          </w:r>
        </w:p>
        <w:p w14:paraId="191B78B6">
          <w:pPr>
            <w:pStyle w:val="13"/>
            <w:tabs>
              <w:tab w:val="right" w:leader="dot" w:pos="9072"/>
            </w:tabs>
            <w:ind w:left="440"/>
            <w:rPr>
              <w:rFonts w:hint="eastAsia"/>
            </w:rPr>
          </w:pPr>
          <w:r>
            <w:fldChar w:fldCharType="begin"/>
          </w:r>
          <w:r>
            <w:instrText xml:space="preserve"> HYPERLINK \l "_Toc29432" </w:instrText>
          </w:r>
          <w:r>
            <w:fldChar w:fldCharType="separate"/>
          </w:r>
          <w:r>
            <w:rPr>
              <w:rFonts w:ascii="Times New Roman" w:hAnsi="Times New Roman" w:eastAsia="黑体" w:cs="Times New Roman"/>
              <w:bCs/>
              <w:kern w:val="2"/>
              <w:szCs w:val="21"/>
            </w:rPr>
            <w:t>9.2 运输</w:t>
          </w:r>
          <w:r>
            <w:tab/>
          </w:r>
          <w:r>
            <w:fldChar w:fldCharType="begin"/>
          </w:r>
          <w:r>
            <w:instrText xml:space="preserve"> PAGEREF _Toc29432 \h </w:instrText>
          </w:r>
          <w:r>
            <w:fldChar w:fldCharType="separate"/>
          </w:r>
          <w:r>
            <w:t>19</w:t>
          </w:r>
          <w:r>
            <w:fldChar w:fldCharType="end"/>
          </w:r>
          <w:r>
            <w:fldChar w:fldCharType="end"/>
          </w:r>
        </w:p>
        <w:p w14:paraId="4DF2ACDE">
          <w:pPr>
            <w:pStyle w:val="13"/>
            <w:tabs>
              <w:tab w:val="right" w:leader="dot" w:pos="9072"/>
            </w:tabs>
            <w:ind w:left="440"/>
            <w:rPr>
              <w:rFonts w:hint="eastAsia"/>
            </w:rPr>
          </w:pPr>
          <w:r>
            <w:fldChar w:fldCharType="begin"/>
          </w:r>
          <w:r>
            <w:instrText xml:space="preserve"> HYPERLINK \l "_Toc24097" </w:instrText>
          </w:r>
          <w:r>
            <w:fldChar w:fldCharType="separate"/>
          </w:r>
          <w:r>
            <w:rPr>
              <w:rFonts w:ascii="Times New Roman" w:hAnsi="Times New Roman" w:eastAsia="黑体" w:cs="Times New Roman"/>
              <w:bCs/>
              <w:kern w:val="2"/>
              <w:szCs w:val="21"/>
            </w:rPr>
            <w:t>9.3 组装指导</w:t>
          </w:r>
          <w:r>
            <w:tab/>
          </w:r>
          <w:r>
            <w:fldChar w:fldCharType="begin"/>
          </w:r>
          <w:r>
            <w:instrText xml:space="preserve"> PAGEREF _Toc24097 \h </w:instrText>
          </w:r>
          <w:r>
            <w:fldChar w:fldCharType="separate"/>
          </w:r>
          <w:r>
            <w:t>19</w:t>
          </w:r>
          <w:r>
            <w:fldChar w:fldCharType="end"/>
          </w:r>
          <w:r>
            <w:fldChar w:fldCharType="end"/>
          </w:r>
        </w:p>
        <w:p w14:paraId="71DE96D0">
          <w:pPr>
            <w:pStyle w:val="13"/>
            <w:tabs>
              <w:tab w:val="right" w:leader="dot" w:pos="9072"/>
            </w:tabs>
            <w:ind w:left="440"/>
            <w:rPr>
              <w:rFonts w:hint="eastAsia"/>
            </w:rPr>
          </w:pPr>
          <w:r>
            <w:fldChar w:fldCharType="begin"/>
          </w:r>
          <w:r>
            <w:instrText xml:space="preserve"> HYPERLINK \l "_Toc28555" </w:instrText>
          </w:r>
          <w:r>
            <w:fldChar w:fldCharType="separate"/>
          </w:r>
          <w:r>
            <w:rPr>
              <w:rFonts w:ascii="Times New Roman" w:hAnsi="Times New Roman" w:eastAsia="黑体" w:cs="Times New Roman"/>
              <w:bCs/>
              <w:kern w:val="2"/>
              <w:szCs w:val="21"/>
            </w:rPr>
            <w:t>9.4 质量保证</w:t>
          </w:r>
          <w:r>
            <w:tab/>
          </w:r>
          <w:r>
            <w:fldChar w:fldCharType="begin"/>
          </w:r>
          <w:r>
            <w:instrText xml:space="preserve"> PAGEREF _Toc28555 \h </w:instrText>
          </w:r>
          <w:r>
            <w:fldChar w:fldCharType="separate"/>
          </w:r>
          <w:r>
            <w:t>19</w:t>
          </w:r>
          <w:r>
            <w:fldChar w:fldCharType="end"/>
          </w:r>
          <w:r>
            <w:fldChar w:fldCharType="end"/>
          </w:r>
        </w:p>
        <w:p w14:paraId="034CA56C">
          <w:pPr>
            <w:pStyle w:val="13"/>
            <w:tabs>
              <w:tab w:val="right" w:leader="dot" w:pos="9072"/>
            </w:tabs>
            <w:ind w:left="440"/>
            <w:rPr>
              <w:rFonts w:hint="eastAsia"/>
            </w:rPr>
          </w:pPr>
          <w:r>
            <w:fldChar w:fldCharType="begin"/>
          </w:r>
          <w:r>
            <w:instrText xml:space="preserve"> HYPERLINK \l "_Toc27855" </w:instrText>
          </w:r>
          <w:r>
            <w:fldChar w:fldCharType="separate"/>
          </w:r>
          <w:r>
            <w:rPr>
              <w:rFonts w:hint="eastAsia" w:ascii="Times New Roman" w:hAnsi="Times New Roman" w:eastAsia="黑体" w:cs="Times New Roman"/>
              <w:bCs/>
              <w:kern w:val="2"/>
              <w:szCs w:val="21"/>
            </w:rPr>
            <w:t>9.5 设备验收</w:t>
          </w:r>
          <w:r>
            <w:tab/>
          </w:r>
          <w:r>
            <w:fldChar w:fldCharType="begin"/>
          </w:r>
          <w:r>
            <w:instrText xml:space="preserve"> PAGEREF _Toc27855 \h </w:instrText>
          </w:r>
          <w:r>
            <w:fldChar w:fldCharType="separate"/>
          </w:r>
          <w:r>
            <w:t>20</w:t>
          </w:r>
          <w:r>
            <w:fldChar w:fldCharType="end"/>
          </w:r>
          <w:r>
            <w:fldChar w:fldCharType="end"/>
          </w:r>
        </w:p>
        <w:p w14:paraId="2E72DD74">
          <w:pPr>
            <w:rPr>
              <w:rFonts w:hint="eastAsia" w:eastAsia="黑体"/>
              <w:color w:val="auto"/>
              <w:spacing w:val="20"/>
              <w:w w:val="135"/>
            </w:rPr>
          </w:pPr>
          <w:r>
            <w:rPr>
              <w:rFonts w:asciiTheme="minorEastAsia" w:hAnsiTheme="minorEastAsia" w:eastAsiaTheme="minorEastAsia"/>
              <w:color w:val="auto"/>
              <w:spacing w:val="20"/>
              <w:w w:val="135"/>
              <w:sz w:val="21"/>
              <w:szCs w:val="21"/>
            </w:rPr>
            <w:fldChar w:fldCharType="end"/>
          </w:r>
        </w:p>
      </w:sdtContent>
    </w:sdt>
    <w:p w14:paraId="07A66DFC">
      <w:pPr>
        <w:rPr>
          <w:rFonts w:hint="eastAsia" w:eastAsia="黑体"/>
          <w:color w:val="auto"/>
          <w:spacing w:val="20"/>
          <w:w w:val="135"/>
        </w:rPr>
      </w:pPr>
      <w:r>
        <w:rPr>
          <w:rFonts w:eastAsia="黑体"/>
          <w:color w:val="auto"/>
          <w:spacing w:val="20"/>
          <w:w w:val="135"/>
        </w:rPr>
        <w:br w:type="page"/>
      </w:r>
    </w:p>
    <w:p w14:paraId="16D60190">
      <w:pPr>
        <w:pStyle w:val="2"/>
        <w:keepNext/>
        <w:keepLines/>
        <w:widowControl w:val="0"/>
        <w:topLinePunct/>
        <w:spacing w:before="0" w:after="0" w:line="480" w:lineRule="auto"/>
        <w:jc w:val="both"/>
        <w:rPr>
          <w:rFonts w:ascii="Times New Roman" w:hAnsi="Times New Roman" w:eastAsia="黑体" w:cs="Times New Roman"/>
          <w:color w:val="auto"/>
          <w:kern w:val="44"/>
          <w:sz w:val="21"/>
          <w:szCs w:val="21"/>
        </w:rPr>
      </w:pPr>
      <w:bookmarkStart w:id="2" w:name="_Toc18032"/>
      <w:bookmarkStart w:id="3" w:name="_Toc5618"/>
      <w:bookmarkStart w:id="4" w:name="_Toc226035276"/>
      <w:r>
        <w:rPr>
          <w:rFonts w:ascii="Times New Roman" w:hAnsi="Times New Roman" w:eastAsia="黑体" w:cs="Times New Roman"/>
          <w:color w:val="auto"/>
          <w:kern w:val="44"/>
          <w:sz w:val="21"/>
          <w:szCs w:val="21"/>
        </w:rPr>
        <w:t>1 总则</w:t>
      </w:r>
      <w:bookmarkEnd w:id="2"/>
      <w:bookmarkEnd w:id="3"/>
      <w:bookmarkEnd w:id="4"/>
    </w:p>
    <w:p w14:paraId="2B06C0D0">
      <w:pPr>
        <w:pStyle w:val="9"/>
        <w:widowControl w:val="0"/>
        <w:spacing w:line="360" w:lineRule="auto"/>
        <w:jc w:val="both"/>
        <w:textAlignment w:val="auto"/>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1.1本技术规范书适用于中国南方电网公司电网设备采购的</w:t>
      </w:r>
      <w:r>
        <w:rPr>
          <w:rFonts w:hint="eastAsia" w:ascii="Times New Roman" w:hAnsi="Times New Roman" w:eastAsia="宋体" w:cs="Times New Roman"/>
          <w:color w:val="auto"/>
          <w:sz w:val="21"/>
          <w:szCs w:val="21"/>
        </w:rPr>
        <w:t>树障修剪无人机</w:t>
      </w:r>
      <w:r>
        <w:rPr>
          <w:rFonts w:ascii="Times New Roman" w:hAnsi="Times New Roman" w:eastAsia="宋体" w:cs="Times New Roman"/>
          <w:color w:val="auto"/>
          <w:sz w:val="21"/>
          <w:szCs w:val="21"/>
        </w:rPr>
        <w:t>，核心功能为架空输电线路通道内直径≤20mm的树枝、藤蔓等树障的安全清除作业，提出了该类装置的功能设计、结构、性能、安装、试验及除树障作业等方面的最低技术要求。</w:t>
      </w:r>
      <w:r>
        <w:rPr>
          <w:rFonts w:hint="eastAsia" w:ascii="Times New Roman" w:hAnsi="Times New Roman" w:eastAsia="宋体" w:cs="Times New Roman"/>
          <w:color w:val="auto"/>
          <w:sz w:val="21"/>
          <w:szCs w:val="21"/>
        </w:rPr>
        <w:t xml:space="preserve"> </w:t>
      </w:r>
    </w:p>
    <w:p w14:paraId="3D1FBAB0">
      <w:pPr>
        <w:pStyle w:val="9"/>
        <w:widowControl w:val="0"/>
        <w:spacing w:line="360" w:lineRule="auto"/>
        <w:jc w:val="both"/>
        <w:textAlignment w:val="auto"/>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1.2本技术条件提出的是最低限度的技术要求。凡本技术条件中未规定，但在相关设备的国家标准、IEC标准或电力行业除障作业专用标准中有规定的规范条文，投标方应按相应标准的条文进行设备设计、制造、试验和安装。对国家有关安全、环保等强制性标准，必须满足其要求。</w:t>
      </w:r>
    </w:p>
    <w:p w14:paraId="0549C496">
      <w:pPr>
        <w:pStyle w:val="9"/>
        <w:widowControl w:val="0"/>
        <w:spacing w:line="360" w:lineRule="auto"/>
        <w:jc w:val="both"/>
        <w:textAlignment w:val="auto"/>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1.3如果投标方没有以书面形式对本规范书的条文提出异议，则意味着投标方提供的设备完全符合本规范书的要求。如有异议，不管多么微小，都应在报价书中以</w:t>
      </w:r>
      <w:r>
        <w:rPr>
          <w:rFonts w:hint="eastAsia" w:ascii="Times New Roman" w:hAnsi="Times New Roman" w:eastAsia="宋体" w:cs="Times New Roman"/>
          <w:color w:val="auto"/>
          <w:sz w:val="21"/>
          <w:szCs w:val="21"/>
        </w:rPr>
        <w:t>“</w:t>
      </w:r>
      <w:r>
        <w:rPr>
          <w:rFonts w:ascii="Times New Roman" w:hAnsi="Times New Roman" w:eastAsia="宋体" w:cs="Times New Roman"/>
          <w:color w:val="auto"/>
          <w:sz w:val="21"/>
          <w:szCs w:val="21"/>
        </w:rPr>
        <w:t>对规范书的意见和同规范书的差异”为标题的专门章节中加以详细描述。</w:t>
      </w:r>
    </w:p>
    <w:p w14:paraId="7A076F60">
      <w:pPr>
        <w:pStyle w:val="9"/>
        <w:widowControl w:val="0"/>
        <w:spacing w:line="360" w:lineRule="auto"/>
        <w:jc w:val="both"/>
        <w:textAlignment w:val="auto"/>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1.4本技术规范书所使用的标准如遇与投标方所执行的标准不一致时，按较高标准执行。</w:t>
      </w:r>
    </w:p>
    <w:p w14:paraId="0A48C19F">
      <w:pPr>
        <w:pStyle w:val="9"/>
        <w:widowControl w:val="0"/>
        <w:spacing w:line="360" w:lineRule="auto"/>
        <w:jc w:val="both"/>
        <w:textAlignment w:val="auto"/>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1.5本技术规范书经招标方、投标方双方确认后作为订货合同的技术附件，与合同正文具有同等的法律效力。</w:t>
      </w:r>
    </w:p>
    <w:p w14:paraId="24389B19">
      <w:pPr>
        <w:pStyle w:val="9"/>
        <w:widowControl w:val="0"/>
        <w:spacing w:line="360" w:lineRule="auto"/>
        <w:jc w:val="both"/>
        <w:textAlignment w:val="auto"/>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1.6投标方在应标技术条件中应如实反映应标产品与本技术条件的技术差异。如果投标方没有提出技术差异，而在执行合同的过程中，招标方发现投标方提供的产品与其应标技术规范的条文存在差异，招标方有权利要求退货，并将对下一年度的评标工作有不同程度的影响。</w:t>
      </w:r>
    </w:p>
    <w:p w14:paraId="2AA2D99D">
      <w:pPr>
        <w:pStyle w:val="9"/>
        <w:widowControl w:val="0"/>
        <w:spacing w:line="360" w:lineRule="auto"/>
        <w:jc w:val="both"/>
        <w:textAlignment w:val="auto"/>
        <w:rPr>
          <w:rFonts w:ascii="Times New Roman" w:hAnsi="Times New Roman" w:eastAsia="宋体" w:cs="Times New Roman"/>
          <w:color w:val="auto"/>
          <w:sz w:val="21"/>
          <w:szCs w:val="21"/>
        </w:rPr>
      </w:pPr>
      <w:r>
        <w:rPr>
          <w:rFonts w:hint="eastAsia" w:hAnsi="宋体" w:eastAsia="宋体" w:cs="宋体"/>
          <w:sz w:val="21"/>
          <w:szCs w:val="21"/>
        </w:rPr>
        <w:t>投标人投标设备的技术参数如与招标书“技术要求”不符，应在“差异表”（附表）中如实澄清，否则视为废标。</w:t>
      </w:r>
    </w:p>
    <w:p w14:paraId="4483131C">
      <w:pPr>
        <w:pStyle w:val="9"/>
        <w:widowControl w:val="0"/>
        <w:spacing w:line="360" w:lineRule="auto"/>
        <w:jc w:val="both"/>
        <w:textAlignment w:val="auto"/>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1.7投标方应在应标技术部分按本技术条件的要求如实详细填写应标设备的标准配置表，并在应标商务部分按此标准配置进行报价，如发现二者有矛盾之处，将对评标工作有不同程度的影响。</w:t>
      </w:r>
    </w:p>
    <w:p w14:paraId="7380E00D">
      <w:pPr>
        <w:pStyle w:val="9"/>
        <w:widowControl w:val="0"/>
        <w:spacing w:line="360" w:lineRule="auto"/>
        <w:jc w:val="both"/>
        <w:textAlignment w:val="auto"/>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1.8投标方应充分理解本技术条件并按本技术条件的具体条款、格式要求填写应标的技术文件，如发现应标的技术文件条款、格式不符合本技术条件的要求，则认为应标不严肃，在评标时将有不同程度的扣分。</w:t>
      </w:r>
    </w:p>
    <w:p w14:paraId="32204C7B">
      <w:pPr>
        <w:pStyle w:val="9"/>
        <w:widowControl w:val="0"/>
        <w:spacing w:line="360" w:lineRule="auto"/>
        <w:jc w:val="both"/>
        <w:textAlignment w:val="auto"/>
        <w:rPr>
          <w:rFonts w:ascii="Times New Roman" w:hAnsi="Times New Roman" w:eastAsia="宋体" w:cs="Times New Roman"/>
          <w:color w:val="auto"/>
          <w:sz w:val="21"/>
          <w:szCs w:val="21"/>
        </w:rPr>
      </w:pPr>
      <w:r>
        <w:rPr>
          <w:rFonts w:hint="eastAsia" w:hAnsi="宋体" w:eastAsia="宋体" w:cs="宋体"/>
          <w:sz w:val="21"/>
          <w:szCs w:val="21"/>
        </w:rPr>
        <w:t>投标人应按照本技术条件书中的要求提供相应文件及响应，如文件不全或不响应，应视为废标。</w:t>
      </w:r>
    </w:p>
    <w:p w14:paraId="1C22EAF8">
      <w:pPr>
        <w:pStyle w:val="9"/>
        <w:widowControl w:val="0"/>
        <w:spacing w:line="360" w:lineRule="auto"/>
        <w:jc w:val="both"/>
        <w:textAlignment w:val="auto"/>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1.9本技术规范书未尽事宜，由招标方、投标方双方协商确定。</w:t>
      </w:r>
    </w:p>
    <w:p w14:paraId="029CEF3C">
      <w:pPr>
        <w:pStyle w:val="9"/>
        <w:widowControl w:val="0"/>
        <w:spacing w:line="360" w:lineRule="auto"/>
        <w:jc w:val="both"/>
        <w:textAlignment w:val="auto"/>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1.10投标方应提供不少于1年的产品质量保证期，其中除障核心部件（机械剪切装置、刀片）质保期不少于1</w:t>
      </w:r>
      <w:r>
        <w:rPr>
          <w:rFonts w:hint="eastAsia" w:ascii="Times New Roman" w:hAnsi="Times New Roman" w:eastAsia="宋体" w:cs="Times New Roman"/>
          <w:color w:val="auto"/>
          <w:sz w:val="21"/>
          <w:szCs w:val="21"/>
        </w:rPr>
        <w:t>2个月</w:t>
      </w:r>
      <w:r>
        <w:rPr>
          <w:rFonts w:ascii="Times New Roman" w:hAnsi="Times New Roman" w:eastAsia="宋体" w:cs="Times New Roman"/>
          <w:color w:val="auto"/>
          <w:sz w:val="21"/>
          <w:szCs w:val="21"/>
        </w:rPr>
        <w:t>。</w:t>
      </w:r>
    </w:p>
    <w:p w14:paraId="59927AAE">
      <w:pPr>
        <w:spacing w:line="360" w:lineRule="auto"/>
        <w:jc w:val="both"/>
        <w:rPr>
          <w:rFonts w:hint="eastAsia" w:ascii="宋体" w:hAnsi="宋体" w:eastAsia="宋体" w:cs="宋体"/>
          <w:sz w:val="21"/>
          <w:szCs w:val="21"/>
        </w:rPr>
      </w:pPr>
      <w:r>
        <w:rPr>
          <w:rFonts w:ascii="Times New Roman" w:hAnsi="Times New Roman" w:eastAsia="宋体" w:cs="Times New Roman"/>
          <w:sz w:val="21"/>
          <w:szCs w:val="21"/>
        </w:rPr>
        <w:t>1.11</w:t>
      </w:r>
      <w:r>
        <w:rPr>
          <w:rFonts w:hint="eastAsia" w:ascii="宋体" w:hAnsi="宋体" w:eastAsia="宋体" w:cs="宋体"/>
          <w:sz w:val="21"/>
          <w:szCs w:val="21"/>
        </w:rPr>
        <w:t>投标人负责提供投标设备的现场测试、调试工作，如向第三方外购设备或配件时，投标人应对质量负责。</w:t>
      </w:r>
    </w:p>
    <w:p w14:paraId="637953A8">
      <w:pPr>
        <w:spacing w:line="360" w:lineRule="auto"/>
        <w:jc w:val="both"/>
        <w:rPr>
          <w:rFonts w:hint="eastAsia" w:ascii="宋体" w:hAnsi="宋体" w:eastAsia="宋体" w:cs="宋体"/>
          <w:sz w:val="21"/>
          <w:szCs w:val="21"/>
        </w:rPr>
      </w:pPr>
      <w:r>
        <w:rPr>
          <w:rFonts w:ascii="Times New Roman" w:hAnsi="Times New Roman" w:eastAsia="宋体" w:cs="Times New Roman"/>
          <w:sz w:val="21"/>
          <w:szCs w:val="21"/>
        </w:rPr>
        <w:t>1.12</w:t>
      </w:r>
      <w:r>
        <w:rPr>
          <w:rFonts w:hint="eastAsia" w:ascii="宋体" w:hAnsi="宋体" w:eastAsia="宋体" w:cs="宋体"/>
          <w:sz w:val="21"/>
          <w:szCs w:val="21"/>
        </w:rPr>
        <w:t>投标人应负责为上述设备提供设备参数、培训、技术服务、质量保证等各方面工作。并提供不低于所供产品技术要求的证书及试验报告。</w:t>
      </w:r>
    </w:p>
    <w:p w14:paraId="408B3AD5">
      <w:pPr>
        <w:spacing w:line="360" w:lineRule="auto"/>
        <w:jc w:val="both"/>
        <w:rPr>
          <w:rFonts w:hint="eastAsia" w:ascii="宋体" w:hAnsi="宋体" w:eastAsia="宋体" w:cs="宋体"/>
          <w:sz w:val="21"/>
          <w:szCs w:val="21"/>
        </w:rPr>
      </w:pPr>
      <w:r>
        <w:rPr>
          <w:rFonts w:hint="eastAsia" w:ascii="Times New Roman" w:hAnsi="Times New Roman" w:eastAsia="宋体" w:cs="Times New Roman"/>
          <w:sz w:val="21"/>
          <w:szCs w:val="21"/>
        </w:rPr>
        <w:t>1.13</w:t>
      </w:r>
      <w:r>
        <w:rPr>
          <w:rFonts w:hint="eastAsia" w:ascii="宋体" w:hAnsi="宋体" w:eastAsia="宋体" w:cs="宋体"/>
          <w:sz w:val="21"/>
          <w:szCs w:val="21"/>
        </w:rPr>
        <w:t>投标人投标设备应在工厂内通过完善、严格的测试检验。</w:t>
      </w:r>
    </w:p>
    <w:p w14:paraId="385CDF50">
      <w:pPr>
        <w:spacing w:line="360" w:lineRule="auto"/>
        <w:jc w:val="both"/>
        <w:rPr>
          <w:rFonts w:hint="eastAsia" w:ascii="宋体" w:hAnsi="宋体" w:eastAsia="宋体" w:cs="宋体"/>
          <w:sz w:val="21"/>
          <w:szCs w:val="21"/>
        </w:rPr>
      </w:pPr>
      <w:r>
        <w:rPr>
          <w:rFonts w:hint="eastAsia" w:ascii="Times New Roman" w:hAnsi="Times New Roman" w:eastAsia="宋体" w:cs="Times New Roman"/>
          <w:sz w:val="21"/>
          <w:szCs w:val="21"/>
        </w:rPr>
        <w:t>1.14</w:t>
      </w:r>
      <w:r>
        <w:rPr>
          <w:rFonts w:hint="eastAsia" w:ascii="宋体" w:hAnsi="宋体" w:eastAsia="宋体" w:cs="宋体"/>
          <w:sz w:val="21"/>
          <w:szCs w:val="21"/>
        </w:rPr>
        <w:t>所有资料、文件、图纸要求以中文书写（原厂商的资料如果有英文资料则需要将其附带），所有计算、说明、图纸、文件、手册等采用国际单位制。</w:t>
      </w:r>
    </w:p>
    <w:p w14:paraId="5DEFC30C">
      <w:pPr>
        <w:pStyle w:val="9"/>
        <w:widowControl w:val="0"/>
        <w:spacing w:line="360" w:lineRule="auto"/>
        <w:jc w:val="both"/>
        <w:textAlignment w:val="auto"/>
        <w:rPr>
          <w:rFonts w:ascii="Times New Roman" w:hAnsi="Times New Roman" w:eastAsia="宋体" w:cs="Times New Roman"/>
          <w:color w:val="auto"/>
          <w:sz w:val="21"/>
          <w:szCs w:val="21"/>
        </w:rPr>
      </w:pPr>
      <w:r>
        <w:rPr>
          <w:rFonts w:hint="eastAsia" w:ascii="Times New Roman" w:hAnsi="Times New Roman" w:eastAsia="宋体" w:cs="Times New Roman"/>
          <w:sz w:val="21"/>
          <w:szCs w:val="21"/>
        </w:rPr>
        <w:t>1.15</w:t>
      </w:r>
      <w:r>
        <w:rPr>
          <w:rFonts w:hint="eastAsia" w:hAnsi="宋体" w:eastAsia="宋体" w:cs="宋体"/>
          <w:sz w:val="21"/>
          <w:szCs w:val="21"/>
        </w:rPr>
        <w:t>本技术规范书的解释权属于南方电网通用航空服务有限公司。技术规范书未经南方电网通用航空服务有限公司同意，任何个人和单位不得做出任何修改。</w:t>
      </w:r>
    </w:p>
    <w:p w14:paraId="521A8C09">
      <w:pPr>
        <w:pStyle w:val="2"/>
        <w:keepNext/>
        <w:keepLines/>
        <w:widowControl w:val="0"/>
        <w:topLinePunct/>
        <w:autoSpaceDE w:val="0"/>
        <w:autoSpaceDN w:val="0"/>
        <w:adjustRightInd w:val="0"/>
        <w:spacing w:before="0" w:after="0" w:line="480" w:lineRule="auto"/>
        <w:rPr>
          <w:rFonts w:ascii="Times New Roman" w:hAnsi="Times New Roman" w:eastAsia="黑体" w:cs="Times New Roman"/>
          <w:color w:val="auto"/>
          <w:kern w:val="44"/>
          <w:sz w:val="21"/>
          <w:szCs w:val="21"/>
        </w:rPr>
      </w:pPr>
      <w:bookmarkStart w:id="5" w:name="_Toc28263"/>
      <w:bookmarkStart w:id="6" w:name="_Toc9038"/>
      <w:bookmarkStart w:id="7" w:name="_Toc226035277"/>
      <w:r>
        <w:rPr>
          <w:rFonts w:ascii="Times New Roman" w:hAnsi="Times New Roman" w:eastAsia="黑体" w:cs="Times New Roman"/>
          <w:color w:val="auto"/>
          <w:kern w:val="44"/>
          <w:sz w:val="21"/>
          <w:szCs w:val="21"/>
        </w:rPr>
        <w:t>2 工作范围</w:t>
      </w:r>
      <w:bookmarkEnd w:id="5"/>
      <w:bookmarkEnd w:id="6"/>
      <w:bookmarkEnd w:id="7"/>
    </w:p>
    <w:p w14:paraId="5F7B0597">
      <w:pPr>
        <w:pStyle w:val="3"/>
        <w:keepNext/>
        <w:keepLines/>
        <w:widowControl w:val="0"/>
        <w:spacing w:before="0" w:after="0" w:line="360" w:lineRule="auto"/>
        <w:jc w:val="both"/>
        <w:textAlignment w:val="auto"/>
        <w:rPr>
          <w:rFonts w:ascii="Times New Roman" w:hAnsi="Times New Roman" w:eastAsia="黑体" w:cs="Times New Roman"/>
          <w:b w:val="0"/>
          <w:bCs/>
          <w:color w:val="auto"/>
          <w:kern w:val="2"/>
          <w:sz w:val="21"/>
          <w:szCs w:val="21"/>
        </w:rPr>
      </w:pPr>
      <w:bookmarkStart w:id="8" w:name="_Toc9985"/>
      <w:bookmarkStart w:id="9" w:name="_Toc226035278"/>
      <w:bookmarkStart w:id="10" w:name="_Toc285"/>
      <w:r>
        <w:rPr>
          <w:rFonts w:ascii="Times New Roman" w:hAnsi="Times New Roman" w:eastAsia="黑体" w:cs="Times New Roman"/>
          <w:b w:val="0"/>
          <w:bCs/>
          <w:color w:val="auto"/>
          <w:kern w:val="2"/>
          <w:sz w:val="21"/>
          <w:szCs w:val="21"/>
        </w:rPr>
        <w:t>2.1 供货范围</w:t>
      </w:r>
      <w:bookmarkEnd w:id="8"/>
      <w:bookmarkEnd w:id="9"/>
      <w:bookmarkEnd w:id="10"/>
    </w:p>
    <w:p w14:paraId="0D926746">
      <w:pPr>
        <w:widowControl w:val="0"/>
        <w:spacing w:line="360" w:lineRule="auto"/>
        <w:ind w:left="210" w:firstLine="420" w:firstLineChars="200"/>
        <w:jc w:val="both"/>
        <w:textAlignment w:val="auto"/>
        <w:rPr>
          <w:rFonts w:ascii="Times New Roman" w:hAnsi="Times New Roman" w:eastAsia="宋体" w:cs="Times New Roman"/>
          <w:color w:val="auto"/>
          <w:kern w:val="2"/>
          <w:sz w:val="21"/>
          <w:szCs w:val="21"/>
        </w:rPr>
      </w:pPr>
      <w:r>
        <w:rPr>
          <w:rFonts w:ascii="Times New Roman" w:hAnsi="Times New Roman" w:eastAsia="宋体" w:cs="Times New Roman"/>
          <w:color w:val="auto"/>
          <w:kern w:val="2"/>
          <w:sz w:val="21"/>
          <w:szCs w:val="21"/>
        </w:rPr>
        <w:t>合同供货范围为</w:t>
      </w:r>
      <w:r>
        <w:rPr>
          <w:rFonts w:hint="eastAsia" w:ascii="Times New Roman" w:hAnsi="Times New Roman" w:eastAsia="宋体" w:cs="Times New Roman"/>
          <w:color w:val="auto"/>
          <w:sz w:val="21"/>
          <w:szCs w:val="21"/>
        </w:rPr>
        <w:t>树障修剪无人机（多旋翼无人机）</w:t>
      </w:r>
      <w:r>
        <w:rPr>
          <w:rFonts w:ascii="Times New Roman" w:hAnsi="Times New Roman" w:eastAsia="宋体" w:cs="Times New Roman"/>
          <w:color w:val="auto"/>
          <w:kern w:val="2"/>
          <w:sz w:val="21"/>
          <w:szCs w:val="21"/>
        </w:rPr>
        <w:t>，详见</w:t>
      </w:r>
      <w:r>
        <w:rPr>
          <w:rFonts w:hint="eastAsia" w:ascii="Times New Roman" w:hAnsi="Times New Roman" w:eastAsia="宋体" w:cs="Times New Roman"/>
          <w:color w:val="auto"/>
          <w:kern w:val="2"/>
          <w:sz w:val="21"/>
          <w:szCs w:val="21"/>
        </w:rPr>
        <w:t>专用部分</w:t>
      </w:r>
      <w:r>
        <w:rPr>
          <w:rFonts w:ascii="Times New Roman" w:hAnsi="Times New Roman" w:eastAsia="宋体" w:cs="Times New Roman"/>
          <w:color w:val="auto"/>
          <w:kern w:val="2"/>
          <w:sz w:val="21"/>
          <w:szCs w:val="21"/>
        </w:rPr>
        <w:t>附表2.</w:t>
      </w:r>
      <w:r>
        <w:rPr>
          <w:rFonts w:hint="eastAsia" w:ascii="Times New Roman" w:hAnsi="Times New Roman" w:eastAsia="宋体" w:cs="Times New Roman"/>
          <w:color w:val="auto"/>
          <w:kern w:val="2"/>
          <w:sz w:val="21"/>
          <w:szCs w:val="21"/>
        </w:rPr>
        <w:t>2</w:t>
      </w:r>
      <w:r>
        <w:rPr>
          <w:rFonts w:ascii="Times New Roman" w:hAnsi="Times New Roman" w:eastAsia="宋体" w:cs="Times New Roman"/>
          <w:color w:val="auto"/>
          <w:kern w:val="2"/>
          <w:sz w:val="21"/>
          <w:szCs w:val="21"/>
        </w:rPr>
        <w:t>。</w:t>
      </w:r>
    </w:p>
    <w:p w14:paraId="44908DBE">
      <w:pPr>
        <w:pStyle w:val="3"/>
        <w:keepNext/>
        <w:keepLines/>
        <w:widowControl w:val="0"/>
        <w:spacing w:before="0" w:after="0" w:line="360" w:lineRule="auto"/>
        <w:jc w:val="both"/>
        <w:textAlignment w:val="auto"/>
        <w:rPr>
          <w:rFonts w:ascii="Times New Roman" w:hAnsi="Times New Roman" w:eastAsia="黑体" w:cs="Times New Roman"/>
          <w:b w:val="0"/>
          <w:bCs/>
          <w:color w:val="auto"/>
          <w:kern w:val="2"/>
          <w:sz w:val="21"/>
          <w:szCs w:val="21"/>
        </w:rPr>
      </w:pPr>
      <w:bookmarkStart w:id="11" w:name="_Toc26343"/>
      <w:bookmarkStart w:id="12" w:name="_Toc24629"/>
      <w:bookmarkStart w:id="13" w:name="_Toc226035279"/>
      <w:r>
        <w:rPr>
          <w:rFonts w:ascii="Times New Roman" w:hAnsi="Times New Roman" w:eastAsia="黑体" w:cs="Times New Roman"/>
          <w:b w:val="0"/>
          <w:bCs/>
          <w:color w:val="auto"/>
          <w:kern w:val="2"/>
          <w:sz w:val="21"/>
          <w:szCs w:val="21"/>
        </w:rPr>
        <w:t>2.2 服务界限</w:t>
      </w:r>
      <w:bookmarkEnd w:id="11"/>
      <w:bookmarkEnd w:id="12"/>
      <w:bookmarkEnd w:id="13"/>
    </w:p>
    <w:p w14:paraId="789A9D64">
      <w:pPr>
        <w:widowControl w:val="0"/>
        <w:adjustRightInd w:val="0"/>
        <w:snapToGrid w:val="0"/>
        <w:spacing w:line="360" w:lineRule="auto"/>
        <w:ind w:firstLine="424" w:firstLineChars="202"/>
        <w:jc w:val="both"/>
        <w:textAlignment w:val="auto"/>
        <w:rPr>
          <w:rFonts w:ascii="Times New Roman" w:hAnsi="Times New Roman" w:eastAsia="方正书宋简体" w:cs="Times New Roman"/>
          <w:color w:val="auto"/>
          <w:kern w:val="2"/>
          <w:sz w:val="21"/>
          <w:szCs w:val="21"/>
        </w:rPr>
      </w:pPr>
      <w:r>
        <w:rPr>
          <w:rFonts w:hint="eastAsia" w:ascii="Times New Roman" w:hAnsi="Times New Roman" w:eastAsia="方正书宋简体" w:cs="Times New Roman"/>
          <w:color w:val="auto"/>
          <w:kern w:val="2"/>
          <w:sz w:val="21"/>
          <w:szCs w:val="21"/>
        </w:rPr>
        <w:t>1）</w:t>
      </w:r>
      <w:r>
        <w:rPr>
          <w:rFonts w:ascii="Times New Roman" w:hAnsi="Times New Roman" w:eastAsia="方正书宋简体" w:cs="Times New Roman"/>
          <w:color w:val="auto"/>
          <w:kern w:val="2"/>
          <w:sz w:val="21"/>
          <w:szCs w:val="21"/>
        </w:rPr>
        <w:t>本技术规范书适用于</w:t>
      </w:r>
      <w:r>
        <w:rPr>
          <w:rFonts w:hint="eastAsia" w:ascii="Times New Roman" w:hAnsi="Times New Roman" w:eastAsia="宋体" w:cs="Times New Roman"/>
          <w:color w:val="auto"/>
          <w:sz w:val="21"/>
          <w:szCs w:val="21"/>
        </w:rPr>
        <w:t>树障修剪无人机（多旋翼无人机）</w:t>
      </w:r>
      <w:r>
        <w:rPr>
          <w:rFonts w:ascii="Times New Roman" w:hAnsi="Times New Roman" w:eastAsia="方正书宋简体" w:cs="Times New Roman"/>
          <w:color w:val="auto"/>
          <w:kern w:val="2"/>
          <w:sz w:val="21"/>
          <w:szCs w:val="21"/>
        </w:rPr>
        <w:t>的设计、制造、装配、工厂试验、交付、现场安装和试验的指导、监督、试运行及除树障作业实操培训工作。</w:t>
      </w:r>
    </w:p>
    <w:p w14:paraId="5E9510B1">
      <w:pPr>
        <w:widowControl w:val="0"/>
        <w:adjustRightInd w:val="0"/>
        <w:snapToGrid w:val="0"/>
        <w:spacing w:line="360" w:lineRule="auto"/>
        <w:ind w:firstLine="424" w:firstLineChars="202"/>
        <w:jc w:val="both"/>
        <w:textAlignment w:val="auto"/>
        <w:rPr>
          <w:rFonts w:ascii="Times New Roman" w:hAnsi="Times New Roman" w:eastAsia="方正书宋简体" w:cs="Times New Roman"/>
          <w:color w:val="auto"/>
          <w:kern w:val="2"/>
          <w:sz w:val="21"/>
          <w:szCs w:val="21"/>
        </w:rPr>
      </w:pPr>
      <w:r>
        <w:rPr>
          <w:rFonts w:hint="eastAsia" w:ascii="Times New Roman" w:hAnsi="Times New Roman" w:eastAsia="方正书宋简体" w:cs="Times New Roman"/>
          <w:color w:val="auto"/>
          <w:kern w:val="2"/>
          <w:sz w:val="21"/>
          <w:szCs w:val="21"/>
        </w:rPr>
        <w:t>2）</w:t>
      </w:r>
      <w:r>
        <w:rPr>
          <w:rFonts w:ascii="Times New Roman" w:hAnsi="Times New Roman" w:eastAsia="方正书宋简体" w:cs="Times New Roman"/>
          <w:color w:val="auto"/>
          <w:kern w:val="2"/>
          <w:sz w:val="21"/>
          <w:szCs w:val="21"/>
        </w:rPr>
        <w:t>本技术规范书未说明，但又与设计、制造、装配、试验、运输、包装、保管、安装、运行维护及除树障作业相关的技术要求，按条款3所规定的有关标准执行。</w:t>
      </w:r>
    </w:p>
    <w:p w14:paraId="17AE50D0">
      <w:pPr>
        <w:pStyle w:val="3"/>
        <w:keepNext/>
        <w:keepLines/>
        <w:widowControl w:val="0"/>
        <w:spacing w:before="0" w:after="0" w:line="360" w:lineRule="auto"/>
        <w:jc w:val="both"/>
        <w:textAlignment w:val="auto"/>
        <w:rPr>
          <w:rFonts w:ascii="Times New Roman" w:hAnsi="Times New Roman" w:eastAsia="黑体" w:cs="Times New Roman"/>
          <w:b w:val="0"/>
          <w:bCs/>
          <w:color w:val="auto"/>
          <w:kern w:val="2"/>
          <w:sz w:val="21"/>
          <w:szCs w:val="21"/>
        </w:rPr>
      </w:pPr>
      <w:bookmarkStart w:id="14" w:name="_Toc17719"/>
      <w:bookmarkStart w:id="15" w:name="_Toc226035280"/>
      <w:bookmarkStart w:id="16" w:name="_Toc28189"/>
      <w:r>
        <w:rPr>
          <w:rFonts w:ascii="Times New Roman" w:hAnsi="Times New Roman" w:eastAsia="黑体" w:cs="Times New Roman"/>
          <w:b w:val="0"/>
          <w:bCs/>
          <w:color w:val="auto"/>
          <w:kern w:val="2"/>
          <w:sz w:val="21"/>
          <w:szCs w:val="21"/>
        </w:rPr>
        <w:t>2.3 技术文件</w:t>
      </w:r>
      <w:bookmarkEnd w:id="14"/>
      <w:bookmarkEnd w:id="15"/>
      <w:bookmarkEnd w:id="16"/>
    </w:p>
    <w:p w14:paraId="155EEE5E">
      <w:pPr>
        <w:pStyle w:val="26"/>
        <w:widowControl w:val="0"/>
        <w:adjustRightInd w:val="0"/>
        <w:snapToGrid w:val="0"/>
        <w:spacing w:line="360" w:lineRule="auto"/>
        <w:ind w:firstLine="424" w:firstLineChars="202"/>
        <w:jc w:val="both"/>
        <w:textAlignment w:val="auto"/>
        <w:rPr>
          <w:rFonts w:ascii="Times New Roman" w:hAnsi="Times New Roman" w:cs="Times New Roman"/>
          <w:color w:val="auto"/>
          <w:kern w:val="2"/>
          <w:sz w:val="21"/>
          <w:szCs w:val="21"/>
        </w:rPr>
      </w:pPr>
      <w:r>
        <w:rPr>
          <w:rFonts w:ascii="Times New Roman" w:hAnsi="Times New Roman" w:cs="Times New Roman"/>
          <w:color w:val="auto"/>
          <w:kern w:val="2"/>
          <w:sz w:val="21"/>
          <w:szCs w:val="21"/>
        </w:rPr>
        <w:t>1</w:t>
      </w:r>
      <w:r>
        <w:rPr>
          <w:rFonts w:hint="eastAsia" w:ascii="Times New Roman" w:hAnsi="Times New Roman" w:cs="Times New Roman"/>
          <w:color w:val="auto"/>
          <w:kern w:val="2"/>
          <w:sz w:val="21"/>
          <w:szCs w:val="21"/>
        </w:rPr>
        <w:t>）</w:t>
      </w:r>
      <w:r>
        <w:rPr>
          <w:rFonts w:ascii="Times New Roman" w:hAnsi="Times New Roman" w:cs="Times New Roman"/>
          <w:color w:val="auto"/>
          <w:kern w:val="2"/>
          <w:sz w:val="21"/>
          <w:szCs w:val="21"/>
        </w:rPr>
        <w:t>投标方应按本技术规范书的要求提供全新的、合格的</w:t>
      </w:r>
      <w:r>
        <w:rPr>
          <w:rFonts w:hint="eastAsia" w:ascii="Times New Roman" w:hAnsi="Times New Roman" w:eastAsia="宋体" w:cs="Times New Roman"/>
          <w:color w:val="auto"/>
          <w:sz w:val="21"/>
          <w:szCs w:val="21"/>
        </w:rPr>
        <w:t>树障修剪无人机（多旋翼无人机）</w:t>
      </w:r>
      <w:r>
        <w:rPr>
          <w:rFonts w:ascii="Times New Roman" w:hAnsi="Times New Roman" w:cs="Times New Roman"/>
          <w:color w:val="auto"/>
          <w:kern w:val="2"/>
          <w:sz w:val="21"/>
          <w:szCs w:val="21"/>
        </w:rPr>
        <w:t>及其附属设备、备品备件、专用工具和仪器。</w:t>
      </w:r>
    </w:p>
    <w:p w14:paraId="75EB4577">
      <w:pPr>
        <w:pStyle w:val="26"/>
        <w:widowControl w:val="0"/>
        <w:adjustRightInd w:val="0"/>
        <w:snapToGrid w:val="0"/>
        <w:spacing w:line="360" w:lineRule="auto"/>
        <w:ind w:firstLine="424" w:firstLineChars="202"/>
        <w:jc w:val="both"/>
        <w:textAlignment w:val="auto"/>
        <w:rPr>
          <w:rFonts w:ascii="Times New Roman" w:hAnsi="Times New Roman" w:cs="Times New Roman"/>
          <w:color w:val="auto"/>
          <w:kern w:val="2"/>
          <w:sz w:val="21"/>
          <w:szCs w:val="21"/>
        </w:rPr>
      </w:pPr>
      <w:r>
        <w:rPr>
          <w:rFonts w:hint="eastAsia" w:ascii="Times New Roman" w:hAnsi="Times New Roman" w:cs="Times New Roman"/>
          <w:color w:val="auto"/>
          <w:kern w:val="2"/>
          <w:sz w:val="21"/>
          <w:szCs w:val="21"/>
        </w:rPr>
        <w:t>2）</w:t>
      </w:r>
      <w:r>
        <w:rPr>
          <w:rFonts w:ascii="Times New Roman" w:hAnsi="Times New Roman" w:cs="Times New Roman"/>
          <w:color w:val="auto"/>
          <w:kern w:val="2"/>
          <w:sz w:val="21"/>
          <w:szCs w:val="21"/>
        </w:rPr>
        <w:t>投标方所提供的组件或附件如需向第三方外购时，投标方应对质量向招标方负责，并提供相应出厂和验收证明。</w:t>
      </w:r>
    </w:p>
    <w:p w14:paraId="5DD4E4B5">
      <w:pPr>
        <w:pStyle w:val="26"/>
        <w:widowControl w:val="0"/>
        <w:adjustRightInd w:val="0"/>
        <w:snapToGrid w:val="0"/>
        <w:spacing w:line="360" w:lineRule="auto"/>
        <w:ind w:firstLine="424" w:firstLineChars="202"/>
        <w:jc w:val="both"/>
        <w:textAlignment w:val="auto"/>
        <w:rPr>
          <w:rFonts w:ascii="Times New Roman" w:hAnsi="Times New Roman" w:cs="Times New Roman"/>
          <w:color w:val="auto"/>
          <w:kern w:val="2"/>
          <w:sz w:val="21"/>
          <w:szCs w:val="21"/>
        </w:rPr>
      </w:pPr>
      <w:r>
        <w:rPr>
          <w:rFonts w:hint="eastAsia" w:ascii="Times New Roman" w:hAnsi="Times New Roman" w:cs="Times New Roman"/>
          <w:color w:val="auto"/>
          <w:kern w:val="2"/>
          <w:sz w:val="21"/>
          <w:szCs w:val="21"/>
        </w:rPr>
        <w:t>3）</w:t>
      </w:r>
      <w:r>
        <w:rPr>
          <w:rFonts w:ascii="Times New Roman" w:hAnsi="Times New Roman" w:cs="Times New Roman"/>
          <w:color w:val="auto"/>
          <w:kern w:val="2"/>
          <w:sz w:val="21"/>
          <w:szCs w:val="21"/>
        </w:rPr>
        <w:t>工厂试验由投标方在生产厂家内完成，但应有招标方代表参加，参加工厂验收的人数及天数等根据招标方需要由招投标双方协商确定。</w:t>
      </w:r>
    </w:p>
    <w:p w14:paraId="4B56E4F8">
      <w:pPr>
        <w:pStyle w:val="26"/>
        <w:widowControl w:val="0"/>
        <w:adjustRightInd w:val="0"/>
        <w:snapToGrid w:val="0"/>
        <w:spacing w:line="360" w:lineRule="auto"/>
        <w:ind w:firstLine="424" w:firstLineChars="202"/>
        <w:jc w:val="both"/>
        <w:textAlignment w:val="auto"/>
        <w:rPr>
          <w:rFonts w:ascii="Times New Roman" w:hAnsi="Times New Roman" w:cs="Times New Roman"/>
          <w:color w:val="auto"/>
          <w:kern w:val="2"/>
          <w:sz w:val="21"/>
          <w:szCs w:val="21"/>
        </w:rPr>
      </w:pPr>
      <w:r>
        <w:rPr>
          <w:rFonts w:hint="eastAsia" w:ascii="Times New Roman" w:hAnsi="Times New Roman" w:cs="Times New Roman"/>
          <w:color w:val="auto"/>
          <w:kern w:val="2"/>
          <w:sz w:val="21"/>
          <w:szCs w:val="21"/>
        </w:rPr>
        <w:t>4）</w:t>
      </w:r>
      <w:r>
        <w:rPr>
          <w:rFonts w:ascii="Times New Roman" w:hAnsi="Times New Roman" w:cs="Times New Roman"/>
          <w:color w:val="auto"/>
          <w:kern w:val="2"/>
          <w:sz w:val="21"/>
          <w:szCs w:val="21"/>
        </w:rPr>
        <w:t>装置从生产厂家到安装位置的运输全部由投标方完成，现场调试和安装在招标方指导下由投标方完成。投标方协助招标方按标准检查安装质量，处理调试投运及除树障作业过程中出现的问题，并提供备品、备件，做好销售服务工作。投标方应选派有除树障作业经验的技术人员，对安装和运行人员免费培训。安装指导及培训的工作范围及人数和天数等根据招标方需要由招投标双方协商确定。</w:t>
      </w:r>
    </w:p>
    <w:p w14:paraId="5F9AE98A">
      <w:pPr>
        <w:pStyle w:val="26"/>
        <w:widowControl w:val="0"/>
        <w:adjustRightInd w:val="0"/>
        <w:snapToGrid w:val="0"/>
        <w:spacing w:line="360" w:lineRule="auto"/>
        <w:ind w:firstLine="424" w:firstLineChars="202"/>
        <w:jc w:val="both"/>
        <w:textAlignment w:val="auto"/>
        <w:rPr>
          <w:rFonts w:ascii="Times New Roman" w:hAnsi="Times New Roman" w:cs="Times New Roman"/>
          <w:color w:val="auto"/>
          <w:kern w:val="2"/>
          <w:sz w:val="21"/>
          <w:szCs w:val="21"/>
        </w:rPr>
      </w:pPr>
      <w:r>
        <w:rPr>
          <w:rFonts w:hint="eastAsia" w:ascii="Times New Roman" w:hAnsi="Times New Roman" w:cs="Times New Roman"/>
          <w:color w:val="auto"/>
          <w:kern w:val="2"/>
          <w:sz w:val="21"/>
          <w:szCs w:val="21"/>
        </w:rPr>
        <w:t>5）</w:t>
      </w:r>
      <w:r>
        <w:rPr>
          <w:rFonts w:ascii="Times New Roman" w:hAnsi="Times New Roman" w:cs="Times New Roman"/>
          <w:color w:val="auto"/>
          <w:kern w:val="2"/>
          <w:sz w:val="21"/>
          <w:szCs w:val="21"/>
        </w:rPr>
        <w:t>投标方应协助招标方解决设备运行及除树障作业中出现的问题，并及时排除故障恢复运行。投标方应免费提供远程技术服务，远程技术服务项目期限不受限于保修期，远程技术服务在设备报废前有效。</w:t>
      </w:r>
    </w:p>
    <w:p w14:paraId="54FE3F1B">
      <w:pPr>
        <w:pStyle w:val="3"/>
        <w:spacing w:before="0" w:after="0"/>
        <w:rPr>
          <w:rFonts w:hint="eastAsia" w:ascii="黑体" w:hAnsi="黑体" w:eastAsia="黑体" w:cs="黑体"/>
          <w:b w:val="0"/>
          <w:bCs/>
          <w:sz w:val="21"/>
          <w:szCs w:val="21"/>
        </w:rPr>
      </w:pPr>
      <w:bookmarkStart w:id="17" w:name="_Toc226035281"/>
      <w:bookmarkStart w:id="18" w:name="_Toc30637"/>
      <w:bookmarkStart w:id="19" w:name="_Toc32496"/>
      <w:bookmarkStart w:id="20" w:name="_Toc6217"/>
      <w:r>
        <w:rPr>
          <w:rFonts w:hint="eastAsia" w:ascii="黑体" w:hAnsi="黑体" w:eastAsia="黑体" w:cs="黑体"/>
          <w:b w:val="0"/>
          <w:bCs/>
          <w:sz w:val="21"/>
          <w:szCs w:val="21"/>
        </w:rPr>
        <w:t>技术文件的组成</w:t>
      </w:r>
      <w:bookmarkEnd w:id="17"/>
      <w:bookmarkEnd w:id="18"/>
      <w:bookmarkEnd w:id="19"/>
      <w:bookmarkEnd w:id="20"/>
    </w:p>
    <w:p w14:paraId="38C7BED5">
      <w:pPr>
        <w:numPr>
          <w:ilvl w:val="255"/>
          <w:numId w:val="0"/>
        </w:numPr>
        <w:suppressAutoHyphens/>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1.投标设备的详细供货清单；</w:t>
      </w:r>
    </w:p>
    <w:p w14:paraId="61F0CAEB">
      <w:pPr>
        <w:numPr>
          <w:ilvl w:val="255"/>
          <w:numId w:val="0"/>
        </w:numPr>
        <w:suppressAutoHyphens/>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2.技术应答书，应逐条“点对点”回应本标书的技术规范；</w:t>
      </w:r>
    </w:p>
    <w:p w14:paraId="6DA57588">
      <w:pPr>
        <w:numPr>
          <w:ilvl w:val="255"/>
          <w:numId w:val="0"/>
        </w:numPr>
        <w:suppressAutoHyphens/>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3.差异表（格式见附表）；</w:t>
      </w:r>
    </w:p>
    <w:p w14:paraId="7F9ACC47">
      <w:pPr>
        <w:numPr>
          <w:ilvl w:val="255"/>
          <w:numId w:val="0"/>
        </w:numPr>
        <w:suppressAutoHyphens/>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4.售后服务保证相关证书，包括产品合格证书、产品三包凭证和保修卡；</w:t>
      </w:r>
    </w:p>
    <w:p w14:paraId="709BB2F5">
      <w:pPr>
        <w:numPr>
          <w:ilvl w:val="255"/>
          <w:numId w:val="0"/>
        </w:numPr>
        <w:suppressAutoHyphens/>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5.产品出厂检测报告；</w:t>
      </w:r>
    </w:p>
    <w:p w14:paraId="202D41E3">
      <w:pPr>
        <w:pStyle w:val="26"/>
        <w:widowControl w:val="0"/>
        <w:adjustRightInd w:val="0"/>
        <w:snapToGrid w:val="0"/>
        <w:spacing w:line="360" w:lineRule="auto"/>
        <w:ind w:firstLine="0" w:firstLineChars="0"/>
        <w:jc w:val="both"/>
        <w:textAlignment w:val="auto"/>
        <w:rPr>
          <w:rFonts w:ascii="Times New Roman" w:hAnsi="Times New Roman" w:cs="Times New Roman"/>
          <w:color w:val="auto"/>
          <w:kern w:val="2"/>
          <w:sz w:val="21"/>
          <w:szCs w:val="21"/>
        </w:rPr>
      </w:pPr>
      <w:r>
        <w:rPr>
          <w:rFonts w:hint="eastAsia" w:ascii="宋体" w:hAnsi="宋体" w:eastAsia="宋体"/>
          <w:color w:val="auto"/>
          <w:sz w:val="21"/>
          <w:szCs w:val="21"/>
        </w:rPr>
        <w:t>6.提供中文操作手册和维护手册。</w:t>
      </w:r>
    </w:p>
    <w:p w14:paraId="03457610">
      <w:pPr>
        <w:widowControl w:val="0"/>
        <w:spacing w:line="480" w:lineRule="auto"/>
        <w:jc w:val="both"/>
        <w:textAlignment w:val="auto"/>
        <w:outlineLvl w:val="0"/>
        <w:rPr>
          <w:rFonts w:ascii="Times New Roman" w:hAnsi="Times New Roman" w:eastAsia="黑体" w:cs="Times New Roman"/>
          <w:b/>
          <w:bCs/>
          <w:color w:val="auto"/>
          <w:kern w:val="2"/>
          <w:sz w:val="21"/>
          <w:szCs w:val="21"/>
        </w:rPr>
      </w:pPr>
      <w:bookmarkStart w:id="21" w:name="_Toc226035282"/>
      <w:bookmarkStart w:id="22" w:name="_Toc17547"/>
      <w:bookmarkStart w:id="23" w:name="_Toc2235"/>
      <w:r>
        <w:rPr>
          <w:rFonts w:ascii="Times New Roman" w:hAnsi="Times New Roman" w:eastAsia="黑体" w:cs="Times New Roman"/>
          <w:b/>
          <w:bCs/>
          <w:color w:val="auto"/>
          <w:kern w:val="2"/>
          <w:sz w:val="21"/>
          <w:szCs w:val="21"/>
        </w:rPr>
        <w:t>3 应遵循的主要标准</w:t>
      </w:r>
      <w:bookmarkEnd w:id="21"/>
      <w:bookmarkEnd w:id="22"/>
      <w:bookmarkEnd w:id="23"/>
    </w:p>
    <w:p w14:paraId="1ACEFA10">
      <w:pPr>
        <w:pStyle w:val="26"/>
        <w:widowControl w:val="0"/>
        <w:adjustRightInd w:val="0"/>
        <w:snapToGrid w:val="0"/>
        <w:spacing w:line="360" w:lineRule="auto"/>
        <w:jc w:val="both"/>
        <w:textAlignment w:val="auto"/>
        <w:rPr>
          <w:rFonts w:ascii="Times New Roman" w:hAnsi="Times New Roman" w:cs="Times New Roman"/>
          <w:color w:val="auto"/>
          <w:kern w:val="2"/>
          <w:sz w:val="21"/>
          <w:szCs w:val="21"/>
        </w:rPr>
      </w:pPr>
      <w:r>
        <w:rPr>
          <w:rFonts w:ascii="Times New Roman" w:hAnsi="Times New Roman" w:cs="Times New Roman"/>
          <w:color w:val="auto"/>
          <w:kern w:val="2"/>
          <w:sz w:val="21"/>
          <w:szCs w:val="21"/>
        </w:rPr>
        <w:t>除本技术规范书特殊规定外，投标方所提供的设备均按规定的标准和规程的最新版本进行设计、制造、试验和安装。如果这些标准内容有矛盾时，应按最高标准的条款执行或按双方商定的标准执行。如果投标方选用本技术规范书规定以外的标准时，则需提交这种替换标准供审查和分析。仅在投标方已证明替换标准相当或优于技术规范书规定的标准，并从招标方处获得书面认可才能使用。提交供审查的标准应为中文或英文版本。凡是未注明日期的引用标准，其最新版适用于本技术规范书。主要引用标准如下：</w:t>
      </w:r>
    </w:p>
    <w:p w14:paraId="115BFEC6">
      <w:pPr>
        <w:pStyle w:val="26"/>
        <w:widowControl w:val="0"/>
        <w:adjustRightInd w:val="0"/>
        <w:snapToGrid w:val="0"/>
        <w:spacing w:line="360" w:lineRule="auto"/>
        <w:jc w:val="both"/>
        <w:textAlignment w:val="auto"/>
        <w:rPr>
          <w:rFonts w:ascii="Times New Roman" w:hAnsi="Times New Roman" w:cs="Times New Roman"/>
          <w:color w:val="auto"/>
          <w:kern w:val="2"/>
          <w:sz w:val="21"/>
          <w:szCs w:val="21"/>
        </w:rPr>
      </w:pPr>
      <w:r>
        <w:rPr>
          <w:rFonts w:ascii="Times New Roman" w:hAnsi="Times New Roman" w:cs="Times New Roman"/>
          <w:color w:val="auto"/>
          <w:kern w:val="2"/>
          <w:sz w:val="21"/>
          <w:szCs w:val="21"/>
        </w:rPr>
        <w:t>GB 4208-2017    外壳防护等级（IP 代码）</w:t>
      </w:r>
    </w:p>
    <w:p w14:paraId="1149BCF0">
      <w:pPr>
        <w:pStyle w:val="26"/>
        <w:widowControl w:val="0"/>
        <w:adjustRightInd w:val="0"/>
        <w:snapToGrid w:val="0"/>
        <w:spacing w:line="360" w:lineRule="auto"/>
        <w:jc w:val="both"/>
        <w:textAlignment w:val="auto"/>
        <w:rPr>
          <w:rFonts w:ascii="Times New Roman" w:hAnsi="Times New Roman" w:cs="Times New Roman"/>
          <w:color w:val="auto"/>
          <w:kern w:val="2"/>
          <w:sz w:val="21"/>
          <w:szCs w:val="21"/>
        </w:rPr>
      </w:pPr>
      <w:r>
        <w:rPr>
          <w:rFonts w:ascii="Times New Roman" w:hAnsi="Times New Roman" w:cs="Times New Roman"/>
          <w:color w:val="auto"/>
          <w:kern w:val="2"/>
          <w:sz w:val="21"/>
          <w:szCs w:val="21"/>
        </w:rPr>
        <w:t>GB/T 191-2008    包装储运图示标志</w:t>
      </w:r>
    </w:p>
    <w:p w14:paraId="54E1EFD8">
      <w:pPr>
        <w:pStyle w:val="26"/>
        <w:widowControl w:val="0"/>
        <w:adjustRightInd w:val="0"/>
        <w:snapToGrid w:val="0"/>
        <w:spacing w:line="360" w:lineRule="auto"/>
        <w:jc w:val="both"/>
        <w:textAlignment w:val="auto"/>
        <w:rPr>
          <w:rFonts w:ascii="Times New Roman" w:hAnsi="Times New Roman" w:cs="Times New Roman"/>
          <w:color w:val="auto"/>
          <w:kern w:val="2"/>
          <w:sz w:val="21"/>
          <w:szCs w:val="21"/>
        </w:rPr>
      </w:pPr>
      <w:r>
        <w:rPr>
          <w:rFonts w:ascii="Times New Roman" w:hAnsi="Times New Roman" w:cs="Times New Roman"/>
          <w:color w:val="auto"/>
          <w:kern w:val="2"/>
          <w:sz w:val="21"/>
          <w:szCs w:val="21"/>
        </w:rPr>
        <w:t>GJB 2347-1995    无人机通用规范</w:t>
      </w:r>
    </w:p>
    <w:p w14:paraId="7ABB1532">
      <w:pPr>
        <w:pStyle w:val="26"/>
        <w:widowControl w:val="0"/>
        <w:adjustRightInd w:val="0"/>
        <w:snapToGrid w:val="0"/>
        <w:spacing w:line="360" w:lineRule="auto"/>
        <w:jc w:val="both"/>
        <w:textAlignment w:val="auto"/>
        <w:rPr>
          <w:rFonts w:ascii="Times New Roman" w:hAnsi="Times New Roman" w:cs="Times New Roman"/>
          <w:color w:val="auto"/>
          <w:kern w:val="2"/>
          <w:sz w:val="21"/>
          <w:szCs w:val="21"/>
        </w:rPr>
      </w:pPr>
      <w:r>
        <w:rPr>
          <w:rFonts w:ascii="Times New Roman" w:hAnsi="Times New Roman" w:cs="Times New Roman"/>
          <w:color w:val="auto"/>
          <w:kern w:val="2"/>
          <w:sz w:val="21"/>
          <w:szCs w:val="21"/>
        </w:rPr>
        <w:t>GJB 5433-2005    无人机系统通用要求</w:t>
      </w:r>
    </w:p>
    <w:p w14:paraId="7629164C">
      <w:pPr>
        <w:pStyle w:val="26"/>
        <w:widowControl w:val="0"/>
        <w:adjustRightInd w:val="0"/>
        <w:snapToGrid w:val="0"/>
        <w:spacing w:line="360" w:lineRule="auto"/>
        <w:jc w:val="both"/>
        <w:textAlignment w:val="auto"/>
        <w:rPr>
          <w:rFonts w:ascii="Times New Roman" w:hAnsi="Times New Roman" w:cs="Times New Roman"/>
          <w:color w:val="auto"/>
          <w:kern w:val="2"/>
          <w:sz w:val="21"/>
          <w:szCs w:val="21"/>
        </w:rPr>
      </w:pPr>
      <w:r>
        <w:rPr>
          <w:rFonts w:ascii="Times New Roman" w:hAnsi="Times New Roman" w:cs="Times New Roman"/>
          <w:color w:val="auto"/>
          <w:kern w:val="2"/>
          <w:sz w:val="21"/>
          <w:szCs w:val="21"/>
        </w:rPr>
        <w:t>GJB/Z105-98    电子产品防静电放电控制手册</w:t>
      </w:r>
    </w:p>
    <w:p w14:paraId="21495A9F">
      <w:pPr>
        <w:pStyle w:val="26"/>
        <w:widowControl w:val="0"/>
        <w:adjustRightInd w:val="0"/>
        <w:snapToGrid w:val="0"/>
        <w:spacing w:line="360" w:lineRule="auto"/>
        <w:jc w:val="both"/>
        <w:textAlignment w:val="auto"/>
        <w:rPr>
          <w:rFonts w:ascii="Times New Roman" w:hAnsi="Times New Roman" w:cs="Times New Roman"/>
          <w:color w:val="auto"/>
          <w:kern w:val="2"/>
          <w:sz w:val="21"/>
          <w:szCs w:val="21"/>
        </w:rPr>
      </w:pPr>
      <w:r>
        <w:rPr>
          <w:rFonts w:ascii="Times New Roman" w:hAnsi="Times New Roman" w:cs="Times New Roman"/>
          <w:color w:val="auto"/>
          <w:kern w:val="2"/>
          <w:sz w:val="21"/>
          <w:szCs w:val="21"/>
        </w:rPr>
        <w:t>HB 6167 民用飞机机载设备环境条件和试验方法</w:t>
      </w:r>
    </w:p>
    <w:p w14:paraId="162646BA">
      <w:pPr>
        <w:pStyle w:val="26"/>
        <w:widowControl w:val="0"/>
        <w:adjustRightInd w:val="0"/>
        <w:snapToGrid w:val="0"/>
        <w:spacing w:line="360" w:lineRule="auto"/>
        <w:jc w:val="both"/>
        <w:textAlignment w:val="auto"/>
        <w:rPr>
          <w:rFonts w:ascii="Times New Roman" w:hAnsi="Times New Roman" w:cs="Times New Roman"/>
          <w:color w:val="auto"/>
          <w:kern w:val="2"/>
          <w:sz w:val="21"/>
          <w:szCs w:val="21"/>
        </w:rPr>
      </w:pPr>
      <w:r>
        <w:rPr>
          <w:rFonts w:ascii="Times New Roman" w:hAnsi="Times New Roman" w:cs="Times New Roman"/>
          <w:color w:val="auto"/>
          <w:kern w:val="2"/>
          <w:sz w:val="21"/>
          <w:szCs w:val="21"/>
        </w:rPr>
        <w:t>QJ 2245 电子仪器和设备防静电要求</w:t>
      </w:r>
    </w:p>
    <w:p w14:paraId="5574138D">
      <w:pPr>
        <w:pStyle w:val="26"/>
        <w:widowControl w:val="0"/>
        <w:adjustRightInd w:val="0"/>
        <w:snapToGrid w:val="0"/>
        <w:spacing w:line="360" w:lineRule="auto"/>
        <w:jc w:val="both"/>
        <w:textAlignment w:val="auto"/>
        <w:rPr>
          <w:rFonts w:ascii="Times New Roman" w:hAnsi="Times New Roman" w:cs="Times New Roman"/>
          <w:color w:val="auto"/>
          <w:kern w:val="2"/>
          <w:sz w:val="21"/>
          <w:szCs w:val="21"/>
        </w:rPr>
      </w:pPr>
      <w:r>
        <w:rPr>
          <w:rFonts w:hint="eastAsia" w:ascii="Times New Roman" w:hAnsi="Times New Roman" w:cs="Times New Roman"/>
          <w:color w:val="auto"/>
          <w:kern w:val="2"/>
          <w:sz w:val="21"/>
          <w:szCs w:val="21"/>
        </w:rPr>
        <w:t>RTCA/DO-178C</w:t>
      </w:r>
      <w:r>
        <w:rPr>
          <w:rFonts w:hint="eastAsia" w:ascii="Times New Roman" w:hAnsi="Times New Roman" w:cs="Times New Roman"/>
          <w:color w:val="auto"/>
          <w:kern w:val="2"/>
          <w:sz w:val="21"/>
          <w:szCs w:val="21"/>
        </w:rPr>
        <w:tab/>
      </w:r>
      <w:r>
        <w:rPr>
          <w:rFonts w:hint="eastAsia" w:ascii="Times New Roman" w:hAnsi="Times New Roman" w:cs="Times New Roman"/>
          <w:color w:val="auto"/>
          <w:kern w:val="2"/>
          <w:sz w:val="21"/>
          <w:szCs w:val="21"/>
        </w:rPr>
        <w:t xml:space="preserve">  机载系统和设备合格审定中的软件考虑</w:t>
      </w:r>
    </w:p>
    <w:p w14:paraId="611EFB16">
      <w:pPr>
        <w:pStyle w:val="26"/>
        <w:widowControl w:val="0"/>
        <w:adjustRightInd w:val="0"/>
        <w:snapToGrid w:val="0"/>
        <w:spacing w:line="360" w:lineRule="auto"/>
        <w:jc w:val="both"/>
        <w:textAlignment w:val="auto"/>
        <w:rPr>
          <w:rFonts w:ascii="Times New Roman" w:hAnsi="Times New Roman" w:cs="Times New Roman"/>
          <w:color w:val="auto"/>
          <w:kern w:val="2"/>
          <w:sz w:val="21"/>
          <w:szCs w:val="21"/>
        </w:rPr>
      </w:pPr>
      <w:r>
        <w:rPr>
          <w:rFonts w:hint="eastAsia" w:ascii="Times New Roman" w:hAnsi="Times New Roman" w:cs="Times New Roman"/>
          <w:color w:val="auto"/>
          <w:kern w:val="2"/>
          <w:sz w:val="21"/>
          <w:szCs w:val="21"/>
        </w:rPr>
        <w:t xml:space="preserve">RTCA/DO-160     Environmental Conditions and Test Procedures for Airborne Equipment </w:t>
      </w:r>
    </w:p>
    <w:p w14:paraId="7C936649">
      <w:pPr>
        <w:pStyle w:val="26"/>
        <w:widowControl w:val="0"/>
        <w:adjustRightInd w:val="0"/>
        <w:snapToGrid w:val="0"/>
        <w:spacing w:line="360" w:lineRule="auto"/>
        <w:jc w:val="both"/>
        <w:textAlignment w:val="auto"/>
        <w:rPr>
          <w:rFonts w:ascii="Times New Roman" w:hAnsi="Times New Roman" w:cs="Times New Roman"/>
          <w:color w:val="auto"/>
          <w:kern w:val="2"/>
          <w:sz w:val="21"/>
          <w:szCs w:val="21"/>
        </w:rPr>
      </w:pPr>
      <w:r>
        <w:rPr>
          <w:rFonts w:ascii="Times New Roman" w:hAnsi="Times New Roman" w:cs="Times New Roman"/>
          <w:color w:val="auto"/>
          <w:kern w:val="2"/>
          <w:sz w:val="21"/>
          <w:szCs w:val="21"/>
        </w:rPr>
        <w:t>Q/CSG 1205020.10-2018 架空输电线路机巡标准第 10 部分：直升机 / 无人机巡检设备性能检测规范</w:t>
      </w:r>
    </w:p>
    <w:p w14:paraId="3DC802EB">
      <w:pPr>
        <w:pStyle w:val="26"/>
        <w:widowControl w:val="0"/>
        <w:adjustRightInd w:val="0"/>
        <w:snapToGrid w:val="0"/>
        <w:spacing w:line="360" w:lineRule="auto"/>
        <w:jc w:val="both"/>
        <w:textAlignment w:val="auto"/>
        <w:rPr>
          <w:rFonts w:ascii="Times New Roman" w:hAnsi="Times New Roman" w:cs="Times New Roman"/>
          <w:color w:val="auto"/>
          <w:kern w:val="2"/>
          <w:sz w:val="21"/>
          <w:szCs w:val="21"/>
        </w:rPr>
      </w:pPr>
      <w:r>
        <w:rPr>
          <w:rFonts w:ascii="Times New Roman" w:hAnsi="Times New Roman" w:cs="Times New Roman"/>
          <w:color w:val="auto"/>
          <w:kern w:val="2"/>
          <w:sz w:val="21"/>
          <w:szCs w:val="21"/>
        </w:rPr>
        <w:t>Q/CSG 1205020.11-2020 架空输电线路机巡标准第 11 部分：无人机除障作业规范</w:t>
      </w:r>
    </w:p>
    <w:p w14:paraId="3D24C9B6">
      <w:pPr>
        <w:pStyle w:val="26"/>
        <w:widowControl w:val="0"/>
        <w:adjustRightInd w:val="0"/>
        <w:snapToGrid w:val="0"/>
        <w:spacing w:line="360" w:lineRule="auto"/>
        <w:jc w:val="both"/>
        <w:textAlignment w:val="auto"/>
        <w:rPr>
          <w:rFonts w:ascii="Times New Roman" w:hAnsi="Times New Roman" w:cs="Times New Roman"/>
          <w:color w:val="auto"/>
          <w:kern w:val="2"/>
          <w:sz w:val="21"/>
          <w:szCs w:val="21"/>
        </w:rPr>
      </w:pPr>
      <w:r>
        <w:rPr>
          <w:rFonts w:ascii="Times New Roman" w:hAnsi="Times New Roman" w:cs="Times New Roman"/>
          <w:color w:val="auto"/>
          <w:kern w:val="2"/>
          <w:sz w:val="21"/>
          <w:szCs w:val="21"/>
        </w:rPr>
        <w:t>DL/T 1578-2021 架空电力线路多旋翼无人机巡检系统</w:t>
      </w:r>
    </w:p>
    <w:p w14:paraId="475B2AE0">
      <w:pPr>
        <w:pStyle w:val="26"/>
        <w:widowControl w:val="0"/>
        <w:adjustRightInd w:val="0"/>
        <w:snapToGrid w:val="0"/>
        <w:spacing w:line="360" w:lineRule="auto"/>
        <w:jc w:val="both"/>
        <w:textAlignment w:val="auto"/>
        <w:rPr>
          <w:rFonts w:ascii="Times New Roman" w:hAnsi="Times New Roman" w:cs="Times New Roman"/>
          <w:color w:val="auto"/>
          <w:kern w:val="2"/>
          <w:sz w:val="21"/>
          <w:szCs w:val="21"/>
        </w:rPr>
      </w:pPr>
      <w:r>
        <w:rPr>
          <w:rFonts w:ascii="Times New Roman" w:hAnsi="Times New Roman" w:cs="Times New Roman"/>
          <w:color w:val="auto"/>
          <w:kern w:val="2"/>
          <w:sz w:val="21"/>
          <w:szCs w:val="21"/>
        </w:rPr>
        <w:t>DL/T 1821-2018 电力线路直升机巡检作业规范</w:t>
      </w:r>
    </w:p>
    <w:p w14:paraId="0F88B276">
      <w:pPr>
        <w:pStyle w:val="26"/>
        <w:widowControl w:val="0"/>
        <w:adjustRightInd w:val="0"/>
        <w:snapToGrid w:val="0"/>
        <w:spacing w:line="360" w:lineRule="auto"/>
        <w:jc w:val="both"/>
        <w:textAlignment w:val="auto"/>
        <w:rPr>
          <w:rFonts w:ascii="Times New Roman" w:hAnsi="Times New Roman" w:cs="Times New Roman"/>
          <w:color w:val="auto"/>
          <w:kern w:val="2"/>
          <w:sz w:val="21"/>
          <w:szCs w:val="21"/>
        </w:rPr>
      </w:pPr>
      <w:r>
        <w:rPr>
          <w:rFonts w:ascii="Times New Roman" w:hAnsi="Times New Roman" w:cs="Times New Roman"/>
          <w:color w:val="auto"/>
          <w:kern w:val="2"/>
          <w:sz w:val="21"/>
          <w:szCs w:val="21"/>
        </w:rPr>
        <w:t>GB/T 2423.1-2008 电工电子产品环境试验第 2 部分：试验方法 试验 A：低温</w:t>
      </w:r>
    </w:p>
    <w:p w14:paraId="0A331F9A">
      <w:pPr>
        <w:pStyle w:val="26"/>
        <w:widowControl w:val="0"/>
        <w:adjustRightInd w:val="0"/>
        <w:snapToGrid w:val="0"/>
        <w:spacing w:line="360" w:lineRule="auto"/>
        <w:jc w:val="both"/>
        <w:textAlignment w:val="auto"/>
        <w:rPr>
          <w:rFonts w:ascii="Times New Roman" w:hAnsi="Times New Roman" w:cs="Times New Roman"/>
          <w:color w:val="auto"/>
          <w:kern w:val="2"/>
          <w:sz w:val="21"/>
          <w:szCs w:val="21"/>
        </w:rPr>
      </w:pPr>
      <w:r>
        <w:rPr>
          <w:rFonts w:ascii="Times New Roman" w:hAnsi="Times New Roman" w:cs="Times New Roman"/>
          <w:color w:val="auto"/>
          <w:kern w:val="2"/>
          <w:sz w:val="21"/>
          <w:szCs w:val="21"/>
        </w:rPr>
        <w:t>GB/T 2423.2-2008 电工电子产品环境试验第 2 部分：试验方法 试验 B：高温</w:t>
      </w:r>
    </w:p>
    <w:p w14:paraId="66501C67">
      <w:pPr>
        <w:pStyle w:val="26"/>
        <w:widowControl w:val="0"/>
        <w:adjustRightInd w:val="0"/>
        <w:snapToGrid w:val="0"/>
        <w:spacing w:line="360" w:lineRule="auto"/>
        <w:jc w:val="both"/>
        <w:textAlignment w:val="auto"/>
        <w:rPr>
          <w:rFonts w:ascii="Times New Roman" w:hAnsi="Times New Roman" w:cs="Times New Roman"/>
          <w:color w:val="auto"/>
          <w:kern w:val="2"/>
          <w:sz w:val="21"/>
          <w:szCs w:val="21"/>
        </w:rPr>
      </w:pPr>
      <w:r>
        <w:rPr>
          <w:rFonts w:hint="eastAsia" w:ascii="Times New Roman" w:hAnsi="Times New Roman" w:cs="Times New Roman"/>
          <w:color w:val="auto"/>
          <w:kern w:val="2"/>
          <w:sz w:val="21"/>
          <w:szCs w:val="21"/>
        </w:rPr>
        <w:t>GB/T 2423.2-2008 电工电子产品环境试验第2部分：试验方法 试验Fc：振动（正弦）</w:t>
      </w:r>
    </w:p>
    <w:p w14:paraId="2A5E83DF">
      <w:pPr>
        <w:pStyle w:val="26"/>
        <w:widowControl w:val="0"/>
        <w:adjustRightInd w:val="0"/>
        <w:snapToGrid w:val="0"/>
        <w:spacing w:line="360" w:lineRule="auto"/>
        <w:jc w:val="both"/>
        <w:textAlignment w:val="auto"/>
        <w:rPr>
          <w:rFonts w:ascii="Times New Roman" w:hAnsi="Times New Roman" w:cs="Times New Roman"/>
          <w:color w:val="auto"/>
          <w:kern w:val="2"/>
          <w:sz w:val="21"/>
          <w:szCs w:val="21"/>
        </w:rPr>
      </w:pPr>
      <w:r>
        <w:rPr>
          <w:rFonts w:ascii="Times New Roman" w:hAnsi="Times New Roman" w:cs="Times New Roman"/>
          <w:color w:val="auto"/>
          <w:kern w:val="2"/>
          <w:sz w:val="21"/>
          <w:szCs w:val="21"/>
        </w:rPr>
        <w:t>GB/T 2423.3-2016 环境试验 第 2 部分：试验方法 试验 Cab：恒定湿热试验</w:t>
      </w:r>
    </w:p>
    <w:p w14:paraId="06F5BD6F">
      <w:pPr>
        <w:pStyle w:val="26"/>
        <w:widowControl w:val="0"/>
        <w:adjustRightInd w:val="0"/>
        <w:snapToGrid w:val="0"/>
        <w:spacing w:line="360" w:lineRule="auto"/>
        <w:jc w:val="both"/>
        <w:textAlignment w:val="auto"/>
        <w:rPr>
          <w:rFonts w:ascii="Times New Roman" w:hAnsi="Times New Roman" w:cs="Times New Roman"/>
          <w:color w:val="auto"/>
          <w:kern w:val="2"/>
          <w:sz w:val="21"/>
          <w:szCs w:val="21"/>
        </w:rPr>
      </w:pPr>
      <w:r>
        <w:rPr>
          <w:rFonts w:hint="eastAsia" w:ascii="Times New Roman" w:hAnsi="Times New Roman" w:cs="Times New Roman"/>
          <w:color w:val="auto"/>
          <w:kern w:val="2"/>
          <w:sz w:val="21"/>
          <w:szCs w:val="21"/>
        </w:rPr>
        <w:t>GB/T 2423.21-2008 电工电子产品环境试验 第2部分：试验方法 试验M：低气压</w:t>
      </w:r>
    </w:p>
    <w:p w14:paraId="1C710060">
      <w:pPr>
        <w:pStyle w:val="26"/>
        <w:widowControl w:val="0"/>
        <w:adjustRightInd w:val="0"/>
        <w:snapToGrid w:val="0"/>
        <w:spacing w:line="360" w:lineRule="auto"/>
        <w:jc w:val="both"/>
        <w:textAlignment w:val="auto"/>
        <w:rPr>
          <w:rFonts w:ascii="Times New Roman" w:hAnsi="Times New Roman" w:cs="Times New Roman"/>
          <w:color w:val="auto"/>
          <w:kern w:val="2"/>
          <w:sz w:val="21"/>
          <w:szCs w:val="21"/>
        </w:rPr>
      </w:pPr>
      <w:r>
        <w:rPr>
          <w:rFonts w:hint="eastAsia" w:ascii="Times New Roman" w:hAnsi="Times New Roman" w:cs="Times New Roman"/>
          <w:color w:val="auto"/>
          <w:kern w:val="2"/>
          <w:sz w:val="21"/>
          <w:szCs w:val="21"/>
        </w:rPr>
        <w:t>GB/T 2423.25-2008 电工电子产品 环境试验 第2部分：试验方法 试验Z/AM：低温/低气压综合试验</w:t>
      </w:r>
    </w:p>
    <w:p w14:paraId="36282D6E">
      <w:pPr>
        <w:pStyle w:val="26"/>
        <w:widowControl w:val="0"/>
        <w:adjustRightInd w:val="0"/>
        <w:snapToGrid w:val="0"/>
        <w:spacing w:line="360" w:lineRule="auto"/>
        <w:jc w:val="both"/>
        <w:textAlignment w:val="auto"/>
        <w:rPr>
          <w:rFonts w:ascii="Times New Roman" w:hAnsi="Times New Roman" w:cs="Times New Roman"/>
          <w:color w:val="auto"/>
          <w:kern w:val="2"/>
          <w:sz w:val="21"/>
          <w:szCs w:val="21"/>
        </w:rPr>
      </w:pPr>
      <w:r>
        <w:rPr>
          <w:rFonts w:hint="eastAsia" w:ascii="Times New Roman" w:hAnsi="Times New Roman" w:cs="Times New Roman"/>
          <w:color w:val="auto"/>
          <w:kern w:val="2"/>
          <w:sz w:val="21"/>
          <w:szCs w:val="21"/>
        </w:rPr>
        <w:t>GB/T 2423.26-2008 电工电子产品 环境试验 第2部分：试验方法 试验Z/BM：高温/低气压综合试验</w:t>
      </w:r>
    </w:p>
    <w:p w14:paraId="3E63A489">
      <w:pPr>
        <w:pStyle w:val="26"/>
        <w:widowControl w:val="0"/>
        <w:adjustRightInd w:val="0"/>
        <w:snapToGrid w:val="0"/>
        <w:spacing w:line="360" w:lineRule="auto"/>
        <w:jc w:val="both"/>
        <w:textAlignment w:val="auto"/>
        <w:rPr>
          <w:rFonts w:ascii="Times New Roman" w:hAnsi="Times New Roman" w:cs="Times New Roman"/>
          <w:color w:val="auto"/>
          <w:kern w:val="2"/>
          <w:sz w:val="21"/>
          <w:szCs w:val="21"/>
        </w:rPr>
      </w:pPr>
      <w:r>
        <w:rPr>
          <w:rFonts w:hint="eastAsia" w:ascii="Times New Roman" w:hAnsi="Times New Roman" w:cs="Times New Roman"/>
          <w:color w:val="auto"/>
          <w:kern w:val="2"/>
          <w:sz w:val="21"/>
          <w:szCs w:val="21"/>
        </w:rPr>
        <w:t>GB/T 2423.27-2005 电工电子产品环境试验 第2部分：试验方法 试验Z/AMD：低温/低气压/湿热连续综合试验</w:t>
      </w:r>
    </w:p>
    <w:p w14:paraId="0FABF1DE">
      <w:pPr>
        <w:pStyle w:val="26"/>
        <w:widowControl w:val="0"/>
        <w:adjustRightInd w:val="0"/>
        <w:snapToGrid w:val="0"/>
        <w:spacing w:line="360" w:lineRule="auto"/>
        <w:jc w:val="both"/>
        <w:textAlignment w:val="auto"/>
        <w:rPr>
          <w:rFonts w:ascii="Times New Roman" w:hAnsi="Times New Roman" w:cs="Times New Roman"/>
          <w:color w:val="auto"/>
          <w:kern w:val="2"/>
          <w:sz w:val="21"/>
          <w:szCs w:val="21"/>
        </w:rPr>
      </w:pPr>
      <w:r>
        <w:rPr>
          <w:rFonts w:ascii="Times New Roman" w:hAnsi="Times New Roman" w:cs="Times New Roman"/>
          <w:color w:val="auto"/>
          <w:kern w:val="2"/>
          <w:sz w:val="21"/>
          <w:szCs w:val="21"/>
        </w:rPr>
        <w:t>GB/T 38930-2020 民用轻小型无人机系统抗风性要求及试验方法</w:t>
      </w:r>
    </w:p>
    <w:p w14:paraId="526A79CF">
      <w:pPr>
        <w:pStyle w:val="26"/>
        <w:widowControl w:val="0"/>
        <w:adjustRightInd w:val="0"/>
        <w:snapToGrid w:val="0"/>
        <w:spacing w:line="360" w:lineRule="auto"/>
        <w:jc w:val="both"/>
        <w:textAlignment w:val="auto"/>
        <w:rPr>
          <w:rFonts w:ascii="Times New Roman" w:hAnsi="Times New Roman" w:cs="Times New Roman"/>
          <w:color w:val="auto"/>
          <w:kern w:val="2"/>
          <w:sz w:val="21"/>
          <w:szCs w:val="21"/>
        </w:rPr>
      </w:pPr>
      <w:r>
        <w:rPr>
          <w:rFonts w:hint="eastAsia" w:ascii="Times New Roman" w:hAnsi="Times New Roman" w:cs="Times New Roman"/>
          <w:color w:val="auto"/>
          <w:kern w:val="2"/>
          <w:sz w:val="21"/>
          <w:szCs w:val="21"/>
          <w:lang w:bidi="ar"/>
        </w:rPr>
        <w:t>YD/T4182-2023 低速无人系统导航定位通用指标及测试方法</w:t>
      </w:r>
    </w:p>
    <w:p w14:paraId="59CFE1D3">
      <w:pPr>
        <w:pStyle w:val="26"/>
        <w:widowControl w:val="0"/>
        <w:adjustRightInd w:val="0"/>
        <w:snapToGrid w:val="0"/>
        <w:spacing w:line="360" w:lineRule="auto"/>
        <w:jc w:val="both"/>
        <w:textAlignment w:val="auto"/>
        <w:rPr>
          <w:rFonts w:ascii="Times New Roman" w:hAnsi="Times New Roman" w:cs="Times New Roman"/>
          <w:color w:val="auto"/>
          <w:kern w:val="2"/>
          <w:sz w:val="21"/>
          <w:szCs w:val="21"/>
        </w:rPr>
      </w:pPr>
      <w:r>
        <w:rPr>
          <w:rFonts w:ascii="Times New Roman" w:hAnsi="Times New Roman" w:cs="Times New Roman"/>
          <w:color w:val="auto"/>
          <w:kern w:val="2"/>
          <w:sz w:val="21"/>
          <w:szCs w:val="21"/>
        </w:rPr>
        <w:t>GB/T 17626.3-2016 电磁兼容 试验和测量技术射频电磁场辐射抗扰度试验</w:t>
      </w:r>
    </w:p>
    <w:p w14:paraId="17173D83">
      <w:pPr>
        <w:pStyle w:val="26"/>
        <w:widowControl w:val="0"/>
        <w:adjustRightInd w:val="0"/>
        <w:snapToGrid w:val="0"/>
        <w:spacing w:line="360" w:lineRule="auto"/>
        <w:jc w:val="both"/>
        <w:textAlignment w:val="auto"/>
        <w:rPr>
          <w:rFonts w:ascii="Times New Roman" w:hAnsi="Times New Roman" w:cs="Times New Roman"/>
          <w:color w:val="auto"/>
          <w:kern w:val="2"/>
          <w:sz w:val="21"/>
          <w:szCs w:val="21"/>
        </w:rPr>
      </w:pPr>
      <w:r>
        <w:rPr>
          <w:rFonts w:ascii="Times New Roman" w:hAnsi="Times New Roman" w:cs="Times New Roman"/>
          <w:color w:val="auto"/>
          <w:kern w:val="2"/>
          <w:sz w:val="21"/>
          <w:szCs w:val="21"/>
        </w:rPr>
        <w:t>GB/T 17626.2-2018 电磁兼容 试验和测量技术 静电放电抗扰度试验</w:t>
      </w:r>
    </w:p>
    <w:p w14:paraId="719F869B">
      <w:pPr>
        <w:pStyle w:val="26"/>
        <w:widowControl w:val="0"/>
        <w:adjustRightInd w:val="0"/>
        <w:snapToGrid w:val="0"/>
        <w:spacing w:line="360" w:lineRule="auto"/>
        <w:jc w:val="both"/>
        <w:textAlignment w:val="auto"/>
        <w:rPr>
          <w:rFonts w:ascii="Times New Roman" w:hAnsi="Times New Roman" w:cs="Times New Roman"/>
          <w:color w:val="auto"/>
          <w:kern w:val="2"/>
          <w:sz w:val="21"/>
          <w:szCs w:val="21"/>
        </w:rPr>
      </w:pPr>
      <w:r>
        <w:rPr>
          <w:rFonts w:hint="eastAsia" w:ascii="Times New Roman" w:hAnsi="Times New Roman" w:cs="Times New Roman"/>
          <w:color w:val="auto"/>
          <w:kern w:val="2"/>
          <w:sz w:val="21"/>
          <w:szCs w:val="21"/>
        </w:rPr>
        <w:t>GB/T 17626.9-2011 电磁兼容 试验和测量技术 脉冲磁场抗扰度试验</w:t>
      </w:r>
    </w:p>
    <w:p w14:paraId="0FFBD51C">
      <w:pPr>
        <w:pStyle w:val="26"/>
        <w:widowControl w:val="0"/>
        <w:adjustRightInd w:val="0"/>
        <w:snapToGrid w:val="0"/>
        <w:spacing w:line="360" w:lineRule="auto"/>
        <w:jc w:val="both"/>
        <w:textAlignment w:val="auto"/>
        <w:rPr>
          <w:rFonts w:ascii="Times New Roman" w:hAnsi="Times New Roman" w:cs="Times New Roman"/>
          <w:color w:val="auto"/>
          <w:kern w:val="2"/>
          <w:sz w:val="21"/>
          <w:szCs w:val="21"/>
        </w:rPr>
      </w:pPr>
      <w:r>
        <w:rPr>
          <w:rFonts w:hint="eastAsia" w:ascii="Times New Roman" w:hAnsi="Times New Roman" w:cs="Times New Roman"/>
          <w:color w:val="auto"/>
          <w:kern w:val="2"/>
          <w:sz w:val="21"/>
          <w:szCs w:val="21"/>
        </w:rPr>
        <w:t>GB/T 17626.8-2006 电磁兼容 试验和测量技术 工频磁场抗扰度试验</w:t>
      </w:r>
    </w:p>
    <w:p w14:paraId="4B2B3CC2">
      <w:pPr>
        <w:pStyle w:val="26"/>
        <w:widowControl w:val="0"/>
        <w:adjustRightInd w:val="0"/>
        <w:snapToGrid w:val="0"/>
        <w:spacing w:line="360" w:lineRule="auto"/>
        <w:jc w:val="both"/>
        <w:textAlignment w:val="auto"/>
        <w:rPr>
          <w:rFonts w:ascii="Times New Roman" w:hAnsi="Times New Roman" w:cs="Times New Roman"/>
          <w:color w:val="auto"/>
          <w:kern w:val="2"/>
          <w:sz w:val="21"/>
          <w:szCs w:val="21"/>
        </w:rPr>
      </w:pPr>
      <w:r>
        <w:rPr>
          <w:rFonts w:ascii="Times New Roman" w:hAnsi="Times New Roman" w:cs="Times New Roman"/>
          <w:color w:val="auto"/>
          <w:kern w:val="2"/>
          <w:sz w:val="21"/>
          <w:szCs w:val="21"/>
        </w:rPr>
        <w:t>中国南方电网有限责任公司送样检测业务指导书</w:t>
      </w:r>
    </w:p>
    <w:p w14:paraId="54C6B10C">
      <w:pPr>
        <w:pStyle w:val="26"/>
        <w:widowControl w:val="0"/>
        <w:adjustRightInd w:val="0"/>
        <w:snapToGrid w:val="0"/>
        <w:spacing w:line="360" w:lineRule="auto"/>
        <w:jc w:val="both"/>
        <w:textAlignment w:val="auto"/>
        <w:rPr>
          <w:rFonts w:ascii="Times New Roman" w:hAnsi="Times New Roman" w:cs="Times New Roman"/>
          <w:color w:val="auto"/>
          <w:kern w:val="2"/>
          <w:sz w:val="21"/>
          <w:szCs w:val="21"/>
        </w:rPr>
      </w:pPr>
      <w:r>
        <w:rPr>
          <w:rFonts w:ascii="Times New Roman" w:hAnsi="Times New Roman" w:cs="Times New Roman"/>
          <w:color w:val="auto"/>
          <w:kern w:val="2"/>
          <w:sz w:val="21"/>
          <w:szCs w:val="21"/>
        </w:rPr>
        <w:t>中国南方电网有限责任公司到货抽检业务指导书</w:t>
      </w:r>
    </w:p>
    <w:p w14:paraId="6582F9A4">
      <w:pPr>
        <w:pStyle w:val="26"/>
        <w:widowControl w:val="0"/>
        <w:adjustRightInd w:val="0"/>
        <w:snapToGrid w:val="0"/>
        <w:spacing w:line="360" w:lineRule="auto"/>
        <w:jc w:val="both"/>
        <w:textAlignment w:val="auto"/>
        <w:rPr>
          <w:rFonts w:ascii="Times New Roman" w:hAnsi="Times New Roman" w:cs="Times New Roman"/>
          <w:color w:val="auto"/>
          <w:kern w:val="2"/>
          <w:sz w:val="21"/>
          <w:szCs w:val="21"/>
        </w:rPr>
      </w:pPr>
      <w:r>
        <w:rPr>
          <w:rFonts w:hint="eastAsia" w:ascii="Times New Roman" w:hAnsi="Times New Roman" w:cs="Times New Roman"/>
          <w:color w:val="auto"/>
          <w:kern w:val="2"/>
          <w:sz w:val="21"/>
          <w:szCs w:val="21"/>
        </w:rPr>
        <w:t>中国南方电网有限责任公司专项抽检业务指导书</w:t>
      </w:r>
    </w:p>
    <w:p w14:paraId="6CAFF213">
      <w:pPr>
        <w:widowControl w:val="0"/>
        <w:spacing w:line="480" w:lineRule="auto"/>
        <w:jc w:val="both"/>
        <w:textAlignment w:val="auto"/>
        <w:outlineLvl w:val="0"/>
        <w:rPr>
          <w:rFonts w:ascii="Times New Roman" w:hAnsi="Times New Roman" w:eastAsia="黑体" w:cs="Times New Roman"/>
          <w:b/>
          <w:bCs/>
          <w:color w:val="auto"/>
          <w:kern w:val="2"/>
          <w:sz w:val="21"/>
          <w:szCs w:val="21"/>
        </w:rPr>
      </w:pPr>
      <w:bookmarkStart w:id="24" w:name="_Toc26535"/>
      <w:bookmarkStart w:id="25" w:name="_Toc31424"/>
      <w:bookmarkStart w:id="26" w:name="_Toc226035283"/>
      <w:r>
        <w:rPr>
          <w:rFonts w:ascii="Times New Roman" w:hAnsi="Times New Roman" w:eastAsia="黑体" w:cs="Times New Roman"/>
          <w:b/>
          <w:bCs/>
          <w:color w:val="auto"/>
          <w:kern w:val="2"/>
          <w:sz w:val="21"/>
          <w:szCs w:val="21"/>
        </w:rPr>
        <w:t>4 使用条件</w:t>
      </w:r>
      <w:bookmarkEnd w:id="24"/>
      <w:bookmarkEnd w:id="25"/>
      <w:bookmarkEnd w:id="26"/>
    </w:p>
    <w:p w14:paraId="34E6B984">
      <w:pPr>
        <w:widowControl w:val="0"/>
        <w:adjustRightInd w:val="0"/>
        <w:snapToGrid w:val="0"/>
        <w:spacing w:line="360" w:lineRule="auto"/>
        <w:jc w:val="both"/>
        <w:textAlignment w:val="auto"/>
        <w:outlineLvl w:val="1"/>
        <w:rPr>
          <w:rFonts w:ascii="Times New Roman" w:hAnsi="Times New Roman" w:eastAsia="黑体" w:cs="Times New Roman"/>
          <w:color w:val="auto"/>
          <w:kern w:val="2"/>
          <w:sz w:val="21"/>
          <w:szCs w:val="21"/>
        </w:rPr>
      </w:pPr>
      <w:bookmarkStart w:id="27" w:name="_Toc226035284"/>
      <w:bookmarkStart w:id="28" w:name="_Toc12908"/>
      <w:bookmarkStart w:id="29" w:name="_Toc15828"/>
      <w:r>
        <w:rPr>
          <w:rFonts w:ascii="Times New Roman" w:hAnsi="Times New Roman" w:eastAsia="黑体" w:cs="Times New Roman"/>
          <w:color w:val="auto"/>
          <w:kern w:val="2"/>
          <w:sz w:val="21"/>
          <w:szCs w:val="21"/>
        </w:rPr>
        <w:t>4.1 正常使用条件</w:t>
      </w:r>
      <w:bookmarkEnd w:id="27"/>
      <w:bookmarkEnd w:id="28"/>
      <w:bookmarkEnd w:id="29"/>
    </w:p>
    <w:p w14:paraId="1267C51D">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1）工作温度范围：-20℃～55℃；</w:t>
      </w:r>
    </w:p>
    <w:p w14:paraId="320199F1">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2）适用海拔高度：</w:t>
      </w:r>
      <w:r>
        <w:rPr>
          <w:rFonts w:hint="eastAsia" w:ascii="Times New Roman" w:hAnsi="Times New Roman" w:eastAsia="宋体" w:cs="Times New Roman"/>
          <w:color w:val="auto"/>
          <w:kern w:val="2"/>
          <w:sz w:val="21"/>
          <w:szCs w:val="21"/>
          <w:lang w:val="en-US" w:eastAsia="zh-CN"/>
        </w:rPr>
        <w:t>≥</w:t>
      </w:r>
      <w:bookmarkStart w:id="112" w:name="_GoBack"/>
      <w:bookmarkEnd w:id="112"/>
      <w:r>
        <w:rPr>
          <w:rFonts w:hint="eastAsia" w:ascii="Times New Roman" w:hAnsi="Times New Roman" w:eastAsia="宋体" w:cs="Times New Roman"/>
          <w:color w:val="auto"/>
          <w:kern w:val="2"/>
          <w:sz w:val="21"/>
          <w:szCs w:val="21"/>
        </w:rPr>
        <w:t>6000m所有区域；</w:t>
      </w:r>
    </w:p>
    <w:p w14:paraId="027B7311">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3）作业环境风速：≤14m/s（瞬时风速≤10m/s）；</w:t>
      </w:r>
    </w:p>
    <w:p w14:paraId="54FA15B6">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4）作业环境：可在无雨或小雨天气（雨强≤2.5mm/h）下进行短时除树障作业；</w:t>
      </w:r>
    </w:p>
    <w:p w14:paraId="191FCC5A">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5）可清理最大树木直径：≥30mm</w:t>
      </w:r>
    </w:p>
    <w:p w14:paraId="73EF4C05">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6）适用电压等级：10kV～220kV架空输电线路。</w:t>
      </w:r>
    </w:p>
    <w:p w14:paraId="3E4445EA">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7）卫星系统技术要求：仅支持BDS且兼容北斗3号及以下卫星系统。</w:t>
      </w:r>
    </w:p>
    <w:p w14:paraId="5C3B03A3">
      <w:pPr>
        <w:widowControl w:val="0"/>
        <w:adjustRightInd w:val="0"/>
        <w:snapToGrid w:val="0"/>
        <w:spacing w:line="360" w:lineRule="auto"/>
        <w:jc w:val="both"/>
        <w:textAlignment w:val="auto"/>
        <w:outlineLvl w:val="1"/>
        <w:rPr>
          <w:rFonts w:ascii="Times New Roman" w:hAnsi="Times New Roman" w:eastAsia="黑体" w:cs="Times New Roman"/>
          <w:color w:val="auto"/>
          <w:kern w:val="2"/>
          <w:sz w:val="21"/>
          <w:szCs w:val="21"/>
        </w:rPr>
      </w:pPr>
      <w:bookmarkStart w:id="30" w:name="_Toc17965"/>
      <w:bookmarkStart w:id="31" w:name="_Toc19694"/>
      <w:bookmarkStart w:id="32" w:name="_Toc226035285"/>
      <w:r>
        <w:rPr>
          <w:rFonts w:ascii="Times New Roman" w:hAnsi="Times New Roman" w:eastAsia="黑体" w:cs="Times New Roman"/>
          <w:color w:val="auto"/>
          <w:kern w:val="2"/>
          <w:sz w:val="21"/>
          <w:szCs w:val="21"/>
        </w:rPr>
        <w:t>4.2 特殊使用条件</w:t>
      </w:r>
      <w:bookmarkEnd w:id="30"/>
      <w:bookmarkEnd w:id="31"/>
      <w:bookmarkEnd w:id="32"/>
    </w:p>
    <w:p w14:paraId="5F07780D">
      <w:pPr>
        <w:widowControl w:val="0"/>
        <w:snapToGrid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凡不满足4.1条正常使用条件之外的特殊条件，如极端环境温度、高海拔（＞6000m）、强污秽等级、强电磁干扰区域等，项目单位应明确，且应在技术规范书的相应技术条款中对有关技术参数及要求加以修正、说明，并在提交需求计划及招标技术规范书时向物资部门特别明确。</w:t>
      </w:r>
    </w:p>
    <w:p w14:paraId="3C9583E2">
      <w:pPr>
        <w:widowControl w:val="0"/>
        <w:spacing w:line="480" w:lineRule="auto"/>
        <w:jc w:val="both"/>
        <w:textAlignment w:val="auto"/>
        <w:outlineLvl w:val="0"/>
        <w:rPr>
          <w:rFonts w:ascii="Times New Roman" w:hAnsi="Times New Roman" w:eastAsia="黑体" w:cs="Times New Roman"/>
          <w:b/>
          <w:bCs/>
          <w:color w:val="auto"/>
          <w:kern w:val="2"/>
          <w:sz w:val="21"/>
          <w:szCs w:val="21"/>
        </w:rPr>
      </w:pPr>
      <w:bookmarkStart w:id="33" w:name="_Toc14929"/>
      <w:bookmarkStart w:id="34" w:name="_Toc28333"/>
      <w:bookmarkStart w:id="35" w:name="_Toc226035286"/>
      <w:r>
        <w:rPr>
          <w:rFonts w:ascii="Times New Roman" w:hAnsi="Times New Roman" w:eastAsia="黑体" w:cs="Times New Roman"/>
          <w:b/>
          <w:bCs/>
          <w:color w:val="auto"/>
          <w:kern w:val="2"/>
          <w:sz w:val="21"/>
          <w:szCs w:val="21"/>
        </w:rPr>
        <w:t>5 技术要求</w:t>
      </w:r>
      <w:bookmarkEnd w:id="33"/>
      <w:bookmarkEnd w:id="34"/>
      <w:bookmarkEnd w:id="35"/>
    </w:p>
    <w:p w14:paraId="4EF143ED">
      <w:pPr>
        <w:pStyle w:val="3"/>
        <w:keepNext/>
        <w:keepLines/>
        <w:widowControl w:val="0"/>
        <w:spacing w:before="0" w:after="0" w:line="360" w:lineRule="auto"/>
        <w:jc w:val="both"/>
        <w:textAlignment w:val="auto"/>
        <w:rPr>
          <w:rFonts w:ascii="Times New Roman" w:hAnsi="Times New Roman" w:eastAsia="黑体" w:cs="Times New Roman"/>
          <w:b w:val="0"/>
          <w:bCs/>
          <w:color w:val="auto"/>
          <w:kern w:val="2"/>
          <w:sz w:val="21"/>
          <w:szCs w:val="21"/>
        </w:rPr>
      </w:pPr>
      <w:bookmarkStart w:id="36" w:name="_Toc226035287"/>
      <w:bookmarkStart w:id="37" w:name="_Toc30469"/>
      <w:bookmarkStart w:id="38" w:name="_Toc18965"/>
      <w:r>
        <w:rPr>
          <w:rFonts w:hint="eastAsia" w:ascii="Times New Roman" w:hAnsi="Times New Roman" w:eastAsia="黑体" w:cs="Times New Roman"/>
          <w:b w:val="0"/>
          <w:bCs/>
          <w:color w:val="auto"/>
          <w:kern w:val="2"/>
          <w:sz w:val="21"/>
          <w:szCs w:val="21"/>
        </w:rPr>
        <w:t>5.1 飞行器技术要求</w:t>
      </w:r>
      <w:bookmarkEnd w:id="36"/>
      <w:bookmarkEnd w:id="37"/>
      <w:bookmarkEnd w:id="38"/>
    </w:p>
    <w:p w14:paraId="18C7B83C">
      <w:pPr>
        <w:pStyle w:val="27"/>
        <w:widowControl w:val="0"/>
        <w:numPr>
          <w:ilvl w:val="0"/>
          <w:numId w:val="3"/>
        </w:numPr>
        <w:tabs>
          <w:tab w:val="left" w:pos="851"/>
        </w:tabs>
        <w:spacing w:line="360" w:lineRule="auto"/>
        <w:ind w:firstLineChars="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轴数：≥4个（基础款标准配置，保障除树障作业稳定性）。</w:t>
      </w:r>
    </w:p>
    <w:p w14:paraId="40F3A72B">
      <w:pPr>
        <w:pStyle w:val="27"/>
        <w:widowControl w:val="0"/>
        <w:numPr>
          <w:ilvl w:val="0"/>
          <w:numId w:val="3"/>
        </w:numPr>
        <w:tabs>
          <w:tab w:val="left" w:pos="851"/>
        </w:tabs>
        <w:spacing w:line="360" w:lineRule="auto"/>
        <w:ind w:firstLineChars="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全负载起飞重量（含除障装置、电池）：不少于80公斤。</w:t>
      </w:r>
    </w:p>
    <w:p w14:paraId="5E610080">
      <w:pPr>
        <w:pStyle w:val="27"/>
        <w:widowControl w:val="0"/>
        <w:numPr>
          <w:ilvl w:val="0"/>
          <w:numId w:val="3"/>
        </w:numPr>
        <w:tabs>
          <w:tab w:val="left" w:pos="851"/>
        </w:tabs>
        <w:spacing w:line="360" w:lineRule="auto"/>
        <w:ind w:firstLineChars="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飞行模式：巡航模式 / 快速工作模式 / 慢速工作模式。</w:t>
      </w:r>
    </w:p>
    <w:p w14:paraId="4A5D0D36">
      <w:pPr>
        <w:pStyle w:val="27"/>
        <w:widowControl w:val="0"/>
        <w:numPr>
          <w:ilvl w:val="0"/>
          <w:numId w:val="3"/>
        </w:numPr>
        <w:tabs>
          <w:tab w:val="left" w:pos="851"/>
        </w:tabs>
        <w:spacing w:line="360" w:lineRule="auto"/>
        <w:ind w:firstLineChars="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飞行速度：</w:t>
      </w:r>
      <w:r>
        <w:rPr>
          <w:rFonts w:hint="eastAsia" w:ascii="宋体" w:hAnsi="宋体"/>
          <w:szCs w:val="21"/>
        </w:rPr>
        <w:t>≥50km/h。</w:t>
      </w:r>
    </w:p>
    <w:p w14:paraId="6ED09ADE">
      <w:pPr>
        <w:pStyle w:val="27"/>
        <w:widowControl w:val="0"/>
        <w:numPr>
          <w:ilvl w:val="0"/>
          <w:numId w:val="3"/>
        </w:numPr>
        <w:tabs>
          <w:tab w:val="left" w:pos="851"/>
        </w:tabs>
        <w:spacing w:line="360" w:lineRule="auto"/>
        <w:ind w:firstLineChars="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最大可承受风速：14m/s。</w:t>
      </w:r>
    </w:p>
    <w:p w14:paraId="53D23713">
      <w:pPr>
        <w:pStyle w:val="27"/>
        <w:widowControl w:val="0"/>
        <w:numPr>
          <w:ilvl w:val="0"/>
          <w:numId w:val="3"/>
        </w:numPr>
        <w:tabs>
          <w:tab w:val="left" w:pos="851"/>
        </w:tabs>
        <w:spacing w:line="360" w:lineRule="auto"/>
        <w:ind w:firstLineChars="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搭载全套任务荷载（含除障装置）后作业时间：不少于18min。</w:t>
      </w:r>
    </w:p>
    <w:p w14:paraId="4297BAA1">
      <w:pPr>
        <w:pStyle w:val="27"/>
        <w:widowControl w:val="0"/>
        <w:numPr>
          <w:ilvl w:val="0"/>
          <w:numId w:val="3"/>
        </w:numPr>
        <w:tabs>
          <w:tab w:val="left" w:pos="851"/>
        </w:tabs>
        <w:spacing w:line="360" w:lineRule="auto"/>
        <w:ind w:firstLineChars="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卫星定位模块：仅支持BDS且兼容北斗3号及以下卫星系统。</w:t>
      </w:r>
    </w:p>
    <w:p w14:paraId="51DF8D73">
      <w:pPr>
        <w:pStyle w:val="27"/>
        <w:widowControl w:val="0"/>
        <w:numPr>
          <w:ilvl w:val="0"/>
          <w:numId w:val="3"/>
        </w:numPr>
        <w:tabs>
          <w:tab w:val="left" w:pos="851"/>
        </w:tabs>
        <w:spacing w:line="360" w:lineRule="auto"/>
        <w:ind w:firstLineChars="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定位精度：垂直偏差≤20cm；水平偏差≤10cm。（满足树障清除对位基础需求）。</w:t>
      </w:r>
    </w:p>
    <w:p w14:paraId="08426240">
      <w:pPr>
        <w:pStyle w:val="27"/>
        <w:widowControl w:val="0"/>
        <w:numPr>
          <w:ilvl w:val="0"/>
          <w:numId w:val="3"/>
        </w:numPr>
        <w:tabs>
          <w:tab w:val="left" w:pos="851"/>
        </w:tabs>
        <w:spacing w:line="360" w:lineRule="auto"/>
        <w:ind w:firstLineChars="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除树障作业模式：仅支持手动除障模式（遥控器独立按键控制剪切动作）。</w:t>
      </w:r>
    </w:p>
    <w:p w14:paraId="75BFF32F">
      <w:pPr>
        <w:pStyle w:val="3"/>
        <w:keepNext/>
        <w:keepLines/>
        <w:widowControl w:val="0"/>
        <w:spacing w:before="0" w:after="0" w:line="360" w:lineRule="auto"/>
        <w:jc w:val="both"/>
        <w:textAlignment w:val="auto"/>
        <w:rPr>
          <w:rFonts w:ascii="Times New Roman" w:hAnsi="Times New Roman" w:eastAsia="黑体" w:cs="Times New Roman"/>
          <w:b w:val="0"/>
          <w:bCs/>
          <w:color w:val="auto"/>
          <w:kern w:val="2"/>
          <w:sz w:val="21"/>
          <w:szCs w:val="21"/>
        </w:rPr>
      </w:pPr>
      <w:bookmarkStart w:id="39" w:name="_Toc226035288"/>
      <w:bookmarkStart w:id="40" w:name="_Toc30867"/>
      <w:bookmarkStart w:id="41" w:name="_Toc29567"/>
      <w:r>
        <w:rPr>
          <w:rFonts w:hint="eastAsia" w:ascii="Times New Roman" w:hAnsi="Times New Roman" w:eastAsia="黑体" w:cs="Times New Roman"/>
          <w:b w:val="0"/>
          <w:bCs/>
          <w:color w:val="auto"/>
          <w:kern w:val="2"/>
          <w:sz w:val="21"/>
          <w:szCs w:val="21"/>
        </w:rPr>
        <w:t>5.2 遥控器技术要求</w:t>
      </w:r>
      <w:bookmarkEnd w:id="39"/>
      <w:bookmarkEnd w:id="40"/>
      <w:bookmarkEnd w:id="41"/>
    </w:p>
    <w:p w14:paraId="5FE14C48">
      <w:pPr>
        <w:pStyle w:val="27"/>
        <w:widowControl w:val="0"/>
        <w:numPr>
          <w:ilvl w:val="0"/>
          <w:numId w:val="4"/>
        </w:numPr>
        <w:tabs>
          <w:tab w:val="left" w:pos="851"/>
        </w:tabs>
        <w:spacing w:line="360" w:lineRule="auto"/>
        <w:ind w:left="420" w:firstLine="0" w:firstLineChars="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遥控器工作频率：</w:t>
      </w:r>
      <w:r>
        <w:rPr>
          <w:rFonts w:hint="eastAsia" w:ascii="宋体" w:hAnsi="宋体"/>
          <w:szCs w:val="21"/>
        </w:rPr>
        <w:t>2</w:t>
      </w:r>
      <w:r>
        <w:rPr>
          <w:rFonts w:hint="eastAsia" w:ascii="Times New Roman" w:hAnsi="Times New Roman" w:eastAsia="宋体" w:cs="Times New Roman"/>
          <w:color w:val="auto"/>
          <w:kern w:val="2"/>
          <w:sz w:val="21"/>
          <w:szCs w:val="21"/>
        </w:rPr>
        <w:t>.4Ghz 频率，显示屏≥3.5 英寸，按键响应延迟≤300ms。</w:t>
      </w:r>
    </w:p>
    <w:p w14:paraId="47775A3D">
      <w:pPr>
        <w:pStyle w:val="27"/>
        <w:widowControl w:val="0"/>
        <w:numPr>
          <w:ilvl w:val="0"/>
          <w:numId w:val="4"/>
        </w:numPr>
        <w:tabs>
          <w:tab w:val="left" w:pos="851"/>
        </w:tabs>
        <w:spacing w:line="360" w:lineRule="auto"/>
        <w:ind w:left="420" w:firstLine="0" w:firstLineChars="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除障控制功能：配备独立除树障控制按键（剪切启动、急停），按键响应延迟≤300ms。</w:t>
      </w:r>
    </w:p>
    <w:p w14:paraId="48CDA8A8">
      <w:pPr>
        <w:pStyle w:val="27"/>
        <w:widowControl w:val="0"/>
        <w:numPr>
          <w:ilvl w:val="0"/>
          <w:numId w:val="4"/>
        </w:numPr>
        <w:tabs>
          <w:tab w:val="left" w:pos="851"/>
        </w:tabs>
        <w:spacing w:line="360" w:lineRule="auto"/>
        <w:ind w:left="420" w:firstLine="0" w:firstLineChars="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紧急停机功能：具备物理紧急停机按键，按下后无人机立即悬停并切断除障装置动力。</w:t>
      </w:r>
    </w:p>
    <w:p w14:paraId="14CC0E59">
      <w:pPr>
        <w:pStyle w:val="27"/>
        <w:widowControl w:val="0"/>
        <w:numPr>
          <w:ilvl w:val="0"/>
          <w:numId w:val="4"/>
        </w:numPr>
        <w:tabs>
          <w:tab w:val="left" w:pos="851"/>
        </w:tabs>
        <w:spacing w:line="360" w:lineRule="auto"/>
        <w:ind w:left="420" w:firstLine="0" w:firstLineChars="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续航能力：内置可充电锂电池，单次充电连续工作时间≥5h。</w:t>
      </w:r>
    </w:p>
    <w:p w14:paraId="734F3396">
      <w:pPr>
        <w:pStyle w:val="27"/>
        <w:widowControl w:val="0"/>
        <w:numPr>
          <w:ilvl w:val="0"/>
          <w:numId w:val="4"/>
        </w:numPr>
        <w:tabs>
          <w:tab w:val="left" w:pos="851"/>
        </w:tabs>
        <w:spacing w:line="360" w:lineRule="auto"/>
        <w:ind w:left="420" w:firstLine="0" w:firstLineChars="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显示屏：配备≥3.5英寸液晶显示屏，可显示电池电量、信号强度、飞行模式等基础信息。</w:t>
      </w:r>
    </w:p>
    <w:p w14:paraId="407AF7BB">
      <w:pPr>
        <w:pStyle w:val="3"/>
        <w:keepNext/>
        <w:keepLines/>
        <w:widowControl w:val="0"/>
        <w:spacing w:before="0" w:after="0" w:line="360" w:lineRule="auto"/>
        <w:jc w:val="both"/>
        <w:textAlignment w:val="auto"/>
        <w:rPr>
          <w:rFonts w:ascii="Times New Roman" w:hAnsi="Times New Roman" w:eastAsia="黑体" w:cs="Times New Roman"/>
          <w:b w:val="0"/>
          <w:bCs/>
          <w:color w:val="auto"/>
          <w:kern w:val="2"/>
          <w:sz w:val="21"/>
          <w:szCs w:val="21"/>
        </w:rPr>
      </w:pPr>
      <w:bookmarkStart w:id="42" w:name="_Toc226035289"/>
      <w:bookmarkStart w:id="43" w:name="_Toc25284"/>
      <w:bookmarkStart w:id="44" w:name="_Toc11434"/>
      <w:r>
        <w:rPr>
          <w:rFonts w:hint="eastAsia" w:ascii="Times New Roman" w:hAnsi="Times New Roman" w:eastAsia="黑体" w:cs="Times New Roman"/>
          <w:b w:val="0"/>
          <w:bCs/>
          <w:color w:val="auto"/>
          <w:kern w:val="2"/>
          <w:sz w:val="21"/>
          <w:szCs w:val="21"/>
        </w:rPr>
        <w:t>5.3 电池技术要求</w:t>
      </w:r>
      <w:bookmarkEnd w:id="42"/>
      <w:bookmarkEnd w:id="43"/>
      <w:bookmarkEnd w:id="44"/>
    </w:p>
    <w:p w14:paraId="487E8CB0">
      <w:pPr>
        <w:widowControl w:val="0"/>
        <w:numPr>
          <w:ilvl w:val="0"/>
          <w:numId w:val="5"/>
        </w:numPr>
        <w:tabs>
          <w:tab w:val="left" w:pos="851"/>
          <w:tab w:val="clear" w:pos="840"/>
        </w:tabs>
        <w:adjustRightInd w:val="0"/>
        <w:spacing w:line="360" w:lineRule="auto"/>
        <w:ind w:left="420" w:firstLine="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最大充电功率：≥60W。</w:t>
      </w:r>
    </w:p>
    <w:p w14:paraId="39E807EA">
      <w:pPr>
        <w:widowControl w:val="0"/>
        <w:numPr>
          <w:ilvl w:val="0"/>
          <w:numId w:val="5"/>
        </w:numPr>
        <w:tabs>
          <w:tab w:val="left" w:pos="851"/>
          <w:tab w:val="clear" w:pos="840"/>
        </w:tabs>
        <w:adjustRightInd w:val="0"/>
        <w:spacing w:line="360" w:lineRule="auto"/>
        <w:ind w:left="420" w:firstLine="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是否支持电池USB放电转换：是。</w:t>
      </w:r>
    </w:p>
    <w:p w14:paraId="15847CE5">
      <w:pPr>
        <w:widowControl w:val="0"/>
        <w:numPr>
          <w:ilvl w:val="0"/>
          <w:numId w:val="5"/>
        </w:numPr>
        <w:tabs>
          <w:tab w:val="left" w:pos="851"/>
          <w:tab w:val="clear" w:pos="840"/>
        </w:tabs>
        <w:adjustRightInd w:val="0"/>
        <w:spacing w:line="360" w:lineRule="auto"/>
        <w:ind w:left="420" w:firstLine="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是否支持电池管家：是（支持2块电池同时充电管理）。</w:t>
      </w:r>
    </w:p>
    <w:p w14:paraId="16B80B5A">
      <w:pPr>
        <w:widowControl w:val="0"/>
        <w:numPr>
          <w:ilvl w:val="0"/>
          <w:numId w:val="5"/>
        </w:numPr>
        <w:tabs>
          <w:tab w:val="left" w:pos="851"/>
          <w:tab w:val="clear" w:pos="840"/>
        </w:tabs>
        <w:adjustRightInd w:val="0"/>
        <w:spacing w:line="360" w:lineRule="auto"/>
        <w:ind w:left="420" w:firstLine="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电池容量：20000mAh，6S 规格，锂聚合物材质。</w:t>
      </w:r>
    </w:p>
    <w:p w14:paraId="2D982AFA">
      <w:pPr>
        <w:widowControl w:val="0"/>
        <w:numPr>
          <w:ilvl w:val="0"/>
          <w:numId w:val="5"/>
        </w:numPr>
        <w:tabs>
          <w:tab w:val="left" w:pos="851"/>
          <w:tab w:val="clear" w:pos="840"/>
        </w:tabs>
        <w:adjustRightInd w:val="0"/>
        <w:spacing w:line="360" w:lineRule="auto"/>
        <w:ind w:left="420" w:firstLine="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循环寿命：≥250次循环（容量保持率≥80%）。</w:t>
      </w:r>
    </w:p>
    <w:p w14:paraId="41B583E6">
      <w:pPr>
        <w:pStyle w:val="3"/>
        <w:keepNext/>
        <w:keepLines/>
        <w:widowControl w:val="0"/>
        <w:spacing w:before="0" w:after="0" w:line="360" w:lineRule="auto"/>
        <w:jc w:val="both"/>
        <w:textAlignment w:val="auto"/>
        <w:rPr>
          <w:rFonts w:ascii="Times New Roman" w:hAnsi="Times New Roman" w:eastAsia="黑体" w:cs="Times New Roman"/>
          <w:b w:val="0"/>
          <w:bCs/>
          <w:color w:val="auto"/>
          <w:kern w:val="2"/>
          <w:sz w:val="21"/>
          <w:szCs w:val="21"/>
        </w:rPr>
      </w:pPr>
      <w:bookmarkStart w:id="45" w:name="_Toc3232"/>
      <w:bookmarkStart w:id="46" w:name="_Toc226035290"/>
      <w:bookmarkStart w:id="47" w:name="_Toc12683"/>
      <w:r>
        <w:rPr>
          <w:rFonts w:hint="eastAsia" w:ascii="Times New Roman" w:hAnsi="Times New Roman" w:eastAsia="黑体" w:cs="Times New Roman"/>
          <w:b w:val="0"/>
          <w:bCs/>
          <w:color w:val="auto"/>
          <w:kern w:val="2"/>
          <w:sz w:val="21"/>
          <w:szCs w:val="21"/>
        </w:rPr>
        <w:t>5.4 图传技术要求</w:t>
      </w:r>
      <w:bookmarkEnd w:id="45"/>
      <w:bookmarkEnd w:id="46"/>
      <w:bookmarkEnd w:id="47"/>
    </w:p>
    <w:p w14:paraId="6B91E88B">
      <w:pPr>
        <w:widowControl w:val="0"/>
        <w:tabs>
          <w:tab w:val="left" w:pos="851"/>
        </w:tabs>
        <w:adjustRightInd w:val="0"/>
        <w:spacing w:line="360" w:lineRule="auto"/>
        <w:ind w:left="42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a）</w:t>
      </w:r>
      <w:r>
        <w:rPr>
          <w:rFonts w:hint="eastAsia" w:ascii="Times New Roman" w:hAnsi="Times New Roman" w:eastAsia="宋体" w:cs="Times New Roman"/>
          <w:color w:val="auto"/>
          <w:kern w:val="2"/>
          <w:sz w:val="21"/>
          <w:szCs w:val="21"/>
        </w:rPr>
        <w:tab/>
      </w:r>
      <w:r>
        <w:rPr>
          <w:rFonts w:hint="eastAsia" w:ascii="Times New Roman" w:hAnsi="Times New Roman" w:eastAsia="宋体" w:cs="Times New Roman"/>
          <w:color w:val="auto"/>
          <w:kern w:val="2"/>
          <w:sz w:val="21"/>
          <w:szCs w:val="21"/>
        </w:rPr>
        <w:t>实时图传：≥1080P@30fps（满足树障观察基础清晰度需求）。</w:t>
      </w:r>
    </w:p>
    <w:p w14:paraId="5792FC1A">
      <w:pPr>
        <w:widowControl w:val="0"/>
        <w:tabs>
          <w:tab w:val="left" w:pos="851"/>
        </w:tabs>
        <w:adjustRightInd w:val="0"/>
        <w:spacing w:line="360" w:lineRule="auto"/>
        <w:ind w:left="42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b）</w:t>
      </w:r>
      <w:r>
        <w:rPr>
          <w:rFonts w:hint="eastAsia" w:ascii="Times New Roman" w:hAnsi="Times New Roman" w:eastAsia="宋体" w:cs="Times New Roman"/>
          <w:color w:val="auto"/>
          <w:kern w:val="2"/>
          <w:sz w:val="21"/>
          <w:szCs w:val="21"/>
        </w:rPr>
        <w:tab/>
      </w:r>
      <w:r>
        <w:rPr>
          <w:rFonts w:hint="eastAsia" w:ascii="Times New Roman" w:hAnsi="Times New Roman" w:eastAsia="宋体" w:cs="Times New Roman"/>
          <w:color w:val="auto"/>
          <w:kern w:val="2"/>
          <w:sz w:val="21"/>
          <w:szCs w:val="21"/>
        </w:rPr>
        <w:t>延时：≤300ms。</w:t>
      </w:r>
    </w:p>
    <w:p w14:paraId="3CDE68F5">
      <w:pPr>
        <w:pStyle w:val="3"/>
        <w:keepNext/>
        <w:keepLines/>
        <w:widowControl w:val="0"/>
        <w:spacing w:before="0" w:after="0" w:line="360" w:lineRule="auto"/>
        <w:jc w:val="both"/>
        <w:textAlignment w:val="auto"/>
        <w:rPr>
          <w:rFonts w:ascii="Times New Roman" w:hAnsi="Times New Roman" w:eastAsia="黑体" w:cs="Times New Roman"/>
          <w:b w:val="0"/>
          <w:bCs/>
          <w:color w:val="auto"/>
          <w:kern w:val="2"/>
          <w:sz w:val="21"/>
          <w:szCs w:val="21"/>
        </w:rPr>
      </w:pPr>
      <w:bookmarkStart w:id="48" w:name="_Toc226035291"/>
      <w:bookmarkStart w:id="49" w:name="_Toc1857"/>
      <w:bookmarkStart w:id="50" w:name="_Toc20320"/>
      <w:r>
        <w:rPr>
          <w:rFonts w:hint="eastAsia" w:ascii="Times New Roman" w:hAnsi="Times New Roman" w:eastAsia="黑体" w:cs="Times New Roman"/>
          <w:b w:val="0"/>
          <w:bCs/>
          <w:color w:val="auto"/>
          <w:kern w:val="2"/>
          <w:sz w:val="21"/>
          <w:szCs w:val="21"/>
        </w:rPr>
        <w:t>5.5 云台相机（除障专用）技术要求</w:t>
      </w:r>
      <w:bookmarkEnd w:id="48"/>
      <w:bookmarkEnd w:id="49"/>
      <w:bookmarkEnd w:id="50"/>
    </w:p>
    <w:p w14:paraId="3B6D4DFB">
      <w:pPr>
        <w:widowControl w:val="0"/>
        <w:tabs>
          <w:tab w:val="left" w:pos="851"/>
        </w:tabs>
        <w:adjustRightInd w:val="0"/>
        <w:spacing w:line="360" w:lineRule="auto"/>
        <w:ind w:left="42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a）</w:t>
      </w:r>
      <w:r>
        <w:rPr>
          <w:rFonts w:hint="eastAsia" w:ascii="Times New Roman" w:hAnsi="Times New Roman" w:eastAsia="宋体" w:cs="Times New Roman"/>
          <w:color w:val="auto"/>
          <w:kern w:val="2"/>
          <w:sz w:val="21"/>
          <w:szCs w:val="21"/>
        </w:rPr>
        <w:tab/>
      </w:r>
      <w:r>
        <w:rPr>
          <w:rFonts w:hint="eastAsia" w:ascii="Times New Roman" w:hAnsi="Times New Roman" w:eastAsia="宋体" w:cs="Times New Roman"/>
          <w:color w:val="auto"/>
          <w:kern w:val="2"/>
          <w:sz w:val="21"/>
          <w:szCs w:val="21"/>
        </w:rPr>
        <w:t>可见光传感器有效像素：≥2000万。</w:t>
      </w:r>
    </w:p>
    <w:p w14:paraId="6B555AE4">
      <w:pPr>
        <w:widowControl w:val="0"/>
        <w:tabs>
          <w:tab w:val="left" w:pos="851"/>
        </w:tabs>
        <w:adjustRightInd w:val="0"/>
        <w:spacing w:line="360" w:lineRule="auto"/>
        <w:ind w:left="42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b）</w:t>
      </w:r>
      <w:r>
        <w:rPr>
          <w:rFonts w:hint="eastAsia" w:ascii="Times New Roman" w:hAnsi="Times New Roman" w:eastAsia="宋体" w:cs="Times New Roman"/>
          <w:color w:val="auto"/>
          <w:kern w:val="2"/>
          <w:sz w:val="21"/>
          <w:szCs w:val="21"/>
        </w:rPr>
        <w:tab/>
      </w:r>
      <w:r>
        <w:rPr>
          <w:rFonts w:hint="eastAsia" w:ascii="Times New Roman" w:hAnsi="Times New Roman" w:eastAsia="宋体" w:cs="Times New Roman"/>
          <w:color w:val="auto"/>
          <w:kern w:val="2"/>
          <w:sz w:val="21"/>
          <w:szCs w:val="21"/>
        </w:rPr>
        <w:t>镜头焦距：支持3倍光学变焦（便于近距离观察树障位置）。</w:t>
      </w:r>
    </w:p>
    <w:p w14:paraId="448CCC52">
      <w:pPr>
        <w:widowControl w:val="0"/>
        <w:tabs>
          <w:tab w:val="left" w:pos="851"/>
        </w:tabs>
        <w:adjustRightInd w:val="0"/>
        <w:spacing w:line="360" w:lineRule="auto"/>
        <w:ind w:left="838" w:leftChars="190" w:hanging="420" w:hanging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c）</w:t>
      </w:r>
      <w:r>
        <w:rPr>
          <w:rFonts w:hint="eastAsia" w:ascii="Times New Roman" w:hAnsi="Times New Roman" w:eastAsia="宋体" w:cs="Times New Roman"/>
          <w:color w:val="auto"/>
          <w:kern w:val="2"/>
          <w:sz w:val="21"/>
          <w:szCs w:val="21"/>
        </w:rPr>
        <w:tab/>
      </w:r>
      <w:r>
        <w:rPr>
          <w:rFonts w:hint="eastAsia" w:ascii="Times New Roman" w:hAnsi="Times New Roman" w:eastAsia="宋体" w:cs="Times New Roman"/>
          <w:color w:val="auto"/>
          <w:kern w:val="2"/>
          <w:sz w:val="21"/>
          <w:szCs w:val="21"/>
        </w:rPr>
        <w:t>支持存储卡类型：传输速度为 Class 10 及以上或达到 UHS-U3评级的microSD 卡；容量64GB</w:t>
      </w:r>
    </w:p>
    <w:p w14:paraId="68874A6A">
      <w:pPr>
        <w:pStyle w:val="3"/>
        <w:keepNext/>
        <w:keepLines/>
        <w:widowControl w:val="0"/>
        <w:spacing w:before="0" w:after="0" w:line="360" w:lineRule="auto"/>
        <w:jc w:val="both"/>
        <w:textAlignment w:val="auto"/>
        <w:rPr>
          <w:rFonts w:ascii="Times New Roman" w:hAnsi="Times New Roman" w:eastAsia="黑体" w:cs="Times New Roman"/>
          <w:b w:val="0"/>
          <w:bCs/>
          <w:color w:val="auto"/>
          <w:kern w:val="2"/>
          <w:sz w:val="21"/>
          <w:szCs w:val="21"/>
        </w:rPr>
      </w:pPr>
      <w:bookmarkStart w:id="51" w:name="_Toc226035292"/>
      <w:bookmarkStart w:id="52" w:name="_Toc30610"/>
      <w:bookmarkStart w:id="53" w:name="_Toc23112"/>
      <w:r>
        <w:rPr>
          <w:rFonts w:hint="eastAsia" w:ascii="Times New Roman" w:hAnsi="Times New Roman" w:eastAsia="黑体" w:cs="Times New Roman"/>
          <w:b w:val="0"/>
          <w:bCs/>
          <w:color w:val="auto"/>
          <w:kern w:val="2"/>
          <w:sz w:val="21"/>
          <w:szCs w:val="21"/>
        </w:rPr>
        <w:t>5.6 除障装置（核心除树障）技术要求</w:t>
      </w:r>
      <w:bookmarkEnd w:id="51"/>
      <w:bookmarkEnd w:id="52"/>
      <w:bookmarkEnd w:id="53"/>
    </w:p>
    <w:p w14:paraId="293EC28A">
      <w:pPr>
        <w:widowControl w:val="0"/>
        <w:tabs>
          <w:tab w:val="left" w:pos="851"/>
        </w:tabs>
        <w:adjustRightInd w:val="0"/>
        <w:spacing w:line="360" w:lineRule="auto"/>
        <w:ind w:left="42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（聚焦机械剪切除树障核心功能，适配基础款作业场景）</w:t>
      </w:r>
    </w:p>
    <w:p w14:paraId="67B9EF8A">
      <w:pPr>
        <w:widowControl w:val="0"/>
        <w:tabs>
          <w:tab w:val="left" w:pos="851"/>
        </w:tabs>
        <w:adjustRightInd w:val="0"/>
        <w:spacing w:line="360" w:lineRule="auto"/>
        <w:ind w:left="42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a）</w:t>
      </w:r>
      <w:r>
        <w:rPr>
          <w:rFonts w:hint="eastAsia" w:ascii="Times New Roman" w:hAnsi="Times New Roman" w:eastAsia="宋体" w:cs="Times New Roman"/>
          <w:color w:val="auto"/>
          <w:kern w:val="2"/>
          <w:sz w:val="21"/>
          <w:szCs w:val="21"/>
        </w:rPr>
        <w:tab/>
      </w:r>
      <w:r>
        <w:rPr>
          <w:rFonts w:hint="eastAsia" w:ascii="Times New Roman" w:hAnsi="Times New Roman" w:eastAsia="宋体" w:cs="Times New Roman"/>
          <w:color w:val="auto"/>
          <w:kern w:val="2"/>
          <w:sz w:val="21"/>
          <w:szCs w:val="21"/>
        </w:rPr>
        <w:t>除障类型：高强度碳钢，HRC≥48，防锈处理，适配直径≤20mm 树障剪切，可清理最大树木直径：≥30mm</w:t>
      </w:r>
    </w:p>
    <w:p w14:paraId="63275EF1">
      <w:pPr>
        <w:widowControl w:val="0"/>
        <w:tabs>
          <w:tab w:val="left" w:pos="851"/>
        </w:tabs>
        <w:adjustRightInd w:val="0"/>
        <w:spacing w:line="360" w:lineRule="auto"/>
        <w:ind w:left="42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b）</w:t>
      </w:r>
      <w:r>
        <w:rPr>
          <w:rFonts w:hint="eastAsia" w:ascii="Times New Roman" w:hAnsi="Times New Roman" w:eastAsia="宋体" w:cs="Times New Roman"/>
          <w:color w:val="auto"/>
          <w:kern w:val="2"/>
          <w:sz w:val="21"/>
          <w:szCs w:val="21"/>
        </w:rPr>
        <w:tab/>
      </w:r>
      <w:r>
        <w:rPr>
          <w:rFonts w:hint="eastAsia" w:ascii="Times New Roman" w:hAnsi="Times New Roman" w:eastAsia="宋体" w:cs="Times New Roman"/>
          <w:color w:val="auto"/>
          <w:kern w:val="2"/>
          <w:sz w:val="21"/>
          <w:szCs w:val="21"/>
        </w:rPr>
        <w:t>剪切装置结构：</w:t>
      </w:r>
    </w:p>
    <w:p w14:paraId="78722D45">
      <w:pPr>
        <w:widowControl w:val="0"/>
        <w:tabs>
          <w:tab w:val="left" w:pos="851"/>
        </w:tabs>
        <w:adjustRightInd w:val="0"/>
        <w:spacing w:line="360" w:lineRule="auto"/>
        <w:ind w:left="42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剪切方式：电动齿轮传动剪切，（满足20mm直径树枝剪切需求），持续切割时间不少于10分钟。</w:t>
      </w:r>
    </w:p>
    <w:p w14:paraId="4F3FBB95">
      <w:pPr>
        <w:widowControl w:val="0"/>
        <w:tabs>
          <w:tab w:val="left" w:pos="851"/>
        </w:tabs>
        <w:adjustRightInd w:val="0"/>
        <w:spacing w:line="360" w:lineRule="auto"/>
        <w:ind w:left="42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c）</w:t>
      </w:r>
      <w:r>
        <w:rPr>
          <w:rFonts w:hint="eastAsia" w:ascii="Times New Roman" w:hAnsi="Times New Roman" w:eastAsia="宋体" w:cs="Times New Roman"/>
          <w:color w:val="auto"/>
          <w:kern w:val="2"/>
          <w:sz w:val="21"/>
          <w:szCs w:val="21"/>
        </w:rPr>
        <w:tab/>
      </w:r>
      <w:r>
        <w:rPr>
          <w:rFonts w:hint="eastAsia" w:ascii="Times New Roman" w:hAnsi="Times New Roman" w:eastAsia="宋体" w:cs="Times New Roman"/>
          <w:color w:val="auto"/>
          <w:kern w:val="2"/>
          <w:sz w:val="21"/>
          <w:szCs w:val="21"/>
        </w:rPr>
        <w:t>安全防护：</w:t>
      </w:r>
    </w:p>
    <w:p w14:paraId="5B0C255C">
      <w:pPr>
        <w:widowControl w:val="0"/>
        <w:tabs>
          <w:tab w:val="left" w:pos="851"/>
        </w:tabs>
        <w:adjustRightInd w:val="0"/>
        <w:spacing w:line="360" w:lineRule="auto"/>
        <w:ind w:left="42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误触保护：仅在无人机悬停状态下，除障装置才能启动剪切动作；遥控器急停按键全程有效。</w:t>
      </w:r>
    </w:p>
    <w:p w14:paraId="7C021947">
      <w:pPr>
        <w:widowControl w:val="0"/>
        <w:tabs>
          <w:tab w:val="left" w:pos="851"/>
        </w:tabs>
        <w:adjustRightInd w:val="0"/>
        <w:spacing w:line="360" w:lineRule="auto"/>
        <w:ind w:left="42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d）支持红外瞄准功能：有效瞄准距离大于等于2米；</w:t>
      </w:r>
    </w:p>
    <w:p w14:paraId="7790B758">
      <w:pPr>
        <w:pStyle w:val="3"/>
        <w:keepNext/>
        <w:keepLines/>
        <w:widowControl w:val="0"/>
        <w:spacing w:before="0" w:after="0" w:line="360" w:lineRule="auto"/>
        <w:jc w:val="both"/>
        <w:textAlignment w:val="auto"/>
        <w:rPr>
          <w:rFonts w:ascii="Times New Roman" w:hAnsi="Times New Roman" w:eastAsia="黑体" w:cs="Times New Roman"/>
          <w:b w:val="0"/>
          <w:bCs/>
          <w:color w:val="auto"/>
          <w:kern w:val="2"/>
          <w:sz w:val="21"/>
          <w:szCs w:val="21"/>
        </w:rPr>
      </w:pPr>
      <w:bookmarkStart w:id="54" w:name="_Toc226035293"/>
      <w:bookmarkStart w:id="55" w:name="_Toc22873"/>
      <w:bookmarkStart w:id="56" w:name="_Toc8482"/>
      <w:r>
        <w:rPr>
          <w:rFonts w:hint="eastAsia" w:ascii="Times New Roman" w:hAnsi="Times New Roman" w:eastAsia="黑体" w:cs="Times New Roman"/>
          <w:b w:val="0"/>
          <w:bCs/>
          <w:color w:val="auto"/>
          <w:kern w:val="2"/>
          <w:sz w:val="21"/>
          <w:szCs w:val="21"/>
        </w:rPr>
        <w:t>5.7 运输箱技术要求</w:t>
      </w:r>
      <w:bookmarkEnd w:id="54"/>
      <w:bookmarkEnd w:id="55"/>
      <w:bookmarkEnd w:id="56"/>
    </w:p>
    <w:p w14:paraId="05D6A33C">
      <w:pPr>
        <w:widowControl w:val="0"/>
        <w:tabs>
          <w:tab w:val="left" w:pos="851"/>
        </w:tabs>
        <w:adjustRightInd w:val="0"/>
        <w:spacing w:line="360" w:lineRule="auto"/>
        <w:ind w:left="42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a）</w:t>
      </w:r>
      <w:r>
        <w:rPr>
          <w:rFonts w:hint="eastAsia" w:ascii="Times New Roman" w:hAnsi="Times New Roman" w:eastAsia="宋体" w:cs="Times New Roman"/>
          <w:color w:val="auto"/>
          <w:kern w:val="2"/>
          <w:sz w:val="21"/>
          <w:szCs w:val="21"/>
        </w:rPr>
        <w:tab/>
      </w:r>
      <w:r>
        <w:rPr>
          <w:rFonts w:hint="eastAsia" w:ascii="Times New Roman" w:hAnsi="Times New Roman" w:eastAsia="宋体" w:cs="Times New Roman"/>
          <w:color w:val="auto"/>
          <w:kern w:val="2"/>
          <w:sz w:val="21"/>
          <w:szCs w:val="21"/>
        </w:rPr>
        <w:t>运输箱：高强度ABS材质便携箱，内置定制EVA缓冲内衬（贴合设备外形，防碰撞）。</w:t>
      </w:r>
    </w:p>
    <w:p w14:paraId="1640D671">
      <w:pPr>
        <w:widowControl w:val="0"/>
        <w:tabs>
          <w:tab w:val="left" w:pos="851"/>
        </w:tabs>
        <w:adjustRightInd w:val="0"/>
        <w:spacing w:line="360" w:lineRule="auto"/>
        <w:ind w:left="42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b）</w:t>
      </w:r>
      <w:r>
        <w:rPr>
          <w:rFonts w:hint="eastAsia" w:ascii="Times New Roman" w:hAnsi="Times New Roman" w:eastAsia="宋体" w:cs="Times New Roman"/>
          <w:color w:val="auto"/>
          <w:kern w:val="2"/>
          <w:sz w:val="21"/>
          <w:szCs w:val="21"/>
        </w:rPr>
        <w:tab/>
      </w:r>
      <w:r>
        <w:rPr>
          <w:rFonts w:hint="eastAsia" w:ascii="Times New Roman" w:hAnsi="Times New Roman" w:eastAsia="宋体" w:cs="Times New Roman"/>
          <w:color w:val="auto"/>
          <w:kern w:val="2"/>
          <w:sz w:val="21"/>
          <w:szCs w:val="21"/>
        </w:rPr>
        <w:t>电池箱：防爆电池箱，容积不小于3.6L（满足2块动力电池存放）。</w:t>
      </w:r>
    </w:p>
    <w:p w14:paraId="506F75E1">
      <w:pPr>
        <w:widowControl w:val="0"/>
        <w:tabs>
          <w:tab w:val="left" w:pos="851"/>
        </w:tabs>
        <w:adjustRightInd w:val="0"/>
        <w:spacing w:line="360" w:lineRule="auto"/>
        <w:ind w:left="42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c）</w:t>
      </w:r>
      <w:r>
        <w:rPr>
          <w:rFonts w:hint="eastAsia" w:ascii="Times New Roman" w:hAnsi="Times New Roman" w:eastAsia="宋体" w:cs="Times New Roman"/>
          <w:color w:val="auto"/>
          <w:kern w:val="2"/>
          <w:sz w:val="21"/>
          <w:szCs w:val="21"/>
        </w:rPr>
        <w:tab/>
      </w:r>
      <w:r>
        <w:rPr>
          <w:rFonts w:hint="eastAsia" w:ascii="Times New Roman" w:hAnsi="Times New Roman" w:eastAsia="宋体" w:cs="Times New Roman"/>
          <w:color w:val="auto"/>
          <w:kern w:val="2"/>
          <w:sz w:val="21"/>
          <w:szCs w:val="21"/>
        </w:rPr>
        <w:t>运输箱防护等级：IP54（防淋水、防尘）。</w:t>
      </w:r>
    </w:p>
    <w:p w14:paraId="5F0A27DB">
      <w:pPr>
        <w:widowControl w:val="0"/>
        <w:tabs>
          <w:tab w:val="left" w:pos="851"/>
        </w:tabs>
        <w:adjustRightInd w:val="0"/>
        <w:spacing w:line="360" w:lineRule="auto"/>
        <w:ind w:left="42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d）</w:t>
      </w:r>
      <w:r>
        <w:rPr>
          <w:rFonts w:hint="eastAsia" w:ascii="Times New Roman" w:hAnsi="Times New Roman" w:eastAsia="宋体" w:cs="Times New Roman"/>
          <w:color w:val="auto"/>
          <w:kern w:val="2"/>
          <w:sz w:val="21"/>
          <w:szCs w:val="21"/>
        </w:rPr>
        <w:tab/>
      </w:r>
      <w:r>
        <w:rPr>
          <w:rFonts w:hint="eastAsia" w:ascii="Times New Roman" w:hAnsi="Times New Roman" w:eastAsia="宋体" w:cs="Times New Roman"/>
          <w:color w:val="auto"/>
          <w:kern w:val="2"/>
          <w:sz w:val="21"/>
          <w:szCs w:val="21"/>
        </w:rPr>
        <w:t>运输箱重量（空箱）：≤10kg（便于人工搬运）。</w:t>
      </w:r>
    </w:p>
    <w:p w14:paraId="23A7E4B6">
      <w:pPr>
        <w:pStyle w:val="3"/>
        <w:keepNext/>
        <w:keepLines/>
        <w:widowControl w:val="0"/>
        <w:spacing w:before="0" w:after="0" w:line="360" w:lineRule="auto"/>
        <w:jc w:val="both"/>
        <w:textAlignment w:val="auto"/>
        <w:rPr>
          <w:rFonts w:ascii="Times New Roman" w:hAnsi="Times New Roman" w:eastAsia="黑体" w:cs="Times New Roman"/>
          <w:b w:val="0"/>
          <w:bCs/>
          <w:color w:val="auto"/>
          <w:kern w:val="2"/>
          <w:sz w:val="21"/>
          <w:szCs w:val="21"/>
        </w:rPr>
      </w:pPr>
      <w:bookmarkStart w:id="57" w:name="_Toc12977"/>
      <w:bookmarkStart w:id="58" w:name="_Toc226035294"/>
      <w:bookmarkStart w:id="59" w:name="_Toc18077"/>
      <w:r>
        <w:rPr>
          <w:rFonts w:hint="eastAsia" w:ascii="Times New Roman" w:hAnsi="Times New Roman" w:eastAsia="黑体" w:cs="Times New Roman"/>
          <w:b w:val="0"/>
          <w:bCs/>
          <w:color w:val="auto"/>
          <w:kern w:val="2"/>
          <w:sz w:val="21"/>
          <w:szCs w:val="21"/>
        </w:rPr>
        <w:t>5.8 网络安全要求</w:t>
      </w:r>
      <w:bookmarkEnd w:id="57"/>
      <w:bookmarkEnd w:id="58"/>
      <w:bookmarkEnd w:id="59"/>
    </w:p>
    <w:p w14:paraId="7AFDE006">
      <w:pPr>
        <w:widowControl w:val="0"/>
        <w:tabs>
          <w:tab w:val="left" w:pos="1985"/>
        </w:tabs>
        <w:spacing w:line="360" w:lineRule="auto"/>
        <w:ind w:firstLine="42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投标方提供软硬件产品或技术服务过程中，按照有关法律法规和程序开展工作，严格执行国家的有关方针、政策，并遵守以下规定：</w:t>
      </w:r>
    </w:p>
    <w:p w14:paraId="78883213">
      <w:pPr>
        <w:widowControl w:val="0"/>
        <w:tabs>
          <w:tab w:val="left" w:pos="1985"/>
        </w:tabs>
        <w:spacing w:line="360" w:lineRule="auto"/>
        <w:ind w:firstLine="42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1）不利用招标方网络与信息系统从事危害国家安全、泄露国家秘密、侵犯公民、法人、招标方和其他组织的利益，或其他违法犯罪活动；</w:t>
      </w:r>
    </w:p>
    <w:p w14:paraId="1BF5F253">
      <w:pPr>
        <w:widowControl w:val="0"/>
        <w:tabs>
          <w:tab w:val="left" w:pos="1985"/>
        </w:tabs>
        <w:spacing w:line="360" w:lineRule="auto"/>
        <w:ind w:firstLine="42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2）不利用项目工作便利获取和留存招标方业务数据，不利用招标方业务数据谋取利益或从事其他与项目无关工作；</w:t>
      </w:r>
    </w:p>
    <w:p w14:paraId="455E1186">
      <w:pPr>
        <w:widowControl w:val="0"/>
        <w:tabs>
          <w:tab w:val="left" w:pos="1985"/>
        </w:tabs>
        <w:spacing w:line="360" w:lineRule="auto"/>
        <w:ind w:firstLine="42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3）交付的软硬件产品须满足招标方安全策略要求，不得含有后门、木马、已知漏洞等安全隐患。在其产品投运前，投标方应将产品有关的功能服务台帐、特权账号等建设运维文档全部移交给招标方；</w:t>
      </w:r>
    </w:p>
    <w:p w14:paraId="44D3246F">
      <w:pPr>
        <w:widowControl w:val="0"/>
        <w:tabs>
          <w:tab w:val="left" w:pos="1985"/>
        </w:tabs>
        <w:spacing w:line="360" w:lineRule="auto"/>
        <w:ind w:firstLine="42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4）遵循招标方软件开发规范、安全合规要求开展系统开发部署及运行维护工作，配合招标方开展源代码审计工作；</w:t>
      </w:r>
    </w:p>
    <w:p w14:paraId="73299F98">
      <w:pPr>
        <w:widowControl w:val="0"/>
        <w:tabs>
          <w:tab w:val="left" w:pos="1985"/>
        </w:tabs>
        <w:spacing w:line="360" w:lineRule="auto"/>
        <w:ind w:firstLine="42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5）因投标方产品设计、开发缺陷造成其交付的产品在运行中出现安全隐患时，投标方应按招标方要求开展整改，并配合招标方开展其它支撑平台的安全整改；</w:t>
      </w:r>
    </w:p>
    <w:p w14:paraId="1EDC924A">
      <w:pPr>
        <w:widowControl w:val="0"/>
        <w:tabs>
          <w:tab w:val="left" w:pos="1985"/>
        </w:tabs>
        <w:spacing w:line="360" w:lineRule="auto"/>
        <w:ind w:firstLine="42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6）未经招标方许可，投标方不得将项目涉及的源代码、数据文件上传至互联网共享平台，或提供给其他组织和个人；</w:t>
      </w:r>
    </w:p>
    <w:p w14:paraId="0EE4F555">
      <w:pPr>
        <w:widowControl w:val="0"/>
        <w:tabs>
          <w:tab w:val="left" w:pos="1985"/>
        </w:tabs>
        <w:spacing w:line="360" w:lineRule="auto"/>
        <w:ind w:firstLine="42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7）投标方的开发测试环境中不得留存包含招标方企业名称、真实业务数据等信息。未经招标方许可，投标方不得在互联网上搭建与项目有关的测试、演示系统，确因工作需要开展测试演示的，测试环境中不得包含招标方企业名称、业务数据等信息，并在测试演示完成之后及时清理相关系统和数据；</w:t>
      </w:r>
    </w:p>
    <w:p w14:paraId="00A46632">
      <w:pPr>
        <w:widowControl w:val="0"/>
        <w:tabs>
          <w:tab w:val="left" w:pos="1985"/>
        </w:tabs>
        <w:spacing w:line="360" w:lineRule="auto"/>
        <w:ind w:firstLine="42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8）未通过招标方测试、备案的软件系统和设备不得私自上线运行；</w:t>
      </w:r>
    </w:p>
    <w:p w14:paraId="3DF13500">
      <w:pPr>
        <w:widowControl w:val="0"/>
        <w:tabs>
          <w:tab w:val="left" w:pos="1985"/>
        </w:tabs>
        <w:spacing w:line="360" w:lineRule="auto"/>
        <w:ind w:firstLine="42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9）为招标方开展安全测试、安全加固等服务工作时，应及时清除服务过程产生的文件、服务、账号等信息，不得在招标方生产及测试环境留存病毒、木马文件及系统特权账号；</w:t>
      </w:r>
    </w:p>
    <w:p w14:paraId="698B1A9D">
      <w:pPr>
        <w:widowControl w:val="0"/>
        <w:tabs>
          <w:tab w:val="left" w:pos="1985"/>
        </w:tabs>
        <w:spacing w:line="360" w:lineRule="auto"/>
        <w:ind w:firstLine="42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10）投标方应将本协议的条款以书面方式告知项目相关人员，并对项目相关人员进行网络安全培训；</w:t>
      </w:r>
    </w:p>
    <w:p w14:paraId="1888E7A2">
      <w:pPr>
        <w:widowControl w:val="0"/>
        <w:tabs>
          <w:tab w:val="left" w:pos="1985"/>
        </w:tabs>
        <w:spacing w:line="360" w:lineRule="auto"/>
        <w:ind w:firstLine="42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11）投标方负责质保期内对交付产品的补丁更新、安全加固、漏洞整改，并配合招标方完成网络安全应急响应及处置。</w:t>
      </w:r>
    </w:p>
    <w:p w14:paraId="572AE939">
      <w:pPr>
        <w:widowControl w:val="0"/>
        <w:spacing w:line="480" w:lineRule="auto"/>
        <w:jc w:val="both"/>
        <w:textAlignment w:val="auto"/>
        <w:outlineLvl w:val="0"/>
        <w:rPr>
          <w:rFonts w:ascii="Times New Roman" w:hAnsi="Times New Roman" w:eastAsia="黑体" w:cs="Times New Roman"/>
          <w:b/>
          <w:bCs/>
          <w:color w:val="auto"/>
          <w:kern w:val="2"/>
          <w:sz w:val="21"/>
          <w:szCs w:val="21"/>
        </w:rPr>
      </w:pPr>
      <w:bookmarkStart w:id="60" w:name="_Toc8693"/>
      <w:bookmarkStart w:id="61" w:name="_Toc6620"/>
      <w:bookmarkStart w:id="62" w:name="_Toc226035295"/>
      <w:r>
        <w:rPr>
          <w:rFonts w:ascii="Times New Roman" w:hAnsi="Times New Roman" w:eastAsia="黑体" w:cs="Times New Roman"/>
          <w:b/>
          <w:bCs/>
          <w:color w:val="auto"/>
          <w:kern w:val="2"/>
          <w:sz w:val="21"/>
          <w:szCs w:val="21"/>
        </w:rPr>
        <w:t>6 试验项目及要求</w:t>
      </w:r>
      <w:bookmarkEnd w:id="60"/>
      <w:bookmarkEnd w:id="61"/>
      <w:bookmarkEnd w:id="62"/>
    </w:p>
    <w:p w14:paraId="24421277">
      <w:pPr>
        <w:pStyle w:val="3"/>
        <w:keepNext/>
        <w:keepLines/>
        <w:widowControl w:val="0"/>
        <w:spacing w:before="0" w:after="0" w:line="360" w:lineRule="auto"/>
        <w:jc w:val="both"/>
        <w:textAlignment w:val="auto"/>
        <w:rPr>
          <w:rFonts w:ascii="Times New Roman" w:hAnsi="Times New Roman" w:eastAsia="黑体" w:cs="Times New Roman"/>
          <w:b w:val="0"/>
          <w:bCs/>
          <w:color w:val="auto"/>
          <w:kern w:val="2"/>
          <w:sz w:val="21"/>
          <w:szCs w:val="21"/>
        </w:rPr>
      </w:pPr>
      <w:bookmarkStart w:id="63" w:name="_Toc21943"/>
      <w:bookmarkStart w:id="64" w:name="_Toc26182"/>
      <w:bookmarkStart w:id="65" w:name="_Toc226035296"/>
      <w:r>
        <w:rPr>
          <w:rFonts w:hint="eastAsia" w:ascii="Times New Roman" w:hAnsi="Times New Roman" w:eastAsia="黑体" w:cs="Times New Roman"/>
          <w:b w:val="0"/>
          <w:bCs/>
          <w:color w:val="auto"/>
          <w:kern w:val="2"/>
          <w:sz w:val="21"/>
          <w:szCs w:val="21"/>
        </w:rPr>
        <w:t>6.1 结构和外观检查</w:t>
      </w:r>
      <w:bookmarkEnd w:id="63"/>
      <w:bookmarkEnd w:id="64"/>
      <w:bookmarkEnd w:id="65"/>
    </w:p>
    <w:p w14:paraId="15CB2225">
      <w:pPr>
        <w:widowControl w:val="0"/>
        <w:adjustRightInd w:val="0"/>
        <w:snapToGrid w:val="0"/>
        <w:spacing w:line="360" w:lineRule="auto"/>
        <w:ind w:firstLine="420" w:firstLineChars="200"/>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（1）试验方法通过目测、称重、尺寸测量对无人机除障仪进行外观、重量、结构及除障装置装配情况检查。</w:t>
      </w:r>
    </w:p>
    <w:p w14:paraId="2CE9A0C9">
      <w:pPr>
        <w:widowControl w:val="0"/>
        <w:adjustRightInd w:val="0"/>
        <w:snapToGrid w:val="0"/>
        <w:spacing w:line="360" w:lineRule="auto"/>
        <w:ind w:firstLine="420" w:firstLineChars="200"/>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（2）判定准则应满足本技术规范书中规定的相关技术要求，设备表面无明显划痕、变形、裂纹，除障装置装配牢固、无松动，刀片无缺口、锈蚀，标识清晰（含安全警示标识）。</w:t>
      </w:r>
    </w:p>
    <w:p w14:paraId="19CA1377">
      <w:pPr>
        <w:pStyle w:val="3"/>
        <w:keepNext/>
        <w:keepLines/>
        <w:widowControl w:val="0"/>
        <w:spacing w:before="0" w:after="0" w:line="360" w:lineRule="auto"/>
        <w:jc w:val="both"/>
        <w:textAlignment w:val="auto"/>
        <w:rPr>
          <w:rFonts w:ascii="Times New Roman" w:hAnsi="Times New Roman" w:eastAsia="黑体" w:cs="Times New Roman"/>
          <w:b w:val="0"/>
          <w:bCs/>
          <w:color w:val="auto"/>
          <w:kern w:val="2"/>
          <w:sz w:val="21"/>
          <w:szCs w:val="21"/>
        </w:rPr>
      </w:pPr>
      <w:bookmarkStart w:id="66" w:name="_Toc7042"/>
      <w:bookmarkStart w:id="67" w:name="_Toc226035297"/>
      <w:bookmarkStart w:id="68" w:name="_Toc15091"/>
      <w:r>
        <w:rPr>
          <w:rFonts w:ascii="Times New Roman" w:hAnsi="Times New Roman" w:eastAsia="黑体" w:cs="Times New Roman"/>
          <w:b w:val="0"/>
          <w:bCs/>
          <w:color w:val="auto"/>
          <w:kern w:val="2"/>
          <w:sz w:val="21"/>
          <w:szCs w:val="21"/>
        </w:rPr>
        <w:t>6.2 环境试验</w:t>
      </w:r>
      <w:bookmarkEnd w:id="66"/>
      <w:bookmarkEnd w:id="67"/>
      <w:bookmarkEnd w:id="68"/>
    </w:p>
    <w:p w14:paraId="78598AE7">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6.2.1 低温环境适应性试验</w:t>
      </w:r>
    </w:p>
    <w:p w14:paraId="1E32B57C">
      <w:pPr>
        <w:widowControl w:val="0"/>
        <w:adjustRightInd w:val="0"/>
        <w:snapToGrid w:val="0"/>
        <w:spacing w:line="360" w:lineRule="auto"/>
        <w:ind w:firstLine="420" w:firstLineChars="200"/>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按照GB/T 2423.1/DL/T1578相关条款方法进行等级试验，试验温度为-10℃，试验持续时间为2h。试验期间被试样机处于通电待机工作状态，试验期间与试验结束后被试样机无变形和裂纹等现象，插接件、紧固件等无开裂、松脱等现象，显示屏无变形、开裂、花屏等现象</w:t>
      </w:r>
      <w:r>
        <w:rPr>
          <w:rFonts w:hint="eastAsia" w:ascii="Times New Roman" w:hAnsi="Times New Roman" w:eastAsia="宋体" w:cs="Times New Roman"/>
          <w:color w:val="auto"/>
          <w:kern w:val="2"/>
          <w:sz w:val="21"/>
          <w:szCs w:val="21"/>
          <w:lang w:bidi="ar"/>
        </w:rPr>
        <w:t>，地面站软件工作正常。样机操控响应正常，任务设备转动、拍摄等功能正常，</w:t>
      </w:r>
      <w:r>
        <w:rPr>
          <w:rFonts w:hint="eastAsia" w:ascii="Times New Roman" w:hAnsi="Times New Roman" w:eastAsia="宋体" w:cs="Times New Roman"/>
          <w:color w:val="auto"/>
          <w:kern w:val="2"/>
          <w:sz w:val="21"/>
          <w:szCs w:val="21"/>
        </w:rPr>
        <w:t>除障装置启动、剪切功能正常。</w:t>
      </w:r>
    </w:p>
    <w:p w14:paraId="1A690960">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ascii="Times New Roman" w:hAnsi="Times New Roman" w:eastAsia="宋体" w:cs="Times New Roman"/>
          <w:color w:val="auto"/>
          <w:kern w:val="2"/>
          <w:sz w:val="21"/>
          <w:szCs w:val="21"/>
        </w:rPr>
        <w:t>6.2.2 高温环境适应性试验</w:t>
      </w:r>
    </w:p>
    <w:p w14:paraId="4A996B9C">
      <w:pPr>
        <w:adjustRightInd w:val="0"/>
        <w:snapToGrid w:val="0"/>
        <w:spacing w:line="360" w:lineRule="auto"/>
        <w:ind w:firstLine="420" w:firstLineChars="200"/>
        <w:textAlignment w:val="auto"/>
        <w:rPr>
          <w:rFonts w:ascii="Times New Roman" w:hAnsi="Times New Roman" w:eastAsia="宋体" w:cs="Times New Roman"/>
          <w:color w:val="auto"/>
          <w:kern w:val="2"/>
          <w:sz w:val="21"/>
          <w:szCs w:val="21"/>
          <w:lang w:bidi="ar"/>
        </w:rPr>
      </w:pPr>
      <w:r>
        <w:rPr>
          <w:rFonts w:hint="eastAsia" w:ascii="Times New Roman" w:hAnsi="Times New Roman" w:eastAsia="宋体" w:cs="Times New Roman"/>
          <w:color w:val="auto"/>
          <w:kern w:val="2"/>
          <w:sz w:val="21"/>
          <w:szCs w:val="21"/>
          <w:lang w:bidi="ar"/>
        </w:rPr>
        <w:t>按照GB/T 2423.2/DL/T1578相关条款方法进行试验，试验温度为40℃，试验持续时间为4h。试验期间被试样机处于通电待机工作状态，试验期间与试验结束后被试样机无变形和裂纹等现象，插接件、紧固件等无开裂、松脱等现象，显示屏无变形、开裂、花屏等现象，地面站软件工作正常。样机操控响应正常，任务设备转动、拍摄等功能正常，除障装置启动、剪切功能正常。</w:t>
      </w:r>
    </w:p>
    <w:p w14:paraId="7AC2214D">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ascii="Times New Roman" w:hAnsi="Times New Roman" w:eastAsia="宋体" w:cs="Times New Roman"/>
          <w:color w:val="auto"/>
          <w:kern w:val="2"/>
          <w:sz w:val="21"/>
          <w:szCs w:val="21"/>
        </w:rPr>
        <w:t>6.2.3 温湿度综合环境适应性试验</w:t>
      </w:r>
    </w:p>
    <w:p w14:paraId="04847AD1">
      <w:pPr>
        <w:adjustRightInd w:val="0"/>
        <w:snapToGrid w:val="0"/>
        <w:spacing w:line="360" w:lineRule="auto"/>
        <w:ind w:firstLine="420" w:firstLineChars="200"/>
        <w:textAlignment w:val="auto"/>
        <w:rPr>
          <w:rFonts w:ascii="Times New Roman" w:hAnsi="Times New Roman" w:eastAsia="宋体" w:cs="Times New Roman"/>
          <w:color w:val="auto"/>
          <w:kern w:val="2"/>
          <w:sz w:val="21"/>
          <w:szCs w:val="21"/>
          <w:lang w:bidi="ar"/>
        </w:rPr>
      </w:pPr>
      <w:r>
        <w:rPr>
          <w:rFonts w:hint="eastAsia" w:ascii="Times New Roman" w:hAnsi="Times New Roman" w:eastAsia="宋体" w:cs="Times New Roman"/>
          <w:color w:val="auto"/>
          <w:kern w:val="2"/>
          <w:sz w:val="21"/>
          <w:szCs w:val="21"/>
          <w:lang w:bidi="ar"/>
        </w:rPr>
        <w:t>按照GB/T 2423.3/DL/T1578 相关条款方法进行试验，试验温度为40℃，试验相对湿度95±3%，振动频率5~150Hz，振动加速度2g，振动初始振幅1mm，试验持续时间为12h。试验期间被试样机处于通电待机工作状态，试验期间与试验结束后被试样机无变形和裂纹等现象，插接件、紧固件等无开裂、松脱等现象，地面站软件工作正常。样机操控响应正常，任务设备转动、拍摄等功能正常，除障装置启动、剪切功能正常。</w:t>
      </w:r>
    </w:p>
    <w:p w14:paraId="69685082">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6.2.4 海拔适应性能试验</w:t>
      </w:r>
    </w:p>
    <w:p w14:paraId="61E567FC">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按照 GB/T 2423.21/GB/T 2423.25~27/DL/T1578相关条款方法进行相应等级试验，试验期间被试样机处于通电待机工作状态，样机巡检系统在-10℃、海拔4000m的环境中无地效悬停时间需大于30min，悬停过程中样机操控响应正常，任务设备转动、拍摄等功能正常。</w:t>
      </w:r>
    </w:p>
    <w:p w14:paraId="38D329CE">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ascii="Times New Roman" w:hAnsi="Times New Roman" w:eastAsia="宋体" w:cs="Times New Roman"/>
          <w:color w:val="auto"/>
          <w:kern w:val="2"/>
          <w:sz w:val="21"/>
          <w:szCs w:val="21"/>
        </w:rPr>
        <w:t>6.2.4 抗风飞行性能试验</w:t>
      </w:r>
    </w:p>
    <w:p w14:paraId="17F795F6">
      <w:pPr>
        <w:adjustRightInd w:val="0"/>
        <w:snapToGrid w:val="0"/>
        <w:spacing w:line="360" w:lineRule="auto"/>
        <w:ind w:firstLine="420" w:firstLineChars="200"/>
        <w:textAlignment w:val="auto"/>
        <w:rPr>
          <w:rFonts w:ascii="Times New Roman" w:hAnsi="Times New Roman" w:eastAsia="宋体" w:cs="Times New Roman"/>
          <w:color w:val="auto"/>
          <w:kern w:val="2"/>
          <w:sz w:val="21"/>
          <w:szCs w:val="21"/>
          <w:lang w:bidi="ar"/>
        </w:rPr>
      </w:pPr>
      <w:r>
        <w:rPr>
          <w:rFonts w:hint="eastAsia" w:ascii="Times New Roman" w:hAnsi="Times New Roman" w:eastAsia="宋体" w:cs="Times New Roman"/>
          <w:color w:val="auto"/>
          <w:kern w:val="2"/>
          <w:sz w:val="21"/>
          <w:szCs w:val="21"/>
          <w:lang w:bidi="ar"/>
        </w:rPr>
        <w:t>按照 GB/T 38930/DL/T1578相关条款方法进行相应等级试验，试验应满足本标准4.2、4.3规定的要求，在瞬时风速不大于 3 m/ 环境条件下可稳定飞行和悬停，且各项功能正常。悬停时水平偏移不大于 1.5m、标准差不大于 0.75m ，垂直偏移不大于 3m、标准差不大于 1.5m 。三轴姿态角变化量最大均不超过 30° ，变化量标准差均不大于 15°。</w:t>
      </w:r>
    </w:p>
    <w:p w14:paraId="1040B4D8">
      <w:pPr>
        <w:adjustRightInd w:val="0"/>
        <w:snapToGrid w:val="0"/>
        <w:spacing w:line="360" w:lineRule="auto"/>
        <w:ind w:firstLine="420" w:firstLineChars="200"/>
        <w:textAlignment w:val="auto"/>
        <w:rPr>
          <w:rFonts w:ascii="Times New Roman" w:hAnsi="Times New Roman" w:eastAsia="宋体" w:cs="Times New Roman"/>
          <w:color w:val="auto"/>
          <w:kern w:val="2"/>
          <w:sz w:val="21"/>
          <w:szCs w:val="21"/>
          <w:lang w:bidi="ar"/>
        </w:rPr>
      </w:pPr>
      <w:r>
        <w:rPr>
          <w:rFonts w:hint="eastAsia" w:ascii="Times New Roman" w:hAnsi="Times New Roman" w:eastAsia="宋体" w:cs="Times New Roman"/>
          <w:color w:val="auto"/>
          <w:kern w:val="2"/>
          <w:sz w:val="21"/>
          <w:szCs w:val="21"/>
          <w:lang w:bidi="ar"/>
        </w:rPr>
        <w:t>6.2.5 抗雨飞行性能试验</w:t>
      </w:r>
    </w:p>
    <w:p w14:paraId="1D6677F8">
      <w:pPr>
        <w:adjustRightInd w:val="0"/>
        <w:snapToGrid w:val="0"/>
        <w:spacing w:line="360" w:lineRule="auto"/>
        <w:ind w:firstLine="420" w:firstLineChars="200"/>
        <w:textAlignment w:val="auto"/>
        <w:rPr>
          <w:rFonts w:ascii="Times New Roman" w:hAnsi="Times New Roman" w:eastAsia="宋体" w:cs="Times New Roman"/>
          <w:color w:val="auto"/>
          <w:kern w:val="2"/>
          <w:sz w:val="21"/>
          <w:szCs w:val="21"/>
          <w:lang w:bidi="ar"/>
        </w:rPr>
      </w:pPr>
      <w:r>
        <w:rPr>
          <w:rFonts w:hint="eastAsia" w:ascii="Times New Roman" w:hAnsi="Times New Roman" w:eastAsia="宋体" w:cs="Times New Roman"/>
          <w:color w:val="auto"/>
          <w:kern w:val="2"/>
          <w:sz w:val="21"/>
          <w:szCs w:val="21"/>
          <w:lang w:bidi="ar"/>
        </w:rPr>
        <w:t>按照GB/T 38924.9/DL/T1578相关条款方法进行试验，在小雨环境条件下（雨强不大于2.5mm/h）可稳定飞行并完成除树障作业的时间不小于3min。增稳飞行模式下，无人机飞行状态稳定、姿态正常；稳定悬停时，无人机操控响应正常，除障装置剪切功能正常；静置30min后，飞行后各电气接口无短路风险，各项功能正常。</w:t>
      </w:r>
    </w:p>
    <w:p w14:paraId="7F153317">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ascii="Times New Roman" w:hAnsi="Times New Roman" w:eastAsia="宋体" w:cs="Times New Roman"/>
          <w:color w:val="auto"/>
          <w:kern w:val="2"/>
          <w:sz w:val="21"/>
          <w:szCs w:val="21"/>
        </w:rPr>
        <w:t>6.2.6 防护性能试验</w:t>
      </w:r>
    </w:p>
    <w:p w14:paraId="6B55FCED">
      <w:pPr>
        <w:adjustRightInd w:val="0"/>
        <w:snapToGrid w:val="0"/>
        <w:spacing w:line="360" w:lineRule="auto"/>
        <w:ind w:firstLine="420" w:firstLineChars="200"/>
        <w:textAlignment w:val="auto"/>
        <w:rPr>
          <w:rFonts w:ascii="Times New Roman" w:hAnsi="Times New Roman" w:eastAsia="宋体" w:cs="Times New Roman"/>
          <w:color w:val="auto"/>
          <w:kern w:val="2"/>
          <w:sz w:val="21"/>
          <w:szCs w:val="21"/>
          <w:lang w:bidi="ar"/>
        </w:rPr>
      </w:pPr>
      <w:r>
        <w:rPr>
          <w:rFonts w:hint="eastAsia" w:ascii="Times New Roman" w:hAnsi="Times New Roman" w:eastAsia="宋体" w:cs="Times New Roman"/>
          <w:color w:val="auto"/>
          <w:kern w:val="2"/>
          <w:sz w:val="21"/>
          <w:szCs w:val="21"/>
          <w:lang w:bidi="ar"/>
        </w:rPr>
        <w:t>按GB/T 4208中规定的试验方法进行，被试样机的外壳防护等级应满足本标准5.1规定的要求，除障装置防护等级不低于IP55。试验结束后被试样机通电运行，各项功能正常，除障装置无进水、锈蚀现象。</w:t>
      </w:r>
    </w:p>
    <w:p w14:paraId="5CD50ECD">
      <w:pPr>
        <w:pStyle w:val="3"/>
        <w:keepNext/>
        <w:keepLines/>
        <w:widowControl w:val="0"/>
        <w:spacing w:before="0" w:after="0" w:line="360" w:lineRule="auto"/>
        <w:jc w:val="both"/>
        <w:textAlignment w:val="auto"/>
        <w:rPr>
          <w:rFonts w:ascii="Times New Roman" w:hAnsi="Times New Roman" w:eastAsia="黑体" w:cs="Times New Roman"/>
          <w:b w:val="0"/>
          <w:bCs/>
          <w:color w:val="auto"/>
          <w:kern w:val="2"/>
          <w:sz w:val="21"/>
          <w:szCs w:val="21"/>
        </w:rPr>
      </w:pPr>
      <w:bookmarkStart w:id="69" w:name="_Toc4122"/>
      <w:bookmarkStart w:id="70" w:name="_Toc226035298"/>
      <w:bookmarkStart w:id="71" w:name="_Toc20377"/>
      <w:r>
        <w:rPr>
          <w:rFonts w:ascii="Times New Roman" w:hAnsi="Times New Roman" w:eastAsia="黑体" w:cs="Times New Roman"/>
          <w:b w:val="0"/>
          <w:bCs/>
          <w:color w:val="auto"/>
          <w:kern w:val="2"/>
          <w:sz w:val="21"/>
          <w:szCs w:val="21"/>
        </w:rPr>
        <w:t>6.3 功能试验</w:t>
      </w:r>
      <w:bookmarkEnd w:id="69"/>
      <w:bookmarkEnd w:id="70"/>
      <w:bookmarkEnd w:id="71"/>
    </w:p>
    <w:p w14:paraId="74A5AE4E">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6.3.1 自检功能试验</w:t>
      </w:r>
    </w:p>
    <w:p w14:paraId="131CCC64">
      <w:pPr>
        <w:widowControl w:val="0"/>
        <w:adjustRightInd w:val="0"/>
        <w:snapToGrid w:val="0"/>
        <w:spacing w:line="360" w:lineRule="auto"/>
        <w:ind w:firstLine="420" w:firstLineChars="200"/>
        <w:textAlignment w:val="auto"/>
        <w:rPr>
          <w:rFonts w:ascii="Times New Roman" w:hAnsi="Times New Roman" w:eastAsia="宋体" w:cs="Times New Roman"/>
          <w:color w:val="auto"/>
          <w:kern w:val="2"/>
          <w:sz w:val="21"/>
          <w:szCs w:val="21"/>
          <w:lang w:bidi="ar"/>
        </w:rPr>
      </w:pPr>
      <w:r>
        <w:rPr>
          <w:rFonts w:hint="eastAsia" w:ascii="Times New Roman" w:hAnsi="Times New Roman" w:eastAsia="宋体" w:cs="Times New Roman"/>
          <w:color w:val="auto"/>
          <w:kern w:val="2"/>
          <w:sz w:val="21"/>
          <w:szCs w:val="21"/>
          <w:lang w:bidi="ar"/>
        </w:rPr>
        <w:t>按照DL/T1578相关条款方法进行试验，样机应满足自检项目至少包括动力电池电压 （或电量）、遥测遥控、导航定位、除障装置（刀片状态、传动系统）功能。以上任一项自检项目不满足要求，均能在遥控器显示屏上以明显的光信号报警提示，且飞控系统及除障装置锁死。宜具有根据报警提示直接确定故障部位或原因的功能。</w:t>
      </w:r>
    </w:p>
    <w:p w14:paraId="52D9DB17">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6.3.2 任务规划功能试验</w:t>
      </w:r>
    </w:p>
    <w:p w14:paraId="0AB6D521">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按照 DL/T1578相关条款方法进行相应等级试验，应满足可对起降方式、转弯方式、飞行速度及航点信息等进行设置，转弯时应采用定点转弯方式。在飞行过程中可实时修改航点。</w:t>
      </w:r>
    </w:p>
    <w:p w14:paraId="231B0950">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6.3.3 飞行模式及切换功能试验</w:t>
      </w:r>
    </w:p>
    <w:p w14:paraId="5F410FFD">
      <w:pPr>
        <w:widowControl w:val="0"/>
        <w:adjustRightInd w:val="0"/>
        <w:snapToGrid w:val="0"/>
        <w:spacing w:line="360" w:lineRule="auto"/>
        <w:ind w:firstLine="420" w:firstLineChars="200"/>
        <w:textAlignment w:val="auto"/>
        <w:rPr>
          <w:rFonts w:ascii="Times New Roman" w:hAnsi="Times New Roman" w:eastAsia="宋体" w:cs="Times New Roman"/>
          <w:color w:val="auto"/>
          <w:kern w:val="2"/>
          <w:sz w:val="21"/>
          <w:szCs w:val="21"/>
          <w:lang w:bidi="ar"/>
        </w:rPr>
      </w:pPr>
      <w:r>
        <w:rPr>
          <w:rFonts w:hint="eastAsia" w:ascii="Times New Roman" w:hAnsi="Times New Roman" w:eastAsia="宋体" w:cs="Times New Roman"/>
          <w:color w:val="auto"/>
          <w:kern w:val="2"/>
          <w:sz w:val="21"/>
          <w:szCs w:val="21"/>
          <w:lang w:bidi="ar"/>
        </w:rPr>
        <w:t>按照DL/T1578相关条款方法进行试验，样机应具有手动、增稳和全自主三种飞行模式。三种飞行模式可相互切换，切换过程中飞行状态平稳，除障装置无误动作。</w:t>
      </w:r>
    </w:p>
    <w:p w14:paraId="5E0F3327">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6.3.4 导航定位偏差试验</w:t>
      </w:r>
    </w:p>
    <w:p w14:paraId="082A3BA2">
      <w:pPr>
        <w:widowControl w:val="0"/>
        <w:spacing w:line="360" w:lineRule="auto"/>
        <w:ind w:firstLine="420" w:firstLineChars="200"/>
        <w:jc w:val="both"/>
        <w:textAlignment w:val="auto"/>
        <w:rPr>
          <w:rFonts w:ascii="Times New Roman" w:hAnsi="Times New Roman" w:eastAsia="宋体" w:cs="Times New Roman"/>
          <w:color w:val="auto"/>
          <w:kern w:val="2"/>
          <w:sz w:val="21"/>
          <w:szCs w:val="21"/>
          <w:highlight w:val="yellow"/>
        </w:rPr>
      </w:pPr>
      <w:r>
        <w:rPr>
          <w:rFonts w:hint="eastAsia" w:ascii="Times New Roman" w:hAnsi="Times New Roman" w:eastAsia="宋体" w:cs="Times New Roman"/>
          <w:color w:val="auto"/>
          <w:kern w:val="2"/>
          <w:sz w:val="21"/>
          <w:szCs w:val="21"/>
        </w:rPr>
        <w:t>按照 DL/T1578/YD/T4182相关条款方法进行相应等级试验，样机应具备实时动态定位（real-time kinematic,RTK）功能，导航定位精度水平方向不应低于10cm、垂直方向不低于20 cm。</w:t>
      </w:r>
    </w:p>
    <w:p w14:paraId="573E6EDF">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6.3.5 飞行控制偏差试验</w:t>
      </w:r>
    </w:p>
    <w:p w14:paraId="1130439F">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按照 DL/T1578相关条款方法进行相应等级试验，距地面2m高的环境瞬时风速不大于3m/s的条件下，飞行控制偏差应满足与规划航线的飞行控制偏差水平方向不大于1m、标准差不大于0.5m,垂直方向不大于1m、标准差不大于0.5m。</w:t>
      </w:r>
    </w:p>
    <w:p w14:paraId="039EDFBD">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6.3.6 悬停控制偏差试验</w:t>
      </w:r>
    </w:p>
    <w:p w14:paraId="00FA1940">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按照 DL/T1578相关条款方法进行相应等级试验，通过全自主飞行模式到达预设的悬停点后，无须操作人员干预，可稳定悬停。悬停控制偏差水平方向不大于1.5m、标准差不大于0.75m,垂直方向不大于2m、标准差不大于1m。</w:t>
      </w:r>
    </w:p>
    <w:p w14:paraId="15A75996">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6.3.7 机头重定向功能试验</w:t>
      </w:r>
    </w:p>
    <w:p w14:paraId="50247ED9">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按照 DL/T1578相关条款方法进行相应等级试验，样机应具备机头重定向功能。</w:t>
      </w:r>
    </w:p>
    <w:p w14:paraId="23232862">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6.3.8 一键返航功能试验</w:t>
      </w:r>
    </w:p>
    <w:p w14:paraId="16D0F5CB">
      <w:pPr>
        <w:widowControl w:val="0"/>
        <w:adjustRightInd w:val="0"/>
        <w:snapToGrid w:val="0"/>
        <w:spacing w:line="360" w:lineRule="auto"/>
        <w:ind w:firstLine="420" w:firstLineChars="200"/>
        <w:textAlignment w:val="auto"/>
        <w:rPr>
          <w:rFonts w:ascii="Times New Roman" w:hAnsi="Times New Roman" w:eastAsia="宋体" w:cs="Times New Roman"/>
          <w:color w:val="auto"/>
          <w:kern w:val="2"/>
          <w:sz w:val="21"/>
          <w:szCs w:val="21"/>
          <w:lang w:bidi="ar"/>
        </w:rPr>
      </w:pPr>
      <w:r>
        <w:rPr>
          <w:rFonts w:hint="eastAsia" w:ascii="Times New Roman" w:hAnsi="Times New Roman" w:eastAsia="宋体" w:cs="Times New Roman"/>
          <w:color w:val="auto"/>
          <w:kern w:val="2"/>
          <w:sz w:val="21"/>
          <w:szCs w:val="21"/>
          <w:lang w:bidi="ar"/>
        </w:rPr>
        <w:t>设置返航路径，以自主方式放飞无人机，待无人机短时飞行后，启动一键返航功能，观察无人机安全返航策略及等待无人机返回，应至少可预先设置返航降落点，宜可设置返航航线、速度等参数。返航过程中除障装置自动断电锁定。</w:t>
      </w:r>
    </w:p>
    <w:p w14:paraId="69723D71">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6.3.9 链路中断返航功能试验</w:t>
      </w:r>
    </w:p>
    <w:p w14:paraId="5EAC09F1">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设置返航路径及返航策略，并以自主方式放飞无人机，待无人机短时飞行后，断开遥控器电源，观察无人机安全返航策略及等待无人机返回，应至少可预先设置返航降落点，宜可设置返航航线、速度等参数。</w:t>
      </w:r>
    </w:p>
    <w:p w14:paraId="09063FFD">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6.3.10 飞行区域限制功能试验</w:t>
      </w:r>
    </w:p>
    <w:p w14:paraId="4FD193CB">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按照 DL/T1578相关条款方法进行相应等级试验，应可设置允许样机飞行的区域范围，在航线规划时，可对超出范围的飞行航线进行报警提示，且飞控系统锁死;在飞行过程中，当接近区域范围时可在地面站或遥控手柄上报警提示，且有防止飞越措施。</w:t>
      </w:r>
    </w:p>
    <w:p w14:paraId="361FA624">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6.3.11 低电压报警功能试验</w:t>
      </w:r>
    </w:p>
    <w:p w14:paraId="77359348">
      <w:pPr>
        <w:widowControl w:val="0"/>
        <w:adjustRightInd w:val="0"/>
        <w:snapToGrid w:val="0"/>
        <w:spacing w:line="360" w:lineRule="auto"/>
        <w:ind w:firstLine="420" w:firstLineChars="200"/>
        <w:textAlignment w:val="auto"/>
        <w:rPr>
          <w:rFonts w:ascii="Times New Roman" w:hAnsi="Times New Roman" w:eastAsia="宋体" w:cs="Times New Roman"/>
          <w:color w:val="auto"/>
          <w:kern w:val="2"/>
          <w:sz w:val="21"/>
          <w:szCs w:val="21"/>
          <w:lang w:bidi="ar"/>
        </w:rPr>
      </w:pPr>
      <w:r>
        <w:rPr>
          <w:rFonts w:hint="eastAsia" w:ascii="Times New Roman" w:hAnsi="Times New Roman" w:eastAsia="宋体" w:cs="Times New Roman"/>
          <w:color w:val="auto"/>
          <w:kern w:val="2"/>
          <w:sz w:val="21"/>
          <w:szCs w:val="21"/>
          <w:lang w:bidi="ar"/>
        </w:rPr>
        <w:t>按照DL/T1578相关条款方法进行相应等级试验，飞行过程中电池电压（或电量）低于预设告警电压（或电量）时，可在地面站或遥控器显示屏报警提示，同时除障装置自动锁定，禁止启动新的剪切作业。</w:t>
      </w:r>
    </w:p>
    <w:p w14:paraId="5D603A0C">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6.3.12 位置追踪功能试验</w:t>
      </w:r>
    </w:p>
    <w:p w14:paraId="4F9FD92B">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按照 DL/T1578相关条款方法进行相应等级试验，可不依赖于机载电源和数传电台，以定时自动或受控应答方式向工作人员发送多旋翼无人机位置信息：且定位偏差水平方向不大于 5m，垂直方向不大于 10m。</w:t>
      </w:r>
    </w:p>
    <w:p w14:paraId="425B154C">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6.3.13 拍照功能试验</w:t>
      </w:r>
    </w:p>
    <w:p w14:paraId="3B4CD3CF">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按照 DL/T1578相关条款方法进行相应等级试验，样机应具备手动拍照和定点自动拍照功能。</w:t>
      </w:r>
    </w:p>
    <w:p w14:paraId="0D6685D1">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6.3.14 除障装置（剪切）功能试验</w:t>
      </w:r>
    </w:p>
    <w:p w14:paraId="31285FB2">
      <w:pPr>
        <w:widowControl w:val="0"/>
        <w:adjustRightInd w:val="0"/>
        <w:snapToGrid w:val="0"/>
        <w:spacing w:line="360" w:lineRule="auto"/>
        <w:ind w:firstLine="420" w:firstLineChars="200"/>
        <w:textAlignment w:val="auto"/>
        <w:rPr>
          <w:rFonts w:ascii="Times New Roman" w:hAnsi="Times New Roman" w:eastAsia="宋体" w:cs="Times New Roman"/>
          <w:color w:val="auto"/>
          <w:kern w:val="2"/>
          <w:sz w:val="21"/>
          <w:szCs w:val="21"/>
          <w:lang w:bidi="ar"/>
        </w:rPr>
      </w:pPr>
      <w:r>
        <w:rPr>
          <w:rFonts w:hint="eastAsia" w:ascii="Times New Roman" w:hAnsi="Times New Roman" w:eastAsia="宋体" w:cs="Times New Roman"/>
          <w:color w:val="auto"/>
          <w:kern w:val="2"/>
          <w:sz w:val="21"/>
          <w:szCs w:val="21"/>
          <w:lang w:bidi="ar"/>
        </w:rPr>
        <w:t>选取直径15mm、20mm的干燥松木枝，直径18mm的潮湿树枝作为试验样本，在悬停状态下（水平距离障碍物1m）启动剪切装置，记录剪切完成时间及效果。判定准则：所有试验样本一次性剪切断裂，无卡顿、缠绕现象，剪切完成时间≤1.5s，剪切过程中无人机姿态偏移≤0.8m。</w:t>
      </w:r>
    </w:p>
    <w:p w14:paraId="74EBEF0D">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6.3.15 转动功能试验</w:t>
      </w:r>
    </w:p>
    <w:p w14:paraId="1A3EB931">
      <w:pPr>
        <w:widowControl w:val="0"/>
        <w:adjustRightInd w:val="0"/>
        <w:snapToGrid w:val="0"/>
        <w:spacing w:line="360" w:lineRule="auto"/>
        <w:ind w:firstLine="420" w:firstLineChars="200"/>
        <w:textAlignment w:val="auto"/>
        <w:rPr>
          <w:rFonts w:ascii="Times New Roman" w:hAnsi="Times New Roman" w:eastAsia="宋体" w:cs="Times New Roman"/>
          <w:color w:val="auto"/>
          <w:kern w:val="2"/>
          <w:sz w:val="21"/>
          <w:szCs w:val="21"/>
          <w:lang w:bidi="ar"/>
        </w:rPr>
      </w:pPr>
      <w:r>
        <w:rPr>
          <w:rFonts w:hint="eastAsia" w:ascii="Times New Roman" w:hAnsi="Times New Roman" w:eastAsia="宋体" w:cs="Times New Roman"/>
          <w:color w:val="auto"/>
          <w:kern w:val="2"/>
          <w:sz w:val="21"/>
          <w:szCs w:val="21"/>
          <w:lang w:bidi="ar"/>
        </w:rPr>
        <w:t>按照DL/T1578相关条款方法进行相应等级试验，除障装置水平、俯仰方向转动平稳无卡顿，转动角度满足规定范围要求。样机应至少具备水平和俯仰两个方向的转动性能，各方向转动最大角速度不小于 30 °/s 。水平转动范围宜为 n×360° 也可为一180°~+180°; 俯仰转动范围至少为-60°~+30°。</w:t>
      </w:r>
    </w:p>
    <w:p w14:paraId="73533CD4">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6.3.16 稳像精度试验</w:t>
      </w:r>
    </w:p>
    <w:p w14:paraId="5B517B6A">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按照 DL/T1578相关条款方法进行相应等级试验，样机稳像精度不应低于2.0 mrad。</w:t>
      </w:r>
    </w:p>
    <w:p w14:paraId="5FF868A6">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6.3.17 可见光成像性能试验</w:t>
      </w:r>
    </w:p>
    <w:p w14:paraId="57D38BA9">
      <w:pPr>
        <w:widowControl w:val="0"/>
        <w:adjustRightInd w:val="0"/>
        <w:snapToGrid w:val="0"/>
        <w:spacing w:line="360" w:lineRule="auto"/>
        <w:ind w:firstLine="420" w:firstLineChars="200"/>
        <w:textAlignment w:val="auto"/>
        <w:rPr>
          <w:rFonts w:ascii="Times New Roman" w:hAnsi="Times New Roman" w:eastAsia="宋体" w:cs="Times New Roman"/>
          <w:color w:val="auto"/>
          <w:kern w:val="2"/>
          <w:sz w:val="21"/>
          <w:szCs w:val="21"/>
          <w:lang w:bidi="ar"/>
        </w:rPr>
      </w:pPr>
      <w:r>
        <w:rPr>
          <w:rFonts w:hint="eastAsia" w:ascii="Times New Roman" w:hAnsi="Times New Roman" w:eastAsia="宋体" w:cs="Times New Roman"/>
          <w:color w:val="auto"/>
          <w:kern w:val="2"/>
          <w:sz w:val="21"/>
          <w:szCs w:val="21"/>
          <w:lang w:bidi="ar"/>
        </w:rPr>
        <w:t>按照DL/T1578相关条款方法进行相应等级试验，样机挂载的可见光传感器有效像素数不低于 2000 万，具备变焦功能和自动对焦功能，云台相机在距离不小于15m处拍摄的树障影像中，可清晰分辨5mm目标（树障细节），目标轮廓清晰可辨。</w:t>
      </w:r>
    </w:p>
    <w:p w14:paraId="69A1A6B0">
      <w:pPr>
        <w:widowControl w:val="0"/>
        <w:adjustRightInd w:val="0"/>
        <w:snapToGrid w:val="0"/>
        <w:spacing w:line="360" w:lineRule="auto"/>
        <w:ind w:firstLine="420" w:firstLineChars="200"/>
        <w:textAlignment w:val="auto"/>
        <w:rPr>
          <w:rFonts w:ascii="Times New Roman" w:hAnsi="Times New Roman" w:eastAsia="宋体" w:cs="Times New Roman"/>
          <w:color w:val="auto"/>
          <w:kern w:val="2"/>
          <w:sz w:val="21"/>
          <w:szCs w:val="21"/>
          <w:lang w:bidi="ar"/>
        </w:rPr>
      </w:pPr>
      <w:r>
        <w:rPr>
          <w:rFonts w:hint="eastAsia" w:ascii="Times New Roman" w:hAnsi="Times New Roman" w:eastAsia="宋体" w:cs="Times New Roman"/>
          <w:color w:val="auto"/>
          <w:kern w:val="2"/>
          <w:sz w:val="21"/>
          <w:szCs w:val="21"/>
          <w:lang w:bidi="ar"/>
        </w:rPr>
        <w:t>6.3.18 跟踪精度试验</w:t>
      </w:r>
    </w:p>
    <w:p w14:paraId="79849509">
      <w:pPr>
        <w:widowControl w:val="0"/>
        <w:adjustRightInd w:val="0"/>
        <w:snapToGrid w:val="0"/>
        <w:spacing w:line="360" w:lineRule="auto"/>
        <w:ind w:firstLine="420" w:firstLineChars="200"/>
        <w:textAlignment w:val="auto"/>
        <w:rPr>
          <w:rFonts w:ascii="Times New Roman" w:hAnsi="Times New Roman" w:eastAsia="宋体" w:cs="Times New Roman"/>
          <w:color w:val="auto"/>
          <w:kern w:val="2"/>
          <w:sz w:val="21"/>
          <w:szCs w:val="21"/>
          <w:lang w:bidi="ar"/>
        </w:rPr>
      </w:pPr>
      <w:r>
        <w:rPr>
          <w:rFonts w:hint="eastAsia" w:ascii="Times New Roman" w:hAnsi="Times New Roman" w:eastAsia="宋体" w:cs="Times New Roman"/>
          <w:color w:val="auto"/>
          <w:kern w:val="2"/>
          <w:sz w:val="21"/>
          <w:szCs w:val="21"/>
          <w:lang w:bidi="ar"/>
        </w:rPr>
        <w:t>按照 DL/T1578相关条款方法进行相应等级试验，样机宜具备跟踪功能，跟踪精度不低于 4.0mrad。</w:t>
      </w:r>
    </w:p>
    <w:p w14:paraId="6E567812">
      <w:pPr>
        <w:pStyle w:val="3"/>
        <w:keepNext/>
        <w:keepLines/>
        <w:widowControl w:val="0"/>
        <w:spacing w:before="0" w:after="0" w:line="360" w:lineRule="auto"/>
        <w:jc w:val="both"/>
        <w:textAlignment w:val="auto"/>
        <w:rPr>
          <w:rFonts w:ascii="Times New Roman" w:hAnsi="Times New Roman" w:eastAsia="黑体" w:cs="Times New Roman"/>
          <w:b w:val="0"/>
          <w:bCs/>
          <w:color w:val="auto"/>
          <w:kern w:val="2"/>
          <w:sz w:val="21"/>
          <w:szCs w:val="21"/>
        </w:rPr>
      </w:pPr>
      <w:bookmarkStart w:id="72" w:name="_Toc21581"/>
      <w:bookmarkStart w:id="73" w:name="_Toc26842"/>
      <w:bookmarkStart w:id="74" w:name="_Toc226035299"/>
      <w:r>
        <w:rPr>
          <w:rFonts w:hint="eastAsia" w:ascii="Times New Roman" w:hAnsi="Times New Roman" w:eastAsia="黑体" w:cs="Times New Roman"/>
          <w:b w:val="0"/>
          <w:bCs/>
          <w:color w:val="auto"/>
          <w:kern w:val="2"/>
          <w:sz w:val="21"/>
          <w:szCs w:val="21"/>
        </w:rPr>
        <w:t>6.4 电磁兼容试验</w:t>
      </w:r>
      <w:bookmarkEnd w:id="72"/>
      <w:bookmarkEnd w:id="73"/>
      <w:bookmarkEnd w:id="74"/>
    </w:p>
    <w:p w14:paraId="064949D9">
      <w:pPr>
        <w:widowControl w:val="0"/>
        <w:adjustRightInd w:val="0"/>
        <w:snapToGrid w:val="0"/>
        <w:spacing w:line="360" w:lineRule="auto"/>
        <w:ind w:firstLine="420" w:firstLineChars="200"/>
        <w:textAlignment w:val="auto"/>
        <w:rPr>
          <w:rFonts w:ascii="Times New Roman" w:hAnsi="Times New Roman" w:eastAsia="宋体" w:cs="Times New Roman"/>
          <w:color w:val="auto"/>
          <w:kern w:val="2"/>
          <w:sz w:val="21"/>
          <w:szCs w:val="24"/>
        </w:rPr>
      </w:pPr>
      <w:r>
        <w:rPr>
          <w:rFonts w:hint="eastAsia" w:ascii="Times New Roman" w:hAnsi="Times New Roman" w:eastAsia="宋体" w:cs="Times New Roman"/>
          <w:color w:val="auto"/>
          <w:kern w:val="2"/>
          <w:sz w:val="21"/>
          <w:szCs w:val="24"/>
        </w:rPr>
        <w:t>6.4.1 射频电磁场辐射抗扰度试验</w:t>
      </w:r>
    </w:p>
    <w:p w14:paraId="44A2AE52">
      <w:pPr>
        <w:widowControl w:val="0"/>
        <w:adjustRightInd w:val="0"/>
        <w:snapToGrid w:val="0"/>
        <w:spacing w:line="360" w:lineRule="auto"/>
        <w:ind w:firstLine="420" w:firstLineChars="200"/>
        <w:textAlignment w:val="auto"/>
        <w:rPr>
          <w:rFonts w:ascii="Times New Roman" w:hAnsi="Times New Roman" w:eastAsia="宋体" w:cs="Times New Roman"/>
          <w:color w:val="auto"/>
          <w:kern w:val="2"/>
          <w:sz w:val="21"/>
          <w:szCs w:val="24"/>
          <w:lang w:bidi="ar"/>
        </w:rPr>
      </w:pPr>
      <w:r>
        <w:rPr>
          <w:rFonts w:hint="eastAsia" w:ascii="Times New Roman" w:hAnsi="Times New Roman" w:eastAsia="宋体" w:cs="Times New Roman"/>
          <w:color w:val="auto"/>
          <w:kern w:val="2"/>
          <w:sz w:val="21"/>
          <w:szCs w:val="24"/>
          <w:lang w:bidi="ar"/>
        </w:rPr>
        <w:t>按照GB/T 17626.3/DL/T1578相关条款方法进行试验，样机试验结果不低于B级。</w:t>
      </w:r>
    </w:p>
    <w:p w14:paraId="30066B3D">
      <w:pPr>
        <w:widowControl w:val="0"/>
        <w:adjustRightInd w:val="0"/>
        <w:snapToGrid w:val="0"/>
        <w:spacing w:line="360" w:lineRule="auto"/>
        <w:ind w:firstLine="420" w:firstLineChars="200"/>
        <w:textAlignment w:val="auto"/>
        <w:rPr>
          <w:rFonts w:ascii="Times New Roman" w:hAnsi="Times New Roman" w:eastAsia="宋体" w:cs="Times New Roman"/>
          <w:color w:val="auto"/>
          <w:kern w:val="2"/>
          <w:sz w:val="21"/>
          <w:szCs w:val="24"/>
        </w:rPr>
      </w:pPr>
      <w:r>
        <w:rPr>
          <w:rFonts w:hint="eastAsia" w:ascii="Times New Roman" w:hAnsi="Times New Roman" w:eastAsia="宋体" w:cs="Times New Roman"/>
          <w:color w:val="auto"/>
          <w:kern w:val="2"/>
          <w:sz w:val="21"/>
          <w:szCs w:val="24"/>
        </w:rPr>
        <w:t>6.4.2 静电放电抗扰度试验</w:t>
      </w:r>
    </w:p>
    <w:p w14:paraId="014CC8C6">
      <w:pPr>
        <w:widowControl w:val="0"/>
        <w:adjustRightInd w:val="0"/>
        <w:snapToGrid w:val="0"/>
        <w:spacing w:line="360" w:lineRule="auto"/>
        <w:ind w:firstLine="420" w:firstLineChars="200"/>
        <w:textAlignment w:val="auto"/>
        <w:rPr>
          <w:rFonts w:ascii="Times New Roman" w:hAnsi="Times New Roman" w:eastAsia="宋体" w:cs="Times New Roman"/>
          <w:color w:val="auto"/>
          <w:kern w:val="2"/>
          <w:sz w:val="21"/>
          <w:szCs w:val="24"/>
          <w:lang w:bidi="ar"/>
        </w:rPr>
      </w:pPr>
      <w:r>
        <w:rPr>
          <w:rFonts w:hint="eastAsia" w:ascii="Times New Roman" w:hAnsi="Times New Roman" w:eastAsia="宋体" w:cs="Times New Roman"/>
          <w:color w:val="auto"/>
          <w:kern w:val="2"/>
          <w:sz w:val="21"/>
          <w:szCs w:val="24"/>
          <w:lang w:bidi="ar"/>
        </w:rPr>
        <w:t>按照GB/T 17626.2/DL/T1578相关条款方法进行试验，样机试验结果不低于A级。</w:t>
      </w:r>
    </w:p>
    <w:p w14:paraId="79BEFD96">
      <w:pPr>
        <w:widowControl w:val="0"/>
        <w:adjustRightInd w:val="0"/>
        <w:snapToGrid w:val="0"/>
        <w:spacing w:line="360" w:lineRule="auto"/>
        <w:ind w:firstLine="420" w:firstLineChars="200"/>
        <w:textAlignment w:val="auto"/>
        <w:rPr>
          <w:rFonts w:ascii="Times New Roman" w:hAnsi="Times New Roman" w:eastAsia="宋体" w:cs="Times New Roman"/>
          <w:color w:val="auto"/>
          <w:kern w:val="2"/>
          <w:sz w:val="21"/>
          <w:szCs w:val="24"/>
          <w:lang w:bidi="ar"/>
        </w:rPr>
      </w:pPr>
      <w:r>
        <w:rPr>
          <w:rFonts w:hint="eastAsia" w:ascii="Times New Roman" w:hAnsi="Times New Roman" w:eastAsia="宋体" w:cs="Times New Roman"/>
          <w:color w:val="auto"/>
          <w:kern w:val="2"/>
          <w:sz w:val="21"/>
          <w:szCs w:val="24"/>
          <w:lang w:bidi="ar"/>
        </w:rPr>
        <w:t>6.4.3 脉冲磁场抗扰度</w:t>
      </w:r>
    </w:p>
    <w:p w14:paraId="2F136366">
      <w:pPr>
        <w:widowControl w:val="0"/>
        <w:adjustRightInd w:val="0"/>
        <w:snapToGrid w:val="0"/>
        <w:spacing w:line="360" w:lineRule="auto"/>
        <w:ind w:firstLine="420" w:firstLineChars="200"/>
        <w:textAlignment w:val="auto"/>
        <w:rPr>
          <w:rFonts w:ascii="Times New Roman" w:hAnsi="Times New Roman" w:eastAsia="宋体" w:cs="Times New Roman"/>
          <w:color w:val="auto"/>
          <w:kern w:val="2"/>
          <w:sz w:val="21"/>
          <w:szCs w:val="24"/>
          <w:lang w:bidi="ar"/>
        </w:rPr>
      </w:pPr>
      <w:r>
        <w:rPr>
          <w:rFonts w:hint="eastAsia" w:ascii="Times New Roman" w:hAnsi="Times New Roman" w:eastAsia="宋体" w:cs="Times New Roman"/>
          <w:color w:val="auto"/>
          <w:kern w:val="2"/>
          <w:sz w:val="21"/>
          <w:szCs w:val="24"/>
          <w:lang w:bidi="ar"/>
        </w:rPr>
        <w:t>按照 GB/T 17626.9 /DL/T1578的相关条款方法进行试验，样机试验结果不低于A级。</w:t>
      </w:r>
    </w:p>
    <w:p w14:paraId="15D90178">
      <w:pPr>
        <w:widowControl w:val="0"/>
        <w:adjustRightInd w:val="0"/>
        <w:snapToGrid w:val="0"/>
        <w:spacing w:line="360" w:lineRule="auto"/>
        <w:ind w:firstLine="420" w:firstLineChars="200"/>
        <w:textAlignment w:val="auto"/>
        <w:rPr>
          <w:rFonts w:ascii="Times New Roman" w:hAnsi="Times New Roman" w:eastAsia="宋体" w:cs="Times New Roman"/>
          <w:color w:val="auto"/>
          <w:kern w:val="2"/>
          <w:sz w:val="21"/>
          <w:szCs w:val="24"/>
          <w:lang w:bidi="ar"/>
        </w:rPr>
      </w:pPr>
      <w:r>
        <w:rPr>
          <w:rFonts w:hint="eastAsia" w:ascii="Times New Roman" w:hAnsi="Times New Roman" w:eastAsia="宋体" w:cs="Times New Roman"/>
          <w:color w:val="auto"/>
          <w:kern w:val="2"/>
          <w:sz w:val="21"/>
          <w:szCs w:val="24"/>
          <w:lang w:bidi="ar"/>
        </w:rPr>
        <w:t>6.4.4 工频磁场抗扰度</w:t>
      </w:r>
    </w:p>
    <w:p w14:paraId="411A2206">
      <w:pPr>
        <w:widowControl w:val="0"/>
        <w:adjustRightInd w:val="0"/>
        <w:snapToGrid w:val="0"/>
        <w:spacing w:line="360" w:lineRule="auto"/>
        <w:ind w:firstLine="420" w:firstLineChars="200"/>
        <w:textAlignment w:val="auto"/>
        <w:rPr>
          <w:rFonts w:ascii="Times New Roman" w:hAnsi="Times New Roman" w:eastAsia="宋体" w:cs="Times New Roman"/>
          <w:color w:val="auto"/>
          <w:kern w:val="2"/>
          <w:sz w:val="21"/>
          <w:szCs w:val="24"/>
          <w:lang w:bidi="ar"/>
        </w:rPr>
      </w:pPr>
      <w:r>
        <w:rPr>
          <w:rFonts w:hint="eastAsia" w:ascii="Times New Roman" w:hAnsi="Times New Roman" w:eastAsia="宋体" w:cs="Times New Roman"/>
          <w:color w:val="auto"/>
          <w:kern w:val="2"/>
          <w:sz w:val="21"/>
          <w:szCs w:val="24"/>
          <w:lang w:bidi="ar"/>
        </w:rPr>
        <w:t>按照 GB 17626.8/DL/T1578 的相关条款方法进行试验，样机试验结果不低于A级。</w:t>
      </w:r>
    </w:p>
    <w:p w14:paraId="22981A52">
      <w:pPr>
        <w:pStyle w:val="3"/>
        <w:keepNext/>
        <w:keepLines/>
        <w:widowControl w:val="0"/>
        <w:spacing w:before="0" w:after="0" w:line="360" w:lineRule="auto"/>
        <w:jc w:val="both"/>
        <w:textAlignment w:val="auto"/>
        <w:rPr>
          <w:rFonts w:ascii="Times New Roman" w:hAnsi="Times New Roman" w:eastAsia="黑体" w:cs="Times New Roman"/>
          <w:b w:val="0"/>
          <w:bCs/>
          <w:color w:val="auto"/>
          <w:kern w:val="2"/>
          <w:sz w:val="21"/>
          <w:szCs w:val="21"/>
        </w:rPr>
      </w:pPr>
      <w:bookmarkStart w:id="75" w:name="_Toc27320"/>
      <w:bookmarkStart w:id="76" w:name="_Toc226035300"/>
      <w:bookmarkStart w:id="77" w:name="_Toc17709"/>
      <w:r>
        <w:rPr>
          <w:rFonts w:hint="eastAsia" w:ascii="Times New Roman" w:hAnsi="Times New Roman" w:eastAsia="黑体" w:cs="Times New Roman"/>
          <w:b w:val="0"/>
          <w:bCs/>
          <w:color w:val="auto"/>
          <w:kern w:val="2"/>
          <w:sz w:val="21"/>
          <w:szCs w:val="21"/>
        </w:rPr>
        <w:t>6.5 性能试验</w:t>
      </w:r>
      <w:bookmarkEnd w:id="75"/>
      <w:bookmarkEnd w:id="76"/>
      <w:bookmarkEnd w:id="77"/>
    </w:p>
    <w:p w14:paraId="403682F9">
      <w:pPr>
        <w:widowControl w:val="0"/>
        <w:adjustRightInd w:val="0"/>
        <w:snapToGrid w:val="0"/>
        <w:spacing w:line="360" w:lineRule="auto"/>
        <w:ind w:firstLine="420" w:firstLineChars="200"/>
        <w:textAlignment w:val="auto"/>
        <w:rPr>
          <w:rFonts w:ascii="Times New Roman" w:hAnsi="Times New Roman" w:eastAsia="宋体" w:cs="Times New Roman"/>
          <w:color w:val="auto"/>
          <w:kern w:val="2"/>
          <w:sz w:val="21"/>
          <w:szCs w:val="24"/>
        </w:rPr>
      </w:pPr>
      <w:r>
        <w:rPr>
          <w:rFonts w:hint="eastAsia" w:ascii="Times New Roman" w:hAnsi="Times New Roman" w:eastAsia="宋体" w:cs="Times New Roman"/>
          <w:color w:val="auto"/>
          <w:kern w:val="2"/>
          <w:sz w:val="21"/>
          <w:szCs w:val="24"/>
        </w:rPr>
        <w:t>6.5.1 地面站软件性能试验</w:t>
      </w:r>
    </w:p>
    <w:p w14:paraId="064B535E">
      <w:pPr>
        <w:widowControl w:val="0"/>
        <w:adjustRightInd w:val="0"/>
        <w:snapToGrid w:val="0"/>
        <w:spacing w:line="360" w:lineRule="auto"/>
        <w:ind w:firstLine="420" w:firstLineChars="200"/>
        <w:textAlignment w:val="auto"/>
        <w:rPr>
          <w:rFonts w:ascii="Times New Roman" w:hAnsi="Times New Roman" w:eastAsia="宋体" w:cs="Times New Roman"/>
          <w:color w:val="auto"/>
          <w:kern w:val="2"/>
          <w:sz w:val="21"/>
          <w:szCs w:val="24"/>
        </w:rPr>
      </w:pPr>
      <w:r>
        <w:rPr>
          <w:rFonts w:hint="eastAsia" w:ascii="Times New Roman" w:hAnsi="Times New Roman" w:eastAsia="宋体" w:cs="Times New Roman"/>
          <w:color w:val="auto"/>
          <w:kern w:val="2"/>
          <w:sz w:val="21"/>
          <w:szCs w:val="24"/>
        </w:rPr>
        <w:t>（1） 按照 DL/T1578相关条款方法进行相应等级试验，样机应具备当前位置坐标、飞行高度（可为相对高度，也可为绝对高度;相对高度可为负值，绝对高度采用 CGCS2000 坐标系高度）、飞行速度、飞行航向和航迹、剩余电量、导航定位信号强度等参数的实时显示和记录。</w:t>
      </w:r>
    </w:p>
    <w:p w14:paraId="12C9E683">
      <w:pPr>
        <w:widowControl w:val="0"/>
        <w:adjustRightInd w:val="0"/>
        <w:snapToGrid w:val="0"/>
        <w:spacing w:line="360" w:lineRule="auto"/>
        <w:ind w:firstLine="420" w:firstLineChars="200"/>
        <w:textAlignment w:val="auto"/>
        <w:rPr>
          <w:rFonts w:ascii="Times New Roman" w:hAnsi="Times New Roman" w:eastAsia="宋体" w:cs="Times New Roman"/>
          <w:color w:val="auto"/>
          <w:kern w:val="2"/>
          <w:sz w:val="21"/>
          <w:szCs w:val="24"/>
        </w:rPr>
      </w:pPr>
      <w:r>
        <w:rPr>
          <w:rFonts w:hint="eastAsia" w:ascii="Times New Roman" w:hAnsi="Times New Roman" w:eastAsia="宋体" w:cs="Times New Roman"/>
          <w:color w:val="auto"/>
          <w:kern w:val="2"/>
          <w:sz w:val="21"/>
          <w:szCs w:val="24"/>
        </w:rPr>
        <w:t>（2） 按照 DL/T1578相关条款方法进行相应等级试验，地面站软件应具备电池实时监控管理功能，可对电池电压、充放电次数等进行实时查询和管理。</w:t>
      </w:r>
    </w:p>
    <w:p w14:paraId="669CED41">
      <w:pPr>
        <w:widowControl w:val="0"/>
        <w:adjustRightInd w:val="0"/>
        <w:snapToGrid w:val="0"/>
        <w:spacing w:line="360" w:lineRule="auto"/>
        <w:ind w:firstLine="420" w:firstLineChars="200"/>
        <w:textAlignment w:val="auto"/>
        <w:rPr>
          <w:rFonts w:ascii="Times New Roman" w:hAnsi="Times New Roman" w:eastAsia="宋体" w:cs="Times New Roman"/>
          <w:color w:val="auto"/>
          <w:kern w:val="2"/>
          <w:sz w:val="21"/>
          <w:szCs w:val="24"/>
        </w:rPr>
      </w:pPr>
      <w:r>
        <w:rPr>
          <w:rFonts w:hint="eastAsia" w:ascii="Times New Roman" w:hAnsi="Times New Roman" w:eastAsia="宋体" w:cs="Times New Roman"/>
          <w:color w:val="auto"/>
          <w:kern w:val="2"/>
          <w:sz w:val="21"/>
          <w:szCs w:val="24"/>
        </w:rPr>
        <w:t>（3） 按照 DL/T1578相关条款方法进行相应等级试验，地面站软件应对拍摄的可见光影像、红外影像（含热图数据）及飞行日志数据可存储、导出和分析。</w:t>
      </w:r>
    </w:p>
    <w:p w14:paraId="2D46C343">
      <w:pPr>
        <w:widowControl w:val="0"/>
        <w:adjustRightInd w:val="0"/>
        <w:snapToGrid w:val="0"/>
        <w:spacing w:line="360" w:lineRule="auto"/>
        <w:ind w:firstLine="420" w:firstLineChars="200"/>
        <w:textAlignment w:val="auto"/>
        <w:rPr>
          <w:rFonts w:ascii="Times New Roman" w:hAnsi="Times New Roman" w:eastAsia="宋体" w:cs="Times New Roman"/>
          <w:color w:val="auto"/>
          <w:kern w:val="2"/>
          <w:sz w:val="21"/>
          <w:szCs w:val="24"/>
        </w:rPr>
      </w:pPr>
      <w:r>
        <w:rPr>
          <w:rFonts w:hint="eastAsia" w:ascii="Times New Roman" w:hAnsi="Times New Roman" w:eastAsia="宋体" w:cs="Times New Roman"/>
          <w:color w:val="auto"/>
          <w:kern w:val="2"/>
          <w:sz w:val="21"/>
          <w:szCs w:val="24"/>
        </w:rPr>
        <w:t>（4） 多旋翼无人机位置及偏离角、云台俯仰角及偏转角等信息宜记录至拍摄影像的属性中。</w:t>
      </w:r>
    </w:p>
    <w:p w14:paraId="0EBDA35B">
      <w:pPr>
        <w:widowControl w:val="0"/>
        <w:adjustRightInd w:val="0"/>
        <w:snapToGrid w:val="0"/>
        <w:spacing w:line="360" w:lineRule="auto"/>
        <w:ind w:firstLine="420" w:firstLineChars="200"/>
        <w:textAlignment w:val="auto"/>
        <w:rPr>
          <w:rFonts w:ascii="Times New Roman" w:hAnsi="Times New Roman" w:eastAsia="宋体" w:cs="Times New Roman"/>
          <w:color w:val="auto"/>
          <w:kern w:val="2"/>
          <w:sz w:val="21"/>
          <w:szCs w:val="24"/>
        </w:rPr>
      </w:pPr>
      <w:r>
        <w:rPr>
          <w:rFonts w:hint="eastAsia" w:ascii="Times New Roman" w:hAnsi="Times New Roman" w:eastAsia="宋体" w:cs="Times New Roman"/>
          <w:color w:val="auto"/>
          <w:kern w:val="2"/>
          <w:sz w:val="21"/>
          <w:szCs w:val="24"/>
        </w:rPr>
        <w:t>6.5.2 动力电池性能试验</w:t>
      </w:r>
    </w:p>
    <w:p w14:paraId="1C308E83">
      <w:pPr>
        <w:widowControl w:val="0"/>
        <w:adjustRightInd w:val="0"/>
        <w:snapToGrid w:val="0"/>
        <w:spacing w:line="360" w:lineRule="auto"/>
        <w:ind w:firstLine="420" w:firstLineChars="200"/>
        <w:textAlignment w:val="auto"/>
        <w:rPr>
          <w:rFonts w:ascii="Times New Roman" w:hAnsi="Times New Roman" w:eastAsia="宋体" w:cs="Times New Roman"/>
          <w:color w:val="auto"/>
          <w:kern w:val="2"/>
          <w:sz w:val="21"/>
          <w:szCs w:val="24"/>
        </w:rPr>
      </w:pPr>
      <w:r>
        <w:rPr>
          <w:rFonts w:hint="eastAsia" w:ascii="Times New Roman" w:hAnsi="Times New Roman" w:eastAsia="宋体" w:cs="Times New Roman"/>
          <w:color w:val="auto"/>
          <w:kern w:val="2"/>
          <w:sz w:val="21"/>
          <w:szCs w:val="24"/>
        </w:rPr>
        <w:t>按照DL/T1578相关条款方法进行相应等级试验，动力电池外观具有电源正负极标识，电池接头采取防松脱、防误插措施；在电性能试验中，23℃快速放电容量试验不低于电池规格书规定的额定值，且不高于额定值的110%；-20°快速放电容量试验不低于电池规格书规定的额定值的70%，55°快速放电容量试验不低于电池规格书规定的额定值的95%，循环寿命的循环次数不小于300；在环境适应性的低气压试验、温度冲击试验、耐振动性试验中，电池均不出现变形、鼓包、漏液、破裂、起火、爆炸等现象；在安全性的过电压充电试验、欠电压放电试验、外部短路试验、挤压试验、加速度冲击试验、跌落试验中，电池均不出现变形、鼓包、漏液、破裂、起火、爆炸等现象。</w:t>
      </w:r>
    </w:p>
    <w:p w14:paraId="0DD7F0C3">
      <w:pPr>
        <w:widowControl w:val="0"/>
        <w:adjustRightInd w:val="0"/>
        <w:snapToGrid w:val="0"/>
        <w:spacing w:line="360" w:lineRule="auto"/>
        <w:ind w:firstLine="420" w:firstLineChars="200"/>
        <w:textAlignment w:val="auto"/>
        <w:rPr>
          <w:rFonts w:ascii="Times New Roman" w:hAnsi="Times New Roman" w:eastAsia="宋体" w:cs="Times New Roman"/>
          <w:color w:val="auto"/>
          <w:kern w:val="2"/>
          <w:sz w:val="21"/>
          <w:szCs w:val="24"/>
        </w:rPr>
      </w:pPr>
      <w:r>
        <w:rPr>
          <w:rFonts w:hint="eastAsia" w:ascii="Times New Roman" w:hAnsi="Times New Roman" w:eastAsia="宋体" w:cs="Times New Roman"/>
          <w:color w:val="auto"/>
          <w:kern w:val="2"/>
          <w:sz w:val="21"/>
          <w:szCs w:val="24"/>
        </w:rPr>
        <w:t>6.5.3 机械耐受性能试验</w:t>
      </w:r>
    </w:p>
    <w:p w14:paraId="303C3305">
      <w:pPr>
        <w:widowControl w:val="0"/>
        <w:adjustRightInd w:val="0"/>
        <w:snapToGrid w:val="0"/>
        <w:spacing w:line="360" w:lineRule="auto"/>
        <w:ind w:firstLine="420" w:firstLineChars="200"/>
        <w:textAlignment w:val="auto"/>
        <w:rPr>
          <w:rFonts w:ascii="Times New Roman" w:hAnsi="Times New Roman" w:eastAsia="宋体" w:cs="Times New Roman"/>
          <w:color w:val="auto"/>
          <w:kern w:val="2"/>
          <w:sz w:val="21"/>
          <w:szCs w:val="24"/>
        </w:rPr>
      </w:pPr>
      <w:r>
        <w:rPr>
          <w:rFonts w:hint="eastAsia" w:ascii="Times New Roman" w:hAnsi="Times New Roman" w:eastAsia="宋体" w:cs="Times New Roman"/>
          <w:color w:val="auto"/>
          <w:kern w:val="2"/>
          <w:sz w:val="21"/>
          <w:szCs w:val="24"/>
        </w:rPr>
        <w:t>按照DL/T1578相关条款方法进行试验，样机无变形、裂纹，插接件、紧固件无开裂、松落，显示屏无变形、开裂、花屏等现象，操控响应正常，任务设备转动、拍摄等功能正常，除障装置剪切功能正常。</w:t>
      </w:r>
    </w:p>
    <w:p w14:paraId="107E19EA">
      <w:pPr>
        <w:widowControl w:val="0"/>
        <w:adjustRightInd w:val="0"/>
        <w:snapToGrid w:val="0"/>
        <w:spacing w:line="360" w:lineRule="auto"/>
        <w:ind w:firstLine="420" w:firstLineChars="200"/>
        <w:textAlignment w:val="auto"/>
        <w:rPr>
          <w:rFonts w:ascii="Times New Roman" w:hAnsi="Times New Roman" w:eastAsia="宋体" w:cs="Times New Roman"/>
          <w:color w:val="auto"/>
          <w:kern w:val="2"/>
          <w:sz w:val="21"/>
          <w:szCs w:val="24"/>
        </w:rPr>
      </w:pPr>
      <w:r>
        <w:rPr>
          <w:rFonts w:hint="eastAsia" w:ascii="Times New Roman" w:hAnsi="Times New Roman" w:eastAsia="宋体" w:cs="Times New Roman"/>
          <w:color w:val="auto"/>
          <w:kern w:val="2"/>
          <w:sz w:val="21"/>
          <w:szCs w:val="24"/>
        </w:rPr>
        <w:t>6.5.4 跌落性能试验</w:t>
      </w:r>
    </w:p>
    <w:p w14:paraId="50B4EA57">
      <w:pPr>
        <w:widowControl w:val="0"/>
        <w:adjustRightInd w:val="0"/>
        <w:snapToGrid w:val="0"/>
        <w:spacing w:line="360" w:lineRule="auto"/>
        <w:ind w:firstLine="420" w:firstLineChars="200"/>
        <w:textAlignment w:val="auto"/>
        <w:rPr>
          <w:rFonts w:ascii="Times New Roman" w:hAnsi="Times New Roman" w:eastAsia="宋体" w:cs="Times New Roman"/>
          <w:color w:val="auto"/>
          <w:kern w:val="2"/>
          <w:sz w:val="21"/>
          <w:szCs w:val="24"/>
        </w:rPr>
      </w:pPr>
      <w:r>
        <w:rPr>
          <w:rFonts w:hint="eastAsia" w:ascii="Times New Roman" w:hAnsi="Times New Roman" w:eastAsia="宋体" w:cs="Times New Roman"/>
          <w:color w:val="auto"/>
          <w:kern w:val="2"/>
          <w:sz w:val="21"/>
          <w:szCs w:val="24"/>
        </w:rPr>
        <w:t>按照DL/T1578相关条款方法进行试验，运输箱/储运包无变形、裂纹和破损屏等现像，样机无变形、裂纹，插接件、紧固件无开裂、松落，显示屏无异常等现象，操控响应正常，除障装置剪切功能正常，任务设备转动、拍摄等功能正常。</w:t>
      </w:r>
    </w:p>
    <w:p w14:paraId="478EFE9F">
      <w:pPr>
        <w:widowControl w:val="0"/>
        <w:spacing w:line="480" w:lineRule="auto"/>
        <w:jc w:val="both"/>
        <w:textAlignment w:val="auto"/>
        <w:outlineLvl w:val="0"/>
        <w:rPr>
          <w:rFonts w:ascii="Times New Roman" w:hAnsi="Times New Roman" w:eastAsia="黑体" w:cs="Times New Roman"/>
          <w:b/>
          <w:bCs/>
          <w:color w:val="auto"/>
          <w:kern w:val="2"/>
          <w:sz w:val="21"/>
          <w:szCs w:val="21"/>
        </w:rPr>
      </w:pPr>
      <w:bookmarkStart w:id="78" w:name="_Toc24784"/>
      <w:bookmarkStart w:id="79" w:name="_Toc226035301"/>
      <w:bookmarkStart w:id="80" w:name="_Toc29106"/>
      <w:r>
        <w:rPr>
          <w:rFonts w:ascii="Times New Roman" w:hAnsi="Times New Roman" w:eastAsia="黑体" w:cs="Times New Roman"/>
          <w:b/>
          <w:bCs/>
          <w:color w:val="auto"/>
          <w:kern w:val="2"/>
          <w:sz w:val="21"/>
          <w:szCs w:val="21"/>
        </w:rPr>
        <w:t>7 检验规则</w:t>
      </w:r>
      <w:bookmarkEnd w:id="78"/>
      <w:bookmarkEnd w:id="79"/>
      <w:bookmarkEnd w:id="80"/>
    </w:p>
    <w:p w14:paraId="53CAECA2">
      <w:pPr>
        <w:widowControl w:val="0"/>
        <w:adjustRightInd w:val="0"/>
        <w:snapToGrid w:val="0"/>
        <w:spacing w:line="360" w:lineRule="auto"/>
        <w:ind w:firstLine="420" w:firstLineChars="200"/>
        <w:jc w:val="both"/>
        <w:textAlignment w:val="auto"/>
        <w:rPr>
          <w:rFonts w:ascii="Times New Roman" w:hAnsi="Times New Roman" w:eastAsia="宋体" w:cs="Times New Roman"/>
          <w:color w:val="auto"/>
          <w:kern w:val="2"/>
          <w:sz w:val="21"/>
          <w:szCs w:val="24"/>
        </w:rPr>
      </w:pPr>
      <w:r>
        <w:rPr>
          <w:rFonts w:hint="eastAsia" w:ascii="Times New Roman" w:hAnsi="Times New Roman" w:eastAsia="宋体" w:cs="Times New Roman"/>
          <w:color w:val="auto"/>
          <w:kern w:val="2"/>
          <w:sz w:val="21"/>
          <w:szCs w:val="24"/>
        </w:rPr>
        <w:t>试验按IEC、GB、DL、中国南方电网企业标准和其他有关标准进行，本技术条件要求的试验，其试验费用由供货方承担。试验应出具详细记载试验方法、测试过程数据和正式的试验报告。</w:t>
      </w:r>
    </w:p>
    <w:p w14:paraId="2AE4D8A5">
      <w:pPr>
        <w:widowControl w:val="0"/>
        <w:adjustRightInd w:val="0"/>
        <w:snapToGrid w:val="0"/>
        <w:spacing w:line="360" w:lineRule="auto"/>
        <w:ind w:firstLine="420" w:firstLineChars="200"/>
        <w:jc w:val="both"/>
        <w:textAlignment w:val="auto"/>
        <w:rPr>
          <w:rFonts w:ascii="Times New Roman" w:hAnsi="Times New Roman" w:eastAsia="宋体" w:cs="Times New Roman"/>
          <w:color w:val="auto"/>
          <w:kern w:val="2"/>
          <w:sz w:val="21"/>
          <w:szCs w:val="24"/>
        </w:rPr>
      </w:pPr>
      <w:r>
        <w:rPr>
          <w:rFonts w:hint="eastAsia" w:ascii="Times New Roman" w:hAnsi="Times New Roman" w:eastAsia="宋体" w:cs="Times New Roman"/>
          <w:color w:val="auto"/>
          <w:kern w:val="2"/>
          <w:sz w:val="21"/>
          <w:szCs w:val="24"/>
        </w:rPr>
        <w:t>无人机除障仪试验分为型式试验、出厂试验、送样检测、专项抽检和到货抽检，具体检测项目如表7.1所示，试验方法和要求参照DL/T 1578-2021《架空电力线路多旋翼无人机巡检系统》等相关标准执行。</w:t>
      </w:r>
    </w:p>
    <w:p w14:paraId="28580AF5">
      <w:pPr>
        <w:widowControl w:val="0"/>
        <w:adjustRightInd w:val="0"/>
        <w:snapToGrid w:val="0"/>
        <w:spacing w:line="360" w:lineRule="auto"/>
        <w:ind w:firstLine="420" w:firstLineChars="200"/>
        <w:jc w:val="both"/>
        <w:textAlignment w:val="auto"/>
        <w:rPr>
          <w:rFonts w:hint="eastAsia"/>
        </w:rPr>
      </w:pPr>
      <w:r>
        <w:rPr>
          <w:rFonts w:hint="eastAsia" w:ascii="Times New Roman" w:hAnsi="Times New Roman" w:eastAsia="宋体" w:cs="Times New Roman"/>
          <w:color w:val="auto"/>
          <w:kern w:val="2"/>
          <w:sz w:val="21"/>
          <w:szCs w:val="24"/>
        </w:rPr>
        <w:t>验收检验在合同规定时间内所有性能指标达到本规范技术要求时，方可进行验收；投标方根据招标方的要求提供建议及做好验收前的相关准备工作，验收过程中投标方在投标文件中声明响应的指标任意一项未通过测试，则视为不合格；验收测试合格后方能交付项目单位，同时双方签署验收证明，对于验收整改问题需按招标方要求限期整改或更换。</w:t>
      </w:r>
    </w:p>
    <w:p w14:paraId="54A92AC0">
      <w:pPr>
        <w:jc w:val="center"/>
        <w:rPr>
          <w:rFonts w:hint="eastAsia" w:ascii="黑体" w:hAnsi="黑体" w:eastAsia="黑体"/>
        </w:rPr>
      </w:pPr>
      <w:r>
        <w:rPr>
          <w:rFonts w:hint="eastAsia" w:ascii="黑体" w:hAnsi="黑体" w:eastAsia="黑体"/>
          <w:szCs w:val="21"/>
        </w:rPr>
        <w:t xml:space="preserve">表7.1  </w:t>
      </w:r>
      <w:r>
        <w:rPr>
          <w:rFonts w:hint="eastAsia" w:ascii="黑体" w:hAnsi="黑体" w:eastAsia="黑体"/>
          <w:szCs w:val="21"/>
        </w:rPr>
        <w:tab/>
      </w:r>
      <w:r>
        <w:rPr>
          <w:rFonts w:hint="eastAsia" w:ascii="黑体" w:hAnsi="黑体" w:eastAsia="黑体"/>
        </w:rPr>
        <w:t>无人机</w:t>
      </w:r>
      <w:r>
        <w:rPr>
          <w:rFonts w:hint="eastAsia" w:ascii="黑体" w:hAnsi="黑体" w:eastAsia="黑体"/>
          <w:szCs w:val="21"/>
        </w:rPr>
        <w:t>检测项目</w:t>
      </w:r>
    </w:p>
    <w:tbl>
      <w:tblPr>
        <w:tblStyle w:val="14"/>
        <w:tblW w:w="934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58"/>
        <w:gridCol w:w="970"/>
        <w:gridCol w:w="2457"/>
        <w:gridCol w:w="917"/>
        <w:gridCol w:w="960"/>
        <w:gridCol w:w="845"/>
        <w:gridCol w:w="880"/>
        <w:gridCol w:w="880"/>
        <w:gridCol w:w="880"/>
      </w:tblGrid>
      <w:tr w14:paraId="510A23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588" w:hRule="atLeast"/>
          <w:jc w:val="center"/>
        </w:trPr>
        <w:tc>
          <w:tcPr>
            <w:tcW w:w="3985" w:type="dxa"/>
            <w:gridSpan w:val="3"/>
            <w:vMerge w:val="restart"/>
            <w:vAlign w:val="center"/>
          </w:tcPr>
          <w:p w14:paraId="78D9E81B">
            <w:pPr>
              <w:jc w:val="center"/>
              <w:rPr>
                <w:rFonts w:hint="eastAsia" w:ascii="宋体" w:hAnsi="宋体" w:eastAsia="宋体"/>
                <w:sz w:val="20"/>
              </w:rPr>
            </w:pPr>
            <w:r>
              <w:rPr>
                <w:rFonts w:hint="eastAsia" w:ascii="宋体" w:hAnsi="宋体" w:eastAsia="宋体"/>
                <w:sz w:val="20"/>
              </w:rPr>
              <w:t>试验项目</w:t>
            </w:r>
          </w:p>
        </w:tc>
        <w:tc>
          <w:tcPr>
            <w:tcW w:w="5362" w:type="dxa"/>
            <w:gridSpan w:val="6"/>
            <w:vAlign w:val="center"/>
          </w:tcPr>
          <w:p w14:paraId="5AAA4446">
            <w:pPr>
              <w:jc w:val="center"/>
              <w:rPr>
                <w:rFonts w:hint="eastAsia" w:ascii="宋体" w:hAnsi="宋体" w:eastAsia="宋体"/>
                <w:sz w:val="20"/>
              </w:rPr>
            </w:pPr>
            <w:r>
              <w:rPr>
                <w:rFonts w:hint="eastAsia" w:ascii="宋体" w:hAnsi="宋体" w:eastAsia="宋体"/>
                <w:sz w:val="20"/>
              </w:rPr>
              <w:t>试验类型</w:t>
            </w:r>
          </w:p>
        </w:tc>
      </w:tr>
      <w:tr w14:paraId="0C9B4C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88" w:hRule="atLeast"/>
          <w:jc w:val="center"/>
        </w:trPr>
        <w:tc>
          <w:tcPr>
            <w:tcW w:w="3985" w:type="dxa"/>
            <w:gridSpan w:val="3"/>
            <w:vMerge w:val="continue"/>
            <w:vAlign w:val="center"/>
          </w:tcPr>
          <w:p w14:paraId="0D13BD10">
            <w:pPr>
              <w:jc w:val="center"/>
              <w:rPr>
                <w:rFonts w:hint="eastAsia" w:ascii="宋体" w:hAnsi="宋体" w:eastAsia="宋体"/>
                <w:sz w:val="20"/>
              </w:rPr>
            </w:pPr>
          </w:p>
        </w:tc>
        <w:tc>
          <w:tcPr>
            <w:tcW w:w="917" w:type="dxa"/>
            <w:vAlign w:val="center"/>
          </w:tcPr>
          <w:p w14:paraId="4948D6F8">
            <w:pPr>
              <w:jc w:val="center"/>
              <w:rPr>
                <w:rFonts w:hint="eastAsia" w:ascii="宋体" w:hAnsi="宋体" w:eastAsia="宋体"/>
                <w:sz w:val="20"/>
              </w:rPr>
            </w:pPr>
            <w:r>
              <w:rPr>
                <w:rFonts w:hint="eastAsia" w:ascii="宋体" w:hAnsi="宋体" w:eastAsia="宋体"/>
                <w:sz w:val="20"/>
              </w:rPr>
              <w:t>依据条款</w:t>
            </w:r>
          </w:p>
        </w:tc>
        <w:tc>
          <w:tcPr>
            <w:tcW w:w="960" w:type="dxa"/>
            <w:vAlign w:val="center"/>
          </w:tcPr>
          <w:p w14:paraId="0A6BBEDD">
            <w:pPr>
              <w:jc w:val="center"/>
              <w:rPr>
                <w:rFonts w:hint="eastAsia" w:ascii="宋体" w:hAnsi="宋体" w:eastAsia="宋体"/>
                <w:sz w:val="20"/>
              </w:rPr>
            </w:pPr>
            <w:r>
              <w:rPr>
                <w:rFonts w:hint="eastAsia" w:ascii="宋体" w:hAnsi="宋体" w:eastAsia="宋体"/>
                <w:sz w:val="20"/>
              </w:rPr>
              <w:t>型式试验</w:t>
            </w:r>
          </w:p>
        </w:tc>
        <w:tc>
          <w:tcPr>
            <w:tcW w:w="845" w:type="dxa"/>
            <w:vAlign w:val="center"/>
          </w:tcPr>
          <w:p w14:paraId="6285E4CC">
            <w:pPr>
              <w:jc w:val="center"/>
              <w:rPr>
                <w:rFonts w:hint="eastAsia" w:ascii="宋体" w:hAnsi="宋体" w:eastAsia="宋体"/>
                <w:sz w:val="20"/>
              </w:rPr>
            </w:pPr>
            <w:r>
              <w:rPr>
                <w:rFonts w:hint="eastAsia" w:ascii="宋体" w:hAnsi="宋体" w:eastAsia="宋体"/>
                <w:sz w:val="20"/>
              </w:rPr>
              <w:t>出厂试验</w:t>
            </w:r>
          </w:p>
        </w:tc>
        <w:tc>
          <w:tcPr>
            <w:tcW w:w="880" w:type="dxa"/>
            <w:vAlign w:val="center"/>
          </w:tcPr>
          <w:p w14:paraId="45A74F02">
            <w:pPr>
              <w:jc w:val="center"/>
              <w:rPr>
                <w:rFonts w:hint="eastAsia" w:ascii="宋体" w:hAnsi="宋体" w:eastAsia="宋体"/>
                <w:sz w:val="20"/>
              </w:rPr>
            </w:pPr>
            <w:r>
              <w:rPr>
                <w:rFonts w:hint="eastAsia" w:ascii="宋体" w:hAnsi="宋体" w:eastAsia="宋体"/>
                <w:sz w:val="20"/>
              </w:rPr>
              <w:t>送样检测</w:t>
            </w:r>
          </w:p>
        </w:tc>
        <w:tc>
          <w:tcPr>
            <w:tcW w:w="880" w:type="dxa"/>
            <w:vAlign w:val="center"/>
          </w:tcPr>
          <w:p w14:paraId="3E8EE4F5">
            <w:pPr>
              <w:jc w:val="center"/>
              <w:rPr>
                <w:rFonts w:hint="eastAsia" w:ascii="宋体" w:hAnsi="宋体" w:eastAsia="宋体"/>
                <w:sz w:val="20"/>
              </w:rPr>
            </w:pPr>
            <w:r>
              <w:rPr>
                <w:rFonts w:hint="eastAsia" w:ascii="宋体" w:hAnsi="宋体" w:eastAsia="宋体"/>
                <w:sz w:val="20"/>
              </w:rPr>
              <w:t>专项抽检</w:t>
            </w:r>
          </w:p>
        </w:tc>
        <w:tc>
          <w:tcPr>
            <w:tcW w:w="880" w:type="dxa"/>
            <w:vAlign w:val="center"/>
          </w:tcPr>
          <w:p w14:paraId="0AF24DB2">
            <w:pPr>
              <w:jc w:val="center"/>
              <w:rPr>
                <w:rFonts w:hint="eastAsia" w:ascii="宋体" w:hAnsi="宋体" w:eastAsia="宋体"/>
                <w:sz w:val="20"/>
              </w:rPr>
            </w:pPr>
            <w:r>
              <w:rPr>
                <w:rFonts w:hint="eastAsia" w:ascii="宋体" w:hAnsi="宋体" w:eastAsia="宋体"/>
                <w:sz w:val="20"/>
              </w:rPr>
              <w:t>到货抽检</w:t>
            </w:r>
          </w:p>
        </w:tc>
      </w:tr>
      <w:tr w14:paraId="06472E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jc w:val="center"/>
        </w:trPr>
        <w:tc>
          <w:tcPr>
            <w:tcW w:w="558" w:type="dxa"/>
            <w:vMerge w:val="restart"/>
            <w:vAlign w:val="center"/>
          </w:tcPr>
          <w:p w14:paraId="3CC36241">
            <w:pPr>
              <w:jc w:val="center"/>
              <w:rPr>
                <w:rFonts w:hint="eastAsia" w:ascii="宋体" w:hAnsi="宋体" w:eastAsia="宋体"/>
                <w:sz w:val="20"/>
              </w:rPr>
            </w:pPr>
            <w:r>
              <w:rPr>
                <w:rFonts w:hint="eastAsia" w:ascii="宋体" w:hAnsi="宋体" w:eastAsia="宋体"/>
                <w:sz w:val="20"/>
              </w:rPr>
              <w:t>一般要求</w:t>
            </w:r>
          </w:p>
        </w:tc>
        <w:tc>
          <w:tcPr>
            <w:tcW w:w="3427" w:type="dxa"/>
            <w:gridSpan w:val="2"/>
            <w:vAlign w:val="center"/>
          </w:tcPr>
          <w:p w14:paraId="2E9D252A">
            <w:pPr>
              <w:jc w:val="center"/>
              <w:rPr>
                <w:rFonts w:hint="eastAsia" w:ascii="宋体" w:hAnsi="宋体" w:eastAsia="宋体"/>
                <w:sz w:val="20"/>
              </w:rPr>
            </w:pPr>
            <w:r>
              <w:rPr>
                <w:rFonts w:hint="eastAsia" w:ascii="宋体" w:hAnsi="宋体" w:eastAsia="宋体"/>
                <w:sz w:val="20"/>
              </w:rPr>
              <w:t>外观特性试验</w:t>
            </w:r>
          </w:p>
        </w:tc>
        <w:tc>
          <w:tcPr>
            <w:tcW w:w="917" w:type="dxa"/>
            <w:vAlign w:val="center"/>
          </w:tcPr>
          <w:p w14:paraId="5DA79605">
            <w:pPr>
              <w:jc w:val="center"/>
              <w:rPr>
                <w:rFonts w:hint="eastAsia" w:ascii="宋体" w:hAnsi="宋体" w:eastAsia="宋体"/>
                <w:sz w:val="20"/>
              </w:rPr>
            </w:pPr>
            <w:r>
              <w:rPr>
                <w:rFonts w:hint="eastAsia" w:ascii="宋体" w:hAnsi="宋体" w:eastAsia="宋体"/>
                <w:sz w:val="20"/>
              </w:rPr>
              <w:t>6.1</w:t>
            </w:r>
          </w:p>
        </w:tc>
        <w:tc>
          <w:tcPr>
            <w:tcW w:w="960" w:type="dxa"/>
            <w:vAlign w:val="center"/>
          </w:tcPr>
          <w:p w14:paraId="01332EE3">
            <w:pPr>
              <w:jc w:val="center"/>
              <w:rPr>
                <w:rFonts w:hint="eastAsia" w:ascii="宋体" w:hAnsi="宋体" w:eastAsia="宋体"/>
                <w:sz w:val="20"/>
              </w:rPr>
            </w:pPr>
            <w:r>
              <w:rPr>
                <w:rFonts w:hint="eastAsia" w:ascii="宋体" w:hAnsi="宋体" w:eastAsia="宋体"/>
                <w:sz w:val="16"/>
                <w:szCs w:val="16"/>
              </w:rPr>
              <w:t>●</w:t>
            </w:r>
          </w:p>
        </w:tc>
        <w:tc>
          <w:tcPr>
            <w:tcW w:w="845" w:type="dxa"/>
            <w:vAlign w:val="center"/>
          </w:tcPr>
          <w:p w14:paraId="239A719D">
            <w:pPr>
              <w:jc w:val="center"/>
              <w:rPr>
                <w:rFonts w:hint="eastAsia" w:ascii="宋体" w:hAnsi="宋体" w:eastAsia="宋体"/>
                <w:sz w:val="20"/>
              </w:rPr>
            </w:pPr>
            <w:r>
              <w:rPr>
                <w:rFonts w:hint="eastAsia" w:ascii="宋体" w:hAnsi="宋体" w:eastAsia="宋体"/>
                <w:sz w:val="16"/>
                <w:szCs w:val="16"/>
              </w:rPr>
              <w:t>●</w:t>
            </w:r>
          </w:p>
        </w:tc>
        <w:tc>
          <w:tcPr>
            <w:tcW w:w="880" w:type="dxa"/>
            <w:vAlign w:val="center"/>
          </w:tcPr>
          <w:p w14:paraId="770561E2">
            <w:pPr>
              <w:jc w:val="center"/>
              <w:rPr>
                <w:rFonts w:hint="eastAsia" w:ascii="宋体" w:hAnsi="宋体" w:eastAsia="宋体"/>
                <w:sz w:val="16"/>
                <w:szCs w:val="16"/>
              </w:rPr>
            </w:pPr>
            <w:r>
              <w:rPr>
                <w:rFonts w:hint="eastAsia" w:ascii="宋体" w:hAnsi="宋体" w:eastAsia="宋体"/>
                <w:sz w:val="16"/>
                <w:szCs w:val="16"/>
              </w:rPr>
              <w:t>●</w:t>
            </w:r>
          </w:p>
        </w:tc>
        <w:tc>
          <w:tcPr>
            <w:tcW w:w="880" w:type="dxa"/>
            <w:vAlign w:val="center"/>
          </w:tcPr>
          <w:p w14:paraId="24891C3E">
            <w:pPr>
              <w:jc w:val="center"/>
              <w:rPr>
                <w:rFonts w:hint="eastAsia" w:ascii="宋体" w:hAnsi="宋体" w:eastAsia="宋体"/>
                <w:sz w:val="16"/>
                <w:szCs w:val="16"/>
              </w:rPr>
            </w:pPr>
            <w:r>
              <w:rPr>
                <w:rFonts w:hint="eastAsia" w:ascii="宋体" w:hAnsi="宋体" w:eastAsia="宋体"/>
                <w:sz w:val="16"/>
                <w:szCs w:val="16"/>
              </w:rPr>
              <w:t>●</w:t>
            </w:r>
          </w:p>
        </w:tc>
        <w:tc>
          <w:tcPr>
            <w:tcW w:w="880" w:type="dxa"/>
            <w:vAlign w:val="center"/>
          </w:tcPr>
          <w:p w14:paraId="3B0D3F6E">
            <w:pPr>
              <w:jc w:val="center"/>
              <w:rPr>
                <w:rFonts w:hint="eastAsia" w:ascii="宋体" w:hAnsi="宋体" w:eastAsia="宋体"/>
                <w:sz w:val="16"/>
                <w:szCs w:val="16"/>
              </w:rPr>
            </w:pPr>
            <w:r>
              <w:rPr>
                <w:rFonts w:hint="eastAsia" w:ascii="宋体" w:hAnsi="宋体" w:eastAsia="宋体"/>
                <w:sz w:val="16"/>
                <w:szCs w:val="16"/>
              </w:rPr>
              <w:t>●</w:t>
            </w:r>
          </w:p>
        </w:tc>
      </w:tr>
      <w:tr w14:paraId="398797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2" w:hRule="atLeast"/>
          <w:jc w:val="center"/>
        </w:trPr>
        <w:tc>
          <w:tcPr>
            <w:tcW w:w="558" w:type="dxa"/>
            <w:vMerge w:val="continue"/>
            <w:vAlign w:val="center"/>
          </w:tcPr>
          <w:p w14:paraId="73D6D39A">
            <w:pPr>
              <w:jc w:val="center"/>
              <w:rPr>
                <w:rFonts w:hint="eastAsia" w:ascii="宋体" w:hAnsi="宋体" w:eastAsia="宋体"/>
                <w:sz w:val="20"/>
              </w:rPr>
            </w:pPr>
          </w:p>
        </w:tc>
        <w:tc>
          <w:tcPr>
            <w:tcW w:w="970" w:type="dxa"/>
            <w:vMerge w:val="restart"/>
            <w:vAlign w:val="center"/>
          </w:tcPr>
          <w:p w14:paraId="1380A798">
            <w:pPr>
              <w:jc w:val="center"/>
              <w:rPr>
                <w:rFonts w:hint="eastAsia" w:ascii="宋体" w:hAnsi="宋体" w:eastAsia="宋体"/>
                <w:sz w:val="20"/>
              </w:rPr>
            </w:pPr>
            <w:r>
              <w:rPr>
                <w:rFonts w:hint="eastAsia" w:ascii="宋体" w:hAnsi="宋体" w:eastAsia="宋体"/>
                <w:sz w:val="20"/>
              </w:rPr>
              <w:t>环境适应性</w:t>
            </w:r>
          </w:p>
        </w:tc>
        <w:tc>
          <w:tcPr>
            <w:tcW w:w="2457" w:type="dxa"/>
            <w:vAlign w:val="center"/>
          </w:tcPr>
          <w:p w14:paraId="49AA3461">
            <w:pPr>
              <w:jc w:val="center"/>
              <w:rPr>
                <w:rFonts w:hint="eastAsia" w:ascii="宋体" w:hAnsi="宋体" w:eastAsia="宋体"/>
                <w:sz w:val="20"/>
              </w:rPr>
            </w:pPr>
            <w:r>
              <w:rPr>
                <w:rFonts w:hint="eastAsia" w:ascii="宋体" w:hAnsi="宋体" w:eastAsia="宋体"/>
                <w:sz w:val="20"/>
              </w:rPr>
              <w:t>低温环境适应性</w:t>
            </w:r>
          </w:p>
        </w:tc>
        <w:tc>
          <w:tcPr>
            <w:tcW w:w="917" w:type="dxa"/>
            <w:vAlign w:val="center"/>
          </w:tcPr>
          <w:p w14:paraId="21A855FD">
            <w:pPr>
              <w:jc w:val="center"/>
              <w:rPr>
                <w:rFonts w:hint="eastAsia" w:ascii="宋体" w:hAnsi="宋体" w:eastAsia="宋体"/>
                <w:sz w:val="20"/>
                <w:szCs w:val="22"/>
              </w:rPr>
            </w:pPr>
            <w:r>
              <w:rPr>
                <w:rFonts w:hint="eastAsia" w:ascii="宋体" w:hAnsi="宋体" w:eastAsia="宋体"/>
                <w:szCs w:val="21"/>
              </w:rPr>
              <w:t>6.2.1</w:t>
            </w:r>
          </w:p>
        </w:tc>
        <w:tc>
          <w:tcPr>
            <w:tcW w:w="960" w:type="dxa"/>
            <w:vAlign w:val="center"/>
          </w:tcPr>
          <w:p w14:paraId="51F7A233">
            <w:pPr>
              <w:jc w:val="center"/>
              <w:rPr>
                <w:rFonts w:hint="eastAsia" w:ascii="宋体" w:hAnsi="宋体" w:eastAsia="宋体"/>
                <w:sz w:val="20"/>
                <w:szCs w:val="22"/>
              </w:rPr>
            </w:pPr>
            <w:r>
              <w:rPr>
                <w:rFonts w:hint="eastAsia" w:ascii="宋体" w:hAnsi="宋体" w:eastAsia="宋体"/>
                <w:sz w:val="16"/>
                <w:szCs w:val="16"/>
              </w:rPr>
              <w:t>●</w:t>
            </w:r>
          </w:p>
        </w:tc>
        <w:tc>
          <w:tcPr>
            <w:tcW w:w="845" w:type="dxa"/>
            <w:vAlign w:val="center"/>
          </w:tcPr>
          <w:p w14:paraId="24166FD2">
            <w:pPr>
              <w:jc w:val="center"/>
              <w:rPr>
                <w:rFonts w:hint="eastAsia" w:ascii="宋体" w:hAnsi="宋体" w:eastAsia="宋体"/>
                <w:sz w:val="20"/>
                <w:szCs w:val="22"/>
              </w:rPr>
            </w:pPr>
            <w:r>
              <w:rPr>
                <w:rFonts w:hint="eastAsia" w:ascii="宋体" w:hAnsi="宋体" w:eastAsia="宋体"/>
                <w:b/>
                <w:sz w:val="16"/>
                <w:szCs w:val="16"/>
              </w:rPr>
              <w:t>○</w:t>
            </w:r>
          </w:p>
        </w:tc>
        <w:tc>
          <w:tcPr>
            <w:tcW w:w="880" w:type="dxa"/>
            <w:vAlign w:val="center"/>
          </w:tcPr>
          <w:p w14:paraId="0BCC9758">
            <w:pPr>
              <w:jc w:val="center"/>
              <w:rPr>
                <w:rFonts w:hint="eastAsia" w:ascii="宋体" w:hAnsi="宋体" w:eastAsia="宋体"/>
                <w:b/>
                <w:sz w:val="16"/>
                <w:szCs w:val="16"/>
              </w:rPr>
            </w:pPr>
            <w:r>
              <w:rPr>
                <w:rFonts w:hint="eastAsia" w:ascii="宋体" w:hAnsi="宋体" w:eastAsia="宋体"/>
                <w:b/>
                <w:sz w:val="16"/>
                <w:szCs w:val="16"/>
              </w:rPr>
              <w:t>○</w:t>
            </w:r>
          </w:p>
        </w:tc>
        <w:tc>
          <w:tcPr>
            <w:tcW w:w="880" w:type="dxa"/>
            <w:vAlign w:val="center"/>
          </w:tcPr>
          <w:p w14:paraId="42D6CC75">
            <w:pPr>
              <w:jc w:val="center"/>
              <w:rPr>
                <w:rFonts w:hint="eastAsia" w:ascii="宋体" w:hAnsi="宋体" w:eastAsia="宋体"/>
                <w:b/>
                <w:sz w:val="16"/>
                <w:szCs w:val="16"/>
              </w:rPr>
            </w:pPr>
            <w:r>
              <w:rPr>
                <w:rFonts w:hint="eastAsia" w:ascii="宋体" w:hAnsi="宋体" w:eastAsia="宋体"/>
                <w:b/>
                <w:sz w:val="16"/>
                <w:szCs w:val="16"/>
              </w:rPr>
              <w:t>○</w:t>
            </w:r>
          </w:p>
        </w:tc>
        <w:tc>
          <w:tcPr>
            <w:tcW w:w="880" w:type="dxa"/>
            <w:vAlign w:val="center"/>
          </w:tcPr>
          <w:p w14:paraId="456E74E7">
            <w:pPr>
              <w:jc w:val="center"/>
              <w:rPr>
                <w:rFonts w:hint="eastAsia" w:ascii="宋体" w:hAnsi="宋体" w:eastAsia="宋体"/>
                <w:b/>
                <w:sz w:val="16"/>
                <w:szCs w:val="16"/>
              </w:rPr>
            </w:pPr>
            <w:r>
              <w:rPr>
                <w:rFonts w:hint="eastAsia" w:ascii="宋体" w:hAnsi="宋体" w:eastAsia="宋体"/>
                <w:b/>
                <w:sz w:val="16"/>
                <w:szCs w:val="16"/>
              </w:rPr>
              <w:t>○</w:t>
            </w:r>
          </w:p>
        </w:tc>
      </w:tr>
      <w:tr w14:paraId="765701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58" w:type="dxa"/>
            <w:vMerge w:val="continue"/>
            <w:vAlign w:val="center"/>
          </w:tcPr>
          <w:p w14:paraId="21DC99BF">
            <w:pPr>
              <w:jc w:val="center"/>
              <w:rPr>
                <w:rFonts w:hint="eastAsia" w:ascii="宋体" w:hAnsi="宋体" w:eastAsia="宋体"/>
                <w:sz w:val="20"/>
              </w:rPr>
            </w:pPr>
          </w:p>
        </w:tc>
        <w:tc>
          <w:tcPr>
            <w:tcW w:w="970" w:type="dxa"/>
            <w:vMerge w:val="continue"/>
            <w:vAlign w:val="center"/>
          </w:tcPr>
          <w:p w14:paraId="2702F9C6">
            <w:pPr>
              <w:jc w:val="center"/>
              <w:rPr>
                <w:rFonts w:hint="eastAsia" w:ascii="宋体" w:hAnsi="宋体" w:eastAsia="宋体"/>
                <w:sz w:val="20"/>
              </w:rPr>
            </w:pPr>
          </w:p>
        </w:tc>
        <w:tc>
          <w:tcPr>
            <w:tcW w:w="2457" w:type="dxa"/>
            <w:vAlign w:val="center"/>
          </w:tcPr>
          <w:p w14:paraId="3834DC0D">
            <w:pPr>
              <w:jc w:val="center"/>
              <w:rPr>
                <w:rFonts w:hint="eastAsia" w:ascii="宋体" w:hAnsi="宋体" w:eastAsia="宋体"/>
                <w:sz w:val="20"/>
              </w:rPr>
            </w:pPr>
            <w:r>
              <w:rPr>
                <w:rFonts w:hint="eastAsia" w:ascii="宋体" w:hAnsi="宋体" w:eastAsia="宋体"/>
                <w:sz w:val="20"/>
              </w:rPr>
              <w:t>高温环境适应性</w:t>
            </w:r>
          </w:p>
        </w:tc>
        <w:tc>
          <w:tcPr>
            <w:tcW w:w="917" w:type="dxa"/>
            <w:vAlign w:val="center"/>
          </w:tcPr>
          <w:p w14:paraId="5EEA9E43">
            <w:pPr>
              <w:jc w:val="center"/>
              <w:rPr>
                <w:rFonts w:hint="eastAsia" w:ascii="宋体" w:hAnsi="宋体" w:eastAsia="宋体"/>
                <w:sz w:val="20"/>
                <w:szCs w:val="22"/>
              </w:rPr>
            </w:pPr>
            <w:r>
              <w:rPr>
                <w:rFonts w:hint="eastAsia" w:ascii="宋体" w:hAnsi="宋体" w:eastAsia="宋体"/>
                <w:szCs w:val="21"/>
              </w:rPr>
              <w:t>6.2.2</w:t>
            </w:r>
          </w:p>
        </w:tc>
        <w:tc>
          <w:tcPr>
            <w:tcW w:w="960" w:type="dxa"/>
            <w:vAlign w:val="center"/>
          </w:tcPr>
          <w:p w14:paraId="69C64B60">
            <w:pPr>
              <w:jc w:val="center"/>
              <w:rPr>
                <w:rFonts w:hint="eastAsia" w:ascii="宋体" w:hAnsi="宋体" w:eastAsia="宋体"/>
                <w:sz w:val="20"/>
                <w:szCs w:val="22"/>
              </w:rPr>
            </w:pPr>
            <w:r>
              <w:rPr>
                <w:rFonts w:hint="eastAsia" w:ascii="宋体" w:hAnsi="宋体" w:eastAsia="宋体"/>
                <w:sz w:val="16"/>
                <w:szCs w:val="16"/>
              </w:rPr>
              <w:t>●</w:t>
            </w:r>
          </w:p>
        </w:tc>
        <w:tc>
          <w:tcPr>
            <w:tcW w:w="845" w:type="dxa"/>
            <w:vAlign w:val="center"/>
          </w:tcPr>
          <w:p w14:paraId="7746964F">
            <w:pPr>
              <w:jc w:val="center"/>
              <w:rPr>
                <w:rFonts w:hint="eastAsia" w:ascii="宋体" w:hAnsi="宋体" w:eastAsia="宋体"/>
                <w:sz w:val="20"/>
                <w:szCs w:val="22"/>
              </w:rPr>
            </w:pPr>
            <w:r>
              <w:rPr>
                <w:rFonts w:hint="eastAsia" w:ascii="宋体" w:hAnsi="宋体" w:eastAsia="宋体"/>
                <w:b/>
                <w:sz w:val="16"/>
                <w:szCs w:val="16"/>
              </w:rPr>
              <w:t>○</w:t>
            </w:r>
          </w:p>
        </w:tc>
        <w:tc>
          <w:tcPr>
            <w:tcW w:w="880" w:type="dxa"/>
            <w:vAlign w:val="center"/>
          </w:tcPr>
          <w:p w14:paraId="6A015F3D">
            <w:pPr>
              <w:jc w:val="center"/>
              <w:rPr>
                <w:rFonts w:hint="eastAsia" w:ascii="宋体" w:hAnsi="宋体" w:eastAsia="宋体"/>
                <w:b/>
                <w:sz w:val="16"/>
                <w:szCs w:val="16"/>
              </w:rPr>
            </w:pPr>
            <w:r>
              <w:rPr>
                <w:rFonts w:hint="eastAsia" w:ascii="宋体" w:hAnsi="宋体" w:eastAsia="宋体"/>
                <w:b/>
                <w:sz w:val="16"/>
                <w:szCs w:val="16"/>
              </w:rPr>
              <w:t>○</w:t>
            </w:r>
          </w:p>
        </w:tc>
        <w:tc>
          <w:tcPr>
            <w:tcW w:w="880" w:type="dxa"/>
            <w:vAlign w:val="center"/>
          </w:tcPr>
          <w:p w14:paraId="51AFA1D1">
            <w:pPr>
              <w:jc w:val="center"/>
              <w:rPr>
                <w:rFonts w:hint="eastAsia" w:ascii="宋体" w:hAnsi="宋体" w:eastAsia="宋体"/>
                <w:b/>
                <w:sz w:val="16"/>
                <w:szCs w:val="16"/>
              </w:rPr>
            </w:pPr>
            <w:r>
              <w:rPr>
                <w:rFonts w:hint="eastAsia" w:ascii="宋体" w:hAnsi="宋体" w:eastAsia="宋体"/>
                <w:b/>
                <w:sz w:val="16"/>
                <w:szCs w:val="16"/>
              </w:rPr>
              <w:t>○</w:t>
            </w:r>
          </w:p>
        </w:tc>
        <w:tc>
          <w:tcPr>
            <w:tcW w:w="880" w:type="dxa"/>
            <w:vAlign w:val="center"/>
          </w:tcPr>
          <w:p w14:paraId="59DFB607">
            <w:pPr>
              <w:jc w:val="center"/>
              <w:rPr>
                <w:rFonts w:hint="eastAsia" w:ascii="宋体" w:hAnsi="宋体" w:eastAsia="宋体"/>
                <w:b/>
                <w:sz w:val="16"/>
                <w:szCs w:val="16"/>
              </w:rPr>
            </w:pPr>
            <w:r>
              <w:rPr>
                <w:rFonts w:hint="eastAsia" w:ascii="宋体" w:hAnsi="宋体" w:eastAsia="宋体"/>
                <w:b/>
                <w:sz w:val="16"/>
                <w:szCs w:val="16"/>
              </w:rPr>
              <w:t>○</w:t>
            </w:r>
          </w:p>
        </w:tc>
      </w:tr>
      <w:tr w14:paraId="0BDE37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4" w:hRule="atLeast"/>
          <w:jc w:val="center"/>
        </w:trPr>
        <w:tc>
          <w:tcPr>
            <w:tcW w:w="558" w:type="dxa"/>
            <w:vMerge w:val="continue"/>
            <w:vAlign w:val="center"/>
          </w:tcPr>
          <w:p w14:paraId="02F3F96A">
            <w:pPr>
              <w:jc w:val="center"/>
              <w:rPr>
                <w:rFonts w:hint="eastAsia" w:ascii="宋体" w:hAnsi="宋体" w:eastAsia="宋体"/>
                <w:sz w:val="20"/>
              </w:rPr>
            </w:pPr>
          </w:p>
        </w:tc>
        <w:tc>
          <w:tcPr>
            <w:tcW w:w="970" w:type="dxa"/>
            <w:vMerge w:val="continue"/>
            <w:vAlign w:val="center"/>
          </w:tcPr>
          <w:p w14:paraId="64B41B77">
            <w:pPr>
              <w:jc w:val="center"/>
              <w:rPr>
                <w:rFonts w:hint="eastAsia" w:ascii="宋体" w:hAnsi="宋体" w:eastAsia="宋体"/>
                <w:sz w:val="20"/>
              </w:rPr>
            </w:pPr>
          </w:p>
        </w:tc>
        <w:tc>
          <w:tcPr>
            <w:tcW w:w="2457" w:type="dxa"/>
            <w:vAlign w:val="center"/>
          </w:tcPr>
          <w:p w14:paraId="6C8E9AC4">
            <w:pPr>
              <w:jc w:val="center"/>
              <w:rPr>
                <w:rFonts w:hint="eastAsia" w:ascii="宋体" w:hAnsi="宋体" w:eastAsia="宋体"/>
                <w:sz w:val="20"/>
              </w:rPr>
            </w:pPr>
            <w:r>
              <w:rPr>
                <w:rFonts w:hint="eastAsia" w:ascii="宋体" w:hAnsi="宋体" w:eastAsia="宋体"/>
                <w:sz w:val="20"/>
              </w:rPr>
              <w:t>温湿度振动综合环境适应性</w:t>
            </w:r>
          </w:p>
        </w:tc>
        <w:tc>
          <w:tcPr>
            <w:tcW w:w="917" w:type="dxa"/>
            <w:vAlign w:val="center"/>
          </w:tcPr>
          <w:p w14:paraId="35D44FAF">
            <w:pPr>
              <w:jc w:val="center"/>
              <w:rPr>
                <w:rFonts w:hint="eastAsia" w:ascii="宋体" w:hAnsi="宋体" w:eastAsia="宋体"/>
                <w:sz w:val="20"/>
                <w:szCs w:val="22"/>
              </w:rPr>
            </w:pPr>
            <w:r>
              <w:rPr>
                <w:rFonts w:hint="eastAsia" w:ascii="宋体" w:hAnsi="宋体" w:eastAsia="宋体"/>
                <w:szCs w:val="21"/>
              </w:rPr>
              <w:t>6.2.3</w:t>
            </w:r>
          </w:p>
        </w:tc>
        <w:tc>
          <w:tcPr>
            <w:tcW w:w="960" w:type="dxa"/>
            <w:vAlign w:val="center"/>
          </w:tcPr>
          <w:p w14:paraId="2D01B76E">
            <w:pPr>
              <w:jc w:val="center"/>
              <w:rPr>
                <w:rFonts w:hint="eastAsia" w:ascii="宋体" w:hAnsi="宋体" w:eastAsia="宋体"/>
                <w:sz w:val="20"/>
                <w:szCs w:val="22"/>
              </w:rPr>
            </w:pPr>
            <w:r>
              <w:rPr>
                <w:rFonts w:hint="eastAsia" w:ascii="宋体" w:hAnsi="宋体" w:eastAsia="宋体"/>
                <w:sz w:val="16"/>
                <w:szCs w:val="16"/>
              </w:rPr>
              <w:t>●</w:t>
            </w:r>
          </w:p>
        </w:tc>
        <w:tc>
          <w:tcPr>
            <w:tcW w:w="845" w:type="dxa"/>
            <w:vAlign w:val="center"/>
          </w:tcPr>
          <w:p w14:paraId="35E6BC0C">
            <w:pPr>
              <w:jc w:val="center"/>
              <w:rPr>
                <w:rFonts w:hint="eastAsia" w:ascii="宋体" w:hAnsi="宋体" w:eastAsia="宋体"/>
                <w:sz w:val="20"/>
                <w:szCs w:val="22"/>
              </w:rPr>
            </w:pPr>
            <w:r>
              <w:rPr>
                <w:rFonts w:hint="eastAsia" w:ascii="宋体" w:hAnsi="宋体" w:eastAsia="宋体"/>
                <w:b/>
                <w:sz w:val="16"/>
                <w:szCs w:val="16"/>
              </w:rPr>
              <w:t>○</w:t>
            </w:r>
          </w:p>
        </w:tc>
        <w:tc>
          <w:tcPr>
            <w:tcW w:w="880" w:type="dxa"/>
            <w:vAlign w:val="center"/>
          </w:tcPr>
          <w:p w14:paraId="6FC8DDF7">
            <w:pPr>
              <w:jc w:val="center"/>
              <w:rPr>
                <w:rFonts w:hint="eastAsia" w:ascii="宋体" w:hAnsi="宋体" w:eastAsia="宋体"/>
                <w:b/>
                <w:sz w:val="16"/>
                <w:szCs w:val="16"/>
              </w:rPr>
            </w:pPr>
            <w:r>
              <w:rPr>
                <w:rFonts w:hint="eastAsia" w:ascii="宋体" w:hAnsi="宋体" w:eastAsia="宋体"/>
                <w:b/>
                <w:sz w:val="16"/>
                <w:szCs w:val="16"/>
              </w:rPr>
              <w:t>○</w:t>
            </w:r>
          </w:p>
        </w:tc>
        <w:tc>
          <w:tcPr>
            <w:tcW w:w="880" w:type="dxa"/>
            <w:vAlign w:val="center"/>
          </w:tcPr>
          <w:p w14:paraId="07F8431F">
            <w:pPr>
              <w:jc w:val="center"/>
              <w:rPr>
                <w:rFonts w:hint="eastAsia" w:ascii="宋体" w:hAnsi="宋体" w:eastAsia="宋体"/>
                <w:b/>
                <w:sz w:val="16"/>
                <w:szCs w:val="16"/>
              </w:rPr>
            </w:pPr>
            <w:r>
              <w:rPr>
                <w:rFonts w:hint="eastAsia" w:ascii="宋体" w:hAnsi="宋体" w:eastAsia="宋体"/>
                <w:b/>
                <w:sz w:val="16"/>
                <w:szCs w:val="16"/>
              </w:rPr>
              <w:t>○</w:t>
            </w:r>
          </w:p>
        </w:tc>
        <w:tc>
          <w:tcPr>
            <w:tcW w:w="880" w:type="dxa"/>
            <w:vAlign w:val="center"/>
          </w:tcPr>
          <w:p w14:paraId="5A33AF70">
            <w:pPr>
              <w:jc w:val="center"/>
              <w:rPr>
                <w:rFonts w:hint="eastAsia" w:ascii="宋体" w:hAnsi="宋体" w:eastAsia="宋体"/>
                <w:b/>
                <w:sz w:val="16"/>
                <w:szCs w:val="16"/>
              </w:rPr>
            </w:pPr>
            <w:r>
              <w:rPr>
                <w:rFonts w:hint="eastAsia" w:ascii="宋体" w:hAnsi="宋体" w:eastAsia="宋体"/>
                <w:b/>
                <w:sz w:val="16"/>
                <w:szCs w:val="16"/>
              </w:rPr>
              <w:t>○</w:t>
            </w:r>
          </w:p>
        </w:tc>
      </w:tr>
      <w:tr w14:paraId="2FF62B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8" w:hRule="atLeast"/>
          <w:jc w:val="center"/>
        </w:trPr>
        <w:tc>
          <w:tcPr>
            <w:tcW w:w="558" w:type="dxa"/>
            <w:vMerge w:val="continue"/>
            <w:vAlign w:val="center"/>
          </w:tcPr>
          <w:p w14:paraId="671169B4">
            <w:pPr>
              <w:jc w:val="center"/>
              <w:rPr>
                <w:rFonts w:hint="eastAsia" w:ascii="宋体" w:hAnsi="宋体" w:eastAsia="宋体"/>
                <w:sz w:val="20"/>
              </w:rPr>
            </w:pPr>
          </w:p>
        </w:tc>
        <w:tc>
          <w:tcPr>
            <w:tcW w:w="970" w:type="dxa"/>
            <w:vMerge w:val="continue"/>
            <w:vAlign w:val="center"/>
          </w:tcPr>
          <w:p w14:paraId="2211117C">
            <w:pPr>
              <w:jc w:val="center"/>
              <w:rPr>
                <w:rFonts w:hint="eastAsia" w:ascii="宋体" w:hAnsi="宋体" w:eastAsia="宋体"/>
                <w:sz w:val="20"/>
              </w:rPr>
            </w:pPr>
          </w:p>
        </w:tc>
        <w:tc>
          <w:tcPr>
            <w:tcW w:w="2457" w:type="dxa"/>
            <w:vAlign w:val="center"/>
          </w:tcPr>
          <w:p w14:paraId="03D87587">
            <w:pPr>
              <w:jc w:val="center"/>
              <w:rPr>
                <w:rFonts w:hint="eastAsia" w:ascii="宋体" w:hAnsi="宋体" w:eastAsia="宋体"/>
                <w:sz w:val="20"/>
              </w:rPr>
            </w:pPr>
            <w:r>
              <w:rPr>
                <w:rFonts w:hint="eastAsia" w:ascii="宋体" w:hAnsi="宋体" w:eastAsia="宋体"/>
                <w:sz w:val="20"/>
              </w:rPr>
              <w:t>海拔适应性能试验</w:t>
            </w:r>
          </w:p>
        </w:tc>
        <w:tc>
          <w:tcPr>
            <w:tcW w:w="917" w:type="dxa"/>
            <w:vAlign w:val="center"/>
          </w:tcPr>
          <w:p w14:paraId="2221675B">
            <w:pPr>
              <w:jc w:val="center"/>
              <w:rPr>
                <w:rFonts w:hint="eastAsia" w:ascii="宋体" w:hAnsi="宋体" w:eastAsia="宋体"/>
                <w:sz w:val="20"/>
                <w:szCs w:val="22"/>
              </w:rPr>
            </w:pPr>
            <w:r>
              <w:rPr>
                <w:rFonts w:hint="eastAsia" w:ascii="宋体" w:hAnsi="宋体" w:eastAsia="宋体"/>
                <w:szCs w:val="21"/>
              </w:rPr>
              <w:t>6.2.4</w:t>
            </w:r>
          </w:p>
        </w:tc>
        <w:tc>
          <w:tcPr>
            <w:tcW w:w="960" w:type="dxa"/>
            <w:vAlign w:val="center"/>
          </w:tcPr>
          <w:p w14:paraId="7686C115">
            <w:pPr>
              <w:jc w:val="center"/>
              <w:rPr>
                <w:rFonts w:hint="eastAsia" w:ascii="宋体" w:hAnsi="宋体" w:eastAsia="宋体"/>
                <w:sz w:val="20"/>
                <w:szCs w:val="22"/>
              </w:rPr>
            </w:pPr>
            <w:r>
              <w:rPr>
                <w:rFonts w:hint="eastAsia" w:ascii="宋体" w:hAnsi="宋体" w:eastAsia="宋体"/>
                <w:sz w:val="16"/>
                <w:szCs w:val="16"/>
              </w:rPr>
              <w:t>●</w:t>
            </w:r>
          </w:p>
        </w:tc>
        <w:tc>
          <w:tcPr>
            <w:tcW w:w="845" w:type="dxa"/>
            <w:vAlign w:val="center"/>
          </w:tcPr>
          <w:p w14:paraId="2AAA3738">
            <w:pPr>
              <w:jc w:val="center"/>
              <w:rPr>
                <w:rFonts w:hint="eastAsia" w:ascii="宋体" w:hAnsi="宋体" w:eastAsia="宋体"/>
                <w:sz w:val="20"/>
                <w:szCs w:val="22"/>
              </w:rPr>
            </w:pPr>
            <w:r>
              <w:rPr>
                <w:rFonts w:hint="eastAsia" w:ascii="宋体" w:hAnsi="宋体" w:eastAsia="宋体"/>
                <w:b/>
                <w:sz w:val="16"/>
                <w:szCs w:val="16"/>
              </w:rPr>
              <w:t>○</w:t>
            </w:r>
          </w:p>
        </w:tc>
        <w:tc>
          <w:tcPr>
            <w:tcW w:w="880" w:type="dxa"/>
            <w:vAlign w:val="center"/>
          </w:tcPr>
          <w:p w14:paraId="5F152B18">
            <w:pPr>
              <w:jc w:val="center"/>
              <w:rPr>
                <w:rFonts w:hint="eastAsia" w:ascii="宋体" w:hAnsi="宋体" w:eastAsia="宋体"/>
                <w:b/>
                <w:sz w:val="16"/>
                <w:szCs w:val="16"/>
              </w:rPr>
            </w:pPr>
            <w:r>
              <w:rPr>
                <w:rFonts w:hint="eastAsia" w:ascii="宋体" w:hAnsi="宋体" w:eastAsia="宋体"/>
                <w:b/>
                <w:sz w:val="16"/>
                <w:szCs w:val="16"/>
              </w:rPr>
              <w:t>○</w:t>
            </w:r>
          </w:p>
        </w:tc>
        <w:tc>
          <w:tcPr>
            <w:tcW w:w="880" w:type="dxa"/>
            <w:vAlign w:val="center"/>
          </w:tcPr>
          <w:p w14:paraId="4A232A0F">
            <w:pPr>
              <w:jc w:val="center"/>
              <w:rPr>
                <w:rFonts w:hint="eastAsia" w:ascii="宋体" w:hAnsi="宋体" w:eastAsia="宋体"/>
                <w:b/>
                <w:sz w:val="16"/>
                <w:szCs w:val="16"/>
              </w:rPr>
            </w:pPr>
            <w:r>
              <w:rPr>
                <w:rFonts w:hint="eastAsia" w:ascii="宋体" w:hAnsi="宋体" w:eastAsia="宋体"/>
                <w:b/>
                <w:sz w:val="16"/>
                <w:szCs w:val="16"/>
              </w:rPr>
              <w:t>○</w:t>
            </w:r>
          </w:p>
        </w:tc>
        <w:tc>
          <w:tcPr>
            <w:tcW w:w="880" w:type="dxa"/>
            <w:vAlign w:val="center"/>
          </w:tcPr>
          <w:p w14:paraId="42116255">
            <w:pPr>
              <w:jc w:val="center"/>
              <w:rPr>
                <w:rFonts w:hint="eastAsia" w:ascii="宋体" w:hAnsi="宋体" w:eastAsia="宋体"/>
                <w:b/>
                <w:sz w:val="16"/>
                <w:szCs w:val="16"/>
              </w:rPr>
            </w:pPr>
            <w:r>
              <w:rPr>
                <w:rFonts w:hint="eastAsia" w:ascii="宋体" w:hAnsi="宋体" w:eastAsia="宋体"/>
                <w:b/>
                <w:sz w:val="16"/>
                <w:szCs w:val="16"/>
              </w:rPr>
              <w:t>○</w:t>
            </w:r>
          </w:p>
        </w:tc>
      </w:tr>
      <w:tr w14:paraId="4EDE3E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3" w:hRule="atLeast"/>
          <w:jc w:val="center"/>
        </w:trPr>
        <w:tc>
          <w:tcPr>
            <w:tcW w:w="558" w:type="dxa"/>
            <w:vMerge w:val="continue"/>
            <w:vAlign w:val="center"/>
          </w:tcPr>
          <w:p w14:paraId="11EBBDB3">
            <w:pPr>
              <w:jc w:val="center"/>
              <w:rPr>
                <w:rFonts w:hint="eastAsia" w:ascii="宋体" w:hAnsi="宋体" w:eastAsia="宋体"/>
                <w:sz w:val="20"/>
              </w:rPr>
            </w:pPr>
          </w:p>
        </w:tc>
        <w:tc>
          <w:tcPr>
            <w:tcW w:w="970" w:type="dxa"/>
            <w:vMerge w:val="continue"/>
            <w:vAlign w:val="center"/>
          </w:tcPr>
          <w:p w14:paraId="1BD9471C">
            <w:pPr>
              <w:jc w:val="center"/>
              <w:rPr>
                <w:rFonts w:hint="eastAsia" w:ascii="宋体" w:hAnsi="宋体" w:eastAsia="宋体"/>
                <w:sz w:val="20"/>
              </w:rPr>
            </w:pPr>
          </w:p>
        </w:tc>
        <w:tc>
          <w:tcPr>
            <w:tcW w:w="2457" w:type="dxa"/>
            <w:vAlign w:val="center"/>
          </w:tcPr>
          <w:p w14:paraId="7989B0CB">
            <w:pPr>
              <w:jc w:val="center"/>
              <w:rPr>
                <w:rFonts w:hint="eastAsia" w:ascii="宋体" w:hAnsi="宋体" w:eastAsia="宋体"/>
                <w:sz w:val="20"/>
              </w:rPr>
            </w:pPr>
            <w:r>
              <w:rPr>
                <w:rFonts w:hint="eastAsia" w:ascii="宋体" w:hAnsi="宋体" w:eastAsia="宋体"/>
                <w:sz w:val="20"/>
              </w:rPr>
              <w:t>抗风飞行性能试验</w:t>
            </w:r>
          </w:p>
        </w:tc>
        <w:tc>
          <w:tcPr>
            <w:tcW w:w="917" w:type="dxa"/>
            <w:vAlign w:val="center"/>
          </w:tcPr>
          <w:p w14:paraId="325061B8">
            <w:pPr>
              <w:jc w:val="center"/>
              <w:rPr>
                <w:rFonts w:hint="eastAsia" w:ascii="宋体" w:hAnsi="宋体" w:eastAsia="宋体"/>
                <w:sz w:val="20"/>
                <w:szCs w:val="22"/>
              </w:rPr>
            </w:pPr>
            <w:r>
              <w:rPr>
                <w:rFonts w:hint="eastAsia" w:ascii="宋体" w:hAnsi="宋体" w:eastAsia="宋体"/>
                <w:szCs w:val="21"/>
              </w:rPr>
              <w:t>6.2.5</w:t>
            </w:r>
          </w:p>
        </w:tc>
        <w:tc>
          <w:tcPr>
            <w:tcW w:w="960" w:type="dxa"/>
            <w:vAlign w:val="center"/>
          </w:tcPr>
          <w:p w14:paraId="50C1A0FE">
            <w:pPr>
              <w:jc w:val="center"/>
              <w:rPr>
                <w:rFonts w:hint="eastAsia" w:ascii="宋体" w:hAnsi="宋体" w:eastAsia="宋体"/>
                <w:sz w:val="20"/>
                <w:szCs w:val="22"/>
              </w:rPr>
            </w:pPr>
            <w:r>
              <w:rPr>
                <w:rFonts w:hint="eastAsia" w:ascii="宋体" w:hAnsi="宋体" w:eastAsia="宋体"/>
                <w:sz w:val="16"/>
                <w:szCs w:val="16"/>
              </w:rPr>
              <w:t>●</w:t>
            </w:r>
          </w:p>
        </w:tc>
        <w:tc>
          <w:tcPr>
            <w:tcW w:w="845" w:type="dxa"/>
            <w:vAlign w:val="center"/>
          </w:tcPr>
          <w:p w14:paraId="2F49FF40">
            <w:pPr>
              <w:jc w:val="center"/>
              <w:rPr>
                <w:rFonts w:hint="eastAsia" w:ascii="宋体" w:hAnsi="宋体" w:eastAsia="宋体"/>
                <w:sz w:val="20"/>
                <w:szCs w:val="22"/>
              </w:rPr>
            </w:pPr>
            <w:r>
              <w:rPr>
                <w:rFonts w:hint="eastAsia" w:ascii="宋体" w:hAnsi="宋体" w:eastAsia="宋体"/>
                <w:b/>
                <w:sz w:val="16"/>
                <w:szCs w:val="16"/>
              </w:rPr>
              <w:t>○</w:t>
            </w:r>
          </w:p>
        </w:tc>
        <w:tc>
          <w:tcPr>
            <w:tcW w:w="880" w:type="dxa"/>
            <w:vAlign w:val="center"/>
          </w:tcPr>
          <w:p w14:paraId="44D1FEF6">
            <w:pPr>
              <w:jc w:val="center"/>
              <w:rPr>
                <w:rFonts w:hint="eastAsia" w:ascii="宋体" w:hAnsi="宋体" w:eastAsia="宋体"/>
                <w:b/>
                <w:sz w:val="16"/>
                <w:szCs w:val="16"/>
              </w:rPr>
            </w:pPr>
            <w:r>
              <w:rPr>
                <w:rFonts w:hint="eastAsia" w:ascii="宋体" w:hAnsi="宋体" w:eastAsia="宋体"/>
                <w:b/>
                <w:sz w:val="16"/>
                <w:szCs w:val="16"/>
              </w:rPr>
              <w:t>○</w:t>
            </w:r>
          </w:p>
        </w:tc>
        <w:tc>
          <w:tcPr>
            <w:tcW w:w="880" w:type="dxa"/>
            <w:vAlign w:val="center"/>
          </w:tcPr>
          <w:p w14:paraId="472EEC7F">
            <w:pPr>
              <w:jc w:val="center"/>
              <w:rPr>
                <w:rFonts w:hint="eastAsia" w:ascii="宋体" w:hAnsi="宋体" w:eastAsia="宋体"/>
                <w:b/>
                <w:sz w:val="16"/>
                <w:szCs w:val="16"/>
              </w:rPr>
            </w:pPr>
            <w:r>
              <w:rPr>
                <w:rFonts w:hint="eastAsia" w:ascii="宋体" w:hAnsi="宋体" w:eastAsia="宋体"/>
                <w:b/>
                <w:sz w:val="16"/>
                <w:szCs w:val="16"/>
              </w:rPr>
              <w:t>○</w:t>
            </w:r>
          </w:p>
        </w:tc>
        <w:tc>
          <w:tcPr>
            <w:tcW w:w="880" w:type="dxa"/>
            <w:vAlign w:val="center"/>
          </w:tcPr>
          <w:p w14:paraId="6E33A8C3">
            <w:pPr>
              <w:jc w:val="center"/>
              <w:rPr>
                <w:rFonts w:hint="eastAsia" w:ascii="宋体" w:hAnsi="宋体" w:eastAsia="宋体"/>
                <w:b/>
                <w:sz w:val="16"/>
                <w:szCs w:val="16"/>
              </w:rPr>
            </w:pPr>
            <w:r>
              <w:rPr>
                <w:rFonts w:hint="eastAsia" w:ascii="宋体" w:hAnsi="宋体" w:eastAsia="宋体"/>
                <w:b/>
                <w:sz w:val="16"/>
                <w:szCs w:val="16"/>
              </w:rPr>
              <w:t>○</w:t>
            </w:r>
          </w:p>
        </w:tc>
      </w:tr>
      <w:tr w14:paraId="06908D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58" w:type="dxa"/>
            <w:vMerge w:val="continue"/>
            <w:vAlign w:val="center"/>
          </w:tcPr>
          <w:p w14:paraId="3F1EB892">
            <w:pPr>
              <w:jc w:val="center"/>
              <w:rPr>
                <w:rFonts w:hint="eastAsia" w:ascii="宋体" w:hAnsi="宋体" w:eastAsia="宋体"/>
                <w:sz w:val="20"/>
              </w:rPr>
            </w:pPr>
          </w:p>
        </w:tc>
        <w:tc>
          <w:tcPr>
            <w:tcW w:w="970" w:type="dxa"/>
            <w:vMerge w:val="continue"/>
            <w:vAlign w:val="center"/>
          </w:tcPr>
          <w:p w14:paraId="189B7E6D">
            <w:pPr>
              <w:jc w:val="center"/>
              <w:rPr>
                <w:rFonts w:hint="eastAsia" w:ascii="宋体" w:hAnsi="宋体" w:eastAsia="宋体"/>
                <w:sz w:val="20"/>
              </w:rPr>
            </w:pPr>
          </w:p>
        </w:tc>
        <w:tc>
          <w:tcPr>
            <w:tcW w:w="2457" w:type="dxa"/>
            <w:vAlign w:val="center"/>
          </w:tcPr>
          <w:p w14:paraId="204DD6B8">
            <w:pPr>
              <w:jc w:val="center"/>
              <w:rPr>
                <w:rFonts w:hint="eastAsia" w:ascii="宋体" w:hAnsi="宋体" w:eastAsia="宋体"/>
                <w:sz w:val="20"/>
              </w:rPr>
            </w:pPr>
            <w:r>
              <w:rPr>
                <w:rFonts w:hint="eastAsia" w:ascii="宋体" w:hAnsi="宋体" w:eastAsia="宋体"/>
                <w:sz w:val="20"/>
              </w:rPr>
              <w:t>抗雨飞行性能试验</w:t>
            </w:r>
          </w:p>
        </w:tc>
        <w:tc>
          <w:tcPr>
            <w:tcW w:w="917" w:type="dxa"/>
            <w:vAlign w:val="center"/>
          </w:tcPr>
          <w:p w14:paraId="65331062">
            <w:pPr>
              <w:jc w:val="center"/>
              <w:rPr>
                <w:rFonts w:hint="eastAsia" w:ascii="宋体" w:hAnsi="宋体" w:eastAsia="宋体"/>
                <w:sz w:val="20"/>
                <w:szCs w:val="22"/>
              </w:rPr>
            </w:pPr>
            <w:r>
              <w:rPr>
                <w:rFonts w:hint="eastAsia" w:ascii="宋体" w:hAnsi="宋体" w:eastAsia="宋体"/>
                <w:szCs w:val="21"/>
              </w:rPr>
              <w:t>6.2.6</w:t>
            </w:r>
          </w:p>
        </w:tc>
        <w:tc>
          <w:tcPr>
            <w:tcW w:w="960" w:type="dxa"/>
            <w:vAlign w:val="center"/>
          </w:tcPr>
          <w:p w14:paraId="73085AA3">
            <w:pPr>
              <w:jc w:val="center"/>
              <w:rPr>
                <w:rFonts w:hint="eastAsia" w:ascii="宋体" w:hAnsi="宋体" w:eastAsia="宋体"/>
                <w:sz w:val="20"/>
                <w:szCs w:val="22"/>
              </w:rPr>
            </w:pPr>
            <w:r>
              <w:rPr>
                <w:rFonts w:hint="eastAsia" w:ascii="宋体" w:hAnsi="宋体" w:eastAsia="宋体"/>
                <w:sz w:val="16"/>
                <w:szCs w:val="16"/>
              </w:rPr>
              <w:t>●</w:t>
            </w:r>
          </w:p>
        </w:tc>
        <w:tc>
          <w:tcPr>
            <w:tcW w:w="845" w:type="dxa"/>
            <w:vAlign w:val="center"/>
          </w:tcPr>
          <w:p w14:paraId="228A13A8">
            <w:pPr>
              <w:jc w:val="center"/>
              <w:rPr>
                <w:rFonts w:hint="eastAsia" w:ascii="宋体" w:hAnsi="宋体" w:eastAsia="宋体"/>
                <w:sz w:val="20"/>
                <w:szCs w:val="22"/>
              </w:rPr>
            </w:pPr>
            <w:r>
              <w:rPr>
                <w:rFonts w:hint="eastAsia" w:ascii="宋体" w:hAnsi="宋体" w:eastAsia="宋体"/>
                <w:b/>
                <w:sz w:val="16"/>
                <w:szCs w:val="16"/>
              </w:rPr>
              <w:t>○</w:t>
            </w:r>
          </w:p>
        </w:tc>
        <w:tc>
          <w:tcPr>
            <w:tcW w:w="880" w:type="dxa"/>
            <w:vAlign w:val="center"/>
          </w:tcPr>
          <w:p w14:paraId="2620D200">
            <w:pPr>
              <w:jc w:val="center"/>
              <w:rPr>
                <w:rFonts w:hint="eastAsia" w:ascii="宋体" w:hAnsi="宋体" w:eastAsia="宋体"/>
                <w:b/>
                <w:sz w:val="16"/>
                <w:szCs w:val="16"/>
              </w:rPr>
            </w:pPr>
            <w:r>
              <w:rPr>
                <w:rFonts w:hint="eastAsia" w:ascii="宋体" w:hAnsi="宋体" w:eastAsia="宋体"/>
                <w:b/>
                <w:sz w:val="16"/>
                <w:szCs w:val="16"/>
              </w:rPr>
              <w:t>○</w:t>
            </w:r>
          </w:p>
        </w:tc>
        <w:tc>
          <w:tcPr>
            <w:tcW w:w="880" w:type="dxa"/>
            <w:vAlign w:val="center"/>
          </w:tcPr>
          <w:p w14:paraId="542505CB">
            <w:pPr>
              <w:jc w:val="center"/>
              <w:rPr>
                <w:rFonts w:hint="eastAsia" w:ascii="宋体" w:hAnsi="宋体" w:eastAsia="宋体"/>
                <w:b/>
                <w:sz w:val="16"/>
                <w:szCs w:val="16"/>
              </w:rPr>
            </w:pPr>
            <w:r>
              <w:rPr>
                <w:rFonts w:hint="eastAsia" w:ascii="宋体" w:hAnsi="宋体" w:eastAsia="宋体"/>
                <w:b/>
                <w:sz w:val="16"/>
                <w:szCs w:val="16"/>
              </w:rPr>
              <w:t>○</w:t>
            </w:r>
          </w:p>
        </w:tc>
        <w:tc>
          <w:tcPr>
            <w:tcW w:w="880" w:type="dxa"/>
            <w:vAlign w:val="center"/>
          </w:tcPr>
          <w:p w14:paraId="2B5C14A3">
            <w:pPr>
              <w:jc w:val="center"/>
              <w:rPr>
                <w:rFonts w:hint="eastAsia" w:ascii="宋体" w:hAnsi="宋体" w:eastAsia="宋体"/>
                <w:b/>
                <w:sz w:val="16"/>
                <w:szCs w:val="16"/>
              </w:rPr>
            </w:pPr>
            <w:r>
              <w:rPr>
                <w:rFonts w:hint="eastAsia" w:ascii="宋体" w:hAnsi="宋体" w:eastAsia="宋体"/>
                <w:b/>
                <w:sz w:val="16"/>
                <w:szCs w:val="16"/>
              </w:rPr>
              <w:t>○</w:t>
            </w:r>
          </w:p>
        </w:tc>
      </w:tr>
      <w:tr w14:paraId="730D3C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58" w:type="dxa"/>
            <w:vMerge w:val="continue"/>
            <w:vAlign w:val="center"/>
          </w:tcPr>
          <w:p w14:paraId="7292457D">
            <w:pPr>
              <w:jc w:val="center"/>
              <w:rPr>
                <w:rFonts w:hint="eastAsia" w:ascii="宋体" w:hAnsi="宋体" w:eastAsia="宋体"/>
                <w:sz w:val="20"/>
              </w:rPr>
            </w:pPr>
          </w:p>
        </w:tc>
        <w:tc>
          <w:tcPr>
            <w:tcW w:w="970" w:type="dxa"/>
            <w:vMerge w:val="continue"/>
            <w:vAlign w:val="center"/>
          </w:tcPr>
          <w:p w14:paraId="7080B741">
            <w:pPr>
              <w:jc w:val="center"/>
              <w:rPr>
                <w:rFonts w:hint="eastAsia" w:ascii="宋体" w:hAnsi="宋体" w:eastAsia="宋体"/>
                <w:sz w:val="20"/>
              </w:rPr>
            </w:pPr>
          </w:p>
        </w:tc>
        <w:tc>
          <w:tcPr>
            <w:tcW w:w="2457" w:type="dxa"/>
            <w:vAlign w:val="center"/>
          </w:tcPr>
          <w:p w14:paraId="150339B8">
            <w:pPr>
              <w:jc w:val="center"/>
              <w:rPr>
                <w:rFonts w:hint="eastAsia" w:ascii="宋体" w:hAnsi="宋体" w:eastAsia="宋体"/>
                <w:sz w:val="20"/>
              </w:rPr>
            </w:pPr>
            <w:r>
              <w:rPr>
                <w:rFonts w:hint="eastAsia" w:ascii="宋体" w:hAnsi="宋体" w:eastAsia="宋体"/>
                <w:sz w:val="20"/>
              </w:rPr>
              <w:t>防护性能试验</w:t>
            </w:r>
          </w:p>
        </w:tc>
        <w:tc>
          <w:tcPr>
            <w:tcW w:w="917" w:type="dxa"/>
            <w:vAlign w:val="center"/>
          </w:tcPr>
          <w:p w14:paraId="37C9FA1F">
            <w:pPr>
              <w:jc w:val="center"/>
              <w:rPr>
                <w:rFonts w:hint="eastAsia" w:ascii="宋体" w:hAnsi="宋体" w:eastAsia="宋体"/>
                <w:sz w:val="20"/>
                <w:szCs w:val="22"/>
              </w:rPr>
            </w:pPr>
            <w:r>
              <w:rPr>
                <w:rFonts w:hint="eastAsia" w:ascii="宋体" w:hAnsi="宋体" w:eastAsia="宋体"/>
                <w:szCs w:val="21"/>
              </w:rPr>
              <w:t>6.2.7</w:t>
            </w:r>
          </w:p>
        </w:tc>
        <w:tc>
          <w:tcPr>
            <w:tcW w:w="960" w:type="dxa"/>
            <w:vAlign w:val="center"/>
          </w:tcPr>
          <w:p w14:paraId="5A8D4C87">
            <w:pPr>
              <w:jc w:val="center"/>
              <w:rPr>
                <w:rFonts w:hint="eastAsia" w:ascii="宋体" w:hAnsi="宋体" w:eastAsia="宋体"/>
                <w:sz w:val="20"/>
                <w:szCs w:val="22"/>
              </w:rPr>
            </w:pPr>
            <w:r>
              <w:rPr>
                <w:rFonts w:hint="eastAsia" w:ascii="宋体" w:hAnsi="宋体" w:eastAsia="宋体"/>
                <w:sz w:val="16"/>
                <w:szCs w:val="16"/>
              </w:rPr>
              <w:t>●</w:t>
            </w:r>
          </w:p>
        </w:tc>
        <w:tc>
          <w:tcPr>
            <w:tcW w:w="845" w:type="dxa"/>
            <w:vAlign w:val="center"/>
          </w:tcPr>
          <w:p w14:paraId="79BDCC01">
            <w:pPr>
              <w:jc w:val="center"/>
              <w:rPr>
                <w:rFonts w:hint="eastAsia" w:ascii="宋体" w:hAnsi="宋体" w:eastAsia="宋体"/>
                <w:sz w:val="20"/>
                <w:szCs w:val="22"/>
              </w:rPr>
            </w:pPr>
            <w:r>
              <w:rPr>
                <w:rFonts w:hint="eastAsia" w:ascii="宋体" w:hAnsi="宋体" w:eastAsia="宋体"/>
                <w:b/>
                <w:sz w:val="16"/>
                <w:szCs w:val="16"/>
              </w:rPr>
              <w:t>○</w:t>
            </w:r>
          </w:p>
        </w:tc>
        <w:tc>
          <w:tcPr>
            <w:tcW w:w="880" w:type="dxa"/>
            <w:vAlign w:val="center"/>
          </w:tcPr>
          <w:p w14:paraId="014830F6">
            <w:pPr>
              <w:jc w:val="center"/>
              <w:rPr>
                <w:rFonts w:hint="eastAsia" w:ascii="宋体" w:hAnsi="宋体" w:eastAsia="宋体"/>
                <w:b/>
                <w:sz w:val="16"/>
                <w:szCs w:val="16"/>
              </w:rPr>
            </w:pPr>
            <w:r>
              <w:rPr>
                <w:rFonts w:hint="eastAsia" w:ascii="宋体" w:hAnsi="宋体" w:eastAsia="宋体"/>
                <w:b/>
                <w:sz w:val="16"/>
                <w:szCs w:val="16"/>
              </w:rPr>
              <w:t>○</w:t>
            </w:r>
          </w:p>
        </w:tc>
        <w:tc>
          <w:tcPr>
            <w:tcW w:w="880" w:type="dxa"/>
            <w:vAlign w:val="center"/>
          </w:tcPr>
          <w:p w14:paraId="498B04BD">
            <w:pPr>
              <w:jc w:val="center"/>
              <w:rPr>
                <w:rFonts w:hint="eastAsia" w:ascii="宋体" w:hAnsi="宋体" w:eastAsia="宋体"/>
                <w:b/>
                <w:sz w:val="16"/>
                <w:szCs w:val="16"/>
              </w:rPr>
            </w:pPr>
            <w:r>
              <w:rPr>
                <w:rFonts w:hint="eastAsia" w:ascii="宋体" w:hAnsi="宋体" w:eastAsia="宋体"/>
                <w:b/>
                <w:sz w:val="16"/>
                <w:szCs w:val="16"/>
              </w:rPr>
              <w:t>○</w:t>
            </w:r>
          </w:p>
        </w:tc>
        <w:tc>
          <w:tcPr>
            <w:tcW w:w="880" w:type="dxa"/>
            <w:vAlign w:val="center"/>
          </w:tcPr>
          <w:p w14:paraId="7541A96A">
            <w:pPr>
              <w:jc w:val="center"/>
              <w:rPr>
                <w:rFonts w:hint="eastAsia" w:ascii="宋体" w:hAnsi="宋体" w:eastAsia="宋体"/>
                <w:b/>
                <w:sz w:val="16"/>
                <w:szCs w:val="16"/>
              </w:rPr>
            </w:pPr>
            <w:r>
              <w:rPr>
                <w:rFonts w:hint="eastAsia" w:ascii="宋体" w:hAnsi="宋体" w:eastAsia="宋体"/>
                <w:b/>
                <w:sz w:val="16"/>
                <w:szCs w:val="16"/>
              </w:rPr>
              <w:t>○</w:t>
            </w:r>
          </w:p>
        </w:tc>
      </w:tr>
      <w:tr w14:paraId="110206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3" w:hRule="atLeast"/>
          <w:jc w:val="center"/>
        </w:trPr>
        <w:tc>
          <w:tcPr>
            <w:tcW w:w="558" w:type="dxa"/>
            <w:vMerge w:val="restart"/>
            <w:vAlign w:val="center"/>
          </w:tcPr>
          <w:p w14:paraId="5DCD16B9">
            <w:pPr>
              <w:jc w:val="center"/>
              <w:rPr>
                <w:rFonts w:hint="eastAsia" w:ascii="宋体" w:hAnsi="宋体" w:eastAsia="宋体"/>
                <w:sz w:val="20"/>
              </w:rPr>
            </w:pPr>
            <w:r>
              <w:rPr>
                <w:rFonts w:hint="eastAsia" w:ascii="宋体" w:hAnsi="宋体" w:eastAsia="宋体"/>
                <w:sz w:val="20"/>
              </w:rPr>
              <w:t>功能要求</w:t>
            </w:r>
          </w:p>
        </w:tc>
        <w:tc>
          <w:tcPr>
            <w:tcW w:w="970" w:type="dxa"/>
            <w:vMerge w:val="restart"/>
            <w:vAlign w:val="center"/>
          </w:tcPr>
          <w:p w14:paraId="1FEDAF52">
            <w:pPr>
              <w:jc w:val="center"/>
              <w:rPr>
                <w:rFonts w:hint="eastAsia" w:ascii="宋体" w:hAnsi="宋体" w:eastAsia="宋体"/>
                <w:sz w:val="20"/>
              </w:rPr>
            </w:pPr>
            <w:r>
              <w:rPr>
                <w:rFonts w:hint="eastAsia" w:ascii="宋体" w:hAnsi="宋体" w:eastAsia="宋体"/>
                <w:sz w:val="20"/>
              </w:rPr>
              <w:t>功能试验</w:t>
            </w:r>
          </w:p>
        </w:tc>
        <w:tc>
          <w:tcPr>
            <w:tcW w:w="2457" w:type="dxa"/>
            <w:vAlign w:val="center"/>
          </w:tcPr>
          <w:p w14:paraId="7C6B96C8">
            <w:pPr>
              <w:jc w:val="center"/>
              <w:rPr>
                <w:rFonts w:hint="eastAsia" w:ascii="宋体" w:hAnsi="宋体" w:eastAsia="宋体"/>
                <w:sz w:val="20"/>
              </w:rPr>
            </w:pPr>
            <w:r>
              <w:rPr>
                <w:rFonts w:hint="eastAsia" w:ascii="宋体" w:hAnsi="宋体" w:eastAsia="宋体"/>
                <w:sz w:val="20"/>
              </w:rPr>
              <w:t>自检功能试验</w:t>
            </w:r>
          </w:p>
        </w:tc>
        <w:tc>
          <w:tcPr>
            <w:tcW w:w="917" w:type="dxa"/>
            <w:vAlign w:val="center"/>
          </w:tcPr>
          <w:p w14:paraId="46846720">
            <w:pPr>
              <w:jc w:val="center"/>
              <w:rPr>
                <w:rFonts w:hint="eastAsia" w:ascii="宋体" w:hAnsi="宋体" w:eastAsia="宋体"/>
                <w:sz w:val="20"/>
              </w:rPr>
            </w:pPr>
            <w:r>
              <w:rPr>
                <w:rFonts w:hint="eastAsia" w:ascii="宋体" w:hAnsi="宋体" w:eastAsia="宋体"/>
                <w:szCs w:val="21"/>
              </w:rPr>
              <w:t>6.3.1</w:t>
            </w:r>
          </w:p>
        </w:tc>
        <w:tc>
          <w:tcPr>
            <w:tcW w:w="960" w:type="dxa"/>
            <w:vAlign w:val="center"/>
          </w:tcPr>
          <w:p w14:paraId="607502D3">
            <w:pPr>
              <w:jc w:val="center"/>
              <w:rPr>
                <w:rFonts w:hint="eastAsia" w:ascii="宋体" w:hAnsi="宋体" w:eastAsia="宋体"/>
                <w:sz w:val="20"/>
              </w:rPr>
            </w:pPr>
            <w:r>
              <w:rPr>
                <w:rFonts w:hint="eastAsia" w:ascii="宋体" w:hAnsi="宋体" w:eastAsia="宋体"/>
                <w:sz w:val="16"/>
                <w:szCs w:val="16"/>
              </w:rPr>
              <w:t>●</w:t>
            </w:r>
          </w:p>
        </w:tc>
        <w:tc>
          <w:tcPr>
            <w:tcW w:w="845" w:type="dxa"/>
            <w:vAlign w:val="center"/>
          </w:tcPr>
          <w:p w14:paraId="03FA4E72">
            <w:pPr>
              <w:jc w:val="center"/>
              <w:rPr>
                <w:rFonts w:hint="eastAsia" w:ascii="宋体" w:hAnsi="宋体" w:eastAsia="宋体"/>
                <w:sz w:val="20"/>
              </w:rPr>
            </w:pPr>
            <w:r>
              <w:rPr>
                <w:rFonts w:hint="eastAsia" w:ascii="宋体" w:hAnsi="宋体" w:eastAsia="宋体"/>
                <w:sz w:val="16"/>
                <w:szCs w:val="16"/>
              </w:rPr>
              <w:t>●</w:t>
            </w:r>
          </w:p>
        </w:tc>
        <w:tc>
          <w:tcPr>
            <w:tcW w:w="880" w:type="dxa"/>
            <w:vAlign w:val="center"/>
          </w:tcPr>
          <w:p w14:paraId="34A00D35">
            <w:pPr>
              <w:jc w:val="center"/>
              <w:rPr>
                <w:rFonts w:hint="eastAsia" w:ascii="宋体" w:hAnsi="宋体" w:eastAsia="宋体"/>
                <w:sz w:val="16"/>
                <w:szCs w:val="16"/>
              </w:rPr>
            </w:pPr>
            <w:r>
              <w:rPr>
                <w:rFonts w:hint="eastAsia" w:ascii="宋体" w:hAnsi="宋体" w:eastAsia="宋体"/>
                <w:sz w:val="16"/>
                <w:szCs w:val="16"/>
              </w:rPr>
              <w:t>●</w:t>
            </w:r>
          </w:p>
        </w:tc>
        <w:tc>
          <w:tcPr>
            <w:tcW w:w="880" w:type="dxa"/>
            <w:vAlign w:val="center"/>
          </w:tcPr>
          <w:p w14:paraId="7B278105">
            <w:pPr>
              <w:jc w:val="center"/>
              <w:rPr>
                <w:rFonts w:hint="eastAsia" w:ascii="宋体" w:hAnsi="宋体" w:eastAsia="宋体"/>
                <w:sz w:val="16"/>
                <w:szCs w:val="16"/>
              </w:rPr>
            </w:pPr>
            <w:r>
              <w:rPr>
                <w:rFonts w:hint="eastAsia" w:ascii="宋体" w:hAnsi="宋体" w:eastAsia="宋体"/>
                <w:sz w:val="16"/>
                <w:szCs w:val="16"/>
              </w:rPr>
              <w:t>●</w:t>
            </w:r>
          </w:p>
        </w:tc>
        <w:tc>
          <w:tcPr>
            <w:tcW w:w="880" w:type="dxa"/>
            <w:vAlign w:val="center"/>
          </w:tcPr>
          <w:p w14:paraId="358D83B2">
            <w:pPr>
              <w:jc w:val="center"/>
              <w:rPr>
                <w:rFonts w:hint="eastAsia" w:ascii="宋体" w:hAnsi="宋体" w:eastAsia="宋体"/>
                <w:sz w:val="16"/>
                <w:szCs w:val="16"/>
              </w:rPr>
            </w:pPr>
            <w:r>
              <w:rPr>
                <w:rFonts w:hint="eastAsia" w:ascii="宋体" w:hAnsi="宋体" w:eastAsia="宋体"/>
                <w:sz w:val="16"/>
                <w:szCs w:val="16"/>
              </w:rPr>
              <w:t>●</w:t>
            </w:r>
          </w:p>
        </w:tc>
      </w:tr>
      <w:tr w14:paraId="1BED0F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58" w:type="dxa"/>
            <w:vMerge w:val="continue"/>
            <w:vAlign w:val="center"/>
          </w:tcPr>
          <w:p w14:paraId="15B797A1">
            <w:pPr>
              <w:jc w:val="center"/>
              <w:rPr>
                <w:rFonts w:hint="eastAsia" w:ascii="宋体" w:hAnsi="宋体" w:eastAsia="宋体"/>
                <w:sz w:val="20"/>
              </w:rPr>
            </w:pPr>
          </w:p>
        </w:tc>
        <w:tc>
          <w:tcPr>
            <w:tcW w:w="970" w:type="dxa"/>
            <w:vMerge w:val="continue"/>
            <w:vAlign w:val="center"/>
          </w:tcPr>
          <w:p w14:paraId="3F40BA0E">
            <w:pPr>
              <w:jc w:val="center"/>
              <w:rPr>
                <w:rFonts w:hint="eastAsia" w:ascii="宋体" w:hAnsi="宋体" w:eastAsia="宋体"/>
                <w:sz w:val="20"/>
              </w:rPr>
            </w:pPr>
          </w:p>
        </w:tc>
        <w:tc>
          <w:tcPr>
            <w:tcW w:w="2457" w:type="dxa"/>
            <w:vAlign w:val="center"/>
          </w:tcPr>
          <w:p w14:paraId="312E7843">
            <w:pPr>
              <w:jc w:val="center"/>
              <w:rPr>
                <w:rFonts w:hint="eastAsia" w:ascii="宋体" w:hAnsi="宋体" w:eastAsia="宋体"/>
                <w:sz w:val="20"/>
              </w:rPr>
            </w:pPr>
            <w:r>
              <w:rPr>
                <w:rFonts w:hint="eastAsia" w:ascii="宋体" w:hAnsi="宋体" w:eastAsia="宋体"/>
                <w:sz w:val="20"/>
              </w:rPr>
              <w:t>任务规划功能试验</w:t>
            </w:r>
          </w:p>
        </w:tc>
        <w:tc>
          <w:tcPr>
            <w:tcW w:w="917" w:type="dxa"/>
            <w:vAlign w:val="center"/>
          </w:tcPr>
          <w:p w14:paraId="5EC87FA0">
            <w:pPr>
              <w:jc w:val="center"/>
              <w:rPr>
                <w:rFonts w:hint="eastAsia" w:ascii="宋体" w:hAnsi="宋体" w:eastAsia="宋体"/>
                <w:sz w:val="20"/>
              </w:rPr>
            </w:pPr>
            <w:r>
              <w:rPr>
                <w:rFonts w:hint="eastAsia" w:ascii="宋体" w:hAnsi="宋体" w:eastAsia="宋体"/>
                <w:szCs w:val="21"/>
              </w:rPr>
              <w:t>6.3.2</w:t>
            </w:r>
          </w:p>
        </w:tc>
        <w:tc>
          <w:tcPr>
            <w:tcW w:w="960" w:type="dxa"/>
            <w:vAlign w:val="center"/>
          </w:tcPr>
          <w:p w14:paraId="4CD4FC6F">
            <w:pPr>
              <w:jc w:val="center"/>
              <w:rPr>
                <w:rFonts w:hint="eastAsia" w:ascii="宋体" w:hAnsi="宋体" w:eastAsia="宋体"/>
                <w:sz w:val="20"/>
              </w:rPr>
            </w:pPr>
            <w:r>
              <w:rPr>
                <w:rFonts w:hint="eastAsia" w:ascii="宋体" w:hAnsi="宋体" w:eastAsia="宋体"/>
                <w:sz w:val="16"/>
                <w:szCs w:val="16"/>
              </w:rPr>
              <w:t>●</w:t>
            </w:r>
          </w:p>
        </w:tc>
        <w:tc>
          <w:tcPr>
            <w:tcW w:w="845" w:type="dxa"/>
            <w:vAlign w:val="center"/>
          </w:tcPr>
          <w:p w14:paraId="21E509F7">
            <w:pPr>
              <w:jc w:val="center"/>
              <w:rPr>
                <w:rFonts w:hint="eastAsia" w:ascii="宋体" w:hAnsi="宋体" w:eastAsia="宋体"/>
                <w:sz w:val="20"/>
              </w:rPr>
            </w:pPr>
            <w:r>
              <w:rPr>
                <w:rFonts w:hint="eastAsia" w:ascii="宋体" w:hAnsi="宋体" w:eastAsia="宋体"/>
                <w:sz w:val="16"/>
                <w:szCs w:val="16"/>
              </w:rPr>
              <w:t>●</w:t>
            </w:r>
          </w:p>
        </w:tc>
        <w:tc>
          <w:tcPr>
            <w:tcW w:w="880" w:type="dxa"/>
            <w:vAlign w:val="center"/>
          </w:tcPr>
          <w:p w14:paraId="6ABC01D3">
            <w:pPr>
              <w:jc w:val="center"/>
              <w:rPr>
                <w:rFonts w:hint="eastAsia" w:ascii="宋体" w:hAnsi="宋体" w:eastAsia="宋体"/>
                <w:sz w:val="16"/>
                <w:szCs w:val="16"/>
              </w:rPr>
            </w:pPr>
            <w:r>
              <w:rPr>
                <w:rFonts w:hint="eastAsia" w:ascii="宋体" w:hAnsi="宋体" w:eastAsia="宋体"/>
                <w:sz w:val="16"/>
                <w:szCs w:val="16"/>
              </w:rPr>
              <w:t>●</w:t>
            </w:r>
          </w:p>
        </w:tc>
        <w:tc>
          <w:tcPr>
            <w:tcW w:w="880" w:type="dxa"/>
            <w:vAlign w:val="center"/>
          </w:tcPr>
          <w:p w14:paraId="499EE53A">
            <w:pPr>
              <w:jc w:val="center"/>
              <w:rPr>
                <w:rFonts w:hint="eastAsia" w:ascii="宋体" w:hAnsi="宋体" w:eastAsia="宋体"/>
                <w:sz w:val="16"/>
                <w:szCs w:val="16"/>
              </w:rPr>
            </w:pPr>
            <w:r>
              <w:rPr>
                <w:rFonts w:hint="eastAsia" w:ascii="宋体" w:hAnsi="宋体" w:eastAsia="宋体"/>
                <w:sz w:val="16"/>
                <w:szCs w:val="16"/>
              </w:rPr>
              <w:t>●</w:t>
            </w:r>
          </w:p>
        </w:tc>
        <w:tc>
          <w:tcPr>
            <w:tcW w:w="880" w:type="dxa"/>
            <w:vAlign w:val="center"/>
          </w:tcPr>
          <w:p w14:paraId="6FCCB949">
            <w:pPr>
              <w:jc w:val="center"/>
              <w:rPr>
                <w:rFonts w:hint="eastAsia" w:ascii="宋体" w:hAnsi="宋体" w:eastAsia="宋体"/>
                <w:sz w:val="16"/>
                <w:szCs w:val="16"/>
              </w:rPr>
            </w:pPr>
            <w:r>
              <w:rPr>
                <w:rFonts w:hint="eastAsia" w:ascii="宋体" w:hAnsi="宋体" w:eastAsia="宋体"/>
                <w:sz w:val="16"/>
                <w:szCs w:val="16"/>
              </w:rPr>
              <w:t>●</w:t>
            </w:r>
          </w:p>
        </w:tc>
      </w:tr>
      <w:tr w14:paraId="13F7FF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 w:hRule="atLeast"/>
          <w:jc w:val="center"/>
        </w:trPr>
        <w:tc>
          <w:tcPr>
            <w:tcW w:w="558" w:type="dxa"/>
            <w:vMerge w:val="continue"/>
            <w:vAlign w:val="center"/>
          </w:tcPr>
          <w:p w14:paraId="7085A1B7">
            <w:pPr>
              <w:jc w:val="center"/>
              <w:rPr>
                <w:rFonts w:hint="eastAsia" w:ascii="宋体" w:hAnsi="宋体" w:eastAsia="宋体"/>
                <w:sz w:val="20"/>
              </w:rPr>
            </w:pPr>
          </w:p>
        </w:tc>
        <w:tc>
          <w:tcPr>
            <w:tcW w:w="970" w:type="dxa"/>
            <w:vMerge w:val="continue"/>
            <w:vAlign w:val="center"/>
          </w:tcPr>
          <w:p w14:paraId="5199D7ED">
            <w:pPr>
              <w:jc w:val="center"/>
              <w:rPr>
                <w:rFonts w:hint="eastAsia" w:ascii="宋体" w:hAnsi="宋体" w:eastAsia="宋体"/>
                <w:sz w:val="20"/>
              </w:rPr>
            </w:pPr>
          </w:p>
        </w:tc>
        <w:tc>
          <w:tcPr>
            <w:tcW w:w="2457" w:type="dxa"/>
            <w:vAlign w:val="center"/>
          </w:tcPr>
          <w:p w14:paraId="15FD6F0D">
            <w:pPr>
              <w:jc w:val="center"/>
              <w:rPr>
                <w:rFonts w:hint="eastAsia" w:ascii="宋体" w:hAnsi="宋体" w:eastAsia="宋体"/>
                <w:sz w:val="20"/>
              </w:rPr>
            </w:pPr>
            <w:r>
              <w:rPr>
                <w:rFonts w:hint="eastAsia" w:ascii="宋体" w:hAnsi="宋体" w:eastAsia="宋体"/>
                <w:sz w:val="20"/>
              </w:rPr>
              <w:t>飞行模式及切换功能试验</w:t>
            </w:r>
          </w:p>
        </w:tc>
        <w:tc>
          <w:tcPr>
            <w:tcW w:w="917" w:type="dxa"/>
            <w:vAlign w:val="center"/>
          </w:tcPr>
          <w:p w14:paraId="3699F1EE">
            <w:pPr>
              <w:jc w:val="center"/>
              <w:rPr>
                <w:rFonts w:hint="eastAsia" w:ascii="宋体" w:hAnsi="宋体" w:eastAsia="宋体"/>
                <w:sz w:val="20"/>
              </w:rPr>
            </w:pPr>
            <w:r>
              <w:rPr>
                <w:rFonts w:hint="eastAsia" w:ascii="宋体" w:hAnsi="宋体" w:eastAsia="宋体"/>
                <w:szCs w:val="21"/>
              </w:rPr>
              <w:t>6.3.3</w:t>
            </w:r>
          </w:p>
        </w:tc>
        <w:tc>
          <w:tcPr>
            <w:tcW w:w="960" w:type="dxa"/>
            <w:vAlign w:val="center"/>
          </w:tcPr>
          <w:p w14:paraId="4AE317BE">
            <w:pPr>
              <w:jc w:val="center"/>
              <w:rPr>
                <w:rFonts w:hint="eastAsia" w:ascii="宋体" w:hAnsi="宋体" w:eastAsia="宋体"/>
                <w:sz w:val="20"/>
              </w:rPr>
            </w:pPr>
            <w:r>
              <w:rPr>
                <w:rFonts w:hint="eastAsia" w:ascii="宋体" w:hAnsi="宋体" w:eastAsia="宋体"/>
                <w:sz w:val="16"/>
                <w:szCs w:val="16"/>
              </w:rPr>
              <w:t>●</w:t>
            </w:r>
          </w:p>
        </w:tc>
        <w:tc>
          <w:tcPr>
            <w:tcW w:w="845" w:type="dxa"/>
            <w:vAlign w:val="center"/>
          </w:tcPr>
          <w:p w14:paraId="0512BD87">
            <w:pPr>
              <w:jc w:val="center"/>
              <w:rPr>
                <w:rFonts w:hint="eastAsia" w:ascii="宋体" w:hAnsi="宋体" w:eastAsia="宋体"/>
                <w:sz w:val="20"/>
              </w:rPr>
            </w:pPr>
            <w:r>
              <w:rPr>
                <w:rFonts w:hint="eastAsia" w:ascii="宋体" w:hAnsi="宋体" w:eastAsia="宋体"/>
                <w:sz w:val="16"/>
                <w:szCs w:val="16"/>
              </w:rPr>
              <w:t>●</w:t>
            </w:r>
          </w:p>
        </w:tc>
        <w:tc>
          <w:tcPr>
            <w:tcW w:w="880" w:type="dxa"/>
            <w:vAlign w:val="center"/>
          </w:tcPr>
          <w:p w14:paraId="3AFD8DEE">
            <w:pPr>
              <w:jc w:val="center"/>
              <w:rPr>
                <w:rFonts w:hint="eastAsia" w:ascii="宋体" w:hAnsi="宋体" w:eastAsia="宋体"/>
                <w:sz w:val="16"/>
                <w:szCs w:val="16"/>
              </w:rPr>
            </w:pPr>
            <w:r>
              <w:rPr>
                <w:rFonts w:hint="eastAsia" w:ascii="宋体" w:hAnsi="宋体" w:eastAsia="宋体"/>
                <w:sz w:val="16"/>
                <w:szCs w:val="16"/>
              </w:rPr>
              <w:t>●</w:t>
            </w:r>
          </w:p>
        </w:tc>
        <w:tc>
          <w:tcPr>
            <w:tcW w:w="880" w:type="dxa"/>
            <w:vAlign w:val="center"/>
          </w:tcPr>
          <w:p w14:paraId="2C3AAB8B">
            <w:pPr>
              <w:jc w:val="center"/>
              <w:rPr>
                <w:rFonts w:hint="eastAsia" w:ascii="宋体" w:hAnsi="宋体" w:eastAsia="宋体"/>
                <w:sz w:val="16"/>
                <w:szCs w:val="16"/>
              </w:rPr>
            </w:pPr>
            <w:r>
              <w:rPr>
                <w:rFonts w:hint="eastAsia" w:ascii="宋体" w:hAnsi="宋体" w:eastAsia="宋体"/>
                <w:sz w:val="16"/>
                <w:szCs w:val="16"/>
              </w:rPr>
              <w:t>●</w:t>
            </w:r>
          </w:p>
        </w:tc>
        <w:tc>
          <w:tcPr>
            <w:tcW w:w="880" w:type="dxa"/>
            <w:vAlign w:val="center"/>
          </w:tcPr>
          <w:p w14:paraId="61D3C34B">
            <w:pPr>
              <w:jc w:val="center"/>
              <w:rPr>
                <w:rFonts w:hint="eastAsia" w:ascii="宋体" w:hAnsi="宋体" w:eastAsia="宋体"/>
                <w:sz w:val="16"/>
                <w:szCs w:val="16"/>
              </w:rPr>
            </w:pPr>
            <w:r>
              <w:rPr>
                <w:rFonts w:hint="eastAsia" w:ascii="宋体" w:hAnsi="宋体" w:eastAsia="宋体"/>
                <w:sz w:val="16"/>
                <w:szCs w:val="16"/>
              </w:rPr>
              <w:t>●</w:t>
            </w:r>
          </w:p>
        </w:tc>
      </w:tr>
      <w:tr w14:paraId="12F249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8" w:hRule="atLeast"/>
          <w:jc w:val="center"/>
        </w:trPr>
        <w:tc>
          <w:tcPr>
            <w:tcW w:w="558" w:type="dxa"/>
            <w:vMerge w:val="continue"/>
            <w:vAlign w:val="center"/>
          </w:tcPr>
          <w:p w14:paraId="2C07D60D">
            <w:pPr>
              <w:jc w:val="center"/>
              <w:rPr>
                <w:rFonts w:hint="eastAsia" w:ascii="宋体" w:hAnsi="宋体" w:eastAsia="宋体"/>
                <w:sz w:val="20"/>
              </w:rPr>
            </w:pPr>
          </w:p>
        </w:tc>
        <w:tc>
          <w:tcPr>
            <w:tcW w:w="970" w:type="dxa"/>
            <w:vMerge w:val="continue"/>
            <w:vAlign w:val="center"/>
          </w:tcPr>
          <w:p w14:paraId="43AB731C">
            <w:pPr>
              <w:jc w:val="center"/>
              <w:rPr>
                <w:rFonts w:hint="eastAsia" w:ascii="宋体" w:hAnsi="宋体" w:eastAsia="宋体"/>
                <w:sz w:val="20"/>
              </w:rPr>
            </w:pPr>
          </w:p>
        </w:tc>
        <w:tc>
          <w:tcPr>
            <w:tcW w:w="2457" w:type="dxa"/>
            <w:vAlign w:val="center"/>
          </w:tcPr>
          <w:p w14:paraId="236BD077">
            <w:pPr>
              <w:jc w:val="center"/>
              <w:rPr>
                <w:rFonts w:hint="eastAsia" w:ascii="宋体" w:hAnsi="宋体" w:eastAsia="宋体"/>
                <w:sz w:val="20"/>
              </w:rPr>
            </w:pPr>
            <w:r>
              <w:rPr>
                <w:rFonts w:hint="eastAsia" w:ascii="宋体" w:hAnsi="宋体" w:eastAsia="宋体"/>
                <w:sz w:val="20"/>
              </w:rPr>
              <w:t>导航定位偏差试验</w:t>
            </w:r>
          </w:p>
        </w:tc>
        <w:tc>
          <w:tcPr>
            <w:tcW w:w="917" w:type="dxa"/>
            <w:vAlign w:val="center"/>
          </w:tcPr>
          <w:p w14:paraId="7A293028">
            <w:pPr>
              <w:jc w:val="center"/>
              <w:rPr>
                <w:rFonts w:hint="eastAsia" w:ascii="宋体" w:hAnsi="宋体" w:eastAsia="宋体"/>
                <w:sz w:val="20"/>
              </w:rPr>
            </w:pPr>
            <w:r>
              <w:rPr>
                <w:rFonts w:hint="eastAsia" w:ascii="宋体" w:hAnsi="宋体" w:eastAsia="宋体"/>
                <w:szCs w:val="21"/>
              </w:rPr>
              <w:t>6.3.4</w:t>
            </w:r>
          </w:p>
        </w:tc>
        <w:tc>
          <w:tcPr>
            <w:tcW w:w="960" w:type="dxa"/>
            <w:vAlign w:val="center"/>
          </w:tcPr>
          <w:p w14:paraId="192960F3">
            <w:pPr>
              <w:jc w:val="center"/>
              <w:rPr>
                <w:rFonts w:hint="eastAsia" w:ascii="宋体" w:hAnsi="宋体" w:eastAsia="宋体"/>
                <w:sz w:val="20"/>
              </w:rPr>
            </w:pPr>
            <w:r>
              <w:rPr>
                <w:rFonts w:hint="eastAsia" w:ascii="宋体" w:hAnsi="宋体" w:eastAsia="宋体"/>
                <w:sz w:val="16"/>
                <w:szCs w:val="16"/>
              </w:rPr>
              <w:t>●</w:t>
            </w:r>
          </w:p>
        </w:tc>
        <w:tc>
          <w:tcPr>
            <w:tcW w:w="845" w:type="dxa"/>
            <w:vAlign w:val="center"/>
          </w:tcPr>
          <w:p w14:paraId="63790BD6">
            <w:pPr>
              <w:jc w:val="center"/>
              <w:rPr>
                <w:rFonts w:hint="eastAsia" w:ascii="宋体" w:hAnsi="宋体" w:eastAsia="宋体"/>
                <w:sz w:val="20"/>
              </w:rPr>
            </w:pPr>
            <w:r>
              <w:rPr>
                <w:rFonts w:hint="eastAsia" w:ascii="宋体" w:hAnsi="宋体" w:eastAsia="宋体"/>
                <w:sz w:val="16"/>
                <w:szCs w:val="16"/>
              </w:rPr>
              <w:t>●</w:t>
            </w:r>
          </w:p>
        </w:tc>
        <w:tc>
          <w:tcPr>
            <w:tcW w:w="880" w:type="dxa"/>
            <w:vAlign w:val="center"/>
          </w:tcPr>
          <w:p w14:paraId="35C80E79">
            <w:pPr>
              <w:jc w:val="center"/>
              <w:rPr>
                <w:rFonts w:hint="eastAsia" w:ascii="宋体" w:hAnsi="宋体" w:eastAsia="宋体"/>
                <w:sz w:val="16"/>
                <w:szCs w:val="16"/>
              </w:rPr>
            </w:pPr>
            <w:r>
              <w:rPr>
                <w:rFonts w:hint="eastAsia" w:ascii="宋体" w:hAnsi="宋体" w:eastAsia="宋体"/>
                <w:sz w:val="16"/>
                <w:szCs w:val="16"/>
              </w:rPr>
              <w:t>●</w:t>
            </w:r>
          </w:p>
        </w:tc>
        <w:tc>
          <w:tcPr>
            <w:tcW w:w="880" w:type="dxa"/>
            <w:vAlign w:val="center"/>
          </w:tcPr>
          <w:p w14:paraId="56E009DA">
            <w:pPr>
              <w:jc w:val="center"/>
              <w:rPr>
                <w:rFonts w:hint="eastAsia" w:ascii="宋体" w:hAnsi="宋体" w:eastAsia="宋体"/>
                <w:sz w:val="16"/>
                <w:szCs w:val="16"/>
              </w:rPr>
            </w:pPr>
            <w:r>
              <w:rPr>
                <w:rFonts w:hint="eastAsia" w:ascii="宋体" w:hAnsi="宋体" w:eastAsia="宋体"/>
                <w:sz w:val="16"/>
                <w:szCs w:val="16"/>
              </w:rPr>
              <w:t>●</w:t>
            </w:r>
          </w:p>
        </w:tc>
        <w:tc>
          <w:tcPr>
            <w:tcW w:w="880" w:type="dxa"/>
            <w:vAlign w:val="center"/>
          </w:tcPr>
          <w:p w14:paraId="6BE6DE7D">
            <w:pPr>
              <w:jc w:val="center"/>
              <w:rPr>
                <w:rFonts w:hint="eastAsia" w:ascii="宋体" w:hAnsi="宋体" w:eastAsia="宋体"/>
                <w:sz w:val="16"/>
                <w:szCs w:val="16"/>
              </w:rPr>
            </w:pPr>
            <w:r>
              <w:rPr>
                <w:rFonts w:hint="eastAsia" w:ascii="宋体" w:hAnsi="宋体" w:eastAsia="宋体"/>
                <w:sz w:val="16"/>
                <w:szCs w:val="16"/>
              </w:rPr>
              <w:t>●</w:t>
            </w:r>
          </w:p>
        </w:tc>
      </w:tr>
      <w:tr w14:paraId="06CE88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3" w:hRule="atLeast"/>
          <w:jc w:val="center"/>
        </w:trPr>
        <w:tc>
          <w:tcPr>
            <w:tcW w:w="558" w:type="dxa"/>
            <w:vMerge w:val="continue"/>
            <w:vAlign w:val="center"/>
          </w:tcPr>
          <w:p w14:paraId="73FFBF2A">
            <w:pPr>
              <w:jc w:val="center"/>
              <w:rPr>
                <w:rFonts w:hint="eastAsia" w:ascii="宋体" w:hAnsi="宋体" w:eastAsia="宋体"/>
                <w:sz w:val="20"/>
              </w:rPr>
            </w:pPr>
          </w:p>
        </w:tc>
        <w:tc>
          <w:tcPr>
            <w:tcW w:w="970" w:type="dxa"/>
            <w:vMerge w:val="continue"/>
            <w:vAlign w:val="center"/>
          </w:tcPr>
          <w:p w14:paraId="35559D01">
            <w:pPr>
              <w:jc w:val="center"/>
              <w:rPr>
                <w:rFonts w:hint="eastAsia" w:ascii="宋体" w:hAnsi="宋体" w:eastAsia="宋体"/>
                <w:sz w:val="20"/>
              </w:rPr>
            </w:pPr>
          </w:p>
        </w:tc>
        <w:tc>
          <w:tcPr>
            <w:tcW w:w="2457" w:type="dxa"/>
            <w:vAlign w:val="center"/>
          </w:tcPr>
          <w:p w14:paraId="3074F4D3">
            <w:pPr>
              <w:jc w:val="center"/>
              <w:rPr>
                <w:rFonts w:hint="eastAsia" w:ascii="宋体" w:hAnsi="宋体" w:eastAsia="宋体"/>
                <w:sz w:val="20"/>
              </w:rPr>
            </w:pPr>
            <w:r>
              <w:rPr>
                <w:rFonts w:hint="eastAsia" w:ascii="宋体" w:hAnsi="宋体" w:eastAsia="宋体"/>
                <w:sz w:val="20"/>
              </w:rPr>
              <w:t>飞行控制偏差试验</w:t>
            </w:r>
          </w:p>
        </w:tc>
        <w:tc>
          <w:tcPr>
            <w:tcW w:w="917" w:type="dxa"/>
            <w:vAlign w:val="center"/>
          </w:tcPr>
          <w:p w14:paraId="11E104BE">
            <w:pPr>
              <w:jc w:val="center"/>
              <w:rPr>
                <w:rFonts w:hint="eastAsia" w:ascii="宋体" w:hAnsi="宋体" w:eastAsia="宋体"/>
                <w:sz w:val="20"/>
              </w:rPr>
            </w:pPr>
            <w:r>
              <w:rPr>
                <w:rFonts w:hint="eastAsia" w:ascii="宋体" w:hAnsi="宋体" w:eastAsia="宋体"/>
                <w:szCs w:val="21"/>
              </w:rPr>
              <w:t>6.3.5</w:t>
            </w:r>
          </w:p>
        </w:tc>
        <w:tc>
          <w:tcPr>
            <w:tcW w:w="960" w:type="dxa"/>
            <w:vAlign w:val="center"/>
          </w:tcPr>
          <w:p w14:paraId="007FA872">
            <w:pPr>
              <w:jc w:val="center"/>
              <w:rPr>
                <w:rFonts w:hint="eastAsia" w:ascii="宋体" w:hAnsi="宋体" w:eastAsia="宋体"/>
                <w:sz w:val="20"/>
              </w:rPr>
            </w:pPr>
            <w:r>
              <w:rPr>
                <w:rFonts w:hint="eastAsia" w:ascii="宋体" w:hAnsi="宋体" w:eastAsia="宋体"/>
                <w:sz w:val="16"/>
                <w:szCs w:val="16"/>
              </w:rPr>
              <w:t>●</w:t>
            </w:r>
          </w:p>
        </w:tc>
        <w:tc>
          <w:tcPr>
            <w:tcW w:w="845" w:type="dxa"/>
            <w:vAlign w:val="center"/>
          </w:tcPr>
          <w:p w14:paraId="3C6DD277">
            <w:pPr>
              <w:jc w:val="center"/>
              <w:rPr>
                <w:rFonts w:hint="eastAsia" w:ascii="宋体" w:hAnsi="宋体" w:eastAsia="宋体"/>
                <w:sz w:val="20"/>
              </w:rPr>
            </w:pPr>
            <w:r>
              <w:rPr>
                <w:rFonts w:hint="eastAsia" w:ascii="宋体" w:hAnsi="宋体" w:eastAsia="宋体"/>
                <w:sz w:val="16"/>
                <w:szCs w:val="16"/>
              </w:rPr>
              <w:t>●</w:t>
            </w:r>
          </w:p>
        </w:tc>
        <w:tc>
          <w:tcPr>
            <w:tcW w:w="880" w:type="dxa"/>
            <w:vAlign w:val="center"/>
          </w:tcPr>
          <w:p w14:paraId="5C2FE9C9">
            <w:pPr>
              <w:jc w:val="center"/>
              <w:rPr>
                <w:rFonts w:hint="eastAsia" w:ascii="宋体" w:hAnsi="宋体" w:eastAsia="宋体"/>
                <w:sz w:val="16"/>
                <w:szCs w:val="16"/>
              </w:rPr>
            </w:pPr>
            <w:r>
              <w:rPr>
                <w:rFonts w:hint="eastAsia" w:ascii="宋体" w:hAnsi="宋体" w:eastAsia="宋体"/>
                <w:sz w:val="16"/>
                <w:szCs w:val="16"/>
              </w:rPr>
              <w:t>●</w:t>
            </w:r>
          </w:p>
        </w:tc>
        <w:tc>
          <w:tcPr>
            <w:tcW w:w="880" w:type="dxa"/>
            <w:vAlign w:val="center"/>
          </w:tcPr>
          <w:p w14:paraId="35289F0F">
            <w:pPr>
              <w:jc w:val="center"/>
              <w:rPr>
                <w:rFonts w:hint="eastAsia" w:ascii="宋体" w:hAnsi="宋体" w:eastAsia="宋体"/>
                <w:sz w:val="16"/>
                <w:szCs w:val="16"/>
              </w:rPr>
            </w:pPr>
            <w:r>
              <w:rPr>
                <w:rFonts w:hint="eastAsia" w:ascii="宋体" w:hAnsi="宋体" w:eastAsia="宋体"/>
                <w:sz w:val="16"/>
                <w:szCs w:val="16"/>
              </w:rPr>
              <w:t>●</w:t>
            </w:r>
          </w:p>
        </w:tc>
        <w:tc>
          <w:tcPr>
            <w:tcW w:w="880" w:type="dxa"/>
            <w:vAlign w:val="center"/>
          </w:tcPr>
          <w:p w14:paraId="726AD086">
            <w:pPr>
              <w:jc w:val="center"/>
              <w:rPr>
                <w:rFonts w:hint="eastAsia" w:ascii="宋体" w:hAnsi="宋体" w:eastAsia="宋体"/>
                <w:sz w:val="16"/>
                <w:szCs w:val="16"/>
              </w:rPr>
            </w:pPr>
            <w:r>
              <w:rPr>
                <w:rFonts w:hint="eastAsia" w:ascii="宋体" w:hAnsi="宋体" w:eastAsia="宋体"/>
                <w:sz w:val="16"/>
                <w:szCs w:val="16"/>
              </w:rPr>
              <w:t>●</w:t>
            </w:r>
          </w:p>
        </w:tc>
      </w:tr>
      <w:tr w14:paraId="0F359F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8" w:hRule="atLeast"/>
          <w:jc w:val="center"/>
        </w:trPr>
        <w:tc>
          <w:tcPr>
            <w:tcW w:w="558" w:type="dxa"/>
            <w:vMerge w:val="continue"/>
            <w:vAlign w:val="center"/>
          </w:tcPr>
          <w:p w14:paraId="3C653437">
            <w:pPr>
              <w:jc w:val="center"/>
              <w:rPr>
                <w:rFonts w:hint="eastAsia" w:ascii="宋体" w:hAnsi="宋体" w:eastAsia="宋体"/>
                <w:sz w:val="20"/>
              </w:rPr>
            </w:pPr>
          </w:p>
        </w:tc>
        <w:tc>
          <w:tcPr>
            <w:tcW w:w="970" w:type="dxa"/>
            <w:vMerge w:val="continue"/>
            <w:vAlign w:val="center"/>
          </w:tcPr>
          <w:p w14:paraId="11910916">
            <w:pPr>
              <w:jc w:val="center"/>
              <w:rPr>
                <w:rFonts w:hint="eastAsia" w:ascii="宋体" w:hAnsi="宋体" w:eastAsia="宋体"/>
                <w:sz w:val="20"/>
              </w:rPr>
            </w:pPr>
          </w:p>
        </w:tc>
        <w:tc>
          <w:tcPr>
            <w:tcW w:w="2457" w:type="dxa"/>
            <w:vAlign w:val="center"/>
          </w:tcPr>
          <w:p w14:paraId="04164213">
            <w:pPr>
              <w:jc w:val="center"/>
              <w:rPr>
                <w:rFonts w:hint="eastAsia" w:ascii="宋体" w:hAnsi="宋体" w:eastAsia="宋体"/>
                <w:sz w:val="20"/>
              </w:rPr>
            </w:pPr>
            <w:r>
              <w:rPr>
                <w:rFonts w:hint="eastAsia" w:ascii="宋体" w:hAnsi="宋体" w:eastAsia="宋体"/>
                <w:sz w:val="20"/>
              </w:rPr>
              <w:t>悬停控制偏差试验</w:t>
            </w:r>
          </w:p>
        </w:tc>
        <w:tc>
          <w:tcPr>
            <w:tcW w:w="917" w:type="dxa"/>
            <w:vAlign w:val="center"/>
          </w:tcPr>
          <w:p w14:paraId="64F18567">
            <w:pPr>
              <w:jc w:val="center"/>
              <w:rPr>
                <w:rFonts w:hint="eastAsia" w:ascii="宋体" w:hAnsi="宋体" w:eastAsia="宋体"/>
                <w:sz w:val="20"/>
              </w:rPr>
            </w:pPr>
            <w:r>
              <w:rPr>
                <w:rFonts w:hint="eastAsia" w:ascii="宋体" w:hAnsi="宋体" w:eastAsia="宋体"/>
                <w:szCs w:val="21"/>
              </w:rPr>
              <w:t>6.3.6</w:t>
            </w:r>
          </w:p>
        </w:tc>
        <w:tc>
          <w:tcPr>
            <w:tcW w:w="960" w:type="dxa"/>
            <w:vAlign w:val="center"/>
          </w:tcPr>
          <w:p w14:paraId="2097AA98">
            <w:pPr>
              <w:jc w:val="center"/>
              <w:rPr>
                <w:rFonts w:hint="eastAsia" w:ascii="宋体" w:hAnsi="宋体" w:eastAsia="宋体"/>
                <w:sz w:val="20"/>
              </w:rPr>
            </w:pPr>
            <w:r>
              <w:rPr>
                <w:rFonts w:hint="eastAsia" w:ascii="宋体" w:hAnsi="宋体" w:eastAsia="宋体"/>
                <w:sz w:val="16"/>
                <w:szCs w:val="16"/>
              </w:rPr>
              <w:t>●</w:t>
            </w:r>
          </w:p>
        </w:tc>
        <w:tc>
          <w:tcPr>
            <w:tcW w:w="845" w:type="dxa"/>
            <w:vAlign w:val="center"/>
          </w:tcPr>
          <w:p w14:paraId="75784B74">
            <w:pPr>
              <w:jc w:val="center"/>
              <w:rPr>
                <w:rFonts w:hint="eastAsia" w:ascii="宋体" w:hAnsi="宋体" w:eastAsia="宋体"/>
                <w:sz w:val="20"/>
              </w:rPr>
            </w:pPr>
            <w:r>
              <w:rPr>
                <w:rFonts w:hint="eastAsia" w:ascii="宋体" w:hAnsi="宋体" w:eastAsia="宋体"/>
                <w:sz w:val="16"/>
                <w:szCs w:val="16"/>
              </w:rPr>
              <w:t>●</w:t>
            </w:r>
          </w:p>
        </w:tc>
        <w:tc>
          <w:tcPr>
            <w:tcW w:w="880" w:type="dxa"/>
            <w:vAlign w:val="center"/>
          </w:tcPr>
          <w:p w14:paraId="22F390DC">
            <w:pPr>
              <w:jc w:val="center"/>
              <w:rPr>
                <w:rFonts w:hint="eastAsia" w:ascii="宋体" w:hAnsi="宋体" w:eastAsia="宋体"/>
                <w:sz w:val="16"/>
                <w:szCs w:val="16"/>
              </w:rPr>
            </w:pPr>
            <w:r>
              <w:rPr>
                <w:rFonts w:hint="eastAsia" w:ascii="宋体" w:hAnsi="宋体" w:eastAsia="宋体"/>
                <w:sz w:val="16"/>
                <w:szCs w:val="16"/>
              </w:rPr>
              <w:t>●</w:t>
            </w:r>
          </w:p>
        </w:tc>
        <w:tc>
          <w:tcPr>
            <w:tcW w:w="880" w:type="dxa"/>
            <w:vAlign w:val="center"/>
          </w:tcPr>
          <w:p w14:paraId="75091B2A">
            <w:pPr>
              <w:jc w:val="center"/>
              <w:rPr>
                <w:rFonts w:hint="eastAsia" w:ascii="宋体" w:hAnsi="宋体" w:eastAsia="宋体"/>
                <w:sz w:val="16"/>
                <w:szCs w:val="16"/>
              </w:rPr>
            </w:pPr>
            <w:r>
              <w:rPr>
                <w:rFonts w:hint="eastAsia" w:ascii="宋体" w:hAnsi="宋体" w:eastAsia="宋体"/>
                <w:sz w:val="16"/>
                <w:szCs w:val="16"/>
              </w:rPr>
              <w:t>●</w:t>
            </w:r>
          </w:p>
        </w:tc>
        <w:tc>
          <w:tcPr>
            <w:tcW w:w="880" w:type="dxa"/>
            <w:vAlign w:val="center"/>
          </w:tcPr>
          <w:p w14:paraId="796412E4">
            <w:pPr>
              <w:jc w:val="center"/>
              <w:rPr>
                <w:rFonts w:hint="eastAsia" w:ascii="宋体" w:hAnsi="宋体" w:eastAsia="宋体"/>
                <w:sz w:val="16"/>
                <w:szCs w:val="16"/>
              </w:rPr>
            </w:pPr>
            <w:r>
              <w:rPr>
                <w:rFonts w:hint="eastAsia" w:ascii="宋体" w:hAnsi="宋体" w:eastAsia="宋体"/>
                <w:sz w:val="16"/>
                <w:szCs w:val="16"/>
              </w:rPr>
              <w:t>●</w:t>
            </w:r>
          </w:p>
        </w:tc>
      </w:tr>
      <w:tr w14:paraId="5E6C9B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61" w:hRule="atLeast"/>
          <w:jc w:val="center"/>
        </w:trPr>
        <w:tc>
          <w:tcPr>
            <w:tcW w:w="558" w:type="dxa"/>
            <w:vMerge w:val="continue"/>
            <w:vAlign w:val="center"/>
          </w:tcPr>
          <w:p w14:paraId="173E6A62">
            <w:pPr>
              <w:jc w:val="center"/>
              <w:rPr>
                <w:rFonts w:hint="eastAsia" w:ascii="宋体" w:hAnsi="宋体" w:eastAsia="宋体"/>
                <w:sz w:val="20"/>
              </w:rPr>
            </w:pPr>
          </w:p>
        </w:tc>
        <w:tc>
          <w:tcPr>
            <w:tcW w:w="970" w:type="dxa"/>
            <w:vMerge w:val="continue"/>
            <w:vAlign w:val="center"/>
          </w:tcPr>
          <w:p w14:paraId="5083FF14">
            <w:pPr>
              <w:jc w:val="center"/>
              <w:rPr>
                <w:rFonts w:hint="eastAsia" w:ascii="宋体" w:hAnsi="宋体" w:eastAsia="宋体"/>
                <w:sz w:val="20"/>
              </w:rPr>
            </w:pPr>
          </w:p>
        </w:tc>
        <w:tc>
          <w:tcPr>
            <w:tcW w:w="2457" w:type="dxa"/>
            <w:vAlign w:val="center"/>
          </w:tcPr>
          <w:p w14:paraId="72DD750F">
            <w:pPr>
              <w:jc w:val="center"/>
              <w:rPr>
                <w:rFonts w:hint="eastAsia" w:ascii="宋体" w:hAnsi="宋体" w:eastAsia="宋体"/>
                <w:sz w:val="20"/>
              </w:rPr>
            </w:pPr>
            <w:r>
              <w:rPr>
                <w:rFonts w:hint="eastAsia" w:ascii="宋体" w:hAnsi="宋体" w:eastAsia="宋体"/>
                <w:sz w:val="20"/>
              </w:rPr>
              <w:t>机头重定向功能试验</w:t>
            </w:r>
          </w:p>
        </w:tc>
        <w:tc>
          <w:tcPr>
            <w:tcW w:w="917" w:type="dxa"/>
            <w:vAlign w:val="center"/>
          </w:tcPr>
          <w:p w14:paraId="34E0B5A3">
            <w:pPr>
              <w:jc w:val="center"/>
              <w:rPr>
                <w:rFonts w:hint="eastAsia" w:ascii="宋体" w:hAnsi="宋体" w:eastAsia="宋体"/>
                <w:sz w:val="20"/>
              </w:rPr>
            </w:pPr>
            <w:r>
              <w:rPr>
                <w:rFonts w:hint="eastAsia" w:ascii="宋体" w:hAnsi="宋体" w:eastAsia="宋体"/>
                <w:szCs w:val="21"/>
              </w:rPr>
              <w:t>6.3.7</w:t>
            </w:r>
          </w:p>
        </w:tc>
        <w:tc>
          <w:tcPr>
            <w:tcW w:w="960" w:type="dxa"/>
            <w:vAlign w:val="center"/>
          </w:tcPr>
          <w:p w14:paraId="2BA50B5A">
            <w:pPr>
              <w:jc w:val="center"/>
              <w:rPr>
                <w:rFonts w:hint="eastAsia" w:ascii="宋体" w:hAnsi="宋体" w:eastAsia="宋体"/>
                <w:sz w:val="20"/>
              </w:rPr>
            </w:pPr>
            <w:r>
              <w:rPr>
                <w:rFonts w:hint="eastAsia" w:ascii="宋体" w:hAnsi="宋体" w:eastAsia="宋体"/>
                <w:sz w:val="16"/>
                <w:szCs w:val="16"/>
              </w:rPr>
              <w:t>●</w:t>
            </w:r>
          </w:p>
        </w:tc>
        <w:tc>
          <w:tcPr>
            <w:tcW w:w="845" w:type="dxa"/>
            <w:vAlign w:val="center"/>
          </w:tcPr>
          <w:p w14:paraId="75B14D11">
            <w:pPr>
              <w:jc w:val="center"/>
              <w:rPr>
                <w:rFonts w:hint="eastAsia" w:ascii="宋体" w:hAnsi="宋体" w:eastAsia="宋体"/>
                <w:sz w:val="20"/>
              </w:rPr>
            </w:pPr>
            <w:r>
              <w:rPr>
                <w:rFonts w:hint="eastAsia" w:ascii="宋体" w:hAnsi="宋体" w:eastAsia="宋体"/>
                <w:sz w:val="16"/>
                <w:szCs w:val="16"/>
              </w:rPr>
              <w:t>●</w:t>
            </w:r>
          </w:p>
        </w:tc>
        <w:tc>
          <w:tcPr>
            <w:tcW w:w="880" w:type="dxa"/>
            <w:vAlign w:val="center"/>
          </w:tcPr>
          <w:p w14:paraId="2DE6690E">
            <w:pPr>
              <w:jc w:val="center"/>
              <w:rPr>
                <w:rFonts w:hint="eastAsia" w:ascii="宋体" w:hAnsi="宋体" w:eastAsia="宋体"/>
                <w:sz w:val="16"/>
                <w:szCs w:val="16"/>
              </w:rPr>
            </w:pPr>
            <w:r>
              <w:rPr>
                <w:rFonts w:hint="eastAsia" w:ascii="宋体" w:hAnsi="宋体" w:eastAsia="宋体"/>
                <w:sz w:val="16"/>
                <w:szCs w:val="16"/>
              </w:rPr>
              <w:t>●</w:t>
            </w:r>
          </w:p>
        </w:tc>
        <w:tc>
          <w:tcPr>
            <w:tcW w:w="880" w:type="dxa"/>
            <w:vAlign w:val="center"/>
          </w:tcPr>
          <w:p w14:paraId="7B591CDE">
            <w:pPr>
              <w:jc w:val="center"/>
              <w:rPr>
                <w:rFonts w:hint="eastAsia" w:ascii="宋体" w:hAnsi="宋体" w:eastAsia="宋体"/>
                <w:sz w:val="16"/>
                <w:szCs w:val="16"/>
              </w:rPr>
            </w:pPr>
            <w:r>
              <w:rPr>
                <w:rFonts w:hint="eastAsia" w:ascii="宋体" w:hAnsi="宋体" w:eastAsia="宋体"/>
                <w:sz w:val="16"/>
                <w:szCs w:val="16"/>
              </w:rPr>
              <w:t>●</w:t>
            </w:r>
          </w:p>
        </w:tc>
        <w:tc>
          <w:tcPr>
            <w:tcW w:w="880" w:type="dxa"/>
            <w:vAlign w:val="center"/>
          </w:tcPr>
          <w:p w14:paraId="24B5683C">
            <w:pPr>
              <w:jc w:val="center"/>
              <w:rPr>
                <w:rFonts w:hint="eastAsia" w:ascii="宋体" w:hAnsi="宋体" w:eastAsia="宋体"/>
                <w:sz w:val="16"/>
                <w:szCs w:val="16"/>
              </w:rPr>
            </w:pPr>
            <w:r>
              <w:rPr>
                <w:rFonts w:hint="eastAsia" w:ascii="宋体" w:hAnsi="宋体" w:eastAsia="宋体"/>
                <w:sz w:val="16"/>
                <w:szCs w:val="16"/>
              </w:rPr>
              <w:t>●</w:t>
            </w:r>
          </w:p>
        </w:tc>
      </w:tr>
      <w:tr w14:paraId="0A1269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8" w:hRule="atLeast"/>
          <w:jc w:val="center"/>
        </w:trPr>
        <w:tc>
          <w:tcPr>
            <w:tcW w:w="558" w:type="dxa"/>
            <w:vMerge w:val="continue"/>
            <w:vAlign w:val="center"/>
          </w:tcPr>
          <w:p w14:paraId="079F889E">
            <w:pPr>
              <w:jc w:val="center"/>
              <w:rPr>
                <w:rFonts w:hint="eastAsia" w:ascii="宋体" w:hAnsi="宋体" w:eastAsia="宋体"/>
                <w:sz w:val="20"/>
              </w:rPr>
            </w:pPr>
          </w:p>
        </w:tc>
        <w:tc>
          <w:tcPr>
            <w:tcW w:w="970" w:type="dxa"/>
            <w:vMerge w:val="continue"/>
            <w:vAlign w:val="center"/>
          </w:tcPr>
          <w:p w14:paraId="0E48B88B">
            <w:pPr>
              <w:jc w:val="center"/>
              <w:rPr>
                <w:rFonts w:hint="eastAsia" w:ascii="宋体" w:hAnsi="宋体" w:eastAsia="宋体"/>
                <w:sz w:val="20"/>
              </w:rPr>
            </w:pPr>
          </w:p>
        </w:tc>
        <w:tc>
          <w:tcPr>
            <w:tcW w:w="2457" w:type="dxa"/>
            <w:vAlign w:val="center"/>
          </w:tcPr>
          <w:p w14:paraId="16DC673E">
            <w:pPr>
              <w:jc w:val="center"/>
              <w:rPr>
                <w:rFonts w:hint="eastAsia" w:ascii="宋体" w:hAnsi="宋体" w:eastAsia="宋体"/>
                <w:sz w:val="20"/>
              </w:rPr>
            </w:pPr>
            <w:r>
              <w:rPr>
                <w:rFonts w:hint="eastAsia" w:ascii="宋体" w:hAnsi="宋体" w:eastAsia="宋体"/>
                <w:sz w:val="20"/>
              </w:rPr>
              <w:t>一键返航功能试验</w:t>
            </w:r>
          </w:p>
        </w:tc>
        <w:tc>
          <w:tcPr>
            <w:tcW w:w="917" w:type="dxa"/>
            <w:vAlign w:val="center"/>
          </w:tcPr>
          <w:p w14:paraId="20717896">
            <w:pPr>
              <w:jc w:val="center"/>
              <w:rPr>
                <w:rFonts w:hint="eastAsia" w:ascii="宋体" w:hAnsi="宋体" w:eastAsia="宋体"/>
                <w:sz w:val="20"/>
              </w:rPr>
            </w:pPr>
            <w:r>
              <w:rPr>
                <w:rFonts w:hint="eastAsia" w:ascii="宋体" w:hAnsi="宋体" w:eastAsia="宋体"/>
                <w:szCs w:val="21"/>
              </w:rPr>
              <w:t>6.3.8</w:t>
            </w:r>
          </w:p>
        </w:tc>
        <w:tc>
          <w:tcPr>
            <w:tcW w:w="960" w:type="dxa"/>
            <w:vAlign w:val="center"/>
          </w:tcPr>
          <w:p w14:paraId="3C2BDBC6">
            <w:pPr>
              <w:jc w:val="center"/>
              <w:rPr>
                <w:rFonts w:hint="eastAsia" w:ascii="宋体" w:hAnsi="宋体" w:eastAsia="宋体"/>
                <w:sz w:val="20"/>
              </w:rPr>
            </w:pPr>
            <w:r>
              <w:rPr>
                <w:rFonts w:hint="eastAsia" w:ascii="宋体" w:hAnsi="宋体" w:eastAsia="宋体"/>
                <w:sz w:val="16"/>
                <w:szCs w:val="16"/>
              </w:rPr>
              <w:t>●</w:t>
            </w:r>
          </w:p>
        </w:tc>
        <w:tc>
          <w:tcPr>
            <w:tcW w:w="845" w:type="dxa"/>
            <w:vAlign w:val="center"/>
          </w:tcPr>
          <w:p w14:paraId="799B0721">
            <w:pPr>
              <w:jc w:val="center"/>
              <w:rPr>
                <w:rFonts w:hint="eastAsia" w:ascii="宋体" w:hAnsi="宋体" w:eastAsia="宋体"/>
                <w:sz w:val="20"/>
              </w:rPr>
            </w:pPr>
            <w:r>
              <w:rPr>
                <w:rFonts w:hint="eastAsia" w:ascii="宋体" w:hAnsi="宋体" w:eastAsia="宋体"/>
                <w:sz w:val="16"/>
                <w:szCs w:val="16"/>
              </w:rPr>
              <w:t>●</w:t>
            </w:r>
          </w:p>
        </w:tc>
        <w:tc>
          <w:tcPr>
            <w:tcW w:w="880" w:type="dxa"/>
            <w:vAlign w:val="center"/>
          </w:tcPr>
          <w:p w14:paraId="4B6D72C6">
            <w:pPr>
              <w:jc w:val="center"/>
              <w:rPr>
                <w:rFonts w:hint="eastAsia" w:ascii="宋体" w:hAnsi="宋体" w:eastAsia="宋体"/>
                <w:sz w:val="16"/>
                <w:szCs w:val="16"/>
              </w:rPr>
            </w:pPr>
            <w:r>
              <w:rPr>
                <w:rFonts w:hint="eastAsia" w:ascii="宋体" w:hAnsi="宋体" w:eastAsia="宋体"/>
                <w:sz w:val="16"/>
                <w:szCs w:val="16"/>
              </w:rPr>
              <w:t>●</w:t>
            </w:r>
          </w:p>
        </w:tc>
        <w:tc>
          <w:tcPr>
            <w:tcW w:w="880" w:type="dxa"/>
            <w:vAlign w:val="center"/>
          </w:tcPr>
          <w:p w14:paraId="40D90473">
            <w:pPr>
              <w:jc w:val="center"/>
              <w:rPr>
                <w:rFonts w:hint="eastAsia" w:ascii="宋体" w:hAnsi="宋体" w:eastAsia="宋体"/>
                <w:sz w:val="16"/>
                <w:szCs w:val="16"/>
              </w:rPr>
            </w:pPr>
            <w:r>
              <w:rPr>
                <w:rFonts w:hint="eastAsia" w:ascii="宋体" w:hAnsi="宋体" w:eastAsia="宋体"/>
                <w:sz w:val="16"/>
                <w:szCs w:val="16"/>
              </w:rPr>
              <w:t>●</w:t>
            </w:r>
          </w:p>
        </w:tc>
        <w:tc>
          <w:tcPr>
            <w:tcW w:w="880" w:type="dxa"/>
            <w:vAlign w:val="center"/>
          </w:tcPr>
          <w:p w14:paraId="608C868B">
            <w:pPr>
              <w:jc w:val="center"/>
              <w:rPr>
                <w:rFonts w:hint="eastAsia" w:ascii="宋体" w:hAnsi="宋体" w:eastAsia="宋体"/>
                <w:sz w:val="16"/>
                <w:szCs w:val="16"/>
              </w:rPr>
            </w:pPr>
            <w:r>
              <w:rPr>
                <w:rFonts w:hint="eastAsia" w:ascii="宋体" w:hAnsi="宋体" w:eastAsia="宋体"/>
                <w:sz w:val="16"/>
                <w:szCs w:val="16"/>
              </w:rPr>
              <w:t>●</w:t>
            </w:r>
          </w:p>
        </w:tc>
      </w:tr>
      <w:tr w14:paraId="28D6F8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6" w:hRule="atLeast"/>
          <w:jc w:val="center"/>
        </w:trPr>
        <w:tc>
          <w:tcPr>
            <w:tcW w:w="558" w:type="dxa"/>
            <w:vMerge w:val="continue"/>
            <w:vAlign w:val="center"/>
          </w:tcPr>
          <w:p w14:paraId="7F614A68">
            <w:pPr>
              <w:jc w:val="center"/>
              <w:rPr>
                <w:rFonts w:hint="eastAsia" w:ascii="宋体" w:hAnsi="宋体" w:eastAsia="宋体"/>
                <w:sz w:val="20"/>
              </w:rPr>
            </w:pPr>
          </w:p>
        </w:tc>
        <w:tc>
          <w:tcPr>
            <w:tcW w:w="970" w:type="dxa"/>
            <w:vMerge w:val="continue"/>
            <w:vAlign w:val="center"/>
          </w:tcPr>
          <w:p w14:paraId="5270835F">
            <w:pPr>
              <w:jc w:val="center"/>
              <w:rPr>
                <w:rFonts w:hint="eastAsia" w:ascii="宋体" w:hAnsi="宋体" w:eastAsia="宋体"/>
                <w:sz w:val="20"/>
              </w:rPr>
            </w:pPr>
          </w:p>
        </w:tc>
        <w:tc>
          <w:tcPr>
            <w:tcW w:w="2457" w:type="dxa"/>
            <w:vAlign w:val="center"/>
          </w:tcPr>
          <w:p w14:paraId="416CBCA3">
            <w:pPr>
              <w:jc w:val="center"/>
              <w:rPr>
                <w:rFonts w:hint="eastAsia" w:ascii="宋体" w:hAnsi="宋体" w:eastAsia="宋体"/>
                <w:sz w:val="20"/>
              </w:rPr>
            </w:pPr>
            <w:r>
              <w:rPr>
                <w:rFonts w:hint="eastAsia" w:ascii="宋体" w:hAnsi="宋体" w:eastAsia="宋体"/>
                <w:sz w:val="20"/>
              </w:rPr>
              <w:t>链路中断返航功能试验</w:t>
            </w:r>
          </w:p>
        </w:tc>
        <w:tc>
          <w:tcPr>
            <w:tcW w:w="917" w:type="dxa"/>
            <w:vAlign w:val="center"/>
          </w:tcPr>
          <w:p w14:paraId="038D8CFD">
            <w:pPr>
              <w:jc w:val="center"/>
              <w:rPr>
                <w:rFonts w:hint="eastAsia" w:ascii="宋体" w:hAnsi="宋体" w:eastAsia="宋体"/>
                <w:sz w:val="20"/>
              </w:rPr>
            </w:pPr>
            <w:r>
              <w:rPr>
                <w:rFonts w:hint="eastAsia" w:ascii="宋体" w:hAnsi="宋体" w:eastAsia="宋体"/>
                <w:szCs w:val="21"/>
              </w:rPr>
              <w:t>6.3.9</w:t>
            </w:r>
          </w:p>
        </w:tc>
        <w:tc>
          <w:tcPr>
            <w:tcW w:w="960" w:type="dxa"/>
            <w:vAlign w:val="center"/>
          </w:tcPr>
          <w:p w14:paraId="68667C3B">
            <w:pPr>
              <w:jc w:val="center"/>
              <w:rPr>
                <w:rFonts w:hint="eastAsia" w:ascii="宋体" w:hAnsi="宋体" w:eastAsia="宋体"/>
                <w:sz w:val="20"/>
              </w:rPr>
            </w:pPr>
            <w:r>
              <w:rPr>
                <w:rFonts w:hint="eastAsia" w:ascii="宋体" w:hAnsi="宋体" w:eastAsia="宋体"/>
                <w:sz w:val="16"/>
                <w:szCs w:val="16"/>
              </w:rPr>
              <w:t>●</w:t>
            </w:r>
          </w:p>
        </w:tc>
        <w:tc>
          <w:tcPr>
            <w:tcW w:w="845" w:type="dxa"/>
            <w:vAlign w:val="center"/>
          </w:tcPr>
          <w:p w14:paraId="3EB8D7B9">
            <w:pPr>
              <w:jc w:val="center"/>
              <w:rPr>
                <w:rFonts w:hint="eastAsia" w:ascii="宋体" w:hAnsi="宋体" w:eastAsia="宋体"/>
                <w:sz w:val="20"/>
              </w:rPr>
            </w:pPr>
            <w:r>
              <w:rPr>
                <w:rFonts w:hint="eastAsia" w:ascii="宋体" w:hAnsi="宋体" w:eastAsia="宋体"/>
                <w:sz w:val="16"/>
                <w:szCs w:val="16"/>
              </w:rPr>
              <w:t>●</w:t>
            </w:r>
          </w:p>
        </w:tc>
        <w:tc>
          <w:tcPr>
            <w:tcW w:w="880" w:type="dxa"/>
            <w:vAlign w:val="center"/>
          </w:tcPr>
          <w:p w14:paraId="5438AA73">
            <w:pPr>
              <w:jc w:val="center"/>
              <w:rPr>
                <w:rFonts w:hint="eastAsia" w:ascii="宋体" w:hAnsi="宋体" w:eastAsia="宋体"/>
                <w:sz w:val="16"/>
                <w:szCs w:val="16"/>
              </w:rPr>
            </w:pPr>
            <w:r>
              <w:rPr>
                <w:rFonts w:hint="eastAsia" w:ascii="宋体" w:hAnsi="宋体" w:eastAsia="宋体"/>
                <w:sz w:val="16"/>
                <w:szCs w:val="16"/>
              </w:rPr>
              <w:t>●</w:t>
            </w:r>
          </w:p>
        </w:tc>
        <w:tc>
          <w:tcPr>
            <w:tcW w:w="880" w:type="dxa"/>
            <w:vAlign w:val="center"/>
          </w:tcPr>
          <w:p w14:paraId="1CEFDA3E">
            <w:pPr>
              <w:jc w:val="center"/>
              <w:rPr>
                <w:rFonts w:hint="eastAsia" w:ascii="宋体" w:hAnsi="宋体" w:eastAsia="宋体"/>
                <w:sz w:val="16"/>
                <w:szCs w:val="16"/>
              </w:rPr>
            </w:pPr>
            <w:r>
              <w:rPr>
                <w:rFonts w:hint="eastAsia" w:ascii="宋体" w:hAnsi="宋体" w:eastAsia="宋体"/>
                <w:sz w:val="16"/>
                <w:szCs w:val="16"/>
              </w:rPr>
              <w:t>●</w:t>
            </w:r>
          </w:p>
        </w:tc>
        <w:tc>
          <w:tcPr>
            <w:tcW w:w="880" w:type="dxa"/>
            <w:vAlign w:val="center"/>
          </w:tcPr>
          <w:p w14:paraId="3894358B">
            <w:pPr>
              <w:jc w:val="center"/>
              <w:rPr>
                <w:rFonts w:hint="eastAsia" w:ascii="宋体" w:hAnsi="宋体" w:eastAsia="宋体"/>
                <w:sz w:val="16"/>
                <w:szCs w:val="16"/>
              </w:rPr>
            </w:pPr>
            <w:r>
              <w:rPr>
                <w:rFonts w:hint="eastAsia" w:ascii="宋体" w:hAnsi="宋体" w:eastAsia="宋体"/>
                <w:sz w:val="16"/>
                <w:szCs w:val="16"/>
              </w:rPr>
              <w:t>●</w:t>
            </w:r>
          </w:p>
        </w:tc>
      </w:tr>
      <w:tr w14:paraId="0FC82E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6" w:hRule="atLeast"/>
          <w:jc w:val="center"/>
        </w:trPr>
        <w:tc>
          <w:tcPr>
            <w:tcW w:w="558" w:type="dxa"/>
            <w:vMerge w:val="continue"/>
            <w:vAlign w:val="center"/>
          </w:tcPr>
          <w:p w14:paraId="59F8D8C8">
            <w:pPr>
              <w:jc w:val="center"/>
              <w:rPr>
                <w:rFonts w:hint="eastAsia" w:ascii="宋体" w:hAnsi="宋体" w:eastAsia="宋体"/>
                <w:sz w:val="20"/>
              </w:rPr>
            </w:pPr>
          </w:p>
        </w:tc>
        <w:tc>
          <w:tcPr>
            <w:tcW w:w="970" w:type="dxa"/>
            <w:vMerge w:val="continue"/>
            <w:vAlign w:val="center"/>
          </w:tcPr>
          <w:p w14:paraId="3AA15A9B">
            <w:pPr>
              <w:jc w:val="center"/>
              <w:rPr>
                <w:rFonts w:hint="eastAsia" w:ascii="宋体" w:hAnsi="宋体" w:eastAsia="宋体"/>
                <w:sz w:val="20"/>
              </w:rPr>
            </w:pPr>
          </w:p>
        </w:tc>
        <w:tc>
          <w:tcPr>
            <w:tcW w:w="2457" w:type="dxa"/>
            <w:vAlign w:val="center"/>
          </w:tcPr>
          <w:p w14:paraId="5B1DC001">
            <w:pPr>
              <w:jc w:val="center"/>
              <w:rPr>
                <w:rFonts w:hint="eastAsia" w:ascii="宋体" w:hAnsi="宋体" w:eastAsia="宋体"/>
                <w:sz w:val="20"/>
              </w:rPr>
            </w:pPr>
            <w:r>
              <w:rPr>
                <w:rFonts w:hint="eastAsia" w:ascii="宋体" w:hAnsi="宋体" w:eastAsia="宋体"/>
                <w:sz w:val="20"/>
              </w:rPr>
              <w:t>飞行区域限制功能试验</w:t>
            </w:r>
          </w:p>
        </w:tc>
        <w:tc>
          <w:tcPr>
            <w:tcW w:w="917" w:type="dxa"/>
            <w:vAlign w:val="center"/>
          </w:tcPr>
          <w:p w14:paraId="1F5BBC15">
            <w:pPr>
              <w:jc w:val="center"/>
              <w:rPr>
                <w:rFonts w:hint="eastAsia" w:ascii="宋体" w:hAnsi="宋体" w:eastAsia="宋体"/>
                <w:sz w:val="20"/>
              </w:rPr>
            </w:pPr>
            <w:r>
              <w:rPr>
                <w:rFonts w:hint="eastAsia" w:ascii="宋体" w:hAnsi="宋体" w:eastAsia="宋体"/>
                <w:szCs w:val="21"/>
              </w:rPr>
              <w:t>6.3.10</w:t>
            </w:r>
          </w:p>
        </w:tc>
        <w:tc>
          <w:tcPr>
            <w:tcW w:w="960" w:type="dxa"/>
            <w:vAlign w:val="center"/>
          </w:tcPr>
          <w:p w14:paraId="1D4B43AE">
            <w:pPr>
              <w:jc w:val="center"/>
              <w:rPr>
                <w:rFonts w:hint="eastAsia" w:ascii="宋体" w:hAnsi="宋体" w:eastAsia="宋体"/>
                <w:sz w:val="20"/>
              </w:rPr>
            </w:pPr>
            <w:r>
              <w:rPr>
                <w:rFonts w:hint="eastAsia" w:ascii="宋体" w:hAnsi="宋体" w:eastAsia="宋体"/>
                <w:sz w:val="16"/>
                <w:szCs w:val="16"/>
              </w:rPr>
              <w:t>●</w:t>
            </w:r>
          </w:p>
        </w:tc>
        <w:tc>
          <w:tcPr>
            <w:tcW w:w="845" w:type="dxa"/>
            <w:vAlign w:val="center"/>
          </w:tcPr>
          <w:p w14:paraId="6B7019B7">
            <w:pPr>
              <w:jc w:val="center"/>
              <w:rPr>
                <w:rFonts w:hint="eastAsia" w:ascii="宋体" w:hAnsi="宋体" w:eastAsia="宋体"/>
                <w:sz w:val="20"/>
              </w:rPr>
            </w:pPr>
            <w:r>
              <w:rPr>
                <w:rFonts w:hint="eastAsia" w:ascii="宋体" w:hAnsi="宋体" w:eastAsia="宋体"/>
                <w:sz w:val="16"/>
                <w:szCs w:val="16"/>
              </w:rPr>
              <w:t>●</w:t>
            </w:r>
          </w:p>
        </w:tc>
        <w:tc>
          <w:tcPr>
            <w:tcW w:w="880" w:type="dxa"/>
            <w:vAlign w:val="center"/>
          </w:tcPr>
          <w:p w14:paraId="46976177">
            <w:pPr>
              <w:jc w:val="center"/>
              <w:rPr>
                <w:rFonts w:hint="eastAsia" w:ascii="宋体" w:hAnsi="宋体" w:eastAsia="宋体"/>
                <w:sz w:val="16"/>
                <w:szCs w:val="16"/>
              </w:rPr>
            </w:pPr>
            <w:r>
              <w:rPr>
                <w:rFonts w:hint="eastAsia" w:ascii="宋体" w:hAnsi="宋体" w:eastAsia="宋体"/>
                <w:sz w:val="16"/>
                <w:szCs w:val="16"/>
              </w:rPr>
              <w:t>●</w:t>
            </w:r>
          </w:p>
        </w:tc>
        <w:tc>
          <w:tcPr>
            <w:tcW w:w="880" w:type="dxa"/>
            <w:vAlign w:val="center"/>
          </w:tcPr>
          <w:p w14:paraId="3882DFEF">
            <w:pPr>
              <w:jc w:val="center"/>
              <w:rPr>
                <w:rFonts w:hint="eastAsia" w:ascii="宋体" w:hAnsi="宋体" w:eastAsia="宋体"/>
                <w:sz w:val="16"/>
                <w:szCs w:val="16"/>
              </w:rPr>
            </w:pPr>
            <w:r>
              <w:rPr>
                <w:rFonts w:hint="eastAsia" w:ascii="宋体" w:hAnsi="宋体" w:eastAsia="宋体"/>
                <w:sz w:val="16"/>
                <w:szCs w:val="16"/>
              </w:rPr>
              <w:t>●</w:t>
            </w:r>
          </w:p>
        </w:tc>
        <w:tc>
          <w:tcPr>
            <w:tcW w:w="880" w:type="dxa"/>
            <w:vAlign w:val="center"/>
          </w:tcPr>
          <w:p w14:paraId="0FD5952A">
            <w:pPr>
              <w:jc w:val="center"/>
              <w:rPr>
                <w:rFonts w:hint="eastAsia" w:ascii="宋体" w:hAnsi="宋体" w:eastAsia="宋体"/>
                <w:sz w:val="16"/>
                <w:szCs w:val="16"/>
              </w:rPr>
            </w:pPr>
            <w:r>
              <w:rPr>
                <w:rFonts w:hint="eastAsia" w:ascii="宋体" w:hAnsi="宋体" w:eastAsia="宋体"/>
                <w:sz w:val="16"/>
                <w:szCs w:val="16"/>
              </w:rPr>
              <w:t>●</w:t>
            </w:r>
          </w:p>
        </w:tc>
      </w:tr>
      <w:tr w14:paraId="27954C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1" w:hRule="atLeast"/>
          <w:jc w:val="center"/>
        </w:trPr>
        <w:tc>
          <w:tcPr>
            <w:tcW w:w="558" w:type="dxa"/>
            <w:vMerge w:val="continue"/>
            <w:vAlign w:val="center"/>
          </w:tcPr>
          <w:p w14:paraId="0DB5271B">
            <w:pPr>
              <w:jc w:val="center"/>
              <w:rPr>
                <w:rFonts w:hint="eastAsia" w:ascii="宋体" w:hAnsi="宋体" w:eastAsia="宋体"/>
                <w:sz w:val="20"/>
              </w:rPr>
            </w:pPr>
          </w:p>
        </w:tc>
        <w:tc>
          <w:tcPr>
            <w:tcW w:w="970" w:type="dxa"/>
            <w:vMerge w:val="continue"/>
            <w:vAlign w:val="center"/>
          </w:tcPr>
          <w:p w14:paraId="79A9FD9D">
            <w:pPr>
              <w:jc w:val="center"/>
              <w:rPr>
                <w:rFonts w:hint="eastAsia" w:ascii="宋体" w:hAnsi="宋体" w:eastAsia="宋体"/>
                <w:sz w:val="20"/>
              </w:rPr>
            </w:pPr>
          </w:p>
        </w:tc>
        <w:tc>
          <w:tcPr>
            <w:tcW w:w="2457" w:type="dxa"/>
            <w:vAlign w:val="center"/>
          </w:tcPr>
          <w:p w14:paraId="097362D4">
            <w:pPr>
              <w:jc w:val="center"/>
              <w:rPr>
                <w:rFonts w:hint="eastAsia" w:ascii="宋体" w:hAnsi="宋体" w:eastAsia="宋体"/>
                <w:sz w:val="20"/>
              </w:rPr>
            </w:pPr>
            <w:r>
              <w:rPr>
                <w:rFonts w:hint="eastAsia" w:ascii="宋体" w:hAnsi="宋体" w:eastAsia="宋体"/>
                <w:sz w:val="20"/>
              </w:rPr>
              <w:t>低电压报警功能试验</w:t>
            </w:r>
          </w:p>
        </w:tc>
        <w:tc>
          <w:tcPr>
            <w:tcW w:w="917" w:type="dxa"/>
            <w:vAlign w:val="center"/>
          </w:tcPr>
          <w:p w14:paraId="2AA31CFC">
            <w:pPr>
              <w:jc w:val="center"/>
              <w:rPr>
                <w:rFonts w:hint="eastAsia" w:ascii="宋体" w:hAnsi="宋体" w:eastAsia="宋体"/>
                <w:sz w:val="20"/>
              </w:rPr>
            </w:pPr>
            <w:r>
              <w:rPr>
                <w:rFonts w:hint="eastAsia" w:ascii="宋体" w:hAnsi="宋体" w:eastAsia="宋体"/>
                <w:szCs w:val="21"/>
              </w:rPr>
              <w:t>6.3.11</w:t>
            </w:r>
          </w:p>
        </w:tc>
        <w:tc>
          <w:tcPr>
            <w:tcW w:w="960" w:type="dxa"/>
            <w:vAlign w:val="center"/>
          </w:tcPr>
          <w:p w14:paraId="4E9BAB57">
            <w:pPr>
              <w:jc w:val="center"/>
              <w:rPr>
                <w:rFonts w:hint="eastAsia" w:ascii="宋体" w:hAnsi="宋体" w:eastAsia="宋体"/>
                <w:sz w:val="20"/>
              </w:rPr>
            </w:pPr>
            <w:r>
              <w:rPr>
                <w:rFonts w:hint="eastAsia" w:ascii="宋体" w:hAnsi="宋体" w:eastAsia="宋体"/>
                <w:sz w:val="16"/>
                <w:szCs w:val="16"/>
              </w:rPr>
              <w:t>●</w:t>
            </w:r>
          </w:p>
        </w:tc>
        <w:tc>
          <w:tcPr>
            <w:tcW w:w="845" w:type="dxa"/>
            <w:vAlign w:val="center"/>
          </w:tcPr>
          <w:p w14:paraId="4509007F">
            <w:pPr>
              <w:jc w:val="center"/>
              <w:rPr>
                <w:rFonts w:hint="eastAsia" w:ascii="宋体" w:hAnsi="宋体" w:eastAsia="宋体"/>
                <w:sz w:val="20"/>
              </w:rPr>
            </w:pPr>
            <w:r>
              <w:rPr>
                <w:rFonts w:hint="eastAsia" w:ascii="宋体" w:hAnsi="宋体" w:eastAsia="宋体"/>
                <w:sz w:val="16"/>
                <w:szCs w:val="16"/>
              </w:rPr>
              <w:t>●</w:t>
            </w:r>
          </w:p>
        </w:tc>
        <w:tc>
          <w:tcPr>
            <w:tcW w:w="880" w:type="dxa"/>
            <w:vAlign w:val="center"/>
          </w:tcPr>
          <w:p w14:paraId="0564E474">
            <w:pPr>
              <w:jc w:val="center"/>
              <w:rPr>
                <w:rFonts w:hint="eastAsia" w:ascii="宋体" w:hAnsi="宋体" w:eastAsia="宋体"/>
                <w:sz w:val="16"/>
                <w:szCs w:val="16"/>
              </w:rPr>
            </w:pPr>
            <w:r>
              <w:rPr>
                <w:rFonts w:hint="eastAsia" w:ascii="宋体" w:hAnsi="宋体" w:eastAsia="宋体"/>
                <w:sz w:val="16"/>
                <w:szCs w:val="16"/>
              </w:rPr>
              <w:t>●</w:t>
            </w:r>
          </w:p>
        </w:tc>
        <w:tc>
          <w:tcPr>
            <w:tcW w:w="880" w:type="dxa"/>
            <w:vAlign w:val="center"/>
          </w:tcPr>
          <w:p w14:paraId="0A9CE13A">
            <w:pPr>
              <w:jc w:val="center"/>
              <w:rPr>
                <w:rFonts w:hint="eastAsia" w:ascii="宋体" w:hAnsi="宋体" w:eastAsia="宋体"/>
                <w:sz w:val="16"/>
                <w:szCs w:val="16"/>
              </w:rPr>
            </w:pPr>
            <w:r>
              <w:rPr>
                <w:rFonts w:hint="eastAsia" w:ascii="宋体" w:hAnsi="宋体" w:eastAsia="宋体"/>
                <w:sz w:val="16"/>
                <w:szCs w:val="16"/>
              </w:rPr>
              <w:t>●</w:t>
            </w:r>
          </w:p>
        </w:tc>
        <w:tc>
          <w:tcPr>
            <w:tcW w:w="880" w:type="dxa"/>
            <w:vAlign w:val="center"/>
          </w:tcPr>
          <w:p w14:paraId="3F79328E">
            <w:pPr>
              <w:jc w:val="center"/>
              <w:rPr>
                <w:rFonts w:hint="eastAsia" w:ascii="宋体" w:hAnsi="宋体" w:eastAsia="宋体"/>
                <w:sz w:val="16"/>
                <w:szCs w:val="16"/>
              </w:rPr>
            </w:pPr>
            <w:r>
              <w:rPr>
                <w:rFonts w:hint="eastAsia" w:ascii="宋体" w:hAnsi="宋体" w:eastAsia="宋体"/>
                <w:sz w:val="16"/>
                <w:szCs w:val="16"/>
              </w:rPr>
              <w:t>●</w:t>
            </w:r>
          </w:p>
        </w:tc>
      </w:tr>
      <w:tr w14:paraId="0E7D7B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3" w:hRule="atLeast"/>
          <w:jc w:val="center"/>
        </w:trPr>
        <w:tc>
          <w:tcPr>
            <w:tcW w:w="558" w:type="dxa"/>
            <w:vMerge w:val="continue"/>
            <w:vAlign w:val="center"/>
          </w:tcPr>
          <w:p w14:paraId="259824FA">
            <w:pPr>
              <w:jc w:val="center"/>
              <w:rPr>
                <w:rFonts w:hint="eastAsia" w:ascii="宋体" w:hAnsi="宋体" w:eastAsia="宋体"/>
                <w:sz w:val="20"/>
              </w:rPr>
            </w:pPr>
          </w:p>
        </w:tc>
        <w:tc>
          <w:tcPr>
            <w:tcW w:w="970" w:type="dxa"/>
            <w:vMerge w:val="continue"/>
            <w:vAlign w:val="center"/>
          </w:tcPr>
          <w:p w14:paraId="58CF615C">
            <w:pPr>
              <w:jc w:val="center"/>
              <w:rPr>
                <w:rFonts w:hint="eastAsia" w:ascii="宋体" w:hAnsi="宋体" w:eastAsia="宋体"/>
                <w:sz w:val="20"/>
              </w:rPr>
            </w:pPr>
          </w:p>
        </w:tc>
        <w:tc>
          <w:tcPr>
            <w:tcW w:w="2457" w:type="dxa"/>
            <w:vAlign w:val="center"/>
          </w:tcPr>
          <w:p w14:paraId="26D6FEC2">
            <w:pPr>
              <w:jc w:val="center"/>
              <w:rPr>
                <w:rFonts w:hint="eastAsia" w:ascii="宋体" w:hAnsi="宋体" w:eastAsia="宋体"/>
                <w:sz w:val="20"/>
              </w:rPr>
            </w:pPr>
            <w:r>
              <w:rPr>
                <w:rFonts w:hint="eastAsia" w:ascii="宋体" w:hAnsi="宋体" w:eastAsia="宋体"/>
                <w:sz w:val="20"/>
              </w:rPr>
              <w:t>位置追踪功能试验</w:t>
            </w:r>
          </w:p>
        </w:tc>
        <w:tc>
          <w:tcPr>
            <w:tcW w:w="917" w:type="dxa"/>
            <w:vAlign w:val="center"/>
          </w:tcPr>
          <w:p w14:paraId="20F82761">
            <w:pPr>
              <w:jc w:val="center"/>
              <w:rPr>
                <w:rFonts w:hint="eastAsia" w:ascii="宋体" w:hAnsi="宋体" w:eastAsia="宋体"/>
                <w:sz w:val="20"/>
              </w:rPr>
            </w:pPr>
            <w:r>
              <w:rPr>
                <w:rFonts w:hint="eastAsia" w:ascii="宋体" w:hAnsi="宋体" w:eastAsia="宋体"/>
                <w:szCs w:val="21"/>
              </w:rPr>
              <w:t>6.3.12</w:t>
            </w:r>
          </w:p>
        </w:tc>
        <w:tc>
          <w:tcPr>
            <w:tcW w:w="960" w:type="dxa"/>
            <w:vAlign w:val="center"/>
          </w:tcPr>
          <w:p w14:paraId="6B0B71FA">
            <w:pPr>
              <w:jc w:val="center"/>
              <w:rPr>
                <w:rFonts w:hint="eastAsia" w:ascii="宋体" w:hAnsi="宋体" w:eastAsia="宋体"/>
                <w:sz w:val="20"/>
              </w:rPr>
            </w:pPr>
            <w:r>
              <w:rPr>
                <w:rFonts w:hint="eastAsia" w:ascii="宋体" w:hAnsi="宋体" w:eastAsia="宋体"/>
                <w:sz w:val="16"/>
                <w:szCs w:val="16"/>
              </w:rPr>
              <w:t>●</w:t>
            </w:r>
          </w:p>
        </w:tc>
        <w:tc>
          <w:tcPr>
            <w:tcW w:w="845" w:type="dxa"/>
            <w:vAlign w:val="center"/>
          </w:tcPr>
          <w:p w14:paraId="31207770">
            <w:pPr>
              <w:jc w:val="center"/>
              <w:rPr>
                <w:rFonts w:hint="eastAsia" w:ascii="宋体" w:hAnsi="宋体" w:eastAsia="宋体"/>
                <w:sz w:val="20"/>
              </w:rPr>
            </w:pPr>
            <w:r>
              <w:rPr>
                <w:rFonts w:hint="eastAsia" w:ascii="宋体" w:hAnsi="宋体" w:eastAsia="宋体"/>
                <w:sz w:val="16"/>
                <w:szCs w:val="16"/>
              </w:rPr>
              <w:t>●</w:t>
            </w:r>
          </w:p>
        </w:tc>
        <w:tc>
          <w:tcPr>
            <w:tcW w:w="880" w:type="dxa"/>
            <w:vAlign w:val="center"/>
          </w:tcPr>
          <w:p w14:paraId="4592C1A7">
            <w:pPr>
              <w:jc w:val="center"/>
              <w:rPr>
                <w:rFonts w:hint="eastAsia" w:ascii="宋体" w:hAnsi="宋体" w:eastAsia="宋体"/>
                <w:sz w:val="16"/>
                <w:szCs w:val="16"/>
              </w:rPr>
            </w:pPr>
            <w:r>
              <w:rPr>
                <w:rFonts w:hint="eastAsia" w:ascii="宋体" w:hAnsi="宋体" w:eastAsia="宋体"/>
                <w:sz w:val="16"/>
                <w:szCs w:val="16"/>
              </w:rPr>
              <w:t>●</w:t>
            </w:r>
          </w:p>
        </w:tc>
        <w:tc>
          <w:tcPr>
            <w:tcW w:w="880" w:type="dxa"/>
            <w:vAlign w:val="center"/>
          </w:tcPr>
          <w:p w14:paraId="2A1C05D3">
            <w:pPr>
              <w:jc w:val="center"/>
              <w:rPr>
                <w:rFonts w:hint="eastAsia" w:ascii="宋体" w:hAnsi="宋体" w:eastAsia="宋体"/>
                <w:sz w:val="16"/>
                <w:szCs w:val="16"/>
              </w:rPr>
            </w:pPr>
            <w:r>
              <w:rPr>
                <w:rFonts w:hint="eastAsia" w:ascii="宋体" w:hAnsi="宋体" w:eastAsia="宋体"/>
                <w:sz w:val="16"/>
                <w:szCs w:val="16"/>
              </w:rPr>
              <w:t>●</w:t>
            </w:r>
          </w:p>
        </w:tc>
        <w:tc>
          <w:tcPr>
            <w:tcW w:w="880" w:type="dxa"/>
            <w:vAlign w:val="center"/>
          </w:tcPr>
          <w:p w14:paraId="1018478C">
            <w:pPr>
              <w:jc w:val="center"/>
              <w:rPr>
                <w:rFonts w:hint="eastAsia" w:ascii="宋体" w:hAnsi="宋体" w:eastAsia="宋体"/>
                <w:sz w:val="16"/>
                <w:szCs w:val="16"/>
              </w:rPr>
            </w:pPr>
            <w:r>
              <w:rPr>
                <w:rFonts w:hint="eastAsia" w:ascii="宋体" w:hAnsi="宋体" w:eastAsia="宋体"/>
                <w:sz w:val="16"/>
                <w:szCs w:val="16"/>
              </w:rPr>
              <w:t>●</w:t>
            </w:r>
          </w:p>
        </w:tc>
      </w:tr>
      <w:tr w14:paraId="7F5DCD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3" w:hRule="atLeast"/>
          <w:jc w:val="center"/>
        </w:trPr>
        <w:tc>
          <w:tcPr>
            <w:tcW w:w="558" w:type="dxa"/>
            <w:vMerge w:val="continue"/>
            <w:vAlign w:val="center"/>
          </w:tcPr>
          <w:p w14:paraId="7F0385A5">
            <w:pPr>
              <w:jc w:val="center"/>
              <w:rPr>
                <w:rFonts w:hint="eastAsia" w:ascii="宋体" w:hAnsi="宋体" w:eastAsia="宋体"/>
                <w:sz w:val="20"/>
              </w:rPr>
            </w:pPr>
          </w:p>
        </w:tc>
        <w:tc>
          <w:tcPr>
            <w:tcW w:w="970" w:type="dxa"/>
            <w:vMerge w:val="continue"/>
            <w:vAlign w:val="center"/>
          </w:tcPr>
          <w:p w14:paraId="452AF5CA">
            <w:pPr>
              <w:jc w:val="center"/>
              <w:rPr>
                <w:rFonts w:hint="eastAsia" w:ascii="宋体" w:hAnsi="宋体" w:eastAsia="宋体"/>
                <w:sz w:val="20"/>
              </w:rPr>
            </w:pPr>
          </w:p>
        </w:tc>
        <w:tc>
          <w:tcPr>
            <w:tcW w:w="2457" w:type="dxa"/>
            <w:vAlign w:val="center"/>
          </w:tcPr>
          <w:p w14:paraId="1C242120">
            <w:pPr>
              <w:jc w:val="center"/>
              <w:rPr>
                <w:rFonts w:hint="eastAsia" w:ascii="宋体" w:hAnsi="宋体" w:eastAsia="宋体"/>
                <w:sz w:val="20"/>
              </w:rPr>
            </w:pPr>
            <w:r>
              <w:rPr>
                <w:rFonts w:hint="eastAsia" w:ascii="宋体" w:hAnsi="宋体" w:eastAsia="宋体"/>
                <w:sz w:val="20"/>
              </w:rPr>
              <w:t>拍照功能试验</w:t>
            </w:r>
          </w:p>
        </w:tc>
        <w:tc>
          <w:tcPr>
            <w:tcW w:w="917" w:type="dxa"/>
            <w:vAlign w:val="center"/>
          </w:tcPr>
          <w:p w14:paraId="31177AD4">
            <w:pPr>
              <w:jc w:val="center"/>
              <w:rPr>
                <w:rFonts w:hint="eastAsia" w:ascii="宋体" w:hAnsi="宋体" w:eastAsia="宋体"/>
                <w:sz w:val="20"/>
              </w:rPr>
            </w:pPr>
            <w:r>
              <w:rPr>
                <w:rFonts w:hint="eastAsia" w:ascii="宋体" w:hAnsi="宋体" w:eastAsia="宋体"/>
                <w:szCs w:val="21"/>
              </w:rPr>
              <w:t>6.3.13</w:t>
            </w:r>
          </w:p>
        </w:tc>
        <w:tc>
          <w:tcPr>
            <w:tcW w:w="960" w:type="dxa"/>
            <w:vAlign w:val="center"/>
          </w:tcPr>
          <w:p w14:paraId="6CCFE550">
            <w:pPr>
              <w:jc w:val="center"/>
              <w:rPr>
                <w:rFonts w:hint="eastAsia" w:ascii="宋体" w:hAnsi="宋体" w:eastAsia="宋体"/>
                <w:sz w:val="20"/>
              </w:rPr>
            </w:pPr>
            <w:r>
              <w:rPr>
                <w:rFonts w:hint="eastAsia" w:ascii="宋体" w:hAnsi="宋体" w:eastAsia="宋体"/>
                <w:sz w:val="16"/>
                <w:szCs w:val="16"/>
              </w:rPr>
              <w:t>●</w:t>
            </w:r>
          </w:p>
        </w:tc>
        <w:tc>
          <w:tcPr>
            <w:tcW w:w="845" w:type="dxa"/>
            <w:vAlign w:val="center"/>
          </w:tcPr>
          <w:p w14:paraId="7E9D2725">
            <w:pPr>
              <w:jc w:val="center"/>
              <w:rPr>
                <w:rFonts w:hint="eastAsia" w:ascii="宋体" w:hAnsi="宋体" w:eastAsia="宋体"/>
                <w:sz w:val="20"/>
              </w:rPr>
            </w:pPr>
            <w:r>
              <w:rPr>
                <w:rFonts w:hint="eastAsia" w:ascii="宋体" w:hAnsi="宋体" w:eastAsia="宋体"/>
                <w:b/>
                <w:sz w:val="16"/>
                <w:szCs w:val="16"/>
              </w:rPr>
              <w:t>○</w:t>
            </w:r>
          </w:p>
        </w:tc>
        <w:tc>
          <w:tcPr>
            <w:tcW w:w="880" w:type="dxa"/>
            <w:vAlign w:val="center"/>
          </w:tcPr>
          <w:p w14:paraId="6DF3A4A9">
            <w:pPr>
              <w:jc w:val="center"/>
              <w:rPr>
                <w:rFonts w:hint="eastAsia" w:ascii="宋体" w:hAnsi="宋体" w:eastAsia="宋体"/>
                <w:sz w:val="16"/>
                <w:szCs w:val="16"/>
              </w:rPr>
            </w:pPr>
            <w:r>
              <w:rPr>
                <w:rFonts w:hint="eastAsia" w:ascii="宋体" w:hAnsi="宋体" w:eastAsia="宋体"/>
                <w:sz w:val="16"/>
                <w:szCs w:val="16"/>
              </w:rPr>
              <w:t>●</w:t>
            </w:r>
          </w:p>
        </w:tc>
        <w:tc>
          <w:tcPr>
            <w:tcW w:w="880" w:type="dxa"/>
            <w:vAlign w:val="center"/>
          </w:tcPr>
          <w:p w14:paraId="3700C8BA">
            <w:pPr>
              <w:jc w:val="center"/>
              <w:rPr>
                <w:rFonts w:hint="eastAsia" w:ascii="宋体" w:hAnsi="宋体" w:eastAsia="宋体"/>
                <w:sz w:val="16"/>
                <w:szCs w:val="16"/>
              </w:rPr>
            </w:pPr>
            <w:r>
              <w:rPr>
                <w:rFonts w:hint="eastAsia" w:ascii="宋体" w:hAnsi="宋体" w:eastAsia="宋体"/>
                <w:sz w:val="16"/>
                <w:szCs w:val="16"/>
              </w:rPr>
              <w:t>●</w:t>
            </w:r>
          </w:p>
        </w:tc>
        <w:tc>
          <w:tcPr>
            <w:tcW w:w="880" w:type="dxa"/>
            <w:vAlign w:val="center"/>
          </w:tcPr>
          <w:p w14:paraId="34215F9D">
            <w:pPr>
              <w:jc w:val="center"/>
              <w:rPr>
                <w:rFonts w:hint="eastAsia" w:ascii="宋体" w:hAnsi="宋体" w:eastAsia="宋体"/>
                <w:sz w:val="16"/>
                <w:szCs w:val="16"/>
              </w:rPr>
            </w:pPr>
            <w:r>
              <w:rPr>
                <w:rFonts w:hint="eastAsia" w:ascii="宋体" w:hAnsi="宋体" w:eastAsia="宋体"/>
                <w:sz w:val="16"/>
                <w:szCs w:val="16"/>
              </w:rPr>
              <w:t>●</w:t>
            </w:r>
          </w:p>
        </w:tc>
      </w:tr>
      <w:tr w14:paraId="610E48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3" w:hRule="atLeast"/>
          <w:jc w:val="center"/>
        </w:trPr>
        <w:tc>
          <w:tcPr>
            <w:tcW w:w="558" w:type="dxa"/>
            <w:vMerge w:val="continue"/>
            <w:vAlign w:val="center"/>
          </w:tcPr>
          <w:p w14:paraId="4CB19FF0">
            <w:pPr>
              <w:jc w:val="center"/>
              <w:rPr>
                <w:rFonts w:hint="eastAsia" w:ascii="宋体" w:hAnsi="宋体" w:eastAsia="宋体"/>
                <w:sz w:val="20"/>
              </w:rPr>
            </w:pPr>
          </w:p>
        </w:tc>
        <w:tc>
          <w:tcPr>
            <w:tcW w:w="970" w:type="dxa"/>
            <w:vMerge w:val="continue"/>
            <w:vAlign w:val="center"/>
          </w:tcPr>
          <w:p w14:paraId="5551A5DC">
            <w:pPr>
              <w:jc w:val="center"/>
              <w:rPr>
                <w:rFonts w:hint="eastAsia" w:ascii="宋体" w:hAnsi="宋体" w:eastAsia="宋体"/>
                <w:sz w:val="20"/>
              </w:rPr>
            </w:pPr>
          </w:p>
        </w:tc>
        <w:tc>
          <w:tcPr>
            <w:tcW w:w="2457" w:type="dxa"/>
            <w:vAlign w:val="center"/>
          </w:tcPr>
          <w:p w14:paraId="3854C370">
            <w:pPr>
              <w:jc w:val="center"/>
              <w:rPr>
                <w:rFonts w:hint="eastAsia" w:ascii="宋体" w:hAnsi="宋体" w:eastAsia="宋体"/>
                <w:sz w:val="20"/>
              </w:rPr>
            </w:pPr>
            <w:r>
              <w:rPr>
                <w:rFonts w:ascii="宋体" w:hAnsi="宋体" w:eastAsia="宋体"/>
                <w:sz w:val="20"/>
              </w:rPr>
              <w:t>除障装置（剪切）功能试验</w:t>
            </w:r>
          </w:p>
        </w:tc>
        <w:tc>
          <w:tcPr>
            <w:tcW w:w="917" w:type="dxa"/>
            <w:vAlign w:val="center"/>
          </w:tcPr>
          <w:p w14:paraId="26DA635A">
            <w:pPr>
              <w:jc w:val="center"/>
              <w:rPr>
                <w:rFonts w:hint="eastAsia" w:ascii="宋体" w:hAnsi="宋体" w:eastAsia="宋体"/>
                <w:sz w:val="20"/>
              </w:rPr>
            </w:pPr>
            <w:r>
              <w:rPr>
                <w:rFonts w:hint="eastAsia" w:ascii="宋体" w:hAnsi="宋体" w:eastAsia="宋体"/>
                <w:szCs w:val="21"/>
              </w:rPr>
              <w:t>6.3.14</w:t>
            </w:r>
          </w:p>
        </w:tc>
        <w:tc>
          <w:tcPr>
            <w:tcW w:w="960" w:type="dxa"/>
            <w:vAlign w:val="center"/>
          </w:tcPr>
          <w:p w14:paraId="232227FF">
            <w:pPr>
              <w:jc w:val="center"/>
              <w:rPr>
                <w:rFonts w:hint="eastAsia" w:ascii="宋体" w:hAnsi="宋体" w:eastAsia="宋体"/>
                <w:sz w:val="20"/>
              </w:rPr>
            </w:pPr>
            <w:r>
              <w:rPr>
                <w:rFonts w:hint="eastAsia" w:ascii="宋体" w:hAnsi="宋体" w:eastAsia="宋体"/>
                <w:sz w:val="16"/>
                <w:szCs w:val="16"/>
              </w:rPr>
              <w:t>●</w:t>
            </w:r>
          </w:p>
        </w:tc>
        <w:tc>
          <w:tcPr>
            <w:tcW w:w="845" w:type="dxa"/>
            <w:vAlign w:val="center"/>
          </w:tcPr>
          <w:p w14:paraId="7065333B">
            <w:pPr>
              <w:jc w:val="center"/>
              <w:rPr>
                <w:rFonts w:hint="eastAsia" w:ascii="宋体" w:hAnsi="宋体" w:eastAsia="宋体"/>
                <w:sz w:val="20"/>
              </w:rPr>
            </w:pPr>
            <w:r>
              <w:rPr>
                <w:rFonts w:hint="eastAsia" w:ascii="宋体" w:hAnsi="宋体" w:eastAsia="宋体"/>
                <w:b/>
                <w:sz w:val="16"/>
                <w:szCs w:val="16"/>
              </w:rPr>
              <w:t>○</w:t>
            </w:r>
          </w:p>
        </w:tc>
        <w:tc>
          <w:tcPr>
            <w:tcW w:w="880" w:type="dxa"/>
            <w:vAlign w:val="center"/>
          </w:tcPr>
          <w:p w14:paraId="756B5737">
            <w:pPr>
              <w:jc w:val="center"/>
              <w:rPr>
                <w:rFonts w:hint="eastAsia" w:ascii="宋体" w:hAnsi="宋体" w:eastAsia="宋体"/>
                <w:sz w:val="16"/>
                <w:szCs w:val="16"/>
              </w:rPr>
            </w:pPr>
            <w:r>
              <w:rPr>
                <w:rFonts w:hint="eastAsia" w:ascii="宋体" w:hAnsi="宋体" w:eastAsia="宋体"/>
                <w:sz w:val="16"/>
                <w:szCs w:val="16"/>
              </w:rPr>
              <w:t>●</w:t>
            </w:r>
          </w:p>
        </w:tc>
        <w:tc>
          <w:tcPr>
            <w:tcW w:w="880" w:type="dxa"/>
            <w:vAlign w:val="center"/>
          </w:tcPr>
          <w:p w14:paraId="31FDD1B1">
            <w:pPr>
              <w:jc w:val="center"/>
              <w:rPr>
                <w:rFonts w:hint="eastAsia" w:ascii="宋体" w:hAnsi="宋体" w:eastAsia="宋体"/>
                <w:sz w:val="16"/>
                <w:szCs w:val="16"/>
              </w:rPr>
            </w:pPr>
            <w:r>
              <w:rPr>
                <w:rFonts w:hint="eastAsia" w:ascii="宋体" w:hAnsi="宋体" w:eastAsia="宋体"/>
                <w:sz w:val="16"/>
                <w:szCs w:val="16"/>
              </w:rPr>
              <w:t>●</w:t>
            </w:r>
          </w:p>
        </w:tc>
        <w:tc>
          <w:tcPr>
            <w:tcW w:w="880" w:type="dxa"/>
            <w:vAlign w:val="center"/>
          </w:tcPr>
          <w:p w14:paraId="71623EC0">
            <w:pPr>
              <w:jc w:val="center"/>
              <w:rPr>
                <w:rFonts w:hint="eastAsia" w:ascii="宋体" w:hAnsi="宋体" w:eastAsia="宋体"/>
                <w:sz w:val="16"/>
                <w:szCs w:val="16"/>
              </w:rPr>
            </w:pPr>
            <w:r>
              <w:rPr>
                <w:rFonts w:hint="eastAsia" w:ascii="宋体" w:hAnsi="宋体" w:eastAsia="宋体"/>
                <w:sz w:val="16"/>
                <w:szCs w:val="16"/>
              </w:rPr>
              <w:t>●</w:t>
            </w:r>
          </w:p>
        </w:tc>
      </w:tr>
      <w:tr w14:paraId="3C495B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8" w:hRule="atLeast"/>
          <w:jc w:val="center"/>
        </w:trPr>
        <w:tc>
          <w:tcPr>
            <w:tcW w:w="558" w:type="dxa"/>
            <w:vMerge w:val="continue"/>
            <w:vAlign w:val="center"/>
          </w:tcPr>
          <w:p w14:paraId="7C034747">
            <w:pPr>
              <w:jc w:val="center"/>
              <w:rPr>
                <w:rFonts w:hint="eastAsia" w:ascii="宋体" w:hAnsi="宋体" w:eastAsia="宋体"/>
                <w:sz w:val="20"/>
              </w:rPr>
            </w:pPr>
          </w:p>
        </w:tc>
        <w:tc>
          <w:tcPr>
            <w:tcW w:w="970" w:type="dxa"/>
            <w:vMerge w:val="continue"/>
            <w:vAlign w:val="center"/>
          </w:tcPr>
          <w:p w14:paraId="24D2761E">
            <w:pPr>
              <w:jc w:val="center"/>
              <w:rPr>
                <w:rFonts w:hint="eastAsia" w:ascii="宋体" w:hAnsi="宋体" w:eastAsia="宋体"/>
                <w:sz w:val="20"/>
              </w:rPr>
            </w:pPr>
          </w:p>
        </w:tc>
        <w:tc>
          <w:tcPr>
            <w:tcW w:w="2457" w:type="dxa"/>
            <w:vAlign w:val="center"/>
          </w:tcPr>
          <w:p w14:paraId="390A122C">
            <w:pPr>
              <w:jc w:val="center"/>
              <w:rPr>
                <w:rFonts w:hint="eastAsia" w:ascii="宋体" w:hAnsi="宋体" w:eastAsia="宋体"/>
                <w:sz w:val="20"/>
              </w:rPr>
            </w:pPr>
            <w:r>
              <w:rPr>
                <w:rFonts w:ascii="宋体" w:hAnsi="宋体" w:eastAsia="宋体"/>
                <w:sz w:val="20"/>
              </w:rPr>
              <w:t>转动功能试验</w:t>
            </w:r>
          </w:p>
        </w:tc>
        <w:tc>
          <w:tcPr>
            <w:tcW w:w="917" w:type="dxa"/>
            <w:vAlign w:val="center"/>
          </w:tcPr>
          <w:p w14:paraId="52680171">
            <w:pPr>
              <w:jc w:val="center"/>
              <w:rPr>
                <w:rFonts w:hint="eastAsia" w:ascii="宋体" w:hAnsi="宋体" w:eastAsia="宋体"/>
                <w:sz w:val="20"/>
              </w:rPr>
            </w:pPr>
            <w:r>
              <w:rPr>
                <w:rFonts w:hint="eastAsia" w:ascii="宋体" w:hAnsi="宋体" w:eastAsia="宋体"/>
                <w:szCs w:val="21"/>
              </w:rPr>
              <w:t>6.3.15</w:t>
            </w:r>
          </w:p>
        </w:tc>
        <w:tc>
          <w:tcPr>
            <w:tcW w:w="960" w:type="dxa"/>
            <w:vAlign w:val="center"/>
          </w:tcPr>
          <w:p w14:paraId="7B0C359F">
            <w:pPr>
              <w:jc w:val="center"/>
              <w:rPr>
                <w:rFonts w:hint="eastAsia" w:ascii="宋体" w:hAnsi="宋体" w:eastAsia="宋体"/>
                <w:sz w:val="20"/>
              </w:rPr>
            </w:pPr>
            <w:r>
              <w:rPr>
                <w:rFonts w:hint="eastAsia" w:ascii="宋体" w:hAnsi="宋体" w:eastAsia="宋体"/>
                <w:sz w:val="16"/>
                <w:szCs w:val="16"/>
              </w:rPr>
              <w:t>●</w:t>
            </w:r>
          </w:p>
        </w:tc>
        <w:tc>
          <w:tcPr>
            <w:tcW w:w="845" w:type="dxa"/>
            <w:vAlign w:val="center"/>
          </w:tcPr>
          <w:p w14:paraId="1E721258">
            <w:pPr>
              <w:jc w:val="center"/>
              <w:rPr>
                <w:rFonts w:hint="eastAsia" w:ascii="宋体" w:hAnsi="宋体" w:eastAsia="宋体"/>
                <w:sz w:val="20"/>
              </w:rPr>
            </w:pPr>
            <w:r>
              <w:rPr>
                <w:rFonts w:hint="eastAsia" w:ascii="宋体" w:hAnsi="宋体" w:eastAsia="宋体"/>
                <w:b/>
                <w:sz w:val="16"/>
                <w:szCs w:val="16"/>
              </w:rPr>
              <w:t>○</w:t>
            </w:r>
          </w:p>
        </w:tc>
        <w:tc>
          <w:tcPr>
            <w:tcW w:w="880" w:type="dxa"/>
            <w:vAlign w:val="center"/>
          </w:tcPr>
          <w:p w14:paraId="19367DEE">
            <w:pPr>
              <w:jc w:val="center"/>
              <w:rPr>
                <w:rFonts w:hint="eastAsia" w:ascii="宋体" w:hAnsi="宋体" w:eastAsia="宋体"/>
                <w:sz w:val="16"/>
                <w:szCs w:val="16"/>
              </w:rPr>
            </w:pPr>
            <w:r>
              <w:rPr>
                <w:rFonts w:hint="eastAsia" w:ascii="宋体" w:hAnsi="宋体" w:eastAsia="宋体"/>
                <w:sz w:val="16"/>
                <w:szCs w:val="16"/>
              </w:rPr>
              <w:t>●</w:t>
            </w:r>
          </w:p>
        </w:tc>
        <w:tc>
          <w:tcPr>
            <w:tcW w:w="880" w:type="dxa"/>
            <w:vAlign w:val="center"/>
          </w:tcPr>
          <w:p w14:paraId="5A89E3A2">
            <w:pPr>
              <w:jc w:val="center"/>
              <w:rPr>
                <w:rFonts w:hint="eastAsia" w:ascii="宋体" w:hAnsi="宋体" w:eastAsia="宋体"/>
                <w:sz w:val="16"/>
                <w:szCs w:val="16"/>
              </w:rPr>
            </w:pPr>
            <w:r>
              <w:rPr>
                <w:rFonts w:hint="eastAsia" w:ascii="宋体" w:hAnsi="宋体" w:eastAsia="宋体"/>
                <w:sz w:val="16"/>
                <w:szCs w:val="16"/>
              </w:rPr>
              <w:t>●</w:t>
            </w:r>
          </w:p>
        </w:tc>
        <w:tc>
          <w:tcPr>
            <w:tcW w:w="880" w:type="dxa"/>
            <w:vAlign w:val="center"/>
          </w:tcPr>
          <w:p w14:paraId="76EEA553">
            <w:pPr>
              <w:jc w:val="center"/>
              <w:rPr>
                <w:rFonts w:hint="eastAsia" w:ascii="宋体" w:hAnsi="宋体" w:eastAsia="宋体"/>
                <w:sz w:val="16"/>
                <w:szCs w:val="16"/>
              </w:rPr>
            </w:pPr>
            <w:r>
              <w:rPr>
                <w:rFonts w:hint="eastAsia" w:ascii="宋体" w:hAnsi="宋体" w:eastAsia="宋体"/>
                <w:sz w:val="16"/>
                <w:szCs w:val="16"/>
              </w:rPr>
              <w:t>●</w:t>
            </w:r>
          </w:p>
        </w:tc>
      </w:tr>
      <w:tr w14:paraId="66646A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1" w:hRule="atLeast"/>
          <w:jc w:val="center"/>
        </w:trPr>
        <w:tc>
          <w:tcPr>
            <w:tcW w:w="558" w:type="dxa"/>
            <w:vMerge w:val="continue"/>
            <w:vAlign w:val="center"/>
          </w:tcPr>
          <w:p w14:paraId="65459BF2">
            <w:pPr>
              <w:jc w:val="center"/>
              <w:rPr>
                <w:rFonts w:hint="eastAsia" w:ascii="宋体" w:hAnsi="宋体" w:eastAsia="宋体"/>
                <w:sz w:val="20"/>
              </w:rPr>
            </w:pPr>
          </w:p>
        </w:tc>
        <w:tc>
          <w:tcPr>
            <w:tcW w:w="970" w:type="dxa"/>
            <w:vMerge w:val="continue"/>
            <w:vAlign w:val="center"/>
          </w:tcPr>
          <w:p w14:paraId="3A7C7EF6">
            <w:pPr>
              <w:jc w:val="center"/>
              <w:rPr>
                <w:rFonts w:hint="eastAsia" w:ascii="宋体" w:hAnsi="宋体" w:eastAsia="宋体"/>
                <w:sz w:val="20"/>
              </w:rPr>
            </w:pPr>
          </w:p>
        </w:tc>
        <w:tc>
          <w:tcPr>
            <w:tcW w:w="2457" w:type="dxa"/>
            <w:vAlign w:val="center"/>
          </w:tcPr>
          <w:p w14:paraId="551F7A5C">
            <w:pPr>
              <w:jc w:val="center"/>
              <w:rPr>
                <w:rFonts w:hint="eastAsia" w:ascii="宋体" w:hAnsi="宋体" w:eastAsia="宋体"/>
                <w:sz w:val="20"/>
              </w:rPr>
            </w:pPr>
            <w:r>
              <w:rPr>
                <w:rFonts w:hint="eastAsia" w:ascii="宋体" w:hAnsi="宋体" w:eastAsia="宋体"/>
                <w:sz w:val="20"/>
              </w:rPr>
              <w:t>稳像精度试验</w:t>
            </w:r>
          </w:p>
        </w:tc>
        <w:tc>
          <w:tcPr>
            <w:tcW w:w="917" w:type="dxa"/>
            <w:vAlign w:val="center"/>
          </w:tcPr>
          <w:p w14:paraId="33A5F0D7">
            <w:pPr>
              <w:jc w:val="center"/>
              <w:rPr>
                <w:rFonts w:hint="eastAsia" w:ascii="宋体" w:hAnsi="宋体" w:eastAsia="宋体"/>
                <w:sz w:val="20"/>
              </w:rPr>
            </w:pPr>
            <w:r>
              <w:rPr>
                <w:rFonts w:hint="eastAsia" w:ascii="宋体" w:hAnsi="宋体" w:eastAsia="宋体"/>
                <w:szCs w:val="21"/>
              </w:rPr>
              <w:t>6.3.16</w:t>
            </w:r>
          </w:p>
        </w:tc>
        <w:tc>
          <w:tcPr>
            <w:tcW w:w="960" w:type="dxa"/>
            <w:vAlign w:val="center"/>
          </w:tcPr>
          <w:p w14:paraId="001544A5">
            <w:pPr>
              <w:jc w:val="center"/>
              <w:rPr>
                <w:rFonts w:hint="eastAsia" w:ascii="宋体" w:hAnsi="宋体" w:eastAsia="宋体"/>
                <w:sz w:val="20"/>
              </w:rPr>
            </w:pPr>
            <w:r>
              <w:rPr>
                <w:rFonts w:hint="eastAsia" w:ascii="宋体" w:hAnsi="宋体" w:eastAsia="宋体"/>
                <w:sz w:val="16"/>
                <w:szCs w:val="16"/>
              </w:rPr>
              <w:t>●</w:t>
            </w:r>
          </w:p>
        </w:tc>
        <w:tc>
          <w:tcPr>
            <w:tcW w:w="845" w:type="dxa"/>
            <w:vAlign w:val="center"/>
          </w:tcPr>
          <w:p w14:paraId="4AF72DEE">
            <w:pPr>
              <w:jc w:val="center"/>
              <w:rPr>
                <w:rFonts w:hint="eastAsia" w:ascii="宋体" w:hAnsi="宋体" w:eastAsia="宋体"/>
                <w:sz w:val="20"/>
              </w:rPr>
            </w:pPr>
            <w:r>
              <w:rPr>
                <w:rFonts w:hint="eastAsia" w:ascii="宋体" w:hAnsi="宋体" w:eastAsia="宋体"/>
                <w:b/>
                <w:sz w:val="16"/>
                <w:szCs w:val="16"/>
              </w:rPr>
              <w:t>○</w:t>
            </w:r>
          </w:p>
        </w:tc>
        <w:tc>
          <w:tcPr>
            <w:tcW w:w="880" w:type="dxa"/>
            <w:vAlign w:val="center"/>
          </w:tcPr>
          <w:p w14:paraId="07A9E1F3">
            <w:pPr>
              <w:jc w:val="center"/>
              <w:rPr>
                <w:rFonts w:hint="eastAsia" w:ascii="宋体" w:hAnsi="宋体" w:eastAsia="宋体"/>
                <w:sz w:val="16"/>
                <w:szCs w:val="16"/>
              </w:rPr>
            </w:pPr>
            <w:r>
              <w:rPr>
                <w:rFonts w:hint="eastAsia" w:ascii="宋体" w:hAnsi="宋体" w:eastAsia="宋体"/>
                <w:sz w:val="16"/>
                <w:szCs w:val="16"/>
              </w:rPr>
              <w:t>●</w:t>
            </w:r>
          </w:p>
        </w:tc>
        <w:tc>
          <w:tcPr>
            <w:tcW w:w="880" w:type="dxa"/>
            <w:vAlign w:val="center"/>
          </w:tcPr>
          <w:p w14:paraId="1B4DEA44">
            <w:pPr>
              <w:jc w:val="center"/>
              <w:rPr>
                <w:rFonts w:hint="eastAsia" w:ascii="宋体" w:hAnsi="宋体" w:eastAsia="宋体"/>
                <w:sz w:val="16"/>
                <w:szCs w:val="16"/>
              </w:rPr>
            </w:pPr>
            <w:r>
              <w:rPr>
                <w:rFonts w:hint="eastAsia" w:ascii="宋体" w:hAnsi="宋体" w:eastAsia="宋体"/>
                <w:sz w:val="16"/>
                <w:szCs w:val="16"/>
              </w:rPr>
              <w:t>●</w:t>
            </w:r>
          </w:p>
        </w:tc>
        <w:tc>
          <w:tcPr>
            <w:tcW w:w="880" w:type="dxa"/>
            <w:vAlign w:val="center"/>
          </w:tcPr>
          <w:p w14:paraId="1720F504">
            <w:pPr>
              <w:jc w:val="center"/>
              <w:rPr>
                <w:rFonts w:hint="eastAsia" w:ascii="宋体" w:hAnsi="宋体" w:eastAsia="宋体"/>
                <w:sz w:val="16"/>
                <w:szCs w:val="16"/>
              </w:rPr>
            </w:pPr>
            <w:r>
              <w:rPr>
                <w:rFonts w:hint="eastAsia" w:ascii="宋体" w:hAnsi="宋体" w:eastAsia="宋体"/>
                <w:sz w:val="16"/>
                <w:szCs w:val="16"/>
              </w:rPr>
              <w:t>●</w:t>
            </w:r>
          </w:p>
        </w:tc>
      </w:tr>
      <w:tr w14:paraId="6D4906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1" w:hRule="atLeast"/>
          <w:jc w:val="center"/>
        </w:trPr>
        <w:tc>
          <w:tcPr>
            <w:tcW w:w="558" w:type="dxa"/>
            <w:vMerge w:val="continue"/>
            <w:vAlign w:val="center"/>
          </w:tcPr>
          <w:p w14:paraId="35612358">
            <w:pPr>
              <w:jc w:val="center"/>
              <w:rPr>
                <w:rFonts w:hint="eastAsia" w:ascii="宋体" w:hAnsi="宋体" w:eastAsia="宋体"/>
                <w:sz w:val="20"/>
              </w:rPr>
            </w:pPr>
          </w:p>
        </w:tc>
        <w:tc>
          <w:tcPr>
            <w:tcW w:w="970" w:type="dxa"/>
            <w:vMerge w:val="continue"/>
            <w:vAlign w:val="center"/>
          </w:tcPr>
          <w:p w14:paraId="6A95B2A5">
            <w:pPr>
              <w:jc w:val="center"/>
              <w:rPr>
                <w:rFonts w:hint="eastAsia" w:ascii="宋体" w:hAnsi="宋体" w:eastAsia="宋体"/>
                <w:sz w:val="20"/>
              </w:rPr>
            </w:pPr>
          </w:p>
        </w:tc>
        <w:tc>
          <w:tcPr>
            <w:tcW w:w="2457" w:type="dxa"/>
            <w:vAlign w:val="center"/>
          </w:tcPr>
          <w:p w14:paraId="0BF34F51">
            <w:pPr>
              <w:jc w:val="center"/>
              <w:rPr>
                <w:rFonts w:hint="eastAsia" w:ascii="宋体" w:hAnsi="宋体" w:eastAsia="宋体"/>
                <w:sz w:val="20"/>
              </w:rPr>
            </w:pPr>
            <w:r>
              <w:rPr>
                <w:rFonts w:hint="eastAsia" w:ascii="宋体" w:hAnsi="宋体" w:eastAsia="宋体"/>
                <w:sz w:val="20"/>
              </w:rPr>
              <w:t>可见光成像性能试验</w:t>
            </w:r>
          </w:p>
        </w:tc>
        <w:tc>
          <w:tcPr>
            <w:tcW w:w="917" w:type="dxa"/>
            <w:vAlign w:val="center"/>
          </w:tcPr>
          <w:p w14:paraId="10369512">
            <w:pPr>
              <w:jc w:val="center"/>
              <w:rPr>
                <w:rFonts w:hint="eastAsia" w:ascii="宋体" w:hAnsi="宋体" w:eastAsia="宋体"/>
                <w:szCs w:val="21"/>
              </w:rPr>
            </w:pPr>
            <w:r>
              <w:rPr>
                <w:rFonts w:hint="eastAsia" w:ascii="宋体" w:hAnsi="宋体" w:eastAsia="宋体"/>
                <w:szCs w:val="21"/>
              </w:rPr>
              <w:t>6.3.17</w:t>
            </w:r>
          </w:p>
        </w:tc>
        <w:tc>
          <w:tcPr>
            <w:tcW w:w="960" w:type="dxa"/>
            <w:vAlign w:val="center"/>
          </w:tcPr>
          <w:p w14:paraId="19018153">
            <w:pPr>
              <w:jc w:val="center"/>
              <w:rPr>
                <w:rFonts w:hint="eastAsia" w:ascii="宋体" w:hAnsi="宋体" w:eastAsia="宋体"/>
                <w:sz w:val="20"/>
              </w:rPr>
            </w:pPr>
            <w:r>
              <w:rPr>
                <w:rFonts w:hint="eastAsia" w:ascii="宋体" w:hAnsi="宋体" w:eastAsia="宋体"/>
                <w:sz w:val="16"/>
                <w:szCs w:val="16"/>
              </w:rPr>
              <w:t>●</w:t>
            </w:r>
          </w:p>
        </w:tc>
        <w:tc>
          <w:tcPr>
            <w:tcW w:w="845" w:type="dxa"/>
            <w:vAlign w:val="center"/>
          </w:tcPr>
          <w:p w14:paraId="69CAFFF4">
            <w:pPr>
              <w:jc w:val="center"/>
              <w:rPr>
                <w:rFonts w:hint="eastAsia" w:ascii="宋体" w:hAnsi="宋体" w:eastAsia="宋体"/>
                <w:sz w:val="20"/>
              </w:rPr>
            </w:pPr>
            <w:r>
              <w:rPr>
                <w:rFonts w:hint="eastAsia" w:ascii="宋体" w:hAnsi="宋体" w:eastAsia="宋体"/>
                <w:b/>
                <w:sz w:val="16"/>
                <w:szCs w:val="16"/>
              </w:rPr>
              <w:t>○</w:t>
            </w:r>
          </w:p>
        </w:tc>
        <w:tc>
          <w:tcPr>
            <w:tcW w:w="880" w:type="dxa"/>
            <w:vAlign w:val="center"/>
          </w:tcPr>
          <w:p w14:paraId="2BCA1353">
            <w:pPr>
              <w:jc w:val="center"/>
              <w:rPr>
                <w:rFonts w:hint="eastAsia" w:ascii="宋体" w:hAnsi="宋体" w:eastAsia="宋体"/>
                <w:sz w:val="16"/>
                <w:szCs w:val="16"/>
              </w:rPr>
            </w:pPr>
            <w:r>
              <w:rPr>
                <w:rFonts w:hint="eastAsia" w:ascii="宋体" w:hAnsi="宋体" w:eastAsia="宋体"/>
                <w:sz w:val="16"/>
                <w:szCs w:val="16"/>
              </w:rPr>
              <w:t>●</w:t>
            </w:r>
          </w:p>
        </w:tc>
        <w:tc>
          <w:tcPr>
            <w:tcW w:w="880" w:type="dxa"/>
            <w:vAlign w:val="center"/>
          </w:tcPr>
          <w:p w14:paraId="02542F46">
            <w:pPr>
              <w:jc w:val="center"/>
              <w:rPr>
                <w:rFonts w:hint="eastAsia" w:ascii="宋体" w:hAnsi="宋体" w:eastAsia="宋体"/>
                <w:sz w:val="16"/>
                <w:szCs w:val="16"/>
              </w:rPr>
            </w:pPr>
            <w:r>
              <w:rPr>
                <w:rFonts w:hint="eastAsia" w:ascii="宋体" w:hAnsi="宋体" w:eastAsia="宋体"/>
                <w:sz w:val="16"/>
                <w:szCs w:val="16"/>
              </w:rPr>
              <w:t>●</w:t>
            </w:r>
          </w:p>
        </w:tc>
        <w:tc>
          <w:tcPr>
            <w:tcW w:w="880" w:type="dxa"/>
            <w:vAlign w:val="center"/>
          </w:tcPr>
          <w:p w14:paraId="72A634EB">
            <w:pPr>
              <w:jc w:val="center"/>
              <w:rPr>
                <w:rFonts w:hint="eastAsia" w:ascii="宋体" w:hAnsi="宋体" w:eastAsia="宋体"/>
                <w:sz w:val="16"/>
                <w:szCs w:val="16"/>
              </w:rPr>
            </w:pPr>
            <w:r>
              <w:rPr>
                <w:rFonts w:hint="eastAsia" w:ascii="宋体" w:hAnsi="宋体" w:eastAsia="宋体"/>
                <w:sz w:val="16"/>
                <w:szCs w:val="16"/>
              </w:rPr>
              <w:t>●</w:t>
            </w:r>
          </w:p>
        </w:tc>
      </w:tr>
      <w:tr w14:paraId="5A884C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3" w:hRule="atLeast"/>
          <w:jc w:val="center"/>
        </w:trPr>
        <w:tc>
          <w:tcPr>
            <w:tcW w:w="558" w:type="dxa"/>
            <w:vMerge w:val="continue"/>
            <w:vAlign w:val="center"/>
          </w:tcPr>
          <w:p w14:paraId="259782FA">
            <w:pPr>
              <w:jc w:val="center"/>
              <w:rPr>
                <w:rFonts w:hint="eastAsia" w:ascii="宋体" w:hAnsi="宋体" w:eastAsia="宋体"/>
                <w:sz w:val="20"/>
              </w:rPr>
            </w:pPr>
          </w:p>
        </w:tc>
        <w:tc>
          <w:tcPr>
            <w:tcW w:w="970" w:type="dxa"/>
            <w:vMerge w:val="continue"/>
            <w:vAlign w:val="center"/>
          </w:tcPr>
          <w:p w14:paraId="40887ED2">
            <w:pPr>
              <w:jc w:val="center"/>
              <w:rPr>
                <w:rFonts w:hint="eastAsia" w:ascii="宋体" w:hAnsi="宋体" w:eastAsia="宋体"/>
                <w:sz w:val="20"/>
              </w:rPr>
            </w:pPr>
          </w:p>
        </w:tc>
        <w:tc>
          <w:tcPr>
            <w:tcW w:w="2457" w:type="dxa"/>
            <w:vAlign w:val="center"/>
          </w:tcPr>
          <w:p w14:paraId="4F761B80">
            <w:pPr>
              <w:jc w:val="center"/>
              <w:rPr>
                <w:rFonts w:hint="eastAsia" w:ascii="宋体" w:hAnsi="宋体" w:eastAsia="宋体"/>
                <w:sz w:val="20"/>
              </w:rPr>
            </w:pPr>
            <w:r>
              <w:rPr>
                <w:rFonts w:hint="eastAsia" w:ascii="宋体" w:hAnsi="宋体" w:eastAsia="宋体"/>
                <w:sz w:val="20"/>
              </w:rPr>
              <w:t>跟踪精度试验</w:t>
            </w:r>
          </w:p>
        </w:tc>
        <w:tc>
          <w:tcPr>
            <w:tcW w:w="917" w:type="dxa"/>
            <w:vAlign w:val="center"/>
          </w:tcPr>
          <w:p w14:paraId="0109D5D8">
            <w:pPr>
              <w:jc w:val="center"/>
              <w:rPr>
                <w:rFonts w:hint="eastAsia" w:ascii="宋体" w:hAnsi="宋体" w:eastAsia="宋体"/>
                <w:sz w:val="20"/>
              </w:rPr>
            </w:pPr>
            <w:r>
              <w:rPr>
                <w:rFonts w:hint="eastAsia" w:ascii="宋体" w:hAnsi="宋体" w:eastAsia="宋体"/>
                <w:szCs w:val="21"/>
              </w:rPr>
              <w:t>6.3.18</w:t>
            </w:r>
          </w:p>
        </w:tc>
        <w:tc>
          <w:tcPr>
            <w:tcW w:w="960" w:type="dxa"/>
            <w:vAlign w:val="center"/>
          </w:tcPr>
          <w:p w14:paraId="715D78DC">
            <w:pPr>
              <w:jc w:val="center"/>
              <w:rPr>
                <w:rFonts w:hint="eastAsia" w:ascii="宋体" w:hAnsi="宋体" w:eastAsia="宋体"/>
                <w:sz w:val="20"/>
                <w:szCs w:val="22"/>
              </w:rPr>
            </w:pPr>
            <w:r>
              <w:rPr>
                <w:rFonts w:hint="eastAsia" w:ascii="宋体" w:hAnsi="宋体" w:eastAsia="宋体"/>
                <w:sz w:val="16"/>
                <w:szCs w:val="16"/>
              </w:rPr>
              <w:t>●</w:t>
            </w:r>
          </w:p>
        </w:tc>
        <w:tc>
          <w:tcPr>
            <w:tcW w:w="845" w:type="dxa"/>
            <w:vAlign w:val="center"/>
          </w:tcPr>
          <w:p w14:paraId="29F2955F">
            <w:pPr>
              <w:jc w:val="center"/>
              <w:rPr>
                <w:rFonts w:hint="eastAsia" w:ascii="宋体" w:hAnsi="宋体" w:eastAsia="宋体"/>
                <w:sz w:val="20"/>
                <w:szCs w:val="22"/>
              </w:rPr>
            </w:pPr>
            <w:r>
              <w:rPr>
                <w:rFonts w:hint="eastAsia" w:ascii="宋体" w:hAnsi="宋体" w:eastAsia="宋体"/>
                <w:b/>
                <w:sz w:val="16"/>
                <w:szCs w:val="16"/>
              </w:rPr>
              <w:t>○</w:t>
            </w:r>
          </w:p>
        </w:tc>
        <w:tc>
          <w:tcPr>
            <w:tcW w:w="880" w:type="dxa"/>
            <w:vAlign w:val="center"/>
          </w:tcPr>
          <w:p w14:paraId="5A592FDB">
            <w:pPr>
              <w:jc w:val="center"/>
              <w:rPr>
                <w:rFonts w:hint="eastAsia" w:ascii="宋体" w:hAnsi="宋体" w:eastAsia="宋体"/>
                <w:b/>
                <w:sz w:val="16"/>
                <w:szCs w:val="16"/>
              </w:rPr>
            </w:pPr>
            <w:r>
              <w:rPr>
                <w:rFonts w:hint="eastAsia" w:ascii="宋体" w:hAnsi="宋体" w:eastAsia="宋体"/>
                <w:b/>
                <w:sz w:val="16"/>
                <w:szCs w:val="16"/>
              </w:rPr>
              <w:t>○</w:t>
            </w:r>
          </w:p>
        </w:tc>
        <w:tc>
          <w:tcPr>
            <w:tcW w:w="880" w:type="dxa"/>
            <w:vAlign w:val="center"/>
          </w:tcPr>
          <w:p w14:paraId="2A8DD64D">
            <w:pPr>
              <w:jc w:val="center"/>
              <w:rPr>
                <w:rFonts w:hint="eastAsia" w:ascii="宋体" w:hAnsi="宋体" w:eastAsia="宋体"/>
                <w:b/>
                <w:sz w:val="16"/>
                <w:szCs w:val="16"/>
              </w:rPr>
            </w:pPr>
            <w:r>
              <w:rPr>
                <w:rFonts w:hint="eastAsia" w:ascii="宋体" w:hAnsi="宋体" w:eastAsia="宋体"/>
                <w:sz w:val="16"/>
                <w:szCs w:val="16"/>
              </w:rPr>
              <w:t>●</w:t>
            </w:r>
          </w:p>
        </w:tc>
        <w:tc>
          <w:tcPr>
            <w:tcW w:w="880" w:type="dxa"/>
            <w:vAlign w:val="center"/>
          </w:tcPr>
          <w:p w14:paraId="1E631779">
            <w:pPr>
              <w:jc w:val="center"/>
              <w:rPr>
                <w:rFonts w:hint="eastAsia" w:ascii="宋体" w:hAnsi="宋体" w:eastAsia="宋体"/>
                <w:b/>
                <w:sz w:val="16"/>
                <w:szCs w:val="16"/>
              </w:rPr>
            </w:pPr>
            <w:r>
              <w:rPr>
                <w:rFonts w:hint="eastAsia" w:ascii="宋体" w:hAnsi="宋体" w:eastAsia="宋体"/>
                <w:b/>
                <w:sz w:val="16"/>
                <w:szCs w:val="16"/>
              </w:rPr>
              <w:t>○</w:t>
            </w:r>
          </w:p>
        </w:tc>
      </w:tr>
      <w:tr w14:paraId="6063D0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26" w:hRule="atLeast"/>
          <w:jc w:val="center"/>
        </w:trPr>
        <w:tc>
          <w:tcPr>
            <w:tcW w:w="558" w:type="dxa"/>
            <w:vMerge w:val="restart"/>
            <w:vAlign w:val="center"/>
          </w:tcPr>
          <w:p w14:paraId="39DB9447">
            <w:pPr>
              <w:jc w:val="center"/>
              <w:rPr>
                <w:rFonts w:hint="eastAsia" w:ascii="宋体" w:hAnsi="宋体" w:eastAsia="宋体"/>
                <w:sz w:val="20"/>
              </w:rPr>
            </w:pPr>
            <w:r>
              <w:rPr>
                <w:rFonts w:hint="eastAsia" w:ascii="宋体" w:hAnsi="宋体" w:eastAsia="宋体"/>
                <w:sz w:val="20"/>
              </w:rPr>
              <w:t>性能要求</w:t>
            </w:r>
          </w:p>
        </w:tc>
        <w:tc>
          <w:tcPr>
            <w:tcW w:w="970" w:type="dxa"/>
            <w:vMerge w:val="restart"/>
            <w:vAlign w:val="center"/>
          </w:tcPr>
          <w:p w14:paraId="37D428AF">
            <w:pPr>
              <w:jc w:val="center"/>
              <w:rPr>
                <w:rFonts w:hint="eastAsia" w:ascii="宋体" w:hAnsi="宋体" w:eastAsia="宋体"/>
                <w:sz w:val="20"/>
              </w:rPr>
            </w:pPr>
            <w:r>
              <w:rPr>
                <w:rFonts w:hint="eastAsia" w:ascii="宋体" w:hAnsi="宋体" w:eastAsia="宋体"/>
                <w:sz w:val="20"/>
              </w:rPr>
              <w:t>抗电磁干扰性能</w:t>
            </w:r>
          </w:p>
        </w:tc>
        <w:tc>
          <w:tcPr>
            <w:tcW w:w="2457" w:type="dxa"/>
            <w:vAlign w:val="center"/>
          </w:tcPr>
          <w:p w14:paraId="61298096">
            <w:pPr>
              <w:jc w:val="center"/>
              <w:rPr>
                <w:rFonts w:hint="eastAsia" w:ascii="宋体" w:hAnsi="宋体" w:eastAsia="宋体"/>
                <w:sz w:val="20"/>
              </w:rPr>
            </w:pPr>
            <w:r>
              <w:rPr>
                <w:rFonts w:hint="eastAsia" w:ascii="宋体" w:hAnsi="宋体" w:eastAsia="宋体"/>
                <w:sz w:val="20"/>
              </w:rPr>
              <w:t>射频电磁场辐射抗扰度</w:t>
            </w:r>
          </w:p>
        </w:tc>
        <w:tc>
          <w:tcPr>
            <w:tcW w:w="917" w:type="dxa"/>
            <w:vAlign w:val="center"/>
          </w:tcPr>
          <w:p w14:paraId="1036F17B">
            <w:pPr>
              <w:jc w:val="center"/>
              <w:rPr>
                <w:rFonts w:hint="eastAsia" w:ascii="宋体" w:hAnsi="宋体" w:eastAsia="宋体"/>
                <w:sz w:val="20"/>
                <w:szCs w:val="22"/>
              </w:rPr>
            </w:pPr>
            <w:r>
              <w:rPr>
                <w:rFonts w:hint="eastAsia" w:ascii="宋体" w:hAnsi="宋体" w:eastAsia="宋体"/>
                <w:szCs w:val="21"/>
              </w:rPr>
              <w:t>6.4.1</w:t>
            </w:r>
          </w:p>
        </w:tc>
        <w:tc>
          <w:tcPr>
            <w:tcW w:w="960" w:type="dxa"/>
            <w:vAlign w:val="center"/>
          </w:tcPr>
          <w:p w14:paraId="26DAC03F">
            <w:pPr>
              <w:jc w:val="center"/>
              <w:rPr>
                <w:rFonts w:hint="eastAsia" w:ascii="宋体" w:hAnsi="宋体" w:eastAsia="宋体"/>
                <w:sz w:val="20"/>
                <w:szCs w:val="22"/>
              </w:rPr>
            </w:pPr>
            <w:r>
              <w:rPr>
                <w:rFonts w:hint="eastAsia" w:ascii="宋体" w:hAnsi="宋体" w:eastAsia="宋体"/>
                <w:sz w:val="16"/>
                <w:szCs w:val="16"/>
              </w:rPr>
              <w:t>●</w:t>
            </w:r>
          </w:p>
        </w:tc>
        <w:tc>
          <w:tcPr>
            <w:tcW w:w="845" w:type="dxa"/>
            <w:vAlign w:val="center"/>
          </w:tcPr>
          <w:p w14:paraId="310DEC15">
            <w:pPr>
              <w:jc w:val="center"/>
              <w:rPr>
                <w:rFonts w:hint="eastAsia" w:ascii="宋体" w:hAnsi="宋体" w:eastAsia="宋体"/>
                <w:sz w:val="20"/>
                <w:szCs w:val="22"/>
              </w:rPr>
            </w:pPr>
            <w:r>
              <w:rPr>
                <w:rFonts w:hint="eastAsia" w:ascii="宋体" w:hAnsi="宋体" w:eastAsia="宋体"/>
                <w:b/>
                <w:sz w:val="16"/>
                <w:szCs w:val="16"/>
              </w:rPr>
              <w:t>○</w:t>
            </w:r>
          </w:p>
        </w:tc>
        <w:tc>
          <w:tcPr>
            <w:tcW w:w="880" w:type="dxa"/>
            <w:vAlign w:val="center"/>
          </w:tcPr>
          <w:p w14:paraId="7E26A822">
            <w:pPr>
              <w:jc w:val="center"/>
              <w:rPr>
                <w:rFonts w:hint="eastAsia" w:ascii="宋体" w:hAnsi="宋体" w:eastAsia="宋体"/>
                <w:b/>
                <w:sz w:val="16"/>
                <w:szCs w:val="16"/>
              </w:rPr>
            </w:pPr>
            <w:r>
              <w:rPr>
                <w:rFonts w:hint="eastAsia" w:ascii="宋体" w:hAnsi="宋体" w:eastAsia="宋体"/>
                <w:b/>
                <w:sz w:val="16"/>
                <w:szCs w:val="16"/>
              </w:rPr>
              <w:t>○</w:t>
            </w:r>
          </w:p>
        </w:tc>
        <w:tc>
          <w:tcPr>
            <w:tcW w:w="880" w:type="dxa"/>
            <w:vAlign w:val="center"/>
          </w:tcPr>
          <w:p w14:paraId="2C0D1DA2">
            <w:pPr>
              <w:jc w:val="center"/>
              <w:rPr>
                <w:rFonts w:hint="eastAsia" w:ascii="宋体" w:hAnsi="宋体" w:eastAsia="宋体"/>
                <w:b/>
                <w:sz w:val="16"/>
                <w:szCs w:val="16"/>
              </w:rPr>
            </w:pPr>
            <w:r>
              <w:rPr>
                <w:rFonts w:hint="eastAsia" w:ascii="宋体" w:hAnsi="宋体" w:eastAsia="宋体"/>
                <w:sz w:val="16"/>
                <w:szCs w:val="16"/>
              </w:rPr>
              <w:t>●</w:t>
            </w:r>
          </w:p>
        </w:tc>
        <w:tc>
          <w:tcPr>
            <w:tcW w:w="880" w:type="dxa"/>
            <w:vAlign w:val="center"/>
          </w:tcPr>
          <w:p w14:paraId="0E369E4E">
            <w:pPr>
              <w:jc w:val="center"/>
              <w:rPr>
                <w:rFonts w:hint="eastAsia" w:ascii="宋体" w:hAnsi="宋体" w:eastAsia="宋体"/>
                <w:b/>
                <w:sz w:val="16"/>
                <w:szCs w:val="16"/>
              </w:rPr>
            </w:pPr>
            <w:r>
              <w:rPr>
                <w:rFonts w:hint="eastAsia" w:ascii="宋体" w:hAnsi="宋体" w:eastAsia="宋体"/>
                <w:b/>
                <w:sz w:val="16"/>
                <w:szCs w:val="16"/>
              </w:rPr>
              <w:t>○</w:t>
            </w:r>
          </w:p>
        </w:tc>
      </w:tr>
      <w:tr w14:paraId="2BC1FA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13" w:hRule="atLeast"/>
          <w:jc w:val="center"/>
        </w:trPr>
        <w:tc>
          <w:tcPr>
            <w:tcW w:w="558" w:type="dxa"/>
            <w:vMerge w:val="continue"/>
            <w:vAlign w:val="center"/>
          </w:tcPr>
          <w:p w14:paraId="70479677">
            <w:pPr>
              <w:jc w:val="center"/>
              <w:rPr>
                <w:rFonts w:hint="eastAsia" w:ascii="宋体" w:hAnsi="宋体" w:eastAsia="宋体"/>
                <w:sz w:val="20"/>
              </w:rPr>
            </w:pPr>
          </w:p>
        </w:tc>
        <w:tc>
          <w:tcPr>
            <w:tcW w:w="970" w:type="dxa"/>
            <w:vMerge w:val="continue"/>
            <w:vAlign w:val="center"/>
          </w:tcPr>
          <w:p w14:paraId="0564353E">
            <w:pPr>
              <w:jc w:val="center"/>
              <w:rPr>
                <w:rFonts w:hint="eastAsia" w:ascii="宋体" w:hAnsi="宋体" w:eastAsia="宋体"/>
                <w:sz w:val="20"/>
              </w:rPr>
            </w:pPr>
          </w:p>
        </w:tc>
        <w:tc>
          <w:tcPr>
            <w:tcW w:w="2457" w:type="dxa"/>
            <w:vAlign w:val="center"/>
          </w:tcPr>
          <w:p w14:paraId="705B2F1D">
            <w:pPr>
              <w:jc w:val="center"/>
              <w:rPr>
                <w:rFonts w:hint="eastAsia" w:ascii="宋体" w:hAnsi="宋体" w:eastAsia="宋体"/>
                <w:sz w:val="20"/>
              </w:rPr>
            </w:pPr>
            <w:r>
              <w:rPr>
                <w:rFonts w:hint="eastAsia" w:ascii="宋体" w:hAnsi="宋体" w:eastAsia="宋体"/>
                <w:sz w:val="20"/>
              </w:rPr>
              <w:t>静电放电抗扰度</w:t>
            </w:r>
          </w:p>
        </w:tc>
        <w:tc>
          <w:tcPr>
            <w:tcW w:w="917" w:type="dxa"/>
            <w:vAlign w:val="center"/>
          </w:tcPr>
          <w:p w14:paraId="752B5016">
            <w:pPr>
              <w:jc w:val="center"/>
              <w:rPr>
                <w:rFonts w:hint="eastAsia" w:ascii="宋体" w:hAnsi="宋体" w:eastAsia="宋体"/>
                <w:sz w:val="20"/>
                <w:szCs w:val="22"/>
              </w:rPr>
            </w:pPr>
            <w:r>
              <w:rPr>
                <w:rFonts w:hint="eastAsia" w:ascii="宋体" w:hAnsi="宋体" w:eastAsia="宋体"/>
                <w:szCs w:val="21"/>
              </w:rPr>
              <w:t>6.4.2</w:t>
            </w:r>
          </w:p>
        </w:tc>
        <w:tc>
          <w:tcPr>
            <w:tcW w:w="960" w:type="dxa"/>
            <w:vAlign w:val="center"/>
          </w:tcPr>
          <w:p w14:paraId="19AC5335">
            <w:pPr>
              <w:jc w:val="center"/>
              <w:rPr>
                <w:rFonts w:hint="eastAsia" w:ascii="宋体" w:hAnsi="宋体" w:eastAsia="宋体"/>
                <w:sz w:val="20"/>
                <w:szCs w:val="22"/>
              </w:rPr>
            </w:pPr>
            <w:r>
              <w:rPr>
                <w:rFonts w:hint="eastAsia" w:ascii="宋体" w:hAnsi="宋体" w:eastAsia="宋体"/>
                <w:sz w:val="16"/>
                <w:szCs w:val="16"/>
              </w:rPr>
              <w:t>●</w:t>
            </w:r>
          </w:p>
        </w:tc>
        <w:tc>
          <w:tcPr>
            <w:tcW w:w="845" w:type="dxa"/>
            <w:vAlign w:val="center"/>
          </w:tcPr>
          <w:p w14:paraId="0300CB6F">
            <w:pPr>
              <w:jc w:val="center"/>
              <w:rPr>
                <w:rFonts w:hint="eastAsia" w:ascii="宋体" w:hAnsi="宋体" w:eastAsia="宋体"/>
                <w:sz w:val="20"/>
                <w:szCs w:val="22"/>
              </w:rPr>
            </w:pPr>
            <w:r>
              <w:rPr>
                <w:rFonts w:hint="eastAsia" w:ascii="宋体" w:hAnsi="宋体" w:eastAsia="宋体"/>
                <w:b/>
                <w:sz w:val="16"/>
                <w:szCs w:val="16"/>
              </w:rPr>
              <w:t>○</w:t>
            </w:r>
          </w:p>
        </w:tc>
        <w:tc>
          <w:tcPr>
            <w:tcW w:w="880" w:type="dxa"/>
            <w:vAlign w:val="center"/>
          </w:tcPr>
          <w:p w14:paraId="5089171F">
            <w:pPr>
              <w:jc w:val="center"/>
              <w:rPr>
                <w:rFonts w:hint="eastAsia" w:ascii="宋体" w:hAnsi="宋体" w:eastAsia="宋体"/>
                <w:b/>
                <w:sz w:val="16"/>
                <w:szCs w:val="16"/>
              </w:rPr>
            </w:pPr>
            <w:r>
              <w:rPr>
                <w:rFonts w:hint="eastAsia" w:ascii="宋体" w:hAnsi="宋体" w:eastAsia="宋体"/>
                <w:b/>
                <w:sz w:val="16"/>
                <w:szCs w:val="16"/>
              </w:rPr>
              <w:t>○</w:t>
            </w:r>
          </w:p>
        </w:tc>
        <w:tc>
          <w:tcPr>
            <w:tcW w:w="880" w:type="dxa"/>
            <w:vAlign w:val="center"/>
          </w:tcPr>
          <w:p w14:paraId="3648EA23">
            <w:pPr>
              <w:jc w:val="center"/>
              <w:rPr>
                <w:rFonts w:hint="eastAsia" w:ascii="宋体" w:hAnsi="宋体" w:eastAsia="宋体"/>
                <w:b/>
                <w:sz w:val="16"/>
                <w:szCs w:val="16"/>
              </w:rPr>
            </w:pPr>
            <w:r>
              <w:rPr>
                <w:rFonts w:hint="eastAsia" w:ascii="宋体" w:hAnsi="宋体" w:eastAsia="宋体"/>
                <w:sz w:val="16"/>
                <w:szCs w:val="16"/>
              </w:rPr>
              <w:t>●</w:t>
            </w:r>
          </w:p>
        </w:tc>
        <w:tc>
          <w:tcPr>
            <w:tcW w:w="880" w:type="dxa"/>
            <w:vAlign w:val="center"/>
          </w:tcPr>
          <w:p w14:paraId="264B2472">
            <w:pPr>
              <w:jc w:val="center"/>
              <w:rPr>
                <w:rFonts w:hint="eastAsia" w:ascii="宋体" w:hAnsi="宋体" w:eastAsia="宋体"/>
                <w:b/>
                <w:sz w:val="16"/>
                <w:szCs w:val="16"/>
              </w:rPr>
            </w:pPr>
            <w:r>
              <w:rPr>
                <w:rFonts w:hint="eastAsia" w:ascii="宋体" w:hAnsi="宋体" w:eastAsia="宋体"/>
                <w:b/>
                <w:sz w:val="16"/>
                <w:szCs w:val="16"/>
              </w:rPr>
              <w:t>○</w:t>
            </w:r>
          </w:p>
        </w:tc>
      </w:tr>
      <w:tr w14:paraId="642481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8" w:hRule="atLeast"/>
          <w:jc w:val="center"/>
        </w:trPr>
        <w:tc>
          <w:tcPr>
            <w:tcW w:w="558" w:type="dxa"/>
            <w:vMerge w:val="continue"/>
            <w:vAlign w:val="center"/>
          </w:tcPr>
          <w:p w14:paraId="4BA7D5EF">
            <w:pPr>
              <w:jc w:val="center"/>
              <w:rPr>
                <w:rFonts w:hint="eastAsia" w:ascii="宋体" w:hAnsi="宋体" w:eastAsia="宋体"/>
                <w:sz w:val="20"/>
              </w:rPr>
            </w:pPr>
          </w:p>
        </w:tc>
        <w:tc>
          <w:tcPr>
            <w:tcW w:w="970" w:type="dxa"/>
            <w:vMerge w:val="continue"/>
            <w:vAlign w:val="center"/>
          </w:tcPr>
          <w:p w14:paraId="00C70B25">
            <w:pPr>
              <w:jc w:val="center"/>
              <w:rPr>
                <w:rFonts w:hint="eastAsia" w:ascii="宋体" w:hAnsi="宋体" w:eastAsia="宋体"/>
                <w:sz w:val="20"/>
              </w:rPr>
            </w:pPr>
          </w:p>
        </w:tc>
        <w:tc>
          <w:tcPr>
            <w:tcW w:w="2457" w:type="dxa"/>
            <w:vAlign w:val="center"/>
          </w:tcPr>
          <w:p w14:paraId="6F032B55">
            <w:pPr>
              <w:jc w:val="center"/>
              <w:rPr>
                <w:rFonts w:hint="eastAsia" w:ascii="宋体" w:hAnsi="宋体" w:eastAsia="宋体"/>
                <w:sz w:val="20"/>
              </w:rPr>
            </w:pPr>
            <w:r>
              <w:rPr>
                <w:rFonts w:hint="eastAsia" w:ascii="宋体" w:hAnsi="宋体" w:eastAsia="宋体"/>
                <w:sz w:val="20"/>
              </w:rPr>
              <w:t>脉冲磁场抗扰度</w:t>
            </w:r>
          </w:p>
        </w:tc>
        <w:tc>
          <w:tcPr>
            <w:tcW w:w="917" w:type="dxa"/>
            <w:vAlign w:val="center"/>
          </w:tcPr>
          <w:p w14:paraId="67A2521D">
            <w:pPr>
              <w:jc w:val="center"/>
              <w:rPr>
                <w:rFonts w:hint="eastAsia" w:ascii="宋体" w:hAnsi="宋体" w:eastAsia="宋体"/>
                <w:sz w:val="20"/>
                <w:szCs w:val="22"/>
              </w:rPr>
            </w:pPr>
            <w:r>
              <w:rPr>
                <w:rFonts w:hint="eastAsia" w:ascii="宋体" w:hAnsi="宋体" w:eastAsia="宋体"/>
                <w:szCs w:val="21"/>
              </w:rPr>
              <w:t>6.4.3</w:t>
            </w:r>
          </w:p>
        </w:tc>
        <w:tc>
          <w:tcPr>
            <w:tcW w:w="960" w:type="dxa"/>
            <w:vAlign w:val="center"/>
          </w:tcPr>
          <w:p w14:paraId="5935200A">
            <w:pPr>
              <w:jc w:val="center"/>
              <w:rPr>
                <w:rFonts w:hint="eastAsia" w:ascii="宋体" w:hAnsi="宋体" w:eastAsia="宋体"/>
                <w:sz w:val="20"/>
                <w:szCs w:val="22"/>
              </w:rPr>
            </w:pPr>
            <w:r>
              <w:rPr>
                <w:rFonts w:hint="eastAsia" w:ascii="宋体" w:hAnsi="宋体" w:eastAsia="宋体"/>
                <w:sz w:val="16"/>
                <w:szCs w:val="16"/>
              </w:rPr>
              <w:t>●</w:t>
            </w:r>
          </w:p>
        </w:tc>
        <w:tc>
          <w:tcPr>
            <w:tcW w:w="845" w:type="dxa"/>
            <w:vAlign w:val="center"/>
          </w:tcPr>
          <w:p w14:paraId="661B02FC">
            <w:pPr>
              <w:jc w:val="center"/>
              <w:rPr>
                <w:rFonts w:hint="eastAsia" w:ascii="宋体" w:hAnsi="宋体" w:eastAsia="宋体"/>
                <w:sz w:val="20"/>
                <w:szCs w:val="22"/>
              </w:rPr>
            </w:pPr>
            <w:r>
              <w:rPr>
                <w:rFonts w:hint="eastAsia" w:ascii="宋体" w:hAnsi="宋体" w:eastAsia="宋体"/>
                <w:b/>
                <w:sz w:val="16"/>
                <w:szCs w:val="16"/>
              </w:rPr>
              <w:t>○</w:t>
            </w:r>
          </w:p>
        </w:tc>
        <w:tc>
          <w:tcPr>
            <w:tcW w:w="880" w:type="dxa"/>
            <w:vAlign w:val="center"/>
          </w:tcPr>
          <w:p w14:paraId="354E7835">
            <w:pPr>
              <w:jc w:val="center"/>
              <w:rPr>
                <w:rFonts w:hint="eastAsia" w:ascii="宋体" w:hAnsi="宋体" w:eastAsia="宋体"/>
                <w:b/>
                <w:sz w:val="16"/>
                <w:szCs w:val="16"/>
              </w:rPr>
            </w:pPr>
            <w:r>
              <w:rPr>
                <w:rFonts w:hint="eastAsia" w:ascii="宋体" w:hAnsi="宋体" w:eastAsia="宋体"/>
                <w:b/>
                <w:sz w:val="16"/>
                <w:szCs w:val="16"/>
              </w:rPr>
              <w:t>○</w:t>
            </w:r>
          </w:p>
        </w:tc>
        <w:tc>
          <w:tcPr>
            <w:tcW w:w="880" w:type="dxa"/>
            <w:vAlign w:val="center"/>
          </w:tcPr>
          <w:p w14:paraId="1E6649FF">
            <w:pPr>
              <w:jc w:val="center"/>
              <w:rPr>
                <w:rFonts w:hint="eastAsia" w:ascii="宋体" w:hAnsi="宋体" w:eastAsia="宋体"/>
                <w:b/>
                <w:sz w:val="16"/>
                <w:szCs w:val="16"/>
              </w:rPr>
            </w:pPr>
            <w:r>
              <w:rPr>
                <w:rFonts w:hint="eastAsia" w:ascii="宋体" w:hAnsi="宋体" w:eastAsia="宋体"/>
                <w:sz w:val="16"/>
                <w:szCs w:val="16"/>
              </w:rPr>
              <w:t>●</w:t>
            </w:r>
          </w:p>
        </w:tc>
        <w:tc>
          <w:tcPr>
            <w:tcW w:w="880" w:type="dxa"/>
            <w:vAlign w:val="center"/>
          </w:tcPr>
          <w:p w14:paraId="55316CB7">
            <w:pPr>
              <w:jc w:val="center"/>
              <w:rPr>
                <w:rFonts w:hint="eastAsia" w:ascii="宋体" w:hAnsi="宋体" w:eastAsia="宋体"/>
                <w:b/>
                <w:sz w:val="16"/>
                <w:szCs w:val="16"/>
              </w:rPr>
            </w:pPr>
            <w:r>
              <w:rPr>
                <w:rFonts w:hint="eastAsia" w:ascii="宋体" w:hAnsi="宋体" w:eastAsia="宋体"/>
                <w:b/>
                <w:sz w:val="16"/>
                <w:szCs w:val="16"/>
              </w:rPr>
              <w:t>○</w:t>
            </w:r>
          </w:p>
        </w:tc>
      </w:tr>
      <w:tr w14:paraId="18650F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8" w:hRule="atLeast"/>
          <w:jc w:val="center"/>
        </w:trPr>
        <w:tc>
          <w:tcPr>
            <w:tcW w:w="558" w:type="dxa"/>
            <w:vMerge w:val="continue"/>
            <w:vAlign w:val="center"/>
          </w:tcPr>
          <w:p w14:paraId="6782F724">
            <w:pPr>
              <w:jc w:val="center"/>
              <w:rPr>
                <w:rFonts w:hint="eastAsia" w:ascii="宋体" w:hAnsi="宋体" w:eastAsia="宋体"/>
                <w:sz w:val="20"/>
              </w:rPr>
            </w:pPr>
          </w:p>
        </w:tc>
        <w:tc>
          <w:tcPr>
            <w:tcW w:w="970" w:type="dxa"/>
            <w:vMerge w:val="continue"/>
            <w:vAlign w:val="center"/>
          </w:tcPr>
          <w:p w14:paraId="265008AE">
            <w:pPr>
              <w:jc w:val="center"/>
              <w:rPr>
                <w:rFonts w:hint="eastAsia" w:ascii="宋体" w:hAnsi="宋体" w:eastAsia="宋体"/>
                <w:sz w:val="20"/>
              </w:rPr>
            </w:pPr>
          </w:p>
        </w:tc>
        <w:tc>
          <w:tcPr>
            <w:tcW w:w="2457" w:type="dxa"/>
            <w:vAlign w:val="center"/>
          </w:tcPr>
          <w:p w14:paraId="6769C490">
            <w:pPr>
              <w:jc w:val="center"/>
              <w:rPr>
                <w:rFonts w:hint="eastAsia" w:ascii="宋体" w:hAnsi="宋体" w:eastAsia="宋体"/>
                <w:sz w:val="20"/>
              </w:rPr>
            </w:pPr>
            <w:r>
              <w:rPr>
                <w:rFonts w:hint="eastAsia" w:ascii="宋体" w:hAnsi="宋体" w:eastAsia="宋体"/>
                <w:sz w:val="20"/>
              </w:rPr>
              <w:t>工频磁场抗扰度</w:t>
            </w:r>
          </w:p>
        </w:tc>
        <w:tc>
          <w:tcPr>
            <w:tcW w:w="917" w:type="dxa"/>
            <w:vAlign w:val="center"/>
          </w:tcPr>
          <w:p w14:paraId="5FA6C1D8">
            <w:pPr>
              <w:jc w:val="center"/>
              <w:rPr>
                <w:rFonts w:hint="eastAsia" w:ascii="宋体" w:hAnsi="宋体" w:eastAsia="宋体"/>
                <w:sz w:val="20"/>
                <w:szCs w:val="22"/>
              </w:rPr>
            </w:pPr>
            <w:r>
              <w:rPr>
                <w:rFonts w:hint="eastAsia" w:ascii="宋体" w:hAnsi="宋体" w:eastAsia="宋体"/>
                <w:szCs w:val="21"/>
              </w:rPr>
              <w:t>6.4.4</w:t>
            </w:r>
          </w:p>
        </w:tc>
        <w:tc>
          <w:tcPr>
            <w:tcW w:w="960" w:type="dxa"/>
            <w:vAlign w:val="center"/>
          </w:tcPr>
          <w:p w14:paraId="1B676D23">
            <w:pPr>
              <w:jc w:val="center"/>
              <w:rPr>
                <w:rFonts w:hint="eastAsia" w:ascii="宋体" w:hAnsi="宋体" w:eastAsia="宋体"/>
                <w:sz w:val="20"/>
                <w:szCs w:val="22"/>
              </w:rPr>
            </w:pPr>
            <w:r>
              <w:rPr>
                <w:rFonts w:hint="eastAsia" w:ascii="宋体" w:hAnsi="宋体" w:eastAsia="宋体"/>
                <w:sz w:val="16"/>
                <w:szCs w:val="16"/>
              </w:rPr>
              <w:t>●</w:t>
            </w:r>
          </w:p>
        </w:tc>
        <w:tc>
          <w:tcPr>
            <w:tcW w:w="845" w:type="dxa"/>
            <w:vAlign w:val="center"/>
          </w:tcPr>
          <w:p w14:paraId="69D2A03E">
            <w:pPr>
              <w:jc w:val="center"/>
              <w:rPr>
                <w:rFonts w:hint="eastAsia" w:ascii="宋体" w:hAnsi="宋体" w:eastAsia="宋体"/>
                <w:sz w:val="20"/>
                <w:szCs w:val="22"/>
              </w:rPr>
            </w:pPr>
            <w:r>
              <w:rPr>
                <w:rFonts w:hint="eastAsia" w:ascii="宋体" w:hAnsi="宋体" w:eastAsia="宋体"/>
                <w:sz w:val="16"/>
                <w:szCs w:val="16"/>
              </w:rPr>
              <w:t>●</w:t>
            </w:r>
          </w:p>
        </w:tc>
        <w:tc>
          <w:tcPr>
            <w:tcW w:w="880" w:type="dxa"/>
            <w:vAlign w:val="center"/>
          </w:tcPr>
          <w:p w14:paraId="505A6422">
            <w:pPr>
              <w:jc w:val="center"/>
              <w:rPr>
                <w:rFonts w:hint="eastAsia" w:ascii="宋体" w:hAnsi="宋体" w:eastAsia="宋体"/>
                <w:b/>
                <w:sz w:val="16"/>
                <w:szCs w:val="16"/>
              </w:rPr>
            </w:pPr>
            <w:r>
              <w:rPr>
                <w:rFonts w:hint="eastAsia" w:ascii="宋体" w:hAnsi="宋体" w:eastAsia="宋体"/>
                <w:b/>
                <w:sz w:val="16"/>
                <w:szCs w:val="16"/>
              </w:rPr>
              <w:t>○</w:t>
            </w:r>
          </w:p>
        </w:tc>
        <w:tc>
          <w:tcPr>
            <w:tcW w:w="880" w:type="dxa"/>
            <w:vAlign w:val="center"/>
          </w:tcPr>
          <w:p w14:paraId="36C03EA0">
            <w:pPr>
              <w:jc w:val="center"/>
              <w:rPr>
                <w:rFonts w:hint="eastAsia" w:ascii="宋体" w:hAnsi="宋体" w:eastAsia="宋体"/>
                <w:b/>
                <w:sz w:val="16"/>
                <w:szCs w:val="16"/>
              </w:rPr>
            </w:pPr>
            <w:r>
              <w:rPr>
                <w:rFonts w:hint="eastAsia" w:ascii="宋体" w:hAnsi="宋体" w:eastAsia="宋体"/>
                <w:sz w:val="16"/>
                <w:szCs w:val="16"/>
              </w:rPr>
              <w:t>●</w:t>
            </w:r>
          </w:p>
        </w:tc>
        <w:tc>
          <w:tcPr>
            <w:tcW w:w="880" w:type="dxa"/>
            <w:vAlign w:val="center"/>
          </w:tcPr>
          <w:p w14:paraId="082F448A">
            <w:pPr>
              <w:jc w:val="center"/>
              <w:rPr>
                <w:rFonts w:hint="eastAsia" w:ascii="宋体" w:hAnsi="宋体" w:eastAsia="宋体"/>
                <w:b/>
                <w:sz w:val="16"/>
                <w:szCs w:val="16"/>
              </w:rPr>
            </w:pPr>
            <w:r>
              <w:rPr>
                <w:rFonts w:hint="eastAsia" w:ascii="宋体" w:hAnsi="宋体" w:eastAsia="宋体"/>
                <w:b/>
                <w:sz w:val="16"/>
                <w:szCs w:val="16"/>
              </w:rPr>
              <w:t>○</w:t>
            </w:r>
          </w:p>
        </w:tc>
      </w:tr>
      <w:tr w14:paraId="0AB5BA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6" w:hRule="atLeast"/>
          <w:jc w:val="center"/>
        </w:trPr>
        <w:tc>
          <w:tcPr>
            <w:tcW w:w="558" w:type="dxa"/>
            <w:vMerge w:val="continue"/>
            <w:vAlign w:val="center"/>
          </w:tcPr>
          <w:p w14:paraId="780C3E13">
            <w:pPr>
              <w:jc w:val="center"/>
              <w:rPr>
                <w:rFonts w:hint="eastAsia" w:ascii="宋体" w:hAnsi="宋体" w:eastAsia="宋体"/>
                <w:sz w:val="20"/>
              </w:rPr>
            </w:pPr>
          </w:p>
        </w:tc>
        <w:tc>
          <w:tcPr>
            <w:tcW w:w="970" w:type="dxa"/>
            <w:vMerge w:val="restart"/>
            <w:vAlign w:val="center"/>
          </w:tcPr>
          <w:p w14:paraId="08B65B70">
            <w:pPr>
              <w:jc w:val="center"/>
              <w:rPr>
                <w:rFonts w:hint="eastAsia" w:ascii="宋体" w:hAnsi="宋体" w:eastAsia="宋体"/>
                <w:sz w:val="20"/>
              </w:rPr>
            </w:pPr>
            <w:r>
              <w:rPr>
                <w:rFonts w:hint="eastAsia" w:ascii="宋体" w:hAnsi="宋体" w:eastAsia="宋体"/>
                <w:sz w:val="20"/>
              </w:rPr>
              <w:t>性能试验</w:t>
            </w:r>
          </w:p>
        </w:tc>
        <w:tc>
          <w:tcPr>
            <w:tcW w:w="2457" w:type="dxa"/>
            <w:vAlign w:val="center"/>
          </w:tcPr>
          <w:p w14:paraId="56DE86F7">
            <w:pPr>
              <w:jc w:val="center"/>
              <w:rPr>
                <w:rFonts w:hint="eastAsia" w:ascii="宋体" w:hAnsi="宋体" w:eastAsia="宋体"/>
                <w:sz w:val="20"/>
              </w:rPr>
            </w:pPr>
            <w:r>
              <w:rPr>
                <w:rFonts w:hint="eastAsia" w:ascii="宋体" w:hAnsi="宋体" w:eastAsia="宋体"/>
                <w:sz w:val="20"/>
              </w:rPr>
              <w:t>地面站软件性能试验</w:t>
            </w:r>
          </w:p>
        </w:tc>
        <w:tc>
          <w:tcPr>
            <w:tcW w:w="917" w:type="dxa"/>
            <w:vAlign w:val="center"/>
          </w:tcPr>
          <w:p w14:paraId="31ECA32C">
            <w:pPr>
              <w:jc w:val="center"/>
              <w:rPr>
                <w:rFonts w:hint="eastAsia" w:ascii="宋体" w:hAnsi="宋体" w:eastAsia="宋体"/>
                <w:szCs w:val="21"/>
              </w:rPr>
            </w:pPr>
            <w:r>
              <w:rPr>
                <w:rFonts w:hint="eastAsia" w:ascii="宋体" w:hAnsi="宋体" w:eastAsia="宋体"/>
                <w:szCs w:val="21"/>
              </w:rPr>
              <w:t>6.5.1</w:t>
            </w:r>
          </w:p>
        </w:tc>
        <w:tc>
          <w:tcPr>
            <w:tcW w:w="960" w:type="dxa"/>
            <w:vAlign w:val="center"/>
          </w:tcPr>
          <w:p w14:paraId="5E3CA8F9">
            <w:pPr>
              <w:jc w:val="center"/>
              <w:rPr>
                <w:rFonts w:hint="eastAsia" w:ascii="宋体" w:hAnsi="宋体" w:eastAsia="宋体"/>
                <w:sz w:val="20"/>
              </w:rPr>
            </w:pPr>
            <w:r>
              <w:rPr>
                <w:rFonts w:hint="eastAsia" w:ascii="宋体" w:hAnsi="宋体" w:eastAsia="宋体"/>
                <w:sz w:val="16"/>
                <w:szCs w:val="16"/>
              </w:rPr>
              <w:t>●</w:t>
            </w:r>
          </w:p>
        </w:tc>
        <w:tc>
          <w:tcPr>
            <w:tcW w:w="845" w:type="dxa"/>
            <w:vAlign w:val="center"/>
          </w:tcPr>
          <w:p w14:paraId="582B3810">
            <w:pPr>
              <w:jc w:val="center"/>
              <w:rPr>
                <w:rFonts w:hint="eastAsia" w:ascii="宋体" w:hAnsi="宋体" w:eastAsia="宋体"/>
                <w:sz w:val="20"/>
              </w:rPr>
            </w:pPr>
            <w:r>
              <w:rPr>
                <w:rFonts w:hint="eastAsia" w:ascii="宋体" w:hAnsi="宋体" w:eastAsia="宋体"/>
                <w:sz w:val="16"/>
                <w:szCs w:val="16"/>
              </w:rPr>
              <w:t>●</w:t>
            </w:r>
          </w:p>
        </w:tc>
        <w:tc>
          <w:tcPr>
            <w:tcW w:w="880" w:type="dxa"/>
            <w:vAlign w:val="center"/>
          </w:tcPr>
          <w:p w14:paraId="0D12B554">
            <w:pPr>
              <w:jc w:val="center"/>
              <w:rPr>
                <w:rFonts w:hint="eastAsia" w:ascii="宋体" w:hAnsi="宋体" w:eastAsia="宋体"/>
                <w:sz w:val="16"/>
                <w:szCs w:val="16"/>
              </w:rPr>
            </w:pPr>
            <w:r>
              <w:rPr>
                <w:rFonts w:hint="eastAsia" w:ascii="宋体" w:hAnsi="宋体" w:eastAsia="宋体"/>
                <w:sz w:val="16"/>
                <w:szCs w:val="16"/>
              </w:rPr>
              <w:t>●</w:t>
            </w:r>
          </w:p>
        </w:tc>
        <w:tc>
          <w:tcPr>
            <w:tcW w:w="880" w:type="dxa"/>
            <w:vAlign w:val="center"/>
          </w:tcPr>
          <w:p w14:paraId="21C30021">
            <w:pPr>
              <w:jc w:val="center"/>
              <w:rPr>
                <w:rFonts w:hint="eastAsia" w:ascii="宋体" w:hAnsi="宋体" w:eastAsia="宋体"/>
                <w:sz w:val="16"/>
                <w:szCs w:val="16"/>
              </w:rPr>
            </w:pPr>
            <w:r>
              <w:rPr>
                <w:rFonts w:hint="eastAsia" w:ascii="宋体" w:hAnsi="宋体" w:eastAsia="宋体"/>
                <w:sz w:val="16"/>
                <w:szCs w:val="16"/>
              </w:rPr>
              <w:t>●</w:t>
            </w:r>
          </w:p>
        </w:tc>
        <w:tc>
          <w:tcPr>
            <w:tcW w:w="880" w:type="dxa"/>
            <w:vAlign w:val="center"/>
          </w:tcPr>
          <w:p w14:paraId="50E8B6B2">
            <w:pPr>
              <w:jc w:val="center"/>
              <w:rPr>
                <w:rFonts w:hint="eastAsia" w:ascii="宋体" w:hAnsi="宋体" w:eastAsia="宋体"/>
                <w:sz w:val="16"/>
                <w:szCs w:val="16"/>
              </w:rPr>
            </w:pPr>
            <w:r>
              <w:rPr>
                <w:rFonts w:hint="eastAsia" w:ascii="宋体" w:hAnsi="宋体" w:eastAsia="宋体"/>
                <w:sz w:val="16"/>
                <w:szCs w:val="16"/>
              </w:rPr>
              <w:t>●</w:t>
            </w:r>
          </w:p>
        </w:tc>
      </w:tr>
      <w:tr w14:paraId="66FECB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jc w:val="center"/>
        </w:trPr>
        <w:tc>
          <w:tcPr>
            <w:tcW w:w="558" w:type="dxa"/>
            <w:vMerge w:val="continue"/>
            <w:vAlign w:val="center"/>
          </w:tcPr>
          <w:p w14:paraId="78B37528">
            <w:pPr>
              <w:jc w:val="center"/>
              <w:rPr>
                <w:rFonts w:hint="eastAsia" w:ascii="宋体" w:hAnsi="宋体" w:eastAsia="宋体"/>
                <w:sz w:val="20"/>
              </w:rPr>
            </w:pPr>
          </w:p>
        </w:tc>
        <w:tc>
          <w:tcPr>
            <w:tcW w:w="970" w:type="dxa"/>
            <w:vMerge w:val="continue"/>
            <w:vAlign w:val="center"/>
          </w:tcPr>
          <w:p w14:paraId="17A27D90">
            <w:pPr>
              <w:jc w:val="center"/>
              <w:rPr>
                <w:rFonts w:hint="eastAsia" w:ascii="宋体" w:hAnsi="宋体" w:eastAsia="宋体"/>
                <w:sz w:val="20"/>
              </w:rPr>
            </w:pPr>
          </w:p>
        </w:tc>
        <w:tc>
          <w:tcPr>
            <w:tcW w:w="2457" w:type="dxa"/>
            <w:vAlign w:val="center"/>
          </w:tcPr>
          <w:p w14:paraId="4FB7C4DE">
            <w:pPr>
              <w:jc w:val="center"/>
              <w:rPr>
                <w:rFonts w:hint="eastAsia" w:ascii="宋体" w:hAnsi="宋体" w:eastAsia="宋体"/>
                <w:sz w:val="20"/>
              </w:rPr>
            </w:pPr>
            <w:r>
              <w:rPr>
                <w:rFonts w:hint="eastAsia" w:ascii="宋体" w:hAnsi="宋体" w:eastAsia="宋体"/>
                <w:sz w:val="20"/>
              </w:rPr>
              <w:t>动力电池性能试验</w:t>
            </w:r>
          </w:p>
        </w:tc>
        <w:tc>
          <w:tcPr>
            <w:tcW w:w="917" w:type="dxa"/>
            <w:vAlign w:val="center"/>
          </w:tcPr>
          <w:p w14:paraId="58086465">
            <w:pPr>
              <w:jc w:val="center"/>
              <w:rPr>
                <w:rFonts w:hint="eastAsia" w:ascii="宋体" w:hAnsi="宋体" w:eastAsia="宋体"/>
                <w:szCs w:val="21"/>
              </w:rPr>
            </w:pPr>
            <w:r>
              <w:rPr>
                <w:rFonts w:hint="eastAsia" w:ascii="宋体" w:hAnsi="宋体" w:eastAsia="宋体"/>
                <w:szCs w:val="21"/>
              </w:rPr>
              <w:t>6.5.2</w:t>
            </w:r>
          </w:p>
        </w:tc>
        <w:tc>
          <w:tcPr>
            <w:tcW w:w="960" w:type="dxa"/>
            <w:vAlign w:val="center"/>
          </w:tcPr>
          <w:p w14:paraId="5500582C">
            <w:pPr>
              <w:jc w:val="center"/>
              <w:rPr>
                <w:rFonts w:hint="eastAsia" w:ascii="宋体" w:hAnsi="宋体" w:eastAsia="宋体"/>
                <w:sz w:val="20"/>
                <w:szCs w:val="22"/>
              </w:rPr>
            </w:pPr>
            <w:r>
              <w:rPr>
                <w:rFonts w:hint="eastAsia" w:ascii="宋体" w:hAnsi="宋体" w:eastAsia="宋体"/>
                <w:sz w:val="16"/>
                <w:szCs w:val="16"/>
              </w:rPr>
              <w:t>●</w:t>
            </w:r>
          </w:p>
        </w:tc>
        <w:tc>
          <w:tcPr>
            <w:tcW w:w="845" w:type="dxa"/>
            <w:vAlign w:val="center"/>
          </w:tcPr>
          <w:p w14:paraId="094375E4">
            <w:pPr>
              <w:jc w:val="center"/>
              <w:rPr>
                <w:rFonts w:hint="eastAsia" w:ascii="宋体" w:hAnsi="宋体" w:eastAsia="宋体"/>
                <w:sz w:val="20"/>
                <w:szCs w:val="22"/>
              </w:rPr>
            </w:pPr>
            <w:r>
              <w:rPr>
                <w:rFonts w:hint="eastAsia" w:ascii="宋体" w:hAnsi="宋体" w:eastAsia="宋体"/>
                <w:sz w:val="16"/>
                <w:szCs w:val="16"/>
              </w:rPr>
              <w:t>●</w:t>
            </w:r>
          </w:p>
        </w:tc>
        <w:tc>
          <w:tcPr>
            <w:tcW w:w="880" w:type="dxa"/>
            <w:vAlign w:val="center"/>
          </w:tcPr>
          <w:p w14:paraId="7C0E6080">
            <w:pPr>
              <w:jc w:val="center"/>
              <w:rPr>
                <w:rFonts w:hint="eastAsia" w:ascii="宋体" w:hAnsi="宋体" w:eastAsia="宋体"/>
                <w:b/>
                <w:sz w:val="16"/>
                <w:szCs w:val="16"/>
              </w:rPr>
            </w:pPr>
            <w:r>
              <w:rPr>
                <w:rFonts w:hint="eastAsia" w:ascii="宋体" w:hAnsi="宋体" w:eastAsia="宋体"/>
                <w:b/>
                <w:sz w:val="16"/>
                <w:szCs w:val="16"/>
              </w:rPr>
              <w:t>○</w:t>
            </w:r>
          </w:p>
        </w:tc>
        <w:tc>
          <w:tcPr>
            <w:tcW w:w="880" w:type="dxa"/>
            <w:vAlign w:val="center"/>
          </w:tcPr>
          <w:p w14:paraId="4E9902F0">
            <w:pPr>
              <w:jc w:val="center"/>
              <w:rPr>
                <w:rFonts w:hint="eastAsia" w:ascii="宋体" w:hAnsi="宋体" w:eastAsia="宋体"/>
                <w:b/>
                <w:sz w:val="16"/>
                <w:szCs w:val="16"/>
              </w:rPr>
            </w:pPr>
            <w:r>
              <w:rPr>
                <w:rFonts w:hint="eastAsia" w:ascii="宋体" w:hAnsi="宋体" w:eastAsia="宋体"/>
                <w:sz w:val="16"/>
                <w:szCs w:val="16"/>
              </w:rPr>
              <w:t>●</w:t>
            </w:r>
          </w:p>
        </w:tc>
        <w:tc>
          <w:tcPr>
            <w:tcW w:w="880" w:type="dxa"/>
            <w:vAlign w:val="center"/>
          </w:tcPr>
          <w:p w14:paraId="5F129584">
            <w:pPr>
              <w:jc w:val="center"/>
              <w:rPr>
                <w:rFonts w:hint="eastAsia" w:ascii="宋体" w:hAnsi="宋体" w:eastAsia="宋体"/>
                <w:b/>
                <w:sz w:val="16"/>
                <w:szCs w:val="16"/>
              </w:rPr>
            </w:pPr>
            <w:r>
              <w:rPr>
                <w:rFonts w:hint="eastAsia" w:ascii="宋体" w:hAnsi="宋体" w:eastAsia="宋体"/>
                <w:b/>
                <w:sz w:val="16"/>
                <w:szCs w:val="16"/>
              </w:rPr>
              <w:t>○</w:t>
            </w:r>
          </w:p>
        </w:tc>
      </w:tr>
      <w:tr w14:paraId="32D378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jc w:val="center"/>
        </w:trPr>
        <w:tc>
          <w:tcPr>
            <w:tcW w:w="558" w:type="dxa"/>
            <w:vMerge w:val="continue"/>
            <w:vAlign w:val="center"/>
          </w:tcPr>
          <w:p w14:paraId="57C2C910">
            <w:pPr>
              <w:jc w:val="center"/>
              <w:rPr>
                <w:rFonts w:hint="eastAsia" w:ascii="宋体" w:hAnsi="宋体" w:eastAsia="宋体"/>
                <w:sz w:val="20"/>
              </w:rPr>
            </w:pPr>
          </w:p>
        </w:tc>
        <w:tc>
          <w:tcPr>
            <w:tcW w:w="970" w:type="dxa"/>
            <w:vMerge w:val="continue"/>
            <w:vAlign w:val="center"/>
          </w:tcPr>
          <w:p w14:paraId="66A8471F">
            <w:pPr>
              <w:jc w:val="center"/>
              <w:rPr>
                <w:rFonts w:hint="eastAsia" w:ascii="宋体" w:hAnsi="宋体" w:eastAsia="宋体"/>
                <w:sz w:val="20"/>
              </w:rPr>
            </w:pPr>
          </w:p>
        </w:tc>
        <w:tc>
          <w:tcPr>
            <w:tcW w:w="2457" w:type="dxa"/>
            <w:vAlign w:val="center"/>
          </w:tcPr>
          <w:p w14:paraId="60BD6812">
            <w:pPr>
              <w:jc w:val="center"/>
              <w:rPr>
                <w:rFonts w:hint="eastAsia" w:ascii="宋体" w:hAnsi="宋体" w:eastAsia="宋体"/>
                <w:sz w:val="20"/>
              </w:rPr>
            </w:pPr>
            <w:r>
              <w:rPr>
                <w:rFonts w:hint="eastAsia" w:ascii="宋体" w:hAnsi="宋体" w:eastAsia="宋体"/>
                <w:sz w:val="20"/>
              </w:rPr>
              <w:t>机械耐受性能试验</w:t>
            </w:r>
          </w:p>
        </w:tc>
        <w:tc>
          <w:tcPr>
            <w:tcW w:w="917" w:type="dxa"/>
            <w:vAlign w:val="center"/>
          </w:tcPr>
          <w:p w14:paraId="5D4E6563">
            <w:pPr>
              <w:jc w:val="center"/>
              <w:rPr>
                <w:rFonts w:hint="eastAsia" w:ascii="宋体" w:hAnsi="宋体" w:eastAsia="宋体"/>
                <w:szCs w:val="21"/>
              </w:rPr>
            </w:pPr>
            <w:r>
              <w:rPr>
                <w:rFonts w:hint="eastAsia" w:ascii="宋体" w:hAnsi="宋体" w:eastAsia="宋体"/>
                <w:szCs w:val="21"/>
              </w:rPr>
              <w:t>6.5.3</w:t>
            </w:r>
          </w:p>
        </w:tc>
        <w:tc>
          <w:tcPr>
            <w:tcW w:w="960" w:type="dxa"/>
            <w:vAlign w:val="center"/>
          </w:tcPr>
          <w:p w14:paraId="2394618E">
            <w:pPr>
              <w:jc w:val="center"/>
              <w:rPr>
                <w:rFonts w:hint="eastAsia" w:ascii="宋体" w:hAnsi="宋体" w:eastAsia="宋体"/>
                <w:sz w:val="20"/>
                <w:szCs w:val="22"/>
              </w:rPr>
            </w:pPr>
            <w:r>
              <w:rPr>
                <w:rFonts w:hint="eastAsia" w:ascii="宋体" w:hAnsi="宋体" w:eastAsia="宋体"/>
                <w:sz w:val="16"/>
                <w:szCs w:val="16"/>
              </w:rPr>
              <w:t>●</w:t>
            </w:r>
          </w:p>
        </w:tc>
        <w:tc>
          <w:tcPr>
            <w:tcW w:w="845" w:type="dxa"/>
            <w:vAlign w:val="center"/>
          </w:tcPr>
          <w:p w14:paraId="0E6F4F38">
            <w:pPr>
              <w:jc w:val="center"/>
              <w:rPr>
                <w:rFonts w:hint="eastAsia" w:ascii="宋体" w:hAnsi="宋体" w:eastAsia="宋体"/>
                <w:sz w:val="20"/>
                <w:szCs w:val="22"/>
              </w:rPr>
            </w:pPr>
            <w:r>
              <w:rPr>
                <w:rFonts w:hint="eastAsia" w:ascii="宋体" w:hAnsi="宋体" w:eastAsia="宋体"/>
                <w:b/>
                <w:sz w:val="16"/>
                <w:szCs w:val="16"/>
              </w:rPr>
              <w:t>○</w:t>
            </w:r>
          </w:p>
        </w:tc>
        <w:tc>
          <w:tcPr>
            <w:tcW w:w="880" w:type="dxa"/>
            <w:vAlign w:val="center"/>
          </w:tcPr>
          <w:p w14:paraId="5F3EC785">
            <w:pPr>
              <w:jc w:val="center"/>
              <w:rPr>
                <w:rFonts w:hint="eastAsia" w:ascii="宋体" w:hAnsi="宋体" w:eastAsia="宋体"/>
                <w:b/>
                <w:sz w:val="16"/>
                <w:szCs w:val="16"/>
              </w:rPr>
            </w:pPr>
            <w:r>
              <w:rPr>
                <w:rFonts w:hint="eastAsia" w:ascii="宋体" w:hAnsi="宋体" w:eastAsia="宋体"/>
                <w:b/>
                <w:sz w:val="16"/>
                <w:szCs w:val="16"/>
              </w:rPr>
              <w:t>○</w:t>
            </w:r>
          </w:p>
        </w:tc>
        <w:tc>
          <w:tcPr>
            <w:tcW w:w="880" w:type="dxa"/>
            <w:vAlign w:val="center"/>
          </w:tcPr>
          <w:p w14:paraId="067931A8">
            <w:pPr>
              <w:jc w:val="center"/>
              <w:rPr>
                <w:rFonts w:hint="eastAsia" w:ascii="宋体" w:hAnsi="宋体" w:eastAsia="宋体"/>
                <w:b/>
                <w:sz w:val="16"/>
                <w:szCs w:val="16"/>
              </w:rPr>
            </w:pPr>
            <w:r>
              <w:rPr>
                <w:rFonts w:hint="eastAsia" w:ascii="宋体" w:hAnsi="宋体" w:eastAsia="宋体"/>
                <w:b/>
                <w:sz w:val="16"/>
                <w:szCs w:val="16"/>
              </w:rPr>
              <w:t>○</w:t>
            </w:r>
          </w:p>
        </w:tc>
        <w:tc>
          <w:tcPr>
            <w:tcW w:w="880" w:type="dxa"/>
            <w:vAlign w:val="center"/>
          </w:tcPr>
          <w:p w14:paraId="7272A291">
            <w:pPr>
              <w:jc w:val="center"/>
              <w:rPr>
                <w:rFonts w:hint="eastAsia" w:ascii="宋体" w:hAnsi="宋体" w:eastAsia="宋体"/>
                <w:b/>
                <w:sz w:val="16"/>
                <w:szCs w:val="16"/>
              </w:rPr>
            </w:pPr>
            <w:r>
              <w:rPr>
                <w:rFonts w:hint="eastAsia" w:ascii="宋体" w:hAnsi="宋体" w:eastAsia="宋体"/>
                <w:b/>
                <w:sz w:val="16"/>
                <w:szCs w:val="16"/>
              </w:rPr>
              <w:t>○</w:t>
            </w:r>
          </w:p>
        </w:tc>
      </w:tr>
      <w:tr w14:paraId="608350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58" w:type="dxa"/>
            <w:vMerge w:val="continue"/>
            <w:vAlign w:val="center"/>
          </w:tcPr>
          <w:p w14:paraId="75CD5DE8">
            <w:pPr>
              <w:jc w:val="center"/>
              <w:rPr>
                <w:rFonts w:hint="eastAsia" w:ascii="宋体" w:hAnsi="宋体" w:eastAsia="宋体"/>
                <w:sz w:val="20"/>
              </w:rPr>
            </w:pPr>
          </w:p>
        </w:tc>
        <w:tc>
          <w:tcPr>
            <w:tcW w:w="970" w:type="dxa"/>
            <w:vMerge w:val="continue"/>
            <w:vAlign w:val="center"/>
          </w:tcPr>
          <w:p w14:paraId="62987189">
            <w:pPr>
              <w:jc w:val="center"/>
              <w:rPr>
                <w:rFonts w:hint="eastAsia" w:ascii="宋体" w:hAnsi="宋体" w:eastAsia="宋体"/>
                <w:sz w:val="20"/>
              </w:rPr>
            </w:pPr>
          </w:p>
        </w:tc>
        <w:tc>
          <w:tcPr>
            <w:tcW w:w="2457" w:type="dxa"/>
            <w:vAlign w:val="center"/>
          </w:tcPr>
          <w:p w14:paraId="0D48701C">
            <w:pPr>
              <w:jc w:val="center"/>
              <w:rPr>
                <w:rFonts w:hint="eastAsia" w:ascii="宋体" w:hAnsi="宋体" w:eastAsia="宋体"/>
                <w:sz w:val="20"/>
              </w:rPr>
            </w:pPr>
            <w:r>
              <w:rPr>
                <w:rFonts w:hint="eastAsia" w:ascii="宋体" w:hAnsi="宋体" w:eastAsia="宋体"/>
                <w:sz w:val="20"/>
              </w:rPr>
              <w:t>跌落性能试验</w:t>
            </w:r>
          </w:p>
        </w:tc>
        <w:tc>
          <w:tcPr>
            <w:tcW w:w="917" w:type="dxa"/>
            <w:vAlign w:val="center"/>
          </w:tcPr>
          <w:p w14:paraId="2F01A5C2">
            <w:pPr>
              <w:jc w:val="center"/>
              <w:rPr>
                <w:rFonts w:hint="eastAsia" w:ascii="宋体" w:hAnsi="宋体" w:eastAsia="宋体"/>
                <w:szCs w:val="21"/>
              </w:rPr>
            </w:pPr>
            <w:r>
              <w:rPr>
                <w:rFonts w:hint="eastAsia" w:ascii="宋体" w:hAnsi="宋体" w:eastAsia="宋体"/>
                <w:szCs w:val="21"/>
              </w:rPr>
              <w:t>6.5.4</w:t>
            </w:r>
          </w:p>
        </w:tc>
        <w:tc>
          <w:tcPr>
            <w:tcW w:w="960" w:type="dxa"/>
            <w:vAlign w:val="center"/>
          </w:tcPr>
          <w:p w14:paraId="6D40D72B">
            <w:pPr>
              <w:jc w:val="center"/>
              <w:rPr>
                <w:rFonts w:hint="eastAsia" w:ascii="宋体" w:hAnsi="宋体" w:eastAsia="宋体"/>
                <w:sz w:val="20"/>
                <w:szCs w:val="22"/>
              </w:rPr>
            </w:pPr>
            <w:r>
              <w:rPr>
                <w:rFonts w:hint="eastAsia" w:ascii="宋体" w:hAnsi="宋体" w:eastAsia="宋体"/>
                <w:sz w:val="16"/>
                <w:szCs w:val="16"/>
              </w:rPr>
              <w:t>●</w:t>
            </w:r>
          </w:p>
        </w:tc>
        <w:tc>
          <w:tcPr>
            <w:tcW w:w="845" w:type="dxa"/>
            <w:vAlign w:val="center"/>
          </w:tcPr>
          <w:p w14:paraId="6B8B88B3">
            <w:pPr>
              <w:jc w:val="center"/>
              <w:rPr>
                <w:rFonts w:hint="eastAsia" w:ascii="宋体" w:hAnsi="宋体" w:eastAsia="宋体"/>
                <w:sz w:val="20"/>
                <w:szCs w:val="22"/>
              </w:rPr>
            </w:pPr>
            <w:r>
              <w:rPr>
                <w:rFonts w:hint="eastAsia" w:ascii="宋体" w:hAnsi="宋体" w:eastAsia="宋体"/>
                <w:b/>
                <w:sz w:val="16"/>
                <w:szCs w:val="16"/>
              </w:rPr>
              <w:t>○</w:t>
            </w:r>
          </w:p>
        </w:tc>
        <w:tc>
          <w:tcPr>
            <w:tcW w:w="880" w:type="dxa"/>
            <w:vAlign w:val="center"/>
          </w:tcPr>
          <w:p w14:paraId="6308336F">
            <w:pPr>
              <w:jc w:val="center"/>
              <w:rPr>
                <w:rFonts w:hint="eastAsia" w:ascii="宋体" w:hAnsi="宋体" w:eastAsia="宋体"/>
                <w:b/>
                <w:sz w:val="16"/>
                <w:szCs w:val="16"/>
              </w:rPr>
            </w:pPr>
            <w:r>
              <w:rPr>
                <w:rFonts w:hint="eastAsia" w:ascii="宋体" w:hAnsi="宋体" w:eastAsia="宋体"/>
                <w:b/>
                <w:sz w:val="16"/>
                <w:szCs w:val="16"/>
              </w:rPr>
              <w:t>○</w:t>
            </w:r>
          </w:p>
        </w:tc>
        <w:tc>
          <w:tcPr>
            <w:tcW w:w="880" w:type="dxa"/>
            <w:vAlign w:val="center"/>
          </w:tcPr>
          <w:p w14:paraId="4CAA25A1">
            <w:pPr>
              <w:jc w:val="center"/>
              <w:rPr>
                <w:rFonts w:hint="eastAsia" w:ascii="宋体" w:hAnsi="宋体" w:eastAsia="宋体"/>
                <w:b/>
                <w:sz w:val="16"/>
                <w:szCs w:val="16"/>
              </w:rPr>
            </w:pPr>
            <w:r>
              <w:rPr>
                <w:rFonts w:hint="eastAsia" w:ascii="宋体" w:hAnsi="宋体" w:eastAsia="宋体"/>
                <w:b/>
                <w:sz w:val="16"/>
                <w:szCs w:val="16"/>
              </w:rPr>
              <w:t>○</w:t>
            </w:r>
          </w:p>
        </w:tc>
        <w:tc>
          <w:tcPr>
            <w:tcW w:w="880" w:type="dxa"/>
            <w:vAlign w:val="center"/>
          </w:tcPr>
          <w:p w14:paraId="36727871">
            <w:pPr>
              <w:jc w:val="center"/>
              <w:rPr>
                <w:rFonts w:hint="eastAsia" w:ascii="宋体" w:hAnsi="宋体" w:eastAsia="宋体"/>
                <w:b/>
                <w:sz w:val="16"/>
                <w:szCs w:val="16"/>
              </w:rPr>
            </w:pPr>
            <w:r>
              <w:rPr>
                <w:rFonts w:hint="eastAsia" w:ascii="宋体" w:hAnsi="宋体" w:eastAsia="宋体"/>
                <w:b/>
                <w:sz w:val="16"/>
                <w:szCs w:val="16"/>
              </w:rPr>
              <w:t>○</w:t>
            </w:r>
          </w:p>
        </w:tc>
      </w:tr>
    </w:tbl>
    <w:p w14:paraId="28B638B2">
      <w:pPr>
        <w:pStyle w:val="28"/>
        <w:widowControl w:val="0"/>
        <w:numPr>
          <w:ilvl w:val="0"/>
          <w:numId w:val="0"/>
        </w:numPr>
        <w:ind w:left="425"/>
        <w:jc w:val="both"/>
        <w:textAlignment w:val="auto"/>
        <w:rPr>
          <w:rFonts w:ascii="Times New Roman" w:hAnsi="Times New Roman" w:eastAsia="宋体" w:cs="Times New Roman"/>
          <w:color w:val="auto"/>
          <w:kern w:val="2"/>
        </w:rPr>
      </w:pPr>
      <w:r>
        <w:rPr>
          <w:rFonts w:ascii="Times New Roman" w:hAnsi="Times New Roman" w:eastAsia="宋体" w:cs="Times New Roman"/>
          <w:color w:val="auto"/>
          <w:kern w:val="2"/>
        </w:rPr>
        <w:t>备注：</w:t>
      </w:r>
    </w:p>
    <w:p w14:paraId="71A9C7B9">
      <w:pPr>
        <w:pStyle w:val="28"/>
        <w:widowControl w:val="0"/>
        <w:numPr>
          <w:ilvl w:val="0"/>
          <w:numId w:val="6"/>
        </w:numPr>
        <w:tabs>
          <w:tab w:val="clear" w:pos="900"/>
        </w:tabs>
        <w:spacing w:before="0" w:after="0" w:line="240" w:lineRule="auto"/>
        <w:ind w:left="780" w:hanging="360"/>
        <w:jc w:val="both"/>
        <w:textAlignment w:val="auto"/>
        <w:rPr>
          <w:rFonts w:hint="eastAsia" w:ascii="宋体" w:hAnsi="宋体" w:eastAsia="宋体" w:cs="Times New Roman"/>
          <w:color w:val="auto"/>
          <w:kern w:val="2"/>
          <w:sz w:val="18"/>
          <w:szCs w:val="18"/>
        </w:rPr>
      </w:pPr>
      <w:r>
        <w:rPr>
          <w:rFonts w:ascii="宋体" w:hAnsi="宋体" w:eastAsia="宋体" w:cs="Times New Roman"/>
          <w:color w:val="auto"/>
          <w:kern w:val="2"/>
          <w:sz w:val="18"/>
          <w:szCs w:val="18"/>
        </w:rPr>
        <w:t>●为必须开展的试验项目；○为选做试验项目（由项目单位决定试验方案）；×为无需开展的试验项目。</w:t>
      </w:r>
    </w:p>
    <w:p w14:paraId="195FF3DA">
      <w:pPr>
        <w:pStyle w:val="28"/>
        <w:widowControl w:val="0"/>
        <w:numPr>
          <w:ilvl w:val="0"/>
          <w:numId w:val="6"/>
        </w:numPr>
        <w:tabs>
          <w:tab w:val="clear" w:pos="900"/>
        </w:tabs>
        <w:spacing w:before="0" w:after="0" w:line="240" w:lineRule="auto"/>
        <w:ind w:left="780" w:hanging="360"/>
        <w:jc w:val="both"/>
        <w:textAlignment w:val="auto"/>
        <w:rPr>
          <w:rFonts w:hint="eastAsia" w:ascii="宋体" w:hAnsi="宋体" w:eastAsia="宋体" w:cs="Times New Roman"/>
          <w:color w:val="auto"/>
          <w:kern w:val="2"/>
          <w:sz w:val="18"/>
          <w:szCs w:val="18"/>
        </w:rPr>
      </w:pPr>
      <w:r>
        <w:rPr>
          <w:rFonts w:ascii="宋体" w:hAnsi="宋体" w:eastAsia="宋体" w:cs="Times New Roman"/>
          <w:color w:val="auto"/>
          <w:kern w:val="2"/>
          <w:sz w:val="18"/>
          <w:szCs w:val="18"/>
        </w:rPr>
        <w:t>第三方试验由具备相应试验项目资质的机构开展。</w:t>
      </w:r>
    </w:p>
    <w:p w14:paraId="111ABE8D">
      <w:pPr>
        <w:pStyle w:val="28"/>
        <w:widowControl w:val="0"/>
        <w:numPr>
          <w:ilvl w:val="0"/>
          <w:numId w:val="6"/>
        </w:numPr>
        <w:tabs>
          <w:tab w:val="clear" w:pos="900"/>
        </w:tabs>
        <w:spacing w:before="0" w:after="0" w:line="240" w:lineRule="auto"/>
        <w:ind w:left="780" w:hanging="360"/>
        <w:jc w:val="both"/>
        <w:textAlignment w:val="auto"/>
        <w:rPr>
          <w:rFonts w:hint="eastAsia" w:ascii="宋体" w:hAnsi="宋体" w:eastAsia="宋体" w:cs="Times New Roman"/>
          <w:color w:val="auto"/>
          <w:kern w:val="2"/>
          <w:sz w:val="18"/>
          <w:szCs w:val="18"/>
        </w:rPr>
      </w:pPr>
      <w:r>
        <w:rPr>
          <w:rFonts w:ascii="宋体" w:hAnsi="宋体" w:eastAsia="宋体" w:cs="Times New Roman"/>
          <w:color w:val="auto"/>
          <w:kern w:val="2"/>
          <w:sz w:val="18"/>
          <w:szCs w:val="18"/>
        </w:rPr>
        <w:t>出厂试验由供货方开展。</w:t>
      </w:r>
    </w:p>
    <w:p w14:paraId="4A0CDE38">
      <w:pPr>
        <w:widowControl w:val="0"/>
        <w:spacing w:line="480" w:lineRule="auto"/>
        <w:jc w:val="both"/>
        <w:textAlignment w:val="auto"/>
        <w:outlineLvl w:val="0"/>
        <w:rPr>
          <w:rFonts w:ascii="Times New Roman" w:hAnsi="Times New Roman" w:eastAsia="黑体" w:cs="Times New Roman"/>
          <w:b/>
          <w:bCs/>
          <w:color w:val="auto"/>
          <w:kern w:val="2"/>
          <w:sz w:val="21"/>
          <w:szCs w:val="21"/>
        </w:rPr>
      </w:pPr>
      <w:bookmarkStart w:id="81" w:name="_Toc3857"/>
      <w:bookmarkStart w:id="82" w:name="_Toc226035302"/>
      <w:bookmarkStart w:id="83" w:name="_Toc5814"/>
      <w:r>
        <w:rPr>
          <w:rFonts w:ascii="Times New Roman" w:hAnsi="Times New Roman" w:eastAsia="黑体" w:cs="Times New Roman"/>
          <w:b/>
          <w:bCs/>
          <w:color w:val="auto"/>
          <w:kern w:val="2"/>
          <w:sz w:val="21"/>
          <w:szCs w:val="21"/>
        </w:rPr>
        <w:t>8 技术联络、技术培训及售后服务</w:t>
      </w:r>
      <w:bookmarkEnd w:id="81"/>
      <w:bookmarkEnd w:id="82"/>
      <w:bookmarkEnd w:id="83"/>
    </w:p>
    <w:p w14:paraId="6AB5F09E">
      <w:pPr>
        <w:pStyle w:val="3"/>
        <w:keepNext/>
        <w:keepLines/>
        <w:widowControl w:val="0"/>
        <w:spacing w:before="0" w:after="0" w:line="360" w:lineRule="auto"/>
        <w:jc w:val="both"/>
        <w:textAlignment w:val="auto"/>
        <w:rPr>
          <w:rFonts w:ascii="Times New Roman" w:hAnsi="Times New Roman" w:eastAsia="黑体" w:cs="Times New Roman"/>
          <w:b w:val="0"/>
          <w:bCs/>
          <w:color w:val="auto"/>
          <w:kern w:val="2"/>
          <w:sz w:val="21"/>
          <w:szCs w:val="21"/>
        </w:rPr>
      </w:pPr>
      <w:bookmarkStart w:id="84" w:name="_Toc226035303"/>
      <w:bookmarkStart w:id="85" w:name="_Toc23810"/>
      <w:bookmarkStart w:id="86" w:name="_Toc6848"/>
      <w:r>
        <w:rPr>
          <w:rFonts w:hint="eastAsia" w:ascii="Times New Roman" w:hAnsi="Times New Roman" w:eastAsia="黑体" w:cs="Times New Roman"/>
          <w:b w:val="0"/>
          <w:bCs/>
          <w:color w:val="auto"/>
          <w:kern w:val="2"/>
          <w:sz w:val="21"/>
          <w:szCs w:val="21"/>
        </w:rPr>
        <w:t>8.1 技术培训</w:t>
      </w:r>
      <w:bookmarkEnd w:id="84"/>
      <w:bookmarkEnd w:id="85"/>
      <w:bookmarkEnd w:id="86"/>
    </w:p>
    <w:p w14:paraId="60DCDB47">
      <w:pPr>
        <w:widowControl w:val="0"/>
        <w:spacing w:line="360" w:lineRule="auto"/>
        <w:ind w:firstLine="420" w:firstLineChars="200"/>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8.1.1 投标方应对用户提供技术培训和操作指导，投标方负责培训全部费用。招标方为南方电网公司下属相应的分子公司免费提供远程技术服务，远程技术服务项目期限不受限于保修期，远程技术服务在设备报废前有效。</w:t>
      </w:r>
    </w:p>
    <w:p w14:paraId="13D512A1">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8.1.2 投标方提供培训应分为工厂培训和现场培训两种。</w:t>
      </w:r>
    </w:p>
    <w:p w14:paraId="70386A2D">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8.1.3 投标方提供培训教师、培训安排、培训教材及培训设备。</w:t>
      </w:r>
    </w:p>
    <w:p w14:paraId="3F4E2953">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8.1.4 投标方应设计专门的培训课程，重点包括飞行器的整体使用方法，数据上传处理，设备组装与拆卸，除树障作业操作流程，电池安全使用，常见故障排查处理等。培训内容包括以上但不限于此。</w:t>
      </w:r>
    </w:p>
    <w:p w14:paraId="34941B10">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8.1.5 培训时间不少于2天，交货后招标方所需开展培训的分子公司、基层单位、班站所各进行不少于2天时间的培训，每次培训人员不少于3人。</w:t>
      </w:r>
    </w:p>
    <w:p w14:paraId="30DEFA59">
      <w:pPr>
        <w:pStyle w:val="3"/>
        <w:keepNext/>
        <w:keepLines/>
        <w:widowControl w:val="0"/>
        <w:spacing w:before="0" w:after="0" w:line="360" w:lineRule="auto"/>
        <w:jc w:val="both"/>
        <w:textAlignment w:val="auto"/>
        <w:rPr>
          <w:rFonts w:ascii="Times New Roman" w:hAnsi="Times New Roman" w:eastAsia="黑体" w:cs="Times New Roman"/>
          <w:b w:val="0"/>
          <w:bCs/>
          <w:color w:val="auto"/>
          <w:kern w:val="2"/>
          <w:sz w:val="21"/>
          <w:szCs w:val="21"/>
        </w:rPr>
      </w:pPr>
      <w:bookmarkStart w:id="87" w:name="_Toc4753"/>
      <w:bookmarkStart w:id="88" w:name="_Toc5251"/>
      <w:bookmarkStart w:id="89" w:name="_Toc226035304"/>
      <w:r>
        <w:rPr>
          <w:rFonts w:hint="eastAsia" w:ascii="Times New Roman" w:hAnsi="Times New Roman" w:eastAsia="黑体" w:cs="Times New Roman"/>
          <w:b w:val="0"/>
          <w:bCs/>
          <w:color w:val="auto"/>
          <w:kern w:val="2"/>
          <w:sz w:val="21"/>
          <w:szCs w:val="21"/>
        </w:rPr>
        <w:t>8.2 现场及远程技术服务</w:t>
      </w:r>
      <w:bookmarkEnd w:id="87"/>
      <w:bookmarkEnd w:id="88"/>
      <w:bookmarkEnd w:id="89"/>
    </w:p>
    <w:p w14:paraId="7536F162">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8.2.1 投标方派出的工程师，在设备的安装接线、调试和测试期间，应负责指导。</w:t>
      </w:r>
    </w:p>
    <w:p w14:paraId="57D740A0">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8.2.2 投标方派出的工程师，还应负责对招标方的安装及维护人员进行现场培训，教会他们如何启动、操作及维护设备。</w:t>
      </w:r>
    </w:p>
    <w:p w14:paraId="77D7160F">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8.2.3 投标方应免费提供远程技术服务，远程技术服务项目期限不受限于保修期，远程技术服务在设备报废前有效。</w:t>
      </w:r>
    </w:p>
    <w:p w14:paraId="117638C9">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8.2.4 远程技术服务响应时间：工作时间内≤2小时，非工作时间内≤4小时。</w:t>
      </w:r>
    </w:p>
    <w:p w14:paraId="7F6D29E4">
      <w:pPr>
        <w:widowControl w:val="0"/>
        <w:spacing w:line="360" w:lineRule="auto"/>
        <w:ind w:firstLine="420" w:firstLineChars="200"/>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 xml:space="preserve">8.2.5 </w:t>
      </w:r>
      <w:r>
        <w:rPr>
          <w:rFonts w:hint="eastAsia" w:ascii="宋体" w:hAnsi="宋体" w:eastAsia="宋体" w:cs="宋体"/>
          <w:color w:val="auto"/>
          <w:sz w:val="21"/>
          <w:szCs w:val="21"/>
        </w:rPr>
        <w:t>招标方通过网络直播等方式每年组织1次设备使用及日常维护培训课程。</w:t>
      </w:r>
    </w:p>
    <w:p w14:paraId="19ED1CD9">
      <w:pPr>
        <w:pStyle w:val="3"/>
        <w:keepNext/>
        <w:keepLines/>
        <w:widowControl w:val="0"/>
        <w:spacing w:before="0" w:after="0" w:line="360" w:lineRule="auto"/>
        <w:jc w:val="both"/>
        <w:textAlignment w:val="auto"/>
        <w:rPr>
          <w:rFonts w:ascii="Times New Roman" w:hAnsi="Times New Roman" w:eastAsia="黑体" w:cs="Times New Roman"/>
          <w:b w:val="0"/>
          <w:bCs/>
          <w:color w:val="auto"/>
          <w:kern w:val="2"/>
          <w:sz w:val="21"/>
          <w:szCs w:val="21"/>
        </w:rPr>
      </w:pPr>
      <w:bookmarkStart w:id="90" w:name="_Toc226035305"/>
      <w:bookmarkStart w:id="91" w:name="_Toc18358"/>
      <w:bookmarkStart w:id="92" w:name="_Toc18368"/>
      <w:r>
        <w:rPr>
          <w:rFonts w:ascii="Times New Roman" w:hAnsi="Times New Roman" w:eastAsia="黑体" w:cs="Times New Roman"/>
          <w:b w:val="0"/>
          <w:bCs/>
          <w:color w:val="auto"/>
          <w:kern w:val="2"/>
          <w:sz w:val="21"/>
          <w:szCs w:val="21"/>
        </w:rPr>
        <w:t>8.3 售后服务</w:t>
      </w:r>
      <w:bookmarkEnd w:id="90"/>
      <w:bookmarkEnd w:id="91"/>
      <w:bookmarkEnd w:id="92"/>
    </w:p>
    <w:p w14:paraId="38785E9D">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8.3.1 设备的质保期为自对账单全部设备到货验收合格并移交之日起不短于正常运行12个月内（供方承诺的质保期若长于上述时间，则按承诺时间执行）。设备在规定的质保期内，发生缺陷，或者由于设计错误、材料、工艺、制造、装配、发送等原因造成的损坏，或是不满足合同的要求，招标方以书面方式通知投标方，投标方应在收到通知后48小时内响应，72小时内提供解决方案（现场服务或更换配件），并立即免费更换或维修这些有损坏和缺陷的设备。</w:t>
      </w:r>
    </w:p>
    <w:p w14:paraId="7CD28632">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8.3.2 在接到招标方通知后，投标方虽努力改进，但仍不满足相关要求，招标方可处理或更换这些设备，由此引起的一切费用由投标方承担。</w:t>
      </w:r>
    </w:p>
    <w:p w14:paraId="33733236">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8.3.3 质保期外，投标方应提供终身维修服务，维修费用按成本价收取，配件供应保障期限不少于5年。</w:t>
      </w:r>
    </w:p>
    <w:p w14:paraId="4C9CEC05">
      <w:pPr>
        <w:widowControl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8.3.</w:t>
      </w:r>
      <w:r>
        <w:rPr>
          <w:rFonts w:hint="eastAsia" w:ascii="Times New Roman" w:hAnsi="Times New Roman" w:eastAsia="宋体" w:cs="Times New Roman"/>
          <w:color w:val="auto"/>
          <w:kern w:val="2"/>
          <w:sz w:val="21"/>
          <w:szCs w:val="21"/>
          <w:lang w:val="en-US" w:eastAsia="zh-CN"/>
        </w:rPr>
        <w:t>4</w:t>
      </w:r>
      <w:r>
        <w:rPr>
          <w:rFonts w:hint="eastAsia" w:ascii="Times New Roman" w:hAnsi="Times New Roman" w:eastAsia="宋体" w:cs="Times New Roman"/>
          <w:color w:val="auto"/>
          <w:kern w:val="2"/>
          <w:sz w:val="21"/>
          <w:szCs w:val="21"/>
        </w:rPr>
        <w:t xml:space="preserve"> 投标单位应提高售后处理服务水平和质量，质保期内在接到使用单位报障后，应在15日内处理完毕，确保使用单位策略按时完成。</w:t>
      </w:r>
    </w:p>
    <w:p w14:paraId="3B176325">
      <w:pPr>
        <w:widowControl w:val="0"/>
        <w:spacing w:line="480" w:lineRule="auto"/>
        <w:jc w:val="both"/>
        <w:textAlignment w:val="auto"/>
        <w:outlineLvl w:val="0"/>
        <w:rPr>
          <w:rFonts w:ascii="Times New Roman" w:hAnsi="Times New Roman" w:eastAsia="黑体" w:cs="Times New Roman"/>
          <w:b/>
          <w:bCs/>
          <w:color w:val="auto"/>
          <w:kern w:val="2"/>
          <w:sz w:val="21"/>
          <w:szCs w:val="21"/>
        </w:rPr>
      </w:pPr>
      <w:bookmarkStart w:id="93" w:name="_Toc226035306"/>
      <w:bookmarkStart w:id="94" w:name="_Toc6398"/>
      <w:bookmarkStart w:id="95" w:name="_Toc10221"/>
      <w:r>
        <w:rPr>
          <w:rFonts w:ascii="Times New Roman" w:hAnsi="Times New Roman" w:eastAsia="黑体" w:cs="Times New Roman"/>
          <w:b/>
          <w:bCs/>
          <w:color w:val="auto"/>
          <w:kern w:val="2"/>
          <w:sz w:val="21"/>
          <w:szCs w:val="21"/>
        </w:rPr>
        <w:t>9 标志、包装、运输、贮存</w:t>
      </w:r>
      <w:bookmarkEnd w:id="93"/>
      <w:bookmarkEnd w:id="94"/>
      <w:bookmarkEnd w:id="95"/>
    </w:p>
    <w:p w14:paraId="0B43486E">
      <w:pPr>
        <w:pStyle w:val="3"/>
        <w:keepLines/>
        <w:widowControl w:val="0"/>
        <w:spacing w:before="0" w:after="0" w:line="360" w:lineRule="auto"/>
        <w:jc w:val="both"/>
        <w:textAlignment w:val="auto"/>
        <w:rPr>
          <w:rFonts w:ascii="Times New Roman" w:hAnsi="Times New Roman" w:eastAsia="黑体" w:cs="Times New Roman"/>
          <w:b w:val="0"/>
          <w:bCs/>
          <w:color w:val="auto"/>
          <w:kern w:val="2"/>
          <w:sz w:val="21"/>
          <w:szCs w:val="21"/>
        </w:rPr>
      </w:pPr>
      <w:bookmarkStart w:id="96" w:name="_Toc17668"/>
      <w:bookmarkStart w:id="97" w:name="_Toc226035307"/>
      <w:bookmarkStart w:id="98" w:name="_Toc16086"/>
      <w:r>
        <w:rPr>
          <w:rFonts w:ascii="Times New Roman" w:hAnsi="Times New Roman" w:eastAsia="黑体" w:cs="Times New Roman"/>
          <w:b w:val="0"/>
          <w:bCs/>
          <w:color w:val="auto"/>
          <w:kern w:val="2"/>
          <w:sz w:val="21"/>
          <w:szCs w:val="21"/>
        </w:rPr>
        <w:t>9.1 包装</w:t>
      </w:r>
      <w:bookmarkEnd w:id="96"/>
      <w:bookmarkEnd w:id="97"/>
      <w:bookmarkEnd w:id="98"/>
    </w:p>
    <w:p w14:paraId="2F3E4A1A">
      <w:pPr>
        <w:widowControl w:val="0"/>
        <w:adjustRightInd w:val="0"/>
        <w:snapToGrid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1）投标方应根据双方商定好的标准和招标方的实际运输条件，将所有零部件包装好，并将全套使用说明书、产品合格证明书、产品外形尺寸图、运输尺寸图、产品拆卸件一览表、装箱单、铭牌图或铭牌标志图及备件一览表等包装好，防止受潮。从投标方发货至招标方收到期间，设备和资料应完好无损。</w:t>
      </w:r>
    </w:p>
    <w:p w14:paraId="03AD8C62">
      <w:pPr>
        <w:widowControl w:val="0"/>
        <w:adjustRightInd w:val="0"/>
        <w:snapToGrid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2）包装箱应连续编号，不能有重号。零部件、材料启运前投标方应在箱面上写不褪色的醒目标志：合同号、收货人及代码、设备名称和项目号、箱号、毛重与净重、外形尺寸，以及“重心”、“起吊点”、“小心搬运”“正面向上”“防止受潮”“勿倒”、“勿倾斜”、“防火”等字样。</w:t>
      </w:r>
    </w:p>
    <w:p w14:paraId="33EF4346">
      <w:pPr>
        <w:widowControl w:val="0"/>
        <w:adjustRightInd w:val="0"/>
        <w:snapToGrid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3）投标方提供的技术文件的包装内外表面上应有如下中文标志：合同号、收货人、目的地、毛重、箱号。</w:t>
      </w:r>
    </w:p>
    <w:p w14:paraId="7CF4ACB1">
      <w:pPr>
        <w:widowControl w:val="0"/>
        <w:adjustRightInd w:val="0"/>
        <w:snapToGrid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4）在设备启运后一周内，投标方应以最快捷的方式通知招标方以下内容：设备名称、件数、件号、重量、合同号、货运单号、设备发出日期。</w:t>
      </w:r>
    </w:p>
    <w:p w14:paraId="51920174">
      <w:pPr>
        <w:widowControl w:val="0"/>
        <w:adjustRightInd w:val="0"/>
        <w:snapToGrid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5）运输、贮存直到交付使用时应保护所有组、部件不得损坏、不得进水和受潮。</w:t>
      </w:r>
    </w:p>
    <w:p w14:paraId="694EA26B">
      <w:pPr>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投标方所供的设备和附件，在货运途中需外包防雨防潮胶袋，用纸皮箱包封运输，纸皮箱间需加塞泡沫防震层，采取有效的防雨、防潮、防震措施，以适应远途运输的要求。</w:t>
      </w:r>
    </w:p>
    <w:p w14:paraId="08B9D690">
      <w:pPr>
        <w:widowControl w:val="0"/>
        <w:adjustRightInd w:val="0"/>
        <w:snapToGrid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6）</w:t>
      </w:r>
      <w:r>
        <w:rPr>
          <w:rFonts w:hint="eastAsia" w:ascii="宋体" w:hAnsi="宋体" w:eastAsia="宋体" w:cs="宋体"/>
          <w:color w:val="auto"/>
          <w:sz w:val="21"/>
          <w:szCs w:val="21"/>
        </w:rPr>
        <w:t>所有设备分别包装、装箱、或采取其他防护措施，以避免设备在运输过程中散失、损坏或被盗。</w:t>
      </w:r>
    </w:p>
    <w:p w14:paraId="5C69172C">
      <w:pPr>
        <w:pStyle w:val="3"/>
        <w:keepLines/>
        <w:widowControl w:val="0"/>
        <w:spacing w:before="0" w:after="0" w:line="360" w:lineRule="auto"/>
        <w:jc w:val="both"/>
        <w:textAlignment w:val="auto"/>
        <w:rPr>
          <w:rFonts w:ascii="Times New Roman" w:hAnsi="Times New Roman" w:eastAsia="黑体" w:cs="Times New Roman"/>
          <w:b w:val="0"/>
          <w:bCs/>
          <w:color w:val="auto"/>
          <w:kern w:val="2"/>
          <w:sz w:val="21"/>
          <w:szCs w:val="21"/>
        </w:rPr>
      </w:pPr>
      <w:bookmarkStart w:id="99" w:name="_Toc226035308"/>
      <w:bookmarkStart w:id="100" w:name="_Toc31946"/>
      <w:bookmarkStart w:id="101" w:name="_Toc29432"/>
      <w:r>
        <w:rPr>
          <w:rFonts w:ascii="Times New Roman" w:hAnsi="Times New Roman" w:eastAsia="黑体" w:cs="Times New Roman"/>
          <w:b w:val="0"/>
          <w:bCs/>
          <w:color w:val="auto"/>
          <w:kern w:val="2"/>
          <w:sz w:val="21"/>
          <w:szCs w:val="21"/>
        </w:rPr>
        <w:t>9.2 运输</w:t>
      </w:r>
      <w:bookmarkEnd w:id="99"/>
      <w:bookmarkEnd w:id="100"/>
      <w:bookmarkEnd w:id="101"/>
    </w:p>
    <w:p w14:paraId="46AACA0D">
      <w:pPr>
        <w:widowControl w:val="0"/>
        <w:adjustRightInd w:val="0"/>
        <w:snapToGrid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a. 制造厂应充分考虑运输条件及路、桥运输重量，并应编制运输方案、确定最大单件的尺寸及运输单重。</w:t>
      </w:r>
    </w:p>
    <w:p w14:paraId="2116311D">
      <w:pPr>
        <w:widowControl w:val="0"/>
        <w:adjustRightInd w:val="0"/>
        <w:snapToGrid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b. 制造厂负责将设备安全地运到运行单位指定地点，并负责设备卸车落地。制造厂应做到设备在任何运输过程中不受损坏，考虑到设备在船运和陆运运输中可能受到的最大加速度所产生的冲击力而不松动、不损坏、不变形。</w:t>
      </w:r>
    </w:p>
    <w:p w14:paraId="6B66D796">
      <w:pPr>
        <w:widowControl w:val="0"/>
        <w:adjustRightInd w:val="0"/>
        <w:snapToGrid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c. 备品备件、专用工具和仪器应与附属设备同时装运，并明显标记，以便与提供的其它设备相区别。</w:t>
      </w:r>
    </w:p>
    <w:p w14:paraId="63697C38">
      <w:pPr>
        <w:widowControl w:val="0"/>
        <w:adjustRightInd w:val="0"/>
        <w:snapToGrid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d.在设备到达目的地后，由招标方组织用户方和投标方参加开箱检查接收。如果发现任一设备有偏差、损坏、损失、遗漏或数量、质量、技术规范因投标方的责任与供货需求不符，招标方有权不予接收，并按招标方要求补齐或者更换。</w:t>
      </w:r>
    </w:p>
    <w:p w14:paraId="60CF4B61">
      <w:pPr>
        <w:widowControl w:val="0"/>
        <w:adjustRightInd w:val="0"/>
        <w:snapToGrid w:val="0"/>
        <w:spacing w:line="360" w:lineRule="auto"/>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e.从投标方到用户方指定的目的地的运输由投标方负责。</w:t>
      </w:r>
    </w:p>
    <w:p w14:paraId="0B8BBCAE">
      <w:pPr>
        <w:pStyle w:val="3"/>
        <w:keepLines/>
        <w:widowControl w:val="0"/>
        <w:spacing w:before="0" w:after="0" w:line="360" w:lineRule="auto"/>
        <w:jc w:val="both"/>
        <w:textAlignment w:val="auto"/>
        <w:rPr>
          <w:rFonts w:ascii="Times New Roman" w:hAnsi="Times New Roman" w:eastAsia="黑体" w:cs="Times New Roman"/>
          <w:b w:val="0"/>
          <w:bCs/>
          <w:color w:val="auto"/>
          <w:kern w:val="2"/>
          <w:sz w:val="21"/>
          <w:szCs w:val="21"/>
        </w:rPr>
      </w:pPr>
      <w:bookmarkStart w:id="102" w:name="_Toc32746"/>
      <w:bookmarkStart w:id="103" w:name="_Toc24097"/>
      <w:bookmarkStart w:id="104" w:name="_Toc226035309"/>
      <w:r>
        <w:rPr>
          <w:rFonts w:ascii="Times New Roman" w:hAnsi="Times New Roman" w:eastAsia="黑体" w:cs="Times New Roman"/>
          <w:b w:val="0"/>
          <w:bCs/>
          <w:color w:val="auto"/>
          <w:kern w:val="2"/>
          <w:sz w:val="21"/>
          <w:szCs w:val="21"/>
        </w:rPr>
        <w:t>9.3 组装指导</w:t>
      </w:r>
      <w:bookmarkEnd w:id="102"/>
      <w:bookmarkEnd w:id="103"/>
      <w:bookmarkEnd w:id="104"/>
    </w:p>
    <w:p w14:paraId="0AD21D08">
      <w:pPr>
        <w:widowControl w:val="0"/>
        <w:adjustRightInd w:val="0"/>
        <w:snapToGrid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制造厂在组装和初期（至少3个架次）使用时应安排技术人员提供现场组装指导服务，提出技术建议，并有对运行人员提供相关培训的义务。</w:t>
      </w:r>
    </w:p>
    <w:p w14:paraId="39B069C3">
      <w:pPr>
        <w:pStyle w:val="3"/>
        <w:keepLines/>
        <w:widowControl w:val="0"/>
        <w:spacing w:before="0" w:after="0" w:line="360" w:lineRule="auto"/>
        <w:jc w:val="both"/>
        <w:textAlignment w:val="auto"/>
        <w:rPr>
          <w:rFonts w:ascii="Times New Roman" w:hAnsi="Times New Roman" w:eastAsia="黑体" w:cs="Times New Roman"/>
          <w:b w:val="0"/>
          <w:bCs/>
          <w:color w:val="auto"/>
          <w:kern w:val="2"/>
          <w:sz w:val="21"/>
          <w:szCs w:val="21"/>
        </w:rPr>
      </w:pPr>
      <w:bookmarkStart w:id="105" w:name="_Toc7494"/>
      <w:bookmarkStart w:id="106" w:name="_Toc28555"/>
      <w:bookmarkStart w:id="107" w:name="_Toc226035310"/>
      <w:r>
        <w:rPr>
          <w:rFonts w:ascii="Times New Roman" w:hAnsi="Times New Roman" w:eastAsia="黑体" w:cs="Times New Roman"/>
          <w:b w:val="0"/>
          <w:bCs/>
          <w:color w:val="auto"/>
          <w:kern w:val="2"/>
          <w:sz w:val="21"/>
          <w:szCs w:val="21"/>
        </w:rPr>
        <w:t>9.4 质量保证</w:t>
      </w:r>
      <w:bookmarkEnd w:id="105"/>
      <w:bookmarkEnd w:id="106"/>
      <w:bookmarkEnd w:id="107"/>
    </w:p>
    <w:p w14:paraId="3FD63DF9">
      <w:pPr>
        <w:widowControl w:val="0"/>
        <w:adjustRightInd w:val="0"/>
        <w:snapToGrid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1）全部设备必须是全新的、持久耐用的，应满足作为一个完整产品所能满足的全部要求。投标方应保证设备在规定的使用条件下使用、并按使用说明书进行组装和维护，设备的预期寿命应不少于8年。</w:t>
      </w:r>
    </w:p>
    <w:p w14:paraId="19145506">
      <w:pPr>
        <w:widowControl w:val="0"/>
        <w:adjustRightInd w:val="0"/>
        <w:snapToGrid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2）产品质保期为自对账单全部设备到货验收合格并移交之日起不短于正常运行一年内（供方承诺的质保期若长于上述时间，则按承诺时间执行）。质保期内所有零部件发生非人为原因损坏时，投标方负责免费维修或更换。之后如发生产品损坏，投标方应及时为本套系统提供维修部件和服务，并按最近的投标价提供。</w:t>
      </w:r>
    </w:p>
    <w:p w14:paraId="3C0E794F">
      <w:pPr>
        <w:widowControl w:val="0"/>
        <w:adjustRightInd w:val="0"/>
        <w:snapToGrid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3）投标方应保证制造过程中的所有工艺、材料试验等（包括投标方的外购件在内）均应符合本标准的规定。若招标方根据使用经验指定投标方提供某种外购零部件，投标方应积极配合。</w:t>
      </w:r>
    </w:p>
    <w:p w14:paraId="12509309">
      <w:pPr>
        <w:widowControl w:val="0"/>
        <w:adjustRightInd w:val="0"/>
        <w:snapToGrid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4）附属及配套设备必须满足有关行业标准的要求，并提供试验报告和产品合格证。</w:t>
      </w:r>
    </w:p>
    <w:p w14:paraId="382570C0">
      <w:pPr>
        <w:widowControl w:val="0"/>
        <w:adjustRightInd w:val="0"/>
        <w:snapToGrid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宋体" w:hAnsi="宋体" w:eastAsia="宋体" w:cs="宋体"/>
          <w:color w:val="auto"/>
          <w:sz w:val="21"/>
          <w:szCs w:val="21"/>
        </w:rPr>
        <w:t>投标方应根据国家标准和制造厂标准进行出厂试验，对其所供的设备进行全面的检查与试验，并提供出厂试验报告。</w:t>
      </w:r>
    </w:p>
    <w:p w14:paraId="0F633D3C">
      <w:pPr>
        <w:widowControl w:val="0"/>
        <w:numPr>
          <w:ilvl w:val="0"/>
          <w:numId w:val="7"/>
        </w:numPr>
        <w:adjustRightInd w:val="0"/>
        <w:snapToGrid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投标方应有遵守本标准中各条款和工作项目的ISO9000-GB/T19000质量保证体系，该质量保证体系已经通过国家认证并在正常运转。</w:t>
      </w:r>
    </w:p>
    <w:p w14:paraId="6D30E536">
      <w:pPr>
        <w:widowControl w:val="0"/>
        <w:numPr>
          <w:ilvl w:val="0"/>
          <w:numId w:val="7"/>
        </w:numPr>
        <w:adjustRightInd w:val="0"/>
        <w:snapToGrid w:val="0"/>
        <w:spacing w:line="360" w:lineRule="auto"/>
        <w:ind w:firstLine="420" w:firstLineChars="200"/>
        <w:jc w:val="both"/>
        <w:textAlignment w:val="auto"/>
        <w:rPr>
          <w:rFonts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投标方所供的设备应可接入招标方机巡管理等相关系统进行实时定位监控，符合国家及招标方飞行动态数据管理、实时动态监控、安全管控、巡检航线任务执行等要求。</w:t>
      </w:r>
    </w:p>
    <w:p w14:paraId="07D62E39">
      <w:pPr>
        <w:pStyle w:val="3"/>
        <w:keepLines/>
        <w:widowControl w:val="0"/>
        <w:spacing w:before="0" w:after="0" w:line="360" w:lineRule="auto"/>
        <w:jc w:val="both"/>
        <w:textAlignment w:val="auto"/>
        <w:rPr>
          <w:rFonts w:ascii="Times New Roman" w:hAnsi="Times New Roman" w:eastAsia="黑体" w:cs="Times New Roman"/>
          <w:b w:val="0"/>
          <w:bCs/>
          <w:color w:val="auto"/>
          <w:kern w:val="2"/>
          <w:sz w:val="21"/>
          <w:szCs w:val="21"/>
        </w:rPr>
      </w:pPr>
      <w:bookmarkStart w:id="108" w:name="_Toc21661"/>
      <w:bookmarkStart w:id="109" w:name="_Toc226035311"/>
      <w:bookmarkStart w:id="110" w:name="_Toc23887"/>
      <w:bookmarkStart w:id="111" w:name="_Toc27855"/>
      <w:r>
        <w:rPr>
          <w:rFonts w:hint="eastAsia" w:ascii="Times New Roman" w:hAnsi="Times New Roman" w:eastAsia="黑体" w:cs="Times New Roman"/>
          <w:b w:val="0"/>
          <w:bCs/>
          <w:color w:val="auto"/>
          <w:kern w:val="2"/>
          <w:sz w:val="21"/>
          <w:szCs w:val="21"/>
        </w:rPr>
        <w:t>9.5 设备验收</w:t>
      </w:r>
      <w:bookmarkEnd w:id="108"/>
      <w:bookmarkEnd w:id="109"/>
      <w:bookmarkEnd w:id="110"/>
      <w:bookmarkEnd w:id="111"/>
    </w:p>
    <w:p w14:paraId="3EB7FFDF">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1）中标方应在合同规定时间内，将招标范围内所界定的工作完成，并将完整的成套设备及附件和技术文件通过双方认可的验收后，交付给采购的分子公司，其中包括：</w:t>
      </w:r>
    </w:p>
    <w:p w14:paraId="33DFEC93">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a.满足本文件的项目目标和相应的技术要求、业务要求的完整的可最终良好运行的设备和附件。</w:t>
      </w:r>
    </w:p>
    <w:p w14:paraId="30837FB9">
      <w:pPr>
        <w:spacing w:line="360" w:lineRule="auto"/>
        <w:ind w:left="650" w:leftChars="200" w:hanging="210" w:hangingChars="100"/>
        <w:rPr>
          <w:rFonts w:hint="eastAsia" w:ascii="宋体" w:hAnsi="宋体" w:eastAsia="宋体" w:cs="宋体"/>
          <w:color w:val="auto"/>
          <w:sz w:val="21"/>
          <w:szCs w:val="21"/>
        </w:rPr>
      </w:pPr>
      <w:r>
        <w:rPr>
          <w:rFonts w:hint="eastAsia" w:ascii="宋体" w:hAnsi="宋体" w:eastAsia="宋体" w:cs="宋体"/>
          <w:color w:val="auto"/>
          <w:sz w:val="21"/>
          <w:szCs w:val="21"/>
        </w:rPr>
        <w:t>b.应包括但不限于满足确保设备正常运行所需的操作及维护有关的全套技术文件。</w:t>
      </w:r>
    </w:p>
    <w:p w14:paraId="3FC79826">
      <w:pPr>
        <w:ind w:firstLine="420" w:firstLineChars="200"/>
        <w:rPr>
          <w:rFonts w:hint="eastAsia"/>
        </w:rPr>
      </w:pPr>
      <w:r>
        <w:rPr>
          <w:rFonts w:hint="eastAsia" w:ascii="宋体" w:hAnsi="宋体" w:eastAsia="宋体" w:cs="宋体"/>
          <w:color w:val="auto"/>
          <w:sz w:val="21"/>
          <w:szCs w:val="21"/>
        </w:rPr>
        <w:t>c.验收时若发现设备或附件存在由中标方造成的缺陷或不符合本技术条件要求时，中标方应无条件更换设备或附件。</w:t>
      </w:r>
    </w:p>
    <w:p w14:paraId="6724CFA1">
      <w:pPr>
        <w:rPr>
          <w:rFonts w:hint="eastAsia"/>
        </w:rPr>
      </w:pPr>
    </w:p>
    <w:sectPr>
      <w:headerReference r:id="rId4" w:type="first"/>
      <w:headerReference r:id="rId3" w:type="default"/>
      <w:footerReference r:id="rId5" w:type="default"/>
      <w:pgSz w:w="11906" w:h="16838"/>
      <w:pgMar w:top="1417" w:right="1417" w:bottom="1417" w:left="1417" w:header="850" w:footer="992" w:gutter="0"/>
      <w:cols w:space="0" w:num="1"/>
      <w:docGrid w:type="lines" w:linePitch="24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egoe UI Emoji">
    <w:panose1 w:val="020B0502040204020203"/>
    <w:charset w:val="00"/>
    <w:family w:val="swiss"/>
    <w:pitch w:val="default"/>
    <w:sig w:usb0="00000001" w:usb1="02000000" w:usb2="00000000" w:usb3="00000000" w:csb0="00000001" w:csb1="00000000"/>
  </w:font>
  <w:font w:name="方正书宋简体">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2AD9A">
    <w:pPr>
      <w:pStyle w:val="10"/>
      <w:jc w:val="center"/>
      <w:rPr>
        <w:rFonts w:hint="eastAsia"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１</w:t>
    </w:r>
    <w:r>
      <w:rPr>
        <w:rFonts w:ascii="宋体" w:hAnsi="宋体"/>
      </w:rPr>
      <w:fldChar w:fldCharType="end"/>
    </w:r>
  </w:p>
  <w:p w14:paraId="6DAAB15A">
    <w:pPr>
      <w:pStyle w:val="10"/>
      <w:ind w:firstLine="360"/>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B8C69">
    <w:pPr>
      <w:pStyle w:val="11"/>
      <w:rPr>
        <w:rFonts w:hint="eastAsia" w:asciiTheme="majorEastAsia" w:hAnsiTheme="majorEastAsia" w:eastAsiaTheme="majorEastAsia" w:cstheme="majorEastAsia"/>
      </w:rPr>
    </w:pPr>
    <w:r>
      <w:rPr>
        <w:rFonts w:hint="eastAsia" w:asciiTheme="majorEastAsia" w:hAnsiTheme="majorEastAsia" w:eastAsiaTheme="majorEastAsia" w:cstheme="majorEastAsia"/>
      </w:rPr>
      <w:t>树障修剪无人机（多旋翼无人机）技术规范书（通用部分）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F9B8F7">
    <w:pPr>
      <w:pStyle w:val="11"/>
      <w:rPr>
        <w:rFonts w:hint="eastAsia"/>
      </w:rPr>
    </w:pPr>
    <w:r>
      <w:rPr>
        <w:rFonts w:hint="eastAsia"/>
      </w:rPr>
      <w:t>多旋翼高精度定位可见光无人机技术规范书（通用部分）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D32518"/>
    <w:multiLevelType w:val="singleLevel"/>
    <w:tmpl w:val="D1D32518"/>
    <w:lvl w:ilvl="0" w:tentative="0">
      <w:start w:val="1"/>
      <w:numFmt w:val="lowerLetter"/>
      <w:lvlText w:val="%1）"/>
      <w:lvlJc w:val="left"/>
    </w:lvl>
  </w:abstractNum>
  <w:abstractNum w:abstractNumId="1">
    <w:nsid w:val="00000014"/>
    <w:multiLevelType w:val="multilevel"/>
    <w:tmpl w:val="00000014"/>
    <w:lvl w:ilvl="0" w:tentative="0">
      <w:start w:val="1"/>
      <w:numFmt w:val="decimal"/>
      <w:lvlText w:val="%1)"/>
      <w:lvlJc w:val="left"/>
      <w:pPr>
        <w:tabs>
          <w:tab w:val="left" w:pos="900"/>
        </w:tabs>
        <w:ind w:left="900" w:hanging="420"/>
      </w:p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2">
    <w:nsid w:val="00000015"/>
    <w:multiLevelType w:val="multilevel"/>
    <w:tmpl w:val="00000015"/>
    <w:lvl w:ilvl="0" w:tentative="0">
      <w:start w:val="1"/>
      <w:numFmt w:val="decimal"/>
      <w:lvlText w:val="%1"/>
      <w:lvlJc w:val="left"/>
      <w:pPr>
        <w:ind w:left="425" w:hanging="425"/>
      </w:pPr>
      <w:rPr>
        <w:rFonts w:hint="eastAsia"/>
        <w:sz w:val="21"/>
        <w:szCs w:val="21"/>
      </w:rPr>
    </w:lvl>
    <w:lvl w:ilvl="1" w:tentative="0">
      <w:start w:val="1"/>
      <w:numFmt w:val="decimal"/>
      <w:pStyle w:val="28"/>
      <w:lvlText w:val="%1.%2"/>
      <w:lvlJc w:val="left"/>
      <w:pPr>
        <w:ind w:left="567" w:hanging="425"/>
      </w:pPr>
      <w:rPr>
        <w:rFonts w:hint="eastAsia"/>
        <w:sz w:val="21"/>
        <w:szCs w:val="21"/>
      </w:rPr>
    </w:lvl>
    <w:lvl w:ilvl="2" w:tentative="0">
      <w:start w:val="1"/>
      <w:numFmt w:val="decimal"/>
      <w:lvlText w:val="%1.%2.%3"/>
      <w:lvlJc w:val="left"/>
      <w:pPr>
        <w:ind w:left="851" w:hanging="851"/>
      </w:pPr>
      <w:rPr>
        <w:rFonts w:hint="eastAsia"/>
        <w:sz w:val="21"/>
        <w:szCs w:val="21"/>
      </w:rPr>
    </w:lvl>
    <w:lvl w:ilvl="3" w:tentative="0">
      <w:start w:val="1"/>
      <w:numFmt w:val="decimal"/>
      <w:lvlText w:val="%1.%2.%3.%4"/>
      <w:lvlJc w:val="left"/>
      <w:pPr>
        <w:ind w:left="1276" w:hanging="1276"/>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
    <w:nsid w:val="1E7515B2"/>
    <w:multiLevelType w:val="multilevel"/>
    <w:tmpl w:val="1E7515B2"/>
    <w:lvl w:ilvl="0" w:tentative="0">
      <w:start w:val="1"/>
      <w:numFmt w:val="lowerLetter"/>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4">
    <w:nsid w:val="20000001"/>
    <w:multiLevelType w:val="singleLevel"/>
    <w:tmpl w:val="20000001"/>
    <w:lvl w:ilvl="0" w:tentative="0">
      <w:start w:val="1"/>
      <w:numFmt w:val="decimal"/>
      <w:pStyle w:val="23"/>
      <w:suff w:val="space"/>
      <w:lvlText w:val="%1 "/>
      <w:lvlJc w:val="right"/>
      <w:rPr>
        <w:rFonts w:ascii="微软雅黑" w:hAnsi="微软雅黑" w:eastAsia="微软雅黑" w:cs="微软雅黑"/>
        <w:color w:val="C0C6CF"/>
        <w:sz w:val="16"/>
      </w:rPr>
    </w:lvl>
  </w:abstractNum>
  <w:abstractNum w:abstractNumId="5">
    <w:nsid w:val="2A5AECC0"/>
    <w:multiLevelType w:val="singleLevel"/>
    <w:tmpl w:val="2A5AECC0"/>
    <w:lvl w:ilvl="0" w:tentative="0">
      <w:start w:val="5"/>
      <w:numFmt w:val="decimal"/>
      <w:suff w:val="nothing"/>
      <w:lvlText w:val="%1）"/>
      <w:lvlJc w:val="left"/>
    </w:lvl>
  </w:abstractNum>
  <w:abstractNum w:abstractNumId="6">
    <w:nsid w:val="390B2C3D"/>
    <w:multiLevelType w:val="multilevel"/>
    <w:tmpl w:val="390B2C3D"/>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4"/>
  </w:num>
  <w:num w:numId="2">
    <w:abstractNumId w:val="2"/>
  </w:num>
  <w:num w:numId="3">
    <w:abstractNumId w:val="6"/>
  </w:num>
  <w:num w:numId="4">
    <w:abstractNumId w:val="0"/>
  </w:num>
  <w:num w:numId="5">
    <w:abstractNumId w:val="3"/>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2956"/>
    <w:rsid w:val="001A2956"/>
    <w:rsid w:val="001D0189"/>
    <w:rsid w:val="002215BC"/>
    <w:rsid w:val="003020A5"/>
    <w:rsid w:val="003067CA"/>
    <w:rsid w:val="003132D5"/>
    <w:rsid w:val="003B1F8B"/>
    <w:rsid w:val="005031CD"/>
    <w:rsid w:val="00630C72"/>
    <w:rsid w:val="0065170B"/>
    <w:rsid w:val="007853C3"/>
    <w:rsid w:val="007C23D1"/>
    <w:rsid w:val="0087710A"/>
    <w:rsid w:val="00881067"/>
    <w:rsid w:val="00891C8C"/>
    <w:rsid w:val="009560E7"/>
    <w:rsid w:val="00A80D04"/>
    <w:rsid w:val="00AE35D2"/>
    <w:rsid w:val="00B840FA"/>
    <w:rsid w:val="00C4616C"/>
    <w:rsid w:val="00CD2DB3"/>
    <w:rsid w:val="00D60D59"/>
    <w:rsid w:val="00D63538"/>
    <w:rsid w:val="00D966DB"/>
    <w:rsid w:val="00F63B2F"/>
    <w:rsid w:val="00FB1E51"/>
    <w:rsid w:val="01D87EB1"/>
    <w:rsid w:val="073065CD"/>
    <w:rsid w:val="0C855E5D"/>
    <w:rsid w:val="0E111966"/>
    <w:rsid w:val="0F0740B7"/>
    <w:rsid w:val="111F3886"/>
    <w:rsid w:val="114305CD"/>
    <w:rsid w:val="11974979"/>
    <w:rsid w:val="12B075B8"/>
    <w:rsid w:val="1376182A"/>
    <w:rsid w:val="154A32F0"/>
    <w:rsid w:val="161B669A"/>
    <w:rsid w:val="194B10BB"/>
    <w:rsid w:val="1D192B64"/>
    <w:rsid w:val="1FFA17C1"/>
    <w:rsid w:val="20B01FA5"/>
    <w:rsid w:val="21F92393"/>
    <w:rsid w:val="254F0216"/>
    <w:rsid w:val="26E15BC2"/>
    <w:rsid w:val="2ABA6100"/>
    <w:rsid w:val="30D228C4"/>
    <w:rsid w:val="31614F93"/>
    <w:rsid w:val="32D83E39"/>
    <w:rsid w:val="33C366B4"/>
    <w:rsid w:val="34A13889"/>
    <w:rsid w:val="35D015C1"/>
    <w:rsid w:val="35E33606"/>
    <w:rsid w:val="383E473E"/>
    <w:rsid w:val="3ACB4F85"/>
    <w:rsid w:val="3B0911E6"/>
    <w:rsid w:val="3C151AB3"/>
    <w:rsid w:val="3C67352B"/>
    <w:rsid w:val="3D5A265A"/>
    <w:rsid w:val="4013200C"/>
    <w:rsid w:val="404F0E00"/>
    <w:rsid w:val="42FB694B"/>
    <w:rsid w:val="44B9523F"/>
    <w:rsid w:val="467E1500"/>
    <w:rsid w:val="481420CF"/>
    <w:rsid w:val="484E6031"/>
    <w:rsid w:val="4912133E"/>
    <w:rsid w:val="4B1E25CC"/>
    <w:rsid w:val="4BAD5577"/>
    <w:rsid w:val="4CBF35FA"/>
    <w:rsid w:val="4F8B15DA"/>
    <w:rsid w:val="507D5B95"/>
    <w:rsid w:val="51902F6C"/>
    <w:rsid w:val="52F304DD"/>
    <w:rsid w:val="54334155"/>
    <w:rsid w:val="560339B2"/>
    <w:rsid w:val="56AA56C5"/>
    <w:rsid w:val="574F3919"/>
    <w:rsid w:val="59F14D15"/>
    <w:rsid w:val="60B81ABE"/>
    <w:rsid w:val="684B4A87"/>
    <w:rsid w:val="68A35DBC"/>
    <w:rsid w:val="6A6A7928"/>
    <w:rsid w:val="70606FEC"/>
    <w:rsid w:val="7580099D"/>
    <w:rsid w:val="778D77D4"/>
    <w:rsid w:val="781F1409"/>
    <w:rsid w:val="78E21FA1"/>
    <w:rsid w:val="798E6DF9"/>
    <w:rsid w:val="7A7C4CDB"/>
    <w:rsid w:val="7A930825"/>
    <w:rsid w:val="7FD567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extAlignment w:val="baseline"/>
    </w:pPr>
    <w:rPr>
      <w:rFonts w:ascii="微软雅黑" w:hAnsi="微软雅黑" w:eastAsia="微软雅黑" w:cs="微软雅黑"/>
      <w:color w:val="080F17"/>
      <w:sz w:val="22"/>
      <w:lang w:val="en-US" w:eastAsia="zh-CN" w:bidi="ar-SA"/>
    </w:rPr>
  </w:style>
  <w:style w:type="paragraph" w:styleId="2">
    <w:name w:val="heading 1"/>
    <w:basedOn w:val="3"/>
    <w:next w:val="1"/>
    <w:qFormat/>
    <w:uiPriority w:val="0"/>
    <w:pPr>
      <w:spacing w:before="390" w:line="634" w:lineRule="exact"/>
      <w:outlineLvl w:val="0"/>
    </w:pPr>
    <w:rPr>
      <w:sz w:val="38"/>
    </w:rPr>
  </w:style>
  <w:style w:type="paragraph" w:styleId="3">
    <w:name w:val="heading 2"/>
    <w:basedOn w:val="1"/>
    <w:next w:val="1"/>
    <w:qFormat/>
    <w:uiPriority w:val="0"/>
    <w:pPr>
      <w:spacing w:before="330" w:after="120" w:line="536" w:lineRule="exact"/>
      <w:outlineLvl w:val="1"/>
    </w:pPr>
    <w:rPr>
      <w:b/>
      <w:sz w:val="32"/>
    </w:rPr>
  </w:style>
  <w:style w:type="paragraph" w:styleId="4">
    <w:name w:val="heading 3"/>
    <w:basedOn w:val="1"/>
    <w:next w:val="1"/>
    <w:qFormat/>
    <w:uiPriority w:val="0"/>
    <w:pPr>
      <w:spacing w:before="300" w:after="120" w:line="488" w:lineRule="exact"/>
      <w:outlineLvl w:val="2"/>
    </w:pPr>
    <w:rPr>
      <w:b/>
      <w:sz w:val="30"/>
    </w:rPr>
  </w:style>
  <w:style w:type="paragraph" w:styleId="5">
    <w:name w:val="heading 4"/>
    <w:basedOn w:val="1"/>
    <w:next w:val="1"/>
    <w:qFormat/>
    <w:uiPriority w:val="0"/>
    <w:pPr>
      <w:spacing w:before="270" w:after="120" w:line="439" w:lineRule="exact"/>
      <w:outlineLvl w:val="3"/>
    </w:pPr>
    <w:rPr>
      <w:b/>
      <w:sz w:val="26"/>
    </w:rPr>
  </w:style>
  <w:style w:type="paragraph" w:styleId="6">
    <w:name w:val="heading 5"/>
    <w:basedOn w:val="1"/>
    <w:next w:val="1"/>
    <w:qFormat/>
    <w:uiPriority w:val="0"/>
    <w:pPr>
      <w:spacing w:before="240" w:after="120" w:line="390" w:lineRule="exact"/>
      <w:outlineLvl w:val="4"/>
    </w:pPr>
    <w:rPr>
      <w:b/>
    </w:rPr>
  </w:style>
  <w:style w:type="paragraph" w:styleId="7">
    <w:name w:val="heading 6"/>
    <w:basedOn w:val="1"/>
    <w:next w:val="1"/>
    <w:qFormat/>
    <w:uiPriority w:val="0"/>
    <w:pPr>
      <w:spacing w:before="240" w:after="120" w:line="390" w:lineRule="exact"/>
      <w:outlineLvl w:val="5"/>
    </w:pPr>
    <w:rPr>
      <w:b/>
    </w:rPr>
  </w:style>
  <w:style w:type="character" w:default="1" w:styleId="16">
    <w:name w:val="Default Paragraph Font"/>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toc 3"/>
    <w:basedOn w:val="1"/>
    <w:next w:val="1"/>
    <w:qFormat/>
    <w:uiPriority w:val="0"/>
    <w:pPr>
      <w:ind w:left="840" w:leftChars="400"/>
    </w:pPr>
  </w:style>
  <w:style w:type="paragraph" w:styleId="9">
    <w:name w:val="Plain Text"/>
    <w:basedOn w:val="1"/>
    <w:qFormat/>
    <w:uiPriority w:val="99"/>
    <w:rPr>
      <w:rFonts w:ascii="宋体" w:hAnsi="Courier New"/>
    </w:rPr>
  </w:style>
  <w:style w:type="paragraph" w:styleId="10">
    <w:name w:val="footer"/>
    <w:basedOn w:val="1"/>
    <w:qFormat/>
    <w:uiPriority w:val="99"/>
    <w:pPr>
      <w:tabs>
        <w:tab w:val="center" w:pos="4153"/>
        <w:tab w:val="right" w:pos="8306"/>
      </w:tabs>
      <w:snapToGrid w:val="0"/>
    </w:pPr>
    <w:rPr>
      <w:sz w:val="18"/>
      <w:szCs w:val="18"/>
    </w:rPr>
  </w:style>
  <w:style w:type="paragraph" w:styleId="11">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39"/>
  </w:style>
  <w:style w:type="paragraph" w:styleId="13">
    <w:name w:val="toc 2"/>
    <w:basedOn w:val="1"/>
    <w:next w:val="1"/>
    <w:qFormat/>
    <w:uiPriority w:val="39"/>
    <w:pPr>
      <w:ind w:left="420" w:leftChars="200"/>
    </w:pPr>
  </w:style>
  <w:style w:type="table" w:styleId="15">
    <w:name w:val="Table Grid"/>
    <w:qFormat/>
    <w:uiPriority w:val="0"/>
    <w:tblPr>
      <w:tblBorders>
        <w:top w:val="single" w:color="080F17" w:sz="6" w:space="0"/>
        <w:left w:val="single" w:color="080F17" w:sz="6" w:space="0"/>
        <w:bottom w:val="single" w:color="080F17" w:sz="6" w:space="0"/>
        <w:right w:val="single" w:color="080F17" w:sz="6" w:space="0"/>
        <w:insideH w:val="single" w:color="080F17" w:sz="6" w:space="0"/>
        <w:insideV w:val="single" w:color="080F17" w:sz="6" w:space="0"/>
      </w:tblBorders>
      <w:tblCellMar>
        <w:top w:w="0" w:type="dxa"/>
        <w:left w:w="108" w:type="dxa"/>
        <w:bottom w:w="0" w:type="dxa"/>
        <w:right w:w="108" w:type="dxa"/>
      </w:tblCellMar>
    </w:tblPr>
  </w:style>
  <w:style w:type="character" w:styleId="17">
    <w:name w:val="Hyperlink"/>
    <w:qFormat/>
    <w:uiPriority w:val="99"/>
    <w:rPr>
      <w:color w:val="0A6CFF"/>
      <w:u w:val="single" w:color="0A6CFF"/>
    </w:rPr>
  </w:style>
  <w:style w:type="paragraph" w:customStyle="1" w:styleId="18">
    <w:name w:val="MainTitle"/>
    <w:basedOn w:val="1"/>
    <w:qFormat/>
    <w:uiPriority w:val="0"/>
    <w:pPr>
      <w:pBdr>
        <w:bottom w:val="single" w:color="E2E6ED" w:sz="6" w:space="5"/>
      </w:pBdr>
      <w:spacing w:before="180" w:after="480" w:line="780" w:lineRule="exact"/>
    </w:pPr>
    <w:rPr>
      <w:b/>
      <w:sz w:val="44"/>
    </w:rPr>
  </w:style>
  <w:style w:type="character" w:customStyle="1" w:styleId="19">
    <w:name w:val="DateTime"/>
    <w:qFormat/>
    <w:uiPriority w:val="0"/>
    <w:rPr>
      <w:color w:val="0A6CFF"/>
    </w:rPr>
  </w:style>
  <w:style w:type="paragraph" w:customStyle="1" w:styleId="20">
    <w:name w:val="Blockquote"/>
    <w:basedOn w:val="1"/>
    <w:qFormat/>
    <w:uiPriority w:val="0"/>
    <w:pPr>
      <w:pBdr>
        <w:left w:val="single" w:color="E2E6ED" w:sz="36" w:space="12"/>
      </w:pBdr>
      <w:ind w:left="330"/>
    </w:pPr>
    <w:rPr>
      <w:color w:val="767C85"/>
    </w:rPr>
  </w:style>
  <w:style w:type="character" w:customStyle="1" w:styleId="21">
    <w:name w:val="Code"/>
    <w:qFormat/>
    <w:uiPriority w:val="0"/>
    <w:rPr>
      <w:bdr w:val="single" w:color="E2E6ED" w:sz="6" w:space="0"/>
    </w:rPr>
  </w:style>
  <w:style w:type="character" w:customStyle="1" w:styleId="22">
    <w:name w:val="Emoji"/>
    <w:qFormat/>
    <w:uiPriority w:val="0"/>
    <w:rPr>
      <w:rFonts w:ascii="Segoe UI Emoji" w:hAnsi="Segoe UI Emoji" w:eastAsia="Segoe UI Emoji" w:cs="Segoe UI Emoji"/>
    </w:rPr>
  </w:style>
  <w:style w:type="paragraph" w:customStyle="1" w:styleId="23">
    <w:name w:val="CodeBlock"/>
    <w:basedOn w:val="1"/>
    <w:qFormat/>
    <w:uiPriority w:val="0"/>
    <w:pPr>
      <w:numPr>
        <w:ilvl w:val="0"/>
        <w:numId w:val="1"/>
      </w:numPr>
      <w:pBdr>
        <w:top w:val="single" w:color="E2E6ED" w:sz="6" w:space="8"/>
        <w:left w:val="single" w:color="E2E6ED" w:sz="6" w:space="26"/>
        <w:bottom w:val="single" w:color="E2E6ED" w:sz="6" w:space="8"/>
        <w:right w:val="single" w:color="E2E6ED" w:sz="6" w:space="0"/>
      </w:pBdr>
      <w:shd w:val="clear" w:color="FFFFFF" w:fill="F5F7F9"/>
      <w:spacing w:line="300" w:lineRule="exact"/>
      <w:ind w:left="540"/>
    </w:pPr>
    <w:rPr>
      <w:sz w:val="18"/>
    </w:rPr>
  </w:style>
  <w:style w:type="table" w:customStyle="1" w:styleId="24">
    <w:name w:val="HighlightBlock"/>
    <w:qFormat/>
    <w:uiPriority w:val="0"/>
    <w:tblPr>
      <w:tblBorders>
        <w:top w:val="single" w:color="FEC794" w:sz="6" w:space="0"/>
        <w:left w:val="single" w:color="FEC794" w:sz="6" w:space="0"/>
        <w:bottom w:val="single" w:color="FEC794" w:sz="6" w:space="0"/>
        <w:right w:val="single" w:color="FEC794" w:sz="6" w:space="0"/>
        <w:insideH w:val="single" w:color="FEC794" w:sz="6" w:space="0"/>
        <w:insideV w:val="single" w:color="FEC794" w:sz="6" w:space="0"/>
      </w:tblBorders>
      <w:tblCellMar>
        <w:top w:w="0" w:type="dxa"/>
        <w:left w:w="108" w:type="dxa"/>
        <w:bottom w:w="0" w:type="dxa"/>
        <w:right w:w="108" w:type="dxa"/>
      </w:tblCellMar>
    </w:tblPr>
  </w:style>
  <w:style w:type="paragraph" w:customStyle="1" w:styleId="25">
    <w:name w:val="Seperate"/>
    <w:basedOn w:val="1"/>
    <w:qFormat/>
    <w:uiPriority w:val="0"/>
    <w:pPr>
      <w:spacing w:line="120" w:lineRule="exact"/>
    </w:pPr>
  </w:style>
  <w:style w:type="paragraph" w:customStyle="1" w:styleId="26">
    <w:name w:val="首行缩进"/>
    <w:basedOn w:val="1"/>
    <w:qFormat/>
    <w:uiPriority w:val="0"/>
    <w:pPr>
      <w:spacing w:line="300" w:lineRule="auto"/>
      <w:ind w:firstLine="420" w:firstLineChars="200"/>
    </w:pPr>
    <w:rPr>
      <w:rFonts w:eastAsia="方正书宋简体" w:cs="宋体"/>
    </w:rPr>
  </w:style>
  <w:style w:type="paragraph" w:customStyle="1" w:styleId="27">
    <w:name w:val="列出段落1"/>
    <w:basedOn w:val="1"/>
    <w:qFormat/>
    <w:uiPriority w:val="99"/>
    <w:pPr>
      <w:ind w:firstLine="420" w:firstLineChars="200"/>
    </w:pPr>
    <w:rPr>
      <w:rFonts w:ascii="Calibri" w:hAnsi="Calibri"/>
      <w:szCs w:val="22"/>
    </w:rPr>
  </w:style>
  <w:style w:type="paragraph" w:customStyle="1" w:styleId="28">
    <w:name w:val="标准规范2级"/>
    <w:basedOn w:val="1"/>
    <w:qFormat/>
    <w:uiPriority w:val="0"/>
    <w:pPr>
      <w:numPr>
        <w:ilvl w:val="1"/>
        <w:numId w:val="2"/>
      </w:numPr>
      <w:spacing w:before="120" w:after="160" w:line="360" w:lineRule="auto"/>
    </w:pPr>
    <w:rPr>
      <w:rFonts w:cs="宋体"/>
      <w:color w:val="000000"/>
      <w:sz w:val="24"/>
    </w:rPr>
  </w:style>
  <w:style w:type="paragraph" w:customStyle="1" w:styleId="29">
    <w:name w:val="修订1"/>
    <w:hidden/>
    <w:unhideWhenUsed/>
    <w:qFormat/>
    <w:uiPriority w:val="99"/>
    <w:rPr>
      <w:rFonts w:ascii="微软雅黑" w:hAnsi="微软雅黑" w:eastAsia="微软雅黑" w:cs="微软雅黑"/>
      <w:color w:val="080F17"/>
      <w:sz w:val="22"/>
      <w:lang w:val="en-US" w:eastAsia="zh-CN" w:bidi="ar-SA"/>
    </w:rPr>
  </w:style>
  <w:style w:type="paragraph" w:customStyle="1" w:styleId="30">
    <w:name w:val="修订2"/>
    <w:hidden/>
    <w:unhideWhenUsed/>
    <w:qFormat/>
    <w:uiPriority w:val="99"/>
    <w:rPr>
      <w:rFonts w:ascii="微软雅黑" w:hAnsi="微软雅黑" w:eastAsia="微软雅黑" w:cs="微软雅黑"/>
      <w:color w:val="080F17"/>
      <w:sz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355DC-9051-4626-BA17-D80ABA76D759}">
  <ds:schemaRefs/>
</ds:datastoreItem>
</file>

<file path=docProps/app.xml><?xml version="1.0" encoding="utf-8"?>
<Properties xmlns="http://schemas.openxmlformats.org/officeDocument/2006/extended-properties" xmlns:vt="http://schemas.openxmlformats.org/officeDocument/2006/docPropsVTypes">
  <Template>Normal.dotm</Template>
  <Pages>20</Pages>
  <Words>2568</Words>
  <Characters>14641</Characters>
  <Lines>122</Lines>
  <Paragraphs>34</Paragraphs>
  <TotalTime>6</TotalTime>
  <ScaleCrop>false</ScaleCrop>
  <LinksUpToDate>false</LinksUpToDate>
  <CharactersWithSpaces>17175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2026-01-21T11:12:00Z</dcterms:created>
  <dc:creator>webotl</dc:creator>
  <cp:lastModifiedBy>俞汶希</cp:lastModifiedBy>
  <dcterms:modified xsi:type="dcterms:W3CDTF">2026-05-14T04:02:46Z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webotl</vt:lpwstr>
  </property>
  <property fmtid="{D5CDD505-2E9C-101B-9397-08002B2CF9AE}" pid="3" name="KSOTemplateDocerSaveRecord">
    <vt:lpwstr>eyJoZGlkIjoiYzEyY2ZjNDBjNDFlMzU4MWYzMTcwNjBkZTVlMzBmMDciLCJ1c2VySWQiOiI0MTE0MTI4NDYifQ==</vt:lpwstr>
  </property>
  <property fmtid="{D5CDD505-2E9C-101B-9397-08002B2CF9AE}" pid="4" name="KSOProductBuildVer">
    <vt:lpwstr>2052-12.1.0.23125</vt:lpwstr>
  </property>
  <property fmtid="{D5CDD505-2E9C-101B-9397-08002B2CF9AE}" pid="5" name="ICV">
    <vt:lpwstr>115BCE9925224D5C8A3717AFAA44D8D0_13</vt:lpwstr>
  </property>
</Properties>
</file>