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E917D">
      <w:pPr>
        <w:spacing w:before="480" w:beforeLines="200"/>
        <w:jc w:val="center"/>
        <w:rPr>
          <w:rFonts w:eastAsia="黑体"/>
          <w:b/>
          <w:sz w:val="52"/>
        </w:rPr>
      </w:pPr>
      <w:bookmarkStart w:id="0" w:name="_Toc224469826"/>
      <w:bookmarkStart w:id="1" w:name="_Toc224531918"/>
      <w:bookmarkStart w:id="2" w:name="_Toc224470066"/>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47F038CF">
      <w:pPr>
        <w:spacing w:before="480" w:beforeLines="200"/>
        <w:jc w:val="center"/>
        <w:rPr>
          <w:rFonts w:eastAsia="黑体"/>
          <w:b/>
          <w:sz w:val="52"/>
        </w:rPr>
      </w:pPr>
    </w:p>
    <w:p w14:paraId="65C03337">
      <w:pPr>
        <w:spacing w:before="480" w:beforeLines="200"/>
        <w:jc w:val="center"/>
        <w:rPr>
          <w:rFonts w:eastAsia="黑体"/>
          <w:b/>
          <w:sz w:val="52"/>
        </w:rPr>
      </w:pPr>
      <w:r>
        <w:rPr>
          <w:rFonts w:hint="eastAsia" w:eastAsia="黑体"/>
          <w:b/>
          <w:sz w:val="52"/>
        </w:rPr>
        <w:t>绝缘子污秽状态多光谱图像分析装置技术规范书</w:t>
      </w:r>
    </w:p>
    <w:p w14:paraId="1979B2E7">
      <w:pPr>
        <w:spacing w:before="480" w:beforeLines="200" w:line="360" w:lineRule="auto"/>
        <w:ind w:left="420" w:hanging="420"/>
        <w:jc w:val="center"/>
        <w:rPr>
          <w:rFonts w:eastAsia="黑体"/>
          <w:b/>
          <w:sz w:val="52"/>
        </w:rPr>
      </w:pPr>
      <w:r>
        <w:rPr>
          <w:rFonts w:hint="eastAsia" w:eastAsia="黑体"/>
          <w:b/>
          <w:sz w:val="52"/>
        </w:rPr>
        <w:t>（通用部分）</w:t>
      </w:r>
    </w:p>
    <w:p w14:paraId="6CD10D4D">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2AF82475">
      <w:pPr>
        <w:spacing w:line="360" w:lineRule="auto"/>
        <w:ind w:firstLine="2530" w:firstLineChars="700"/>
        <w:rPr>
          <w:rFonts w:eastAsia="黑体"/>
          <w:b/>
          <w:sz w:val="36"/>
        </w:rPr>
      </w:pPr>
      <w:r>
        <w:rPr>
          <w:rFonts w:hint="eastAsia" w:eastAsia="黑体"/>
          <w:b/>
          <w:sz w:val="36"/>
        </w:rPr>
        <w:t>编号：</w:t>
      </w:r>
    </w:p>
    <w:p w14:paraId="0C9B5C1F">
      <w:pPr>
        <w:spacing w:before="480" w:beforeLines="200" w:line="360" w:lineRule="auto"/>
        <w:ind w:left="420" w:firstLine="2873" w:firstLineChars="795"/>
        <w:jc w:val="left"/>
        <w:rPr>
          <w:rFonts w:eastAsia="黑体"/>
          <w:b/>
          <w:sz w:val="36"/>
        </w:rPr>
      </w:pPr>
    </w:p>
    <w:p w14:paraId="3F29CCE8">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41A6AA3C">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14:paraId="31DDA45A">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054052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1EF6E165">
            <w:pPr>
              <w:spacing w:line="360" w:lineRule="auto"/>
              <w:jc w:val="center"/>
              <w:rPr>
                <w:sz w:val="24"/>
              </w:rPr>
            </w:pPr>
            <w:r>
              <w:rPr>
                <w:sz w:val="24"/>
              </w:rPr>
              <w:t>序号</w:t>
            </w:r>
          </w:p>
        </w:tc>
        <w:tc>
          <w:tcPr>
            <w:tcW w:w="5106" w:type="dxa"/>
          </w:tcPr>
          <w:p w14:paraId="0031AB39">
            <w:pPr>
              <w:spacing w:line="360" w:lineRule="auto"/>
              <w:jc w:val="center"/>
              <w:rPr>
                <w:sz w:val="24"/>
              </w:rPr>
            </w:pPr>
            <w:r>
              <w:rPr>
                <w:sz w:val="24"/>
              </w:rPr>
              <w:t>名称</w:t>
            </w:r>
          </w:p>
        </w:tc>
        <w:tc>
          <w:tcPr>
            <w:tcW w:w="2724" w:type="dxa"/>
          </w:tcPr>
          <w:p w14:paraId="0C8260C8">
            <w:pPr>
              <w:spacing w:line="360" w:lineRule="auto"/>
              <w:jc w:val="center"/>
              <w:rPr>
                <w:sz w:val="24"/>
              </w:rPr>
            </w:pPr>
            <w:r>
              <w:rPr>
                <w:sz w:val="24"/>
              </w:rPr>
              <w:t>品类优化清单</w:t>
            </w:r>
          </w:p>
          <w:p w14:paraId="00C79F8B">
            <w:pPr>
              <w:spacing w:line="360" w:lineRule="auto"/>
              <w:jc w:val="center"/>
              <w:rPr>
                <w:sz w:val="24"/>
              </w:rPr>
            </w:pPr>
            <w:r>
              <w:rPr>
                <w:sz w:val="24"/>
              </w:rPr>
              <w:t>对应型号</w:t>
            </w:r>
          </w:p>
        </w:tc>
      </w:tr>
      <w:tr w14:paraId="71B4A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0FB95A71">
            <w:pPr>
              <w:spacing w:line="360" w:lineRule="auto"/>
              <w:jc w:val="center"/>
              <w:rPr>
                <w:sz w:val="24"/>
              </w:rPr>
            </w:pPr>
            <w:r>
              <w:rPr>
                <w:sz w:val="24"/>
              </w:rPr>
              <w:t>1</w:t>
            </w:r>
          </w:p>
        </w:tc>
        <w:tc>
          <w:tcPr>
            <w:tcW w:w="5106" w:type="dxa"/>
          </w:tcPr>
          <w:p w14:paraId="54CF560C">
            <w:pPr>
              <w:numPr>
                <w:ilvl w:val="255"/>
                <w:numId w:val="0"/>
              </w:numPr>
              <w:spacing w:line="360" w:lineRule="auto"/>
              <w:jc w:val="center"/>
              <w:rPr>
                <w:sz w:val="24"/>
              </w:rPr>
            </w:pPr>
            <w:bookmarkStart w:id="3" w:name="_Toc50889640"/>
            <w:bookmarkStart w:id="4" w:name="_Toc15656"/>
            <w:r>
              <w:rPr>
                <w:rFonts w:hint="eastAsia"/>
                <w:sz w:val="24"/>
              </w:rPr>
              <w:t>绝缘子污秽状态多光谱图像分析装置</w:t>
            </w:r>
            <w:r>
              <w:rPr>
                <w:sz w:val="24"/>
              </w:rPr>
              <w:t>技术规范书（</w:t>
            </w:r>
            <w:r>
              <w:rPr>
                <w:rFonts w:hint="eastAsia"/>
                <w:sz w:val="24"/>
              </w:rPr>
              <w:t>通</w:t>
            </w:r>
            <w:r>
              <w:rPr>
                <w:sz w:val="24"/>
              </w:rPr>
              <w:t>用部分）</w:t>
            </w:r>
            <w:bookmarkEnd w:id="3"/>
            <w:bookmarkEnd w:id="4"/>
          </w:p>
        </w:tc>
        <w:tc>
          <w:tcPr>
            <w:tcW w:w="2724" w:type="dxa"/>
          </w:tcPr>
          <w:p w14:paraId="3124F416">
            <w:pPr>
              <w:spacing w:line="360" w:lineRule="auto"/>
              <w:jc w:val="center"/>
              <w:rPr>
                <w:sz w:val="24"/>
              </w:rPr>
            </w:pPr>
            <w:r>
              <w:rPr>
                <w:rFonts w:hint="eastAsia"/>
                <w:sz w:val="24"/>
              </w:rPr>
              <w:t>/</w:t>
            </w:r>
          </w:p>
        </w:tc>
      </w:tr>
    </w:tbl>
    <w:p w14:paraId="3BA210BD">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5368F3A8">
      <w:pPr>
        <w:spacing w:line="360" w:lineRule="auto"/>
        <w:jc w:val="center"/>
        <w:rPr>
          <w:rFonts w:eastAsia="黑体"/>
          <w:bCs/>
          <w:sz w:val="36"/>
          <w:szCs w:val="36"/>
        </w:rPr>
      </w:pPr>
    </w:p>
    <w:p w14:paraId="7C585B6E">
      <w:pPr>
        <w:pStyle w:val="38"/>
        <w:tabs>
          <w:tab w:val="right" w:leader="dot" w:pos="9123"/>
        </w:tabs>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"_Toc13391" </w:instrText>
      </w:r>
      <w:r>
        <w:fldChar w:fldCharType="separate"/>
      </w:r>
      <w:r>
        <w:rPr>
          <w:rFonts w:eastAsia="黑体"/>
          <w:bCs/>
          <w:szCs w:val="21"/>
        </w:rPr>
        <w:t>1 总则</w:t>
      </w:r>
      <w:r>
        <w:tab/>
      </w:r>
      <w:r>
        <w:fldChar w:fldCharType="begin"/>
      </w:r>
      <w:r>
        <w:instrText xml:space="preserve"> PAGEREF _Toc13391 \h </w:instrText>
      </w:r>
      <w:r>
        <w:fldChar w:fldCharType="separate"/>
      </w:r>
      <w:r>
        <w:t>1</w:t>
      </w:r>
      <w:r>
        <w:fldChar w:fldCharType="end"/>
      </w:r>
      <w:r>
        <w:fldChar w:fldCharType="end"/>
      </w:r>
    </w:p>
    <w:p w14:paraId="64B87E46">
      <w:pPr>
        <w:pStyle w:val="38"/>
        <w:tabs>
          <w:tab w:val="right" w:leader="dot" w:pos="9123"/>
        </w:tabs>
      </w:pPr>
      <w:r>
        <w:fldChar w:fldCharType="begin"/>
      </w:r>
      <w:r>
        <w:instrText xml:space="preserve"> HYPERLINK \l "_Toc15575" </w:instrText>
      </w:r>
      <w:r>
        <w:fldChar w:fldCharType="separate"/>
      </w:r>
      <w:r>
        <w:rPr>
          <w:rFonts w:eastAsia="黑体"/>
          <w:bCs/>
          <w:szCs w:val="21"/>
        </w:rPr>
        <w:t>2 工作范围</w:t>
      </w:r>
      <w:r>
        <w:tab/>
      </w:r>
      <w:r>
        <w:fldChar w:fldCharType="begin"/>
      </w:r>
      <w:r>
        <w:instrText xml:space="preserve"> PAGEREF _Toc15575 \h </w:instrText>
      </w:r>
      <w:r>
        <w:fldChar w:fldCharType="separate"/>
      </w:r>
      <w:r>
        <w:t>2</w:t>
      </w:r>
      <w:r>
        <w:fldChar w:fldCharType="end"/>
      </w:r>
      <w:r>
        <w:fldChar w:fldCharType="end"/>
      </w:r>
    </w:p>
    <w:p w14:paraId="14D13240">
      <w:pPr>
        <w:pStyle w:val="49"/>
        <w:tabs>
          <w:tab w:val="right" w:leader="dot" w:pos="9123"/>
        </w:tabs>
      </w:pPr>
      <w:r>
        <w:fldChar w:fldCharType="begin"/>
      </w:r>
      <w:r>
        <w:instrText xml:space="preserve"> HYPERLINK \l "_Toc13289" </w:instrText>
      </w:r>
      <w:r>
        <w:fldChar w:fldCharType="separate"/>
      </w:r>
      <w:r>
        <w:rPr>
          <w:rFonts w:eastAsia="黑体"/>
          <w:bCs/>
          <w:szCs w:val="21"/>
        </w:rPr>
        <w:t xml:space="preserve">2.1 </w:t>
      </w:r>
      <w:r>
        <w:rPr>
          <w:rFonts w:hint="eastAsia" w:eastAsia="黑体"/>
          <w:bCs/>
          <w:szCs w:val="21"/>
        </w:rPr>
        <w:t>供货范围</w:t>
      </w:r>
      <w:r>
        <w:tab/>
      </w:r>
      <w:r>
        <w:fldChar w:fldCharType="begin"/>
      </w:r>
      <w:r>
        <w:instrText xml:space="preserve"> PAGEREF _Toc13289 \h </w:instrText>
      </w:r>
      <w:r>
        <w:fldChar w:fldCharType="separate"/>
      </w:r>
      <w:r>
        <w:t>2</w:t>
      </w:r>
      <w:r>
        <w:fldChar w:fldCharType="end"/>
      </w:r>
      <w:r>
        <w:fldChar w:fldCharType="end"/>
      </w:r>
    </w:p>
    <w:p w14:paraId="38818D87">
      <w:pPr>
        <w:pStyle w:val="49"/>
        <w:tabs>
          <w:tab w:val="right" w:leader="dot" w:pos="9123"/>
        </w:tabs>
      </w:pPr>
      <w:r>
        <w:fldChar w:fldCharType="begin"/>
      </w:r>
      <w:r>
        <w:instrText xml:space="preserve"> HYPERLINK \l "_Toc25635" </w:instrText>
      </w:r>
      <w:r>
        <w:fldChar w:fldCharType="separate"/>
      </w:r>
      <w:r>
        <w:rPr>
          <w:rFonts w:eastAsia="黑体"/>
          <w:bCs/>
          <w:szCs w:val="21"/>
        </w:rPr>
        <w:t xml:space="preserve">2.2 </w:t>
      </w:r>
      <w:r>
        <w:rPr>
          <w:rFonts w:hint="eastAsia" w:eastAsia="黑体"/>
          <w:bCs/>
          <w:szCs w:val="21"/>
        </w:rPr>
        <w:t>服务界限</w:t>
      </w:r>
      <w:r>
        <w:tab/>
      </w:r>
      <w:r>
        <w:fldChar w:fldCharType="begin"/>
      </w:r>
      <w:r>
        <w:instrText xml:space="preserve"> PAGEREF _Toc25635 \h </w:instrText>
      </w:r>
      <w:r>
        <w:fldChar w:fldCharType="separate"/>
      </w:r>
      <w:r>
        <w:t>2</w:t>
      </w:r>
      <w:r>
        <w:fldChar w:fldCharType="end"/>
      </w:r>
      <w:r>
        <w:fldChar w:fldCharType="end"/>
      </w:r>
    </w:p>
    <w:p w14:paraId="5D1F4A6F">
      <w:pPr>
        <w:pStyle w:val="49"/>
        <w:tabs>
          <w:tab w:val="right" w:leader="dot" w:pos="9123"/>
        </w:tabs>
      </w:pPr>
      <w:r>
        <w:fldChar w:fldCharType="begin"/>
      </w:r>
      <w:r>
        <w:instrText xml:space="preserve"> HYPERLINK \l "_Toc31959" </w:instrText>
      </w:r>
      <w:r>
        <w:fldChar w:fldCharType="separate"/>
      </w:r>
      <w:r>
        <w:rPr>
          <w:rFonts w:eastAsia="黑体"/>
          <w:bCs/>
          <w:szCs w:val="21"/>
        </w:rPr>
        <w:t xml:space="preserve">2.3 </w:t>
      </w:r>
      <w:r>
        <w:rPr>
          <w:rFonts w:hint="eastAsia" w:eastAsia="黑体"/>
          <w:bCs/>
          <w:szCs w:val="21"/>
        </w:rPr>
        <w:t>技术文件</w:t>
      </w:r>
      <w:r>
        <w:tab/>
      </w:r>
      <w:r>
        <w:fldChar w:fldCharType="begin"/>
      </w:r>
      <w:r>
        <w:instrText xml:space="preserve"> PAGEREF _Toc31959 \h </w:instrText>
      </w:r>
      <w:r>
        <w:fldChar w:fldCharType="separate"/>
      </w:r>
      <w:r>
        <w:t>2</w:t>
      </w:r>
      <w:r>
        <w:fldChar w:fldCharType="end"/>
      </w:r>
      <w:r>
        <w:fldChar w:fldCharType="end"/>
      </w:r>
    </w:p>
    <w:p w14:paraId="14776EBA">
      <w:pPr>
        <w:pStyle w:val="49"/>
        <w:tabs>
          <w:tab w:val="right" w:leader="dot" w:pos="9123"/>
        </w:tabs>
      </w:pPr>
      <w:r>
        <w:fldChar w:fldCharType="begin"/>
      </w:r>
      <w:r>
        <w:instrText xml:space="preserve"> HYPERLINK \l "_Toc14719" </w:instrText>
      </w:r>
      <w:r>
        <w:fldChar w:fldCharType="separate"/>
      </w:r>
      <w:r>
        <w:rPr>
          <w:rFonts w:hint="eastAsia"/>
        </w:rPr>
        <w:t>技术文件的组成</w:t>
      </w:r>
      <w:r>
        <w:tab/>
      </w:r>
      <w:r>
        <w:fldChar w:fldCharType="begin"/>
      </w:r>
      <w:r>
        <w:instrText xml:space="preserve"> PAGEREF _Toc14719 \h </w:instrText>
      </w:r>
      <w:r>
        <w:fldChar w:fldCharType="separate"/>
      </w:r>
      <w:r>
        <w:t>2</w:t>
      </w:r>
      <w:r>
        <w:fldChar w:fldCharType="end"/>
      </w:r>
      <w:r>
        <w:fldChar w:fldCharType="end"/>
      </w:r>
    </w:p>
    <w:p w14:paraId="44DF8659">
      <w:pPr>
        <w:pStyle w:val="38"/>
        <w:tabs>
          <w:tab w:val="right" w:leader="dot" w:pos="9123"/>
        </w:tabs>
      </w:pPr>
      <w:r>
        <w:fldChar w:fldCharType="begin"/>
      </w:r>
      <w:r>
        <w:instrText xml:space="preserve"> HYPERLINK \l "_Toc9834" </w:instrText>
      </w:r>
      <w:r>
        <w:fldChar w:fldCharType="separate"/>
      </w:r>
      <w:r>
        <w:rPr>
          <w:rFonts w:eastAsia="黑体"/>
          <w:bCs/>
          <w:szCs w:val="21"/>
        </w:rPr>
        <w:t>3 应遵循的主要标准</w:t>
      </w:r>
      <w:r>
        <w:tab/>
      </w:r>
      <w:r>
        <w:fldChar w:fldCharType="begin"/>
      </w:r>
      <w:r>
        <w:instrText xml:space="preserve"> PAGEREF _Toc9834 \h </w:instrText>
      </w:r>
      <w:r>
        <w:fldChar w:fldCharType="separate"/>
      </w:r>
      <w:r>
        <w:t>3</w:t>
      </w:r>
      <w:r>
        <w:fldChar w:fldCharType="end"/>
      </w:r>
      <w:r>
        <w:fldChar w:fldCharType="end"/>
      </w:r>
    </w:p>
    <w:p w14:paraId="4E31E7B0">
      <w:pPr>
        <w:pStyle w:val="38"/>
        <w:tabs>
          <w:tab w:val="right" w:leader="dot" w:pos="9123"/>
        </w:tabs>
      </w:pPr>
      <w:r>
        <w:fldChar w:fldCharType="begin"/>
      </w:r>
      <w:r>
        <w:instrText xml:space="preserve"> HYPERLINK \l "_Toc4462" </w:instrText>
      </w:r>
      <w:r>
        <w:fldChar w:fldCharType="separate"/>
      </w:r>
      <w:r>
        <w:rPr>
          <w:rFonts w:eastAsia="黑体"/>
          <w:bCs/>
          <w:szCs w:val="21"/>
        </w:rPr>
        <w:t>4 使用条件</w:t>
      </w:r>
      <w:r>
        <w:tab/>
      </w:r>
      <w:r>
        <w:fldChar w:fldCharType="begin"/>
      </w:r>
      <w:r>
        <w:instrText xml:space="preserve"> PAGEREF _Toc4462 \h </w:instrText>
      </w:r>
      <w:r>
        <w:fldChar w:fldCharType="separate"/>
      </w:r>
      <w:r>
        <w:t>3</w:t>
      </w:r>
      <w:r>
        <w:fldChar w:fldCharType="end"/>
      </w:r>
      <w:r>
        <w:fldChar w:fldCharType="end"/>
      </w:r>
    </w:p>
    <w:p w14:paraId="6B921F3B">
      <w:pPr>
        <w:pStyle w:val="49"/>
        <w:tabs>
          <w:tab w:val="right" w:leader="dot" w:pos="9123"/>
        </w:tabs>
      </w:pPr>
      <w:r>
        <w:fldChar w:fldCharType="begin"/>
      </w:r>
      <w:r>
        <w:instrText xml:space="preserve"> HYPERLINK \l "_Toc11206" </w:instrText>
      </w:r>
      <w:r>
        <w:fldChar w:fldCharType="separate"/>
      </w:r>
      <w:r>
        <w:rPr>
          <w:rFonts w:eastAsia="黑体"/>
          <w:szCs w:val="21"/>
        </w:rPr>
        <w:t>4.1 正常使用条件</w:t>
      </w:r>
      <w:r>
        <w:tab/>
      </w:r>
      <w:r>
        <w:fldChar w:fldCharType="begin"/>
      </w:r>
      <w:r>
        <w:instrText xml:space="preserve"> PAGEREF _Toc11206 \h </w:instrText>
      </w:r>
      <w:r>
        <w:fldChar w:fldCharType="separate"/>
      </w:r>
      <w:r>
        <w:t>3</w:t>
      </w:r>
      <w:r>
        <w:fldChar w:fldCharType="end"/>
      </w:r>
      <w:r>
        <w:fldChar w:fldCharType="end"/>
      </w:r>
    </w:p>
    <w:p w14:paraId="5FC50189">
      <w:pPr>
        <w:pStyle w:val="49"/>
        <w:tabs>
          <w:tab w:val="right" w:leader="dot" w:pos="9123"/>
        </w:tabs>
      </w:pPr>
      <w:r>
        <w:fldChar w:fldCharType="begin"/>
      </w:r>
      <w:r>
        <w:instrText xml:space="preserve"> HYPERLINK \l "_Toc14470" </w:instrText>
      </w:r>
      <w:r>
        <w:fldChar w:fldCharType="separate"/>
      </w:r>
      <w:r>
        <w:rPr>
          <w:rFonts w:eastAsia="黑体"/>
          <w:szCs w:val="21"/>
        </w:rPr>
        <w:t>4.2 特殊使用条件</w:t>
      </w:r>
      <w:r>
        <w:tab/>
      </w:r>
      <w:r>
        <w:fldChar w:fldCharType="begin"/>
      </w:r>
      <w:r>
        <w:instrText xml:space="preserve"> PAGEREF _Toc14470 \h </w:instrText>
      </w:r>
      <w:r>
        <w:fldChar w:fldCharType="separate"/>
      </w:r>
      <w:r>
        <w:t>4</w:t>
      </w:r>
      <w:r>
        <w:fldChar w:fldCharType="end"/>
      </w:r>
      <w:r>
        <w:fldChar w:fldCharType="end"/>
      </w:r>
    </w:p>
    <w:p w14:paraId="23D8BC37">
      <w:pPr>
        <w:pStyle w:val="38"/>
        <w:tabs>
          <w:tab w:val="right" w:leader="dot" w:pos="9123"/>
        </w:tabs>
      </w:pPr>
      <w:r>
        <w:fldChar w:fldCharType="begin"/>
      </w:r>
      <w:r>
        <w:instrText xml:space="preserve"> HYPERLINK \l "_Toc29982" </w:instrText>
      </w:r>
      <w:r>
        <w:fldChar w:fldCharType="separate"/>
      </w:r>
      <w:r>
        <w:rPr>
          <w:rFonts w:eastAsia="黑体"/>
          <w:bCs/>
          <w:szCs w:val="21"/>
        </w:rPr>
        <w:t xml:space="preserve">5 </w:t>
      </w:r>
      <w:r>
        <w:rPr>
          <w:rFonts w:hint="eastAsia" w:eastAsia="黑体"/>
          <w:bCs/>
          <w:szCs w:val="21"/>
        </w:rPr>
        <w:t>技术要求</w:t>
      </w:r>
      <w:r>
        <w:tab/>
      </w:r>
      <w:r>
        <w:fldChar w:fldCharType="begin"/>
      </w:r>
      <w:r>
        <w:instrText xml:space="preserve"> PAGEREF _Toc29982 \h </w:instrText>
      </w:r>
      <w:r>
        <w:fldChar w:fldCharType="separate"/>
      </w:r>
      <w:r>
        <w:t>4</w:t>
      </w:r>
      <w:r>
        <w:fldChar w:fldCharType="end"/>
      </w:r>
      <w:r>
        <w:fldChar w:fldCharType="end"/>
      </w:r>
    </w:p>
    <w:p w14:paraId="4CB93C7B">
      <w:pPr>
        <w:pStyle w:val="49"/>
        <w:tabs>
          <w:tab w:val="right" w:leader="dot" w:pos="9123"/>
        </w:tabs>
      </w:pPr>
      <w:r>
        <w:fldChar w:fldCharType="begin"/>
      </w:r>
      <w:r>
        <w:instrText xml:space="preserve"> HYPERLINK \l "_Toc29757" </w:instrText>
      </w:r>
      <w:r>
        <w:fldChar w:fldCharType="separate"/>
      </w:r>
      <w:r>
        <w:rPr>
          <w:rFonts w:hint="eastAsia" w:eastAsia="黑体"/>
          <w:bCs/>
          <w:szCs w:val="21"/>
        </w:rPr>
        <w:t>5</w:t>
      </w:r>
      <w:r>
        <w:rPr>
          <w:rFonts w:eastAsia="黑体"/>
          <w:bCs/>
          <w:szCs w:val="21"/>
        </w:rPr>
        <w:t>.1</w:t>
      </w:r>
      <w:r>
        <w:rPr>
          <w:rFonts w:hint="eastAsia" w:eastAsia="黑体"/>
          <w:bCs/>
          <w:szCs w:val="21"/>
        </w:rPr>
        <w:t xml:space="preserve"> 装置技术要求</w:t>
      </w:r>
      <w:r>
        <w:tab/>
      </w:r>
      <w:r>
        <w:fldChar w:fldCharType="begin"/>
      </w:r>
      <w:r>
        <w:instrText xml:space="preserve"> PAGEREF _Toc29757 \h </w:instrText>
      </w:r>
      <w:r>
        <w:fldChar w:fldCharType="separate"/>
      </w:r>
      <w:r>
        <w:t>4</w:t>
      </w:r>
      <w:r>
        <w:fldChar w:fldCharType="end"/>
      </w:r>
      <w:r>
        <w:fldChar w:fldCharType="end"/>
      </w:r>
    </w:p>
    <w:p w14:paraId="795224DB">
      <w:pPr>
        <w:pStyle w:val="49"/>
        <w:tabs>
          <w:tab w:val="right" w:leader="dot" w:pos="9123"/>
        </w:tabs>
      </w:pPr>
      <w:r>
        <w:fldChar w:fldCharType="begin"/>
      </w:r>
      <w:r>
        <w:instrText xml:space="preserve"> HYPERLINK \l "_Toc32734" </w:instrText>
      </w:r>
      <w:r>
        <w:fldChar w:fldCharType="separate"/>
      </w:r>
      <w:r>
        <w:rPr>
          <w:rFonts w:eastAsia="黑体"/>
          <w:bCs/>
          <w:szCs w:val="21"/>
        </w:rPr>
        <w:t>5.</w:t>
      </w:r>
      <w:r>
        <w:rPr>
          <w:rFonts w:hint="eastAsia" w:eastAsia="黑体"/>
          <w:bCs/>
          <w:szCs w:val="21"/>
        </w:rPr>
        <w:t>2 网络安全要求</w:t>
      </w:r>
      <w:r>
        <w:tab/>
      </w:r>
      <w:r>
        <w:fldChar w:fldCharType="begin"/>
      </w:r>
      <w:r>
        <w:instrText xml:space="preserve"> PAGEREF _Toc32734 \h </w:instrText>
      </w:r>
      <w:r>
        <w:fldChar w:fldCharType="separate"/>
      </w:r>
      <w:r>
        <w:t>4</w:t>
      </w:r>
      <w:r>
        <w:fldChar w:fldCharType="end"/>
      </w:r>
      <w:r>
        <w:fldChar w:fldCharType="end"/>
      </w:r>
    </w:p>
    <w:p w14:paraId="5F5CCE28">
      <w:pPr>
        <w:pStyle w:val="38"/>
        <w:tabs>
          <w:tab w:val="right" w:leader="dot" w:pos="9123"/>
        </w:tabs>
      </w:pPr>
      <w:r>
        <w:fldChar w:fldCharType="begin"/>
      </w:r>
      <w:r>
        <w:instrText xml:space="preserve"> HYPERLINK \l "_Toc2802" </w:instrText>
      </w:r>
      <w:r>
        <w:fldChar w:fldCharType="separate"/>
      </w:r>
      <w:r>
        <w:rPr>
          <w:rFonts w:eastAsia="黑体"/>
          <w:bCs/>
          <w:szCs w:val="21"/>
        </w:rPr>
        <w:t>6 试验项目及要求</w:t>
      </w:r>
      <w:r>
        <w:tab/>
      </w:r>
      <w:r>
        <w:fldChar w:fldCharType="begin"/>
      </w:r>
      <w:r>
        <w:instrText xml:space="preserve"> PAGEREF _Toc2802 \h </w:instrText>
      </w:r>
      <w:r>
        <w:fldChar w:fldCharType="separate"/>
      </w:r>
      <w:r>
        <w:t>5</w:t>
      </w:r>
      <w:r>
        <w:fldChar w:fldCharType="end"/>
      </w:r>
      <w:r>
        <w:fldChar w:fldCharType="end"/>
      </w:r>
    </w:p>
    <w:p w14:paraId="065DC441">
      <w:pPr>
        <w:pStyle w:val="38"/>
        <w:tabs>
          <w:tab w:val="right" w:leader="dot" w:pos="9123"/>
        </w:tabs>
      </w:pPr>
      <w:r>
        <w:fldChar w:fldCharType="begin"/>
      </w:r>
      <w:r>
        <w:instrText xml:space="preserve"> HYPERLINK \l "_Toc17663" </w:instrText>
      </w:r>
      <w:r>
        <w:fldChar w:fldCharType="separate"/>
      </w:r>
      <w:r>
        <w:rPr>
          <w:rFonts w:eastAsia="黑体"/>
          <w:bCs/>
          <w:szCs w:val="21"/>
        </w:rPr>
        <w:t xml:space="preserve">7 </w:t>
      </w:r>
      <w:r>
        <w:rPr>
          <w:rFonts w:hint="eastAsia" w:eastAsia="黑体"/>
          <w:bCs/>
          <w:szCs w:val="21"/>
        </w:rPr>
        <w:t>检验规则</w:t>
      </w:r>
      <w:r>
        <w:tab/>
      </w:r>
      <w:r>
        <w:fldChar w:fldCharType="begin"/>
      </w:r>
      <w:r>
        <w:instrText xml:space="preserve"> PAGEREF _Toc17663 \h </w:instrText>
      </w:r>
      <w:r>
        <w:fldChar w:fldCharType="separate"/>
      </w:r>
      <w:r>
        <w:t>9</w:t>
      </w:r>
      <w:r>
        <w:fldChar w:fldCharType="end"/>
      </w:r>
      <w:r>
        <w:fldChar w:fldCharType="end"/>
      </w:r>
    </w:p>
    <w:p w14:paraId="563E9E6B">
      <w:pPr>
        <w:pStyle w:val="38"/>
        <w:tabs>
          <w:tab w:val="right" w:leader="dot" w:pos="9123"/>
        </w:tabs>
      </w:pPr>
      <w:r>
        <w:fldChar w:fldCharType="begin"/>
      </w:r>
      <w:r>
        <w:instrText xml:space="preserve"> HYPERLINK \l "_Toc5484" </w:instrText>
      </w:r>
      <w:r>
        <w:fldChar w:fldCharType="separate"/>
      </w:r>
      <w:r>
        <w:rPr>
          <w:rFonts w:eastAsia="黑体"/>
          <w:bCs/>
          <w:szCs w:val="21"/>
        </w:rPr>
        <w:t>8 技术联络、技术培训及售后服务</w:t>
      </w:r>
      <w:r>
        <w:tab/>
      </w:r>
      <w:r>
        <w:fldChar w:fldCharType="begin"/>
      </w:r>
      <w:r>
        <w:instrText xml:space="preserve"> PAGEREF _Toc5484 \h </w:instrText>
      </w:r>
      <w:r>
        <w:fldChar w:fldCharType="separate"/>
      </w:r>
      <w:r>
        <w:t>10</w:t>
      </w:r>
      <w:r>
        <w:fldChar w:fldCharType="end"/>
      </w:r>
      <w:r>
        <w:fldChar w:fldCharType="end"/>
      </w:r>
    </w:p>
    <w:p w14:paraId="3B50608A">
      <w:pPr>
        <w:pStyle w:val="49"/>
        <w:tabs>
          <w:tab w:val="right" w:leader="dot" w:pos="9123"/>
        </w:tabs>
      </w:pPr>
      <w:r>
        <w:fldChar w:fldCharType="begin"/>
      </w:r>
      <w:r>
        <w:instrText xml:space="preserve"> HYPERLINK \l "_Toc14104" </w:instrText>
      </w:r>
      <w:r>
        <w:fldChar w:fldCharType="separate"/>
      </w:r>
      <w:r>
        <w:rPr>
          <w:rFonts w:hint="eastAsia" w:eastAsia="黑体"/>
          <w:bCs/>
          <w:szCs w:val="21"/>
        </w:rPr>
        <w:t>8.1 技术培训</w:t>
      </w:r>
      <w:r>
        <w:tab/>
      </w:r>
      <w:r>
        <w:fldChar w:fldCharType="begin"/>
      </w:r>
      <w:r>
        <w:instrText xml:space="preserve"> PAGEREF _Toc14104 \h </w:instrText>
      </w:r>
      <w:r>
        <w:fldChar w:fldCharType="separate"/>
      </w:r>
      <w:r>
        <w:t>10</w:t>
      </w:r>
      <w:r>
        <w:fldChar w:fldCharType="end"/>
      </w:r>
      <w:r>
        <w:fldChar w:fldCharType="end"/>
      </w:r>
    </w:p>
    <w:p w14:paraId="159456AB">
      <w:pPr>
        <w:pStyle w:val="49"/>
        <w:tabs>
          <w:tab w:val="right" w:leader="dot" w:pos="9123"/>
        </w:tabs>
      </w:pPr>
      <w:r>
        <w:fldChar w:fldCharType="begin"/>
      </w:r>
      <w:r>
        <w:instrText xml:space="preserve"> HYPERLINK \l "_Toc11559" </w:instrText>
      </w:r>
      <w:r>
        <w:fldChar w:fldCharType="separate"/>
      </w:r>
      <w:r>
        <w:rPr>
          <w:rFonts w:hint="eastAsia" w:eastAsia="黑体"/>
          <w:bCs/>
          <w:szCs w:val="21"/>
        </w:rPr>
        <w:t>8.2 现场及远程技术服务</w:t>
      </w:r>
      <w:r>
        <w:tab/>
      </w:r>
      <w:r>
        <w:fldChar w:fldCharType="begin"/>
      </w:r>
      <w:r>
        <w:instrText xml:space="preserve"> PAGEREF _Toc11559 \h </w:instrText>
      </w:r>
      <w:r>
        <w:fldChar w:fldCharType="separate"/>
      </w:r>
      <w:r>
        <w:t>11</w:t>
      </w:r>
      <w:r>
        <w:fldChar w:fldCharType="end"/>
      </w:r>
      <w:r>
        <w:fldChar w:fldCharType="end"/>
      </w:r>
    </w:p>
    <w:p w14:paraId="76CD8B00">
      <w:pPr>
        <w:pStyle w:val="49"/>
        <w:tabs>
          <w:tab w:val="right" w:leader="dot" w:pos="9123"/>
        </w:tabs>
      </w:pPr>
      <w:r>
        <w:fldChar w:fldCharType="begin"/>
      </w:r>
      <w:r>
        <w:instrText xml:space="preserve"> HYPERLINK \l "_Toc15857" </w:instrText>
      </w:r>
      <w:r>
        <w:fldChar w:fldCharType="separate"/>
      </w:r>
      <w:r>
        <w:rPr>
          <w:rFonts w:eastAsia="黑体"/>
          <w:bCs/>
          <w:szCs w:val="21"/>
        </w:rPr>
        <w:t xml:space="preserve">8.3 </w:t>
      </w:r>
      <w:r>
        <w:rPr>
          <w:rFonts w:hint="eastAsia" w:eastAsia="黑体"/>
          <w:bCs/>
          <w:szCs w:val="21"/>
        </w:rPr>
        <w:t>售后服务</w:t>
      </w:r>
      <w:r>
        <w:tab/>
      </w:r>
      <w:r>
        <w:fldChar w:fldCharType="begin"/>
      </w:r>
      <w:r>
        <w:instrText xml:space="preserve"> PAGEREF _Toc15857 \h </w:instrText>
      </w:r>
      <w:r>
        <w:fldChar w:fldCharType="separate"/>
      </w:r>
      <w:r>
        <w:t>11</w:t>
      </w:r>
      <w:r>
        <w:fldChar w:fldCharType="end"/>
      </w:r>
      <w:r>
        <w:fldChar w:fldCharType="end"/>
      </w:r>
    </w:p>
    <w:p w14:paraId="465A77A2">
      <w:pPr>
        <w:pStyle w:val="38"/>
        <w:tabs>
          <w:tab w:val="right" w:leader="dot" w:pos="9123"/>
        </w:tabs>
      </w:pPr>
      <w:r>
        <w:fldChar w:fldCharType="begin"/>
      </w:r>
      <w:r>
        <w:instrText xml:space="preserve"> HYPERLINK \l "_Toc26145" </w:instrText>
      </w:r>
      <w:r>
        <w:fldChar w:fldCharType="separate"/>
      </w:r>
      <w:r>
        <w:rPr>
          <w:rFonts w:eastAsia="黑体"/>
          <w:bCs/>
          <w:szCs w:val="21"/>
        </w:rPr>
        <w:t>9 标志、包装、运输、贮存</w:t>
      </w:r>
      <w:r>
        <w:tab/>
      </w:r>
      <w:r>
        <w:fldChar w:fldCharType="begin"/>
      </w:r>
      <w:r>
        <w:instrText xml:space="preserve"> PAGEREF _Toc26145 \h </w:instrText>
      </w:r>
      <w:r>
        <w:fldChar w:fldCharType="separate"/>
      </w:r>
      <w:r>
        <w:t>11</w:t>
      </w:r>
      <w:r>
        <w:fldChar w:fldCharType="end"/>
      </w:r>
      <w:r>
        <w:fldChar w:fldCharType="end"/>
      </w:r>
    </w:p>
    <w:p w14:paraId="17AC6CC7">
      <w:pPr>
        <w:pStyle w:val="49"/>
        <w:tabs>
          <w:tab w:val="right" w:leader="dot" w:pos="9123"/>
        </w:tabs>
      </w:pPr>
      <w:r>
        <w:fldChar w:fldCharType="begin"/>
      </w:r>
      <w:r>
        <w:instrText xml:space="preserve"> HYPERLINK \l "_Toc921" </w:instrText>
      </w:r>
      <w:r>
        <w:fldChar w:fldCharType="separate"/>
      </w:r>
      <w:r>
        <w:rPr>
          <w:rFonts w:eastAsia="黑体"/>
          <w:bCs/>
          <w:szCs w:val="21"/>
        </w:rPr>
        <w:t xml:space="preserve">9.1 </w:t>
      </w:r>
      <w:r>
        <w:rPr>
          <w:rFonts w:hint="eastAsia" w:eastAsia="黑体"/>
          <w:bCs/>
          <w:szCs w:val="21"/>
        </w:rPr>
        <w:t>包装</w:t>
      </w:r>
      <w:r>
        <w:tab/>
      </w:r>
      <w:r>
        <w:fldChar w:fldCharType="begin"/>
      </w:r>
      <w:r>
        <w:instrText xml:space="preserve"> PAGEREF _Toc921 \h </w:instrText>
      </w:r>
      <w:r>
        <w:fldChar w:fldCharType="separate"/>
      </w:r>
      <w:r>
        <w:t>11</w:t>
      </w:r>
      <w:r>
        <w:fldChar w:fldCharType="end"/>
      </w:r>
      <w:r>
        <w:fldChar w:fldCharType="end"/>
      </w:r>
    </w:p>
    <w:p w14:paraId="4CD5C97C">
      <w:pPr>
        <w:pStyle w:val="49"/>
        <w:tabs>
          <w:tab w:val="right" w:leader="dot" w:pos="9123"/>
        </w:tabs>
      </w:pPr>
      <w:r>
        <w:fldChar w:fldCharType="begin"/>
      </w:r>
      <w:r>
        <w:instrText xml:space="preserve"> HYPERLINK \l "_Toc14347" </w:instrText>
      </w:r>
      <w:r>
        <w:fldChar w:fldCharType="separate"/>
      </w:r>
      <w:r>
        <w:rPr>
          <w:rFonts w:eastAsia="黑体"/>
          <w:bCs/>
          <w:szCs w:val="21"/>
        </w:rPr>
        <w:t>9.2</w:t>
      </w:r>
      <w:r>
        <w:rPr>
          <w:rFonts w:hint="eastAsia" w:eastAsia="黑体"/>
          <w:bCs/>
          <w:szCs w:val="21"/>
        </w:rPr>
        <w:t xml:space="preserve"> 运输</w:t>
      </w:r>
      <w:r>
        <w:tab/>
      </w:r>
      <w:r>
        <w:fldChar w:fldCharType="begin"/>
      </w:r>
      <w:r>
        <w:instrText xml:space="preserve"> PAGEREF _Toc14347 \h </w:instrText>
      </w:r>
      <w:r>
        <w:fldChar w:fldCharType="separate"/>
      </w:r>
      <w:r>
        <w:t>12</w:t>
      </w:r>
      <w:r>
        <w:fldChar w:fldCharType="end"/>
      </w:r>
      <w:r>
        <w:fldChar w:fldCharType="end"/>
      </w:r>
    </w:p>
    <w:p w14:paraId="409F86EB">
      <w:pPr>
        <w:pStyle w:val="49"/>
        <w:tabs>
          <w:tab w:val="right" w:leader="dot" w:pos="9123"/>
        </w:tabs>
      </w:pPr>
      <w:r>
        <w:fldChar w:fldCharType="begin"/>
      </w:r>
      <w:r>
        <w:instrText xml:space="preserve"> HYPERLINK \l "_Toc18261" </w:instrText>
      </w:r>
      <w:r>
        <w:fldChar w:fldCharType="separate"/>
      </w:r>
      <w:r>
        <w:rPr>
          <w:rFonts w:eastAsia="黑体"/>
          <w:bCs/>
          <w:szCs w:val="21"/>
        </w:rPr>
        <w:t>9.3</w:t>
      </w:r>
      <w:r>
        <w:rPr>
          <w:rFonts w:hint="eastAsia" w:eastAsia="黑体"/>
          <w:bCs/>
          <w:szCs w:val="21"/>
        </w:rPr>
        <w:t xml:space="preserve"> 组装指导</w:t>
      </w:r>
      <w:r>
        <w:tab/>
      </w:r>
      <w:r>
        <w:fldChar w:fldCharType="begin"/>
      </w:r>
      <w:r>
        <w:instrText xml:space="preserve"> PAGEREF _Toc18261 \h </w:instrText>
      </w:r>
      <w:r>
        <w:fldChar w:fldCharType="separate"/>
      </w:r>
      <w:r>
        <w:t>13</w:t>
      </w:r>
      <w:r>
        <w:fldChar w:fldCharType="end"/>
      </w:r>
      <w:r>
        <w:fldChar w:fldCharType="end"/>
      </w:r>
    </w:p>
    <w:p w14:paraId="4307BC4A">
      <w:pPr>
        <w:pStyle w:val="49"/>
        <w:tabs>
          <w:tab w:val="right" w:leader="dot" w:pos="9123"/>
        </w:tabs>
      </w:pPr>
      <w:r>
        <w:fldChar w:fldCharType="begin"/>
      </w:r>
      <w:r>
        <w:instrText xml:space="preserve"> HYPERLINK \l "_Toc23049" </w:instrText>
      </w:r>
      <w:r>
        <w:fldChar w:fldCharType="separate"/>
      </w:r>
      <w:r>
        <w:rPr>
          <w:rFonts w:eastAsia="黑体"/>
          <w:bCs/>
          <w:szCs w:val="21"/>
        </w:rPr>
        <w:t>9.4</w:t>
      </w:r>
      <w:r>
        <w:rPr>
          <w:rFonts w:hint="eastAsia" w:eastAsia="黑体"/>
          <w:bCs/>
          <w:szCs w:val="21"/>
        </w:rPr>
        <w:t xml:space="preserve"> 质量保证</w:t>
      </w:r>
      <w:r>
        <w:tab/>
      </w:r>
      <w:r>
        <w:fldChar w:fldCharType="begin"/>
      </w:r>
      <w:r>
        <w:instrText xml:space="preserve"> PAGEREF _Toc23049 \h </w:instrText>
      </w:r>
      <w:r>
        <w:fldChar w:fldCharType="separate"/>
      </w:r>
      <w:r>
        <w:t>13</w:t>
      </w:r>
      <w:r>
        <w:fldChar w:fldCharType="end"/>
      </w:r>
      <w:r>
        <w:fldChar w:fldCharType="end"/>
      </w:r>
    </w:p>
    <w:p w14:paraId="1ACF3156">
      <w:pPr>
        <w:pStyle w:val="49"/>
        <w:tabs>
          <w:tab w:val="right" w:leader="dot" w:pos="9123"/>
        </w:tabs>
      </w:pPr>
      <w:r>
        <w:fldChar w:fldCharType="begin"/>
      </w:r>
      <w:r>
        <w:instrText xml:space="preserve"> HYPERLINK \l "_Toc19682" </w:instrText>
      </w:r>
      <w:r>
        <w:fldChar w:fldCharType="separate"/>
      </w:r>
      <w:r>
        <w:rPr>
          <w:rFonts w:eastAsia="黑体"/>
          <w:bCs/>
          <w:szCs w:val="21"/>
        </w:rPr>
        <w:t xml:space="preserve">9.5 </w:t>
      </w:r>
      <w:r>
        <w:rPr>
          <w:rFonts w:hint="eastAsia" w:eastAsia="黑体"/>
          <w:bCs/>
          <w:szCs w:val="21"/>
        </w:rPr>
        <w:t>设备验收</w:t>
      </w:r>
      <w:r>
        <w:tab/>
      </w:r>
      <w:r>
        <w:fldChar w:fldCharType="begin"/>
      </w:r>
      <w:r>
        <w:instrText xml:space="preserve"> PAGEREF _Toc19682 \h </w:instrText>
      </w:r>
      <w:r>
        <w:fldChar w:fldCharType="separate"/>
      </w:r>
      <w:r>
        <w:t>13</w:t>
      </w:r>
      <w:r>
        <w:fldChar w:fldCharType="end"/>
      </w:r>
      <w:r>
        <w:fldChar w:fldCharType="end"/>
      </w:r>
    </w:p>
    <w:p w14:paraId="19A46A8A">
      <w:pPr>
        <w:pStyle w:val="29"/>
        <w:spacing w:line="360" w:lineRule="auto"/>
        <w:rPr>
          <w:rFonts w:ascii="Times New Roman" w:hAnsi="Times New Roman"/>
          <w:szCs w:val="21"/>
        </w:rPr>
      </w:pPr>
      <w:r>
        <w:rPr>
          <w:rFonts w:hint="eastAsia" w:ascii="黑体" w:hAnsi="黑体" w:eastAsia="黑体" w:cs="黑体"/>
          <w:bCs/>
          <w:szCs w:val="24"/>
        </w:rPr>
        <w:fldChar w:fldCharType="end"/>
      </w:r>
    </w:p>
    <w:p w14:paraId="5397EFBF">
      <w:pPr>
        <w:snapToGrid w:val="0"/>
        <w:spacing w:line="360" w:lineRule="auto"/>
        <w:ind w:firstLine="560"/>
        <w:outlineLvl w:val="0"/>
        <w:rPr>
          <w:szCs w:val="21"/>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06D55466">
      <w:pPr>
        <w:spacing w:line="480" w:lineRule="auto"/>
        <w:outlineLvl w:val="0"/>
        <w:rPr>
          <w:rFonts w:eastAsia="黑体"/>
          <w:b/>
          <w:bCs/>
          <w:szCs w:val="21"/>
        </w:rPr>
      </w:pPr>
      <w:bookmarkStart w:id="5" w:name="_Toc23837"/>
      <w:bookmarkStart w:id="6" w:name="_Toc224274558"/>
      <w:bookmarkStart w:id="7" w:name="_Toc76025478"/>
      <w:bookmarkStart w:id="8" w:name="_Toc224531919"/>
      <w:bookmarkStart w:id="9" w:name="_Toc13391"/>
      <w:bookmarkStart w:id="10" w:name="_Toc22168"/>
      <w:r>
        <w:rPr>
          <w:rFonts w:eastAsia="黑体"/>
          <w:b/>
          <w:bCs/>
          <w:szCs w:val="21"/>
        </w:rPr>
        <w:t>1 总则</w:t>
      </w:r>
      <w:bookmarkEnd w:id="5"/>
      <w:bookmarkEnd w:id="6"/>
      <w:bookmarkEnd w:id="7"/>
      <w:bookmarkEnd w:id="8"/>
      <w:bookmarkEnd w:id="9"/>
      <w:bookmarkEnd w:id="10"/>
    </w:p>
    <w:p w14:paraId="411370A5">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本技术规范书适用于中国南方电网公司电网设备采购的绝缘子污秽状态多光谱图像分析装置设备，提出了该类装置的功能设计、结构、性能、安装和试验等方面的技术要求。</w:t>
      </w:r>
    </w:p>
    <w:p w14:paraId="21D54E7F">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14:paraId="0F312ED6">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14:paraId="6CDE9344">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14:paraId="31C49B81">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14:paraId="5E8E6AD2">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18A4D4A8">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14:paraId="067EE6C2">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4D675D05">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116859AB">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14:paraId="6B44A838">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14:paraId="43F667E7">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投标方应提供不少于1年的产品质量保证期。</w:t>
      </w:r>
    </w:p>
    <w:p w14:paraId="5EFCD09F">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23DC5D73">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57F9B7A7">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22076852">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14:paraId="1139E5C9">
      <w:pPr>
        <w:pStyle w:val="29"/>
        <w:spacing w:line="360" w:lineRule="auto"/>
        <w:rPr>
          <w:rFonts w:ascii="Times New Roman" w:hAnsi="Times New Roman"/>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14:paraId="75311B3F">
      <w:pPr>
        <w:spacing w:line="480" w:lineRule="auto"/>
        <w:outlineLvl w:val="0"/>
        <w:rPr>
          <w:rFonts w:eastAsia="黑体"/>
          <w:b/>
          <w:bCs/>
          <w:szCs w:val="21"/>
        </w:rPr>
      </w:pPr>
      <w:bookmarkStart w:id="11" w:name="_Toc15575"/>
      <w:bookmarkStart w:id="12" w:name="_Toc23296"/>
      <w:bookmarkStart w:id="13" w:name="_Toc76025479"/>
      <w:bookmarkStart w:id="14" w:name="_Toc4714"/>
      <w:r>
        <w:rPr>
          <w:rFonts w:eastAsia="黑体"/>
          <w:b/>
          <w:bCs/>
          <w:szCs w:val="21"/>
        </w:rPr>
        <w:t>2 工作范围</w:t>
      </w:r>
      <w:bookmarkEnd w:id="11"/>
      <w:bookmarkEnd w:id="12"/>
      <w:bookmarkEnd w:id="13"/>
      <w:bookmarkEnd w:id="14"/>
    </w:p>
    <w:p w14:paraId="77EF27CF">
      <w:pPr>
        <w:pStyle w:val="3"/>
        <w:spacing w:before="0" w:after="0" w:line="360" w:lineRule="auto"/>
        <w:rPr>
          <w:rFonts w:ascii="Times New Roman" w:hAnsi="Times New Roman" w:eastAsia="黑体"/>
          <w:b w:val="0"/>
          <w:bCs/>
          <w:szCs w:val="21"/>
        </w:rPr>
      </w:pPr>
      <w:bookmarkStart w:id="15" w:name="_Toc76025480"/>
      <w:bookmarkStart w:id="16" w:name="_Toc28530"/>
      <w:bookmarkStart w:id="17" w:name="_Toc11781"/>
      <w:bookmarkStart w:id="18" w:name="_Toc13289"/>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5"/>
      <w:bookmarkEnd w:id="16"/>
      <w:bookmarkEnd w:id="17"/>
      <w:bookmarkEnd w:id="18"/>
    </w:p>
    <w:p w14:paraId="2CD72E01">
      <w:pPr>
        <w:spacing w:line="360" w:lineRule="auto"/>
        <w:ind w:left="210" w:firstLine="210"/>
        <w:rPr>
          <w:szCs w:val="21"/>
        </w:rPr>
      </w:pPr>
      <w:r>
        <w:rPr>
          <w:szCs w:val="21"/>
        </w:rPr>
        <w:t>合同供货范围为</w:t>
      </w:r>
      <w:r>
        <w:rPr>
          <w:rFonts w:hint="eastAsia"/>
          <w:szCs w:val="21"/>
        </w:rPr>
        <w:t>绝缘子污秽状态多光谱图像分析装置</w:t>
      </w:r>
      <w:r>
        <w:rPr>
          <w:szCs w:val="21"/>
        </w:rPr>
        <w:t>，详见专用部分附表2.</w:t>
      </w:r>
      <w:r>
        <w:rPr>
          <w:rFonts w:hint="eastAsia"/>
          <w:szCs w:val="21"/>
        </w:rPr>
        <w:t>1</w:t>
      </w:r>
      <w:r>
        <w:rPr>
          <w:szCs w:val="21"/>
        </w:rPr>
        <w:t>。</w:t>
      </w:r>
    </w:p>
    <w:p w14:paraId="560CB54D">
      <w:pPr>
        <w:pStyle w:val="3"/>
        <w:spacing w:before="0" w:after="0" w:line="360" w:lineRule="auto"/>
        <w:rPr>
          <w:rFonts w:ascii="Times New Roman" w:hAnsi="Times New Roman" w:eastAsia="黑体"/>
          <w:b w:val="0"/>
          <w:bCs/>
          <w:szCs w:val="21"/>
        </w:rPr>
      </w:pPr>
      <w:bookmarkStart w:id="19" w:name="_Toc26638"/>
      <w:bookmarkStart w:id="20" w:name="_Toc76025481"/>
      <w:bookmarkStart w:id="21" w:name="_Toc25635"/>
      <w:bookmarkStart w:id="22" w:name="_Toc23836"/>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19"/>
      <w:bookmarkEnd w:id="20"/>
      <w:bookmarkEnd w:id="21"/>
      <w:bookmarkEnd w:id="22"/>
    </w:p>
    <w:p w14:paraId="40943C1D">
      <w:pPr>
        <w:adjustRightInd w:val="0"/>
        <w:snapToGrid w:val="0"/>
        <w:spacing w:line="360" w:lineRule="auto"/>
        <w:ind w:firstLine="424" w:firstLineChars="202"/>
        <w:rPr>
          <w:rFonts w:eastAsia="方正书宋简体"/>
          <w:szCs w:val="21"/>
        </w:rPr>
      </w:pPr>
      <w:r>
        <w:rPr>
          <w:rFonts w:eastAsia="方正书宋简体"/>
          <w:szCs w:val="21"/>
        </w:rPr>
        <w:t>1） 本技术规范书适用于</w:t>
      </w:r>
      <w:r>
        <w:rPr>
          <w:rFonts w:hint="eastAsia" w:eastAsia="方正书宋简体"/>
          <w:szCs w:val="21"/>
        </w:rPr>
        <w:t>绝缘子污秽状态多光谱图像分析装置</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11D30904">
      <w:pPr>
        <w:adjustRightInd w:val="0"/>
        <w:snapToGrid w:val="0"/>
        <w:spacing w:line="360" w:lineRule="auto"/>
        <w:ind w:firstLine="424" w:firstLineChars="202"/>
        <w:rPr>
          <w:szCs w:val="21"/>
        </w:rPr>
      </w:pPr>
      <w:r>
        <w:rPr>
          <w:rFonts w:eastAsia="方正书宋简体"/>
          <w:szCs w:val="21"/>
        </w:rPr>
        <w:t>2）本技术规范书未说明，但又与设计、制造、装配、试验、运输、包装、保管、安装和运行维护有关的技术要求，按条款3所规定的有关标准执行。</w:t>
      </w:r>
    </w:p>
    <w:p w14:paraId="680DA82E">
      <w:pPr>
        <w:pStyle w:val="3"/>
        <w:spacing w:before="0" w:after="0" w:line="360" w:lineRule="auto"/>
        <w:rPr>
          <w:rFonts w:ascii="Times New Roman" w:hAnsi="Times New Roman" w:eastAsia="黑体"/>
          <w:b w:val="0"/>
          <w:bCs/>
          <w:szCs w:val="21"/>
        </w:rPr>
      </w:pPr>
      <w:bookmarkStart w:id="23" w:name="_Toc19342"/>
      <w:bookmarkStart w:id="24" w:name="_Toc27859"/>
      <w:bookmarkStart w:id="25" w:name="_Toc31959"/>
      <w:bookmarkStart w:id="26" w:name="_Toc76025482"/>
      <w:r>
        <w:rPr>
          <w:rFonts w:ascii="Times New Roman" w:hAnsi="Times New Roman" w:eastAsia="黑体"/>
          <w:b w:val="0"/>
          <w:bCs/>
          <w:szCs w:val="21"/>
        </w:rPr>
        <w:t xml:space="preserve">2.3 </w:t>
      </w:r>
      <w:r>
        <w:rPr>
          <w:rFonts w:hint="eastAsia" w:ascii="Times New Roman" w:hAnsi="Times New Roman" w:eastAsia="黑体"/>
          <w:b w:val="0"/>
          <w:bCs/>
          <w:szCs w:val="21"/>
        </w:rPr>
        <w:t>技术文件</w:t>
      </w:r>
      <w:bookmarkEnd w:id="23"/>
      <w:bookmarkEnd w:id="24"/>
      <w:bookmarkEnd w:id="25"/>
      <w:bookmarkEnd w:id="26"/>
    </w:p>
    <w:p w14:paraId="6EF9E2B8">
      <w:pPr>
        <w:pStyle w:val="451"/>
        <w:adjustRightInd w:val="0"/>
        <w:snapToGrid w:val="0"/>
        <w:spacing w:line="360" w:lineRule="auto"/>
        <w:ind w:firstLine="424" w:firstLineChars="202"/>
        <w:rPr>
          <w:rFonts w:cs="Times New Roman"/>
          <w:szCs w:val="21"/>
        </w:rPr>
      </w:pPr>
      <w:bookmarkStart w:id="27" w:name="_Toc81989605"/>
      <w:bookmarkStart w:id="28" w:name="_Toc82140158"/>
      <w:r>
        <w:rPr>
          <w:rFonts w:cs="Times New Roman"/>
          <w:szCs w:val="21"/>
        </w:rPr>
        <w:t>1）投标方应按本技术规范书的要求提供全新的、合格的</w:t>
      </w:r>
      <w:r>
        <w:rPr>
          <w:rFonts w:hint="eastAsia" w:cs="Times New Roman"/>
          <w:szCs w:val="21"/>
        </w:rPr>
        <w:t>绝缘子污秽状态多光谱图像分析装置</w:t>
      </w:r>
      <w:r>
        <w:rPr>
          <w:rFonts w:eastAsia="宋体" w:cs="Times New Roman"/>
          <w:szCs w:val="21"/>
        </w:rPr>
        <w:t>及其附属设备、备品备件、专用工具和仪器。</w:t>
      </w:r>
    </w:p>
    <w:p w14:paraId="037BB046">
      <w:pPr>
        <w:pStyle w:val="451"/>
        <w:adjustRightInd w:val="0"/>
        <w:snapToGrid w:val="0"/>
        <w:spacing w:line="360" w:lineRule="auto"/>
        <w:ind w:firstLine="424" w:firstLineChars="202"/>
        <w:rPr>
          <w:rFonts w:cs="Times New Roman"/>
          <w:szCs w:val="21"/>
        </w:rPr>
      </w:pPr>
      <w:r>
        <w:rPr>
          <w:rFonts w:cs="Times New Roman"/>
          <w:szCs w:val="21"/>
        </w:rPr>
        <w:t>2）投标方所提供的组件或附件如需向第三方外购时，投标方应对质量向招标方负责，并提供相应出厂和验收证明。</w:t>
      </w:r>
    </w:p>
    <w:p w14:paraId="3B26119F">
      <w:pPr>
        <w:pStyle w:val="451"/>
        <w:adjustRightInd w:val="0"/>
        <w:snapToGrid w:val="0"/>
        <w:spacing w:line="360" w:lineRule="auto"/>
        <w:ind w:firstLine="424" w:firstLineChars="202"/>
        <w:rPr>
          <w:rFonts w:cs="Times New Roman"/>
          <w:szCs w:val="21"/>
        </w:rPr>
      </w:pPr>
      <w:r>
        <w:rPr>
          <w:rFonts w:cs="Times New Roman"/>
          <w:szCs w:val="21"/>
        </w:rPr>
        <w:t>3）工厂试验由投标方在生产厂家内完成, 但应有招标方代表参加, 参加工厂验收的人数及天数等根据招标方需要由招投标双方协商进行确定。</w:t>
      </w:r>
    </w:p>
    <w:p w14:paraId="3E7ED056">
      <w:pPr>
        <w:pStyle w:val="451"/>
        <w:adjustRightInd w:val="0"/>
        <w:snapToGrid w:val="0"/>
        <w:spacing w:line="360" w:lineRule="auto"/>
        <w:ind w:firstLine="424" w:firstLineChars="202"/>
        <w:rPr>
          <w:rFonts w:cs="Times New Roman"/>
          <w:szCs w:val="21"/>
        </w:rPr>
      </w:pPr>
      <w:r>
        <w:rPr>
          <w:rFonts w:cs="Times New Roman"/>
          <w:szCs w:val="21"/>
        </w:rPr>
        <w:t>4）</w:t>
      </w:r>
      <w:r>
        <w:rPr>
          <w:rFonts w:hint="eastAsia"/>
          <w:szCs w:val="21"/>
        </w:rPr>
        <w:t>装置从生产厂家到安装位置的运输全部由投标方完成，现场调试和安装在招标方指导下由投标方完成</w:t>
      </w:r>
      <w:r>
        <w:t>。</w:t>
      </w:r>
      <w:r>
        <w:rPr>
          <w:rFonts w:cs="Times New Roman"/>
          <w:szCs w:val="21"/>
        </w:rPr>
        <w:t>投标方协助招标方按标准检查安装质量</w:t>
      </w:r>
      <w:r>
        <w:rPr>
          <w:rFonts w:hint="eastAsia" w:cs="Times New Roman"/>
          <w:szCs w:val="21"/>
        </w:rPr>
        <w:t>，</w:t>
      </w:r>
      <w:r>
        <w:rPr>
          <w:rFonts w:cs="Times New Roman"/>
          <w:szCs w:val="21"/>
        </w:rPr>
        <w:t>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14:paraId="220B4956">
      <w:pPr>
        <w:pStyle w:val="451"/>
        <w:adjustRightInd w:val="0"/>
        <w:snapToGrid w:val="0"/>
        <w:spacing w:line="360" w:lineRule="auto"/>
        <w:ind w:firstLine="424" w:firstLineChars="202"/>
        <w:rPr>
          <w:rFonts w:cs="Times New Roman"/>
          <w:szCs w:val="21"/>
        </w:rPr>
      </w:pPr>
      <w:r>
        <w:rPr>
          <w:rFonts w:cs="Times New Roman"/>
          <w:szCs w:val="21"/>
        </w:rPr>
        <w:t>5）投标方应协助招标方解决设备运行中出现的问题。并及时排除故障恢复运行。投标方应免费提供远程技术服务，远程技术服务项目期限不受限于保修期，远程技术服务在设备报废前有效。</w:t>
      </w:r>
    </w:p>
    <w:p w14:paraId="260936C5">
      <w:pPr>
        <w:pStyle w:val="3"/>
      </w:pPr>
      <w:bookmarkStart w:id="29" w:name="_Toc30637"/>
      <w:bookmarkStart w:id="30" w:name="_Toc6217"/>
      <w:bookmarkStart w:id="31" w:name="_Toc14719"/>
      <w:r>
        <w:rPr>
          <w:rFonts w:hint="eastAsia"/>
        </w:rPr>
        <w:t>技术文件的组成</w:t>
      </w:r>
      <w:bookmarkEnd w:id="29"/>
      <w:bookmarkEnd w:id="30"/>
      <w:bookmarkEnd w:id="31"/>
    </w:p>
    <w:p w14:paraId="4A86E4D4">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34057ADF">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51479F64">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43BAAC20">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6B6A1792">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601734F9">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14:paraId="755814E3">
      <w:pPr>
        <w:spacing w:line="480" w:lineRule="auto"/>
        <w:outlineLvl w:val="0"/>
        <w:rPr>
          <w:rFonts w:eastAsia="黑体"/>
          <w:b/>
          <w:bCs/>
          <w:szCs w:val="21"/>
        </w:rPr>
      </w:pPr>
      <w:bookmarkStart w:id="32" w:name="_Toc26216"/>
      <w:bookmarkStart w:id="33" w:name="_Toc9834"/>
      <w:bookmarkStart w:id="34" w:name="_Toc964"/>
      <w:bookmarkStart w:id="35" w:name="_Toc76025483"/>
      <w:r>
        <w:rPr>
          <w:rFonts w:eastAsia="黑体"/>
          <w:b/>
          <w:bCs/>
          <w:szCs w:val="21"/>
        </w:rPr>
        <w:t>3 应遵循的主要标准</w:t>
      </w:r>
      <w:bookmarkEnd w:id="27"/>
      <w:bookmarkEnd w:id="28"/>
      <w:bookmarkEnd w:id="32"/>
      <w:bookmarkEnd w:id="33"/>
      <w:bookmarkEnd w:id="34"/>
      <w:bookmarkEnd w:id="35"/>
    </w:p>
    <w:p w14:paraId="4F263FE6">
      <w:pPr>
        <w:pStyle w:val="451"/>
        <w:adjustRightInd w:val="0"/>
        <w:snapToGrid w:val="0"/>
        <w:spacing w:line="360" w:lineRule="auto"/>
        <w:rPr>
          <w:rFonts w:cs="Times New Roman"/>
          <w:szCs w:val="21"/>
        </w:rPr>
      </w:pPr>
      <w:bookmarkStart w:id="36" w:name="_Toc384340981"/>
      <w:bookmarkStart w:id="37" w:name="_Toc282993250"/>
      <w:r>
        <w:rPr>
          <w:rFonts w:cs="Times New Roman"/>
          <w:szCs w:val="21"/>
        </w:rPr>
        <w:t>除本技术规范书特殊规定外,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w:t>
      </w:r>
      <w:r>
        <w:rPr>
          <w:rFonts w:hint="eastAsia" w:cs="Times New Roman"/>
          <w:szCs w:val="21"/>
        </w:rPr>
        <w:t>凡是未注明日期的引用标准，其最新版适用于本技术规范书。</w:t>
      </w:r>
      <w:r>
        <w:rPr>
          <w:rFonts w:cs="Times New Roman"/>
          <w:szCs w:val="21"/>
        </w:rPr>
        <w:t>主要引用标准如下：</w:t>
      </w:r>
    </w:p>
    <w:p w14:paraId="096E4914">
      <w:pPr>
        <w:snapToGrid w:val="0"/>
        <w:spacing w:line="360" w:lineRule="auto"/>
        <w:ind w:firstLine="420" w:firstLineChars="200"/>
        <w:rPr>
          <w:szCs w:val="21"/>
        </w:rPr>
      </w:pPr>
      <w:r>
        <w:rPr>
          <w:rFonts w:hint="eastAsia"/>
          <w:szCs w:val="21"/>
        </w:rPr>
        <w:t>GB 4208-2017</w:t>
      </w:r>
      <w:r>
        <w:rPr>
          <w:rFonts w:hint="eastAsia"/>
          <w:szCs w:val="21"/>
        </w:rPr>
        <w:tab/>
      </w:r>
      <w:r>
        <w:rPr>
          <w:rFonts w:hint="eastAsia"/>
          <w:szCs w:val="21"/>
        </w:rPr>
        <w:tab/>
      </w:r>
      <w:r>
        <w:rPr>
          <w:rFonts w:hint="eastAsia"/>
          <w:szCs w:val="21"/>
        </w:rPr>
        <w:t>外壳防护等级（IP代码）</w:t>
      </w:r>
      <w:r>
        <w:rPr>
          <w:rFonts w:hint="eastAsia"/>
          <w:szCs w:val="21"/>
        </w:rPr>
        <w:tab/>
      </w:r>
    </w:p>
    <w:p w14:paraId="66F634AB">
      <w:pPr>
        <w:snapToGrid w:val="0"/>
        <w:spacing w:line="360" w:lineRule="auto"/>
        <w:ind w:firstLine="420" w:firstLineChars="200"/>
        <w:rPr>
          <w:szCs w:val="21"/>
        </w:rPr>
      </w:pPr>
      <w:r>
        <w:rPr>
          <w:rFonts w:hint="eastAsia"/>
          <w:szCs w:val="21"/>
        </w:rPr>
        <w:t>GB/T 191-2008</w:t>
      </w:r>
      <w:r>
        <w:rPr>
          <w:rFonts w:hint="eastAsia"/>
          <w:szCs w:val="21"/>
        </w:rPr>
        <w:tab/>
      </w:r>
      <w:r>
        <w:rPr>
          <w:rFonts w:hint="eastAsia"/>
          <w:szCs w:val="21"/>
        </w:rPr>
        <w:t>包装储运图示标志</w:t>
      </w:r>
    </w:p>
    <w:p w14:paraId="0E4F6B00">
      <w:pPr>
        <w:snapToGrid w:val="0"/>
        <w:spacing w:line="360" w:lineRule="auto"/>
        <w:ind w:firstLine="420" w:firstLineChars="200"/>
        <w:rPr>
          <w:szCs w:val="21"/>
        </w:rPr>
      </w:pPr>
      <w:r>
        <w:rPr>
          <w:rFonts w:hint="eastAsia"/>
          <w:szCs w:val="21"/>
        </w:rPr>
        <w:t>GJB/Z105-98</w:t>
      </w:r>
      <w:r>
        <w:rPr>
          <w:rFonts w:hint="eastAsia"/>
          <w:szCs w:val="21"/>
        </w:rPr>
        <w:tab/>
      </w:r>
      <w:r>
        <w:rPr>
          <w:rFonts w:hint="eastAsia"/>
          <w:szCs w:val="21"/>
        </w:rPr>
        <w:t>电子产品防静电放电控制手册</w:t>
      </w:r>
    </w:p>
    <w:p w14:paraId="17C8A18A">
      <w:pPr>
        <w:snapToGrid w:val="0"/>
        <w:spacing w:line="360" w:lineRule="auto"/>
        <w:ind w:firstLine="420" w:firstLineChars="200"/>
        <w:rPr>
          <w:szCs w:val="21"/>
        </w:rPr>
      </w:pPr>
      <w:r>
        <w:rPr>
          <w:rFonts w:hint="eastAsia"/>
          <w:szCs w:val="21"/>
        </w:rPr>
        <w:t>QJ 2245</w:t>
      </w:r>
      <w:r>
        <w:rPr>
          <w:rFonts w:hint="eastAsia"/>
          <w:szCs w:val="21"/>
        </w:rPr>
        <w:tab/>
      </w:r>
      <w:r>
        <w:rPr>
          <w:rFonts w:hint="eastAsia"/>
          <w:szCs w:val="21"/>
        </w:rPr>
        <w:tab/>
      </w:r>
      <w:r>
        <w:rPr>
          <w:rFonts w:hint="eastAsia"/>
          <w:szCs w:val="21"/>
        </w:rPr>
        <w:t>电子仪器和设备防静电要求</w:t>
      </w:r>
    </w:p>
    <w:p w14:paraId="06E9EA00">
      <w:pPr>
        <w:snapToGrid w:val="0"/>
        <w:spacing w:line="360" w:lineRule="auto"/>
        <w:ind w:firstLine="420" w:firstLineChars="200"/>
        <w:rPr>
          <w:szCs w:val="21"/>
        </w:rPr>
      </w:pPr>
      <w:r>
        <w:rPr>
          <w:rFonts w:hint="eastAsia"/>
          <w:szCs w:val="21"/>
        </w:rPr>
        <w:t>GB/T 2423.1-2008 电工电子产品环境试验第2部分：试验方法 试验A：低温</w:t>
      </w:r>
    </w:p>
    <w:p w14:paraId="56C2C4AF">
      <w:pPr>
        <w:snapToGrid w:val="0"/>
        <w:spacing w:line="360" w:lineRule="auto"/>
        <w:ind w:firstLine="420" w:firstLineChars="200"/>
        <w:rPr>
          <w:szCs w:val="21"/>
        </w:rPr>
      </w:pPr>
      <w:r>
        <w:rPr>
          <w:rFonts w:hint="eastAsia"/>
          <w:szCs w:val="21"/>
        </w:rPr>
        <w:t>GB/T 2423.2-2008 电工电子产品环境试验第2部分：试验方法 试验B：高温</w:t>
      </w:r>
    </w:p>
    <w:p w14:paraId="090060BE">
      <w:pPr>
        <w:snapToGrid w:val="0"/>
        <w:spacing w:line="360" w:lineRule="auto"/>
        <w:ind w:firstLine="420" w:firstLineChars="200"/>
        <w:rPr>
          <w:szCs w:val="21"/>
        </w:rPr>
      </w:pPr>
      <w:r>
        <w:rPr>
          <w:rFonts w:hint="eastAsia"/>
          <w:szCs w:val="21"/>
        </w:rPr>
        <w:t>GB/T 2423.2-2008 电工电子产品环境试验第2部分：试验方法 试验Fc：振动（正弦）</w:t>
      </w:r>
    </w:p>
    <w:p w14:paraId="6E8C1377">
      <w:pPr>
        <w:snapToGrid w:val="0"/>
        <w:spacing w:line="360" w:lineRule="auto"/>
        <w:ind w:firstLine="420" w:firstLineChars="200"/>
        <w:rPr>
          <w:szCs w:val="21"/>
        </w:rPr>
      </w:pPr>
      <w:r>
        <w:rPr>
          <w:rFonts w:hint="eastAsia"/>
          <w:szCs w:val="21"/>
        </w:rPr>
        <w:t>GB/T 2423.3-2016 环境试验 第2部分：试验方法 试验Cab：恒定湿热试验</w:t>
      </w:r>
    </w:p>
    <w:p w14:paraId="0ED3B026">
      <w:pPr>
        <w:snapToGrid w:val="0"/>
        <w:spacing w:line="360" w:lineRule="auto"/>
        <w:ind w:firstLine="420" w:firstLineChars="200"/>
        <w:rPr>
          <w:szCs w:val="21"/>
        </w:rPr>
      </w:pPr>
      <w:r>
        <w:rPr>
          <w:rFonts w:hint="eastAsia"/>
          <w:szCs w:val="21"/>
        </w:rPr>
        <w:t>GB/T 2423.21-2008 电工电子产品环境试验 第2部分：试验方法 试验M：低气压</w:t>
      </w:r>
    </w:p>
    <w:p w14:paraId="6A195547">
      <w:pPr>
        <w:snapToGrid w:val="0"/>
        <w:spacing w:line="360" w:lineRule="auto"/>
        <w:ind w:firstLine="420" w:firstLineChars="200"/>
        <w:rPr>
          <w:szCs w:val="21"/>
        </w:rPr>
      </w:pPr>
      <w:r>
        <w:rPr>
          <w:rFonts w:hint="eastAsia"/>
          <w:szCs w:val="21"/>
        </w:rPr>
        <w:t>GB/T 2423.25-2008 电工电子产品 环境试验 第2部分：试验方法 试验Z/AM：低温/低气压综合试验</w:t>
      </w:r>
    </w:p>
    <w:p w14:paraId="68E97CD3">
      <w:pPr>
        <w:snapToGrid w:val="0"/>
        <w:spacing w:line="360" w:lineRule="auto"/>
        <w:ind w:firstLine="420" w:firstLineChars="200"/>
        <w:rPr>
          <w:szCs w:val="21"/>
        </w:rPr>
      </w:pPr>
      <w:r>
        <w:rPr>
          <w:rFonts w:hint="eastAsia"/>
          <w:szCs w:val="21"/>
        </w:rPr>
        <w:t>GB/T 2423.26-2008 电工电子产品 环境试验 第2部分：试验方法 试验Z/BM：高温/低气压综合试验</w:t>
      </w:r>
    </w:p>
    <w:p w14:paraId="6066AA67">
      <w:pPr>
        <w:snapToGrid w:val="0"/>
        <w:spacing w:line="360" w:lineRule="auto"/>
        <w:ind w:firstLine="420" w:firstLineChars="200"/>
        <w:rPr>
          <w:szCs w:val="21"/>
        </w:rPr>
      </w:pPr>
      <w:r>
        <w:rPr>
          <w:rFonts w:hint="eastAsia"/>
          <w:szCs w:val="21"/>
        </w:rPr>
        <w:t>GB/T 2423.27-2005 电工电子产品环境试验 第2部分：试验方法 试验Z/AMD：低温/低气压/湿热连续综合试验</w:t>
      </w:r>
    </w:p>
    <w:p w14:paraId="5DA42601">
      <w:pPr>
        <w:snapToGrid w:val="0"/>
        <w:spacing w:line="360" w:lineRule="auto"/>
        <w:ind w:firstLine="420" w:firstLineChars="200"/>
        <w:rPr>
          <w:lang w:bidi="ar"/>
        </w:rPr>
      </w:pPr>
      <w:r>
        <w:rPr>
          <w:rFonts w:hint="eastAsia"/>
          <w:lang w:bidi="ar"/>
        </w:rPr>
        <w:t>GB/T 17626.3-2016 电磁兼容 试验和测量技术射频电磁场辐射抗扰度试验</w:t>
      </w:r>
    </w:p>
    <w:p w14:paraId="7D52E67A">
      <w:pPr>
        <w:snapToGrid w:val="0"/>
        <w:spacing w:line="360" w:lineRule="auto"/>
        <w:ind w:firstLine="420" w:firstLineChars="200"/>
        <w:rPr>
          <w:lang w:bidi="ar"/>
        </w:rPr>
      </w:pPr>
      <w:r>
        <w:rPr>
          <w:rFonts w:hint="eastAsia"/>
          <w:lang w:bidi="ar"/>
        </w:rPr>
        <w:t>GB/T 17626.2-2018 电磁兼容 试验和测量技术 静电放电抗扰度试验</w:t>
      </w:r>
    </w:p>
    <w:p w14:paraId="7060C8A9">
      <w:pPr>
        <w:snapToGrid w:val="0"/>
        <w:spacing w:line="360" w:lineRule="auto"/>
        <w:ind w:firstLine="420" w:firstLineChars="200"/>
        <w:rPr>
          <w:lang w:bidi="ar"/>
        </w:rPr>
      </w:pPr>
      <w:r>
        <w:rPr>
          <w:rFonts w:hint="eastAsia"/>
          <w:lang w:bidi="ar"/>
        </w:rPr>
        <w:t>GB/T 17626.9-2011 电磁兼容 试验和测量技术 脉冲磁场抗扰度试验</w:t>
      </w:r>
    </w:p>
    <w:p w14:paraId="4BFEDC6D">
      <w:pPr>
        <w:snapToGrid w:val="0"/>
        <w:spacing w:line="360" w:lineRule="auto"/>
        <w:ind w:firstLine="420" w:firstLineChars="200"/>
        <w:rPr>
          <w:lang w:bidi="ar"/>
        </w:rPr>
      </w:pPr>
      <w:r>
        <w:rPr>
          <w:rFonts w:hint="eastAsia"/>
          <w:lang w:bidi="ar"/>
        </w:rPr>
        <w:t>GB/T 17626.8-2006 电磁兼容 试验和测量技术 工频磁场抗扰度试验</w:t>
      </w:r>
    </w:p>
    <w:p w14:paraId="0B5B2422">
      <w:pPr>
        <w:snapToGrid w:val="0"/>
        <w:spacing w:line="360" w:lineRule="auto"/>
        <w:ind w:firstLine="420" w:firstLineChars="200"/>
        <w:rPr>
          <w:szCs w:val="21"/>
        </w:rPr>
      </w:pPr>
      <w:r>
        <w:rPr>
          <w:rFonts w:hint="eastAsia"/>
          <w:szCs w:val="21"/>
        </w:rPr>
        <w:t>中国南方电网有限责任公司送样检测业务指导书</w:t>
      </w:r>
    </w:p>
    <w:p w14:paraId="4285DA5C">
      <w:pPr>
        <w:snapToGrid w:val="0"/>
        <w:spacing w:line="360" w:lineRule="auto"/>
        <w:ind w:firstLine="420" w:firstLineChars="200"/>
        <w:rPr>
          <w:szCs w:val="21"/>
        </w:rPr>
      </w:pPr>
      <w:r>
        <w:rPr>
          <w:rFonts w:hint="eastAsia"/>
          <w:szCs w:val="21"/>
        </w:rPr>
        <w:t>中国南方电网有限责任公司到货抽检业务指导书</w:t>
      </w:r>
    </w:p>
    <w:p w14:paraId="2416C321">
      <w:pPr>
        <w:snapToGrid w:val="0"/>
        <w:spacing w:line="360" w:lineRule="auto"/>
        <w:ind w:firstLine="420" w:firstLineChars="200"/>
        <w:rPr>
          <w:szCs w:val="21"/>
        </w:rPr>
      </w:pPr>
      <w:r>
        <w:rPr>
          <w:rFonts w:hint="eastAsia"/>
          <w:szCs w:val="21"/>
        </w:rPr>
        <w:t>中国南方电网有限责任公司专项抽检业务指导书</w:t>
      </w:r>
    </w:p>
    <w:bookmarkEnd w:id="36"/>
    <w:bookmarkEnd w:id="37"/>
    <w:p w14:paraId="18489C50">
      <w:pPr>
        <w:spacing w:line="480" w:lineRule="auto"/>
        <w:outlineLvl w:val="0"/>
        <w:rPr>
          <w:rFonts w:eastAsia="黑体"/>
          <w:b/>
          <w:bCs/>
          <w:szCs w:val="21"/>
        </w:rPr>
      </w:pPr>
      <w:bookmarkStart w:id="38" w:name="_Toc76025484"/>
      <w:bookmarkStart w:id="39" w:name="_Toc4462"/>
      <w:bookmarkStart w:id="40" w:name="_Toc16488"/>
      <w:bookmarkStart w:id="41" w:name="_Toc4845"/>
      <w:r>
        <w:rPr>
          <w:rFonts w:eastAsia="黑体"/>
          <w:b/>
          <w:bCs/>
          <w:szCs w:val="21"/>
        </w:rPr>
        <w:t>4 使用条件</w:t>
      </w:r>
      <w:bookmarkEnd w:id="38"/>
      <w:bookmarkEnd w:id="39"/>
      <w:bookmarkEnd w:id="40"/>
      <w:bookmarkEnd w:id="41"/>
    </w:p>
    <w:p w14:paraId="34A15BF1">
      <w:pPr>
        <w:adjustRightInd w:val="0"/>
        <w:snapToGrid w:val="0"/>
        <w:spacing w:line="360" w:lineRule="auto"/>
        <w:outlineLvl w:val="1"/>
        <w:rPr>
          <w:rFonts w:eastAsia="黑体"/>
          <w:szCs w:val="21"/>
        </w:rPr>
      </w:pPr>
      <w:bookmarkStart w:id="42" w:name="_Toc322532854"/>
      <w:bookmarkStart w:id="43" w:name="_Toc296359207"/>
      <w:bookmarkStart w:id="44" w:name="_Toc264460811"/>
      <w:bookmarkStart w:id="45" w:name="_Toc322527759"/>
      <w:bookmarkStart w:id="46" w:name="_Toc296961937"/>
      <w:bookmarkStart w:id="47" w:name="_Toc349034886"/>
      <w:bookmarkStart w:id="48" w:name="_Toc76025485"/>
      <w:bookmarkStart w:id="49" w:name="_Toc66780566"/>
      <w:bookmarkStart w:id="50" w:name="_Toc11206"/>
      <w:bookmarkStart w:id="51" w:name="_Toc494551787"/>
      <w:bookmarkStart w:id="52" w:name="_Toc264380123"/>
      <w:bookmarkStart w:id="53" w:name="_Toc24133"/>
      <w:bookmarkStart w:id="54" w:name="_Toc426040192"/>
      <w:bookmarkStart w:id="55" w:name="_Toc23392"/>
      <w:bookmarkStart w:id="56" w:name="_Toc279769036"/>
      <w:r>
        <w:rPr>
          <w:rFonts w:eastAsia="黑体"/>
          <w:szCs w:val="21"/>
        </w:rPr>
        <w:t>4.1 正常使用条件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D50ECD7">
      <w:pPr>
        <w:spacing w:line="360" w:lineRule="auto"/>
        <w:ind w:firstLine="420" w:firstLineChars="200"/>
        <w:rPr>
          <w:szCs w:val="21"/>
        </w:rPr>
      </w:pPr>
      <w:r>
        <w:rPr>
          <w:rFonts w:hint="eastAsia"/>
          <w:szCs w:val="21"/>
        </w:rPr>
        <w:t>1）工作温度范围：</w:t>
      </w:r>
      <w:r>
        <w:rPr>
          <w:rFonts w:hint="eastAsia"/>
        </w:rPr>
        <w:t>-20℃~+50℃</w:t>
      </w:r>
      <w:r>
        <w:rPr>
          <w:rFonts w:hint="eastAsia"/>
          <w:szCs w:val="21"/>
        </w:rPr>
        <w:t>；</w:t>
      </w:r>
    </w:p>
    <w:p w14:paraId="149AC81A">
      <w:pPr>
        <w:spacing w:line="360" w:lineRule="auto"/>
        <w:ind w:firstLine="420" w:firstLineChars="200"/>
        <w:rPr>
          <w:szCs w:val="21"/>
        </w:rPr>
      </w:pPr>
      <w:r>
        <w:rPr>
          <w:rFonts w:hint="eastAsia"/>
          <w:szCs w:val="21"/>
        </w:rPr>
        <w:t>2）</w:t>
      </w:r>
      <w:r>
        <w:rPr>
          <w:rFonts w:hint="eastAsia"/>
        </w:rPr>
        <w:t>存储环境温度</w:t>
      </w:r>
      <w:r>
        <w:rPr>
          <w:rFonts w:hint="eastAsia"/>
          <w:szCs w:val="21"/>
        </w:rPr>
        <w:t>：-30℃~+70℃；</w:t>
      </w:r>
    </w:p>
    <w:p w14:paraId="10FB58AD">
      <w:pPr>
        <w:spacing w:line="360" w:lineRule="auto"/>
        <w:ind w:firstLine="420" w:firstLineChars="200"/>
        <w:rPr>
          <w:szCs w:val="21"/>
        </w:rPr>
      </w:pPr>
      <w:r>
        <w:rPr>
          <w:rFonts w:hint="eastAsia"/>
          <w:szCs w:val="21"/>
        </w:rPr>
        <w:t>3）卫星系统技术要求：仅支持BDS且兼容北斗3号及以下卫星系统。</w:t>
      </w:r>
    </w:p>
    <w:p w14:paraId="1585A66A">
      <w:pPr>
        <w:adjustRightInd w:val="0"/>
        <w:snapToGrid w:val="0"/>
        <w:spacing w:line="360" w:lineRule="auto"/>
        <w:outlineLvl w:val="1"/>
        <w:rPr>
          <w:rFonts w:eastAsia="黑体"/>
          <w:szCs w:val="21"/>
        </w:rPr>
      </w:pPr>
      <w:bookmarkStart w:id="57" w:name="_Toc322532855"/>
      <w:bookmarkStart w:id="58" w:name="_Toc494551788"/>
      <w:bookmarkStart w:id="59" w:name="_Toc296359208"/>
      <w:bookmarkStart w:id="60" w:name="_Toc322527760"/>
      <w:bookmarkStart w:id="61" w:name="_Toc264380124"/>
      <w:bookmarkStart w:id="62" w:name="_Toc349034887"/>
      <w:bookmarkStart w:id="63" w:name="_Toc66780567"/>
      <w:bookmarkStart w:id="64" w:name="_Toc426040193"/>
      <w:bookmarkStart w:id="65" w:name="_Toc14470"/>
      <w:bookmarkStart w:id="66" w:name="_Toc22529"/>
      <w:bookmarkStart w:id="67" w:name="_Toc296961938"/>
      <w:bookmarkStart w:id="68" w:name="_Toc264450245"/>
      <w:bookmarkStart w:id="69" w:name="_Toc264460812"/>
      <w:bookmarkStart w:id="70" w:name="_Toc28986"/>
      <w:bookmarkStart w:id="71" w:name="_Toc76025486"/>
      <w:r>
        <w:rPr>
          <w:rFonts w:eastAsia="黑体"/>
          <w:szCs w:val="21"/>
        </w:rPr>
        <w:t>4.2 特殊使用条件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34DE183">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1DD1307D">
      <w:pPr>
        <w:spacing w:line="480" w:lineRule="auto"/>
        <w:outlineLvl w:val="0"/>
        <w:rPr>
          <w:rFonts w:eastAsia="黑体"/>
          <w:b/>
          <w:bCs/>
          <w:szCs w:val="21"/>
        </w:rPr>
      </w:pPr>
      <w:bookmarkStart w:id="72" w:name="_Toc29982"/>
      <w:bookmarkStart w:id="73" w:name="_Toc76025487"/>
      <w:bookmarkStart w:id="74" w:name="_Toc24623"/>
      <w:bookmarkStart w:id="75" w:name="_Toc31508"/>
      <w:r>
        <w:rPr>
          <w:rFonts w:eastAsia="黑体"/>
          <w:b/>
          <w:bCs/>
          <w:szCs w:val="21"/>
        </w:rPr>
        <w:t xml:space="preserve">5 </w:t>
      </w:r>
      <w:r>
        <w:rPr>
          <w:rFonts w:hint="eastAsia" w:eastAsia="黑体"/>
          <w:b/>
          <w:bCs/>
          <w:szCs w:val="21"/>
        </w:rPr>
        <w:t>技术要求</w:t>
      </w:r>
      <w:bookmarkEnd w:id="72"/>
      <w:bookmarkEnd w:id="73"/>
      <w:bookmarkEnd w:id="74"/>
      <w:bookmarkEnd w:id="75"/>
    </w:p>
    <w:p w14:paraId="7D3DF357">
      <w:pPr>
        <w:pStyle w:val="3"/>
        <w:spacing w:before="0" w:after="0" w:line="360" w:lineRule="auto"/>
        <w:rPr>
          <w:rFonts w:ascii="Times New Roman" w:hAnsi="Times New Roman" w:eastAsia="黑体"/>
          <w:szCs w:val="21"/>
        </w:rPr>
      </w:pPr>
      <w:bookmarkStart w:id="76" w:name="_Toc29757"/>
      <w:bookmarkStart w:id="77" w:name="_Toc28742"/>
      <w:bookmarkStart w:id="78" w:name="_Toc76025488"/>
      <w:bookmarkStart w:id="79" w:name="_Toc22879"/>
      <w:r>
        <w:rPr>
          <w:rFonts w:hint="eastAsia" w:ascii="Times New Roman" w:hAnsi="Times New Roman" w:eastAsia="黑体"/>
          <w:b w:val="0"/>
          <w:bCs/>
          <w:szCs w:val="21"/>
        </w:rPr>
        <w:t>5</w:t>
      </w:r>
      <w:r>
        <w:rPr>
          <w:rFonts w:ascii="Times New Roman" w:hAnsi="Times New Roman" w:eastAsia="黑体"/>
          <w:b w:val="0"/>
          <w:bCs/>
          <w:szCs w:val="21"/>
        </w:rPr>
        <w:t>.1</w:t>
      </w:r>
      <w:r>
        <w:rPr>
          <w:rFonts w:hint="eastAsia" w:ascii="Times New Roman" w:hAnsi="Times New Roman" w:eastAsia="黑体"/>
          <w:b w:val="0"/>
          <w:bCs/>
          <w:szCs w:val="21"/>
        </w:rPr>
        <w:t xml:space="preserve"> 装置技术要求</w:t>
      </w:r>
      <w:bookmarkEnd w:id="76"/>
      <w:bookmarkEnd w:id="77"/>
      <w:bookmarkEnd w:id="78"/>
      <w:bookmarkEnd w:id="79"/>
    </w:p>
    <w:p w14:paraId="4CAD38D5">
      <w:pPr>
        <w:pStyle w:val="454"/>
        <w:numPr>
          <w:ilvl w:val="0"/>
          <w:numId w:val="32"/>
        </w:numPr>
        <w:spacing w:line="360" w:lineRule="auto"/>
        <w:ind w:firstLineChars="0"/>
        <w:rPr>
          <w:rFonts w:ascii="EU-F1"/>
          <w:kern w:val="21"/>
        </w:rPr>
      </w:pPr>
      <w:bookmarkStart w:id="80" w:name="_Toc8648"/>
      <w:bookmarkStart w:id="81" w:name="_Toc76025494"/>
      <w:r>
        <w:rPr>
          <w:rFonts w:hint="eastAsia" w:ascii="EU-F1"/>
          <w:kern w:val="21"/>
        </w:rPr>
        <w:t>系统尺寸不大于</w:t>
      </w:r>
      <w:r>
        <w:rPr>
          <w:rFonts w:hint="eastAsia" w:ascii="宋体" w:hAnsi="宋体"/>
          <w:kern w:val="21"/>
        </w:rPr>
        <w:t>1</w:t>
      </w:r>
      <w:r>
        <w:rPr>
          <w:rFonts w:ascii="宋体" w:hAnsi="宋体"/>
          <w:kern w:val="21"/>
        </w:rPr>
        <w:t>5</w:t>
      </w:r>
      <w:r>
        <w:rPr>
          <w:rFonts w:hint="eastAsia" w:ascii="宋体" w:hAnsi="宋体"/>
          <w:kern w:val="21"/>
        </w:rPr>
        <w:t>0×1</w:t>
      </w:r>
      <w:r>
        <w:rPr>
          <w:rFonts w:ascii="宋体" w:hAnsi="宋体"/>
          <w:kern w:val="21"/>
        </w:rPr>
        <w:t>60</w:t>
      </w:r>
      <w:r>
        <w:rPr>
          <w:rFonts w:hint="eastAsia" w:ascii="宋体" w:hAnsi="宋体"/>
          <w:kern w:val="21"/>
        </w:rPr>
        <w:t>×</w:t>
      </w:r>
      <w:r>
        <w:rPr>
          <w:rFonts w:ascii="宋体" w:hAnsi="宋体"/>
          <w:kern w:val="21"/>
        </w:rPr>
        <w:t>170</w:t>
      </w:r>
      <w:r>
        <w:rPr>
          <w:rFonts w:hint="eastAsia" w:ascii="EU-F1"/>
          <w:kern w:val="21"/>
        </w:rPr>
        <w:t xml:space="preserve"> mm；负载重量不大于8</w:t>
      </w:r>
      <w:r>
        <w:rPr>
          <w:rFonts w:ascii="EU-F1"/>
          <w:kern w:val="21"/>
        </w:rPr>
        <w:t>00</w:t>
      </w:r>
      <w:r>
        <w:rPr>
          <w:rFonts w:hint="eastAsia" w:ascii="EU-F1"/>
          <w:kern w:val="21"/>
        </w:rPr>
        <w:t>g。</w:t>
      </w:r>
    </w:p>
    <w:p w14:paraId="2C6A1055">
      <w:pPr>
        <w:pStyle w:val="454"/>
        <w:numPr>
          <w:ilvl w:val="0"/>
          <w:numId w:val="32"/>
        </w:numPr>
        <w:spacing w:line="360" w:lineRule="auto"/>
        <w:ind w:firstLineChars="0"/>
        <w:rPr>
          <w:rFonts w:ascii="EU-F1"/>
          <w:kern w:val="21"/>
        </w:rPr>
      </w:pPr>
      <w:r>
        <w:rPr>
          <w:rFonts w:hint="eastAsia" w:ascii="EU-F1"/>
          <w:kern w:val="21"/>
        </w:rPr>
        <w:t>辐射定标能力：负载能够通过多光谱成像系统控制软件进行光谱辐射定标和参数校验。</w:t>
      </w:r>
    </w:p>
    <w:p w14:paraId="7C015542">
      <w:pPr>
        <w:pStyle w:val="454"/>
        <w:numPr>
          <w:ilvl w:val="0"/>
          <w:numId w:val="32"/>
        </w:numPr>
        <w:spacing w:line="360" w:lineRule="auto"/>
        <w:ind w:firstLineChars="0"/>
        <w:rPr>
          <w:rFonts w:ascii="EU-F1"/>
          <w:kern w:val="21"/>
        </w:rPr>
      </w:pPr>
      <w:r>
        <w:rPr>
          <w:rFonts w:hint="eastAsia" w:ascii="EU-F1"/>
          <w:kern w:val="21"/>
        </w:rPr>
        <w:t>环境光照监测：可监测晴天、阴天环境光线变化能力，进行实时曝光强弱调整。</w:t>
      </w:r>
    </w:p>
    <w:p w14:paraId="5A30B0A6">
      <w:pPr>
        <w:pStyle w:val="454"/>
        <w:numPr>
          <w:ilvl w:val="0"/>
          <w:numId w:val="32"/>
        </w:numPr>
        <w:spacing w:line="360" w:lineRule="auto"/>
        <w:ind w:firstLineChars="0"/>
        <w:rPr>
          <w:rFonts w:ascii="EU-F1"/>
          <w:kern w:val="21"/>
        </w:rPr>
      </w:pPr>
      <w:r>
        <w:rPr>
          <w:rFonts w:hint="eastAsia" w:ascii="EU-F1"/>
          <w:kern w:val="21"/>
        </w:rPr>
        <w:t>供电方式：支持使用机载平台供电。</w:t>
      </w:r>
    </w:p>
    <w:p w14:paraId="18F5AAE5">
      <w:pPr>
        <w:pStyle w:val="454"/>
        <w:numPr>
          <w:ilvl w:val="0"/>
          <w:numId w:val="32"/>
        </w:numPr>
        <w:spacing w:line="360" w:lineRule="auto"/>
        <w:ind w:firstLineChars="0"/>
        <w:rPr>
          <w:rFonts w:ascii="EU-F1"/>
          <w:kern w:val="21"/>
        </w:rPr>
      </w:pPr>
      <w:r>
        <w:rPr>
          <w:rFonts w:hint="eastAsia" w:ascii="EU-F1"/>
          <w:kern w:val="21"/>
        </w:rPr>
        <w:t>输出电压：13.6V / 2A。</w:t>
      </w:r>
    </w:p>
    <w:p w14:paraId="23A9DDD2">
      <w:pPr>
        <w:pStyle w:val="454"/>
        <w:numPr>
          <w:ilvl w:val="0"/>
          <w:numId w:val="32"/>
        </w:numPr>
        <w:spacing w:line="360" w:lineRule="auto"/>
        <w:ind w:firstLineChars="0"/>
        <w:rPr>
          <w:rFonts w:ascii="EU-F1"/>
          <w:kern w:val="21"/>
        </w:rPr>
      </w:pPr>
      <w:r>
        <w:rPr>
          <w:rFonts w:hint="eastAsia" w:ascii="EU-F1"/>
          <w:kern w:val="21"/>
        </w:rPr>
        <w:t>成像系统像素值：成像系统像素大于</w:t>
      </w:r>
      <w:r>
        <w:rPr>
          <w:rFonts w:ascii="EU-F1"/>
          <w:kern w:val="21"/>
        </w:rPr>
        <w:t>1700</w:t>
      </w:r>
      <w:r>
        <w:rPr>
          <w:rFonts w:hint="eastAsia" w:ascii="EU-F1"/>
          <w:kern w:val="21"/>
        </w:rPr>
        <w:t>万像素。</w:t>
      </w:r>
    </w:p>
    <w:p w14:paraId="46AF97D5">
      <w:pPr>
        <w:pStyle w:val="454"/>
        <w:numPr>
          <w:ilvl w:val="0"/>
          <w:numId w:val="32"/>
        </w:numPr>
        <w:spacing w:line="360" w:lineRule="auto"/>
        <w:ind w:left="420" w:firstLine="6" w:firstLineChars="0"/>
        <w:rPr>
          <w:rFonts w:ascii="EU-F1"/>
          <w:kern w:val="21"/>
        </w:rPr>
      </w:pPr>
      <w:r>
        <w:rPr>
          <w:rFonts w:hint="eastAsia" w:ascii="EU-F1"/>
          <w:kern w:val="21"/>
        </w:rPr>
        <w:t>成像通道数：负载波段数≥6通道。可根据应用环境在410nm@35nm、450nm@35nm、490nm@25nm、530nm@27nm、555nm@27nm、570nm@32nm、610nm@30nm、650nm@27nm、660nm@22nm、680nm@25nm、720nm@10nm（窄带）、720nm@15nm（高通）、750nm@10nm、780nm@13nm、800nm@35nm、</w:t>
      </w:r>
      <w:r>
        <w:rPr>
          <w:rFonts w:ascii="EU-F1"/>
          <w:kern w:val="21"/>
        </w:rPr>
        <w:t>840nm@30nm</w:t>
      </w:r>
      <w:r>
        <w:rPr>
          <w:rFonts w:hint="eastAsia" w:ascii="EU-F1"/>
          <w:kern w:val="21"/>
        </w:rPr>
        <w:t>、</w:t>
      </w:r>
      <w:r>
        <w:rPr>
          <w:rFonts w:ascii="EU-F1"/>
          <w:kern w:val="21"/>
        </w:rPr>
        <w:t>900nm@35nm</w:t>
      </w:r>
      <w:r>
        <w:rPr>
          <w:rFonts w:hint="eastAsia" w:ascii="EU-F1"/>
          <w:kern w:val="21"/>
        </w:rPr>
        <w:t>和可见光波段中进行选择。</w:t>
      </w:r>
    </w:p>
    <w:p w14:paraId="59609859">
      <w:pPr>
        <w:pStyle w:val="454"/>
        <w:numPr>
          <w:ilvl w:val="0"/>
          <w:numId w:val="32"/>
        </w:numPr>
        <w:spacing w:line="360" w:lineRule="auto"/>
        <w:ind w:firstLineChars="0"/>
        <w:rPr>
          <w:rFonts w:ascii="EU-F1"/>
          <w:kern w:val="21"/>
        </w:rPr>
      </w:pPr>
      <w:r>
        <w:rPr>
          <w:rFonts w:hint="eastAsia" w:ascii="EU-F1"/>
          <w:kern w:val="21"/>
        </w:rPr>
        <w:t>滤光片参数：相机支持不同污秽状态光谱波段，集成基于特征波段的污秽状态多光谱成像波段。</w:t>
      </w:r>
    </w:p>
    <w:p w14:paraId="69C18398">
      <w:pPr>
        <w:pStyle w:val="454"/>
        <w:numPr>
          <w:ilvl w:val="0"/>
          <w:numId w:val="32"/>
        </w:numPr>
        <w:spacing w:line="360" w:lineRule="auto"/>
        <w:ind w:firstLineChars="0"/>
        <w:rPr>
          <w:rFonts w:ascii="EU-F1"/>
          <w:kern w:val="21"/>
        </w:rPr>
      </w:pPr>
      <w:r>
        <w:rPr>
          <w:rFonts w:hint="eastAsia" w:ascii="EU-F1"/>
          <w:kern w:val="21"/>
        </w:rPr>
        <w:t>配置存储介质：</w:t>
      </w:r>
      <w:r>
        <w:rPr>
          <w:rFonts w:ascii="EU-F1"/>
          <w:kern w:val="21"/>
        </w:rPr>
        <w:t>128G</w:t>
      </w:r>
      <w:r>
        <w:rPr>
          <w:rFonts w:hint="eastAsia" w:ascii="EU-F1"/>
          <w:kern w:val="21"/>
        </w:rPr>
        <w:t>存储。并最大支持</w:t>
      </w:r>
      <w:r>
        <w:rPr>
          <w:rFonts w:ascii="EU-F1"/>
          <w:kern w:val="21"/>
        </w:rPr>
        <w:t>1T</w:t>
      </w:r>
      <w:r>
        <w:rPr>
          <w:rFonts w:hint="eastAsia" w:ascii="EU-F1"/>
          <w:kern w:val="21"/>
        </w:rPr>
        <w:t>的</w:t>
      </w:r>
      <w:r>
        <w:rPr>
          <w:rFonts w:ascii="EU-F1"/>
          <w:kern w:val="21"/>
        </w:rPr>
        <w:t>USB3.1</w:t>
      </w:r>
      <w:r>
        <w:rPr>
          <w:rFonts w:hint="eastAsia" w:ascii="EU-F1"/>
          <w:kern w:val="21"/>
        </w:rPr>
        <w:t>存储设备工作环境温度</w:t>
      </w:r>
      <w:r>
        <w:rPr>
          <w:rFonts w:ascii="EU-F1"/>
          <w:kern w:val="21"/>
        </w:rPr>
        <w:t>-</w:t>
      </w:r>
      <w:r>
        <w:rPr>
          <w:rFonts w:hint="eastAsia" w:ascii="EU-F1"/>
          <w:kern w:val="21"/>
        </w:rPr>
        <w:t>2</w:t>
      </w:r>
      <w:r>
        <w:rPr>
          <w:rFonts w:ascii="EU-F1"/>
          <w:kern w:val="21"/>
        </w:rPr>
        <w:t>0</w:t>
      </w:r>
      <w:r>
        <w:rPr>
          <w:rFonts w:hint="eastAsia" w:ascii="EU-F1"/>
          <w:kern w:val="21"/>
        </w:rPr>
        <w:t>℃</w:t>
      </w:r>
      <w:r>
        <w:rPr>
          <w:rFonts w:ascii="EU-F1"/>
          <w:kern w:val="21"/>
        </w:rPr>
        <w:t>~+50</w:t>
      </w:r>
      <w:r>
        <w:rPr>
          <w:rFonts w:hint="eastAsia" w:ascii="EU-F1"/>
          <w:kern w:val="21"/>
        </w:rPr>
        <w:t>℃；存储环境温度</w:t>
      </w:r>
      <w:r>
        <w:rPr>
          <w:rFonts w:ascii="EU-F1"/>
          <w:kern w:val="21"/>
        </w:rPr>
        <w:t>-30</w:t>
      </w:r>
      <w:r>
        <w:rPr>
          <w:rFonts w:hint="eastAsia" w:ascii="EU-F1"/>
          <w:kern w:val="21"/>
        </w:rPr>
        <w:t>℃</w:t>
      </w:r>
      <w:r>
        <w:rPr>
          <w:rFonts w:ascii="EU-F1"/>
          <w:kern w:val="21"/>
        </w:rPr>
        <w:t>~+70</w:t>
      </w:r>
      <w:r>
        <w:rPr>
          <w:rFonts w:hint="eastAsia" w:ascii="EU-F1"/>
          <w:kern w:val="21"/>
        </w:rPr>
        <w:t>℃。</w:t>
      </w:r>
    </w:p>
    <w:p w14:paraId="3FE24253">
      <w:pPr>
        <w:pStyle w:val="454"/>
        <w:numPr>
          <w:ilvl w:val="0"/>
          <w:numId w:val="32"/>
        </w:numPr>
        <w:spacing w:line="360" w:lineRule="auto"/>
        <w:ind w:firstLineChars="0"/>
        <w:rPr>
          <w:rFonts w:ascii="EU-F1"/>
          <w:kern w:val="21"/>
        </w:rPr>
      </w:pPr>
      <w:r>
        <w:rPr>
          <w:rFonts w:hint="eastAsia" w:ascii="EU-F1"/>
          <w:kern w:val="21"/>
        </w:rPr>
        <w:t>功耗不大于</w:t>
      </w:r>
      <w:r>
        <w:rPr>
          <w:rFonts w:ascii="EU-F1"/>
          <w:kern w:val="21"/>
        </w:rPr>
        <w:t>12</w:t>
      </w:r>
      <w:r>
        <w:rPr>
          <w:rFonts w:hint="eastAsia" w:ascii="EU-F1"/>
          <w:kern w:val="21"/>
        </w:rPr>
        <w:t>W。</w:t>
      </w:r>
      <w:bookmarkEnd w:id="80"/>
      <w:bookmarkEnd w:id="81"/>
    </w:p>
    <w:p w14:paraId="66173767">
      <w:pPr>
        <w:pStyle w:val="454"/>
        <w:numPr>
          <w:ilvl w:val="0"/>
          <w:numId w:val="32"/>
        </w:numPr>
        <w:spacing w:line="360" w:lineRule="auto"/>
        <w:ind w:firstLineChars="0"/>
        <w:rPr>
          <w:rFonts w:ascii="EU-F1"/>
          <w:kern w:val="21"/>
          <w:szCs w:val="21"/>
        </w:rPr>
      </w:pPr>
      <w:r>
        <w:rPr>
          <w:rFonts w:hint="eastAsia" w:ascii="EU-F1"/>
          <w:kern w:val="21"/>
        </w:rPr>
        <w:t>随机装置：配置DLS线缆、标定灰板、无尘布、3m胶、快拆螺丝，便于无人机上安装。</w:t>
      </w:r>
    </w:p>
    <w:p w14:paraId="23B54EAD">
      <w:pPr>
        <w:pStyle w:val="3"/>
        <w:spacing w:before="0" w:after="0" w:line="360" w:lineRule="auto"/>
        <w:rPr>
          <w:rFonts w:ascii="Times New Roman" w:hAnsi="Times New Roman" w:eastAsia="黑体"/>
          <w:b w:val="0"/>
          <w:bCs/>
          <w:szCs w:val="21"/>
        </w:rPr>
      </w:pPr>
      <w:bookmarkStart w:id="82" w:name="_Toc23428"/>
      <w:bookmarkStart w:id="83" w:name="_Toc18016"/>
      <w:bookmarkStart w:id="84" w:name="_Toc15425"/>
      <w:bookmarkStart w:id="85" w:name="_Toc32734"/>
      <w:bookmarkStart w:id="86" w:name="_Toc72859325"/>
      <w:bookmarkStart w:id="87" w:name="_Toc76025495"/>
      <w:bookmarkStart w:id="88" w:name="_Toc20375"/>
      <w:r>
        <w:rPr>
          <w:rFonts w:ascii="Times New Roman" w:hAnsi="Times New Roman" w:eastAsia="黑体"/>
          <w:b w:val="0"/>
          <w:bCs/>
          <w:szCs w:val="21"/>
        </w:rPr>
        <w:t>5.</w:t>
      </w:r>
      <w:r>
        <w:rPr>
          <w:rFonts w:hint="eastAsia" w:ascii="Times New Roman" w:hAnsi="Times New Roman" w:eastAsia="黑体"/>
          <w:b w:val="0"/>
          <w:bCs/>
          <w:szCs w:val="21"/>
        </w:rPr>
        <w:t>2 网络安全要求</w:t>
      </w:r>
      <w:bookmarkEnd w:id="82"/>
      <w:bookmarkEnd w:id="83"/>
      <w:bookmarkEnd w:id="84"/>
      <w:bookmarkEnd w:id="85"/>
      <w:bookmarkEnd w:id="86"/>
      <w:bookmarkEnd w:id="87"/>
      <w:bookmarkEnd w:id="88"/>
    </w:p>
    <w:p w14:paraId="7D97F7AB">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4A055D7F">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4AE0AD13">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285C86DF">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00AEF21B">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528AA829">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2C620922">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4805334B">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0A8DAB33">
      <w:pPr>
        <w:tabs>
          <w:tab w:val="left" w:pos="1985"/>
        </w:tabs>
        <w:spacing w:line="360" w:lineRule="auto"/>
        <w:ind w:firstLine="420"/>
        <w:rPr>
          <w:szCs w:val="21"/>
        </w:rPr>
      </w:pPr>
      <w:r>
        <w:rPr>
          <w:rFonts w:hint="eastAsia"/>
          <w:szCs w:val="21"/>
        </w:rPr>
        <w:t>8）未通过招标方测试、备案的软件系统和设备不得私自上线运行；</w:t>
      </w:r>
    </w:p>
    <w:p w14:paraId="77ED8D07">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6F484D03">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43BF5584">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1E40724F">
      <w:pPr>
        <w:spacing w:line="480" w:lineRule="auto"/>
        <w:outlineLvl w:val="0"/>
        <w:rPr>
          <w:rFonts w:eastAsia="黑体"/>
          <w:b/>
          <w:bCs/>
          <w:szCs w:val="21"/>
        </w:rPr>
      </w:pPr>
      <w:bookmarkStart w:id="89" w:name="_Toc28430"/>
      <w:bookmarkStart w:id="90" w:name="_Toc781"/>
      <w:bookmarkStart w:id="91" w:name="_Toc2802"/>
      <w:bookmarkStart w:id="92" w:name="_Toc76025496"/>
      <w:r>
        <w:rPr>
          <w:rFonts w:eastAsia="黑体"/>
          <w:b/>
          <w:bCs/>
          <w:szCs w:val="21"/>
        </w:rPr>
        <w:t>6 试验项目及要求</w:t>
      </w:r>
      <w:bookmarkEnd w:id="89"/>
      <w:bookmarkEnd w:id="90"/>
      <w:bookmarkEnd w:id="91"/>
      <w:bookmarkEnd w:id="92"/>
    </w:p>
    <w:p w14:paraId="296E13DF">
      <w:pPr>
        <w:spacing w:line="360" w:lineRule="auto"/>
        <w:ind w:firstLine="420" w:firstLineChars="200"/>
        <w:rPr>
          <w:szCs w:val="21"/>
        </w:rPr>
      </w:pPr>
      <w:bookmarkStart w:id="93" w:name="_Toc347154881"/>
      <w:bookmarkStart w:id="94" w:name="_Toc356999079"/>
      <w:bookmarkStart w:id="95" w:name="_Toc265313593"/>
      <w:r>
        <w:rPr>
          <w:rFonts w:hint="eastAsia"/>
          <w:szCs w:val="21"/>
        </w:rPr>
        <w:t>6.1 外观特性试验</w:t>
      </w:r>
    </w:p>
    <w:p w14:paraId="7EFD1D50">
      <w:pPr>
        <w:spacing w:line="360" w:lineRule="auto"/>
        <w:ind w:firstLine="420" w:firstLineChars="200"/>
        <w:rPr>
          <w:szCs w:val="21"/>
        </w:rPr>
      </w:pPr>
      <w:r>
        <w:rPr>
          <w:rFonts w:hint="eastAsia"/>
          <w:szCs w:val="21"/>
        </w:rPr>
        <w:t>6.1.1结构和外观检查</w:t>
      </w:r>
    </w:p>
    <w:p w14:paraId="4F5A74F5">
      <w:pPr>
        <w:spacing w:line="360" w:lineRule="auto"/>
        <w:ind w:firstLine="420" w:firstLineChars="200"/>
        <w:rPr>
          <w:szCs w:val="21"/>
        </w:rPr>
      </w:pPr>
      <w:r>
        <w:rPr>
          <w:rFonts w:hint="eastAsia"/>
          <w:szCs w:val="21"/>
        </w:rPr>
        <w:t>6.1.1.1 试验方法</w:t>
      </w:r>
    </w:p>
    <w:p w14:paraId="5C45AE3F">
      <w:pPr>
        <w:spacing w:line="360" w:lineRule="auto"/>
        <w:ind w:firstLine="420" w:firstLineChars="200"/>
        <w:rPr>
          <w:szCs w:val="21"/>
        </w:rPr>
      </w:pPr>
      <w:r>
        <w:rPr>
          <w:rFonts w:hint="eastAsia"/>
          <w:szCs w:val="21"/>
        </w:rPr>
        <w:t>通过目测对多光谱相机设备进行外观、重量和结构方面的检查。</w:t>
      </w:r>
    </w:p>
    <w:p w14:paraId="783A9F85">
      <w:pPr>
        <w:spacing w:line="360" w:lineRule="auto"/>
        <w:ind w:firstLine="420" w:firstLineChars="200"/>
        <w:rPr>
          <w:szCs w:val="21"/>
        </w:rPr>
      </w:pPr>
      <w:r>
        <w:rPr>
          <w:rFonts w:hint="eastAsia"/>
          <w:szCs w:val="21"/>
        </w:rPr>
        <w:t>6.1.1.2 判定准则</w:t>
      </w:r>
    </w:p>
    <w:p w14:paraId="7C069C16">
      <w:pPr>
        <w:spacing w:line="360" w:lineRule="auto"/>
        <w:ind w:firstLine="420" w:firstLineChars="200"/>
        <w:rPr>
          <w:szCs w:val="21"/>
        </w:rPr>
      </w:pPr>
      <w:r>
        <w:rPr>
          <w:rFonts w:hint="eastAsia"/>
          <w:szCs w:val="21"/>
        </w:rPr>
        <w:t>应满足本技术规范书中规定的相关技术要求。</w:t>
      </w:r>
    </w:p>
    <w:p w14:paraId="249EF20D">
      <w:pPr>
        <w:spacing w:line="360" w:lineRule="auto"/>
        <w:ind w:firstLine="420" w:firstLineChars="200"/>
        <w:rPr>
          <w:szCs w:val="21"/>
        </w:rPr>
      </w:pPr>
      <w:r>
        <w:rPr>
          <w:rFonts w:hint="eastAsia"/>
          <w:szCs w:val="21"/>
        </w:rPr>
        <w:t>6.2 基本功能试验</w:t>
      </w:r>
    </w:p>
    <w:p w14:paraId="00B8B285">
      <w:pPr>
        <w:spacing w:line="360" w:lineRule="auto"/>
        <w:ind w:firstLine="420" w:firstLineChars="200"/>
        <w:rPr>
          <w:szCs w:val="21"/>
        </w:rPr>
      </w:pPr>
      <w:r>
        <w:rPr>
          <w:rFonts w:hint="eastAsia"/>
          <w:szCs w:val="21"/>
        </w:rPr>
        <w:t>将多光谱相机正确安装至无人机平台并通电，通过配套控制软件及地面站分析软件分项检测：</w:t>
      </w:r>
    </w:p>
    <w:p w14:paraId="48A54AF8">
      <w:pPr>
        <w:spacing w:line="360" w:lineRule="auto"/>
        <w:ind w:firstLine="420" w:firstLineChars="200"/>
        <w:rPr>
          <w:szCs w:val="21"/>
        </w:rPr>
      </w:pPr>
      <w:r>
        <w:rPr>
          <w:rFonts w:hint="eastAsia"/>
          <w:szCs w:val="21"/>
        </w:rPr>
        <w:t>a） 测试相机与无人机平台的通信接口及数据输出格式的一致性，确保云台接口、OSDK端口及Type-C数据线连接正常，数据可实时推送。</w:t>
      </w:r>
    </w:p>
    <w:p w14:paraId="0839DDD8">
      <w:pPr>
        <w:spacing w:line="360" w:lineRule="auto"/>
        <w:ind w:firstLine="420" w:firstLineChars="200"/>
        <w:rPr>
          <w:szCs w:val="21"/>
        </w:rPr>
      </w:pPr>
      <w:r>
        <w:rPr>
          <w:rFonts w:hint="eastAsia"/>
          <w:szCs w:val="21"/>
        </w:rPr>
        <w:t>b） 测试控制软件对相机的查询/配置功能，包括但不限于：TIFF/REF-JPG工作模式切换、单次/重叠率/定时触发模式设置、重叠率触发启闭、实时数据浮窗开关、SD卡格式化等，确认指令下发后相机响应一致。</w:t>
      </w:r>
    </w:p>
    <w:p w14:paraId="2F006CEE">
      <w:pPr>
        <w:spacing w:line="360" w:lineRule="auto"/>
        <w:ind w:firstLine="420" w:firstLineChars="200"/>
        <w:rPr>
          <w:szCs w:val="21"/>
        </w:rPr>
      </w:pPr>
      <w:r>
        <w:rPr>
          <w:rFonts w:hint="eastAsia"/>
          <w:szCs w:val="21"/>
        </w:rPr>
        <w:t>c） 测试相机运行状态监测功能与报警功能，包括：通过相机及余弦校正器指示灯（白色/绿色/黄色/红色/蓝色/紫色）及系统状态栏实时监视相机、余弦校正器、GPS、SD卡等状态；模拟SD卡未插入、余弦校正器未连接、OSDK未注册等故障，验证报警提示信息的准确性；并测试固件远程升级功能。</w:t>
      </w:r>
    </w:p>
    <w:p w14:paraId="3E5FA88C">
      <w:pPr>
        <w:spacing w:line="360" w:lineRule="auto"/>
        <w:ind w:firstLine="420" w:firstLineChars="200"/>
        <w:rPr>
          <w:szCs w:val="21"/>
        </w:rPr>
      </w:pPr>
      <w:r>
        <w:rPr>
          <w:rFonts w:hint="eastAsia"/>
          <w:szCs w:val="21"/>
        </w:rPr>
        <w:t>应用层数据传输及控制指令应符合产品规格书要求。相机应能按TIFF/JPEG既定格式正确传输多光谱图像数据，并正确响应所有控制及查询指令。</w:t>
      </w:r>
    </w:p>
    <w:p w14:paraId="76D1E4A3">
      <w:pPr>
        <w:spacing w:line="360" w:lineRule="auto"/>
        <w:ind w:firstLine="420" w:firstLineChars="200"/>
        <w:rPr>
          <w:szCs w:val="21"/>
        </w:rPr>
      </w:pPr>
      <w:r>
        <w:rPr>
          <w:rFonts w:hint="eastAsia"/>
          <w:szCs w:val="21"/>
        </w:rPr>
        <w:t>6.3 无人机平台兼容性试验</w:t>
      </w:r>
    </w:p>
    <w:p w14:paraId="6D3D42FD">
      <w:pPr>
        <w:spacing w:line="360" w:lineRule="auto"/>
        <w:ind w:firstLine="420" w:firstLineChars="200"/>
        <w:rPr>
          <w:szCs w:val="21"/>
        </w:rPr>
      </w:pPr>
      <w:r>
        <w:rPr>
          <w:rFonts w:hint="eastAsia"/>
          <w:szCs w:val="21"/>
        </w:rPr>
        <w:t>将多光谱相机及余弦校正器按说明书要求安装至无人机平台，上电并与遥控器完成对频连接后：</w:t>
      </w:r>
    </w:p>
    <w:p w14:paraId="623FD4D3">
      <w:pPr>
        <w:spacing w:line="360" w:lineRule="auto"/>
        <w:ind w:firstLine="420" w:firstLineChars="200"/>
        <w:rPr>
          <w:szCs w:val="21"/>
        </w:rPr>
      </w:pPr>
      <w:r>
        <w:rPr>
          <w:rFonts w:hint="eastAsia"/>
          <w:szCs w:val="21"/>
        </w:rPr>
        <w:t>a） 验证相机在配套控制软件界面中的完整识别与状态同步功能；</w:t>
      </w:r>
    </w:p>
    <w:p w14:paraId="45D498AA">
      <w:pPr>
        <w:spacing w:line="360" w:lineRule="auto"/>
        <w:ind w:firstLine="420" w:firstLineChars="200"/>
        <w:rPr>
          <w:szCs w:val="21"/>
        </w:rPr>
      </w:pPr>
      <w:r>
        <w:rPr>
          <w:rFonts w:hint="eastAsia"/>
          <w:szCs w:val="21"/>
        </w:rPr>
        <w:t>b） 逐项检验云台可控转动范围（平移±320°，俯仰-120°至+30°）、横滚范围（-55°至+55°）、以及配套控制软件遥控器对云台位置调整和拍照指令的响应；</w:t>
      </w:r>
    </w:p>
    <w:p w14:paraId="07F18ED3">
      <w:pPr>
        <w:spacing w:line="360" w:lineRule="auto"/>
        <w:ind w:firstLine="420" w:firstLineChars="200"/>
        <w:rPr>
          <w:szCs w:val="21"/>
        </w:rPr>
      </w:pPr>
      <w:r>
        <w:rPr>
          <w:rFonts w:hint="eastAsia"/>
          <w:szCs w:val="21"/>
        </w:rPr>
        <w:t>c） 检验余弦校正器通过OSDK端口与飞行器通讯的稳定性，确认OSDK未注册（紫色指示灯常亮）等故障；</w:t>
      </w:r>
    </w:p>
    <w:p w14:paraId="5900D8B1">
      <w:pPr>
        <w:spacing w:line="360" w:lineRule="auto"/>
        <w:ind w:firstLine="420" w:firstLineChars="200"/>
        <w:rPr>
          <w:szCs w:val="21"/>
        </w:rPr>
      </w:pPr>
      <w:r>
        <w:rPr>
          <w:rFonts w:hint="eastAsia"/>
          <w:szCs w:val="21"/>
        </w:rPr>
        <w:t>d） 验证在不同无人机飞行姿态下，相机捕获速率及图像存储的稳定性，确保无数据中断或丢帧。</w:t>
      </w:r>
    </w:p>
    <w:p w14:paraId="1085E64E">
      <w:pPr>
        <w:spacing w:line="360" w:lineRule="auto"/>
        <w:ind w:firstLine="420" w:firstLineChars="200"/>
        <w:rPr>
          <w:szCs w:val="21"/>
        </w:rPr>
      </w:pPr>
      <w:r>
        <w:rPr>
          <w:rFonts w:hint="eastAsia"/>
          <w:szCs w:val="21"/>
        </w:rPr>
        <w:t>6.4 测量有效性试验</w:t>
      </w:r>
    </w:p>
    <w:p w14:paraId="7BE0F64E">
      <w:pPr>
        <w:spacing w:line="360" w:lineRule="auto"/>
        <w:ind w:firstLine="420" w:firstLineChars="200"/>
        <w:rPr>
          <w:szCs w:val="21"/>
        </w:rPr>
      </w:pPr>
      <w:r>
        <w:rPr>
          <w:rFonts w:hint="eastAsia"/>
          <w:szCs w:val="21"/>
        </w:rPr>
        <w:t>6.4.1 温度适应性试验</w:t>
      </w:r>
    </w:p>
    <w:p w14:paraId="0056027B">
      <w:pPr>
        <w:spacing w:line="360" w:lineRule="auto"/>
        <w:ind w:firstLine="420" w:firstLineChars="200"/>
        <w:rPr>
          <w:szCs w:val="21"/>
        </w:rPr>
      </w:pPr>
      <w:r>
        <w:rPr>
          <w:rFonts w:hint="eastAsia"/>
          <w:szCs w:val="21"/>
        </w:rPr>
        <w:t>6.4.1.1 试验方法</w:t>
      </w:r>
    </w:p>
    <w:p w14:paraId="7EA9CAC6">
      <w:pPr>
        <w:spacing w:line="360" w:lineRule="auto"/>
        <w:ind w:firstLine="420" w:firstLineChars="200"/>
        <w:rPr>
          <w:szCs w:val="21"/>
        </w:rPr>
      </w:pPr>
      <w:r>
        <w:rPr>
          <w:rFonts w:hint="eastAsia"/>
          <w:szCs w:val="21"/>
        </w:rPr>
        <w:t>选取多光谱相机工作环境温度的上限点（+50℃）和下限点（-10℃），以及常温点（+20℃）。将相机置于温控箱中，温度稳定后执行标准灰板拍摄及标准色卡拍摄循环，连续摄取至少4次。对获取的TIFF原始图像，分析各波段（450nm、555nm、660nm、720nm、840nm）的DN值变化及信噪比变化。</w:t>
      </w:r>
    </w:p>
    <w:p w14:paraId="52D50092">
      <w:pPr>
        <w:spacing w:line="360" w:lineRule="auto"/>
        <w:ind w:firstLine="420" w:firstLineChars="200"/>
        <w:rPr>
          <w:szCs w:val="21"/>
        </w:rPr>
      </w:pPr>
      <w:r>
        <w:rPr>
          <w:rFonts w:hint="eastAsia"/>
          <w:szCs w:val="21"/>
        </w:rPr>
        <w:t>6.4.1.2 判定准则</w:t>
      </w:r>
    </w:p>
    <w:p w14:paraId="5083C5D1">
      <w:pPr>
        <w:spacing w:line="360" w:lineRule="auto"/>
        <w:ind w:firstLine="420" w:firstLineChars="200"/>
        <w:rPr>
          <w:szCs w:val="21"/>
        </w:rPr>
      </w:pPr>
      <w:r>
        <w:rPr>
          <w:rFonts w:hint="eastAsia"/>
          <w:szCs w:val="21"/>
        </w:rPr>
        <w:t>试验期间相机工作状态正常，指示灯正常，无故障报警。各测试点在温度稳定后，各波段图像的平均DN值漂移不应超过常温基准值的±3%，且图像无明显噪声增加或坏点。</w:t>
      </w:r>
    </w:p>
    <w:p w14:paraId="6A48C887">
      <w:pPr>
        <w:spacing w:line="360" w:lineRule="auto"/>
        <w:ind w:firstLine="420" w:firstLineChars="200"/>
        <w:rPr>
          <w:szCs w:val="21"/>
        </w:rPr>
      </w:pPr>
      <w:r>
        <w:rPr>
          <w:rFonts w:hint="eastAsia"/>
          <w:szCs w:val="21"/>
        </w:rPr>
        <w:t>6.4.2 光照适应性试验</w:t>
      </w:r>
    </w:p>
    <w:p w14:paraId="0541C893">
      <w:pPr>
        <w:spacing w:line="360" w:lineRule="auto"/>
        <w:ind w:firstLine="420" w:firstLineChars="200"/>
        <w:rPr>
          <w:szCs w:val="21"/>
        </w:rPr>
      </w:pPr>
      <w:r>
        <w:rPr>
          <w:rFonts w:hint="eastAsia"/>
          <w:szCs w:val="21"/>
        </w:rPr>
        <w:t>6.4.2.1 试验方法</w:t>
      </w:r>
    </w:p>
    <w:p w14:paraId="47B86799">
      <w:pPr>
        <w:spacing w:line="360" w:lineRule="auto"/>
        <w:ind w:firstLine="420" w:firstLineChars="200"/>
        <w:rPr>
          <w:szCs w:val="21"/>
        </w:rPr>
      </w:pPr>
      <w:r>
        <w:rPr>
          <w:rFonts w:hint="eastAsia"/>
          <w:szCs w:val="21"/>
        </w:rPr>
        <w:t>在标准暗室环境下，使用可调标准光源。分别模拟低照度、中等照度、高照度（接近强烈阳光但未使感光元件饱和）环境。在每个照度条件下，对标准灰板及彩色参考目标进行拍摄。分析各通道图像信噪比、动态范围及反射率反演的准确性，并检验余弦校正器对光照变化的补偿能力。</w:t>
      </w:r>
    </w:p>
    <w:p w14:paraId="086B3B44">
      <w:pPr>
        <w:spacing w:line="360" w:lineRule="auto"/>
        <w:ind w:firstLine="420" w:firstLineChars="200"/>
        <w:rPr>
          <w:szCs w:val="21"/>
        </w:rPr>
      </w:pPr>
      <w:r>
        <w:rPr>
          <w:rFonts w:hint="eastAsia"/>
          <w:szCs w:val="21"/>
        </w:rPr>
        <w:t>6.4.2.2 判定准则</w:t>
      </w:r>
    </w:p>
    <w:p w14:paraId="14CD5BA6">
      <w:pPr>
        <w:spacing w:line="360" w:lineRule="auto"/>
        <w:ind w:firstLine="420" w:firstLineChars="200"/>
        <w:rPr>
          <w:szCs w:val="21"/>
        </w:rPr>
      </w:pPr>
      <w:r>
        <w:rPr>
          <w:rFonts w:hint="eastAsia"/>
          <w:szCs w:val="21"/>
        </w:rPr>
        <w:t>试验期间相机应能正常工作，无感光元件饱和告警。在未饱和照度范围内，经过DLS校正后，各照度下灰板目标的反射率反演值偏差应≤±5%。在低照度条件下，图像信噪比应满足污秽分析模型的最低要求。</w:t>
      </w:r>
    </w:p>
    <w:p w14:paraId="2541AEC5">
      <w:pPr>
        <w:spacing w:line="360" w:lineRule="auto"/>
        <w:ind w:firstLine="420" w:firstLineChars="200"/>
        <w:rPr>
          <w:szCs w:val="21"/>
        </w:rPr>
      </w:pPr>
      <w:r>
        <w:rPr>
          <w:rFonts w:hint="eastAsia"/>
          <w:szCs w:val="21"/>
        </w:rPr>
        <w:t>6.4.3 光谱与辐射标定准确度试验</w:t>
      </w:r>
    </w:p>
    <w:p w14:paraId="63DA8FA2">
      <w:pPr>
        <w:spacing w:line="360" w:lineRule="auto"/>
        <w:ind w:firstLine="420" w:firstLineChars="200"/>
        <w:rPr>
          <w:szCs w:val="21"/>
        </w:rPr>
      </w:pPr>
      <w:r>
        <w:rPr>
          <w:rFonts w:hint="eastAsia"/>
          <w:szCs w:val="21"/>
        </w:rPr>
        <w:t>6.4.3.1 试验方法</w:t>
      </w:r>
    </w:p>
    <w:p w14:paraId="52C53269">
      <w:pPr>
        <w:spacing w:line="360" w:lineRule="auto"/>
        <w:ind w:firstLine="420" w:firstLineChars="200"/>
        <w:rPr>
          <w:szCs w:val="21"/>
        </w:rPr>
      </w:pPr>
      <w:r>
        <w:rPr>
          <w:rFonts w:hint="eastAsia"/>
          <w:szCs w:val="21"/>
        </w:rPr>
        <w:t>使用经过国家计量标准溯源的标准光谱辐射计和标准反射率板，在稳定的实验室光照环境中，同时对多光谱相机和标准辐射计的目标区域进行数据采集。提取相机5个特征波段（450nm、555nm、660nm、720nm、840nm）及RGB辅助波段的等效反射率数据，与标准辐射计在对应波段区间内的加权平均反射率进行比较。</w:t>
      </w:r>
    </w:p>
    <w:p w14:paraId="722BC9F2">
      <w:pPr>
        <w:spacing w:line="360" w:lineRule="auto"/>
        <w:ind w:firstLine="420" w:firstLineChars="200"/>
        <w:rPr>
          <w:szCs w:val="21"/>
        </w:rPr>
      </w:pPr>
      <w:r>
        <w:rPr>
          <w:rFonts w:hint="eastAsia"/>
          <w:szCs w:val="21"/>
        </w:rPr>
        <w:t>6.4.3.2 判定准则</w:t>
      </w:r>
    </w:p>
    <w:p w14:paraId="14EF4705">
      <w:pPr>
        <w:spacing w:line="360" w:lineRule="auto"/>
        <w:ind w:firstLine="420" w:firstLineChars="200"/>
        <w:rPr>
          <w:szCs w:val="21"/>
        </w:rPr>
      </w:pPr>
      <w:r>
        <w:rPr>
          <w:rFonts w:hint="eastAsia"/>
          <w:szCs w:val="21"/>
        </w:rPr>
        <w:t>各特征波段的等效反射率测量值与标准值之间的相对误差应≤±5%。系统标配的内置高精度光谱标定、辐射标定功能应能正常工作。</w:t>
      </w:r>
    </w:p>
    <w:p w14:paraId="3A845944">
      <w:pPr>
        <w:spacing w:line="360" w:lineRule="auto"/>
        <w:ind w:firstLine="420" w:firstLineChars="200"/>
        <w:rPr>
          <w:szCs w:val="21"/>
        </w:rPr>
      </w:pPr>
      <w:r>
        <w:rPr>
          <w:rFonts w:hint="eastAsia"/>
          <w:szCs w:val="21"/>
        </w:rPr>
        <w:t>6.5 环境适应性能试验</w:t>
      </w:r>
    </w:p>
    <w:p w14:paraId="0261665D">
      <w:pPr>
        <w:spacing w:line="360" w:lineRule="auto"/>
        <w:ind w:firstLine="420" w:firstLineChars="200"/>
        <w:rPr>
          <w:szCs w:val="21"/>
        </w:rPr>
      </w:pPr>
      <w:r>
        <w:rPr>
          <w:rFonts w:hint="eastAsia"/>
          <w:szCs w:val="21"/>
        </w:rPr>
        <w:t>将多光谱相机系统按标准安装状态放入环境试验箱，模拟飞行巡检采集模式，设定每10分钟自动触发拍摄一次（模拟重叠率触发或定时触发模式），统计图像数据缺失率并对图像质量进行评价。</w:t>
      </w:r>
    </w:p>
    <w:p w14:paraId="6DA0BD66">
      <w:pPr>
        <w:spacing w:line="360" w:lineRule="auto"/>
        <w:ind w:firstLine="420" w:firstLineChars="200"/>
        <w:rPr>
          <w:szCs w:val="21"/>
        </w:rPr>
      </w:pPr>
      <w:r>
        <w:rPr>
          <w:rFonts w:hint="eastAsia"/>
          <w:szCs w:val="21"/>
        </w:rPr>
        <w:t>6.5.1 低温性能</w:t>
      </w:r>
    </w:p>
    <w:p w14:paraId="4A8ED410">
      <w:pPr>
        <w:spacing w:line="360" w:lineRule="auto"/>
        <w:ind w:firstLine="420" w:firstLineChars="200"/>
        <w:rPr>
          <w:szCs w:val="21"/>
        </w:rPr>
      </w:pPr>
      <w:r>
        <w:rPr>
          <w:rFonts w:hint="eastAsia"/>
          <w:szCs w:val="21"/>
        </w:rPr>
        <w:t>应满足GB/T 2423.1中规定的温度为-10℃、持续时间8h的低温试验要求。试验期间数据缺失率应小于1%，图像完整清晰，无模糊或对焦失灵。</w:t>
      </w:r>
    </w:p>
    <w:p w14:paraId="646A4AD8">
      <w:pPr>
        <w:spacing w:line="360" w:lineRule="auto"/>
        <w:ind w:firstLine="420" w:firstLineChars="200"/>
        <w:rPr>
          <w:szCs w:val="21"/>
        </w:rPr>
      </w:pPr>
      <w:r>
        <w:rPr>
          <w:rFonts w:hint="eastAsia"/>
          <w:szCs w:val="21"/>
        </w:rPr>
        <w:t>6.5.2 高温性能</w:t>
      </w:r>
    </w:p>
    <w:p w14:paraId="5CC622EC">
      <w:pPr>
        <w:spacing w:line="360" w:lineRule="auto"/>
        <w:ind w:firstLine="420" w:firstLineChars="200"/>
        <w:rPr>
          <w:szCs w:val="21"/>
        </w:rPr>
      </w:pPr>
      <w:r>
        <w:rPr>
          <w:rFonts w:hint="eastAsia"/>
          <w:szCs w:val="21"/>
        </w:rPr>
        <w:t>应满足GB/T 2423.2中规定的温度为＋50℃、持续时间8h的高温试验要求。试验期间数据缺失率应小于1%，图像完整清晰，相机无过热保护停机。</w:t>
      </w:r>
    </w:p>
    <w:p w14:paraId="3836AB80">
      <w:pPr>
        <w:spacing w:line="360" w:lineRule="auto"/>
        <w:ind w:firstLine="420" w:firstLineChars="200"/>
        <w:rPr>
          <w:szCs w:val="21"/>
        </w:rPr>
      </w:pPr>
      <w:r>
        <w:rPr>
          <w:rFonts w:hint="eastAsia"/>
          <w:szCs w:val="21"/>
        </w:rPr>
        <w:t>6.6 机械性能试验</w:t>
      </w:r>
    </w:p>
    <w:p w14:paraId="245E1954">
      <w:pPr>
        <w:spacing w:line="360" w:lineRule="auto"/>
        <w:ind w:firstLine="420" w:firstLineChars="200"/>
        <w:rPr>
          <w:szCs w:val="21"/>
        </w:rPr>
      </w:pPr>
      <w:r>
        <w:rPr>
          <w:rFonts w:hint="eastAsia"/>
          <w:szCs w:val="21"/>
        </w:rPr>
        <w:t>6.6.1 振动试验</w:t>
      </w:r>
    </w:p>
    <w:p w14:paraId="48FE7E76">
      <w:pPr>
        <w:spacing w:line="360" w:lineRule="auto"/>
        <w:ind w:firstLine="420" w:firstLineChars="200"/>
        <w:rPr>
          <w:szCs w:val="21"/>
        </w:rPr>
      </w:pPr>
      <w:r>
        <w:rPr>
          <w:rFonts w:hint="eastAsia"/>
          <w:szCs w:val="21"/>
        </w:rPr>
        <w:t>6.6.1.1 试验方法</w:t>
      </w:r>
    </w:p>
    <w:p w14:paraId="664651A0">
      <w:pPr>
        <w:spacing w:line="360" w:lineRule="auto"/>
        <w:ind w:firstLine="420" w:firstLineChars="200"/>
        <w:rPr>
          <w:szCs w:val="21"/>
        </w:rPr>
      </w:pPr>
      <w:r>
        <w:rPr>
          <w:rFonts w:hint="eastAsia"/>
          <w:szCs w:val="21"/>
        </w:rPr>
        <w:t>相机系统不包装、不通电，通过夹具固定在振动试验台上。按GB/T 2423.10规定的方法，分别进行正弦扫频振动和随机振动试验，模拟公路运输和无人机挂飞振动环境。</w:t>
      </w:r>
    </w:p>
    <w:p w14:paraId="32B66262">
      <w:pPr>
        <w:spacing w:line="360" w:lineRule="auto"/>
        <w:ind w:firstLine="420" w:firstLineChars="200"/>
        <w:rPr>
          <w:szCs w:val="21"/>
        </w:rPr>
      </w:pPr>
      <w:r>
        <w:rPr>
          <w:rFonts w:hint="eastAsia"/>
          <w:szCs w:val="21"/>
        </w:rPr>
        <w:t>6.6.1.2 判定准则</w:t>
      </w:r>
    </w:p>
    <w:p w14:paraId="19E91BBA">
      <w:pPr>
        <w:spacing w:line="360" w:lineRule="auto"/>
        <w:ind w:firstLine="420" w:firstLineChars="200"/>
        <w:rPr>
          <w:szCs w:val="21"/>
        </w:rPr>
      </w:pPr>
      <w:r>
        <w:rPr>
          <w:rFonts w:hint="eastAsia"/>
          <w:szCs w:val="21"/>
        </w:rPr>
        <w:t>试验后，相机及余弦校正器的结构件、紧固件、云台接口无松动、裂纹或脱落。通电后，云台自检正常，镜头对焦正常，成像清晰，拍摄图像无因振动导致的光学元件偏移。</w:t>
      </w:r>
    </w:p>
    <w:p w14:paraId="1ED9650C">
      <w:pPr>
        <w:spacing w:line="360" w:lineRule="auto"/>
        <w:ind w:firstLine="420" w:firstLineChars="200"/>
        <w:rPr>
          <w:szCs w:val="21"/>
        </w:rPr>
      </w:pPr>
      <w:r>
        <w:rPr>
          <w:rFonts w:hint="eastAsia"/>
          <w:szCs w:val="21"/>
        </w:rPr>
        <w:t>6.6.2 云台角度抖动量及稳定性试验</w:t>
      </w:r>
    </w:p>
    <w:p w14:paraId="150632DC">
      <w:pPr>
        <w:spacing w:line="360" w:lineRule="auto"/>
        <w:ind w:firstLine="420" w:firstLineChars="200"/>
        <w:rPr>
          <w:szCs w:val="21"/>
        </w:rPr>
      </w:pPr>
      <w:r>
        <w:rPr>
          <w:rFonts w:hint="eastAsia"/>
          <w:szCs w:val="21"/>
        </w:rPr>
        <w:t>6.6.2.1 试验方法</w:t>
      </w:r>
    </w:p>
    <w:p w14:paraId="29D9EFED">
      <w:pPr>
        <w:spacing w:line="360" w:lineRule="auto"/>
        <w:ind w:firstLine="420" w:firstLineChars="200"/>
        <w:rPr>
          <w:szCs w:val="21"/>
        </w:rPr>
      </w:pPr>
      <w:r>
        <w:rPr>
          <w:rFonts w:hint="eastAsia"/>
          <w:szCs w:val="21"/>
        </w:rPr>
        <w:t>将相机安装于无人机，并固定无人机于地面台架，使云台相机处于工作状态。开启无人机电机模拟起飞状态，使用高精度角度测量仪器或视觉标靶，在规定时间内连续监测云台的角度偏移数据。</w:t>
      </w:r>
    </w:p>
    <w:p w14:paraId="28D60DF2">
      <w:pPr>
        <w:spacing w:line="360" w:lineRule="auto"/>
        <w:ind w:firstLine="420" w:firstLineChars="200"/>
        <w:rPr>
          <w:szCs w:val="21"/>
        </w:rPr>
      </w:pPr>
      <w:r>
        <w:rPr>
          <w:rFonts w:hint="eastAsia"/>
          <w:szCs w:val="21"/>
        </w:rPr>
        <w:t>6.6.2.2 判定准则</w:t>
      </w:r>
    </w:p>
    <w:p w14:paraId="36E1D541">
      <w:pPr>
        <w:adjustRightInd w:val="0"/>
        <w:snapToGrid w:val="0"/>
        <w:spacing w:line="360" w:lineRule="auto"/>
        <w:ind w:firstLine="420" w:firstLineChars="200"/>
        <w:rPr>
          <w:lang w:bidi="ar"/>
        </w:rPr>
      </w:pPr>
      <w:r>
        <w:rPr>
          <w:rFonts w:hint="eastAsia"/>
          <w:szCs w:val="21"/>
        </w:rPr>
        <w:t>在无人机电机运行状态下，相机的云台角度抖动量应满足规格要求的±0.01°，以确保图像的清晰度和配准精度。</w:t>
      </w:r>
    </w:p>
    <w:bookmarkEnd w:id="93"/>
    <w:bookmarkEnd w:id="94"/>
    <w:bookmarkEnd w:id="95"/>
    <w:p w14:paraId="10BEFE60">
      <w:pPr>
        <w:spacing w:line="480" w:lineRule="auto"/>
        <w:outlineLvl w:val="0"/>
        <w:rPr>
          <w:rFonts w:eastAsia="黑体"/>
          <w:b/>
          <w:bCs/>
          <w:szCs w:val="21"/>
        </w:rPr>
      </w:pPr>
      <w:bookmarkStart w:id="96" w:name="_Toc17663"/>
      <w:bookmarkStart w:id="97" w:name="_Toc5506"/>
      <w:bookmarkStart w:id="98" w:name="_Toc11570"/>
      <w:bookmarkStart w:id="99" w:name="_Toc76025497"/>
      <w:bookmarkStart w:id="100" w:name="_Toc21680"/>
      <w:bookmarkStart w:id="101" w:name="_Toc66780575"/>
      <w:r>
        <w:rPr>
          <w:rFonts w:eastAsia="黑体"/>
          <w:b/>
          <w:bCs/>
          <w:szCs w:val="21"/>
        </w:rPr>
        <w:t xml:space="preserve">7 </w:t>
      </w:r>
      <w:r>
        <w:rPr>
          <w:rFonts w:hint="eastAsia" w:eastAsia="黑体"/>
          <w:b/>
          <w:bCs/>
          <w:szCs w:val="21"/>
        </w:rPr>
        <w:t>检验规则</w:t>
      </w:r>
      <w:bookmarkEnd w:id="96"/>
    </w:p>
    <w:p w14:paraId="0A316199">
      <w:pPr>
        <w:snapToGrid w:val="0"/>
        <w:spacing w:line="360" w:lineRule="auto"/>
        <w:ind w:firstLine="420" w:firstLineChars="200"/>
        <w:jc w:val="left"/>
      </w:pPr>
      <w:r>
        <w:rPr>
          <w:rFonts w:hint="eastAsia"/>
        </w:rPr>
        <w:t>试验按IEC、GB、DL、中国南方电网企业标准和其他有关标准进行，本技术条件要求的试验，其试验费用由供货方承担。试验应出具详细记载试验方法、测试过程数据和正式的试验报告。</w:t>
      </w:r>
    </w:p>
    <w:p w14:paraId="2379F151">
      <w:pPr>
        <w:snapToGrid w:val="0"/>
        <w:spacing w:line="360" w:lineRule="auto"/>
        <w:ind w:firstLine="420" w:firstLineChars="200"/>
        <w:jc w:val="left"/>
      </w:pPr>
      <w:r>
        <w:rPr>
          <w:rFonts w:hint="eastAsia"/>
        </w:rPr>
        <w:t>无人机试验</w:t>
      </w:r>
      <w:r>
        <w:t>分为</w:t>
      </w:r>
      <w:r>
        <w:rPr>
          <w:rFonts w:hint="eastAsia"/>
        </w:rPr>
        <w:t>型式试验、</w:t>
      </w:r>
      <w:r>
        <w:t>出厂试验</w:t>
      </w:r>
      <w:r>
        <w:rPr>
          <w:rFonts w:hint="eastAsia"/>
        </w:rPr>
        <w:t>、送样检测、专项抽检和到货抽检，具体检测项目如表7.1所示，试验方法和要求参照</w:t>
      </w:r>
      <w:r>
        <w:rPr>
          <w:rFonts w:hint="eastAsia"/>
          <w:szCs w:val="21"/>
        </w:rPr>
        <w:t>DL/T 1578-2021</w:t>
      </w:r>
      <w:r>
        <w:rPr>
          <w:rFonts w:hint="eastAsia"/>
          <w:szCs w:val="21"/>
        </w:rPr>
        <w:tab/>
      </w:r>
      <w:r>
        <w:rPr>
          <w:rFonts w:hint="eastAsia"/>
          <w:szCs w:val="21"/>
        </w:rPr>
        <w:t>架空电力线路多旋翼无人机巡检系统等</w:t>
      </w:r>
      <w:r>
        <w:rPr>
          <w:rFonts w:hint="eastAsia"/>
        </w:rPr>
        <w:t>相关标准执行。</w:t>
      </w:r>
    </w:p>
    <w:p w14:paraId="182B75E3">
      <w:pPr>
        <w:adjustRightInd w:val="0"/>
        <w:snapToGrid w:val="0"/>
        <w:spacing w:line="360" w:lineRule="auto"/>
        <w:ind w:firstLine="420" w:firstLineChars="200"/>
        <w:rPr>
          <w:lang w:val="zh-CN"/>
        </w:rPr>
      </w:pPr>
      <w:r>
        <w:rPr>
          <w:rFonts w:hint="eastAsia"/>
        </w:rPr>
        <w:t>验收检验在合同规定时间内</w:t>
      </w:r>
      <w:r>
        <w:rPr>
          <w:rFonts w:hint="eastAsia"/>
          <w:lang w:val="zh-CN"/>
        </w:rPr>
        <w:t>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p>
    <w:p w14:paraId="5656478D">
      <w:pPr>
        <w:jc w:val="center"/>
      </w:pPr>
      <w:r>
        <w:rPr>
          <w:szCs w:val="21"/>
        </w:rPr>
        <w:t>表</w:t>
      </w:r>
      <w:r>
        <w:rPr>
          <w:rFonts w:hint="eastAsia"/>
          <w:szCs w:val="21"/>
        </w:rPr>
        <w:t>7</w:t>
      </w:r>
      <w:r>
        <w:rPr>
          <w:szCs w:val="21"/>
        </w:rPr>
        <w:t xml:space="preserve">.1  </w:t>
      </w:r>
      <w:r>
        <w:rPr>
          <w:szCs w:val="21"/>
        </w:rPr>
        <w:tab/>
      </w:r>
      <w:r>
        <w:rPr>
          <w:rFonts w:hint="eastAsia"/>
        </w:rPr>
        <w:t>多光谱相机</w:t>
      </w:r>
      <w:r>
        <w:rPr>
          <w:rFonts w:hint="eastAsia"/>
          <w:szCs w:val="21"/>
        </w:rPr>
        <w:t>检测项目</w:t>
      </w:r>
    </w:p>
    <w:tbl>
      <w:tblPr>
        <w:tblStyle w:val="57"/>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21"/>
        <w:gridCol w:w="2459"/>
        <w:gridCol w:w="918"/>
        <w:gridCol w:w="961"/>
        <w:gridCol w:w="845"/>
        <w:gridCol w:w="881"/>
        <w:gridCol w:w="881"/>
        <w:gridCol w:w="881"/>
      </w:tblGrid>
      <w:tr w14:paraId="201CB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0" w:type="dxa"/>
            <w:gridSpan w:val="2"/>
            <w:vMerge w:val="restart"/>
            <w:vAlign w:val="center"/>
          </w:tcPr>
          <w:p w14:paraId="4703CE01">
            <w:pPr>
              <w:jc w:val="center"/>
              <w:rPr>
                <w:kern w:val="0"/>
                <w:sz w:val="20"/>
                <w:szCs w:val="20"/>
              </w:rPr>
            </w:pPr>
            <w:r>
              <w:rPr>
                <w:kern w:val="0"/>
                <w:sz w:val="20"/>
                <w:szCs w:val="20"/>
              </w:rPr>
              <w:t>试验项目</w:t>
            </w:r>
          </w:p>
        </w:tc>
        <w:tc>
          <w:tcPr>
            <w:tcW w:w="5367" w:type="dxa"/>
            <w:gridSpan w:val="6"/>
            <w:vAlign w:val="center"/>
          </w:tcPr>
          <w:p w14:paraId="7802D7C6">
            <w:pPr>
              <w:jc w:val="center"/>
              <w:rPr>
                <w:kern w:val="0"/>
                <w:sz w:val="20"/>
                <w:szCs w:val="20"/>
              </w:rPr>
            </w:pPr>
            <w:r>
              <w:rPr>
                <w:rFonts w:hint="eastAsia"/>
                <w:kern w:val="0"/>
                <w:sz w:val="20"/>
                <w:szCs w:val="20"/>
              </w:rPr>
              <w:t>试验类型</w:t>
            </w:r>
          </w:p>
        </w:tc>
      </w:tr>
      <w:tr w14:paraId="22033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0" w:type="dxa"/>
            <w:gridSpan w:val="2"/>
            <w:vMerge w:val="continue"/>
            <w:vAlign w:val="center"/>
          </w:tcPr>
          <w:p w14:paraId="08C5CF7C">
            <w:pPr>
              <w:widowControl/>
              <w:jc w:val="center"/>
              <w:rPr>
                <w:kern w:val="0"/>
                <w:sz w:val="20"/>
                <w:szCs w:val="20"/>
              </w:rPr>
            </w:pPr>
          </w:p>
        </w:tc>
        <w:tc>
          <w:tcPr>
            <w:tcW w:w="918" w:type="dxa"/>
            <w:vAlign w:val="center"/>
          </w:tcPr>
          <w:p w14:paraId="27B57EBF">
            <w:pPr>
              <w:jc w:val="center"/>
              <w:rPr>
                <w:kern w:val="0"/>
                <w:sz w:val="20"/>
                <w:szCs w:val="20"/>
              </w:rPr>
            </w:pPr>
            <w:r>
              <w:rPr>
                <w:rFonts w:hint="eastAsia"/>
                <w:kern w:val="0"/>
                <w:sz w:val="20"/>
                <w:szCs w:val="20"/>
              </w:rPr>
              <w:t>依据条款</w:t>
            </w:r>
          </w:p>
        </w:tc>
        <w:tc>
          <w:tcPr>
            <w:tcW w:w="961" w:type="dxa"/>
            <w:vAlign w:val="center"/>
          </w:tcPr>
          <w:p w14:paraId="78CC2FCA">
            <w:pPr>
              <w:jc w:val="center"/>
              <w:rPr>
                <w:kern w:val="0"/>
                <w:sz w:val="20"/>
                <w:szCs w:val="20"/>
              </w:rPr>
            </w:pPr>
            <w:r>
              <w:rPr>
                <w:rFonts w:hint="eastAsia"/>
                <w:kern w:val="0"/>
                <w:sz w:val="20"/>
                <w:szCs w:val="20"/>
              </w:rPr>
              <w:t>型式试验</w:t>
            </w:r>
          </w:p>
        </w:tc>
        <w:tc>
          <w:tcPr>
            <w:tcW w:w="845" w:type="dxa"/>
            <w:vAlign w:val="center"/>
          </w:tcPr>
          <w:p w14:paraId="4C524062">
            <w:pPr>
              <w:jc w:val="center"/>
              <w:rPr>
                <w:kern w:val="0"/>
                <w:sz w:val="20"/>
                <w:szCs w:val="20"/>
              </w:rPr>
            </w:pPr>
            <w:r>
              <w:rPr>
                <w:rFonts w:hint="eastAsia"/>
                <w:kern w:val="0"/>
                <w:sz w:val="20"/>
                <w:szCs w:val="20"/>
              </w:rPr>
              <w:t>出厂试验</w:t>
            </w:r>
          </w:p>
        </w:tc>
        <w:tc>
          <w:tcPr>
            <w:tcW w:w="881" w:type="dxa"/>
            <w:vAlign w:val="center"/>
          </w:tcPr>
          <w:p w14:paraId="0A7CCDF1">
            <w:pPr>
              <w:jc w:val="center"/>
              <w:rPr>
                <w:kern w:val="0"/>
                <w:sz w:val="20"/>
                <w:szCs w:val="20"/>
              </w:rPr>
            </w:pPr>
            <w:r>
              <w:rPr>
                <w:rFonts w:hint="eastAsia"/>
                <w:kern w:val="0"/>
                <w:sz w:val="20"/>
                <w:szCs w:val="20"/>
              </w:rPr>
              <w:t>送样检测</w:t>
            </w:r>
          </w:p>
        </w:tc>
        <w:tc>
          <w:tcPr>
            <w:tcW w:w="881" w:type="dxa"/>
            <w:vAlign w:val="center"/>
          </w:tcPr>
          <w:p w14:paraId="70F53DF6">
            <w:pPr>
              <w:jc w:val="center"/>
              <w:rPr>
                <w:kern w:val="0"/>
                <w:sz w:val="20"/>
                <w:szCs w:val="20"/>
              </w:rPr>
            </w:pPr>
            <w:r>
              <w:rPr>
                <w:rFonts w:hint="eastAsia"/>
                <w:kern w:val="0"/>
                <w:sz w:val="20"/>
                <w:szCs w:val="20"/>
              </w:rPr>
              <w:t>专项抽检</w:t>
            </w:r>
          </w:p>
        </w:tc>
        <w:tc>
          <w:tcPr>
            <w:tcW w:w="881" w:type="dxa"/>
            <w:vAlign w:val="center"/>
          </w:tcPr>
          <w:p w14:paraId="0B56F50A">
            <w:pPr>
              <w:jc w:val="center"/>
              <w:rPr>
                <w:kern w:val="0"/>
                <w:sz w:val="20"/>
                <w:szCs w:val="20"/>
              </w:rPr>
            </w:pPr>
            <w:r>
              <w:rPr>
                <w:rFonts w:hint="eastAsia"/>
                <w:kern w:val="0"/>
                <w:sz w:val="20"/>
                <w:szCs w:val="20"/>
              </w:rPr>
              <w:t>到货抽检</w:t>
            </w:r>
          </w:p>
        </w:tc>
      </w:tr>
      <w:tr w14:paraId="2D42C3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1521" w:type="dxa"/>
            <w:vAlign w:val="center"/>
          </w:tcPr>
          <w:p w14:paraId="719694F6">
            <w:pPr>
              <w:jc w:val="center"/>
              <w:rPr>
                <w:kern w:val="0"/>
                <w:sz w:val="20"/>
                <w:szCs w:val="20"/>
              </w:rPr>
            </w:pPr>
            <w:r>
              <w:rPr>
                <w:kern w:val="0"/>
                <w:sz w:val="20"/>
                <w:szCs w:val="20"/>
              </w:rPr>
              <w:t>一般要求</w:t>
            </w:r>
          </w:p>
        </w:tc>
        <w:tc>
          <w:tcPr>
            <w:tcW w:w="2459" w:type="dxa"/>
            <w:vAlign w:val="center"/>
          </w:tcPr>
          <w:p w14:paraId="38DD86E5">
            <w:pPr>
              <w:jc w:val="center"/>
              <w:rPr>
                <w:kern w:val="0"/>
                <w:sz w:val="20"/>
                <w:szCs w:val="20"/>
              </w:rPr>
            </w:pPr>
            <w:r>
              <w:rPr>
                <w:kern w:val="0"/>
                <w:sz w:val="20"/>
                <w:szCs w:val="20"/>
              </w:rPr>
              <w:t>外观特性试验</w:t>
            </w:r>
          </w:p>
        </w:tc>
        <w:tc>
          <w:tcPr>
            <w:tcW w:w="918" w:type="dxa"/>
            <w:vAlign w:val="center"/>
          </w:tcPr>
          <w:p w14:paraId="258CDDD4">
            <w:pPr>
              <w:jc w:val="center"/>
              <w:rPr>
                <w:kern w:val="0"/>
                <w:sz w:val="20"/>
                <w:szCs w:val="20"/>
              </w:rPr>
            </w:pPr>
            <w:r>
              <w:rPr>
                <w:rFonts w:hint="eastAsia"/>
                <w:kern w:val="0"/>
                <w:sz w:val="20"/>
                <w:szCs w:val="20"/>
              </w:rPr>
              <w:t>6.1</w:t>
            </w:r>
          </w:p>
        </w:tc>
        <w:tc>
          <w:tcPr>
            <w:tcW w:w="961" w:type="dxa"/>
            <w:vAlign w:val="center"/>
          </w:tcPr>
          <w:p w14:paraId="2826D14E">
            <w:pPr>
              <w:jc w:val="center"/>
              <w:rPr>
                <w:kern w:val="0"/>
                <w:sz w:val="20"/>
                <w:szCs w:val="20"/>
              </w:rPr>
            </w:pPr>
            <w:r>
              <w:rPr>
                <w:kern w:val="0"/>
                <w:sz w:val="20"/>
                <w:szCs w:val="20"/>
              </w:rPr>
              <w:t>●</w:t>
            </w:r>
          </w:p>
        </w:tc>
        <w:tc>
          <w:tcPr>
            <w:tcW w:w="845" w:type="dxa"/>
            <w:vAlign w:val="center"/>
          </w:tcPr>
          <w:p w14:paraId="74385528">
            <w:pPr>
              <w:jc w:val="center"/>
              <w:rPr>
                <w:kern w:val="0"/>
                <w:sz w:val="20"/>
                <w:szCs w:val="20"/>
              </w:rPr>
            </w:pPr>
            <w:r>
              <w:rPr>
                <w:kern w:val="0"/>
                <w:sz w:val="20"/>
                <w:szCs w:val="20"/>
              </w:rPr>
              <w:t>●</w:t>
            </w:r>
          </w:p>
        </w:tc>
        <w:tc>
          <w:tcPr>
            <w:tcW w:w="881" w:type="dxa"/>
            <w:vAlign w:val="center"/>
          </w:tcPr>
          <w:p w14:paraId="3027C5BC">
            <w:pPr>
              <w:jc w:val="center"/>
              <w:rPr>
                <w:kern w:val="0"/>
                <w:sz w:val="20"/>
                <w:szCs w:val="20"/>
              </w:rPr>
            </w:pPr>
            <w:r>
              <w:rPr>
                <w:kern w:val="0"/>
                <w:sz w:val="20"/>
                <w:szCs w:val="20"/>
              </w:rPr>
              <w:t>●</w:t>
            </w:r>
          </w:p>
        </w:tc>
        <w:tc>
          <w:tcPr>
            <w:tcW w:w="881" w:type="dxa"/>
            <w:vAlign w:val="center"/>
          </w:tcPr>
          <w:p w14:paraId="00D98DD9">
            <w:pPr>
              <w:jc w:val="center"/>
              <w:rPr>
                <w:kern w:val="0"/>
                <w:sz w:val="20"/>
                <w:szCs w:val="20"/>
              </w:rPr>
            </w:pPr>
            <w:r>
              <w:rPr>
                <w:kern w:val="0"/>
                <w:sz w:val="20"/>
                <w:szCs w:val="20"/>
              </w:rPr>
              <w:t>●</w:t>
            </w:r>
          </w:p>
        </w:tc>
        <w:tc>
          <w:tcPr>
            <w:tcW w:w="881" w:type="dxa"/>
            <w:vAlign w:val="center"/>
          </w:tcPr>
          <w:p w14:paraId="35237B6D">
            <w:pPr>
              <w:jc w:val="center"/>
              <w:rPr>
                <w:kern w:val="0"/>
                <w:sz w:val="20"/>
                <w:szCs w:val="20"/>
              </w:rPr>
            </w:pPr>
            <w:r>
              <w:rPr>
                <w:kern w:val="0"/>
                <w:sz w:val="20"/>
                <w:szCs w:val="20"/>
              </w:rPr>
              <w:t>●</w:t>
            </w:r>
          </w:p>
        </w:tc>
      </w:tr>
      <w:tr w14:paraId="0EC16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1521" w:type="dxa"/>
            <w:vAlign w:val="center"/>
          </w:tcPr>
          <w:p w14:paraId="7562B9A4">
            <w:pPr>
              <w:jc w:val="center"/>
              <w:rPr>
                <w:kern w:val="0"/>
                <w:sz w:val="20"/>
                <w:szCs w:val="20"/>
              </w:rPr>
            </w:pPr>
            <w:r>
              <w:rPr>
                <w:rFonts w:hint="eastAsia"/>
                <w:kern w:val="0"/>
                <w:sz w:val="20"/>
                <w:szCs w:val="20"/>
              </w:rPr>
              <w:t>基本功能</w:t>
            </w:r>
          </w:p>
        </w:tc>
        <w:tc>
          <w:tcPr>
            <w:tcW w:w="2459" w:type="dxa"/>
            <w:vAlign w:val="center"/>
          </w:tcPr>
          <w:p w14:paraId="6778B1AA">
            <w:pPr>
              <w:jc w:val="center"/>
              <w:rPr>
                <w:kern w:val="0"/>
                <w:sz w:val="20"/>
                <w:szCs w:val="20"/>
              </w:rPr>
            </w:pPr>
            <w:r>
              <w:rPr>
                <w:rFonts w:hint="eastAsia"/>
                <w:kern w:val="0"/>
                <w:sz w:val="20"/>
                <w:szCs w:val="20"/>
              </w:rPr>
              <w:t>数据接口与配置功能测试</w:t>
            </w:r>
          </w:p>
        </w:tc>
        <w:tc>
          <w:tcPr>
            <w:tcW w:w="918" w:type="dxa"/>
            <w:vAlign w:val="center"/>
          </w:tcPr>
          <w:p w14:paraId="1C44AA57">
            <w:pPr>
              <w:jc w:val="center"/>
              <w:rPr>
                <w:kern w:val="0"/>
                <w:sz w:val="20"/>
                <w:szCs w:val="20"/>
              </w:rPr>
            </w:pPr>
            <w:r>
              <w:rPr>
                <w:rFonts w:hint="eastAsia"/>
                <w:kern w:val="0"/>
                <w:sz w:val="20"/>
                <w:szCs w:val="20"/>
              </w:rPr>
              <w:t>6.2</w:t>
            </w:r>
          </w:p>
        </w:tc>
        <w:tc>
          <w:tcPr>
            <w:tcW w:w="961" w:type="dxa"/>
            <w:vAlign w:val="center"/>
          </w:tcPr>
          <w:p w14:paraId="11478E72">
            <w:pPr>
              <w:jc w:val="center"/>
              <w:rPr>
                <w:kern w:val="0"/>
                <w:sz w:val="20"/>
                <w:szCs w:val="20"/>
              </w:rPr>
            </w:pPr>
            <w:r>
              <w:rPr>
                <w:kern w:val="0"/>
                <w:sz w:val="20"/>
                <w:szCs w:val="20"/>
              </w:rPr>
              <w:t>●</w:t>
            </w:r>
          </w:p>
        </w:tc>
        <w:tc>
          <w:tcPr>
            <w:tcW w:w="845" w:type="dxa"/>
            <w:vAlign w:val="center"/>
          </w:tcPr>
          <w:p w14:paraId="01305FCB">
            <w:pPr>
              <w:jc w:val="center"/>
              <w:rPr>
                <w:kern w:val="0"/>
                <w:sz w:val="20"/>
                <w:szCs w:val="20"/>
              </w:rPr>
            </w:pPr>
            <w:r>
              <w:rPr>
                <w:kern w:val="0"/>
                <w:sz w:val="20"/>
                <w:szCs w:val="20"/>
              </w:rPr>
              <w:t>○</w:t>
            </w:r>
          </w:p>
        </w:tc>
        <w:tc>
          <w:tcPr>
            <w:tcW w:w="881" w:type="dxa"/>
            <w:vAlign w:val="center"/>
          </w:tcPr>
          <w:p w14:paraId="37D7A0F3">
            <w:pPr>
              <w:jc w:val="center"/>
              <w:rPr>
                <w:kern w:val="0"/>
                <w:sz w:val="20"/>
                <w:szCs w:val="20"/>
              </w:rPr>
            </w:pPr>
            <w:r>
              <w:rPr>
                <w:kern w:val="0"/>
                <w:sz w:val="20"/>
                <w:szCs w:val="20"/>
              </w:rPr>
              <w:t>○</w:t>
            </w:r>
          </w:p>
        </w:tc>
        <w:tc>
          <w:tcPr>
            <w:tcW w:w="881" w:type="dxa"/>
            <w:vAlign w:val="center"/>
          </w:tcPr>
          <w:p w14:paraId="66465894">
            <w:pPr>
              <w:jc w:val="center"/>
              <w:rPr>
                <w:kern w:val="0"/>
                <w:sz w:val="20"/>
                <w:szCs w:val="20"/>
              </w:rPr>
            </w:pPr>
            <w:r>
              <w:rPr>
                <w:kern w:val="0"/>
                <w:sz w:val="20"/>
                <w:szCs w:val="20"/>
              </w:rPr>
              <w:t>○</w:t>
            </w:r>
          </w:p>
        </w:tc>
        <w:tc>
          <w:tcPr>
            <w:tcW w:w="881" w:type="dxa"/>
            <w:vAlign w:val="center"/>
          </w:tcPr>
          <w:p w14:paraId="33C103F4">
            <w:pPr>
              <w:jc w:val="center"/>
              <w:rPr>
                <w:kern w:val="0"/>
                <w:sz w:val="20"/>
                <w:szCs w:val="20"/>
              </w:rPr>
            </w:pPr>
            <w:r>
              <w:rPr>
                <w:kern w:val="0"/>
                <w:sz w:val="20"/>
                <w:szCs w:val="20"/>
              </w:rPr>
              <w:t>○</w:t>
            </w:r>
          </w:p>
        </w:tc>
      </w:tr>
      <w:tr w14:paraId="70E5D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1521" w:type="dxa"/>
            <w:vAlign w:val="center"/>
          </w:tcPr>
          <w:p w14:paraId="2CABAA3C">
            <w:pPr>
              <w:jc w:val="center"/>
              <w:rPr>
                <w:kern w:val="0"/>
                <w:sz w:val="20"/>
                <w:szCs w:val="20"/>
              </w:rPr>
            </w:pPr>
            <w:r>
              <w:rPr>
                <w:rFonts w:hint="eastAsia"/>
                <w:kern w:val="0"/>
                <w:sz w:val="20"/>
                <w:szCs w:val="20"/>
              </w:rPr>
              <w:t>平台兼容性</w:t>
            </w:r>
          </w:p>
        </w:tc>
        <w:tc>
          <w:tcPr>
            <w:tcW w:w="2459" w:type="dxa"/>
            <w:vAlign w:val="center"/>
          </w:tcPr>
          <w:p w14:paraId="50AE7D63">
            <w:pPr>
              <w:jc w:val="center"/>
              <w:rPr>
                <w:kern w:val="0"/>
                <w:sz w:val="20"/>
                <w:szCs w:val="20"/>
              </w:rPr>
            </w:pPr>
            <w:r>
              <w:rPr>
                <w:rFonts w:hint="eastAsia"/>
                <w:kern w:val="0"/>
                <w:sz w:val="20"/>
                <w:szCs w:val="20"/>
              </w:rPr>
              <w:t>无人机平台兼容性试验</w:t>
            </w:r>
          </w:p>
        </w:tc>
        <w:tc>
          <w:tcPr>
            <w:tcW w:w="918" w:type="dxa"/>
            <w:vAlign w:val="center"/>
          </w:tcPr>
          <w:p w14:paraId="510D24A4">
            <w:pPr>
              <w:jc w:val="center"/>
              <w:rPr>
                <w:kern w:val="0"/>
                <w:sz w:val="20"/>
                <w:szCs w:val="20"/>
              </w:rPr>
            </w:pPr>
            <w:r>
              <w:rPr>
                <w:rFonts w:hint="eastAsia"/>
                <w:kern w:val="0"/>
                <w:sz w:val="20"/>
                <w:szCs w:val="20"/>
              </w:rPr>
              <w:t>6.3</w:t>
            </w:r>
          </w:p>
        </w:tc>
        <w:tc>
          <w:tcPr>
            <w:tcW w:w="961" w:type="dxa"/>
            <w:vAlign w:val="center"/>
          </w:tcPr>
          <w:p w14:paraId="00439414">
            <w:pPr>
              <w:jc w:val="center"/>
              <w:rPr>
                <w:kern w:val="0"/>
                <w:sz w:val="20"/>
                <w:szCs w:val="20"/>
              </w:rPr>
            </w:pPr>
            <w:r>
              <w:rPr>
                <w:kern w:val="0"/>
                <w:sz w:val="20"/>
                <w:szCs w:val="20"/>
              </w:rPr>
              <w:t>●</w:t>
            </w:r>
          </w:p>
        </w:tc>
        <w:tc>
          <w:tcPr>
            <w:tcW w:w="845" w:type="dxa"/>
            <w:vAlign w:val="center"/>
          </w:tcPr>
          <w:p w14:paraId="3B947757">
            <w:pPr>
              <w:jc w:val="center"/>
              <w:rPr>
                <w:kern w:val="0"/>
                <w:sz w:val="20"/>
                <w:szCs w:val="20"/>
              </w:rPr>
            </w:pPr>
            <w:r>
              <w:rPr>
                <w:kern w:val="0"/>
                <w:sz w:val="20"/>
                <w:szCs w:val="20"/>
              </w:rPr>
              <w:t>○</w:t>
            </w:r>
          </w:p>
        </w:tc>
        <w:tc>
          <w:tcPr>
            <w:tcW w:w="881" w:type="dxa"/>
            <w:vAlign w:val="center"/>
          </w:tcPr>
          <w:p w14:paraId="49B327A9">
            <w:pPr>
              <w:jc w:val="center"/>
              <w:rPr>
                <w:kern w:val="0"/>
                <w:sz w:val="20"/>
                <w:szCs w:val="20"/>
              </w:rPr>
            </w:pPr>
            <w:r>
              <w:rPr>
                <w:kern w:val="0"/>
                <w:sz w:val="20"/>
                <w:szCs w:val="20"/>
              </w:rPr>
              <w:t>○</w:t>
            </w:r>
          </w:p>
        </w:tc>
        <w:tc>
          <w:tcPr>
            <w:tcW w:w="881" w:type="dxa"/>
            <w:vAlign w:val="center"/>
          </w:tcPr>
          <w:p w14:paraId="79056B90">
            <w:pPr>
              <w:jc w:val="center"/>
              <w:rPr>
                <w:kern w:val="0"/>
                <w:sz w:val="20"/>
                <w:szCs w:val="20"/>
              </w:rPr>
            </w:pPr>
            <w:r>
              <w:rPr>
                <w:kern w:val="0"/>
                <w:sz w:val="20"/>
                <w:szCs w:val="20"/>
              </w:rPr>
              <w:t>○</w:t>
            </w:r>
          </w:p>
        </w:tc>
        <w:tc>
          <w:tcPr>
            <w:tcW w:w="881" w:type="dxa"/>
            <w:vAlign w:val="center"/>
          </w:tcPr>
          <w:p w14:paraId="5FFC661A">
            <w:pPr>
              <w:jc w:val="center"/>
              <w:rPr>
                <w:kern w:val="0"/>
                <w:sz w:val="20"/>
                <w:szCs w:val="20"/>
              </w:rPr>
            </w:pPr>
            <w:r>
              <w:rPr>
                <w:kern w:val="0"/>
                <w:sz w:val="20"/>
                <w:szCs w:val="20"/>
              </w:rPr>
              <w:t>○</w:t>
            </w:r>
          </w:p>
        </w:tc>
      </w:tr>
      <w:tr w14:paraId="030DED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1521" w:type="dxa"/>
            <w:vMerge w:val="restart"/>
            <w:vAlign w:val="center"/>
          </w:tcPr>
          <w:p w14:paraId="3C93A916">
            <w:pPr>
              <w:jc w:val="center"/>
              <w:rPr>
                <w:kern w:val="0"/>
                <w:sz w:val="20"/>
                <w:szCs w:val="20"/>
              </w:rPr>
            </w:pPr>
            <w:r>
              <w:rPr>
                <w:rFonts w:hint="eastAsia"/>
                <w:kern w:val="0"/>
                <w:sz w:val="20"/>
                <w:szCs w:val="20"/>
              </w:rPr>
              <w:t>测量有效性</w:t>
            </w:r>
          </w:p>
        </w:tc>
        <w:tc>
          <w:tcPr>
            <w:tcW w:w="2459" w:type="dxa"/>
            <w:vAlign w:val="center"/>
          </w:tcPr>
          <w:p w14:paraId="07CA8909">
            <w:pPr>
              <w:jc w:val="center"/>
              <w:rPr>
                <w:kern w:val="0"/>
                <w:sz w:val="20"/>
                <w:szCs w:val="20"/>
              </w:rPr>
            </w:pPr>
            <w:r>
              <w:rPr>
                <w:rFonts w:hint="eastAsia"/>
                <w:kern w:val="0"/>
                <w:sz w:val="20"/>
                <w:szCs w:val="20"/>
              </w:rPr>
              <w:t>温度适应性试验</w:t>
            </w:r>
          </w:p>
        </w:tc>
        <w:tc>
          <w:tcPr>
            <w:tcW w:w="918" w:type="dxa"/>
            <w:vAlign w:val="center"/>
          </w:tcPr>
          <w:p w14:paraId="7FF7E227">
            <w:pPr>
              <w:jc w:val="center"/>
              <w:rPr>
                <w:kern w:val="0"/>
                <w:sz w:val="20"/>
                <w:szCs w:val="20"/>
              </w:rPr>
            </w:pPr>
            <w:r>
              <w:rPr>
                <w:rFonts w:hint="eastAsia"/>
                <w:kern w:val="0"/>
                <w:sz w:val="20"/>
                <w:szCs w:val="20"/>
              </w:rPr>
              <w:t>6.4.1</w:t>
            </w:r>
          </w:p>
        </w:tc>
        <w:tc>
          <w:tcPr>
            <w:tcW w:w="961" w:type="dxa"/>
            <w:vAlign w:val="center"/>
          </w:tcPr>
          <w:p w14:paraId="63ABE1BC">
            <w:pPr>
              <w:jc w:val="center"/>
              <w:rPr>
                <w:kern w:val="0"/>
                <w:sz w:val="20"/>
                <w:szCs w:val="20"/>
              </w:rPr>
            </w:pPr>
            <w:r>
              <w:rPr>
                <w:kern w:val="0"/>
                <w:sz w:val="20"/>
                <w:szCs w:val="20"/>
              </w:rPr>
              <w:t>●</w:t>
            </w:r>
          </w:p>
        </w:tc>
        <w:tc>
          <w:tcPr>
            <w:tcW w:w="845" w:type="dxa"/>
            <w:vAlign w:val="center"/>
          </w:tcPr>
          <w:p w14:paraId="53FFD4F8">
            <w:pPr>
              <w:jc w:val="center"/>
              <w:rPr>
                <w:kern w:val="0"/>
                <w:sz w:val="20"/>
                <w:szCs w:val="20"/>
              </w:rPr>
            </w:pPr>
            <w:r>
              <w:rPr>
                <w:kern w:val="0"/>
                <w:sz w:val="20"/>
                <w:szCs w:val="20"/>
              </w:rPr>
              <w:t>○</w:t>
            </w:r>
          </w:p>
        </w:tc>
        <w:tc>
          <w:tcPr>
            <w:tcW w:w="881" w:type="dxa"/>
            <w:vAlign w:val="center"/>
          </w:tcPr>
          <w:p w14:paraId="189A089C">
            <w:pPr>
              <w:jc w:val="center"/>
              <w:rPr>
                <w:kern w:val="0"/>
                <w:sz w:val="20"/>
                <w:szCs w:val="20"/>
              </w:rPr>
            </w:pPr>
            <w:r>
              <w:rPr>
                <w:kern w:val="0"/>
                <w:sz w:val="20"/>
                <w:szCs w:val="20"/>
              </w:rPr>
              <w:t>○</w:t>
            </w:r>
          </w:p>
        </w:tc>
        <w:tc>
          <w:tcPr>
            <w:tcW w:w="881" w:type="dxa"/>
            <w:vAlign w:val="center"/>
          </w:tcPr>
          <w:p w14:paraId="68490C54">
            <w:pPr>
              <w:jc w:val="center"/>
              <w:rPr>
                <w:kern w:val="0"/>
                <w:sz w:val="20"/>
                <w:szCs w:val="20"/>
              </w:rPr>
            </w:pPr>
            <w:r>
              <w:rPr>
                <w:kern w:val="0"/>
                <w:sz w:val="20"/>
                <w:szCs w:val="20"/>
              </w:rPr>
              <w:t>○</w:t>
            </w:r>
          </w:p>
        </w:tc>
        <w:tc>
          <w:tcPr>
            <w:tcW w:w="881" w:type="dxa"/>
            <w:vAlign w:val="center"/>
          </w:tcPr>
          <w:p w14:paraId="556AF38B">
            <w:pPr>
              <w:jc w:val="center"/>
              <w:rPr>
                <w:kern w:val="0"/>
                <w:sz w:val="20"/>
                <w:szCs w:val="20"/>
              </w:rPr>
            </w:pPr>
            <w:r>
              <w:rPr>
                <w:kern w:val="0"/>
                <w:sz w:val="20"/>
                <w:szCs w:val="20"/>
              </w:rPr>
              <w:t>○</w:t>
            </w:r>
          </w:p>
        </w:tc>
      </w:tr>
      <w:tr w14:paraId="583CC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1521" w:type="dxa"/>
            <w:vMerge w:val="continue"/>
            <w:vAlign w:val="center"/>
          </w:tcPr>
          <w:p w14:paraId="484D8424">
            <w:pPr>
              <w:jc w:val="center"/>
              <w:rPr>
                <w:kern w:val="0"/>
                <w:sz w:val="20"/>
                <w:szCs w:val="20"/>
              </w:rPr>
            </w:pPr>
          </w:p>
        </w:tc>
        <w:tc>
          <w:tcPr>
            <w:tcW w:w="2459" w:type="dxa"/>
            <w:vAlign w:val="center"/>
          </w:tcPr>
          <w:p w14:paraId="60D32B6D">
            <w:pPr>
              <w:jc w:val="center"/>
              <w:rPr>
                <w:kern w:val="0"/>
                <w:sz w:val="20"/>
                <w:szCs w:val="20"/>
              </w:rPr>
            </w:pPr>
            <w:r>
              <w:rPr>
                <w:rFonts w:hint="eastAsia"/>
                <w:kern w:val="0"/>
                <w:sz w:val="20"/>
                <w:szCs w:val="20"/>
              </w:rPr>
              <w:t>光照适应性试验</w:t>
            </w:r>
          </w:p>
        </w:tc>
        <w:tc>
          <w:tcPr>
            <w:tcW w:w="918" w:type="dxa"/>
            <w:vAlign w:val="center"/>
          </w:tcPr>
          <w:p w14:paraId="2035D6FB">
            <w:pPr>
              <w:jc w:val="center"/>
              <w:rPr>
                <w:kern w:val="0"/>
                <w:sz w:val="20"/>
                <w:szCs w:val="20"/>
              </w:rPr>
            </w:pPr>
            <w:r>
              <w:rPr>
                <w:rFonts w:hint="eastAsia"/>
                <w:kern w:val="0"/>
                <w:sz w:val="20"/>
                <w:szCs w:val="20"/>
              </w:rPr>
              <w:t>6.4.2</w:t>
            </w:r>
          </w:p>
        </w:tc>
        <w:tc>
          <w:tcPr>
            <w:tcW w:w="961" w:type="dxa"/>
            <w:vAlign w:val="center"/>
          </w:tcPr>
          <w:p w14:paraId="4C85219E">
            <w:pPr>
              <w:jc w:val="center"/>
              <w:rPr>
                <w:kern w:val="0"/>
                <w:sz w:val="20"/>
                <w:szCs w:val="20"/>
              </w:rPr>
            </w:pPr>
            <w:r>
              <w:rPr>
                <w:kern w:val="0"/>
                <w:sz w:val="20"/>
                <w:szCs w:val="20"/>
              </w:rPr>
              <w:t>●</w:t>
            </w:r>
          </w:p>
        </w:tc>
        <w:tc>
          <w:tcPr>
            <w:tcW w:w="845" w:type="dxa"/>
            <w:vAlign w:val="center"/>
          </w:tcPr>
          <w:p w14:paraId="2A677A59">
            <w:pPr>
              <w:jc w:val="center"/>
              <w:rPr>
                <w:kern w:val="0"/>
                <w:sz w:val="20"/>
                <w:szCs w:val="20"/>
              </w:rPr>
            </w:pPr>
            <w:r>
              <w:rPr>
                <w:kern w:val="0"/>
                <w:sz w:val="20"/>
                <w:szCs w:val="20"/>
              </w:rPr>
              <w:t>○</w:t>
            </w:r>
          </w:p>
        </w:tc>
        <w:tc>
          <w:tcPr>
            <w:tcW w:w="881" w:type="dxa"/>
            <w:vAlign w:val="center"/>
          </w:tcPr>
          <w:p w14:paraId="5ECD7AE7">
            <w:pPr>
              <w:jc w:val="center"/>
              <w:rPr>
                <w:kern w:val="0"/>
                <w:sz w:val="20"/>
                <w:szCs w:val="20"/>
              </w:rPr>
            </w:pPr>
            <w:r>
              <w:rPr>
                <w:kern w:val="0"/>
                <w:sz w:val="20"/>
                <w:szCs w:val="20"/>
              </w:rPr>
              <w:t>○</w:t>
            </w:r>
          </w:p>
        </w:tc>
        <w:tc>
          <w:tcPr>
            <w:tcW w:w="881" w:type="dxa"/>
            <w:vAlign w:val="center"/>
          </w:tcPr>
          <w:p w14:paraId="0BF0D034">
            <w:pPr>
              <w:jc w:val="center"/>
              <w:rPr>
                <w:kern w:val="0"/>
                <w:sz w:val="20"/>
                <w:szCs w:val="20"/>
              </w:rPr>
            </w:pPr>
            <w:r>
              <w:rPr>
                <w:kern w:val="0"/>
                <w:sz w:val="20"/>
                <w:szCs w:val="20"/>
              </w:rPr>
              <w:t>○</w:t>
            </w:r>
          </w:p>
        </w:tc>
        <w:tc>
          <w:tcPr>
            <w:tcW w:w="881" w:type="dxa"/>
            <w:vAlign w:val="center"/>
          </w:tcPr>
          <w:p w14:paraId="30701E07">
            <w:pPr>
              <w:jc w:val="center"/>
              <w:rPr>
                <w:kern w:val="0"/>
                <w:sz w:val="20"/>
                <w:szCs w:val="20"/>
              </w:rPr>
            </w:pPr>
            <w:r>
              <w:rPr>
                <w:kern w:val="0"/>
                <w:sz w:val="20"/>
                <w:szCs w:val="20"/>
              </w:rPr>
              <w:t>○</w:t>
            </w:r>
          </w:p>
        </w:tc>
      </w:tr>
      <w:tr w14:paraId="599BCA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1521" w:type="dxa"/>
            <w:vMerge w:val="continue"/>
            <w:vAlign w:val="center"/>
          </w:tcPr>
          <w:p w14:paraId="2E09ADD4">
            <w:pPr>
              <w:jc w:val="center"/>
              <w:rPr>
                <w:kern w:val="0"/>
                <w:sz w:val="20"/>
                <w:szCs w:val="20"/>
              </w:rPr>
            </w:pPr>
          </w:p>
        </w:tc>
        <w:tc>
          <w:tcPr>
            <w:tcW w:w="2459" w:type="dxa"/>
            <w:vAlign w:val="center"/>
          </w:tcPr>
          <w:p w14:paraId="445E6DD0">
            <w:pPr>
              <w:jc w:val="center"/>
              <w:rPr>
                <w:kern w:val="0"/>
                <w:sz w:val="20"/>
                <w:szCs w:val="20"/>
              </w:rPr>
            </w:pPr>
            <w:r>
              <w:rPr>
                <w:rFonts w:hint="eastAsia"/>
                <w:kern w:val="0"/>
                <w:sz w:val="20"/>
                <w:szCs w:val="20"/>
              </w:rPr>
              <w:t>光谱与辐射标定准确度试验</w:t>
            </w:r>
          </w:p>
        </w:tc>
        <w:tc>
          <w:tcPr>
            <w:tcW w:w="918" w:type="dxa"/>
            <w:vAlign w:val="center"/>
          </w:tcPr>
          <w:p w14:paraId="75A7AF8F">
            <w:pPr>
              <w:jc w:val="center"/>
              <w:rPr>
                <w:kern w:val="0"/>
                <w:sz w:val="20"/>
                <w:szCs w:val="20"/>
              </w:rPr>
            </w:pPr>
            <w:r>
              <w:rPr>
                <w:rFonts w:hint="eastAsia"/>
                <w:kern w:val="0"/>
                <w:sz w:val="20"/>
                <w:szCs w:val="20"/>
              </w:rPr>
              <w:t>6.4.3</w:t>
            </w:r>
          </w:p>
        </w:tc>
        <w:tc>
          <w:tcPr>
            <w:tcW w:w="961" w:type="dxa"/>
            <w:vAlign w:val="center"/>
          </w:tcPr>
          <w:p w14:paraId="3D06E97A">
            <w:pPr>
              <w:jc w:val="center"/>
              <w:rPr>
                <w:kern w:val="0"/>
                <w:sz w:val="20"/>
                <w:szCs w:val="20"/>
              </w:rPr>
            </w:pPr>
            <w:r>
              <w:rPr>
                <w:kern w:val="0"/>
                <w:sz w:val="20"/>
                <w:szCs w:val="20"/>
              </w:rPr>
              <w:t>●</w:t>
            </w:r>
          </w:p>
        </w:tc>
        <w:tc>
          <w:tcPr>
            <w:tcW w:w="845" w:type="dxa"/>
            <w:vAlign w:val="center"/>
          </w:tcPr>
          <w:p w14:paraId="4D37AFC8">
            <w:pPr>
              <w:jc w:val="center"/>
              <w:rPr>
                <w:kern w:val="0"/>
                <w:sz w:val="20"/>
                <w:szCs w:val="20"/>
              </w:rPr>
            </w:pPr>
            <w:r>
              <w:rPr>
                <w:kern w:val="0"/>
                <w:sz w:val="20"/>
                <w:szCs w:val="20"/>
              </w:rPr>
              <w:t>○</w:t>
            </w:r>
          </w:p>
        </w:tc>
        <w:tc>
          <w:tcPr>
            <w:tcW w:w="881" w:type="dxa"/>
            <w:vAlign w:val="center"/>
          </w:tcPr>
          <w:p w14:paraId="6C5F69EA">
            <w:pPr>
              <w:jc w:val="center"/>
              <w:rPr>
                <w:kern w:val="0"/>
                <w:sz w:val="20"/>
                <w:szCs w:val="20"/>
              </w:rPr>
            </w:pPr>
            <w:r>
              <w:rPr>
                <w:kern w:val="0"/>
                <w:sz w:val="20"/>
                <w:szCs w:val="20"/>
              </w:rPr>
              <w:t>○</w:t>
            </w:r>
          </w:p>
        </w:tc>
        <w:tc>
          <w:tcPr>
            <w:tcW w:w="881" w:type="dxa"/>
            <w:vAlign w:val="center"/>
          </w:tcPr>
          <w:p w14:paraId="236F232E">
            <w:pPr>
              <w:jc w:val="center"/>
              <w:rPr>
                <w:kern w:val="0"/>
                <w:sz w:val="20"/>
                <w:szCs w:val="20"/>
              </w:rPr>
            </w:pPr>
            <w:r>
              <w:rPr>
                <w:kern w:val="0"/>
                <w:sz w:val="20"/>
                <w:szCs w:val="20"/>
              </w:rPr>
              <w:t>○</w:t>
            </w:r>
          </w:p>
        </w:tc>
        <w:tc>
          <w:tcPr>
            <w:tcW w:w="881" w:type="dxa"/>
            <w:vAlign w:val="center"/>
          </w:tcPr>
          <w:p w14:paraId="79A56836">
            <w:pPr>
              <w:jc w:val="center"/>
              <w:rPr>
                <w:kern w:val="0"/>
                <w:sz w:val="20"/>
                <w:szCs w:val="20"/>
              </w:rPr>
            </w:pPr>
            <w:r>
              <w:rPr>
                <w:kern w:val="0"/>
                <w:sz w:val="20"/>
                <w:szCs w:val="20"/>
              </w:rPr>
              <w:t>○</w:t>
            </w:r>
          </w:p>
        </w:tc>
      </w:tr>
      <w:tr w14:paraId="25197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1521" w:type="dxa"/>
            <w:vMerge w:val="restart"/>
            <w:vAlign w:val="center"/>
          </w:tcPr>
          <w:p w14:paraId="48C4510B">
            <w:pPr>
              <w:jc w:val="center"/>
              <w:rPr>
                <w:kern w:val="0"/>
                <w:sz w:val="20"/>
                <w:szCs w:val="20"/>
              </w:rPr>
            </w:pPr>
            <w:r>
              <w:rPr>
                <w:rFonts w:hint="eastAsia"/>
                <w:kern w:val="0"/>
                <w:sz w:val="20"/>
                <w:szCs w:val="20"/>
              </w:rPr>
              <w:t>环境适应性</w:t>
            </w:r>
          </w:p>
        </w:tc>
        <w:tc>
          <w:tcPr>
            <w:tcW w:w="2459" w:type="dxa"/>
            <w:vAlign w:val="center"/>
          </w:tcPr>
          <w:p w14:paraId="2E65EB43">
            <w:pPr>
              <w:jc w:val="center"/>
              <w:rPr>
                <w:kern w:val="0"/>
                <w:sz w:val="20"/>
                <w:szCs w:val="20"/>
              </w:rPr>
            </w:pPr>
            <w:r>
              <w:rPr>
                <w:rFonts w:hint="eastAsia"/>
                <w:kern w:val="0"/>
                <w:sz w:val="20"/>
                <w:szCs w:val="20"/>
              </w:rPr>
              <w:t>低温性能</w:t>
            </w:r>
          </w:p>
        </w:tc>
        <w:tc>
          <w:tcPr>
            <w:tcW w:w="918" w:type="dxa"/>
            <w:vAlign w:val="center"/>
          </w:tcPr>
          <w:p w14:paraId="16FF4222">
            <w:pPr>
              <w:jc w:val="center"/>
              <w:rPr>
                <w:kern w:val="0"/>
                <w:sz w:val="20"/>
                <w:szCs w:val="20"/>
              </w:rPr>
            </w:pPr>
            <w:r>
              <w:rPr>
                <w:rFonts w:hint="eastAsia"/>
                <w:kern w:val="0"/>
                <w:sz w:val="20"/>
                <w:szCs w:val="20"/>
              </w:rPr>
              <w:t>6.5.1</w:t>
            </w:r>
          </w:p>
        </w:tc>
        <w:tc>
          <w:tcPr>
            <w:tcW w:w="961" w:type="dxa"/>
            <w:vAlign w:val="center"/>
          </w:tcPr>
          <w:p w14:paraId="5998CF31">
            <w:pPr>
              <w:jc w:val="center"/>
              <w:rPr>
                <w:kern w:val="0"/>
                <w:sz w:val="20"/>
                <w:szCs w:val="20"/>
              </w:rPr>
            </w:pPr>
            <w:r>
              <w:rPr>
                <w:kern w:val="0"/>
                <w:sz w:val="20"/>
                <w:szCs w:val="20"/>
              </w:rPr>
              <w:t>●</w:t>
            </w:r>
          </w:p>
        </w:tc>
        <w:tc>
          <w:tcPr>
            <w:tcW w:w="845" w:type="dxa"/>
            <w:vAlign w:val="center"/>
          </w:tcPr>
          <w:p w14:paraId="56517785">
            <w:pPr>
              <w:jc w:val="center"/>
              <w:rPr>
                <w:kern w:val="0"/>
                <w:sz w:val="20"/>
                <w:szCs w:val="20"/>
              </w:rPr>
            </w:pPr>
            <w:r>
              <w:rPr>
                <w:kern w:val="0"/>
                <w:sz w:val="20"/>
                <w:szCs w:val="20"/>
              </w:rPr>
              <w:t>○</w:t>
            </w:r>
          </w:p>
        </w:tc>
        <w:tc>
          <w:tcPr>
            <w:tcW w:w="881" w:type="dxa"/>
            <w:vAlign w:val="center"/>
          </w:tcPr>
          <w:p w14:paraId="0E6318AA">
            <w:pPr>
              <w:jc w:val="center"/>
              <w:rPr>
                <w:kern w:val="0"/>
                <w:sz w:val="20"/>
                <w:szCs w:val="20"/>
              </w:rPr>
            </w:pPr>
            <w:r>
              <w:rPr>
                <w:kern w:val="0"/>
                <w:sz w:val="20"/>
                <w:szCs w:val="20"/>
              </w:rPr>
              <w:t>○</w:t>
            </w:r>
          </w:p>
        </w:tc>
        <w:tc>
          <w:tcPr>
            <w:tcW w:w="881" w:type="dxa"/>
            <w:vAlign w:val="center"/>
          </w:tcPr>
          <w:p w14:paraId="0AB5E217">
            <w:pPr>
              <w:jc w:val="center"/>
              <w:rPr>
                <w:kern w:val="0"/>
                <w:sz w:val="20"/>
                <w:szCs w:val="20"/>
              </w:rPr>
            </w:pPr>
            <w:r>
              <w:rPr>
                <w:kern w:val="0"/>
                <w:sz w:val="20"/>
                <w:szCs w:val="20"/>
              </w:rPr>
              <w:t>○</w:t>
            </w:r>
          </w:p>
        </w:tc>
        <w:tc>
          <w:tcPr>
            <w:tcW w:w="881" w:type="dxa"/>
            <w:vAlign w:val="center"/>
          </w:tcPr>
          <w:p w14:paraId="7EAF45E6">
            <w:pPr>
              <w:jc w:val="center"/>
              <w:rPr>
                <w:kern w:val="0"/>
                <w:sz w:val="20"/>
                <w:szCs w:val="20"/>
              </w:rPr>
            </w:pPr>
            <w:r>
              <w:rPr>
                <w:kern w:val="0"/>
                <w:sz w:val="20"/>
                <w:szCs w:val="20"/>
              </w:rPr>
              <w:t>○</w:t>
            </w:r>
          </w:p>
        </w:tc>
      </w:tr>
      <w:tr w14:paraId="552FB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1521" w:type="dxa"/>
            <w:vMerge w:val="continue"/>
            <w:vAlign w:val="center"/>
          </w:tcPr>
          <w:p w14:paraId="5CC06D54">
            <w:pPr>
              <w:jc w:val="center"/>
              <w:rPr>
                <w:kern w:val="0"/>
                <w:sz w:val="20"/>
                <w:szCs w:val="20"/>
              </w:rPr>
            </w:pPr>
          </w:p>
        </w:tc>
        <w:tc>
          <w:tcPr>
            <w:tcW w:w="2459" w:type="dxa"/>
            <w:vAlign w:val="center"/>
          </w:tcPr>
          <w:p w14:paraId="5D2F230E">
            <w:pPr>
              <w:jc w:val="center"/>
              <w:rPr>
                <w:kern w:val="0"/>
                <w:sz w:val="20"/>
                <w:szCs w:val="20"/>
              </w:rPr>
            </w:pPr>
            <w:r>
              <w:rPr>
                <w:rFonts w:hint="eastAsia"/>
                <w:kern w:val="0"/>
                <w:sz w:val="20"/>
                <w:szCs w:val="20"/>
              </w:rPr>
              <w:t>高温性能</w:t>
            </w:r>
          </w:p>
        </w:tc>
        <w:tc>
          <w:tcPr>
            <w:tcW w:w="918" w:type="dxa"/>
            <w:vAlign w:val="center"/>
          </w:tcPr>
          <w:p w14:paraId="7460AD5E">
            <w:pPr>
              <w:jc w:val="center"/>
              <w:rPr>
                <w:kern w:val="0"/>
                <w:sz w:val="20"/>
                <w:szCs w:val="20"/>
              </w:rPr>
            </w:pPr>
            <w:r>
              <w:rPr>
                <w:rFonts w:hint="eastAsia"/>
                <w:kern w:val="0"/>
                <w:sz w:val="20"/>
                <w:szCs w:val="20"/>
              </w:rPr>
              <w:t>6.5.2</w:t>
            </w:r>
          </w:p>
        </w:tc>
        <w:tc>
          <w:tcPr>
            <w:tcW w:w="961" w:type="dxa"/>
            <w:vAlign w:val="center"/>
          </w:tcPr>
          <w:p w14:paraId="3BE7F4D2">
            <w:pPr>
              <w:jc w:val="center"/>
              <w:rPr>
                <w:kern w:val="0"/>
                <w:sz w:val="20"/>
                <w:szCs w:val="20"/>
              </w:rPr>
            </w:pPr>
            <w:r>
              <w:rPr>
                <w:kern w:val="0"/>
                <w:sz w:val="20"/>
                <w:szCs w:val="20"/>
              </w:rPr>
              <w:t>●</w:t>
            </w:r>
          </w:p>
        </w:tc>
        <w:tc>
          <w:tcPr>
            <w:tcW w:w="845" w:type="dxa"/>
            <w:vAlign w:val="center"/>
          </w:tcPr>
          <w:p w14:paraId="4CA7F7ED">
            <w:pPr>
              <w:jc w:val="center"/>
              <w:rPr>
                <w:kern w:val="0"/>
                <w:sz w:val="20"/>
                <w:szCs w:val="20"/>
              </w:rPr>
            </w:pPr>
            <w:r>
              <w:rPr>
                <w:kern w:val="0"/>
                <w:sz w:val="20"/>
                <w:szCs w:val="20"/>
              </w:rPr>
              <w:t>○</w:t>
            </w:r>
          </w:p>
        </w:tc>
        <w:tc>
          <w:tcPr>
            <w:tcW w:w="881" w:type="dxa"/>
            <w:vAlign w:val="center"/>
          </w:tcPr>
          <w:p w14:paraId="62DF1E8E">
            <w:pPr>
              <w:jc w:val="center"/>
              <w:rPr>
                <w:kern w:val="0"/>
                <w:sz w:val="20"/>
                <w:szCs w:val="20"/>
              </w:rPr>
            </w:pPr>
            <w:r>
              <w:rPr>
                <w:kern w:val="0"/>
                <w:sz w:val="20"/>
                <w:szCs w:val="20"/>
              </w:rPr>
              <w:t>○</w:t>
            </w:r>
          </w:p>
        </w:tc>
        <w:tc>
          <w:tcPr>
            <w:tcW w:w="881" w:type="dxa"/>
            <w:vAlign w:val="center"/>
          </w:tcPr>
          <w:p w14:paraId="24A41729">
            <w:pPr>
              <w:jc w:val="center"/>
              <w:rPr>
                <w:kern w:val="0"/>
                <w:sz w:val="20"/>
                <w:szCs w:val="20"/>
              </w:rPr>
            </w:pPr>
            <w:r>
              <w:rPr>
                <w:kern w:val="0"/>
                <w:sz w:val="20"/>
                <w:szCs w:val="20"/>
              </w:rPr>
              <w:t>○</w:t>
            </w:r>
          </w:p>
        </w:tc>
        <w:tc>
          <w:tcPr>
            <w:tcW w:w="881" w:type="dxa"/>
            <w:vAlign w:val="center"/>
          </w:tcPr>
          <w:p w14:paraId="4619571C">
            <w:pPr>
              <w:jc w:val="center"/>
              <w:rPr>
                <w:kern w:val="0"/>
                <w:sz w:val="20"/>
                <w:szCs w:val="20"/>
              </w:rPr>
            </w:pPr>
            <w:r>
              <w:rPr>
                <w:kern w:val="0"/>
                <w:sz w:val="20"/>
                <w:szCs w:val="20"/>
              </w:rPr>
              <w:t>○</w:t>
            </w:r>
          </w:p>
        </w:tc>
      </w:tr>
      <w:tr w14:paraId="7CD16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1521" w:type="dxa"/>
            <w:vMerge w:val="restart"/>
            <w:vAlign w:val="center"/>
          </w:tcPr>
          <w:p w14:paraId="229F5350">
            <w:pPr>
              <w:jc w:val="center"/>
              <w:rPr>
                <w:kern w:val="0"/>
                <w:sz w:val="20"/>
                <w:szCs w:val="20"/>
              </w:rPr>
            </w:pPr>
            <w:r>
              <w:rPr>
                <w:rFonts w:hint="eastAsia"/>
                <w:kern w:val="0"/>
                <w:sz w:val="20"/>
                <w:szCs w:val="20"/>
              </w:rPr>
              <w:t>机械性能</w:t>
            </w:r>
          </w:p>
        </w:tc>
        <w:tc>
          <w:tcPr>
            <w:tcW w:w="2459" w:type="dxa"/>
            <w:vAlign w:val="center"/>
          </w:tcPr>
          <w:p w14:paraId="554BE52D">
            <w:pPr>
              <w:jc w:val="center"/>
              <w:rPr>
                <w:kern w:val="0"/>
                <w:sz w:val="20"/>
                <w:szCs w:val="20"/>
              </w:rPr>
            </w:pPr>
            <w:r>
              <w:rPr>
                <w:rFonts w:hint="eastAsia"/>
                <w:kern w:val="0"/>
                <w:sz w:val="20"/>
                <w:szCs w:val="20"/>
              </w:rPr>
              <w:t>振动试验</w:t>
            </w:r>
          </w:p>
        </w:tc>
        <w:tc>
          <w:tcPr>
            <w:tcW w:w="918" w:type="dxa"/>
            <w:vAlign w:val="center"/>
          </w:tcPr>
          <w:p w14:paraId="5BA3C344">
            <w:pPr>
              <w:jc w:val="center"/>
              <w:rPr>
                <w:kern w:val="0"/>
                <w:sz w:val="20"/>
                <w:szCs w:val="20"/>
              </w:rPr>
            </w:pPr>
            <w:r>
              <w:rPr>
                <w:rFonts w:hint="eastAsia"/>
                <w:kern w:val="0"/>
                <w:sz w:val="20"/>
                <w:szCs w:val="20"/>
              </w:rPr>
              <w:t>6.6.1</w:t>
            </w:r>
          </w:p>
        </w:tc>
        <w:tc>
          <w:tcPr>
            <w:tcW w:w="961" w:type="dxa"/>
            <w:vAlign w:val="center"/>
          </w:tcPr>
          <w:p w14:paraId="3486F254">
            <w:pPr>
              <w:jc w:val="center"/>
              <w:rPr>
                <w:kern w:val="0"/>
                <w:sz w:val="20"/>
                <w:szCs w:val="20"/>
              </w:rPr>
            </w:pPr>
            <w:r>
              <w:rPr>
                <w:kern w:val="0"/>
                <w:sz w:val="20"/>
                <w:szCs w:val="20"/>
              </w:rPr>
              <w:t>●</w:t>
            </w:r>
          </w:p>
        </w:tc>
        <w:tc>
          <w:tcPr>
            <w:tcW w:w="845" w:type="dxa"/>
            <w:vAlign w:val="center"/>
          </w:tcPr>
          <w:p w14:paraId="380B4633">
            <w:pPr>
              <w:jc w:val="center"/>
              <w:rPr>
                <w:kern w:val="0"/>
                <w:sz w:val="20"/>
                <w:szCs w:val="20"/>
              </w:rPr>
            </w:pPr>
            <w:r>
              <w:rPr>
                <w:kern w:val="0"/>
                <w:sz w:val="20"/>
                <w:szCs w:val="20"/>
              </w:rPr>
              <w:t>○</w:t>
            </w:r>
          </w:p>
        </w:tc>
        <w:tc>
          <w:tcPr>
            <w:tcW w:w="881" w:type="dxa"/>
            <w:vAlign w:val="center"/>
          </w:tcPr>
          <w:p w14:paraId="2390E985">
            <w:pPr>
              <w:jc w:val="center"/>
              <w:rPr>
                <w:kern w:val="0"/>
                <w:sz w:val="20"/>
                <w:szCs w:val="20"/>
              </w:rPr>
            </w:pPr>
            <w:r>
              <w:rPr>
                <w:kern w:val="0"/>
                <w:sz w:val="20"/>
                <w:szCs w:val="20"/>
              </w:rPr>
              <w:t>○</w:t>
            </w:r>
          </w:p>
        </w:tc>
        <w:tc>
          <w:tcPr>
            <w:tcW w:w="881" w:type="dxa"/>
            <w:vAlign w:val="center"/>
          </w:tcPr>
          <w:p w14:paraId="095B68BD">
            <w:pPr>
              <w:jc w:val="center"/>
              <w:rPr>
                <w:kern w:val="0"/>
                <w:sz w:val="20"/>
                <w:szCs w:val="20"/>
              </w:rPr>
            </w:pPr>
            <w:r>
              <w:rPr>
                <w:kern w:val="0"/>
                <w:sz w:val="20"/>
                <w:szCs w:val="20"/>
              </w:rPr>
              <w:t>○</w:t>
            </w:r>
          </w:p>
        </w:tc>
        <w:tc>
          <w:tcPr>
            <w:tcW w:w="881" w:type="dxa"/>
            <w:vAlign w:val="center"/>
          </w:tcPr>
          <w:p w14:paraId="12CDD0D6">
            <w:pPr>
              <w:jc w:val="center"/>
              <w:rPr>
                <w:kern w:val="0"/>
                <w:sz w:val="20"/>
                <w:szCs w:val="20"/>
              </w:rPr>
            </w:pPr>
            <w:r>
              <w:rPr>
                <w:kern w:val="0"/>
                <w:sz w:val="20"/>
                <w:szCs w:val="20"/>
              </w:rPr>
              <w:t>○</w:t>
            </w:r>
          </w:p>
        </w:tc>
      </w:tr>
      <w:tr w14:paraId="25C841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1521" w:type="dxa"/>
            <w:vMerge w:val="continue"/>
            <w:vAlign w:val="center"/>
          </w:tcPr>
          <w:p w14:paraId="079F216C">
            <w:pPr>
              <w:jc w:val="center"/>
              <w:rPr>
                <w:kern w:val="0"/>
                <w:sz w:val="20"/>
                <w:szCs w:val="20"/>
              </w:rPr>
            </w:pPr>
          </w:p>
        </w:tc>
        <w:tc>
          <w:tcPr>
            <w:tcW w:w="2459" w:type="dxa"/>
            <w:vAlign w:val="center"/>
          </w:tcPr>
          <w:p w14:paraId="7ED1E1A8">
            <w:pPr>
              <w:jc w:val="center"/>
              <w:rPr>
                <w:kern w:val="0"/>
                <w:sz w:val="20"/>
                <w:szCs w:val="20"/>
              </w:rPr>
            </w:pPr>
            <w:r>
              <w:rPr>
                <w:rFonts w:hint="eastAsia"/>
                <w:kern w:val="0"/>
                <w:sz w:val="20"/>
                <w:szCs w:val="20"/>
              </w:rPr>
              <w:t>云台角度抖动量及稳定性试验</w:t>
            </w:r>
          </w:p>
        </w:tc>
        <w:tc>
          <w:tcPr>
            <w:tcW w:w="918" w:type="dxa"/>
            <w:vAlign w:val="center"/>
          </w:tcPr>
          <w:p w14:paraId="54CAD76D">
            <w:pPr>
              <w:jc w:val="center"/>
              <w:rPr>
                <w:kern w:val="0"/>
                <w:sz w:val="20"/>
                <w:szCs w:val="20"/>
              </w:rPr>
            </w:pPr>
            <w:r>
              <w:rPr>
                <w:rFonts w:hint="eastAsia"/>
                <w:kern w:val="0"/>
                <w:sz w:val="20"/>
                <w:szCs w:val="20"/>
              </w:rPr>
              <w:t>6.6.2</w:t>
            </w:r>
          </w:p>
        </w:tc>
        <w:tc>
          <w:tcPr>
            <w:tcW w:w="961" w:type="dxa"/>
            <w:vAlign w:val="center"/>
          </w:tcPr>
          <w:p w14:paraId="04B751EF">
            <w:pPr>
              <w:jc w:val="center"/>
              <w:rPr>
                <w:kern w:val="0"/>
                <w:sz w:val="20"/>
                <w:szCs w:val="20"/>
              </w:rPr>
            </w:pPr>
            <w:r>
              <w:rPr>
                <w:kern w:val="0"/>
                <w:sz w:val="20"/>
                <w:szCs w:val="20"/>
              </w:rPr>
              <w:t>●</w:t>
            </w:r>
          </w:p>
        </w:tc>
        <w:tc>
          <w:tcPr>
            <w:tcW w:w="845" w:type="dxa"/>
            <w:vAlign w:val="center"/>
          </w:tcPr>
          <w:p w14:paraId="07CEEF6E">
            <w:pPr>
              <w:jc w:val="center"/>
              <w:rPr>
                <w:kern w:val="0"/>
                <w:sz w:val="20"/>
                <w:szCs w:val="20"/>
              </w:rPr>
            </w:pPr>
            <w:r>
              <w:rPr>
                <w:kern w:val="0"/>
                <w:sz w:val="20"/>
                <w:szCs w:val="20"/>
              </w:rPr>
              <w:t>○</w:t>
            </w:r>
          </w:p>
        </w:tc>
        <w:tc>
          <w:tcPr>
            <w:tcW w:w="881" w:type="dxa"/>
            <w:vAlign w:val="center"/>
          </w:tcPr>
          <w:p w14:paraId="28C40BE1">
            <w:pPr>
              <w:jc w:val="center"/>
              <w:rPr>
                <w:kern w:val="0"/>
                <w:sz w:val="20"/>
                <w:szCs w:val="20"/>
              </w:rPr>
            </w:pPr>
            <w:r>
              <w:rPr>
                <w:kern w:val="0"/>
                <w:sz w:val="20"/>
                <w:szCs w:val="20"/>
              </w:rPr>
              <w:t>○</w:t>
            </w:r>
          </w:p>
        </w:tc>
        <w:tc>
          <w:tcPr>
            <w:tcW w:w="881" w:type="dxa"/>
            <w:vAlign w:val="center"/>
          </w:tcPr>
          <w:p w14:paraId="04088411">
            <w:pPr>
              <w:jc w:val="center"/>
              <w:rPr>
                <w:kern w:val="0"/>
                <w:sz w:val="20"/>
                <w:szCs w:val="20"/>
              </w:rPr>
            </w:pPr>
            <w:r>
              <w:rPr>
                <w:kern w:val="0"/>
                <w:sz w:val="20"/>
                <w:szCs w:val="20"/>
              </w:rPr>
              <w:t>○</w:t>
            </w:r>
          </w:p>
        </w:tc>
        <w:tc>
          <w:tcPr>
            <w:tcW w:w="881" w:type="dxa"/>
            <w:vAlign w:val="center"/>
          </w:tcPr>
          <w:p w14:paraId="55BF4509">
            <w:pPr>
              <w:jc w:val="center"/>
              <w:rPr>
                <w:kern w:val="0"/>
                <w:sz w:val="20"/>
                <w:szCs w:val="20"/>
              </w:rPr>
            </w:pPr>
            <w:r>
              <w:rPr>
                <w:kern w:val="0"/>
                <w:sz w:val="20"/>
                <w:szCs w:val="20"/>
              </w:rPr>
              <w:t>○</w:t>
            </w:r>
          </w:p>
        </w:tc>
      </w:tr>
    </w:tbl>
    <w:p w14:paraId="0E7F5CA2">
      <w:pPr>
        <w:jc w:val="center"/>
      </w:pPr>
    </w:p>
    <w:p w14:paraId="471164E7">
      <w:pPr>
        <w:pStyle w:val="452"/>
        <w:numPr>
          <w:ilvl w:val="0"/>
          <w:numId w:val="0"/>
        </w:numPr>
        <w:ind w:left="425"/>
        <w:rPr>
          <w:rFonts w:cs="Times New Roman"/>
          <w:color w:val="auto"/>
        </w:rPr>
      </w:pPr>
      <w:r>
        <w:rPr>
          <w:rFonts w:cs="Times New Roman"/>
          <w:color w:val="auto"/>
        </w:rPr>
        <w:t>备注：</w:t>
      </w:r>
    </w:p>
    <w:p w14:paraId="0158D8A6">
      <w:pPr>
        <w:pStyle w:val="452"/>
        <w:numPr>
          <w:ilvl w:val="0"/>
          <w:numId w:val="33"/>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●为必须开展的试验项目；</w:t>
      </w:r>
      <w:r>
        <w:rPr>
          <w:rFonts w:cs="Times New Roman"/>
          <w:b/>
          <w:color w:val="auto"/>
          <w:sz w:val="18"/>
          <w:szCs w:val="18"/>
        </w:rPr>
        <w:t>○</w:t>
      </w:r>
      <w:r>
        <w:rPr>
          <w:rFonts w:cs="Times New Roman"/>
          <w:color w:val="auto"/>
          <w:sz w:val="18"/>
          <w:szCs w:val="18"/>
        </w:rPr>
        <w:t>为选做试验项目（由项目单位决定试验方案）；</w:t>
      </w:r>
      <w:r>
        <w:rPr>
          <w:rFonts w:cs="Times New Roman"/>
          <w:b/>
          <w:color w:val="auto"/>
          <w:sz w:val="18"/>
          <w:szCs w:val="18"/>
        </w:rPr>
        <w:t>×</w:t>
      </w:r>
      <w:r>
        <w:rPr>
          <w:rFonts w:cs="Times New Roman"/>
          <w:color w:val="auto"/>
          <w:sz w:val="18"/>
          <w:szCs w:val="18"/>
        </w:rPr>
        <w:t>为无需开展的试验项目。</w:t>
      </w:r>
    </w:p>
    <w:p w14:paraId="487C0CE7">
      <w:pPr>
        <w:pStyle w:val="452"/>
        <w:numPr>
          <w:ilvl w:val="0"/>
          <w:numId w:val="33"/>
        </w:numPr>
        <w:tabs>
          <w:tab w:val="clear" w:pos="900"/>
        </w:tabs>
        <w:spacing w:before="0" w:after="0" w:line="240" w:lineRule="auto"/>
        <w:ind w:left="780" w:hanging="360"/>
        <w:rPr>
          <w:rFonts w:cs="Times New Roman"/>
          <w:color w:val="auto"/>
        </w:rPr>
      </w:pPr>
      <w:r>
        <w:rPr>
          <w:rFonts w:cs="Times New Roman"/>
          <w:color w:val="auto"/>
          <w:sz w:val="18"/>
          <w:szCs w:val="18"/>
        </w:rPr>
        <w:t>第三方试验由具备相应试验项目资质的机构开展。</w:t>
      </w:r>
    </w:p>
    <w:p w14:paraId="5A07E763">
      <w:pPr>
        <w:pStyle w:val="452"/>
        <w:numPr>
          <w:ilvl w:val="0"/>
          <w:numId w:val="33"/>
        </w:numPr>
        <w:tabs>
          <w:tab w:val="clear" w:pos="900"/>
        </w:tabs>
        <w:spacing w:before="0" w:after="0" w:line="240" w:lineRule="auto"/>
        <w:ind w:left="780" w:hanging="360"/>
        <w:rPr>
          <w:rFonts w:cs="Times New Roman"/>
          <w:color w:val="auto"/>
        </w:rPr>
      </w:pPr>
      <w:r>
        <w:rPr>
          <w:rFonts w:cs="Times New Roman"/>
          <w:color w:val="auto"/>
          <w:sz w:val="18"/>
          <w:szCs w:val="18"/>
        </w:rPr>
        <w:t>出厂试验由供货方开展。</w:t>
      </w:r>
    </w:p>
    <w:p w14:paraId="7C44B4BA">
      <w:pPr>
        <w:adjustRightInd w:val="0"/>
        <w:snapToGrid w:val="0"/>
        <w:spacing w:line="360" w:lineRule="auto"/>
        <w:ind w:firstLine="420" w:firstLineChars="200"/>
      </w:pPr>
    </w:p>
    <w:bookmarkEnd w:id="97"/>
    <w:bookmarkEnd w:id="98"/>
    <w:bookmarkEnd w:id="99"/>
    <w:bookmarkEnd w:id="100"/>
    <w:bookmarkEnd w:id="101"/>
    <w:p w14:paraId="72D635C2">
      <w:pPr>
        <w:spacing w:line="480" w:lineRule="auto"/>
        <w:outlineLvl w:val="0"/>
        <w:rPr>
          <w:rFonts w:eastAsia="黑体"/>
          <w:b/>
          <w:bCs/>
          <w:szCs w:val="21"/>
        </w:rPr>
      </w:pPr>
      <w:bookmarkStart w:id="102" w:name="_Toc27494"/>
      <w:bookmarkStart w:id="103" w:name="_Toc9628"/>
      <w:bookmarkStart w:id="104" w:name="_Toc76025498"/>
      <w:bookmarkStart w:id="105" w:name="_Toc5484"/>
      <w:r>
        <w:rPr>
          <w:rFonts w:eastAsia="黑体"/>
          <w:b/>
          <w:bCs/>
          <w:szCs w:val="21"/>
        </w:rPr>
        <w:t>8 技术联络、技术培训及售后服务</w:t>
      </w:r>
      <w:bookmarkEnd w:id="102"/>
      <w:bookmarkEnd w:id="103"/>
      <w:bookmarkEnd w:id="104"/>
      <w:bookmarkEnd w:id="105"/>
    </w:p>
    <w:p w14:paraId="1ED94CCA">
      <w:pPr>
        <w:pStyle w:val="3"/>
        <w:spacing w:before="0" w:after="0" w:line="360" w:lineRule="auto"/>
        <w:rPr>
          <w:rFonts w:ascii="Times New Roman" w:hAnsi="Times New Roman" w:eastAsia="黑体"/>
          <w:b w:val="0"/>
          <w:bCs/>
          <w:szCs w:val="21"/>
        </w:rPr>
      </w:pPr>
      <w:bookmarkStart w:id="106" w:name="_Toc76025499"/>
      <w:bookmarkStart w:id="107" w:name="_Toc14104"/>
      <w:bookmarkStart w:id="108" w:name="_Toc2212"/>
      <w:bookmarkStart w:id="109" w:name="_Toc11986"/>
      <w:r>
        <w:rPr>
          <w:rFonts w:hint="eastAsia" w:ascii="Times New Roman" w:hAnsi="Times New Roman" w:eastAsia="黑体"/>
          <w:b w:val="0"/>
          <w:bCs/>
          <w:szCs w:val="21"/>
        </w:rPr>
        <w:t>8.1 技术培训</w:t>
      </w:r>
      <w:bookmarkEnd w:id="106"/>
      <w:bookmarkEnd w:id="107"/>
      <w:bookmarkEnd w:id="108"/>
      <w:bookmarkEnd w:id="109"/>
    </w:p>
    <w:p w14:paraId="116397DC">
      <w:pPr>
        <w:spacing w:line="360" w:lineRule="auto"/>
        <w:ind w:firstLine="420" w:firstLineChars="200"/>
        <w:rPr>
          <w:szCs w:val="21"/>
        </w:rPr>
      </w:pPr>
      <w:r>
        <w:rPr>
          <w:rFonts w:hint="eastAsia"/>
          <w:szCs w:val="21"/>
        </w:rPr>
        <w:t>8.1.1 投标方应对用户提供技术培训和操作指导，投标方负责培训全部费用。</w:t>
      </w:r>
    </w:p>
    <w:p w14:paraId="34C5886C">
      <w:pPr>
        <w:spacing w:line="360" w:lineRule="auto"/>
        <w:ind w:firstLine="420" w:firstLineChars="200"/>
        <w:rPr>
          <w:szCs w:val="21"/>
        </w:rPr>
      </w:pPr>
      <w:r>
        <w:rPr>
          <w:rFonts w:hint="eastAsia"/>
          <w:szCs w:val="21"/>
        </w:rPr>
        <w:t>8.1.2 投标方提供培训应分为工厂培训和现场培训两种。</w:t>
      </w:r>
    </w:p>
    <w:p w14:paraId="190F653D">
      <w:pPr>
        <w:spacing w:line="360" w:lineRule="auto"/>
        <w:ind w:firstLine="420" w:firstLineChars="200"/>
        <w:rPr>
          <w:szCs w:val="21"/>
        </w:rPr>
      </w:pPr>
      <w:r>
        <w:rPr>
          <w:rFonts w:hint="eastAsia"/>
          <w:szCs w:val="21"/>
        </w:rPr>
        <w:t>8.1.3 投标方提供培训教师、培训安排、培训教材及培训设备。</w:t>
      </w:r>
    </w:p>
    <w:p w14:paraId="7EAB8C01">
      <w:pPr>
        <w:spacing w:line="360" w:lineRule="auto"/>
        <w:ind w:firstLine="420" w:firstLineChars="200"/>
        <w:rPr>
          <w:szCs w:val="21"/>
        </w:rPr>
      </w:pPr>
      <w:r>
        <w:rPr>
          <w:rFonts w:hint="eastAsia"/>
          <w:szCs w:val="21"/>
        </w:rPr>
        <w:t>8.1.4 投标方应设计专门的培训课程，重点包括装置的整体使用方法，数据处理，常见故障排查处理等。培训内容包括以上但不限于此。</w:t>
      </w:r>
    </w:p>
    <w:p w14:paraId="16270112">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7160C902">
      <w:pPr>
        <w:spacing w:line="360" w:lineRule="auto"/>
        <w:ind w:firstLine="420" w:firstLineChars="200"/>
        <w:rPr>
          <w:szCs w:val="21"/>
        </w:rPr>
      </w:pPr>
      <w:r>
        <w:rPr>
          <w:rFonts w:hint="eastAsia"/>
          <w:szCs w:val="21"/>
        </w:rPr>
        <w:t>8.1.6 培训人员每次不少3人。</w:t>
      </w:r>
    </w:p>
    <w:p w14:paraId="290C37C8">
      <w:pPr>
        <w:pStyle w:val="3"/>
        <w:spacing w:before="0" w:after="0" w:line="360" w:lineRule="auto"/>
        <w:rPr>
          <w:rFonts w:ascii="Times New Roman" w:hAnsi="Times New Roman" w:eastAsia="黑体"/>
          <w:b w:val="0"/>
          <w:bCs/>
          <w:szCs w:val="21"/>
        </w:rPr>
      </w:pPr>
      <w:bookmarkStart w:id="110" w:name="_Toc11559"/>
      <w:bookmarkStart w:id="111" w:name="_Toc76025500"/>
      <w:bookmarkStart w:id="112" w:name="_Toc23280"/>
      <w:bookmarkStart w:id="113" w:name="_Toc16410"/>
      <w:r>
        <w:rPr>
          <w:rFonts w:hint="eastAsia" w:ascii="Times New Roman" w:hAnsi="Times New Roman" w:eastAsia="黑体"/>
          <w:b w:val="0"/>
          <w:bCs/>
          <w:szCs w:val="21"/>
        </w:rPr>
        <w:t>8.2 现场及远程技术服务</w:t>
      </w:r>
      <w:bookmarkEnd w:id="110"/>
      <w:bookmarkEnd w:id="111"/>
      <w:bookmarkEnd w:id="112"/>
      <w:bookmarkEnd w:id="113"/>
    </w:p>
    <w:p w14:paraId="54C4B66B">
      <w:pPr>
        <w:spacing w:line="360" w:lineRule="auto"/>
        <w:ind w:firstLine="420" w:firstLineChars="200"/>
        <w:rPr>
          <w:szCs w:val="21"/>
        </w:rPr>
      </w:pPr>
      <w:r>
        <w:rPr>
          <w:rFonts w:hint="eastAsia"/>
          <w:szCs w:val="21"/>
        </w:rPr>
        <w:t>8.2.1 投标方派出的工程师，在设备的安装接线、调试和测试期间，应负责指导。</w:t>
      </w:r>
    </w:p>
    <w:p w14:paraId="1996FAA5">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501A4244">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1A6CF8A2">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618B0EBB">
      <w:pPr>
        <w:pStyle w:val="3"/>
        <w:spacing w:before="0" w:after="0" w:line="360" w:lineRule="auto"/>
        <w:rPr>
          <w:rFonts w:ascii="Times New Roman" w:hAnsi="Times New Roman" w:eastAsia="黑体"/>
          <w:b w:val="0"/>
          <w:bCs/>
          <w:szCs w:val="21"/>
        </w:rPr>
      </w:pPr>
      <w:bookmarkStart w:id="114" w:name="_Toc76025501"/>
      <w:bookmarkStart w:id="115" w:name="_Toc15857"/>
      <w:bookmarkStart w:id="116" w:name="_Toc3146"/>
      <w:bookmarkStart w:id="117" w:name="_Toc26710"/>
      <w:r>
        <w:rPr>
          <w:rFonts w:ascii="Times New Roman" w:hAnsi="Times New Roman" w:eastAsia="黑体"/>
          <w:b w:val="0"/>
          <w:bCs/>
          <w:szCs w:val="21"/>
        </w:rPr>
        <w:t xml:space="preserve">8.3 </w:t>
      </w:r>
      <w:r>
        <w:rPr>
          <w:rFonts w:hint="eastAsia" w:ascii="Times New Roman" w:hAnsi="Times New Roman" w:eastAsia="黑体"/>
          <w:b w:val="0"/>
          <w:bCs/>
          <w:szCs w:val="21"/>
        </w:rPr>
        <w:t>售后服务</w:t>
      </w:r>
      <w:bookmarkEnd w:id="114"/>
      <w:bookmarkEnd w:id="115"/>
      <w:bookmarkEnd w:id="116"/>
      <w:bookmarkEnd w:id="117"/>
    </w:p>
    <w:p w14:paraId="2EC0F865">
      <w:pPr>
        <w:spacing w:line="360" w:lineRule="auto"/>
        <w:ind w:firstLine="420" w:firstLineChars="200"/>
        <w:rPr>
          <w:szCs w:val="21"/>
        </w:rPr>
      </w:pPr>
      <w:r>
        <w:rPr>
          <w:rFonts w:hint="eastAsia"/>
          <w:szCs w:val="21"/>
        </w:rPr>
        <w:t>8.3.1 设备的质保期为现场验收合格后</w:t>
      </w:r>
      <w:r>
        <w:rPr>
          <w:szCs w:val="21"/>
        </w:rPr>
        <w:t>12</w:t>
      </w:r>
      <w:r>
        <w:rPr>
          <w:rFonts w:hint="eastAsia"/>
          <w:szCs w:val="21"/>
        </w:rPr>
        <w:t>个月内。设备在规定的质保期内，发生缺陷，或者由于设计错误、材料、工艺、制造、装配、发送等原因造成的损坏，或是不满足合同的要求，招标方以书面方式同事投标方，投标方应立即免费更换这些有损坏和缺陷的设备。</w:t>
      </w:r>
    </w:p>
    <w:p w14:paraId="3C061A13">
      <w:pPr>
        <w:spacing w:line="360" w:lineRule="auto"/>
        <w:ind w:firstLine="420" w:firstLineChars="200"/>
        <w:rPr>
          <w:szCs w:val="21"/>
        </w:rPr>
      </w:pPr>
      <w:r>
        <w:rPr>
          <w:rFonts w:hint="eastAsia"/>
          <w:szCs w:val="21"/>
        </w:rPr>
        <w:t>8.3.2 在接到招标方通知后，投标方虽努力改进，但仍不满足相关要求，招标方可处理或更换这些设备，由此引起的一切费用由投标方承担。</w:t>
      </w:r>
    </w:p>
    <w:p w14:paraId="4D95AF90">
      <w:pPr>
        <w:spacing w:line="360" w:lineRule="auto"/>
        <w:ind w:firstLine="420" w:firstLineChars="200"/>
        <w:rPr>
          <w:szCs w:val="21"/>
        </w:rPr>
      </w:pPr>
      <w:r>
        <w:rPr>
          <w:rFonts w:hint="eastAsia"/>
          <w:szCs w:val="21"/>
        </w:rPr>
        <w:t>8.3.</w:t>
      </w:r>
      <w:r>
        <w:rPr>
          <w:rFonts w:hint="eastAsia"/>
          <w:szCs w:val="21"/>
          <w:lang w:val="en-US" w:eastAsia="zh-CN"/>
        </w:rPr>
        <w:t>3</w:t>
      </w:r>
      <w:bookmarkStart w:id="180" w:name="_GoBack"/>
      <w:bookmarkEnd w:id="180"/>
      <w:r>
        <w:rPr>
          <w:rFonts w:hint="eastAsia"/>
          <w:szCs w:val="21"/>
        </w:rPr>
        <w:t xml:space="preserve"> 投标单位应提高售后处理服务水平和质量，质保期内在接到使用单位报障后，应在15日内处理完毕，确保使用单位策略按时完成。</w:t>
      </w:r>
    </w:p>
    <w:p w14:paraId="027D1144">
      <w:pPr>
        <w:spacing w:line="480" w:lineRule="auto"/>
        <w:outlineLvl w:val="0"/>
        <w:rPr>
          <w:rFonts w:eastAsia="黑体"/>
          <w:b/>
          <w:bCs/>
          <w:szCs w:val="21"/>
        </w:rPr>
      </w:pPr>
      <w:bookmarkStart w:id="118" w:name="_Toc20285"/>
      <w:bookmarkStart w:id="119" w:name="_Toc76025502"/>
      <w:bookmarkStart w:id="120" w:name="_Toc356999080"/>
      <w:bookmarkStart w:id="121" w:name="_Toc347154882"/>
      <w:bookmarkStart w:id="122" w:name="_Toc26145"/>
      <w:bookmarkStart w:id="123" w:name="_Toc28748"/>
      <w:bookmarkStart w:id="124" w:name="_Toc265313600"/>
      <w:r>
        <w:rPr>
          <w:rFonts w:eastAsia="黑体"/>
          <w:b/>
          <w:bCs/>
          <w:szCs w:val="21"/>
        </w:rPr>
        <w:t>9 标志、包装、运输、贮存</w:t>
      </w:r>
      <w:bookmarkEnd w:id="118"/>
      <w:bookmarkEnd w:id="119"/>
      <w:bookmarkEnd w:id="120"/>
      <w:bookmarkEnd w:id="121"/>
      <w:bookmarkEnd w:id="122"/>
      <w:bookmarkEnd w:id="123"/>
    </w:p>
    <w:bookmarkEnd w:id="124"/>
    <w:p w14:paraId="130C0B0A">
      <w:pPr>
        <w:pStyle w:val="3"/>
        <w:spacing w:before="0" w:after="0" w:line="360" w:lineRule="auto"/>
        <w:rPr>
          <w:rFonts w:ascii="Times New Roman" w:hAnsi="Times New Roman" w:eastAsia="黑体"/>
          <w:b w:val="0"/>
          <w:bCs/>
          <w:szCs w:val="21"/>
        </w:rPr>
      </w:pPr>
      <w:bookmarkStart w:id="125" w:name="_Toc276492436"/>
      <w:bookmarkStart w:id="126" w:name="_Toc322681878"/>
      <w:bookmarkStart w:id="127" w:name="_Toc921"/>
      <w:bookmarkStart w:id="128" w:name="_Toc20607"/>
      <w:bookmarkStart w:id="129" w:name="_Toc76025503"/>
      <w:bookmarkStart w:id="130" w:name="_Toc276490918"/>
      <w:bookmarkStart w:id="131" w:name="_Toc66780580"/>
      <w:bookmarkStart w:id="132" w:name="_Toc276301528"/>
      <w:bookmarkStart w:id="133" w:name="_Toc282433760"/>
      <w:bookmarkStart w:id="134" w:name="_Toc279695209"/>
      <w:bookmarkStart w:id="135" w:name="_Toc282993364"/>
      <w:bookmarkStart w:id="136" w:name="_Toc22883"/>
      <w:bookmarkStart w:id="137" w:name="_Toc387609309"/>
      <w:bookmarkStart w:id="138" w:name="_Toc441508857"/>
      <w:r>
        <w:rPr>
          <w:rFonts w:ascii="Times New Roman" w:hAnsi="Times New Roman" w:eastAsia="黑体"/>
          <w:b w:val="0"/>
          <w:bCs/>
          <w:szCs w:val="21"/>
        </w:rPr>
        <w:t xml:space="preserve">9.1 </w:t>
      </w:r>
      <w:r>
        <w:rPr>
          <w:rFonts w:hint="eastAsia" w:ascii="Times New Roman" w:hAnsi="Times New Roman" w:eastAsia="黑体"/>
          <w:b w:val="0"/>
          <w:bCs/>
          <w:szCs w:val="21"/>
        </w:rPr>
        <w:t>包装</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102DFD">
      <w:pPr>
        <w:adjustRightInd w:val="0"/>
        <w:snapToGrid w:val="0"/>
        <w:spacing w:line="360" w:lineRule="auto"/>
        <w:ind w:firstLine="420" w:firstLineChars="200"/>
        <w:rPr>
          <w:szCs w:val="21"/>
        </w:rPr>
      </w:pPr>
      <w:bookmarkStart w:id="139" w:name="_Toc276301529"/>
      <w:bookmarkStart w:id="140" w:name="_Toc276490919"/>
      <w:bookmarkStart w:id="141" w:name="_Toc276492437"/>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17C12BF6">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68C0492B">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33C3D76E">
      <w:pPr>
        <w:adjustRightInd w:val="0"/>
        <w:snapToGrid w:val="0"/>
        <w:spacing w:line="360" w:lineRule="auto"/>
        <w:ind w:firstLine="630" w:firstLineChars="300"/>
        <w:rPr>
          <w:szCs w:val="21"/>
        </w:rPr>
      </w:pPr>
      <w:r>
        <w:rPr>
          <w:rFonts w:hint="eastAsia"/>
          <w:szCs w:val="21"/>
        </w:rPr>
        <w:t>a.合同号</w:t>
      </w:r>
      <w:r>
        <w:rPr>
          <w:szCs w:val="21"/>
        </w:rPr>
        <w:t>；</w:t>
      </w:r>
    </w:p>
    <w:p w14:paraId="7B2C6482">
      <w:pPr>
        <w:adjustRightInd w:val="0"/>
        <w:snapToGrid w:val="0"/>
        <w:spacing w:line="360" w:lineRule="auto"/>
        <w:ind w:firstLine="630" w:firstLineChars="300"/>
        <w:rPr>
          <w:szCs w:val="21"/>
        </w:rPr>
      </w:pPr>
      <w:r>
        <w:rPr>
          <w:rFonts w:hint="eastAsia"/>
          <w:szCs w:val="21"/>
        </w:rPr>
        <w:t>d.收货人及代码</w:t>
      </w:r>
      <w:r>
        <w:rPr>
          <w:szCs w:val="21"/>
        </w:rPr>
        <w:t>；</w:t>
      </w:r>
    </w:p>
    <w:p w14:paraId="7118CF5A">
      <w:pPr>
        <w:adjustRightInd w:val="0"/>
        <w:snapToGrid w:val="0"/>
        <w:spacing w:line="360" w:lineRule="auto"/>
        <w:ind w:firstLine="630" w:firstLineChars="300"/>
        <w:rPr>
          <w:szCs w:val="21"/>
        </w:rPr>
      </w:pPr>
      <w:r>
        <w:rPr>
          <w:rFonts w:hint="eastAsia"/>
          <w:szCs w:val="21"/>
        </w:rPr>
        <w:t>e.设备名称和项目号</w:t>
      </w:r>
      <w:r>
        <w:rPr>
          <w:szCs w:val="21"/>
        </w:rPr>
        <w:t>；</w:t>
      </w:r>
    </w:p>
    <w:p w14:paraId="5FD7A0E9">
      <w:pPr>
        <w:adjustRightInd w:val="0"/>
        <w:snapToGrid w:val="0"/>
        <w:spacing w:line="360" w:lineRule="auto"/>
        <w:ind w:firstLine="630" w:firstLineChars="300"/>
        <w:rPr>
          <w:szCs w:val="21"/>
        </w:rPr>
      </w:pPr>
      <w:r>
        <w:rPr>
          <w:rFonts w:hint="eastAsia"/>
          <w:szCs w:val="21"/>
        </w:rPr>
        <w:t>f.箱号</w:t>
      </w:r>
      <w:r>
        <w:rPr>
          <w:szCs w:val="21"/>
        </w:rPr>
        <w:t>；</w:t>
      </w:r>
    </w:p>
    <w:p w14:paraId="6E44F62A">
      <w:pPr>
        <w:adjustRightInd w:val="0"/>
        <w:snapToGrid w:val="0"/>
        <w:spacing w:line="360" w:lineRule="auto"/>
        <w:ind w:firstLine="630" w:firstLineChars="300"/>
        <w:rPr>
          <w:szCs w:val="21"/>
        </w:rPr>
      </w:pPr>
      <w:r>
        <w:rPr>
          <w:rFonts w:hint="eastAsia"/>
          <w:szCs w:val="21"/>
        </w:rPr>
        <w:t>g.毛重与净重</w:t>
      </w:r>
      <w:r>
        <w:rPr>
          <w:szCs w:val="21"/>
        </w:rPr>
        <w:t>；</w:t>
      </w:r>
    </w:p>
    <w:p w14:paraId="66A49C32">
      <w:pPr>
        <w:adjustRightInd w:val="0"/>
        <w:snapToGrid w:val="0"/>
        <w:spacing w:line="360" w:lineRule="auto"/>
        <w:ind w:firstLine="630" w:firstLineChars="300"/>
        <w:rPr>
          <w:szCs w:val="21"/>
        </w:rPr>
      </w:pPr>
      <w:r>
        <w:rPr>
          <w:rFonts w:hint="eastAsia"/>
          <w:szCs w:val="21"/>
        </w:rPr>
        <w:t>h.外形尺寸</w:t>
      </w:r>
      <w:r>
        <w:rPr>
          <w:szCs w:val="21"/>
        </w:rPr>
        <w:t>；</w:t>
      </w:r>
    </w:p>
    <w:p w14:paraId="54091C94">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7C9A419D">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44D41ACC">
      <w:pPr>
        <w:adjustRightInd w:val="0"/>
        <w:snapToGrid w:val="0"/>
        <w:spacing w:line="360" w:lineRule="auto"/>
        <w:ind w:firstLine="630" w:firstLineChars="300"/>
        <w:rPr>
          <w:szCs w:val="21"/>
        </w:rPr>
      </w:pPr>
      <w:r>
        <w:rPr>
          <w:rFonts w:hint="eastAsia"/>
          <w:szCs w:val="21"/>
        </w:rPr>
        <w:t>a.合同号</w:t>
      </w:r>
      <w:r>
        <w:rPr>
          <w:szCs w:val="21"/>
        </w:rPr>
        <w:t>；</w:t>
      </w:r>
    </w:p>
    <w:p w14:paraId="1814DA34">
      <w:pPr>
        <w:adjustRightInd w:val="0"/>
        <w:snapToGrid w:val="0"/>
        <w:spacing w:line="360" w:lineRule="auto"/>
        <w:ind w:firstLine="630" w:firstLineChars="300"/>
        <w:rPr>
          <w:szCs w:val="21"/>
        </w:rPr>
      </w:pPr>
      <w:r>
        <w:rPr>
          <w:rFonts w:hint="eastAsia"/>
          <w:szCs w:val="21"/>
        </w:rPr>
        <w:t>b.收货人</w:t>
      </w:r>
      <w:r>
        <w:rPr>
          <w:szCs w:val="21"/>
        </w:rPr>
        <w:t>；</w:t>
      </w:r>
    </w:p>
    <w:p w14:paraId="7303CB6A">
      <w:pPr>
        <w:adjustRightInd w:val="0"/>
        <w:snapToGrid w:val="0"/>
        <w:spacing w:line="360" w:lineRule="auto"/>
        <w:ind w:firstLine="630" w:firstLineChars="300"/>
        <w:rPr>
          <w:szCs w:val="21"/>
        </w:rPr>
      </w:pPr>
      <w:r>
        <w:rPr>
          <w:rFonts w:hint="eastAsia"/>
          <w:szCs w:val="21"/>
        </w:rPr>
        <w:t>c.目的地</w:t>
      </w:r>
      <w:r>
        <w:rPr>
          <w:szCs w:val="21"/>
        </w:rPr>
        <w:t>；</w:t>
      </w:r>
    </w:p>
    <w:p w14:paraId="739F8921">
      <w:pPr>
        <w:adjustRightInd w:val="0"/>
        <w:snapToGrid w:val="0"/>
        <w:spacing w:line="360" w:lineRule="auto"/>
        <w:ind w:firstLine="630" w:firstLineChars="300"/>
        <w:rPr>
          <w:szCs w:val="21"/>
        </w:rPr>
      </w:pPr>
      <w:r>
        <w:rPr>
          <w:rFonts w:hint="eastAsia"/>
          <w:szCs w:val="21"/>
        </w:rPr>
        <w:t>d.毛重</w:t>
      </w:r>
      <w:r>
        <w:rPr>
          <w:szCs w:val="21"/>
        </w:rPr>
        <w:t>；</w:t>
      </w:r>
    </w:p>
    <w:p w14:paraId="4A5CBF48">
      <w:pPr>
        <w:adjustRightInd w:val="0"/>
        <w:snapToGrid w:val="0"/>
        <w:spacing w:line="360" w:lineRule="auto"/>
        <w:ind w:firstLine="630" w:firstLineChars="300"/>
        <w:rPr>
          <w:szCs w:val="21"/>
        </w:rPr>
      </w:pPr>
      <w:r>
        <w:rPr>
          <w:rFonts w:hint="eastAsia"/>
          <w:szCs w:val="21"/>
        </w:rPr>
        <w:t>e.箱号。</w:t>
      </w:r>
    </w:p>
    <w:p w14:paraId="63231694">
      <w:pPr>
        <w:adjustRightInd w:val="0"/>
        <w:snapToGrid w:val="0"/>
        <w:spacing w:line="360" w:lineRule="auto"/>
        <w:ind w:firstLine="420" w:firstLineChars="200"/>
        <w:rPr>
          <w:szCs w:val="21"/>
        </w:rPr>
      </w:pPr>
      <w:r>
        <w:rPr>
          <w:rFonts w:hint="eastAsia"/>
          <w:szCs w:val="21"/>
        </w:rPr>
        <w:t>4）招投标双方应在合同中明确规定系统各部件的保管期应在合同中明确规定。</w:t>
      </w:r>
    </w:p>
    <w:p w14:paraId="54261B68">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54F65758">
      <w:pPr>
        <w:adjustRightInd w:val="0"/>
        <w:snapToGrid w:val="0"/>
        <w:spacing w:line="360" w:lineRule="auto"/>
        <w:ind w:firstLine="630" w:firstLineChars="300"/>
        <w:rPr>
          <w:szCs w:val="21"/>
        </w:rPr>
      </w:pPr>
      <w:r>
        <w:rPr>
          <w:rFonts w:hint="eastAsia"/>
          <w:szCs w:val="21"/>
        </w:rPr>
        <w:t>a.设备名称</w:t>
      </w:r>
      <w:r>
        <w:rPr>
          <w:szCs w:val="21"/>
        </w:rPr>
        <w:t>；</w:t>
      </w:r>
    </w:p>
    <w:p w14:paraId="0981C0C2">
      <w:pPr>
        <w:adjustRightInd w:val="0"/>
        <w:snapToGrid w:val="0"/>
        <w:spacing w:line="360" w:lineRule="auto"/>
        <w:ind w:firstLine="630" w:firstLineChars="300"/>
        <w:rPr>
          <w:szCs w:val="21"/>
        </w:rPr>
      </w:pPr>
      <w:r>
        <w:rPr>
          <w:rFonts w:hint="eastAsia"/>
          <w:szCs w:val="21"/>
        </w:rPr>
        <w:t>b.件数、件号、重量</w:t>
      </w:r>
      <w:r>
        <w:rPr>
          <w:szCs w:val="21"/>
        </w:rPr>
        <w:t>；</w:t>
      </w:r>
    </w:p>
    <w:p w14:paraId="51CC9AA2">
      <w:pPr>
        <w:adjustRightInd w:val="0"/>
        <w:snapToGrid w:val="0"/>
        <w:spacing w:line="360" w:lineRule="auto"/>
        <w:ind w:firstLine="630" w:firstLineChars="300"/>
        <w:rPr>
          <w:szCs w:val="21"/>
        </w:rPr>
      </w:pPr>
      <w:r>
        <w:rPr>
          <w:rFonts w:hint="eastAsia"/>
          <w:szCs w:val="21"/>
        </w:rPr>
        <w:t>c.合同号</w:t>
      </w:r>
      <w:r>
        <w:rPr>
          <w:szCs w:val="21"/>
        </w:rPr>
        <w:t>；</w:t>
      </w:r>
    </w:p>
    <w:p w14:paraId="31550F9F">
      <w:pPr>
        <w:adjustRightInd w:val="0"/>
        <w:snapToGrid w:val="0"/>
        <w:spacing w:line="360" w:lineRule="auto"/>
        <w:ind w:firstLine="630" w:firstLineChars="300"/>
        <w:rPr>
          <w:szCs w:val="21"/>
        </w:rPr>
      </w:pPr>
      <w:r>
        <w:rPr>
          <w:rFonts w:hint="eastAsia"/>
          <w:szCs w:val="21"/>
        </w:rPr>
        <w:t>d.货运单号</w:t>
      </w:r>
      <w:r>
        <w:rPr>
          <w:szCs w:val="21"/>
        </w:rPr>
        <w:t>；</w:t>
      </w:r>
    </w:p>
    <w:p w14:paraId="27450747">
      <w:pPr>
        <w:adjustRightInd w:val="0"/>
        <w:snapToGrid w:val="0"/>
        <w:spacing w:line="360" w:lineRule="auto"/>
        <w:ind w:firstLine="630" w:firstLineChars="300"/>
        <w:rPr>
          <w:szCs w:val="21"/>
        </w:rPr>
      </w:pPr>
      <w:r>
        <w:rPr>
          <w:rFonts w:hint="eastAsia"/>
          <w:szCs w:val="21"/>
        </w:rPr>
        <w:t>f.设备发出日期。</w:t>
      </w:r>
    </w:p>
    <w:p w14:paraId="1E34F155">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701B08B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582B4A12">
      <w:pPr>
        <w:adjustRightInd w:val="0"/>
        <w:snapToGrid w:val="0"/>
        <w:spacing w:line="360" w:lineRule="auto"/>
        <w:ind w:firstLine="420" w:firstLineChars="200"/>
        <w:rPr>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0FC587DB">
      <w:pPr>
        <w:pStyle w:val="3"/>
        <w:spacing w:before="0" w:after="0" w:line="360" w:lineRule="auto"/>
        <w:rPr>
          <w:rFonts w:ascii="Times New Roman" w:hAnsi="Times New Roman" w:eastAsia="黑体"/>
          <w:b w:val="0"/>
          <w:bCs/>
          <w:szCs w:val="21"/>
        </w:rPr>
      </w:pPr>
      <w:bookmarkStart w:id="142" w:name="_Toc282433761"/>
      <w:bookmarkStart w:id="143" w:name="_Toc9547"/>
      <w:bookmarkStart w:id="144" w:name="_Toc441508858"/>
      <w:bookmarkStart w:id="145" w:name="_Toc322681879"/>
      <w:bookmarkStart w:id="146" w:name="_Toc279695210"/>
      <w:bookmarkStart w:id="147" w:name="_Toc387609310"/>
      <w:bookmarkStart w:id="148" w:name="_Toc66780581"/>
      <w:bookmarkStart w:id="149" w:name="_Toc28140"/>
      <w:bookmarkStart w:id="150" w:name="_Toc14347"/>
      <w:bookmarkStart w:id="151" w:name="_Toc282993365"/>
      <w:bookmarkStart w:id="152" w:name="_Toc76025504"/>
      <w:r>
        <w:rPr>
          <w:rFonts w:ascii="Times New Roman" w:hAnsi="Times New Roman" w:eastAsia="黑体"/>
          <w:b w:val="0"/>
          <w:bCs/>
          <w:szCs w:val="21"/>
        </w:rPr>
        <w:t>9.2</w:t>
      </w:r>
      <w:r>
        <w:rPr>
          <w:rFonts w:hint="eastAsia" w:ascii="Times New Roman" w:hAnsi="Times New Roman" w:eastAsia="黑体"/>
          <w:b w:val="0"/>
          <w:bCs/>
          <w:szCs w:val="21"/>
        </w:rPr>
        <w:t xml:space="preserve"> 运输</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7F9A4F1">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2F3976DC">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4A91B06F">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522A7C59">
      <w:pPr>
        <w:adjustRightInd w:val="0"/>
        <w:snapToGrid w:val="0"/>
        <w:spacing w:line="360" w:lineRule="auto"/>
        <w:ind w:firstLine="420" w:firstLineChars="200"/>
        <w:rPr>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42F13CFF">
      <w:pPr>
        <w:pStyle w:val="3"/>
        <w:spacing w:before="0" w:after="0" w:line="360" w:lineRule="auto"/>
        <w:rPr>
          <w:rFonts w:ascii="Times New Roman" w:hAnsi="Times New Roman" w:eastAsia="黑体"/>
          <w:b w:val="0"/>
          <w:bCs/>
          <w:szCs w:val="21"/>
        </w:rPr>
      </w:pPr>
      <w:bookmarkStart w:id="153" w:name="_Toc276301530"/>
      <w:bookmarkStart w:id="154" w:name="_Toc276490920"/>
      <w:bookmarkStart w:id="155" w:name="_Toc276492438"/>
      <w:bookmarkStart w:id="156" w:name="_Toc282433762"/>
      <w:bookmarkStart w:id="157" w:name="_Toc18261"/>
      <w:bookmarkStart w:id="158" w:name="_Toc66780582"/>
      <w:bookmarkStart w:id="159" w:name="_Toc441508859"/>
      <w:bookmarkStart w:id="160" w:name="_Toc322681880"/>
      <w:bookmarkStart w:id="161" w:name="_Toc29575"/>
      <w:bookmarkStart w:id="162" w:name="_Toc76025505"/>
      <w:bookmarkStart w:id="163" w:name="_Toc282993366"/>
      <w:bookmarkStart w:id="164" w:name="_Toc19897"/>
      <w:bookmarkStart w:id="165" w:name="_Toc387609311"/>
      <w:bookmarkStart w:id="166" w:name="_Toc279695211"/>
      <w:r>
        <w:rPr>
          <w:rFonts w:ascii="Times New Roman" w:hAnsi="Times New Roman" w:eastAsia="黑体"/>
          <w:b w:val="0"/>
          <w:bCs/>
          <w:szCs w:val="21"/>
        </w:rPr>
        <w:t>9.3</w:t>
      </w:r>
      <w:r>
        <w:rPr>
          <w:rFonts w:hint="eastAsia" w:ascii="Times New Roman" w:hAnsi="Times New Roman" w:eastAsia="黑体"/>
          <w:b w:val="0"/>
          <w:bCs/>
          <w:szCs w:val="21"/>
        </w:rPr>
        <w:t xml:space="preserve"> 组装</w:t>
      </w:r>
      <w:bookmarkEnd w:id="153"/>
      <w:bookmarkEnd w:id="154"/>
      <w:bookmarkEnd w:id="155"/>
      <w:r>
        <w:rPr>
          <w:rFonts w:hint="eastAsia" w:ascii="Times New Roman" w:hAnsi="Times New Roman" w:eastAsia="黑体"/>
          <w:b w:val="0"/>
          <w:bCs/>
          <w:szCs w:val="21"/>
        </w:rPr>
        <w:t>指导</w:t>
      </w:r>
      <w:bookmarkEnd w:id="156"/>
      <w:bookmarkEnd w:id="157"/>
      <w:bookmarkEnd w:id="158"/>
      <w:bookmarkEnd w:id="159"/>
      <w:bookmarkEnd w:id="160"/>
      <w:bookmarkEnd w:id="161"/>
      <w:bookmarkEnd w:id="162"/>
      <w:bookmarkEnd w:id="163"/>
      <w:bookmarkEnd w:id="164"/>
      <w:bookmarkEnd w:id="165"/>
      <w:bookmarkEnd w:id="166"/>
    </w:p>
    <w:p w14:paraId="3BBDD43C">
      <w:pPr>
        <w:adjustRightInd w:val="0"/>
        <w:snapToGrid w:val="0"/>
        <w:spacing w:line="360" w:lineRule="auto"/>
        <w:ind w:firstLine="420" w:firstLineChars="200"/>
        <w:rPr>
          <w:szCs w:val="21"/>
        </w:rPr>
      </w:pPr>
      <w:r>
        <w:rPr>
          <w:rFonts w:hint="eastAsia"/>
          <w:szCs w:val="21"/>
        </w:rPr>
        <w:t>在组装和初期（至少3个架次）使用时应安排技术人员提供现场组装指导服务，提出技术建议，并有对运行人员提供相关培训的义务。</w:t>
      </w:r>
    </w:p>
    <w:p w14:paraId="7C83D437">
      <w:pPr>
        <w:pStyle w:val="3"/>
        <w:spacing w:before="0" w:after="0" w:line="360" w:lineRule="auto"/>
        <w:rPr>
          <w:rFonts w:ascii="Times New Roman" w:hAnsi="Times New Roman" w:eastAsia="黑体"/>
          <w:b w:val="0"/>
          <w:bCs/>
          <w:szCs w:val="21"/>
        </w:rPr>
      </w:pPr>
      <w:bookmarkStart w:id="167" w:name="_Toc282993367"/>
      <w:bookmarkStart w:id="168" w:name="_Toc282433763"/>
      <w:bookmarkStart w:id="169" w:name="_Toc16709"/>
      <w:bookmarkStart w:id="170" w:name="_Toc23049"/>
      <w:bookmarkStart w:id="171" w:name="_Toc76025506"/>
      <w:bookmarkStart w:id="172" w:name="_Toc387609312"/>
      <w:bookmarkStart w:id="173" w:name="_Toc3697"/>
      <w:bookmarkStart w:id="174" w:name="_Toc66780583"/>
      <w:bookmarkStart w:id="175" w:name="_Toc441508860"/>
      <w:bookmarkStart w:id="176" w:name="_Toc322681881"/>
      <w:r>
        <w:rPr>
          <w:rFonts w:ascii="Times New Roman" w:hAnsi="Times New Roman" w:eastAsia="黑体"/>
          <w:b w:val="0"/>
          <w:bCs/>
          <w:szCs w:val="21"/>
        </w:rPr>
        <w:t>9.4</w:t>
      </w:r>
      <w:r>
        <w:rPr>
          <w:rFonts w:hint="eastAsia" w:ascii="Times New Roman" w:hAnsi="Times New Roman" w:eastAsia="黑体"/>
          <w:b w:val="0"/>
          <w:bCs/>
          <w:szCs w:val="21"/>
        </w:rPr>
        <w:t xml:space="preserve"> 质量保证</w:t>
      </w:r>
      <w:bookmarkEnd w:id="167"/>
      <w:bookmarkEnd w:id="168"/>
      <w:bookmarkEnd w:id="169"/>
      <w:bookmarkEnd w:id="170"/>
      <w:bookmarkEnd w:id="171"/>
      <w:bookmarkEnd w:id="172"/>
      <w:bookmarkEnd w:id="173"/>
      <w:bookmarkEnd w:id="174"/>
      <w:bookmarkEnd w:id="175"/>
      <w:bookmarkEnd w:id="176"/>
    </w:p>
    <w:p w14:paraId="68713AB0">
      <w:pPr>
        <w:adjustRightInd w:val="0"/>
        <w:snapToGrid w:val="0"/>
        <w:spacing w:line="360" w:lineRule="auto"/>
        <w:ind w:firstLine="420" w:firstLineChars="200"/>
        <w:rPr>
          <w:szCs w:val="21"/>
        </w:rPr>
      </w:pPr>
      <w:r>
        <w:rPr>
          <w:rFonts w:hint="eastAsia"/>
          <w:szCs w:val="21"/>
        </w:rPr>
        <w:t>1）全部设备必须是全新的， 持久耐用的，应满足作为一个完整产品所能满足的全部要求。投标方应保证设备在规定的使用条件下使用、并按使用说明书进行组装和维护，设备的预期寿命应不少于8年</w:t>
      </w:r>
      <w:r>
        <w:rPr>
          <w:szCs w:val="21"/>
        </w:rPr>
        <w:t>。</w:t>
      </w:r>
    </w:p>
    <w:p w14:paraId="5AE563C1">
      <w:pPr>
        <w:adjustRightInd w:val="0"/>
        <w:snapToGrid w:val="0"/>
        <w:spacing w:line="360" w:lineRule="auto"/>
        <w:ind w:firstLine="420" w:firstLineChars="200"/>
        <w:rPr>
          <w:szCs w:val="21"/>
        </w:rPr>
      </w:pPr>
      <w:r>
        <w:rPr>
          <w:rFonts w:hint="eastAsia"/>
          <w:szCs w:val="21"/>
        </w:rPr>
        <w:t>2）投标方应对其整套系统在到货后提供不少于</w:t>
      </w:r>
      <w:r>
        <w:rPr>
          <w:szCs w:val="21"/>
        </w:rPr>
        <w:t>1</w:t>
      </w:r>
      <w:r>
        <w:rPr>
          <w:rFonts w:hint="eastAsia"/>
          <w:szCs w:val="21"/>
        </w:rPr>
        <w:t>年的“三包”质量保证。质保期内所有零部件发生非人为原因损坏时，投标方负责免费维修或更换。之后如发生产品损坏，投标方应及时为本套系统提供维修部件和服务，并按最近的投标价提供。</w:t>
      </w:r>
    </w:p>
    <w:p w14:paraId="2D30B995">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414C5422">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14:paraId="28446F60">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6471733D">
      <w:pPr>
        <w:numPr>
          <w:ilvl w:val="255"/>
          <w:numId w:val="0"/>
        </w:numPr>
        <w:adjustRightInd w:val="0"/>
        <w:snapToGrid w:val="0"/>
        <w:spacing w:line="360" w:lineRule="auto"/>
        <w:ind w:firstLine="420" w:firstLineChars="200"/>
        <w:rPr>
          <w:rFonts w:hint="eastAsia" w:ascii="宋体" w:hAnsi="宋体" w:cs="宋体"/>
          <w:szCs w:val="21"/>
        </w:rPr>
      </w:pPr>
      <w:r>
        <w:rPr>
          <w:rFonts w:hint="eastAsia"/>
          <w:szCs w:val="21"/>
        </w:rPr>
        <w:t>5）</w:t>
      </w:r>
      <w:r>
        <w:rPr>
          <w:rFonts w:hint="eastAsia" w:ascii="宋体" w:hAnsi="宋体" w:cs="宋体"/>
          <w:szCs w:val="21"/>
        </w:rPr>
        <w:t>投标方应有遵守本标准中各条款和工作项目的ISO9000-GB/T19000质量保证体系， 该质量保证体系已经通过国家认证并在正常运转。</w:t>
      </w:r>
    </w:p>
    <w:p w14:paraId="6F5EE24B">
      <w:pPr>
        <w:numPr>
          <w:ilvl w:val="255"/>
          <w:numId w:val="0"/>
        </w:num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6）投标方所供的设备应可接入招标方机巡管理等相关系统进行实时定位监控，符合国家及招标方飞行动态数据管理、实时动态监控、安全管控、巡检航线任务执行等要求。</w:t>
      </w:r>
    </w:p>
    <w:p w14:paraId="261C501B">
      <w:pPr>
        <w:pStyle w:val="3"/>
        <w:spacing w:before="0" w:after="0" w:line="360" w:lineRule="auto"/>
        <w:rPr>
          <w:rFonts w:ascii="Times New Roman" w:hAnsi="Times New Roman" w:eastAsia="黑体"/>
          <w:b w:val="0"/>
          <w:bCs/>
          <w:szCs w:val="21"/>
        </w:rPr>
      </w:pPr>
      <w:bookmarkStart w:id="177" w:name="_Toc23887"/>
      <w:bookmarkStart w:id="178" w:name="_Toc19682"/>
      <w:bookmarkStart w:id="179" w:name="_Toc21661"/>
      <w:r>
        <w:rPr>
          <w:rFonts w:ascii="Times New Roman" w:hAnsi="Times New Roman" w:eastAsia="黑体"/>
          <w:b w:val="0"/>
          <w:bCs/>
          <w:szCs w:val="21"/>
        </w:rPr>
        <w:t xml:space="preserve">9.5 </w:t>
      </w:r>
      <w:r>
        <w:rPr>
          <w:rFonts w:hint="eastAsia" w:ascii="Times New Roman" w:hAnsi="Times New Roman" w:eastAsia="黑体"/>
          <w:b w:val="0"/>
          <w:bCs/>
          <w:szCs w:val="21"/>
        </w:rPr>
        <w:t>设备验收</w:t>
      </w:r>
      <w:bookmarkEnd w:id="177"/>
      <w:bookmarkEnd w:id="178"/>
      <w:bookmarkEnd w:id="179"/>
    </w:p>
    <w:p w14:paraId="2739F533">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758073C0">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5BE57EDD">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0E40D6B4">
      <w:pPr>
        <w:numPr>
          <w:ilvl w:val="255"/>
          <w:numId w:val="0"/>
        </w:numPr>
        <w:ind w:firstLine="420" w:firstLineChars="200"/>
        <w:rPr>
          <w:szCs w:val="21"/>
        </w:rPr>
      </w:pPr>
      <w:r>
        <w:rPr>
          <w:rFonts w:hint="eastAsia" w:ascii="宋体" w:hAnsi="宋体" w:cs="宋体"/>
          <w:szCs w:val="21"/>
        </w:rPr>
        <w:t>c.验收时若发现设备或附件存在由中标方造成的缺陷或不符合本技术条件要求时，中标方应无条件更换设备或附件。</w:t>
      </w:r>
    </w:p>
    <w:p w14:paraId="687978E0">
      <w:pPr>
        <w:snapToGrid w:val="0"/>
        <w:spacing w:line="20" w:lineRule="exact"/>
        <w:rPr>
          <w:rFonts w:hint="eastAsia" w:ascii="宋体" w:hAnsi="宋体"/>
          <w:sz w:val="2"/>
          <w:szCs w:val="2"/>
        </w:rPr>
      </w:pPr>
    </w:p>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仿宋"/>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28FB8">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5530793B">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05E8B">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3AC7B28B">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0B666">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29922D1D">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589B35B5">
        <w:pPr>
          <w:pStyle w:val="36"/>
          <w:jc w:val="center"/>
        </w:pPr>
        <w:r>
          <w:fldChar w:fldCharType="begin"/>
        </w:r>
        <w:r>
          <w:instrText xml:space="preserve">PAGE   \* MERGEFORMAT</w:instrText>
        </w:r>
        <w:r>
          <w:fldChar w:fldCharType="separate"/>
        </w:r>
        <w:r>
          <w:rPr>
            <w:lang w:val="zh-CN"/>
          </w:rPr>
          <w:t>6</w:t>
        </w:r>
        <w:r>
          <w:fldChar w:fldCharType="end"/>
        </w:r>
      </w:p>
    </w:sdtContent>
  </w:sdt>
  <w:p w14:paraId="556845D5">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08D2D">
    <w:pPr>
      <w:pStyle w:val="37"/>
      <w:outlineLvl w:val="8"/>
    </w:pPr>
    <w:r>
      <w:rPr>
        <w:rFonts w:hint="eastAsia"/>
      </w:rPr>
      <w:t>绝缘子污秽状态多光谱图像分析装置技术规范书（通用部分）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66F5E">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FECFF">
    <w:pPr>
      <w:pStyle w:val="37"/>
    </w:pPr>
    <w:r>
      <w:rPr>
        <w:rFonts w:hint="eastAsia"/>
      </w:rPr>
      <w:t>绝缘子污秽状态多光谱图像分析装置技术规范书（通用部分）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1">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2">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3">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7">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12673BB5"/>
    <w:multiLevelType w:val="multilevel"/>
    <w:tmpl w:val="12673BB5"/>
    <w:lvl w:ilvl="0" w:tentative="0">
      <w:start w:val="1"/>
      <w:numFmt w:val="low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2">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4">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5">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0">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2">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4">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2"/>
  </w:num>
  <w:num w:numId="2">
    <w:abstractNumId w:val="0"/>
  </w:num>
  <w:num w:numId="3">
    <w:abstractNumId w:val="1"/>
  </w:num>
  <w:num w:numId="4">
    <w:abstractNumId w:val="2"/>
  </w:num>
  <w:num w:numId="5">
    <w:abstractNumId w:val="21"/>
  </w:num>
  <w:num w:numId="6">
    <w:abstractNumId w:val="18"/>
  </w:num>
  <w:num w:numId="7">
    <w:abstractNumId w:val="10"/>
  </w:num>
  <w:num w:numId="8">
    <w:abstractNumId w:val="8"/>
  </w:num>
  <w:num w:numId="9">
    <w:abstractNumId w:val="24"/>
  </w:num>
  <w:num w:numId="10">
    <w:abstractNumId w:val="16"/>
  </w:num>
  <w:num w:numId="11">
    <w:abstractNumId w:val="14"/>
  </w:num>
  <w:num w:numId="12">
    <w:abstractNumId w:val="29"/>
  </w:num>
  <w:num w:numId="13">
    <w:abstractNumId w:val="27"/>
  </w:num>
  <w:num w:numId="14">
    <w:abstractNumId w:val="31"/>
  </w:num>
  <w:num w:numId="15">
    <w:abstractNumId w:val="17"/>
  </w:num>
  <w:num w:numId="16">
    <w:abstractNumId w:val="26"/>
  </w:num>
  <w:num w:numId="17">
    <w:abstractNumId w:val="9"/>
  </w:num>
  <w:num w:numId="18">
    <w:abstractNumId w:val="23"/>
  </w:num>
  <w:num w:numId="19">
    <w:abstractNumId w:val="28"/>
  </w:num>
  <w:num w:numId="20">
    <w:abstractNumId w:val="30"/>
  </w:num>
  <w:num w:numId="21">
    <w:abstractNumId w:val="25"/>
  </w:num>
  <w:num w:numId="22">
    <w:abstractNumId w:val="6"/>
  </w:num>
  <w:num w:numId="23">
    <w:abstractNumId w:val="13"/>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3"/>
  </w:num>
  <w:num w:numId="31">
    <w:abstractNumId w:val="5"/>
  </w:num>
  <w:num w:numId="32">
    <w:abstractNumId w:val="1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63F3"/>
    <w:rsid w:val="000327C6"/>
    <w:rsid w:val="00036675"/>
    <w:rsid w:val="000406CD"/>
    <w:rsid w:val="000454E9"/>
    <w:rsid w:val="0005317E"/>
    <w:rsid w:val="00062943"/>
    <w:rsid w:val="00065403"/>
    <w:rsid w:val="0006624D"/>
    <w:rsid w:val="0007012F"/>
    <w:rsid w:val="00073D69"/>
    <w:rsid w:val="00075737"/>
    <w:rsid w:val="00075B71"/>
    <w:rsid w:val="0007661F"/>
    <w:rsid w:val="00083BA3"/>
    <w:rsid w:val="00091372"/>
    <w:rsid w:val="0009630E"/>
    <w:rsid w:val="000A7034"/>
    <w:rsid w:val="000B0DA2"/>
    <w:rsid w:val="000B3B04"/>
    <w:rsid w:val="000C7FF6"/>
    <w:rsid w:val="000D07D9"/>
    <w:rsid w:val="000D494A"/>
    <w:rsid w:val="000E0721"/>
    <w:rsid w:val="000E0F43"/>
    <w:rsid w:val="000E120E"/>
    <w:rsid w:val="000E53A3"/>
    <w:rsid w:val="000F0E79"/>
    <w:rsid w:val="000F4FA6"/>
    <w:rsid w:val="001014E1"/>
    <w:rsid w:val="00106C86"/>
    <w:rsid w:val="00110C50"/>
    <w:rsid w:val="00114F96"/>
    <w:rsid w:val="00117DAA"/>
    <w:rsid w:val="001233C9"/>
    <w:rsid w:val="0014399F"/>
    <w:rsid w:val="001521D7"/>
    <w:rsid w:val="00155614"/>
    <w:rsid w:val="00167B5F"/>
    <w:rsid w:val="00182A1B"/>
    <w:rsid w:val="001901EA"/>
    <w:rsid w:val="00190A5C"/>
    <w:rsid w:val="00192EF9"/>
    <w:rsid w:val="001946A1"/>
    <w:rsid w:val="001A1D16"/>
    <w:rsid w:val="001C424E"/>
    <w:rsid w:val="001D0189"/>
    <w:rsid w:val="001E10B8"/>
    <w:rsid w:val="001F71EB"/>
    <w:rsid w:val="00200E80"/>
    <w:rsid w:val="002027D6"/>
    <w:rsid w:val="002044C9"/>
    <w:rsid w:val="002101BA"/>
    <w:rsid w:val="00235C57"/>
    <w:rsid w:val="00244630"/>
    <w:rsid w:val="00246C26"/>
    <w:rsid w:val="00252B17"/>
    <w:rsid w:val="002650A9"/>
    <w:rsid w:val="0029334C"/>
    <w:rsid w:val="002B0186"/>
    <w:rsid w:val="002B6C4E"/>
    <w:rsid w:val="002C784E"/>
    <w:rsid w:val="002D7FB3"/>
    <w:rsid w:val="002E646C"/>
    <w:rsid w:val="002E7690"/>
    <w:rsid w:val="002F1A5C"/>
    <w:rsid w:val="002F34E6"/>
    <w:rsid w:val="00300A42"/>
    <w:rsid w:val="00304806"/>
    <w:rsid w:val="00310E29"/>
    <w:rsid w:val="00316AD4"/>
    <w:rsid w:val="00324E79"/>
    <w:rsid w:val="00333EC9"/>
    <w:rsid w:val="00342AA0"/>
    <w:rsid w:val="00354281"/>
    <w:rsid w:val="00366D72"/>
    <w:rsid w:val="00372C5D"/>
    <w:rsid w:val="0038584C"/>
    <w:rsid w:val="00393110"/>
    <w:rsid w:val="003A686D"/>
    <w:rsid w:val="003B7C3F"/>
    <w:rsid w:val="003C59B0"/>
    <w:rsid w:val="003D79DF"/>
    <w:rsid w:val="0040271C"/>
    <w:rsid w:val="00405A29"/>
    <w:rsid w:val="00414F67"/>
    <w:rsid w:val="004312C3"/>
    <w:rsid w:val="00435272"/>
    <w:rsid w:val="00440743"/>
    <w:rsid w:val="004451B7"/>
    <w:rsid w:val="00455882"/>
    <w:rsid w:val="00461373"/>
    <w:rsid w:val="00466526"/>
    <w:rsid w:val="00496C03"/>
    <w:rsid w:val="004A5565"/>
    <w:rsid w:val="004B1EFC"/>
    <w:rsid w:val="004B3196"/>
    <w:rsid w:val="004B3F99"/>
    <w:rsid w:val="004C7FB9"/>
    <w:rsid w:val="004E0D84"/>
    <w:rsid w:val="004E44E7"/>
    <w:rsid w:val="004F6BA4"/>
    <w:rsid w:val="0050274F"/>
    <w:rsid w:val="005111F0"/>
    <w:rsid w:val="00517F33"/>
    <w:rsid w:val="00524C30"/>
    <w:rsid w:val="005550B8"/>
    <w:rsid w:val="00555FD7"/>
    <w:rsid w:val="00556EB6"/>
    <w:rsid w:val="00573A1E"/>
    <w:rsid w:val="00581BFB"/>
    <w:rsid w:val="00583D17"/>
    <w:rsid w:val="00590CDB"/>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1ECC"/>
    <w:rsid w:val="00607930"/>
    <w:rsid w:val="00607B7D"/>
    <w:rsid w:val="00613DA8"/>
    <w:rsid w:val="006148CE"/>
    <w:rsid w:val="0063510B"/>
    <w:rsid w:val="00635A9A"/>
    <w:rsid w:val="00660F88"/>
    <w:rsid w:val="00662FB2"/>
    <w:rsid w:val="0067034B"/>
    <w:rsid w:val="00696E4F"/>
    <w:rsid w:val="006A16AE"/>
    <w:rsid w:val="006B0795"/>
    <w:rsid w:val="006B25BB"/>
    <w:rsid w:val="006B420F"/>
    <w:rsid w:val="006B566B"/>
    <w:rsid w:val="006B761E"/>
    <w:rsid w:val="006B78F0"/>
    <w:rsid w:val="006D30EB"/>
    <w:rsid w:val="006D4D03"/>
    <w:rsid w:val="006D5F55"/>
    <w:rsid w:val="006F4C5E"/>
    <w:rsid w:val="006F63B3"/>
    <w:rsid w:val="00700A7D"/>
    <w:rsid w:val="00717ED1"/>
    <w:rsid w:val="00732E12"/>
    <w:rsid w:val="00742382"/>
    <w:rsid w:val="0074278E"/>
    <w:rsid w:val="00763D16"/>
    <w:rsid w:val="007741D2"/>
    <w:rsid w:val="00795748"/>
    <w:rsid w:val="00796C50"/>
    <w:rsid w:val="007B65CC"/>
    <w:rsid w:val="007C1493"/>
    <w:rsid w:val="007C2D44"/>
    <w:rsid w:val="007C3816"/>
    <w:rsid w:val="007D1BD7"/>
    <w:rsid w:val="007E6F66"/>
    <w:rsid w:val="007F1334"/>
    <w:rsid w:val="007F6693"/>
    <w:rsid w:val="0080776B"/>
    <w:rsid w:val="00826C56"/>
    <w:rsid w:val="0082705A"/>
    <w:rsid w:val="00827F61"/>
    <w:rsid w:val="00843848"/>
    <w:rsid w:val="0084452F"/>
    <w:rsid w:val="00847F5E"/>
    <w:rsid w:val="00887145"/>
    <w:rsid w:val="008965AF"/>
    <w:rsid w:val="008A1384"/>
    <w:rsid w:val="008A3860"/>
    <w:rsid w:val="008A666B"/>
    <w:rsid w:val="008B7582"/>
    <w:rsid w:val="008D1565"/>
    <w:rsid w:val="008E316A"/>
    <w:rsid w:val="008E4620"/>
    <w:rsid w:val="008E5EBC"/>
    <w:rsid w:val="008F044C"/>
    <w:rsid w:val="008F38AE"/>
    <w:rsid w:val="009039B0"/>
    <w:rsid w:val="009047A9"/>
    <w:rsid w:val="00906671"/>
    <w:rsid w:val="00907262"/>
    <w:rsid w:val="0090759A"/>
    <w:rsid w:val="00911C44"/>
    <w:rsid w:val="00913A19"/>
    <w:rsid w:val="009140DF"/>
    <w:rsid w:val="009225B6"/>
    <w:rsid w:val="00922EBB"/>
    <w:rsid w:val="0092390F"/>
    <w:rsid w:val="00927867"/>
    <w:rsid w:val="009279E5"/>
    <w:rsid w:val="0093077A"/>
    <w:rsid w:val="009345DB"/>
    <w:rsid w:val="0093478B"/>
    <w:rsid w:val="00934896"/>
    <w:rsid w:val="00942BD5"/>
    <w:rsid w:val="00955B87"/>
    <w:rsid w:val="00966A29"/>
    <w:rsid w:val="00976C50"/>
    <w:rsid w:val="00981BA3"/>
    <w:rsid w:val="009853E4"/>
    <w:rsid w:val="009869D0"/>
    <w:rsid w:val="00994E41"/>
    <w:rsid w:val="00997986"/>
    <w:rsid w:val="009A066D"/>
    <w:rsid w:val="009A410F"/>
    <w:rsid w:val="009A5174"/>
    <w:rsid w:val="009B4BB9"/>
    <w:rsid w:val="009C0B7A"/>
    <w:rsid w:val="009C2F85"/>
    <w:rsid w:val="009C3250"/>
    <w:rsid w:val="009C5708"/>
    <w:rsid w:val="009D0A63"/>
    <w:rsid w:val="009E0653"/>
    <w:rsid w:val="009E136D"/>
    <w:rsid w:val="009E2451"/>
    <w:rsid w:val="009E3359"/>
    <w:rsid w:val="009E78CC"/>
    <w:rsid w:val="00A15F72"/>
    <w:rsid w:val="00A163F6"/>
    <w:rsid w:val="00A3191C"/>
    <w:rsid w:val="00A42682"/>
    <w:rsid w:val="00A53839"/>
    <w:rsid w:val="00A67DF9"/>
    <w:rsid w:val="00A7143E"/>
    <w:rsid w:val="00A74544"/>
    <w:rsid w:val="00A77A18"/>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E2D2E"/>
    <w:rsid w:val="00B04A3B"/>
    <w:rsid w:val="00B15B81"/>
    <w:rsid w:val="00B30138"/>
    <w:rsid w:val="00B44B9B"/>
    <w:rsid w:val="00B559E2"/>
    <w:rsid w:val="00B55B88"/>
    <w:rsid w:val="00B67148"/>
    <w:rsid w:val="00B73695"/>
    <w:rsid w:val="00B73A7B"/>
    <w:rsid w:val="00B8009C"/>
    <w:rsid w:val="00B870EF"/>
    <w:rsid w:val="00B87934"/>
    <w:rsid w:val="00B91207"/>
    <w:rsid w:val="00B9260F"/>
    <w:rsid w:val="00B94A17"/>
    <w:rsid w:val="00B958F4"/>
    <w:rsid w:val="00BA3534"/>
    <w:rsid w:val="00BB6896"/>
    <w:rsid w:val="00BC35B8"/>
    <w:rsid w:val="00BF0409"/>
    <w:rsid w:val="00BF3B1D"/>
    <w:rsid w:val="00BF6FF2"/>
    <w:rsid w:val="00C011A2"/>
    <w:rsid w:val="00C05007"/>
    <w:rsid w:val="00C16D98"/>
    <w:rsid w:val="00C175FC"/>
    <w:rsid w:val="00C37748"/>
    <w:rsid w:val="00C412C7"/>
    <w:rsid w:val="00C4167F"/>
    <w:rsid w:val="00C419D7"/>
    <w:rsid w:val="00C43A3C"/>
    <w:rsid w:val="00C51F28"/>
    <w:rsid w:val="00C738B0"/>
    <w:rsid w:val="00C764F9"/>
    <w:rsid w:val="00C81C7C"/>
    <w:rsid w:val="00C91C66"/>
    <w:rsid w:val="00CA2C59"/>
    <w:rsid w:val="00CA5C7B"/>
    <w:rsid w:val="00CB2ED6"/>
    <w:rsid w:val="00CD4712"/>
    <w:rsid w:val="00CF095F"/>
    <w:rsid w:val="00CF1575"/>
    <w:rsid w:val="00D00FAF"/>
    <w:rsid w:val="00D121F6"/>
    <w:rsid w:val="00D13237"/>
    <w:rsid w:val="00D1747E"/>
    <w:rsid w:val="00D214B5"/>
    <w:rsid w:val="00D2157E"/>
    <w:rsid w:val="00D431DD"/>
    <w:rsid w:val="00D546DD"/>
    <w:rsid w:val="00D54B65"/>
    <w:rsid w:val="00D54D31"/>
    <w:rsid w:val="00D557AE"/>
    <w:rsid w:val="00D61D59"/>
    <w:rsid w:val="00D76F40"/>
    <w:rsid w:val="00D81C65"/>
    <w:rsid w:val="00D85F8D"/>
    <w:rsid w:val="00D9108D"/>
    <w:rsid w:val="00D926A1"/>
    <w:rsid w:val="00D92FF6"/>
    <w:rsid w:val="00D933D1"/>
    <w:rsid w:val="00D9703F"/>
    <w:rsid w:val="00DA266B"/>
    <w:rsid w:val="00DB463E"/>
    <w:rsid w:val="00DC42C4"/>
    <w:rsid w:val="00DD12D1"/>
    <w:rsid w:val="00DD6835"/>
    <w:rsid w:val="00DE3CBA"/>
    <w:rsid w:val="00DE4FA6"/>
    <w:rsid w:val="00DE614A"/>
    <w:rsid w:val="00DF0266"/>
    <w:rsid w:val="00DF143F"/>
    <w:rsid w:val="00DF7D20"/>
    <w:rsid w:val="00E013FC"/>
    <w:rsid w:val="00E10DA4"/>
    <w:rsid w:val="00E12837"/>
    <w:rsid w:val="00E13969"/>
    <w:rsid w:val="00E170E8"/>
    <w:rsid w:val="00E24699"/>
    <w:rsid w:val="00E24871"/>
    <w:rsid w:val="00E36EBF"/>
    <w:rsid w:val="00E43633"/>
    <w:rsid w:val="00E5249C"/>
    <w:rsid w:val="00E52ED2"/>
    <w:rsid w:val="00E60D7D"/>
    <w:rsid w:val="00E6130B"/>
    <w:rsid w:val="00E634F6"/>
    <w:rsid w:val="00E656BF"/>
    <w:rsid w:val="00E8537D"/>
    <w:rsid w:val="00EA25D5"/>
    <w:rsid w:val="00EB715D"/>
    <w:rsid w:val="00EC2BA8"/>
    <w:rsid w:val="00EE72E1"/>
    <w:rsid w:val="00EF2397"/>
    <w:rsid w:val="00EF5C23"/>
    <w:rsid w:val="00F124B1"/>
    <w:rsid w:val="00F209E3"/>
    <w:rsid w:val="00F20B90"/>
    <w:rsid w:val="00F22E19"/>
    <w:rsid w:val="00F23D57"/>
    <w:rsid w:val="00F30954"/>
    <w:rsid w:val="00F31FBE"/>
    <w:rsid w:val="00F33579"/>
    <w:rsid w:val="00F34D98"/>
    <w:rsid w:val="00F3764C"/>
    <w:rsid w:val="00F63748"/>
    <w:rsid w:val="00F80315"/>
    <w:rsid w:val="00F8487D"/>
    <w:rsid w:val="00F85343"/>
    <w:rsid w:val="00F860FB"/>
    <w:rsid w:val="00F87738"/>
    <w:rsid w:val="00F92C8A"/>
    <w:rsid w:val="00FA1F0E"/>
    <w:rsid w:val="00FB6D46"/>
    <w:rsid w:val="00FC21BC"/>
    <w:rsid w:val="00FC5D6B"/>
    <w:rsid w:val="00FD323B"/>
    <w:rsid w:val="00FF044D"/>
    <w:rsid w:val="00FF430C"/>
    <w:rsid w:val="00FF4EB6"/>
    <w:rsid w:val="01E142BF"/>
    <w:rsid w:val="029F1B50"/>
    <w:rsid w:val="02D85CD0"/>
    <w:rsid w:val="03217B55"/>
    <w:rsid w:val="0323032B"/>
    <w:rsid w:val="03341A8A"/>
    <w:rsid w:val="03571091"/>
    <w:rsid w:val="05B120C2"/>
    <w:rsid w:val="05D17F7F"/>
    <w:rsid w:val="06005D08"/>
    <w:rsid w:val="063704B1"/>
    <w:rsid w:val="065019DC"/>
    <w:rsid w:val="06E97165"/>
    <w:rsid w:val="0732492C"/>
    <w:rsid w:val="073D4236"/>
    <w:rsid w:val="084F2E8D"/>
    <w:rsid w:val="085B36B1"/>
    <w:rsid w:val="08A02C69"/>
    <w:rsid w:val="08A41184"/>
    <w:rsid w:val="08D6478F"/>
    <w:rsid w:val="093B7E5E"/>
    <w:rsid w:val="098C2B7B"/>
    <w:rsid w:val="09DB3207"/>
    <w:rsid w:val="0A1F71CE"/>
    <w:rsid w:val="0A5903EC"/>
    <w:rsid w:val="0AAF10FD"/>
    <w:rsid w:val="0AEB5310"/>
    <w:rsid w:val="0B62753A"/>
    <w:rsid w:val="0B64569E"/>
    <w:rsid w:val="0BB72438"/>
    <w:rsid w:val="0BB95E74"/>
    <w:rsid w:val="0CD028C8"/>
    <w:rsid w:val="0D1B342A"/>
    <w:rsid w:val="0D5C4E50"/>
    <w:rsid w:val="0D886883"/>
    <w:rsid w:val="0D923F0A"/>
    <w:rsid w:val="0E2A7E0F"/>
    <w:rsid w:val="0E853D73"/>
    <w:rsid w:val="0E941A03"/>
    <w:rsid w:val="0E965C31"/>
    <w:rsid w:val="0EC81BD1"/>
    <w:rsid w:val="0F986C50"/>
    <w:rsid w:val="0FB20FE0"/>
    <w:rsid w:val="103C5FE2"/>
    <w:rsid w:val="106B2580"/>
    <w:rsid w:val="10D123CD"/>
    <w:rsid w:val="11763776"/>
    <w:rsid w:val="11AA3420"/>
    <w:rsid w:val="11CE5EAA"/>
    <w:rsid w:val="1202500A"/>
    <w:rsid w:val="122A61B9"/>
    <w:rsid w:val="12600D6D"/>
    <w:rsid w:val="12BE5DCE"/>
    <w:rsid w:val="12DE1EBF"/>
    <w:rsid w:val="13551C50"/>
    <w:rsid w:val="13BC146C"/>
    <w:rsid w:val="13E22FFA"/>
    <w:rsid w:val="14717675"/>
    <w:rsid w:val="151E1FA2"/>
    <w:rsid w:val="154676C6"/>
    <w:rsid w:val="1557408A"/>
    <w:rsid w:val="15EE5E19"/>
    <w:rsid w:val="15F119AD"/>
    <w:rsid w:val="16422B9A"/>
    <w:rsid w:val="168667C2"/>
    <w:rsid w:val="16B37133"/>
    <w:rsid w:val="16C51013"/>
    <w:rsid w:val="16DF0DFB"/>
    <w:rsid w:val="176D2108"/>
    <w:rsid w:val="177477F9"/>
    <w:rsid w:val="17B103C8"/>
    <w:rsid w:val="17B74452"/>
    <w:rsid w:val="17BF0ACA"/>
    <w:rsid w:val="17D84B0F"/>
    <w:rsid w:val="180A1CE8"/>
    <w:rsid w:val="199101E1"/>
    <w:rsid w:val="19CA7C5E"/>
    <w:rsid w:val="19E1538A"/>
    <w:rsid w:val="1AD75285"/>
    <w:rsid w:val="1ADB749B"/>
    <w:rsid w:val="1B2E11D7"/>
    <w:rsid w:val="1B8A79D4"/>
    <w:rsid w:val="1C0202A6"/>
    <w:rsid w:val="1C282170"/>
    <w:rsid w:val="1C516953"/>
    <w:rsid w:val="1CAF43EA"/>
    <w:rsid w:val="1CC96E50"/>
    <w:rsid w:val="1D7671EF"/>
    <w:rsid w:val="1DF11734"/>
    <w:rsid w:val="1EE305D1"/>
    <w:rsid w:val="1F9A42FC"/>
    <w:rsid w:val="20216D23"/>
    <w:rsid w:val="203D5583"/>
    <w:rsid w:val="204A02A8"/>
    <w:rsid w:val="20A3401D"/>
    <w:rsid w:val="21851EDD"/>
    <w:rsid w:val="21E7529B"/>
    <w:rsid w:val="22C91F18"/>
    <w:rsid w:val="23512729"/>
    <w:rsid w:val="23863CED"/>
    <w:rsid w:val="238A3A61"/>
    <w:rsid w:val="23B1799A"/>
    <w:rsid w:val="249843DE"/>
    <w:rsid w:val="264A094A"/>
    <w:rsid w:val="26E46B93"/>
    <w:rsid w:val="271C56D8"/>
    <w:rsid w:val="27494ED1"/>
    <w:rsid w:val="276C0EEB"/>
    <w:rsid w:val="27C15702"/>
    <w:rsid w:val="28200983"/>
    <w:rsid w:val="284F054C"/>
    <w:rsid w:val="285275E8"/>
    <w:rsid w:val="28C037FD"/>
    <w:rsid w:val="29641AD1"/>
    <w:rsid w:val="29D47539"/>
    <w:rsid w:val="29E2706C"/>
    <w:rsid w:val="29F2689E"/>
    <w:rsid w:val="2A3119E5"/>
    <w:rsid w:val="2A874355"/>
    <w:rsid w:val="2A9B7F19"/>
    <w:rsid w:val="2AA40A22"/>
    <w:rsid w:val="2ACD5484"/>
    <w:rsid w:val="2B4F2AAC"/>
    <w:rsid w:val="2BB07175"/>
    <w:rsid w:val="2BFE40AE"/>
    <w:rsid w:val="2C5069BA"/>
    <w:rsid w:val="2C6C7D95"/>
    <w:rsid w:val="2C876F1D"/>
    <w:rsid w:val="2D303E35"/>
    <w:rsid w:val="2D921CB7"/>
    <w:rsid w:val="2DB6793F"/>
    <w:rsid w:val="2E21074A"/>
    <w:rsid w:val="2E245E99"/>
    <w:rsid w:val="2E254192"/>
    <w:rsid w:val="2E3654DC"/>
    <w:rsid w:val="2E4538A7"/>
    <w:rsid w:val="2E487E15"/>
    <w:rsid w:val="2E526349"/>
    <w:rsid w:val="2F876E0B"/>
    <w:rsid w:val="2FAF1CBA"/>
    <w:rsid w:val="2FCF39FA"/>
    <w:rsid w:val="3055446E"/>
    <w:rsid w:val="30D23EA1"/>
    <w:rsid w:val="30DB6B67"/>
    <w:rsid w:val="31092EFB"/>
    <w:rsid w:val="314459DC"/>
    <w:rsid w:val="314B20D2"/>
    <w:rsid w:val="31583180"/>
    <w:rsid w:val="31783438"/>
    <w:rsid w:val="33567FD8"/>
    <w:rsid w:val="33B91941"/>
    <w:rsid w:val="34563252"/>
    <w:rsid w:val="367F4771"/>
    <w:rsid w:val="36AC5113"/>
    <w:rsid w:val="36B655C5"/>
    <w:rsid w:val="37311481"/>
    <w:rsid w:val="374750E9"/>
    <w:rsid w:val="38174D54"/>
    <w:rsid w:val="3850267B"/>
    <w:rsid w:val="38775208"/>
    <w:rsid w:val="39246858"/>
    <w:rsid w:val="39355DE8"/>
    <w:rsid w:val="39E6796D"/>
    <w:rsid w:val="3A39451B"/>
    <w:rsid w:val="3A5D7BEB"/>
    <w:rsid w:val="3A8D3F59"/>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425005"/>
    <w:rsid w:val="40704FE4"/>
    <w:rsid w:val="413B6A9C"/>
    <w:rsid w:val="41A75074"/>
    <w:rsid w:val="41D80E67"/>
    <w:rsid w:val="42013932"/>
    <w:rsid w:val="423559AB"/>
    <w:rsid w:val="43AE16F4"/>
    <w:rsid w:val="43DB1093"/>
    <w:rsid w:val="43E03851"/>
    <w:rsid w:val="44E0101F"/>
    <w:rsid w:val="44FB78A9"/>
    <w:rsid w:val="44FF7003"/>
    <w:rsid w:val="454E16BF"/>
    <w:rsid w:val="45882CEA"/>
    <w:rsid w:val="459238EC"/>
    <w:rsid w:val="4603113E"/>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E382B88"/>
    <w:rsid w:val="4E520189"/>
    <w:rsid w:val="4EA869BD"/>
    <w:rsid w:val="4ED11355"/>
    <w:rsid w:val="4F954625"/>
    <w:rsid w:val="4FF00AFD"/>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7F15EB"/>
    <w:rsid w:val="53DE1CD8"/>
    <w:rsid w:val="54363555"/>
    <w:rsid w:val="54E770DC"/>
    <w:rsid w:val="552558DD"/>
    <w:rsid w:val="556F44C2"/>
    <w:rsid w:val="55CE557F"/>
    <w:rsid w:val="55E40C90"/>
    <w:rsid w:val="560B22E6"/>
    <w:rsid w:val="563444D6"/>
    <w:rsid w:val="56891C6B"/>
    <w:rsid w:val="56B97997"/>
    <w:rsid w:val="570365C4"/>
    <w:rsid w:val="57060082"/>
    <w:rsid w:val="574474B6"/>
    <w:rsid w:val="576B41D2"/>
    <w:rsid w:val="579E24E3"/>
    <w:rsid w:val="590B5B88"/>
    <w:rsid w:val="59ED4FE7"/>
    <w:rsid w:val="5A5D05FC"/>
    <w:rsid w:val="5AC36BC5"/>
    <w:rsid w:val="5AC63E1F"/>
    <w:rsid w:val="5AD46BC2"/>
    <w:rsid w:val="5ADC3D25"/>
    <w:rsid w:val="5B1E248F"/>
    <w:rsid w:val="5B2751ED"/>
    <w:rsid w:val="5B4342F6"/>
    <w:rsid w:val="5B622969"/>
    <w:rsid w:val="5B6F1C5B"/>
    <w:rsid w:val="5C651EB1"/>
    <w:rsid w:val="5C7B0F63"/>
    <w:rsid w:val="5CAE3391"/>
    <w:rsid w:val="5DCA7B72"/>
    <w:rsid w:val="5DE00E55"/>
    <w:rsid w:val="5E1F54F4"/>
    <w:rsid w:val="5F5F65C0"/>
    <w:rsid w:val="5F7B2BB2"/>
    <w:rsid w:val="5F8E6ECA"/>
    <w:rsid w:val="5FA67B30"/>
    <w:rsid w:val="5FA85AEC"/>
    <w:rsid w:val="60525445"/>
    <w:rsid w:val="607344EC"/>
    <w:rsid w:val="60C33D90"/>
    <w:rsid w:val="613A0C69"/>
    <w:rsid w:val="617E451D"/>
    <w:rsid w:val="618E4344"/>
    <w:rsid w:val="61FD3181"/>
    <w:rsid w:val="62042942"/>
    <w:rsid w:val="62847485"/>
    <w:rsid w:val="62B25F0D"/>
    <w:rsid w:val="62CE433B"/>
    <w:rsid w:val="632F26DD"/>
    <w:rsid w:val="636F5846"/>
    <w:rsid w:val="638A1A8C"/>
    <w:rsid w:val="63EE4A68"/>
    <w:rsid w:val="649C5530"/>
    <w:rsid w:val="64AF3298"/>
    <w:rsid w:val="64B7773D"/>
    <w:rsid w:val="64EB6B26"/>
    <w:rsid w:val="655B1B6E"/>
    <w:rsid w:val="65A469D1"/>
    <w:rsid w:val="65BD7C07"/>
    <w:rsid w:val="65ED4F2A"/>
    <w:rsid w:val="65F647F4"/>
    <w:rsid w:val="666D4068"/>
    <w:rsid w:val="66B35EF8"/>
    <w:rsid w:val="672B633E"/>
    <w:rsid w:val="674041D4"/>
    <w:rsid w:val="6773145F"/>
    <w:rsid w:val="6796433E"/>
    <w:rsid w:val="67C033E3"/>
    <w:rsid w:val="67DD453C"/>
    <w:rsid w:val="67E37ACA"/>
    <w:rsid w:val="683F7FFE"/>
    <w:rsid w:val="685331A9"/>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C4F1853"/>
    <w:rsid w:val="6C547C8E"/>
    <w:rsid w:val="6CA1578D"/>
    <w:rsid w:val="6CB03CCD"/>
    <w:rsid w:val="6D617A39"/>
    <w:rsid w:val="6DB83390"/>
    <w:rsid w:val="6E52595A"/>
    <w:rsid w:val="6E5F6F10"/>
    <w:rsid w:val="6EF776E0"/>
    <w:rsid w:val="6F0926A9"/>
    <w:rsid w:val="6F0A22FE"/>
    <w:rsid w:val="6F210F48"/>
    <w:rsid w:val="6F710B18"/>
    <w:rsid w:val="6F7E74CB"/>
    <w:rsid w:val="6FA8287C"/>
    <w:rsid w:val="70EE44D3"/>
    <w:rsid w:val="71203B39"/>
    <w:rsid w:val="717C4B53"/>
    <w:rsid w:val="71924844"/>
    <w:rsid w:val="719B775E"/>
    <w:rsid w:val="71AB77EE"/>
    <w:rsid w:val="724A7A48"/>
    <w:rsid w:val="724C4830"/>
    <w:rsid w:val="72695C00"/>
    <w:rsid w:val="72DE56EC"/>
    <w:rsid w:val="72F92942"/>
    <w:rsid w:val="731660CF"/>
    <w:rsid w:val="73686E30"/>
    <w:rsid w:val="73E92500"/>
    <w:rsid w:val="74CE2C64"/>
    <w:rsid w:val="74E91D98"/>
    <w:rsid w:val="76291C01"/>
    <w:rsid w:val="7636003D"/>
    <w:rsid w:val="76584CD4"/>
    <w:rsid w:val="76667B2F"/>
    <w:rsid w:val="778301A2"/>
    <w:rsid w:val="78AA5252"/>
    <w:rsid w:val="78D10791"/>
    <w:rsid w:val="7A400C26"/>
    <w:rsid w:val="7B9F113B"/>
    <w:rsid w:val="7BE15920"/>
    <w:rsid w:val="7C0C54CA"/>
    <w:rsid w:val="7C197358"/>
    <w:rsid w:val="7C713E55"/>
    <w:rsid w:val="7D3E6A83"/>
    <w:rsid w:val="7DF82266"/>
    <w:rsid w:val="7E435833"/>
    <w:rsid w:val="7E53537B"/>
    <w:rsid w:val="7E61214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99"/>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99"/>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styleId="454">
    <w:name w:val="List Paragraph"/>
    <w:basedOn w:val="1"/>
    <w:unhideWhenUsed/>
    <w:qFormat/>
    <w:uiPriority w:val="99"/>
    <w:pPr>
      <w:ind w:firstLine="420" w:firstLineChars="200"/>
    </w:pPr>
  </w:style>
  <w:style w:type="paragraph" w:customStyle="1" w:styleId="455">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6">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457">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1778</Words>
  <Characters>10139</Characters>
  <Lines>84</Lines>
  <Paragraphs>23</Paragraphs>
  <TotalTime>26</TotalTime>
  <ScaleCrop>false</ScaleCrop>
  <LinksUpToDate>false</LinksUpToDate>
  <CharactersWithSpaces>11894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2026-05-14T04:03:27Z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465BF523A1C9479A82883E810CFF87F2_13</vt:lpwstr>
  </property>
  <property fmtid="{D5CDD505-2E9C-101B-9397-08002B2CF9AE}" pid="4" name="KSOTemplateDocerSaveRecord">
    <vt:lpwstr>eyJoZGlkIjoiY2VjNzgwM2ZmOTcyZmY3OWI3NjUwZTgyZTllNTNmMzgiLCJ1c2VySWQiOiIxNTE3NDg3MzE1In0=</vt:lpwstr>
  </property>
</Properties>
</file>