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F1EE9">
      <w:pPr>
        <w:keepNext/>
        <w:keepLines/>
        <w:autoSpaceDE w:val="0"/>
        <w:autoSpaceDN w:val="0"/>
        <w:adjustRightInd w:val="0"/>
        <w:spacing w:before="240" w:after="64"/>
        <w:jc w:val="center"/>
        <w:outlineLvl w:val="0"/>
        <w:rPr>
          <w:rFonts w:hint="eastAsia" w:ascii="宋体" w:eastAsia="宋体" w:cs="宋体"/>
          <w:b/>
          <w:bCs/>
          <w:kern w:val="0"/>
          <w:sz w:val="28"/>
          <w:szCs w:val="28"/>
          <w:lang w:val="zh-CN" w:eastAsia="zh-CN"/>
        </w:rPr>
      </w:pPr>
      <w:bookmarkStart w:id="0" w:name="_Toc7041"/>
      <w:r>
        <w:rPr>
          <w:rFonts w:hint="eastAsia" w:ascii="宋体" w:cs="宋体"/>
          <w:b/>
          <w:bCs/>
          <w:kern w:val="0"/>
          <w:sz w:val="28"/>
          <w:szCs w:val="28"/>
          <w:lang w:val="zh-CN"/>
        </w:rPr>
        <w:t>东莞供电局</w:t>
      </w:r>
      <w:r>
        <w:rPr>
          <w:rFonts w:hint="eastAsia" w:ascii="宋体" w:cs="宋体"/>
          <w:b/>
          <w:bCs/>
          <w:kern w:val="0"/>
          <w:sz w:val="28"/>
          <w:szCs w:val="28"/>
          <w:lang w:val="en-US" w:eastAsia="zh-CN"/>
        </w:rPr>
        <w:t>2026年</w:t>
      </w:r>
      <w:r>
        <w:rPr>
          <w:rFonts w:hint="eastAsia" w:ascii="宋体" w:cs="宋体"/>
          <w:b/>
          <w:bCs/>
          <w:kern w:val="0"/>
          <w:sz w:val="28"/>
          <w:szCs w:val="28"/>
          <w:lang w:val="zh-CN"/>
        </w:rPr>
        <w:t>“城市综合能源信息物理系统数据异常及网络攻击安全防护技术”项目入网安全测试服务零星采购技术条件书</w:t>
      </w:r>
      <w:bookmarkEnd w:id="0"/>
    </w:p>
    <w:p w14:paraId="447B21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Theme="minorEastAsia" w:hAnsiTheme="minorEastAsia" w:eastAsiaTheme="minorEastAsia" w:cstheme="minorEastAsia"/>
          <w:b/>
          <w:sz w:val="24"/>
          <w:szCs w:val="28"/>
        </w:rPr>
      </w:pPr>
    </w:p>
    <w:p w14:paraId="4CEFBF9F">
      <w:pPr>
        <w:keepNext w:val="0"/>
        <w:keepLines w:val="0"/>
        <w:widowControl/>
        <w:suppressLineNumbers w:val="0"/>
        <w:shd w:val="clear" w:fill="FFFFFF"/>
        <w:spacing w:before="144" w:beforeAutospacing="0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一、测试环境搭建</w:t>
      </w:r>
    </w:p>
    <w:p w14:paraId="144CC0F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供应商应根据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城市综合能源信息物理系统数据异常及网络攻击安全防护系统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的工作场景和运行条件，搭建真实、可靠的测试环境。</w:t>
      </w:r>
    </w:p>
    <w:p w14:paraId="1691674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测试环境应具备良好的主机、数据库、中间件、漏洞扫描、应用系统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渗透测试、数据安全测试条件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。</w:t>
      </w:r>
    </w:p>
    <w:p w14:paraId="18864A1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二、测试方法与流程</w:t>
      </w:r>
    </w:p>
    <w:p w14:paraId="702060FA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制定详细、科学的测试方法和流程，包括测试点的选择、测试数据的采集频率、测试时间长度等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以更好地满足各种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安全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场景的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状态检测。</w:t>
      </w:r>
    </w:p>
    <w:p w14:paraId="5B798F7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对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在正常运行和模拟异常情况下分别进行测试，以验证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攻击检测与分析模型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功能在不同工况下的性能。</w:t>
      </w:r>
    </w:p>
    <w:p w14:paraId="11DAA57C">
      <w:pPr>
        <w:keepNext w:val="0"/>
        <w:keepLines w:val="0"/>
        <w:widowControl/>
        <w:numPr>
          <w:ilvl w:val="0"/>
          <w:numId w:val="2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测试过程应遵循可重复性原则，确保每次测试结果的一致性和可靠性。</w:t>
      </w:r>
    </w:p>
    <w:p w14:paraId="5D8A46F5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四、测试</w:t>
      </w:r>
      <w:r>
        <w:rPr>
          <w:rFonts w:hint="eastAsia" w:asciiTheme="minorEastAsia" w:hAnsi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内容与</w:t>
      </w: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标准</w:t>
      </w:r>
    </w:p>
    <w:p w14:paraId="0EE88391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内容包括但不局限于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系统主机、数据库、中间件、应用系统、漏洞扫描、渗透测试、数据安全等方面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重点测试被测系统业务实现对设计需求的满足程度。</w:t>
      </w:r>
    </w:p>
    <w:p w14:paraId="7F1C09D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依据《信息技术 信息系统安全等级保护基本要求》GBT 22239-2019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《IT主流设备安全基线技术规范》 Q/CSG 11804—2010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《南方电网公司网络安全合规库（202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en-US" w:eastAsia="zh-CN"/>
        </w:rPr>
        <w:t>5年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版）》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开展测试，判断系统是否满足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入网安评技术标准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。</w:t>
      </w:r>
    </w:p>
    <w:p w14:paraId="2095C5F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五、数据分析与报告</w:t>
      </w:r>
    </w:p>
    <w:p w14:paraId="6154069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提供详细的测试报告，包括测试过程、测试结果、数据分析、结论及建议等内容。测试报告应清晰、准确、客观，具有可追溯性。</w:t>
      </w:r>
    </w:p>
    <w:p w14:paraId="64E22D2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能够对测试中发现的问题进行深入分析，提出有效的改进措施和建议，协助采购方优化</w:t>
      </w:r>
      <w:r>
        <w:rPr>
          <w:rFonts w:hint="eastAsia" w:asciiTheme="minorEastAsia" w:hAnsi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eastAsia="zh-CN"/>
        </w:rPr>
        <w:t>软件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  <w:lang w:val="zh-CN"/>
        </w:rPr>
        <w:t>系统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。</w:t>
      </w:r>
    </w:p>
    <w:p w14:paraId="65F4418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六、技术支持与培训</w:t>
      </w:r>
    </w:p>
    <w:p w14:paraId="5A3CB57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在测试过程中，为采购方提供必要的技术支持和咨询服务，解答相关技术问题。</w:t>
      </w:r>
    </w:p>
    <w:p w14:paraId="4D39FCA6">
      <w:pPr>
        <w:keepNext w:val="0"/>
        <w:keepLines w:val="0"/>
        <w:widowControl/>
        <w:numPr>
          <w:ilvl w:val="0"/>
          <w:numId w:val="5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为采购方相关人员提供测试设备和软件的使用培训，使其能够熟练掌握测试操作和数据分析方法。</w:t>
      </w:r>
    </w:p>
    <w:p w14:paraId="15AE4D99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eastAsia" w:asciiTheme="minorEastAsia" w:hAnsiTheme="minorEastAsia" w:eastAsiaTheme="minorEastAsia" w:cstheme="minorEastAsia"/>
          <w:i w:val="0"/>
          <w:caps w:val="0"/>
          <w:spacing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七、保密与知识产权</w:t>
      </w:r>
    </w:p>
    <w:p w14:paraId="4D6B9116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0" w:beforeAutospacing="1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供应商应对测试过程中涉及的移动机器人技术和相关数据严格保密，未经采购方书面许可，不得向第三方透露。</w:t>
      </w:r>
    </w:p>
    <w:p w14:paraId="42F06B39">
      <w:pPr>
        <w:keepNext w:val="0"/>
        <w:keepLines w:val="0"/>
        <w:widowControl/>
        <w:numPr>
          <w:ilvl w:val="0"/>
          <w:numId w:val="6"/>
        </w:numPr>
        <w:suppressLineNumbers w:val="0"/>
        <w:pBdr>
          <w:left w:val="none" w:color="auto" w:sz="0" w:space="0"/>
        </w:pBdr>
        <w:spacing w:before="144" w:beforeAutospacing="0" w:after="0" w:afterAutospacing="1"/>
        <w:ind w:left="720" w:hanging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222222"/>
          <w:spacing w:val="0"/>
          <w:sz w:val="24"/>
          <w:szCs w:val="24"/>
          <w:shd w:val="clear" w:fill="FFFFFF"/>
        </w:rPr>
        <w:t>测试过程中产生的知识产权归采购方所有，供应商不得擅自使用或转让。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A42899"/>
    <w:multiLevelType w:val="multilevel"/>
    <w:tmpl w:val="B6A4289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B57627A"/>
    <w:multiLevelType w:val="multilevel"/>
    <w:tmpl w:val="DB5762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CE0AE91"/>
    <w:multiLevelType w:val="multilevel"/>
    <w:tmpl w:val="0CE0AE9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2E15C87F"/>
    <w:multiLevelType w:val="multilevel"/>
    <w:tmpl w:val="2E15C87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52D83C44"/>
    <w:multiLevelType w:val="multilevel"/>
    <w:tmpl w:val="52D83C4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7419CF40"/>
    <w:multiLevelType w:val="multilevel"/>
    <w:tmpl w:val="7419CF4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361280"/>
    <w:rsid w:val="11F36DEB"/>
    <w:rsid w:val="11F578C9"/>
    <w:rsid w:val="15B97C06"/>
    <w:rsid w:val="1D361280"/>
    <w:rsid w:val="236C60F0"/>
    <w:rsid w:val="23E548A1"/>
    <w:rsid w:val="2ADE005F"/>
    <w:rsid w:val="3EB51949"/>
    <w:rsid w:val="48175984"/>
    <w:rsid w:val="5DD15CE5"/>
    <w:rsid w:val="604045B8"/>
    <w:rsid w:val="61C6701F"/>
    <w:rsid w:val="6CA74B62"/>
    <w:rsid w:val="6DDF5D85"/>
    <w:rsid w:val="78C13C8A"/>
    <w:rsid w:val="7BF23E73"/>
    <w:rsid w:val="BF5E1508"/>
    <w:rsid w:val="F56F65AA"/>
    <w:rsid w:val="F96B4128"/>
    <w:rsid w:val="FFFF7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Office_12.1.2.24720_F1E327BC-269C-435d-A152-05C5408002CA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2024-07-04T12:16:00Z</dcterms:created>
  <dc:creator>Administrator</dc:creator>
  <cp:lastModifiedBy>lishimei2</cp:lastModifiedBy>
  <dcterms:modified xsi:type="dcterms:W3CDTF">2026-05-14T17:15:42Z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2052-12.1.2.24720</vt:lpwstr>
  </property>
  <property fmtid="{D5CDD505-2E9C-101B-9397-08002B2CF9AE}" pid="3" name="ICV">
    <vt:lpwstr>D5C1CBE96F0B5F776B43056AC7C281B1_42</vt:lpwstr>
  </property>
</Properties>
</file>