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eastAsiaTheme="minorEastAsia"/>
        </w:rPr>
      </w:pPr>
      <w:r>
        <w:rPr>
          <w:rFonts w:eastAsia="黑体"/>
          <w:sz w:val="4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-1673860</wp:posOffset>
            </wp:positionH>
            <wp:positionV relativeFrom="paragraph">
              <wp:posOffset>-935990</wp:posOffset>
            </wp:positionV>
            <wp:extent cx="8447405" cy="2593340"/>
            <wp:effectExtent l="0" t="0" r="10795" b="1651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黑体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黑体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黑体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黑体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</w:pPr>
      <w:bookmarkStart w:id="0" w:name="_GoBack"/>
      <w:r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  <w:t>数字电网公司</w:t>
      </w:r>
      <w:bookmarkEnd w:id="0"/>
      <w:r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  <w:t>2026年经营物资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</w:pPr>
      <w:r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  <w:t>物流服务项目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 w:val="0"/>
          <w:sz w:val="48"/>
          <w:szCs w:val="48"/>
          <w:u w:val="single"/>
        </w:rPr>
      </w:pPr>
      <w:r>
        <w:rPr>
          <w:rFonts w:hint="eastAsia" w:ascii="黑体" w:hAnsi="黑体" w:eastAsia="黑体" w:cs="黑体"/>
          <w:b/>
          <w:bCs w:val="0"/>
          <w:sz w:val="48"/>
          <w:szCs w:val="48"/>
          <w:u w:val="single"/>
          <w:lang w:val="en-US" w:eastAsia="zh-CN"/>
        </w:rPr>
        <w:t>技术规范书</w:t>
      </w:r>
    </w:p>
    <w:p>
      <w:pPr>
        <w:jc w:val="both"/>
        <w:rPr>
          <w:rFonts w:hint="eastAsia" w:eastAsia="黑体"/>
          <w:bCs/>
          <w:sz w:val="44"/>
          <w:szCs w:val="36"/>
          <w:u w:val="single"/>
          <w:lang w:val="en-US" w:eastAsia="zh-CN"/>
        </w:rPr>
      </w:pPr>
    </w:p>
    <w:p>
      <w:pPr>
        <w:jc w:val="center"/>
        <w:rPr>
          <w:rFonts w:hint="eastAsia" w:eastAsia="黑体"/>
          <w:sz w:val="48"/>
        </w:rPr>
      </w:pPr>
    </w:p>
    <w:p>
      <w:pPr>
        <w:jc w:val="center"/>
        <w:rPr>
          <w:rFonts w:hint="eastAsia" w:eastAsia="黑体"/>
          <w:sz w:val="48"/>
        </w:rPr>
      </w:pPr>
    </w:p>
    <w:p>
      <w:pPr>
        <w:jc w:val="center"/>
        <w:rPr>
          <w:rFonts w:hint="eastAsia" w:eastAsia="黑体"/>
          <w:sz w:val="48"/>
        </w:rPr>
      </w:pPr>
    </w:p>
    <w:p>
      <w:pPr>
        <w:jc w:val="center"/>
        <w:rPr>
          <w:rFonts w:hint="eastAsia" w:eastAsia="黑体"/>
          <w:sz w:val="48"/>
        </w:rPr>
      </w:pPr>
    </w:p>
    <w:p>
      <w:pPr>
        <w:jc w:val="center"/>
        <w:rPr>
          <w:rFonts w:hint="eastAsia" w:eastAsia="黑体"/>
          <w:sz w:val="48"/>
        </w:rPr>
      </w:pPr>
    </w:p>
    <w:p>
      <w:pPr>
        <w:jc w:val="center"/>
        <w:rPr>
          <w:rFonts w:eastAsia="黑体"/>
          <w:sz w:val="48"/>
        </w:rPr>
      </w:pPr>
      <w:r>
        <w:rPr>
          <w:rFonts w:hint="eastAsia" w:eastAsia="黑体"/>
          <w:sz w:val="48"/>
        </w:rPr>
        <w:t xml:space="preserve">            </w:t>
      </w:r>
    </w:p>
    <w:p>
      <w:pPr>
        <w:pStyle w:val="3"/>
        <w:jc w:val="both"/>
      </w:pPr>
    </w:p>
    <w:p/>
    <w:p>
      <w:pPr>
        <w:pStyle w:val="5"/>
        <w:ind w:left="480"/>
      </w:pPr>
    </w:p>
    <w:p>
      <w:pPr>
        <w:jc w:val="center"/>
        <w:rPr>
          <w:rFonts w:hint="default" w:ascii="Calibri" w:hAnsi="Calibri" w:eastAsia="黑体"/>
          <w:sz w:val="30"/>
          <w:lang w:val="en-US" w:eastAsia="zh-CN"/>
        </w:rPr>
      </w:pPr>
      <w:r>
        <w:rPr>
          <w:rFonts w:hint="eastAsia" w:ascii="黑体" w:hAnsi="黑体" w:eastAsia="黑体"/>
          <w:b/>
          <w:sz w:val="36"/>
        </w:rPr>
        <w:t>南方电网数字电网科技（广东）有限公司</w:t>
      </w:r>
    </w:p>
    <w:p>
      <w:pPr>
        <w:jc w:val="center"/>
        <w:rPr>
          <w:rFonts w:hint="eastAsia" w:ascii="黑体" w:hAnsi="黑体" w:eastAsia="黑体"/>
          <w:b/>
          <w:sz w:val="36"/>
        </w:rPr>
      </w:pPr>
      <w:r>
        <w:rPr>
          <w:rFonts w:hint="eastAsia" w:ascii="黑体" w:hAnsi="黑体" w:eastAsia="黑体"/>
          <w:b/>
          <w:sz w:val="36"/>
          <w:lang w:val="en-US" w:eastAsia="zh-CN"/>
        </w:rPr>
        <w:t>2026</w:t>
      </w:r>
      <w:r>
        <w:rPr>
          <w:rFonts w:hint="eastAsia" w:ascii="黑体" w:hAnsi="黑体" w:eastAsia="黑体"/>
          <w:b/>
          <w:sz w:val="36"/>
        </w:rPr>
        <w:t>年</w:t>
      </w:r>
      <w:r>
        <w:rPr>
          <w:rFonts w:hint="eastAsia" w:ascii="黑体" w:hAnsi="黑体" w:eastAsia="黑体"/>
          <w:b/>
          <w:sz w:val="36"/>
          <w:lang w:val="en-US" w:eastAsia="zh-CN"/>
        </w:rPr>
        <w:t>5</w:t>
      </w:r>
      <w:r>
        <w:rPr>
          <w:rFonts w:hint="eastAsia" w:ascii="黑体" w:hAnsi="黑体" w:eastAsia="黑体"/>
          <w:b/>
          <w:sz w:val="36"/>
        </w:rPr>
        <w:t>月</w:t>
      </w:r>
    </w:p>
    <w:p>
      <w:pPr>
        <w:pStyle w:val="3"/>
        <w:rPr>
          <w:rFonts w:hint="eastAsia"/>
        </w:rPr>
        <w:sectPr>
          <w:headerReference r:id="rId3" w:type="default"/>
          <w:footerReference r:id="rId4" w:type="default"/>
          <w:pgSz w:w="11906" w:h="16838"/>
          <w:pgMar w:top="1440" w:right="1800" w:bottom="1440" w:left="138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一、项目概况</w:t>
      </w:r>
    </w:p>
    <w:p>
      <w:pPr>
        <w:adjustRightInd w:val="0"/>
        <w:snapToGrid w:val="0"/>
        <w:spacing w:line="360" w:lineRule="auto"/>
        <w:ind w:firstLine="560" w:firstLineChars="200"/>
        <w:outlineLvl w:val="9"/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  <w:t>为满足公司业务发展的需要，规范经营物资物流服务，提升物流服务质量和效率，节约公司物流成本，现通过公开方式选定物流服务商。本项目旨在通过专业化物流服务，实现经营物资的安全、准时、高效运输与配送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二、服务内容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 xml:space="preserve">（一） 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服务范围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始发地点：广州为主（必要时扩展至公司其他仓库所在地）。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配送区域：中国全境。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（二）服务模式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门到门运输：从指定取件点（公司仓库或项目现场）揽收，安全送达客户指定地点。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紧急寄递：针对突发紧急需求，提供优先处理通道。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（三）报价与计费方式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本项目采用统一下浮率报价方式（详见《报价表》）。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计费重量：取实际重量与体积重的较大值。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3.需明确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体积重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系数。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计算公式：体积重(kg) = 长(cm) × 宽(cm) × 高(cm) /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u w:val="single"/>
          <w:lang w:val="en-US" w:eastAsia="zh-CN"/>
        </w:rPr>
        <w:t>系数值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highlight w:val="none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报价含税，供应商须明确适用增值税税率（6%）。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三、服务要求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（一）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揽收响应时效</w:t>
      </w:r>
    </w:p>
    <w:tbl>
      <w:tblPr>
        <w:tblStyle w:val="9"/>
        <w:tblW w:w="90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14"/>
        <w:gridCol w:w="7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514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服务类型</w:t>
            </w:r>
          </w:p>
        </w:tc>
        <w:tc>
          <w:tcPr>
            <w:tcW w:w="7510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="536" w:firstLineChars="200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响应要求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14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普通寄件</w:t>
            </w:r>
          </w:p>
        </w:tc>
        <w:tc>
          <w:tcPr>
            <w:tcW w:w="7510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工作日下单后2</w:t>
            </w:r>
            <w:r>
              <w:rPr>
                <w:rFonts w:hint="eastAsia" w:ascii="宋体" w:hAnsi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至6</w:t>
            </w: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小时内上门取件；周六日及节假日需提前预约，最迟次日上午取件。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14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紧急寄件</w:t>
            </w:r>
          </w:p>
        </w:tc>
        <w:tc>
          <w:tcPr>
            <w:tcW w:w="7510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lang w:val="en-US" w:eastAsia="zh-CN"/>
              </w:rPr>
              <w:t>收到通知后30分钟内安排配送员到达取件点，并全程保持物流追踪系统实时更新。</w:t>
            </w:r>
          </w:p>
        </w:tc>
      </w:tr>
    </w:tbl>
    <w:p>
      <w:pPr>
        <w:pStyle w:val="8"/>
        <w:ind w:left="453" w:leftChars="215" w:hanging="2" w:hangingChars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（二）配送时效承诺</w:t>
      </w:r>
    </w:p>
    <w:tbl>
      <w:tblPr>
        <w:tblStyle w:val="9"/>
        <w:tblW w:w="90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4"/>
        <w:gridCol w:w="3486"/>
        <w:gridCol w:w="37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  <w:tblHeader/>
        </w:trPr>
        <w:tc>
          <w:tcPr>
            <w:tcW w:w="1814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服务类型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区域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承诺时效（从揽收至签收）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普通寄件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同城（广州市内）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次日达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普通寄件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广东省内地市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48</w:t>
            </w: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普通寄件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华南、华东、华中主要城市（省会）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72</w:t>
            </w: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普通寄件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偏远地区（新疆、西藏、青海、内蒙、云南部分）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3-7天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紧急寄件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同城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6-8小时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紧急寄件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广东省内及省会城市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次日达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紧急寄件</w:t>
            </w:r>
          </w:p>
        </w:tc>
        <w:tc>
          <w:tcPr>
            <w:tcW w:w="3486" w:type="dxa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偏远地区</w:t>
            </w:r>
          </w:p>
        </w:tc>
        <w:tc>
          <w:tcPr>
            <w:tcW w:w="3724" w:type="dxa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outlineLvl w:val="0"/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color w:val="auto"/>
                <w:spacing w:val="-6"/>
                <w:sz w:val="28"/>
                <w:szCs w:val="28"/>
                <w:shd w:val="clear" w:color="auto" w:fill="auto"/>
                <w:lang w:val="en-US" w:eastAsia="zh-CN"/>
              </w:rPr>
              <w:t>≤72小时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（三）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包装与操作规范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供应商须对易碎品、高价值物资进行防震、防潮、防静电包装，外箱粘贴“易碎”“向上”等标识。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收寄时发现包装不合规，应主动通知采购人整改，整改后方可发运。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收寄后须依据规范进行二次加固封装，严禁随意抛掷。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（四）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签收回单要求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电子回单：签收后24小时内拍照上传。照片须清晰显示收货人签字、日期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等关键信息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纸质回单：如有特殊要求，供应商应提供纸质签收单原件，按月整理寄回采购人。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（五）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在途跟踪与异常预警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供应商须提供物流轨迹查询接口（API）或每日邮件推送服务。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发生延误、破损、退回等异常状态，须在2小时内主动通知采购人指定对接人，并说明原因及预计解决时间。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紧急寄件须全程保持追踪系统实时更新，节点至少包括：揽收、运输中、派送中、签收。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（六）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安全与保密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供应商及从业人员须严格遵守《邮政法》及禁限寄物品规定，严禁寄递枪支弹药、易燃易爆品、毒品等违禁品。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执行收寄验视制度，对不符合规定的邮件予以退回并说明。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建立信息保密机制：严禁泄露寄递信息（包括物品清单、收发方姓名、地址、电话等敏感数据），违者承担全部法律责任。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快递运单等原始记录保存2年以上，供采购人随时调阅。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四、服务团队与人员行为规范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（一）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团队配置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供应商须成立专职服务团队，指定固定的业务对接人和投诉对接人，确保沟通顺畅。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在采购人发货点（广州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为主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），至少配置一名专职服务联系人，负责日常取派件协调。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（二）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人员行为规范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服务团队需主动配合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开展邮件收寄全流程工作。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cs="Times New Roman" w:asciiTheme="minorEastAsia" w:hAnsiTheme="minorEastAsia" w:eastAsiaTheme="minorEastAsia"/>
          <w:kern w:val="0"/>
          <w:sz w:val="24"/>
          <w:szCs w:val="30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进入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指定办公场所取件时，须统一穿着职业制服并规范佩戴工作证件</w:t>
      </w:r>
      <w:r>
        <w:rPr>
          <w:rFonts w:hint="eastAsia" w:cs="Times New Roman" w:asciiTheme="minorEastAsia" w:hAnsiTheme="minorEastAsia" w:eastAsiaTheme="minorEastAsia"/>
          <w:kern w:val="0"/>
          <w:sz w:val="24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服务过程中必须具备专业的服务意识、职业道德及职业操守。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在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工作场所服务期间，严格遵守其规章制度，严禁发生侵占财物、欺诈造假等行为，违者将按情节轻重予以严肃处理，涉嫌违法者移交司法机关。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收取邮件后须依据包装规范进行妥善封装，杜绝因随意抛掷物品引发投诉。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服务期间尊重</w:t>
      </w: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工作人员，服从现场管理安排，避免发生冲突事件。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36" w:firstLineChars="200"/>
        <w:textAlignment w:val="auto"/>
        <w:outlineLvl w:val="0"/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pacing w:val="-6"/>
          <w:sz w:val="28"/>
          <w:szCs w:val="28"/>
          <w:lang w:val="en-US" w:eastAsia="zh-CN"/>
        </w:rPr>
        <w:t>7.</w:t>
      </w:r>
      <w:r>
        <w:rPr>
          <w:rFonts w:hint="eastAsia" w:ascii="宋体" w:hAnsi="宋体" w:eastAsia="宋体" w:cs="宋体"/>
          <w:b w:val="0"/>
          <w:color w:val="000000"/>
          <w:spacing w:val="-6"/>
          <w:sz w:val="28"/>
          <w:szCs w:val="28"/>
          <w:lang w:val="en-US" w:eastAsia="zh-CN"/>
        </w:rPr>
        <w:t>严格按照约定时间完成邮件寄递，确保无物品遗失或配送延迟。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五、服务承诺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为保障邮寄服务品质与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员工满意度，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报价人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自服务开始之日起郑重承诺如下：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000000"/>
          <w:spacing w:val="-6"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000000"/>
          <w:spacing w:val="-6"/>
          <w:kern w:val="2"/>
          <w:sz w:val="28"/>
          <w:szCs w:val="28"/>
          <w:lang w:val="en-US" w:eastAsia="zh-CN" w:bidi="ar-SA"/>
        </w:rPr>
        <w:t>基础服务保障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建立标准化作业流程并强化执行监督，通过系统化质量管理确保服务全流程顺畅运作。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投诉处理机制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报价人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必须设立固定的投诉处理接口人，处理相关的投诉。所有投诉响应标准及处理方案需提前报请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审批备案。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处理投诉的工作人员必须保持良好的服务态度，严禁出现推诿扯皮或无故拖延等行为。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经核实因投诉事件造成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采购人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直接经济损失的，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报价人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须承担全额赔偿责任。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建立服务态度问责制度：根据投诉严重程度对涉事配送人员实施分级考核，同一人员月度累计投诉达3次及以上者，永久取消其参与招标方配送项目的资格。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default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六、项目服务时间与结算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（一）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服务时间：自合同签订之日起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五个月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default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（二）按月据实结算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每月5日前，供应商提供上月对账单（含日期、运单号、始发地、目的地、发货人、件数、重量、金额、增值服务费等详细数据）</w:t>
      </w:r>
      <w:r>
        <w:rPr>
          <w:rFonts w:hint="eastAsia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。</w:t>
      </w:r>
      <w:r>
        <w:rPr>
          <w:rFonts w:hint="default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采购人核对无误后通知供应商开具增值税专用发票。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left="0" w:leftChars="0" w:firstLine="536" w:firstLineChars="200"/>
        <w:textAlignment w:val="auto"/>
        <w:rPr>
          <w:rFonts w:hint="default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（三）</w:t>
      </w:r>
      <w:r>
        <w:rPr>
          <w:rFonts w:hint="default" w:ascii="宋体" w:hAnsi="宋体" w:eastAsia="宋体" w:cs="宋体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  <w:t>付款期限：收到发票后30日内支付。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 w:cs="Times New Roman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七、报价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本项目报价方式为下浮率报价，报价保留小数点后两位，具体请见《报价表》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2.物流服务费用将根据每月实际发生的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物流运输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业务量，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按成交单价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据实结算。包装材料费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及保价费等，应不高于报价人官方标准价折扣率收费，并在报价时说明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价格锁定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服务期内（5个月）不得涨价，不得收取未在报价表中列明的费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用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  <w:lang w:val="en-US" w:eastAsia="zh-CN"/>
        </w:rPr>
        <w:t>。如遇燃油附加费大幅波动，双方可友好协商，但涨幅不得超过国家法定标准。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BC43C8"/>
    <w:multiLevelType w:val="multilevel"/>
    <w:tmpl w:val="96BC43C8"/>
    <w:lvl w:ilvl="0" w:tentative="0">
      <w:start w:val="1"/>
      <w:numFmt w:val="decimal"/>
      <w:pStyle w:val="4"/>
      <w:lvlText w:val="%1."/>
      <w:lvlJc w:val="left"/>
      <w:pPr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"/>
      <w:lvlJc w:val="left"/>
      <w:pPr>
        <w:ind w:left="575" w:hanging="575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yN2I5OThiZTBjNzUyMjVkNWM1YjNjY2JhNmY1NDUifQ=="/>
  </w:docVars>
  <w:rsids>
    <w:rsidRoot w:val="18BB4B69"/>
    <w:rsid w:val="01BF6469"/>
    <w:rsid w:val="02A1499E"/>
    <w:rsid w:val="0874200A"/>
    <w:rsid w:val="098D0766"/>
    <w:rsid w:val="0C531993"/>
    <w:rsid w:val="0F0B2485"/>
    <w:rsid w:val="10A16D96"/>
    <w:rsid w:val="11486560"/>
    <w:rsid w:val="18BB4B69"/>
    <w:rsid w:val="19DD2F84"/>
    <w:rsid w:val="1A9842C5"/>
    <w:rsid w:val="2B381388"/>
    <w:rsid w:val="2C665638"/>
    <w:rsid w:val="2E3D7829"/>
    <w:rsid w:val="2E756E38"/>
    <w:rsid w:val="30DD78E8"/>
    <w:rsid w:val="32821B23"/>
    <w:rsid w:val="376339DF"/>
    <w:rsid w:val="38200E85"/>
    <w:rsid w:val="3A6F2A7D"/>
    <w:rsid w:val="3C7A0C7B"/>
    <w:rsid w:val="451D00EB"/>
    <w:rsid w:val="467B6781"/>
    <w:rsid w:val="4D5011D4"/>
    <w:rsid w:val="4D811942"/>
    <w:rsid w:val="56612B43"/>
    <w:rsid w:val="57D4685F"/>
    <w:rsid w:val="580F0885"/>
    <w:rsid w:val="5A6741A5"/>
    <w:rsid w:val="78441CF7"/>
    <w:rsid w:val="7C257940"/>
    <w:rsid w:val="7E4B1864"/>
    <w:rsid w:val="7E5709E9"/>
    <w:rsid w:val="7F19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rFonts w:ascii="Calibri" w:hAnsi="Calibri" w:eastAsia="黑体" w:cs="Times New Roman"/>
      <w:b/>
      <w:kern w:val="44"/>
      <w:sz w:val="2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99"/>
    <w:pPr>
      <w:spacing w:before="240" w:after="180"/>
      <w:jc w:val="center"/>
      <w:outlineLvl w:val="0"/>
    </w:pPr>
    <w:rPr>
      <w:rFonts w:ascii="Arial" w:hAnsi="Arial" w:eastAsia="方正小标宋_GBK" w:cs="Arial"/>
      <w:bCs/>
      <w:color w:val="000000" w:themeColor="text1"/>
      <w:szCs w:val="32"/>
      <w14:textFill>
        <w14:solidFill>
          <w14:schemeClr w14:val="tx1"/>
        </w14:solidFill>
      </w14:textFill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296"/>
      </w:tabs>
      <w:ind w:left="425" w:hanging="425" w:firstLineChars="0"/>
    </w:pPr>
    <w:rPr>
      <w:rFonts w:ascii="Times New Roman" w:hAnsi="Times New Roman" w:eastAsia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2440</Words>
  <Characters>2503</Characters>
  <Lines>0</Lines>
  <Paragraphs>0</Paragraphs>
  <TotalTime>24</TotalTime>
  <ScaleCrop>false</ScaleCrop>
  <LinksUpToDate>false</LinksUpToDate>
  <CharactersWithSpaces>2506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2023-02-14T02:43:00Z</dcterms:created>
  <dc:creator>阳光明媚</dc:creator>
  <cp:lastModifiedBy>E42993879828136AE053064310AC0894</cp:lastModifiedBy>
  <dcterms:modified xsi:type="dcterms:W3CDTF">2026-05-20T10:21:33Z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C48073D2CEB54936864BFACB9D61E30B</vt:lpwstr>
  </property>
</Properties>
</file>