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yellow"/>
          <w:lang w:val="en-US" w:eastAsia="zh-CN"/>
        </w:rPr>
      </w:pPr>
      <w:r>
        <w:rPr>
          <w:rFonts w:hint="eastAsia"/>
          <w:i w:val="0"/>
          <w:iCs/>
          <w:sz w:val="48"/>
          <w:szCs w:val="48"/>
          <w:highlight w:val="none"/>
          <w:lang w:eastAsia="zh-CN"/>
        </w:rPr>
        <w:t>信通分公司2026年局域网建设与改造-TAP流量汇聚设备购置购置项目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_Toc31966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_Toc31966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_Toc20591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_Toc20591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_Toc25454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_Toc25454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_Toc73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_Toc73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_Toc27490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_Toc27490 \h </w:instrText>
      </w:r>
      <w:r>
        <w:fldChar w:fldCharType="separate"/>
      </w:r>
      <w:r>
        <w:t>- 1 -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_Toc23431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_Toc23431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_Toc21370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_Toc21370 \h </w:instrText>
      </w:r>
      <w:r>
        <w:fldChar w:fldCharType="separate"/>
      </w:r>
      <w:r>
        <w:t>- 1 -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_Toc15467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_Toc15467 \h </w:instrText>
      </w:r>
      <w:r>
        <w:fldChar w:fldCharType="separate"/>
      </w:r>
      <w:r>
        <w:t>- 2 -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_Toc20840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_Toc20840 \h </w:instrText>
      </w:r>
      <w:r>
        <w:fldChar w:fldCharType="separate"/>
      </w:r>
      <w:r>
        <w:t>- 3 -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_Toc7284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_Toc7284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_Toc28924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rFonts w:hint="eastAsia"/>
          <w:highlight w:val="none"/>
          <w:lang w:eastAsia="zh-CN"/>
        </w:rPr>
        <w:t>（模板，标黄部分可修改）</w:t>
      </w:r>
      <w:r>
        <w:tab/>
      </w:r>
      <w:r>
        <w:fldChar w:fldCharType="begin"/>
      </w:r>
      <w:r>
        <w:instrText xml:space="preserve"> PAGEREF _Toc28924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_Toc5966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_Toc5966 \h </w:instrText>
      </w:r>
      <w:r>
        <w:fldChar w:fldCharType="separate"/>
      </w:r>
      <w:r>
        <w:t>- 3 -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_Toc10695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_Toc10695 \h </w:instrText>
      </w:r>
      <w:r>
        <w:fldChar w:fldCharType="separate"/>
      </w:r>
      <w:r>
        <w:t>- 5 -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_Toc20092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_Toc20092 \h </w:instrText>
      </w:r>
      <w:r>
        <w:fldChar w:fldCharType="separate"/>
      </w:r>
      <w:r>
        <w:t>- 5 -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_Toc18097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_Toc18097 \h </w:instrText>
      </w:r>
      <w:r>
        <w:fldChar w:fldCharType="separate"/>
      </w:r>
      <w:r>
        <w:t>- 6 -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_Toc31495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_Toc31495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_Toc22353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_Toc22353 \h </w:instrText>
      </w:r>
      <w:r>
        <w:fldChar w:fldCharType="separate"/>
      </w:r>
      <w:r>
        <w:t>- 9 -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_Toc9724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_Toc9724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_Toc24851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_Toc24851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_Toc1405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_Toc1405 \h </w:instrText>
      </w:r>
      <w:r>
        <w:fldChar w:fldCharType="separate"/>
      </w:r>
      <w:r>
        <w:t>- 9 -</w:t>
      </w:r>
      <w:r>
        <w:fldChar w:fldCharType="end"/>
      </w:r>
      <w:r>
        <w:rPr>
          <w:caps w:val="0"/>
          <w:szCs w:val="24"/>
          <w:highlight w:val="none"/>
        </w:rPr>
        <w:fldChar w:fldCharType="end"/>
      </w:r>
    </w:p>
    <w:p>
      <w:pPr>
        <w:pStyle w:val="29"/>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_Toc30308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_Toc30308 \h </w:instrText>
      </w:r>
      <w:r>
        <w:fldChar w:fldCharType="separate"/>
      </w:r>
      <w:r>
        <w:t>- 10 -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_Toc11181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_Toc11181 \h </w:instrText>
      </w:r>
      <w:r>
        <w:fldChar w:fldCharType="separate"/>
      </w:r>
      <w:r>
        <w:t>- 10 -</w:t>
      </w:r>
      <w:r>
        <w:fldChar w:fldCharType="end"/>
      </w:r>
      <w:r>
        <w:rPr>
          <w:caps w:val="0"/>
          <w:szCs w:val="24"/>
          <w:highlight w:val="none"/>
        </w:rPr>
        <w:fldChar w:fldCharType="end"/>
      </w:r>
    </w:p>
    <w:p>
      <w:pPr>
        <w:pStyle w:val="2"/>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_Toc19591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_Toc19591 \h </w:instrText>
      </w:r>
      <w:r>
        <w:fldChar w:fldCharType="separate"/>
      </w:r>
      <w:r>
        <w:t>- 10 -</w:t>
      </w:r>
      <w:r>
        <w:fldChar w:fldCharType="end"/>
      </w:r>
      <w:r>
        <w:rPr>
          <w:caps w:val="0"/>
          <w:szCs w:val="24"/>
          <w:highlight w:val="none"/>
        </w:rPr>
        <w:fldChar w:fldCharType="end"/>
      </w:r>
    </w:p>
    <w:p>
      <w:pPr>
        <w:pStyle w:val="2"/>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24406412"/>
      <w:bookmarkStart w:id="1" w:name="_Toc15516"/>
      <w:bookmarkStart w:id="2" w:name="_Toc31966"/>
      <w:bookmarkStart w:id="3" w:name="_Ref191806497"/>
      <w:bookmarkStart w:id="4" w:name="_Toc6793"/>
      <w:bookmarkStart w:id="5" w:name="_Toc523850196"/>
      <w:bookmarkStart w:id="6" w:name="_Toc407415869"/>
      <w:bookmarkStart w:id="7" w:name="_Toc407417356"/>
      <w:bookmarkStart w:id="8" w:name="_Toc411269790"/>
      <w:bookmarkStart w:id="9" w:name="_Toc411267585"/>
      <w:bookmarkStart w:id="10" w:name="_Toc407982391"/>
      <w:bookmarkStart w:id="11" w:name="_Toc411269791"/>
      <w:bookmarkStart w:id="12" w:name="_Toc407415870"/>
      <w:bookmarkStart w:id="13" w:name="_Toc411267586"/>
      <w:bookmarkStart w:id="14" w:name="_Toc407417357"/>
      <w:bookmarkStart w:id="15" w:name="_Toc407982392"/>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523850197"/>
      <w:bookmarkStart w:id="17" w:name="_Toc25438"/>
      <w:bookmarkStart w:id="18" w:name="_Toc20591"/>
      <w:bookmarkStart w:id="19" w:name="_Toc124406413"/>
      <w:bookmarkStart w:id="20" w:name="_Toc10091"/>
      <w:r>
        <w:rPr>
          <w:rFonts w:hint="eastAsia"/>
          <w:color w:val="auto"/>
          <w:highlight w:val="none"/>
        </w:rPr>
        <w:t>项目建设范围</w:t>
      </w:r>
      <w:bookmarkEnd w:id="16"/>
      <w:bookmarkEnd w:id="17"/>
      <w:bookmarkEnd w:id="18"/>
      <w:bookmarkEnd w:id="19"/>
      <w:bookmarkEnd w:id="20"/>
    </w:p>
    <w:p>
      <w:pPr>
        <w:keepNext w:val="0"/>
        <w:keepLines w:val="0"/>
        <w:pageBreakBefore w:val="0"/>
        <w:widowControl w:val="0"/>
        <w:kinsoku/>
        <w:wordWrap/>
        <w:overflowPunct/>
        <w:topLinePunct w:val="0"/>
        <w:autoSpaceDE/>
        <w:autoSpaceDN/>
        <w:bidi w:val="0"/>
        <w:spacing w:line="600" w:lineRule="exact"/>
        <w:ind w:firstLine="480"/>
        <w:textAlignment w:val="auto"/>
        <w:rPr>
          <w:rFonts w:hint="eastAsia"/>
        </w:rPr>
      </w:pPr>
      <w:bookmarkStart w:id="21" w:name="_Toc124406414"/>
      <w:bookmarkStart w:id="22" w:name="_Toc523850198"/>
      <w:bookmarkStart w:id="23" w:name="_Toc14021"/>
      <w:bookmarkStart w:id="24" w:name="_Toc3485"/>
      <w:r>
        <w:rPr>
          <w:rFonts w:hint="eastAsia" w:ascii="宋体" w:hAnsi="宋体" w:cs="宋体"/>
          <w:lang w:eastAsia="zh-CN"/>
        </w:rPr>
        <w:t>本项目范围为信通分公司2026年局域网建设与改造-TAP流量汇聚设备购置。</w:t>
      </w:r>
    </w:p>
    <w:p>
      <w:pPr>
        <w:keepNext w:val="0"/>
        <w:keepLines w:val="0"/>
        <w:pageBreakBefore w:val="0"/>
        <w:widowControl w:val="0"/>
        <w:kinsoku/>
        <w:wordWrap/>
        <w:overflowPunct/>
        <w:topLinePunct w:val="0"/>
        <w:autoSpaceDE/>
        <w:autoSpaceDN/>
        <w:bidi w:val="0"/>
        <w:spacing w:line="600" w:lineRule="exact"/>
        <w:ind w:firstLine="480"/>
        <w:textAlignment w:val="auto"/>
        <w:rPr>
          <w:rFonts w:hint="eastAsia"/>
          <w:highlight w:val="none"/>
        </w:rPr>
      </w:pPr>
      <w:r>
        <w:rPr>
          <w:rFonts w:hint="eastAsia"/>
        </w:rPr>
        <w:t>目前海南电网公司西海岸数据中心机房无TAP流量汇聚设备，数据镜像无法实现一源多目的镜像，需采购</w:t>
      </w:r>
      <w:r>
        <w:rPr>
          <w:rFonts w:hint="eastAsia"/>
          <w:lang w:val="en-US" w:eastAsia="zh-CN"/>
        </w:rPr>
        <w:t>8</w:t>
      </w:r>
      <w:r>
        <w:rPr>
          <w:rFonts w:hint="eastAsia"/>
        </w:rPr>
        <w:t>台TAP流量汇聚设备，实现实现一源多目镜像，满足各种设备对镜像数据的需求。其中1台用于III区数据中心IDC区，1台用于III区外联区；1台用于</w:t>
      </w:r>
      <w:r>
        <w:rPr>
          <w:rFonts w:hint="eastAsia"/>
          <w:lang w:val="en-US" w:eastAsia="zh-CN"/>
        </w:rPr>
        <w:t>IV</w:t>
      </w:r>
      <w:r>
        <w:rPr>
          <w:rFonts w:hint="eastAsia"/>
        </w:rPr>
        <w:t>区数据中心IDC区，1台用于</w:t>
      </w:r>
      <w:r>
        <w:rPr>
          <w:rFonts w:hint="eastAsia"/>
          <w:lang w:val="en-US" w:eastAsia="zh-CN"/>
        </w:rPr>
        <w:t>IV</w:t>
      </w:r>
      <w:r>
        <w:rPr>
          <w:rFonts w:hint="eastAsia"/>
        </w:rPr>
        <w:t>区非信息化区，1台用于</w:t>
      </w:r>
      <w:r>
        <w:rPr>
          <w:rFonts w:hint="eastAsia"/>
          <w:lang w:val="en-US" w:eastAsia="zh-CN"/>
        </w:rPr>
        <w:t>IV</w:t>
      </w:r>
      <w:r>
        <w:rPr>
          <w:rFonts w:hint="eastAsia"/>
        </w:rPr>
        <w:t>区外联区。 1台用于</w:t>
      </w:r>
      <w:r>
        <w:rPr>
          <w:rFonts w:hint="eastAsia"/>
          <w:lang w:val="en-US" w:eastAsia="zh-CN"/>
        </w:rPr>
        <w:t>V</w:t>
      </w:r>
      <w:r>
        <w:rPr>
          <w:rFonts w:hint="eastAsia"/>
        </w:rPr>
        <w:t>区DMZ区。</w:t>
      </w:r>
      <w:r>
        <w:rPr>
          <w:rFonts w:hint="eastAsia"/>
          <w:lang w:val="en-US" w:eastAsia="zh-CN"/>
        </w:rPr>
        <w:t>2台用于</w:t>
      </w:r>
      <w:r>
        <w:rPr>
          <w:rFonts w:hint="eastAsia"/>
        </w:rPr>
        <w:t>变电站巡维中心终端电脑无终端准入，对变电站巡维中心终端电脑远程下发策略及进行管控。</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sz w:val="24"/>
                <w:szCs w:val="24"/>
                <w:highlight w:val="none"/>
              </w:rPr>
            </w:pPr>
            <w:r>
              <w:rPr>
                <w:rFonts w:hint="eastAsia" w:ascii="宋体" w:hAnsi="宋体" w:cs="宋体"/>
                <w:kern w:val="0"/>
                <w:sz w:val="24"/>
                <w:szCs w:val="24"/>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r>
              <w:rPr>
                <w:rFonts w:hint="eastAsia" w:ascii="宋体" w:hAnsi="宋体" w:cs="宋体"/>
                <w:kern w:val="0"/>
                <w:sz w:val="24"/>
                <w:szCs w:val="24"/>
                <w:highlight w:val="none"/>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bookmarkStart w:id="25" w:name="_Toc22882"/>
            <w:bookmarkStart w:id="26" w:name="_Toc3003"/>
            <w:bookmarkStart w:id="27" w:name="_Toc33527341"/>
            <w:bookmarkStart w:id="28" w:name="_Toc17880"/>
            <w:bookmarkStart w:id="29" w:name="_Toc22169"/>
            <w:bookmarkStart w:id="30" w:name="_Toc21972"/>
            <w:r>
              <w:rPr>
                <w:rFonts w:hint="eastAsia" w:ascii="宋体" w:hAnsi="宋体" w:cs="宋体"/>
                <w:kern w:val="0"/>
                <w:sz w:val="24"/>
                <w:szCs w:val="24"/>
                <w:lang w:val="en-US" w:eastAsia="zh-CN"/>
              </w:rPr>
              <w:t>TAP流量汇聚</w:t>
            </w:r>
            <w:r>
              <w:rPr>
                <w:rFonts w:hint="eastAsia" w:ascii="宋体" w:hAnsi="宋体" w:cs="宋体"/>
                <w:kern w:val="0"/>
                <w:sz w:val="24"/>
                <w:szCs w:val="24"/>
              </w:rPr>
              <w:t>设备</w:t>
            </w:r>
            <w:bookmarkEnd w:id="25"/>
            <w:bookmarkEnd w:id="26"/>
            <w:bookmarkEnd w:id="27"/>
            <w:bookmarkEnd w:id="28"/>
            <w:bookmarkEnd w:id="29"/>
            <w:bookmarkEnd w:id="30"/>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eastAsia="zh-CN"/>
              </w:rPr>
              <w:t>台</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val="en-US" w:eastAsia="zh-CN"/>
              </w:rPr>
              <w:t>8</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sz w:val="24"/>
                <w:szCs w:val="24"/>
                <w:highlight w:val="none"/>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25454"/>
      <w:r>
        <w:rPr>
          <w:rFonts w:hint="eastAsia"/>
          <w:color w:val="auto"/>
          <w:highlight w:val="none"/>
        </w:rPr>
        <w:t>质量保证</w:t>
      </w:r>
      <w:bookmarkEnd w:id="21"/>
      <w:bookmarkEnd w:id="22"/>
      <w:bookmarkEnd w:id="23"/>
      <w:bookmarkEnd w:id="24"/>
      <w:bookmarkEnd w:id="31"/>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2" w:name="_Toc73"/>
      <w:bookmarkStart w:id="33" w:name="_Toc17579"/>
      <w:bookmarkStart w:id="34" w:name="_Toc3202"/>
      <w:bookmarkStart w:id="35" w:name="_Toc124406415"/>
      <w:bookmarkStart w:id="36" w:name="_Toc523850199"/>
      <w:r>
        <w:rPr>
          <w:rFonts w:hint="eastAsia"/>
          <w:color w:val="auto"/>
          <w:highlight w:val="none"/>
        </w:rPr>
        <w:t>进度保证</w:t>
      </w:r>
      <w:bookmarkEnd w:id="32"/>
      <w:bookmarkEnd w:id="33"/>
      <w:bookmarkEnd w:id="34"/>
      <w:bookmarkEnd w:id="35"/>
      <w:bookmarkEnd w:id="36"/>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7" w:name="_Toc27490"/>
      <w:bookmarkStart w:id="38" w:name="_Toc3405"/>
      <w:bookmarkStart w:id="39" w:name="_Toc523850200"/>
      <w:bookmarkStart w:id="40" w:name="_Toc19290"/>
      <w:bookmarkStart w:id="41" w:name="_Toc124406416"/>
      <w:r>
        <w:rPr>
          <w:rFonts w:hint="eastAsia"/>
          <w:color w:val="auto"/>
          <w:highlight w:val="none"/>
        </w:rPr>
        <w:t>系统适用标准</w:t>
      </w:r>
      <w:bookmarkEnd w:id="37"/>
      <w:bookmarkEnd w:id="38"/>
      <w:bookmarkEnd w:id="39"/>
      <w:bookmarkEnd w:id="40"/>
      <w:bookmarkEnd w:id="41"/>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42" w:name="_Toc10711"/>
      <w:bookmarkStart w:id="43" w:name="_Toc124406418"/>
      <w:bookmarkStart w:id="44" w:name="_Toc523850201"/>
      <w:bookmarkStart w:id="45" w:name="_Toc23431"/>
      <w:bookmarkStart w:id="46" w:name="_Toc427568145"/>
      <w:bookmarkStart w:id="47" w:name="_Toc427380950"/>
      <w:bookmarkStart w:id="48" w:name="_Toc518408400"/>
      <w:bookmarkStart w:id="49" w:name="_Toc32487"/>
      <w:r>
        <w:rPr>
          <w:rFonts w:hint="eastAsia"/>
          <w:highlight w:val="none"/>
        </w:rPr>
        <w:t>对投标方的要求及其工作范围</w:t>
      </w:r>
      <w:bookmarkEnd w:id="6"/>
      <w:bookmarkEnd w:id="7"/>
      <w:bookmarkEnd w:id="8"/>
      <w:bookmarkEnd w:id="9"/>
      <w:bookmarkEnd w:id="10"/>
      <w:bookmarkEnd w:id="42"/>
      <w:bookmarkEnd w:id="43"/>
      <w:bookmarkEnd w:id="44"/>
      <w:bookmarkEnd w:id="45"/>
      <w:bookmarkEnd w:id="46"/>
      <w:bookmarkEnd w:id="47"/>
      <w:bookmarkEnd w:id="48"/>
      <w:bookmarkEnd w:id="49"/>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0" w:name="_Toc18579"/>
      <w:bookmarkStart w:id="51" w:name="_Toc523850202"/>
      <w:bookmarkStart w:id="52" w:name="_Toc21370"/>
      <w:bookmarkStart w:id="53" w:name="_Toc27633"/>
      <w:r>
        <w:rPr>
          <w:rFonts w:hint="eastAsia"/>
          <w:color w:val="auto"/>
          <w:highlight w:val="none"/>
        </w:rPr>
        <w:t>对投标方的技术要求</w:t>
      </w:r>
      <w:bookmarkEnd w:id="50"/>
      <w:bookmarkEnd w:id="51"/>
      <w:bookmarkEnd w:id="52"/>
      <w:bookmarkEnd w:id="53"/>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4" w:name="_Toc18500"/>
      <w:bookmarkStart w:id="55" w:name="_Toc15467"/>
      <w:bookmarkStart w:id="56" w:name="_Toc17906"/>
      <w:bookmarkStart w:id="57" w:name="_Toc523850203"/>
      <w:r>
        <w:rPr>
          <w:rFonts w:hint="eastAsia"/>
          <w:color w:val="auto"/>
          <w:highlight w:val="none"/>
        </w:rPr>
        <w:t>投标方的工作范围</w:t>
      </w:r>
      <w:bookmarkEnd w:id="54"/>
      <w:bookmarkEnd w:id="55"/>
      <w:bookmarkEnd w:id="56"/>
      <w:bookmarkEnd w:id="57"/>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8" w:name="_Toc427568148"/>
      <w:bookmarkStart w:id="59" w:name="_Toc411269793"/>
      <w:bookmarkStart w:id="60" w:name="_Toc427380953"/>
      <w:bookmarkStart w:id="61" w:name="_Toc22344"/>
      <w:bookmarkStart w:id="62" w:name="_Toc240049345"/>
      <w:bookmarkStart w:id="63" w:name="_Toc407982394"/>
      <w:bookmarkStart w:id="64" w:name="_Toc518408403"/>
      <w:bookmarkStart w:id="65" w:name="_Toc407417359"/>
      <w:bookmarkStart w:id="66" w:name="_Toc411267588"/>
      <w:bookmarkStart w:id="67" w:name="_Toc16188"/>
      <w:bookmarkStart w:id="68" w:name="_Toc124406421"/>
      <w:bookmarkStart w:id="69" w:name="_Toc523850205"/>
      <w:bookmarkStart w:id="70" w:name="_Toc407415872"/>
      <w:bookmarkStart w:id="71" w:name="_Toc20840"/>
      <w:bookmarkStart w:id="72" w:name="_Toc407417360"/>
      <w:bookmarkStart w:id="73" w:name="_Toc407982395"/>
      <w:bookmarkStart w:id="74" w:name="_Toc407415873"/>
      <w:r>
        <w:rPr>
          <w:rFonts w:hint="eastAsia"/>
          <w:color w:val="auto"/>
          <w:highlight w:val="none"/>
        </w:rPr>
        <w:t>报价范围</w:t>
      </w:r>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72"/>
    <w:bookmarkEnd w:id="73"/>
    <w:bookmarkEnd w:id="74"/>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75" w:name="_Toc261789821"/>
      <w:bookmarkStart w:id="76" w:name="_Toc11454"/>
      <w:bookmarkStart w:id="77" w:name="_Toc261789486"/>
      <w:bookmarkStart w:id="78" w:name="_Toc124406423"/>
      <w:bookmarkStart w:id="79" w:name="_Toc523850206"/>
      <w:bookmarkStart w:id="80" w:name="_Toc20478"/>
      <w:bookmarkStart w:id="81" w:name="_Toc243912812"/>
      <w:bookmarkStart w:id="82" w:name="_Toc7284"/>
      <w:bookmarkStart w:id="83" w:name="_Toc349634215"/>
      <w:bookmarkStart w:id="84" w:name="_Toc124406433"/>
      <w:r>
        <w:rPr>
          <w:rFonts w:hint="eastAsia"/>
          <w:color w:val="auto"/>
          <w:highlight w:val="none"/>
        </w:rPr>
        <w:t>技术服务</w:t>
      </w:r>
      <w:bookmarkEnd w:id="75"/>
      <w:bookmarkEnd w:id="76"/>
      <w:bookmarkEnd w:id="77"/>
      <w:bookmarkEnd w:id="78"/>
      <w:bookmarkEnd w:id="79"/>
      <w:bookmarkEnd w:id="80"/>
      <w:bookmarkEnd w:id="81"/>
      <w:bookmarkEnd w:id="82"/>
      <w:bookmarkEnd w:id="83"/>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85" w:name="_Toc349634216"/>
      <w:bookmarkStart w:id="86" w:name="_Toc261789822"/>
      <w:bookmarkStart w:id="87" w:name="_Toc427380959"/>
      <w:bookmarkStart w:id="88" w:name="_Toc523850207"/>
      <w:bookmarkStart w:id="89" w:name="_Toc124406424"/>
      <w:bookmarkStart w:id="90" w:name="_Toc1783"/>
      <w:bookmarkStart w:id="91" w:name="_Toc518408406"/>
      <w:bookmarkStart w:id="92" w:name="_Toc243912813"/>
      <w:bookmarkStart w:id="93" w:name="_Toc411267590"/>
      <w:bookmarkStart w:id="94" w:name="_Toc427568154"/>
      <w:bookmarkStart w:id="95" w:name="_Toc32116"/>
      <w:bookmarkStart w:id="96" w:name="_Toc261789487"/>
      <w:bookmarkStart w:id="97" w:name="_Toc411269795"/>
      <w:bookmarkStart w:id="98" w:name="_Toc28924"/>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85"/>
      <w:bookmarkEnd w:id="86"/>
      <w:bookmarkEnd w:id="87"/>
      <w:bookmarkEnd w:id="88"/>
      <w:bookmarkEnd w:id="89"/>
      <w:bookmarkEnd w:id="90"/>
      <w:bookmarkEnd w:id="91"/>
      <w:bookmarkEnd w:id="92"/>
      <w:bookmarkEnd w:id="93"/>
      <w:bookmarkEnd w:id="94"/>
      <w:bookmarkEnd w:id="95"/>
      <w:bookmarkEnd w:id="96"/>
      <w:bookmarkEnd w:id="97"/>
      <w:r>
        <w:rPr>
          <w:rFonts w:hint="eastAsia"/>
          <w:color w:val="auto"/>
          <w:highlight w:val="none"/>
          <w:lang w:eastAsia="zh-CN"/>
        </w:rPr>
        <w:t>（模板，标黄部分可修改）</w:t>
      </w:r>
      <w:bookmarkEnd w:id="98"/>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9" w:name="_Toc6331"/>
      <w:bookmarkStart w:id="100" w:name="_Toc411267591"/>
      <w:bookmarkStart w:id="101" w:name="_Toc17471"/>
      <w:bookmarkStart w:id="102" w:name="_Toc427380960"/>
      <w:bookmarkStart w:id="103" w:name="_Toc243912814"/>
      <w:bookmarkStart w:id="104" w:name="_Toc261789488"/>
      <w:bookmarkStart w:id="105" w:name="_Toc261789823"/>
      <w:bookmarkStart w:id="106" w:name="_Toc124406425"/>
      <w:bookmarkStart w:id="107" w:name="_Toc518408407"/>
      <w:bookmarkStart w:id="108" w:name="_Toc411269796"/>
      <w:bookmarkStart w:id="109" w:name="_Toc427568155"/>
      <w:bookmarkStart w:id="110" w:name="_Toc349634217"/>
      <w:bookmarkStart w:id="111" w:name="_Toc523850208"/>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112" w:name="_Toc5966"/>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13" w:name="_Toc518408408"/>
      <w:bookmarkStart w:id="114" w:name="_Ref191806438"/>
      <w:bookmarkStart w:id="115" w:name="_Toc124406426"/>
      <w:bookmarkStart w:id="116" w:name="_Ref191806386"/>
      <w:bookmarkStart w:id="117" w:name="_Ref191806455"/>
      <w:bookmarkStart w:id="118" w:name="_Ref191806390"/>
      <w:bookmarkStart w:id="119" w:name="_Ref191806475"/>
      <w:bookmarkStart w:id="120" w:name="_Ref191806485"/>
      <w:bookmarkStart w:id="121" w:name="_Ref191806505"/>
      <w:bookmarkStart w:id="122" w:name="_Ref191806434"/>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13"/>
      <w:r>
        <w:rPr>
          <w:rFonts w:hint="eastAsia"/>
          <w:highlight w:val="none"/>
        </w:rPr>
        <w:t>调试及施工配合</w:t>
      </w:r>
      <w:bookmarkEnd w:id="114"/>
      <w:bookmarkEnd w:id="115"/>
      <w:bookmarkEnd w:id="116"/>
      <w:bookmarkEnd w:id="117"/>
      <w:bookmarkEnd w:id="118"/>
      <w:bookmarkEnd w:id="119"/>
      <w:bookmarkEnd w:id="120"/>
      <w:bookmarkEnd w:id="121"/>
      <w:bookmarkEnd w:id="122"/>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3" w:name="_Toc124406430"/>
      <w:bookmarkStart w:id="124" w:name="_Toc516297795"/>
      <w:bookmarkStart w:id="125"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23"/>
      <w:bookmarkEnd w:id="124"/>
      <w:bookmarkEnd w:id="125"/>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6" w:name="_Toc516297794"/>
      <w:bookmarkStart w:id="127" w:name="_Toc124406429"/>
      <w:bookmarkStart w:id="128" w:name="_Toc518408412"/>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6"/>
      <w:bookmarkEnd w:id="127"/>
      <w:bookmarkEnd w:id="128"/>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9" w:name="_Toc3518"/>
      <w:bookmarkStart w:id="130" w:name="_Toc523850210"/>
      <w:bookmarkStart w:id="131" w:name="_Toc31833"/>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培训内容</w:t>
            </w:r>
          </w:p>
        </w:tc>
        <w:tc>
          <w:tcPr>
            <w:tcW w:w="827"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地点</w:t>
            </w:r>
          </w:p>
        </w:tc>
        <w:tc>
          <w:tcPr>
            <w:tcW w:w="232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培训人数</w:t>
            </w:r>
          </w:p>
        </w:tc>
        <w:tc>
          <w:tcPr>
            <w:tcW w:w="1680"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widowControl/>
              <w:spacing w:line="360" w:lineRule="auto"/>
              <w:ind w:firstLine="0" w:firstLineChars="0"/>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TAP流量汇聚设备运维及操作</w:t>
            </w:r>
          </w:p>
        </w:tc>
        <w:tc>
          <w:tcPr>
            <w:tcW w:w="827"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现场</w:t>
            </w:r>
            <w:bookmarkStart w:id="168" w:name="_GoBack"/>
            <w:bookmarkEnd w:id="168"/>
          </w:p>
        </w:tc>
        <w:tc>
          <w:tcPr>
            <w:tcW w:w="2323"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不限</w:t>
            </w:r>
          </w:p>
        </w:tc>
        <w:tc>
          <w:tcPr>
            <w:tcW w:w="1680" w:type="dxa"/>
            <w:vAlign w:val="center"/>
          </w:tcPr>
          <w:p>
            <w:pPr>
              <w:widowControl/>
              <w:spacing w:line="36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bookmarkStart w:id="132" w:name="_Toc10695"/>
      <w:r>
        <w:rPr>
          <w:rFonts w:hint="eastAsia"/>
          <w:highlight w:val="none"/>
        </w:rPr>
        <w:t>技术指标要求</w:t>
      </w:r>
      <w:bookmarkEnd w:id="84"/>
      <w:bookmarkEnd w:id="129"/>
      <w:bookmarkEnd w:id="130"/>
      <w:bookmarkEnd w:id="131"/>
      <w:bookmarkEnd w:id="132"/>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33" w:name="_Toc20092"/>
      <w:bookmarkStart w:id="134" w:name="_Toc2606"/>
      <w:bookmarkStart w:id="135" w:name="_Toc26359"/>
      <w:bookmarkStart w:id="136" w:name="_Toc523850211"/>
      <w:r>
        <w:rPr>
          <w:rFonts w:hint="eastAsia"/>
          <w:color w:val="auto"/>
          <w:highlight w:val="none"/>
        </w:rPr>
        <w:t>基本要求</w:t>
      </w:r>
      <w:bookmarkEnd w:id="133"/>
      <w:bookmarkEnd w:id="134"/>
      <w:bookmarkEnd w:id="135"/>
      <w:bookmarkEnd w:id="136"/>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7" w:name="_Toc18097"/>
      <w:bookmarkStart w:id="138" w:name="_Toc1288"/>
      <w:bookmarkStart w:id="139" w:name="_Toc4841"/>
      <w:bookmarkStart w:id="140" w:name="_Toc124406438"/>
      <w:bookmarkStart w:id="141" w:name="_Toc523850212"/>
      <w:r>
        <w:rPr>
          <w:rFonts w:hint="eastAsia"/>
          <w:color w:val="auto"/>
          <w:highlight w:val="none"/>
          <w:lang w:eastAsia="zh-CN"/>
        </w:rPr>
        <w:t>技术参数</w:t>
      </w:r>
      <w:r>
        <w:rPr>
          <w:rFonts w:hint="eastAsia"/>
          <w:color w:val="auto"/>
          <w:highlight w:val="none"/>
        </w:rPr>
        <w:t>要求</w:t>
      </w:r>
      <w:bookmarkEnd w:id="137"/>
      <w:bookmarkEnd w:id="138"/>
      <w:bookmarkEnd w:id="139"/>
      <w:bookmarkEnd w:id="140"/>
      <w:bookmarkEnd w:id="141"/>
    </w:p>
    <w:p>
      <w:pPr>
        <w:ind w:firstLine="480" w:firstLineChars="200"/>
        <w:jc w:val="both"/>
        <w:rPr>
          <w:rFonts w:hint="eastAsia"/>
          <w:color w:val="auto"/>
        </w:rPr>
      </w:pPr>
      <w:bookmarkStart w:id="142" w:name="_Toc124406447"/>
      <w:bookmarkStart w:id="143" w:name="_Toc518408537"/>
      <w:r>
        <w:rPr>
          <w:rFonts w:hint="eastAsia"/>
          <w:color w:val="auto"/>
          <w:lang w:val="en-US" w:eastAsia="zh-CN"/>
        </w:rPr>
        <w:t>TAP流量汇聚设备8</w:t>
      </w:r>
      <w:r>
        <w:rPr>
          <w:rFonts w:hint="eastAsia"/>
          <w:color w:val="auto"/>
        </w:rPr>
        <w:t>台：</w:t>
      </w:r>
    </w:p>
    <w:tbl>
      <w:tblPr>
        <w:tblStyle w:val="33"/>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552"/>
        <w:gridCol w:w="5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spacing w:line="240" w:lineRule="auto"/>
              <w:ind w:left="0" w:leftChars="0" w:firstLine="0" w:firstLineChars="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序号</w:t>
            </w:r>
          </w:p>
        </w:tc>
        <w:tc>
          <w:tcPr>
            <w:tcW w:w="1552" w:type="dxa"/>
            <w:noWrap w:val="0"/>
            <w:vAlign w:val="center"/>
          </w:tcPr>
          <w:p>
            <w:pPr>
              <w:widowControl/>
              <w:spacing w:line="240" w:lineRule="auto"/>
              <w:ind w:left="0" w:leftChars="0" w:firstLine="0" w:firstLineChars="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功能项</w:t>
            </w:r>
          </w:p>
        </w:tc>
        <w:tc>
          <w:tcPr>
            <w:tcW w:w="5695" w:type="dxa"/>
            <w:noWrap w:val="0"/>
            <w:vAlign w:val="center"/>
          </w:tcPr>
          <w:p>
            <w:pPr>
              <w:widowControl/>
              <w:spacing w:line="240" w:lineRule="auto"/>
              <w:ind w:left="0" w:leftChars="0" w:firstLine="0" w:firstLineChars="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restart"/>
            <w:noWrap w:val="0"/>
            <w:vAlign w:val="center"/>
          </w:tcPr>
          <w:p>
            <w:pPr>
              <w:widowControl/>
              <w:spacing w:line="240" w:lineRule="auto"/>
              <w:ind w:left="0" w:leftChars="0" w:firstLine="0" w:firstLineChars="0"/>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t>硬件规格</w:t>
            </w: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支持标准1U机架设备；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支持1+1冗余电源，支持热插拨；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支持冗余风扇≥4个；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配置≥1个Console口、≥1个以太网管理口、≥1个USB口；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配置≥48个1G/10G/25G SFP28光口，≥8个40G/100G QSFP28光口；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交换容量≥4Tbps线速转发能力；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包转发率≥2970Mpps;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restart"/>
            <w:shd w:val="clear" w:color="auto" w:fill="auto"/>
            <w:noWrap w:val="0"/>
            <w:vAlign w:val="center"/>
          </w:tcPr>
          <w:p>
            <w:pPr>
              <w:widowControl/>
              <w:spacing w:line="240" w:lineRule="auto"/>
              <w:ind w:left="0" w:leftChars="0" w:firstLine="0" w:firstLineChars="0"/>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基础功能</w:t>
            </w: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支持一对一、一对多、多对一、多对多等方式的流量汇聚和流量复制功能，支持将输入流量复制后进行不同过滤后输出；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支持分光器输出及镜像链路接入，支持单、双纤输入输出;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端口聚合组数量≥16组，单个聚合组支持的成员端口数≥64个;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支持修改报文的源Mac,目的Mac,源IPv4/IPv6, 目的IPv4/IPv6地址；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支持编辑≥4层Vlan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支持转发报文添加时间戳功能，不修改原始报文内容。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支持添加VXLAN或GRE头部。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支持剥离MPLS/ERSPAN头部；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支持自定义长度报文截短；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支持虚拟环回口≥24个，且不占用物理端口;虚拟环回口总带宽≥320G。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支持全端口物理环回，不依赖外部光模块、光纤等辅助；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支持对数据包添加VLAN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支持修改数据包中的VLAN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支持删除数据包中的VLAN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支持VxLAN和GRE隧道终结，支持≥32个IP地址，支持IP地址可被外部网络ping通；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支持基于匹配的报文字段进行分发和过滤，包括：IP五元组，EtherType，vlan, cos，nvgre tunnel/vsid, VxLan Tunnel/VNI, ERSPAN Key,至少3层 MPLS label，用户自定义字段等;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支持至少三级流量过滤，分别通过入口物理端口过滤，芯片内部环回接口过滤，出口物理端口过滤;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支持全包匹配功能：</w:t>
            </w:r>
          </w:p>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支持以数据包固定偏移位置、数据包内范围、全包查询方式进行针对特定十六进制特征值、特定字符串、正则表达式的流量过滤，转发和统计功能；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支持≥20000条模糊匹配过滤规则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支持≥20万条精确匹配过滤规则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支持同源同宿负载均衡， 支持crc和xor Hash算法;</w:t>
            </w:r>
          </w:p>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支持加权负载均衡；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支持加权负载均衡，允许不同速率端口在一个负载均衡组；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支持负载均衡组成员端口down后，支持所有报文重新hash，支持down端口上报文被重新hash到其它UP端口，不影响原UP的端口报文；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支持≥128组全流量镜像组，镜像组不依赖于任何过滤规则；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支持CPU抓包，支持基于规则的抓包,并且可以保存在本地供参看分析；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支持脱敏，至少支持8段脱敏；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支持SSL加解密功能;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jc w:val="center"/>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支持数据报文去重，支持自定义配置去重参数，报文去重能力≥160Gbps。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restart"/>
            <w:noWrap w:val="0"/>
            <w:vAlign w:val="center"/>
          </w:tcPr>
          <w:p>
            <w:pPr>
              <w:widowControl/>
              <w:spacing w:line="240" w:lineRule="auto"/>
              <w:ind w:left="0" w:leftChars="0" w:firstLine="0" w:firstLineChars="0"/>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管理功能</w:t>
            </w: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提供WEB可视化集中管理平台，支持所有设备统一管理，包括但不限于网络拓扑可视化、设备信息查询等。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支持通过集中管理平台对设备进行配置、升级。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支持SFlow和IPFIX；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支持图形化展示端口缓存使用情况、报文延时情况、微突发情况；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支持精确统计、分时段统计、实时统计拥塞导致丢包数；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支持用一条命令把同一个会话的双向匹配规则共2条同时下发，减轻运维压力；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支持重叠规则下的精细化分发控制流量过滤机制，在不同过滤规则匹配重叠时，无需指定优先级及配置顺序，报文均能够向所有匹配到的规则的指定出口进行无差别转发；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支持通过关键字把配置的规则和应用的端口信息都直接搜索呈现出来；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业务配置支持通过EXCEL表格结构化数据文件的导入，支持自动完成语义解析、语法校验及拓扑关系映射，批量实现配置生成及下发；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支持WEB、SSH、Telnet、Console等多种方式进行配置和操作管理。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shd w:val="clear" w:color="auto" w:fill="auto"/>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支持基于命令行、单机Web界面、集群Web等管理方式。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left="0" w:leftChars="0" w:firstLine="0" w:firstLineChars="0"/>
              <w:jc w:val="both"/>
              <w:rPr>
                <w:rFonts w:hint="eastAsia" w:asciiTheme="minorEastAsia" w:hAnsiTheme="minorEastAsia" w:eastAsiaTheme="minorEastAsia" w:cstheme="minorEastAsia"/>
                <w:kern w:val="0"/>
                <w:sz w:val="21"/>
                <w:szCs w:val="21"/>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支持本地、远程日志记录和syslog服务配置。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noWrap w:val="0"/>
            <w:vAlign w:val="center"/>
          </w:tcPr>
          <w:p>
            <w:pPr>
              <w:widowControl/>
              <w:spacing w:line="240" w:lineRule="auto"/>
              <w:ind w:firstLine="0" w:firstLineChars="0"/>
              <w:jc w:val="center"/>
              <w:rPr>
                <w:rFonts w:hint="eastAsia" w:asciiTheme="minorEastAsia" w:hAnsiTheme="minorEastAsia" w:eastAsiaTheme="minorEastAsia" w:cstheme="minorEastAsia"/>
                <w:kern w:val="0"/>
                <w:sz w:val="21"/>
                <w:szCs w:val="21"/>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服务承诺</w:t>
            </w: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投标方须在发布中标公示10天内，完成所投产品的现场测试，如测试不通过或未对所投设备进行测试，则视为虚假应标。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restart"/>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其他要求</w:t>
            </w: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产品满足国产化要求，使用的CPU和操作系统均通过中国信息安全测评中心（www.itsec.gov.cn）的安全可靠测评。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1" w:type="dxa"/>
            <w:noWrap w:val="0"/>
            <w:vAlign w:val="center"/>
          </w:tcPr>
          <w:p>
            <w:pPr>
              <w:widowControl/>
              <w:numPr>
                <w:ilvl w:val="0"/>
                <w:numId w:val="12"/>
              </w:numPr>
              <w:spacing w:line="240" w:lineRule="auto"/>
              <w:ind w:left="0" w:leftChars="0" w:firstLine="0" w:firstLineChars="0"/>
              <w:jc w:val="center"/>
              <w:rPr>
                <w:rFonts w:hint="eastAsia" w:asciiTheme="minorEastAsia" w:hAnsiTheme="minorEastAsia" w:eastAsiaTheme="minorEastAsia" w:cstheme="minorEastAsia"/>
                <w:kern w:val="0"/>
                <w:sz w:val="21"/>
                <w:szCs w:val="21"/>
              </w:rPr>
            </w:pPr>
          </w:p>
        </w:tc>
        <w:tc>
          <w:tcPr>
            <w:tcW w:w="1552" w:type="dxa"/>
            <w:vMerge w:val="continue"/>
            <w:noWrap w:val="0"/>
            <w:vAlign w:val="center"/>
          </w:tcPr>
          <w:p>
            <w:pPr>
              <w:widowControl/>
              <w:spacing w:line="240" w:lineRule="auto"/>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p>
        </w:tc>
        <w:tc>
          <w:tcPr>
            <w:tcW w:w="5695" w:type="dxa"/>
            <w:noWrap w:val="0"/>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提供权威检测机构出具的设备检验检测报告并加盖原厂公章。</w:t>
            </w:r>
          </w:p>
        </w:tc>
      </w:tr>
    </w:tbl>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rPr>
      </w:pPr>
    </w:p>
    <w:p>
      <w:pPr>
        <w:pStyle w:val="31"/>
        <w:rPr>
          <w:rFonts w:hint="eastAsia"/>
          <w:color w:val="auto"/>
        </w:rPr>
      </w:pPr>
    </w:p>
    <w:p>
      <w:pPr>
        <w:pStyle w:val="31"/>
        <w:ind w:left="0" w:leftChars="0" w:firstLine="0" w:firstLineChars="0"/>
        <w:rPr>
          <w:rFonts w:hint="eastAsia"/>
          <w:color w:val="auto"/>
        </w:rPr>
      </w:pPr>
    </w:p>
    <w:p>
      <w:pPr>
        <w:rPr>
          <w:rFonts w:hint="eastAsia"/>
          <w:color w:val="auto"/>
        </w:rPr>
      </w:pPr>
    </w:p>
    <w:p>
      <w:pPr>
        <w:pStyle w:val="31"/>
        <w:rPr>
          <w:rFonts w:hint="eastAsia"/>
          <w:color w:val="auto"/>
        </w:rPr>
      </w:pPr>
    </w:p>
    <w:p>
      <w:pPr>
        <w:rPr>
          <w:rFonts w:hint="eastAsia"/>
          <w:color w:val="auto"/>
        </w:rPr>
      </w:pPr>
    </w:p>
    <w:p>
      <w:pPr>
        <w:pStyle w:val="2"/>
        <w:rPr>
          <w:rFonts w:hint="eastAsia"/>
          <w:color w:val="auto"/>
        </w:rPr>
      </w:pPr>
    </w:p>
    <w:p>
      <w:pPr>
        <w:rPr>
          <w:rFonts w:hint="eastAsia"/>
        </w:rPr>
      </w:pPr>
    </w:p>
    <w:p>
      <w:pPr>
        <w:rPr>
          <w:rFonts w:hint="eastAsia"/>
          <w:color w:val="auto"/>
        </w:rPr>
      </w:pPr>
    </w:p>
    <w:p>
      <w:pPr>
        <w:pStyle w:val="31"/>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rPr>
      </w:pPr>
    </w:p>
    <w:p>
      <w:pPr>
        <w:pStyle w:val="2"/>
        <w:rPr>
          <w:rFonts w:hint="eastAsia"/>
        </w:rPr>
      </w:pPr>
    </w:p>
    <w:p>
      <w:pPr>
        <w:ind w:firstLine="0" w:firstLineChars="0"/>
      </w:pP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4" w:name="_Toc31495"/>
      <w:r>
        <w:rPr>
          <w:rFonts w:hint="eastAsia"/>
          <w:color w:val="auto"/>
          <w:highlight w:val="none"/>
          <w:lang w:eastAsia="zh-CN"/>
        </w:rPr>
        <w:t>实施要求</w:t>
      </w:r>
      <w:bookmarkEnd w:id="144"/>
    </w:p>
    <w:p>
      <w:pPr>
        <w:pStyle w:val="89"/>
        <w:pageBreakBefore w:val="0"/>
        <w:widowControl w:val="0"/>
        <w:numPr>
          <w:ilvl w:val="0"/>
          <w:numId w:val="13"/>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45" w:name="_Toc19691"/>
      <w:r>
        <w:rPr>
          <w:rFonts w:hint="eastAsia"/>
          <w:highlight w:val="none"/>
          <w:u w:val="single"/>
        </w:rPr>
        <w:t>负责编制实施方案、测试方案、初验资料、终验资料，负责本产品线缆整理及标签标注；</w:t>
      </w:r>
    </w:p>
    <w:p>
      <w:pPr>
        <w:pStyle w:val="89"/>
        <w:pageBreakBefore w:val="0"/>
        <w:widowControl w:val="0"/>
        <w:numPr>
          <w:ilvl w:val="0"/>
          <w:numId w:val="13"/>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6" w:name="_Toc22353"/>
      <w:r>
        <w:rPr>
          <w:rFonts w:hint="eastAsia"/>
          <w:color w:val="auto"/>
          <w:highlight w:val="none"/>
          <w:lang w:eastAsia="zh-CN"/>
        </w:rPr>
        <w:t>其他要求</w:t>
      </w:r>
      <w:bookmarkEnd w:id="146"/>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7" w:name="_Toc9724"/>
      <w:bookmarkStart w:id="148" w:name="_Toc7829"/>
      <w:bookmarkStart w:id="149" w:name="_Toc523850215"/>
      <w:r>
        <w:rPr>
          <w:rFonts w:hint="eastAsia"/>
          <w:highlight w:val="none"/>
        </w:rPr>
        <w:t>测试</w:t>
      </w:r>
      <w:bookmarkEnd w:id="142"/>
      <w:bookmarkEnd w:id="143"/>
      <w:r>
        <w:rPr>
          <w:rFonts w:hint="eastAsia"/>
          <w:highlight w:val="none"/>
        </w:rPr>
        <w:t>及验收</w:t>
      </w:r>
      <w:bookmarkEnd w:id="145"/>
      <w:bookmarkEnd w:id="147"/>
      <w:bookmarkEnd w:id="148"/>
      <w:bookmarkEnd w:id="149"/>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0" w:name="_Toc10997"/>
      <w:bookmarkStart w:id="151" w:name="_Toc10509"/>
      <w:bookmarkStart w:id="152" w:name="_Toc523850216"/>
      <w:bookmarkStart w:id="153" w:name="_Toc374"/>
      <w:bookmarkStart w:id="154" w:name="_Toc24851"/>
      <w:bookmarkStart w:id="155" w:name="_Toc317236947"/>
      <w:bookmarkStart w:id="156" w:name="_Toc271893793"/>
      <w:r>
        <w:rPr>
          <w:rFonts w:hint="eastAsia"/>
          <w:color w:val="auto"/>
          <w:highlight w:val="none"/>
        </w:rPr>
        <w:t>概述</w:t>
      </w:r>
      <w:bookmarkEnd w:id="150"/>
      <w:bookmarkEnd w:id="151"/>
      <w:bookmarkEnd w:id="152"/>
      <w:bookmarkEnd w:id="153"/>
      <w:bookmarkEnd w:id="154"/>
      <w:bookmarkEnd w:id="155"/>
      <w:bookmarkEnd w:id="156"/>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7" w:name="_Toc1405"/>
      <w:r>
        <w:rPr>
          <w:rFonts w:hint="eastAsia"/>
          <w:color w:val="auto"/>
          <w:highlight w:val="none"/>
          <w:lang w:eastAsia="zh-CN"/>
        </w:rPr>
        <w:t>到货验收</w:t>
      </w:r>
      <w:bookmarkEnd w:id="157"/>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8" w:name="_Toc3132"/>
      <w:bookmarkStart w:id="159" w:name="_Toc271893796"/>
      <w:bookmarkStart w:id="160" w:name="_Toc523850218"/>
      <w:bookmarkStart w:id="161" w:name="_Toc12490"/>
      <w:bookmarkStart w:id="162" w:name="_Toc17697"/>
      <w:bookmarkStart w:id="163" w:name="_Toc32538"/>
      <w:bookmarkStart w:id="164" w:name="_Toc317236949"/>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65" w:name="_Toc30308"/>
      <w:r>
        <w:rPr>
          <w:rFonts w:hint="eastAsia"/>
          <w:color w:val="auto"/>
          <w:highlight w:val="none"/>
        </w:rPr>
        <w:t>竣工验收</w:t>
      </w:r>
      <w:bookmarkEnd w:id="158"/>
      <w:bookmarkEnd w:id="159"/>
      <w:bookmarkEnd w:id="160"/>
      <w:bookmarkEnd w:id="161"/>
      <w:bookmarkEnd w:id="162"/>
      <w:bookmarkEnd w:id="163"/>
      <w:bookmarkEnd w:id="164"/>
      <w:bookmarkEnd w:id="165"/>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6" w:name="_Toc11181"/>
      <w:r>
        <w:rPr>
          <w:rFonts w:hint="eastAsia"/>
          <w:highlight w:val="none"/>
          <w:lang w:val="en-US" w:eastAsia="zh-CN"/>
        </w:rPr>
        <w:t>结算及归档</w:t>
      </w:r>
      <w:bookmarkEnd w:id="166"/>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cs="宋体"/>
          <w:kern w:val="0"/>
          <w:highlight w:val="none"/>
          <w:lang w:val="en-US" w:eastAsia="zh-CN"/>
        </w:rPr>
        <w:t>1</w:t>
      </w:r>
      <w:r>
        <w:rPr>
          <w:rFonts w:hint="eastAsia" w:hAnsi="Times New Roman" w:cs="宋体"/>
          <w:kern w:val="0"/>
          <w:highlight w:val="none"/>
          <w:lang w:val="en-US" w:eastAsia="zh-CN"/>
        </w:rPr>
        <w:t>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7" w:name="_Toc19591"/>
      <w:r>
        <w:rPr>
          <w:rFonts w:hint="eastAsia"/>
          <w:highlight w:val="none"/>
          <w:lang w:val="en-US" w:eastAsia="zh-CN"/>
        </w:rPr>
        <w:t>项目考核</w:t>
      </w:r>
      <w:bookmarkEnd w:id="167"/>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34377"/>
    <w:multiLevelType w:val="singleLevel"/>
    <w:tmpl w:val="FC134377"/>
    <w:lvl w:ilvl="0" w:tentative="0">
      <w:start w:val="1"/>
      <w:numFmt w:val="decimal"/>
      <w:suff w:val="nothing"/>
      <w:lvlText w:val="%1"/>
      <w:lvlJc w:val="left"/>
      <w:pPr>
        <w:ind w:left="0" w:leftChars="0" w:firstLine="0" w:firstLineChars="0"/>
      </w:pPr>
      <w:rPr>
        <w:rFonts w:hint="default"/>
      </w:rPr>
    </w:lvl>
  </w:abstractNum>
  <w:abstractNum w:abstractNumId="1">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5">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0">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8"/>
  </w:num>
  <w:num w:numId="2">
    <w:abstractNumId w:val="9"/>
  </w:num>
  <w:num w:numId="3">
    <w:abstractNumId w:val="13"/>
  </w:num>
  <w:num w:numId="4">
    <w:abstractNumId w:val="1"/>
  </w:num>
  <w:num w:numId="5">
    <w:abstractNumId w:val="6"/>
  </w:num>
  <w:num w:numId="6">
    <w:abstractNumId w:val="7"/>
  </w:num>
  <w:num w:numId="7">
    <w:abstractNumId w:val="5"/>
  </w:num>
  <w:num w:numId="8">
    <w:abstractNumId w:val="2"/>
  </w:num>
  <w:num w:numId="9">
    <w:abstractNumId w:val="10"/>
  </w:num>
  <w:num w:numId="10">
    <w:abstractNumId w:val="4"/>
  </w:num>
  <w:num w:numId="11">
    <w:abstractNumId w:val="11"/>
  </w:num>
  <w:num w:numId="12">
    <w:abstractNumId w:val="0"/>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1E1406"/>
    <w:rsid w:val="0240705E"/>
    <w:rsid w:val="024625B0"/>
    <w:rsid w:val="02E121AF"/>
    <w:rsid w:val="02E70D76"/>
    <w:rsid w:val="02F02C73"/>
    <w:rsid w:val="02F9583F"/>
    <w:rsid w:val="03020317"/>
    <w:rsid w:val="03474834"/>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9F2265"/>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2667B"/>
    <w:rsid w:val="0D5F0EDB"/>
    <w:rsid w:val="0DB227D4"/>
    <w:rsid w:val="0DB278FD"/>
    <w:rsid w:val="0E132E9A"/>
    <w:rsid w:val="0E1834C1"/>
    <w:rsid w:val="0E1A3847"/>
    <w:rsid w:val="0E2B0985"/>
    <w:rsid w:val="0E3C58D5"/>
    <w:rsid w:val="0E430CE5"/>
    <w:rsid w:val="0E465BC3"/>
    <w:rsid w:val="0E5B5169"/>
    <w:rsid w:val="0EAC1B24"/>
    <w:rsid w:val="0EB93C3D"/>
    <w:rsid w:val="0F2A6A99"/>
    <w:rsid w:val="0F311B96"/>
    <w:rsid w:val="0F4D47A1"/>
    <w:rsid w:val="0F693E0D"/>
    <w:rsid w:val="0F8924A9"/>
    <w:rsid w:val="0F8F7DCE"/>
    <w:rsid w:val="0FBF163F"/>
    <w:rsid w:val="0FCC0F53"/>
    <w:rsid w:val="0FD4086B"/>
    <w:rsid w:val="0FE55519"/>
    <w:rsid w:val="0FF869E5"/>
    <w:rsid w:val="100F30C6"/>
    <w:rsid w:val="10492E3A"/>
    <w:rsid w:val="10524E78"/>
    <w:rsid w:val="10A20886"/>
    <w:rsid w:val="10A345E4"/>
    <w:rsid w:val="10B6257F"/>
    <w:rsid w:val="10D02FB0"/>
    <w:rsid w:val="10FA5354"/>
    <w:rsid w:val="1179646D"/>
    <w:rsid w:val="11AC5CCD"/>
    <w:rsid w:val="11B252F5"/>
    <w:rsid w:val="11CA3F82"/>
    <w:rsid w:val="11E043BF"/>
    <w:rsid w:val="12413B02"/>
    <w:rsid w:val="1260623E"/>
    <w:rsid w:val="127141F0"/>
    <w:rsid w:val="12853ADC"/>
    <w:rsid w:val="129166D1"/>
    <w:rsid w:val="12B046B7"/>
    <w:rsid w:val="12F85AEB"/>
    <w:rsid w:val="132B00B1"/>
    <w:rsid w:val="137E1C1B"/>
    <w:rsid w:val="138F65AB"/>
    <w:rsid w:val="13967256"/>
    <w:rsid w:val="13C3411C"/>
    <w:rsid w:val="13F7629C"/>
    <w:rsid w:val="13F9306F"/>
    <w:rsid w:val="141D61A5"/>
    <w:rsid w:val="14461693"/>
    <w:rsid w:val="144D21E5"/>
    <w:rsid w:val="14A311FF"/>
    <w:rsid w:val="14B81AB4"/>
    <w:rsid w:val="14C22F60"/>
    <w:rsid w:val="14C72C92"/>
    <w:rsid w:val="14DC11FD"/>
    <w:rsid w:val="154137DB"/>
    <w:rsid w:val="155D20CA"/>
    <w:rsid w:val="15807BD8"/>
    <w:rsid w:val="15BD7CC2"/>
    <w:rsid w:val="15BF639B"/>
    <w:rsid w:val="16435C8A"/>
    <w:rsid w:val="1646245E"/>
    <w:rsid w:val="16DA3CE8"/>
    <w:rsid w:val="16DA602E"/>
    <w:rsid w:val="175361C0"/>
    <w:rsid w:val="176F1A4E"/>
    <w:rsid w:val="17816282"/>
    <w:rsid w:val="17902301"/>
    <w:rsid w:val="17B00001"/>
    <w:rsid w:val="17BD1579"/>
    <w:rsid w:val="18216F40"/>
    <w:rsid w:val="18505EFA"/>
    <w:rsid w:val="18744007"/>
    <w:rsid w:val="18835BFE"/>
    <w:rsid w:val="193C2959"/>
    <w:rsid w:val="19A21095"/>
    <w:rsid w:val="19B73355"/>
    <w:rsid w:val="19CF55EE"/>
    <w:rsid w:val="19FA05D8"/>
    <w:rsid w:val="1A012EEA"/>
    <w:rsid w:val="1A113E67"/>
    <w:rsid w:val="1A274EB5"/>
    <w:rsid w:val="1ADC2544"/>
    <w:rsid w:val="1AFE1D3D"/>
    <w:rsid w:val="1B0B5BB2"/>
    <w:rsid w:val="1B195C38"/>
    <w:rsid w:val="1B376A1F"/>
    <w:rsid w:val="1B475CEB"/>
    <w:rsid w:val="1B4B46D8"/>
    <w:rsid w:val="1B6B68B7"/>
    <w:rsid w:val="1B736034"/>
    <w:rsid w:val="1BB164A2"/>
    <w:rsid w:val="1BBA6460"/>
    <w:rsid w:val="1BE27B70"/>
    <w:rsid w:val="1C306445"/>
    <w:rsid w:val="1C6728EE"/>
    <w:rsid w:val="1C7477A2"/>
    <w:rsid w:val="1C7F277C"/>
    <w:rsid w:val="1CDF07BC"/>
    <w:rsid w:val="1D154EB0"/>
    <w:rsid w:val="1D63026E"/>
    <w:rsid w:val="1D8E1856"/>
    <w:rsid w:val="1D913947"/>
    <w:rsid w:val="1DC77356"/>
    <w:rsid w:val="1E060761"/>
    <w:rsid w:val="1E32497E"/>
    <w:rsid w:val="1E8A12EA"/>
    <w:rsid w:val="1ED91699"/>
    <w:rsid w:val="1F1915B1"/>
    <w:rsid w:val="1F69266D"/>
    <w:rsid w:val="1F8E0C6E"/>
    <w:rsid w:val="1F9954E9"/>
    <w:rsid w:val="1FC1175E"/>
    <w:rsid w:val="2007768E"/>
    <w:rsid w:val="200816B8"/>
    <w:rsid w:val="200F23E0"/>
    <w:rsid w:val="201541EB"/>
    <w:rsid w:val="201854FD"/>
    <w:rsid w:val="201D3653"/>
    <w:rsid w:val="203E5F09"/>
    <w:rsid w:val="203F0CAA"/>
    <w:rsid w:val="20636CBF"/>
    <w:rsid w:val="20654541"/>
    <w:rsid w:val="207544E1"/>
    <w:rsid w:val="20A61CF0"/>
    <w:rsid w:val="21097572"/>
    <w:rsid w:val="21451656"/>
    <w:rsid w:val="217D202E"/>
    <w:rsid w:val="21E96D34"/>
    <w:rsid w:val="21F21D8A"/>
    <w:rsid w:val="222E1ACF"/>
    <w:rsid w:val="22345C02"/>
    <w:rsid w:val="2272285F"/>
    <w:rsid w:val="22804C96"/>
    <w:rsid w:val="22D16D29"/>
    <w:rsid w:val="22E32D4D"/>
    <w:rsid w:val="22F61413"/>
    <w:rsid w:val="23AC3AFD"/>
    <w:rsid w:val="23CE666F"/>
    <w:rsid w:val="23EC39AF"/>
    <w:rsid w:val="24195A89"/>
    <w:rsid w:val="245100DF"/>
    <w:rsid w:val="245E5405"/>
    <w:rsid w:val="246F534D"/>
    <w:rsid w:val="247864C2"/>
    <w:rsid w:val="247B337E"/>
    <w:rsid w:val="24C8153D"/>
    <w:rsid w:val="253E439A"/>
    <w:rsid w:val="2540102A"/>
    <w:rsid w:val="2566332E"/>
    <w:rsid w:val="25D05E49"/>
    <w:rsid w:val="25DC25E9"/>
    <w:rsid w:val="26175C46"/>
    <w:rsid w:val="262B30DA"/>
    <w:rsid w:val="26C93DB0"/>
    <w:rsid w:val="26DC7251"/>
    <w:rsid w:val="26EC2B1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D00701"/>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AE417BB"/>
    <w:rsid w:val="2B07191F"/>
    <w:rsid w:val="2B107449"/>
    <w:rsid w:val="2B226E40"/>
    <w:rsid w:val="2B4A4649"/>
    <w:rsid w:val="2C154C0C"/>
    <w:rsid w:val="2C2B1074"/>
    <w:rsid w:val="2C2E3979"/>
    <w:rsid w:val="2C581964"/>
    <w:rsid w:val="2C602D79"/>
    <w:rsid w:val="2C62300F"/>
    <w:rsid w:val="2C7B7C5B"/>
    <w:rsid w:val="2CD35D4A"/>
    <w:rsid w:val="2CDD6F8C"/>
    <w:rsid w:val="2CF640B7"/>
    <w:rsid w:val="2CFD5657"/>
    <w:rsid w:val="2D325F77"/>
    <w:rsid w:val="2D4135F6"/>
    <w:rsid w:val="2D6B1CB2"/>
    <w:rsid w:val="2D9A7B1B"/>
    <w:rsid w:val="2DC41FF5"/>
    <w:rsid w:val="2E156F69"/>
    <w:rsid w:val="2E3E255E"/>
    <w:rsid w:val="2E4D11FE"/>
    <w:rsid w:val="2E8F40C4"/>
    <w:rsid w:val="2F2416B0"/>
    <w:rsid w:val="2F361CE5"/>
    <w:rsid w:val="2F407A4B"/>
    <w:rsid w:val="2F706E7D"/>
    <w:rsid w:val="2F7232DD"/>
    <w:rsid w:val="30036FF6"/>
    <w:rsid w:val="30910910"/>
    <w:rsid w:val="30F75133"/>
    <w:rsid w:val="30F8380F"/>
    <w:rsid w:val="319A0B20"/>
    <w:rsid w:val="31BF7402"/>
    <w:rsid w:val="31C8119D"/>
    <w:rsid w:val="31EA7553"/>
    <w:rsid w:val="322644EF"/>
    <w:rsid w:val="322E389B"/>
    <w:rsid w:val="325F1090"/>
    <w:rsid w:val="329A29B3"/>
    <w:rsid w:val="332A1E74"/>
    <w:rsid w:val="333A3638"/>
    <w:rsid w:val="336523AD"/>
    <w:rsid w:val="337E5948"/>
    <w:rsid w:val="33A74D35"/>
    <w:rsid w:val="33B50017"/>
    <w:rsid w:val="33C05244"/>
    <w:rsid w:val="34243940"/>
    <w:rsid w:val="34276AA2"/>
    <w:rsid w:val="346259EE"/>
    <w:rsid w:val="346642FE"/>
    <w:rsid w:val="348712FF"/>
    <w:rsid w:val="34C77D11"/>
    <w:rsid w:val="34EE15EE"/>
    <w:rsid w:val="350641C9"/>
    <w:rsid w:val="351D2DF3"/>
    <w:rsid w:val="352970FA"/>
    <w:rsid w:val="355066CA"/>
    <w:rsid w:val="358E15F4"/>
    <w:rsid w:val="35A95263"/>
    <w:rsid w:val="35F806E5"/>
    <w:rsid w:val="36107489"/>
    <w:rsid w:val="3668091F"/>
    <w:rsid w:val="36791FAE"/>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6901A6"/>
    <w:rsid w:val="3A7167A8"/>
    <w:rsid w:val="3A856112"/>
    <w:rsid w:val="3B1C0828"/>
    <w:rsid w:val="3B2517EA"/>
    <w:rsid w:val="3B5A30DF"/>
    <w:rsid w:val="3B6E76FC"/>
    <w:rsid w:val="3B6F3168"/>
    <w:rsid w:val="3B711BBC"/>
    <w:rsid w:val="3B761C1F"/>
    <w:rsid w:val="3B766EC2"/>
    <w:rsid w:val="3BEA2045"/>
    <w:rsid w:val="3C0910A9"/>
    <w:rsid w:val="3C0C1625"/>
    <w:rsid w:val="3C0F01FD"/>
    <w:rsid w:val="3C201B3C"/>
    <w:rsid w:val="3C3C1885"/>
    <w:rsid w:val="3C9F4BF8"/>
    <w:rsid w:val="3CAF17AD"/>
    <w:rsid w:val="3CB74069"/>
    <w:rsid w:val="3CC24C8E"/>
    <w:rsid w:val="3CD461EE"/>
    <w:rsid w:val="3CEC23CF"/>
    <w:rsid w:val="3CEC4607"/>
    <w:rsid w:val="3D3F4162"/>
    <w:rsid w:val="3D7F084D"/>
    <w:rsid w:val="3D906F68"/>
    <w:rsid w:val="3D9564E4"/>
    <w:rsid w:val="3DC82773"/>
    <w:rsid w:val="3E04464D"/>
    <w:rsid w:val="3E1A7DE1"/>
    <w:rsid w:val="3E35467C"/>
    <w:rsid w:val="3E6F537E"/>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597312"/>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BB0D2F"/>
    <w:rsid w:val="44DE60BD"/>
    <w:rsid w:val="44E41455"/>
    <w:rsid w:val="44E86ADA"/>
    <w:rsid w:val="451C070E"/>
    <w:rsid w:val="45B746DA"/>
    <w:rsid w:val="45C81012"/>
    <w:rsid w:val="462C2AE7"/>
    <w:rsid w:val="464B1DF7"/>
    <w:rsid w:val="465F60F6"/>
    <w:rsid w:val="46CF406D"/>
    <w:rsid w:val="47497B8E"/>
    <w:rsid w:val="479C33A6"/>
    <w:rsid w:val="47ED7E4A"/>
    <w:rsid w:val="48073E38"/>
    <w:rsid w:val="485506F5"/>
    <w:rsid w:val="4889079F"/>
    <w:rsid w:val="48AD1D9D"/>
    <w:rsid w:val="48D21E9C"/>
    <w:rsid w:val="49280EA3"/>
    <w:rsid w:val="494303AB"/>
    <w:rsid w:val="4979273A"/>
    <w:rsid w:val="4983262C"/>
    <w:rsid w:val="498D0070"/>
    <w:rsid w:val="49C95ADB"/>
    <w:rsid w:val="4A0B5860"/>
    <w:rsid w:val="4A3309D2"/>
    <w:rsid w:val="4A4947A6"/>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CE35AA4"/>
    <w:rsid w:val="4DB26CE3"/>
    <w:rsid w:val="4E1B3A89"/>
    <w:rsid w:val="4E306FA9"/>
    <w:rsid w:val="4EC213C5"/>
    <w:rsid w:val="4ED905C3"/>
    <w:rsid w:val="4EDC6B43"/>
    <w:rsid w:val="4EDF6CF2"/>
    <w:rsid w:val="4EEA57CB"/>
    <w:rsid w:val="4F1A72B1"/>
    <w:rsid w:val="4F2C1696"/>
    <w:rsid w:val="4F632D5C"/>
    <w:rsid w:val="4FB74DC9"/>
    <w:rsid w:val="4FBD0D8C"/>
    <w:rsid w:val="4FD262E5"/>
    <w:rsid w:val="4FDB4904"/>
    <w:rsid w:val="50055A34"/>
    <w:rsid w:val="504725E4"/>
    <w:rsid w:val="504E3428"/>
    <w:rsid w:val="505C77D3"/>
    <w:rsid w:val="50836AA9"/>
    <w:rsid w:val="50A548CE"/>
    <w:rsid w:val="50CD0BAD"/>
    <w:rsid w:val="50E013D8"/>
    <w:rsid w:val="50EE182F"/>
    <w:rsid w:val="50F05E6E"/>
    <w:rsid w:val="512E48E5"/>
    <w:rsid w:val="51853760"/>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8F0CA8"/>
    <w:rsid w:val="54C510FB"/>
    <w:rsid w:val="54D322B1"/>
    <w:rsid w:val="54DA5D47"/>
    <w:rsid w:val="54F91C1A"/>
    <w:rsid w:val="55214D3B"/>
    <w:rsid w:val="552474C7"/>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224CC"/>
    <w:rsid w:val="575B21FD"/>
    <w:rsid w:val="57774210"/>
    <w:rsid w:val="57A041EE"/>
    <w:rsid w:val="57BE635C"/>
    <w:rsid w:val="57C87271"/>
    <w:rsid w:val="57E623D3"/>
    <w:rsid w:val="58167612"/>
    <w:rsid w:val="582019B4"/>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C401E7"/>
    <w:rsid w:val="5AED6AD6"/>
    <w:rsid w:val="5AFC73AB"/>
    <w:rsid w:val="5B2C50E4"/>
    <w:rsid w:val="5B4F6AF7"/>
    <w:rsid w:val="5BA2173C"/>
    <w:rsid w:val="5BE04A8A"/>
    <w:rsid w:val="5C0A1D64"/>
    <w:rsid w:val="5C16499B"/>
    <w:rsid w:val="5C404771"/>
    <w:rsid w:val="5C405EB2"/>
    <w:rsid w:val="5C9D1F3A"/>
    <w:rsid w:val="5CAE5C9B"/>
    <w:rsid w:val="5D5A1DE6"/>
    <w:rsid w:val="5D7F1CEA"/>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3252A7"/>
    <w:rsid w:val="60534363"/>
    <w:rsid w:val="608F46D6"/>
    <w:rsid w:val="612C7258"/>
    <w:rsid w:val="615715FA"/>
    <w:rsid w:val="617501C1"/>
    <w:rsid w:val="617568F9"/>
    <w:rsid w:val="618E4DF1"/>
    <w:rsid w:val="61A2701B"/>
    <w:rsid w:val="61AC3914"/>
    <w:rsid w:val="61D258E3"/>
    <w:rsid w:val="623F1C3E"/>
    <w:rsid w:val="626F038D"/>
    <w:rsid w:val="627E73B6"/>
    <w:rsid w:val="6301322D"/>
    <w:rsid w:val="6318215C"/>
    <w:rsid w:val="631A0B14"/>
    <w:rsid w:val="635E00FF"/>
    <w:rsid w:val="643739A8"/>
    <w:rsid w:val="64492E5C"/>
    <w:rsid w:val="64595C2C"/>
    <w:rsid w:val="647F7698"/>
    <w:rsid w:val="64AA720F"/>
    <w:rsid w:val="64B91BC4"/>
    <w:rsid w:val="64C1749E"/>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BF1C31"/>
    <w:rsid w:val="66D075E7"/>
    <w:rsid w:val="671660B5"/>
    <w:rsid w:val="672E4B50"/>
    <w:rsid w:val="677636C5"/>
    <w:rsid w:val="679D6AF9"/>
    <w:rsid w:val="67D65BC6"/>
    <w:rsid w:val="681236F4"/>
    <w:rsid w:val="682249C5"/>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A174AFA"/>
    <w:rsid w:val="6A4113FC"/>
    <w:rsid w:val="6A4A3C55"/>
    <w:rsid w:val="6A8317BE"/>
    <w:rsid w:val="6A932E15"/>
    <w:rsid w:val="6A9C5300"/>
    <w:rsid w:val="6B1E7F72"/>
    <w:rsid w:val="6B20385E"/>
    <w:rsid w:val="6B267794"/>
    <w:rsid w:val="6B664818"/>
    <w:rsid w:val="6B7A4C92"/>
    <w:rsid w:val="6B9F3F28"/>
    <w:rsid w:val="6BD2516B"/>
    <w:rsid w:val="6BE65C64"/>
    <w:rsid w:val="6C147A93"/>
    <w:rsid w:val="6C4031A0"/>
    <w:rsid w:val="6C7B054B"/>
    <w:rsid w:val="6C814A59"/>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04E6A6B"/>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236FFC"/>
    <w:rsid w:val="735F1BDD"/>
    <w:rsid w:val="73834987"/>
    <w:rsid w:val="738370B6"/>
    <w:rsid w:val="740D45B9"/>
    <w:rsid w:val="74283869"/>
    <w:rsid w:val="7432313D"/>
    <w:rsid w:val="745A23B1"/>
    <w:rsid w:val="746216B1"/>
    <w:rsid w:val="747C2EBD"/>
    <w:rsid w:val="7486249F"/>
    <w:rsid w:val="74B263C2"/>
    <w:rsid w:val="74FD76A0"/>
    <w:rsid w:val="75030E64"/>
    <w:rsid w:val="750D6BDC"/>
    <w:rsid w:val="750F08C7"/>
    <w:rsid w:val="753048AD"/>
    <w:rsid w:val="753544E0"/>
    <w:rsid w:val="75381C1F"/>
    <w:rsid w:val="75400A5F"/>
    <w:rsid w:val="75770905"/>
    <w:rsid w:val="759C390E"/>
    <w:rsid w:val="75A055E7"/>
    <w:rsid w:val="75A230C3"/>
    <w:rsid w:val="75F24019"/>
    <w:rsid w:val="76A26B77"/>
    <w:rsid w:val="76EA6B52"/>
    <w:rsid w:val="7797237E"/>
    <w:rsid w:val="77D05213"/>
    <w:rsid w:val="781C401F"/>
    <w:rsid w:val="78346907"/>
    <w:rsid w:val="78464877"/>
    <w:rsid w:val="785116D4"/>
    <w:rsid w:val="78517245"/>
    <w:rsid w:val="785C3908"/>
    <w:rsid w:val="787511EC"/>
    <w:rsid w:val="78827DAA"/>
    <w:rsid w:val="78D66832"/>
    <w:rsid w:val="79002122"/>
    <w:rsid w:val="792675C1"/>
    <w:rsid w:val="7988270D"/>
    <w:rsid w:val="79CA5FA9"/>
    <w:rsid w:val="79F34B52"/>
    <w:rsid w:val="7A10451D"/>
    <w:rsid w:val="7A421502"/>
    <w:rsid w:val="7A583C2F"/>
    <w:rsid w:val="7A7311FF"/>
    <w:rsid w:val="7A80094C"/>
    <w:rsid w:val="7A821EE5"/>
    <w:rsid w:val="7AD325F0"/>
    <w:rsid w:val="7B0257FA"/>
    <w:rsid w:val="7B1C1411"/>
    <w:rsid w:val="7B1D208B"/>
    <w:rsid w:val="7BC11A20"/>
    <w:rsid w:val="7BC15E4F"/>
    <w:rsid w:val="7C221845"/>
    <w:rsid w:val="7C336055"/>
    <w:rsid w:val="7C357ED5"/>
    <w:rsid w:val="7C4F211F"/>
    <w:rsid w:val="7C823371"/>
    <w:rsid w:val="7C894C8E"/>
    <w:rsid w:val="7D6A05D4"/>
    <w:rsid w:val="7DE47912"/>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630"/>
        <w:tab w:val="right" w:leader="dot" w:pos="9288"/>
      </w:tabs>
      <w:ind w:firstLine="0" w:firstLineChars="0"/>
      <w:jc w:val="left"/>
    </w:pPr>
    <w:rPr>
      <w:b/>
      <w:bCs/>
      <w:caps/>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4"/>
    <w:basedOn w:val="1"/>
    <w:next w:val="1"/>
    <w:semiHidden/>
    <w:qFormat/>
    <w:uiPriority w:val="0"/>
    <w:pPr>
      <w:spacing w:line="240" w:lineRule="auto"/>
      <w:ind w:left="630" w:firstLine="0" w:firstLineChars="0"/>
      <w:jc w:val="left"/>
    </w:pPr>
    <w:rPr>
      <w:sz w:val="18"/>
      <w:szCs w:val="18"/>
    </w:rPr>
  </w:style>
  <w:style w:type="paragraph" w:styleId="28">
    <w:name w:val="toc 6"/>
    <w:basedOn w:val="1"/>
    <w:next w:val="1"/>
    <w:semiHidden/>
    <w:qFormat/>
    <w:uiPriority w:val="0"/>
    <w:pPr>
      <w:spacing w:line="240" w:lineRule="auto"/>
      <w:ind w:left="1050" w:firstLine="0" w:firstLineChars="0"/>
      <w:jc w:val="left"/>
    </w:pPr>
    <w:rPr>
      <w:sz w:val="18"/>
      <w:szCs w:val="18"/>
    </w:rPr>
  </w:style>
  <w:style w:type="paragraph" w:styleId="29">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0">
    <w:name w:val="toc 9"/>
    <w:basedOn w:val="1"/>
    <w:next w:val="1"/>
    <w:semiHidden/>
    <w:qFormat/>
    <w:uiPriority w:val="0"/>
    <w:pPr>
      <w:spacing w:line="240" w:lineRule="auto"/>
      <w:ind w:left="1680" w:firstLine="0" w:firstLineChars="0"/>
      <w:jc w:val="left"/>
    </w:pPr>
    <w:rPr>
      <w:sz w:val="18"/>
      <w:szCs w:val="18"/>
    </w:rPr>
  </w:style>
  <w:style w:type="paragraph" w:styleId="31">
    <w:name w:val="index 1"/>
    <w:basedOn w:val="1"/>
    <w:next w:val="1"/>
    <w:unhideWhenUsed/>
    <w:qFormat/>
    <w:uiPriority w:val="99"/>
    <w:rPr>
      <w:szCs w:val="20"/>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2026-04-10T05:22:11Z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7777AAFEE38C4F2CAE1FD72AA90FAA39</vt:lpwstr>
  </property>
</Properties>
</file>