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r>
        <w:rPr>
          <w:sz w:val="24"/>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sz w:val="48"/>
          <w:highlight w:val="none"/>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topLinePunct w:val="0"/>
        <w:bidi w:val="0"/>
        <w:adjustRightInd w:val="0"/>
        <w:snapToGrid w:val="0"/>
        <w:spacing w:line="600" w:lineRule="exact"/>
        <w:textAlignment w:val="auto"/>
        <w:rPr>
          <w:rFonts w:hint="eastAsia" w:eastAsia="黑体"/>
          <w:i w:val="0"/>
          <w:iCs w:val="0"/>
          <w:kern w:val="0"/>
          <w:sz w:val="48"/>
          <w:szCs w:val="52"/>
          <w:highlight w:val="yellow"/>
          <w:lang w:val="en-US" w:eastAsia="zh-CN"/>
        </w:rPr>
      </w:pPr>
      <w:r>
        <w:rPr>
          <w:rFonts w:hint="eastAsia"/>
          <w:i w:val="0"/>
          <w:iCs/>
          <w:sz w:val="48"/>
          <w:szCs w:val="48"/>
          <w:highlight w:val="none"/>
          <w:lang w:eastAsia="zh-CN"/>
        </w:rPr>
        <w:t>信通分公司2026年局域网建设与改造-西海岸数据中心外联区路由器设备</w:t>
      </w:r>
      <w:r>
        <w:rPr>
          <w:rFonts w:hint="eastAsia"/>
          <w:i w:val="0"/>
          <w:iCs/>
          <w:sz w:val="48"/>
          <w:szCs w:val="48"/>
          <w:highlight w:val="none"/>
        </w:rPr>
        <w:t>购置</w:t>
      </w:r>
      <w:r>
        <w:rPr>
          <w:rFonts w:hint="eastAsia"/>
          <w:i w:val="0"/>
          <w:iCs/>
          <w:sz w:val="48"/>
          <w:szCs w:val="48"/>
          <w:highlight w:val="none"/>
          <w:lang w:eastAsia="zh-CN"/>
        </w:rPr>
        <w:t>项目</w:t>
      </w:r>
    </w:p>
    <w:p>
      <w:pPr>
        <w:pStyle w:val="44"/>
        <w:pageBreakBefore w:val="0"/>
        <w:kinsoku/>
        <w:wordWrap/>
        <w:overflowPunct/>
        <w:topLinePunct w:val="0"/>
        <w:bidi w:val="0"/>
        <w:adjustRightInd w:val="0"/>
        <w:snapToGrid w:val="0"/>
        <w:spacing w:after="156" w:afterLines="50" w:line="600" w:lineRule="exact"/>
        <w:textAlignment w:val="auto"/>
        <w:rPr>
          <w:rFonts w:hint="eastAsia" w:cs="黑体"/>
          <w:szCs w:val="52"/>
        </w:rPr>
      </w:pPr>
    </w:p>
    <w:p>
      <w:pPr>
        <w:pStyle w:val="44"/>
        <w:adjustRightInd w:val="0"/>
        <w:snapToGrid w:val="0"/>
        <w:rPr>
          <w:sz w:val="48"/>
          <w:highlight w:val="none"/>
        </w:rPr>
      </w:pPr>
      <w:r>
        <w:rPr>
          <w:rFonts w:hint="eastAsia" w:cs="黑体"/>
          <w:szCs w:val="52"/>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0"/>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pgBorders>
            <w:top w:val="none" w:sz="0" w:space="0"/>
            <w:left w:val="none" w:sz="0" w:space="0"/>
            <w:bottom w:val="none" w:sz="0" w:space="0"/>
            <w:right w:val="none" w:sz="0" w:space="0"/>
          </w:pgBorders>
          <w:cols w:space="720" w:num="1"/>
          <w:docGrid w:type="lines" w:linePitch="312" w:charSpace="0"/>
        </w:sectPr>
      </w:pPr>
      <w:r>
        <w:rPr>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1</w:t>
      </w:r>
      <w:r>
        <w:rPr>
          <w:rFonts w:hint="eastAsia" w:ascii="黑体" w:hAnsi="黑体" w:eastAsia="黑体"/>
          <w:sz w:val="36"/>
          <w:szCs w:val="36"/>
          <w:highlight w:val="none"/>
          <w:lang w:val="en-US" w:eastAsia="zh-CN"/>
        </w:rPr>
        <w:t>月</w:t>
      </w:r>
    </w:p>
    <w:p>
      <w:pPr>
        <w:pStyle w:val="100"/>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_Toc13016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_Toc13016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_Toc26353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_Toc26353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_Toc15320 </w:instrText>
      </w:r>
      <w:r>
        <w:rPr>
          <w:caps w:val="0"/>
          <w:szCs w:val="24"/>
          <w:highlight w:val="none"/>
        </w:rPr>
        <w:fldChar w:fldCharType="separate"/>
      </w:r>
      <w:r>
        <w:rPr>
          <w:rFonts w:hint="eastAsia"/>
        </w:rPr>
        <w:t xml:space="preserve">1.2 </w:t>
      </w:r>
      <w:r>
        <w:rPr>
          <w:rFonts w:hint="eastAsia"/>
          <w:highlight w:val="none"/>
        </w:rPr>
        <w:t>质量保证</w:t>
      </w:r>
      <w:r>
        <w:tab/>
      </w:r>
      <w:r>
        <w:fldChar w:fldCharType="begin"/>
      </w:r>
      <w:r>
        <w:instrText xml:space="preserve"> PAGEREF _Toc15320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_Toc21373 </w:instrText>
      </w:r>
      <w:r>
        <w:rPr>
          <w:caps w:val="0"/>
          <w:szCs w:val="24"/>
          <w:highlight w:val="none"/>
        </w:rPr>
        <w:fldChar w:fldCharType="separate"/>
      </w:r>
      <w:r>
        <w:rPr>
          <w:rFonts w:hint="eastAsia"/>
        </w:rPr>
        <w:t xml:space="preserve">1.3 </w:t>
      </w:r>
      <w:r>
        <w:rPr>
          <w:rFonts w:hint="eastAsia"/>
          <w:highlight w:val="none"/>
        </w:rPr>
        <w:t>进度保证</w:t>
      </w:r>
      <w:r>
        <w:tab/>
      </w:r>
      <w:r>
        <w:fldChar w:fldCharType="begin"/>
      </w:r>
      <w:r>
        <w:instrText xml:space="preserve"> PAGEREF _Toc21373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_Toc19375 </w:instrText>
      </w:r>
      <w:r>
        <w:rPr>
          <w:caps w:val="0"/>
          <w:szCs w:val="24"/>
          <w:highlight w:val="none"/>
        </w:rPr>
        <w:fldChar w:fldCharType="separate"/>
      </w:r>
      <w:r>
        <w:rPr>
          <w:rFonts w:hint="eastAsia"/>
        </w:rPr>
        <w:t xml:space="preserve">1.4 </w:t>
      </w:r>
      <w:r>
        <w:rPr>
          <w:rFonts w:hint="eastAsia"/>
          <w:highlight w:val="none"/>
        </w:rPr>
        <w:t>系统适用标准</w:t>
      </w:r>
      <w:r>
        <w:tab/>
      </w:r>
      <w:r>
        <w:fldChar w:fldCharType="begin"/>
      </w:r>
      <w:r>
        <w:instrText xml:space="preserve"> PAGEREF _Toc19375 \h </w:instrText>
      </w:r>
      <w:r>
        <w:fldChar w:fldCharType="separate"/>
      </w:r>
      <w:r>
        <w:t>- 1 -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_Toc24363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_Toc24363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_Toc17458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_Toc17458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_Toc15255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_Toc15255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_Toc4906 </w:instrText>
      </w:r>
      <w:r>
        <w:rPr>
          <w:caps w:val="0"/>
          <w:szCs w:val="24"/>
          <w:highlight w:val="none"/>
        </w:rPr>
        <w:fldChar w:fldCharType="separate"/>
      </w:r>
      <w:r>
        <w:rPr>
          <w:rFonts w:hint="eastAsia"/>
        </w:rPr>
        <w:t xml:space="preserve">2.3 </w:t>
      </w:r>
      <w:r>
        <w:rPr>
          <w:rFonts w:hint="eastAsia"/>
          <w:highlight w:val="none"/>
        </w:rPr>
        <w:t>报价范围</w:t>
      </w:r>
      <w:r>
        <w:tab/>
      </w:r>
      <w:r>
        <w:fldChar w:fldCharType="begin"/>
      </w:r>
      <w:r>
        <w:instrText xml:space="preserve"> PAGEREF _Toc4906 \h </w:instrText>
      </w:r>
      <w:r>
        <w:fldChar w:fldCharType="separate"/>
      </w:r>
      <w:r>
        <w:t>- 3 -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_Toc32671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_Toc32671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_Toc7011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rPr>
          <w:rFonts w:hint="eastAsia"/>
          <w:highlight w:val="none"/>
          <w:lang w:eastAsia="zh-CN"/>
        </w:rPr>
        <w:t>（模板，标黄部分可修改）</w:t>
      </w:r>
      <w:r>
        <w:tab/>
      </w:r>
      <w:r>
        <w:fldChar w:fldCharType="begin"/>
      </w:r>
      <w:r>
        <w:instrText xml:space="preserve"> PAGEREF _Toc7011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_Toc13469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tab/>
      </w:r>
      <w:r>
        <w:fldChar w:fldCharType="begin"/>
      </w:r>
      <w:r>
        <w:instrText xml:space="preserve"> PAGEREF _Toc13469 \h </w:instrText>
      </w:r>
      <w:r>
        <w:fldChar w:fldCharType="separate"/>
      </w:r>
      <w:r>
        <w:t>- 3 -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_Toc13195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_Toc13195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_Toc26202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_Toc26202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_Toc20691 </w:instrText>
      </w:r>
      <w:r>
        <w:rPr>
          <w:caps w:val="0"/>
          <w:szCs w:val="24"/>
          <w:highlight w:val="none"/>
        </w:rPr>
        <w:fldChar w:fldCharType="separate"/>
      </w:r>
      <w:r>
        <w:rPr>
          <w:rFonts w:hint="eastAsia"/>
        </w:rPr>
        <w:t xml:space="preserve">3.2 </w:t>
      </w:r>
      <w:r>
        <w:rPr>
          <w:rFonts w:hint="eastAsia"/>
          <w:highlight w:val="none"/>
          <w:lang w:eastAsia="zh-CN"/>
        </w:rPr>
        <w:t>技术参数</w:t>
      </w:r>
      <w:r>
        <w:rPr>
          <w:rFonts w:hint="eastAsia"/>
          <w:highlight w:val="none"/>
        </w:rPr>
        <w:t>要求</w:t>
      </w:r>
      <w:r>
        <w:tab/>
      </w:r>
      <w:r>
        <w:fldChar w:fldCharType="begin"/>
      </w:r>
      <w:r>
        <w:instrText xml:space="preserve"> PAGEREF _Toc20691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_Toc5031 </w:instrText>
      </w:r>
      <w:r>
        <w:rPr>
          <w:caps w:val="0"/>
          <w:szCs w:val="24"/>
          <w:highlight w:val="none"/>
        </w:rPr>
        <w:fldChar w:fldCharType="separate"/>
      </w:r>
      <w:r>
        <w:rPr>
          <w:rFonts w:hint="eastAsia"/>
          <w:lang w:eastAsia="zh-CN"/>
        </w:rPr>
        <w:t xml:space="preserve">3.3 </w:t>
      </w:r>
      <w:r>
        <w:rPr>
          <w:rFonts w:hint="eastAsia"/>
          <w:highlight w:val="none"/>
          <w:lang w:eastAsia="zh-CN"/>
        </w:rPr>
        <w:t>实施要求</w:t>
      </w:r>
      <w:r>
        <w:tab/>
      </w:r>
      <w:r>
        <w:fldChar w:fldCharType="begin"/>
      </w:r>
      <w:r>
        <w:instrText xml:space="preserve"> PAGEREF _Toc5031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_Toc25504 </w:instrText>
      </w:r>
      <w:r>
        <w:rPr>
          <w:caps w:val="0"/>
          <w:szCs w:val="24"/>
          <w:highlight w:val="none"/>
        </w:rPr>
        <w:fldChar w:fldCharType="separate"/>
      </w:r>
      <w:r>
        <w:rPr>
          <w:rFonts w:hint="eastAsia"/>
          <w:lang w:eastAsia="zh-CN"/>
        </w:rPr>
        <w:t xml:space="preserve">3.4 </w:t>
      </w:r>
      <w:r>
        <w:rPr>
          <w:rFonts w:hint="eastAsia"/>
          <w:highlight w:val="none"/>
          <w:lang w:eastAsia="zh-CN"/>
        </w:rPr>
        <w:t>其他要求</w:t>
      </w:r>
      <w:r>
        <w:tab/>
      </w:r>
      <w:r>
        <w:fldChar w:fldCharType="begin"/>
      </w:r>
      <w:r>
        <w:instrText xml:space="preserve"> PAGEREF _Toc25504 \h </w:instrText>
      </w:r>
      <w:r>
        <w:fldChar w:fldCharType="separate"/>
      </w:r>
      <w:r>
        <w:t>- 7 -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_Toc3269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_Toc3269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_Toc24281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_Toc24281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_Toc30208 </w:instrText>
      </w:r>
      <w:r>
        <w:rPr>
          <w:caps w:val="0"/>
          <w:szCs w:val="24"/>
          <w:highlight w:val="none"/>
        </w:rPr>
        <w:fldChar w:fldCharType="separate"/>
      </w:r>
      <w:r>
        <w:rPr>
          <w:rFonts w:hint="eastAsia"/>
        </w:rPr>
        <w:t xml:space="preserve">4.2 </w:t>
      </w:r>
      <w:r>
        <w:rPr>
          <w:rFonts w:hint="eastAsia"/>
          <w:highlight w:val="none"/>
          <w:lang w:eastAsia="zh-CN"/>
        </w:rPr>
        <w:t>到货验收</w:t>
      </w:r>
      <w:r>
        <w:tab/>
      </w:r>
      <w:r>
        <w:fldChar w:fldCharType="begin"/>
      </w:r>
      <w:r>
        <w:instrText xml:space="preserve"> PAGEREF _Toc30208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_Toc26261 </w:instrText>
      </w:r>
      <w:r>
        <w:rPr>
          <w:caps w:val="0"/>
          <w:szCs w:val="24"/>
          <w:highlight w:val="none"/>
        </w:rPr>
        <w:fldChar w:fldCharType="separate"/>
      </w:r>
      <w:r>
        <w:rPr>
          <w:rFonts w:hint="eastAsia"/>
        </w:rPr>
        <w:t xml:space="preserve">4.3 </w:t>
      </w:r>
      <w:r>
        <w:rPr>
          <w:rFonts w:hint="eastAsia"/>
          <w:highlight w:val="none"/>
        </w:rPr>
        <w:t>竣工验收</w:t>
      </w:r>
      <w:r>
        <w:tab/>
      </w:r>
      <w:r>
        <w:fldChar w:fldCharType="begin"/>
      </w:r>
      <w:r>
        <w:instrText xml:space="preserve"> PAGEREF _Toc26261 \h </w:instrText>
      </w:r>
      <w:r>
        <w:fldChar w:fldCharType="separate"/>
      </w:r>
      <w:r>
        <w:t>- 8 -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_Toc6184 </w:instrText>
      </w:r>
      <w:r>
        <w:rPr>
          <w:caps w:val="0"/>
          <w:szCs w:val="24"/>
          <w:highlight w:val="none"/>
        </w:rPr>
        <w:fldChar w:fldCharType="separate"/>
      </w:r>
      <w:r>
        <w:rPr>
          <w:rFonts w:hint="eastAsia"/>
          <w:lang w:val="sv-SE"/>
        </w:rPr>
        <w:t xml:space="preserve">5 </w:t>
      </w:r>
      <w:r>
        <w:rPr>
          <w:rFonts w:hint="eastAsia"/>
          <w:highlight w:val="none"/>
          <w:lang w:val="en-US" w:eastAsia="zh-CN"/>
        </w:rPr>
        <w:t>结算及归档</w:t>
      </w:r>
      <w:r>
        <w:tab/>
      </w:r>
      <w:r>
        <w:fldChar w:fldCharType="begin"/>
      </w:r>
      <w:r>
        <w:instrText xml:space="preserve"> PAGEREF _Toc6184 \h </w:instrText>
      </w:r>
      <w:r>
        <w:fldChar w:fldCharType="separate"/>
      </w:r>
      <w:r>
        <w:t>- 8 -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_Toc18734 </w:instrText>
      </w:r>
      <w:r>
        <w:rPr>
          <w:caps w:val="0"/>
          <w:szCs w:val="24"/>
          <w:highlight w:val="none"/>
        </w:rPr>
        <w:fldChar w:fldCharType="separate"/>
      </w:r>
      <w:r>
        <w:rPr>
          <w:rFonts w:hint="eastAsia" w:ascii="Times New Roman" w:hAnsi="Times New Roman" w:eastAsia="宋体" w:cs="Times New Roman"/>
          <w:bCs/>
          <w:snapToGrid w:val="0"/>
          <w:kern w:val="0"/>
          <w:szCs w:val="32"/>
          <w:lang w:val="sv-SE" w:eastAsia="zh-CN" w:bidi="ar-SA"/>
        </w:rPr>
        <w:t xml:space="preserve">6 </w:t>
      </w:r>
      <w:r>
        <w:rPr>
          <w:rFonts w:hint="eastAsia"/>
          <w:highlight w:val="none"/>
          <w:lang w:val="en-US" w:eastAsia="zh-CN"/>
        </w:rPr>
        <w:t>项目考核</w:t>
      </w:r>
      <w:r>
        <w:tab/>
      </w:r>
      <w:r>
        <w:fldChar w:fldCharType="begin"/>
      </w:r>
      <w:r>
        <w:instrText xml:space="preserve"> PAGEREF _Toc18734 \h </w:instrText>
      </w:r>
      <w:r>
        <w:fldChar w:fldCharType="separate"/>
      </w:r>
      <w:r>
        <w:t>- 8 -</w:t>
      </w:r>
      <w:r>
        <w:fldChar w:fldCharType="end"/>
      </w:r>
      <w:r>
        <w:rPr>
          <w:caps w:val="0"/>
          <w:szCs w:val="24"/>
          <w:highlight w:val="none"/>
        </w:rPr>
        <w:fldChar w:fldCharType="end"/>
      </w:r>
    </w:p>
    <w:p>
      <w:pPr>
        <w:pStyle w:val="27"/>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pPr>
      <w:r>
        <w:rPr>
          <w:caps w:val="0"/>
          <w:szCs w:val="24"/>
          <w:highlight w:val="none"/>
        </w:rPr>
        <w:fldChar w:fldCharType="end"/>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15516"/>
      <w:bookmarkStart w:id="1" w:name="_Toc13016"/>
      <w:bookmarkStart w:id="2" w:name="_Ref191806497"/>
      <w:bookmarkStart w:id="3" w:name="_Toc124406412"/>
      <w:bookmarkStart w:id="4" w:name="_Toc6793"/>
      <w:bookmarkStart w:id="5" w:name="_Toc523850196"/>
      <w:bookmarkStart w:id="6" w:name="_Toc411267585"/>
      <w:bookmarkStart w:id="7" w:name="_Toc407415869"/>
      <w:bookmarkStart w:id="8" w:name="_Toc411269790"/>
      <w:bookmarkStart w:id="9" w:name="_Toc407417356"/>
      <w:bookmarkStart w:id="10" w:name="_Toc407982391"/>
      <w:bookmarkStart w:id="11" w:name="_Toc407982392"/>
      <w:bookmarkStart w:id="12" w:name="_Toc411267586"/>
      <w:bookmarkStart w:id="13" w:name="_Toc407417357"/>
      <w:bookmarkStart w:id="14" w:name="_Toc411269791"/>
      <w:bookmarkStart w:id="15" w:name="_Toc407415870"/>
      <w:r>
        <w:rPr>
          <w:rFonts w:hint="eastAsia"/>
          <w:highlight w:val="none"/>
        </w:rPr>
        <w:t>总则</w:t>
      </w:r>
      <w:bookmarkEnd w:id="0"/>
      <w:bookmarkEnd w:id="1"/>
      <w:bookmarkEnd w:id="2"/>
      <w:bookmarkEnd w:id="3"/>
      <w:bookmarkEnd w:id="4"/>
      <w:bookmarkEnd w:id="5"/>
    </w:p>
    <w:p>
      <w:pPr>
        <w:pStyle w:val="4"/>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124406413"/>
      <w:bookmarkStart w:id="17" w:name="_Toc10091"/>
      <w:bookmarkStart w:id="18" w:name="_Toc25438"/>
      <w:bookmarkStart w:id="19" w:name="_Toc523850197"/>
      <w:bookmarkStart w:id="20" w:name="_Toc26353"/>
      <w:r>
        <w:rPr>
          <w:rFonts w:hint="eastAsia"/>
          <w:color w:val="auto"/>
          <w:highlight w:val="none"/>
        </w:rPr>
        <w:t>项目建设范围</w:t>
      </w:r>
      <w:bookmarkEnd w:id="16"/>
      <w:bookmarkEnd w:id="17"/>
      <w:bookmarkEnd w:id="18"/>
      <w:bookmarkEnd w:id="19"/>
      <w:bookmarkEnd w:id="20"/>
    </w:p>
    <w:p>
      <w:pPr>
        <w:pStyle w:val="89"/>
        <w:spacing w:line="600" w:lineRule="exact"/>
        <w:rPr>
          <w:rFonts w:hint="eastAsia"/>
          <w:highlight w:val="none"/>
        </w:rPr>
      </w:pPr>
      <w:bookmarkStart w:id="21" w:name="_Toc3485"/>
      <w:bookmarkStart w:id="22" w:name="_Toc14021"/>
      <w:bookmarkStart w:id="23" w:name="_Toc124406414"/>
      <w:bookmarkStart w:id="24" w:name="_Toc523850198"/>
      <w:r>
        <w:rPr>
          <w:rFonts w:hint="eastAsia" w:ascii="宋体" w:hAnsi="宋体" w:cs="宋体"/>
          <w:lang w:eastAsia="zh-CN"/>
        </w:rPr>
        <w:t>本项目范围为信通分公司2026年局域网建设与改造-西海岸数据中心外联区路由器设备购置。</w:t>
      </w:r>
      <w:r>
        <w:rPr>
          <w:rFonts w:hint="eastAsia" w:ascii="宋体" w:hAnsi="宋体" w:cs="宋体"/>
        </w:rPr>
        <w:t>目前</w:t>
      </w:r>
      <w:r>
        <w:rPr>
          <w:rFonts w:hint="eastAsia"/>
        </w:rPr>
        <w:t>海南电网公司西海岸数据中心机房</w:t>
      </w:r>
      <w:r>
        <w:rPr>
          <w:rFonts w:hint="eastAsia"/>
          <w:lang w:val="en-US" w:eastAsia="zh-CN"/>
        </w:rPr>
        <w:t>III区和</w:t>
      </w:r>
      <w:r>
        <w:rPr>
          <w:rFonts w:hint="eastAsia"/>
        </w:rPr>
        <w:t>IV区</w:t>
      </w:r>
      <w:r>
        <w:rPr>
          <w:rFonts w:hint="eastAsia"/>
          <w:lang w:eastAsia="zh-CN"/>
        </w:rPr>
        <w:t>无</w:t>
      </w:r>
      <w:r>
        <w:rPr>
          <w:rFonts w:hint="eastAsia"/>
        </w:rPr>
        <w:t>外联区路由器，需采购</w:t>
      </w:r>
      <w:r>
        <w:rPr>
          <w:rFonts w:hint="eastAsia"/>
          <w:lang w:val="en-US" w:eastAsia="zh-CN"/>
        </w:rPr>
        <w:t>4</w:t>
      </w:r>
      <w:r>
        <w:rPr>
          <w:rFonts w:hint="eastAsia"/>
        </w:rPr>
        <w:t>台外联区中端路由器（其中1台用于</w:t>
      </w:r>
      <w:r>
        <w:rPr>
          <w:rFonts w:hint="eastAsia"/>
          <w:lang w:val="en-US" w:eastAsia="zh-CN"/>
        </w:rPr>
        <w:t>IV区</w:t>
      </w:r>
      <w:r>
        <w:rPr>
          <w:rFonts w:hint="eastAsia"/>
        </w:rPr>
        <w:t>银电互联区，1台用于</w:t>
      </w:r>
      <w:r>
        <w:rPr>
          <w:rFonts w:hint="eastAsia"/>
          <w:lang w:val="en-US" w:eastAsia="zh-CN"/>
        </w:rPr>
        <w:t>IV区</w:t>
      </w:r>
      <w:r>
        <w:rPr>
          <w:rFonts w:hint="eastAsia"/>
        </w:rPr>
        <w:t>政企互联区，1台用</w:t>
      </w:r>
      <w:r>
        <w:rPr>
          <w:rFonts w:hint="eastAsia"/>
          <w:lang w:val="en-US" w:eastAsia="zh-CN"/>
        </w:rPr>
        <w:t>IV</w:t>
      </w:r>
      <w:r>
        <w:rPr>
          <w:rFonts w:hint="eastAsia"/>
        </w:rPr>
        <w:t>区APN区</w:t>
      </w:r>
      <w:r>
        <w:rPr>
          <w:rFonts w:hint="eastAsia"/>
          <w:lang w:eastAsia="zh-CN"/>
        </w:rPr>
        <w:t>，</w:t>
      </w:r>
      <w:r>
        <w:rPr>
          <w:rFonts w:hint="eastAsia"/>
          <w:lang w:val="en-US" w:eastAsia="zh-CN"/>
        </w:rPr>
        <w:t>1台用于III区APN区</w:t>
      </w:r>
      <w:r>
        <w:rPr>
          <w:rFonts w:hint="eastAsia"/>
        </w:rPr>
        <w:t>）</w:t>
      </w:r>
    </w:p>
    <w:p>
      <w:pPr>
        <w:pStyle w:val="89"/>
        <w:spacing w:line="600" w:lineRule="exact"/>
        <w:rPr>
          <w:highlight w:val="none"/>
        </w:rPr>
      </w:pPr>
      <w:r>
        <w:rPr>
          <w:rFonts w:hint="eastAsia"/>
          <w:highlight w:val="none"/>
        </w:rPr>
        <w:t>供货范围如下所示，具体技术规格要求参见后文。</w:t>
      </w:r>
    </w:p>
    <w:tbl>
      <w:tblPr>
        <w:tblStyle w:val="33"/>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备注</w:t>
            </w:r>
          </w:p>
        </w:tc>
      </w:tr>
      <w:tr>
        <w:tblPrEx>
          <w:tblCellMar>
            <w:top w:w="0" w:type="dxa"/>
            <w:left w:w="108" w:type="dxa"/>
            <w:bottom w:w="0" w:type="dxa"/>
            <w:right w:w="108" w:type="dxa"/>
          </w:tblCellMar>
        </w:tblPrEx>
        <w:trPr>
          <w:trHeight w:val="48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外联区路由器</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台</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r>
              <w:rPr>
                <w:rFonts w:hint="eastAsia" w:cs="Times New Roman" w:asciiTheme="minorEastAsia" w:hAnsiTheme="minorEastAsia" w:eastAsiaTheme="minorEastAsia"/>
                <w:kern w:val="2"/>
                <w:sz w:val="24"/>
                <w:szCs w:val="24"/>
                <w:highlight w:val="none"/>
                <w:lang w:val="en-US" w:eastAsia="zh-CN" w:bidi="ar-SA"/>
              </w:rPr>
              <w:t>4</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Times New Roman" w:asciiTheme="minorEastAsia" w:hAnsiTheme="minorEastAsia" w:eastAsiaTheme="minorEastAsia"/>
                <w:kern w:val="2"/>
                <w:sz w:val="24"/>
                <w:szCs w:val="24"/>
                <w:highlight w:val="none"/>
                <w:lang w:val="en-US" w:eastAsia="zh-CN" w:bidi="ar-SA"/>
              </w:rPr>
            </w:pPr>
          </w:p>
        </w:tc>
      </w:tr>
    </w:tbl>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5" w:name="_Toc15320"/>
      <w:bookmarkStart w:id="162" w:name="_GoBack"/>
      <w:bookmarkEnd w:id="162"/>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6" w:name="_Toc3202"/>
      <w:bookmarkStart w:id="27" w:name="_Toc523850199"/>
      <w:bookmarkStart w:id="28" w:name="_Toc17579"/>
      <w:bookmarkStart w:id="29" w:name="_Toc21373"/>
      <w:bookmarkStart w:id="30" w:name="_Toc124406415"/>
      <w:r>
        <w:rPr>
          <w:rFonts w:hint="eastAsia"/>
          <w:color w:val="auto"/>
          <w:highlight w:val="none"/>
        </w:rPr>
        <w:t>进度保证</w:t>
      </w:r>
      <w:bookmarkEnd w:id="26"/>
      <w:bookmarkEnd w:id="27"/>
      <w:bookmarkEnd w:id="28"/>
      <w:bookmarkEnd w:id="29"/>
      <w:bookmarkEnd w:id="30"/>
    </w:p>
    <w:p>
      <w:pPr>
        <w:pStyle w:val="89"/>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内完成安装调试投入使用。</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3405"/>
      <w:bookmarkStart w:id="32" w:name="_Toc523850200"/>
      <w:bookmarkStart w:id="33" w:name="_Toc19375"/>
      <w:bookmarkStart w:id="34" w:name="_Toc19290"/>
      <w:bookmarkStart w:id="35" w:name="_Toc124406416"/>
      <w:r>
        <w:rPr>
          <w:rFonts w:hint="eastAsia"/>
          <w:color w:val="auto"/>
          <w:highlight w:val="none"/>
        </w:rPr>
        <w:t>系统适用标准</w:t>
      </w:r>
      <w:bookmarkEnd w:id="31"/>
      <w:bookmarkEnd w:id="32"/>
      <w:bookmarkEnd w:id="33"/>
      <w:bookmarkEnd w:id="34"/>
      <w:bookmarkEnd w:id="3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6" w:name="_Toc124406418"/>
      <w:bookmarkStart w:id="37" w:name="_Toc24363"/>
      <w:bookmarkStart w:id="38" w:name="_Toc427568145"/>
      <w:bookmarkStart w:id="39" w:name="_Toc10711"/>
      <w:bookmarkStart w:id="40" w:name="_Toc427380950"/>
      <w:bookmarkStart w:id="41" w:name="_Toc518408400"/>
      <w:bookmarkStart w:id="42" w:name="_Toc523850201"/>
      <w:bookmarkStart w:id="43" w:name="_Toc32487"/>
      <w:r>
        <w:rPr>
          <w:rFonts w:hint="eastAsia"/>
          <w:highlight w:val="none"/>
        </w:rPr>
        <w:t>对投标方的要求及其工作范围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4" w:name="_Toc17458"/>
      <w:bookmarkStart w:id="45" w:name="_Toc27633"/>
      <w:bookmarkStart w:id="46" w:name="_Toc523850202"/>
      <w:bookmarkStart w:id="47" w:name="_Toc18579"/>
      <w:r>
        <w:rPr>
          <w:rFonts w:hint="eastAsia"/>
          <w:color w:val="auto"/>
          <w:highlight w:val="none"/>
        </w:rPr>
        <w:t>对投标方的技术要求</w:t>
      </w:r>
      <w:bookmarkEnd w:id="44"/>
      <w:bookmarkEnd w:id="45"/>
      <w:bookmarkEnd w:id="46"/>
      <w:bookmarkEnd w:id="47"/>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8" w:name="_Toc17906"/>
      <w:bookmarkStart w:id="49" w:name="_Toc523850203"/>
      <w:bookmarkStart w:id="50" w:name="_Toc18500"/>
      <w:bookmarkStart w:id="51" w:name="_Toc15255"/>
      <w:r>
        <w:rPr>
          <w:rFonts w:hint="eastAsia"/>
          <w:color w:val="auto"/>
          <w:highlight w:val="none"/>
        </w:rPr>
        <w:t>投标方的工作范围</w:t>
      </w:r>
      <w:bookmarkEnd w:id="48"/>
      <w:bookmarkEnd w:id="49"/>
      <w:bookmarkEnd w:id="50"/>
      <w:bookmarkEnd w:id="51"/>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7"/>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2" w:name="_Toc240049345"/>
      <w:bookmarkStart w:id="53" w:name="_Toc4906"/>
      <w:bookmarkStart w:id="54" w:name="_Toc16188"/>
      <w:bookmarkStart w:id="55" w:name="_Toc411267588"/>
      <w:bookmarkStart w:id="56" w:name="_Toc411269793"/>
      <w:bookmarkStart w:id="57" w:name="_Toc518408403"/>
      <w:bookmarkStart w:id="58" w:name="_Toc427568148"/>
      <w:bookmarkStart w:id="59" w:name="_Toc22344"/>
      <w:bookmarkStart w:id="60" w:name="_Toc407982394"/>
      <w:bookmarkStart w:id="61" w:name="_Toc407417359"/>
      <w:bookmarkStart w:id="62" w:name="_Toc427380953"/>
      <w:bookmarkStart w:id="63" w:name="_Toc124406421"/>
      <w:bookmarkStart w:id="64" w:name="_Toc407415872"/>
      <w:bookmarkStart w:id="65" w:name="_Toc523850205"/>
      <w:bookmarkStart w:id="66" w:name="_Toc407417360"/>
      <w:bookmarkStart w:id="67" w:name="_Toc407415873"/>
      <w:bookmarkStart w:id="68" w:name="_Toc407982395"/>
      <w:r>
        <w:rPr>
          <w:rFonts w:hint="eastAsia"/>
          <w:color w:val="auto"/>
          <w:highlight w:val="none"/>
        </w:rPr>
        <w:t>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89"/>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6"/>
    <w:bookmarkEnd w:id="67"/>
    <w:bookmarkEnd w:id="68"/>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69" w:name="_Toc243912812"/>
      <w:bookmarkStart w:id="70" w:name="_Toc523850206"/>
      <w:bookmarkStart w:id="71" w:name="_Toc11454"/>
      <w:bookmarkStart w:id="72" w:name="_Toc20478"/>
      <w:bookmarkStart w:id="73" w:name="_Toc261789486"/>
      <w:bookmarkStart w:id="74" w:name="_Toc124406423"/>
      <w:bookmarkStart w:id="75" w:name="_Toc32671"/>
      <w:bookmarkStart w:id="76" w:name="_Toc349634215"/>
      <w:bookmarkStart w:id="77" w:name="_Toc261789821"/>
      <w:bookmarkStart w:id="78" w:name="_Toc124406433"/>
      <w:r>
        <w:rPr>
          <w:rFonts w:hint="eastAsia"/>
          <w:color w:val="auto"/>
          <w:highlight w:val="none"/>
        </w:rPr>
        <w:t>技术服务</w:t>
      </w:r>
      <w:bookmarkEnd w:id="69"/>
      <w:bookmarkEnd w:id="70"/>
      <w:bookmarkEnd w:id="71"/>
      <w:bookmarkEnd w:id="72"/>
      <w:bookmarkEnd w:id="73"/>
      <w:bookmarkEnd w:id="74"/>
      <w:bookmarkEnd w:id="75"/>
      <w:bookmarkEnd w:id="76"/>
      <w:bookmarkEnd w:id="77"/>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79" w:name="_Toc32116"/>
      <w:bookmarkStart w:id="80" w:name="_Toc427568154"/>
      <w:bookmarkStart w:id="81" w:name="_Toc261789822"/>
      <w:bookmarkStart w:id="82" w:name="_Toc1783"/>
      <w:bookmarkStart w:id="83" w:name="_Toc349634216"/>
      <w:bookmarkStart w:id="84" w:name="_Toc518408406"/>
      <w:bookmarkStart w:id="85" w:name="_Toc411269795"/>
      <w:bookmarkStart w:id="86" w:name="_Toc427380959"/>
      <w:bookmarkStart w:id="87" w:name="_Toc261789487"/>
      <w:bookmarkStart w:id="88" w:name="_Toc243912813"/>
      <w:bookmarkStart w:id="89" w:name="_Toc523850207"/>
      <w:bookmarkStart w:id="90" w:name="_Toc411267590"/>
      <w:bookmarkStart w:id="91" w:name="_Toc124406424"/>
      <w:bookmarkStart w:id="92" w:name="_Toc7011"/>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79"/>
      <w:bookmarkEnd w:id="80"/>
      <w:bookmarkEnd w:id="81"/>
      <w:bookmarkEnd w:id="82"/>
      <w:bookmarkEnd w:id="83"/>
      <w:bookmarkEnd w:id="84"/>
      <w:bookmarkEnd w:id="85"/>
      <w:bookmarkEnd w:id="86"/>
      <w:bookmarkEnd w:id="87"/>
      <w:bookmarkEnd w:id="88"/>
      <w:bookmarkEnd w:id="89"/>
      <w:bookmarkEnd w:id="90"/>
      <w:bookmarkEnd w:id="91"/>
      <w:r>
        <w:rPr>
          <w:rFonts w:hint="eastAsia"/>
          <w:color w:val="auto"/>
          <w:highlight w:val="none"/>
          <w:lang w:eastAsia="zh-CN"/>
        </w:rPr>
        <w:t>（模板，标黄部分可修改）</w:t>
      </w:r>
      <w:bookmarkEnd w:id="92"/>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93" w:name="_Toc261789488"/>
      <w:bookmarkStart w:id="94" w:name="_Toc411267591"/>
      <w:bookmarkStart w:id="95" w:name="_Toc523850208"/>
      <w:bookmarkStart w:id="96" w:name="_Toc6331"/>
      <w:bookmarkStart w:id="97" w:name="_Toc411269796"/>
      <w:bookmarkStart w:id="98" w:name="_Toc17471"/>
      <w:bookmarkStart w:id="99" w:name="_Toc349634217"/>
      <w:bookmarkStart w:id="100" w:name="_Toc427568155"/>
      <w:bookmarkStart w:id="101" w:name="_Toc243912814"/>
      <w:bookmarkStart w:id="102" w:name="_Toc124406425"/>
      <w:bookmarkStart w:id="103" w:name="_Toc261789823"/>
      <w:bookmarkStart w:id="104" w:name="_Toc518408407"/>
      <w:bookmarkStart w:id="105" w:name="_Toc427380960"/>
      <w:r>
        <w:rPr>
          <w:rFonts w:hint="eastAsia"/>
          <w:highlight w:val="none"/>
          <w:u w:val="single"/>
        </w:rPr>
        <w:t>产品供货</w:t>
      </w:r>
      <w:r>
        <w:rPr>
          <w:rFonts w:hint="eastAsia"/>
          <w:highlight w:val="none"/>
          <w:u w:val="single"/>
          <w:lang w:eastAsia="zh-CN"/>
        </w:rPr>
        <w:t>及安装调试</w:t>
      </w:r>
      <w:r>
        <w:rPr>
          <w:rFonts w:hint="eastAsia"/>
          <w:highlight w:val="none"/>
          <w:u w:val="single"/>
        </w:rPr>
        <w:t>。</w:t>
      </w:r>
    </w:p>
    <w:p>
      <w:pPr>
        <w:pStyle w:val="87"/>
        <w:numPr>
          <w:ilvl w:val="0"/>
          <w:numId w:val="7"/>
        </w:numPr>
        <w:spacing w:line="600" w:lineRule="exact"/>
        <w:ind w:left="0" w:firstLine="426"/>
        <w:rPr>
          <w:highlight w:val="none"/>
          <w:u w:val="single"/>
        </w:rPr>
      </w:pPr>
      <w:r>
        <w:rPr>
          <w:rFonts w:hint="eastAsia"/>
          <w:highlight w:val="none"/>
          <w:u w:val="single"/>
          <w:lang w:val="en-US" w:eastAsia="zh-CN"/>
        </w:rPr>
        <w:t>5</w:t>
      </w:r>
      <w:r>
        <w:rPr>
          <w:rFonts w:hint="eastAsia"/>
          <w:highlight w:val="none"/>
          <w:u w:val="single"/>
        </w:rPr>
        <w:t>年免费质保。</w:t>
      </w:r>
    </w:p>
    <w:p>
      <w:pPr>
        <w:pStyle w:val="87"/>
        <w:numPr>
          <w:ilvl w:val="0"/>
          <w:numId w:val="7"/>
        </w:numPr>
        <w:spacing w:line="600" w:lineRule="exact"/>
        <w:ind w:left="0" w:firstLine="426"/>
        <w:rPr>
          <w:highlight w:val="none"/>
          <w:u w:val="single"/>
        </w:rPr>
      </w:pPr>
      <w:r>
        <w:rPr>
          <w:rFonts w:hint="eastAsia" w:ascii="Times New Roman" w:hAnsi="Times New Roman"/>
          <w:kern w:val="2"/>
          <w:highlight w:val="none"/>
          <w:u w:val="single"/>
        </w:rPr>
        <w:t>由原厂技术人员提供实施服务，并提供原厂售后服务承诺函。</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87"/>
        <w:numPr>
          <w:ilvl w:val="0"/>
          <w:numId w:val="7"/>
        </w:numPr>
        <w:spacing w:line="600" w:lineRule="exact"/>
        <w:ind w:left="0" w:firstLine="426"/>
        <w:rPr>
          <w:highlight w:val="none"/>
          <w:u w:val="single"/>
        </w:rPr>
      </w:pPr>
      <w:r>
        <w:rPr>
          <w:rFonts w:hint="eastAsia" w:ascii="宋体" w:hAnsi="宋体"/>
          <w:kern w:val="0"/>
          <w:highlight w:val="none"/>
          <w:u w:val="single"/>
          <w:lang w:eastAsia="zh-CN"/>
        </w:rPr>
        <w:t>培训。</w:t>
      </w:r>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106" w:name="_Toc13469"/>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7" w:name="_Toc518408408"/>
      <w:bookmarkStart w:id="108" w:name="_Ref191806485"/>
      <w:bookmarkStart w:id="109" w:name="_Toc124406426"/>
      <w:bookmarkStart w:id="110" w:name="_Ref191806390"/>
      <w:bookmarkStart w:id="111" w:name="_Ref191806386"/>
      <w:bookmarkStart w:id="112" w:name="_Ref191806438"/>
      <w:bookmarkStart w:id="113" w:name="_Ref191806475"/>
      <w:bookmarkStart w:id="114" w:name="_Ref191806505"/>
      <w:bookmarkStart w:id="115" w:name="_Ref191806434"/>
      <w:bookmarkStart w:id="116" w:name="_Ref191806455"/>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7"/>
      <w:r>
        <w:rPr>
          <w:rFonts w:hint="eastAsia"/>
          <w:highlight w:val="none"/>
        </w:rPr>
        <w:t>调试及施工配合</w:t>
      </w:r>
      <w:bookmarkEnd w:id="108"/>
      <w:bookmarkEnd w:id="109"/>
      <w:bookmarkEnd w:id="110"/>
      <w:bookmarkEnd w:id="111"/>
      <w:bookmarkEnd w:id="112"/>
      <w:bookmarkEnd w:id="113"/>
      <w:bookmarkEnd w:id="114"/>
      <w:bookmarkEnd w:id="115"/>
      <w:bookmarkEnd w:id="116"/>
      <w:r>
        <w:rPr>
          <w:rFonts w:hint="eastAsia"/>
          <w:highlight w:val="none"/>
          <w:lang w:eastAsia="zh-CN"/>
        </w:rPr>
        <w:t>要求</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如果因为投标方产品或软件存在技术问题而延误供货期，投标方应负责由此产生的一切后果，并进行经济赔偿。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7" w:name="_Toc124406430"/>
      <w:bookmarkStart w:id="118" w:name="_Toc516297795"/>
      <w:bookmarkStart w:id="119" w:name="_Toc518408413"/>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7"/>
      <w:bookmarkEnd w:id="118"/>
      <w:bookmarkEnd w:id="119"/>
      <w:r>
        <w:rPr>
          <w:rFonts w:hint="eastAsia"/>
          <w:highlight w:val="none"/>
          <w:lang w:val="en-US" w:eastAsia="zh-CN"/>
        </w:rPr>
        <w:t>要求</w:t>
      </w:r>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0" w:name="_Toc124406429"/>
      <w:bookmarkStart w:id="121" w:name="_Toc516297794"/>
      <w:bookmarkStart w:id="122" w:name="_Toc518408412"/>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0"/>
      <w:bookmarkEnd w:id="121"/>
      <w:bookmarkEnd w:id="122"/>
      <w:r>
        <w:rPr>
          <w:rFonts w:hint="eastAsia"/>
          <w:highlight w:val="none"/>
          <w:lang w:val="en-US" w:eastAsia="zh-CN"/>
        </w:rPr>
        <w:t>要求</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4</w:t>
      </w:r>
      <w:r>
        <w:rPr>
          <w:rFonts w:hint="eastAsia"/>
          <w:highlight w:val="none"/>
          <w:u w:val="single"/>
        </w:rPr>
        <w:t>小时</w:t>
      </w:r>
      <w:r>
        <w:rPr>
          <w:rFonts w:hint="eastAsia"/>
          <w:highlight w:val="none"/>
        </w:rPr>
        <w:t>内到达现场）。</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3" w:name="_Toc523850210"/>
      <w:bookmarkStart w:id="124" w:name="_Toc3518"/>
      <w:bookmarkStart w:id="125" w:name="_Toc31833"/>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Style w:val="89"/>
        <w:rPr>
          <w:highlight w:val="none"/>
        </w:rPr>
      </w:pPr>
      <w:r>
        <w:rPr>
          <w:rFonts w:hint="eastAsia"/>
          <w:highlight w:val="none"/>
        </w:rPr>
        <w:t>为了提高维护人员技术水平以及故障处理能力，要求乙方负责对维护人员进行培训。</w:t>
      </w:r>
    </w:p>
    <w:tbl>
      <w:tblPr>
        <w:tblStyle w:val="3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8"/>
        <w:gridCol w:w="827"/>
        <w:gridCol w:w="2323"/>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pStyle w:val="89"/>
              <w:tabs>
                <w:tab w:val="left" w:pos="1650"/>
              </w:tabs>
              <w:ind w:firstLine="0" w:firstLineChars="0"/>
              <w:jc w:val="center"/>
              <w:rPr>
                <w:highlight w:val="none"/>
              </w:rPr>
            </w:pPr>
            <w:r>
              <w:rPr>
                <w:rFonts w:hint="eastAsia"/>
                <w:highlight w:val="none"/>
              </w:rPr>
              <w:t>培训内容</w:t>
            </w:r>
          </w:p>
        </w:tc>
        <w:tc>
          <w:tcPr>
            <w:tcW w:w="827" w:type="dxa"/>
            <w:vAlign w:val="center"/>
          </w:tcPr>
          <w:p>
            <w:pPr>
              <w:pStyle w:val="89"/>
              <w:ind w:firstLine="0" w:firstLineChars="0"/>
              <w:jc w:val="center"/>
              <w:rPr>
                <w:highlight w:val="none"/>
              </w:rPr>
            </w:pPr>
            <w:r>
              <w:rPr>
                <w:rFonts w:hint="eastAsia"/>
                <w:highlight w:val="none"/>
              </w:rPr>
              <w:t>地点</w:t>
            </w:r>
          </w:p>
        </w:tc>
        <w:tc>
          <w:tcPr>
            <w:tcW w:w="2323" w:type="dxa"/>
            <w:vAlign w:val="center"/>
          </w:tcPr>
          <w:p>
            <w:pPr>
              <w:pStyle w:val="89"/>
              <w:ind w:firstLine="0" w:firstLineChars="0"/>
              <w:jc w:val="center"/>
              <w:rPr>
                <w:highlight w:val="none"/>
              </w:rPr>
            </w:pPr>
            <w:r>
              <w:rPr>
                <w:rFonts w:hint="eastAsia"/>
                <w:highlight w:val="none"/>
              </w:rPr>
              <w:t>培训人数</w:t>
            </w:r>
          </w:p>
        </w:tc>
        <w:tc>
          <w:tcPr>
            <w:tcW w:w="1680" w:type="dxa"/>
            <w:vAlign w:val="center"/>
          </w:tcPr>
          <w:p>
            <w:pPr>
              <w:pStyle w:val="89"/>
              <w:ind w:firstLine="0" w:firstLineChars="0"/>
              <w:jc w:val="center"/>
              <w:rPr>
                <w:highlight w:val="none"/>
              </w:rPr>
            </w:pPr>
            <w:r>
              <w:rPr>
                <w:rFonts w:hint="eastAsia"/>
                <w:highlight w:val="none"/>
              </w:rPr>
              <w:t>培训天数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pStyle w:val="87"/>
              <w:jc w:val="center"/>
              <w:rPr>
                <w:rFonts w:hint="default"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H3CNE/HCIA认证</w:t>
            </w:r>
          </w:p>
        </w:tc>
        <w:tc>
          <w:tcPr>
            <w:tcW w:w="827" w:type="dxa"/>
            <w:vAlign w:val="center"/>
          </w:tcPr>
          <w:p>
            <w:pPr>
              <w:pStyle w:val="87"/>
              <w:jc w:val="center"/>
              <w:rPr>
                <w:rFonts w:hint="eastAsia"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国内</w:t>
            </w:r>
          </w:p>
        </w:tc>
        <w:tc>
          <w:tcPr>
            <w:tcW w:w="2323" w:type="dxa"/>
            <w:vAlign w:val="center"/>
          </w:tcPr>
          <w:p>
            <w:pPr>
              <w:pStyle w:val="87"/>
              <w:jc w:val="center"/>
              <w:rPr>
                <w:rFonts w:hint="default"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5</w:t>
            </w:r>
          </w:p>
        </w:tc>
        <w:tc>
          <w:tcPr>
            <w:tcW w:w="1680" w:type="dxa"/>
            <w:vAlign w:val="center"/>
          </w:tcPr>
          <w:p>
            <w:pPr>
              <w:pStyle w:val="87"/>
              <w:jc w:val="center"/>
              <w:rPr>
                <w:rFonts w:asciiTheme="minorEastAsia" w:hAnsiTheme="minorEastAsia" w:eastAsiaTheme="minorEastAsia"/>
                <w:highlight w:val="none"/>
              </w:rPr>
            </w:pPr>
            <w:r>
              <w:rPr>
                <w:rFonts w:hint="eastAsia" w:asciiTheme="minorEastAsia" w:hAnsiTheme="minorEastAsia" w:eastAsiaTheme="minorEastAsia"/>
                <w:highlight w:val="none"/>
                <w:lang w:val="en-US" w:eastAsia="zh-CN"/>
              </w:rPr>
              <w:t>5</w:t>
            </w:r>
            <w:r>
              <w:rPr>
                <w:rFonts w:hint="eastAsia" w:asciiTheme="minorEastAsia" w:hAnsiTheme="minorEastAsia" w:eastAsiaTheme="minorEastAsia"/>
                <w:highlight w:val="none"/>
              </w:rPr>
              <w:t>天</w:t>
            </w:r>
          </w:p>
        </w:tc>
      </w:tr>
    </w:tbl>
    <w:p>
      <w:pPr>
        <w:pStyle w:val="3"/>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bookmarkStart w:id="126" w:name="_Toc13195"/>
      <w:r>
        <w:rPr>
          <w:rFonts w:hint="eastAsia"/>
          <w:highlight w:val="none"/>
        </w:rPr>
        <w:t>技术指标要求</w:t>
      </w:r>
      <w:bookmarkEnd w:id="78"/>
      <w:bookmarkEnd w:id="123"/>
      <w:bookmarkEnd w:id="124"/>
      <w:bookmarkEnd w:id="125"/>
      <w:bookmarkEnd w:id="126"/>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7" w:name="_Toc26359"/>
      <w:bookmarkStart w:id="128" w:name="_Toc2606"/>
      <w:bookmarkStart w:id="129" w:name="_Toc26202"/>
      <w:bookmarkStart w:id="130" w:name="_Toc523850211"/>
      <w:r>
        <w:rPr>
          <w:rFonts w:hint="eastAsia"/>
          <w:color w:val="auto"/>
          <w:highlight w:val="none"/>
        </w:rPr>
        <w:t>基本要求</w:t>
      </w:r>
      <w:bookmarkEnd w:id="127"/>
      <w:bookmarkEnd w:id="128"/>
      <w:bookmarkEnd w:id="129"/>
      <w:bookmarkEnd w:id="130"/>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4"/>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1" w:name="_Toc1288"/>
      <w:bookmarkStart w:id="132" w:name="_Toc20691"/>
      <w:bookmarkStart w:id="133" w:name="_Toc4841"/>
      <w:bookmarkStart w:id="134" w:name="_Toc124406438"/>
      <w:bookmarkStart w:id="135" w:name="_Toc523850212"/>
      <w:r>
        <w:rPr>
          <w:rFonts w:hint="eastAsia"/>
          <w:color w:val="auto"/>
          <w:highlight w:val="none"/>
          <w:lang w:eastAsia="zh-CN"/>
        </w:rPr>
        <w:t>技术参数</w:t>
      </w:r>
      <w:r>
        <w:rPr>
          <w:rFonts w:hint="eastAsia"/>
          <w:color w:val="auto"/>
          <w:highlight w:val="none"/>
        </w:rPr>
        <w:t>要求</w:t>
      </w:r>
      <w:bookmarkEnd w:id="131"/>
      <w:bookmarkEnd w:id="132"/>
      <w:bookmarkEnd w:id="133"/>
      <w:bookmarkEnd w:id="134"/>
      <w:bookmarkEnd w:id="135"/>
    </w:p>
    <w:p>
      <w:pPr>
        <w:ind w:firstLine="0" w:firstLineChars="0"/>
        <w:rPr>
          <w:rFonts w:hint="eastAsia"/>
          <w:color w:val="auto"/>
        </w:rPr>
      </w:pPr>
      <w:bookmarkStart w:id="136" w:name="_Toc124406447"/>
      <w:bookmarkStart w:id="137" w:name="_Toc518408537"/>
      <w:r>
        <w:rPr>
          <w:rFonts w:hint="eastAsia"/>
          <w:color w:val="auto"/>
          <w:lang w:eastAsia="zh-CN"/>
        </w:rPr>
        <w:t>外联区路由器</w:t>
      </w:r>
      <w:r>
        <w:rPr>
          <w:rFonts w:hint="eastAsia"/>
          <w:color w:val="auto"/>
          <w:lang w:val="en-US" w:eastAsia="zh-CN"/>
        </w:rPr>
        <w:t>4</w:t>
      </w:r>
      <w:r>
        <w:rPr>
          <w:rFonts w:hint="eastAsia"/>
          <w:color w:val="auto"/>
        </w:rPr>
        <w:t>台：</w:t>
      </w:r>
    </w:p>
    <w:tbl>
      <w:tblPr>
        <w:tblStyle w:val="34"/>
        <w:tblW w:w="93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62"/>
        <w:gridCol w:w="1533"/>
        <w:gridCol w:w="702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tcPr>
          <w:p>
            <w:pPr>
              <w:widowControl/>
              <w:spacing w:line="240" w:lineRule="auto"/>
              <w:ind w:firstLine="0" w:firstLineChars="0"/>
              <w:jc w:val="cente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序号</w:t>
            </w:r>
          </w:p>
        </w:tc>
        <w:tc>
          <w:tcPr>
            <w:tcW w:w="1533" w:type="dxa"/>
          </w:tcPr>
          <w:p>
            <w:pPr>
              <w:widowControl/>
              <w:spacing w:line="240" w:lineRule="auto"/>
              <w:ind w:firstLine="0" w:firstLineChars="0"/>
              <w:jc w:val="cente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参数名称</w:t>
            </w:r>
          </w:p>
        </w:tc>
        <w:tc>
          <w:tcPr>
            <w:tcW w:w="7027" w:type="dxa"/>
          </w:tcPr>
          <w:p>
            <w:pPr>
              <w:widowControl/>
              <w:spacing w:line="240" w:lineRule="auto"/>
              <w:ind w:firstLine="0" w:firstLineChars="0"/>
              <w:jc w:val="cente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pStyle w:val="102"/>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w:t>
            </w:r>
          </w:p>
        </w:tc>
        <w:tc>
          <w:tcPr>
            <w:tcW w:w="1533"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功能要求</w:t>
            </w:r>
          </w:p>
        </w:tc>
        <w:tc>
          <w:tcPr>
            <w:tcW w:w="7027" w:type="dxa"/>
            <w:vAlign w:val="center"/>
          </w:tcPr>
          <w:p>
            <w:pPr>
              <w:widowControl/>
              <w:spacing w:line="360" w:lineRule="auto"/>
              <w:ind w:firstLine="0" w:firstLineChars="0"/>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1、支持RIP、OSPF、IS-IS、BGP等路由协议，支持L2VPN、L3VPN、EVPN等VPN技术；</w:t>
            </w:r>
          </w:p>
          <w:p>
            <w:pPr>
              <w:pStyle w:val="2"/>
              <w:ind w:left="0" w:leftChars="0" w:firstLine="0" w:firstLineChars="0"/>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2、设备支持100GE、50GE、40GE、25GE、10GE、GE、FE、E1、POS、CPOS等接口类型；</w:t>
            </w:r>
          </w:p>
          <w:p>
            <w:pPr>
              <w:widowControl/>
              <w:spacing w:line="360" w:lineRule="auto"/>
              <w:ind w:firstLine="0" w:firstLineChars="0"/>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3、支持IPv4转发表容量≥4M,IPv6转发表容量≥2M；</w:t>
            </w:r>
          </w:p>
          <w:p>
            <w:pPr>
              <w:widowControl/>
              <w:spacing w:line="360" w:lineRule="auto"/>
              <w:ind w:firstLine="0" w:firstLineChars="0"/>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4、支持基于硬件的BFD故障探测技术，支持最小发包间隔5ms；</w:t>
            </w:r>
          </w:p>
          <w:p>
            <w:pPr>
              <w:widowControl/>
              <w:spacing w:line="360" w:lineRule="auto"/>
              <w:ind w:firstLine="0" w:firstLineChars="0"/>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5、支持MACSec加密技术；</w:t>
            </w:r>
          </w:p>
          <w:p>
            <w:pPr>
              <w:widowControl/>
              <w:spacing w:line="360" w:lineRule="auto"/>
              <w:ind w:firstLine="0" w:firstLineChars="0"/>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6、支持Telemetry，可实现从设备高速采集数据；</w:t>
            </w:r>
          </w:p>
          <w:p>
            <w:pPr>
              <w:pStyle w:val="2"/>
              <w:ind w:left="0" w:leftChars="0" w:firstLine="0" w:firstLineChars="0"/>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7、设备关键芯片(包括但不限于CPU及交换芯片)采用国产化芯片。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2</w:t>
            </w:r>
          </w:p>
        </w:tc>
        <w:tc>
          <w:tcPr>
            <w:tcW w:w="1533" w:type="dxa"/>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性能要求</w:t>
            </w:r>
          </w:p>
        </w:tc>
        <w:tc>
          <w:tcPr>
            <w:tcW w:w="7027" w:type="dxa"/>
            <w:vAlign w:val="center"/>
          </w:tcPr>
          <w:p>
            <w:pPr>
              <w:widowControl/>
              <w:spacing w:line="360" w:lineRule="auto"/>
              <w:ind w:firstLine="0" w:firstLineChars="0"/>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1、支持交换容量≥440Tbps，支持包转发率≥108000Mpps；</w:t>
            </w:r>
          </w:p>
          <w:p>
            <w:pPr>
              <w:widowControl/>
              <w:spacing w:line="360" w:lineRule="auto"/>
              <w:ind w:firstLine="0" w:firstLineChars="0"/>
              <w:rPr>
                <w:rFonts w:hint="eastAsia" w:eastAsiaTheme="minorEastAsia"/>
                <w:lang w:val="en-US" w:eastAsia="zh-CN"/>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2、整机可配置端口容量不低于2Tbps。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3</w:t>
            </w:r>
          </w:p>
        </w:tc>
        <w:tc>
          <w:tcPr>
            <w:tcW w:w="1533" w:type="dxa"/>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配置要求</w:t>
            </w:r>
          </w:p>
        </w:tc>
        <w:tc>
          <w:tcPr>
            <w:tcW w:w="7027" w:type="dxa"/>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1、整机线卡槽位数≥12个，整机高度≤5U；</w:t>
            </w:r>
          </w:p>
          <w:p>
            <w:pPr>
              <w:widowControl/>
              <w:spacing w:line="240" w:lineRule="auto"/>
              <w:ind w:firstLine="0" w:firstLineChars="0"/>
              <w:jc w:val="left"/>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2、设备支持双主控双交换架构，电源、风扇等部件冗余设计，支持主控交换板卡、电源、风扇、业务板卡的热插拔；</w:t>
            </w:r>
          </w:p>
          <w:p>
            <w:pPr>
              <w:widowControl/>
              <w:spacing w:line="240" w:lineRule="auto"/>
              <w:ind w:firstLine="0" w:firstLineChars="0"/>
              <w:jc w:val="left"/>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3、提供8块千兆光接口板（千兆光接口≥10个）；提供32块千兆电接口板（千兆电接口≥8个）；提供4块E1接口板（E1接口≥8个）；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4</w:t>
            </w:r>
          </w:p>
        </w:tc>
        <w:tc>
          <w:tcPr>
            <w:tcW w:w="1533" w:type="dxa"/>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服务承诺</w:t>
            </w:r>
          </w:p>
        </w:tc>
        <w:tc>
          <w:tcPr>
            <w:tcW w:w="7027" w:type="dxa"/>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投标方须在发布中标公示10天内，完成所投产品的现场测试，如测试不通过或未对所投设备进行测试，则视为虚假应标。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widowControl/>
              <w:spacing w:line="24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5</w:t>
            </w:r>
          </w:p>
        </w:tc>
        <w:tc>
          <w:tcPr>
            <w:tcW w:w="1533" w:type="dxa"/>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其他要求</w:t>
            </w:r>
          </w:p>
        </w:tc>
        <w:tc>
          <w:tcPr>
            <w:tcW w:w="7027" w:type="dxa"/>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1、产品满足国产化要求，使用的CPU和操作系统均通过中国信息安全测评中心（www.itsec.gov.cn）的安全可靠测评。</w:t>
            </w: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br w:type="textWrapping"/>
            </w: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2、提供权威检测机构出具的设备检验检测报告并加盖原厂公章。</w:t>
            </w:r>
          </w:p>
        </w:tc>
      </w:tr>
    </w:tbl>
    <w:p>
      <w:pPr>
        <w:ind w:left="0" w:leftChars="0" w:firstLine="0" w:firstLineChars="0"/>
        <w:rPr>
          <w:rFonts w:hint="eastAsia"/>
          <w:color w:val="auto"/>
        </w:rPr>
      </w:pPr>
    </w:p>
    <w:p>
      <w:pPr>
        <w:ind w:firstLine="0" w:firstLineChars="0"/>
      </w:pPr>
    </w:p>
    <w:p>
      <w:pPr>
        <w:pStyle w:val="2"/>
      </w:pPr>
    </w:p>
    <w:p/>
    <w:p>
      <w:pPr>
        <w:pStyle w:val="2"/>
      </w:pP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38" w:name="_Toc5031"/>
      <w:r>
        <w:rPr>
          <w:rFonts w:hint="eastAsia"/>
          <w:color w:val="auto"/>
          <w:highlight w:val="none"/>
          <w:lang w:eastAsia="zh-CN"/>
        </w:rPr>
        <w:t>实施要求</w:t>
      </w:r>
      <w:bookmarkEnd w:id="138"/>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39" w:name="_Toc19691"/>
      <w:r>
        <w:rPr>
          <w:rFonts w:hint="eastAsia"/>
          <w:highlight w:val="none"/>
          <w:u w:val="single"/>
        </w:rPr>
        <w:t>负责编制实施方案、测试方案、初验资料、终验资料，负责本产品线缆整理及标签标注；</w:t>
      </w:r>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工程师须主动与网络、安全、应用等各方人员沟通，根据业务系统需求进行策略配置、联调等系统集成工作，保证实施按时按</w:t>
      </w:r>
      <w:r>
        <w:rPr>
          <w:rFonts w:hint="eastAsia"/>
          <w:highlight w:val="none"/>
          <w:u w:val="single"/>
          <w:lang w:eastAsia="zh-CN"/>
        </w:rPr>
        <w:t>保质</w:t>
      </w:r>
      <w:r>
        <w:rPr>
          <w:rFonts w:hint="eastAsia"/>
          <w:highlight w:val="none"/>
          <w:u w:val="single"/>
        </w:rPr>
        <w:t>完成。</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0" w:name="_Toc25504"/>
      <w:r>
        <w:rPr>
          <w:rFonts w:hint="eastAsia"/>
          <w:color w:val="auto"/>
          <w:highlight w:val="none"/>
          <w:lang w:eastAsia="zh-CN"/>
        </w:rPr>
        <w:t>其他要求</w:t>
      </w:r>
      <w:bookmarkEnd w:id="140"/>
    </w:p>
    <w:p>
      <w:pPr>
        <w:pStyle w:val="89"/>
        <w:pageBreakBefore w:val="0"/>
        <w:widowControl w:val="0"/>
        <w:kinsoku/>
        <w:wordWrap/>
        <w:overflowPunct/>
        <w:autoSpaceDE/>
        <w:autoSpaceDN/>
        <w:bidi w:val="0"/>
        <w:adjustRightInd w:val="0"/>
        <w:spacing w:line="600" w:lineRule="exact"/>
        <w:ind w:right="0" w:rightChars="0"/>
        <w:rPr>
          <w:rFonts w:hint="eastAsia"/>
          <w:highlight w:val="none"/>
          <w:u w:val="single"/>
        </w:rPr>
      </w:pPr>
      <w:r>
        <w:rPr>
          <w:rFonts w:hint="eastAsia"/>
          <w:highlight w:val="none"/>
          <w:u w:val="single"/>
          <w:lang w:val="en-US" w:eastAsia="zh-CN"/>
        </w:rPr>
        <w:t>无</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1" w:name="_Toc3269"/>
      <w:bookmarkStart w:id="142" w:name="_Toc523850215"/>
      <w:bookmarkStart w:id="143" w:name="_Toc7829"/>
      <w:r>
        <w:rPr>
          <w:rFonts w:hint="eastAsia"/>
          <w:highlight w:val="none"/>
        </w:rPr>
        <w:t>测试</w:t>
      </w:r>
      <w:bookmarkEnd w:id="136"/>
      <w:bookmarkEnd w:id="137"/>
      <w:r>
        <w:rPr>
          <w:rFonts w:hint="eastAsia"/>
          <w:highlight w:val="none"/>
        </w:rPr>
        <w:t>及验收</w:t>
      </w:r>
      <w:bookmarkEnd w:id="139"/>
      <w:bookmarkEnd w:id="141"/>
      <w:bookmarkEnd w:id="142"/>
      <w:bookmarkEnd w:id="143"/>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44" w:name="_Toc317236947"/>
      <w:bookmarkStart w:id="145" w:name="_Toc271893793"/>
      <w:bookmarkStart w:id="146" w:name="_Toc374"/>
      <w:bookmarkStart w:id="147" w:name="_Toc10997"/>
      <w:bookmarkStart w:id="148" w:name="_Toc24281"/>
      <w:bookmarkStart w:id="149" w:name="_Toc523850216"/>
      <w:bookmarkStart w:id="150" w:name="_Toc10509"/>
      <w:r>
        <w:rPr>
          <w:rFonts w:hint="eastAsia"/>
          <w:color w:val="auto"/>
          <w:highlight w:val="none"/>
        </w:rPr>
        <w:t>概述</w:t>
      </w:r>
      <w:bookmarkEnd w:id="144"/>
      <w:bookmarkEnd w:id="145"/>
      <w:bookmarkEnd w:id="146"/>
      <w:bookmarkEnd w:id="147"/>
      <w:bookmarkEnd w:id="148"/>
      <w:bookmarkEnd w:id="149"/>
      <w:bookmarkEnd w:id="150"/>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1" w:name="_Toc30208"/>
      <w:r>
        <w:rPr>
          <w:rFonts w:hint="eastAsia"/>
          <w:color w:val="auto"/>
          <w:highlight w:val="none"/>
          <w:lang w:eastAsia="zh-CN"/>
        </w:rPr>
        <w:t>到货验收</w:t>
      </w:r>
      <w:bookmarkEnd w:id="151"/>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2" w:name="_Toc317236949"/>
      <w:bookmarkStart w:id="153" w:name="_Toc523850218"/>
      <w:bookmarkStart w:id="154" w:name="_Toc17697"/>
      <w:bookmarkStart w:id="155" w:name="_Toc32538"/>
      <w:bookmarkStart w:id="156" w:name="_Toc271893796"/>
      <w:bookmarkStart w:id="157" w:name="_Toc12490"/>
      <w:bookmarkStart w:id="158" w:name="_Toc3132"/>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产品设备齐全，包装完整，经开箱检查后型号及规格与合同设备清单一致，设备加电检测工作正常后，视为到货验收合格。</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9" w:name="_Toc26261"/>
      <w:r>
        <w:rPr>
          <w:rFonts w:hint="eastAsia"/>
          <w:color w:val="auto"/>
          <w:highlight w:val="none"/>
        </w:rPr>
        <w:t>竣工验收</w:t>
      </w:r>
      <w:bookmarkEnd w:id="152"/>
      <w:bookmarkEnd w:id="153"/>
      <w:bookmarkEnd w:id="154"/>
      <w:bookmarkEnd w:id="155"/>
      <w:bookmarkEnd w:id="156"/>
      <w:bookmarkEnd w:id="157"/>
      <w:bookmarkEnd w:id="158"/>
      <w:bookmarkEnd w:id="159"/>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免费负责及时处理，但在修复后重新进行试运行</w:t>
      </w:r>
      <w:r>
        <w:rPr>
          <w:rFonts w:hint="eastAsia"/>
          <w:highlight w:val="none"/>
          <w:lang w:eastAsia="zh-CN"/>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提交试运行报告及测试报告后，</w:t>
      </w:r>
      <w:r>
        <w:rPr>
          <w:rFonts w:hint="eastAsia" w:ascii="宋体" w:hAnsi="宋体"/>
          <w:highlight w:val="none"/>
        </w:rPr>
        <w:t>申请竣工验收</w:t>
      </w:r>
      <w:r>
        <w:rPr>
          <w:rFonts w:hint="eastAsia"/>
          <w:highlight w:val="none"/>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lang w:eastAsia="zh-CN"/>
        </w:rPr>
        <w:t>自招标方、中标方双方签署竣工验收报告之日起，合同产品进入质保期</w:t>
      </w:r>
      <w:r>
        <w:rPr>
          <w:rFonts w:hint="eastAsia"/>
          <w:highlight w:val="none"/>
          <w:lang w:val="en-US" w:eastAsia="zh-CN"/>
        </w:rPr>
        <w:t>。</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0" w:name="_Toc6184"/>
      <w:r>
        <w:rPr>
          <w:rFonts w:hint="eastAsia"/>
          <w:highlight w:val="none"/>
          <w:lang w:val="en-US" w:eastAsia="zh-CN"/>
        </w:rPr>
        <w:t>结算及归档</w:t>
      </w:r>
      <w:bookmarkEnd w:id="160"/>
    </w:p>
    <w:p>
      <w:pPr>
        <w:pStyle w:val="8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hAnsi="Times New Roman" w:cs="宋体"/>
          <w:kern w:val="0"/>
          <w:highlight w:val="none"/>
          <w:lang w:val="en-US" w:eastAsia="zh-CN"/>
        </w:rPr>
        <w:t>15</w:t>
      </w:r>
      <w:r>
        <w:rPr>
          <w:rFonts w:hint="eastAsia" w:hAnsi="Times New Roman" w:eastAsia="宋体" w:cs="宋体"/>
          <w:kern w:val="0"/>
          <w:highlight w:val="none"/>
          <w:lang w:val="en-US" w:eastAsia="zh-CN"/>
        </w:rPr>
        <w:t>天内完成合同结算工作，按档案归档相关规定在45天内完成归档工作。</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1" w:name="_Toc18734"/>
      <w:r>
        <w:rPr>
          <w:rFonts w:hint="eastAsia"/>
          <w:highlight w:val="none"/>
          <w:lang w:val="en-US" w:eastAsia="zh-CN"/>
        </w:rPr>
        <w:t>项目考核</w:t>
      </w:r>
      <w:bookmarkEnd w:id="161"/>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rPr>
        <w:t>海南电</w:t>
      </w:r>
      <w:r>
        <w:rPr>
          <w:rFonts w:hint="eastAsia" w:cs="宋体"/>
          <w:kern w:val="0"/>
          <w:highlight w:val="none"/>
        </w:rPr>
        <w:t>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序号</w:t>
            </w:r>
          </w:p>
        </w:tc>
        <w:tc>
          <w:tcPr>
            <w:tcW w:w="3600"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考核点</w:t>
            </w:r>
          </w:p>
        </w:tc>
        <w:tc>
          <w:tcPr>
            <w:tcW w:w="4339" w:type="dxa"/>
            <w:noWrap w:val="0"/>
            <w:vAlign w:val="center"/>
          </w:tcPr>
          <w:p>
            <w:pPr>
              <w:spacing w:line="600" w:lineRule="exact"/>
              <w:ind w:firstLine="482" w:firstLineChars="200"/>
              <w:jc w:val="center"/>
              <w:rPr>
                <w:sz w:val="24"/>
                <w:szCs w:val="24"/>
                <w:highlight w:val="none"/>
                <w:vertAlign w:val="baseline"/>
              </w:rPr>
            </w:pPr>
            <w:r>
              <w:rPr>
                <w:rFonts w:hint="eastAsia" w:hAnsi="宋体"/>
                <w:b/>
                <w:bCs/>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1</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信息安全责任事件</w:t>
            </w:r>
          </w:p>
        </w:tc>
        <w:tc>
          <w:tcPr>
            <w:tcW w:w="4339" w:type="dxa"/>
            <w:noWrap w:val="0"/>
            <w:vAlign w:val="center"/>
          </w:tcPr>
          <w:p>
            <w:pPr>
              <w:spacing w:line="600" w:lineRule="exact"/>
              <w:jc w:val="left"/>
              <w:rPr>
                <w:rFonts w:hAnsi="宋体"/>
                <w:sz w:val="24"/>
                <w:szCs w:val="24"/>
                <w:highlight w:val="none"/>
              </w:rPr>
            </w:pPr>
            <w:r>
              <w:rPr>
                <w:rFonts w:hint="eastAsia" w:hAnsi="宋体"/>
                <w:sz w:val="24"/>
                <w:szCs w:val="24"/>
                <w:highlight w:val="none"/>
              </w:rPr>
              <w:t>每通报1起有责任的一级信息安全事件，考核金额为</w:t>
            </w:r>
            <w:r>
              <w:rPr>
                <w:rFonts w:hAnsi="宋体"/>
                <w:sz w:val="24"/>
                <w:szCs w:val="24"/>
                <w:highlight w:val="none"/>
              </w:rPr>
              <w:t>50</w:t>
            </w:r>
            <w:r>
              <w:rPr>
                <w:rFonts w:hint="eastAsia" w:hAnsi="宋体"/>
                <w:sz w:val="24"/>
                <w:szCs w:val="24"/>
                <w:highlight w:val="none"/>
              </w:rPr>
              <w:t>%合同款</w:t>
            </w:r>
          </w:p>
          <w:p>
            <w:pPr>
              <w:spacing w:line="600" w:lineRule="exact"/>
              <w:jc w:val="left"/>
              <w:rPr>
                <w:rFonts w:hAnsi="宋体"/>
                <w:sz w:val="24"/>
                <w:szCs w:val="24"/>
                <w:highlight w:val="none"/>
              </w:rPr>
            </w:pPr>
            <w:r>
              <w:rPr>
                <w:rFonts w:hint="eastAsia" w:hAnsi="宋体"/>
                <w:sz w:val="24"/>
                <w:szCs w:val="24"/>
                <w:highlight w:val="none"/>
              </w:rPr>
              <w:t>每通报1起有责任的二级信息安全事件，考核金额为40%合同款</w:t>
            </w:r>
          </w:p>
          <w:p>
            <w:pPr>
              <w:spacing w:line="600" w:lineRule="exact"/>
              <w:jc w:val="left"/>
              <w:rPr>
                <w:rFonts w:hAnsi="宋体"/>
                <w:sz w:val="24"/>
                <w:szCs w:val="24"/>
                <w:highlight w:val="none"/>
              </w:rPr>
            </w:pPr>
            <w:r>
              <w:rPr>
                <w:rFonts w:hint="eastAsia" w:hAnsi="宋体"/>
                <w:sz w:val="24"/>
                <w:szCs w:val="24"/>
                <w:highlight w:val="none"/>
              </w:rPr>
              <w:t>每通报1起有责任的三级信息安全事件，考核金额为30%合同款</w:t>
            </w:r>
          </w:p>
          <w:p>
            <w:pPr>
              <w:spacing w:line="600" w:lineRule="exact"/>
              <w:jc w:val="left"/>
              <w:rPr>
                <w:sz w:val="24"/>
                <w:szCs w:val="24"/>
                <w:highlight w:val="none"/>
                <w:vertAlign w:val="baseline"/>
              </w:rPr>
            </w:pPr>
            <w:r>
              <w:rPr>
                <w:rFonts w:hint="eastAsia" w:hAnsi="宋体"/>
                <w:sz w:val="24"/>
                <w:szCs w:val="24"/>
                <w:highlight w:val="none"/>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2</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里程碑节点滞后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3</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未按照方案提交交付物或交付质量不高（如验收不通过、成果评审未通过等）</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4</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工作完成质量不高或工作滞后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5</w:t>
            </w:r>
          </w:p>
        </w:tc>
        <w:tc>
          <w:tcPr>
            <w:tcW w:w="3600" w:type="dxa"/>
            <w:noWrap w:val="0"/>
            <w:vAlign w:val="center"/>
          </w:tcPr>
          <w:p>
            <w:pPr>
              <w:spacing w:line="600" w:lineRule="exact"/>
              <w:jc w:val="left"/>
              <w:rPr>
                <w:sz w:val="24"/>
                <w:szCs w:val="24"/>
                <w:highlight w:val="none"/>
              </w:rPr>
            </w:pPr>
            <w:r>
              <w:rPr>
                <w:rFonts w:hint="eastAsia"/>
                <w:sz w:val="24"/>
                <w:szCs w:val="24"/>
                <w:highlight w:val="none"/>
              </w:rPr>
              <w:t>1）工作失误</w:t>
            </w:r>
          </w:p>
          <w:p>
            <w:pPr>
              <w:spacing w:line="600" w:lineRule="exact"/>
              <w:jc w:val="left"/>
              <w:rPr>
                <w:sz w:val="24"/>
                <w:szCs w:val="24"/>
                <w:highlight w:val="none"/>
              </w:rPr>
            </w:pPr>
            <w:r>
              <w:rPr>
                <w:rFonts w:hint="eastAsia"/>
                <w:sz w:val="24"/>
                <w:szCs w:val="24"/>
                <w:highlight w:val="none"/>
              </w:rPr>
              <w:t>2）操作违规，存在无票操作，擅自扩大工作范围等违纪行为</w:t>
            </w:r>
          </w:p>
          <w:p>
            <w:pPr>
              <w:spacing w:line="600" w:lineRule="exact"/>
              <w:jc w:val="left"/>
              <w:rPr>
                <w:sz w:val="24"/>
                <w:szCs w:val="24"/>
                <w:highlight w:val="none"/>
                <w:vertAlign w:val="baseline"/>
              </w:rPr>
            </w:pPr>
            <w:r>
              <w:rPr>
                <w:rFonts w:hint="eastAsia"/>
                <w:sz w:val="24"/>
                <w:szCs w:val="24"/>
                <w:highlight w:val="none"/>
              </w:rPr>
              <w:t>3）不遵守招标方纪律要求</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6</w:t>
            </w:r>
          </w:p>
        </w:tc>
        <w:tc>
          <w:tcPr>
            <w:tcW w:w="3600" w:type="dxa"/>
            <w:noWrap w:val="0"/>
            <w:vAlign w:val="center"/>
          </w:tcPr>
          <w:p>
            <w:pPr>
              <w:spacing w:line="600" w:lineRule="exact"/>
              <w:jc w:val="left"/>
              <w:rPr>
                <w:sz w:val="24"/>
                <w:szCs w:val="24"/>
                <w:highlight w:val="none"/>
                <w:vertAlign w:val="baseline"/>
              </w:rPr>
            </w:pPr>
            <w:r>
              <w:rPr>
                <w:rFonts w:hint="eastAsia"/>
                <w:sz w:val="24"/>
                <w:szCs w:val="24"/>
                <w:highlight w:val="none"/>
              </w:rPr>
              <w:t>服务质量不高</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项目结算时，组织数字化管理部门、业务部门和建设单位对投标方服务质量进行评价，若得分向上取整后小于90分（满分为100分），每减1分扣除合同款0.0</w:t>
            </w:r>
            <w:r>
              <w:rPr>
                <w:rFonts w:hint="eastAsia" w:hAnsi="宋体"/>
                <w:sz w:val="24"/>
                <w:szCs w:val="24"/>
                <w:highlight w:val="none"/>
                <w:lang w:val="en-US" w:eastAsia="zh-CN"/>
              </w:rPr>
              <w:t>5</w:t>
            </w:r>
            <w:r>
              <w:rPr>
                <w:rFonts w:hint="eastAsia" w:hAnsi="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7</w:t>
            </w:r>
          </w:p>
        </w:tc>
        <w:tc>
          <w:tcPr>
            <w:tcW w:w="3600" w:type="dxa"/>
            <w:noWrap w:val="0"/>
            <w:vAlign w:val="center"/>
          </w:tcPr>
          <w:p>
            <w:pPr>
              <w:spacing w:line="600" w:lineRule="exact"/>
              <w:jc w:val="left"/>
              <w:rPr>
                <w:rFonts w:hint="eastAsia"/>
                <w:sz w:val="24"/>
                <w:szCs w:val="24"/>
                <w:highlight w:val="none"/>
              </w:rPr>
            </w:pPr>
            <w:r>
              <w:rPr>
                <w:rFonts w:hint="eastAsia"/>
                <w:sz w:val="24"/>
                <w:szCs w:val="24"/>
                <w:highlight w:val="none"/>
              </w:rPr>
              <w:t>1）中标方到场人数不够</w:t>
            </w:r>
          </w:p>
          <w:p>
            <w:pPr>
              <w:pStyle w:val="17"/>
              <w:rPr>
                <w:rFonts w:hint="eastAsia"/>
                <w:sz w:val="24"/>
                <w:szCs w:val="24"/>
                <w:highlight w:val="none"/>
              </w:rPr>
            </w:pPr>
            <w:r>
              <w:rPr>
                <w:rFonts w:hint="eastAsia"/>
                <w:sz w:val="24"/>
                <w:szCs w:val="24"/>
                <w:highlight w:val="none"/>
              </w:rPr>
              <w:t>2）中标方未按照要求配置专职人员</w:t>
            </w:r>
          </w:p>
          <w:p>
            <w:pPr>
              <w:pStyle w:val="17"/>
              <w:rPr>
                <w:sz w:val="24"/>
                <w:szCs w:val="24"/>
                <w:highlight w:val="none"/>
              </w:rPr>
            </w:pPr>
            <w:r>
              <w:rPr>
                <w:rFonts w:hint="eastAsia"/>
                <w:sz w:val="24"/>
                <w:szCs w:val="24"/>
                <w:highlight w:val="none"/>
              </w:rPr>
              <w:t>3）</w:t>
            </w:r>
            <w:r>
              <w:rPr>
                <w:rFonts w:hint="eastAsia" w:hAnsi="Times New Roman" w:eastAsia="宋体" w:cs="Times New Roman"/>
                <w:sz w:val="24"/>
                <w:szCs w:val="24"/>
                <w:highlight w:val="none"/>
              </w:rPr>
              <w:t>中标方未经招标方书面同意</w:t>
            </w:r>
            <w:r>
              <w:rPr>
                <w:rFonts w:hint="eastAsia" w:cs="Times New Roman"/>
                <w:sz w:val="24"/>
                <w:szCs w:val="24"/>
                <w:highlight w:val="none"/>
                <w:lang w:eastAsia="zh-CN"/>
              </w:rPr>
              <w:t>擅自</w:t>
            </w:r>
            <w:r>
              <w:rPr>
                <w:rFonts w:hint="eastAsia" w:hAnsi="Times New Roman" w:eastAsia="宋体" w:cs="Times New Roman"/>
                <w:sz w:val="24"/>
                <w:szCs w:val="24"/>
                <w:highlight w:val="none"/>
              </w:rPr>
              <w:t>更换</w:t>
            </w:r>
            <w:r>
              <w:rPr>
                <w:rFonts w:hint="eastAsia" w:hAnsi="Times New Roman" w:eastAsia="宋体" w:cs="Times New Roman"/>
                <w:sz w:val="24"/>
                <w:szCs w:val="24"/>
                <w:highlight w:val="none"/>
                <w:lang w:eastAsia="zh-CN"/>
              </w:rPr>
              <w:t>项目经理或</w:t>
            </w:r>
            <w:r>
              <w:rPr>
                <w:rFonts w:hint="eastAsia" w:hAnsi="Times New Roman" w:eastAsia="宋体" w:cs="Times New Roman"/>
                <w:sz w:val="24"/>
                <w:szCs w:val="24"/>
                <w:highlight w:val="none"/>
              </w:rPr>
              <w:t>项目组人员</w:t>
            </w:r>
          </w:p>
          <w:p>
            <w:pPr>
              <w:spacing w:line="600" w:lineRule="exact"/>
              <w:jc w:val="left"/>
              <w:rPr>
                <w:sz w:val="24"/>
                <w:szCs w:val="24"/>
                <w:highlight w:val="none"/>
                <w:vertAlign w:val="baseline"/>
              </w:rPr>
            </w:pPr>
            <w:r>
              <w:rPr>
                <w:rFonts w:hint="eastAsia"/>
                <w:sz w:val="24"/>
                <w:szCs w:val="24"/>
                <w:highlight w:val="none"/>
              </w:rPr>
              <w:t>4）中标方人员资质不合</w:t>
            </w:r>
          </w:p>
        </w:tc>
        <w:tc>
          <w:tcPr>
            <w:tcW w:w="4339" w:type="dxa"/>
            <w:noWrap w:val="0"/>
            <w:vAlign w:val="center"/>
          </w:tcPr>
          <w:p>
            <w:pPr>
              <w:spacing w:line="600" w:lineRule="exact"/>
              <w:jc w:val="left"/>
              <w:rPr>
                <w:sz w:val="24"/>
                <w:szCs w:val="24"/>
                <w:highlight w:val="none"/>
                <w:vertAlign w:val="baseline"/>
              </w:rPr>
            </w:pPr>
            <w:r>
              <w:rPr>
                <w:rFonts w:hint="eastAsia"/>
                <w:sz w:val="24"/>
                <w:szCs w:val="24"/>
                <w:highlight w:val="none"/>
              </w:rPr>
              <w:t>每通报或发现1人次，考核金额为2%合同款</w:t>
            </w:r>
          </w:p>
        </w:tc>
      </w:tr>
    </w:tbl>
    <w:p>
      <w:pPr>
        <w:rPr>
          <w:rFonts w:hint="default"/>
          <w:highlight w:val="none"/>
          <w:lang w:val="en-US" w:eastAsia="zh-CN"/>
        </w:rPr>
      </w:pPr>
    </w:p>
    <w:sectPr>
      <w:headerReference r:id="rId11" w:type="default"/>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9">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0">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7"/>
  </w:num>
  <w:num w:numId="2">
    <w:abstractNumId w:val="8"/>
  </w:num>
  <w:num w:numId="3">
    <w:abstractNumId w:val="12"/>
  </w:num>
  <w:num w:numId="4">
    <w:abstractNumId w:val="0"/>
  </w:num>
  <w:num w:numId="5">
    <w:abstractNumId w:val="5"/>
  </w:num>
  <w:num w:numId="6">
    <w:abstractNumId w:val="6"/>
  </w:num>
  <w:num w:numId="7">
    <w:abstractNumId w:val="4"/>
  </w:num>
  <w:num w:numId="8">
    <w:abstractNumId w:val="1"/>
  </w:num>
  <w:num w:numId="9">
    <w:abstractNumId w:val="9"/>
  </w:num>
  <w:num w:numId="10">
    <w:abstractNumId w:val="3"/>
  </w:num>
  <w:num w:numId="11">
    <w:abstractNumId w:val="10"/>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336D"/>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135A59"/>
    <w:rsid w:val="01671C4E"/>
    <w:rsid w:val="01BB71BD"/>
    <w:rsid w:val="01BD23EE"/>
    <w:rsid w:val="01DA0B48"/>
    <w:rsid w:val="01FF65D1"/>
    <w:rsid w:val="0240705E"/>
    <w:rsid w:val="024625B0"/>
    <w:rsid w:val="02E121AF"/>
    <w:rsid w:val="02E70D76"/>
    <w:rsid w:val="02F02C73"/>
    <w:rsid w:val="02F9583F"/>
    <w:rsid w:val="03020317"/>
    <w:rsid w:val="034D1A82"/>
    <w:rsid w:val="036B733D"/>
    <w:rsid w:val="036D6AC2"/>
    <w:rsid w:val="03B40D23"/>
    <w:rsid w:val="03D00841"/>
    <w:rsid w:val="0422662D"/>
    <w:rsid w:val="04305996"/>
    <w:rsid w:val="04346599"/>
    <w:rsid w:val="0493699D"/>
    <w:rsid w:val="04D618FE"/>
    <w:rsid w:val="05044D34"/>
    <w:rsid w:val="0522507E"/>
    <w:rsid w:val="0551513B"/>
    <w:rsid w:val="059A1552"/>
    <w:rsid w:val="059C0DCC"/>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80815BA"/>
    <w:rsid w:val="083644EB"/>
    <w:rsid w:val="08493CEC"/>
    <w:rsid w:val="08571FAF"/>
    <w:rsid w:val="08D625AD"/>
    <w:rsid w:val="08E44A3F"/>
    <w:rsid w:val="08E95CA9"/>
    <w:rsid w:val="091E5A36"/>
    <w:rsid w:val="09230B2E"/>
    <w:rsid w:val="0971724B"/>
    <w:rsid w:val="09857ADC"/>
    <w:rsid w:val="098A1D74"/>
    <w:rsid w:val="098D09FF"/>
    <w:rsid w:val="09C30B86"/>
    <w:rsid w:val="09DE3994"/>
    <w:rsid w:val="0A0E4349"/>
    <w:rsid w:val="0A141330"/>
    <w:rsid w:val="0A39301B"/>
    <w:rsid w:val="0A602A39"/>
    <w:rsid w:val="0ADA14FA"/>
    <w:rsid w:val="0B9F2265"/>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F0EDB"/>
    <w:rsid w:val="0DB227D4"/>
    <w:rsid w:val="0DB278FD"/>
    <w:rsid w:val="0E132E9A"/>
    <w:rsid w:val="0E1834C1"/>
    <w:rsid w:val="0E1A3847"/>
    <w:rsid w:val="0E2B0985"/>
    <w:rsid w:val="0E3C58D5"/>
    <w:rsid w:val="0E430CE5"/>
    <w:rsid w:val="0E5B5169"/>
    <w:rsid w:val="0EAC1B24"/>
    <w:rsid w:val="0EB93C3D"/>
    <w:rsid w:val="0ED60BE0"/>
    <w:rsid w:val="0F2A6A99"/>
    <w:rsid w:val="0F311B96"/>
    <w:rsid w:val="0F4D47A1"/>
    <w:rsid w:val="0F693E0D"/>
    <w:rsid w:val="0F8924A9"/>
    <w:rsid w:val="0F8F7DCE"/>
    <w:rsid w:val="0FBF163F"/>
    <w:rsid w:val="0FCC0F53"/>
    <w:rsid w:val="0FD4086B"/>
    <w:rsid w:val="0FE55519"/>
    <w:rsid w:val="0FF869E5"/>
    <w:rsid w:val="100F30C6"/>
    <w:rsid w:val="10492E3A"/>
    <w:rsid w:val="10524E78"/>
    <w:rsid w:val="10A20886"/>
    <w:rsid w:val="10A345E4"/>
    <w:rsid w:val="10B6257F"/>
    <w:rsid w:val="10D02FB0"/>
    <w:rsid w:val="10FA5354"/>
    <w:rsid w:val="1179646D"/>
    <w:rsid w:val="11AC5CCD"/>
    <w:rsid w:val="11B252F5"/>
    <w:rsid w:val="11CA3F82"/>
    <w:rsid w:val="11E043BF"/>
    <w:rsid w:val="12413B02"/>
    <w:rsid w:val="1260623E"/>
    <w:rsid w:val="127141F0"/>
    <w:rsid w:val="12853ADC"/>
    <w:rsid w:val="12B046B7"/>
    <w:rsid w:val="12F85AEB"/>
    <w:rsid w:val="132B00B1"/>
    <w:rsid w:val="137E1C1B"/>
    <w:rsid w:val="138F65AB"/>
    <w:rsid w:val="13967256"/>
    <w:rsid w:val="13C3411C"/>
    <w:rsid w:val="13F7629C"/>
    <w:rsid w:val="13F9306F"/>
    <w:rsid w:val="141D61A5"/>
    <w:rsid w:val="14461693"/>
    <w:rsid w:val="144D21E5"/>
    <w:rsid w:val="14A311FF"/>
    <w:rsid w:val="14B81AB4"/>
    <w:rsid w:val="14C22F60"/>
    <w:rsid w:val="14C72C92"/>
    <w:rsid w:val="154137DB"/>
    <w:rsid w:val="155D20CA"/>
    <w:rsid w:val="15807BD8"/>
    <w:rsid w:val="15BD7CC2"/>
    <w:rsid w:val="15BF639B"/>
    <w:rsid w:val="16435C8A"/>
    <w:rsid w:val="1646245E"/>
    <w:rsid w:val="16DA3CE8"/>
    <w:rsid w:val="16DA602E"/>
    <w:rsid w:val="175361C0"/>
    <w:rsid w:val="176F1A4E"/>
    <w:rsid w:val="17816282"/>
    <w:rsid w:val="17902301"/>
    <w:rsid w:val="17B00001"/>
    <w:rsid w:val="18216F40"/>
    <w:rsid w:val="18505EFA"/>
    <w:rsid w:val="18744007"/>
    <w:rsid w:val="18835BFE"/>
    <w:rsid w:val="193C2959"/>
    <w:rsid w:val="19A21095"/>
    <w:rsid w:val="19B73355"/>
    <w:rsid w:val="19CF55EE"/>
    <w:rsid w:val="19FA05D8"/>
    <w:rsid w:val="1A012EEA"/>
    <w:rsid w:val="1A113E67"/>
    <w:rsid w:val="1A274EB5"/>
    <w:rsid w:val="1ADC2544"/>
    <w:rsid w:val="1AFE1D3D"/>
    <w:rsid w:val="1B0B5BB2"/>
    <w:rsid w:val="1B195C38"/>
    <w:rsid w:val="1B376A1F"/>
    <w:rsid w:val="1B475CEB"/>
    <w:rsid w:val="1B4B46D8"/>
    <w:rsid w:val="1B6B68B7"/>
    <w:rsid w:val="1B736034"/>
    <w:rsid w:val="1BB164A2"/>
    <w:rsid w:val="1BBA6460"/>
    <w:rsid w:val="1BE27B70"/>
    <w:rsid w:val="1C306445"/>
    <w:rsid w:val="1C6728EE"/>
    <w:rsid w:val="1C7477A2"/>
    <w:rsid w:val="1C7F277C"/>
    <w:rsid w:val="1CDF07BC"/>
    <w:rsid w:val="1D154EB0"/>
    <w:rsid w:val="1D63026E"/>
    <w:rsid w:val="1D8E1856"/>
    <w:rsid w:val="1D913947"/>
    <w:rsid w:val="1DC77356"/>
    <w:rsid w:val="1E060761"/>
    <w:rsid w:val="1E320CF0"/>
    <w:rsid w:val="1E32497E"/>
    <w:rsid w:val="1ED91699"/>
    <w:rsid w:val="1F1915B1"/>
    <w:rsid w:val="1F8E0C6E"/>
    <w:rsid w:val="1F9954E9"/>
    <w:rsid w:val="1FC1175E"/>
    <w:rsid w:val="2007768E"/>
    <w:rsid w:val="200816B8"/>
    <w:rsid w:val="200F23E0"/>
    <w:rsid w:val="201541EB"/>
    <w:rsid w:val="201854FD"/>
    <w:rsid w:val="201D3653"/>
    <w:rsid w:val="203F0CAA"/>
    <w:rsid w:val="20636CBF"/>
    <w:rsid w:val="20654541"/>
    <w:rsid w:val="207544E1"/>
    <w:rsid w:val="20A61CF0"/>
    <w:rsid w:val="21097572"/>
    <w:rsid w:val="21451656"/>
    <w:rsid w:val="217D202E"/>
    <w:rsid w:val="21E96D34"/>
    <w:rsid w:val="21F21D8A"/>
    <w:rsid w:val="222E1ACF"/>
    <w:rsid w:val="22345C02"/>
    <w:rsid w:val="2272285F"/>
    <w:rsid w:val="22804C96"/>
    <w:rsid w:val="22D16D29"/>
    <w:rsid w:val="22E32D4D"/>
    <w:rsid w:val="22F61413"/>
    <w:rsid w:val="23AC3AFD"/>
    <w:rsid w:val="23CE666F"/>
    <w:rsid w:val="23EC39AF"/>
    <w:rsid w:val="24195A89"/>
    <w:rsid w:val="245100DF"/>
    <w:rsid w:val="245E5405"/>
    <w:rsid w:val="246F534D"/>
    <w:rsid w:val="247864C2"/>
    <w:rsid w:val="247B337E"/>
    <w:rsid w:val="253E439A"/>
    <w:rsid w:val="2540102A"/>
    <w:rsid w:val="25D05E49"/>
    <w:rsid w:val="25DC25E9"/>
    <w:rsid w:val="26175C46"/>
    <w:rsid w:val="262B30DA"/>
    <w:rsid w:val="26C93DB0"/>
    <w:rsid w:val="26EC2B1D"/>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C301CE"/>
    <w:rsid w:val="2AD07376"/>
    <w:rsid w:val="2AD87375"/>
    <w:rsid w:val="2AE3030C"/>
    <w:rsid w:val="2AE417BB"/>
    <w:rsid w:val="2B07191F"/>
    <w:rsid w:val="2B107449"/>
    <w:rsid w:val="2B196CD7"/>
    <w:rsid w:val="2B226E40"/>
    <w:rsid w:val="2B4A4649"/>
    <w:rsid w:val="2C154C0C"/>
    <w:rsid w:val="2C2B1074"/>
    <w:rsid w:val="2C2E3979"/>
    <w:rsid w:val="2C62300F"/>
    <w:rsid w:val="2C7B7C5B"/>
    <w:rsid w:val="2CD35D4A"/>
    <w:rsid w:val="2CDD6F8C"/>
    <w:rsid w:val="2CF640B7"/>
    <w:rsid w:val="2D325F77"/>
    <w:rsid w:val="2D4135F6"/>
    <w:rsid w:val="2D6B1CB2"/>
    <w:rsid w:val="2D9A7B1B"/>
    <w:rsid w:val="2DC41FF5"/>
    <w:rsid w:val="2E156F69"/>
    <w:rsid w:val="2E3E255E"/>
    <w:rsid w:val="2E4D11FE"/>
    <w:rsid w:val="2E8F40C4"/>
    <w:rsid w:val="2F2416B0"/>
    <w:rsid w:val="2F361CE5"/>
    <w:rsid w:val="2F3753AA"/>
    <w:rsid w:val="2F407A4B"/>
    <w:rsid w:val="2F706E7D"/>
    <w:rsid w:val="2F7232DD"/>
    <w:rsid w:val="2FF0719A"/>
    <w:rsid w:val="30036FF6"/>
    <w:rsid w:val="302B03C7"/>
    <w:rsid w:val="30910910"/>
    <w:rsid w:val="30F75133"/>
    <w:rsid w:val="319A0B20"/>
    <w:rsid w:val="31EA7553"/>
    <w:rsid w:val="322644EF"/>
    <w:rsid w:val="322E389B"/>
    <w:rsid w:val="325F1090"/>
    <w:rsid w:val="329A29B3"/>
    <w:rsid w:val="32E71D66"/>
    <w:rsid w:val="333A3638"/>
    <w:rsid w:val="336523AD"/>
    <w:rsid w:val="337E5948"/>
    <w:rsid w:val="33A74D35"/>
    <w:rsid w:val="33B50017"/>
    <w:rsid w:val="33C05244"/>
    <w:rsid w:val="34243940"/>
    <w:rsid w:val="343318AC"/>
    <w:rsid w:val="346259EE"/>
    <w:rsid w:val="346642FE"/>
    <w:rsid w:val="348712FF"/>
    <w:rsid w:val="34C77D11"/>
    <w:rsid w:val="34EE15EE"/>
    <w:rsid w:val="350641C9"/>
    <w:rsid w:val="351D2DF3"/>
    <w:rsid w:val="352970FA"/>
    <w:rsid w:val="355066CA"/>
    <w:rsid w:val="358E15F4"/>
    <w:rsid w:val="35A95263"/>
    <w:rsid w:val="35F806E5"/>
    <w:rsid w:val="36107489"/>
    <w:rsid w:val="3668091F"/>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1D55FB"/>
    <w:rsid w:val="39A73CF9"/>
    <w:rsid w:val="39A83240"/>
    <w:rsid w:val="39B04F29"/>
    <w:rsid w:val="39C93F9E"/>
    <w:rsid w:val="3A0347B8"/>
    <w:rsid w:val="3A3B3A70"/>
    <w:rsid w:val="3A6901A6"/>
    <w:rsid w:val="3A7167A8"/>
    <w:rsid w:val="3A856112"/>
    <w:rsid w:val="3A857655"/>
    <w:rsid w:val="3B1C0828"/>
    <w:rsid w:val="3B2517EA"/>
    <w:rsid w:val="3B5A30DF"/>
    <w:rsid w:val="3B6E76FC"/>
    <w:rsid w:val="3B6F3168"/>
    <w:rsid w:val="3B711BBC"/>
    <w:rsid w:val="3B761C1F"/>
    <w:rsid w:val="3B766EC2"/>
    <w:rsid w:val="3BEA2045"/>
    <w:rsid w:val="3C0910A9"/>
    <w:rsid w:val="3C0C1625"/>
    <w:rsid w:val="3C0F01FD"/>
    <w:rsid w:val="3C201B3C"/>
    <w:rsid w:val="3C3C1885"/>
    <w:rsid w:val="3C9F4BF8"/>
    <w:rsid w:val="3CAF17AD"/>
    <w:rsid w:val="3CB74069"/>
    <w:rsid w:val="3CC24C8E"/>
    <w:rsid w:val="3CD461EE"/>
    <w:rsid w:val="3CEC23CF"/>
    <w:rsid w:val="3CEC4607"/>
    <w:rsid w:val="3D3F4162"/>
    <w:rsid w:val="3D7F084D"/>
    <w:rsid w:val="3D906F68"/>
    <w:rsid w:val="3D9564E4"/>
    <w:rsid w:val="3DC82773"/>
    <w:rsid w:val="3E04464D"/>
    <w:rsid w:val="3E1A7DE1"/>
    <w:rsid w:val="3E35467C"/>
    <w:rsid w:val="3F39544B"/>
    <w:rsid w:val="3F850D51"/>
    <w:rsid w:val="3FBA7BFA"/>
    <w:rsid w:val="3FCB271F"/>
    <w:rsid w:val="3FF13618"/>
    <w:rsid w:val="3FF468D0"/>
    <w:rsid w:val="40392542"/>
    <w:rsid w:val="406C0665"/>
    <w:rsid w:val="40772818"/>
    <w:rsid w:val="40783889"/>
    <w:rsid w:val="408C131D"/>
    <w:rsid w:val="40C2596E"/>
    <w:rsid w:val="40D074EF"/>
    <w:rsid w:val="40DA062D"/>
    <w:rsid w:val="40DC77F1"/>
    <w:rsid w:val="410332F2"/>
    <w:rsid w:val="4138050F"/>
    <w:rsid w:val="415B5BE5"/>
    <w:rsid w:val="41C612EC"/>
    <w:rsid w:val="41EB202B"/>
    <w:rsid w:val="423D6600"/>
    <w:rsid w:val="424D224F"/>
    <w:rsid w:val="42551EA9"/>
    <w:rsid w:val="42597312"/>
    <w:rsid w:val="42676605"/>
    <w:rsid w:val="426945DD"/>
    <w:rsid w:val="428C5433"/>
    <w:rsid w:val="42D765B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E41455"/>
    <w:rsid w:val="44E86ADA"/>
    <w:rsid w:val="451C070E"/>
    <w:rsid w:val="45B746DA"/>
    <w:rsid w:val="45C81012"/>
    <w:rsid w:val="462C2AE7"/>
    <w:rsid w:val="464B1DF7"/>
    <w:rsid w:val="465F60F6"/>
    <w:rsid w:val="46CF406D"/>
    <w:rsid w:val="47497B8E"/>
    <w:rsid w:val="479C33A6"/>
    <w:rsid w:val="47ED7E4A"/>
    <w:rsid w:val="48073E38"/>
    <w:rsid w:val="485506F5"/>
    <w:rsid w:val="4889079F"/>
    <w:rsid w:val="48AD1D9D"/>
    <w:rsid w:val="48D21E9C"/>
    <w:rsid w:val="49280EA3"/>
    <w:rsid w:val="494303AB"/>
    <w:rsid w:val="4979273A"/>
    <w:rsid w:val="4983262C"/>
    <w:rsid w:val="498D0070"/>
    <w:rsid w:val="49C95ADB"/>
    <w:rsid w:val="4A0B5860"/>
    <w:rsid w:val="4A3309D2"/>
    <w:rsid w:val="4A4947A6"/>
    <w:rsid w:val="4A4C5229"/>
    <w:rsid w:val="4AC464A4"/>
    <w:rsid w:val="4AC46F4D"/>
    <w:rsid w:val="4AD06758"/>
    <w:rsid w:val="4AFC68BB"/>
    <w:rsid w:val="4AFE5A9C"/>
    <w:rsid w:val="4B1947F1"/>
    <w:rsid w:val="4B25285E"/>
    <w:rsid w:val="4B506602"/>
    <w:rsid w:val="4B832BC4"/>
    <w:rsid w:val="4B873D96"/>
    <w:rsid w:val="4BC27116"/>
    <w:rsid w:val="4BC85879"/>
    <w:rsid w:val="4BD97325"/>
    <w:rsid w:val="4C2E7602"/>
    <w:rsid w:val="4C331FB2"/>
    <w:rsid w:val="4C62533E"/>
    <w:rsid w:val="4C7B2B06"/>
    <w:rsid w:val="4CE35AA4"/>
    <w:rsid w:val="4D496F4A"/>
    <w:rsid w:val="4DB26CE3"/>
    <w:rsid w:val="4E077B25"/>
    <w:rsid w:val="4E1B3A89"/>
    <w:rsid w:val="4E306FA9"/>
    <w:rsid w:val="4EC213C5"/>
    <w:rsid w:val="4ED905C3"/>
    <w:rsid w:val="4EDC6B43"/>
    <w:rsid w:val="4EDF6CF2"/>
    <w:rsid w:val="4EEA57CB"/>
    <w:rsid w:val="4F1A72B1"/>
    <w:rsid w:val="4F2C1696"/>
    <w:rsid w:val="4F632D5C"/>
    <w:rsid w:val="4FB74DC9"/>
    <w:rsid w:val="4FBD0D8C"/>
    <w:rsid w:val="4FDB4904"/>
    <w:rsid w:val="4FED178B"/>
    <w:rsid w:val="50055A34"/>
    <w:rsid w:val="504725E4"/>
    <w:rsid w:val="504E3428"/>
    <w:rsid w:val="505C77D3"/>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9245B1"/>
    <w:rsid w:val="52FA6A02"/>
    <w:rsid w:val="53094A77"/>
    <w:rsid w:val="53491C96"/>
    <w:rsid w:val="53672882"/>
    <w:rsid w:val="537B71CA"/>
    <w:rsid w:val="53B43F7C"/>
    <w:rsid w:val="53BA5279"/>
    <w:rsid w:val="53C36E76"/>
    <w:rsid w:val="53D55EA6"/>
    <w:rsid w:val="53DA113F"/>
    <w:rsid w:val="53E90768"/>
    <w:rsid w:val="541E22A0"/>
    <w:rsid w:val="542B2D98"/>
    <w:rsid w:val="543A21EA"/>
    <w:rsid w:val="54794946"/>
    <w:rsid w:val="548F0CA8"/>
    <w:rsid w:val="54C510FB"/>
    <w:rsid w:val="54D322B1"/>
    <w:rsid w:val="54F91C1A"/>
    <w:rsid w:val="552474C7"/>
    <w:rsid w:val="554535B7"/>
    <w:rsid w:val="555346E9"/>
    <w:rsid w:val="556239E2"/>
    <w:rsid w:val="55644E74"/>
    <w:rsid w:val="55BC323D"/>
    <w:rsid w:val="55CE0325"/>
    <w:rsid w:val="56265473"/>
    <w:rsid w:val="564A0B43"/>
    <w:rsid w:val="567629CE"/>
    <w:rsid w:val="568D6699"/>
    <w:rsid w:val="56925B4E"/>
    <w:rsid w:val="56B377DF"/>
    <w:rsid w:val="571959BE"/>
    <w:rsid w:val="57322383"/>
    <w:rsid w:val="573C398C"/>
    <w:rsid w:val="575067A1"/>
    <w:rsid w:val="575224CC"/>
    <w:rsid w:val="575B21FD"/>
    <w:rsid w:val="57774210"/>
    <w:rsid w:val="57A041EE"/>
    <w:rsid w:val="57BE635C"/>
    <w:rsid w:val="57C87271"/>
    <w:rsid w:val="57E623D3"/>
    <w:rsid w:val="58167612"/>
    <w:rsid w:val="582019B4"/>
    <w:rsid w:val="587E0945"/>
    <w:rsid w:val="58855967"/>
    <w:rsid w:val="589C4523"/>
    <w:rsid w:val="58A83E89"/>
    <w:rsid w:val="58EB5B20"/>
    <w:rsid w:val="592B583B"/>
    <w:rsid w:val="598B4BF5"/>
    <w:rsid w:val="59B75146"/>
    <w:rsid w:val="59BE6CEA"/>
    <w:rsid w:val="59DF4591"/>
    <w:rsid w:val="59E145D5"/>
    <w:rsid w:val="59E74E45"/>
    <w:rsid w:val="59EA3823"/>
    <w:rsid w:val="59FA0FFD"/>
    <w:rsid w:val="5A8803F4"/>
    <w:rsid w:val="5A8A2D83"/>
    <w:rsid w:val="5AAE38A2"/>
    <w:rsid w:val="5AB6428F"/>
    <w:rsid w:val="5AB657D7"/>
    <w:rsid w:val="5AC401E7"/>
    <w:rsid w:val="5AED6AD6"/>
    <w:rsid w:val="5B2C50E4"/>
    <w:rsid w:val="5B4F6AF7"/>
    <w:rsid w:val="5BE04A8A"/>
    <w:rsid w:val="5C0A1D64"/>
    <w:rsid w:val="5C16499B"/>
    <w:rsid w:val="5C404771"/>
    <w:rsid w:val="5C9D1F3A"/>
    <w:rsid w:val="5CAE5C9B"/>
    <w:rsid w:val="5D5A1DE6"/>
    <w:rsid w:val="5D7F1CEA"/>
    <w:rsid w:val="5D8F2C7D"/>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702FF1"/>
    <w:rsid w:val="5F8D54B7"/>
    <w:rsid w:val="5FAC55AE"/>
    <w:rsid w:val="5FC1218B"/>
    <w:rsid w:val="5FC20B0B"/>
    <w:rsid w:val="5FFD1635"/>
    <w:rsid w:val="60107195"/>
    <w:rsid w:val="60534363"/>
    <w:rsid w:val="608F46D6"/>
    <w:rsid w:val="612C7258"/>
    <w:rsid w:val="615715FA"/>
    <w:rsid w:val="617501C1"/>
    <w:rsid w:val="61A2701B"/>
    <w:rsid w:val="61AC3914"/>
    <w:rsid w:val="61D258E3"/>
    <w:rsid w:val="623F1C3E"/>
    <w:rsid w:val="626F038D"/>
    <w:rsid w:val="627E73B6"/>
    <w:rsid w:val="6301322D"/>
    <w:rsid w:val="6318215C"/>
    <w:rsid w:val="631A0B14"/>
    <w:rsid w:val="635E00FF"/>
    <w:rsid w:val="643739A8"/>
    <w:rsid w:val="64492E5C"/>
    <w:rsid w:val="64595C2C"/>
    <w:rsid w:val="647F7698"/>
    <w:rsid w:val="64AA720F"/>
    <w:rsid w:val="64B91BC4"/>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BB5427"/>
    <w:rsid w:val="66D075E7"/>
    <w:rsid w:val="671660B5"/>
    <w:rsid w:val="672E4B50"/>
    <w:rsid w:val="677636C5"/>
    <w:rsid w:val="679D6AF9"/>
    <w:rsid w:val="67D65BC6"/>
    <w:rsid w:val="681236F4"/>
    <w:rsid w:val="682C5066"/>
    <w:rsid w:val="684B3025"/>
    <w:rsid w:val="68547961"/>
    <w:rsid w:val="68747BD8"/>
    <w:rsid w:val="68B97E18"/>
    <w:rsid w:val="68E4720D"/>
    <w:rsid w:val="69195D89"/>
    <w:rsid w:val="693D0244"/>
    <w:rsid w:val="69487AC2"/>
    <w:rsid w:val="69666808"/>
    <w:rsid w:val="696A6941"/>
    <w:rsid w:val="698B2F43"/>
    <w:rsid w:val="69A06DA2"/>
    <w:rsid w:val="69AF1E82"/>
    <w:rsid w:val="69BF42B1"/>
    <w:rsid w:val="69DC1B63"/>
    <w:rsid w:val="6A174AFA"/>
    <w:rsid w:val="6A4A3C55"/>
    <w:rsid w:val="6A8317BE"/>
    <w:rsid w:val="6A932E15"/>
    <w:rsid w:val="6A9C5300"/>
    <w:rsid w:val="6B051961"/>
    <w:rsid w:val="6B1E7F72"/>
    <w:rsid w:val="6B20385E"/>
    <w:rsid w:val="6B267794"/>
    <w:rsid w:val="6B664818"/>
    <w:rsid w:val="6B7A4C92"/>
    <w:rsid w:val="6B9F3F28"/>
    <w:rsid w:val="6BD2516B"/>
    <w:rsid w:val="6BE65C64"/>
    <w:rsid w:val="6C147A93"/>
    <w:rsid w:val="6C4031A0"/>
    <w:rsid w:val="6C7B054B"/>
    <w:rsid w:val="6CED7FE2"/>
    <w:rsid w:val="6D1674E0"/>
    <w:rsid w:val="6D1A0413"/>
    <w:rsid w:val="6D282574"/>
    <w:rsid w:val="6D3D6544"/>
    <w:rsid w:val="6D8807CC"/>
    <w:rsid w:val="6DB94F96"/>
    <w:rsid w:val="6E3E7F8B"/>
    <w:rsid w:val="6EAF10B5"/>
    <w:rsid w:val="6EB1401F"/>
    <w:rsid w:val="6EE37288"/>
    <w:rsid w:val="6EED62E3"/>
    <w:rsid w:val="6EFB0656"/>
    <w:rsid w:val="6F28489D"/>
    <w:rsid w:val="6F423E6F"/>
    <w:rsid w:val="6F486DCC"/>
    <w:rsid w:val="6FC757B4"/>
    <w:rsid w:val="70115191"/>
    <w:rsid w:val="703D50B9"/>
    <w:rsid w:val="70496DEE"/>
    <w:rsid w:val="704E6A6B"/>
    <w:rsid w:val="71117455"/>
    <w:rsid w:val="71163F02"/>
    <w:rsid w:val="715C382B"/>
    <w:rsid w:val="71865893"/>
    <w:rsid w:val="71D07A9E"/>
    <w:rsid w:val="71D12CA5"/>
    <w:rsid w:val="71E10E5F"/>
    <w:rsid w:val="72025094"/>
    <w:rsid w:val="72326905"/>
    <w:rsid w:val="726B72E8"/>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B263C2"/>
    <w:rsid w:val="75030E64"/>
    <w:rsid w:val="750D6BDC"/>
    <w:rsid w:val="750F08C7"/>
    <w:rsid w:val="753048AD"/>
    <w:rsid w:val="75381C1F"/>
    <w:rsid w:val="75400A5F"/>
    <w:rsid w:val="75770905"/>
    <w:rsid w:val="759C390E"/>
    <w:rsid w:val="75A230C3"/>
    <w:rsid w:val="75F24019"/>
    <w:rsid w:val="76A26B77"/>
    <w:rsid w:val="76EA6B52"/>
    <w:rsid w:val="77347ED5"/>
    <w:rsid w:val="7797237E"/>
    <w:rsid w:val="77D05213"/>
    <w:rsid w:val="781C401F"/>
    <w:rsid w:val="78346907"/>
    <w:rsid w:val="78464877"/>
    <w:rsid w:val="785116D4"/>
    <w:rsid w:val="78517245"/>
    <w:rsid w:val="785C3908"/>
    <w:rsid w:val="78827DAA"/>
    <w:rsid w:val="78D66832"/>
    <w:rsid w:val="79002122"/>
    <w:rsid w:val="792675C1"/>
    <w:rsid w:val="7988270D"/>
    <w:rsid w:val="79CA5FA9"/>
    <w:rsid w:val="79F34B52"/>
    <w:rsid w:val="7A0215E0"/>
    <w:rsid w:val="7A10451D"/>
    <w:rsid w:val="7A175C69"/>
    <w:rsid w:val="7A421502"/>
    <w:rsid w:val="7A583C2F"/>
    <w:rsid w:val="7A7311FF"/>
    <w:rsid w:val="7A80094C"/>
    <w:rsid w:val="7A821EE5"/>
    <w:rsid w:val="7AD325F0"/>
    <w:rsid w:val="7B0257FA"/>
    <w:rsid w:val="7B1C1411"/>
    <w:rsid w:val="7B1D208B"/>
    <w:rsid w:val="7BC11A20"/>
    <w:rsid w:val="7BC15E4F"/>
    <w:rsid w:val="7C221845"/>
    <w:rsid w:val="7C357ED5"/>
    <w:rsid w:val="7C4F211F"/>
    <w:rsid w:val="7C823371"/>
    <w:rsid w:val="7C894C8E"/>
    <w:rsid w:val="7D6A05D4"/>
    <w:rsid w:val="7DE47912"/>
    <w:rsid w:val="7EA20A7E"/>
    <w:rsid w:val="7EB34C9F"/>
    <w:rsid w:val="7EC15935"/>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2">
    <w:name w:val="index 1"/>
    <w:basedOn w:val="1"/>
    <w:next w:val="1"/>
    <w:unhideWhenUsed/>
    <w:qFormat/>
    <w:uiPriority w:val="99"/>
    <w:rPr>
      <w:szCs w:val="20"/>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annotation subject"/>
    <w:basedOn w:val="16"/>
    <w:next w:val="16"/>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3">
    <w:name w:val="表正文"/>
    <w:basedOn w:val="1"/>
    <w:next w:val="23"/>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3"/>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4"/>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5"/>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6"/>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7"/>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5</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陈钊渊</cp:lastModifiedBy>
  <cp:lastPrinted>2010-06-03T10:10:00Z</cp:lastPrinted>
  <dcterms:modified xsi:type="dcterms:W3CDTF">2026-04-10T05:29:29Z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7777AAFEE38C4F2CAE1FD72AA90FAA39</vt:lpwstr>
  </property>
</Properties>
</file>