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信通分公司2026年局域网建设与改造-西海岸数据中心负载均衡设备购置</w:t>
      </w:r>
      <w:r>
        <w:rPr>
          <w:rFonts w:hint="eastAsia"/>
          <w:i w:val="0"/>
          <w:iCs/>
          <w:sz w:val="48"/>
          <w:szCs w:val="48"/>
          <w:highlight w:val="none"/>
        </w:rPr>
        <w:t>购置</w:t>
      </w:r>
      <w:r>
        <w:rPr>
          <w:rFonts w:hint="eastAsia"/>
          <w:i w:val="0"/>
          <w:iCs/>
          <w:sz w:val="48"/>
          <w:szCs w:val="48"/>
          <w:highlight w:val="none"/>
          <w:lang w:eastAsia="zh-CN"/>
        </w:rPr>
        <w:t>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_Toc2615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_Toc2615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_Toc5409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_Toc5409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_Toc4119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_Toc4119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_Toc1862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_Toc1862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_Toc30709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_Toc30709 \h </w:instrText>
      </w:r>
      <w:r>
        <w:fldChar w:fldCharType="separate"/>
      </w:r>
      <w:r>
        <w:t>- 1 -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_Toc14306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_Toc14306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_Toc17444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_Toc17444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_Toc30067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_Toc30067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_Toc28851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_Toc28851 \h </w:instrText>
      </w:r>
      <w:r>
        <w:fldChar w:fldCharType="separate"/>
      </w:r>
      <w:r>
        <w:t>- 3 -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_Toc23830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_Toc23830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_Toc6774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rFonts w:hint="eastAsia"/>
          <w:highlight w:val="none"/>
          <w:lang w:eastAsia="zh-CN"/>
        </w:rPr>
        <w:t>（模板，标黄部分可修改）</w:t>
      </w:r>
      <w:r>
        <w:tab/>
      </w:r>
      <w:r>
        <w:fldChar w:fldCharType="begin"/>
      </w:r>
      <w:r>
        <w:instrText xml:space="preserve"> PAGEREF _Toc6774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_Toc17390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_Toc17390 \h </w:instrText>
      </w:r>
      <w:r>
        <w:fldChar w:fldCharType="separate"/>
      </w:r>
      <w:r>
        <w:t>- 4 -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_Toc10034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_Toc10034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_Toc4367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_Toc4367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_Toc16492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_Toc16492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_Toc13225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_Toc13225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_Toc15720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_Toc15720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_Toc32631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_Toc32631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_Toc15958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_Toc15958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_Toc18884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_Toc18884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_Toc2504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_Toc2504 \h </w:instrText>
      </w:r>
      <w:r>
        <w:fldChar w:fldCharType="separate"/>
      </w:r>
      <w:r>
        <w:t>- 9 -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_Toc13190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_Toc13190 \h </w:instrText>
      </w:r>
      <w:r>
        <w:fldChar w:fldCharType="separate"/>
      </w:r>
      <w:r>
        <w:t>- 9 -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_Toc1755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_Toc1755 \h </w:instrText>
      </w:r>
      <w:r>
        <w:fldChar w:fldCharType="separate"/>
      </w:r>
      <w:r>
        <w:t>- 9 -</w:t>
      </w:r>
      <w: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6793"/>
      <w:bookmarkStart w:id="1" w:name="_Toc15516"/>
      <w:bookmarkStart w:id="2" w:name="_Toc124406412"/>
      <w:bookmarkStart w:id="3" w:name="_Toc523850196"/>
      <w:bookmarkStart w:id="4" w:name="_Toc2615"/>
      <w:bookmarkStart w:id="5" w:name="_Ref191806497"/>
      <w:bookmarkStart w:id="6" w:name="_Toc407415869"/>
      <w:bookmarkStart w:id="7" w:name="_Toc407417356"/>
      <w:bookmarkStart w:id="8" w:name="_Toc411267585"/>
      <w:bookmarkStart w:id="9" w:name="_Toc407982391"/>
      <w:bookmarkStart w:id="10" w:name="_Toc411269790"/>
      <w:bookmarkStart w:id="11" w:name="_Toc407415870"/>
      <w:bookmarkStart w:id="12" w:name="_Toc407982392"/>
      <w:bookmarkStart w:id="13" w:name="_Toc411267586"/>
      <w:bookmarkStart w:id="14" w:name="_Toc411269791"/>
      <w:bookmarkStart w:id="15" w:name="_Toc407417357"/>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0091"/>
      <w:bookmarkStart w:id="17" w:name="_Toc523850197"/>
      <w:bookmarkStart w:id="18" w:name="_Toc5409"/>
      <w:bookmarkStart w:id="19" w:name="_Toc124406413"/>
      <w:bookmarkStart w:id="20" w:name="_Toc25438"/>
      <w:r>
        <w:rPr>
          <w:rFonts w:hint="eastAsia"/>
          <w:color w:val="auto"/>
          <w:highlight w:val="none"/>
        </w:rPr>
        <w:t>项目建设范围</w:t>
      </w:r>
      <w:bookmarkEnd w:id="16"/>
      <w:bookmarkEnd w:id="17"/>
      <w:bookmarkEnd w:id="18"/>
      <w:bookmarkEnd w:id="19"/>
      <w:bookmarkEnd w:id="20"/>
    </w:p>
    <w:p>
      <w:pPr>
        <w:ind w:firstLine="480"/>
        <w:rPr>
          <w:rFonts w:hint="eastAsia"/>
          <w:highlight w:val="none"/>
        </w:rPr>
      </w:pPr>
      <w:bookmarkStart w:id="21" w:name="_Toc124406414"/>
      <w:bookmarkStart w:id="22" w:name="_Toc14021"/>
      <w:bookmarkStart w:id="23" w:name="_Toc3485"/>
      <w:bookmarkStart w:id="24" w:name="_Toc523850198"/>
      <w:r>
        <w:rPr>
          <w:rFonts w:hint="eastAsia" w:ascii="宋体" w:hAnsi="宋体" w:cs="宋体"/>
          <w:lang w:eastAsia="zh-CN"/>
        </w:rPr>
        <w:t>本项目范围为信通分公司2026年局域网建设与改造-西海岸数据中心负载均衡设备购置。</w:t>
      </w:r>
      <w:r>
        <w:rPr>
          <w:rFonts w:hint="eastAsia"/>
        </w:rPr>
        <w:t>目前海南电网公司西海岸数据中心机房IDC区无负载均衡，需采购</w:t>
      </w:r>
      <w:r>
        <w:rPr>
          <w:rFonts w:hint="eastAsia"/>
          <w:color w:val="auto"/>
          <w:lang w:val="en-US" w:eastAsia="zh-CN"/>
        </w:rPr>
        <w:t>14</w:t>
      </w:r>
      <w:r>
        <w:rPr>
          <w:rFonts w:hint="eastAsia"/>
        </w:rPr>
        <w:t>台负载均衡设备，分别为1</w:t>
      </w:r>
      <w:r>
        <w:rPr>
          <w:rFonts w:hint="eastAsia"/>
          <w:lang w:val="en-US" w:eastAsia="zh-CN"/>
        </w:rPr>
        <w:t>2</w:t>
      </w:r>
      <w:r>
        <w:rPr>
          <w:rFonts w:hint="eastAsia"/>
        </w:rPr>
        <w:t>台应用负载均衡和2台全局负载均衡设备，其中2台用于IDC区四区非信息化区，2台用于IDC区四区非三级等保区，2台用于IDC区四区三级等保区，2台用于IDC区五区非三级等保区，2台用于IDC区五区三级等保区，2台用于IDC三区。</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本地负载均衡设备</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12</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2</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全局负载均衡设备</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default"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2</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5" w:name="_Toc4119"/>
      <w:bookmarkStart w:id="162" w:name="_GoBack"/>
      <w:bookmarkEnd w:id="162"/>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7579"/>
      <w:bookmarkStart w:id="27" w:name="_Toc523850199"/>
      <w:bookmarkStart w:id="28" w:name="_Toc3202"/>
      <w:bookmarkStart w:id="29" w:name="_Toc124406415"/>
      <w:bookmarkStart w:id="30" w:name="_Toc1862"/>
      <w:r>
        <w:rPr>
          <w:rFonts w:hint="eastAsia"/>
          <w:color w:val="auto"/>
          <w:highlight w:val="none"/>
        </w:rPr>
        <w:t>进度保证</w:t>
      </w:r>
      <w:bookmarkEnd w:id="26"/>
      <w:bookmarkEnd w:id="27"/>
      <w:bookmarkEnd w:id="28"/>
      <w:bookmarkEnd w:id="29"/>
      <w:bookmarkEnd w:id="30"/>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19290"/>
      <w:bookmarkStart w:id="32" w:name="_Toc3405"/>
      <w:bookmarkStart w:id="33" w:name="_Toc124406416"/>
      <w:bookmarkStart w:id="34" w:name="_Toc523850200"/>
      <w:bookmarkStart w:id="35" w:name="_Toc30709"/>
      <w:r>
        <w:rPr>
          <w:rFonts w:hint="eastAsia"/>
          <w:color w:val="auto"/>
          <w:highlight w:val="none"/>
        </w:rPr>
        <w:t>系统适用标准</w:t>
      </w:r>
      <w:bookmarkEnd w:id="31"/>
      <w:bookmarkEnd w:id="32"/>
      <w:bookmarkEnd w:id="33"/>
      <w:bookmarkEnd w:id="34"/>
      <w:bookmarkEnd w:id="3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518408400"/>
      <w:bookmarkStart w:id="37" w:name="_Toc10711"/>
      <w:bookmarkStart w:id="38" w:name="_Toc32487"/>
      <w:bookmarkStart w:id="39" w:name="_Toc124406418"/>
      <w:bookmarkStart w:id="40" w:name="_Toc14306"/>
      <w:bookmarkStart w:id="41" w:name="_Toc427568145"/>
      <w:bookmarkStart w:id="42" w:name="_Toc427380950"/>
      <w:bookmarkStart w:id="43" w:name="_Toc523850201"/>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27633"/>
      <w:bookmarkStart w:id="45" w:name="_Toc18579"/>
      <w:bookmarkStart w:id="46" w:name="_Toc523850202"/>
      <w:bookmarkStart w:id="47" w:name="_Toc17444"/>
      <w:r>
        <w:rPr>
          <w:rFonts w:hint="eastAsia"/>
          <w:color w:val="auto"/>
          <w:highlight w:val="none"/>
        </w:rPr>
        <w:t>对投标方的技术要求</w:t>
      </w:r>
      <w:bookmarkEnd w:id="44"/>
      <w:bookmarkEnd w:id="45"/>
      <w:bookmarkEnd w:id="46"/>
      <w:bookmarkEnd w:id="47"/>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7906"/>
      <w:bookmarkStart w:id="49" w:name="_Toc18500"/>
      <w:bookmarkStart w:id="50" w:name="_Toc30067"/>
      <w:bookmarkStart w:id="51" w:name="_Toc523850203"/>
      <w:r>
        <w:rPr>
          <w:rFonts w:hint="eastAsia"/>
          <w:color w:val="auto"/>
          <w:highlight w:val="none"/>
        </w:rPr>
        <w:t>投标方的工作范围</w:t>
      </w:r>
      <w:bookmarkEnd w:id="48"/>
      <w:bookmarkEnd w:id="49"/>
      <w:bookmarkEnd w:id="50"/>
      <w:bookmarkEnd w:id="51"/>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518408403"/>
      <w:bookmarkStart w:id="53" w:name="_Toc16188"/>
      <w:bookmarkStart w:id="54" w:name="_Toc407417359"/>
      <w:bookmarkStart w:id="55" w:name="_Toc411269793"/>
      <w:bookmarkStart w:id="56" w:name="_Toc427380953"/>
      <w:bookmarkStart w:id="57" w:name="_Toc411267588"/>
      <w:bookmarkStart w:id="58" w:name="_Toc407415872"/>
      <w:bookmarkStart w:id="59" w:name="_Toc240049345"/>
      <w:bookmarkStart w:id="60" w:name="_Toc124406421"/>
      <w:bookmarkStart w:id="61" w:name="_Toc427568148"/>
      <w:bookmarkStart w:id="62" w:name="_Toc28851"/>
      <w:bookmarkStart w:id="63" w:name="_Toc523850205"/>
      <w:bookmarkStart w:id="64" w:name="_Toc22344"/>
      <w:bookmarkStart w:id="65" w:name="_Toc407982394"/>
      <w:bookmarkStart w:id="66" w:name="_Toc407417360"/>
      <w:bookmarkStart w:id="67" w:name="_Toc407982395"/>
      <w:bookmarkStart w:id="68" w:name="_Toc407415873"/>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243912812"/>
      <w:bookmarkStart w:id="70" w:name="_Toc124406423"/>
      <w:bookmarkStart w:id="71" w:name="_Toc349634215"/>
      <w:bookmarkStart w:id="72" w:name="_Toc261789486"/>
      <w:bookmarkStart w:id="73" w:name="_Toc261789821"/>
      <w:bookmarkStart w:id="74" w:name="_Toc20478"/>
      <w:bookmarkStart w:id="75" w:name="_Toc523850206"/>
      <w:bookmarkStart w:id="76" w:name="_Toc11454"/>
      <w:bookmarkStart w:id="77" w:name="_Toc23830"/>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349634216"/>
      <w:bookmarkStart w:id="80" w:name="_Toc427568154"/>
      <w:bookmarkStart w:id="81" w:name="_Toc427380959"/>
      <w:bookmarkStart w:id="82" w:name="_Toc1783"/>
      <w:bookmarkStart w:id="83" w:name="_Toc518408406"/>
      <w:bookmarkStart w:id="84" w:name="_Toc261789487"/>
      <w:bookmarkStart w:id="85" w:name="_Toc411267590"/>
      <w:bookmarkStart w:id="86" w:name="_Toc32116"/>
      <w:bookmarkStart w:id="87" w:name="_Toc124406424"/>
      <w:bookmarkStart w:id="88" w:name="_Toc261789822"/>
      <w:bookmarkStart w:id="89" w:name="_Toc243912813"/>
      <w:bookmarkStart w:id="90" w:name="_Toc411269795"/>
      <w:bookmarkStart w:id="91" w:name="_Toc523850207"/>
      <w:bookmarkStart w:id="92" w:name="_Toc6774"/>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r>
        <w:rPr>
          <w:rFonts w:hint="eastAsia"/>
          <w:color w:val="auto"/>
          <w:highlight w:val="none"/>
          <w:lang w:eastAsia="zh-CN"/>
        </w:rPr>
        <w:t>（模板，标黄部分可修改）</w:t>
      </w:r>
      <w:bookmarkEnd w:id="92"/>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3" w:name="_Toc243912814"/>
      <w:bookmarkStart w:id="94" w:name="_Toc411267591"/>
      <w:bookmarkStart w:id="95" w:name="_Toc523850208"/>
      <w:bookmarkStart w:id="96" w:name="_Toc518408407"/>
      <w:bookmarkStart w:id="97" w:name="_Toc261789488"/>
      <w:bookmarkStart w:id="98" w:name="_Toc427380960"/>
      <w:bookmarkStart w:id="99" w:name="_Toc6331"/>
      <w:bookmarkStart w:id="100" w:name="_Toc427568155"/>
      <w:bookmarkStart w:id="101" w:name="_Toc411269796"/>
      <w:bookmarkStart w:id="102" w:name="_Toc17471"/>
      <w:bookmarkStart w:id="103" w:name="_Toc124406425"/>
      <w:bookmarkStart w:id="104" w:name="_Toc349634217"/>
      <w:bookmarkStart w:id="105" w:name="_Toc261789823"/>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106" w:name="_Toc17390"/>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55"/>
      <w:bookmarkStart w:id="109" w:name="_Ref191806434"/>
      <w:bookmarkStart w:id="110" w:name="_Ref191806505"/>
      <w:bookmarkStart w:id="111" w:name="_Ref191806390"/>
      <w:bookmarkStart w:id="112" w:name="_Ref191806438"/>
      <w:bookmarkStart w:id="113" w:name="_Ref191806475"/>
      <w:bookmarkStart w:id="114" w:name="_Toc124406426"/>
      <w:bookmarkStart w:id="115" w:name="_Ref191806485"/>
      <w:bookmarkStart w:id="116" w:name="_Ref191806386"/>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516297795"/>
      <w:bookmarkStart w:id="118" w:name="_Toc124406430"/>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124406429"/>
      <w:bookmarkStart w:id="121" w:name="_Toc518408412"/>
      <w:bookmarkStart w:id="122" w:name="_Toc516297794"/>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31833"/>
      <w:bookmarkStart w:id="124" w:name="_Toc523850210"/>
      <w:bookmarkStart w:id="125" w:name="_Toc3518"/>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9"/>
              <w:tabs>
                <w:tab w:val="left" w:pos="1650"/>
              </w:tabs>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培训内容</w:t>
            </w:r>
          </w:p>
        </w:tc>
        <w:tc>
          <w:tcPr>
            <w:tcW w:w="827"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地点</w:t>
            </w:r>
          </w:p>
        </w:tc>
        <w:tc>
          <w:tcPr>
            <w:tcW w:w="2323"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培训人数</w:t>
            </w:r>
          </w:p>
        </w:tc>
        <w:tc>
          <w:tcPr>
            <w:tcW w:w="1680"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7"/>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负载均衡设备运维及排障</w:t>
            </w:r>
          </w:p>
        </w:tc>
        <w:tc>
          <w:tcPr>
            <w:tcW w:w="827"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现场</w:t>
            </w:r>
          </w:p>
        </w:tc>
        <w:tc>
          <w:tcPr>
            <w:tcW w:w="2323"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不限</w:t>
            </w:r>
          </w:p>
        </w:tc>
        <w:tc>
          <w:tcPr>
            <w:tcW w:w="1680"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26" w:name="_Toc10034"/>
      <w:r>
        <w:rPr>
          <w:rFonts w:hint="eastAsia"/>
          <w:highlight w:val="none"/>
        </w:rPr>
        <w:t>技术指标要求</w:t>
      </w:r>
      <w:bookmarkEnd w:id="78"/>
      <w:bookmarkEnd w:id="123"/>
      <w:bookmarkEnd w:id="124"/>
      <w:bookmarkEnd w:id="125"/>
      <w:bookmarkEnd w:id="126"/>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4367"/>
      <w:bookmarkStart w:id="128" w:name="_Toc523850211"/>
      <w:bookmarkStart w:id="129" w:name="_Toc2606"/>
      <w:bookmarkStart w:id="130" w:name="_Toc26359"/>
      <w:r>
        <w:rPr>
          <w:rFonts w:hint="eastAsia"/>
          <w:color w:val="auto"/>
          <w:highlight w:val="none"/>
        </w:rPr>
        <w:t>基本要求</w:t>
      </w:r>
      <w:bookmarkEnd w:id="127"/>
      <w:bookmarkEnd w:id="128"/>
      <w:bookmarkEnd w:id="129"/>
      <w:bookmarkEnd w:id="130"/>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4841"/>
      <w:bookmarkStart w:id="132" w:name="_Toc523850212"/>
      <w:bookmarkStart w:id="133" w:name="_Toc1288"/>
      <w:bookmarkStart w:id="134" w:name="_Toc16492"/>
      <w:bookmarkStart w:id="135" w:name="_Toc124406438"/>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ind w:firstLine="0" w:firstLineChars="0"/>
        <w:rPr>
          <w:rFonts w:hint="eastAsia"/>
          <w:color w:val="auto"/>
        </w:rPr>
      </w:pPr>
      <w:bookmarkStart w:id="136" w:name="_Toc124406447"/>
      <w:bookmarkStart w:id="137" w:name="_Toc518408537"/>
      <w:r>
        <w:rPr>
          <w:rFonts w:hint="eastAsia"/>
          <w:color w:val="auto"/>
          <w:lang w:eastAsia="zh-CN"/>
        </w:rPr>
        <w:t>本地应用</w:t>
      </w:r>
      <w:r>
        <w:rPr>
          <w:rFonts w:hint="eastAsia"/>
          <w:color w:val="auto"/>
        </w:rPr>
        <w:t>负载均衡设备</w:t>
      </w:r>
      <w:r>
        <w:rPr>
          <w:rFonts w:hint="eastAsia"/>
          <w:color w:val="auto"/>
          <w:lang w:val="en-US" w:eastAsia="zh-CN"/>
        </w:rPr>
        <w:t>12</w:t>
      </w:r>
      <w:r>
        <w:rPr>
          <w:rFonts w:hint="eastAsia"/>
          <w:color w:val="auto"/>
        </w:rPr>
        <w:t>台：</w:t>
      </w:r>
    </w:p>
    <w:tbl>
      <w:tblPr>
        <w:tblStyle w:val="33"/>
        <w:tblW w:w="9116" w:type="dxa"/>
        <w:tblInd w:w="93" w:type="dxa"/>
        <w:tblLayout w:type="fixed"/>
        <w:tblCellMar>
          <w:top w:w="0" w:type="dxa"/>
          <w:left w:w="108" w:type="dxa"/>
          <w:bottom w:w="0" w:type="dxa"/>
          <w:right w:w="108" w:type="dxa"/>
        </w:tblCellMar>
      </w:tblPr>
      <w:tblGrid>
        <w:gridCol w:w="2312"/>
        <w:gridCol w:w="6804"/>
      </w:tblGrid>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功能名称</w:t>
            </w:r>
          </w:p>
        </w:tc>
        <w:tc>
          <w:tcPr>
            <w:tcW w:w="6804"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技术规格</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总体要求</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指标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产品要求   </w:t>
            </w:r>
          </w:p>
        </w:tc>
        <w:tc>
          <w:tcPr>
            <w:tcW w:w="680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独立的硬件负载均衡设备，不接受交换机插板式负载均衡解决方案 ，提供计算机软件著作权登记证书证明</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硬件和系统</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CPU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CPU核数量≥ 4</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内存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16G，可扩展至32G</w:t>
            </w:r>
          </w:p>
        </w:tc>
      </w:tr>
      <w:tr>
        <w:tblPrEx>
          <w:tblCellMar>
            <w:top w:w="0" w:type="dxa"/>
            <w:left w:w="108" w:type="dxa"/>
            <w:bottom w:w="0" w:type="dxa"/>
            <w:right w:w="108" w:type="dxa"/>
          </w:tblCellMar>
        </w:tblPrEx>
        <w:trPr>
          <w:trHeight w:val="298"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端口要求</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万兆端口（含光模块）≥ 2，千兆电口≥ 6</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冗余电源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提供冗余电源</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性能要求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设备吞吐能力</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12 Gbps，可扩展至2</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6</w:t>
            </w:r>
            <w:r>
              <w:rPr>
                <w:rFonts w:hint="eastAsia" w:cs="Arial" w:asciiTheme="minorEastAsia" w:hAnsiTheme="minorEastAsia" w:eastAsiaTheme="minorEastAsia"/>
                <w:color w:val="000000" w:themeColor="text1"/>
                <w:sz w:val="21"/>
                <w:szCs w:val="18"/>
                <w14:textFill>
                  <w14:solidFill>
                    <w14:schemeClr w14:val="tx1"/>
                  </w14:solidFill>
                </w14:textFill>
              </w:rPr>
              <w:t>Gbps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并发连接数</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≥50M</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4层每秒新建连接数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≥6</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30</w:t>
            </w:r>
            <w:r>
              <w:rPr>
                <w:rFonts w:hint="eastAsia" w:cs="Arial" w:asciiTheme="minorEastAsia" w:hAnsiTheme="minorEastAsia" w:eastAsiaTheme="minorEastAsia"/>
                <w:color w:val="000000" w:themeColor="text1"/>
                <w:sz w:val="21"/>
                <w:szCs w:val="18"/>
                <w14:textFill>
                  <w14:solidFill>
                    <w14:schemeClr w14:val="tx1"/>
                  </w14:solidFill>
                </w14:textFill>
              </w:rPr>
              <w:t>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7层每秒新建连接数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≥8</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50</w:t>
            </w:r>
            <w:r>
              <w:rPr>
                <w:rFonts w:hint="eastAsia" w:cs="Arial" w:asciiTheme="minorEastAsia" w:hAnsiTheme="minorEastAsia" w:eastAsiaTheme="minorEastAsia"/>
                <w:color w:val="000000" w:themeColor="text1"/>
                <w:sz w:val="21"/>
                <w:szCs w:val="18"/>
                <w14:textFill>
                  <w14:solidFill>
                    <w14:schemeClr w14:val="tx1"/>
                  </w14:solidFill>
                </w14:textFill>
              </w:rPr>
              <w:t>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 RSA加密方式下每秒新建连接数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≥20,</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5</w:t>
            </w:r>
            <w:r>
              <w:rPr>
                <w:rFonts w:hint="eastAsia" w:cs="Arial" w:asciiTheme="minorEastAsia" w:hAnsiTheme="minorEastAsia" w:eastAsiaTheme="minorEastAsia"/>
                <w:color w:val="000000" w:themeColor="text1"/>
                <w:sz w:val="21"/>
                <w:szCs w:val="18"/>
                <w14:textFill>
                  <w14:solidFill>
                    <w14:schemeClr w14:val="tx1"/>
                  </w14:solidFill>
                </w14:textFill>
              </w:rPr>
              <w:t>00（2K keys）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 ECC加密方式下每秒新建连接数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≥10,000</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SSL吞吐量</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9.2</w:t>
            </w:r>
            <w:r>
              <w:rPr>
                <w:rFonts w:hint="eastAsia" w:cs="Arial" w:asciiTheme="minorEastAsia" w:hAnsiTheme="minorEastAsia" w:eastAsiaTheme="minorEastAsia"/>
                <w:color w:val="000000" w:themeColor="text1"/>
                <w:sz w:val="21"/>
                <w:szCs w:val="18"/>
                <w14:textFill>
                  <w14:solidFill>
                    <w14:schemeClr w14:val="tx1"/>
                  </w14:solidFill>
                </w14:textFill>
              </w:rPr>
              <w:t>Gbps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85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IPV6网络支持</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支持IPV6/IP4网关，实现NAT64转换。支持IPv6客户端地址溯源功能，将IPv6地址插入HTTP header，针对TCP协议，支持IPv6地址插入tcp Option</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负载均衡算法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支持负均衡算法：轮询、加权轮询、最少用户数、HASH、最少流量</w:t>
            </w:r>
          </w:p>
        </w:tc>
      </w:tr>
      <w:tr>
        <w:tblPrEx>
          <w:tblCellMar>
            <w:top w:w="0" w:type="dxa"/>
            <w:left w:w="108" w:type="dxa"/>
            <w:bottom w:w="0" w:type="dxa"/>
            <w:right w:w="108" w:type="dxa"/>
          </w:tblCellMar>
        </w:tblPrEx>
        <w:trPr>
          <w:trHeight w:val="274"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SSL流量加解密</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透明截取SSL流量进行数据加解密，同时支持将解密后的流量转发至多组安全设备，例如入侵检测系统，数据防泄漏系统，防火墙等</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设备冗余</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支持VRRP冗余，支持主备和主主两种冗余模式</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设备配置兼容性</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兼容现</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网</w:t>
            </w:r>
            <w:r>
              <w:rPr>
                <w:rFonts w:hint="eastAsia" w:cs="Arial" w:asciiTheme="minorEastAsia" w:hAnsiTheme="minorEastAsia" w:eastAsiaTheme="minorEastAsia"/>
                <w:color w:val="000000" w:themeColor="text1"/>
                <w:sz w:val="21"/>
                <w:szCs w:val="18"/>
                <w14:textFill>
                  <w14:solidFill>
                    <w14:schemeClr w14:val="tx1"/>
                  </w14:solidFill>
                </w14:textFill>
              </w:rPr>
              <w:t>海府</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大同</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/丘海服务器</w:t>
            </w:r>
            <w:r>
              <w:rPr>
                <w:rFonts w:hint="eastAsia" w:cs="Arial" w:asciiTheme="minorEastAsia" w:hAnsiTheme="minorEastAsia" w:eastAsiaTheme="minorEastAsia"/>
                <w:color w:val="000000" w:themeColor="text1"/>
                <w:sz w:val="21"/>
                <w:szCs w:val="18"/>
                <w14:textFill>
                  <w14:solidFill>
                    <w14:schemeClr w14:val="tx1"/>
                  </w14:solidFill>
                </w14:textFill>
              </w:rPr>
              <w:t>负载均衡设备</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长虹Alteon 5208S-Perform</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，能够无缝实现与海府/大同</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/丘海</w:t>
            </w:r>
            <w:r>
              <w:rPr>
                <w:rFonts w:hint="eastAsia" w:cs="Arial" w:asciiTheme="minorEastAsia" w:hAnsiTheme="minorEastAsia" w:eastAsiaTheme="minorEastAsia"/>
                <w:color w:val="000000" w:themeColor="text1"/>
                <w:sz w:val="21"/>
                <w:szCs w:val="18"/>
                <w14:textFill>
                  <w14:solidFill>
                    <w14:schemeClr w14:val="tx1"/>
                  </w14:solidFill>
                </w14:textFill>
              </w:rPr>
              <w:t>机房负载均衡设备配置同步，减少容灾数据中心工作量</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全局负载均衡设备兼容</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兼容公司海府</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大同</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/丘海</w:t>
            </w:r>
            <w:r>
              <w:rPr>
                <w:rFonts w:hint="eastAsia" w:cs="Arial" w:asciiTheme="minorEastAsia" w:hAnsiTheme="minorEastAsia" w:eastAsiaTheme="minorEastAsia"/>
                <w:color w:val="000000" w:themeColor="text1"/>
                <w:sz w:val="21"/>
                <w:szCs w:val="18"/>
                <w14:textFill>
                  <w14:solidFill>
                    <w14:schemeClr w14:val="tx1"/>
                  </w14:solidFill>
                </w14:textFill>
              </w:rPr>
              <w:t>现</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网</w:t>
            </w:r>
            <w:r>
              <w:rPr>
                <w:rFonts w:hint="eastAsia" w:cs="Arial" w:asciiTheme="minorEastAsia" w:hAnsiTheme="minorEastAsia" w:eastAsiaTheme="minorEastAsia"/>
                <w:color w:val="000000" w:themeColor="text1"/>
                <w:sz w:val="21"/>
                <w:szCs w:val="18"/>
                <w:lang w:val="sv-SE"/>
                <w14:textFill>
                  <w14:solidFill>
                    <w14:schemeClr w14:val="tx1"/>
                  </w14:solidFill>
                </w14:textFill>
              </w:rPr>
              <w:t>全局负载均衡设备（</w:t>
            </w:r>
            <w:r>
              <w:rPr>
                <w:rFonts w:hint="eastAsia" w:cs="Arial" w:asciiTheme="minorEastAsia" w:hAnsiTheme="minorEastAsia" w:eastAsiaTheme="minorEastAsia"/>
                <w:color w:val="000000" w:themeColor="text1"/>
                <w:sz w:val="21"/>
                <w:szCs w:val="18"/>
                <w14:textFill>
                  <w14:solidFill>
                    <w14:schemeClr w14:val="tx1"/>
                  </w14:solidFill>
                </w14:textFill>
              </w:rPr>
              <w:t>长虹Alteon 5208S-DSSP-GSLB</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，可以将业务状态、会话数、流量等信息汇总到全局负载均衡设备，实现数据中心业务双活调用</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服务承诺</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投标方须在发布中标公示10天内，完成所投产品的现场测试，如测试不通过或未对所投设备进行测试，则视为虚假应标。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其他要求</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1、</w:t>
            </w:r>
            <w:r>
              <w:rPr>
                <w:rFonts w:hint="eastAsia" w:cs="Arial" w:asciiTheme="minorEastAsia" w:hAnsiTheme="minorEastAsia" w:eastAsiaTheme="minorEastAsia"/>
                <w:color w:val="000000" w:themeColor="text1"/>
                <w:sz w:val="21"/>
                <w:szCs w:val="18"/>
                <w14:textFill>
                  <w14:solidFill>
                    <w14:schemeClr w14:val="tx1"/>
                  </w14:solidFill>
                </w14:textFill>
              </w:rPr>
              <w:t>产品满足国产化要求，使用的CPU和操作系统均通过中国信息安全测评中心</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（www.itsec.gov.cn）</w:t>
            </w:r>
            <w:r>
              <w:rPr>
                <w:rFonts w:hint="eastAsia" w:cs="Arial" w:asciiTheme="minorEastAsia" w:hAnsiTheme="minorEastAsia" w:eastAsiaTheme="minorEastAsia"/>
                <w:color w:val="000000" w:themeColor="text1"/>
                <w:sz w:val="21"/>
                <w:szCs w:val="18"/>
                <w14:textFill>
                  <w14:solidFill>
                    <w14:schemeClr w14:val="tx1"/>
                  </w14:solidFill>
                </w14:textFill>
              </w:rPr>
              <w:t>的安全可靠测评</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br w:type="textWrapping"/>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2、提供权威检测机构出具的设备检验检测报告并加盖原厂公章。</w:t>
            </w:r>
          </w:p>
        </w:tc>
      </w:tr>
    </w:tbl>
    <w:p>
      <w:pPr>
        <w:ind w:firstLine="0" w:firstLineChars="0"/>
      </w:pPr>
      <w:r>
        <w:rPr>
          <w:rFonts w:hint="eastAsia"/>
        </w:rPr>
        <w:t>全局负载均衡设备</w:t>
      </w:r>
      <w:r>
        <w:rPr>
          <w:rFonts w:hint="eastAsia"/>
          <w:lang w:val="en-US" w:eastAsia="zh-CN"/>
        </w:rPr>
        <w:t>2</w:t>
      </w:r>
      <w:r>
        <w:rPr>
          <w:rFonts w:hint="eastAsia"/>
        </w:rPr>
        <w:t>台：</w:t>
      </w:r>
    </w:p>
    <w:tbl>
      <w:tblPr>
        <w:tblStyle w:val="33"/>
        <w:tblW w:w="9116" w:type="dxa"/>
        <w:tblInd w:w="93" w:type="dxa"/>
        <w:tblLayout w:type="fixed"/>
        <w:tblCellMar>
          <w:top w:w="0" w:type="dxa"/>
          <w:left w:w="108" w:type="dxa"/>
          <w:bottom w:w="0" w:type="dxa"/>
          <w:right w:w="108" w:type="dxa"/>
        </w:tblCellMar>
      </w:tblPr>
      <w:tblGrid>
        <w:gridCol w:w="2312"/>
        <w:gridCol w:w="6804"/>
      </w:tblGrid>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功能名称</w:t>
            </w:r>
          </w:p>
        </w:tc>
        <w:tc>
          <w:tcPr>
            <w:tcW w:w="6804"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技术规格</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总体要求</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指标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产品要求   </w:t>
            </w:r>
          </w:p>
        </w:tc>
        <w:tc>
          <w:tcPr>
            <w:tcW w:w="680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独立的硬件负载均衡设备，不接受交换机插板式负载均衡解决方案 ，提供计算机软件著作权登记证书证明</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硬件和系统</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处理模式    </w:t>
            </w:r>
          </w:p>
        </w:tc>
        <w:tc>
          <w:tcPr>
            <w:tcW w:w="680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多核CPU并行处理</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CPU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CPU核数量≥ 4</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内存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16G，可扩展至32G</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端口要求</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万兆端口（含光模块）≥ 2，千兆电口≥ 6</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冗余电源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提供冗余电源</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性能要求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设备吞吐能力</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12 Gbps，可扩展至2</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6</w:t>
            </w:r>
            <w:r>
              <w:rPr>
                <w:rFonts w:hint="eastAsia" w:cs="Arial" w:asciiTheme="minorEastAsia" w:hAnsiTheme="minorEastAsia" w:eastAsiaTheme="minorEastAsia"/>
                <w:color w:val="000000" w:themeColor="text1"/>
                <w:sz w:val="21"/>
                <w:szCs w:val="18"/>
                <w14:textFill>
                  <w14:solidFill>
                    <w14:schemeClr w14:val="tx1"/>
                  </w14:solidFill>
                </w14:textFill>
              </w:rPr>
              <w:t>Gbps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并发连接数</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≥50M</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4层每秒新建连接数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≥6</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30</w:t>
            </w:r>
            <w:r>
              <w:rPr>
                <w:rFonts w:hint="eastAsia" w:cs="Arial" w:asciiTheme="minorEastAsia" w:hAnsiTheme="minorEastAsia" w:eastAsiaTheme="minorEastAsia"/>
                <w:color w:val="000000" w:themeColor="text1"/>
                <w:sz w:val="21"/>
                <w:szCs w:val="18"/>
                <w14:textFill>
                  <w14:solidFill>
                    <w14:schemeClr w14:val="tx1"/>
                  </w14:solidFill>
                </w14:textFill>
              </w:rPr>
              <w:t>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7层每秒新建连接数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≥8</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50</w:t>
            </w:r>
            <w:r>
              <w:rPr>
                <w:rFonts w:hint="eastAsia" w:cs="Arial" w:asciiTheme="minorEastAsia" w:hAnsiTheme="minorEastAsia" w:eastAsiaTheme="minorEastAsia"/>
                <w:color w:val="000000" w:themeColor="text1"/>
                <w:sz w:val="21"/>
                <w:szCs w:val="18"/>
                <w14:textFill>
                  <w14:solidFill>
                    <w14:schemeClr w14:val="tx1"/>
                  </w14:solidFill>
                </w14:textFill>
              </w:rPr>
              <w:t>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DNS 每秒请求连接数RPS</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≥100,000</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 RSA加密方式下每秒新建连接数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≥20,</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5</w:t>
            </w:r>
            <w:r>
              <w:rPr>
                <w:rFonts w:hint="eastAsia" w:cs="Arial" w:asciiTheme="minorEastAsia" w:hAnsiTheme="minorEastAsia" w:eastAsiaTheme="minorEastAsia"/>
                <w:color w:val="000000" w:themeColor="text1"/>
                <w:sz w:val="21"/>
                <w:szCs w:val="18"/>
                <w14:textFill>
                  <w14:solidFill>
                    <w14:schemeClr w14:val="tx1"/>
                  </w14:solidFill>
                </w14:textFill>
              </w:rPr>
              <w:t>00（2K keys）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 ECC加密方式下每秒新建连接数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≥10,000</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SSL吞吐量</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9.2</w:t>
            </w:r>
            <w:r>
              <w:rPr>
                <w:rFonts w:hint="eastAsia" w:cs="Arial" w:asciiTheme="minorEastAsia" w:hAnsiTheme="minorEastAsia" w:eastAsiaTheme="minorEastAsia"/>
                <w:color w:val="000000" w:themeColor="text1"/>
                <w:sz w:val="21"/>
                <w:szCs w:val="18"/>
                <w14:textFill>
                  <w14:solidFill>
                    <w14:schemeClr w14:val="tx1"/>
                  </w14:solidFill>
                </w14:textFill>
              </w:rPr>
              <w:t>Gbps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负载均衡算法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支持负均衡算法：轮询、加权轮询、最少用户数、HASH、最少流量</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全局负载均衡</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支持多站点之间通过私有协议对流量/CPU/网络延时等参数的实时交互</w:t>
            </w:r>
          </w:p>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支持DNS，HTTP重定向，Proxy重定向等多种全局负载均衡方式</w:t>
            </w:r>
          </w:p>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支持EDNS扩展，针对用户真实IP地址的就近性判断，并以此为依据选择最优的站点</w:t>
            </w:r>
          </w:p>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支持与大同</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海府</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/丘海/西海岸</w:t>
            </w:r>
            <w:r>
              <w:rPr>
                <w:rFonts w:hint="eastAsia" w:cs="Arial" w:asciiTheme="minorEastAsia" w:hAnsiTheme="minorEastAsia" w:eastAsiaTheme="minorEastAsia"/>
                <w:color w:val="000000" w:themeColor="text1"/>
                <w:sz w:val="21"/>
                <w:szCs w:val="18"/>
                <w14:textFill>
                  <w14:solidFill>
                    <w14:schemeClr w14:val="tx1"/>
                  </w14:solidFill>
                </w14:textFill>
              </w:rPr>
              <w:t>全局负载均衡设备实现DNS同步</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配置</w:t>
            </w:r>
            <w:r>
              <w:rPr>
                <w:rFonts w:hint="eastAsia" w:cs="Arial" w:asciiTheme="minorEastAsia" w:hAnsiTheme="minorEastAsia" w:eastAsiaTheme="minorEastAsia"/>
                <w:color w:val="000000" w:themeColor="text1"/>
                <w:sz w:val="21"/>
                <w:szCs w:val="18"/>
                <w14:textFill>
                  <w14:solidFill>
                    <w14:schemeClr w14:val="tx1"/>
                  </w14:solidFill>
                </w14:textFill>
              </w:rPr>
              <w:t>兼容性</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兼容公司海府</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大同</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/丘海</w:t>
            </w:r>
            <w:r>
              <w:rPr>
                <w:rFonts w:hint="eastAsia" w:cs="Arial" w:asciiTheme="minorEastAsia" w:hAnsiTheme="minorEastAsia" w:eastAsiaTheme="minorEastAsia"/>
                <w:color w:val="000000" w:themeColor="text1"/>
                <w:sz w:val="21"/>
                <w:szCs w:val="18"/>
                <w14:textFill>
                  <w14:solidFill>
                    <w14:schemeClr w14:val="tx1"/>
                  </w14:solidFill>
                </w14:textFill>
              </w:rPr>
              <w:t>现</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网</w:t>
            </w:r>
            <w:r>
              <w:rPr>
                <w:rFonts w:hint="eastAsia" w:cs="Arial" w:asciiTheme="minorEastAsia" w:hAnsiTheme="minorEastAsia" w:eastAsiaTheme="minorEastAsia"/>
                <w:color w:val="000000" w:themeColor="text1"/>
                <w:sz w:val="21"/>
                <w:szCs w:val="18"/>
                <w:lang w:val="sv-SE"/>
                <w14:textFill>
                  <w14:solidFill>
                    <w14:schemeClr w14:val="tx1"/>
                  </w14:solidFill>
                </w14:textFill>
              </w:rPr>
              <w:t>全局负载均衡设备（</w:t>
            </w:r>
            <w:r>
              <w:rPr>
                <w:rFonts w:hint="eastAsia" w:cs="Arial" w:asciiTheme="minorEastAsia" w:hAnsiTheme="minorEastAsia" w:eastAsiaTheme="minorEastAsia"/>
                <w:color w:val="000000" w:themeColor="text1"/>
                <w:sz w:val="21"/>
                <w:szCs w:val="18"/>
                <w14:textFill>
                  <w14:solidFill>
                    <w14:schemeClr w14:val="tx1"/>
                  </w14:solidFill>
                </w14:textFill>
              </w:rPr>
              <w:t>长虹Alteon 5208S-DSSP-GSLB</w:t>
            </w:r>
            <w:r>
              <w:rPr>
                <w:rFonts w:hint="eastAsia" w:cs="Arial" w:asciiTheme="minorEastAsia" w:hAnsiTheme="minorEastAsia" w:eastAsiaTheme="minorEastAsia"/>
                <w:color w:val="000000" w:themeColor="text1"/>
                <w:sz w:val="21"/>
                <w:szCs w:val="18"/>
                <w:lang w:val="sv-SE"/>
                <w14:textFill>
                  <w14:solidFill>
                    <w14:schemeClr w14:val="tx1"/>
                  </w14:solidFill>
                </w14:textFill>
              </w:rPr>
              <w:t>）和</w:t>
            </w:r>
            <w:r>
              <w:rPr>
                <w:rFonts w:hint="eastAsia" w:cs="Arial" w:asciiTheme="minorEastAsia" w:hAnsiTheme="minorEastAsia" w:eastAsiaTheme="minorEastAsia"/>
                <w:color w:val="000000" w:themeColor="text1"/>
                <w:sz w:val="21"/>
                <w:szCs w:val="18"/>
                <w:lang w:val="sv-SE" w:eastAsia="zh-CN"/>
                <w14:textFill>
                  <w14:solidFill>
                    <w14:schemeClr w14:val="tx1"/>
                  </w14:solidFill>
                </w14:textFill>
              </w:rPr>
              <w:t>本地</w:t>
            </w:r>
            <w:r>
              <w:rPr>
                <w:rFonts w:hint="eastAsia" w:cs="Arial" w:asciiTheme="minorEastAsia" w:hAnsiTheme="minorEastAsia" w:eastAsiaTheme="minorEastAsia"/>
                <w:color w:val="000000" w:themeColor="text1"/>
                <w:sz w:val="21"/>
                <w:szCs w:val="18"/>
                <w:lang w:val="sv-SE"/>
                <w14:textFill>
                  <w14:solidFill>
                    <w14:schemeClr w14:val="tx1"/>
                  </w14:solidFill>
                </w14:textFill>
              </w:rPr>
              <w:t>应用负载均衡设备（</w:t>
            </w:r>
            <w:r>
              <w:rPr>
                <w:rFonts w:hint="eastAsia" w:cs="Arial" w:asciiTheme="minorEastAsia" w:hAnsiTheme="minorEastAsia" w:eastAsiaTheme="minorEastAsia"/>
                <w:color w:val="000000" w:themeColor="text1"/>
                <w:sz w:val="21"/>
                <w:szCs w:val="18"/>
                <w14:textFill>
                  <w14:solidFill>
                    <w14:schemeClr w14:val="tx1"/>
                  </w14:solidFill>
                </w14:textFill>
              </w:rPr>
              <w:t>长虹Alteon 5208S-Perform</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，通过收集本地负载均衡设备上的业务状态，会话数，流量等信息，实现数据中心业务双活调用</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设备冗余</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支持VRRP冗余，支持主备和主主两种冗余模式</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服务承诺</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投标方须在发布中标公示10天内，完成所投产品的现场测试，如测试不通过或未对所投设备进行测试，则视为虚假应标。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其他要求</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1、</w:t>
            </w:r>
            <w:r>
              <w:rPr>
                <w:rFonts w:hint="eastAsia" w:cs="Arial" w:asciiTheme="minorEastAsia" w:hAnsiTheme="minorEastAsia" w:eastAsiaTheme="minorEastAsia"/>
                <w:color w:val="000000" w:themeColor="text1"/>
                <w:sz w:val="21"/>
                <w:szCs w:val="18"/>
                <w14:textFill>
                  <w14:solidFill>
                    <w14:schemeClr w14:val="tx1"/>
                  </w14:solidFill>
                </w14:textFill>
              </w:rPr>
              <w:t>产品满足国产化要求，使用的CPU和操作系统均通过中国信息安全测评中心</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（www.itsec.gov.cn）</w:t>
            </w:r>
            <w:r>
              <w:rPr>
                <w:rFonts w:hint="eastAsia" w:cs="Arial" w:asciiTheme="minorEastAsia" w:hAnsiTheme="minorEastAsia" w:eastAsiaTheme="minorEastAsia"/>
                <w:color w:val="000000" w:themeColor="text1"/>
                <w:sz w:val="21"/>
                <w:szCs w:val="18"/>
                <w14:textFill>
                  <w14:solidFill>
                    <w14:schemeClr w14:val="tx1"/>
                  </w14:solidFill>
                </w14:textFill>
              </w:rPr>
              <w:t>的安全可靠测评</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br w:type="textWrapping"/>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2、提供权威检测机构出具的设备检验检测报告并加盖原厂公章。</w:t>
            </w:r>
          </w:p>
        </w:tc>
      </w:tr>
    </w:tbl>
    <w:p>
      <w:pPr>
        <w:ind w:left="0" w:leftChars="0" w:firstLine="0" w:firstLineChars="0"/>
        <w:rPr>
          <w:rFonts w:hint="eastAsia"/>
          <w:color w:val="auto"/>
        </w:rPr>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13225"/>
      <w:r>
        <w:rPr>
          <w:rFonts w:hint="eastAsia"/>
          <w:color w:val="auto"/>
          <w:highlight w:val="none"/>
          <w:lang w:eastAsia="zh-CN"/>
        </w:rPr>
        <w:t>实施要求</w:t>
      </w:r>
      <w:bookmarkEnd w:id="138"/>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5720"/>
      <w:r>
        <w:rPr>
          <w:rFonts w:hint="eastAsia"/>
          <w:color w:val="auto"/>
          <w:highlight w:val="none"/>
          <w:lang w:eastAsia="zh-CN"/>
        </w:rPr>
        <w:t>其他要求</w:t>
      </w:r>
      <w:bookmarkEnd w:id="140"/>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32631"/>
      <w:bookmarkStart w:id="142" w:name="_Toc7829"/>
      <w:bookmarkStart w:id="143" w:name="_Toc523850215"/>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15958"/>
      <w:bookmarkStart w:id="145" w:name="_Toc10509"/>
      <w:bookmarkStart w:id="146" w:name="_Toc317236947"/>
      <w:bookmarkStart w:id="147" w:name="_Toc374"/>
      <w:bookmarkStart w:id="148" w:name="_Toc523850216"/>
      <w:bookmarkStart w:id="149" w:name="_Toc10997"/>
      <w:bookmarkStart w:id="150" w:name="_Toc271893793"/>
      <w:r>
        <w:rPr>
          <w:rFonts w:hint="eastAsia"/>
          <w:color w:val="auto"/>
          <w:highlight w:val="none"/>
        </w:rPr>
        <w:t>概述</w:t>
      </w:r>
      <w:bookmarkEnd w:id="144"/>
      <w:bookmarkEnd w:id="145"/>
      <w:bookmarkEnd w:id="146"/>
      <w:bookmarkEnd w:id="147"/>
      <w:bookmarkEnd w:id="148"/>
      <w:bookmarkEnd w:id="149"/>
      <w:bookmarkEnd w:id="150"/>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18884"/>
      <w:r>
        <w:rPr>
          <w:rFonts w:hint="eastAsia"/>
          <w:color w:val="auto"/>
          <w:highlight w:val="none"/>
          <w:lang w:eastAsia="zh-CN"/>
        </w:rPr>
        <w:t>到货验收</w:t>
      </w:r>
      <w:bookmarkEnd w:id="151"/>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523850218"/>
      <w:bookmarkStart w:id="153" w:name="_Toc12490"/>
      <w:bookmarkStart w:id="154" w:name="_Toc17697"/>
      <w:bookmarkStart w:id="155" w:name="_Toc271893796"/>
      <w:bookmarkStart w:id="156" w:name="_Toc317236949"/>
      <w:bookmarkStart w:id="157" w:name="_Toc3132"/>
      <w:bookmarkStart w:id="158" w:name="_Toc32538"/>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2504"/>
      <w:r>
        <w:rPr>
          <w:rFonts w:hint="eastAsia"/>
          <w:color w:val="auto"/>
          <w:highlight w:val="none"/>
        </w:rPr>
        <w:t>竣工验收</w:t>
      </w:r>
      <w:bookmarkEnd w:id="152"/>
      <w:bookmarkEnd w:id="153"/>
      <w:bookmarkEnd w:id="154"/>
      <w:bookmarkEnd w:id="155"/>
      <w:bookmarkEnd w:id="156"/>
      <w:bookmarkEnd w:id="157"/>
      <w:bookmarkEnd w:id="158"/>
      <w:bookmarkEnd w:id="159"/>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13190"/>
      <w:r>
        <w:rPr>
          <w:rFonts w:hint="eastAsia"/>
          <w:highlight w:val="none"/>
          <w:lang w:val="en-US" w:eastAsia="zh-CN"/>
        </w:rPr>
        <w:t>结算及归档</w:t>
      </w:r>
      <w:bookmarkEnd w:id="160"/>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hAnsi="Times New Roman" w:cs="宋体"/>
          <w:kern w:val="0"/>
          <w:highlight w:val="none"/>
          <w:lang w:val="en-US" w:eastAsia="zh-CN"/>
        </w:rPr>
        <w:t>15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1755"/>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AC2FC7"/>
    <w:rsid w:val="02E121AF"/>
    <w:rsid w:val="02E3331F"/>
    <w:rsid w:val="02E70D76"/>
    <w:rsid w:val="02F02C73"/>
    <w:rsid w:val="03020317"/>
    <w:rsid w:val="034D1A82"/>
    <w:rsid w:val="036B733D"/>
    <w:rsid w:val="036D6AC2"/>
    <w:rsid w:val="03B40D23"/>
    <w:rsid w:val="03D00841"/>
    <w:rsid w:val="0422662D"/>
    <w:rsid w:val="042F23CD"/>
    <w:rsid w:val="04305996"/>
    <w:rsid w:val="04346599"/>
    <w:rsid w:val="0493699D"/>
    <w:rsid w:val="04B65EE8"/>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7A53EA2"/>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5B5169"/>
    <w:rsid w:val="0EAC1B24"/>
    <w:rsid w:val="0EB93C3D"/>
    <w:rsid w:val="0F2A6A99"/>
    <w:rsid w:val="0F311B96"/>
    <w:rsid w:val="0F4D47A1"/>
    <w:rsid w:val="0F693E0D"/>
    <w:rsid w:val="0F8924A9"/>
    <w:rsid w:val="0F8F7DCE"/>
    <w:rsid w:val="0FBF163F"/>
    <w:rsid w:val="0FCC0F53"/>
    <w:rsid w:val="0FD4086B"/>
    <w:rsid w:val="0FD63D95"/>
    <w:rsid w:val="0FE55519"/>
    <w:rsid w:val="0FF869E5"/>
    <w:rsid w:val="100F30C6"/>
    <w:rsid w:val="10492E3A"/>
    <w:rsid w:val="10524E78"/>
    <w:rsid w:val="10A20886"/>
    <w:rsid w:val="10B6257F"/>
    <w:rsid w:val="10D02FB0"/>
    <w:rsid w:val="10FA5354"/>
    <w:rsid w:val="11640F16"/>
    <w:rsid w:val="1179646D"/>
    <w:rsid w:val="11AC5CCD"/>
    <w:rsid w:val="11B252F5"/>
    <w:rsid w:val="11CA3F82"/>
    <w:rsid w:val="11E043BF"/>
    <w:rsid w:val="12413B02"/>
    <w:rsid w:val="1245553A"/>
    <w:rsid w:val="1260623E"/>
    <w:rsid w:val="127141F0"/>
    <w:rsid w:val="12853ADC"/>
    <w:rsid w:val="12B046B7"/>
    <w:rsid w:val="12F85AEB"/>
    <w:rsid w:val="132B00B1"/>
    <w:rsid w:val="137E1C1B"/>
    <w:rsid w:val="138F65AB"/>
    <w:rsid w:val="13967256"/>
    <w:rsid w:val="13C3411C"/>
    <w:rsid w:val="13F7629C"/>
    <w:rsid w:val="13F9306F"/>
    <w:rsid w:val="141D61A5"/>
    <w:rsid w:val="14461693"/>
    <w:rsid w:val="144D21E5"/>
    <w:rsid w:val="14A311FF"/>
    <w:rsid w:val="14B81AB4"/>
    <w:rsid w:val="14C22F60"/>
    <w:rsid w:val="14C72C92"/>
    <w:rsid w:val="154137DB"/>
    <w:rsid w:val="155D20CA"/>
    <w:rsid w:val="15807BD8"/>
    <w:rsid w:val="15BD7CC2"/>
    <w:rsid w:val="15BF639B"/>
    <w:rsid w:val="16435C8A"/>
    <w:rsid w:val="1646245E"/>
    <w:rsid w:val="16DA3CE8"/>
    <w:rsid w:val="17137FFF"/>
    <w:rsid w:val="175361C0"/>
    <w:rsid w:val="176F1A4E"/>
    <w:rsid w:val="17816282"/>
    <w:rsid w:val="17902301"/>
    <w:rsid w:val="17B00001"/>
    <w:rsid w:val="18216F40"/>
    <w:rsid w:val="18505EFA"/>
    <w:rsid w:val="18744007"/>
    <w:rsid w:val="18835BFE"/>
    <w:rsid w:val="193C2959"/>
    <w:rsid w:val="19A21095"/>
    <w:rsid w:val="19B73355"/>
    <w:rsid w:val="19CF55EE"/>
    <w:rsid w:val="19FA05D8"/>
    <w:rsid w:val="1A012EEA"/>
    <w:rsid w:val="1A113E67"/>
    <w:rsid w:val="1A274EB5"/>
    <w:rsid w:val="1A5A479C"/>
    <w:rsid w:val="1ADC2544"/>
    <w:rsid w:val="1AFE1D3D"/>
    <w:rsid w:val="1B0B5BB2"/>
    <w:rsid w:val="1B195C38"/>
    <w:rsid w:val="1B376A1F"/>
    <w:rsid w:val="1B475CEB"/>
    <w:rsid w:val="1B4B46D8"/>
    <w:rsid w:val="1B6B68B7"/>
    <w:rsid w:val="1B736034"/>
    <w:rsid w:val="1BB164A2"/>
    <w:rsid w:val="1BBA6460"/>
    <w:rsid w:val="1BE27B70"/>
    <w:rsid w:val="1C306445"/>
    <w:rsid w:val="1C6728EE"/>
    <w:rsid w:val="1C7477A2"/>
    <w:rsid w:val="1C7F277C"/>
    <w:rsid w:val="1C832E97"/>
    <w:rsid w:val="1CDF07BC"/>
    <w:rsid w:val="1D154EB0"/>
    <w:rsid w:val="1D63026E"/>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D3653"/>
    <w:rsid w:val="203F0CAA"/>
    <w:rsid w:val="20636CBF"/>
    <w:rsid w:val="20654541"/>
    <w:rsid w:val="207544E1"/>
    <w:rsid w:val="20A61CF0"/>
    <w:rsid w:val="21097572"/>
    <w:rsid w:val="21451656"/>
    <w:rsid w:val="217D202E"/>
    <w:rsid w:val="21E96D34"/>
    <w:rsid w:val="21F21D8A"/>
    <w:rsid w:val="222E1ACF"/>
    <w:rsid w:val="22345C02"/>
    <w:rsid w:val="2272285F"/>
    <w:rsid w:val="22804C96"/>
    <w:rsid w:val="22D16D29"/>
    <w:rsid w:val="22E32D4D"/>
    <w:rsid w:val="22F61413"/>
    <w:rsid w:val="23AC3AFD"/>
    <w:rsid w:val="23CE666F"/>
    <w:rsid w:val="23EC39AF"/>
    <w:rsid w:val="24195A89"/>
    <w:rsid w:val="245100DF"/>
    <w:rsid w:val="245E5405"/>
    <w:rsid w:val="246F534D"/>
    <w:rsid w:val="247864C2"/>
    <w:rsid w:val="247B337E"/>
    <w:rsid w:val="253E439A"/>
    <w:rsid w:val="2540102A"/>
    <w:rsid w:val="25D05E49"/>
    <w:rsid w:val="25DC25E9"/>
    <w:rsid w:val="26175C46"/>
    <w:rsid w:val="2629154F"/>
    <w:rsid w:val="262B30DA"/>
    <w:rsid w:val="26C93DB0"/>
    <w:rsid w:val="26EC2B1D"/>
    <w:rsid w:val="27354089"/>
    <w:rsid w:val="273D24A7"/>
    <w:rsid w:val="27481E81"/>
    <w:rsid w:val="27866227"/>
    <w:rsid w:val="27867374"/>
    <w:rsid w:val="27B0283F"/>
    <w:rsid w:val="27D42FA7"/>
    <w:rsid w:val="27DC4A42"/>
    <w:rsid w:val="27FA31EE"/>
    <w:rsid w:val="28014000"/>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7191F"/>
    <w:rsid w:val="2B107449"/>
    <w:rsid w:val="2B226E40"/>
    <w:rsid w:val="2B4A4649"/>
    <w:rsid w:val="2C154C0C"/>
    <w:rsid w:val="2C2B1074"/>
    <w:rsid w:val="2C2E39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361CE5"/>
    <w:rsid w:val="2F407A4B"/>
    <w:rsid w:val="2F706E7D"/>
    <w:rsid w:val="2F7232DD"/>
    <w:rsid w:val="30036FF6"/>
    <w:rsid w:val="30910910"/>
    <w:rsid w:val="30F75133"/>
    <w:rsid w:val="319A0B20"/>
    <w:rsid w:val="31EA7553"/>
    <w:rsid w:val="322644EF"/>
    <w:rsid w:val="322E389B"/>
    <w:rsid w:val="325F1090"/>
    <w:rsid w:val="329A29B3"/>
    <w:rsid w:val="333A3638"/>
    <w:rsid w:val="337E5948"/>
    <w:rsid w:val="33A74D35"/>
    <w:rsid w:val="33B50017"/>
    <w:rsid w:val="33C05244"/>
    <w:rsid w:val="34243940"/>
    <w:rsid w:val="342932BA"/>
    <w:rsid w:val="346259EE"/>
    <w:rsid w:val="346642FE"/>
    <w:rsid w:val="348712FF"/>
    <w:rsid w:val="34C77D11"/>
    <w:rsid w:val="34EE15EE"/>
    <w:rsid w:val="350641C9"/>
    <w:rsid w:val="351D2DF3"/>
    <w:rsid w:val="352970FA"/>
    <w:rsid w:val="355066CA"/>
    <w:rsid w:val="358E15F4"/>
    <w:rsid w:val="35A95263"/>
    <w:rsid w:val="35F806E5"/>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5C1A39"/>
    <w:rsid w:val="3A6901A6"/>
    <w:rsid w:val="3A7167A8"/>
    <w:rsid w:val="3ABB52C6"/>
    <w:rsid w:val="3B1C0828"/>
    <w:rsid w:val="3B2517EA"/>
    <w:rsid w:val="3B5A30DF"/>
    <w:rsid w:val="3B6E76FC"/>
    <w:rsid w:val="3B6F3168"/>
    <w:rsid w:val="3B711BBC"/>
    <w:rsid w:val="3B761C1F"/>
    <w:rsid w:val="3B766EC2"/>
    <w:rsid w:val="3BE26BC8"/>
    <w:rsid w:val="3BEA2045"/>
    <w:rsid w:val="3C0910A9"/>
    <w:rsid w:val="3C0C1625"/>
    <w:rsid w:val="3C0F01FD"/>
    <w:rsid w:val="3C201B3C"/>
    <w:rsid w:val="3C3B16F4"/>
    <w:rsid w:val="3C3C1885"/>
    <w:rsid w:val="3C9F4BF8"/>
    <w:rsid w:val="3CAF17AD"/>
    <w:rsid w:val="3CB74069"/>
    <w:rsid w:val="3CC24C8E"/>
    <w:rsid w:val="3CD461EE"/>
    <w:rsid w:val="3CEC23CF"/>
    <w:rsid w:val="3CEC4607"/>
    <w:rsid w:val="3D3F4162"/>
    <w:rsid w:val="3D743874"/>
    <w:rsid w:val="3D7F084D"/>
    <w:rsid w:val="3D906F68"/>
    <w:rsid w:val="3D9564E4"/>
    <w:rsid w:val="3DC82773"/>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5C81012"/>
    <w:rsid w:val="462C2AE7"/>
    <w:rsid w:val="464B1DF7"/>
    <w:rsid w:val="465F60F6"/>
    <w:rsid w:val="46CF406D"/>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C5229"/>
    <w:rsid w:val="4A6D6274"/>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DB26CE3"/>
    <w:rsid w:val="4E1B3A89"/>
    <w:rsid w:val="4E306FA9"/>
    <w:rsid w:val="4E9F36FD"/>
    <w:rsid w:val="4EC213C5"/>
    <w:rsid w:val="4ED905C3"/>
    <w:rsid w:val="4EDC6B43"/>
    <w:rsid w:val="4EDF6CF2"/>
    <w:rsid w:val="4EEA57CB"/>
    <w:rsid w:val="4F2C169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3F713A4"/>
    <w:rsid w:val="541E22A0"/>
    <w:rsid w:val="542B2D98"/>
    <w:rsid w:val="543A21EA"/>
    <w:rsid w:val="54794946"/>
    <w:rsid w:val="548F0CA8"/>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6C03729"/>
    <w:rsid w:val="56CE1C99"/>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846E9"/>
    <w:rsid w:val="5AAE38A2"/>
    <w:rsid w:val="5AB6428F"/>
    <w:rsid w:val="5AB657D7"/>
    <w:rsid w:val="5AC401E7"/>
    <w:rsid w:val="5AED6AD6"/>
    <w:rsid w:val="5B2C50E4"/>
    <w:rsid w:val="5B4F6AF7"/>
    <w:rsid w:val="5BE04A8A"/>
    <w:rsid w:val="5C0A1D64"/>
    <w:rsid w:val="5C16499B"/>
    <w:rsid w:val="5C404771"/>
    <w:rsid w:val="5C9D1F3A"/>
    <w:rsid w:val="5CAE5C9B"/>
    <w:rsid w:val="5D5A1DE6"/>
    <w:rsid w:val="5D8F14C8"/>
    <w:rsid w:val="5D8F2C7D"/>
    <w:rsid w:val="5DA4513B"/>
    <w:rsid w:val="5DA96369"/>
    <w:rsid w:val="5DC56AC7"/>
    <w:rsid w:val="5DE36A7B"/>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0C934C4"/>
    <w:rsid w:val="612C7258"/>
    <w:rsid w:val="615715FA"/>
    <w:rsid w:val="617501C1"/>
    <w:rsid w:val="61A2701B"/>
    <w:rsid w:val="61AC3914"/>
    <w:rsid w:val="61D258E3"/>
    <w:rsid w:val="623F1C3E"/>
    <w:rsid w:val="626F038D"/>
    <w:rsid w:val="627E73B6"/>
    <w:rsid w:val="62B71B48"/>
    <w:rsid w:val="6318215C"/>
    <w:rsid w:val="631A0B14"/>
    <w:rsid w:val="635E00FF"/>
    <w:rsid w:val="636406C7"/>
    <w:rsid w:val="643739A8"/>
    <w:rsid w:val="64492E5C"/>
    <w:rsid w:val="64595C2C"/>
    <w:rsid w:val="647F7698"/>
    <w:rsid w:val="64AA720F"/>
    <w:rsid w:val="64B91BC4"/>
    <w:rsid w:val="64DC41C5"/>
    <w:rsid w:val="64ED2CF1"/>
    <w:rsid w:val="650F1820"/>
    <w:rsid w:val="655F1AE9"/>
    <w:rsid w:val="658A7FF4"/>
    <w:rsid w:val="65C61311"/>
    <w:rsid w:val="65C86E43"/>
    <w:rsid w:val="65CE3A8E"/>
    <w:rsid w:val="65DB6A30"/>
    <w:rsid w:val="65E43C2D"/>
    <w:rsid w:val="660D0D24"/>
    <w:rsid w:val="664044D4"/>
    <w:rsid w:val="665A4132"/>
    <w:rsid w:val="666838E7"/>
    <w:rsid w:val="666C646C"/>
    <w:rsid w:val="667A011A"/>
    <w:rsid w:val="66BB5427"/>
    <w:rsid w:val="66D075E7"/>
    <w:rsid w:val="671660B5"/>
    <w:rsid w:val="672E4B50"/>
    <w:rsid w:val="674B1526"/>
    <w:rsid w:val="677636C5"/>
    <w:rsid w:val="67801535"/>
    <w:rsid w:val="679D6AF9"/>
    <w:rsid w:val="67D65BC6"/>
    <w:rsid w:val="681236F4"/>
    <w:rsid w:val="682C5066"/>
    <w:rsid w:val="684B3025"/>
    <w:rsid w:val="68747BD8"/>
    <w:rsid w:val="687E0E0E"/>
    <w:rsid w:val="68B97E18"/>
    <w:rsid w:val="68E4720D"/>
    <w:rsid w:val="69195D89"/>
    <w:rsid w:val="693D0244"/>
    <w:rsid w:val="69487AC2"/>
    <w:rsid w:val="69666808"/>
    <w:rsid w:val="696A6941"/>
    <w:rsid w:val="698B2F43"/>
    <w:rsid w:val="69A06DA2"/>
    <w:rsid w:val="69AF1E82"/>
    <w:rsid w:val="69BF42B1"/>
    <w:rsid w:val="69DC1B63"/>
    <w:rsid w:val="6A174AFA"/>
    <w:rsid w:val="6A4A3C55"/>
    <w:rsid w:val="6A8317BE"/>
    <w:rsid w:val="6A932E15"/>
    <w:rsid w:val="6A9C5300"/>
    <w:rsid w:val="6B1E7F72"/>
    <w:rsid w:val="6B20385E"/>
    <w:rsid w:val="6B267794"/>
    <w:rsid w:val="6B664818"/>
    <w:rsid w:val="6B7A4C92"/>
    <w:rsid w:val="6B9F3F28"/>
    <w:rsid w:val="6BC3513B"/>
    <w:rsid w:val="6BD2516B"/>
    <w:rsid w:val="6BE65C64"/>
    <w:rsid w:val="6C147A93"/>
    <w:rsid w:val="6C2354E0"/>
    <w:rsid w:val="6C4031A0"/>
    <w:rsid w:val="6C7B054B"/>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4E6A6B"/>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230C3"/>
    <w:rsid w:val="75F24019"/>
    <w:rsid w:val="76A26B77"/>
    <w:rsid w:val="76EA6B52"/>
    <w:rsid w:val="7797237E"/>
    <w:rsid w:val="77D05213"/>
    <w:rsid w:val="781C401F"/>
    <w:rsid w:val="78346907"/>
    <w:rsid w:val="78464877"/>
    <w:rsid w:val="785116D4"/>
    <w:rsid w:val="78517245"/>
    <w:rsid w:val="785C3908"/>
    <w:rsid w:val="78827DAA"/>
    <w:rsid w:val="78D66832"/>
    <w:rsid w:val="79002122"/>
    <w:rsid w:val="792675C1"/>
    <w:rsid w:val="7988270D"/>
    <w:rsid w:val="79BE3E3E"/>
    <w:rsid w:val="79CA5FA9"/>
    <w:rsid w:val="7A421502"/>
    <w:rsid w:val="7A583C2F"/>
    <w:rsid w:val="7A7311FF"/>
    <w:rsid w:val="7A80094C"/>
    <w:rsid w:val="7A821EE5"/>
    <w:rsid w:val="7AD325F0"/>
    <w:rsid w:val="7B0257FA"/>
    <w:rsid w:val="7B1C1411"/>
    <w:rsid w:val="7B1D208B"/>
    <w:rsid w:val="7BC11A20"/>
    <w:rsid w:val="7BC15E4F"/>
    <w:rsid w:val="7C221845"/>
    <w:rsid w:val="7C2D13DE"/>
    <w:rsid w:val="7C357ED5"/>
    <w:rsid w:val="7C4F211F"/>
    <w:rsid w:val="7C823371"/>
    <w:rsid w:val="7C894C8E"/>
    <w:rsid w:val="7D6A05D4"/>
    <w:rsid w:val="7DE47912"/>
    <w:rsid w:val="7E5C2770"/>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2026-04-15T02:29:37Z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