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rFonts w:hint="eastAsia"/>
          <w:sz w:val="48"/>
          <w:highlight w:val="none"/>
        </w:rPr>
      </w:pPr>
    </w:p>
    <w:p>
      <w:pPr>
        <w:pStyle w:val="44"/>
        <w:adjustRightInd w:val="0"/>
        <w:snapToGrid w:val="0"/>
        <w:rPr>
          <w:rFonts w:hint="eastAsia"/>
          <w:sz w:val="48"/>
          <w:highlight w:val="none"/>
        </w:rPr>
      </w:pPr>
      <w:r>
        <w:rPr>
          <w:rFonts w:hint="eastAsia"/>
          <w:sz w:val="48"/>
          <w:highlight w:val="none"/>
        </w:rPr>
        <w:t>2026年南网云（经营管理节点）IaaS及PaaS采购（云桌面系统）项目</w:t>
      </w:r>
    </w:p>
    <w:p>
      <w:pPr>
        <w:pStyle w:val="44"/>
        <w:adjustRightInd w:val="0"/>
        <w:snapToGrid w:val="0"/>
        <w:rPr>
          <w:rFonts w:hint="eastAsia"/>
          <w:sz w:val="48"/>
          <w:highlight w:val="none"/>
        </w:rPr>
      </w:pPr>
      <w:r>
        <w:rPr>
          <w:rFonts w:hint="eastAsia"/>
          <w:sz w:val="48"/>
          <w:highlight w:val="none"/>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spacing w:line="360" w:lineRule="auto"/>
        <w:ind w:firstLine="0" w:firstLineChars="0"/>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highlight w:val="none"/>
        </w:rPr>
        <w:t>2026年</w:t>
      </w:r>
      <w:r>
        <w:rPr>
          <w:rFonts w:hint="eastAsia"/>
          <w:highlight w:val="none"/>
          <w:lang w:val="en-US" w:eastAsia="zh-CN"/>
        </w:rPr>
        <w:t>5</w:t>
      </w:r>
      <w:r>
        <w:rPr>
          <w:rFonts w:hint="eastAsia"/>
          <w:highlight w:val="none"/>
        </w:rPr>
        <w:t>月</w:t>
      </w:r>
    </w:p>
    <w:p>
      <w:pPr>
        <w:pStyle w:val="100"/>
        <w:spacing w:line="360" w:lineRule="auto"/>
        <w:ind w:firstLine="720"/>
        <w:rPr>
          <w:szCs w:val="36"/>
          <w:highlight w:val="none"/>
        </w:rPr>
      </w:pPr>
      <w:r>
        <w:rPr>
          <w:rFonts w:hint="eastAsia"/>
          <w:szCs w:val="36"/>
          <w:highlight w:val="none"/>
        </w:rPr>
        <w:t>目  录</w:t>
      </w:r>
    </w:p>
    <w:p>
      <w:pPr>
        <w:pStyle w:val="26"/>
        <w:tabs>
          <w:tab w:val="right" w:leader="dot" w:pos="9298"/>
          <w:tab w:val="clear" w:pos="630"/>
          <w:tab w:val="clear" w:pos="9288"/>
        </w:tabs>
        <w:rPr>
          <w:highlight w:val="none"/>
        </w:rPr>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highlight w:val="none"/>
        </w:rPr>
        <w:fldChar w:fldCharType="begin"/>
      </w:r>
      <w:r>
        <w:rPr>
          <w:highlight w:val="none"/>
        </w:rPr>
        <w:instrText xml:space="preserve"> HYPERLINK \l "_Toc560892674" </w:instrText>
      </w:r>
      <w:r>
        <w:rPr>
          <w:highlight w:val="none"/>
        </w:rPr>
        <w:fldChar w:fldCharType="separate"/>
      </w:r>
      <w:r>
        <w:rPr>
          <w:rFonts w:hint="eastAsia"/>
          <w:highlight w:val="none"/>
          <w:lang w:val="sv-SE"/>
        </w:rPr>
        <w:t xml:space="preserve">1 </w:t>
      </w:r>
      <w:r>
        <w:rPr>
          <w:rFonts w:hint="eastAsia"/>
          <w:highlight w:val="none"/>
        </w:rPr>
        <w:t>总则</w:t>
      </w:r>
      <w:r>
        <w:rPr>
          <w:highlight w:val="none"/>
        </w:rPr>
        <w:tab/>
      </w:r>
      <w:r>
        <w:rPr>
          <w:highlight w:val="none"/>
        </w:rPr>
        <w:fldChar w:fldCharType="begin"/>
      </w:r>
      <w:r>
        <w:rPr>
          <w:highlight w:val="none"/>
        </w:rPr>
        <w:instrText xml:space="preserve"> PAGEREF _Toc560892674 \h </w:instrText>
      </w:r>
      <w:r>
        <w:rPr>
          <w:highlight w:val="none"/>
        </w:rPr>
        <w:fldChar w:fldCharType="separate"/>
      </w:r>
      <w:r>
        <w:rPr>
          <w:highlight w:val="none"/>
        </w:rPr>
        <w:t>- 1 -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"_Toc1617445235" </w:instrText>
      </w:r>
      <w:r>
        <w:rPr>
          <w:highlight w:val="none"/>
        </w:rPr>
        <w:fldChar w:fldCharType="separate"/>
      </w:r>
      <w:r>
        <w:rPr>
          <w:rFonts w:hint="eastAsia"/>
          <w:highlight w:val="none"/>
        </w:rPr>
        <w:t>1.1 项目背景</w:t>
      </w:r>
      <w:r>
        <w:rPr>
          <w:highlight w:val="none"/>
        </w:rPr>
        <w:tab/>
      </w:r>
      <w:r>
        <w:rPr>
          <w:highlight w:val="none"/>
        </w:rPr>
        <w:fldChar w:fldCharType="begin"/>
      </w:r>
      <w:r>
        <w:rPr>
          <w:highlight w:val="none"/>
        </w:rPr>
        <w:instrText xml:space="preserve"> PAGEREF _Toc1617445235 \h </w:instrText>
      </w:r>
      <w:r>
        <w:rPr>
          <w:highlight w:val="none"/>
        </w:rPr>
        <w:fldChar w:fldCharType="separate"/>
      </w:r>
      <w:r>
        <w:rPr>
          <w:highlight w:val="none"/>
        </w:rPr>
        <w:t>- 1 -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"_Toc1554060919" </w:instrText>
      </w:r>
      <w:r>
        <w:rPr>
          <w:highlight w:val="none"/>
        </w:rPr>
        <w:fldChar w:fldCharType="separate"/>
      </w:r>
      <w:r>
        <w:rPr>
          <w:rFonts w:hint="eastAsia"/>
          <w:highlight w:val="none"/>
        </w:rPr>
        <w:t>1.2 项目依据</w:t>
      </w:r>
      <w:r>
        <w:rPr>
          <w:highlight w:val="none"/>
        </w:rPr>
        <w:tab/>
      </w:r>
      <w:r>
        <w:rPr>
          <w:highlight w:val="none"/>
        </w:rPr>
        <w:fldChar w:fldCharType="begin"/>
      </w:r>
      <w:r>
        <w:rPr>
          <w:highlight w:val="none"/>
        </w:rPr>
        <w:instrText xml:space="preserve"> PAGEREF _Toc1554060919 \h </w:instrText>
      </w:r>
      <w:r>
        <w:rPr>
          <w:highlight w:val="none"/>
        </w:rPr>
        <w:fldChar w:fldCharType="separate"/>
      </w:r>
      <w:r>
        <w:rPr>
          <w:highlight w:val="none"/>
        </w:rPr>
        <w:t>- 1 -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"_Toc1405750819" </w:instrText>
      </w:r>
      <w:r>
        <w:rPr>
          <w:highlight w:val="none"/>
        </w:rPr>
        <w:fldChar w:fldCharType="separate"/>
      </w:r>
      <w:r>
        <w:rPr>
          <w:rFonts w:hint="eastAsia" w:cs="宋体"/>
          <w:highlight w:val="none"/>
        </w:rPr>
        <w:t>1.3 项目目标</w:t>
      </w:r>
      <w:r>
        <w:rPr>
          <w:highlight w:val="none"/>
        </w:rPr>
        <w:tab/>
      </w:r>
      <w:r>
        <w:rPr>
          <w:highlight w:val="none"/>
        </w:rPr>
        <w:fldChar w:fldCharType="begin"/>
      </w:r>
      <w:r>
        <w:rPr>
          <w:highlight w:val="none"/>
        </w:rPr>
        <w:instrText xml:space="preserve"> PAGEREF _Toc1405750819 \h </w:instrText>
      </w:r>
      <w:r>
        <w:rPr>
          <w:highlight w:val="none"/>
        </w:rPr>
        <w:fldChar w:fldCharType="separate"/>
      </w:r>
      <w:r>
        <w:rPr>
          <w:highlight w:val="none"/>
        </w:rPr>
        <w:t>- 2 -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"_Toc1986414286" </w:instrText>
      </w:r>
      <w:r>
        <w:rPr>
          <w:highlight w:val="none"/>
        </w:rPr>
        <w:fldChar w:fldCharType="separate"/>
      </w:r>
      <w:r>
        <w:rPr>
          <w:rFonts w:hint="eastAsia"/>
          <w:highlight w:val="none"/>
        </w:rPr>
        <w:t>1.4 项目建设范围</w:t>
      </w:r>
      <w:r>
        <w:rPr>
          <w:highlight w:val="none"/>
        </w:rPr>
        <w:tab/>
      </w:r>
      <w:r>
        <w:rPr>
          <w:highlight w:val="none"/>
        </w:rPr>
        <w:fldChar w:fldCharType="begin"/>
      </w:r>
      <w:r>
        <w:rPr>
          <w:highlight w:val="none"/>
        </w:rPr>
        <w:instrText xml:space="preserve"> PAGEREF _Toc1986414286 \h </w:instrText>
      </w:r>
      <w:r>
        <w:rPr>
          <w:highlight w:val="none"/>
        </w:rPr>
        <w:fldChar w:fldCharType="separate"/>
      </w:r>
      <w:r>
        <w:rPr>
          <w:highlight w:val="none"/>
        </w:rPr>
        <w:t>- 2 -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"_Toc884128540" </w:instrText>
      </w:r>
      <w:r>
        <w:rPr>
          <w:highlight w:val="none"/>
        </w:rPr>
        <w:fldChar w:fldCharType="separate"/>
      </w:r>
      <w:r>
        <w:rPr>
          <w:rFonts w:hint="eastAsia"/>
          <w:highlight w:val="none"/>
        </w:rPr>
        <w:t>1.5 质量保证</w:t>
      </w:r>
      <w:r>
        <w:rPr>
          <w:highlight w:val="none"/>
        </w:rPr>
        <w:tab/>
      </w:r>
      <w:r>
        <w:rPr>
          <w:highlight w:val="none"/>
        </w:rPr>
        <w:fldChar w:fldCharType="begin"/>
      </w:r>
      <w:r>
        <w:rPr>
          <w:highlight w:val="none"/>
        </w:rPr>
        <w:instrText xml:space="preserve"> PAGEREF _Toc884128540 \h </w:instrText>
      </w:r>
      <w:r>
        <w:rPr>
          <w:highlight w:val="none"/>
        </w:rPr>
        <w:fldChar w:fldCharType="separate"/>
      </w:r>
      <w:r>
        <w:rPr>
          <w:highlight w:val="none"/>
        </w:rPr>
        <w:t>- 2 -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"_Toc1109018187" </w:instrText>
      </w:r>
      <w:r>
        <w:rPr>
          <w:highlight w:val="none"/>
        </w:rPr>
        <w:fldChar w:fldCharType="separate"/>
      </w:r>
      <w:r>
        <w:rPr>
          <w:rFonts w:hint="eastAsia"/>
          <w:szCs w:val="24"/>
          <w:highlight w:val="none"/>
        </w:rPr>
        <w:t xml:space="preserve">1.6 </w:t>
      </w:r>
      <w:r>
        <w:rPr>
          <w:rFonts w:hint="eastAsia"/>
          <w:highlight w:val="none"/>
        </w:rPr>
        <w:t>进度保证</w:t>
      </w:r>
      <w:r>
        <w:rPr>
          <w:highlight w:val="none"/>
        </w:rPr>
        <w:tab/>
      </w:r>
      <w:r>
        <w:rPr>
          <w:highlight w:val="none"/>
        </w:rPr>
        <w:fldChar w:fldCharType="begin"/>
      </w:r>
      <w:r>
        <w:rPr>
          <w:highlight w:val="none"/>
        </w:rPr>
        <w:instrText xml:space="preserve"> PAGEREF _Toc1109018187 \h </w:instrText>
      </w:r>
      <w:r>
        <w:rPr>
          <w:highlight w:val="none"/>
        </w:rPr>
        <w:fldChar w:fldCharType="separate"/>
      </w:r>
      <w:r>
        <w:rPr>
          <w:highlight w:val="none"/>
        </w:rPr>
        <w:t>- 2 -</w:t>
      </w:r>
      <w:r>
        <w:rPr>
          <w:highlight w:val="none"/>
        </w:rPr>
        <w:fldChar w:fldCharType="end"/>
      </w:r>
      <w:r>
        <w:rPr>
          <w:highlight w:val="none"/>
        </w:rPr>
        <w:fldChar w:fldCharType="end"/>
      </w:r>
    </w:p>
    <w:p>
      <w:pPr>
        <w:pStyle w:val="26"/>
        <w:tabs>
          <w:tab w:val="right" w:leader="dot" w:pos="9298"/>
          <w:tab w:val="clear" w:pos="630"/>
          <w:tab w:val="clear" w:pos="9288"/>
        </w:tabs>
        <w:rPr>
          <w:highlight w:val="none"/>
        </w:rPr>
      </w:pPr>
      <w:r>
        <w:rPr>
          <w:highlight w:val="none"/>
        </w:rPr>
        <w:fldChar w:fldCharType="begin"/>
      </w:r>
      <w:r>
        <w:rPr>
          <w:highlight w:val="none"/>
        </w:rPr>
        <w:instrText xml:space="preserve"> HYPERLINK \l "_Toc1258096596" </w:instrText>
      </w:r>
      <w:r>
        <w:rPr>
          <w:highlight w:val="none"/>
        </w:rPr>
        <w:fldChar w:fldCharType="separate"/>
      </w:r>
      <w:r>
        <w:rPr>
          <w:rFonts w:hint="eastAsia"/>
          <w:highlight w:val="none"/>
          <w:lang w:val="sv-SE"/>
        </w:rPr>
        <w:t xml:space="preserve">2 </w:t>
      </w:r>
      <w:r>
        <w:rPr>
          <w:rFonts w:hint="eastAsia"/>
          <w:highlight w:val="none"/>
        </w:rPr>
        <w:t>对投标方的要求及其工作范围</w:t>
      </w:r>
      <w:r>
        <w:rPr>
          <w:highlight w:val="none"/>
        </w:rPr>
        <w:tab/>
      </w:r>
      <w:r>
        <w:rPr>
          <w:highlight w:val="none"/>
        </w:rPr>
        <w:fldChar w:fldCharType="begin"/>
      </w:r>
      <w:r>
        <w:rPr>
          <w:highlight w:val="none"/>
        </w:rPr>
        <w:instrText xml:space="preserve"> PAGEREF _Toc1258096596 \h </w:instrText>
      </w:r>
      <w:r>
        <w:rPr>
          <w:highlight w:val="none"/>
        </w:rPr>
        <w:fldChar w:fldCharType="separate"/>
      </w:r>
      <w:r>
        <w:rPr>
          <w:highlight w:val="none"/>
        </w:rPr>
        <w:t>- 2 -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"_Toc705500610" </w:instrText>
      </w:r>
      <w:r>
        <w:rPr>
          <w:highlight w:val="none"/>
        </w:rPr>
        <w:fldChar w:fldCharType="separate"/>
      </w:r>
      <w:r>
        <w:rPr>
          <w:rFonts w:hint="eastAsia"/>
          <w:highlight w:val="none"/>
        </w:rPr>
        <w:t>2.1 对投标方的技术要求</w:t>
      </w:r>
      <w:r>
        <w:rPr>
          <w:highlight w:val="none"/>
        </w:rPr>
        <w:tab/>
      </w:r>
      <w:r>
        <w:rPr>
          <w:highlight w:val="none"/>
        </w:rPr>
        <w:fldChar w:fldCharType="begin"/>
      </w:r>
      <w:r>
        <w:rPr>
          <w:highlight w:val="none"/>
        </w:rPr>
        <w:instrText xml:space="preserve"> PAGEREF _Toc705500610 \h </w:instrText>
      </w:r>
      <w:r>
        <w:rPr>
          <w:highlight w:val="none"/>
        </w:rPr>
        <w:fldChar w:fldCharType="separate"/>
      </w:r>
      <w:r>
        <w:rPr>
          <w:highlight w:val="none"/>
        </w:rPr>
        <w:t>- 2 -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"_Toc1091537183" </w:instrText>
      </w:r>
      <w:r>
        <w:rPr>
          <w:highlight w:val="none"/>
        </w:rPr>
        <w:fldChar w:fldCharType="separate"/>
      </w:r>
      <w:r>
        <w:rPr>
          <w:rFonts w:hint="eastAsia"/>
          <w:highlight w:val="none"/>
        </w:rPr>
        <w:t>2.2 投标方的工作范围</w:t>
      </w:r>
      <w:r>
        <w:rPr>
          <w:highlight w:val="none"/>
        </w:rPr>
        <w:tab/>
      </w:r>
      <w:r>
        <w:rPr>
          <w:highlight w:val="none"/>
        </w:rPr>
        <w:fldChar w:fldCharType="begin"/>
      </w:r>
      <w:r>
        <w:rPr>
          <w:highlight w:val="none"/>
        </w:rPr>
        <w:instrText xml:space="preserve"> PAGEREF _Toc1091537183 \h </w:instrText>
      </w:r>
      <w:r>
        <w:rPr>
          <w:highlight w:val="none"/>
        </w:rPr>
        <w:fldChar w:fldCharType="separate"/>
      </w:r>
      <w:r>
        <w:rPr>
          <w:highlight w:val="none"/>
        </w:rPr>
        <w:t>- 3 -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"_Toc1660122007" </w:instrText>
      </w:r>
      <w:r>
        <w:rPr>
          <w:highlight w:val="none"/>
        </w:rPr>
        <w:fldChar w:fldCharType="separate"/>
      </w:r>
      <w:r>
        <w:rPr>
          <w:rFonts w:hint="eastAsia"/>
          <w:highlight w:val="none"/>
        </w:rPr>
        <w:t>2.3 产品报价范围</w:t>
      </w:r>
      <w:r>
        <w:rPr>
          <w:highlight w:val="none"/>
        </w:rPr>
        <w:tab/>
      </w:r>
      <w:r>
        <w:rPr>
          <w:highlight w:val="none"/>
        </w:rPr>
        <w:fldChar w:fldCharType="begin"/>
      </w:r>
      <w:r>
        <w:rPr>
          <w:highlight w:val="none"/>
        </w:rPr>
        <w:instrText xml:space="preserve"> PAGEREF _Toc1660122007 \h </w:instrText>
      </w:r>
      <w:r>
        <w:rPr>
          <w:highlight w:val="none"/>
        </w:rPr>
        <w:fldChar w:fldCharType="separate"/>
      </w:r>
      <w:r>
        <w:rPr>
          <w:highlight w:val="none"/>
        </w:rPr>
        <w:t>- 4 -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"_Toc1563029825" </w:instrText>
      </w:r>
      <w:r>
        <w:rPr>
          <w:highlight w:val="none"/>
        </w:rPr>
        <w:fldChar w:fldCharType="separate"/>
      </w:r>
      <w:r>
        <w:rPr>
          <w:rFonts w:hint="eastAsia"/>
          <w:highlight w:val="none"/>
        </w:rPr>
        <w:t>2.4 技术服务</w:t>
      </w:r>
      <w:r>
        <w:rPr>
          <w:highlight w:val="none"/>
        </w:rPr>
        <w:tab/>
      </w:r>
      <w:r>
        <w:rPr>
          <w:highlight w:val="none"/>
        </w:rPr>
        <w:fldChar w:fldCharType="begin"/>
      </w:r>
      <w:r>
        <w:rPr>
          <w:highlight w:val="none"/>
        </w:rPr>
        <w:instrText xml:space="preserve"> PAGEREF _Toc1563029825 \h </w:instrText>
      </w:r>
      <w:r>
        <w:rPr>
          <w:highlight w:val="none"/>
        </w:rPr>
        <w:fldChar w:fldCharType="separate"/>
      </w:r>
      <w:r>
        <w:rPr>
          <w:highlight w:val="none"/>
        </w:rPr>
        <w:t>- 4 -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"_Toc1822298671" </w:instrText>
      </w:r>
      <w:r>
        <w:rPr>
          <w:highlight w:val="none"/>
        </w:rPr>
        <w:fldChar w:fldCharType="separate"/>
      </w:r>
      <w:r>
        <w:rPr>
          <w:rFonts w:hint="eastAsia"/>
          <w:highlight w:val="none"/>
        </w:rPr>
        <w:t>2.4.1 技术服务内容</w:t>
      </w:r>
      <w:r>
        <w:rPr>
          <w:highlight w:val="none"/>
        </w:rPr>
        <w:tab/>
      </w:r>
      <w:r>
        <w:rPr>
          <w:highlight w:val="none"/>
        </w:rPr>
        <w:fldChar w:fldCharType="begin"/>
      </w:r>
      <w:r>
        <w:rPr>
          <w:highlight w:val="none"/>
        </w:rPr>
        <w:instrText xml:space="preserve"> PAGEREF _Toc1822298671 \h </w:instrText>
      </w:r>
      <w:r>
        <w:rPr>
          <w:highlight w:val="none"/>
        </w:rPr>
        <w:fldChar w:fldCharType="separate"/>
      </w:r>
      <w:r>
        <w:rPr>
          <w:highlight w:val="none"/>
        </w:rPr>
        <w:t>- 4 -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"_Toc2109473630" </w:instrText>
      </w:r>
      <w:r>
        <w:rPr>
          <w:highlight w:val="none"/>
        </w:rPr>
        <w:fldChar w:fldCharType="separate"/>
      </w:r>
      <w:r>
        <w:rPr>
          <w:rFonts w:hint="eastAsia"/>
          <w:highlight w:val="none"/>
        </w:rPr>
        <w:t>2.4.2 技术服务要求</w:t>
      </w:r>
      <w:r>
        <w:rPr>
          <w:highlight w:val="none"/>
        </w:rPr>
        <w:tab/>
      </w:r>
      <w:r>
        <w:rPr>
          <w:highlight w:val="none"/>
        </w:rPr>
        <w:fldChar w:fldCharType="begin"/>
      </w:r>
      <w:r>
        <w:rPr>
          <w:highlight w:val="none"/>
        </w:rPr>
        <w:instrText xml:space="preserve"> PAGEREF _Toc2109473630 \h </w:instrText>
      </w:r>
      <w:r>
        <w:rPr>
          <w:highlight w:val="none"/>
        </w:rPr>
        <w:fldChar w:fldCharType="separate"/>
      </w:r>
      <w:r>
        <w:rPr>
          <w:highlight w:val="none"/>
        </w:rPr>
        <w:t>- 4 -</w:t>
      </w:r>
      <w:r>
        <w:rPr>
          <w:highlight w:val="none"/>
        </w:rPr>
        <w:fldChar w:fldCharType="end"/>
      </w:r>
      <w:r>
        <w:rPr>
          <w:highlight w:val="none"/>
        </w:rPr>
        <w:fldChar w:fldCharType="end"/>
      </w:r>
    </w:p>
    <w:p>
      <w:pPr>
        <w:pStyle w:val="26"/>
        <w:tabs>
          <w:tab w:val="right" w:leader="dot" w:pos="9298"/>
          <w:tab w:val="clear" w:pos="630"/>
          <w:tab w:val="clear" w:pos="9288"/>
        </w:tabs>
        <w:rPr>
          <w:highlight w:val="none"/>
        </w:rPr>
      </w:pPr>
      <w:r>
        <w:rPr>
          <w:highlight w:val="none"/>
        </w:rPr>
        <w:fldChar w:fldCharType="begin"/>
      </w:r>
      <w:r>
        <w:rPr>
          <w:highlight w:val="none"/>
        </w:rPr>
        <w:instrText xml:space="preserve"> HYPERLINK \l "_Toc1115771087" </w:instrText>
      </w:r>
      <w:r>
        <w:rPr>
          <w:highlight w:val="none"/>
        </w:rPr>
        <w:fldChar w:fldCharType="separate"/>
      </w:r>
      <w:r>
        <w:rPr>
          <w:rFonts w:hint="eastAsia"/>
          <w:highlight w:val="none"/>
          <w:lang w:val="sv-SE"/>
        </w:rPr>
        <w:t xml:space="preserve">3 </w:t>
      </w:r>
      <w:r>
        <w:rPr>
          <w:rFonts w:hint="eastAsia"/>
          <w:highlight w:val="none"/>
        </w:rPr>
        <w:t>技术指标要求</w:t>
      </w:r>
      <w:r>
        <w:rPr>
          <w:highlight w:val="none"/>
        </w:rPr>
        <w:tab/>
      </w:r>
      <w:r>
        <w:rPr>
          <w:highlight w:val="none"/>
        </w:rPr>
        <w:fldChar w:fldCharType="begin"/>
      </w:r>
      <w:r>
        <w:rPr>
          <w:highlight w:val="none"/>
        </w:rPr>
        <w:instrText xml:space="preserve"> PAGEREF _Toc1115771087 \h </w:instrText>
      </w:r>
      <w:r>
        <w:rPr>
          <w:highlight w:val="none"/>
        </w:rPr>
        <w:fldChar w:fldCharType="separate"/>
      </w:r>
      <w:r>
        <w:rPr>
          <w:highlight w:val="none"/>
        </w:rPr>
        <w:t>- 5 -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"_Toc937453605" </w:instrText>
      </w:r>
      <w:r>
        <w:rPr>
          <w:highlight w:val="none"/>
        </w:rPr>
        <w:fldChar w:fldCharType="separate"/>
      </w:r>
      <w:r>
        <w:rPr>
          <w:rFonts w:hint="eastAsia"/>
          <w:highlight w:val="none"/>
        </w:rPr>
        <w:t>3.1 基本要求</w:t>
      </w:r>
      <w:r>
        <w:rPr>
          <w:highlight w:val="none"/>
        </w:rPr>
        <w:tab/>
      </w:r>
      <w:r>
        <w:rPr>
          <w:highlight w:val="none"/>
        </w:rPr>
        <w:fldChar w:fldCharType="begin"/>
      </w:r>
      <w:r>
        <w:rPr>
          <w:highlight w:val="none"/>
        </w:rPr>
        <w:instrText xml:space="preserve"> PAGEREF _Toc937453605 \h </w:instrText>
      </w:r>
      <w:r>
        <w:rPr>
          <w:highlight w:val="none"/>
        </w:rPr>
        <w:fldChar w:fldCharType="separate"/>
      </w:r>
      <w:r>
        <w:rPr>
          <w:highlight w:val="none"/>
        </w:rPr>
        <w:t>- 5 -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"_Toc1842704843" </w:instrText>
      </w:r>
      <w:r>
        <w:rPr>
          <w:highlight w:val="none"/>
        </w:rPr>
        <w:fldChar w:fldCharType="separate"/>
      </w:r>
      <w:r>
        <w:rPr>
          <w:rFonts w:hint="eastAsia"/>
          <w:highlight w:val="none"/>
        </w:rPr>
        <w:t>3.2 主要技术要求及性能指标</w:t>
      </w:r>
      <w:r>
        <w:rPr>
          <w:highlight w:val="none"/>
        </w:rPr>
        <w:tab/>
      </w:r>
      <w:r>
        <w:rPr>
          <w:highlight w:val="none"/>
        </w:rPr>
        <w:fldChar w:fldCharType="begin"/>
      </w:r>
      <w:r>
        <w:rPr>
          <w:highlight w:val="none"/>
        </w:rPr>
        <w:instrText xml:space="preserve"> PAGEREF _Toc1842704843 \h </w:instrText>
      </w:r>
      <w:r>
        <w:rPr>
          <w:highlight w:val="none"/>
        </w:rPr>
        <w:fldChar w:fldCharType="separate"/>
      </w:r>
      <w:r>
        <w:rPr>
          <w:highlight w:val="none"/>
        </w:rPr>
        <w:t>- 6 -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"_Toc1478622914" </w:instrText>
      </w:r>
      <w:r>
        <w:rPr>
          <w:highlight w:val="none"/>
        </w:rPr>
        <w:fldChar w:fldCharType="separate"/>
      </w:r>
      <w:r>
        <w:rPr>
          <w:rFonts w:ascii="宋体" w:hAnsi="宋体" w:cs="宋体"/>
          <w:highlight w:val="none"/>
        </w:rPr>
        <w:t xml:space="preserve">3.2.1. </w:t>
      </w:r>
      <w:r>
        <w:rPr>
          <w:rFonts w:hint="eastAsia"/>
          <w:highlight w:val="none"/>
        </w:rPr>
        <w:t>云桌面终端</w:t>
      </w:r>
      <w:r>
        <w:rPr>
          <w:highlight w:val="none"/>
        </w:rPr>
        <w:tab/>
      </w:r>
      <w:r>
        <w:rPr>
          <w:highlight w:val="none"/>
        </w:rPr>
        <w:fldChar w:fldCharType="begin"/>
      </w:r>
      <w:r>
        <w:rPr>
          <w:highlight w:val="none"/>
        </w:rPr>
        <w:instrText xml:space="preserve"> PAGEREF _Toc1478622914 \h </w:instrText>
      </w:r>
      <w:r>
        <w:rPr>
          <w:highlight w:val="none"/>
        </w:rPr>
        <w:fldChar w:fldCharType="separate"/>
      </w:r>
      <w:r>
        <w:rPr>
          <w:highlight w:val="none"/>
        </w:rPr>
        <w:t>- 6 -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"_Toc534552514" </w:instrText>
      </w:r>
      <w:r>
        <w:rPr>
          <w:highlight w:val="none"/>
        </w:rPr>
        <w:fldChar w:fldCharType="separate"/>
      </w:r>
      <w:r>
        <w:rPr>
          <w:rFonts w:ascii="宋体" w:hAnsi="宋体" w:cs="宋体"/>
          <w:highlight w:val="none"/>
        </w:rPr>
        <w:t xml:space="preserve">3.2.2. </w:t>
      </w:r>
      <w:r>
        <w:rPr>
          <w:rFonts w:hint="eastAsia"/>
          <w:highlight w:val="none"/>
        </w:rPr>
        <w:t>显示器</w:t>
      </w:r>
      <w:r>
        <w:rPr>
          <w:highlight w:val="none"/>
        </w:rPr>
        <w:tab/>
      </w:r>
      <w:r>
        <w:rPr>
          <w:highlight w:val="none"/>
        </w:rPr>
        <w:fldChar w:fldCharType="begin"/>
      </w:r>
      <w:r>
        <w:rPr>
          <w:highlight w:val="none"/>
        </w:rPr>
        <w:instrText xml:space="preserve"> PAGEREF _Toc534552514 \h </w:instrText>
      </w:r>
      <w:r>
        <w:rPr>
          <w:highlight w:val="none"/>
        </w:rPr>
        <w:fldChar w:fldCharType="separate"/>
      </w:r>
      <w:r>
        <w:rPr>
          <w:highlight w:val="none"/>
        </w:rPr>
        <w:t>- 6 -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"_Toc1300007397" </w:instrText>
      </w:r>
      <w:r>
        <w:rPr>
          <w:highlight w:val="none"/>
        </w:rPr>
        <w:fldChar w:fldCharType="separate"/>
      </w:r>
      <w:r>
        <w:rPr>
          <w:rFonts w:ascii="宋体" w:hAnsi="宋体" w:cs="宋体"/>
          <w:highlight w:val="none"/>
        </w:rPr>
        <w:t xml:space="preserve">3.2.3. </w:t>
      </w:r>
      <w:r>
        <w:rPr>
          <w:rFonts w:hint="eastAsia"/>
          <w:highlight w:val="none"/>
        </w:rPr>
        <w:t>键鼠套装</w:t>
      </w:r>
      <w:r>
        <w:rPr>
          <w:highlight w:val="none"/>
        </w:rPr>
        <w:tab/>
      </w:r>
      <w:r>
        <w:rPr>
          <w:highlight w:val="none"/>
        </w:rPr>
        <w:fldChar w:fldCharType="begin"/>
      </w:r>
      <w:r>
        <w:rPr>
          <w:highlight w:val="none"/>
        </w:rPr>
        <w:instrText xml:space="preserve"> PAGEREF _Toc1300007397 \h </w:instrText>
      </w:r>
      <w:r>
        <w:rPr>
          <w:highlight w:val="none"/>
        </w:rPr>
        <w:fldChar w:fldCharType="separate"/>
      </w:r>
      <w:r>
        <w:rPr>
          <w:highlight w:val="none"/>
        </w:rPr>
        <w:t>- 6 -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"_Toc725696801" </w:instrText>
      </w:r>
      <w:r>
        <w:rPr>
          <w:highlight w:val="none"/>
        </w:rPr>
        <w:fldChar w:fldCharType="separate"/>
      </w:r>
      <w:r>
        <w:rPr>
          <w:rFonts w:ascii="宋体" w:hAnsi="宋体" w:cs="宋体"/>
          <w:highlight w:val="none"/>
        </w:rPr>
        <w:t xml:space="preserve">3.2.4. </w:t>
      </w:r>
      <w:r>
        <w:rPr>
          <w:rFonts w:hint="eastAsia"/>
          <w:highlight w:val="none"/>
        </w:rPr>
        <w:t>云桌面服务端虚拟化许可</w:t>
      </w:r>
      <w:r>
        <w:rPr>
          <w:highlight w:val="none"/>
        </w:rPr>
        <w:tab/>
      </w:r>
      <w:r>
        <w:rPr>
          <w:highlight w:val="none"/>
        </w:rPr>
        <w:fldChar w:fldCharType="begin"/>
      </w:r>
      <w:r>
        <w:rPr>
          <w:highlight w:val="none"/>
        </w:rPr>
        <w:instrText xml:space="preserve"> PAGEREF _Toc725696801 \h </w:instrText>
      </w:r>
      <w:r>
        <w:rPr>
          <w:highlight w:val="none"/>
        </w:rPr>
        <w:fldChar w:fldCharType="separate"/>
      </w:r>
      <w:r>
        <w:rPr>
          <w:highlight w:val="none"/>
        </w:rPr>
        <w:t>- 6 -</w:t>
      </w:r>
      <w:r>
        <w:rPr>
          <w:highlight w:val="none"/>
        </w:rPr>
        <w:fldChar w:fldCharType="end"/>
      </w:r>
      <w:r>
        <w:rPr>
          <w:highlight w:val="none"/>
        </w:rPr>
        <w:fldChar w:fldCharType="end"/>
      </w:r>
    </w:p>
    <w:p>
      <w:pPr>
        <w:pStyle w:val="19"/>
        <w:tabs>
          <w:tab w:val="right" w:leader="dot" w:pos="9298"/>
          <w:tab w:val="clear" w:pos="9288"/>
        </w:tabs>
        <w:rPr>
          <w:highlight w:val="none"/>
        </w:rPr>
      </w:pPr>
      <w:r>
        <w:rPr>
          <w:highlight w:val="none"/>
        </w:rPr>
        <w:fldChar w:fldCharType="begin"/>
      </w:r>
      <w:r>
        <w:rPr>
          <w:highlight w:val="none"/>
        </w:rPr>
        <w:instrText xml:space="preserve"> HYPERLINK \l "_Toc1226503094" </w:instrText>
      </w:r>
      <w:r>
        <w:rPr>
          <w:highlight w:val="none"/>
        </w:rPr>
        <w:fldChar w:fldCharType="separate"/>
      </w:r>
      <w:r>
        <w:rPr>
          <w:rFonts w:ascii="宋体" w:hAnsi="宋体" w:cs="宋体"/>
          <w:highlight w:val="none"/>
        </w:rPr>
        <w:t xml:space="preserve">3.2.5. </w:t>
      </w:r>
      <w:r>
        <w:rPr>
          <w:rFonts w:hint="eastAsia"/>
          <w:highlight w:val="none"/>
        </w:rPr>
        <w:t>云桌面终端授权</w:t>
      </w:r>
      <w:r>
        <w:rPr>
          <w:highlight w:val="none"/>
        </w:rPr>
        <w:tab/>
      </w:r>
      <w:r>
        <w:rPr>
          <w:highlight w:val="none"/>
        </w:rPr>
        <w:fldChar w:fldCharType="begin"/>
      </w:r>
      <w:r>
        <w:rPr>
          <w:highlight w:val="none"/>
        </w:rPr>
        <w:instrText xml:space="preserve"> PAGEREF _Toc1226503094 \h </w:instrText>
      </w:r>
      <w:r>
        <w:rPr>
          <w:highlight w:val="none"/>
        </w:rPr>
        <w:fldChar w:fldCharType="separate"/>
      </w:r>
      <w:r>
        <w:rPr>
          <w:highlight w:val="none"/>
        </w:rPr>
        <w:t>- 7 -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"_Toc141973305" </w:instrText>
      </w:r>
      <w:r>
        <w:rPr>
          <w:highlight w:val="none"/>
        </w:rPr>
        <w:fldChar w:fldCharType="separate"/>
      </w:r>
      <w:r>
        <w:rPr>
          <w:rFonts w:hint="eastAsia"/>
          <w:highlight w:val="none"/>
        </w:rPr>
        <w:t>3.3 实施要求</w:t>
      </w:r>
      <w:r>
        <w:rPr>
          <w:highlight w:val="none"/>
        </w:rPr>
        <w:tab/>
      </w:r>
      <w:r>
        <w:rPr>
          <w:highlight w:val="none"/>
        </w:rPr>
        <w:fldChar w:fldCharType="begin"/>
      </w:r>
      <w:r>
        <w:rPr>
          <w:highlight w:val="none"/>
        </w:rPr>
        <w:instrText xml:space="preserve"> PAGEREF _Toc141973305 \h </w:instrText>
      </w:r>
      <w:r>
        <w:rPr>
          <w:highlight w:val="none"/>
        </w:rPr>
        <w:fldChar w:fldCharType="separate"/>
      </w:r>
      <w:r>
        <w:rPr>
          <w:highlight w:val="none"/>
        </w:rPr>
        <w:t>- 9 -</w:t>
      </w:r>
      <w:r>
        <w:rPr>
          <w:highlight w:val="none"/>
        </w:rPr>
        <w:fldChar w:fldCharType="end"/>
      </w:r>
      <w:r>
        <w:rPr>
          <w:highlight w:val="none"/>
        </w:rPr>
        <w:fldChar w:fldCharType="end"/>
      </w:r>
    </w:p>
    <w:p>
      <w:pPr>
        <w:pStyle w:val="26"/>
        <w:tabs>
          <w:tab w:val="right" w:leader="dot" w:pos="9298"/>
          <w:tab w:val="clear" w:pos="630"/>
          <w:tab w:val="clear" w:pos="9288"/>
        </w:tabs>
        <w:rPr>
          <w:highlight w:val="none"/>
        </w:rPr>
      </w:pPr>
      <w:r>
        <w:rPr>
          <w:highlight w:val="none"/>
        </w:rPr>
        <w:fldChar w:fldCharType="begin"/>
      </w:r>
      <w:r>
        <w:rPr>
          <w:highlight w:val="none"/>
        </w:rPr>
        <w:instrText xml:space="preserve"> HYPERLINK \l "_Toc291005318" </w:instrText>
      </w:r>
      <w:r>
        <w:rPr>
          <w:highlight w:val="none"/>
        </w:rPr>
        <w:fldChar w:fldCharType="separate"/>
      </w:r>
      <w:r>
        <w:rPr>
          <w:rFonts w:hint="eastAsia"/>
          <w:highlight w:val="none"/>
          <w:lang w:val="sv-SE"/>
        </w:rPr>
        <w:t xml:space="preserve">4 </w:t>
      </w:r>
      <w:r>
        <w:rPr>
          <w:rFonts w:hint="eastAsia"/>
          <w:highlight w:val="none"/>
        </w:rPr>
        <w:t>验收</w:t>
      </w:r>
      <w:r>
        <w:rPr>
          <w:highlight w:val="none"/>
        </w:rPr>
        <w:tab/>
      </w:r>
      <w:r>
        <w:rPr>
          <w:highlight w:val="none"/>
        </w:rPr>
        <w:fldChar w:fldCharType="begin"/>
      </w:r>
      <w:r>
        <w:rPr>
          <w:highlight w:val="none"/>
        </w:rPr>
        <w:instrText xml:space="preserve"> PAGEREF _Toc291005318 \h </w:instrText>
      </w:r>
      <w:r>
        <w:rPr>
          <w:highlight w:val="none"/>
        </w:rPr>
        <w:fldChar w:fldCharType="separate"/>
      </w:r>
      <w:r>
        <w:rPr>
          <w:highlight w:val="none"/>
        </w:rPr>
        <w:t>- 10 -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"_Toc1106115407" </w:instrText>
      </w:r>
      <w:r>
        <w:rPr>
          <w:highlight w:val="none"/>
        </w:rPr>
        <w:fldChar w:fldCharType="separate"/>
      </w:r>
      <w:r>
        <w:rPr>
          <w:rFonts w:hint="eastAsia"/>
          <w:highlight w:val="none"/>
        </w:rPr>
        <w:t>4.1 到货验收</w:t>
      </w:r>
      <w:r>
        <w:rPr>
          <w:highlight w:val="none"/>
        </w:rPr>
        <w:tab/>
      </w:r>
      <w:r>
        <w:rPr>
          <w:highlight w:val="none"/>
        </w:rPr>
        <w:fldChar w:fldCharType="begin"/>
      </w:r>
      <w:r>
        <w:rPr>
          <w:highlight w:val="none"/>
        </w:rPr>
        <w:instrText xml:space="preserve"> PAGEREF _Toc1106115407 \h </w:instrText>
      </w:r>
      <w:r>
        <w:rPr>
          <w:highlight w:val="none"/>
        </w:rPr>
        <w:fldChar w:fldCharType="separate"/>
      </w:r>
      <w:r>
        <w:rPr>
          <w:highlight w:val="none"/>
        </w:rPr>
        <w:t>- 10 -</w:t>
      </w:r>
      <w:r>
        <w:rPr>
          <w:highlight w:val="none"/>
        </w:rPr>
        <w:fldChar w:fldCharType="end"/>
      </w:r>
      <w:r>
        <w:rPr>
          <w:highlight w:val="none"/>
        </w:rPr>
        <w:fldChar w:fldCharType="end"/>
      </w:r>
    </w:p>
    <w:p>
      <w:pPr>
        <w:pStyle w:val="29"/>
        <w:tabs>
          <w:tab w:val="right" w:leader="dot" w:pos="9298"/>
          <w:tab w:val="clear" w:pos="1050"/>
          <w:tab w:val="clear" w:pos="9288"/>
        </w:tabs>
        <w:ind w:firstLine="210"/>
        <w:rPr>
          <w:highlight w:val="none"/>
        </w:rPr>
      </w:pPr>
      <w:r>
        <w:rPr>
          <w:highlight w:val="none"/>
        </w:rPr>
        <w:fldChar w:fldCharType="begin"/>
      </w:r>
      <w:r>
        <w:rPr>
          <w:highlight w:val="none"/>
        </w:rPr>
        <w:instrText xml:space="preserve"> HYPERLINK \l "_Toc1863197017" </w:instrText>
      </w:r>
      <w:r>
        <w:rPr>
          <w:highlight w:val="none"/>
        </w:rPr>
        <w:fldChar w:fldCharType="separate"/>
      </w:r>
      <w:r>
        <w:rPr>
          <w:rFonts w:hint="eastAsia"/>
          <w:highlight w:val="none"/>
        </w:rPr>
        <w:t>4.2 竣工验收</w:t>
      </w:r>
      <w:r>
        <w:rPr>
          <w:highlight w:val="none"/>
        </w:rPr>
        <w:tab/>
      </w:r>
      <w:r>
        <w:rPr>
          <w:highlight w:val="none"/>
        </w:rPr>
        <w:fldChar w:fldCharType="begin"/>
      </w:r>
      <w:r>
        <w:rPr>
          <w:highlight w:val="none"/>
        </w:rPr>
        <w:instrText xml:space="preserve"> PAGEREF _Toc1863197017 \h </w:instrText>
      </w:r>
      <w:r>
        <w:rPr>
          <w:highlight w:val="none"/>
        </w:rPr>
        <w:fldChar w:fldCharType="separate"/>
      </w:r>
      <w:r>
        <w:rPr>
          <w:highlight w:val="none"/>
        </w:rPr>
        <w:t>- 10 -</w:t>
      </w:r>
      <w:r>
        <w:rPr>
          <w:highlight w:val="none"/>
        </w:rPr>
        <w:fldChar w:fldCharType="end"/>
      </w:r>
      <w:r>
        <w:rPr>
          <w:highlight w:val="none"/>
        </w:rPr>
        <w:fldChar w:fldCharType="end"/>
      </w:r>
    </w:p>
    <w:p>
      <w:pPr>
        <w:pStyle w:val="26"/>
        <w:tabs>
          <w:tab w:val="right" w:leader="dot" w:pos="9298"/>
          <w:tab w:val="clear" w:pos="630"/>
          <w:tab w:val="clear" w:pos="9288"/>
        </w:tabs>
        <w:rPr>
          <w:highlight w:val="none"/>
        </w:rPr>
      </w:pPr>
      <w:r>
        <w:rPr>
          <w:highlight w:val="none"/>
        </w:rPr>
        <w:fldChar w:fldCharType="begin"/>
      </w:r>
      <w:r>
        <w:rPr>
          <w:highlight w:val="none"/>
        </w:rPr>
        <w:instrText xml:space="preserve"> HYPERLINK \l "_Toc145724165" </w:instrText>
      </w:r>
      <w:r>
        <w:rPr>
          <w:highlight w:val="none"/>
        </w:rPr>
        <w:fldChar w:fldCharType="separate"/>
      </w:r>
      <w:r>
        <w:rPr>
          <w:rFonts w:hint="eastAsia"/>
          <w:highlight w:val="none"/>
          <w:lang w:val="sv-SE"/>
        </w:rPr>
        <w:t xml:space="preserve">5 </w:t>
      </w:r>
      <w:r>
        <w:rPr>
          <w:rFonts w:hint="eastAsia"/>
          <w:highlight w:val="none"/>
        </w:rPr>
        <w:t>结算及归档</w:t>
      </w:r>
      <w:r>
        <w:rPr>
          <w:highlight w:val="none"/>
        </w:rPr>
        <w:tab/>
      </w:r>
      <w:r>
        <w:rPr>
          <w:highlight w:val="none"/>
        </w:rPr>
        <w:fldChar w:fldCharType="begin"/>
      </w:r>
      <w:r>
        <w:rPr>
          <w:highlight w:val="none"/>
        </w:rPr>
        <w:instrText xml:space="preserve"> PAGEREF _Toc145724165 \h </w:instrText>
      </w:r>
      <w:r>
        <w:rPr>
          <w:highlight w:val="none"/>
        </w:rPr>
        <w:fldChar w:fldCharType="separate"/>
      </w:r>
      <w:r>
        <w:rPr>
          <w:highlight w:val="none"/>
        </w:rPr>
        <w:t>- 10 -</w:t>
      </w:r>
      <w:r>
        <w:rPr>
          <w:highlight w:val="none"/>
        </w:rPr>
        <w:fldChar w:fldCharType="end"/>
      </w:r>
      <w:r>
        <w:rPr>
          <w:highlight w:val="none"/>
        </w:rPr>
        <w:fldChar w:fldCharType="end"/>
      </w:r>
    </w:p>
    <w:p>
      <w:pPr>
        <w:pStyle w:val="26"/>
        <w:tabs>
          <w:tab w:val="right" w:leader="dot" w:pos="9298"/>
          <w:tab w:val="clear" w:pos="630"/>
          <w:tab w:val="clear" w:pos="9288"/>
        </w:tabs>
        <w:rPr>
          <w:highlight w:val="none"/>
        </w:rPr>
      </w:pPr>
      <w:r>
        <w:rPr>
          <w:highlight w:val="none"/>
        </w:rPr>
        <w:fldChar w:fldCharType="begin"/>
      </w:r>
      <w:r>
        <w:rPr>
          <w:highlight w:val="none"/>
        </w:rPr>
        <w:instrText xml:space="preserve"> HYPERLINK \l "_Toc1054683575" </w:instrText>
      </w:r>
      <w:r>
        <w:rPr>
          <w:highlight w:val="none"/>
        </w:rPr>
        <w:fldChar w:fldCharType="separate"/>
      </w:r>
      <w:r>
        <w:rPr>
          <w:rFonts w:hint="eastAsia"/>
          <w:highlight w:val="none"/>
          <w:lang w:val="sv-SE"/>
        </w:rPr>
        <w:t xml:space="preserve">6 </w:t>
      </w:r>
      <w:r>
        <w:rPr>
          <w:rFonts w:hint="eastAsia"/>
          <w:highlight w:val="none"/>
        </w:rPr>
        <w:t>项目考核</w:t>
      </w:r>
      <w:r>
        <w:rPr>
          <w:highlight w:val="none"/>
        </w:rPr>
        <w:tab/>
      </w:r>
      <w:r>
        <w:rPr>
          <w:highlight w:val="none"/>
        </w:rPr>
        <w:fldChar w:fldCharType="begin"/>
      </w:r>
      <w:r>
        <w:rPr>
          <w:highlight w:val="none"/>
        </w:rPr>
        <w:instrText xml:space="preserve"> PAGEREF _Toc1054683575 \h </w:instrText>
      </w:r>
      <w:r>
        <w:rPr>
          <w:highlight w:val="none"/>
        </w:rPr>
        <w:fldChar w:fldCharType="separate"/>
      </w:r>
      <w:r>
        <w:rPr>
          <w:highlight w:val="none"/>
        </w:rPr>
        <w:t>- 11 -</w:t>
      </w:r>
      <w:r>
        <w:rPr>
          <w:highlight w:val="none"/>
        </w:rPr>
        <w:fldChar w:fldCharType="end"/>
      </w:r>
      <w:r>
        <w:rPr>
          <w:highlight w:val="none"/>
        </w:rPr>
        <w:fldChar w:fldCharType="end"/>
      </w:r>
    </w:p>
    <w:p>
      <w:pPr>
        <w:pStyle w:val="26"/>
        <w:tabs>
          <w:tab w:val="right" w:leader="dot" w:pos="9298"/>
          <w:tab w:val="clear" w:pos="630"/>
          <w:tab w:val="clear" w:pos="9288"/>
        </w:tabs>
        <w:rPr>
          <w:sz w:val="30"/>
          <w:highlight w:val="none"/>
        </w:rPr>
        <w:sectPr>
          <w:headerReference r:id="rId11" w:type="default"/>
          <w:footerReference r:id="rId12" w:type="default"/>
          <w:pgSz w:w="11906" w:h="16838"/>
          <w:pgMar w:top="1701" w:right="1134" w:bottom="1418" w:left="1474" w:header="851" w:footer="964" w:gutter="0"/>
          <w:pgNumType w:fmt="numberInDash" w:start="1"/>
          <w:cols w:space="425" w:num="1"/>
          <w:docGrid w:type="lines" w:linePitch="312" w:charSpace="0"/>
        </w:sectPr>
      </w:pPr>
      <w:r>
        <w:rPr>
          <w:caps w:val="0"/>
          <w:szCs w:val="24"/>
          <w:highlight w:val="none"/>
        </w:rPr>
        <w:fldChar w:fldCharType="end"/>
      </w:r>
    </w:p>
    <w:p>
      <w:pPr>
        <w:pStyle w:val="2"/>
        <w:tabs>
          <w:tab w:val="left" w:pos="0"/>
          <w:tab w:val="clear" w:pos="432"/>
        </w:tabs>
        <w:spacing w:before="156" w:after="156" w:line="600" w:lineRule="exact"/>
        <w:ind w:left="433" w:hanging="432" w:hangingChars="154"/>
        <w:rPr>
          <w:highlight w:val="none"/>
        </w:rPr>
      </w:pPr>
      <w:bookmarkStart w:id="0" w:name="_Toc6793"/>
      <w:bookmarkStart w:id="1" w:name="_Toc124406412"/>
      <w:bookmarkStart w:id="2" w:name="_Toc523850196"/>
      <w:bookmarkStart w:id="3" w:name="_Toc30598"/>
      <w:bookmarkStart w:id="4" w:name="_Toc15516"/>
      <w:bookmarkStart w:id="5" w:name="_Ref191806497"/>
      <w:bookmarkStart w:id="6" w:name="_Toc2714"/>
      <w:bookmarkStart w:id="7" w:name="_Toc560892674"/>
      <w:bookmarkStart w:id="8" w:name="_Toc407982391"/>
      <w:bookmarkStart w:id="9" w:name="_Toc411267585"/>
      <w:bookmarkStart w:id="10" w:name="_Toc407417356"/>
      <w:bookmarkStart w:id="11" w:name="_Toc407415869"/>
      <w:bookmarkStart w:id="12" w:name="_Toc411269790"/>
      <w:bookmarkStart w:id="13" w:name="_Toc411269791"/>
      <w:bookmarkStart w:id="14" w:name="_Toc407417357"/>
      <w:bookmarkStart w:id="15" w:name="_Toc411267586"/>
      <w:bookmarkStart w:id="16" w:name="_Toc407982392"/>
      <w:bookmarkStart w:id="17" w:name="_Toc407415870"/>
      <w:r>
        <w:rPr>
          <w:rFonts w:hint="eastAsia"/>
          <w:highlight w:val="none"/>
        </w:rPr>
        <w:t>总则</w:t>
      </w:r>
      <w:bookmarkEnd w:id="0"/>
      <w:bookmarkEnd w:id="1"/>
      <w:bookmarkEnd w:id="2"/>
      <w:bookmarkEnd w:id="3"/>
      <w:bookmarkEnd w:id="4"/>
      <w:bookmarkEnd w:id="5"/>
      <w:bookmarkEnd w:id="6"/>
      <w:bookmarkEnd w:id="7"/>
    </w:p>
    <w:p>
      <w:pPr>
        <w:pStyle w:val="3"/>
        <w:spacing w:before="156" w:after="156" w:line="600" w:lineRule="exact"/>
        <w:ind w:left="578" w:hanging="578"/>
        <w:rPr>
          <w:color w:val="auto"/>
          <w:highlight w:val="none"/>
        </w:rPr>
      </w:pPr>
      <w:bookmarkStart w:id="18" w:name="_Toc1617445235"/>
      <w:bookmarkStart w:id="19" w:name="_Toc14745"/>
      <w:bookmarkStart w:id="20" w:name="_Toc124406413"/>
      <w:bookmarkStart w:id="21" w:name="_Toc27229"/>
      <w:bookmarkStart w:id="22" w:name="_Toc25438"/>
      <w:bookmarkStart w:id="23" w:name="_Toc523850197"/>
      <w:bookmarkStart w:id="24" w:name="_Toc10091"/>
      <w:r>
        <w:rPr>
          <w:rFonts w:hint="eastAsia"/>
          <w:color w:val="auto"/>
          <w:highlight w:val="none"/>
        </w:rPr>
        <w:t>项目背景</w:t>
      </w:r>
      <w:bookmarkEnd w:id="18"/>
    </w:p>
    <w:p>
      <w:pPr>
        <w:ind w:firstLine="480" w:firstLineChars="200"/>
        <w:rPr>
          <w:highlight w:val="none"/>
        </w:rPr>
      </w:pPr>
      <w:r>
        <w:rPr>
          <w:highlight w:val="none"/>
        </w:rPr>
        <w:t>云桌面是云计算在办公电脑终端领域的应用，是云计算的内容之一，已成为办公电脑终端建设与改造的主要手段。</w:t>
      </w:r>
    </w:p>
    <w:p>
      <w:pPr>
        <w:ind w:firstLine="480" w:firstLineChars="200"/>
        <w:rPr>
          <w:highlight w:val="none"/>
        </w:rPr>
      </w:pPr>
      <w:r>
        <w:rPr>
          <w:highlight w:val="none"/>
        </w:rPr>
        <w:t>传统PC机由个人掌控，普遍存在着数据离散独立、维护水平高低不同、设备资产全生命周期管理、信息安全防护薄弱、软件与数据各自独享等应用弱点。以云计算为基础的云桌面技术，将用户电脑集中部署在云数据中心，通过虚拟化技术组建资源池，用户可通过瘦客户终端、PC机、iPad、笔记本电脑等终端，安全方便地接入所属电脑，实现了电脑集中管理、资源按需分配、数据安全备份、成本有效控制。</w:t>
      </w:r>
    </w:p>
    <w:p>
      <w:pPr>
        <w:ind w:firstLine="480"/>
        <w:rPr>
          <w:highlight w:val="none"/>
        </w:rPr>
      </w:pPr>
      <w:r>
        <w:rPr>
          <w:highlight w:val="none"/>
        </w:rPr>
        <w:t>海南电网公司（简称“公司”）近年来业务快速发展，在使用普通PC过程中显露出一些弊端，例如数据可靠性低，无法异地办公、移动办公，高能耗、高排放等，尤其是更换成本居高不下，另外在确保数据安全和隐私保护的前提下，也需要迫切解决文件交换问题。为解决上述问题，公司需要开展建设云桌面系统的活动</w:t>
      </w:r>
      <w:r>
        <w:rPr>
          <w:rFonts w:hint="eastAsia"/>
          <w:highlight w:val="none"/>
        </w:rPr>
        <w:t>。</w:t>
      </w:r>
    </w:p>
    <w:p>
      <w:pPr>
        <w:pStyle w:val="3"/>
        <w:spacing w:before="156" w:after="156" w:line="600" w:lineRule="exact"/>
        <w:ind w:left="578" w:hanging="578"/>
        <w:rPr>
          <w:color w:val="auto"/>
          <w:highlight w:val="none"/>
        </w:rPr>
      </w:pPr>
      <w:bookmarkStart w:id="25" w:name="_Toc1554060919"/>
      <w:r>
        <w:rPr>
          <w:rFonts w:hint="eastAsia"/>
          <w:color w:val="auto"/>
          <w:highlight w:val="none"/>
        </w:rPr>
        <w:t>项目依据</w:t>
      </w:r>
      <w:bookmarkEnd w:id="25"/>
    </w:p>
    <w:p>
      <w:pPr>
        <w:ind w:firstLine="480" w:firstLineChars="200"/>
        <w:rPr>
          <w:highlight w:val="none"/>
        </w:rPr>
      </w:pPr>
      <w:r>
        <w:rPr>
          <w:highlight w:val="none"/>
        </w:rPr>
        <w:t>项目建设应遵循国家标准、电力行业标准、工信部、南方电网公司颁布的标准（包括标准、制度、规范、管理办法）开展本项目工作，本项目所有成果应符合上述标准要求。所用的标准必须是最新版本，如果这些标准的内容有矛盾时，应按照最高标准的条款执行或按双方协商同意的标准或条款执行。相关标准包括但不限于：</w:t>
      </w:r>
    </w:p>
    <w:p>
      <w:pPr>
        <w:ind w:firstLine="480" w:firstLineChars="200"/>
        <w:rPr>
          <w:highlight w:val="none"/>
        </w:rPr>
      </w:pPr>
      <w:r>
        <w:rPr>
          <w:highlight w:val="none"/>
        </w:rPr>
        <w:t>1.《中国南方电网有限责任公司中长期发展战略》</w:t>
      </w:r>
    </w:p>
    <w:p>
      <w:pPr>
        <w:ind w:firstLine="480" w:firstLineChars="200"/>
        <w:rPr>
          <w:highlight w:val="none"/>
        </w:rPr>
      </w:pPr>
      <w:r>
        <w:rPr>
          <w:highlight w:val="none"/>
        </w:rPr>
        <w:t>2.《南方电网公司“十四五”发展规划和2035年远景目标展望》</w:t>
      </w:r>
    </w:p>
    <w:p>
      <w:pPr>
        <w:ind w:firstLine="480" w:firstLineChars="200"/>
        <w:rPr>
          <w:highlight w:val="none"/>
        </w:rPr>
      </w:pPr>
      <w:r>
        <w:rPr>
          <w:highlight w:val="none"/>
        </w:rPr>
        <w:t>3.《中国南方电网有限责任公司网络安全和数字化工作管理规定》</w:t>
      </w:r>
    </w:p>
    <w:p>
      <w:pPr>
        <w:ind w:firstLine="480" w:firstLineChars="200"/>
        <w:rPr>
          <w:highlight w:val="none"/>
        </w:rPr>
      </w:pPr>
      <w:r>
        <w:rPr>
          <w:highlight w:val="none"/>
        </w:rPr>
        <w:t>4.《中国南方电网有限责任公司信息化项目建设管理细则（QCSG2223003-2025）》</w:t>
      </w:r>
    </w:p>
    <w:p>
      <w:pPr>
        <w:ind w:firstLine="480" w:firstLineChars="200"/>
        <w:rPr>
          <w:highlight w:val="none"/>
        </w:rPr>
      </w:pPr>
      <w:r>
        <w:rPr>
          <w:highlight w:val="none"/>
        </w:rPr>
        <w:t>5.《中国南方电网有限责任公司信息化项目投资管理细则（QCSG2123002-2025）》</w:t>
      </w:r>
    </w:p>
    <w:p>
      <w:pPr>
        <w:ind w:firstLine="480" w:firstLineChars="200"/>
        <w:rPr>
          <w:highlight w:val="none"/>
        </w:rPr>
      </w:pPr>
      <w:r>
        <w:rPr>
          <w:highlight w:val="none"/>
        </w:rPr>
        <w:t>6.《中国南方电网有限责任公司信息化项目预算编制与计算方法》（2024年修订版）</w:t>
      </w:r>
    </w:p>
    <w:p>
      <w:pPr>
        <w:ind w:firstLine="480"/>
        <w:rPr>
          <w:highlight w:val="none"/>
        </w:rPr>
      </w:pPr>
      <w:r>
        <w:rPr>
          <w:highlight w:val="none"/>
        </w:rPr>
        <w:t>7.《南方电网公司网信领域自主可控应用推进实施方案（管理信息领域）》</w:t>
      </w:r>
    </w:p>
    <w:p>
      <w:pPr>
        <w:pStyle w:val="3"/>
        <w:spacing w:before="156" w:after="156" w:line="600" w:lineRule="exact"/>
        <w:ind w:left="578" w:hanging="578"/>
        <w:rPr>
          <w:color w:val="auto"/>
          <w:highlight w:val="none"/>
        </w:rPr>
      </w:pPr>
      <w:bookmarkStart w:id="26" w:name="_Toc219302436"/>
      <w:bookmarkStart w:id="27" w:name="_Toc1405750819"/>
      <w:r>
        <w:rPr>
          <w:rFonts w:hint="eastAsia"/>
          <w:color w:val="auto"/>
          <w:highlight w:val="none"/>
        </w:rPr>
        <w:t>项目目标</w:t>
      </w:r>
      <w:bookmarkEnd w:id="26"/>
      <w:bookmarkEnd w:id="27"/>
    </w:p>
    <w:p>
      <w:pPr>
        <w:ind w:firstLine="480"/>
        <w:rPr>
          <w:rFonts w:hint="eastAsia" w:ascii="Times New Roman" w:hAnsi="Times New Roman" w:eastAsia="宋体" w:cs="Times New Roman"/>
          <w:highlight w:val="none"/>
        </w:rPr>
      </w:pPr>
      <w:r>
        <w:rPr>
          <w:rFonts w:hint="eastAsia" w:ascii="Times New Roman" w:hAnsi="Times New Roman" w:eastAsia="宋体" w:cs="Times New Roman"/>
          <w:highlight w:val="none"/>
        </w:rPr>
        <w:t>通过本项目单独部署云桌面系统，并通过VPN对外提供互联网接入方式。支持互联网终端和内网终端接入云桌面，同时在满足移动办公需求的前提下，保障数据防泄漏和终端办公安全性。通过制定电脑模板的方式，打造具有针对性的标准电脑。</w:t>
      </w:r>
    </w:p>
    <w:p>
      <w:pPr>
        <w:pStyle w:val="3"/>
        <w:spacing w:before="156" w:after="156" w:line="600" w:lineRule="exact"/>
        <w:ind w:left="578" w:hanging="578"/>
        <w:rPr>
          <w:color w:val="auto"/>
          <w:highlight w:val="none"/>
        </w:rPr>
      </w:pPr>
      <w:bookmarkStart w:id="28" w:name="_Toc1986414286"/>
      <w:r>
        <w:rPr>
          <w:rFonts w:hint="eastAsia"/>
          <w:color w:val="auto"/>
          <w:highlight w:val="none"/>
        </w:rPr>
        <w:t>项目建设范围</w:t>
      </w:r>
      <w:bookmarkEnd w:id="19"/>
      <w:bookmarkEnd w:id="20"/>
      <w:bookmarkEnd w:id="21"/>
      <w:bookmarkEnd w:id="22"/>
      <w:bookmarkEnd w:id="23"/>
      <w:bookmarkEnd w:id="24"/>
      <w:bookmarkEnd w:id="28"/>
    </w:p>
    <w:p>
      <w:pPr>
        <w:ind w:firstLine="480"/>
        <w:rPr>
          <w:highlight w:val="none"/>
        </w:rPr>
      </w:pPr>
      <w:r>
        <w:rPr>
          <w:rFonts w:hint="eastAsia"/>
          <w:highlight w:val="none"/>
        </w:rPr>
        <w:t>本标段招标范围包括海南电网有限责任公司2026年南网云（经营管理节点）IaaS及PaaS采购（云桌面系统）项目。采购510台云桌面终端、510台显示器、510套键鼠套装、14套云桌面服务端虚拟化许可、520套云桌面终端授权。建设云桌面基础服务能力，开展云桌面实施，完成公司云桌面统一部署，实现云桌面虚拟机发放及按需配置，为海南电网公司及下属单位办公使用。</w:t>
      </w:r>
    </w:p>
    <w:p>
      <w:pPr>
        <w:pStyle w:val="3"/>
        <w:spacing w:before="156" w:after="156" w:line="600" w:lineRule="exact"/>
        <w:ind w:left="578" w:hanging="578"/>
        <w:rPr>
          <w:color w:val="auto"/>
          <w:highlight w:val="none"/>
        </w:rPr>
      </w:pPr>
      <w:bookmarkStart w:id="29" w:name="_Toc31122"/>
      <w:bookmarkStart w:id="30" w:name="_Toc14021"/>
      <w:bookmarkStart w:id="31" w:name="_Toc523850198"/>
      <w:bookmarkStart w:id="32" w:name="_Toc29532"/>
      <w:bookmarkStart w:id="33" w:name="_Toc3485"/>
      <w:bookmarkStart w:id="34" w:name="_Toc884128540"/>
      <w:bookmarkStart w:id="35" w:name="_Toc124406414"/>
      <w:r>
        <w:rPr>
          <w:rFonts w:hint="eastAsia"/>
          <w:color w:val="auto"/>
          <w:highlight w:val="none"/>
        </w:rPr>
        <w:t>质量保证</w:t>
      </w:r>
      <w:bookmarkEnd w:id="29"/>
      <w:bookmarkEnd w:id="30"/>
      <w:bookmarkEnd w:id="31"/>
      <w:bookmarkEnd w:id="32"/>
      <w:bookmarkEnd w:id="33"/>
      <w:bookmarkEnd w:id="34"/>
      <w:bookmarkEnd w:id="35"/>
    </w:p>
    <w:p>
      <w:pPr>
        <w:spacing w:line="600" w:lineRule="exact"/>
        <w:ind w:firstLine="480"/>
        <w:rPr>
          <w:rFonts w:hint="eastAsia" w:ascii="宋体" w:hAnsi="宋体" w:cs="宋体"/>
          <w:kern w:val="0"/>
          <w:highlight w:val="none"/>
        </w:rPr>
      </w:pPr>
      <w:r>
        <w:rPr>
          <w:rFonts w:hint="eastAsia"/>
          <w:highlight w:val="none"/>
        </w:rPr>
        <w:t>投标方应保证所提供的所有货物的功能、性能、质量均能满足本招标文件要求。</w:t>
      </w:r>
    </w:p>
    <w:p>
      <w:pPr>
        <w:pStyle w:val="3"/>
        <w:spacing w:before="156" w:after="156" w:line="600" w:lineRule="exact"/>
        <w:ind w:left="578" w:hanging="578"/>
        <w:rPr>
          <w:rFonts w:cs="Times New Roman"/>
          <w:color w:val="auto"/>
          <w:kern w:val="2"/>
          <w:sz w:val="24"/>
          <w:szCs w:val="24"/>
          <w:highlight w:val="none"/>
        </w:rPr>
      </w:pPr>
      <w:bookmarkStart w:id="36" w:name="_Toc17579"/>
      <w:bookmarkStart w:id="37" w:name="_Toc124406415"/>
      <w:bookmarkStart w:id="38" w:name="_Toc1109018187"/>
      <w:bookmarkStart w:id="39" w:name="_Toc3202"/>
      <w:bookmarkStart w:id="40" w:name="_Toc2483"/>
      <w:bookmarkStart w:id="41" w:name="_Toc4514"/>
      <w:bookmarkStart w:id="42" w:name="_Toc523850199"/>
      <w:r>
        <w:rPr>
          <w:rFonts w:hint="eastAsia"/>
          <w:color w:val="auto"/>
          <w:highlight w:val="none"/>
        </w:rPr>
        <w:t>进度保证</w:t>
      </w:r>
      <w:bookmarkEnd w:id="36"/>
      <w:bookmarkEnd w:id="37"/>
      <w:bookmarkEnd w:id="38"/>
      <w:bookmarkEnd w:id="39"/>
      <w:bookmarkEnd w:id="40"/>
      <w:bookmarkEnd w:id="41"/>
      <w:bookmarkEnd w:id="42"/>
    </w:p>
    <w:p>
      <w:pPr>
        <w:pStyle w:val="89"/>
        <w:spacing w:line="600" w:lineRule="exact"/>
        <w:rPr>
          <w:highlight w:val="none"/>
        </w:rPr>
      </w:pPr>
      <w:r>
        <w:rPr>
          <w:rFonts w:hint="eastAsia"/>
          <w:highlight w:val="none"/>
        </w:rPr>
        <w:t>投标方必须保证在签订合同后（</w:t>
      </w:r>
      <w:r>
        <w:rPr>
          <w:rFonts w:hint="eastAsia" w:ascii="宋体" w:hAnsi="宋体" w:cs="宋体"/>
          <w:highlight w:val="none"/>
        </w:rPr>
        <w:t>包括节假日</w:t>
      </w:r>
      <w:r>
        <w:rPr>
          <w:rFonts w:hint="eastAsia"/>
          <w:highlight w:val="none"/>
        </w:rPr>
        <w:t>）</w:t>
      </w:r>
      <w:r>
        <w:rPr>
          <w:rFonts w:hint="eastAsia"/>
          <w:highlight w:val="none"/>
          <w:u w:val="single"/>
        </w:rPr>
        <w:t>45天</w:t>
      </w:r>
      <w:r>
        <w:rPr>
          <w:rFonts w:hint="eastAsia"/>
          <w:highlight w:val="none"/>
        </w:rPr>
        <w:t>内到货，货到后（</w:t>
      </w:r>
      <w:r>
        <w:rPr>
          <w:rFonts w:hint="eastAsia" w:ascii="宋体" w:hAnsi="宋体" w:cs="宋体"/>
          <w:highlight w:val="none"/>
        </w:rPr>
        <w:t>包括节假日</w:t>
      </w:r>
      <w:r>
        <w:rPr>
          <w:rFonts w:hint="eastAsia"/>
          <w:highlight w:val="none"/>
        </w:rPr>
        <w:t>）</w:t>
      </w:r>
      <w:r>
        <w:rPr>
          <w:rFonts w:hint="eastAsia"/>
          <w:highlight w:val="none"/>
          <w:u w:val="single"/>
        </w:rPr>
        <w:t>30天</w:t>
      </w:r>
      <w:r>
        <w:rPr>
          <w:rFonts w:hint="eastAsia"/>
          <w:highlight w:val="none"/>
        </w:rPr>
        <w:t>内完成安装调试投入使用。</w:t>
      </w:r>
    </w:p>
    <w:p>
      <w:pPr>
        <w:pStyle w:val="2"/>
        <w:tabs>
          <w:tab w:val="left" w:pos="0"/>
          <w:tab w:val="clear" w:pos="432"/>
        </w:tabs>
        <w:spacing w:before="156" w:after="156" w:line="600" w:lineRule="exact"/>
        <w:ind w:left="433" w:hanging="432" w:hangingChars="154"/>
        <w:rPr>
          <w:highlight w:val="none"/>
        </w:rPr>
      </w:pPr>
      <w:bookmarkStart w:id="43" w:name="_Toc28601"/>
      <w:bookmarkStart w:id="44" w:name="_Toc427380950"/>
      <w:bookmarkStart w:id="45" w:name="_Toc518408400"/>
      <w:bookmarkStart w:id="46" w:name="_Toc124406418"/>
      <w:bookmarkStart w:id="47" w:name="_Toc427568145"/>
      <w:bookmarkStart w:id="48" w:name="_Toc1258096596"/>
      <w:bookmarkStart w:id="49" w:name="_Toc32487"/>
      <w:bookmarkStart w:id="50" w:name="_Toc10711"/>
      <w:bookmarkStart w:id="51" w:name="_Toc14918"/>
      <w:bookmarkStart w:id="52" w:name="_Toc523850201"/>
      <w:r>
        <w:rPr>
          <w:rFonts w:hint="eastAsia"/>
          <w:highlight w:val="none"/>
        </w:rPr>
        <w:t>对投标方的要求及其工作范围</w:t>
      </w:r>
      <w:bookmarkEnd w:id="8"/>
      <w:bookmarkEnd w:id="9"/>
      <w:bookmarkEnd w:id="10"/>
      <w:bookmarkEnd w:id="11"/>
      <w:bookmarkEnd w:id="12"/>
      <w:bookmarkEnd w:id="43"/>
      <w:bookmarkEnd w:id="44"/>
      <w:bookmarkEnd w:id="45"/>
      <w:bookmarkEnd w:id="46"/>
      <w:bookmarkEnd w:id="47"/>
      <w:bookmarkEnd w:id="48"/>
      <w:bookmarkEnd w:id="49"/>
      <w:bookmarkEnd w:id="50"/>
      <w:bookmarkEnd w:id="51"/>
      <w:bookmarkEnd w:id="52"/>
    </w:p>
    <w:bookmarkEnd w:id="13"/>
    <w:bookmarkEnd w:id="14"/>
    <w:bookmarkEnd w:id="15"/>
    <w:bookmarkEnd w:id="16"/>
    <w:bookmarkEnd w:id="17"/>
    <w:p>
      <w:pPr>
        <w:pStyle w:val="3"/>
        <w:spacing w:before="156" w:after="156" w:line="600" w:lineRule="exact"/>
        <w:ind w:left="578" w:hanging="578"/>
        <w:rPr>
          <w:color w:val="auto"/>
          <w:highlight w:val="none"/>
        </w:rPr>
      </w:pPr>
      <w:bookmarkStart w:id="53" w:name="_Toc705500610"/>
      <w:bookmarkStart w:id="54" w:name="_Toc1133"/>
      <w:bookmarkStart w:id="55" w:name="_Toc18579"/>
      <w:bookmarkStart w:id="56" w:name="_Toc8635"/>
      <w:bookmarkStart w:id="57" w:name="_Toc27633"/>
      <w:bookmarkStart w:id="58" w:name="_Toc523850202"/>
      <w:r>
        <w:rPr>
          <w:rFonts w:hint="eastAsia"/>
          <w:color w:val="auto"/>
          <w:highlight w:val="none"/>
        </w:rPr>
        <w:t>对投标方的技术要求</w:t>
      </w:r>
      <w:bookmarkEnd w:id="53"/>
      <w:bookmarkEnd w:id="54"/>
      <w:bookmarkEnd w:id="55"/>
      <w:bookmarkEnd w:id="56"/>
      <w:bookmarkEnd w:id="57"/>
      <w:bookmarkEnd w:id="58"/>
    </w:p>
    <w:p>
      <w:pPr>
        <w:pStyle w:val="87"/>
        <w:numPr>
          <w:ilvl w:val="0"/>
          <w:numId w:val="4"/>
        </w:numPr>
        <w:spacing w:line="600" w:lineRule="exact"/>
        <w:ind w:left="0" w:firstLine="426"/>
        <w:rPr>
          <w:highlight w:val="none"/>
        </w:rPr>
      </w:pPr>
      <w:r>
        <w:rPr>
          <w:rFonts w:hint="eastAsia"/>
          <w:highlight w:val="none"/>
        </w:rPr>
        <w:t>所提供的产品必须在国内运行的良好记录。</w:t>
      </w:r>
    </w:p>
    <w:p>
      <w:pPr>
        <w:pStyle w:val="87"/>
        <w:numPr>
          <w:ilvl w:val="0"/>
          <w:numId w:val="4"/>
        </w:numPr>
        <w:spacing w:line="600" w:lineRule="exact"/>
        <w:ind w:left="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除非从招标方那里获得许可的标准代替。如果引用某不合适的标准或者未引用某合适的标准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numPr>
          <w:ilvl w:val="0"/>
          <w:numId w:val="4"/>
        </w:numPr>
        <w:spacing w:line="600" w:lineRule="exact"/>
        <w:ind w:left="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numPr>
          <w:ilvl w:val="0"/>
          <w:numId w:val="4"/>
        </w:numPr>
        <w:spacing w:line="600" w:lineRule="exact"/>
        <w:ind w:left="0" w:firstLine="426"/>
        <w:rPr>
          <w:highlight w:val="none"/>
        </w:rPr>
      </w:pPr>
      <w:r>
        <w:rPr>
          <w:rFonts w:hint="eastAsia"/>
          <w:highlight w:val="none"/>
        </w:rPr>
        <w:t>本技术规范书可以作为投标方编制投标文件的依据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应在投标文件中提出说明</w:t>
      </w:r>
      <w:r>
        <w:rPr>
          <w:highlight w:val="none"/>
        </w:rPr>
        <w:t>，</w:t>
      </w:r>
      <w:r>
        <w:rPr>
          <w:rFonts w:hint="eastAsia"/>
          <w:highlight w:val="none"/>
        </w:rPr>
        <w:t>否则，招标方即认为投标方提供的产品可以满足本技术规范书的要求。</w:t>
      </w:r>
    </w:p>
    <w:p>
      <w:pPr>
        <w:pStyle w:val="87"/>
        <w:numPr>
          <w:ilvl w:val="0"/>
          <w:numId w:val="4"/>
        </w:numPr>
        <w:spacing w:line="600" w:lineRule="exact"/>
        <w:ind w:left="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numPr>
          <w:ilvl w:val="0"/>
          <w:numId w:val="4"/>
        </w:numPr>
        <w:spacing w:line="600" w:lineRule="exact"/>
        <w:ind w:left="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numPr>
          <w:ilvl w:val="0"/>
          <w:numId w:val="4"/>
        </w:numPr>
        <w:spacing w:line="600" w:lineRule="exact"/>
        <w:ind w:left="0" w:firstLine="426"/>
        <w:rPr>
          <w:highlight w:val="none"/>
        </w:rPr>
      </w:pPr>
      <w:r>
        <w:rPr>
          <w:rFonts w:hint="eastAsia"/>
          <w:highlight w:val="none"/>
        </w:rPr>
        <w:t>投标方必须推荐先进、稳定、可靠的产品，并保证在三年内不停产。</w:t>
      </w:r>
    </w:p>
    <w:p>
      <w:pPr>
        <w:pStyle w:val="3"/>
        <w:spacing w:before="156" w:after="156" w:line="600" w:lineRule="exact"/>
        <w:ind w:left="578" w:hanging="578"/>
        <w:rPr>
          <w:color w:val="auto"/>
          <w:highlight w:val="none"/>
        </w:rPr>
      </w:pPr>
      <w:bookmarkStart w:id="59" w:name="_Toc18500"/>
      <w:bookmarkStart w:id="60" w:name="_Toc17906"/>
      <w:bookmarkStart w:id="61" w:name="_Toc523850203"/>
      <w:bookmarkStart w:id="62" w:name="_Toc1091537183"/>
      <w:bookmarkStart w:id="63" w:name="_Toc7965"/>
      <w:bookmarkStart w:id="64" w:name="_Toc7611"/>
      <w:r>
        <w:rPr>
          <w:rFonts w:hint="eastAsia"/>
          <w:color w:val="auto"/>
          <w:highlight w:val="none"/>
        </w:rPr>
        <w:t>投标方的工作范围</w:t>
      </w:r>
      <w:bookmarkEnd w:id="59"/>
      <w:bookmarkEnd w:id="60"/>
      <w:bookmarkEnd w:id="61"/>
      <w:bookmarkEnd w:id="62"/>
      <w:bookmarkEnd w:id="63"/>
      <w:bookmarkEnd w:id="64"/>
    </w:p>
    <w:p>
      <w:pPr>
        <w:pStyle w:val="87"/>
        <w:numPr>
          <w:ilvl w:val="0"/>
          <w:numId w:val="5"/>
        </w:numPr>
        <w:spacing w:line="600" w:lineRule="exact"/>
        <w:ind w:left="0" w:firstLine="425"/>
        <w:rPr>
          <w:highlight w:val="none"/>
        </w:rPr>
      </w:pPr>
      <w:r>
        <w:rPr>
          <w:rFonts w:hint="eastAsia"/>
          <w:highlight w:val="none"/>
        </w:rPr>
        <w:t>投标方必须积极配合招标方提出的配置调整要求（无次数限制），保证项目顺利实施。</w:t>
      </w:r>
    </w:p>
    <w:p>
      <w:pPr>
        <w:pStyle w:val="87"/>
        <w:numPr>
          <w:ilvl w:val="0"/>
          <w:numId w:val="5"/>
        </w:numPr>
        <w:spacing w:line="600" w:lineRule="exact"/>
        <w:ind w:left="0" w:firstLine="425"/>
        <w:rPr>
          <w:highlight w:val="none"/>
        </w:rPr>
      </w:pPr>
      <w:r>
        <w:rPr>
          <w:rFonts w:hint="eastAsia"/>
          <w:highlight w:val="none"/>
        </w:rPr>
        <w:t>投标方负责所供产品的运货、提货、交货，运送到招标方指定地点，并保证产品质量。</w:t>
      </w:r>
    </w:p>
    <w:p>
      <w:pPr>
        <w:pStyle w:val="87"/>
        <w:numPr>
          <w:ilvl w:val="0"/>
          <w:numId w:val="5"/>
        </w:numPr>
        <w:spacing w:line="600" w:lineRule="exact"/>
        <w:ind w:left="0" w:firstLine="425"/>
        <w:rPr>
          <w:highlight w:val="none"/>
        </w:rPr>
      </w:pPr>
      <w:r>
        <w:rPr>
          <w:rFonts w:hint="eastAsia"/>
          <w:highlight w:val="none"/>
        </w:rPr>
        <w:t>交货地点要求：按招标方指定的地点交货。</w:t>
      </w:r>
    </w:p>
    <w:p>
      <w:pPr>
        <w:pStyle w:val="87"/>
        <w:numPr>
          <w:ilvl w:val="0"/>
          <w:numId w:val="5"/>
        </w:numPr>
        <w:spacing w:line="600" w:lineRule="exact"/>
        <w:ind w:left="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numPr>
          <w:ilvl w:val="0"/>
          <w:numId w:val="5"/>
        </w:numPr>
        <w:spacing w:line="600" w:lineRule="exact"/>
        <w:ind w:left="0" w:firstLine="425"/>
        <w:rPr>
          <w:highlight w:val="none"/>
        </w:rPr>
      </w:pPr>
      <w:r>
        <w:rPr>
          <w:rFonts w:hint="eastAsia"/>
          <w:highlight w:val="none"/>
        </w:rPr>
        <w:t>投标方所提供的产品均满足投标文件中应答的技术指标。</w:t>
      </w:r>
    </w:p>
    <w:p>
      <w:pPr>
        <w:pStyle w:val="87"/>
        <w:numPr>
          <w:ilvl w:val="0"/>
          <w:numId w:val="5"/>
        </w:numPr>
        <w:spacing w:line="600" w:lineRule="exact"/>
        <w:ind w:left="0" w:firstLine="425"/>
        <w:rPr>
          <w:highlight w:val="none"/>
        </w:rPr>
      </w:pPr>
      <w:r>
        <w:rPr>
          <w:rFonts w:hint="eastAsia"/>
          <w:highlight w:val="none"/>
        </w:rPr>
        <w:t>在招标方要求的前提下，投标方安排有关工程技术联络会等技术服务。</w:t>
      </w:r>
    </w:p>
    <w:p>
      <w:pPr>
        <w:pStyle w:val="87"/>
        <w:numPr>
          <w:ilvl w:val="0"/>
          <w:numId w:val="5"/>
        </w:numPr>
        <w:spacing w:line="600" w:lineRule="exact"/>
        <w:ind w:left="0" w:firstLine="425"/>
        <w:rPr>
          <w:highlight w:val="none"/>
        </w:rPr>
      </w:pPr>
      <w:r>
        <w:rPr>
          <w:rFonts w:hint="eastAsia"/>
          <w:highlight w:val="none"/>
        </w:rPr>
        <w:t>投标方提供与其他厂商的施工配合。</w:t>
      </w:r>
    </w:p>
    <w:p>
      <w:pPr>
        <w:pStyle w:val="87"/>
        <w:numPr>
          <w:ilvl w:val="0"/>
          <w:numId w:val="5"/>
        </w:numPr>
        <w:spacing w:line="600" w:lineRule="exact"/>
        <w:ind w:left="0" w:firstLine="425"/>
        <w:rPr>
          <w:highlight w:val="none"/>
        </w:rPr>
      </w:pPr>
      <w:r>
        <w:rPr>
          <w:rFonts w:hint="eastAsia"/>
          <w:highlight w:val="none"/>
        </w:rPr>
        <w:t>投标方应为招标方培训专业维护运行人员。</w:t>
      </w:r>
    </w:p>
    <w:p>
      <w:pPr>
        <w:pStyle w:val="3"/>
        <w:tabs>
          <w:tab w:val="left" w:pos="0"/>
          <w:tab w:val="clear" w:pos="576"/>
        </w:tabs>
        <w:spacing w:beforeLines="0" w:afterLines="0" w:line="600" w:lineRule="exact"/>
        <w:ind w:left="0"/>
        <w:rPr>
          <w:color w:val="auto"/>
          <w:highlight w:val="none"/>
        </w:rPr>
      </w:pPr>
      <w:bookmarkStart w:id="65" w:name="_Toc411267588"/>
      <w:bookmarkStart w:id="66" w:name="_Toc124406421"/>
      <w:bookmarkStart w:id="67" w:name="_Toc407417359"/>
      <w:bookmarkStart w:id="68" w:name="_Toc240049345"/>
      <w:bookmarkStart w:id="69" w:name="_Toc407982394"/>
      <w:bookmarkStart w:id="70" w:name="_Toc427568148"/>
      <w:bookmarkStart w:id="71" w:name="_Toc518408403"/>
      <w:bookmarkStart w:id="72" w:name="_Toc22344"/>
      <w:bookmarkStart w:id="73" w:name="_Toc6850"/>
      <w:bookmarkStart w:id="74" w:name="_Toc23076"/>
      <w:bookmarkStart w:id="75" w:name="_Toc1660122007"/>
      <w:bookmarkStart w:id="76" w:name="_Toc411269793"/>
      <w:bookmarkStart w:id="77" w:name="_Toc16188"/>
      <w:bookmarkStart w:id="78" w:name="_Toc407415872"/>
      <w:bookmarkStart w:id="79" w:name="_Toc427380953"/>
      <w:bookmarkStart w:id="80" w:name="_Toc523850205"/>
      <w:bookmarkStart w:id="81" w:name="_Toc407982395"/>
      <w:bookmarkStart w:id="82" w:name="_Toc407415873"/>
      <w:bookmarkStart w:id="83" w:name="_Toc407417360"/>
      <w:r>
        <w:rPr>
          <w:rFonts w:hint="eastAsia"/>
          <w:color w:val="auto"/>
          <w:highlight w:val="none"/>
        </w:rPr>
        <w:t>产品报价范围</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89"/>
        <w:spacing w:line="600" w:lineRule="exact"/>
        <w:rPr>
          <w:highlight w:val="none"/>
        </w:rPr>
      </w:pPr>
      <w:r>
        <w:rPr>
          <w:rFonts w:hint="eastAsia"/>
          <w:highlight w:val="none"/>
        </w:rPr>
        <w:t>投标方报价中必须包括：</w:t>
      </w:r>
    </w:p>
    <w:p>
      <w:pPr>
        <w:pStyle w:val="89"/>
        <w:numPr>
          <w:ilvl w:val="0"/>
          <w:numId w:val="6"/>
        </w:numPr>
        <w:spacing w:line="600" w:lineRule="exact"/>
        <w:ind w:left="0" w:firstLine="480" w:firstLineChars="0"/>
        <w:rPr>
          <w:highlight w:val="none"/>
        </w:rPr>
      </w:pPr>
      <w:r>
        <w:rPr>
          <w:rFonts w:hint="eastAsia"/>
          <w:highlight w:val="none"/>
        </w:rPr>
        <w:t>所供设备运达指定地点的运输费、卸车费包含在设备价格中；</w:t>
      </w:r>
    </w:p>
    <w:p>
      <w:pPr>
        <w:pStyle w:val="89"/>
        <w:numPr>
          <w:ilvl w:val="0"/>
          <w:numId w:val="6"/>
        </w:numPr>
        <w:spacing w:line="600" w:lineRule="exact"/>
        <w:ind w:left="0" w:firstLine="480" w:firstLineChars="0"/>
        <w:rPr>
          <w:highlight w:val="none"/>
        </w:rPr>
      </w:pPr>
      <w:r>
        <w:rPr>
          <w:rFonts w:hint="eastAsia"/>
          <w:highlight w:val="none"/>
        </w:rPr>
        <w:t>设备的安装材料费用包含在设备价格中；</w:t>
      </w:r>
    </w:p>
    <w:p>
      <w:pPr>
        <w:pStyle w:val="89"/>
        <w:numPr>
          <w:ilvl w:val="0"/>
          <w:numId w:val="6"/>
        </w:numPr>
        <w:spacing w:line="600" w:lineRule="exact"/>
        <w:ind w:left="0" w:firstLine="480" w:firstLineChars="0"/>
        <w:rPr>
          <w:highlight w:val="none"/>
        </w:rPr>
      </w:pPr>
      <w:r>
        <w:rPr>
          <w:rFonts w:hint="eastAsia"/>
          <w:highlight w:val="none"/>
        </w:rPr>
        <w:t>设备保修费用包含在设备价格中；</w:t>
      </w:r>
    </w:p>
    <w:bookmarkEnd w:id="81"/>
    <w:bookmarkEnd w:id="82"/>
    <w:bookmarkEnd w:id="83"/>
    <w:p>
      <w:pPr>
        <w:pStyle w:val="3"/>
        <w:tabs>
          <w:tab w:val="left" w:pos="0"/>
          <w:tab w:val="left" w:pos="756"/>
          <w:tab w:val="clear" w:pos="576"/>
        </w:tabs>
        <w:spacing w:beforeLines="0" w:afterLines="0" w:line="600" w:lineRule="exact"/>
        <w:ind w:left="0"/>
        <w:rPr>
          <w:color w:val="auto"/>
          <w:highlight w:val="none"/>
        </w:rPr>
      </w:pPr>
      <w:bookmarkStart w:id="84" w:name="_Toc11454"/>
      <w:bookmarkStart w:id="85" w:name="_Toc261789486"/>
      <w:bookmarkStart w:id="86" w:name="_Toc25655"/>
      <w:bookmarkStart w:id="87" w:name="_Toc349634215"/>
      <w:bookmarkStart w:id="88" w:name="_Toc1563029825"/>
      <w:bookmarkStart w:id="89" w:name="_Toc261789821"/>
      <w:bookmarkStart w:id="90" w:name="_Toc124406423"/>
      <w:bookmarkStart w:id="91" w:name="_Toc6985"/>
      <w:bookmarkStart w:id="92" w:name="_Toc523850206"/>
      <w:bookmarkStart w:id="93" w:name="_Toc243912812"/>
      <w:bookmarkStart w:id="94" w:name="_Toc20478"/>
      <w:bookmarkStart w:id="95" w:name="_Toc124406433"/>
      <w:r>
        <w:rPr>
          <w:rFonts w:hint="eastAsia"/>
          <w:color w:val="auto"/>
          <w:highlight w:val="none"/>
        </w:rPr>
        <w:t>技术服务</w:t>
      </w:r>
      <w:bookmarkEnd w:id="84"/>
      <w:bookmarkEnd w:id="85"/>
      <w:bookmarkEnd w:id="86"/>
      <w:bookmarkEnd w:id="87"/>
      <w:bookmarkEnd w:id="88"/>
      <w:bookmarkEnd w:id="89"/>
      <w:bookmarkEnd w:id="90"/>
      <w:bookmarkEnd w:id="91"/>
      <w:bookmarkEnd w:id="92"/>
      <w:bookmarkEnd w:id="93"/>
      <w:bookmarkEnd w:id="94"/>
    </w:p>
    <w:p>
      <w:pPr>
        <w:pStyle w:val="4"/>
        <w:numPr>
          <w:ilvl w:val="2"/>
          <w:numId w:val="0"/>
        </w:numPr>
        <w:spacing w:line="600" w:lineRule="exact"/>
        <w:ind w:left="720" w:hanging="720"/>
        <w:rPr>
          <w:highlight w:val="none"/>
        </w:rPr>
      </w:pPr>
      <w:bookmarkStart w:id="96" w:name="_Toc124406424"/>
      <w:bookmarkStart w:id="97" w:name="_Toc411267590"/>
      <w:bookmarkStart w:id="98" w:name="_Toc32116"/>
      <w:bookmarkStart w:id="99" w:name="_Toc261789822"/>
      <w:bookmarkStart w:id="100" w:name="_Toc349634216"/>
      <w:bookmarkStart w:id="101" w:name="_Toc1822298671"/>
      <w:bookmarkStart w:id="102" w:name="_Toc427380959"/>
      <w:bookmarkStart w:id="103" w:name="_Toc411269795"/>
      <w:bookmarkStart w:id="104" w:name="_Toc523850207"/>
      <w:bookmarkStart w:id="105" w:name="_Toc427568154"/>
      <w:bookmarkStart w:id="106" w:name="_Toc22134"/>
      <w:bookmarkStart w:id="107" w:name="_Toc243912813"/>
      <w:bookmarkStart w:id="108" w:name="_Toc31636"/>
      <w:bookmarkStart w:id="109" w:name="_Toc518408406"/>
      <w:bookmarkStart w:id="110" w:name="_Toc1783"/>
      <w:bookmarkStart w:id="111" w:name="_Toc261789487"/>
      <w:r>
        <w:rPr>
          <w:rFonts w:hint="eastAsia"/>
          <w:highlight w:val="none"/>
          <w:lang w:val="en-US"/>
        </w:rPr>
        <w:t xml:space="preserve">2.4.1 </w:t>
      </w:r>
      <w:r>
        <w:rPr>
          <w:rFonts w:hint="eastAsia"/>
          <w:highlight w:val="none"/>
        </w:rPr>
        <w:t>技术服务内容</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89"/>
        <w:spacing w:line="600" w:lineRule="exact"/>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112" w:name="_Toc411267591"/>
      <w:bookmarkStart w:id="113" w:name="_Toc243912814"/>
      <w:bookmarkStart w:id="114" w:name="_Toc411269796"/>
      <w:bookmarkStart w:id="115" w:name="_Toc427380960"/>
      <w:bookmarkStart w:id="116" w:name="_Toc523850208"/>
      <w:bookmarkStart w:id="117" w:name="_Toc349634217"/>
      <w:bookmarkStart w:id="118" w:name="_Toc261789488"/>
      <w:bookmarkStart w:id="119" w:name="_Toc518408407"/>
      <w:bookmarkStart w:id="120" w:name="_Toc17471"/>
      <w:bookmarkStart w:id="121" w:name="_Toc261789823"/>
      <w:bookmarkStart w:id="122" w:name="_Toc427568155"/>
      <w:bookmarkStart w:id="123" w:name="_Toc124406425"/>
      <w:bookmarkStart w:id="124" w:name="_Toc6331"/>
      <w:r>
        <w:rPr>
          <w:rFonts w:hint="eastAsia"/>
          <w:highlight w:val="none"/>
          <w:u w:val="single"/>
        </w:rPr>
        <w:t>产品供货及安装调试。</w:t>
      </w:r>
    </w:p>
    <w:p>
      <w:pPr>
        <w:pStyle w:val="87"/>
        <w:numPr>
          <w:ilvl w:val="0"/>
          <w:numId w:val="7"/>
        </w:numPr>
        <w:spacing w:line="600" w:lineRule="exact"/>
        <w:ind w:left="0" w:firstLine="426"/>
        <w:rPr>
          <w:highlight w:val="none"/>
          <w:u w:val="single"/>
        </w:rPr>
      </w:pPr>
      <w:r>
        <w:rPr>
          <w:rFonts w:hint="eastAsia"/>
          <w:highlight w:val="none"/>
          <w:u w:val="single"/>
        </w:rPr>
        <w:t>保修和维护。</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4"/>
        <w:numPr>
          <w:ilvl w:val="2"/>
          <w:numId w:val="0"/>
        </w:numPr>
        <w:spacing w:line="600" w:lineRule="exact"/>
        <w:ind w:left="720" w:hanging="720"/>
        <w:rPr>
          <w:highlight w:val="none"/>
        </w:rPr>
      </w:pPr>
      <w:bookmarkStart w:id="125" w:name="_Toc2109473630"/>
      <w:bookmarkStart w:id="126" w:name="_Toc18559"/>
      <w:bookmarkStart w:id="127" w:name="_Toc6912"/>
      <w:r>
        <w:rPr>
          <w:rFonts w:hint="eastAsia"/>
          <w:highlight w:val="none"/>
          <w:lang w:val="en-US"/>
        </w:rPr>
        <w:t xml:space="preserve">2.4.2 </w:t>
      </w:r>
      <w:r>
        <w:rPr>
          <w:rFonts w:hint="eastAsia"/>
          <w:highlight w:val="none"/>
        </w:rPr>
        <w:t>技术服务要求</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pStyle w:val="5"/>
        <w:numPr>
          <w:ilvl w:val="3"/>
          <w:numId w:val="0"/>
        </w:numPr>
        <w:tabs>
          <w:tab w:val="clear" w:pos="864"/>
        </w:tabs>
        <w:spacing w:line="600" w:lineRule="exact"/>
        <w:ind w:firstLine="480" w:firstLineChars="200"/>
        <w:rPr>
          <w:highlight w:val="none"/>
        </w:rPr>
      </w:pPr>
      <w:bookmarkStart w:id="128" w:name="_Toc518408408"/>
      <w:bookmarkStart w:id="129" w:name="_Ref191806438"/>
      <w:bookmarkStart w:id="130" w:name="_Ref191806434"/>
      <w:bookmarkStart w:id="131" w:name="_Ref191806485"/>
      <w:bookmarkStart w:id="132" w:name="_Ref191806455"/>
      <w:bookmarkStart w:id="133" w:name="_Ref191806475"/>
      <w:bookmarkStart w:id="134" w:name="_Ref191806505"/>
      <w:bookmarkStart w:id="135" w:name="_Ref191806390"/>
      <w:bookmarkStart w:id="136" w:name="_Toc124406426"/>
      <w:bookmarkStart w:id="137" w:name="_Ref191806386"/>
      <w:r>
        <w:rPr>
          <w:rFonts w:hint="eastAsia"/>
          <w:highlight w:val="none"/>
          <w:lang w:val="en-US"/>
        </w:rPr>
        <w:t>2.4.2.1</w:t>
      </w:r>
      <w:r>
        <w:rPr>
          <w:rFonts w:hint="eastAsia"/>
          <w:highlight w:val="none"/>
        </w:rPr>
        <w:t>产品供货、安装</w:t>
      </w:r>
      <w:bookmarkEnd w:id="128"/>
      <w:r>
        <w:rPr>
          <w:rFonts w:hint="eastAsia"/>
          <w:highlight w:val="none"/>
        </w:rPr>
        <w:t>调试及施工配合</w:t>
      </w:r>
      <w:bookmarkEnd w:id="129"/>
      <w:bookmarkEnd w:id="130"/>
      <w:bookmarkEnd w:id="131"/>
      <w:bookmarkEnd w:id="132"/>
      <w:bookmarkEnd w:id="133"/>
      <w:bookmarkEnd w:id="134"/>
      <w:bookmarkEnd w:id="135"/>
      <w:bookmarkEnd w:id="136"/>
      <w:bookmarkEnd w:id="137"/>
      <w:r>
        <w:rPr>
          <w:rFonts w:hint="eastAsia"/>
          <w:highlight w:val="none"/>
        </w:rPr>
        <w:t>要求</w:t>
      </w:r>
    </w:p>
    <w:p>
      <w:pPr>
        <w:pStyle w:val="87"/>
        <w:numPr>
          <w:ilvl w:val="0"/>
          <w:numId w:val="8"/>
        </w:numPr>
        <w:spacing w:line="600" w:lineRule="exact"/>
        <w:ind w:left="0" w:firstLine="426"/>
        <w:rPr>
          <w:highlight w:val="none"/>
        </w:rPr>
      </w:pPr>
      <w:r>
        <w:rPr>
          <w:rFonts w:hint="eastAsia"/>
          <w:highlight w:val="none"/>
        </w:rPr>
        <w:t>投标方提供产品均为合同限定的公司和国家所制造。</w:t>
      </w:r>
    </w:p>
    <w:p>
      <w:pPr>
        <w:pStyle w:val="87"/>
        <w:numPr>
          <w:ilvl w:val="0"/>
          <w:numId w:val="8"/>
        </w:numPr>
        <w:spacing w:line="600" w:lineRule="exact"/>
        <w:ind w:left="0" w:firstLine="426"/>
        <w:rPr>
          <w:highlight w:val="none"/>
        </w:rPr>
      </w:pPr>
      <w:r>
        <w:rPr>
          <w:rFonts w:hint="eastAsia"/>
          <w:highlight w:val="none"/>
        </w:rPr>
        <w:t>投标方应提出产品的部署、调试相对时间表。</w:t>
      </w:r>
    </w:p>
    <w:p>
      <w:pPr>
        <w:pStyle w:val="87"/>
        <w:numPr>
          <w:ilvl w:val="0"/>
          <w:numId w:val="8"/>
        </w:numPr>
        <w:spacing w:line="600" w:lineRule="exact"/>
        <w:ind w:left="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numPr>
          <w:ilvl w:val="0"/>
          <w:numId w:val="8"/>
        </w:numPr>
        <w:spacing w:line="600" w:lineRule="exact"/>
        <w:ind w:left="0" w:firstLine="426"/>
        <w:rPr>
          <w:highlight w:val="none"/>
        </w:rPr>
      </w:pPr>
      <w:r>
        <w:rPr>
          <w:rFonts w:hint="eastAsia"/>
          <w:highlight w:val="none"/>
        </w:rPr>
        <w:t>除招标方另作规定，投标方必须负责一切与安装有关的实地工作和服务。</w:t>
      </w:r>
    </w:p>
    <w:p>
      <w:pPr>
        <w:pStyle w:val="87"/>
        <w:numPr>
          <w:ilvl w:val="0"/>
          <w:numId w:val="8"/>
        </w:numPr>
        <w:spacing w:line="600" w:lineRule="exact"/>
        <w:ind w:left="0" w:firstLine="426"/>
        <w:rPr>
          <w:highlight w:val="none"/>
        </w:rPr>
      </w:pPr>
      <w:r>
        <w:rPr>
          <w:rFonts w:hint="eastAsia"/>
          <w:highlight w:val="none"/>
        </w:rPr>
        <w:t>如果因为投标方产品或软件存在技术问题而延误供货期，投标方应负责由此产生的一切后果，并进行经济赔偿。</w:t>
      </w:r>
    </w:p>
    <w:p>
      <w:pPr>
        <w:pStyle w:val="5"/>
        <w:numPr>
          <w:ilvl w:val="3"/>
          <w:numId w:val="0"/>
        </w:numPr>
        <w:tabs>
          <w:tab w:val="clear" w:pos="864"/>
        </w:tabs>
        <w:spacing w:line="600" w:lineRule="exact"/>
        <w:ind w:firstLine="480" w:firstLineChars="200"/>
        <w:rPr>
          <w:highlight w:val="none"/>
          <w:lang w:val="en-US"/>
        </w:rPr>
      </w:pPr>
      <w:bookmarkStart w:id="138" w:name="_Toc518408413"/>
      <w:bookmarkStart w:id="139" w:name="_Toc516297795"/>
      <w:bookmarkStart w:id="140" w:name="_Toc124406430"/>
      <w:r>
        <w:rPr>
          <w:rFonts w:hint="eastAsia"/>
          <w:highlight w:val="none"/>
          <w:lang w:val="en-US"/>
        </w:rPr>
        <w:t>2.4.2.2产品维护</w:t>
      </w:r>
      <w:bookmarkEnd w:id="138"/>
      <w:bookmarkEnd w:id="139"/>
      <w:bookmarkEnd w:id="140"/>
      <w:r>
        <w:rPr>
          <w:rFonts w:hint="eastAsia"/>
          <w:highlight w:val="none"/>
          <w:lang w:val="en-US"/>
        </w:rPr>
        <w:t>要求</w:t>
      </w:r>
    </w:p>
    <w:p>
      <w:pPr>
        <w:pStyle w:val="89"/>
        <w:spacing w:line="600" w:lineRule="exact"/>
        <w:rPr>
          <w:highlight w:val="none"/>
        </w:rPr>
      </w:pPr>
      <w:r>
        <w:rPr>
          <w:rFonts w:hint="eastAsia"/>
          <w:highlight w:val="none"/>
        </w:rPr>
        <w:t>自招标方向投标方订购产品安装部署之日起，投标方应向招标方提供包括热线技术指导、现场故障排除、故障产品维修等各种用户技术服务。依照产品所发生问题的严重性，由投标方提供如下维护工作：</w:t>
      </w:r>
    </w:p>
    <w:p>
      <w:pPr>
        <w:pStyle w:val="89"/>
        <w:numPr>
          <w:ilvl w:val="0"/>
          <w:numId w:val="9"/>
        </w:numPr>
        <w:spacing w:line="600" w:lineRule="exact"/>
        <w:ind w:left="0" w:firstLine="431" w:firstLineChars="0"/>
        <w:rPr>
          <w:highlight w:val="none"/>
        </w:rPr>
      </w:pPr>
      <w:r>
        <w:rPr>
          <w:rFonts w:hint="eastAsia"/>
          <w:highlight w:val="none"/>
        </w:rPr>
        <w:t>保证为招标方提供 “常年保修、维护、保养”服务。</w:t>
      </w:r>
    </w:p>
    <w:p>
      <w:pPr>
        <w:pStyle w:val="89"/>
        <w:numPr>
          <w:ilvl w:val="0"/>
          <w:numId w:val="9"/>
        </w:numPr>
        <w:spacing w:line="600" w:lineRule="exact"/>
        <w:ind w:left="0" w:firstLine="431" w:firstLineChars="0"/>
        <w:rPr>
          <w:highlight w:val="none"/>
        </w:rPr>
      </w:pPr>
      <w:r>
        <w:rPr>
          <w:rFonts w:hint="eastAsia"/>
          <w:highlight w:val="none"/>
        </w:rPr>
        <w:t>保证开通7*24小时的热线服务电话随时解答用户的问题，保持和投标方有关技术人员定期和不定期的密切联络。</w:t>
      </w:r>
    </w:p>
    <w:p>
      <w:pPr>
        <w:pStyle w:val="89"/>
        <w:numPr>
          <w:ilvl w:val="0"/>
          <w:numId w:val="9"/>
        </w:numPr>
        <w:spacing w:line="600" w:lineRule="exact"/>
        <w:ind w:left="0" w:firstLine="431" w:firstLineChars="0"/>
        <w:rPr>
          <w:highlight w:val="none"/>
        </w:rPr>
      </w:pPr>
      <w:r>
        <w:rPr>
          <w:rFonts w:hint="eastAsia"/>
          <w:highlight w:val="none"/>
        </w:rPr>
        <w:t>在出现问题并初步判断为投标方产品故障时，投标方接到招标方通知后，投标方应能通过远程诊断、电话技术咨询或现场服务，尽快排除故障。</w:t>
      </w:r>
    </w:p>
    <w:p>
      <w:pPr>
        <w:pStyle w:val="89"/>
        <w:numPr>
          <w:ilvl w:val="0"/>
          <w:numId w:val="9"/>
        </w:numPr>
        <w:spacing w:line="600" w:lineRule="exact"/>
        <w:ind w:left="0" w:firstLine="431" w:firstLineChars="0"/>
        <w:rPr>
          <w:highlight w:val="none"/>
        </w:rPr>
      </w:pPr>
      <w:r>
        <w:rPr>
          <w:rFonts w:hint="eastAsia"/>
          <w:highlight w:val="none"/>
        </w:rPr>
        <w:t>因投标方产品及实施问题或服务响应不及时给最终用户造成的损失，应由投标方按双方制定的标准对最终用户进行赔偿。</w:t>
      </w:r>
    </w:p>
    <w:p>
      <w:pPr>
        <w:pStyle w:val="5"/>
        <w:numPr>
          <w:ilvl w:val="3"/>
          <w:numId w:val="0"/>
        </w:numPr>
        <w:tabs>
          <w:tab w:val="clear" w:pos="864"/>
        </w:tabs>
        <w:spacing w:line="600" w:lineRule="exact"/>
        <w:ind w:firstLine="480" w:firstLineChars="200"/>
        <w:rPr>
          <w:highlight w:val="none"/>
          <w:lang w:val="en-US"/>
        </w:rPr>
      </w:pPr>
      <w:bookmarkStart w:id="141" w:name="_Toc518408412"/>
      <w:bookmarkStart w:id="142" w:name="_Toc124406429"/>
      <w:bookmarkStart w:id="143" w:name="_Toc516297794"/>
      <w:r>
        <w:rPr>
          <w:rFonts w:hint="eastAsia"/>
          <w:highlight w:val="none"/>
          <w:lang w:val="en-US"/>
        </w:rPr>
        <w:t>2.4.2.3产品质保</w:t>
      </w:r>
      <w:bookmarkEnd w:id="141"/>
      <w:bookmarkEnd w:id="142"/>
      <w:bookmarkEnd w:id="143"/>
      <w:r>
        <w:rPr>
          <w:rFonts w:hint="eastAsia"/>
          <w:highlight w:val="none"/>
          <w:lang w:val="en-US"/>
        </w:rPr>
        <w:t>要求</w:t>
      </w:r>
    </w:p>
    <w:p>
      <w:pPr>
        <w:pStyle w:val="89"/>
        <w:numPr>
          <w:ilvl w:val="0"/>
          <w:numId w:val="10"/>
        </w:numPr>
        <w:spacing w:line="600" w:lineRule="exact"/>
        <w:ind w:left="0" w:firstLine="431" w:firstLineChars="0"/>
        <w:rPr>
          <w:highlight w:val="none"/>
        </w:rPr>
      </w:pPr>
      <w:r>
        <w:rPr>
          <w:rFonts w:hint="eastAsia"/>
          <w:highlight w:val="none"/>
        </w:rPr>
        <w:t>对于所供产品，从竣工验收完成开始，提供包括</w:t>
      </w:r>
      <w:r>
        <w:rPr>
          <w:highlight w:val="none"/>
        </w:rPr>
        <w:t>5</w:t>
      </w:r>
      <w:r>
        <w:rPr>
          <w:rFonts w:hint="eastAsia"/>
          <w:highlight w:val="none"/>
        </w:rPr>
        <w:t>年免费原厂质保期，7*24小时产品维护服务（售后服务热线，随时回答招标方在产品使用过程中的问题；30分钟内响应用户维修和维护要求，需要现场支持的2小时内到达现场）。</w:t>
      </w:r>
    </w:p>
    <w:p>
      <w:pPr>
        <w:pStyle w:val="89"/>
        <w:numPr>
          <w:ilvl w:val="0"/>
          <w:numId w:val="10"/>
        </w:numPr>
        <w:spacing w:line="600" w:lineRule="exact"/>
        <w:ind w:left="0" w:firstLine="431" w:firstLineChars="0"/>
        <w:rPr>
          <w:highlight w:val="none"/>
        </w:rPr>
      </w:pPr>
      <w:r>
        <w:rPr>
          <w:rFonts w:hint="eastAsia"/>
          <w:highlight w:val="none"/>
        </w:rPr>
        <w:t>质保期内为产品提供免费的软件版本升级服务。</w:t>
      </w:r>
    </w:p>
    <w:p>
      <w:pPr>
        <w:pStyle w:val="89"/>
        <w:numPr>
          <w:ilvl w:val="0"/>
          <w:numId w:val="10"/>
        </w:numPr>
        <w:spacing w:line="600" w:lineRule="exact"/>
        <w:ind w:left="0" w:firstLine="431" w:firstLineChars="0"/>
        <w:rPr>
          <w:highlight w:val="none"/>
        </w:rPr>
      </w:pPr>
      <w:r>
        <w:rPr>
          <w:rFonts w:hint="eastAsia"/>
          <w:highlight w:val="none"/>
        </w:rPr>
        <w:t>质保期内为产品提供损坏或缺陷部件的免费更换服务。</w:t>
      </w:r>
    </w:p>
    <w:p>
      <w:pPr>
        <w:pStyle w:val="89"/>
        <w:numPr>
          <w:ilvl w:val="0"/>
          <w:numId w:val="10"/>
        </w:numPr>
        <w:ind w:left="0" w:firstLine="480"/>
        <w:rPr>
          <w:highlight w:val="none"/>
        </w:rPr>
      </w:pPr>
      <w:r>
        <w:rPr>
          <w:rFonts w:hint="eastAsia"/>
          <w:highlight w:val="none"/>
        </w:rPr>
        <w:t>为最终用户提供紧急的支援服务等。</w:t>
      </w:r>
    </w:p>
    <w:p>
      <w:pPr>
        <w:pStyle w:val="2"/>
        <w:tabs>
          <w:tab w:val="left" w:pos="-240"/>
          <w:tab w:val="clear" w:pos="432"/>
        </w:tabs>
        <w:spacing w:before="156" w:after="156" w:line="600" w:lineRule="exact"/>
        <w:ind w:left="-2" w:hanging="2"/>
        <w:rPr>
          <w:highlight w:val="none"/>
        </w:rPr>
      </w:pPr>
      <w:bookmarkStart w:id="144" w:name="_Toc27011"/>
      <w:bookmarkStart w:id="145" w:name="_Toc31833"/>
      <w:bookmarkStart w:id="146" w:name="_Toc523850210"/>
      <w:bookmarkStart w:id="147" w:name="_Toc1115771087"/>
      <w:bookmarkStart w:id="148" w:name="_Toc3518"/>
      <w:bookmarkStart w:id="149" w:name="_Toc2563"/>
      <w:r>
        <w:rPr>
          <w:rFonts w:hint="eastAsia"/>
          <w:highlight w:val="none"/>
        </w:rPr>
        <w:t>技术指标要求</w:t>
      </w:r>
      <w:bookmarkEnd w:id="95"/>
      <w:bookmarkEnd w:id="144"/>
      <w:bookmarkEnd w:id="145"/>
      <w:bookmarkEnd w:id="146"/>
      <w:bookmarkEnd w:id="147"/>
      <w:bookmarkEnd w:id="148"/>
      <w:bookmarkEnd w:id="149"/>
    </w:p>
    <w:p>
      <w:pPr>
        <w:pStyle w:val="3"/>
        <w:spacing w:before="156" w:after="156" w:line="600" w:lineRule="exact"/>
        <w:ind w:left="578" w:hanging="578"/>
        <w:rPr>
          <w:color w:val="auto"/>
          <w:highlight w:val="none"/>
        </w:rPr>
      </w:pPr>
      <w:bookmarkStart w:id="150" w:name="_Toc26359"/>
      <w:bookmarkStart w:id="151" w:name="_Toc27287"/>
      <w:bookmarkStart w:id="152" w:name="_Toc2606"/>
      <w:bookmarkStart w:id="153" w:name="_Toc937453605"/>
      <w:bookmarkStart w:id="154" w:name="_Toc27850"/>
      <w:bookmarkStart w:id="155" w:name="_Toc523850211"/>
      <w:r>
        <w:rPr>
          <w:rFonts w:hint="eastAsia"/>
          <w:color w:val="auto"/>
          <w:highlight w:val="none"/>
        </w:rPr>
        <w:t>基本要求</w:t>
      </w:r>
      <w:bookmarkEnd w:id="150"/>
      <w:bookmarkEnd w:id="151"/>
      <w:bookmarkEnd w:id="152"/>
      <w:bookmarkEnd w:id="153"/>
      <w:bookmarkEnd w:id="154"/>
      <w:bookmarkEnd w:id="155"/>
    </w:p>
    <w:p>
      <w:pPr>
        <w:pStyle w:val="89"/>
        <w:numPr>
          <w:ilvl w:val="0"/>
          <w:numId w:val="11"/>
        </w:numPr>
        <w:spacing w:line="600" w:lineRule="exact"/>
        <w:ind w:left="0" w:firstLine="431" w:firstLineChars="0"/>
        <w:rPr>
          <w:highlight w:val="none"/>
        </w:rPr>
      </w:pPr>
      <w:r>
        <w:rPr>
          <w:rFonts w:hint="eastAsia"/>
          <w:highlight w:val="none"/>
        </w:rPr>
        <w:t>本技术参数要求是招标方最低技术参数要求，投标方所投产品不得低于本技术参数要求。</w:t>
      </w:r>
    </w:p>
    <w:p>
      <w:pPr>
        <w:pStyle w:val="89"/>
        <w:numPr>
          <w:ilvl w:val="0"/>
          <w:numId w:val="11"/>
        </w:numPr>
        <w:spacing w:line="600" w:lineRule="exact"/>
        <w:ind w:left="0" w:firstLine="431" w:firstLineChars="0"/>
        <w:rPr>
          <w:highlight w:val="none"/>
        </w:rPr>
      </w:pPr>
      <w:r>
        <w:rPr>
          <w:rFonts w:hint="eastAsia"/>
          <w:highlight w:val="none"/>
        </w:rPr>
        <w:t>投标方必须根据本技术规范书的编排顺序，逐项逐条地给予明确的答复，并给出具体数值。</w:t>
      </w:r>
    </w:p>
    <w:p>
      <w:pPr>
        <w:pStyle w:val="89"/>
        <w:numPr>
          <w:ilvl w:val="0"/>
          <w:numId w:val="11"/>
        </w:numPr>
        <w:spacing w:line="600" w:lineRule="exact"/>
        <w:ind w:left="0" w:firstLine="431" w:firstLineChars="0"/>
        <w:rPr>
          <w:highlight w:val="none"/>
        </w:rPr>
      </w:pPr>
      <w:r>
        <w:rPr>
          <w:rFonts w:hint="eastAsia"/>
          <w:highlight w:val="none"/>
        </w:rPr>
        <w:t>投标方应出具相关证明文件，并盖公司章确认。</w:t>
      </w:r>
    </w:p>
    <w:p>
      <w:pPr>
        <w:pStyle w:val="3"/>
        <w:spacing w:beforeLines="0" w:afterLines="0" w:line="600" w:lineRule="exact"/>
        <w:ind w:left="578" w:hanging="578"/>
        <w:rPr>
          <w:color w:val="auto"/>
          <w:highlight w:val="none"/>
        </w:rPr>
      </w:pPr>
      <w:bookmarkStart w:id="156" w:name="_Toc4841"/>
      <w:bookmarkStart w:id="157" w:name="_Toc124406438"/>
      <w:bookmarkStart w:id="158" w:name="_Toc1288"/>
      <w:bookmarkStart w:id="159" w:name="_Toc523850212"/>
      <w:bookmarkStart w:id="160" w:name="_Toc1842704843"/>
      <w:bookmarkStart w:id="161" w:name="_Toc16309"/>
      <w:bookmarkStart w:id="162" w:name="_Toc3312"/>
      <w:r>
        <w:rPr>
          <w:rFonts w:hint="eastAsia"/>
          <w:color w:val="auto"/>
          <w:highlight w:val="none"/>
        </w:rPr>
        <w:t>主要技术要求</w:t>
      </w:r>
      <w:bookmarkEnd w:id="156"/>
      <w:bookmarkEnd w:id="157"/>
      <w:bookmarkEnd w:id="158"/>
      <w:bookmarkEnd w:id="159"/>
      <w:r>
        <w:rPr>
          <w:rFonts w:hint="eastAsia"/>
          <w:color w:val="auto"/>
          <w:highlight w:val="none"/>
        </w:rPr>
        <w:t>及性能指标</w:t>
      </w:r>
      <w:bookmarkEnd w:id="160"/>
      <w:bookmarkEnd w:id="161"/>
      <w:bookmarkEnd w:id="162"/>
    </w:p>
    <w:p>
      <w:pPr>
        <w:pStyle w:val="4"/>
        <w:numPr>
          <w:ilvl w:val="2"/>
          <w:numId w:val="12"/>
        </w:numPr>
        <w:rPr>
          <w:highlight w:val="none"/>
        </w:rPr>
      </w:pPr>
      <w:bookmarkStart w:id="163" w:name="_Toc1478622914"/>
      <w:r>
        <w:rPr>
          <w:rFonts w:hint="eastAsia"/>
          <w:highlight w:val="none"/>
        </w:rPr>
        <w:t>云桌面终端</w:t>
      </w:r>
      <w:bookmarkEnd w:id="163"/>
    </w:p>
    <w:p>
      <w:pPr>
        <w:numPr>
          <w:ilvl w:val="0"/>
          <w:numId w:val="13"/>
        </w:numPr>
        <w:ind w:firstLineChars="0"/>
        <w:rPr>
          <w:highlight w:val="none"/>
        </w:rPr>
      </w:pPr>
      <w:r>
        <w:rPr>
          <w:highlight w:val="none"/>
        </w:rPr>
        <w:t>CPU：自主可控，</w:t>
      </w:r>
      <w:r>
        <w:rPr>
          <w:rFonts w:hint="eastAsia" w:ascii="宋体" w:hAnsi="宋体" w:cs="仿宋"/>
          <w:kern w:val="0"/>
          <w:sz w:val="21"/>
          <w:szCs w:val="21"/>
          <w:highlight w:val="none"/>
        </w:rPr>
        <w:t>CPU核数≥4核，</w:t>
      </w:r>
      <w:r>
        <w:rPr>
          <w:highlight w:val="none"/>
        </w:rPr>
        <w:t>主频≥1.8Ghz</w:t>
      </w:r>
      <w:r>
        <w:rPr>
          <w:rFonts w:hint="eastAsia"/>
          <w:highlight w:val="none"/>
        </w:rPr>
        <w:t>；</w:t>
      </w:r>
    </w:p>
    <w:p>
      <w:pPr>
        <w:numPr>
          <w:ilvl w:val="0"/>
          <w:numId w:val="13"/>
        </w:numPr>
        <w:ind w:firstLineChars="0"/>
        <w:rPr>
          <w:highlight w:val="none"/>
        </w:rPr>
      </w:pPr>
      <w:r>
        <w:rPr>
          <w:highlight w:val="none"/>
        </w:rPr>
        <w:t>内存≥2G；</w:t>
      </w:r>
    </w:p>
    <w:p>
      <w:pPr>
        <w:numPr>
          <w:ilvl w:val="0"/>
          <w:numId w:val="13"/>
        </w:numPr>
        <w:ind w:firstLineChars="0"/>
        <w:rPr>
          <w:highlight w:val="none"/>
        </w:rPr>
      </w:pPr>
      <w:r>
        <w:rPr>
          <w:highlight w:val="none"/>
        </w:rPr>
        <w:t>硬盘存储≥8G</w:t>
      </w:r>
      <w:r>
        <w:rPr>
          <w:rFonts w:hint="eastAsia"/>
          <w:highlight w:val="none"/>
        </w:rPr>
        <w:t>，接口</w:t>
      </w:r>
      <w:r>
        <w:rPr>
          <w:highlight w:val="none"/>
        </w:rPr>
        <w:t>≥</w:t>
      </w:r>
      <w:r>
        <w:rPr>
          <w:rFonts w:hint="eastAsia"/>
          <w:highlight w:val="none"/>
        </w:rPr>
        <w:t>1千兆电口，接口类型</w:t>
      </w:r>
      <w:r>
        <w:rPr>
          <w:highlight w:val="none"/>
        </w:rPr>
        <w:t>≥</w:t>
      </w:r>
      <w:r>
        <w:rPr>
          <w:rFonts w:hint="eastAsia"/>
          <w:highlight w:val="none"/>
          <w:lang w:val="en-US" w:eastAsia="zh-CN"/>
        </w:rPr>
        <w:t>1</w:t>
      </w:r>
      <w:r>
        <w:rPr>
          <w:rFonts w:hint="eastAsia"/>
          <w:highlight w:val="none"/>
        </w:rPr>
        <w:t>*HDMI+1*VGA，USB</w:t>
      </w:r>
      <w:r>
        <w:rPr>
          <w:highlight w:val="none"/>
        </w:rPr>
        <w:t>≥</w:t>
      </w:r>
      <w:r>
        <w:rPr>
          <w:rFonts w:hint="eastAsia"/>
          <w:highlight w:val="none"/>
        </w:rPr>
        <w:t>6个。</w:t>
      </w:r>
    </w:p>
    <w:p>
      <w:pPr>
        <w:numPr>
          <w:ilvl w:val="0"/>
          <w:numId w:val="13"/>
        </w:numPr>
        <w:ind w:firstLineChars="0"/>
        <w:rPr>
          <w:highlight w:val="none"/>
        </w:rPr>
      </w:pPr>
      <w:r>
        <w:rPr>
          <w:rFonts w:hint="eastAsia"/>
          <w:highlight w:val="none"/>
        </w:rPr>
        <w:t>采用嵌入式操作系统，设备本身不消耗操作系统授权。</w:t>
      </w:r>
    </w:p>
    <w:p>
      <w:pPr>
        <w:numPr>
          <w:ilvl w:val="0"/>
          <w:numId w:val="13"/>
        </w:numPr>
        <w:ind w:firstLineChars="0"/>
        <w:rPr>
          <w:highlight w:val="none"/>
        </w:rPr>
      </w:pPr>
      <w:r>
        <w:rPr>
          <w:rFonts w:hint="eastAsia"/>
          <w:highlight w:val="none"/>
        </w:rPr>
        <w:t>为了方便管理，管理方式为虚拟机和云桌面终端统一管理，降低管理难度。</w:t>
      </w:r>
    </w:p>
    <w:p>
      <w:pPr>
        <w:numPr>
          <w:ilvl w:val="0"/>
          <w:numId w:val="13"/>
        </w:numPr>
        <w:ind w:firstLineChars="0"/>
        <w:rPr>
          <w:highlight w:val="none"/>
        </w:rPr>
      </w:pPr>
      <w:r>
        <w:rPr>
          <w:rFonts w:hint="eastAsia"/>
          <w:highlight w:val="none"/>
        </w:rPr>
        <w:t>在云桌面终端的管理方面，需支持分组管理、批量移动、删除、关闭瘦终端，支持配置定时开关机计划及加电自启动功能，支持自定义开机画面、配置自动登录和保存密码。（提供功能截图及第三方检测报告证明）</w:t>
      </w:r>
    </w:p>
    <w:p>
      <w:pPr>
        <w:numPr>
          <w:ilvl w:val="0"/>
          <w:numId w:val="13"/>
        </w:numPr>
        <w:ind w:firstLineChars="0"/>
        <w:rPr>
          <w:highlight w:val="none"/>
        </w:rPr>
      </w:pPr>
      <w:r>
        <w:rPr>
          <w:rFonts w:hint="eastAsia"/>
          <w:highlight w:val="none"/>
        </w:rPr>
        <w:t>考虑到接入安全，可限制未接入过环境的云桌面终端的接入或者接入桌面环境需要输入密码。</w:t>
      </w:r>
    </w:p>
    <w:p>
      <w:pPr>
        <w:pStyle w:val="4"/>
        <w:numPr>
          <w:ilvl w:val="2"/>
          <w:numId w:val="12"/>
        </w:numPr>
        <w:rPr>
          <w:highlight w:val="none"/>
        </w:rPr>
      </w:pPr>
      <w:bookmarkStart w:id="164" w:name="_Toc534552514"/>
      <w:r>
        <w:rPr>
          <w:rFonts w:hint="eastAsia"/>
          <w:highlight w:val="none"/>
        </w:rPr>
        <w:t>显示器</w:t>
      </w:r>
      <w:bookmarkEnd w:id="164"/>
    </w:p>
    <w:p>
      <w:pPr>
        <w:numPr>
          <w:ilvl w:val="0"/>
          <w:numId w:val="14"/>
        </w:numPr>
        <w:ind w:firstLineChars="0"/>
        <w:rPr>
          <w:rFonts w:hint="eastAsia" w:hAnsi="宋体" w:cs="宋体"/>
          <w:color w:val="000000"/>
          <w:kern w:val="0"/>
          <w:highlight w:val="none"/>
        </w:rPr>
      </w:pPr>
      <w:r>
        <w:rPr>
          <w:rFonts w:hAnsi="宋体" w:cs="宋体"/>
          <w:color w:val="000000"/>
          <w:kern w:val="0"/>
          <w:highlight w:val="none"/>
        </w:rPr>
        <w:t>屏幕</w:t>
      </w:r>
      <w:r>
        <w:rPr>
          <w:rFonts w:hint="eastAsia" w:hAnsi="宋体" w:cs="宋体"/>
          <w:color w:val="000000"/>
          <w:kern w:val="0"/>
          <w:highlight w:val="none"/>
        </w:rPr>
        <w:t>尺寸</w:t>
      </w:r>
      <w:r>
        <w:rPr>
          <w:rFonts w:hAnsi="宋体" w:cs="宋体"/>
          <w:color w:val="000000"/>
          <w:kern w:val="0"/>
          <w:highlight w:val="none"/>
        </w:rPr>
        <w:t>≥24寸</w:t>
      </w:r>
      <w:r>
        <w:rPr>
          <w:rFonts w:hint="eastAsia" w:hAnsi="宋体" w:cs="宋体"/>
          <w:color w:val="000000"/>
          <w:kern w:val="0"/>
          <w:highlight w:val="none"/>
        </w:rPr>
        <w:t>；</w:t>
      </w:r>
    </w:p>
    <w:p>
      <w:pPr>
        <w:numPr>
          <w:ilvl w:val="0"/>
          <w:numId w:val="14"/>
        </w:numPr>
        <w:ind w:firstLineChars="0"/>
        <w:rPr>
          <w:rFonts w:hint="eastAsia" w:hAnsi="宋体" w:cs="宋体"/>
          <w:color w:val="000000"/>
          <w:kern w:val="0"/>
          <w:highlight w:val="none"/>
        </w:rPr>
      </w:pPr>
      <w:r>
        <w:rPr>
          <w:rFonts w:hint="eastAsia" w:hAnsi="宋体" w:cs="宋体"/>
          <w:color w:val="000000"/>
          <w:kern w:val="0"/>
          <w:highlight w:val="none"/>
        </w:rPr>
        <w:t>分辨率≥</w:t>
      </w:r>
      <w:r>
        <w:rPr>
          <w:rFonts w:hAnsi="宋体" w:cs="宋体"/>
          <w:color w:val="000000"/>
          <w:kern w:val="0"/>
          <w:highlight w:val="none"/>
        </w:rPr>
        <w:t>1920x1080@60Hz (D-SUB)</w:t>
      </w:r>
      <w:r>
        <w:rPr>
          <w:rFonts w:hint="eastAsia" w:hAnsi="宋体" w:cs="宋体"/>
          <w:color w:val="000000"/>
          <w:kern w:val="0"/>
          <w:highlight w:val="none"/>
        </w:rPr>
        <w:t>/</w:t>
      </w:r>
      <w:r>
        <w:rPr>
          <w:rFonts w:hAnsi="宋体" w:cs="宋体"/>
          <w:color w:val="000000"/>
          <w:kern w:val="0"/>
          <w:highlight w:val="none"/>
        </w:rPr>
        <w:t>1920x1080@75Hz (HDMI)</w:t>
      </w:r>
      <w:r>
        <w:rPr>
          <w:rFonts w:hint="eastAsia" w:hAnsi="宋体" w:cs="宋体"/>
          <w:color w:val="000000"/>
          <w:kern w:val="0"/>
          <w:highlight w:val="none"/>
        </w:rPr>
        <w:t>。</w:t>
      </w:r>
    </w:p>
    <w:p>
      <w:pPr>
        <w:numPr>
          <w:ilvl w:val="0"/>
          <w:numId w:val="14"/>
        </w:numPr>
        <w:ind w:firstLineChars="0"/>
        <w:rPr>
          <w:rFonts w:ascii="Times New Roman" w:hAnsi="宋体" w:cs="宋体"/>
          <w:color w:val="000000"/>
          <w:kern w:val="0"/>
          <w:sz w:val="24"/>
          <w:szCs w:val="24"/>
          <w:highlight w:val="none"/>
        </w:rPr>
      </w:pPr>
      <w:r>
        <w:rPr>
          <w:rFonts w:hint="eastAsia" w:hAnsi="宋体" w:cs="宋体"/>
          <w:color w:val="000000"/>
          <w:kern w:val="0"/>
          <w:highlight w:val="none"/>
        </w:rPr>
        <w:t>亮度值≥</w:t>
      </w:r>
      <w:r>
        <w:rPr>
          <w:rFonts w:hAnsi="宋体" w:cs="宋体"/>
          <w:color w:val="000000"/>
          <w:kern w:val="0"/>
          <w:highlight w:val="none"/>
        </w:rPr>
        <w:t>250 cd/m²</w:t>
      </w:r>
    </w:p>
    <w:p>
      <w:pPr>
        <w:numPr>
          <w:ilvl w:val="0"/>
          <w:numId w:val="14"/>
        </w:numPr>
        <w:ind w:firstLineChars="0"/>
        <w:rPr>
          <w:rFonts w:ascii="Times New Roman" w:hAnsi="宋体" w:cs="宋体"/>
          <w:color w:val="000000"/>
          <w:kern w:val="0"/>
          <w:sz w:val="24"/>
          <w:szCs w:val="24"/>
          <w:highlight w:val="none"/>
        </w:rPr>
      </w:pPr>
      <w:r>
        <w:rPr>
          <w:rFonts w:hint="eastAsia" w:hAnsi="宋体" w:cs="宋体"/>
          <w:color w:val="000000"/>
          <w:kern w:val="0"/>
          <w:highlight w:val="none"/>
        </w:rPr>
        <w:t>采用VA面板技术，点距</w:t>
      </w:r>
      <w:r>
        <w:rPr>
          <w:rFonts w:hAnsi="宋体" w:cs="宋体"/>
          <w:color w:val="000000"/>
          <w:kern w:val="0"/>
          <w:highlight w:val="none"/>
        </w:rPr>
        <w:t>0.2745(H)x0.2745(V)mm</w:t>
      </w:r>
    </w:p>
    <w:p>
      <w:pPr>
        <w:numPr>
          <w:ilvl w:val="0"/>
          <w:numId w:val="14"/>
        </w:numPr>
        <w:ind w:firstLineChars="0"/>
        <w:rPr>
          <w:rFonts w:hAnsi="宋体" w:cs="宋体"/>
          <w:color w:val="000000"/>
          <w:kern w:val="0"/>
          <w:highlight w:val="none"/>
        </w:rPr>
      </w:pPr>
      <w:r>
        <w:rPr>
          <w:rFonts w:hAnsi="宋体" w:cs="宋体"/>
          <w:color w:val="000000"/>
          <w:kern w:val="0"/>
          <w:highlight w:val="none"/>
        </w:rPr>
        <w:t>画面尺寸≥</w:t>
      </w:r>
      <w:r>
        <w:rPr>
          <w:rFonts w:hint="eastAsia" w:hAnsi="宋体" w:cs="宋体"/>
          <w:color w:val="000000"/>
          <w:kern w:val="0"/>
          <w:highlight w:val="none"/>
        </w:rPr>
        <w:t>527.04(H)x296.46(V)mm</w:t>
      </w:r>
    </w:p>
    <w:p>
      <w:pPr>
        <w:numPr>
          <w:ilvl w:val="0"/>
          <w:numId w:val="14"/>
        </w:numPr>
        <w:ind w:firstLineChars="0"/>
        <w:rPr>
          <w:rFonts w:hint="eastAsia" w:hAnsi="宋体" w:cs="宋体"/>
          <w:color w:val="000000"/>
          <w:kern w:val="0"/>
          <w:highlight w:val="none"/>
        </w:rPr>
      </w:pPr>
      <w:r>
        <w:rPr>
          <w:rFonts w:hint="eastAsia" w:hAnsi="宋体" w:cs="宋体"/>
          <w:color w:val="000000"/>
          <w:kern w:val="0"/>
          <w:highlight w:val="none"/>
        </w:rPr>
        <w:t>响应时间(典型值)≤4ms GtG</w:t>
      </w:r>
    </w:p>
    <w:p>
      <w:pPr>
        <w:pStyle w:val="4"/>
        <w:numPr>
          <w:ilvl w:val="2"/>
          <w:numId w:val="12"/>
        </w:numPr>
        <w:rPr>
          <w:highlight w:val="none"/>
        </w:rPr>
      </w:pPr>
      <w:bookmarkStart w:id="165" w:name="_Toc1300007397"/>
      <w:r>
        <w:rPr>
          <w:rFonts w:hint="eastAsia"/>
          <w:highlight w:val="none"/>
        </w:rPr>
        <w:t>键鼠套装</w:t>
      </w:r>
      <w:bookmarkEnd w:id="165"/>
    </w:p>
    <w:p>
      <w:pPr>
        <w:ind w:firstLine="480"/>
        <w:rPr>
          <w:rFonts w:hint="eastAsia"/>
          <w:lang w:val="sv-SE"/>
        </w:rPr>
      </w:pPr>
      <w:r>
        <w:rPr>
          <w:rFonts w:hint="eastAsia"/>
          <w:lang w:val="sv-SE"/>
        </w:rPr>
        <w:t>键盘</w:t>
      </w:r>
    </w:p>
    <w:p>
      <w:pPr>
        <w:numPr>
          <w:ilvl w:val="0"/>
          <w:numId w:val="15"/>
        </w:numPr>
        <w:ind w:firstLineChars="0"/>
        <w:rPr>
          <w:rFonts w:hint="eastAsia" w:hAnsi="宋体" w:cs="宋体"/>
          <w:color w:val="000000"/>
          <w:kern w:val="0"/>
        </w:rPr>
      </w:pPr>
      <w:r>
        <w:rPr>
          <w:rFonts w:hAnsi="宋体" w:cs="宋体"/>
          <w:color w:val="000000"/>
          <w:kern w:val="0"/>
        </w:rPr>
        <w:t>USB接口</w:t>
      </w:r>
      <w:r>
        <w:rPr>
          <w:rFonts w:hint="eastAsia" w:hAnsi="宋体" w:cs="宋体"/>
          <w:color w:val="000000"/>
          <w:kern w:val="0"/>
        </w:rPr>
        <w:t>蓝牙无线</w:t>
      </w:r>
      <w:r>
        <w:rPr>
          <w:rFonts w:hAnsi="宋体" w:cs="宋体"/>
          <w:color w:val="000000"/>
          <w:kern w:val="0"/>
        </w:rPr>
        <w:t>键鼠套装</w:t>
      </w:r>
      <w:r>
        <w:rPr>
          <w:rFonts w:hint="eastAsia" w:hAnsi="宋体" w:cs="宋体"/>
          <w:color w:val="000000"/>
          <w:kern w:val="0"/>
        </w:rPr>
        <w:t>。</w:t>
      </w:r>
    </w:p>
    <w:p>
      <w:pPr>
        <w:numPr>
          <w:ilvl w:val="0"/>
          <w:numId w:val="15"/>
        </w:numPr>
        <w:ind w:firstLineChars="0"/>
        <w:rPr>
          <w:rFonts w:hint="eastAsia" w:hAnsi="宋体" w:cs="宋体"/>
          <w:color w:val="000000"/>
          <w:kern w:val="0"/>
        </w:rPr>
      </w:pPr>
      <w:r>
        <w:rPr>
          <w:rFonts w:hint="eastAsia" w:hAnsi="宋体" w:cs="宋体"/>
          <w:color w:val="000000"/>
          <w:kern w:val="0"/>
        </w:rPr>
        <w:t>按键寿命≥10</w:t>
      </w:r>
      <w:r>
        <w:rPr>
          <w:rFonts w:hAnsi="宋体" w:cs="宋体"/>
          <w:color w:val="000000"/>
          <w:kern w:val="0"/>
        </w:rPr>
        <w:t>00 万次</w:t>
      </w:r>
    </w:p>
    <w:p>
      <w:pPr>
        <w:numPr>
          <w:ilvl w:val="0"/>
          <w:numId w:val="15"/>
        </w:numPr>
        <w:ind w:firstLineChars="0"/>
        <w:rPr>
          <w:rFonts w:hAnsi="宋体" w:cs="宋体"/>
          <w:color w:val="000000"/>
          <w:kern w:val="0"/>
        </w:rPr>
      </w:pPr>
      <w:r>
        <w:rPr>
          <w:rFonts w:hint="eastAsia" w:hAnsi="宋体" w:cs="宋体"/>
          <w:color w:val="000000"/>
          <w:kern w:val="0"/>
        </w:rPr>
        <w:t>采用</w:t>
      </w:r>
      <w:r>
        <w:rPr>
          <w:rFonts w:hAnsi="宋体" w:cs="宋体"/>
          <w:color w:val="000000"/>
          <w:kern w:val="0"/>
        </w:rPr>
        <w:t>防泼溅设计</w:t>
      </w:r>
    </w:p>
    <w:p>
      <w:pPr>
        <w:numPr>
          <w:ilvl w:val="0"/>
          <w:numId w:val="15"/>
        </w:numPr>
        <w:ind w:firstLineChars="0"/>
        <w:rPr>
          <w:rFonts w:hAnsi="宋体" w:cs="宋体"/>
          <w:color w:val="000000"/>
          <w:kern w:val="0"/>
        </w:rPr>
      </w:pPr>
      <w:r>
        <w:rPr>
          <w:rFonts w:hint="eastAsia" w:hAnsi="宋体" w:cs="宋体"/>
          <w:color w:val="000000"/>
          <w:kern w:val="0"/>
        </w:rPr>
        <w:t>质量≤</w:t>
      </w:r>
      <w:r>
        <w:rPr>
          <w:rFonts w:hAnsi="宋体" w:cs="宋体"/>
          <w:color w:val="000000"/>
          <w:kern w:val="0"/>
        </w:rPr>
        <w:t>380 g（含电池）</w:t>
      </w:r>
    </w:p>
    <w:p>
      <w:pPr>
        <w:ind w:left="420" w:firstLine="0" w:firstLineChars="0"/>
        <w:rPr>
          <w:rFonts w:hint="eastAsia" w:hAnsi="宋体" w:cs="宋体"/>
          <w:color w:val="000000"/>
          <w:kern w:val="0"/>
        </w:rPr>
      </w:pPr>
      <w:r>
        <w:rPr>
          <w:rFonts w:hint="eastAsia" w:hAnsi="宋体" w:cs="宋体"/>
          <w:color w:val="000000"/>
          <w:kern w:val="0"/>
        </w:rPr>
        <w:t>鼠标</w:t>
      </w:r>
    </w:p>
    <w:p>
      <w:pPr>
        <w:numPr>
          <w:ilvl w:val="0"/>
          <w:numId w:val="16"/>
        </w:numPr>
        <w:ind w:firstLineChars="0"/>
        <w:rPr>
          <w:rFonts w:hint="eastAsia" w:hAnsi="宋体" w:cs="宋体"/>
          <w:color w:val="000000"/>
          <w:kern w:val="0"/>
        </w:rPr>
      </w:pPr>
      <w:r>
        <w:rPr>
          <w:rFonts w:hint="eastAsia" w:hAnsi="宋体" w:cs="宋体"/>
          <w:color w:val="000000"/>
          <w:kern w:val="0"/>
        </w:rPr>
        <w:t>传感器技术：流畅的光学追踪≥</w:t>
      </w:r>
      <w:r>
        <w:rPr>
          <w:rFonts w:hAnsi="宋体" w:cs="宋体"/>
          <w:color w:val="000000"/>
          <w:kern w:val="0"/>
        </w:rPr>
        <w:t>1000 DPI</w:t>
      </w:r>
    </w:p>
    <w:p>
      <w:pPr>
        <w:numPr>
          <w:ilvl w:val="0"/>
          <w:numId w:val="16"/>
        </w:numPr>
        <w:ind w:firstLineChars="0"/>
        <w:rPr>
          <w:rFonts w:hint="eastAsia" w:hAnsi="宋体" w:cs="宋体"/>
          <w:color w:val="000000"/>
          <w:kern w:val="0"/>
        </w:rPr>
      </w:pPr>
      <w:r>
        <w:rPr>
          <w:rFonts w:hint="eastAsia" w:hAnsi="宋体" w:cs="宋体"/>
          <w:color w:val="000000"/>
          <w:kern w:val="0"/>
        </w:rPr>
        <w:t>按键数：</w:t>
      </w:r>
      <w:r>
        <w:rPr>
          <w:rFonts w:hint="eastAsia" w:hAnsi="宋体" w:cs="宋体"/>
          <w:color w:val="000000"/>
          <w:kern w:val="0"/>
          <w:highlight w:val="none"/>
        </w:rPr>
        <w:t>≥</w:t>
      </w:r>
      <w:r>
        <w:rPr>
          <w:rFonts w:hAnsi="宋体" w:cs="宋体"/>
          <w:color w:val="000000"/>
          <w:kern w:val="0"/>
        </w:rPr>
        <w:t>3 键（左 / 右 / 滚轮中键），2D 机械滚轮</w:t>
      </w:r>
    </w:p>
    <w:p>
      <w:pPr>
        <w:numPr>
          <w:ilvl w:val="0"/>
          <w:numId w:val="16"/>
        </w:numPr>
        <w:ind w:firstLineChars="0"/>
        <w:rPr>
          <w:rFonts w:hint="eastAsia" w:hAnsi="宋体" w:cs="宋体"/>
          <w:color w:val="000000"/>
          <w:kern w:val="0"/>
        </w:rPr>
      </w:pPr>
      <w:r>
        <w:rPr>
          <w:rFonts w:hint="eastAsia" w:hAnsi="宋体" w:cs="宋体"/>
          <w:color w:val="000000"/>
          <w:kern w:val="0"/>
        </w:rPr>
        <w:t>滚动：逐行</w:t>
      </w:r>
    </w:p>
    <w:p>
      <w:pPr>
        <w:numPr>
          <w:ilvl w:val="0"/>
          <w:numId w:val="16"/>
        </w:numPr>
        <w:ind w:firstLineChars="0"/>
        <w:rPr>
          <w:rFonts w:hint="eastAsia" w:hAnsi="宋体" w:cs="宋体"/>
          <w:color w:val="000000"/>
          <w:kern w:val="0"/>
          <w:highlight w:val="none"/>
        </w:rPr>
      </w:pPr>
      <w:r>
        <w:rPr>
          <w:rFonts w:hint="eastAsia" w:hAnsi="宋体" w:cs="宋体"/>
          <w:color w:val="000000"/>
          <w:kern w:val="0"/>
        </w:rPr>
        <w:t>连接/电源：电源开关按钮</w:t>
      </w:r>
    </w:p>
    <w:p>
      <w:pPr>
        <w:pStyle w:val="4"/>
        <w:numPr>
          <w:ilvl w:val="2"/>
          <w:numId w:val="12"/>
        </w:numPr>
        <w:rPr>
          <w:highlight w:val="none"/>
        </w:rPr>
      </w:pPr>
      <w:bookmarkStart w:id="166" w:name="_Toc725696801"/>
      <w:r>
        <w:rPr>
          <w:rFonts w:hint="eastAsia"/>
          <w:highlight w:val="none"/>
        </w:rPr>
        <w:t>云桌面服务端虚拟化许可</w:t>
      </w:r>
      <w:bookmarkEnd w:id="166"/>
    </w:p>
    <w:p>
      <w:pPr>
        <w:numPr>
          <w:ilvl w:val="0"/>
          <w:numId w:val="17"/>
        </w:numPr>
        <w:ind w:left="420" w:firstLine="0" w:firstLineChars="0"/>
        <w:rPr>
          <w:rFonts w:hint="eastAsia"/>
          <w:highlight w:val="none"/>
          <w:lang w:val="en-US" w:eastAsia="zh-CN"/>
        </w:rPr>
      </w:pPr>
      <w:r>
        <w:rPr>
          <w:rFonts w:hint="eastAsia"/>
          <w:highlight w:val="none"/>
          <w:lang w:val="en-US" w:eastAsia="zh-CN"/>
        </w:rPr>
        <w:t>平台扩展性要求：</w:t>
      </w:r>
    </w:p>
    <w:p>
      <w:pPr>
        <w:pStyle w:val="105"/>
        <w:numPr>
          <w:ilvl w:val="0"/>
          <w:numId w:val="18"/>
        </w:numPr>
        <w:ind w:left="845" w:hanging="425" w:firstLineChars="0"/>
        <w:rPr>
          <w:rFonts w:hint="eastAsia"/>
          <w:highlight w:val="none"/>
          <w:lang w:val="en-US"/>
        </w:rPr>
      </w:pPr>
      <w:r>
        <w:rPr>
          <w:rFonts w:hint="eastAsia"/>
          <w:highlight w:val="none"/>
          <w:lang w:val="en-US" w:eastAsia="zh-CN"/>
        </w:rPr>
        <w:t>为</w:t>
      </w:r>
      <w:r>
        <w:rPr>
          <w:rFonts w:hint="eastAsia"/>
          <w:highlight w:val="none"/>
        </w:rPr>
        <w:t>满足用户对存储进行平滑扩容的需求，增加存储节点与授权即可线性增加存储的容量与性能，同时单套存储即可满足桌面云的块存储与文件存储需求。</w:t>
      </w:r>
    </w:p>
    <w:p>
      <w:pPr>
        <w:pStyle w:val="105"/>
        <w:numPr>
          <w:ilvl w:val="0"/>
          <w:numId w:val="17"/>
        </w:numPr>
        <w:ind w:left="420" w:firstLine="0" w:firstLineChars="0"/>
        <w:rPr>
          <w:rFonts w:hint="eastAsia"/>
          <w:highlight w:val="none"/>
          <w:lang w:val="en-US" w:eastAsia="zh-CN"/>
        </w:rPr>
      </w:pPr>
      <w:r>
        <w:rPr>
          <w:rFonts w:hint="eastAsia"/>
          <w:highlight w:val="none"/>
          <w:lang w:val="en-US" w:eastAsia="zh-CN"/>
        </w:rPr>
        <w:t>平台高可用要求：</w:t>
      </w:r>
    </w:p>
    <w:p>
      <w:pPr>
        <w:numPr>
          <w:ilvl w:val="0"/>
          <w:numId w:val="19"/>
        </w:numPr>
        <w:ind w:firstLineChars="0"/>
        <w:rPr>
          <w:highlight w:val="none"/>
        </w:rPr>
      </w:pPr>
      <w:r>
        <w:rPr>
          <w:rFonts w:hint="eastAsia"/>
          <w:highlight w:val="none"/>
        </w:rPr>
        <w:t>支持全局热备盘技术，管理员可配置在集群中保留多块磁盘作为热备盘，分布在不同主机上，当任何一台主机的任意一块硬盘出现故障后，会自动选择其中1块热备盘进行替换和重建。</w:t>
      </w:r>
    </w:p>
    <w:p>
      <w:pPr>
        <w:numPr>
          <w:ilvl w:val="0"/>
          <w:numId w:val="19"/>
        </w:numPr>
        <w:ind w:firstLineChars="0"/>
        <w:rPr>
          <w:highlight w:val="none"/>
        </w:rPr>
      </w:pPr>
      <w:r>
        <w:rPr>
          <w:rFonts w:hint="eastAsia"/>
          <w:highlight w:val="none"/>
        </w:rPr>
        <w:t>为了保证平台安全，支持故障自动切换，硬盘故障，存储则会被重新指向另外一台服务器上可用的数据副本，实现毫秒级切换，对用户来讲基本是无感知的；主机或者网络故障，虚拟桌面可以快速切换到另一台服务器拉起，</w:t>
      </w:r>
      <w:r>
        <w:rPr>
          <w:rFonts w:hint="eastAsia"/>
          <w:highlight w:val="none"/>
          <w:lang w:val="en-US" w:eastAsia="zh-CN"/>
        </w:rPr>
        <w:t>用时</w:t>
      </w:r>
      <w:r>
        <w:rPr>
          <w:rFonts w:ascii="Times New Roman" w:hAnsi="Times New Roman" w:cs="Times New Roman"/>
          <w:highlight w:val="none"/>
        </w:rPr>
        <w:t>1</w:t>
      </w:r>
      <w:r>
        <w:rPr>
          <w:rFonts w:hint="eastAsia" w:cs="Times New Roman"/>
          <w:highlight w:val="none"/>
          <w:lang w:val="en-US" w:eastAsia="zh-CN"/>
        </w:rPr>
        <w:t>-</w:t>
      </w:r>
      <w:r>
        <w:rPr>
          <w:rFonts w:ascii="Times New Roman" w:hAnsi="Times New Roman" w:cs="Times New Roman"/>
          <w:highlight w:val="none"/>
        </w:rPr>
        <w:t>2分钟</w:t>
      </w:r>
      <w:r>
        <w:rPr>
          <w:rFonts w:hint="eastAsia"/>
          <w:highlight w:val="none"/>
        </w:rPr>
        <w:t>。</w:t>
      </w:r>
    </w:p>
    <w:p>
      <w:pPr>
        <w:numPr>
          <w:ilvl w:val="0"/>
          <w:numId w:val="19"/>
        </w:numPr>
        <w:ind w:firstLineChars="0"/>
        <w:rPr>
          <w:highlight w:val="none"/>
        </w:rPr>
      </w:pPr>
      <w:r>
        <w:rPr>
          <w:rFonts w:hint="eastAsia"/>
          <w:highlight w:val="none"/>
        </w:rPr>
        <w:t>支持虚拟机热迁移功能；可以在不停机的状态下，用户应用程序状态不中断的情况将应用虚拟化服务器运行位置更改至集群内其他物理主机节点，实现虚拟机在集群之内的不同物理机计算节点之间迁移，保障业务连续性。（提供第三方检测报告，并加盖厂商公章）</w:t>
      </w:r>
    </w:p>
    <w:p>
      <w:pPr>
        <w:numPr>
          <w:ilvl w:val="0"/>
          <w:numId w:val="19"/>
        </w:numPr>
        <w:ind w:firstLineChars="0"/>
        <w:rPr>
          <w:highlight w:val="none"/>
        </w:rPr>
      </w:pPr>
      <w:r>
        <w:rPr>
          <w:rFonts w:hint="eastAsia"/>
          <w:highlight w:val="none"/>
        </w:rPr>
        <w:t>支持用户向指定管理员发起虚拟机资源变更申请，管理员可对应接收申请审批流程，审核通过后用户的虚拟机资源会自动变更。</w:t>
      </w:r>
    </w:p>
    <w:p>
      <w:pPr>
        <w:numPr>
          <w:ilvl w:val="0"/>
          <w:numId w:val="19"/>
        </w:numPr>
        <w:ind w:firstLineChars="0"/>
        <w:rPr>
          <w:highlight w:val="none"/>
        </w:rPr>
      </w:pPr>
      <w:r>
        <w:rPr>
          <w:rFonts w:hint="eastAsia"/>
          <w:highlight w:val="none"/>
        </w:rPr>
        <w:t>支持用户自助系统重装，快速解决系统故障。自助系统重装可选择重装到初始状态或某个备份</w:t>
      </w:r>
      <w:r>
        <w:rPr>
          <w:rFonts w:hint="eastAsia"/>
          <w:highlight w:val="none"/>
          <w:lang w:eastAsia="zh-CN"/>
        </w:rPr>
        <w:t>。</w:t>
      </w:r>
    </w:p>
    <w:p>
      <w:pPr>
        <w:numPr>
          <w:ilvl w:val="0"/>
          <w:numId w:val="19"/>
        </w:numPr>
        <w:ind w:firstLineChars="0"/>
        <w:rPr>
          <w:highlight w:val="none"/>
        </w:rPr>
      </w:pPr>
      <w:r>
        <w:rPr>
          <w:rFonts w:hint="eastAsia"/>
          <w:highlight w:val="none"/>
        </w:rPr>
        <w:t>支持桌面自动还原，包括：还原点设置、重启后还原、定时还原、手动还原等功能。（提供该功能系统截图，并加盖厂商公章）</w:t>
      </w:r>
    </w:p>
    <w:p>
      <w:pPr>
        <w:pStyle w:val="105"/>
        <w:numPr>
          <w:ilvl w:val="0"/>
          <w:numId w:val="17"/>
        </w:numPr>
        <w:ind w:left="420" w:firstLine="0" w:firstLineChars="0"/>
        <w:rPr>
          <w:rFonts w:hint="eastAsia"/>
          <w:highlight w:val="none"/>
          <w:lang w:val="en-US" w:eastAsia="zh-CN"/>
        </w:rPr>
      </w:pPr>
      <w:r>
        <w:rPr>
          <w:rFonts w:hint="eastAsia"/>
          <w:highlight w:val="none"/>
          <w:lang w:val="en-US" w:eastAsia="zh-CN"/>
        </w:rPr>
        <w:t>平台安全要求：</w:t>
      </w:r>
    </w:p>
    <w:p>
      <w:pPr>
        <w:numPr>
          <w:ilvl w:val="0"/>
          <w:numId w:val="20"/>
        </w:numPr>
        <w:ind w:left="845" w:hanging="425" w:firstLineChars="0"/>
        <w:rPr>
          <w:highlight w:val="none"/>
        </w:rPr>
      </w:pPr>
      <w:r>
        <w:rPr>
          <w:rFonts w:hint="eastAsia"/>
          <w:highlight w:val="none"/>
        </w:rPr>
        <w:t>为了保证终端主机安全，支持东西向微隔离能力，支持配置基于用户、用户组、虚拟机、IP地址之间的ACL访问隔离控制。（提供功能截图，并加盖厂商公章）</w:t>
      </w:r>
    </w:p>
    <w:p>
      <w:pPr>
        <w:numPr>
          <w:ilvl w:val="0"/>
          <w:numId w:val="20"/>
        </w:numPr>
        <w:ind w:left="845" w:hanging="425" w:firstLineChars="0"/>
        <w:rPr>
          <w:highlight w:val="none"/>
        </w:rPr>
      </w:pPr>
      <w:r>
        <w:rPr>
          <w:rFonts w:hint="eastAsia"/>
          <w:highlight w:val="none"/>
        </w:rPr>
        <w:t>支持记录执行拷贝行为的用户信息，虚拟机信息和拷贝的内容；审计管理员可以查看到拷贝的文件内容，便于安全事件溯源。（提供功能截图，并加盖厂商公章）</w:t>
      </w:r>
    </w:p>
    <w:p>
      <w:pPr>
        <w:numPr>
          <w:ilvl w:val="0"/>
          <w:numId w:val="20"/>
        </w:numPr>
        <w:ind w:firstLineChars="0"/>
        <w:rPr>
          <w:highlight w:val="none"/>
        </w:rPr>
      </w:pPr>
      <w:r>
        <w:rPr>
          <w:rFonts w:hint="eastAsia"/>
          <w:highlight w:val="none"/>
        </w:rPr>
        <w:t>为确保用户数据安全性，需支持虚拟机加密技术，对云桌面虚拟机进行全盘加密处理，保障个人隐私安全。</w:t>
      </w:r>
    </w:p>
    <w:p>
      <w:pPr>
        <w:numPr>
          <w:ilvl w:val="0"/>
          <w:numId w:val="20"/>
        </w:numPr>
        <w:ind w:firstLineChars="0"/>
        <w:rPr>
          <w:highlight w:val="none"/>
        </w:rPr>
      </w:pPr>
      <w:r>
        <w:rPr>
          <w:rFonts w:hint="eastAsia"/>
          <w:highlight w:val="none"/>
        </w:rPr>
        <w:t>为保障业务连续性，虚拟化平台需支持群集不停机情况下平滑滚动热升级，升级时不影响业务运行。为保障业务实时性，虚拟化平台非内核级更新支持业务不中断热升级，升级过程无需重启主机。</w:t>
      </w:r>
    </w:p>
    <w:p>
      <w:pPr>
        <w:pStyle w:val="105"/>
        <w:numPr>
          <w:ilvl w:val="0"/>
          <w:numId w:val="17"/>
        </w:numPr>
        <w:ind w:left="420" w:firstLine="0" w:firstLineChars="0"/>
        <w:rPr>
          <w:rFonts w:hint="eastAsia"/>
          <w:highlight w:val="none"/>
          <w:lang w:val="en-US" w:eastAsia="zh-CN"/>
        </w:rPr>
      </w:pPr>
      <w:r>
        <w:rPr>
          <w:rFonts w:hint="eastAsia"/>
          <w:highlight w:val="none"/>
          <w:lang w:val="en-US" w:eastAsia="zh-CN"/>
        </w:rPr>
        <w:t>平台功能要求：</w:t>
      </w:r>
    </w:p>
    <w:p>
      <w:pPr>
        <w:numPr>
          <w:ilvl w:val="0"/>
          <w:numId w:val="21"/>
        </w:numPr>
        <w:ind w:firstLineChars="0"/>
        <w:rPr>
          <w:highlight w:val="none"/>
        </w:rPr>
      </w:pPr>
      <w:r>
        <w:rPr>
          <w:rFonts w:hint="eastAsia"/>
          <w:highlight w:val="none"/>
        </w:rPr>
        <w:t>软件自主可控，要求计算虚拟化软件、存储虚拟化软件、桌面虚拟化管理接入软件统一品牌且完全自主研发，并提供相应的计算机软件著作权登记证书。</w:t>
      </w:r>
    </w:p>
    <w:p>
      <w:pPr>
        <w:numPr>
          <w:ilvl w:val="0"/>
          <w:numId w:val="21"/>
        </w:numPr>
        <w:ind w:firstLineChars="0"/>
        <w:rPr>
          <w:highlight w:val="none"/>
        </w:rPr>
      </w:pPr>
      <w:r>
        <w:rPr>
          <w:rFonts w:hint="eastAsia"/>
          <w:highlight w:val="none"/>
        </w:rPr>
        <w:t>平台管理一次性授权，不限制云桌面数量，后续可跟随后续云桌面规模任意扩</w:t>
      </w:r>
    </w:p>
    <w:p>
      <w:pPr>
        <w:numPr>
          <w:ilvl w:val="0"/>
          <w:numId w:val="21"/>
        </w:numPr>
        <w:ind w:firstLineChars="0"/>
        <w:rPr>
          <w:highlight w:val="none"/>
        </w:rPr>
      </w:pPr>
      <w:r>
        <w:rPr>
          <w:rFonts w:hint="eastAsia"/>
          <w:highlight w:val="none"/>
        </w:rPr>
        <w:t>云桌面产品厂商应提供不少于3家国产芯片服务器的产品兼容互认证明。</w:t>
      </w:r>
    </w:p>
    <w:p>
      <w:pPr>
        <w:numPr>
          <w:ilvl w:val="0"/>
          <w:numId w:val="21"/>
        </w:numPr>
        <w:ind w:firstLineChars="0"/>
        <w:rPr>
          <w:rFonts w:hint="eastAsia"/>
          <w:highlight w:val="none"/>
        </w:rPr>
      </w:pPr>
      <w:r>
        <w:rPr>
          <w:rFonts w:hint="eastAsia"/>
          <w:highlight w:val="none"/>
        </w:rPr>
        <w:t>支持多集群全局模板，可跨多个集群使用全局模板，实现云桌面统一创建、统一更新、统一管理。（提供功能截图，并加盖厂商公章）</w:t>
      </w:r>
    </w:p>
    <w:p>
      <w:pPr>
        <w:numPr>
          <w:ilvl w:val="0"/>
          <w:numId w:val="21"/>
        </w:numPr>
        <w:ind w:firstLineChars="0"/>
        <w:rPr>
          <w:rFonts w:hint="eastAsia"/>
          <w:highlight w:val="none"/>
        </w:rPr>
      </w:pPr>
      <w:r>
        <w:rPr>
          <w:rFonts w:hint="eastAsia"/>
          <w:highlight w:val="none"/>
        </w:rPr>
        <w:t>支持终端流量控制，可设置USB映射、磁盘映射及剪切板的上下行带宽，以避免带宽被抢占，优先保证用户体验。</w:t>
      </w:r>
    </w:p>
    <w:p>
      <w:pPr>
        <w:pStyle w:val="4"/>
        <w:numPr>
          <w:ilvl w:val="2"/>
          <w:numId w:val="12"/>
        </w:numPr>
        <w:rPr>
          <w:highlight w:val="none"/>
        </w:rPr>
      </w:pPr>
      <w:bookmarkStart w:id="167" w:name="_Toc1226503094"/>
      <w:r>
        <w:rPr>
          <w:rFonts w:hint="eastAsia"/>
          <w:highlight w:val="none"/>
        </w:rPr>
        <w:t>云桌面终端授权</w:t>
      </w:r>
      <w:bookmarkEnd w:id="167"/>
    </w:p>
    <w:p>
      <w:pPr>
        <w:ind w:firstLine="480"/>
        <w:rPr>
          <w:rFonts w:hint="default" w:eastAsia="宋体"/>
          <w:highlight w:val="none"/>
          <w:lang w:val="en-US" w:eastAsia="zh-CN"/>
        </w:rPr>
      </w:pPr>
      <w:r>
        <w:rPr>
          <w:rFonts w:hint="eastAsia"/>
          <w:highlight w:val="none"/>
          <w:lang w:val="en-US" w:eastAsia="zh-CN"/>
        </w:rPr>
        <w:t>1、终端接入要求：</w:t>
      </w:r>
    </w:p>
    <w:p>
      <w:pPr>
        <w:numPr>
          <w:ilvl w:val="0"/>
          <w:numId w:val="22"/>
        </w:numPr>
        <w:ind w:left="845" w:hanging="425" w:firstLineChars="0"/>
        <w:rPr>
          <w:highlight w:val="none"/>
        </w:rPr>
      </w:pPr>
      <w:r>
        <w:rPr>
          <w:rFonts w:ascii="微软雅黑" w:hAnsi="微软雅黑"/>
          <w:szCs w:val="22"/>
          <w:highlight w:val="none"/>
        </w:rPr>
        <w:t>针对内网办公场景，充分适配现有办公终端资产，支持办公人员通过本次</w:t>
      </w:r>
      <w:r>
        <w:rPr>
          <w:rFonts w:hint="eastAsia" w:ascii="微软雅黑" w:hAnsi="微软雅黑"/>
          <w:szCs w:val="22"/>
          <w:highlight w:val="none"/>
          <w:lang w:val="en-US" w:eastAsia="zh-CN"/>
        </w:rPr>
        <w:t>云桌面</w:t>
      </w:r>
      <w:r>
        <w:rPr>
          <w:rFonts w:ascii="微软雅黑" w:hAnsi="微软雅黑"/>
          <w:szCs w:val="22"/>
          <w:highlight w:val="none"/>
        </w:rPr>
        <w:t>终端，或已部署的办公PC、笔记本</w:t>
      </w:r>
      <w:bookmarkStart w:id="203" w:name="_GoBack"/>
      <w:r>
        <w:rPr>
          <w:rFonts w:ascii="微软雅黑" w:hAnsi="微软雅黑"/>
          <w:szCs w:val="22"/>
          <w:highlight w:val="none"/>
        </w:rPr>
        <w:t>电脑、iPad、智能手机</w:t>
      </w:r>
      <w:r>
        <w:rPr>
          <w:rFonts w:ascii="微软雅黑" w:hAnsi="微软雅黑"/>
          <w:szCs w:val="22"/>
          <w:highlight w:val="none"/>
        </w:rPr>
        <w:t>等存量</w:t>
      </w:r>
      <w:bookmarkEnd w:id="203"/>
      <w:r>
        <w:rPr>
          <w:rFonts w:ascii="微软雅黑" w:hAnsi="微软雅黑"/>
          <w:szCs w:val="22"/>
          <w:highlight w:val="none"/>
        </w:rPr>
        <w:t>终端，快速接入桌面云环境。</w:t>
      </w:r>
    </w:p>
    <w:p>
      <w:pPr>
        <w:numPr>
          <w:ilvl w:val="0"/>
          <w:numId w:val="22"/>
        </w:numPr>
        <w:ind w:left="845" w:hanging="425" w:firstLineChars="0"/>
        <w:rPr>
          <w:highlight w:val="none"/>
        </w:rPr>
      </w:pPr>
      <w:r>
        <w:rPr>
          <w:rFonts w:hint="eastAsia" w:ascii="微软雅黑" w:hAnsi="微软雅黑"/>
          <w:szCs w:val="22"/>
          <w:highlight w:val="none"/>
          <w:lang w:val="en-US" w:eastAsia="zh-CN"/>
        </w:rPr>
        <w:t>对接我单位现有</w:t>
      </w:r>
      <w:r>
        <w:rPr>
          <w:rFonts w:hint="eastAsia"/>
          <w:highlight w:val="none"/>
        </w:rPr>
        <w:t>零信任VPN</w:t>
      </w:r>
      <w:r>
        <w:rPr>
          <w:rFonts w:hint="eastAsia"/>
          <w:highlight w:val="none"/>
          <w:lang w:val="en-US" w:eastAsia="zh-CN"/>
        </w:rPr>
        <w:t>(VPN型号：零信任VPN控制中心(aTrust-1000-LS1060C)零信任VPN代理网关(aTrust-1000-LS1080G))</w:t>
      </w:r>
      <w:r>
        <w:rPr>
          <w:rFonts w:hint="eastAsia"/>
          <w:highlight w:val="none"/>
          <w:lang w:eastAsia="zh-CN"/>
        </w:rPr>
        <w:t>，</w:t>
      </w:r>
      <w:r>
        <w:rPr>
          <w:rFonts w:ascii="微软雅黑" w:hAnsi="微软雅黑"/>
          <w:szCs w:val="22"/>
          <w:highlight w:val="none"/>
        </w:rPr>
        <w:t>通过</w:t>
      </w:r>
      <w:r>
        <w:rPr>
          <w:rFonts w:hint="eastAsia" w:ascii="微软雅黑" w:hAnsi="微软雅黑"/>
          <w:szCs w:val="22"/>
          <w:highlight w:val="none"/>
        </w:rPr>
        <w:t>单一身份信息</w:t>
      </w:r>
      <w:r>
        <w:rPr>
          <w:rFonts w:ascii="微软雅黑" w:hAnsi="微软雅黑"/>
          <w:szCs w:val="22"/>
          <w:highlight w:val="none"/>
        </w:rPr>
        <w:t>完成单点登录，无需重复认证，提升接入效</w:t>
      </w:r>
      <w:r>
        <w:rPr>
          <w:rFonts w:hint="eastAsia" w:ascii="微软雅黑" w:hAnsi="微软雅黑"/>
          <w:szCs w:val="22"/>
          <w:highlight w:val="none"/>
          <w:lang w:eastAsia="zh-CN"/>
        </w:rPr>
        <w:t>，</w:t>
      </w:r>
      <w:r>
        <w:rPr>
          <w:rFonts w:ascii="微软雅黑" w:hAnsi="微软雅黑"/>
          <w:szCs w:val="22"/>
          <w:highlight w:val="none"/>
        </w:rPr>
        <w:t>依托</w:t>
      </w:r>
      <w:r>
        <w:rPr>
          <w:rFonts w:hint="eastAsia" w:ascii="微软雅黑" w:hAnsi="微软雅黑"/>
          <w:szCs w:val="22"/>
          <w:highlight w:val="none"/>
        </w:rPr>
        <w:t>现网</w:t>
      </w:r>
      <w:r>
        <w:rPr>
          <w:rFonts w:ascii="微软雅黑" w:hAnsi="微软雅黑"/>
          <w:szCs w:val="22"/>
          <w:highlight w:val="none"/>
        </w:rPr>
        <w:t>零信任VPN</w:t>
      </w:r>
      <w:r>
        <w:rPr>
          <w:rFonts w:ascii="微软雅黑" w:hAnsi="微软雅黑"/>
          <w:szCs w:val="22"/>
          <w:highlight w:val="none"/>
        </w:rPr>
        <w:t>身份基线，同步校验终端安全状态（如系统补丁、杀毒软件状态等），未达安全基线的终端将被拦截接入，从源头规避终端侧安全风险。</w:t>
      </w:r>
    </w:p>
    <w:p>
      <w:pPr>
        <w:numPr>
          <w:ilvl w:val="0"/>
          <w:numId w:val="22"/>
        </w:numPr>
        <w:ind w:left="845" w:hanging="425" w:firstLineChars="0"/>
        <w:rPr>
          <w:highlight w:val="none"/>
        </w:rPr>
      </w:pPr>
      <w:r>
        <w:rPr>
          <w:rFonts w:hint="eastAsia"/>
          <w:highlight w:val="none"/>
        </w:rPr>
        <w:t>云桌面支持联动</w:t>
      </w:r>
      <w:r>
        <w:rPr>
          <w:rFonts w:hint="eastAsia"/>
          <w:highlight w:val="none"/>
          <w:lang w:val="en-US" w:eastAsia="zh-CN"/>
        </w:rPr>
        <w:t>单位现有</w:t>
      </w:r>
      <w:r>
        <w:rPr>
          <w:rFonts w:hint="eastAsia"/>
          <w:highlight w:val="none"/>
        </w:rPr>
        <w:t>零信任的应用防护策略，基于应用防护检测结果，为用户虚拟桌面动态生效不同分布式防火墙策略，实现云桌面网络访问权限的动态控制。（提供原厂承诺函，并加盖厂商公章）</w:t>
      </w:r>
    </w:p>
    <w:p>
      <w:pPr>
        <w:numPr>
          <w:ilvl w:val="0"/>
          <w:numId w:val="22"/>
        </w:numPr>
        <w:ind w:left="845" w:hanging="425" w:firstLineChars="0"/>
        <w:rPr>
          <w:highlight w:val="none"/>
        </w:rPr>
      </w:pPr>
    </w:p>
    <w:p>
      <w:pPr>
        <w:ind w:firstLine="480"/>
        <w:rPr>
          <w:rFonts w:hint="eastAsia"/>
          <w:highlight w:val="none"/>
          <w:lang w:val="en-US" w:eastAsia="zh-CN"/>
        </w:rPr>
      </w:pPr>
      <w:r>
        <w:rPr>
          <w:rFonts w:hint="eastAsia"/>
          <w:highlight w:val="none"/>
        </w:rPr>
        <w:t>2、</w:t>
      </w:r>
      <w:r>
        <w:rPr>
          <w:rFonts w:hint="eastAsia"/>
          <w:highlight w:val="none"/>
          <w:lang w:val="en-US" w:eastAsia="zh-CN"/>
        </w:rPr>
        <w:t>终端管理要求：</w:t>
      </w:r>
    </w:p>
    <w:p>
      <w:pPr>
        <w:numPr>
          <w:ilvl w:val="0"/>
          <w:numId w:val="23"/>
        </w:numPr>
        <w:ind w:left="845" w:hanging="425" w:firstLineChars="0"/>
        <w:rPr>
          <w:highlight w:val="none"/>
          <w:lang w:val="sv-SE"/>
        </w:rPr>
      </w:pPr>
      <w:r>
        <w:rPr>
          <w:rFonts w:hint="eastAsia"/>
          <w:highlight w:val="none"/>
          <w:lang w:val="sv-SE"/>
        </w:rPr>
        <w:t>为了实现大规模部署及简化管理，在单类桌面使用场景下（如同一部门、同一用途），支持跨越多个虚拟化集群创建桌面组，管理员仅需维护一个桌面组即可。</w:t>
      </w:r>
    </w:p>
    <w:p>
      <w:pPr>
        <w:numPr>
          <w:ilvl w:val="0"/>
          <w:numId w:val="23"/>
        </w:numPr>
        <w:ind w:left="845" w:hanging="425" w:firstLineChars="0"/>
        <w:rPr>
          <w:highlight w:val="none"/>
          <w:lang w:val="sv-SE"/>
        </w:rPr>
      </w:pPr>
      <w:r>
        <w:rPr>
          <w:rFonts w:hint="eastAsia"/>
          <w:highlight w:val="none"/>
          <w:lang w:val="sv-SE"/>
        </w:rPr>
        <w:t>支持对每个虚拟机（独享桌面）的Agent的状态问题定位与一键修复功能，管理员可快速定位问题并快速修复，并不会造成桌面云连接断开。</w:t>
      </w:r>
    </w:p>
    <w:p>
      <w:pPr>
        <w:numPr>
          <w:ilvl w:val="0"/>
          <w:numId w:val="23"/>
        </w:numPr>
        <w:ind w:left="845" w:hanging="425" w:firstLineChars="0"/>
        <w:rPr>
          <w:highlight w:val="none"/>
          <w:lang w:val="sv-SE"/>
        </w:rPr>
      </w:pPr>
      <w:r>
        <w:rPr>
          <w:rFonts w:hint="eastAsia"/>
          <w:highlight w:val="none"/>
          <w:lang w:val="sv-SE"/>
        </w:rPr>
        <w:t>为了方便管理员运维管理，运维平台需支持虚拟机、主机、虚拟化集群、应用程序资源监控与故障分析功能，能够基于对象进行健康状态评分，分析资源使用情况，如CPU、内存、磁盘IO等，云桌面虚拟机能够支持应用进程、服务运行状态、外设连接等使用情况分析并能够支持常见的Windows、统信UOS、麒麟KylinOS操作系统。</w:t>
      </w:r>
    </w:p>
    <w:p>
      <w:pPr>
        <w:numPr>
          <w:ilvl w:val="0"/>
          <w:numId w:val="23"/>
        </w:numPr>
        <w:ind w:left="845" w:hanging="425" w:firstLineChars="0"/>
        <w:rPr>
          <w:rFonts w:hint="eastAsia"/>
          <w:highlight w:val="none"/>
          <w:lang w:val="sv-SE"/>
        </w:rPr>
      </w:pPr>
      <w:r>
        <w:rPr>
          <w:rFonts w:hint="eastAsia"/>
          <w:highlight w:val="none"/>
          <w:lang w:val="sv-SE"/>
        </w:rPr>
        <w:t>为了避免管理员误删除的情况出现，支持虚拟机回收站功能，避免误操作导致虚拟机数据丢失，当虚拟机删除后，会自动进入回收站，支持恢复到原位置，可设置回收站自动清理时长，可显示回收站实际占用空间及快照存留时间。</w:t>
      </w:r>
    </w:p>
    <w:p>
      <w:pPr>
        <w:numPr>
          <w:ilvl w:val="0"/>
          <w:numId w:val="23"/>
        </w:numPr>
        <w:ind w:left="845" w:hanging="425" w:firstLineChars="0"/>
        <w:rPr>
          <w:highlight w:val="none"/>
          <w:lang w:val="sv-SE"/>
        </w:rPr>
      </w:pPr>
      <w:r>
        <w:rPr>
          <w:rFonts w:hint="eastAsia"/>
          <w:highlight w:val="none"/>
          <w:lang w:val="sv-SE"/>
        </w:rPr>
        <w:t>为了方便管理员运维管理，支持模板链接克隆及完整复制虚拟机。链接克隆可以提高上线效率，完整复制虚拟机可以让虚拟机保持独立，不受模版单点故障影响。克隆时可指定虚拟机数量、运行位置、存储位置、桥接到的虚拟交换机、关联策略，并需支持链接克隆虚拟机转为完整复制虚拟机。</w:t>
      </w:r>
      <w:r>
        <w:rPr>
          <w:rFonts w:hint="eastAsia"/>
          <w:highlight w:val="none"/>
        </w:rPr>
        <w:t>（提供功能配置截图并加盖厂商公章）</w:t>
      </w:r>
    </w:p>
    <w:p>
      <w:pPr>
        <w:numPr>
          <w:ilvl w:val="0"/>
          <w:numId w:val="23"/>
        </w:numPr>
        <w:ind w:left="845" w:hanging="425" w:firstLineChars="0"/>
        <w:rPr>
          <w:highlight w:val="none"/>
          <w:lang w:val="sv-SE"/>
        </w:rPr>
      </w:pPr>
      <w:r>
        <w:rPr>
          <w:rFonts w:hint="eastAsia"/>
          <w:highlight w:val="none"/>
          <w:lang w:val="sv-SE"/>
        </w:rPr>
        <w:t>为保障用户外设使用体验，支持标、键盘、打印机等常用外设，其中支持用户在广域网场景下，用户可以直接在虚拟机内使用终端网络上的网络打印机正常完成打印任务；</w:t>
      </w:r>
      <w:r>
        <w:rPr>
          <w:rFonts w:hint="eastAsia"/>
          <w:highlight w:val="none"/>
        </w:rPr>
        <w:t>（提供功能配置截图并加盖厂商公章）</w:t>
      </w:r>
    </w:p>
    <w:p>
      <w:pPr>
        <w:numPr>
          <w:ilvl w:val="0"/>
          <w:numId w:val="23"/>
        </w:numPr>
        <w:ind w:left="845" w:hanging="425" w:firstLineChars="0"/>
        <w:rPr>
          <w:highlight w:val="none"/>
          <w:lang w:val="sv-SE"/>
        </w:rPr>
      </w:pPr>
      <w:r>
        <w:rPr>
          <w:rFonts w:hint="eastAsia"/>
          <w:highlight w:val="none"/>
          <w:lang w:val="sv-SE"/>
        </w:rPr>
        <w:t>为保障用户隐私，云桌面数据集中管理，让用户不用为个人信息的隐私而担忧，需支持虚拟机全盘或者个人磁盘加密技术，保障个人隐私安全。</w:t>
      </w:r>
    </w:p>
    <w:p>
      <w:pPr>
        <w:numPr>
          <w:ilvl w:val="0"/>
          <w:numId w:val="23"/>
        </w:numPr>
        <w:ind w:left="845" w:hanging="425" w:firstLineChars="0"/>
        <w:rPr>
          <w:highlight w:val="none"/>
          <w:lang w:val="sv-SE"/>
        </w:rPr>
      </w:pPr>
      <w:r>
        <w:rPr>
          <w:rFonts w:hint="eastAsia"/>
          <w:highlight w:val="none"/>
          <w:lang w:val="sv-SE"/>
        </w:rPr>
        <w:t>为提升云桌面中业务软件的使用体验，可针对当下使用频率较高的软件做进程加速，管理员也可自定义需加速应用进程名，以保障应用的流畅运行。</w:t>
      </w:r>
    </w:p>
    <w:p>
      <w:pPr>
        <w:ind w:firstLine="480"/>
        <w:rPr>
          <w:rFonts w:hint="eastAsia"/>
          <w:highlight w:val="none"/>
          <w:lang w:val="en-US" w:eastAsia="zh-CN"/>
        </w:rPr>
      </w:pPr>
      <w:r>
        <w:rPr>
          <w:rFonts w:hint="eastAsia"/>
          <w:highlight w:val="none"/>
          <w:lang w:val="en-US" w:eastAsia="zh-CN"/>
        </w:rPr>
        <w:t>3</w:t>
      </w:r>
      <w:r>
        <w:rPr>
          <w:rFonts w:hint="eastAsia"/>
          <w:highlight w:val="none"/>
        </w:rPr>
        <w:t>、</w:t>
      </w:r>
      <w:r>
        <w:rPr>
          <w:rFonts w:hint="eastAsia"/>
          <w:highlight w:val="none"/>
          <w:lang w:val="en-US" w:eastAsia="zh-CN"/>
        </w:rPr>
        <w:t>终端安全要求：</w:t>
      </w:r>
    </w:p>
    <w:p>
      <w:pPr>
        <w:numPr>
          <w:ilvl w:val="0"/>
          <w:numId w:val="24"/>
        </w:numPr>
        <w:ind w:left="845" w:hanging="425" w:firstLineChars="0"/>
        <w:rPr>
          <w:highlight w:val="none"/>
        </w:rPr>
      </w:pPr>
      <w:r>
        <w:rPr>
          <w:rFonts w:ascii="宋体" w:hAnsi="宋体"/>
          <w:sz w:val="24"/>
          <w:szCs w:val="24"/>
          <w:highlight w:val="none"/>
        </w:rPr>
        <w:t>终端安全</w:t>
      </w:r>
      <w:r>
        <w:rPr>
          <w:rFonts w:hint="eastAsia" w:ascii="宋体" w:hAnsi="宋体"/>
          <w:sz w:val="24"/>
          <w:szCs w:val="24"/>
          <w:highlight w:val="none"/>
          <w:lang w:eastAsia="zh-CN"/>
        </w:rPr>
        <w:t>：</w:t>
      </w:r>
      <w:r>
        <w:rPr>
          <w:rFonts w:hint="eastAsia"/>
          <w:highlight w:val="none"/>
        </w:rPr>
        <w:t>支持多种认证方式随需组合，包括本地账号密码、短信认证、动态口令、ldap认证、raduis认证、AD域认证等多种方式，满足不同级别用户的安全接入需求。</w:t>
      </w:r>
    </w:p>
    <w:p>
      <w:pPr>
        <w:numPr>
          <w:ilvl w:val="0"/>
          <w:numId w:val="24"/>
        </w:numPr>
        <w:ind w:left="845" w:hanging="425" w:firstLineChars="0"/>
        <w:rPr>
          <w:highlight w:val="none"/>
        </w:rPr>
      </w:pPr>
      <w:r>
        <w:rPr>
          <w:rFonts w:hint="eastAsia"/>
          <w:highlight w:val="none"/>
          <w:lang w:val="en-US" w:eastAsia="zh-CN"/>
        </w:rPr>
        <w:t>接入安全：</w:t>
      </w:r>
      <w:r>
        <w:rPr>
          <w:rFonts w:hint="eastAsia"/>
          <w:highlight w:val="none"/>
        </w:rPr>
        <w:t>支持根据接入环境动态匹配不同安全级别的用户策略，场景可基于终端IP范围、终端类型等，实现用户从不同接入地点、不同接入终端，匹配不同安全等级的认证策略及桌面策略。（提供功能截图，并加盖厂商公章）</w:t>
      </w:r>
    </w:p>
    <w:p>
      <w:pPr>
        <w:numPr>
          <w:ilvl w:val="0"/>
          <w:numId w:val="24"/>
        </w:numPr>
        <w:ind w:left="845" w:hanging="425" w:firstLineChars="0"/>
        <w:rPr>
          <w:highlight w:val="none"/>
        </w:rPr>
      </w:pPr>
      <w:r>
        <w:rPr>
          <w:highlight w:val="none"/>
        </w:rPr>
        <w:t>传输安全</w:t>
      </w:r>
      <w:r>
        <w:rPr>
          <w:rFonts w:hint="default"/>
          <w:highlight w:val="none"/>
          <w:lang w:eastAsia="zh-CN"/>
        </w:rPr>
        <w:t>：</w:t>
      </w:r>
      <w:r>
        <w:rPr>
          <w:rFonts w:hint="default"/>
          <w:highlight w:val="none"/>
          <w:lang w:val="en-US" w:eastAsia="zh-CN"/>
        </w:rPr>
        <w:t>终端</w:t>
      </w:r>
      <w:r>
        <w:rPr>
          <w:rFonts w:ascii="Times New Roman" w:hAnsi="Times New Roman"/>
          <w:sz w:val="24"/>
          <w:szCs w:val="24"/>
          <w:highlight w:val="none"/>
        </w:rPr>
        <w:t>访问</w:t>
      </w:r>
      <w:r>
        <w:rPr>
          <w:rFonts w:hint="default" w:ascii="Times New Roman" w:hAnsi="Times New Roman"/>
          <w:sz w:val="24"/>
          <w:szCs w:val="24"/>
          <w:highlight w:val="none"/>
          <w:lang w:val="en-US" w:eastAsia="zh-CN"/>
        </w:rPr>
        <w:t>过程</w:t>
      </w:r>
      <w:r>
        <w:rPr>
          <w:rFonts w:ascii="Times New Roman" w:hAnsi="Times New Roman"/>
          <w:sz w:val="24"/>
          <w:szCs w:val="24"/>
          <w:highlight w:val="none"/>
        </w:rPr>
        <w:t>采用传输加密（HDP over SSL）</w:t>
      </w:r>
      <w:r>
        <w:rPr>
          <w:rFonts w:hint="eastAsia"/>
          <w:sz w:val="24"/>
          <w:szCs w:val="24"/>
          <w:highlight w:val="none"/>
          <w:lang w:eastAsia="zh-CN"/>
        </w:rPr>
        <w:t>。</w:t>
      </w:r>
    </w:p>
    <w:p>
      <w:pPr>
        <w:numPr>
          <w:ilvl w:val="0"/>
          <w:numId w:val="24"/>
        </w:numPr>
        <w:ind w:left="845" w:hanging="425" w:firstLineChars="0"/>
        <w:rPr>
          <w:highlight w:val="none"/>
        </w:rPr>
      </w:pPr>
      <w:r>
        <w:rPr>
          <w:highlight w:val="none"/>
        </w:rPr>
        <w:t>数据安全</w:t>
      </w:r>
      <w:r>
        <w:rPr>
          <w:rFonts w:hint="eastAsia"/>
          <w:highlight w:val="none"/>
          <w:lang w:eastAsia="zh-CN"/>
        </w:rPr>
        <w:t>：用户数据全部保留在</w:t>
      </w:r>
      <w:r>
        <w:rPr>
          <w:rFonts w:hint="eastAsia"/>
          <w:highlight w:val="none"/>
          <w:lang w:val="en-US" w:eastAsia="zh-CN"/>
        </w:rPr>
        <w:t>桌面云服务器存储</w:t>
      </w:r>
      <w:r>
        <w:rPr>
          <w:rFonts w:hint="eastAsia"/>
          <w:highlight w:val="none"/>
          <w:lang w:eastAsia="zh-CN"/>
        </w:rPr>
        <w:t>，支持云桌面显示水印功能。</w:t>
      </w:r>
    </w:p>
    <w:p>
      <w:pPr>
        <w:numPr>
          <w:ilvl w:val="0"/>
          <w:numId w:val="24"/>
        </w:numPr>
        <w:ind w:left="845" w:hanging="425" w:firstLineChars="0"/>
        <w:rPr>
          <w:highlight w:val="none"/>
        </w:rPr>
      </w:pPr>
      <w:r>
        <w:rPr>
          <w:rFonts w:hint="eastAsia"/>
          <w:highlight w:val="none"/>
          <w:lang w:val="en-US" w:eastAsia="zh-CN"/>
        </w:rPr>
        <w:t>管理安全：</w:t>
      </w:r>
      <w:r>
        <w:rPr>
          <w:rFonts w:hint="eastAsia"/>
          <w:highlight w:val="none"/>
        </w:rPr>
        <w:t>支持桌面云接入管理平台的分权分域，可创建不同管理员角色，并支持对管理员角色的操作权限进行自定义编辑，实现管理员的三权分立，满足安全合规要求。</w:t>
      </w:r>
    </w:p>
    <w:p>
      <w:pPr>
        <w:ind w:firstLine="480"/>
        <w:rPr>
          <w:rFonts w:hint="eastAsia"/>
          <w:highlight w:val="none"/>
          <w:lang w:val="en-US" w:eastAsia="zh-CN"/>
        </w:rPr>
      </w:pPr>
      <w:r>
        <w:rPr>
          <w:rFonts w:hint="eastAsia"/>
          <w:highlight w:val="none"/>
          <w:lang w:val="en-US" w:eastAsia="zh-CN"/>
        </w:rPr>
        <w:t>4</w:t>
      </w:r>
      <w:r>
        <w:rPr>
          <w:rFonts w:hint="eastAsia"/>
          <w:highlight w:val="none"/>
        </w:rPr>
        <w:t>、</w:t>
      </w:r>
      <w:r>
        <w:rPr>
          <w:rFonts w:hint="eastAsia"/>
          <w:highlight w:val="none"/>
          <w:lang w:val="en-US" w:eastAsia="zh-CN"/>
        </w:rPr>
        <w:t>终端功能要求：</w:t>
      </w:r>
    </w:p>
    <w:p>
      <w:pPr>
        <w:numPr>
          <w:ilvl w:val="0"/>
          <w:numId w:val="25"/>
        </w:numPr>
        <w:ind w:left="845" w:hanging="425" w:firstLineChars="0"/>
        <w:rPr>
          <w:highlight w:val="none"/>
        </w:rPr>
      </w:pPr>
      <w:r>
        <w:rPr>
          <w:rFonts w:hint="eastAsia"/>
          <w:highlight w:val="none"/>
        </w:rPr>
        <w:t>云桌面可与至少3家不同品牌云桌面终端进行适配使用。</w:t>
      </w:r>
    </w:p>
    <w:p>
      <w:pPr>
        <w:numPr>
          <w:ilvl w:val="0"/>
          <w:numId w:val="25"/>
        </w:numPr>
        <w:ind w:left="845" w:hanging="425" w:firstLineChars="0"/>
        <w:rPr>
          <w:highlight w:val="none"/>
        </w:rPr>
      </w:pPr>
      <w:r>
        <w:rPr>
          <w:rFonts w:hint="eastAsia"/>
          <w:highlight w:val="none"/>
        </w:rPr>
        <w:t>支持设置用户闲置超过一定期限、超过一段时间无会话或一定时间没有对虚拟机操作后桌面自动注销，同时释放资源</w:t>
      </w:r>
      <w:r>
        <w:rPr>
          <w:rFonts w:hint="eastAsia"/>
          <w:highlight w:val="none"/>
          <w:lang w:eastAsia="zh-CN"/>
        </w:rPr>
        <w:t>，</w:t>
      </w:r>
      <w:r>
        <w:rPr>
          <w:rFonts w:hint="eastAsia"/>
          <w:highlight w:val="none"/>
        </w:rPr>
        <w:t>支持输出特定时间内空闲虚拟机和僵尸虚拟机的统计报告，提高管理效率。</w:t>
      </w:r>
    </w:p>
    <w:p>
      <w:pPr>
        <w:numPr>
          <w:ilvl w:val="0"/>
          <w:numId w:val="25"/>
        </w:numPr>
        <w:ind w:left="845" w:hanging="425" w:firstLineChars="0"/>
        <w:rPr>
          <w:highlight w:val="none"/>
        </w:rPr>
      </w:pPr>
      <w:r>
        <w:rPr>
          <w:rFonts w:hint="eastAsia"/>
          <w:highlight w:val="none"/>
        </w:rPr>
        <w:t>客户端连接虚拟桌面应不依赖虚拟机IP，禁用虚机网卡或者更改IP，不应中断桌面会话，避免因误操作而导致访问中断。（提供功能配置截图并加盖厂商公章）</w:t>
      </w:r>
    </w:p>
    <w:p>
      <w:pPr>
        <w:numPr>
          <w:ilvl w:val="0"/>
          <w:numId w:val="25"/>
        </w:numPr>
        <w:ind w:left="845" w:hanging="425" w:firstLineChars="0"/>
        <w:rPr>
          <w:highlight w:val="none"/>
        </w:rPr>
      </w:pPr>
      <w:r>
        <w:rPr>
          <w:rFonts w:hint="eastAsia"/>
          <w:highlight w:val="none"/>
        </w:rPr>
        <w:t>支持网络测速，可直接测试本地终端上下行速率及抖动时延。</w:t>
      </w:r>
    </w:p>
    <w:p>
      <w:pPr>
        <w:numPr>
          <w:ilvl w:val="0"/>
          <w:numId w:val="25"/>
        </w:numPr>
        <w:ind w:left="845" w:hanging="425" w:firstLineChars="0"/>
        <w:rPr>
          <w:highlight w:val="none"/>
        </w:rPr>
      </w:pPr>
      <w:r>
        <w:rPr>
          <w:rFonts w:hint="eastAsia"/>
          <w:highlight w:val="none"/>
        </w:rPr>
        <w:t>支持多种画面质量传输模式，可按清晰优先、流畅优先、默认设置、自定义四种模式进行切换。</w:t>
      </w:r>
    </w:p>
    <w:p>
      <w:pPr>
        <w:numPr>
          <w:ilvl w:val="0"/>
          <w:numId w:val="25"/>
        </w:numPr>
        <w:ind w:left="845" w:hanging="425" w:firstLineChars="0"/>
        <w:rPr>
          <w:highlight w:val="none"/>
        </w:rPr>
      </w:pPr>
      <w:r>
        <w:rPr>
          <w:rFonts w:hint="eastAsia"/>
          <w:highlight w:val="none"/>
        </w:rPr>
        <w:t>画面质量传输自定义模式支持个性化设置视频帧率、图像帧率、图像色彩。</w:t>
      </w:r>
    </w:p>
    <w:p>
      <w:pPr>
        <w:ind w:firstLine="480"/>
        <w:rPr>
          <w:color w:val="FF0000"/>
          <w:highlight w:val="none"/>
        </w:rPr>
      </w:pP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2753"/>
        <w:gridCol w:w="4422"/>
        <w:gridCol w:w="771"/>
        <w:gridCol w:w="771"/>
      </w:tblGrid>
      <w:tr>
        <w:trPr>
          <w:trHeight w:val="360" w:hRule="atLeast"/>
          <w:tblHeader/>
        </w:trPr>
        <w:tc>
          <w:tcPr>
            <w:tcW w:w="419" w:type="pct"/>
            <w:vAlign w:val="center"/>
          </w:tcPr>
          <w:p>
            <w:pPr>
              <w:widowControl/>
              <w:spacing w:line="240" w:lineRule="auto"/>
              <w:ind w:firstLine="0" w:firstLineChars="0"/>
              <w:jc w:val="center"/>
              <w:rPr>
                <w:rFonts w:hint="eastAsia" w:ascii="宋体" w:hAnsi="宋体"/>
                <w:b/>
                <w:bCs/>
                <w:color w:val="000000"/>
                <w:kern w:val="0"/>
                <w:sz w:val="21"/>
                <w:szCs w:val="21"/>
                <w:highlight w:val="none"/>
              </w:rPr>
            </w:pPr>
            <w:r>
              <w:rPr>
                <w:rFonts w:hint="eastAsia" w:ascii="宋体" w:hAnsi="宋体"/>
                <w:b/>
                <w:bCs/>
                <w:color w:val="000000"/>
                <w:kern w:val="0"/>
                <w:sz w:val="21"/>
                <w:szCs w:val="21"/>
                <w:highlight w:val="none"/>
              </w:rPr>
              <w:t>序号</w:t>
            </w:r>
          </w:p>
        </w:tc>
        <w:tc>
          <w:tcPr>
            <w:tcW w:w="1446" w:type="pct"/>
            <w:vAlign w:val="center"/>
          </w:tcPr>
          <w:p>
            <w:pPr>
              <w:widowControl/>
              <w:spacing w:line="240" w:lineRule="auto"/>
              <w:ind w:firstLine="0" w:firstLineChars="0"/>
              <w:jc w:val="center"/>
              <w:rPr>
                <w:rFonts w:hint="eastAsia" w:ascii="宋体" w:hAnsi="宋体"/>
                <w:b/>
                <w:bCs/>
                <w:color w:val="000000"/>
                <w:kern w:val="0"/>
                <w:sz w:val="21"/>
                <w:szCs w:val="21"/>
                <w:highlight w:val="none"/>
              </w:rPr>
            </w:pPr>
            <w:r>
              <w:rPr>
                <w:rFonts w:hint="eastAsia" w:ascii="宋体" w:hAnsi="宋体"/>
                <w:b/>
                <w:bCs/>
                <w:color w:val="000000"/>
                <w:kern w:val="0"/>
                <w:sz w:val="21"/>
                <w:szCs w:val="21"/>
                <w:highlight w:val="none"/>
              </w:rPr>
              <w:t>设备名称</w:t>
            </w:r>
          </w:p>
        </w:tc>
        <w:tc>
          <w:tcPr>
            <w:tcW w:w="2323" w:type="pct"/>
            <w:vAlign w:val="center"/>
          </w:tcPr>
          <w:p>
            <w:pPr>
              <w:widowControl/>
              <w:spacing w:line="240" w:lineRule="auto"/>
              <w:ind w:firstLine="0" w:firstLineChars="0"/>
              <w:jc w:val="center"/>
              <w:rPr>
                <w:rFonts w:hint="eastAsia" w:ascii="宋体" w:hAnsi="宋体"/>
                <w:b/>
                <w:bCs/>
                <w:color w:val="000000"/>
                <w:kern w:val="0"/>
                <w:sz w:val="21"/>
                <w:szCs w:val="21"/>
                <w:highlight w:val="none"/>
              </w:rPr>
            </w:pPr>
            <w:r>
              <w:rPr>
                <w:rFonts w:hint="eastAsia" w:ascii="宋体" w:hAnsi="宋体"/>
                <w:b/>
                <w:bCs/>
                <w:color w:val="000000"/>
                <w:kern w:val="0"/>
                <w:sz w:val="21"/>
                <w:szCs w:val="21"/>
                <w:highlight w:val="none"/>
              </w:rPr>
              <w:t>规格型号</w:t>
            </w:r>
          </w:p>
        </w:tc>
        <w:tc>
          <w:tcPr>
            <w:tcW w:w="405" w:type="pct"/>
            <w:noWrap/>
            <w:vAlign w:val="center"/>
          </w:tcPr>
          <w:p>
            <w:pPr>
              <w:widowControl/>
              <w:spacing w:line="240" w:lineRule="auto"/>
              <w:ind w:firstLine="0" w:firstLineChars="0"/>
              <w:jc w:val="center"/>
              <w:rPr>
                <w:rFonts w:hint="eastAsia" w:ascii="宋体" w:hAnsi="宋体"/>
                <w:b/>
                <w:bCs/>
                <w:color w:val="000000"/>
                <w:kern w:val="0"/>
                <w:sz w:val="21"/>
                <w:szCs w:val="21"/>
                <w:highlight w:val="none"/>
              </w:rPr>
            </w:pPr>
            <w:r>
              <w:rPr>
                <w:rFonts w:hint="eastAsia" w:ascii="宋体" w:hAnsi="宋体"/>
                <w:b/>
                <w:bCs/>
                <w:color w:val="000000"/>
                <w:kern w:val="0"/>
                <w:sz w:val="21"/>
                <w:szCs w:val="21"/>
                <w:highlight w:val="none"/>
              </w:rPr>
              <w:t>单位</w:t>
            </w:r>
          </w:p>
        </w:tc>
        <w:tc>
          <w:tcPr>
            <w:tcW w:w="405" w:type="pct"/>
            <w:noWrap/>
            <w:vAlign w:val="center"/>
          </w:tcPr>
          <w:p>
            <w:pPr>
              <w:widowControl/>
              <w:spacing w:line="240" w:lineRule="auto"/>
              <w:ind w:firstLine="0" w:firstLineChars="0"/>
              <w:jc w:val="center"/>
              <w:rPr>
                <w:rFonts w:hint="eastAsia" w:ascii="宋体" w:hAnsi="宋体"/>
                <w:b/>
                <w:bCs/>
                <w:color w:val="000000"/>
                <w:kern w:val="0"/>
                <w:sz w:val="21"/>
                <w:szCs w:val="21"/>
                <w:highlight w:val="none"/>
              </w:rPr>
            </w:pPr>
            <w:r>
              <w:rPr>
                <w:rFonts w:hint="eastAsia" w:ascii="宋体" w:hAnsi="宋体"/>
                <w:b/>
                <w:bCs/>
                <w:color w:val="000000"/>
                <w:kern w:val="0"/>
                <w:sz w:val="21"/>
                <w:szCs w:val="21"/>
                <w:highlight w:val="none"/>
              </w:rPr>
              <w:t>数量</w:t>
            </w:r>
          </w:p>
        </w:tc>
      </w:tr>
      <w:tr>
        <w:trPr>
          <w:trHeight w:val="552" w:hRule="atLeast"/>
        </w:trPr>
        <w:tc>
          <w:tcPr>
            <w:tcW w:w="419"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1</w:t>
            </w:r>
          </w:p>
        </w:tc>
        <w:tc>
          <w:tcPr>
            <w:tcW w:w="1446"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云桌面终端</w:t>
            </w:r>
          </w:p>
        </w:tc>
        <w:tc>
          <w:tcPr>
            <w:tcW w:w="2323"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CPU：自主可控，主频≥1.8Ghz，内存≥2G；硬盘存储≥8G</w:t>
            </w:r>
            <w:r>
              <w:rPr>
                <w:rFonts w:hint="eastAsia" w:ascii="宋体" w:hAnsi="宋体"/>
                <w:color w:val="000000"/>
                <w:kern w:val="0"/>
                <w:sz w:val="21"/>
                <w:szCs w:val="21"/>
                <w:highlight w:val="none"/>
              </w:rPr>
              <w:br w:type="textWrapping"/>
            </w:r>
            <w:r>
              <w:rPr>
                <w:rFonts w:hint="eastAsia" w:ascii="宋体" w:hAnsi="宋体"/>
                <w:color w:val="000000"/>
                <w:kern w:val="0"/>
                <w:sz w:val="21"/>
                <w:szCs w:val="21"/>
                <w:highlight w:val="none"/>
              </w:rPr>
              <w:t>服务：5年5x8x4服务</w:t>
            </w:r>
          </w:p>
        </w:tc>
        <w:tc>
          <w:tcPr>
            <w:tcW w:w="405"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台</w:t>
            </w:r>
          </w:p>
        </w:tc>
        <w:tc>
          <w:tcPr>
            <w:tcW w:w="405" w:type="pct"/>
            <w:vAlign w:val="center"/>
          </w:tcPr>
          <w:p>
            <w:pPr>
              <w:widowControl/>
              <w:spacing w:line="240" w:lineRule="auto"/>
              <w:ind w:firstLine="0" w:firstLineChars="0"/>
              <w:jc w:val="center"/>
              <w:rPr>
                <w:rFonts w:hint="eastAsia" w:ascii="宋体" w:hAnsi="宋体"/>
                <w:kern w:val="0"/>
                <w:sz w:val="21"/>
                <w:szCs w:val="21"/>
                <w:highlight w:val="none"/>
              </w:rPr>
            </w:pPr>
            <w:r>
              <w:rPr>
                <w:rFonts w:ascii="宋体" w:hAnsi="宋体"/>
                <w:kern w:val="0"/>
                <w:sz w:val="21"/>
                <w:szCs w:val="21"/>
                <w:highlight w:val="none"/>
              </w:rPr>
              <w:t>510</w:t>
            </w:r>
          </w:p>
        </w:tc>
      </w:tr>
      <w:tr>
        <w:trPr>
          <w:trHeight w:val="360" w:hRule="atLeast"/>
        </w:trPr>
        <w:tc>
          <w:tcPr>
            <w:tcW w:w="419" w:type="pct"/>
            <w:vAlign w:val="center"/>
          </w:tcPr>
          <w:p>
            <w:pPr>
              <w:widowControl/>
              <w:spacing w:line="240" w:lineRule="auto"/>
              <w:ind w:firstLine="0" w:firstLineChars="0"/>
              <w:jc w:val="center"/>
              <w:rPr>
                <w:rFonts w:hint="eastAsia" w:ascii="宋体" w:hAnsi="宋体"/>
                <w:kern w:val="0"/>
                <w:sz w:val="21"/>
                <w:szCs w:val="21"/>
                <w:highlight w:val="none"/>
              </w:rPr>
            </w:pPr>
            <w:r>
              <w:rPr>
                <w:rFonts w:hint="eastAsia" w:ascii="宋体" w:hAnsi="宋体"/>
                <w:kern w:val="0"/>
                <w:sz w:val="21"/>
                <w:szCs w:val="21"/>
                <w:highlight w:val="none"/>
              </w:rPr>
              <w:t>2</w:t>
            </w:r>
          </w:p>
        </w:tc>
        <w:tc>
          <w:tcPr>
            <w:tcW w:w="1446"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显示器</w:t>
            </w:r>
          </w:p>
        </w:tc>
        <w:tc>
          <w:tcPr>
            <w:tcW w:w="2323"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屏幕≥24寸、不低于1080P的显示器</w:t>
            </w:r>
          </w:p>
        </w:tc>
        <w:tc>
          <w:tcPr>
            <w:tcW w:w="405"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台</w:t>
            </w:r>
          </w:p>
        </w:tc>
        <w:tc>
          <w:tcPr>
            <w:tcW w:w="405" w:type="pct"/>
            <w:vAlign w:val="center"/>
          </w:tcPr>
          <w:p>
            <w:pPr>
              <w:widowControl/>
              <w:spacing w:line="240" w:lineRule="auto"/>
              <w:ind w:firstLine="0" w:firstLineChars="0"/>
              <w:jc w:val="center"/>
              <w:rPr>
                <w:rFonts w:hint="eastAsia" w:ascii="宋体" w:hAnsi="宋体"/>
                <w:kern w:val="0"/>
                <w:sz w:val="21"/>
                <w:szCs w:val="21"/>
                <w:highlight w:val="none"/>
              </w:rPr>
            </w:pPr>
            <w:r>
              <w:rPr>
                <w:rFonts w:ascii="宋体" w:hAnsi="宋体"/>
                <w:kern w:val="0"/>
                <w:sz w:val="21"/>
                <w:szCs w:val="21"/>
                <w:highlight w:val="none"/>
              </w:rPr>
              <w:t>510</w:t>
            </w:r>
          </w:p>
        </w:tc>
      </w:tr>
      <w:tr>
        <w:trPr>
          <w:trHeight w:val="360" w:hRule="atLeast"/>
        </w:trPr>
        <w:tc>
          <w:tcPr>
            <w:tcW w:w="419" w:type="pct"/>
            <w:vAlign w:val="center"/>
          </w:tcPr>
          <w:p>
            <w:pPr>
              <w:widowControl/>
              <w:spacing w:line="240" w:lineRule="auto"/>
              <w:ind w:firstLine="0" w:firstLineChars="0"/>
              <w:jc w:val="center"/>
              <w:rPr>
                <w:rFonts w:hint="eastAsia" w:ascii="宋体" w:hAnsi="宋体"/>
                <w:kern w:val="0"/>
                <w:sz w:val="21"/>
                <w:szCs w:val="21"/>
                <w:highlight w:val="none"/>
              </w:rPr>
            </w:pPr>
            <w:r>
              <w:rPr>
                <w:rFonts w:hint="eastAsia" w:ascii="宋体" w:hAnsi="宋体"/>
                <w:kern w:val="0"/>
                <w:sz w:val="21"/>
                <w:szCs w:val="21"/>
                <w:highlight w:val="none"/>
              </w:rPr>
              <w:t>3</w:t>
            </w:r>
          </w:p>
        </w:tc>
        <w:tc>
          <w:tcPr>
            <w:tcW w:w="1446"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键鼠套装</w:t>
            </w:r>
          </w:p>
        </w:tc>
        <w:tc>
          <w:tcPr>
            <w:tcW w:w="2323"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USB接口键鼠套装</w:t>
            </w:r>
          </w:p>
        </w:tc>
        <w:tc>
          <w:tcPr>
            <w:tcW w:w="405"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套</w:t>
            </w:r>
          </w:p>
        </w:tc>
        <w:tc>
          <w:tcPr>
            <w:tcW w:w="405" w:type="pct"/>
            <w:vAlign w:val="center"/>
          </w:tcPr>
          <w:p>
            <w:pPr>
              <w:widowControl/>
              <w:spacing w:line="240" w:lineRule="auto"/>
              <w:ind w:firstLine="0" w:firstLineChars="0"/>
              <w:jc w:val="center"/>
              <w:rPr>
                <w:rFonts w:hint="eastAsia" w:ascii="宋体" w:hAnsi="宋体"/>
                <w:kern w:val="0"/>
                <w:sz w:val="21"/>
                <w:szCs w:val="21"/>
                <w:highlight w:val="none"/>
              </w:rPr>
            </w:pPr>
            <w:r>
              <w:rPr>
                <w:rFonts w:ascii="宋体" w:hAnsi="宋体"/>
                <w:kern w:val="0"/>
                <w:sz w:val="21"/>
                <w:szCs w:val="21"/>
                <w:highlight w:val="none"/>
              </w:rPr>
              <w:t>510</w:t>
            </w:r>
          </w:p>
        </w:tc>
      </w:tr>
      <w:tr>
        <w:trPr>
          <w:trHeight w:val="360" w:hRule="atLeast"/>
        </w:trPr>
        <w:tc>
          <w:tcPr>
            <w:tcW w:w="419" w:type="pct"/>
            <w:vAlign w:val="center"/>
          </w:tcPr>
          <w:p>
            <w:pPr>
              <w:widowControl/>
              <w:spacing w:line="240" w:lineRule="auto"/>
              <w:ind w:firstLine="0" w:firstLineChars="0"/>
              <w:jc w:val="center"/>
              <w:rPr>
                <w:rFonts w:hint="eastAsia" w:ascii="宋体" w:hAnsi="宋体"/>
                <w:kern w:val="0"/>
                <w:sz w:val="21"/>
                <w:szCs w:val="21"/>
                <w:highlight w:val="none"/>
              </w:rPr>
            </w:pPr>
            <w:r>
              <w:rPr>
                <w:rFonts w:hint="eastAsia" w:ascii="宋体" w:hAnsi="宋体"/>
                <w:kern w:val="0"/>
                <w:sz w:val="21"/>
                <w:szCs w:val="21"/>
                <w:highlight w:val="none"/>
              </w:rPr>
              <w:t>4</w:t>
            </w:r>
          </w:p>
        </w:tc>
        <w:tc>
          <w:tcPr>
            <w:tcW w:w="1446"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云桌面服务端虚拟化许可</w:t>
            </w:r>
          </w:p>
        </w:tc>
        <w:tc>
          <w:tcPr>
            <w:tcW w:w="2323"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云桌面服务器虚拟化许可 ，包含计算、存储、网络等虚拟化</w:t>
            </w:r>
            <w:r>
              <w:rPr>
                <w:rFonts w:ascii="宋体" w:hAnsi="宋体"/>
                <w:color w:val="000000"/>
                <w:kern w:val="0"/>
                <w:sz w:val="21"/>
                <w:szCs w:val="21"/>
                <w:highlight w:val="none"/>
              </w:rPr>
              <w:t>，包</w:t>
            </w:r>
            <w:r>
              <w:rPr>
                <w:rFonts w:hint="eastAsia" w:ascii="宋体" w:hAnsi="宋体"/>
                <w:color w:val="000000"/>
                <w:kern w:val="0"/>
                <w:sz w:val="21"/>
                <w:szCs w:val="21"/>
                <w:highlight w:val="none"/>
              </w:rPr>
              <w:t>含实施及5年维保，维保内容包含安全漏洞整改。</w:t>
            </w:r>
          </w:p>
        </w:tc>
        <w:tc>
          <w:tcPr>
            <w:tcW w:w="405"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套</w:t>
            </w:r>
          </w:p>
        </w:tc>
        <w:tc>
          <w:tcPr>
            <w:tcW w:w="405"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ascii="宋体" w:hAnsi="宋体"/>
                <w:kern w:val="0"/>
                <w:sz w:val="21"/>
                <w:szCs w:val="21"/>
                <w:highlight w:val="none"/>
              </w:rPr>
              <w:t>14</w:t>
            </w:r>
            <w:r>
              <w:rPr>
                <w:rFonts w:hint="eastAsia" w:ascii="宋体" w:hAnsi="宋体"/>
                <w:kern w:val="0"/>
                <w:sz w:val="21"/>
                <w:szCs w:val="21"/>
                <w:highlight w:val="none"/>
              </w:rPr>
              <w:t xml:space="preserve"> </w:t>
            </w:r>
          </w:p>
        </w:tc>
      </w:tr>
      <w:tr>
        <w:trPr>
          <w:trHeight w:val="648" w:hRule="atLeast"/>
        </w:trPr>
        <w:tc>
          <w:tcPr>
            <w:tcW w:w="419"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ascii="宋体" w:hAnsi="宋体"/>
                <w:color w:val="000000"/>
                <w:kern w:val="0"/>
                <w:sz w:val="21"/>
                <w:szCs w:val="21"/>
                <w:highlight w:val="none"/>
              </w:rPr>
              <w:t>5</w:t>
            </w:r>
          </w:p>
        </w:tc>
        <w:tc>
          <w:tcPr>
            <w:tcW w:w="1446"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云桌面终端授权</w:t>
            </w:r>
          </w:p>
        </w:tc>
        <w:tc>
          <w:tcPr>
            <w:tcW w:w="2323" w:type="pct"/>
            <w:vAlign w:val="center"/>
          </w:tcPr>
          <w:p>
            <w:pPr>
              <w:widowControl/>
              <w:spacing w:line="240" w:lineRule="auto"/>
              <w:ind w:firstLine="0" w:firstLineChars="0"/>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支持windows、麒麟linux、统信UOS的云桌面接入，每个许可支持一台终端接入，所有软件均永久授权，包含实施。</w:t>
            </w:r>
          </w:p>
        </w:tc>
        <w:tc>
          <w:tcPr>
            <w:tcW w:w="405" w:type="pct"/>
            <w:vAlign w:val="center"/>
          </w:tcPr>
          <w:p>
            <w:pPr>
              <w:widowControl/>
              <w:spacing w:line="240" w:lineRule="auto"/>
              <w:ind w:firstLine="0" w:firstLineChars="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套</w:t>
            </w:r>
          </w:p>
        </w:tc>
        <w:tc>
          <w:tcPr>
            <w:tcW w:w="405" w:type="pct"/>
            <w:vAlign w:val="center"/>
          </w:tcPr>
          <w:p>
            <w:pPr>
              <w:widowControl/>
              <w:spacing w:line="240" w:lineRule="auto"/>
              <w:ind w:firstLine="0" w:firstLineChars="0"/>
              <w:jc w:val="center"/>
              <w:rPr>
                <w:rFonts w:hint="eastAsia" w:ascii="宋体" w:hAnsi="宋体"/>
                <w:kern w:val="0"/>
                <w:sz w:val="21"/>
                <w:szCs w:val="21"/>
                <w:highlight w:val="none"/>
              </w:rPr>
            </w:pPr>
            <w:r>
              <w:rPr>
                <w:rFonts w:ascii="宋体" w:hAnsi="宋体"/>
                <w:color w:val="000000"/>
                <w:kern w:val="0"/>
                <w:sz w:val="21"/>
                <w:szCs w:val="21"/>
                <w:highlight w:val="none"/>
              </w:rPr>
              <w:t>520</w:t>
            </w:r>
            <w:r>
              <w:rPr>
                <w:rFonts w:hint="eastAsia" w:ascii="宋体" w:hAnsi="宋体"/>
                <w:color w:val="000000"/>
                <w:kern w:val="0"/>
                <w:sz w:val="21"/>
                <w:szCs w:val="21"/>
                <w:highlight w:val="none"/>
              </w:rPr>
              <w:t xml:space="preserve"> </w:t>
            </w:r>
          </w:p>
        </w:tc>
      </w:tr>
    </w:tbl>
    <w:p>
      <w:pPr>
        <w:ind w:firstLine="0" w:firstLineChars="0"/>
        <w:rPr>
          <w:color w:val="FF0000"/>
          <w:highlight w:val="none"/>
        </w:rPr>
      </w:pPr>
    </w:p>
    <w:p>
      <w:pPr>
        <w:pStyle w:val="3"/>
        <w:spacing w:before="156" w:after="156" w:line="600" w:lineRule="exact"/>
        <w:ind w:left="578" w:hanging="578"/>
        <w:rPr>
          <w:color w:val="auto"/>
          <w:highlight w:val="none"/>
        </w:rPr>
      </w:pPr>
      <w:bookmarkStart w:id="168" w:name="_Toc12606"/>
      <w:bookmarkStart w:id="169" w:name="_Toc16781"/>
      <w:bookmarkStart w:id="170" w:name="_Toc141973305"/>
      <w:bookmarkStart w:id="171" w:name="_Toc518408537"/>
      <w:bookmarkStart w:id="172" w:name="_Toc124406447"/>
      <w:r>
        <w:rPr>
          <w:rFonts w:hint="eastAsia"/>
          <w:color w:val="auto"/>
          <w:highlight w:val="none"/>
        </w:rPr>
        <w:t>实施要求</w:t>
      </w:r>
      <w:bookmarkEnd w:id="168"/>
      <w:bookmarkEnd w:id="169"/>
      <w:bookmarkEnd w:id="170"/>
    </w:p>
    <w:p>
      <w:pPr>
        <w:pStyle w:val="89"/>
        <w:numPr>
          <w:ilvl w:val="0"/>
          <w:numId w:val="26"/>
        </w:numPr>
        <w:spacing w:line="600" w:lineRule="exact"/>
        <w:ind w:left="0" w:firstLine="431" w:firstLineChars="0"/>
        <w:rPr>
          <w:highlight w:val="none"/>
        </w:rPr>
      </w:pPr>
      <w:bookmarkStart w:id="173" w:name="_Toc19691"/>
      <w:r>
        <w:rPr>
          <w:rFonts w:hint="eastAsia"/>
          <w:highlight w:val="none"/>
        </w:rPr>
        <w:t>负责编制到货资料、终验资料。</w:t>
      </w:r>
    </w:p>
    <w:p>
      <w:pPr>
        <w:pStyle w:val="89"/>
        <w:numPr>
          <w:ilvl w:val="0"/>
          <w:numId w:val="26"/>
        </w:numPr>
        <w:spacing w:line="600" w:lineRule="exact"/>
        <w:ind w:left="0" w:firstLine="431" w:firstLineChars="0"/>
        <w:rPr>
          <w:highlight w:val="none"/>
        </w:rPr>
      </w:pPr>
      <w:r>
        <w:rPr>
          <w:rFonts w:hint="eastAsia"/>
          <w:highlight w:val="none"/>
        </w:rPr>
        <w:t>供货时每台设备粘PVC纸运维标签，标签内容至少包括以下：保修期限、原厂</w:t>
      </w:r>
      <w:r>
        <w:rPr>
          <w:rFonts w:hint="eastAsia" w:hAnsi="宋体"/>
          <w:highlight w:val="none"/>
        </w:rPr>
        <w:t>24小时全国免费售后服务电话</w:t>
      </w:r>
      <w:r>
        <w:rPr>
          <w:rFonts w:hint="eastAsia"/>
          <w:highlight w:val="none"/>
        </w:rPr>
        <w:t>、海南本地售后服务电话、供应商24小时服务电话。</w:t>
      </w:r>
    </w:p>
    <w:p>
      <w:pPr>
        <w:pStyle w:val="89"/>
        <w:numPr>
          <w:ilvl w:val="0"/>
          <w:numId w:val="26"/>
        </w:numPr>
        <w:spacing w:line="600" w:lineRule="exact"/>
        <w:ind w:left="0" w:firstLine="431" w:firstLineChars="0"/>
        <w:rPr>
          <w:highlight w:val="none"/>
        </w:rPr>
      </w:pPr>
      <w:r>
        <w:rPr>
          <w:rFonts w:hint="eastAsia" w:ascii="宋体" w:hAnsi="宋体" w:cs="宋体"/>
          <w:szCs w:val="21"/>
          <w:highlight w:val="none"/>
        </w:rPr>
        <w:t>投标方负责所供产品的安装调试、业务割接和验收测试，并自备设备安装、测试、运行维护所需的工具和设备。</w:t>
      </w:r>
    </w:p>
    <w:p>
      <w:pPr>
        <w:pStyle w:val="89"/>
        <w:numPr>
          <w:ilvl w:val="0"/>
          <w:numId w:val="26"/>
        </w:numPr>
        <w:spacing w:line="600" w:lineRule="exact"/>
        <w:ind w:left="0" w:firstLine="431" w:firstLineChars="0"/>
        <w:rPr>
          <w:highlight w:val="none"/>
        </w:rPr>
      </w:pPr>
      <w:r>
        <w:rPr>
          <w:rFonts w:hint="eastAsia" w:ascii="宋体" w:hAnsi="宋体" w:cs="宋体"/>
          <w:szCs w:val="21"/>
          <w:highlight w:val="none"/>
        </w:rPr>
        <w:t>质保期内，投标方需在每个单位至少安排1名技术人员提供现场技术支持，接到运维需求后5分钟内到达现场。</w:t>
      </w:r>
    </w:p>
    <w:bookmarkEnd w:id="171"/>
    <w:bookmarkEnd w:id="172"/>
    <w:p>
      <w:pPr>
        <w:pStyle w:val="2"/>
        <w:tabs>
          <w:tab w:val="left" w:pos="0"/>
          <w:tab w:val="clear" w:pos="432"/>
        </w:tabs>
        <w:spacing w:before="156" w:after="156" w:line="600" w:lineRule="exact"/>
        <w:ind w:left="1" w:leftChars="-58" w:hanging="140" w:hangingChars="50"/>
        <w:rPr>
          <w:highlight w:val="none"/>
        </w:rPr>
      </w:pPr>
      <w:bookmarkStart w:id="174" w:name="_Toc7829"/>
      <w:bookmarkStart w:id="175" w:name="_Toc291005318"/>
      <w:bookmarkStart w:id="176" w:name="_Toc2835"/>
      <w:bookmarkStart w:id="177" w:name="_Toc523850215"/>
      <w:bookmarkStart w:id="178" w:name="_Toc18348"/>
      <w:r>
        <w:rPr>
          <w:rFonts w:hint="eastAsia"/>
          <w:highlight w:val="none"/>
        </w:rPr>
        <w:t>验收</w:t>
      </w:r>
      <w:bookmarkEnd w:id="173"/>
      <w:bookmarkEnd w:id="174"/>
      <w:bookmarkEnd w:id="175"/>
      <w:bookmarkEnd w:id="176"/>
      <w:bookmarkEnd w:id="177"/>
      <w:bookmarkEnd w:id="178"/>
    </w:p>
    <w:p>
      <w:pPr>
        <w:pStyle w:val="3"/>
        <w:tabs>
          <w:tab w:val="left" w:pos="756"/>
          <w:tab w:val="clear" w:pos="576"/>
        </w:tabs>
        <w:spacing w:before="156" w:after="156" w:line="600" w:lineRule="exact"/>
        <w:ind w:left="578" w:hanging="578"/>
        <w:rPr>
          <w:color w:val="auto"/>
          <w:highlight w:val="none"/>
        </w:rPr>
      </w:pPr>
      <w:bookmarkStart w:id="179" w:name="_Toc14125"/>
      <w:bookmarkStart w:id="180" w:name="_Toc1106115407"/>
      <w:bookmarkStart w:id="181" w:name="_Toc24119"/>
      <w:bookmarkStart w:id="182" w:name="_Toc24005"/>
      <w:r>
        <w:rPr>
          <w:rFonts w:hint="eastAsia"/>
          <w:color w:val="auto"/>
          <w:highlight w:val="none"/>
        </w:rPr>
        <w:t>到货验收</w:t>
      </w:r>
      <w:bookmarkEnd w:id="179"/>
      <w:bookmarkEnd w:id="180"/>
      <w:bookmarkEnd w:id="181"/>
      <w:bookmarkEnd w:id="182"/>
    </w:p>
    <w:p>
      <w:pPr>
        <w:pStyle w:val="89"/>
        <w:spacing w:line="600" w:lineRule="exact"/>
        <w:rPr>
          <w:highlight w:val="none"/>
        </w:rPr>
      </w:pPr>
      <w:r>
        <w:rPr>
          <w:rFonts w:hint="eastAsia"/>
          <w:highlight w:val="none"/>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numPr>
          <w:ilvl w:val="0"/>
          <w:numId w:val="27"/>
        </w:numPr>
        <w:spacing w:line="600" w:lineRule="exact"/>
        <w:ind w:left="0" w:firstLine="431" w:firstLineChars="0"/>
        <w:rPr>
          <w:highlight w:val="none"/>
        </w:rPr>
      </w:pPr>
      <w:r>
        <w:rPr>
          <w:rFonts w:hint="eastAsia"/>
          <w:highlight w:val="none"/>
        </w:rPr>
        <w:t>产品设备齐全，包装完整，经开箱检查后型号及规格与合同设备清单一致，设备加电检测工作正常后，视为到货验收合格。</w:t>
      </w:r>
    </w:p>
    <w:p>
      <w:pPr>
        <w:pStyle w:val="3"/>
        <w:tabs>
          <w:tab w:val="left" w:pos="756"/>
          <w:tab w:val="clear" w:pos="576"/>
        </w:tabs>
        <w:spacing w:before="156" w:after="156" w:line="600" w:lineRule="exact"/>
        <w:ind w:left="578" w:hanging="578"/>
        <w:rPr>
          <w:color w:val="auto"/>
          <w:highlight w:val="none"/>
        </w:rPr>
      </w:pPr>
      <w:bookmarkStart w:id="183" w:name="_Toc11089"/>
      <w:bookmarkStart w:id="184" w:name="_Toc3132"/>
      <w:bookmarkStart w:id="185" w:name="_Toc317236949"/>
      <w:bookmarkStart w:id="186" w:name="_Toc271893796"/>
      <w:bookmarkStart w:id="187" w:name="_Toc17697"/>
      <w:bookmarkStart w:id="188" w:name="_Toc12490"/>
      <w:bookmarkStart w:id="189" w:name="_Toc523850218"/>
      <w:bookmarkStart w:id="190" w:name="_Toc32538"/>
      <w:bookmarkStart w:id="191" w:name="_Toc1089"/>
      <w:bookmarkStart w:id="192" w:name="_Toc1863197017"/>
      <w:r>
        <w:rPr>
          <w:rFonts w:hint="eastAsia"/>
          <w:color w:val="auto"/>
          <w:highlight w:val="none"/>
        </w:rPr>
        <w:t>竣工验收</w:t>
      </w:r>
      <w:bookmarkEnd w:id="183"/>
      <w:bookmarkEnd w:id="184"/>
      <w:bookmarkEnd w:id="185"/>
      <w:bookmarkEnd w:id="186"/>
      <w:bookmarkEnd w:id="187"/>
      <w:bookmarkEnd w:id="188"/>
      <w:bookmarkEnd w:id="189"/>
      <w:bookmarkEnd w:id="190"/>
      <w:bookmarkEnd w:id="191"/>
      <w:bookmarkEnd w:id="192"/>
    </w:p>
    <w:p>
      <w:pPr>
        <w:pStyle w:val="87"/>
        <w:numPr>
          <w:ilvl w:val="1"/>
          <w:numId w:val="28"/>
        </w:numPr>
        <w:spacing w:line="600" w:lineRule="exact"/>
        <w:ind w:left="0" w:firstLine="426"/>
        <w:rPr>
          <w:highlight w:val="none"/>
        </w:rPr>
      </w:pPr>
      <w:r>
        <w:rPr>
          <w:rFonts w:hint="eastAsia"/>
          <w:highlight w:val="none"/>
        </w:rPr>
        <w:t>试运行期为1个月，试运行期间内将对设备的稳定性和可靠性进行观察，作为试运行验收测试的内容。在此期间由于产品设计、性能及集成等方面出现的问题均应由中标方免费负责及时处理，但在修复后重新进行试运行。</w:t>
      </w:r>
    </w:p>
    <w:p>
      <w:pPr>
        <w:pStyle w:val="87"/>
        <w:numPr>
          <w:ilvl w:val="1"/>
          <w:numId w:val="28"/>
        </w:numPr>
        <w:spacing w:line="600" w:lineRule="exact"/>
        <w:ind w:left="0" w:firstLine="426"/>
        <w:rPr>
          <w:highlight w:val="none"/>
        </w:rPr>
      </w:pPr>
      <w:r>
        <w:rPr>
          <w:rFonts w:hint="eastAsia" w:ascii="宋体" w:hAnsi="宋体"/>
          <w:highlight w:val="none"/>
        </w:rPr>
        <w:t>产品以及整个系统运行正常，且试运行期满后，提交试运行报告及测试报告后，申请竣工验收</w:t>
      </w:r>
      <w:r>
        <w:rPr>
          <w:rFonts w:hint="eastAsia"/>
          <w:highlight w:val="none"/>
        </w:rPr>
        <w:t>。</w:t>
      </w:r>
    </w:p>
    <w:p>
      <w:pPr>
        <w:pStyle w:val="87"/>
        <w:numPr>
          <w:ilvl w:val="1"/>
          <w:numId w:val="28"/>
        </w:numPr>
        <w:spacing w:line="600" w:lineRule="exact"/>
        <w:ind w:left="0" w:firstLine="426"/>
        <w:rPr>
          <w:highlight w:val="none"/>
        </w:rPr>
      </w:pPr>
      <w:r>
        <w:rPr>
          <w:rFonts w:hint="eastAsia"/>
          <w:highlight w:val="none"/>
        </w:rPr>
        <w:t>自招标方、中标方双方签署竣工验收报告之日起，合同产品进入质保期。</w:t>
      </w:r>
    </w:p>
    <w:p>
      <w:pPr>
        <w:pStyle w:val="2"/>
        <w:tabs>
          <w:tab w:val="left" w:pos="0"/>
          <w:tab w:val="clear" w:pos="432"/>
        </w:tabs>
        <w:spacing w:before="156" w:after="156" w:line="600" w:lineRule="exact"/>
        <w:ind w:left="1" w:leftChars="-58" w:hanging="140" w:hangingChars="50"/>
        <w:rPr>
          <w:highlight w:val="none"/>
        </w:rPr>
      </w:pPr>
      <w:bookmarkStart w:id="193" w:name="_Toc330"/>
      <w:bookmarkStart w:id="194" w:name="_Toc19456"/>
      <w:bookmarkStart w:id="195" w:name="_Toc145724165"/>
      <w:bookmarkStart w:id="196" w:name="_Toc30871"/>
      <w:r>
        <w:rPr>
          <w:rFonts w:hint="eastAsia"/>
          <w:highlight w:val="none"/>
        </w:rPr>
        <w:t>结算及归档</w:t>
      </w:r>
      <w:bookmarkEnd w:id="193"/>
      <w:bookmarkEnd w:id="194"/>
      <w:bookmarkEnd w:id="195"/>
      <w:bookmarkEnd w:id="196"/>
    </w:p>
    <w:p>
      <w:pPr>
        <w:pStyle w:val="87"/>
        <w:spacing w:line="600" w:lineRule="exact"/>
        <w:ind w:firstLine="480" w:firstLineChars="200"/>
        <w:rPr>
          <w:rFonts w:cs="宋体"/>
          <w:kern w:val="0"/>
          <w:highlight w:val="none"/>
        </w:rPr>
      </w:pPr>
      <w:r>
        <w:rPr>
          <w:rFonts w:hint="eastAsia" w:cs="宋体"/>
          <w:kern w:val="0"/>
          <w:highlight w:val="none"/>
        </w:rPr>
        <w:t>竣工验收后，中标方须配合招标方按项目建设相关规定在15天内完成合同结算工作，按档案归档相关规定在45天内完成归档工作。</w:t>
      </w:r>
    </w:p>
    <w:p>
      <w:pPr>
        <w:pStyle w:val="2"/>
        <w:tabs>
          <w:tab w:val="left" w:pos="0"/>
          <w:tab w:val="clear" w:pos="432"/>
        </w:tabs>
        <w:spacing w:before="156" w:after="156" w:line="600" w:lineRule="exact"/>
        <w:ind w:left="1" w:leftChars="-58" w:hanging="140" w:hangingChars="50"/>
        <w:rPr>
          <w:highlight w:val="none"/>
        </w:rPr>
      </w:pPr>
      <w:bookmarkStart w:id="197" w:name="_Toc13761"/>
      <w:bookmarkStart w:id="198" w:name="_Toc23754"/>
      <w:bookmarkStart w:id="199" w:name="_Toc1054683575"/>
      <w:bookmarkStart w:id="200" w:name="_Toc13240"/>
      <w:bookmarkStart w:id="201" w:name="_Toc23748"/>
      <w:bookmarkStart w:id="202" w:name="_Toc13256"/>
      <w:r>
        <w:rPr>
          <w:rFonts w:hint="eastAsia"/>
          <w:highlight w:val="none"/>
        </w:rPr>
        <w:t>项目考核</w:t>
      </w:r>
      <w:bookmarkEnd w:id="197"/>
      <w:bookmarkEnd w:id="198"/>
      <w:bookmarkEnd w:id="199"/>
      <w:bookmarkEnd w:id="200"/>
      <w:bookmarkEnd w:id="201"/>
      <w:bookmarkEnd w:id="202"/>
    </w:p>
    <w:p>
      <w:pPr>
        <w:spacing w:line="600" w:lineRule="exact"/>
        <w:ind w:firstLine="480"/>
        <w:rPr>
          <w:rFonts w:hint="eastAsia" w:hAnsi="宋体"/>
          <w:szCs w:val="22"/>
          <w:highlight w:val="none"/>
        </w:rPr>
      </w:pPr>
      <w:r>
        <w:rPr>
          <w:rFonts w:hint="eastAsia" w:cs="宋体"/>
          <w:kern w:val="0"/>
          <w:highlight w:val="none"/>
        </w:rPr>
        <w:t>海南电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rPr>
          <w:jc w:val="center"/>
        </w:trPr>
        <w:tc>
          <w:tcPr>
            <w:tcW w:w="811" w:type="dxa"/>
            <w:vAlign w:val="center"/>
          </w:tcPr>
          <w:p>
            <w:pPr>
              <w:spacing w:line="240" w:lineRule="auto"/>
              <w:ind w:firstLine="0" w:firstLineChars="0"/>
              <w:jc w:val="center"/>
              <w:rPr>
                <w:sz w:val="21"/>
                <w:szCs w:val="21"/>
                <w:highlight w:val="none"/>
              </w:rPr>
            </w:pPr>
            <w:r>
              <w:rPr>
                <w:rFonts w:hint="eastAsia" w:hAnsi="宋体"/>
                <w:b/>
                <w:bCs/>
                <w:sz w:val="21"/>
                <w:szCs w:val="21"/>
                <w:highlight w:val="none"/>
              </w:rPr>
              <w:t>序号</w:t>
            </w:r>
          </w:p>
        </w:tc>
        <w:tc>
          <w:tcPr>
            <w:tcW w:w="3600" w:type="dxa"/>
            <w:vAlign w:val="center"/>
          </w:tcPr>
          <w:p>
            <w:pPr>
              <w:spacing w:line="240" w:lineRule="auto"/>
              <w:ind w:firstLine="422"/>
              <w:jc w:val="center"/>
              <w:rPr>
                <w:sz w:val="21"/>
                <w:szCs w:val="21"/>
                <w:highlight w:val="none"/>
              </w:rPr>
            </w:pPr>
            <w:r>
              <w:rPr>
                <w:rFonts w:hint="eastAsia" w:hAnsi="宋体"/>
                <w:b/>
                <w:bCs/>
                <w:sz w:val="21"/>
                <w:szCs w:val="21"/>
                <w:highlight w:val="none"/>
              </w:rPr>
              <w:t>考核点</w:t>
            </w:r>
          </w:p>
        </w:tc>
        <w:tc>
          <w:tcPr>
            <w:tcW w:w="4339" w:type="dxa"/>
            <w:vAlign w:val="center"/>
          </w:tcPr>
          <w:p>
            <w:pPr>
              <w:spacing w:line="240" w:lineRule="auto"/>
              <w:ind w:firstLine="422"/>
              <w:jc w:val="center"/>
              <w:rPr>
                <w:sz w:val="21"/>
                <w:szCs w:val="21"/>
                <w:highlight w:val="none"/>
              </w:rPr>
            </w:pPr>
            <w:r>
              <w:rPr>
                <w:rFonts w:hint="eastAsia" w:hAnsi="宋体"/>
                <w:b/>
                <w:bCs/>
                <w:sz w:val="21"/>
                <w:szCs w:val="21"/>
                <w:highlight w:val="none"/>
              </w:rPr>
              <w:t>考核标准</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1</w:t>
            </w:r>
          </w:p>
        </w:tc>
        <w:tc>
          <w:tcPr>
            <w:tcW w:w="3600" w:type="dxa"/>
            <w:vAlign w:val="center"/>
          </w:tcPr>
          <w:p>
            <w:pPr>
              <w:spacing w:line="240" w:lineRule="auto"/>
              <w:ind w:firstLine="0" w:firstLineChars="0"/>
              <w:jc w:val="left"/>
              <w:rPr>
                <w:sz w:val="21"/>
                <w:szCs w:val="21"/>
                <w:highlight w:val="none"/>
              </w:rPr>
            </w:pPr>
            <w:r>
              <w:rPr>
                <w:rFonts w:hint="eastAsia" w:hAnsi="宋体"/>
                <w:sz w:val="21"/>
                <w:szCs w:val="21"/>
                <w:highlight w:val="none"/>
              </w:rPr>
              <w:t>信息安全责任事件</w:t>
            </w:r>
          </w:p>
        </w:tc>
        <w:tc>
          <w:tcPr>
            <w:tcW w:w="4339" w:type="dxa"/>
            <w:vAlign w:val="center"/>
          </w:tcPr>
          <w:p>
            <w:pPr>
              <w:spacing w:line="240" w:lineRule="auto"/>
              <w:ind w:firstLine="0" w:firstLineChars="0"/>
              <w:jc w:val="left"/>
              <w:rPr>
                <w:rFonts w:hint="eastAsia" w:hAnsi="宋体"/>
                <w:sz w:val="21"/>
                <w:szCs w:val="21"/>
                <w:highlight w:val="none"/>
              </w:rPr>
            </w:pPr>
            <w:r>
              <w:rPr>
                <w:rFonts w:hint="eastAsia" w:hAnsi="宋体"/>
                <w:sz w:val="21"/>
                <w:szCs w:val="21"/>
                <w:highlight w:val="none"/>
              </w:rPr>
              <w:t>每通报1起有责任的一级信息安全事件，考核金额为</w:t>
            </w:r>
            <w:r>
              <w:rPr>
                <w:rFonts w:hAnsi="宋体"/>
                <w:sz w:val="21"/>
                <w:szCs w:val="21"/>
                <w:highlight w:val="none"/>
              </w:rPr>
              <w:t>50</w:t>
            </w:r>
            <w:r>
              <w:rPr>
                <w:rFonts w:hint="eastAsia" w:hAnsi="宋体"/>
                <w:sz w:val="21"/>
                <w:szCs w:val="21"/>
                <w:highlight w:val="none"/>
              </w:rPr>
              <w:t>%合同款。</w:t>
            </w:r>
          </w:p>
          <w:p>
            <w:pPr>
              <w:spacing w:line="240" w:lineRule="auto"/>
              <w:ind w:firstLine="0" w:firstLineChars="0"/>
              <w:jc w:val="left"/>
              <w:rPr>
                <w:rFonts w:hint="eastAsia" w:hAnsi="宋体"/>
                <w:sz w:val="21"/>
                <w:szCs w:val="21"/>
                <w:highlight w:val="none"/>
              </w:rPr>
            </w:pPr>
            <w:r>
              <w:rPr>
                <w:rFonts w:hint="eastAsia" w:hAnsi="宋体"/>
                <w:sz w:val="21"/>
                <w:szCs w:val="21"/>
                <w:highlight w:val="none"/>
              </w:rPr>
              <w:t>每通报1起有责任的二级信息安全事件，考核金额为40%合同款。</w:t>
            </w:r>
          </w:p>
          <w:p>
            <w:pPr>
              <w:spacing w:line="240" w:lineRule="auto"/>
              <w:ind w:firstLine="0" w:firstLineChars="0"/>
              <w:jc w:val="left"/>
              <w:rPr>
                <w:rFonts w:hint="eastAsia" w:hAnsi="宋体"/>
                <w:sz w:val="21"/>
                <w:szCs w:val="21"/>
                <w:highlight w:val="none"/>
              </w:rPr>
            </w:pPr>
            <w:r>
              <w:rPr>
                <w:rFonts w:hint="eastAsia" w:hAnsi="宋体"/>
                <w:sz w:val="21"/>
                <w:szCs w:val="21"/>
                <w:highlight w:val="none"/>
              </w:rPr>
              <w:t>每通报1起有责任的三级信息安全事件，考核金额为30%合同款。</w:t>
            </w:r>
          </w:p>
          <w:p>
            <w:pPr>
              <w:spacing w:line="240" w:lineRule="auto"/>
              <w:ind w:firstLine="0" w:firstLineChars="0"/>
              <w:jc w:val="left"/>
              <w:rPr>
                <w:sz w:val="21"/>
                <w:szCs w:val="21"/>
                <w:highlight w:val="none"/>
              </w:rPr>
            </w:pPr>
            <w:r>
              <w:rPr>
                <w:rFonts w:hint="eastAsia" w:hAnsi="宋体"/>
                <w:sz w:val="21"/>
                <w:szCs w:val="21"/>
                <w:highlight w:val="none"/>
              </w:rPr>
              <w:t>每通报1起有责任的四级信息安全事件，考核金额为20%合同款。</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2</w:t>
            </w:r>
          </w:p>
        </w:tc>
        <w:tc>
          <w:tcPr>
            <w:tcW w:w="3600" w:type="dxa"/>
            <w:vAlign w:val="center"/>
          </w:tcPr>
          <w:p>
            <w:pPr>
              <w:spacing w:line="240" w:lineRule="auto"/>
              <w:ind w:firstLine="0" w:firstLineChars="0"/>
              <w:jc w:val="left"/>
              <w:rPr>
                <w:sz w:val="21"/>
                <w:szCs w:val="21"/>
                <w:highlight w:val="none"/>
              </w:rPr>
            </w:pPr>
            <w:r>
              <w:rPr>
                <w:rFonts w:hint="eastAsia" w:hAnsi="宋体"/>
                <w:sz w:val="21"/>
                <w:szCs w:val="21"/>
                <w:highlight w:val="none"/>
              </w:rPr>
              <w:t>里程碑节点滞后</w:t>
            </w:r>
          </w:p>
        </w:tc>
        <w:tc>
          <w:tcPr>
            <w:tcW w:w="4339" w:type="dxa"/>
            <w:vAlign w:val="center"/>
          </w:tcPr>
          <w:p>
            <w:pPr>
              <w:spacing w:line="240" w:lineRule="auto"/>
              <w:ind w:firstLine="0" w:firstLineChars="0"/>
              <w:jc w:val="left"/>
              <w:rPr>
                <w:sz w:val="21"/>
                <w:szCs w:val="21"/>
                <w:highlight w:val="none"/>
              </w:rPr>
            </w:pPr>
            <w:r>
              <w:rPr>
                <w:rFonts w:hint="eastAsia" w:hAnsi="宋体"/>
                <w:sz w:val="21"/>
                <w:szCs w:val="21"/>
                <w:highlight w:val="none"/>
              </w:rPr>
              <w:t>因投标方原因里程碑滞后，每通报1次，扣除0.2%合同款，通报包括但不限于数字化工作简报、项目简报、公函等形式。</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3</w:t>
            </w:r>
          </w:p>
        </w:tc>
        <w:tc>
          <w:tcPr>
            <w:tcW w:w="3600" w:type="dxa"/>
            <w:vAlign w:val="center"/>
          </w:tcPr>
          <w:p>
            <w:pPr>
              <w:spacing w:line="240" w:lineRule="auto"/>
              <w:ind w:firstLine="0" w:firstLineChars="0"/>
              <w:jc w:val="left"/>
              <w:rPr>
                <w:sz w:val="21"/>
                <w:szCs w:val="21"/>
                <w:highlight w:val="none"/>
              </w:rPr>
            </w:pPr>
            <w:r>
              <w:rPr>
                <w:rFonts w:hint="eastAsia" w:hAnsi="宋体"/>
                <w:sz w:val="21"/>
                <w:szCs w:val="21"/>
                <w:highlight w:val="none"/>
              </w:rPr>
              <w:t>未按照方案提交交付物或交付质量不高（如验收不通过、成果评审未通过等）</w:t>
            </w:r>
          </w:p>
        </w:tc>
        <w:tc>
          <w:tcPr>
            <w:tcW w:w="4339" w:type="dxa"/>
            <w:vAlign w:val="center"/>
          </w:tcPr>
          <w:p>
            <w:pPr>
              <w:spacing w:line="240" w:lineRule="auto"/>
              <w:ind w:firstLine="0" w:firstLineChars="0"/>
              <w:jc w:val="left"/>
              <w:rPr>
                <w:sz w:val="21"/>
                <w:szCs w:val="21"/>
                <w:highlight w:val="none"/>
              </w:rPr>
            </w:pPr>
            <w:r>
              <w:rPr>
                <w:rFonts w:hint="eastAsia" w:hAnsi="宋体"/>
                <w:sz w:val="21"/>
                <w:szCs w:val="21"/>
                <w:highlight w:val="none"/>
              </w:rPr>
              <w:t>每出现或被通报1次，考核金额为0.2%合同款，通报包括但不限于数字化工作简报、项目简报、公函、验收组意见、评审意见等形式。</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4</w:t>
            </w:r>
          </w:p>
        </w:tc>
        <w:tc>
          <w:tcPr>
            <w:tcW w:w="3600" w:type="dxa"/>
            <w:vAlign w:val="center"/>
          </w:tcPr>
          <w:p>
            <w:pPr>
              <w:spacing w:line="240" w:lineRule="auto"/>
              <w:ind w:firstLine="0" w:firstLineChars="0"/>
              <w:jc w:val="left"/>
              <w:rPr>
                <w:sz w:val="21"/>
                <w:szCs w:val="21"/>
                <w:highlight w:val="none"/>
              </w:rPr>
            </w:pPr>
            <w:r>
              <w:rPr>
                <w:rFonts w:hint="eastAsia" w:hAnsi="宋体"/>
                <w:sz w:val="21"/>
                <w:szCs w:val="21"/>
                <w:highlight w:val="none"/>
              </w:rPr>
              <w:t>工作完成质量不高或工作滞后</w:t>
            </w:r>
          </w:p>
        </w:tc>
        <w:tc>
          <w:tcPr>
            <w:tcW w:w="4339" w:type="dxa"/>
            <w:vAlign w:val="center"/>
          </w:tcPr>
          <w:p>
            <w:pPr>
              <w:spacing w:line="240" w:lineRule="auto"/>
              <w:ind w:firstLine="0" w:firstLineChars="0"/>
              <w:jc w:val="left"/>
              <w:rPr>
                <w:sz w:val="21"/>
                <w:szCs w:val="21"/>
                <w:highlight w:val="none"/>
              </w:rPr>
            </w:pPr>
            <w:r>
              <w:rPr>
                <w:rFonts w:hint="eastAsia" w:hAnsi="宋体"/>
                <w:sz w:val="21"/>
                <w:szCs w:val="21"/>
                <w:highlight w:val="none"/>
              </w:rPr>
              <w:t>因工作完成质量不高或工作滞后每被约谈1次，考核金额为0.2%合同款，约谈包括但不限于数字化管理部门、业务主管部门、建设单位或项目经理约谈。</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5</w:t>
            </w:r>
          </w:p>
        </w:tc>
        <w:tc>
          <w:tcPr>
            <w:tcW w:w="3600" w:type="dxa"/>
            <w:vAlign w:val="center"/>
          </w:tcPr>
          <w:p>
            <w:pPr>
              <w:spacing w:line="240" w:lineRule="auto"/>
              <w:ind w:firstLine="0" w:firstLineChars="0"/>
              <w:jc w:val="left"/>
              <w:rPr>
                <w:sz w:val="21"/>
                <w:szCs w:val="21"/>
                <w:highlight w:val="none"/>
              </w:rPr>
            </w:pPr>
            <w:r>
              <w:rPr>
                <w:rFonts w:hint="eastAsia"/>
                <w:sz w:val="21"/>
                <w:szCs w:val="21"/>
                <w:highlight w:val="none"/>
              </w:rPr>
              <w:t>1）工作失误</w:t>
            </w:r>
          </w:p>
          <w:p>
            <w:pPr>
              <w:spacing w:line="240" w:lineRule="auto"/>
              <w:ind w:firstLine="0" w:firstLineChars="0"/>
              <w:jc w:val="left"/>
              <w:rPr>
                <w:sz w:val="21"/>
                <w:szCs w:val="21"/>
                <w:highlight w:val="none"/>
              </w:rPr>
            </w:pPr>
            <w:r>
              <w:rPr>
                <w:rFonts w:hint="eastAsia"/>
                <w:sz w:val="21"/>
                <w:szCs w:val="21"/>
                <w:highlight w:val="none"/>
              </w:rPr>
              <w:t>2）操作违规，存在无票操作，擅自扩大工作范围等违纪行为</w:t>
            </w:r>
          </w:p>
          <w:p>
            <w:pPr>
              <w:spacing w:line="240" w:lineRule="auto"/>
              <w:ind w:firstLine="0" w:firstLineChars="0"/>
              <w:jc w:val="left"/>
              <w:rPr>
                <w:sz w:val="21"/>
                <w:szCs w:val="21"/>
                <w:highlight w:val="none"/>
              </w:rPr>
            </w:pPr>
            <w:r>
              <w:rPr>
                <w:rFonts w:hint="eastAsia"/>
                <w:sz w:val="21"/>
                <w:szCs w:val="21"/>
                <w:highlight w:val="none"/>
              </w:rPr>
              <w:t>3）不遵守招标方纪律要求</w:t>
            </w:r>
          </w:p>
        </w:tc>
        <w:tc>
          <w:tcPr>
            <w:tcW w:w="4339" w:type="dxa"/>
            <w:vAlign w:val="center"/>
          </w:tcPr>
          <w:p>
            <w:pPr>
              <w:spacing w:line="240" w:lineRule="auto"/>
              <w:ind w:firstLine="0" w:firstLineChars="0"/>
              <w:jc w:val="left"/>
              <w:rPr>
                <w:sz w:val="21"/>
                <w:szCs w:val="21"/>
                <w:highlight w:val="none"/>
              </w:rPr>
            </w:pPr>
            <w:r>
              <w:rPr>
                <w:rFonts w:hint="eastAsia" w:hAnsi="宋体"/>
                <w:sz w:val="21"/>
                <w:szCs w:val="21"/>
                <w:highlight w:val="none"/>
              </w:rPr>
              <w:t>每通报1次，考核金额为1-5%合同款。造成重大影响的，酌情加重考核。</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6</w:t>
            </w:r>
          </w:p>
        </w:tc>
        <w:tc>
          <w:tcPr>
            <w:tcW w:w="3600" w:type="dxa"/>
            <w:vAlign w:val="center"/>
          </w:tcPr>
          <w:p>
            <w:pPr>
              <w:spacing w:line="240" w:lineRule="auto"/>
              <w:ind w:firstLine="0" w:firstLineChars="0"/>
              <w:jc w:val="left"/>
              <w:rPr>
                <w:sz w:val="21"/>
                <w:szCs w:val="21"/>
                <w:highlight w:val="none"/>
              </w:rPr>
            </w:pPr>
            <w:r>
              <w:rPr>
                <w:rFonts w:hint="eastAsia"/>
                <w:sz w:val="21"/>
                <w:szCs w:val="21"/>
                <w:highlight w:val="none"/>
              </w:rPr>
              <w:t>服务质量不高</w:t>
            </w:r>
          </w:p>
        </w:tc>
        <w:tc>
          <w:tcPr>
            <w:tcW w:w="4339" w:type="dxa"/>
            <w:vAlign w:val="center"/>
          </w:tcPr>
          <w:p>
            <w:pPr>
              <w:spacing w:line="240" w:lineRule="auto"/>
              <w:ind w:firstLine="0" w:firstLineChars="0"/>
              <w:jc w:val="left"/>
              <w:rPr>
                <w:sz w:val="21"/>
                <w:szCs w:val="21"/>
                <w:highlight w:val="none"/>
              </w:rPr>
            </w:pPr>
            <w:r>
              <w:rPr>
                <w:rFonts w:hint="eastAsia" w:hAnsi="宋体"/>
                <w:sz w:val="21"/>
                <w:szCs w:val="21"/>
                <w:highlight w:val="none"/>
              </w:rPr>
              <w:t>项目结算时，组织数字化管理部门、业务部门和建设单位对投标方服务质量进行评价，若得分向上取整后小于90分（满分为100分），每减1分扣除合同款0.05%。</w:t>
            </w:r>
          </w:p>
        </w:tc>
      </w:tr>
      <w:tr>
        <w:trPr>
          <w:jc w:val="center"/>
        </w:trPr>
        <w:tc>
          <w:tcPr>
            <w:tcW w:w="811" w:type="dxa"/>
            <w:vAlign w:val="center"/>
          </w:tcPr>
          <w:p>
            <w:pPr>
              <w:spacing w:line="240" w:lineRule="auto"/>
              <w:ind w:firstLine="0" w:firstLineChars="0"/>
              <w:jc w:val="center"/>
              <w:rPr>
                <w:sz w:val="21"/>
                <w:szCs w:val="21"/>
                <w:highlight w:val="none"/>
              </w:rPr>
            </w:pPr>
            <w:r>
              <w:rPr>
                <w:rFonts w:hint="eastAsia" w:hAnsi="宋体"/>
                <w:sz w:val="21"/>
                <w:szCs w:val="21"/>
                <w:highlight w:val="none"/>
              </w:rPr>
              <w:t>7</w:t>
            </w:r>
          </w:p>
        </w:tc>
        <w:tc>
          <w:tcPr>
            <w:tcW w:w="3600" w:type="dxa"/>
            <w:vAlign w:val="center"/>
          </w:tcPr>
          <w:p>
            <w:pPr>
              <w:spacing w:line="240" w:lineRule="auto"/>
              <w:ind w:firstLine="0" w:firstLineChars="0"/>
              <w:jc w:val="left"/>
              <w:rPr>
                <w:sz w:val="21"/>
                <w:szCs w:val="21"/>
                <w:highlight w:val="none"/>
              </w:rPr>
            </w:pPr>
            <w:r>
              <w:rPr>
                <w:rFonts w:hint="eastAsia"/>
                <w:sz w:val="21"/>
                <w:szCs w:val="21"/>
                <w:highlight w:val="none"/>
              </w:rPr>
              <w:t>1）中标方到场人数不够</w:t>
            </w:r>
          </w:p>
          <w:p>
            <w:pPr>
              <w:pStyle w:val="16"/>
              <w:spacing w:after="0" w:line="240" w:lineRule="auto"/>
              <w:ind w:firstLine="0" w:firstLineChars="0"/>
              <w:jc w:val="left"/>
              <w:rPr>
                <w:sz w:val="21"/>
                <w:szCs w:val="21"/>
                <w:highlight w:val="none"/>
              </w:rPr>
            </w:pPr>
            <w:r>
              <w:rPr>
                <w:rFonts w:hint="eastAsia"/>
                <w:sz w:val="21"/>
                <w:szCs w:val="21"/>
                <w:highlight w:val="none"/>
              </w:rPr>
              <w:t>2）中标方未按照要求配置专职人员</w:t>
            </w:r>
          </w:p>
          <w:p>
            <w:pPr>
              <w:pStyle w:val="16"/>
              <w:spacing w:after="0" w:line="240" w:lineRule="auto"/>
              <w:ind w:firstLine="0" w:firstLineChars="0"/>
              <w:jc w:val="left"/>
              <w:rPr>
                <w:sz w:val="21"/>
                <w:szCs w:val="21"/>
                <w:highlight w:val="none"/>
              </w:rPr>
            </w:pPr>
            <w:r>
              <w:rPr>
                <w:rFonts w:hint="eastAsia"/>
                <w:sz w:val="21"/>
                <w:szCs w:val="21"/>
                <w:highlight w:val="none"/>
              </w:rPr>
              <w:t>3）中标方未经招标方书面同意擅自更换项目经理或项目组人员</w:t>
            </w:r>
          </w:p>
          <w:p>
            <w:pPr>
              <w:pStyle w:val="16"/>
              <w:spacing w:after="0" w:line="240" w:lineRule="auto"/>
              <w:ind w:firstLine="0" w:firstLineChars="0"/>
              <w:jc w:val="left"/>
              <w:rPr>
                <w:sz w:val="21"/>
                <w:szCs w:val="21"/>
                <w:highlight w:val="none"/>
              </w:rPr>
            </w:pPr>
            <w:r>
              <w:rPr>
                <w:rFonts w:hint="eastAsia"/>
                <w:sz w:val="21"/>
                <w:szCs w:val="21"/>
                <w:highlight w:val="none"/>
              </w:rPr>
              <w:t>4）中标方人员资质不合</w:t>
            </w:r>
          </w:p>
        </w:tc>
        <w:tc>
          <w:tcPr>
            <w:tcW w:w="4339" w:type="dxa"/>
            <w:vAlign w:val="center"/>
          </w:tcPr>
          <w:p>
            <w:pPr>
              <w:spacing w:line="240" w:lineRule="auto"/>
              <w:ind w:firstLine="0" w:firstLineChars="0"/>
              <w:jc w:val="left"/>
              <w:rPr>
                <w:sz w:val="21"/>
                <w:szCs w:val="21"/>
                <w:highlight w:val="none"/>
              </w:rPr>
            </w:pPr>
            <w:r>
              <w:rPr>
                <w:rFonts w:hint="eastAsia"/>
                <w:sz w:val="21"/>
                <w:szCs w:val="21"/>
                <w:highlight w:val="none"/>
              </w:rPr>
              <w:t>每通报或发现1人次，考核金额为2%合同款。</w:t>
            </w:r>
          </w:p>
        </w:tc>
      </w:tr>
    </w:tbl>
    <w:p>
      <w:pPr>
        <w:ind w:firstLine="480"/>
        <w:rPr>
          <w:highlight w:val="none"/>
        </w:rPr>
      </w:pPr>
    </w:p>
    <w:sectPr>
      <w:headerReference r:id="rId13" w:type="default"/>
      <w:footerReference r:id="rId14"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TFangsong">
    <w:panose1 w:val="02010600040101010101"/>
    <w:charset w:val="86"/>
    <w:family w:val="auto"/>
    <w:pitch w:val="default"/>
    <w:sig w:usb0="00000287" w:usb1="080F0000" w:usb2="00000000" w:usb3="00000000" w:csb0="0004009F" w:csb1="DFD70000"/>
  </w:font>
  <w:font w:name="DejaVu Sans">
    <w:altName w:val="苹方-简"/>
    <w:panose1 w:val="02020603050405020304"/>
    <w:charset w:val="00"/>
    <w:family w:val="roman"/>
    <w:pitch w:val="default"/>
    <w:sig w:usb0="00000000" w:usb1="00000000" w:usb2="00000008" w:usb3="00000000" w:csb0="000001FF" w:csb1="00000000"/>
  </w:font>
  <w:font w:name="方正黑体_GBK">
    <w:altName w:val="汉仪中黑KW"/>
    <w:panose1 w:val="02000000000000000000"/>
    <w:charset w:val="00"/>
    <w:family w:val="auto"/>
    <w:pitch w:val="default"/>
    <w:sig w:usb0="00000000" w:usb1="0000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10" w:usb3="00000000" w:csb0="00040000" w:csb1="00000000"/>
  </w:font>
  <w:font w:name="ˎ̥">
    <w:altName w:val="苹方-简"/>
    <w:panose1 w:val="00000000000000000000"/>
    <w:charset w:val="00"/>
    <w:family w:val="roman"/>
    <w:pitch w:val="default"/>
    <w:sig w:usb0="00000000" w:usb1="00000000" w:usb2="00000000" w:usb3="00000000" w:csb0="00000000" w:csb1="00000000"/>
  </w:font>
  <w:font w:name="Verdana">
    <w:panose1 w:val="020B08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AFF" w:usb1="C000605B" w:usb2="00000029" w:usb3="00000000" w:csb0="200101FF" w:csb1="20280000"/>
  </w:font>
  <w:font w:name="微软雅黑">
    <w:altName w:val="汉仪旗黑"/>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AeDEB/0QAAAAIBAAAPAAAAAAAAAAEAIAAAADgAAABkcnMv&#10;ZG93bnJldi54bWxQSwECFAAUAAAACACHTuJAHmxoTPQBAADkAwAADgAAAAAAAAABACAAAAA2AQAA&#10;ZHJzL2Uyb0RvYy54bWxQSwUGAAAAAAYABgBZAQAAnAU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rPr>
        <w:rFonts w:ascii="Arial" w:hAnsi="Aria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rPr>
        <w:rFonts w:ascii="Arial" w:hAnsi="Arial"/>
      </w:rPr>
    </w:pPr>
    <w:r>
      <w:fldChar w:fldCharType="begin"/>
    </w:r>
    <w:r>
      <w:rPr>
        <w:rStyle w:val="37"/>
      </w:rPr>
      <w:instrText xml:space="preserve"> PAGE </w:instrText>
    </w:r>
    <w:r>
      <w:fldChar w:fldCharType="separate"/>
    </w:r>
    <w:r>
      <w:rPr>
        <w:rStyle w:val="37"/>
      </w:rPr>
      <w:t>- 8 -</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00"/>
      <w:jc w:val="right"/>
      <w:rPr>
        <w:sz w:val="15"/>
        <w:szCs w:val="15"/>
      </w:rPr>
    </w:pPr>
    <w:r>
      <w:rPr>
        <w:rFonts w:hint="eastAsia"/>
        <w:sz w:val="15"/>
        <w:szCs w:val="15"/>
      </w:rPr>
      <w:t>2026年南网云（经营管理节点）IaaS及PaaS采购（云桌面系统）项目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single" w:color="auto" w:sz="4" w:space="1"/>
      </w:pBdr>
      <w:spacing w:line="320" w:lineRule="atLeast"/>
      <w:ind w:firstLine="0" w:firstLineChars="0"/>
      <w:jc w:val="right"/>
      <w:rPr>
        <w:sz w:val="15"/>
        <w:szCs w:val="15"/>
      </w:rPr>
    </w:pPr>
    <w:r>
      <w:rPr>
        <w:rFonts w:hint="eastAsia"/>
        <w:sz w:val="15"/>
        <w:szCs w:val="15"/>
      </w:rPr>
      <w:t>2026年南网云（经营管理节点）IaaS及PaaS采购（云桌面系统）项目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336B8"/>
    <w:multiLevelType w:val="singleLevel"/>
    <w:tmpl w:val="A72336B8"/>
    <w:lvl w:ilvl="0" w:tentative="0">
      <w:start w:val="1"/>
      <w:numFmt w:val="decimal"/>
      <w:lvlText w:val="%1)"/>
      <w:lvlJc w:val="left"/>
      <w:pPr>
        <w:tabs>
          <w:tab w:val="left" w:pos="420"/>
        </w:tabs>
        <w:ind w:left="845" w:hanging="425"/>
      </w:pPr>
      <w:rPr>
        <w:rFonts w:hint="default"/>
      </w:rPr>
    </w:lvl>
  </w:abstractNum>
  <w:abstractNum w:abstractNumId="1">
    <w:nsid w:val="AAA4C57F"/>
    <w:multiLevelType w:val="singleLevel"/>
    <w:tmpl w:val="AAA4C57F"/>
    <w:lvl w:ilvl="0" w:tentative="0">
      <w:start w:val="1"/>
      <w:numFmt w:val="decimal"/>
      <w:lvlText w:val="%1)"/>
      <w:lvlJc w:val="left"/>
      <w:pPr>
        <w:tabs>
          <w:tab w:val="left" w:pos="420"/>
        </w:tabs>
        <w:ind w:left="845" w:hanging="425"/>
      </w:pPr>
      <w:rPr>
        <w:rFonts w:hint="default"/>
      </w:rPr>
    </w:lvl>
  </w:abstractNum>
  <w:abstractNum w:abstractNumId="2">
    <w:nsid w:val="B0F53FC8"/>
    <w:multiLevelType w:val="singleLevel"/>
    <w:tmpl w:val="B0F53FC8"/>
    <w:lvl w:ilvl="0" w:tentative="0">
      <w:start w:val="1"/>
      <w:numFmt w:val="decimal"/>
      <w:lvlText w:val="%1)"/>
      <w:lvlJc w:val="left"/>
      <w:pPr>
        <w:tabs>
          <w:tab w:val="left" w:pos="420"/>
        </w:tabs>
        <w:ind w:left="845" w:hanging="425"/>
      </w:pPr>
      <w:rPr>
        <w:rFonts w:hint="default"/>
      </w:rPr>
    </w:lvl>
  </w:abstractNum>
  <w:abstractNum w:abstractNumId="3">
    <w:nsid w:val="EB91B397"/>
    <w:multiLevelType w:val="singleLevel"/>
    <w:tmpl w:val="EB91B397"/>
    <w:lvl w:ilvl="0" w:tentative="0">
      <w:start w:val="1"/>
      <w:numFmt w:val="decimal"/>
      <w:suff w:val="nothing"/>
      <w:lvlText w:val="%1、"/>
      <w:lvlJc w:val="left"/>
    </w:lvl>
  </w:abstractNum>
  <w:abstractNum w:abstractNumId="4">
    <w:nsid w:val="F31BFF9A"/>
    <w:multiLevelType w:val="singleLevel"/>
    <w:tmpl w:val="F31BFF9A"/>
    <w:lvl w:ilvl="0" w:tentative="0">
      <w:start w:val="1"/>
      <w:numFmt w:val="decimal"/>
      <w:lvlText w:val="%1)"/>
      <w:lvlJc w:val="left"/>
      <w:pPr>
        <w:tabs>
          <w:tab w:val="left" w:pos="420"/>
        </w:tabs>
        <w:ind w:left="845" w:hanging="425"/>
      </w:pPr>
      <w:rPr>
        <w:rFonts w:hint="default"/>
      </w:rPr>
    </w:lvl>
  </w:abstractNum>
  <w:abstractNum w:abstractNumId="5">
    <w:nsid w:val="FE7FD8F6"/>
    <w:multiLevelType w:val="singleLevel"/>
    <w:tmpl w:val="FE7FD8F6"/>
    <w:lvl w:ilvl="0" w:tentative="0">
      <w:start w:val="1"/>
      <w:numFmt w:val="decimal"/>
      <w:lvlText w:val="%1)"/>
      <w:lvlJc w:val="left"/>
      <w:pPr>
        <w:tabs>
          <w:tab w:val="left" w:pos="420"/>
        </w:tabs>
        <w:ind w:left="845" w:hanging="425"/>
      </w:pPr>
      <w:rPr>
        <w:rFonts w:hint="default"/>
      </w:rPr>
    </w:lvl>
  </w:abstractNum>
  <w:abstractNum w:abstractNumId="6">
    <w:nsid w:val="FFBF1632"/>
    <w:multiLevelType w:val="singleLevel"/>
    <w:tmpl w:val="FFBF1632"/>
    <w:lvl w:ilvl="0" w:tentative="0">
      <w:start w:val="1"/>
      <w:numFmt w:val="decimal"/>
      <w:lvlText w:val="%1)"/>
      <w:lvlJc w:val="left"/>
      <w:pPr>
        <w:tabs>
          <w:tab w:val="left" w:pos="420"/>
        </w:tabs>
        <w:ind w:left="845" w:hanging="425"/>
      </w:pPr>
      <w:rPr>
        <w:rFonts w:hint="default"/>
      </w:rPr>
    </w:lvl>
  </w:abstractNum>
  <w:abstractNum w:abstractNumId="7">
    <w:nsid w:val="FFFEED47"/>
    <w:multiLevelType w:val="singleLevel"/>
    <w:tmpl w:val="FFFEED47"/>
    <w:lvl w:ilvl="0" w:tentative="0">
      <w:start w:val="1"/>
      <w:numFmt w:val="decimal"/>
      <w:lvlText w:val="%1)"/>
      <w:lvlJc w:val="left"/>
      <w:pPr>
        <w:tabs>
          <w:tab w:val="left" w:pos="420"/>
        </w:tabs>
        <w:ind w:left="845" w:hanging="425"/>
      </w:pPr>
      <w:rPr>
        <w:rFonts w:hint="default"/>
      </w:rPr>
    </w:lvl>
  </w:abstractNum>
  <w:abstractNum w:abstractNumId="8">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0FE13DF2"/>
    <w:multiLevelType w:val="singleLevel"/>
    <w:tmpl w:val="0FE13DF2"/>
    <w:lvl w:ilvl="0" w:tentative="0">
      <w:start w:val="1"/>
      <w:numFmt w:val="decimal"/>
      <w:lvlText w:val="%1)"/>
      <w:lvlJc w:val="left"/>
      <w:pPr>
        <w:tabs>
          <w:tab w:val="left" w:pos="420"/>
        </w:tabs>
        <w:ind w:left="845" w:hanging="425"/>
      </w:pPr>
      <w:rPr>
        <w:rFonts w:hint="default"/>
      </w:rPr>
    </w:lvl>
  </w:abstractNum>
  <w:abstractNum w:abstractNumId="15">
    <w:nsid w:val="13A26E29"/>
    <w:multiLevelType w:val="multilevel"/>
    <w:tmpl w:val="13A26E29"/>
    <w:lvl w:ilvl="0" w:tentative="0">
      <w:start w:val="1"/>
      <w:numFmt w:val="decimal"/>
      <w:pStyle w:val="2"/>
      <w:lvlText w:val="%1"/>
      <w:lvlJc w:val="left"/>
      <w:pPr>
        <w:tabs>
          <w:tab w:val="left" w:pos="432"/>
        </w:tabs>
        <w:ind w:left="432" w:hanging="432"/>
      </w:pPr>
      <w:rPr>
        <w:rFonts w:hint="eastAsia"/>
        <w:lang w:val="sv-SE"/>
      </w:rPr>
    </w:lvl>
    <w:lvl w:ilvl="1" w:tentative="0">
      <w:start w:val="1"/>
      <w:numFmt w:val="decimal"/>
      <w:pStyle w:val="3"/>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
    <w:nsid w:val="1FB76877"/>
    <w:multiLevelType w:val="singleLevel"/>
    <w:tmpl w:val="1FB76877"/>
    <w:lvl w:ilvl="0" w:tentative="0">
      <w:start w:val="1"/>
      <w:numFmt w:val="decimal"/>
      <w:lvlText w:val="%1)"/>
      <w:lvlJc w:val="left"/>
      <w:pPr>
        <w:tabs>
          <w:tab w:val="left" w:pos="420"/>
        </w:tabs>
        <w:ind w:left="845" w:hanging="425"/>
      </w:pPr>
      <w:rPr>
        <w:rFonts w:hint="default"/>
      </w:rPr>
    </w:lvl>
  </w:abstractNum>
  <w:abstractNum w:abstractNumId="17">
    <w:nsid w:val="32F284D3"/>
    <w:multiLevelType w:val="singleLevel"/>
    <w:tmpl w:val="32F284D3"/>
    <w:lvl w:ilvl="0" w:tentative="0">
      <w:start w:val="1"/>
      <w:numFmt w:val="decimal"/>
      <w:lvlText w:val="%1)"/>
      <w:lvlJc w:val="left"/>
      <w:pPr>
        <w:tabs>
          <w:tab w:val="left" w:pos="420"/>
        </w:tabs>
        <w:ind w:left="845" w:hanging="425"/>
      </w:pPr>
      <w:rPr>
        <w:rFonts w:hint="default"/>
      </w:rPr>
    </w:lvl>
  </w:abstractNum>
  <w:abstractNum w:abstractNumId="18">
    <w:nsid w:val="487BA31A"/>
    <w:multiLevelType w:val="singleLevel"/>
    <w:tmpl w:val="487BA31A"/>
    <w:lvl w:ilvl="0" w:tentative="0">
      <w:start w:val="1"/>
      <w:numFmt w:val="decimal"/>
      <w:lvlText w:val="%1)"/>
      <w:lvlJc w:val="left"/>
      <w:pPr>
        <w:tabs>
          <w:tab w:val="left" w:pos="420"/>
        </w:tabs>
        <w:ind w:left="845" w:hanging="425"/>
      </w:pPr>
      <w:rPr>
        <w:rFonts w:hint="default"/>
      </w:rPr>
    </w:lvl>
  </w:abstractNum>
  <w:abstractNum w:abstractNumId="19">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20">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1">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2">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3">
    <w:nsid w:val="5C4E914B"/>
    <w:multiLevelType w:val="multilevel"/>
    <w:tmpl w:val="5C4E914B"/>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4">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25">
    <w:nsid w:val="7775C509"/>
    <w:multiLevelType w:val="singleLevel"/>
    <w:tmpl w:val="7775C509"/>
    <w:lvl w:ilvl="0" w:tentative="0">
      <w:start w:val="1"/>
      <w:numFmt w:val="decimal"/>
      <w:lvlText w:val="%1)"/>
      <w:lvlJc w:val="left"/>
      <w:pPr>
        <w:tabs>
          <w:tab w:val="left" w:pos="420"/>
        </w:tabs>
        <w:ind w:left="845" w:hanging="425"/>
      </w:pPr>
      <w:rPr>
        <w:rFonts w:hint="default"/>
      </w:rPr>
    </w:lvl>
  </w:abstractNum>
  <w:abstractNum w:abstractNumId="26">
    <w:nsid w:val="79FDDE80"/>
    <w:multiLevelType w:val="multilevel"/>
    <w:tmpl w:val="79FDDE80"/>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3.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A65C87F"/>
    <w:multiLevelType w:val="multilevel"/>
    <w:tmpl w:val="7A65C87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19"/>
  </w:num>
  <w:num w:numId="3">
    <w:abstractNumId w:val="24"/>
  </w:num>
  <w:num w:numId="4">
    <w:abstractNumId w:val="27"/>
  </w:num>
  <w:num w:numId="5">
    <w:abstractNumId w:val="12"/>
  </w:num>
  <w:num w:numId="6">
    <w:abstractNumId w:val="13"/>
  </w:num>
  <w:num w:numId="7">
    <w:abstractNumId w:val="11"/>
  </w:num>
  <w:num w:numId="8">
    <w:abstractNumId w:val="8"/>
  </w:num>
  <w:num w:numId="9">
    <w:abstractNumId w:val="20"/>
  </w:num>
  <w:num w:numId="10">
    <w:abstractNumId w:val="10"/>
  </w:num>
  <w:num w:numId="11">
    <w:abstractNumId w:val="21"/>
  </w:num>
  <w:num w:numId="12">
    <w:abstractNumId w:val="26"/>
  </w:num>
  <w:num w:numId="13">
    <w:abstractNumId w:val="6"/>
  </w:num>
  <w:num w:numId="14">
    <w:abstractNumId w:val="18"/>
  </w:num>
  <w:num w:numId="15">
    <w:abstractNumId w:val="7"/>
  </w:num>
  <w:num w:numId="16">
    <w:abstractNumId w:val="16"/>
  </w:num>
  <w:num w:numId="17">
    <w:abstractNumId w:val="3"/>
  </w:num>
  <w:num w:numId="18">
    <w:abstractNumId w:val="25"/>
  </w:num>
  <w:num w:numId="19">
    <w:abstractNumId w:val="5"/>
  </w:num>
  <w:num w:numId="20">
    <w:abstractNumId w:val="17"/>
  </w:num>
  <w:num w:numId="21">
    <w:abstractNumId w:val="4"/>
  </w:num>
  <w:num w:numId="22">
    <w:abstractNumId w:val="2"/>
  </w:num>
  <w:num w:numId="23">
    <w:abstractNumId w:val="1"/>
  </w:num>
  <w:num w:numId="24">
    <w:abstractNumId w:val="0"/>
  </w:num>
  <w:num w:numId="25">
    <w:abstractNumId w:val="14"/>
  </w:num>
  <w:num w:numId="26">
    <w:abstractNumId w:val="22"/>
  </w:num>
  <w:num w:numId="27">
    <w:abstractNumId w:val="2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wY2EwYzgyOGM2YTE5M2JkNGNlMDU0MjM2OTdiZDUifQ=="/>
  </w:docVars>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554C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30AE"/>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321F"/>
    <w:rsid w:val="001D7D76"/>
    <w:rsid w:val="001E0A8E"/>
    <w:rsid w:val="001E18D3"/>
    <w:rsid w:val="001E19C3"/>
    <w:rsid w:val="001E3496"/>
    <w:rsid w:val="001E58AF"/>
    <w:rsid w:val="001E5DDE"/>
    <w:rsid w:val="001F0D45"/>
    <w:rsid w:val="001F3526"/>
    <w:rsid w:val="001F444C"/>
    <w:rsid w:val="001F5253"/>
    <w:rsid w:val="00202171"/>
    <w:rsid w:val="00202932"/>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5233"/>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2B78"/>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5D1A"/>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1E6"/>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37C5"/>
    <w:rsid w:val="004A758E"/>
    <w:rsid w:val="004B7E69"/>
    <w:rsid w:val="004C11DA"/>
    <w:rsid w:val="004C1823"/>
    <w:rsid w:val="004D452F"/>
    <w:rsid w:val="004D4552"/>
    <w:rsid w:val="004D5A9D"/>
    <w:rsid w:val="004D601F"/>
    <w:rsid w:val="004D6AEC"/>
    <w:rsid w:val="004E1A01"/>
    <w:rsid w:val="004E2CCD"/>
    <w:rsid w:val="004E2EDB"/>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174C"/>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46B5"/>
    <w:rsid w:val="006656AF"/>
    <w:rsid w:val="00670EC7"/>
    <w:rsid w:val="00671CD6"/>
    <w:rsid w:val="0067648F"/>
    <w:rsid w:val="006848BA"/>
    <w:rsid w:val="006914B4"/>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28DA"/>
    <w:rsid w:val="007A5103"/>
    <w:rsid w:val="007B4028"/>
    <w:rsid w:val="007B464C"/>
    <w:rsid w:val="007B4B53"/>
    <w:rsid w:val="007B6925"/>
    <w:rsid w:val="007B7E60"/>
    <w:rsid w:val="007C0F38"/>
    <w:rsid w:val="007C24E4"/>
    <w:rsid w:val="007C4D11"/>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214"/>
    <w:rsid w:val="008346C5"/>
    <w:rsid w:val="00834C35"/>
    <w:rsid w:val="00836E45"/>
    <w:rsid w:val="008440B1"/>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249E"/>
    <w:rsid w:val="00913AA0"/>
    <w:rsid w:val="00917FE6"/>
    <w:rsid w:val="00920BD9"/>
    <w:rsid w:val="0092206B"/>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9F7C12"/>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1DAC"/>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0CBA"/>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07BE"/>
    <w:rsid w:val="00BF37FE"/>
    <w:rsid w:val="00C02816"/>
    <w:rsid w:val="00C03733"/>
    <w:rsid w:val="00C05017"/>
    <w:rsid w:val="00C0518B"/>
    <w:rsid w:val="00C060D8"/>
    <w:rsid w:val="00C105BE"/>
    <w:rsid w:val="00C135D6"/>
    <w:rsid w:val="00C148BE"/>
    <w:rsid w:val="00C1589F"/>
    <w:rsid w:val="00C15EDB"/>
    <w:rsid w:val="00C175AA"/>
    <w:rsid w:val="00C25584"/>
    <w:rsid w:val="00C27530"/>
    <w:rsid w:val="00C31BA7"/>
    <w:rsid w:val="00C3479C"/>
    <w:rsid w:val="00C37965"/>
    <w:rsid w:val="00C427BC"/>
    <w:rsid w:val="00C51213"/>
    <w:rsid w:val="00C57536"/>
    <w:rsid w:val="00C62CFC"/>
    <w:rsid w:val="00C656E2"/>
    <w:rsid w:val="00C7469F"/>
    <w:rsid w:val="00C77C7D"/>
    <w:rsid w:val="00C829CB"/>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0BBD"/>
    <w:rsid w:val="00CF64B8"/>
    <w:rsid w:val="00CF7F30"/>
    <w:rsid w:val="00D0332A"/>
    <w:rsid w:val="00D05AB8"/>
    <w:rsid w:val="00D12B1F"/>
    <w:rsid w:val="00D12EC6"/>
    <w:rsid w:val="00D13606"/>
    <w:rsid w:val="00D16219"/>
    <w:rsid w:val="00D16403"/>
    <w:rsid w:val="00D17B6E"/>
    <w:rsid w:val="00D17F50"/>
    <w:rsid w:val="00D22A82"/>
    <w:rsid w:val="00D312BA"/>
    <w:rsid w:val="00D321FE"/>
    <w:rsid w:val="00D34222"/>
    <w:rsid w:val="00D36598"/>
    <w:rsid w:val="00D42A81"/>
    <w:rsid w:val="00D4437A"/>
    <w:rsid w:val="00D44420"/>
    <w:rsid w:val="00D54BD9"/>
    <w:rsid w:val="00D55DE5"/>
    <w:rsid w:val="00D601CC"/>
    <w:rsid w:val="00D6149B"/>
    <w:rsid w:val="00D61730"/>
    <w:rsid w:val="00D70B8F"/>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E5CAC"/>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73532"/>
    <w:rsid w:val="00E839FB"/>
    <w:rsid w:val="00E851FC"/>
    <w:rsid w:val="00E86D95"/>
    <w:rsid w:val="00E91526"/>
    <w:rsid w:val="00E919CA"/>
    <w:rsid w:val="00E95B1A"/>
    <w:rsid w:val="00EA09A3"/>
    <w:rsid w:val="00EA21C5"/>
    <w:rsid w:val="00EA6905"/>
    <w:rsid w:val="00EB5F3E"/>
    <w:rsid w:val="00EB77F0"/>
    <w:rsid w:val="00EB7F34"/>
    <w:rsid w:val="00EC2702"/>
    <w:rsid w:val="00EC5BBB"/>
    <w:rsid w:val="00EC5EAF"/>
    <w:rsid w:val="00ED656B"/>
    <w:rsid w:val="00ED6D27"/>
    <w:rsid w:val="00EE0285"/>
    <w:rsid w:val="00F0246D"/>
    <w:rsid w:val="00F026D4"/>
    <w:rsid w:val="00F23732"/>
    <w:rsid w:val="00F23FE5"/>
    <w:rsid w:val="00F27926"/>
    <w:rsid w:val="00F279B4"/>
    <w:rsid w:val="00F36A1C"/>
    <w:rsid w:val="00F40BC8"/>
    <w:rsid w:val="00F47F6F"/>
    <w:rsid w:val="00F53DA8"/>
    <w:rsid w:val="00F567B4"/>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0158D6"/>
    <w:rsid w:val="0151194F"/>
    <w:rsid w:val="01671C4E"/>
    <w:rsid w:val="01BB71BD"/>
    <w:rsid w:val="01BD23EE"/>
    <w:rsid w:val="01DA0B48"/>
    <w:rsid w:val="01F90182"/>
    <w:rsid w:val="01FF65D1"/>
    <w:rsid w:val="020113ED"/>
    <w:rsid w:val="0240705E"/>
    <w:rsid w:val="024625B0"/>
    <w:rsid w:val="02E121AF"/>
    <w:rsid w:val="02E70D76"/>
    <w:rsid w:val="02F02C73"/>
    <w:rsid w:val="02FE3510"/>
    <w:rsid w:val="03020317"/>
    <w:rsid w:val="034D1A82"/>
    <w:rsid w:val="036B733D"/>
    <w:rsid w:val="036D6AC2"/>
    <w:rsid w:val="03B40D23"/>
    <w:rsid w:val="03C0596D"/>
    <w:rsid w:val="03DF460C"/>
    <w:rsid w:val="0422662D"/>
    <w:rsid w:val="042934A2"/>
    <w:rsid w:val="04305996"/>
    <w:rsid w:val="04346599"/>
    <w:rsid w:val="04877EA0"/>
    <w:rsid w:val="0493699D"/>
    <w:rsid w:val="04A529BD"/>
    <w:rsid w:val="04D618FE"/>
    <w:rsid w:val="05044D34"/>
    <w:rsid w:val="050B74E1"/>
    <w:rsid w:val="050D5C84"/>
    <w:rsid w:val="0522507E"/>
    <w:rsid w:val="052470FB"/>
    <w:rsid w:val="0551513B"/>
    <w:rsid w:val="05741C9F"/>
    <w:rsid w:val="059C0DCC"/>
    <w:rsid w:val="05B4066A"/>
    <w:rsid w:val="05B57B80"/>
    <w:rsid w:val="05C22BB5"/>
    <w:rsid w:val="05F85B3D"/>
    <w:rsid w:val="05F93F49"/>
    <w:rsid w:val="062F6FC3"/>
    <w:rsid w:val="0634632E"/>
    <w:rsid w:val="063D77F5"/>
    <w:rsid w:val="064A0C19"/>
    <w:rsid w:val="065B7E9B"/>
    <w:rsid w:val="066E2377"/>
    <w:rsid w:val="067374D5"/>
    <w:rsid w:val="06AA4553"/>
    <w:rsid w:val="06ED323C"/>
    <w:rsid w:val="06F86D73"/>
    <w:rsid w:val="071F0864"/>
    <w:rsid w:val="07435FE8"/>
    <w:rsid w:val="074D4D6C"/>
    <w:rsid w:val="07D021ED"/>
    <w:rsid w:val="080815BA"/>
    <w:rsid w:val="083644EB"/>
    <w:rsid w:val="08493CEC"/>
    <w:rsid w:val="08571FAF"/>
    <w:rsid w:val="08D625AD"/>
    <w:rsid w:val="08E44A3F"/>
    <w:rsid w:val="08E95CA9"/>
    <w:rsid w:val="091E5A36"/>
    <w:rsid w:val="09230B2E"/>
    <w:rsid w:val="093F1AD9"/>
    <w:rsid w:val="095630F1"/>
    <w:rsid w:val="0971724B"/>
    <w:rsid w:val="09857ADC"/>
    <w:rsid w:val="098A1D74"/>
    <w:rsid w:val="098D09FF"/>
    <w:rsid w:val="09C30B86"/>
    <w:rsid w:val="0A0E4349"/>
    <w:rsid w:val="0A141330"/>
    <w:rsid w:val="0A39301B"/>
    <w:rsid w:val="0A400353"/>
    <w:rsid w:val="0ABA4DD0"/>
    <w:rsid w:val="0AD32958"/>
    <w:rsid w:val="0ADA14FA"/>
    <w:rsid w:val="0AE84F86"/>
    <w:rsid w:val="0BAE374A"/>
    <w:rsid w:val="0BB2656C"/>
    <w:rsid w:val="0BB863E7"/>
    <w:rsid w:val="0BC65E11"/>
    <w:rsid w:val="0BFA57C9"/>
    <w:rsid w:val="0C09029B"/>
    <w:rsid w:val="0C4241C7"/>
    <w:rsid w:val="0C467A48"/>
    <w:rsid w:val="0C4D7C21"/>
    <w:rsid w:val="0C575BA7"/>
    <w:rsid w:val="0C7926B1"/>
    <w:rsid w:val="0CC24B12"/>
    <w:rsid w:val="0CCB0197"/>
    <w:rsid w:val="0CD034A3"/>
    <w:rsid w:val="0D1C2AFA"/>
    <w:rsid w:val="0D20492F"/>
    <w:rsid w:val="0D5F0EDB"/>
    <w:rsid w:val="0DB227D4"/>
    <w:rsid w:val="0DB278FD"/>
    <w:rsid w:val="0E132E9A"/>
    <w:rsid w:val="0E1834C1"/>
    <w:rsid w:val="0E1A3847"/>
    <w:rsid w:val="0E2B0985"/>
    <w:rsid w:val="0E3C58D5"/>
    <w:rsid w:val="0E430CE5"/>
    <w:rsid w:val="0E5B5169"/>
    <w:rsid w:val="0EAC1B24"/>
    <w:rsid w:val="0EB93C3D"/>
    <w:rsid w:val="0F311B96"/>
    <w:rsid w:val="0F4D47A1"/>
    <w:rsid w:val="0F4F61AB"/>
    <w:rsid w:val="0F57359F"/>
    <w:rsid w:val="0F693E0D"/>
    <w:rsid w:val="0F8924A9"/>
    <w:rsid w:val="0F8F7DCE"/>
    <w:rsid w:val="0FBF163F"/>
    <w:rsid w:val="0FCC0F53"/>
    <w:rsid w:val="0FD4086B"/>
    <w:rsid w:val="0FE55519"/>
    <w:rsid w:val="100F30C6"/>
    <w:rsid w:val="10181477"/>
    <w:rsid w:val="10492E3A"/>
    <w:rsid w:val="10524E78"/>
    <w:rsid w:val="10684D0C"/>
    <w:rsid w:val="108F0552"/>
    <w:rsid w:val="10A20886"/>
    <w:rsid w:val="10B6257F"/>
    <w:rsid w:val="10D02FB0"/>
    <w:rsid w:val="10E35691"/>
    <w:rsid w:val="10FA5354"/>
    <w:rsid w:val="1179646D"/>
    <w:rsid w:val="11AC5CCD"/>
    <w:rsid w:val="11B252F5"/>
    <w:rsid w:val="11B80FAC"/>
    <w:rsid w:val="11CA3F82"/>
    <w:rsid w:val="11E043BF"/>
    <w:rsid w:val="122130F3"/>
    <w:rsid w:val="12413B02"/>
    <w:rsid w:val="127141F0"/>
    <w:rsid w:val="12853ADC"/>
    <w:rsid w:val="12B046B7"/>
    <w:rsid w:val="130242F7"/>
    <w:rsid w:val="13252C24"/>
    <w:rsid w:val="132B00B1"/>
    <w:rsid w:val="13336A79"/>
    <w:rsid w:val="136F66CF"/>
    <w:rsid w:val="137E1C1B"/>
    <w:rsid w:val="138F65AB"/>
    <w:rsid w:val="139458E3"/>
    <w:rsid w:val="13967256"/>
    <w:rsid w:val="13C3411C"/>
    <w:rsid w:val="13DC7FD1"/>
    <w:rsid w:val="13F14BE0"/>
    <w:rsid w:val="13F7629C"/>
    <w:rsid w:val="13F9306F"/>
    <w:rsid w:val="14461693"/>
    <w:rsid w:val="14492CD6"/>
    <w:rsid w:val="144D21E5"/>
    <w:rsid w:val="147321EF"/>
    <w:rsid w:val="149D0AE7"/>
    <w:rsid w:val="14A311FF"/>
    <w:rsid w:val="14B81AB4"/>
    <w:rsid w:val="14C22F60"/>
    <w:rsid w:val="14C72C92"/>
    <w:rsid w:val="154137DB"/>
    <w:rsid w:val="155D20CA"/>
    <w:rsid w:val="15620E6F"/>
    <w:rsid w:val="157A6ECD"/>
    <w:rsid w:val="15807BD8"/>
    <w:rsid w:val="159D498A"/>
    <w:rsid w:val="15BD7CC2"/>
    <w:rsid w:val="15BF639B"/>
    <w:rsid w:val="15C60441"/>
    <w:rsid w:val="160D352C"/>
    <w:rsid w:val="160F5C0D"/>
    <w:rsid w:val="161B7041"/>
    <w:rsid w:val="162A5DFF"/>
    <w:rsid w:val="16435C8A"/>
    <w:rsid w:val="165A53BA"/>
    <w:rsid w:val="16712320"/>
    <w:rsid w:val="16733F99"/>
    <w:rsid w:val="16DA3CE8"/>
    <w:rsid w:val="17167F51"/>
    <w:rsid w:val="175361C0"/>
    <w:rsid w:val="176B65EE"/>
    <w:rsid w:val="176F1A4E"/>
    <w:rsid w:val="17816282"/>
    <w:rsid w:val="17902301"/>
    <w:rsid w:val="17B00001"/>
    <w:rsid w:val="18216F40"/>
    <w:rsid w:val="18505EFA"/>
    <w:rsid w:val="1860175F"/>
    <w:rsid w:val="18704FEB"/>
    <w:rsid w:val="18744007"/>
    <w:rsid w:val="18835BFE"/>
    <w:rsid w:val="18B96776"/>
    <w:rsid w:val="18CC4658"/>
    <w:rsid w:val="193C2959"/>
    <w:rsid w:val="19A21095"/>
    <w:rsid w:val="19B73355"/>
    <w:rsid w:val="19B81AA1"/>
    <w:rsid w:val="19CD6CAE"/>
    <w:rsid w:val="19CF55EE"/>
    <w:rsid w:val="19FA05D8"/>
    <w:rsid w:val="1A012EEA"/>
    <w:rsid w:val="1A0761F6"/>
    <w:rsid w:val="1A113E67"/>
    <w:rsid w:val="1A274EB5"/>
    <w:rsid w:val="1A7D724D"/>
    <w:rsid w:val="1AA80E44"/>
    <w:rsid w:val="1ADA6401"/>
    <w:rsid w:val="1AFE1D3D"/>
    <w:rsid w:val="1B02346E"/>
    <w:rsid w:val="1B195C38"/>
    <w:rsid w:val="1B302BE8"/>
    <w:rsid w:val="1B475CEB"/>
    <w:rsid w:val="1B4B46D8"/>
    <w:rsid w:val="1B6B68B7"/>
    <w:rsid w:val="1B736034"/>
    <w:rsid w:val="1BBA6460"/>
    <w:rsid w:val="1C306445"/>
    <w:rsid w:val="1C360AEC"/>
    <w:rsid w:val="1C6728EE"/>
    <w:rsid w:val="1C7477A2"/>
    <w:rsid w:val="1C794B4D"/>
    <w:rsid w:val="1C7F277C"/>
    <w:rsid w:val="1CC16191"/>
    <w:rsid w:val="1CDF07BC"/>
    <w:rsid w:val="1CE8524C"/>
    <w:rsid w:val="1D154EB0"/>
    <w:rsid w:val="1D3425C9"/>
    <w:rsid w:val="1D63026E"/>
    <w:rsid w:val="1D8E1856"/>
    <w:rsid w:val="1D913947"/>
    <w:rsid w:val="1DC77356"/>
    <w:rsid w:val="1E060761"/>
    <w:rsid w:val="1E32497E"/>
    <w:rsid w:val="1E510D0C"/>
    <w:rsid w:val="1E9A2EA4"/>
    <w:rsid w:val="1EA00976"/>
    <w:rsid w:val="1EAC52DB"/>
    <w:rsid w:val="1EB2621F"/>
    <w:rsid w:val="1ED91699"/>
    <w:rsid w:val="1F1915B1"/>
    <w:rsid w:val="1F8E0C6E"/>
    <w:rsid w:val="1F9954E9"/>
    <w:rsid w:val="1FC1175E"/>
    <w:rsid w:val="2007768E"/>
    <w:rsid w:val="200816B8"/>
    <w:rsid w:val="200F23E0"/>
    <w:rsid w:val="201541EB"/>
    <w:rsid w:val="201D3653"/>
    <w:rsid w:val="202E4B7D"/>
    <w:rsid w:val="202F1568"/>
    <w:rsid w:val="203F0CAA"/>
    <w:rsid w:val="20636CBF"/>
    <w:rsid w:val="20643DEF"/>
    <w:rsid w:val="207544E1"/>
    <w:rsid w:val="20A61CF0"/>
    <w:rsid w:val="21097572"/>
    <w:rsid w:val="21451656"/>
    <w:rsid w:val="217D202E"/>
    <w:rsid w:val="21E96D34"/>
    <w:rsid w:val="21F21D8A"/>
    <w:rsid w:val="222E1ACF"/>
    <w:rsid w:val="2272285F"/>
    <w:rsid w:val="22804C96"/>
    <w:rsid w:val="22AB210C"/>
    <w:rsid w:val="22B079AD"/>
    <w:rsid w:val="22B471AB"/>
    <w:rsid w:val="22D16D29"/>
    <w:rsid w:val="22F61413"/>
    <w:rsid w:val="23052C9E"/>
    <w:rsid w:val="23AC3AFD"/>
    <w:rsid w:val="23CE666F"/>
    <w:rsid w:val="23EC39AF"/>
    <w:rsid w:val="24195A89"/>
    <w:rsid w:val="243932FC"/>
    <w:rsid w:val="245100DF"/>
    <w:rsid w:val="245E5405"/>
    <w:rsid w:val="246F534D"/>
    <w:rsid w:val="247B337E"/>
    <w:rsid w:val="249D1FB5"/>
    <w:rsid w:val="24AF46C7"/>
    <w:rsid w:val="250F1AC0"/>
    <w:rsid w:val="2530781B"/>
    <w:rsid w:val="253E439A"/>
    <w:rsid w:val="2540102A"/>
    <w:rsid w:val="25D05E49"/>
    <w:rsid w:val="25DC25E9"/>
    <w:rsid w:val="25EB6089"/>
    <w:rsid w:val="26175C46"/>
    <w:rsid w:val="262B30DA"/>
    <w:rsid w:val="265E72F5"/>
    <w:rsid w:val="26991D4F"/>
    <w:rsid w:val="26BE320A"/>
    <w:rsid w:val="26C93DB0"/>
    <w:rsid w:val="26F5531C"/>
    <w:rsid w:val="273D24A7"/>
    <w:rsid w:val="27866227"/>
    <w:rsid w:val="27B0283F"/>
    <w:rsid w:val="27D42FA7"/>
    <w:rsid w:val="27DC4A42"/>
    <w:rsid w:val="27FA31EE"/>
    <w:rsid w:val="280023AD"/>
    <w:rsid w:val="280C6A98"/>
    <w:rsid w:val="28221788"/>
    <w:rsid w:val="28287B04"/>
    <w:rsid w:val="2848292F"/>
    <w:rsid w:val="2856697C"/>
    <w:rsid w:val="286258C1"/>
    <w:rsid w:val="287D38FB"/>
    <w:rsid w:val="28B568D5"/>
    <w:rsid w:val="28CB19EB"/>
    <w:rsid w:val="28FC339E"/>
    <w:rsid w:val="291C62F7"/>
    <w:rsid w:val="29244687"/>
    <w:rsid w:val="29684C6F"/>
    <w:rsid w:val="2968605F"/>
    <w:rsid w:val="29922A2C"/>
    <w:rsid w:val="29A15300"/>
    <w:rsid w:val="29A8436A"/>
    <w:rsid w:val="29B4047C"/>
    <w:rsid w:val="29C537FA"/>
    <w:rsid w:val="29D136C4"/>
    <w:rsid w:val="29F341A6"/>
    <w:rsid w:val="2A00442A"/>
    <w:rsid w:val="2A0A61FB"/>
    <w:rsid w:val="2A1016C6"/>
    <w:rsid w:val="2A54408F"/>
    <w:rsid w:val="2A673735"/>
    <w:rsid w:val="2A996797"/>
    <w:rsid w:val="2AB53CDC"/>
    <w:rsid w:val="2ABF0E41"/>
    <w:rsid w:val="2AD07376"/>
    <w:rsid w:val="2AD524AB"/>
    <w:rsid w:val="2AD87375"/>
    <w:rsid w:val="2AE3030C"/>
    <w:rsid w:val="2B07191F"/>
    <w:rsid w:val="2B107449"/>
    <w:rsid w:val="2B226E40"/>
    <w:rsid w:val="2B4A4649"/>
    <w:rsid w:val="2BE7133E"/>
    <w:rsid w:val="2C154C0C"/>
    <w:rsid w:val="2C2B1074"/>
    <w:rsid w:val="2C2E3979"/>
    <w:rsid w:val="2C302071"/>
    <w:rsid w:val="2C62300F"/>
    <w:rsid w:val="2C7B7C5B"/>
    <w:rsid w:val="2CD35D4A"/>
    <w:rsid w:val="2CDD6F8C"/>
    <w:rsid w:val="2CF640B7"/>
    <w:rsid w:val="2D21315C"/>
    <w:rsid w:val="2D325F77"/>
    <w:rsid w:val="2D4135F6"/>
    <w:rsid w:val="2D6B1CB2"/>
    <w:rsid w:val="2D9A7B1B"/>
    <w:rsid w:val="2DC41FF5"/>
    <w:rsid w:val="2E156F69"/>
    <w:rsid w:val="2E3E255E"/>
    <w:rsid w:val="2E4D11FE"/>
    <w:rsid w:val="2E8F40C4"/>
    <w:rsid w:val="2EAC5F9C"/>
    <w:rsid w:val="2EBC451F"/>
    <w:rsid w:val="2EF327B8"/>
    <w:rsid w:val="2F706E7D"/>
    <w:rsid w:val="2F7232DD"/>
    <w:rsid w:val="2F94257D"/>
    <w:rsid w:val="2FC2095B"/>
    <w:rsid w:val="2FC78CAE"/>
    <w:rsid w:val="2FD71B48"/>
    <w:rsid w:val="30036FF6"/>
    <w:rsid w:val="303555C7"/>
    <w:rsid w:val="304E5FBB"/>
    <w:rsid w:val="30910910"/>
    <w:rsid w:val="30E144BF"/>
    <w:rsid w:val="30E92487"/>
    <w:rsid w:val="30F75133"/>
    <w:rsid w:val="319A0B20"/>
    <w:rsid w:val="31A11FB3"/>
    <w:rsid w:val="31A949E3"/>
    <w:rsid w:val="31EA7553"/>
    <w:rsid w:val="322644EF"/>
    <w:rsid w:val="322E389B"/>
    <w:rsid w:val="325F1090"/>
    <w:rsid w:val="337E5948"/>
    <w:rsid w:val="33A74D35"/>
    <w:rsid w:val="33B50017"/>
    <w:rsid w:val="33C05244"/>
    <w:rsid w:val="34243940"/>
    <w:rsid w:val="344276A7"/>
    <w:rsid w:val="346259EE"/>
    <w:rsid w:val="346642FE"/>
    <w:rsid w:val="34C77D11"/>
    <w:rsid w:val="34EE15EE"/>
    <w:rsid w:val="351D2DF3"/>
    <w:rsid w:val="352970FA"/>
    <w:rsid w:val="355066CA"/>
    <w:rsid w:val="35535186"/>
    <w:rsid w:val="358E15F4"/>
    <w:rsid w:val="35BFCC79"/>
    <w:rsid w:val="35F806E5"/>
    <w:rsid w:val="35FF78FB"/>
    <w:rsid w:val="36107489"/>
    <w:rsid w:val="365C3163"/>
    <w:rsid w:val="366175C4"/>
    <w:rsid w:val="3668091F"/>
    <w:rsid w:val="369B76D2"/>
    <w:rsid w:val="36DB39CD"/>
    <w:rsid w:val="37352A03"/>
    <w:rsid w:val="373B10A7"/>
    <w:rsid w:val="37531431"/>
    <w:rsid w:val="37635922"/>
    <w:rsid w:val="376F4315"/>
    <w:rsid w:val="377648A1"/>
    <w:rsid w:val="37980946"/>
    <w:rsid w:val="37EA795C"/>
    <w:rsid w:val="38015653"/>
    <w:rsid w:val="383A1085"/>
    <w:rsid w:val="388A0871"/>
    <w:rsid w:val="38AE2FDE"/>
    <w:rsid w:val="38B14072"/>
    <w:rsid w:val="38CE389C"/>
    <w:rsid w:val="38D679F0"/>
    <w:rsid w:val="397F69A7"/>
    <w:rsid w:val="39A73CF9"/>
    <w:rsid w:val="39A83240"/>
    <w:rsid w:val="39B04F29"/>
    <w:rsid w:val="39BF5239"/>
    <w:rsid w:val="39C93F9E"/>
    <w:rsid w:val="3A0347B8"/>
    <w:rsid w:val="3A3B3A70"/>
    <w:rsid w:val="3A6901A6"/>
    <w:rsid w:val="3A7167A8"/>
    <w:rsid w:val="3A764894"/>
    <w:rsid w:val="3A793D5D"/>
    <w:rsid w:val="3B121228"/>
    <w:rsid w:val="3B1C0828"/>
    <w:rsid w:val="3B2517EA"/>
    <w:rsid w:val="3B5A30DF"/>
    <w:rsid w:val="3B6E76FC"/>
    <w:rsid w:val="3B6F3168"/>
    <w:rsid w:val="3B711BBC"/>
    <w:rsid w:val="3B761C1F"/>
    <w:rsid w:val="3B766EC2"/>
    <w:rsid w:val="3B853DBF"/>
    <w:rsid w:val="3B8A3C4E"/>
    <w:rsid w:val="3BFF3617"/>
    <w:rsid w:val="3C042D63"/>
    <w:rsid w:val="3C0910A9"/>
    <w:rsid w:val="3C0C1625"/>
    <w:rsid w:val="3C0F01FD"/>
    <w:rsid w:val="3C201B3C"/>
    <w:rsid w:val="3C7B0121"/>
    <w:rsid w:val="3C9C6154"/>
    <w:rsid w:val="3CAF17AD"/>
    <w:rsid w:val="3CB74069"/>
    <w:rsid w:val="3CD461EE"/>
    <w:rsid w:val="3CE7736A"/>
    <w:rsid w:val="3CEC23CF"/>
    <w:rsid w:val="3CEC4607"/>
    <w:rsid w:val="3D3F4162"/>
    <w:rsid w:val="3D7A2D70"/>
    <w:rsid w:val="3D7F084D"/>
    <w:rsid w:val="3D906F68"/>
    <w:rsid w:val="3D9564E4"/>
    <w:rsid w:val="3DC82773"/>
    <w:rsid w:val="3DEC2722"/>
    <w:rsid w:val="3DFEAB8E"/>
    <w:rsid w:val="3E04464D"/>
    <w:rsid w:val="3E1A7DE1"/>
    <w:rsid w:val="3E35467C"/>
    <w:rsid w:val="3E6636D4"/>
    <w:rsid w:val="3F39544B"/>
    <w:rsid w:val="3F850D51"/>
    <w:rsid w:val="3FBA7BFA"/>
    <w:rsid w:val="3FBB5E6C"/>
    <w:rsid w:val="3FCB271F"/>
    <w:rsid w:val="3FF13618"/>
    <w:rsid w:val="3FF468D0"/>
    <w:rsid w:val="40295CD4"/>
    <w:rsid w:val="406C0665"/>
    <w:rsid w:val="406C3535"/>
    <w:rsid w:val="40772818"/>
    <w:rsid w:val="408C131D"/>
    <w:rsid w:val="40937BFF"/>
    <w:rsid w:val="40AB66E9"/>
    <w:rsid w:val="40B05B66"/>
    <w:rsid w:val="40C2596E"/>
    <w:rsid w:val="40D074EF"/>
    <w:rsid w:val="40DA062D"/>
    <w:rsid w:val="40DC77F1"/>
    <w:rsid w:val="410332F2"/>
    <w:rsid w:val="41104447"/>
    <w:rsid w:val="4138050F"/>
    <w:rsid w:val="415B5BE5"/>
    <w:rsid w:val="41845BA0"/>
    <w:rsid w:val="419F0436"/>
    <w:rsid w:val="41C612EC"/>
    <w:rsid w:val="41EB202B"/>
    <w:rsid w:val="423D6600"/>
    <w:rsid w:val="424D224F"/>
    <w:rsid w:val="42551EA9"/>
    <w:rsid w:val="42676605"/>
    <w:rsid w:val="428C5433"/>
    <w:rsid w:val="428F1DE9"/>
    <w:rsid w:val="42CC5941"/>
    <w:rsid w:val="42E579BE"/>
    <w:rsid w:val="43165A9D"/>
    <w:rsid w:val="431AE743"/>
    <w:rsid w:val="432C659B"/>
    <w:rsid w:val="43551D39"/>
    <w:rsid w:val="43A830DF"/>
    <w:rsid w:val="43A85796"/>
    <w:rsid w:val="43BA32CA"/>
    <w:rsid w:val="43C025A0"/>
    <w:rsid w:val="43D86C2F"/>
    <w:rsid w:val="43D940D4"/>
    <w:rsid w:val="441C4C12"/>
    <w:rsid w:val="441F3011"/>
    <w:rsid w:val="442A4738"/>
    <w:rsid w:val="442D235D"/>
    <w:rsid w:val="44645AC9"/>
    <w:rsid w:val="44E41455"/>
    <w:rsid w:val="44E86ADA"/>
    <w:rsid w:val="45044262"/>
    <w:rsid w:val="451C070E"/>
    <w:rsid w:val="459C4696"/>
    <w:rsid w:val="45A37205"/>
    <w:rsid w:val="45B746DA"/>
    <w:rsid w:val="45B80DA5"/>
    <w:rsid w:val="45F27331"/>
    <w:rsid w:val="462C2AE7"/>
    <w:rsid w:val="464B1DF7"/>
    <w:rsid w:val="465F60F6"/>
    <w:rsid w:val="46BD331C"/>
    <w:rsid w:val="46CF406D"/>
    <w:rsid w:val="46D93ADB"/>
    <w:rsid w:val="4703731C"/>
    <w:rsid w:val="47792ECE"/>
    <w:rsid w:val="4794337F"/>
    <w:rsid w:val="479C33A6"/>
    <w:rsid w:val="47ED7E4A"/>
    <w:rsid w:val="48073E38"/>
    <w:rsid w:val="483F75F8"/>
    <w:rsid w:val="485506F5"/>
    <w:rsid w:val="48AD1D9D"/>
    <w:rsid w:val="48D21E9C"/>
    <w:rsid w:val="49280EA3"/>
    <w:rsid w:val="494303AB"/>
    <w:rsid w:val="4979273A"/>
    <w:rsid w:val="4983262C"/>
    <w:rsid w:val="498D0070"/>
    <w:rsid w:val="49A2234A"/>
    <w:rsid w:val="49C95ADB"/>
    <w:rsid w:val="4A3309D2"/>
    <w:rsid w:val="4A4C5229"/>
    <w:rsid w:val="4A514059"/>
    <w:rsid w:val="4AC464A4"/>
    <w:rsid w:val="4AC46F4D"/>
    <w:rsid w:val="4AD06758"/>
    <w:rsid w:val="4AFC68BB"/>
    <w:rsid w:val="4AFE5A9C"/>
    <w:rsid w:val="4B1947F1"/>
    <w:rsid w:val="4B25285E"/>
    <w:rsid w:val="4B3305E7"/>
    <w:rsid w:val="4B832BC4"/>
    <w:rsid w:val="4B873D96"/>
    <w:rsid w:val="4BC27116"/>
    <w:rsid w:val="4BC85879"/>
    <w:rsid w:val="4BD97325"/>
    <w:rsid w:val="4C0810B0"/>
    <w:rsid w:val="4C2E7602"/>
    <w:rsid w:val="4C331FB2"/>
    <w:rsid w:val="4C62533E"/>
    <w:rsid w:val="4C7B2B06"/>
    <w:rsid w:val="4CC37467"/>
    <w:rsid w:val="4D5D520F"/>
    <w:rsid w:val="4D5F478F"/>
    <w:rsid w:val="4D933FD7"/>
    <w:rsid w:val="4DB26CE3"/>
    <w:rsid w:val="4DF7B5CE"/>
    <w:rsid w:val="4E022ABD"/>
    <w:rsid w:val="4E1B3A89"/>
    <w:rsid w:val="4E306FA9"/>
    <w:rsid w:val="4E404F6A"/>
    <w:rsid w:val="4E6D5F63"/>
    <w:rsid w:val="4ED905C3"/>
    <w:rsid w:val="4EDC6B43"/>
    <w:rsid w:val="4EDF6CF2"/>
    <w:rsid w:val="4F2C1696"/>
    <w:rsid w:val="4F426DCF"/>
    <w:rsid w:val="4F632D5C"/>
    <w:rsid w:val="4F6D3D85"/>
    <w:rsid w:val="4F72EC5B"/>
    <w:rsid w:val="4FAF1F20"/>
    <w:rsid w:val="4FB74DC9"/>
    <w:rsid w:val="4FBD0D8C"/>
    <w:rsid w:val="4FDB4904"/>
    <w:rsid w:val="4FF16F94"/>
    <w:rsid w:val="50055A34"/>
    <w:rsid w:val="50177C97"/>
    <w:rsid w:val="504725E4"/>
    <w:rsid w:val="504E3428"/>
    <w:rsid w:val="505C77D3"/>
    <w:rsid w:val="506557EA"/>
    <w:rsid w:val="50836AA9"/>
    <w:rsid w:val="50A548CE"/>
    <w:rsid w:val="50CD0BAD"/>
    <w:rsid w:val="50E013D8"/>
    <w:rsid w:val="50EE182F"/>
    <w:rsid w:val="50F05E6E"/>
    <w:rsid w:val="50F24F31"/>
    <w:rsid w:val="51124210"/>
    <w:rsid w:val="512E48E5"/>
    <w:rsid w:val="516E7783"/>
    <w:rsid w:val="518554F0"/>
    <w:rsid w:val="518D2B21"/>
    <w:rsid w:val="51CD0128"/>
    <w:rsid w:val="51DA2677"/>
    <w:rsid w:val="51F87826"/>
    <w:rsid w:val="52083FBD"/>
    <w:rsid w:val="521F426E"/>
    <w:rsid w:val="522074F9"/>
    <w:rsid w:val="52595FA5"/>
    <w:rsid w:val="52715934"/>
    <w:rsid w:val="529245B1"/>
    <w:rsid w:val="52CA0823"/>
    <w:rsid w:val="52D63FAB"/>
    <w:rsid w:val="52FA6A02"/>
    <w:rsid w:val="52FC7036"/>
    <w:rsid w:val="53094A77"/>
    <w:rsid w:val="53491C96"/>
    <w:rsid w:val="53672882"/>
    <w:rsid w:val="53761CED"/>
    <w:rsid w:val="537B71CA"/>
    <w:rsid w:val="53B43F7C"/>
    <w:rsid w:val="53BA5279"/>
    <w:rsid w:val="53C36E76"/>
    <w:rsid w:val="53D55EA6"/>
    <w:rsid w:val="53DA113F"/>
    <w:rsid w:val="53E90768"/>
    <w:rsid w:val="541E22A0"/>
    <w:rsid w:val="542B2D98"/>
    <w:rsid w:val="543A21EA"/>
    <w:rsid w:val="54794946"/>
    <w:rsid w:val="54996AE7"/>
    <w:rsid w:val="54D322B1"/>
    <w:rsid w:val="54E07F1A"/>
    <w:rsid w:val="54F91C1A"/>
    <w:rsid w:val="55225FCB"/>
    <w:rsid w:val="552474C7"/>
    <w:rsid w:val="552A4A85"/>
    <w:rsid w:val="554535B7"/>
    <w:rsid w:val="556041A5"/>
    <w:rsid w:val="556239E2"/>
    <w:rsid w:val="55644E74"/>
    <w:rsid w:val="55BC323D"/>
    <w:rsid w:val="55CE0325"/>
    <w:rsid w:val="55D879E4"/>
    <w:rsid w:val="56265473"/>
    <w:rsid w:val="564A0B43"/>
    <w:rsid w:val="567629CE"/>
    <w:rsid w:val="568D6699"/>
    <w:rsid w:val="56925B4E"/>
    <w:rsid w:val="56B377DF"/>
    <w:rsid w:val="56F754E8"/>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446029"/>
    <w:rsid w:val="596606D9"/>
    <w:rsid w:val="596738CC"/>
    <w:rsid w:val="598B4BF5"/>
    <w:rsid w:val="598C2402"/>
    <w:rsid w:val="59B75146"/>
    <w:rsid w:val="59DF4591"/>
    <w:rsid w:val="59E145D5"/>
    <w:rsid w:val="59E74E45"/>
    <w:rsid w:val="59EA3823"/>
    <w:rsid w:val="59FA0FFD"/>
    <w:rsid w:val="5A4D17C1"/>
    <w:rsid w:val="5A6F12AE"/>
    <w:rsid w:val="5A8803F4"/>
    <w:rsid w:val="5A883D64"/>
    <w:rsid w:val="5A8A2D83"/>
    <w:rsid w:val="5A9F2E6A"/>
    <w:rsid w:val="5AAE38A2"/>
    <w:rsid w:val="5AB6428F"/>
    <w:rsid w:val="5AB657D7"/>
    <w:rsid w:val="5ABF66FF"/>
    <w:rsid w:val="5AC401E7"/>
    <w:rsid w:val="5AED6AD6"/>
    <w:rsid w:val="5AFA5EE2"/>
    <w:rsid w:val="5B036231"/>
    <w:rsid w:val="5B2C50E4"/>
    <w:rsid w:val="5B4F6AF7"/>
    <w:rsid w:val="5B5418F7"/>
    <w:rsid w:val="5BAF2D13"/>
    <w:rsid w:val="5BC70B2B"/>
    <w:rsid w:val="5BE04A8A"/>
    <w:rsid w:val="5C0A1D64"/>
    <w:rsid w:val="5C16499B"/>
    <w:rsid w:val="5C404771"/>
    <w:rsid w:val="5C9D1F3A"/>
    <w:rsid w:val="5CAD799A"/>
    <w:rsid w:val="5CAE5C9B"/>
    <w:rsid w:val="5D162219"/>
    <w:rsid w:val="5D5A1DE6"/>
    <w:rsid w:val="5D8F2C7D"/>
    <w:rsid w:val="5DA4513B"/>
    <w:rsid w:val="5DA96369"/>
    <w:rsid w:val="5DC56AC7"/>
    <w:rsid w:val="5DD7A775"/>
    <w:rsid w:val="5DE93056"/>
    <w:rsid w:val="5DEE17A1"/>
    <w:rsid w:val="5DF11787"/>
    <w:rsid w:val="5DF27113"/>
    <w:rsid w:val="5E104FD0"/>
    <w:rsid w:val="5E201EB5"/>
    <w:rsid w:val="5E206C8A"/>
    <w:rsid w:val="5E387AC8"/>
    <w:rsid w:val="5E4C4CAF"/>
    <w:rsid w:val="5E646D1E"/>
    <w:rsid w:val="5E676DD0"/>
    <w:rsid w:val="5E9C15B7"/>
    <w:rsid w:val="5EA86964"/>
    <w:rsid w:val="5EB92A59"/>
    <w:rsid w:val="5F1521DF"/>
    <w:rsid w:val="5F1D8778"/>
    <w:rsid w:val="5F2A2BC0"/>
    <w:rsid w:val="5F2D0A20"/>
    <w:rsid w:val="5F2F56D6"/>
    <w:rsid w:val="5F67093A"/>
    <w:rsid w:val="5F702FF1"/>
    <w:rsid w:val="5F887A42"/>
    <w:rsid w:val="5F8D54B7"/>
    <w:rsid w:val="5FAC55AE"/>
    <w:rsid w:val="5FC1218B"/>
    <w:rsid w:val="5FC20B0B"/>
    <w:rsid w:val="5FD73A01"/>
    <w:rsid w:val="5FF725F5"/>
    <w:rsid w:val="5FFD1635"/>
    <w:rsid w:val="60107195"/>
    <w:rsid w:val="60534363"/>
    <w:rsid w:val="608F46D6"/>
    <w:rsid w:val="612C7258"/>
    <w:rsid w:val="615715FA"/>
    <w:rsid w:val="61580A4B"/>
    <w:rsid w:val="617501C1"/>
    <w:rsid w:val="61A2701B"/>
    <w:rsid w:val="61AC3914"/>
    <w:rsid w:val="61D258E3"/>
    <w:rsid w:val="623F1C3E"/>
    <w:rsid w:val="626F038D"/>
    <w:rsid w:val="62745E47"/>
    <w:rsid w:val="6318215C"/>
    <w:rsid w:val="631A0B14"/>
    <w:rsid w:val="635E00FF"/>
    <w:rsid w:val="63A1155A"/>
    <w:rsid w:val="63CE6A42"/>
    <w:rsid w:val="63F5714F"/>
    <w:rsid w:val="643739A8"/>
    <w:rsid w:val="64492E5C"/>
    <w:rsid w:val="64595C2C"/>
    <w:rsid w:val="648A4B3C"/>
    <w:rsid w:val="64AA720F"/>
    <w:rsid w:val="64B91BC4"/>
    <w:rsid w:val="64DC41C5"/>
    <w:rsid w:val="64ED2CF1"/>
    <w:rsid w:val="650F1820"/>
    <w:rsid w:val="652F0DE7"/>
    <w:rsid w:val="655F1AE9"/>
    <w:rsid w:val="65BD2897"/>
    <w:rsid w:val="65C86E43"/>
    <w:rsid w:val="65CE3A8E"/>
    <w:rsid w:val="65DB6A30"/>
    <w:rsid w:val="65E43C2D"/>
    <w:rsid w:val="660D0D24"/>
    <w:rsid w:val="664044D4"/>
    <w:rsid w:val="665A4132"/>
    <w:rsid w:val="666838E7"/>
    <w:rsid w:val="666C646C"/>
    <w:rsid w:val="667A011A"/>
    <w:rsid w:val="66BB5427"/>
    <w:rsid w:val="66D075E7"/>
    <w:rsid w:val="671660B5"/>
    <w:rsid w:val="672E4B50"/>
    <w:rsid w:val="672F1F72"/>
    <w:rsid w:val="67356C13"/>
    <w:rsid w:val="677636C5"/>
    <w:rsid w:val="679C714C"/>
    <w:rsid w:val="679D6AF9"/>
    <w:rsid w:val="67D65BC6"/>
    <w:rsid w:val="67F37354"/>
    <w:rsid w:val="681236F4"/>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9E66720"/>
    <w:rsid w:val="6A174AFA"/>
    <w:rsid w:val="6A3C33DE"/>
    <w:rsid w:val="6A4A3C55"/>
    <w:rsid w:val="6A8317BE"/>
    <w:rsid w:val="6A932E15"/>
    <w:rsid w:val="6A9C5300"/>
    <w:rsid w:val="6B0A1759"/>
    <w:rsid w:val="6B1E7F72"/>
    <w:rsid w:val="6B20385E"/>
    <w:rsid w:val="6B267794"/>
    <w:rsid w:val="6B4073A8"/>
    <w:rsid w:val="6B7A4C92"/>
    <w:rsid w:val="6B9F3F28"/>
    <w:rsid w:val="6BC4254A"/>
    <w:rsid w:val="6BD1358A"/>
    <w:rsid w:val="6BD2516B"/>
    <w:rsid w:val="6BE65C64"/>
    <w:rsid w:val="6C147A93"/>
    <w:rsid w:val="6C4031A0"/>
    <w:rsid w:val="6C7B054B"/>
    <w:rsid w:val="6C946195"/>
    <w:rsid w:val="6CED7FE2"/>
    <w:rsid w:val="6D1674E0"/>
    <w:rsid w:val="6D1A0413"/>
    <w:rsid w:val="6D282574"/>
    <w:rsid w:val="6D6E7452"/>
    <w:rsid w:val="6D7C7615"/>
    <w:rsid w:val="6D7F027A"/>
    <w:rsid w:val="6D806684"/>
    <w:rsid w:val="6D8807CC"/>
    <w:rsid w:val="6E0C3167"/>
    <w:rsid w:val="6E3E7F8B"/>
    <w:rsid w:val="6E6DAC52"/>
    <w:rsid w:val="6E8F062E"/>
    <w:rsid w:val="6EAF10B5"/>
    <w:rsid w:val="6EB1401F"/>
    <w:rsid w:val="6EE37288"/>
    <w:rsid w:val="6EED62E3"/>
    <w:rsid w:val="6EFB0656"/>
    <w:rsid w:val="6F0C0A71"/>
    <w:rsid w:val="6F28489D"/>
    <w:rsid w:val="6F423E6F"/>
    <w:rsid w:val="6F486DCC"/>
    <w:rsid w:val="6FC742B7"/>
    <w:rsid w:val="6FC757B4"/>
    <w:rsid w:val="6FFA3DC5"/>
    <w:rsid w:val="7005474A"/>
    <w:rsid w:val="70115191"/>
    <w:rsid w:val="702F740D"/>
    <w:rsid w:val="703D50B9"/>
    <w:rsid w:val="70496DEE"/>
    <w:rsid w:val="71117455"/>
    <w:rsid w:val="715C382B"/>
    <w:rsid w:val="71D07A9E"/>
    <w:rsid w:val="71D12CA5"/>
    <w:rsid w:val="71D62D16"/>
    <w:rsid w:val="71E10E5F"/>
    <w:rsid w:val="71F033AD"/>
    <w:rsid w:val="72025094"/>
    <w:rsid w:val="72086C48"/>
    <w:rsid w:val="72326905"/>
    <w:rsid w:val="726B72E8"/>
    <w:rsid w:val="72710D21"/>
    <w:rsid w:val="7273785A"/>
    <w:rsid w:val="728614E5"/>
    <w:rsid w:val="7292206D"/>
    <w:rsid w:val="729F3BF6"/>
    <w:rsid w:val="72A64E75"/>
    <w:rsid w:val="72B020DF"/>
    <w:rsid w:val="72B252D4"/>
    <w:rsid w:val="72FA7AC5"/>
    <w:rsid w:val="735F1BDD"/>
    <w:rsid w:val="737FB375"/>
    <w:rsid w:val="73834987"/>
    <w:rsid w:val="738370B6"/>
    <w:rsid w:val="73F164DA"/>
    <w:rsid w:val="740D45B9"/>
    <w:rsid w:val="74283869"/>
    <w:rsid w:val="7432313D"/>
    <w:rsid w:val="745A23B1"/>
    <w:rsid w:val="746216B1"/>
    <w:rsid w:val="747C2EBD"/>
    <w:rsid w:val="7486249F"/>
    <w:rsid w:val="74B263C2"/>
    <w:rsid w:val="75030E64"/>
    <w:rsid w:val="750F08C7"/>
    <w:rsid w:val="753048AD"/>
    <w:rsid w:val="75381C1F"/>
    <w:rsid w:val="75400A5F"/>
    <w:rsid w:val="755195DB"/>
    <w:rsid w:val="756C9D93"/>
    <w:rsid w:val="75770905"/>
    <w:rsid w:val="759C390E"/>
    <w:rsid w:val="75A230C3"/>
    <w:rsid w:val="75CF6EAD"/>
    <w:rsid w:val="75F061FF"/>
    <w:rsid w:val="76212B75"/>
    <w:rsid w:val="76513647"/>
    <w:rsid w:val="76A26B77"/>
    <w:rsid w:val="76D35A76"/>
    <w:rsid w:val="76EA6B52"/>
    <w:rsid w:val="76FE6862"/>
    <w:rsid w:val="77564FC0"/>
    <w:rsid w:val="776FAAC4"/>
    <w:rsid w:val="7797237E"/>
    <w:rsid w:val="77D05213"/>
    <w:rsid w:val="77DC4AD7"/>
    <w:rsid w:val="780264D2"/>
    <w:rsid w:val="78346907"/>
    <w:rsid w:val="78464877"/>
    <w:rsid w:val="785116D4"/>
    <w:rsid w:val="78517245"/>
    <w:rsid w:val="78827DAA"/>
    <w:rsid w:val="78D66832"/>
    <w:rsid w:val="79002122"/>
    <w:rsid w:val="792675C1"/>
    <w:rsid w:val="795F7B1D"/>
    <w:rsid w:val="7988270D"/>
    <w:rsid w:val="79C01938"/>
    <w:rsid w:val="79CA5FA9"/>
    <w:rsid w:val="79E0038D"/>
    <w:rsid w:val="7A36378E"/>
    <w:rsid w:val="7A421502"/>
    <w:rsid w:val="7A583C2F"/>
    <w:rsid w:val="7A700169"/>
    <w:rsid w:val="7A7311FF"/>
    <w:rsid w:val="7A80094C"/>
    <w:rsid w:val="7A821EE5"/>
    <w:rsid w:val="7A8D4A9C"/>
    <w:rsid w:val="7AD325F0"/>
    <w:rsid w:val="7B0257FA"/>
    <w:rsid w:val="7B1C1411"/>
    <w:rsid w:val="7B1D208B"/>
    <w:rsid w:val="7B2FFBB2"/>
    <w:rsid w:val="7B791678"/>
    <w:rsid w:val="7BA543C8"/>
    <w:rsid w:val="7BBFD992"/>
    <w:rsid w:val="7BC15E4F"/>
    <w:rsid w:val="7C0C1B9F"/>
    <w:rsid w:val="7C357ED5"/>
    <w:rsid w:val="7C4F211F"/>
    <w:rsid w:val="7C52568F"/>
    <w:rsid w:val="7C823371"/>
    <w:rsid w:val="7CA16C7F"/>
    <w:rsid w:val="7CF58682"/>
    <w:rsid w:val="7D004CB1"/>
    <w:rsid w:val="7D1B5B54"/>
    <w:rsid w:val="7D4D282D"/>
    <w:rsid w:val="7D6A05D4"/>
    <w:rsid w:val="7D7F10B7"/>
    <w:rsid w:val="7D86694D"/>
    <w:rsid w:val="7DBA6ED4"/>
    <w:rsid w:val="7DDF9ABF"/>
    <w:rsid w:val="7DE47912"/>
    <w:rsid w:val="7DFCBB08"/>
    <w:rsid w:val="7E1647E5"/>
    <w:rsid w:val="7EA20A7E"/>
    <w:rsid w:val="7EB34C9F"/>
    <w:rsid w:val="7EC15935"/>
    <w:rsid w:val="7EEA0DCC"/>
    <w:rsid w:val="7F110969"/>
    <w:rsid w:val="7F28589F"/>
    <w:rsid w:val="7F383B46"/>
    <w:rsid w:val="7F42F657"/>
    <w:rsid w:val="7F58347D"/>
    <w:rsid w:val="7F650577"/>
    <w:rsid w:val="7F8A3866"/>
    <w:rsid w:val="7FAE16CA"/>
    <w:rsid w:val="7FF27BCD"/>
    <w:rsid w:val="7FFD119B"/>
    <w:rsid w:val="8BD55833"/>
    <w:rsid w:val="9FC9D858"/>
    <w:rsid w:val="ABF60F8B"/>
    <w:rsid w:val="B3F7DECE"/>
    <w:rsid w:val="B3FFD522"/>
    <w:rsid w:val="BAFB16CC"/>
    <w:rsid w:val="BE9FCD03"/>
    <w:rsid w:val="BEE6D95A"/>
    <w:rsid w:val="CE7ED7D4"/>
    <w:rsid w:val="DDFDBBB5"/>
    <w:rsid w:val="DF7BACB9"/>
    <w:rsid w:val="DF7F1141"/>
    <w:rsid w:val="E58F94E9"/>
    <w:rsid w:val="E6F6EDF6"/>
    <w:rsid w:val="EE7DB962"/>
    <w:rsid w:val="F3EF04C3"/>
    <w:rsid w:val="F57274D1"/>
    <w:rsid w:val="F77D37B2"/>
    <w:rsid w:val="F7DEE94D"/>
    <w:rsid w:val="F9FEE810"/>
    <w:rsid w:val="F9FF2A5F"/>
    <w:rsid w:val="FBD71F9D"/>
    <w:rsid w:val="FDDD1A22"/>
    <w:rsid w:val="FDF3962E"/>
    <w:rsid w:val="FDFE385D"/>
    <w:rsid w:val="FE7C1D97"/>
    <w:rsid w:val="FEBD40BE"/>
    <w:rsid w:val="FEEBE0E8"/>
    <w:rsid w:val="FEF9AF41"/>
    <w:rsid w:val="FEFBDC08"/>
    <w:rsid w:val="FEFCDFA9"/>
    <w:rsid w:val="FF576D7A"/>
    <w:rsid w:val="FF7F5475"/>
    <w:rsid w:val="FF7F57DA"/>
    <w:rsid w:val="FFAFEB05"/>
    <w:rsid w:val="FFBC597C"/>
    <w:rsid w:val="FFEB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3">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4">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6">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7">
    <w:name w:val="heading 6"/>
    <w:basedOn w:val="1"/>
    <w:next w:val="1"/>
    <w:qFormat/>
    <w:uiPriority w:val="0"/>
    <w:pPr>
      <w:keepNext/>
      <w:keepLines/>
      <w:spacing w:before="240" w:after="64" w:line="320" w:lineRule="atLeast"/>
      <w:outlineLvl w:val="5"/>
    </w:pPr>
    <w:rPr>
      <w:rFonts w:ascii="Cambria" w:hAnsi="Cambria"/>
      <w:b/>
      <w:bCs/>
    </w:rPr>
  </w:style>
  <w:style w:type="paragraph" w:styleId="8">
    <w:name w:val="heading 7"/>
    <w:basedOn w:val="1"/>
    <w:next w:val="1"/>
    <w:qFormat/>
    <w:uiPriority w:val="0"/>
    <w:pPr>
      <w:keepNext/>
      <w:keepLines/>
      <w:spacing w:before="240" w:after="64" w:line="320" w:lineRule="atLeast"/>
      <w:outlineLvl w:val="6"/>
    </w:pPr>
    <w:rPr>
      <w:b/>
      <w:bCs/>
    </w:rPr>
  </w:style>
  <w:style w:type="paragraph" w:styleId="9">
    <w:name w:val="heading 8"/>
    <w:basedOn w:val="1"/>
    <w:next w:val="1"/>
    <w:qFormat/>
    <w:uiPriority w:val="0"/>
    <w:pPr>
      <w:keepNext/>
      <w:keepLines/>
      <w:spacing w:before="240" w:after="64" w:line="320" w:lineRule="atLeast"/>
      <w:outlineLvl w:val="7"/>
    </w:pPr>
    <w:rPr>
      <w:rFonts w:ascii="Cambria" w:hAnsi="Cambria"/>
    </w:rPr>
  </w:style>
  <w:style w:type="paragraph" w:styleId="10">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spacing w:line="240" w:lineRule="auto"/>
      <w:ind w:left="1260" w:firstLine="0" w:firstLineChars="0"/>
      <w:jc w:val="left"/>
    </w:pPr>
    <w:rPr>
      <w:sz w:val="18"/>
      <w:szCs w:val="18"/>
    </w:rPr>
  </w:style>
  <w:style w:type="paragraph" w:styleId="12">
    <w:name w:val="Normal Indent"/>
    <w:basedOn w:val="1"/>
    <w:semiHidden/>
    <w:qFormat/>
    <w:uiPriority w:val="0"/>
    <w:pPr>
      <w:spacing w:line="240" w:lineRule="auto"/>
      <w:ind w:firstLine="420"/>
    </w:pPr>
    <w:rPr>
      <w:sz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semiHidden/>
    <w:qFormat/>
    <w:uiPriority w:val="0"/>
    <w:pPr>
      <w:shd w:val="clear" w:color="auto" w:fill="000080"/>
    </w:pPr>
  </w:style>
  <w:style w:type="paragraph" w:styleId="15">
    <w:name w:val="annotation text"/>
    <w:basedOn w:val="1"/>
    <w:semiHidden/>
    <w:qFormat/>
    <w:uiPriority w:val="0"/>
    <w:pPr>
      <w:jc w:val="left"/>
    </w:pPr>
  </w:style>
  <w:style w:type="paragraph" w:styleId="16">
    <w:name w:val="Body Text"/>
    <w:basedOn w:val="1"/>
    <w:qFormat/>
    <w:uiPriority w:val="0"/>
    <w:pPr>
      <w:spacing w:after="120"/>
    </w:pPr>
  </w:style>
  <w:style w:type="paragraph" w:styleId="17">
    <w:name w:val="Body Text Indent"/>
    <w:basedOn w:val="1"/>
    <w:semiHidden/>
    <w:qFormat/>
    <w:uiPriority w:val="0"/>
    <w:pPr>
      <w:spacing w:after="120" w:line="240" w:lineRule="auto"/>
      <w:ind w:left="420" w:leftChars="200" w:firstLine="0" w:firstLineChars="0"/>
    </w:pPr>
    <w:rPr>
      <w:sz w:val="21"/>
    </w:rPr>
  </w:style>
  <w:style w:type="paragraph" w:styleId="18">
    <w:name w:val="toc 5"/>
    <w:basedOn w:val="1"/>
    <w:next w:val="1"/>
    <w:semiHidden/>
    <w:qFormat/>
    <w:uiPriority w:val="0"/>
    <w:pPr>
      <w:spacing w:line="240" w:lineRule="auto"/>
      <w:ind w:left="840" w:firstLine="0" w:firstLineChars="0"/>
      <w:jc w:val="left"/>
    </w:pPr>
    <w:rPr>
      <w:sz w:val="18"/>
      <w:szCs w:val="18"/>
    </w:rPr>
  </w:style>
  <w:style w:type="paragraph" w:styleId="19">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0">
    <w:name w:val="toc 8"/>
    <w:basedOn w:val="1"/>
    <w:next w:val="1"/>
    <w:semiHidden/>
    <w:qFormat/>
    <w:uiPriority w:val="0"/>
    <w:pPr>
      <w:spacing w:line="240" w:lineRule="auto"/>
      <w:ind w:left="1470" w:firstLine="0" w:firstLineChars="0"/>
      <w:jc w:val="left"/>
    </w:pPr>
    <w:rPr>
      <w:sz w:val="18"/>
      <w:szCs w:val="18"/>
    </w:rPr>
  </w:style>
  <w:style w:type="paragraph" w:styleId="21">
    <w:name w:val="Date"/>
    <w:basedOn w:val="1"/>
    <w:next w:val="1"/>
    <w:semiHidden/>
    <w:qFormat/>
    <w:uiPriority w:val="0"/>
    <w:pPr>
      <w:spacing w:line="240" w:lineRule="auto"/>
      <w:ind w:firstLine="0" w:firstLineChars="0"/>
    </w:pPr>
    <w:rPr>
      <w:rFonts w:ascii="宋体"/>
      <w:sz w:val="21"/>
      <w:szCs w:val="20"/>
    </w:rPr>
  </w:style>
  <w:style w:type="paragraph" w:styleId="22">
    <w:name w:val="Body Text Indent 2"/>
    <w:basedOn w:val="1"/>
    <w:semiHidden/>
    <w:qFormat/>
    <w:uiPriority w:val="0"/>
    <w:pPr>
      <w:spacing w:after="120" w:line="480" w:lineRule="auto"/>
      <w:ind w:left="420" w:leftChars="200" w:firstLine="0" w:firstLineChars="0"/>
    </w:pPr>
    <w:rPr>
      <w:sz w:val="21"/>
    </w:rPr>
  </w:style>
  <w:style w:type="paragraph" w:styleId="23">
    <w:name w:val="Balloon Text"/>
    <w:basedOn w:val="1"/>
    <w:semiHidden/>
    <w:qFormat/>
    <w:uiPriority w:val="0"/>
    <w:rPr>
      <w:sz w:val="18"/>
      <w:szCs w:val="18"/>
    </w:rPr>
  </w:style>
  <w:style w:type="paragraph" w:styleId="24">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5">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6">
    <w:name w:val="toc 1"/>
    <w:basedOn w:val="1"/>
    <w:next w:val="1"/>
    <w:qFormat/>
    <w:uiPriority w:val="39"/>
    <w:pPr>
      <w:tabs>
        <w:tab w:val="left" w:pos="630"/>
        <w:tab w:val="right" w:leader="dot" w:pos="9288"/>
      </w:tabs>
      <w:ind w:firstLine="0" w:firstLineChars="0"/>
      <w:jc w:val="left"/>
    </w:pPr>
    <w:rPr>
      <w:b/>
      <w:bCs/>
      <w:caps/>
      <w:szCs w:val="20"/>
    </w:rPr>
  </w:style>
  <w:style w:type="paragraph" w:styleId="27">
    <w:name w:val="toc 4"/>
    <w:basedOn w:val="1"/>
    <w:next w:val="1"/>
    <w:semiHidden/>
    <w:qFormat/>
    <w:uiPriority w:val="0"/>
    <w:pPr>
      <w:spacing w:line="240" w:lineRule="auto"/>
      <w:ind w:left="630" w:firstLine="0" w:firstLineChars="0"/>
      <w:jc w:val="left"/>
    </w:pPr>
    <w:rPr>
      <w:sz w:val="18"/>
      <w:szCs w:val="18"/>
    </w:rPr>
  </w:style>
  <w:style w:type="paragraph" w:styleId="28">
    <w:name w:val="toc 6"/>
    <w:basedOn w:val="1"/>
    <w:next w:val="1"/>
    <w:semiHidden/>
    <w:qFormat/>
    <w:uiPriority w:val="0"/>
    <w:pPr>
      <w:spacing w:line="240" w:lineRule="auto"/>
      <w:ind w:left="1050" w:firstLine="0" w:firstLineChars="0"/>
      <w:jc w:val="left"/>
    </w:pPr>
    <w:rPr>
      <w:sz w:val="18"/>
      <w:szCs w:val="18"/>
    </w:rPr>
  </w:style>
  <w:style w:type="paragraph" w:styleId="29">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0">
    <w:name w:val="toc 9"/>
    <w:basedOn w:val="1"/>
    <w:next w:val="1"/>
    <w:semiHidden/>
    <w:qFormat/>
    <w:uiPriority w:val="0"/>
    <w:pPr>
      <w:spacing w:line="240" w:lineRule="auto"/>
      <w:ind w:left="1680" w:firstLine="0" w:firstLineChars="0"/>
      <w:jc w:val="left"/>
    </w:pPr>
    <w:rPr>
      <w:sz w:val="18"/>
      <w:szCs w:val="18"/>
    </w:rPr>
  </w:style>
  <w:style w:type="paragraph" w:styleId="31">
    <w:name w:val="index 1"/>
    <w:basedOn w:val="1"/>
    <w:next w:val="1"/>
    <w:unhideWhenUsed/>
    <w:qFormat/>
    <w:uiPriority w:val="99"/>
    <w:rPr>
      <w:szCs w:val="20"/>
    </w:rPr>
  </w:style>
  <w:style w:type="paragraph" w:styleId="32">
    <w:name w:val="annotation subject"/>
    <w:basedOn w:val="15"/>
    <w:next w:val="15"/>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2"/>
    <w:qFormat/>
    <w:uiPriority w:val="0"/>
    <w:pPr>
      <w:spacing w:line="360" w:lineRule="auto"/>
      <w:ind w:firstLine="480"/>
    </w:pPr>
    <w:rPr>
      <w:rFonts w:ascii="宋体" w:hAnsi="宋体" w:cs="宋体"/>
      <w:sz w:val="24"/>
      <w:szCs w:val="20"/>
    </w:rPr>
  </w:style>
  <w:style w:type="paragraph" w:customStyle="1" w:styleId="63">
    <w:name w:val="表正文"/>
    <w:basedOn w:val="1"/>
    <w:next w:val="22"/>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2"/>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3"/>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4"/>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5"/>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6"/>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 w:type="character" w:customStyle="1" w:styleId="103">
    <w:name w:val="font11"/>
    <w:basedOn w:val="35"/>
    <w:qFormat/>
    <w:uiPriority w:val="0"/>
    <w:rPr>
      <w:rFonts w:hint="eastAsia" w:ascii="宋体" w:hAnsi="宋体" w:eastAsia="宋体" w:cs="宋体"/>
      <w:color w:val="000000"/>
      <w:sz w:val="21"/>
      <w:szCs w:val="21"/>
      <w:u w:val="none"/>
    </w:rPr>
  </w:style>
  <w:style w:type="character" w:customStyle="1" w:styleId="104">
    <w:name w:val="font21"/>
    <w:basedOn w:val="35"/>
    <w:qFormat/>
    <w:uiPriority w:val="0"/>
    <w:rPr>
      <w:rFonts w:hint="eastAsia" w:ascii="宋体" w:hAnsi="宋体" w:eastAsia="宋体" w:cs="宋体"/>
      <w:color w:val="000000"/>
      <w:sz w:val="21"/>
      <w:szCs w:val="21"/>
      <w:u w:val="none"/>
    </w:rPr>
  </w:style>
  <w:style w:type="paragraph" w:customStyle="1" w:styleId="105">
    <w:name w:val="*正文"/>
    <w:basedOn w:val="1"/>
    <w:qFormat/>
    <w:uiPriority w:val="0"/>
    <w:pPr>
      <w:autoSpaceDE w:val="0"/>
      <w:autoSpaceDN w:val="0"/>
      <w:snapToGrid w:val="0"/>
      <w:jc w:val="left"/>
    </w:pPr>
    <w:rPr>
      <w:rFonts w:hAnsi="宋体" w:cs="宋体"/>
      <w:kern w:val="0"/>
      <w:lang w:val="zh-CN" w:bidi="zh-CN"/>
    </w:rPr>
  </w:style>
  <w:style w:type="paragraph" w:customStyle="1" w:styleId="106">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GEDI</Company>
  <Pages>16</Pages>
  <Words>5750</Words>
  <Characters>6128</Characters>
  <Lines>72</Lines>
  <Paragraphs>20</Paragraphs>
  <TotalTime>1</TotalTime>
  <ScaleCrop>false</ScaleCrop>
  <LinksUpToDate>false</LinksUpToDate>
  <CharactersWithSpaces>6253</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2018-09-10T06:37:00Z</dcterms:created>
  <dc:creator>G7595</dc:creator>
  <cp:lastModifiedBy>WPS_1602377606</cp:lastModifiedBy>
  <cp:lastPrinted>2010-06-07T02:10:00Z</cp:lastPrinted>
  <dcterms:modified xsi:type="dcterms:W3CDTF">2026-05-11T10:15:03Z</dcterms:modified>
  <dc:title>网络信息部文档模板</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2052-6.4.0.8550</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5E3C5617CD32421E9B025D8A10172EB8_13</vt:lpwstr>
  </property>
  <property fmtid="{D5CDD505-2E9C-101B-9397-08002B2CF9AE}" pid="12" name="KSOTemplateDocerSaveRecord">
    <vt:lpwstr>eyJoZGlkIjoiMWMxMzk2NjI5NmFkMzJlZTZkYWFjNzVkOWZmYTk0MGMiLCJ1c2VySWQiOiI2MzA3MTk0NDQifQ==</vt:lpwstr>
  </property>
</Properties>
</file>