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-1308735</wp:posOffset>
            </wp:positionH>
            <wp:positionV relativeFrom="paragraph">
              <wp:posOffset>-229870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5"/>
                    <a:srcRect/>
                    <a:stretch>
                      <a:fillRect/>
                    </a:stretch>
                  </pic:blipFill>
                  <pic:spPr>
                    <a:xfrm>
                      <a:off x="0" y="0"/>
                      <a:ext cx="7765415" cy="10979150"/>
                    </a:xfrm>
                    <a:prstGeom prst="rect">
                      <a:avLst/>
                    </a:prstGeom>
                    <a:noFill/>
                    <a:ln w="9525">
                      <a:noFill/>
                      <a:miter lim="800000"/>
                      <a:headEnd/>
                      <a:tailEnd/>
                    </a:ln>
                  </pic:spPr>
                </pic:pic>
              </a:graphicData>
            </a:graphic>
          </wp:anchor>
        </w:drawing>
      </w: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0288" behindDoc="1" locked="0" layoutInCell="1" allowOverlap="1">
                <wp:simplePos x="0" y="0"/>
                <wp:positionH relativeFrom="column">
                  <wp:posOffset>916305</wp:posOffset>
                </wp:positionH>
                <wp:positionV relativeFrom="paragraph">
                  <wp:posOffset>7409815</wp:posOffset>
                </wp:positionV>
                <wp:extent cx="3141345" cy="920115"/>
                <wp:effectExtent l="0" t="0" r="0" b="0"/>
                <wp:wrapTight wrapText="bothSides">
                  <wp:wrapPolygon>
                    <wp:start x="629" y="1073"/>
                    <wp:lineTo x="20971" y="1073"/>
                    <wp:lineTo x="20971" y="20527"/>
                    <wp:lineTo x="629" y="20527"/>
                    <wp:lineTo x="629" y="1073"/>
                  </wp:wrapPolygon>
                </wp:wrapTight>
                <wp:docPr id="14" name="文本框 14"/>
                <wp:cNvGraphicFramePr/>
                <a:graphic xmlns:a="http://schemas.openxmlformats.org/drawingml/2006/main">
                  <a:graphicData uri="http://schemas.microsoft.com/office/word/2010/wordprocessingShape">
                    <wps:wsp>
                      <wps:cNvSpPr txBox="1"/>
                      <wps:spPr>
                        <a:xfrm>
                          <a:off x="0" y="0"/>
                          <a:ext cx="3141345" cy="920115"/>
                        </a:xfrm>
                        <a:prstGeom prst="rect">
                          <a:avLst/>
                        </a:prstGeom>
                        <a:noFill/>
                        <a:ln>
                          <a:noFill/>
                        </a:ln>
                      </wps:spPr>
                      <wps:txb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广东电力通信科技有限公司</w:t>
                            </w:r>
                          </w:p>
                          <w:p>
                            <w:pPr>
                              <w:jc w:val="center"/>
                              <w:rPr>
                                <w:rFonts w:hint="eastAsia" w:ascii="黑体" w:hAnsi="黑体" w:eastAsia="黑体" w:cs="黑体"/>
                                <w:sz w:val="32"/>
                                <w:szCs w:val="28"/>
                                <w:highlight w:val="none"/>
                                <w:lang w:val="en-US" w:eastAsia="zh-CN"/>
                              </w:rPr>
                            </w:pPr>
                            <w:r>
                              <w:rPr>
                                <w:rFonts w:hint="eastAsia" w:ascii="黑体" w:hAnsi="黑体" w:eastAsia="黑体" w:cs="黑体"/>
                                <w:sz w:val="32"/>
                                <w:szCs w:val="28"/>
                                <w:highlight w:val="none"/>
                                <w:lang w:val="en-US" w:eastAsia="zh-CN"/>
                              </w:rPr>
                              <w:t>二〇二六年五月</w:t>
                            </w:r>
                          </w:p>
                          <w:p>
                            <w:pPr>
                              <w:rPr>
                                <w:rFonts w:hint="eastAsia"/>
                                <w:lang w:val="en-US" w:eastAsia="zh-CN"/>
                              </w:rPr>
                            </w:pPr>
                          </w:p>
                        </w:txbxContent>
                      </wps:txbx>
                      <wps:bodyPr upright="1"/>
                    </wps:wsp>
                  </a:graphicData>
                </a:graphic>
              </wp:anchor>
            </w:drawing>
          </mc:Choice>
          <mc:Fallback>
            <w:pict>
              <v:shape id="_x0000_s1026" o:spid="_x0000_s1026" o:spt="202" type="#_x0000_t202" style="position:absolute;left:0pt;margin-left:72.15pt;margin-top:583.45pt;height:72.45pt;width:247.35pt;mso-wrap-distance-left:9pt;mso-wrap-distance-right:9pt;z-index:-251656192;mso-width-relative:page;mso-height-relative:page;" filled="f" stroked="f" coordsize="21600,21600" wrapcoords="629 1073 20971 1073 20971 20527 629 20527 629 1073" o:gfxdata="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Fwm2urYAAAADQEAAA8AAAAAAAAAAQAgAAAAIgAAAGRycy9kb3du&#10;cmV2LnhtbFBLAQIUABQAAAAIAIdO4kAIufizjQEAAAIDAAAOAAAAAAAAAAEAIAAAACcBAABkcnMv&#10;ZTJvRG9jLnhtbFBLBQYAAAAABgAGAFkBAAAmBQAAAAA=&#10;">
                <v:fill on="f" focussize="0,0"/>
                <v:stroke on="f"/>
                <v:imagedata o:title=""/>
                <o:lock v:ext="edit" aspectratio="f"/>
                <v:textbox>
                  <w:txbxContent>
                    <w:p>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广东电力通信科技有限公司</w:t>
                      </w:r>
                    </w:p>
                    <w:p>
                      <w:pPr>
                        <w:jc w:val="center"/>
                        <w:rPr>
                          <w:rFonts w:hint="eastAsia" w:ascii="黑体" w:hAnsi="黑体" w:eastAsia="黑体" w:cs="黑体"/>
                          <w:sz w:val="32"/>
                          <w:szCs w:val="28"/>
                          <w:highlight w:val="none"/>
                          <w:lang w:val="en-US" w:eastAsia="zh-CN"/>
                        </w:rPr>
                      </w:pPr>
                      <w:r>
                        <w:rPr>
                          <w:rFonts w:hint="eastAsia" w:ascii="黑体" w:hAnsi="黑体" w:eastAsia="黑体" w:cs="黑体"/>
                          <w:sz w:val="32"/>
                          <w:szCs w:val="28"/>
                          <w:highlight w:val="none"/>
                          <w:lang w:val="en-US" w:eastAsia="zh-CN"/>
                        </w:rPr>
                        <w:t>二〇二六年五月</w:t>
                      </w:r>
                    </w:p>
                    <w:p>
                      <w:pPr>
                        <w:rPr>
                          <w:rFonts w:hint="eastAsia"/>
                          <w:lang w:val="en-US" w:eastAsia="zh-CN"/>
                        </w:rPr>
                      </w:pPr>
                    </w:p>
                  </w:txbxContent>
                </v:textbox>
                <w10:wrap type="tight"/>
              </v:shape>
            </w:pict>
          </mc:Fallback>
        </mc:AlternateContent>
      </w:r>
    </w:p>
    <w:p>
      <w:pPr>
        <w:spacing w:line="360" w:lineRule="auto"/>
        <w:jc w:val="right"/>
      </w:pPr>
    </w:p>
    <w:p>
      <w:pPr>
        <w:spacing w:line="360" w:lineRule="auto"/>
        <w:jc w:val="center"/>
        <w:rPr>
          <w:b/>
          <w:bCs/>
          <w:sz w:val="44"/>
          <w:szCs w:val="44"/>
        </w:rPr>
      </w:pPr>
    </w:p>
    <w:p>
      <w:pPr>
        <w:spacing w:line="360" w:lineRule="auto"/>
        <w:jc w:val="center"/>
        <w:rPr>
          <w:b/>
          <w:bCs/>
          <w:sz w:val="44"/>
          <w:szCs w:val="44"/>
        </w:rPr>
      </w:pPr>
    </w:p>
    <w:p>
      <w:pPr>
        <w:spacing w:line="360" w:lineRule="auto"/>
        <w:jc w:val="center"/>
        <w:rPr>
          <w:b/>
          <w:bCs/>
          <w:sz w:val="44"/>
          <w:szCs w:val="44"/>
        </w:rPr>
      </w:pPr>
    </w:p>
    <w:p>
      <w:pPr>
        <w:spacing w:line="360" w:lineRule="auto"/>
        <w:jc w:val="center"/>
        <w:rPr>
          <w:rFonts w:hint="eastAsia"/>
          <w:b/>
          <w:color w:val="000000"/>
          <w:sz w:val="44"/>
          <w:szCs w:val="44"/>
        </w:rPr>
      </w:pPr>
      <w:bookmarkStart w:id="0" w:name="_Toc327220102"/>
      <w:bookmarkStart w:id="1" w:name="_Toc327219896"/>
    </w:p>
    <w:p>
      <w:pPr>
        <w:spacing w:line="360" w:lineRule="auto"/>
        <w:jc w:val="center"/>
        <w:rPr>
          <w:rFonts w:hint="eastAsia"/>
          <w:b/>
          <w:color w:val="000000"/>
          <w:sz w:val="44"/>
          <w:szCs w:val="44"/>
        </w:rPr>
      </w:pPr>
    </w:p>
    <w:p>
      <w:pPr>
        <w:spacing w:line="360" w:lineRule="auto"/>
        <w:jc w:val="center"/>
        <w:rPr>
          <w:rFonts w:hint="default"/>
          <w:b/>
          <w:color w:val="000000"/>
          <w:sz w:val="44"/>
          <w:szCs w:val="44"/>
          <w:lang w:val="en-US"/>
        </w:rPr>
      </w:pPr>
      <w:r>
        <w:rPr>
          <w:rFonts w:hint="eastAsia"/>
          <w:b/>
          <w:color w:val="000000"/>
          <w:sz w:val="44"/>
          <w:szCs w:val="44"/>
        </w:rPr>
        <w:t>广东电力通信科技有限公司</w:t>
      </w:r>
      <w:r>
        <w:rPr>
          <w:rFonts w:hint="eastAsia"/>
          <w:b/>
          <w:color w:val="000000"/>
          <w:sz w:val="44"/>
          <w:szCs w:val="44"/>
          <w:lang w:eastAsia="zh-CN"/>
        </w:rPr>
        <w:t>202</w:t>
      </w:r>
      <w:r>
        <w:rPr>
          <w:rFonts w:hint="eastAsia"/>
          <w:b/>
          <w:color w:val="000000"/>
          <w:sz w:val="44"/>
          <w:szCs w:val="44"/>
          <w:lang w:val="en-US" w:eastAsia="zh-CN"/>
        </w:rPr>
        <w:t>6</w:t>
      </w:r>
      <w:r>
        <w:rPr>
          <w:rFonts w:hint="eastAsia"/>
          <w:b/>
          <w:color w:val="000000"/>
          <w:sz w:val="44"/>
          <w:szCs w:val="44"/>
          <w:lang w:eastAsia="zh-CN"/>
        </w:rPr>
        <w:t>年</w:t>
      </w:r>
      <w:r>
        <w:rPr>
          <w:rFonts w:hint="eastAsia"/>
          <w:b/>
          <w:color w:val="000000"/>
          <w:sz w:val="44"/>
          <w:szCs w:val="44"/>
          <w:lang w:val="en-US" w:eastAsia="zh-CN"/>
        </w:rPr>
        <w:t>全绝缘光纤复合相线（IOPPC）光电分离组件委托制造采购项目</w:t>
      </w:r>
    </w:p>
    <w:p>
      <w:pPr>
        <w:spacing w:line="360" w:lineRule="auto"/>
        <w:jc w:val="center"/>
        <w:rPr>
          <w:b/>
          <w:color w:val="000000"/>
          <w:sz w:val="44"/>
          <w:szCs w:val="44"/>
        </w:rPr>
      </w:pPr>
    </w:p>
    <w:p>
      <w:pPr>
        <w:spacing w:line="360" w:lineRule="auto"/>
        <w:jc w:val="center"/>
        <w:rPr>
          <w:b/>
          <w:color w:val="000000"/>
          <w:sz w:val="44"/>
          <w:szCs w:val="44"/>
        </w:rPr>
      </w:pPr>
    </w:p>
    <w:p>
      <w:pPr>
        <w:spacing w:line="360" w:lineRule="auto"/>
        <w:jc w:val="center"/>
        <w:rPr>
          <w:b/>
          <w:color w:val="000000"/>
          <w:sz w:val="44"/>
          <w:szCs w:val="44"/>
        </w:rPr>
      </w:pPr>
      <w:r>
        <w:rPr>
          <w:rFonts w:hint="eastAsia"/>
          <w:b/>
          <w:color w:val="000000"/>
          <w:sz w:val="44"/>
          <w:szCs w:val="44"/>
        </w:rPr>
        <w:t>技术规范书</w:t>
      </w:r>
    </w:p>
    <w:bookmarkEnd w:id="0"/>
    <w:bookmarkEnd w:id="1"/>
    <w:p>
      <w:pPr>
        <w:spacing w:line="360" w:lineRule="auto"/>
        <w:jc w:val="center"/>
        <w:rPr>
          <w:b/>
          <w:bCs/>
          <w:sz w:val="48"/>
          <w:szCs w:val="48"/>
        </w:rPr>
      </w:pPr>
    </w:p>
    <w:p>
      <w:pPr>
        <w:spacing w:line="360" w:lineRule="auto"/>
        <w:jc w:val="center"/>
        <w:rPr>
          <w:b/>
          <w:bCs/>
          <w:sz w:val="48"/>
          <w:szCs w:val="48"/>
        </w:rPr>
      </w:pPr>
    </w:p>
    <w:p>
      <w:pPr>
        <w:spacing w:line="360" w:lineRule="auto"/>
        <w:jc w:val="center"/>
        <w:rPr>
          <w:b/>
          <w:bCs/>
          <w:sz w:val="48"/>
          <w:szCs w:val="48"/>
        </w:rPr>
      </w:pPr>
    </w:p>
    <w:p>
      <w:pPr>
        <w:spacing w:line="360" w:lineRule="auto"/>
        <w:jc w:val="center"/>
        <w:rPr>
          <w:b/>
          <w:bCs/>
          <w:sz w:val="48"/>
          <w:szCs w:val="48"/>
        </w:rPr>
      </w:pPr>
    </w:p>
    <w:p>
      <w:pPr>
        <w:spacing w:line="360" w:lineRule="auto"/>
        <w:jc w:val="center"/>
        <w:rPr>
          <w:b/>
          <w:bCs/>
          <w:sz w:val="48"/>
          <w:szCs w:val="48"/>
        </w:rPr>
      </w:pPr>
    </w:p>
    <w:p>
      <w:pPr>
        <w:spacing w:line="360" w:lineRule="auto"/>
        <w:jc w:val="center"/>
        <w:rPr>
          <w:b/>
          <w:bCs/>
          <w:sz w:val="48"/>
          <w:szCs w:val="48"/>
        </w:rPr>
      </w:pPr>
    </w:p>
    <w:p>
      <w:pPr>
        <w:bidi w:val="0"/>
        <w:rPr>
          <w:rFonts w:hint="eastAsia"/>
        </w:rPr>
      </w:pPr>
    </w:p>
    <w:p>
      <w:pPr>
        <w:pStyle w:val="13"/>
        <w:ind w:left="0" w:leftChars="0" w:firstLine="0" w:firstLineChars="0"/>
        <w:rPr>
          <w:rFonts w:hint="eastAsia"/>
        </w:rPr>
      </w:pPr>
    </w:p>
    <w:p>
      <w:pPr>
        <w:rPr>
          <w:rFonts w:hint="eastAsia"/>
        </w:rPr>
      </w:pPr>
    </w:p>
    <w:p>
      <w:pPr>
        <w:rPr>
          <w:rFonts w:hint="eastAsia"/>
        </w:rPr>
      </w:pPr>
    </w:p>
    <w:p>
      <w:pPr>
        <w:pStyle w:val="13"/>
        <w:rPr>
          <w:rFonts w:hint="eastAsia"/>
        </w:rPr>
      </w:pPr>
    </w:p>
    <w:p>
      <w:pPr>
        <w:pStyle w:val="3"/>
        <w:jc w:val="both"/>
      </w:pPr>
      <w:r>
        <w:rPr>
          <w:rFonts w:hint="eastAsia"/>
        </w:rPr>
        <w:t>广东电力通信科技有限公司2026年全绝缘光纤复合相线（IOPPC）光电分离组件委托制造采购项目技术参数</w:t>
      </w:r>
    </w:p>
    <w:p>
      <w:pPr>
        <w:numPr>
          <w:ilvl w:val="0"/>
          <w:numId w:val="1"/>
        </w:numPr>
        <w:tabs>
          <w:tab w:val="left" w:pos="567"/>
        </w:tabs>
        <w:spacing w:line="360" w:lineRule="auto"/>
        <w:ind w:left="210" w:leftChars="0" w:firstLineChars="0"/>
        <w:rPr>
          <w:rFonts w:hint="eastAsia" w:ascii="宋体" w:hAnsi="宋体"/>
          <w:b/>
          <w:sz w:val="24"/>
          <w:szCs w:val="24"/>
          <w:lang w:val="en-US" w:eastAsia="zh-CN"/>
        </w:rPr>
      </w:pPr>
      <w:r>
        <w:rPr>
          <w:rFonts w:hint="eastAsia" w:ascii="宋体" w:hAnsi="宋体"/>
          <w:b/>
          <w:sz w:val="24"/>
          <w:szCs w:val="24"/>
          <w:lang w:val="en-US" w:eastAsia="zh-CN"/>
        </w:rPr>
        <w:t>总则</w:t>
      </w:r>
    </w:p>
    <w:p>
      <w:pPr>
        <w:tabs>
          <w:tab w:val="left" w:pos="567"/>
        </w:tabs>
        <w:spacing w:line="360" w:lineRule="auto"/>
        <w:ind w:left="426"/>
        <w:rPr>
          <w:rFonts w:hint="eastAsia" w:ascii="微软雅黑" w:hAnsi="微软雅黑" w:cs="Times New Roman"/>
          <w:b/>
          <w:smallCaps w:val="0"/>
          <w:kern w:val="2"/>
          <w:sz w:val="24"/>
          <w:szCs w:val="24"/>
          <w:lang w:val="en-US" w:eastAsia="zh-CN" w:bidi="ar-SA"/>
        </w:rPr>
      </w:pPr>
      <w:r>
        <w:rPr>
          <w:rFonts w:hint="eastAsia" w:ascii="微软雅黑" w:hAnsi="微软雅黑" w:cs="Times New Roman"/>
          <w:b/>
          <w:smallCaps w:val="0"/>
          <w:kern w:val="2"/>
          <w:sz w:val="24"/>
          <w:szCs w:val="24"/>
          <w:lang w:val="en-US" w:eastAsia="zh-CN" w:bidi="ar-SA"/>
        </w:rPr>
        <w:t>1.1概述</w:t>
      </w:r>
    </w:p>
    <w:p>
      <w:pPr>
        <w:tabs>
          <w:tab w:val="left" w:pos="567"/>
        </w:tabs>
        <w:spacing w:line="360" w:lineRule="auto"/>
        <w:ind w:firstLine="480" w:firstLineChars="200"/>
        <w:rPr>
          <w:rFonts w:ascii="宋体" w:hAnsi="宋体"/>
          <w:sz w:val="24"/>
          <w:szCs w:val="24"/>
        </w:rPr>
      </w:pPr>
      <w:r>
        <w:rPr>
          <w:rFonts w:hint="eastAsia" w:ascii="宋体" w:hAnsi="宋体"/>
          <w:sz w:val="24"/>
          <w:szCs w:val="24"/>
        </w:rPr>
        <w:t>本规范书适用于广东电力通信科技有限公司全绝缘光纤复合相线（IOPPC）光电分离组件委托生产加工零采项目。供方应按本规范要求完成产品设计、制造、试验、包装、运输及技术服务，满足南方电网IOPPC光缆线路光电分离、安全接续、高压绝缘与通信传输一体化要求</w:t>
      </w:r>
      <w:r>
        <w:rPr>
          <w:rFonts w:ascii="宋体" w:hAnsi="宋体"/>
          <w:sz w:val="24"/>
          <w:szCs w:val="24"/>
        </w:rPr>
        <w:t>。</w:t>
      </w:r>
    </w:p>
    <w:p>
      <w:pPr>
        <w:tabs>
          <w:tab w:val="left" w:pos="567"/>
        </w:tabs>
        <w:spacing w:line="360" w:lineRule="auto"/>
        <w:ind w:firstLine="480" w:firstLineChars="200"/>
        <w:rPr>
          <w:rFonts w:ascii="宋体" w:hAnsi="宋体"/>
          <w:sz w:val="24"/>
          <w:szCs w:val="24"/>
        </w:rPr>
      </w:pPr>
      <w:r>
        <w:rPr>
          <w:rFonts w:hint="eastAsia" w:ascii="宋体" w:hAnsi="宋体"/>
          <w:sz w:val="24"/>
          <w:szCs w:val="24"/>
        </w:rPr>
        <w:t>本规范书与加工图纸、试验报告具有同等法律效力，图纸标注要求与正文不一致时，以加工图纸为准。</w:t>
      </w:r>
    </w:p>
    <w:p>
      <w:pPr>
        <w:tabs>
          <w:tab w:val="left" w:pos="567"/>
        </w:tabs>
        <w:spacing w:line="360" w:lineRule="auto"/>
        <w:ind w:left="426"/>
        <w:rPr>
          <w:rFonts w:hint="eastAsia" w:ascii="微软雅黑" w:hAnsi="微软雅黑" w:cs="Times New Roman"/>
          <w:b/>
          <w:smallCaps w:val="0"/>
          <w:kern w:val="2"/>
          <w:sz w:val="24"/>
          <w:szCs w:val="24"/>
          <w:lang w:val="en-US" w:eastAsia="zh-CN" w:bidi="ar-SA"/>
        </w:rPr>
      </w:pPr>
      <w:r>
        <w:rPr>
          <w:rFonts w:hint="eastAsia" w:ascii="微软雅黑" w:hAnsi="微软雅黑" w:cs="Times New Roman"/>
          <w:b/>
          <w:smallCaps w:val="0"/>
          <w:kern w:val="2"/>
          <w:sz w:val="24"/>
          <w:szCs w:val="24"/>
          <w:lang w:val="en-US" w:eastAsia="zh-CN" w:bidi="ar-SA"/>
        </w:rPr>
        <w:t>1.2引用标准</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本文件</w:t>
      </w:r>
      <w:r>
        <w:rPr>
          <w:rFonts w:hint="eastAsia" w:ascii="宋体" w:hAnsi="宋体" w:cs="Times New Roman"/>
          <w:smallCaps w:val="0"/>
          <w:kern w:val="2"/>
          <w:sz w:val="24"/>
          <w:szCs w:val="24"/>
          <w:lang w:val="en-US" w:eastAsia="zh-CN" w:bidi="ar-SA"/>
        </w:rPr>
        <w:t>引用</w:t>
      </w:r>
      <w:r>
        <w:rPr>
          <w:rFonts w:hint="eastAsia" w:ascii="宋体" w:hAnsi="宋体" w:eastAsia="宋体" w:cs="Times New Roman"/>
          <w:smallCaps w:val="0"/>
          <w:kern w:val="2"/>
          <w:sz w:val="24"/>
          <w:szCs w:val="24"/>
          <w:lang w:val="en-US" w:eastAsia="zh-CN" w:bidi="ar-SA"/>
        </w:rPr>
        <w:t>下列</w:t>
      </w:r>
      <w:r>
        <w:rPr>
          <w:rFonts w:hint="eastAsia" w:ascii="宋体" w:hAnsi="宋体" w:cs="Times New Roman"/>
          <w:smallCaps w:val="0"/>
          <w:kern w:val="2"/>
          <w:sz w:val="24"/>
          <w:szCs w:val="24"/>
          <w:lang w:val="en-US" w:eastAsia="zh-CN" w:bidi="ar-SA"/>
        </w:rPr>
        <w:t>标准</w:t>
      </w:r>
      <w:r>
        <w:rPr>
          <w:rFonts w:hint="eastAsia" w:ascii="宋体" w:hAnsi="宋体" w:eastAsia="宋体" w:cs="Times New Roman"/>
          <w:smallCaps w:val="0"/>
          <w:kern w:val="2"/>
          <w:sz w:val="24"/>
          <w:szCs w:val="24"/>
          <w:lang w:val="en-US" w:eastAsia="zh-CN" w:bidi="ar-SA"/>
        </w:rPr>
        <w:t>文件，最新版本适用于本文件：</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DL/T1613-2016《光纤复合架空相线及相关附件》</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DL/T5344-2018《电力光纤通信工程验收规范》</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Q/CSG1204157-2022《绝缘光单元光纤复合架空相线（IOPPC）技术规范》</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GB/T775.2《绝缘子试验方法第2部分：电气试验方法》</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GB/T2314《电力金具通用技术条件》</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DL/T763《架空线路用预绞式金具技术条件》</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eastAsia" w:ascii="宋体" w:hAnsi="宋体" w:eastAsia="宋体" w:cs="Times New Roman"/>
          <w:smallCaps w:val="0"/>
          <w:kern w:val="2"/>
          <w:sz w:val="24"/>
          <w:szCs w:val="24"/>
          <w:lang w:val="en-US" w:eastAsia="zh-CN" w:bidi="ar-SA"/>
        </w:rPr>
      </w:pPr>
      <w:r>
        <w:rPr>
          <w:rFonts w:hint="eastAsia" w:ascii="宋体" w:hAnsi="宋体" w:eastAsia="宋体" w:cs="Times New Roman"/>
          <w:smallCaps w:val="0"/>
          <w:kern w:val="2"/>
          <w:sz w:val="24"/>
          <w:szCs w:val="24"/>
          <w:lang w:val="en-US" w:eastAsia="zh-CN" w:bidi="ar-SA"/>
        </w:rPr>
        <w:t>DL/T1071《电力大件运输规范》</w:t>
      </w:r>
    </w:p>
    <w:p>
      <w:pPr>
        <w:numPr>
          <w:ilvl w:val="0"/>
          <w:numId w:val="1"/>
        </w:numPr>
        <w:spacing w:line="360" w:lineRule="auto"/>
        <w:ind w:left="210" w:leftChars="0" w:firstLine="0" w:firstLineChars="0"/>
        <w:rPr>
          <w:rFonts w:hint="eastAsia" w:ascii="微软雅黑" w:hAnsi="微软雅黑"/>
          <w:b/>
          <w:sz w:val="24"/>
          <w:szCs w:val="24"/>
        </w:rPr>
      </w:pPr>
      <w:r>
        <w:rPr>
          <w:rFonts w:hint="eastAsia" w:ascii="微软雅黑" w:hAnsi="微软雅黑"/>
          <w:b/>
          <w:sz w:val="24"/>
          <w:szCs w:val="24"/>
        </w:rPr>
        <w:t>供货范围：</w:t>
      </w:r>
    </w:p>
    <w:p>
      <w:pPr>
        <w:tabs>
          <w:tab w:val="left" w:pos="567"/>
        </w:tabs>
        <w:spacing w:line="360" w:lineRule="auto"/>
        <w:ind w:firstLine="480" w:firstLineChars="200"/>
        <w:rPr>
          <w:rFonts w:hint="eastAsia" w:ascii="宋体" w:hAnsi="宋体"/>
          <w:sz w:val="24"/>
          <w:szCs w:val="24"/>
        </w:rPr>
      </w:pPr>
      <w:r>
        <w:rPr>
          <w:rFonts w:hint="eastAsia" w:ascii="宋体" w:hAnsi="宋体"/>
          <w:sz w:val="24"/>
          <w:szCs w:val="24"/>
        </w:rPr>
        <w:t>供方成套提供IOPPC光电分离组件</w:t>
      </w:r>
      <w:r>
        <w:rPr>
          <w:rFonts w:hint="eastAsia" w:ascii="宋体" w:hAnsi="宋体"/>
          <w:sz w:val="24"/>
          <w:szCs w:val="24"/>
          <w:lang w:val="en-US" w:eastAsia="zh-CN"/>
        </w:rPr>
        <w:t>20</w:t>
      </w:r>
      <w:r>
        <w:rPr>
          <w:rFonts w:hint="eastAsia" w:ascii="宋体" w:hAnsi="宋体"/>
          <w:sz w:val="24"/>
          <w:szCs w:val="24"/>
        </w:rPr>
        <w:t>套，</w:t>
      </w:r>
      <w:r>
        <w:rPr>
          <w:rFonts w:hint="eastAsia" w:ascii="宋体" w:hAnsi="宋体"/>
          <w:sz w:val="24"/>
          <w:szCs w:val="24"/>
          <w:lang w:val="en-US" w:eastAsia="zh-CN"/>
        </w:rPr>
        <w:t>每套</w:t>
      </w:r>
      <w:r>
        <w:rPr>
          <w:rFonts w:hint="eastAsia" w:ascii="宋体" w:hAnsi="宋体"/>
          <w:sz w:val="24"/>
          <w:szCs w:val="24"/>
        </w:rPr>
        <w:t>包含主体壳体、密封组件、光纤防护组件、紧固件、导向弯管、热缩密封件等全部零部件，所有零部件规格、数量、加工要求严格按照附件1加工图纸执行，不得随意变更。</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28"/>
        <w:gridCol w:w="675"/>
        <w:gridCol w:w="1472"/>
        <w:gridCol w:w="750"/>
        <w:gridCol w:w="43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rPr>
                <w:b/>
              </w:rPr>
            </w:pPr>
            <w:r>
              <w:rPr>
                <w:rFonts w:ascii="宋体" w:hAnsi="宋体" w:eastAsia="宋体" w:cs="宋体"/>
                <w:b/>
                <w:kern w:val="0"/>
                <w:sz w:val="24"/>
                <w:szCs w:val="24"/>
                <w:lang w:val="en-US" w:eastAsia="zh-CN" w:bidi="ar"/>
              </w:rPr>
              <w:t>零件名称</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rPr>
                <w:b/>
              </w:rPr>
            </w:pPr>
            <w:r>
              <w:rPr>
                <w:rFonts w:ascii="宋体" w:hAnsi="宋体" w:eastAsia="宋体" w:cs="宋体"/>
                <w:b/>
                <w:kern w:val="0"/>
                <w:sz w:val="24"/>
                <w:szCs w:val="24"/>
                <w:lang w:val="en-US" w:eastAsia="zh-CN" w:bidi="ar"/>
              </w:rPr>
              <w:t>编号</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rPr>
                <w:b/>
              </w:rPr>
            </w:pPr>
            <w:r>
              <w:rPr>
                <w:rFonts w:ascii="宋体" w:hAnsi="宋体" w:eastAsia="宋体" w:cs="宋体"/>
                <w:b/>
                <w:kern w:val="0"/>
                <w:sz w:val="24"/>
                <w:szCs w:val="24"/>
                <w:lang w:val="en-US" w:eastAsia="zh-CN" w:bidi="ar"/>
              </w:rPr>
              <w:t>规格</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rPr>
                <w:b/>
              </w:rPr>
            </w:pPr>
            <w:r>
              <w:rPr>
                <w:rFonts w:ascii="宋体" w:hAnsi="宋体" w:eastAsia="宋体" w:cs="宋体"/>
                <w:b/>
                <w:kern w:val="0"/>
                <w:sz w:val="24"/>
                <w:szCs w:val="24"/>
                <w:lang w:val="en-US" w:eastAsia="zh-CN" w:bidi="ar"/>
              </w:rPr>
              <w:t>数量</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rPr>
                <w:b/>
              </w:rPr>
            </w:pPr>
            <w:r>
              <w:rPr>
                <w:rFonts w:ascii="宋体" w:hAnsi="宋体" w:eastAsia="宋体" w:cs="宋体"/>
                <w:b/>
                <w:kern w:val="0"/>
                <w:sz w:val="24"/>
                <w:szCs w:val="24"/>
                <w:lang w:val="en-US" w:eastAsia="zh-CN" w:bidi="ar"/>
              </w:rPr>
              <w:t>加工/采购技术要求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上盖</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1</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配IOPPC导线外径</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按图纸外形加工，与底座严密贴合，适配对应IOPPC导线外径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底座</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2</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配IOPPC导线外径</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与上盖匹配，预留排水/封胶通孔，用于漏水排出或密封封胶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合盖螺丝</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3</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M6标准件</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rPr>
                <w:rFonts w:hint="default"/>
                <w:lang w:val="en-US"/>
              </w:rPr>
            </w:pPr>
            <w:r>
              <w:rPr>
                <w:rFonts w:hint="eastAsia" w:ascii="微软雅黑" w:hAnsi="微软雅黑" w:eastAsia="微软雅黑" w:cs="微软雅黑"/>
                <w:i w:val="0"/>
                <w:color w:val="333333"/>
                <w:kern w:val="0"/>
                <w:sz w:val="22"/>
                <w:szCs w:val="22"/>
                <w:u w:val="none"/>
                <w:lang w:val="en-US" w:eastAsia="zh-CN" w:bidi="ar"/>
              </w:rPr>
              <w:t>200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不锈钢标准件，防腐处理，均匀紧固上下壳体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通孔紧固螺母</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4</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M18自加工</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rPr>
                <w:rFonts w:hint="default"/>
                <w:lang w:val="en-US"/>
              </w:rP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金属件，表面防腐处理，与底座通孔尺寸精准匹配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阻水软硅胶塞</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5</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适配光单元</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80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软质食品级硅胶，高弹性、阻水密封，适配光单元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硬质垫圈</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6</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自加工</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硬质绝缘/金属材质，匹配密封结构，支撑阻水硅胶塞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光单元外护套</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7</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适配光单元</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耐磨抗老化，保护光纤光单元，适配光单元外径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加强护套</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8</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适配光单元</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护套长度</w:t>
            </w:r>
            <w:r>
              <w:rPr>
                <w:rStyle w:val="17"/>
                <w:rFonts w:ascii="宋体" w:hAnsi="宋体" w:eastAsia="宋体" w:cs="宋体"/>
                <w:kern w:val="0"/>
                <w:sz w:val="24"/>
                <w:szCs w:val="24"/>
                <w:lang w:val="en-US" w:eastAsia="zh-CN" w:bidi="ar"/>
              </w:rPr>
              <w:t>至少超出第一个引下固定位置20cm</w:t>
            </w:r>
            <w:r>
              <w:rPr>
                <w:rFonts w:ascii="宋体" w:hAnsi="宋体" w:eastAsia="宋体" w:cs="宋体"/>
                <w:kern w:val="0"/>
                <w:sz w:val="24"/>
                <w:szCs w:val="24"/>
                <w:lang w:val="en-US" w:eastAsia="zh-CN" w:bidi="ar"/>
              </w:rPr>
              <w:t>，抗弯折防护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导向弯管</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9</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自加工</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管材加热弯曲成型，总长20cm，弯曲角度严格按图纸要求，无冷弯开裂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冷/热缩管</w:t>
            </w:r>
          </w:p>
        </w:tc>
        <w:tc>
          <w:tcPr>
            <w:tcW w:w="397"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10</w:t>
            </w:r>
          </w:p>
        </w:tc>
        <w:tc>
          <w:tcPr>
            <w:tcW w:w="866"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标准件</w:t>
            </w:r>
          </w:p>
        </w:tc>
        <w:tc>
          <w:tcPr>
            <w:tcW w:w="441"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center"/>
              <w:textAlignment w:val="center"/>
            </w:pPr>
            <w:r>
              <w:rPr>
                <w:rFonts w:hint="eastAsia" w:ascii="微软雅黑" w:hAnsi="微软雅黑" w:eastAsia="微软雅黑" w:cs="微软雅黑"/>
                <w:i w:val="0"/>
                <w:color w:val="333333"/>
                <w:kern w:val="0"/>
                <w:sz w:val="22"/>
                <w:szCs w:val="22"/>
                <w:u w:val="none"/>
                <w:lang w:val="en-US" w:eastAsia="zh-CN" w:bidi="ar"/>
              </w:rPr>
              <w:t>20</w:t>
            </w:r>
          </w:p>
        </w:tc>
        <w:tc>
          <w:tcPr>
            <w:tcW w:w="2572" w:type="pct"/>
            <w:tcBorders>
              <w:top w:val="single" w:color="CCCCCC" w:sz="4" w:space="0"/>
              <w:left w:val="single" w:color="CCCCCC" w:sz="4" w:space="0"/>
              <w:bottom w:val="single" w:color="CCCCCC" w:sz="4" w:space="0"/>
              <w:right w:val="single" w:color="CCCCCC" w:sz="4" w:space="0"/>
            </w:tcBorders>
            <w:shd w:val="clear" w:color="auto" w:fill="auto"/>
            <w:tcMar>
              <w:top w:w="96" w:type="dxa"/>
              <w:left w:w="96" w:type="dxa"/>
              <w:bottom w:w="96" w:type="dxa"/>
              <w:right w:w="96" w:type="dxa"/>
            </w:tcMar>
            <w:vAlign w:val="center"/>
          </w:tcPr>
          <w:p>
            <w:pPr>
              <w:keepNext w:val="0"/>
              <w:keepLines w:val="0"/>
              <w:widowControl/>
              <w:suppressLineNumbers w:val="0"/>
              <w:jc w:val="left"/>
            </w:pPr>
            <w:r>
              <w:rPr>
                <w:rFonts w:ascii="宋体" w:hAnsi="宋体" w:eastAsia="宋体" w:cs="宋体"/>
                <w:kern w:val="0"/>
                <w:sz w:val="24"/>
                <w:szCs w:val="24"/>
                <w:lang w:val="en-US" w:eastAsia="zh-CN" w:bidi="ar"/>
              </w:rPr>
              <w:t>耐候型标准件，用于光单元护套端口加封密封</w:t>
            </w:r>
          </w:p>
        </w:tc>
      </w:tr>
    </w:tbl>
    <w:p>
      <w:pPr>
        <w:pStyle w:val="13"/>
        <w:rPr>
          <w:rFonts w:hint="eastAsia"/>
        </w:rPr>
      </w:pPr>
    </w:p>
    <w:p>
      <w:pPr>
        <w:pStyle w:val="4"/>
        <w:numPr>
          <w:ilvl w:val="0"/>
          <w:numId w:val="1"/>
        </w:numPr>
        <w:ind w:left="210" w:leftChars="0" w:firstLine="0" w:firstLineChars="0"/>
        <w:rPr>
          <w:rFonts w:hint="eastAsia" w:ascii="宋体" w:hAnsi="宋体" w:cs="宋体"/>
          <w:color w:val="000000"/>
          <w:kern w:val="0"/>
          <w:sz w:val="21"/>
          <w:szCs w:val="21"/>
          <w:lang w:val="en-US" w:eastAsia="zh-CN"/>
        </w:rPr>
      </w:pPr>
      <w:r>
        <w:rPr>
          <w:rFonts w:hint="eastAsia" w:ascii="微软雅黑" w:hAnsi="微软雅黑"/>
          <w:sz w:val="24"/>
          <w:szCs w:val="24"/>
        </w:rPr>
        <w:t>技术参数</w:t>
      </w:r>
      <w:r>
        <w:rPr>
          <w:rFonts w:hint="eastAsia" w:ascii="微软雅黑" w:hAnsi="微软雅黑"/>
          <w:sz w:val="24"/>
          <w:szCs w:val="24"/>
        </w:rPr>
        <w:br w:type="textWrapping"/>
      </w:r>
      <w:r>
        <w:rPr>
          <w:rFonts w:hint="eastAsia" w:ascii="微软雅黑" w:hAnsi="微软雅黑"/>
          <w:sz w:val="24"/>
          <w:szCs w:val="24"/>
        </w:rPr>
        <w:t>3.1</w:t>
      </w:r>
      <w:r>
        <w:rPr>
          <w:rFonts w:hint="eastAsia" w:ascii="宋体" w:hAnsi="宋体" w:cs="宋体"/>
          <w:color w:val="000000"/>
          <w:kern w:val="0"/>
          <w:sz w:val="21"/>
          <w:szCs w:val="21"/>
          <w:lang w:val="en-US" w:eastAsia="zh-CN"/>
        </w:rPr>
        <w:t>电气性能</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额定电压：10kV</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工频耐受电压：75kV/1min，无击穿、无闪络</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绝缘电阻：≥1000MΩ</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爬电比距：满足沿海重污秽区要求</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光单元引下部分：10kV等级测试距离1.5m，绝缘水平匹配同等级绝缘子</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微软雅黑" w:hAnsi="微软雅黑" w:eastAsia="宋体" w:cs="Times New Roman"/>
          <w:b/>
          <w:smallCaps w:val="0"/>
          <w:kern w:val="2"/>
          <w:sz w:val="24"/>
          <w:szCs w:val="24"/>
          <w:lang w:val="en-US" w:eastAsia="zh-CN" w:bidi="ar-SA"/>
        </w:rPr>
      </w:pPr>
      <w:r>
        <w:rPr>
          <w:rFonts w:hint="default" w:ascii="微软雅黑" w:hAnsi="微软雅黑" w:eastAsia="宋体" w:cs="Times New Roman"/>
          <w:b/>
          <w:smallCaps w:val="0"/>
          <w:kern w:val="2"/>
          <w:sz w:val="24"/>
          <w:szCs w:val="24"/>
          <w:lang w:val="en-US" w:eastAsia="zh-CN" w:bidi="ar-SA"/>
        </w:rPr>
        <w:t>3.2金具技术要求（按DL/T1613、DL/T763）</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eastAsia" w:ascii="宋体" w:hAnsi="宋体" w:cs="Times New Roman"/>
          <w:smallCaps w:val="0"/>
          <w:kern w:val="2"/>
          <w:sz w:val="24"/>
          <w:szCs w:val="24"/>
          <w:lang w:val="en-US" w:eastAsia="zh-CN" w:bidi="ar-SA"/>
        </w:rPr>
        <w:t>引下</w:t>
      </w:r>
      <w:r>
        <w:rPr>
          <w:rFonts w:hint="default" w:ascii="宋体" w:hAnsi="宋体" w:eastAsia="宋体" w:cs="Times New Roman"/>
          <w:smallCaps w:val="0"/>
          <w:kern w:val="2"/>
          <w:sz w:val="24"/>
          <w:szCs w:val="24"/>
          <w:lang w:val="en-US" w:eastAsia="zh-CN" w:bidi="ar-SA"/>
        </w:rPr>
        <w:t>线夹：缠绕均匀、无交叉、无损伤，与IOPPC导线贴合紧密</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金具直流电阻：与导线匹配，接头接触电阻≤同长度导线电阻1.1倍</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机械握力：≥95%额定拉断力（RTS）</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紧固件：采用不锈钢/热镀锌材质，防腐等级满足沿海C4～C5环境</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微软雅黑" w:hAnsi="微软雅黑" w:eastAsia="宋体" w:cs="Times New Roman"/>
          <w:b/>
          <w:smallCaps w:val="0"/>
          <w:kern w:val="2"/>
          <w:sz w:val="24"/>
          <w:szCs w:val="24"/>
          <w:lang w:val="en-US" w:eastAsia="zh-CN" w:bidi="ar-SA"/>
        </w:rPr>
      </w:pPr>
      <w:r>
        <w:rPr>
          <w:rFonts w:hint="default" w:ascii="微软雅黑" w:hAnsi="微软雅黑" w:eastAsia="宋体" w:cs="Times New Roman"/>
          <w:b/>
          <w:smallCaps w:val="0"/>
          <w:kern w:val="2"/>
          <w:sz w:val="24"/>
          <w:szCs w:val="24"/>
          <w:lang w:val="en-US" w:eastAsia="zh-CN" w:bidi="ar-SA"/>
        </w:rPr>
        <w:t>3.3光纤与通信性能</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光纤接续损耗：≤0.1dB/点</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全程光路衰减：符合IOPPC线路设计值</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密封性能：充气60kPa±5kPa，浸水15min无气泡</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适用光纤：B1.1（G652D）单模光纤，兼容48芯及以下配置</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微软雅黑" w:hAnsi="微软雅黑" w:eastAsia="宋体" w:cs="Times New Roman"/>
          <w:b/>
          <w:smallCaps w:val="0"/>
          <w:kern w:val="2"/>
          <w:sz w:val="24"/>
          <w:szCs w:val="24"/>
          <w:lang w:val="en-US" w:eastAsia="zh-CN" w:bidi="ar-SA"/>
        </w:rPr>
      </w:pPr>
      <w:r>
        <w:rPr>
          <w:rFonts w:hint="default" w:ascii="微软雅黑" w:hAnsi="微软雅黑" w:eastAsia="宋体" w:cs="Times New Roman"/>
          <w:b/>
          <w:smallCaps w:val="0"/>
          <w:kern w:val="2"/>
          <w:sz w:val="24"/>
          <w:szCs w:val="24"/>
          <w:lang w:val="en-US" w:eastAsia="zh-CN" w:bidi="ar-SA"/>
        </w:rPr>
        <w:t>3.4环境适应性</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工作温度：-40℃～+80℃</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防护等级：IP65</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抗风、抗覆冰、抗振动：满足输电线路运行条件</w:t>
      </w:r>
    </w:p>
    <w:p>
      <w:pPr>
        <w:pStyle w:val="13"/>
        <w:keepNext w:val="0"/>
        <w:keepLines w:val="0"/>
        <w:pageBreakBefore w:val="0"/>
        <w:widowControl w:val="0"/>
        <w:kinsoku/>
        <w:wordWrap/>
        <w:overflowPunct/>
        <w:topLinePunct w:val="0"/>
        <w:autoSpaceDE/>
        <w:autoSpaceDN/>
        <w:bidi w:val="0"/>
        <w:adjustRightInd/>
        <w:snapToGrid/>
        <w:spacing w:line="360" w:lineRule="auto"/>
        <w:ind w:left="210" w:firstLine="482"/>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耐紫外线、耐盐雾、耐酸碱：适应沿海高湿高盐环境</w:t>
      </w:r>
    </w:p>
    <w:p>
      <w:pPr>
        <w:widowControl/>
        <w:jc w:val="left"/>
        <w:rPr>
          <w:rFonts w:hint="eastAsia" w:ascii="微软雅黑" w:hAnsi="微软雅黑"/>
          <w:b/>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hint="eastAsia" w:ascii="微软雅黑" w:hAnsi="微软雅黑" w:eastAsia="宋体" w:cs="Times New Roman"/>
          <w:b/>
          <w:bCs w:val="0"/>
          <w:kern w:val="2"/>
          <w:sz w:val="24"/>
          <w:szCs w:val="24"/>
          <w:lang w:val="en-US" w:eastAsia="zh-CN" w:bidi="ar-SA"/>
        </w:rPr>
      </w:pPr>
      <w:r>
        <w:rPr>
          <w:rFonts w:hint="eastAsia" w:ascii="微软雅黑" w:hAnsi="微软雅黑" w:eastAsia="宋体" w:cs="Times New Roman"/>
          <w:b/>
          <w:bCs w:val="0"/>
          <w:kern w:val="2"/>
          <w:sz w:val="24"/>
          <w:szCs w:val="24"/>
          <w:lang w:val="en-US" w:eastAsia="zh-CN" w:bidi="ar-SA"/>
        </w:rPr>
        <w:t>四、</w:t>
      </w:r>
      <w:bookmarkStart w:id="2" w:name="_Toc25876"/>
      <w:bookmarkStart w:id="3" w:name="_Toc526001224"/>
      <w:bookmarkStart w:id="4" w:name="_Toc505241235"/>
      <w:bookmarkStart w:id="5" w:name="_Toc245207092"/>
      <w:bookmarkStart w:id="6" w:name="_Toc408406121"/>
      <w:bookmarkStart w:id="7" w:name="_Toc398755366"/>
      <w:bookmarkStart w:id="8" w:name="_Toc387135655"/>
      <w:r>
        <w:rPr>
          <w:rFonts w:hint="eastAsia" w:ascii="微软雅黑" w:hAnsi="微软雅黑" w:eastAsia="宋体" w:cs="Times New Roman"/>
          <w:b/>
          <w:bCs w:val="0"/>
          <w:kern w:val="2"/>
          <w:sz w:val="24"/>
          <w:szCs w:val="24"/>
          <w:lang w:val="en-US" w:eastAsia="zh-CN" w:bidi="ar-SA"/>
        </w:rPr>
        <w:t>制造与工艺要求</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所有材料全新、无老化、无缺陷；</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金属零部件加工、防腐处理符合电力金具行业标准；</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严格按照图纸装配顺序、密封结构进行生产，不得擅自简化密封工序；</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光纤防护、护套安装、热缩密封工序全程可追溯，保留检验记录；</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宋体" w:hAnsi="宋体" w:eastAsia="宋体" w:cs="Times New Roman"/>
          <w:smallCaps w:val="0"/>
          <w:kern w:val="2"/>
          <w:sz w:val="24"/>
          <w:szCs w:val="24"/>
          <w:lang w:val="en-US" w:eastAsia="zh-CN" w:bidi="ar-SA"/>
        </w:rPr>
      </w:pPr>
      <w:r>
        <w:rPr>
          <w:rFonts w:hint="default" w:ascii="宋体" w:hAnsi="宋体" w:eastAsia="宋体" w:cs="Times New Roman"/>
          <w:smallCaps w:val="0"/>
          <w:kern w:val="2"/>
          <w:sz w:val="24"/>
          <w:szCs w:val="24"/>
          <w:lang w:val="en-US" w:eastAsia="zh-CN" w:bidi="ar-SA"/>
        </w:rPr>
        <w:t>制造全过程满足电力金具加工精度、表面处理、防腐管控要求。</w:t>
      </w:r>
    </w:p>
    <w:p>
      <w:pPr>
        <w:rPr>
          <w:rFonts w:hint="default"/>
          <w:lang w:val="en-US" w:eastAsia="zh-CN"/>
        </w:rPr>
      </w:pPr>
    </w:p>
    <w:p>
      <w:pPr>
        <w:pStyle w:val="10"/>
        <w:tabs>
          <w:tab w:val="left" w:pos="540"/>
        </w:tabs>
        <w:rPr>
          <w:rFonts w:ascii="微软雅黑" w:hAnsi="微软雅黑"/>
          <w:b/>
          <w:sz w:val="24"/>
          <w:szCs w:val="24"/>
        </w:rPr>
      </w:pPr>
      <w:r>
        <w:rPr>
          <w:rFonts w:hint="eastAsia" w:ascii="微软雅黑" w:hAnsi="微软雅黑"/>
          <w:b/>
          <w:sz w:val="24"/>
          <w:szCs w:val="24"/>
        </w:rPr>
        <w:t>五、</w:t>
      </w:r>
      <w:bookmarkEnd w:id="2"/>
      <w:bookmarkEnd w:id="3"/>
      <w:bookmarkEnd w:id="4"/>
      <w:bookmarkEnd w:id="5"/>
      <w:r>
        <w:rPr>
          <w:rFonts w:hint="eastAsia" w:ascii="微软雅黑" w:hAnsi="微软雅黑"/>
          <w:b/>
          <w:sz w:val="24"/>
          <w:szCs w:val="24"/>
        </w:rPr>
        <w:t>包装、运输和贮存及质量保证</w:t>
      </w:r>
    </w:p>
    <w:p>
      <w:pPr>
        <w:pStyle w:val="10"/>
        <w:tabs>
          <w:tab w:val="left" w:pos="540"/>
        </w:tabs>
        <w:rPr>
          <w:rFonts w:hint="eastAsia" w:ascii="微软雅黑" w:hAnsi="微软雅黑" w:eastAsia="宋体" w:cs="Times New Roman"/>
          <w:b/>
          <w:kern w:val="2"/>
          <w:sz w:val="24"/>
          <w:szCs w:val="24"/>
          <w:lang w:val="en-US" w:eastAsia="zh-CN" w:bidi="ar-SA"/>
        </w:rPr>
      </w:pPr>
      <w:r>
        <w:rPr>
          <w:rFonts w:hint="eastAsia" w:ascii="微软雅黑" w:hAnsi="微软雅黑" w:eastAsia="宋体" w:cs="Times New Roman"/>
          <w:b/>
          <w:kern w:val="2"/>
          <w:sz w:val="24"/>
          <w:szCs w:val="24"/>
          <w:lang w:val="en-US" w:eastAsia="zh-CN" w:bidi="ar-SA"/>
        </w:rPr>
        <w:t>5.1包装</w:t>
      </w:r>
    </w:p>
    <w:p>
      <w:pPr>
        <w:pStyle w:val="10"/>
        <w:tabs>
          <w:tab w:val="left" w:pos="540"/>
        </w:tabs>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要严格按照制造厂给出的说明书对产品进行包装、运输和储存。制造厂应在交货前的适当时间提供产品的运输和储存说明书；</w:t>
      </w:r>
    </w:p>
    <w:p>
      <w:pPr>
        <w:pStyle w:val="10"/>
        <w:tabs>
          <w:tab w:val="left" w:pos="540"/>
        </w:tabs>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产品制造完成并通过试验后应及时包装，否则应得到切实的保护。其包装也应符合铁路、公路和海运部门的有关规定；</w:t>
      </w:r>
    </w:p>
    <w:p>
      <w:pPr>
        <w:pStyle w:val="10"/>
        <w:tabs>
          <w:tab w:val="left" w:pos="540"/>
        </w:tabs>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包装箱上应有运输及起吊标志：“向上”、“防潮”、“小心轻放”、“由此吊起”等字样明显的包装储运图示标志，并应标明设备的订货号和发货号；</w:t>
      </w:r>
    </w:p>
    <w:p>
      <w:pPr>
        <w:pStyle w:val="10"/>
        <w:tabs>
          <w:tab w:val="left" w:pos="540"/>
        </w:tabs>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的包装应能保证断路器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10"/>
        <w:tabs>
          <w:tab w:val="left" w:pos="540"/>
        </w:tabs>
        <w:rPr>
          <w:rFonts w:hint="eastAsia" w:ascii="微软雅黑" w:hAnsi="微软雅黑" w:eastAsia="宋体" w:cs="Times New Roman"/>
          <w:b/>
          <w:kern w:val="2"/>
          <w:sz w:val="24"/>
          <w:szCs w:val="24"/>
          <w:lang w:val="en-US" w:eastAsia="zh-CN" w:bidi="ar-SA"/>
        </w:rPr>
      </w:pPr>
      <w:r>
        <w:rPr>
          <w:rFonts w:hint="eastAsia" w:ascii="微软雅黑" w:hAnsi="微软雅黑" w:eastAsia="宋体" w:cs="Times New Roman"/>
          <w:b/>
          <w:kern w:val="2"/>
          <w:sz w:val="24"/>
          <w:szCs w:val="24"/>
          <w:lang w:val="en-US" w:eastAsia="zh-CN" w:bidi="ar-SA"/>
        </w:rPr>
        <w:t>5.2运输</w:t>
      </w:r>
    </w:p>
    <w:p>
      <w:pPr>
        <w:pStyle w:val="24"/>
        <w:numPr>
          <w:ilvl w:val="0"/>
          <w:numId w:val="3"/>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整体运输时产品内部元件应不得移位、损坏和受潮，不得影响安装；</w:t>
      </w:r>
    </w:p>
    <w:p>
      <w:pPr>
        <w:pStyle w:val="24"/>
        <w:numPr>
          <w:ilvl w:val="0"/>
          <w:numId w:val="3"/>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单独运输的零部件应有标志，便于用户安装装配；</w:t>
      </w:r>
    </w:p>
    <w:p>
      <w:pPr>
        <w:pStyle w:val="24"/>
        <w:numPr>
          <w:ilvl w:val="0"/>
          <w:numId w:val="3"/>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整体产品或分别运输的部件，都要适合于运输及装卸的要求；</w:t>
      </w:r>
    </w:p>
    <w:p>
      <w:pPr>
        <w:pStyle w:val="24"/>
        <w:numPr>
          <w:ilvl w:val="0"/>
          <w:numId w:val="3"/>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随同运输的产品应附有装箱清单，产品所需提供的技术资料应完整无缺；</w:t>
      </w:r>
    </w:p>
    <w:p>
      <w:pPr>
        <w:pStyle w:val="24"/>
        <w:numPr>
          <w:ilvl w:val="0"/>
          <w:numId w:val="3"/>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设备在运输和装卸时，应按照DL/T1071《电力大件运输规范》在要求进行。</w:t>
      </w:r>
    </w:p>
    <w:p>
      <w:pPr>
        <w:pStyle w:val="10"/>
        <w:tabs>
          <w:tab w:val="left" w:pos="540"/>
        </w:tabs>
        <w:rPr>
          <w:rFonts w:hint="eastAsia" w:ascii="微软雅黑" w:hAnsi="微软雅黑" w:eastAsia="宋体" w:cs="Times New Roman"/>
          <w:b/>
          <w:kern w:val="2"/>
          <w:sz w:val="24"/>
          <w:szCs w:val="24"/>
          <w:lang w:val="en-US" w:eastAsia="zh-CN" w:bidi="ar-SA"/>
        </w:rPr>
      </w:pPr>
      <w:r>
        <w:rPr>
          <w:rFonts w:hint="eastAsia" w:ascii="微软雅黑" w:hAnsi="微软雅黑" w:eastAsia="宋体" w:cs="Times New Roman"/>
          <w:b/>
          <w:kern w:val="2"/>
          <w:sz w:val="24"/>
          <w:szCs w:val="24"/>
          <w:lang w:val="en-US" w:eastAsia="zh-CN" w:bidi="ar-SA"/>
        </w:rPr>
        <w:t>5.3储存</w:t>
      </w:r>
    </w:p>
    <w:p>
      <w:pPr>
        <w:pStyle w:val="24"/>
        <w:tabs>
          <w:tab w:val="left" w:pos="567"/>
        </w:tabs>
        <w:spacing w:line="36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存放在正常环境温度、干燥的室内保管，以防止储存过程中密封破坏而受潮。</w:t>
      </w:r>
    </w:p>
    <w:p>
      <w:pPr>
        <w:pStyle w:val="10"/>
        <w:tabs>
          <w:tab w:val="left" w:pos="540"/>
        </w:tabs>
        <w:rPr>
          <w:rFonts w:hint="eastAsia" w:ascii="微软雅黑" w:hAnsi="微软雅黑" w:eastAsia="宋体" w:cs="Times New Roman"/>
          <w:b/>
          <w:kern w:val="2"/>
          <w:sz w:val="24"/>
          <w:szCs w:val="24"/>
          <w:lang w:val="en-US" w:eastAsia="zh-CN" w:bidi="ar-SA"/>
        </w:rPr>
      </w:pPr>
      <w:r>
        <w:rPr>
          <w:rFonts w:hint="eastAsia" w:ascii="微软雅黑" w:hAnsi="微软雅黑" w:eastAsia="宋体" w:cs="Times New Roman"/>
          <w:b/>
          <w:kern w:val="2"/>
          <w:sz w:val="24"/>
          <w:szCs w:val="24"/>
          <w:lang w:val="en-US" w:eastAsia="zh-CN" w:bidi="ar-SA"/>
        </w:rPr>
        <w:t>5.4开箱检查</w:t>
      </w:r>
    </w:p>
    <w:p>
      <w:pPr>
        <w:pStyle w:val="23"/>
        <w:tabs>
          <w:tab w:val="left" w:pos="772"/>
        </w:tabs>
        <w:spacing w:after="40"/>
        <w:ind w:left="720" w:hanging="32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开箱检查时应有代表在现场确认。</w:t>
      </w:r>
      <w:bookmarkEnd w:id="6"/>
      <w:bookmarkEnd w:id="7"/>
      <w:bookmarkEnd w:id="8"/>
    </w:p>
    <w:p>
      <w:pPr>
        <w:pStyle w:val="23"/>
        <w:tabs>
          <w:tab w:val="left" w:pos="772"/>
        </w:tabs>
        <w:spacing w:after="40"/>
        <w:ind w:left="720" w:hanging="320"/>
        <w:rPr>
          <w:rFonts w:hint="eastAsia" w:ascii="宋体" w:hAnsi="宋体" w:eastAsia="宋体" w:cs="Times New Roman"/>
          <w:kern w:val="2"/>
          <w:sz w:val="24"/>
          <w:szCs w:val="24"/>
          <w:lang w:val="en-US" w:eastAsia="zh-CN" w:bidi="ar-SA"/>
        </w:rPr>
      </w:pPr>
    </w:p>
    <w:p>
      <w:pPr>
        <w:pStyle w:val="23"/>
        <w:tabs>
          <w:tab w:val="left" w:pos="772"/>
        </w:tabs>
        <w:spacing w:after="40"/>
        <w:rPr>
          <w:rFonts w:hint="eastAsia" w:ascii="微软雅黑" w:hAnsi="微软雅黑" w:eastAsia="宋体" w:cs="Times New Roman"/>
          <w:b/>
          <w:kern w:val="2"/>
          <w:sz w:val="24"/>
          <w:szCs w:val="24"/>
          <w:lang w:val="en-US" w:eastAsia="zh-CN" w:bidi="ar-SA"/>
        </w:rPr>
      </w:pPr>
      <w:r>
        <w:rPr>
          <w:rFonts w:hint="eastAsia" w:ascii="微软雅黑" w:hAnsi="微软雅黑" w:cs="Times New Roman"/>
          <w:b/>
          <w:kern w:val="2"/>
          <w:sz w:val="24"/>
          <w:szCs w:val="24"/>
          <w:lang w:val="en-US" w:eastAsia="zh-CN" w:bidi="ar-SA"/>
        </w:rPr>
        <w:t>六、</w:t>
      </w:r>
      <w:r>
        <w:rPr>
          <w:rFonts w:hint="eastAsia" w:ascii="微软雅黑" w:hAnsi="微软雅黑" w:eastAsia="宋体" w:cs="Times New Roman"/>
          <w:b/>
          <w:kern w:val="2"/>
          <w:sz w:val="24"/>
          <w:szCs w:val="24"/>
          <w:lang w:val="en-US" w:eastAsia="zh-CN" w:bidi="ar-SA"/>
        </w:rPr>
        <w:t>安装与服务要求</w:t>
      </w:r>
    </w:p>
    <w:p>
      <w:pPr>
        <w:pStyle w:val="24"/>
        <w:numPr>
          <w:ilvl w:val="0"/>
          <w:numId w:val="4"/>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供方提供现场安装指导、产品运维培训；</w:t>
      </w:r>
    </w:p>
    <w:p>
      <w:pPr>
        <w:pStyle w:val="24"/>
        <w:numPr>
          <w:ilvl w:val="0"/>
          <w:numId w:val="4"/>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7×24小时技术支持，4小时响应，24小时内到场服务；</w:t>
      </w:r>
    </w:p>
    <w:p>
      <w:pPr>
        <w:pStyle w:val="24"/>
        <w:numPr>
          <w:ilvl w:val="0"/>
          <w:numId w:val="4"/>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产品质保期≥36个月，质保期内免费维修、更换；</w:t>
      </w:r>
    </w:p>
    <w:p>
      <w:pPr>
        <w:pStyle w:val="24"/>
        <w:numPr>
          <w:ilvl w:val="0"/>
          <w:numId w:val="4"/>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质保期外终身维护，成本价供应备件。</w:t>
      </w:r>
    </w:p>
    <w:p>
      <w:pPr>
        <w:pStyle w:val="23"/>
        <w:tabs>
          <w:tab w:val="left" w:pos="772"/>
        </w:tabs>
        <w:spacing w:after="40"/>
        <w:ind w:left="720" w:hanging="320"/>
        <w:rPr>
          <w:rFonts w:hint="eastAsia" w:eastAsia="黑体"/>
          <w:szCs w:val="21"/>
        </w:rPr>
      </w:pPr>
    </w:p>
    <w:p>
      <w:pPr>
        <w:pStyle w:val="23"/>
        <w:tabs>
          <w:tab w:val="left" w:pos="772"/>
        </w:tabs>
        <w:spacing w:after="40"/>
        <w:rPr>
          <w:rFonts w:hint="eastAsia" w:ascii="微软雅黑" w:hAnsi="微软雅黑" w:cs="Times New Roman"/>
          <w:b/>
          <w:kern w:val="2"/>
          <w:sz w:val="24"/>
          <w:szCs w:val="24"/>
          <w:lang w:val="en-US" w:eastAsia="zh-CN" w:bidi="ar-SA"/>
        </w:rPr>
      </w:pPr>
      <w:r>
        <w:rPr>
          <w:rFonts w:hint="eastAsia" w:ascii="微软雅黑" w:hAnsi="微软雅黑" w:cs="Times New Roman"/>
          <w:b/>
          <w:kern w:val="2"/>
          <w:sz w:val="24"/>
          <w:szCs w:val="24"/>
          <w:lang w:val="en-US" w:eastAsia="zh-CN" w:bidi="ar-SA"/>
        </w:rPr>
        <w:t>七、质量保证承诺</w:t>
      </w:r>
    </w:p>
    <w:p>
      <w:pPr>
        <w:pStyle w:val="24"/>
        <w:numPr>
          <w:ilvl w:val="0"/>
          <w:numId w:val="5"/>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产品全新正品，材料、工艺、结构严格符合本规范及加工图纸；</w:t>
      </w:r>
    </w:p>
    <w:p>
      <w:pPr>
        <w:pStyle w:val="24"/>
        <w:numPr>
          <w:ilvl w:val="0"/>
          <w:numId w:val="5"/>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壳体、紧固件无锈蚀开裂，密封结构无渗水、失效；</w:t>
      </w:r>
    </w:p>
    <w:p>
      <w:pPr>
        <w:pStyle w:val="24"/>
        <w:numPr>
          <w:ilvl w:val="0"/>
          <w:numId w:val="5"/>
        </w:numPr>
        <w:tabs>
          <w:tab w:val="left" w:pos="567"/>
        </w:tabs>
        <w:spacing w:line="360" w:lineRule="auto"/>
        <w:ind w:left="0" w:leftChars="0"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因设计、材料、加工缺陷导致故障，供方无条件免费整改。</w:t>
      </w:r>
      <w:r>
        <w:rPr>
          <w:rFonts w:hint="eastAsia" w:ascii="宋体" w:hAnsi="宋体" w:eastAsia="宋体" w:cs="Times New Roman"/>
          <w:kern w:val="2"/>
          <w:sz w:val="24"/>
          <w:szCs w:val="24"/>
          <w:lang w:val="en-US" w:eastAsia="zh-CN" w:bidi="ar-SA"/>
        </w:rPr>
        <w:br w:type="textWrapping"/>
      </w:r>
    </w:p>
    <w:p>
      <w:pPr>
        <w:rPr>
          <w:rFonts w:ascii="Times New Roman"/>
          <w:b/>
          <w:bCs/>
          <w:color w:val="0000FF"/>
          <w:szCs w:val="21"/>
        </w:rPr>
      </w:pPr>
      <w:r>
        <w:rPr>
          <w:rFonts w:ascii="Times New Roman"/>
          <w:b/>
          <w:bCs/>
          <w:color w:val="0000FF"/>
          <w:szCs w:val="21"/>
        </w:rPr>
        <w:br w:type="page"/>
      </w:r>
    </w:p>
    <w:p>
      <w:pPr>
        <w:pStyle w:val="8"/>
        <w:ind w:left="0"/>
        <w:rPr>
          <w:rFonts w:hint="eastAsia" w:ascii="Times New Roman"/>
          <w:b/>
          <w:bCs/>
          <w:color w:val="0000FF"/>
          <w:szCs w:val="21"/>
        </w:rPr>
      </w:pPr>
      <w:r>
        <w:rPr>
          <w:rFonts w:ascii="Times New Roman"/>
          <w:b/>
          <w:bCs/>
          <w:color w:val="0000FF"/>
          <w:szCs w:val="21"/>
        </w:rPr>
        <w:t>附录</w:t>
      </w:r>
      <w:r>
        <w:rPr>
          <w:rFonts w:hint="eastAsia" w:ascii="Times New Roman"/>
          <w:b/>
          <w:bCs/>
          <w:color w:val="0000FF"/>
          <w:szCs w:val="21"/>
        </w:rPr>
        <w:t>1：IOPPC光电分离组件加工图纸（含结构总图、零件表）</w:t>
      </w:r>
    </w:p>
    <w:p>
      <w:pPr>
        <w:pStyle w:val="9"/>
        <w:rPr>
          <w:rFonts w:hint="eastAsia" w:eastAsia="宋体"/>
          <w:lang w:eastAsia="zh-CN"/>
        </w:rPr>
      </w:pPr>
      <w:bookmarkStart w:id="9" w:name="_GoBack"/>
      <w:r>
        <w:rPr>
          <w:rFonts w:hint="eastAsia"/>
        </w:rPr>
        <w:drawing>
          <wp:inline distT="0" distB="0" distL="114300" distR="114300">
            <wp:extent cx="4382770" cy="1725295"/>
            <wp:effectExtent l="0" t="0" r="6350" b="12065"/>
            <wp:docPr id="1" name="图片 1" descr="5a777213b9bae28f9685dbd064f53b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a777213b9bae28f9685dbd064f53b90"/>
                    <pic:cNvPicPr>
                      <a:picLocks noChangeAspect="1"/>
                    </pic:cNvPicPr>
                  </pic:nvPicPr>
                  <pic:blipFill>
                    <a:blip r:embed="rId6"/>
                    <a:srcRect r="16863"/>
                    <a:stretch>
                      <a:fillRect/>
                    </a:stretch>
                  </pic:blipFill>
                  <pic:spPr>
                    <a:xfrm>
                      <a:off x="0" y="0"/>
                      <a:ext cx="4382770" cy="1725295"/>
                    </a:xfrm>
                    <a:prstGeom prst="rect">
                      <a:avLst/>
                    </a:prstGeom>
                  </pic:spPr>
                </pic:pic>
              </a:graphicData>
            </a:graphic>
          </wp:inline>
        </w:drawing>
      </w:r>
      <w:bookmarkEnd w:id="9"/>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0F4223"/>
    <w:multiLevelType w:val="singleLevel"/>
    <w:tmpl w:val="B80F4223"/>
    <w:lvl w:ilvl="0" w:tentative="0">
      <w:start w:val="1"/>
      <w:numFmt w:val="decimal"/>
      <w:suff w:val="nothing"/>
      <w:lvlText w:val="%1．"/>
      <w:lvlJc w:val="left"/>
      <w:pPr>
        <w:ind w:left="0" w:firstLine="400"/>
      </w:pPr>
      <w:rPr>
        <w:rFonts w:hint="default"/>
      </w:rPr>
    </w:lvl>
  </w:abstractNum>
  <w:abstractNum w:abstractNumId="1">
    <w:nsid w:val="EE053DDE"/>
    <w:multiLevelType w:val="singleLevel"/>
    <w:tmpl w:val="EE053DDE"/>
    <w:lvl w:ilvl="0" w:tentative="0">
      <w:start w:val="1"/>
      <w:numFmt w:val="decimal"/>
      <w:lvlText w:val="%1."/>
      <w:lvlJc w:val="left"/>
      <w:pPr>
        <w:ind w:left="425" w:hanging="425"/>
      </w:pPr>
      <w:rPr>
        <w:rFonts w:hint="default"/>
      </w:rPr>
    </w:lvl>
  </w:abstractNum>
  <w:abstractNum w:abstractNumId="2">
    <w:nsid w:val="F6AE30F1"/>
    <w:multiLevelType w:val="singleLevel"/>
    <w:tmpl w:val="F6AE30F1"/>
    <w:lvl w:ilvl="0" w:tentative="0">
      <w:start w:val="1"/>
      <w:numFmt w:val="chineseCounting"/>
      <w:suff w:val="nothing"/>
      <w:lvlText w:val="%1、"/>
      <w:lvlJc w:val="left"/>
      <w:pPr>
        <w:ind w:left="210"/>
      </w:pPr>
      <w:rPr>
        <w:rFonts w:hint="eastAsia"/>
      </w:rPr>
    </w:lvl>
  </w:abstractNum>
  <w:abstractNum w:abstractNumId="3">
    <w:nsid w:val="03510BFF"/>
    <w:multiLevelType w:val="singleLevel"/>
    <w:tmpl w:val="03510BFF"/>
    <w:lvl w:ilvl="0" w:tentative="0">
      <w:start w:val="1"/>
      <w:numFmt w:val="decimal"/>
      <w:suff w:val="nothing"/>
      <w:lvlText w:val="%1．"/>
      <w:lvlJc w:val="left"/>
      <w:pPr>
        <w:ind w:left="0" w:firstLine="400"/>
      </w:pPr>
      <w:rPr>
        <w:rFonts w:hint="default"/>
      </w:rPr>
    </w:lvl>
  </w:abstractNum>
  <w:abstractNum w:abstractNumId="4">
    <w:nsid w:val="1FD5EE98"/>
    <w:multiLevelType w:val="singleLevel"/>
    <w:tmpl w:val="1FD5EE98"/>
    <w:lvl w:ilvl="0" w:tentative="0">
      <w:start w:val="1"/>
      <w:numFmt w:val="decimal"/>
      <w:suff w:val="nothing"/>
      <w:lvlText w:val="%1．"/>
      <w:lvlJc w:val="left"/>
      <w:pPr>
        <w:ind w:left="0" w:firstLine="400"/>
      </w:pPr>
      <w:rPr>
        <w:rFont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CA193A"/>
    <w:rsid w:val="00344358"/>
    <w:rsid w:val="005F354F"/>
    <w:rsid w:val="007E7CD4"/>
    <w:rsid w:val="00A218ED"/>
    <w:rsid w:val="00C52A5D"/>
    <w:rsid w:val="00E37D6B"/>
    <w:rsid w:val="00EC7C63"/>
    <w:rsid w:val="00F91D24"/>
    <w:rsid w:val="053F1A32"/>
    <w:rsid w:val="05BE1B08"/>
    <w:rsid w:val="06C82E6C"/>
    <w:rsid w:val="06DD0BD4"/>
    <w:rsid w:val="09147420"/>
    <w:rsid w:val="0E0930D4"/>
    <w:rsid w:val="13C540FC"/>
    <w:rsid w:val="14C44951"/>
    <w:rsid w:val="16034BBF"/>
    <w:rsid w:val="1B55538E"/>
    <w:rsid w:val="1F7F2339"/>
    <w:rsid w:val="21610EE5"/>
    <w:rsid w:val="25C777D7"/>
    <w:rsid w:val="349814DE"/>
    <w:rsid w:val="3DCA193A"/>
    <w:rsid w:val="3FBA180C"/>
    <w:rsid w:val="42812E8D"/>
    <w:rsid w:val="5BA2354F"/>
    <w:rsid w:val="5C45079E"/>
    <w:rsid w:val="60650B72"/>
    <w:rsid w:val="61653AA8"/>
    <w:rsid w:val="64C62CF4"/>
    <w:rsid w:val="6703053B"/>
    <w:rsid w:val="6C2D5008"/>
    <w:rsid w:val="6C356B41"/>
    <w:rsid w:val="72CF1E90"/>
    <w:rsid w:val="74A516CC"/>
    <w:rsid w:val="7C024A28"/>
    <w:rsid w:val="7E8D3ED0"/>
    <w:rsid w:val="7F636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style>
  <w:style w:type="paragraph" w:styleId="7">
    <w:name w:val="Title"/>
    <w:basedOn w:val="1"/>
    <w:next w:val="1"/>
    <w:qFormat/>
    <w:uiPriority w:val="10"/>
    <w:pPr>
      <w:jc w:val="center"/>
    </w:pPr>
    <w:rPr>
      <w:rFonts w:ascii="宋体"/>
      <w:b/>
      <w:kern w:val="0"/>
      <w:sz w:val="36"/>
      <w:szCs w:val="20"/>
    </w:rPr>
  </w:style>
  <w:style w:type="paragraph" w:styleId="8">
    <w:name w:val="Body Text Indent"/>
    <w:basedOn w:val="1"/>
    <w:next w:val="9"/>
    <w:qFormat/>
    <w:uiPriority w:val="99"/>
    <w:pPr>
      <w:spacing w:after="120"/>
      <w:ind w:left="420"/>
    </w:pPr>
  </w:style>
  <w:style w:type="paragraph" w:styleId="9">
    <w:name w:val="envelope return"/>
    <w:basedOn w:val="1"/>
    <w:qFormat/>
    <w:uiPriority w:val="0"/>
    <w:pPr>
      <w:snapToGrid w:val="0"/>
    </w:pPr>
    <w:rPr>
      <w:rFonts w:ascii="Arial" w:hAnsi="Arial" w:cs="Arial"/>
    </w:rPr>
  </w:style>
  <w:style w:type="paragraph" w:styleId="10">
    <w:name w:val="Plain Text"/>
    <w:basedOn w:val="1"/>
    <w:qFormat/>
    <w:uiPriority w:val="0"/>
    <w:pPr>
      <w:spacing w:line="360" w:lineRule="auto"/>
    </w:pPr>
    <w:rPr>
      <w:rFonts w:ascii="宋体" w:hAnsi="Courier New"/>
      <w:szCs w:val="20"/>
    </w:rPr>
  </w:style>
  <w:style w:type="paragraph" w:styleId="11">
    <w:name w:val="Balloon Text"/>
    <w:basedOn w:val="1"/>
    <w:link w:val="25"/>
    <w:qFormat/>
    <w:uiPriority w:val="0"/>
    <w:rPr>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2"/>
    <w:basedOn w:val="1"/>
    <w:next w:val="1"/>
    <w:qFormat/>
    <w:uiPriority w:val="39"/>
    <w:pPr>
      <w:ind w:left="210"/>
      <w:jc w:val="left"/>
    </w:pPr>
    <w:rPr>
      <w:smallCaps/>
      <w:sz w:val="20"/>
    </w:rPr>
  </w:style>
  <w:style w:type="table" w:styleId="15">
    <w:name w:val="Table Grid"/>
    <w:basedOn w:val="1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character" w:styleId="18">
    <w:name w:val="annotation reference"/>
    <w:basedOn w:val="16"/>
    <w:qFormat/>
    <w:uiPriority w:val="0"/>
    <w:rPr>
      <w:sz w:val="21"/>
      <w:szCs w:val="21"/>
    </w:rPr>
  </w:style>
  <w:style w:type="paragraph" w:customStyle="1" w:styleId="19">
    <w:name w:val="列出段落1"/>
    <w:basedOn w:val="1"/>
    <w:qFormat/>
    <w:uiPriority w:val="0"/>
    <w:pPr>
      <w:widowControl/>
      <w:tabs>
        <w:tab w:val="left" w:pos="0"/>
      </w:tabs>
      <w:spacing w:line="360" w:lineRule="auto"/>
      <w:ind w:firstLine="400" w:firstLineChars="200"/>
      <w:jc w:val="center"/>
      <w:outlineLvl w:val="0"/>
    </w:pPr>
    <w:rPr>
      <w:rFonts w:ascii="Times New Roman" w:hAnsi="Times New Roman"/>
      <w:kern w:val="0"/>
      <w:sz w:val="20"/>
      <w:szCs w:val="20"/>
    </w:rPr>
  </w:style>
  <w:style w:type="paragraph" w:customStyle="1" w:styleId="20">
    <w:name w:val="正文表标题"/>
    <w:next w:val="21"/>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1">
    <w:name w:val="段"/>
    <w:qFormat/>
    <w:uiPriority w:val="0"/>
    <w:pPr>
      <w:ind w:firstLine="200" w:firstLineChars="200"/>
      <w:jc w:val="both"/>
    </w:pPr>
    <w:rPr>
      <w:rFonts w:ascii="宋体" w:hAnsi="Times New Roman" w:eastAsia="宋体" w:cs="Times New Roman"/>
      <w:sz w:val="21"/>
      <w:lang w:val="en-US" w:eastAsia="zh-CN" w:bidi="ar-SA"/>
    </w:rPr>
  </w:style>
  <w:style w:type="paragraph" w:styleId="22">
    <w:name w:val="List Paragraph"/>
    <w:basedOn w:val="1"/>
    <w:unhideWhenUsed/>
    <w:qFormat/>
    <w:uiPriority w:val="99"/>
    <w:pPr>
      <w:ind w:firstLine="420" w:firstLineChars="200"/>
    </w:pPr>
  </w:style>
  <w:style w:type="paragraph" w:customStyle="1" w:styleId="23">
    <w:name w:val="Body text|1"/>
    <w:basedOn w:val="1"/>
    <w:qFormat/>
    <w:uiPriority w:val="0"/>
    <w:pPr>
      <w:spacing w:line="360" w:lineRule="auto"/>
    </w:pPr>
    <w:rPr>
      <w:rFonts w:ascii="宋体" w:hAnsi="宋体" w:cs="宋体"/>
      <w:sz w:val="20"/>
      <w:szCs w:val="20"/>
      <w:lang w:val="zh-TW" w:eastAsia="zh-TW" w:bidi="zh-TW"/>
    </w:rPr>
  </w:style>
  <w:style w:type="paragraph" w:customStyle="1" w:styleId="2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25">
    <w:name w:val="批注框文本 Char"/>
    <w:basedOn w:val="16"/>
    <w:link w:val="11"/>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734</Words>
  <Characters>861</Characters>
  <Lines>17</Lines>
  <Paragraphs>5</Paragraphs>
  <TotalTime>2</TotalTime>
  <ScaleCrop>false</ScaleCrop>
  <LinksUpToDate>false</LinksUpToDate>
  <CharactersWithSpaces>895</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2025-04-23T07:50:00Z</dcterms:created>
  <dc:creator>RxZc.</dc:creator>
  <cp:lastModifiedBy>柯伟铭</cp:lastModifiedBy>
  <cp:lastPrinted>2025-04-27T02:41:00Z</cp:lastPrinted>
  <dcterms:modified xsi:type="dcterms:W3CDTF">2026-05-17T16:15:31Z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ICV">
    <vt:lpwstr>77E5FA8736CD4A87B30FAFD315E9D67D</vt:lpwstr>
  </property>
  <property fmtid="{D5CDD505-2E9C-101B-9397-08002B2CF9AE}" pid="4" name="KSOTemplateDocerSaveRecord">
    <vt:lpwstr>eyJoZGlkIjoiM2NhNDJkNDFkM2Q3Y2FjYTEwZjgwZTE1MDgwMDQ5MWMiLCJ1c2VySWQiOiIxMTY2OTIyMTE3In0=</vt:lpwstr>
  </property>
</Properties>
</file>