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overflowPunct/>
        <w:topLinePunct w:val="0"/>
        <w:bidi w:val="0"/>
        <w:spacing w:before="93" w:line="560" w:lineRule="exact"/>
        <w:jc w:val="center"/>
        <w:outlineLvl w:val="9"/>
        <w:rPr>
          <w:rFonts w:hint="default" w:ascii="方正小标宋_GBK" w:hAnsi="方正小标宋_GBK" w:eastAsia="方正小标宋_GBK" w:cs="方正小标宋_GBK"/>
          <w:color w:val="auto"/>
          <w:sz w:val="44"/>
          <w:szCs w:val="44"/>
          <w:lang w:val="en-US"/>
        </w:rPr>
      </w:pPr>
      <w:r>
        <w:rPr>
          <w:rFonts w:hint="eastAsia" w:ascii="方正小标宋_GBK" w:hAnsi="方正小标宋_GBK" w:eastAsia="方正小标宋_GBK" w:cs="方正小标宋_GBK"/>
          <w:color w:val="auto"/>
          <w:spacing w:val="9"/>
          <w:sz w:val="44"/>
          <w:szCs w:val="44"/>
          <w:lang w:val="en-US" w:eastAsia="zh-CN"/>
        </w:rPr>
        <w:t>南网商城</w:t>
      </w:r>
      <w:r>
        <w:rPr>
          <w:rFonts w:hint="eastAsia" w:ascii="方正小标宋_GBK" w:hAnsi="方正小标宋_GBK" w:eastAsia="方正小标宋_GBK" w:cs="方正小标宋_GBK"/>
          <w:color w:val="auto"/>
          <w:spacing w:val="9"/>
          <w:sz w:val="44"/>
          <w:szCs w:val="44"/>
        </w:rPr>
        <w:t>办公类物资</w:t>
      </w:r>
      <w:r>
        <w:rPr>
          <w:rFonts w:hint="eastAsia" w:ascii="方正小标宋_GBK" w:hAnsi="方正小标宋_GBK" w:eastAsia="方正小标宋_GBK" w:cs="方正小标宋_GBK"/>
          <w:color w:val="auto"/>
          <w:spacing w:val="9"/>
          <w:sz w:val="44"/>
          <w:szCs w:val="44"/>
          <w:lang w:val="en-US" w:eastAsia="zh-CN"/>
        </w:rPr>
        <w:t>及MRO工业品品牌库试点应用方案</w:t>
      </w:r>
    </w:p>
    <w:p>
      <w:pPr>
        <w:pStyle w:val="4"/>
        <w:keepNext w:val="0"/>
        <w:keepLines w:val="0"/>
        <w:pageBreakBefore w:val="0"/>
        <w:widowControl/>
        <w:kinsoku w:val="0"/>
        <w:wordWrap/>
        <w:overflowPunct/>
        <w:topLinePunct w:val="0"/>
        <w:autoSpaceDE w:val="0"/>
        <w:autoSpaceDN w:val="0"/>
        <w:bidi w:val="0"/>
        <w:adjustRightInd w:val="0"/>
        <w:snapToGrid w:val="0"/>
        <w:spacing w:before="196" w:line="560" w:lineRule="exact"/>
        <w:ind w:right="98" w:firstLine="638"/>
        <w:jc w:val="both"/>
        <w:textAlignment w:val="baseline"/>
        <w:rPr>
          <w:rFonts w:hint="eastAsia" w:ascii="仿宋_GB2312" w:hAnsi="仿宋_GB2312" w:eastAsia="仿宋_GB2312" w:cs="仿宋_GB2312"/>
          <w:color w:val="auto"/>
          <w:spacing w:val="3"/>
          <w:sz w:val="32"/>
          <w:szCs w:val="32"/>
        </w:rPr>
      </w:pPr>
    </w:p>
    <w:p>
      <w:pPr>
        <w:pStyle w:val="4"/>
        <w:keepNext w:val="0"/>
        <w:keepLines w:val="0"/>
        <w:pageBreakBefore w:val="0"/>
        <w:widowControl/>
        <w:kinsoku w:val="0"/>
        <w:wordWrap/>
        <w:overflowPunct/>
        <w:topLinePunct w:val="0"/>
        <w:autoSpaceDE w:val="0"/>
        <w:autoSpaceDN w:val="0"/>
        <w:bidi w:val="0"/>
        <w:adjustRightInd w:val="0"/>
        <w:snapToGrid w:val="0"/>
        <w:spacing w:before="196" w:line="560" w:lineRule="exact"/>
        <w:ind w:right="98" w:firstLine="638"/>
        <w:jc w:val="both"/>
        <w:textAlignment w:val="baseline"/>
        <w:rPr>
          <w:color w:val="auto"/>
          <w:spacing w:val="3"/>
          <w:sz w:val="32"/>
          <w:szCs w:val="32"/>
        </w:rPr>
      </w:pPr>
      <w:r>
        <w:rPr>
          <w:rFonts w:hint="eastAsia" w:ascii="仿宋_GB2312" w:hAnsi="仿宋_GB2312" w:eastAsia="仿宋_GB2312" w:cs="仿宋_GB2312"/>
          <w:color w:val="auto"/>
          <w:spacing w:val="3"/>
          <w:sz w:val="32"/>
          <w:szCs w:val="32"/>
        </w:rPr>
        <w:t>为</w:t>
      </w:r>
      <w:r>
        <w:rPr>
          <w:rFonts w:hint="eastAsia" w:ascii="仿宋_GB2312" w:hAnsi="仿宋_GB2312" w:eastAsia="仿宋_GB2312" w:cs="仿宋_GB2312"/>
          <w:color w:val="auto"/>
          <w:spacing w:val="3"/>
          <w:sz w:val="32"/>
          <w:szCs w:val="32"/>
          <w:lang w:val="en-US" w:eastAsia="zh-CN"/>
        </w:rPr>
        <w:t>进一步优化</w:t>
      </w:r>
      <w:r>
        <w:rPr>
          <w:rFonts w:hint="eastAsia" w:ascii="仿宋_GB2312" w:hAnsi="仿宋_GB2312" w:eastAsia="仿宋_GB2312" w:cs="仿宋_GB2312"/>
          <w:color w:val="auto"/>
          <w:spacing w:val="3"/>
          <w:sz w:val="32"/>
          <w:szCs w:val="32"/>
        </w:rPr>
        <w:t>中国南方电网公司电子商城内采专区办公通用物资及MRO工业品标准商品库</w:t>
      </w:r>
      <w:r>
        <w:rPr>
          <w:rFonts w:hint="eastAsia" w:ascii="仿宋_GB2312" w:hAnsi="仿宋_GB2312" w:eastAsia="仿宋_GB2312" w:cs="仿宋_GB2312"/>
          <w:color w:val="auto"/>
          <w:spacing w:val="3"/>
          <w:sz w:val="32"/>
          <w:szCs w:val="32"/>
          <w:lang w:val="en-US" w:eastAsia="zh-CN"/>
        </w:rPr>
        <w:t>，引入通用、热销商品，现拟针对部分品类开展品牌库试点应用</w:t>
      </w:r>
      <w:r>
        <w:rPr>
          <w:rFonts w:hint="eastAsia" w:ascii="仿宋_GB2312" w:hAnsi="仿宋_GB2312" w:eastAsia="仿宋_GB2312" w:cs="仿宋_GB2312"/>
          <w:color w:val="auto"/>
          <w:spacing w:val="3"/>
          <w:sz w:val="32"/>
          <w:szCs w:val="32"/>
        </w:rPr>
        <w:t>。</w:t>
      </w:r>
    </w:p>
    <w:p>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before="17" w:line="560" w:lineRule="exact"/>
        <w:ind w:firstLine="616" w:firstLineChars="200"/>
        <w:textAlignment w:val="baseline"/>
        <w:outlineLvl w:val="0"/>
        <w:rPr>
          <w:rFonts w:hint="eastAsia" w:ascii="黑体" w:hAnsi="黑体" w:eastAsia="黑体" w:cs="黑体"/>
          <w:b w:val="0"/>
          <w:bCs w:val="0"/>
          <w:color w:val="auto"/>
          <w:spacing w:val="-1"/>
        </w:rPr>
      </w:pPr>
      <w:r>
        <w:rPr>
          <w:rFonts w:hint="eastAsia" w:ascii="黑体" w:hAnsi="黑体" w:eastAsia="黑体" w:cs="黑体"/>
          <w:b w:val="0"/>
          <w:bCs w:val="0"/>
          <w:color w:val="auto"/>
          <w:spacing w:val="-1"/>
        </w:rPr>
        <w:t>一、</w:t>
      </w:r>
      <w:r>
        <w:rPr>
          <w:rFonts w:hint="eastAsia" w:ascii="黑体" w:hAnsi="黑体" w:eastAsia="黑体" w:cs="黑体"/>
          <w:b w:val="0"/>
          <w:bCs w:val="0"/>
          <w:color w:val="auto"/>
          <w:spacing w:val="-1"/>
          <w:lang w:val="en-US" w:eastAsia="zh-CN"/>
        </w:rPr>
        <w:t>应用</w:t>
      </w:r>
      <w:r>
        <w:rPr>
          <w:rFonts w:hint="eastAsia" w:ascii="黑体" w:hAnsi="黑体" w:eastAsia="黑体" w:cs="黑体"/>
          <w:b w:val="0"/>
          <w:bCs w:val="0"/>
          <w:color w:val="auto"/>
          <w:spacing w:val="-1"/>
        </w:rPr>
        <w:t>范围</w:t>
      </w:r>
    </w:p>
    <w:p>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before="17" w:line="560" w:lineRule="exact"/>
        <w:ind w:firstLine="652" w:firstLineChars="200"/>
        <w:textAlignment w:val="baseline"/>
        <w:outlineLvl w:val="0"/>
        <w:rPr>
          <w:rFonts w:hint="eastAsia" w:ascii="仿宋_GB2312" w:hAnsi="仿宋_GB2312" w:eastAsia="仿宋_GB2312" w:cs="仿宋_GB2312"/>
          <w:b w:val="0"/>
          <w:bCs w:val="0"/>
          <w:snapToGrid w:val="0"/>
          <w:color w:val="auto"/>
          <w:spacing w:val="7"/>
          <w:kern w:val="0"/>
          <w:lang w:val="en-US" w:eastAsia="zh-CN"/>
        </w:rPr>
      </w:pPr>
      <w:r>
        <w:rPr>
          <w:rFonts w:hint="eastAsia" w:ascii="仿宋_GB2312" w:hAnsi="仿宋_GB2312" w:eastAsia="仿宋_GB2312" w:cs="仿宋_GB2312"/>
          <w:color w:val="auto"/>
          <w:spacing w:val="3"/>
          <w:sz w:val="32"/>
          <w:szCs w:val="32"/>
          <w:lang w:val="en-US" w:eastAsia="zh-CN"/>
        </w:rPr>
        <w:t>办公通用物资及MRO工业品专区试点</w:t>
      </w:r>
      <w:r>
        <w:rPr>
          <w:rFonts w:hint="eastAsia" w:ascii="仿宋_GB2312" w:hAnsi="仿宋_GB2312" w:eastAsia="仿宋_GB2312" w:cs="仿宋_GB2312"/>
          <w:b w:val="0"/>
          <w:bCs w:val="0"/>
          <w:snapToGrid w:val="0"/>
          <w:color w:val="auto"/>
          <w:spacing w:val="7"/>
          <w:kern w:val="0"/>
          <w:lang w:val="en-US" w:eastAsia="zh-CN"/>
        </w:rPr>
        <w:t>应用品牌库管理模式的品类详见附件1。</w:t>
      </w:r>
    </w:p>
    <w:p>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before="17" w:line="560" w:lineRule="exact"/>
        <w:ind w:firstLine="616" w:firstLineChars="200"/>
        <w:textAlignment w:val="baseline"/>
        <w:outlineLvl w:val="0"/>
        <w:rPr>
          <w:rFonts w:hint="default" w:ascii="黑体" w:hAnsi="黑体" w:eastAsia="黑体" w:cs="黑体"/>
          <w:b w:val="0"/>
          <w:bCs w:val="0"/>
          <w:color w:val="auto"/>
          <w:spacing w:val="-1"/>
          <w:lang w:val="en-US" w:eastAsia="zh-CN"/>
        </w:rPr>
      </w:pPr>
      <w:r>
        <w:rPr>
          <w:rFonts w:hint="eastAsia" w:ascii="黑体" w:hAnsi="黑体" w:eastAsia="黑体" w:cs="黑体"/>
          <w:b w:val="0"/>
          <w:bCs w:val="0"/>
          <w:color w:val="auto"/>
          <w:spacing w:val="-1"/>
          <w:lang w:val="en-US" w:eastAsia="zh-CN"/>
        </w:rPr>
        <w:t>二、品牌库管理</w:t>
      </w:r>
    </w:p>
    <w:p>
      <w:pPr>
        <w:keepNext w:val="0"/>
        <w:keepLines w:val="0"/>
        <w:pageBreakBefore w:val="0"/>
        <w:widowControl w:val="0"/>
        <w:kinsoku/>
        <w:wordWrap/>
        <w:overflowPunct/>
        <w:topLinePunct w:val="0"/>
        <w:autoSpaceDE/>
        <w:autoSpaceDN/>
        <w:bidi w:val="0"/>
        <w:adjustRightInd/>
        <w:snapToGrid/>
        <w:spacing w:line="560" w:lineRule="exact"/>
        <w:ind w:firstLine="668" w:firstLineChars="200"/>
        <w:textAlignment w:val="auto"/>
        <w:outlineLvl w:val="2"/>
        <w:rPr>
          <w:rFonts w:hint="eastAsia" w:ascii="楷体_GB2312" w:hAnsi="楷体_GB2312" w:eastAsia="楷体_GB2312" w:cs="楷体_GB2312"/>
          <w:b w:val="0"/>
          <w:bCs w:val="0"/>
          <w:snapToGrid w:val="0"/>
          <w:color w:val="auto"/>
          <w:spacing w:val="7"/>
          <w:kern w:val="0"/>
          <w:sz w:val="32"/>
          <w:szCs w:val="32"/>
          <w:lang w:val="en-US" w:eastAsia="zh-CN" w:bidi="ar-SA"/>
        </w:rPr>
      </w:pPr>
      <w:r>
        <w:rPr>
          <w:rFonts w:hint="eastAsia" w:ascii="楷体_GB2312" w:hAnsi="楷体_GB2312" w:eastAsia="楷体_GB2312" w:cs="楷体_GB2312"/>
          <w:b w:val="0"/>
          <w:bCs w:val="0"/>
          <w:snapToGrid w:val="0"/>
          <w:color w:val="auto"/>
          <w:spacing w:val="7"/>
          <w:kern w:val="0"/>
          <w:sz w:val="32"/>
          <w:szCs w:val="32"/>
          <w:lang w:val="en-US" w:eastAsia="zh-CN" w:bidi="ar-SA"/>
        </w:rPr>
        <w:t>（一）商品来源</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right="0" w:firstLine="641"/>
        <w:jc w:val="both"/>
        <w:textAlignment w:val="baseline"/>
        <w:rPr>
          <w:rFonts w:hint="default" w:ascii="仿宋_GB2312" w:hAnsi="仿宋_GB2312" w:eastAsia="仿宋_GB2312" w:cs="仿宋_GB2312"/>
          <w:snapToGrid w:val="0"/>
          <w:color w:val="auto"/>
          <w:spacing w:val="7"/>
          <w:kern w:val="0"/>
          <w:sz w:val="32"/>
          <w:szCs w:val="32"/>
          <w:lang w:val="en-US" w:eastAsia="zh-CN" w:bidi="ar-SA"/>
        </w:rPr>
      </w:pPr>
      <w:r>
        <w:rPr>
          <w:rFonts w:hint="eastAsia" w:ascii="仿宋_GB2312" w:hAnsi="仿宋_GB2312" w:eastAsia="仿宋_GB2312" w:cs="仿宋_GB2312"/>
          <w:color w:val="auto"/>
          <w:spacing w:val="3"/>
          <w:sz w:val="32"/>
          <w:szCs w:val="32"/>
          <w:lang w:val="en-US" w:eastAsia="zh-CN"/>
        </w:rPr>
        <w:t>标准商品库商品入库来源分为用户推品和中标集货商推品，标准商品库维护单位定期组织专家对在库商品以及推品的品牌及商品进行审核。对用户推品不规范情形按照公司相关管理制度处理。中标集货商应提报市场主流、热销的通用商品，出现响应资料提报不全或造假，推品关键信息填报错漏，推荐定制化、异常高价、恶意刷评论商品或存在质量问题商品等情形，公司将依据相关规定及合同条款予以处罚</w:t>
      </w:r>
      <w:r>
        <w:rPr>
          <w:rFonts w:hint="eastAsia" w:ascii="仿宋_GB2312" w:hAnsi="仿宋_GB2312" w:eastAsia="仿宋_GB2312" w:cs="仿宋_GB2312"/>
          <w:snapToGrid w:val="0"/>
          <w:color w:val="auto"/>
          <w:spacing w:val="7"/>
          <w:kern w:val="0"/>
          <w:sz w:val="32"/>
          <w:szCs w:val="32"/>
          <w:lang w:val="en-US" w:eastAsia="zh-CN" w:bidi="ar-SA"/>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68" w:firstLineChars="200"/>
        <w:textAlignment w:val="auto"/>
        <w:outlineLvl w:val="2"/>
        <w:rPr>
          <w:rFonts w:hint="default" w:ascii="楷体_GB2312" w:hAnsi="楷体_GB2312" w:eastAsia="楷体_GB2312" w:cs="楷体_GB2312"/>
          <w:b w:val="0"/>
          <w:bCs w:val="0"/>
          <w:snapToGrid w:val="0"/>
          <w:color w:val="auto"/>
          <w:spacing w:val="7"/>
          <w:kern w:val="0"/>
          <w:sz w:val="32"/>
          <w:szCs w:val="32"/>
          <w:lang w:val="en-US" w:eastAsia="zh-CN" w:bidi="ar-SA"/>
        </w:rPr>
      </w:pPr>
      <w:r>
        <w:rPr>
          <w:rFonts w:hint="eastAsia" w:ascii="楷体_GB2312" w:hAnsi="楷体_GB2312" w:eastAsia="楷体_GB2312" w:cs="楷体_GB2312"/>
          <w:b w:val="0"/>
          <w:bCs w:val="0"/>
          <w:snapToGrid w:val="0"/>
          <w:color w:val="auto"/>
          <w:spacing w:val="7"/>
          <w:kern w:val="0"/>
          <w:sz w:val="32"/>
          <w:szCs w:val="32"/>
          <w:lang w:val="en-US" w:eastAsia="zh-CN" w:bidi="ar-SA"/>
        </w:rPr>
        <w:t>（二）品牌审核</w:t>
      </w:r>
    </w:p>
    <w:p>
      <w:pPr>
        <w:pStyle w:val="4"/>
        <w:keepNext w:val="0"/>
        <w:keepLines w:val="0"/>
        <w:pageBreakBefore w:val="0"/>
        <w:kinsoku w:val="0"/>
        <w:wordWrap/>
        <w:overflowPunct/>
        <w:topLinePunct w:val="0"/>
        <w:autoSpaceDE w:val="0"/>
        <w:autoSpaceDN w:val="0"/>
        <w:bidi w:val="0"/>
        <w:adjustRightInd w:val="0"/>
        <w:snapToGrid w:val="0"/>
        <w:spacing w:line="560" w:lineRule="exact"/>
        <w:ind w:firstLine="641"/>
        <w:jc w:val="both"/>
        <w:textAlignment w:val="baseline"/>
        <w:rPr>
          <w:rFonts w:hint="eastAsia" w:ascii="仿宋_GB2312" w:hAnsi="仿宋_GB2312" w:eastAsia="仿宋_GB2312" w:cs="仿宋_GB2312"/>
          <w:snapToGrid w:val="0"/>
          <w:color w:val="auto"/>
          <w:spacing w:val="7"/>
          <w:kern w:val="0"/>
          <w:sz w:val="32"/>
          <w:szCs w:val="32"/>
          <w:lang w:val="en-US" w:eastAsia="zh-CN"/>
        </w:rPr>
      </w:pPr>
      <w:r>
        <w:rPr>
          <w:rFonts w:hint="eastAsia" w:ascii="仿宋_GB2312" w:hAnsi="仿宋_GB2312" w:eastAsia="仿宋_GB2312" w:cs="仿宋_GB2312"/>
          <w:b w:val="0"/>
          <w:bCs w:val="0"/>
          <w:snapToGrid w:val="0"/>
          <w:color w:val="auto"/>
          <w:spacing w:val="7"/>
          <w:kern w:val="0"/>
          <w:lang w:val="en-US" w:eastAsia="zh-CN"/>
        </w:rPr>
        <w:t>根据品类的品牌属性将SPU分为ABC类：</w:t>
      </w:r>
      <w:r>
        <w:rPr>
          <w:rFonts w:hint="eastAsia" w:ascii="仿宋_GB2312" w:hAnsi="仿宋_GB2312" w:eastAsia="仿宋_GB2312" w:cs="仿宋_GB2312"/>
          <w:snapToGrid w:val="0"/>
          <w:color w:val="auto"/>
          <w:spacing w:val="7"/>
          <w:kern w:val="0"/>
          <w:sz w:val="32"/>
          <w:szCs w:val="32"/>
          <w:lang w:val="en-US" w:eastAsia="zh-CN"/>
        </w:rPr>
        <w:t>A类的SPU纳入</w:t>
      </w:r>
      <w:r>
        <w:rPr>
          <w:rFonts w:hint="eastAsia" w:ascii="仿宋_GB2312" w:hAnsi="仿宋_GB2312" w:eastAsia="仿宋_GB2312" w:cs="仿宋_GB2312"/>
          <w:b w:val="0"/>
          <w:bCs w:val="0"/>
          <w:snapToGrid w:val="0"/>
          <w:color w:val="auto"/>
          <w:spacing w:val="7"/>
          <w:kern w:val="0"/>
          <w:sz w:val="32"/>
          <w:szCs w:val="32"/>
          <w:lang w:val="en-US" w:eastAsia="zh-CN"/>
        </w:rPr>
        <w:t>通过合规性审查</w:t>
      </w:r>
      <w:r>
        <w:rPr>
          <w:rFonts w:hint="eastAsia" w:ascii="仿宋_GB2312" w:hAnsi="仿宋_GB2312" w:eastAsia="仿宋_GB2312" w:cs="仿宋_GB2312"/>
          <w:b/>
          <w:bCs/>
          <w:snapToGrid w:val="0"/>
          <w:color w:val="auto"/>
          <w:spacing w:val="7"/>
          <w:kern w:val="0"/>
          <w:sz w:val="32"/>
          <w:szCs w:val="32"/>
          <w:lang w:val="en-US" w:eastAsia="zh-CN"/>
        </w:rPr>
        <w:t>且为“I类”的品牌</w:t>
      </w:r>
      <w:r>
        <w:rPr>
          <w:rFonts w:hint="eastAsia" w:ascii="仿宋_GB2312" w:hAnsi="仿宋_GB2312" w:eastAsia="仿宋_GB2312" w:cs="仿宋_GB2312"/>
          <w:snapToGrid w:val="0"/>
          <w:color w:val="auto"/>
          <w:spacing w:val="7"/>
          <w:kern w:val="0"/>
          <w:sz w:val="32"/>
          <w:szCs w:val="32"/>
          <w:lang w:val="en-US" w:eastAsia="zh-CN"/>
        </w:rPr>
        <w:t>；B类SPU纳入</w:t>
      </w:r>
      <w:r>
        <w:rPr>
          <w:rFonts w:hint="eastAsia" w:ascii="仿宋_GB2312" w:hAnsi="仿宋_GB2312" w:eastAsia="仿宋_GB2312" w:cs="仿宋_GB2312"/>
          <w:b w:val="0"/>
          <w:bCs w:val="0"/>
          <w:snapToGrid w:val="0"/>
          <w:color w:val="auto"/>
          <w:spacing w:val="7"/>
          <w:kern w:val="0"/>
          <w:sz w:val="32"/>
          <w:szCs w:val="32"/>
          <w:lang w:val="en-US" w:eastAsia="zh-CN"/>
        </w:rPr>
        <w:t>通过合规性审查</w:t>
      </w:r>
      <w:r>
        <w:rPr>
          <w:rFonts w:hint="eastAsia" w:ascii="仿宋_GB2312" w:hAnsi="仿宋_GB2312" w:eastAsia="仿宋_GB2312" w:cs="仿宋_GB2312"/>
          <w:b/>
          <w:bCs/>
          <w:snapToGrid w:val="0"/>
          <w:color w:val="auto"/>
          <w:spacing w:val="7"/>
          <w:kern w:val="0"/>
          <w:sz w:val="32"/>
          <w:szCs w:val="32"/>
          <w:lang w:val="en-US" w:eastAsia="zh-CN"/>
        </w:rPr>
        <w:t>且为“I类或II类”的品牌</w:t>
      </w:r>
      <w:r>
        <w:rPr>
          <w:rFonts w:hint="eastAsia" w:ascii="仿宋_GB2312" w:hAnsi="仿宋_GB2312" w:eastAsia="仿宋_GB2312" w:cs="仿宋_GB2312"/>
          <w:snapToGrid w:val="0"/>
          <w:color w:val="auto"/>
          <w:spacing w:val="7"/>
          <w:kern w:val="0"/>
          <w:sz w:val="32"/>
          <w:szCs w:val="32"/>
          <w:lang w:val="en-US" w:eastAsia="zh-CN"/>
        </w:rPr>
        <w:t>；C类SPU纳入通过合规性审查的品牌，具体分类详见附件1。</w:t>
      </w:r>
    </w:p>
    <w:p>
      <w:pPr>
        <w:pStyle w:val="4"/>
        <w:keepNext w:val="0"/>
        <w:keepLines w:val="0"/>
        <w:pageBreakBefore w:val="0"/>
        <w:kinsoku w:val="0"/>
        <w:wordWrap/>
        <w:overflowPunct/>
        <w:topLinePunct w:val="0"/>
        <w:autoSpaceDE w:val="0"/>
        <w:autoSpaceDN w:val="0"/>
        <w:bidi w:val="0"/>
        <w:adjustRightInd w:val="0"/>
        <w:snapToGrid w:val="0"/>
        <w:spacing w:line="560" w:lineRule="exact"/>
        <w:ind w:firstLine="641"/>
        <w:jc w:val="both"/>
        <w:textAlignment w:val="baseline"/>
        <w:rPr>
          <w:rFonts w:hint="eastAsia" w:ascii="仿宋_GB2312" w:hAnsi="仿宋_GB2312" w:eastAsia="仿宋_GB2312" w:cs="仿宋_GB2312"/>
          <w:snapToGrid w:val="0"/>
          <w:color w:val="auto"/>
          <w:spacing w:val="7"/>
          <w:kern w:val="0"/>
          <w:sz w:val="32"/>
          <w:szCs w:val="32"/>
          <w:highlight w:val="none"/>
          <w:lang w:val="en-US" w:eastAsia="zh-CN"/>
        </w:rPr>
      </w:pPr>
      <w:r>
        <w:rPr>
          <w:rFonts w:hint="eastAsia" w:ascii="仿宋_GB2312" w:hAnsi="仿宋_GB2312" w:eastAsia="仿宋_GB2312" w:cs="仿宋_GB2312"/>
          <w:snapToGrid w:val="0"/>
          <w:color w:val="auto"/>
          <w:spacing w:val="7"/>
          <w:kern w:val="0"/>
          <w:sz w:val="32"/>
          <w:szCs w:val="32"/>
          <w:highlight w:val="none"/>
          <w:lang w:val="en-US" w:eastAsia="zh-CN"/>
        </w:rPr>
        <w:t>品牌审核标准如下：</w:t>
      </w:r>
    </w:p>
    <w:tbl>
      <w:tblPr>
        <w:tblStyle w:val="9"/>
        <w:tblpPr w:leftFromText="180" w:rightFromText="180" w:vertAnchor="text" w:horzAnchor="page" w:tblpX="1982" w:tblpY="208"/>
        <w:tblOverlap w:val="never"/>
        <w:tblW w:w="8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1913"/>
        <w:gridCol w:w="2189"/>
        <w:gridCol w:w="2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711" w:type="dxa"/>
            <w:vAlign w:val="center"/>
          </w:tcPr>
          <w:p>
            <w:pPr>
              <w:pStyle w:val="17"/>
              <w:keepNext w:val="0"/>
              <w:keepLines w:val="0"/>
              <w:pageBreakBefore w:val="0"/>
              <w:kinsoku/>
              <w:wordWrap/>
              <w:overflowPunct/>
              <w:topLinePunct w:val="0"/>
              <w:autoSpaceDE/>
              <w:autoSpaceDN/>
              <w:bidi w:val="0"/>
              <w:adjustRightInd/>
              <w:snapToGrid w:val="0"/>
              <w:spacing w:line="240" w:lineRule="auto"/>
              <w:ind w:firstLine="0" w:firstLineChars="0"/>
              <w:jc w:val="center"/>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rPr>
              <w:t>SPU分类</w:t>
            </w:r>
          </w:p>
        </w:tc>
        <w:tc>
          <w:tcPr>
            <w:tcW w:w="1913" w:type="dxa"/>
            <w:vAlign w:val="center"/>
          </w:tcPr>
          <w:p>
            <w:pPr>
              <w:pStyle w:val="17"/>
              <w:keepNext w:val="0"/>
              <w:keepLines w:val="0"/>
              <w:pageBreakBefore w:val="0"/>
              <w:kinsoku/>
              <w:wordWrap/>
              <w:overflowPunct/>
              <w:topLinePunct w:val="0"/>
              <w:autoSpaceDE/>
              <w:autoSpaceDN/>
              <w:bidi w:val="0"/>
              <w:adjustRightInd/>
              <w:snapToGrid w:val="0"/>
              <w:spacing w:line="240" w:lineRule="auto"/>
              <w:ind w:firstLine="0" w:firstLineChars="0"/>
              <w:jc w:val="center"/>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rPr>
              <w:t>A类</w:t>
            </w:r>
          </w:p>
        </w:tc>
        <w:tc>
          <w:tcPr>
            <w:tcW w:w="2189" w:type="dxa"/>
            <w:vAlign w:val="center"/>
          </w:tcPr>
          <w:p>
            <w:pPr>
              <w:pStyle w:val="17"/>
              <w:keepNext w:val="0"/>
              <w:keepLines w:val="0"/>
              <w:pageBreakBefore w:val="0"/>
              <w:kinsoku/>
              <w:wordWrap/>
              <w:overflowPunct/>
              <w:topLinePunct w:val="0"/>
              <w:autoSpaceDE/>
              <w:autoSpaceDN/>
              <w:bidi w:val="0"/>
              <w:adjustRightInd/>
              <w:snapToGrid w:val="0"/>
              <w:spacing w:line="240" w:lineRule="auto"/>
              <w:ind w:firstLine="0" w:firstLineChars="0"/>
              <w:jc w:val="center"/>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rPr>
              <w:t>B类</w:t>
            </w:r>
          </w:p>
        </w:tc>
        <w:tc>
          <w:tcPr>
            <w:tcW w:w="2576" w:type="dxa"/>
            <w:vAlign w:val="center"/>
          </w:tcPr>
          <w:p>
            <w:pPr>
              <w:pStyle w:val="17"/>
              <w:keepNext w:val="0"/>
              <w:keepLines w:val="0"/>
              <w:pageBreakBefore w:val="0"/>
              <w:kinsoku/>
              <w:wordWrap/>
              <w:overflowPunct/>
              <w:topLinePunct w:val="0"/>
              <w:autoSpaceDE/>
              <w:autoSpaceDN/>
              <w:bidi w:val="0"/>
              <w:adjustRightInd/>
              <w:snapToGrid w:val="0"/>
              <w:spacing w:line="240" w:lineRule="auto"/>
              <w:ind w:firstLine="0" w:firstLineChars="0"/>
              <w:jc w:val="center"/>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lang w:val="en-US" w:eastAsia="zh-CN"/>
              </w:rPr>
              <w:t>C</w:t>
            </w:r>
            <w:r>
              <w:rPr>
                <w:rFonts w:hint="eastAsia" w:ascii="宋体" w:hAnsi="宋体" w:eastAsia="宋体" w:cs="宋体"/>
                <w:b/>
                <w:bCs/>
                <w:snapToGrid w:val="0"/>
                <w:color w:val="auto"/>
                <w:kern w:val="0"/>
                <w:sz w:val="24"/>
                <w:szCs w:val="24"/>
                <w:highlight w:val="none"/>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1" w:hRule="atLeast"/>
        </w:trPr>
        <w:tc>
          <w:tcPr>
            <w:tcW w:w="1711" w:type="dxa"/>
            <w:vAlign w:val="center"/>
          </w:tcPr>
          <w:p>
            <w:pPr>
              <w:pStyle w:val="17"/>
              <w:keepNext w:val="0"/>
              <w:keepLines w:val="0"/>
              <w:pageBreakBefore w:val="0"/>
              <w:kinsoku/>
              <w:wordWrap/>
              <w:overflowPunct/>
              <w:topLinePunct w:val="0"/>
              <w:autoSpaceDE/>
              <w:autoSpaceDN/>
              <w:bidi w:val="0"/>
              <w:adjustRightInd/>
              <w:snapToGrid w:val="0"/>
              <w:spacing w:line="240" w:lineRule="auto"/>
              <w:ind w:firstLine="0" w:firstLineChars="0"/>
              <w:jc w:val="center"/>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品牌/注册商标合规性审查</w:t>
            </w:r>
          </w:p>
        </w:tc>
        <w:tc>
          <w:tcPr>
            <w:tcW w:w="6678" w:type="dxa"/>
            <w:gridSpan w:val="3"/>
            <w:vAlign w:val="center"/>
          </w:tcPr>
          <w:p>
            <w:pPr>
              <w:pStyle w:val="17"/>
              <w:keepNext w:val="0"/>
              <w:keepLines w:val="0"/>
              <w:pageBreakBefore w:val="0"/>
              <w:kinsoku/>
              <w:wordWrap/>
              <w:overflowPunct/>
              <w:topLinePunct w:val="0"/>
              <w:autoSpaceDE/>
              <w:autoSpaceDN/>
              <w:bidi w:val="0"/>
              <w:adjustRightInd/>
              <w:snapToGrid w:val="0"/>
              <w:spacing w:line="240" w:lineRule="auto"/>
              <w:ind w:firstLine="0" w:firstLineChars="0"/>
              <w:jc w:val="both"/>
              <w:rPr>
                <w:rFonts w:hint="default"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spacing w:val="0"/>
                <w:kern w:val="0"/>
                <w:sz w:val="24"/>
                <w:szCs w:val="24"/>
                <w:highlight w:val="none"/>
                <w:lang w:val="en-US" w:eastAsia="zh-CN" w:bidi="ar-SA"/>
              </w:rPr>
              <w:t>品牌应有国家知识产权局商标局中国商标网注册商标，品牌持有方应具有申请品类对应的商标注册证，品牌申请时需提供品牌名称、申请/注册号。办公通用物资申请品牌应满足在外部主流电商平台有商品且评价数量＞0，且</w:t>
            </w:r>
            <w:r>
              <w:rPr>
                <w:rFonts w:hint="eastAsia" w:ascii="宋体" w:hAnsi="宋体" w:eastAsia="宋体" w:cs="宋体"/>
                <w:snapToGrid w:val="0"/>
                <w:color w:val="auto"/>
                <w:kern w:val="0"/>
                <w:sz w:val="24"/>
                <w:szCs w:val="24"/>
                <w:highlight w:val="none"/>
              </w:rPr>
              <w:t>品牌持有方经营范围具备相应品类商品销售</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研发、生产、制造等能力</w:t>
            </w:r>
            <w:r>
              <w:rPr>
                <w:rFonts w:hint="eastAsia" w:ascii="宋体" w:hAnsi="宋体" w:eastAsia="宋体" w:cs="宋体"/>
                <w:snapToGrid w:val="0"/>
                <w:color w:val="auto"/>
                <w:kern w:val="0"/>
                <w:sz w:val="24"/>
                <w:szCs w:val="24"/>
                <w:highlight w:val="none"/>
                <w:lang w:val="en-US" w:eastAsia="zh-CN"/>
              </w:rPr>
              <w:t>之一</w:t>
            </w:r>
            <w:r>
              <w:rPr>
                <w:rFonts w:hint="eastAsia" w:ascii="宋体" w:hAnsi="宋体" w:eastAsia="宋体" w:cs="宋体"/>
                <w:snapToGrid w:val="0"/>
                <w:color w:val="auto"/>
                <w:spacing w:val="0"/>
                <w:kern w:val="0"/>
                <w:sz w:val="24"/>
                <w:szCs w:val="24"/>
                <w:highlight w:val="none"/>
                <w:lang w:val="en-US" w:eastAsia="zh-CN" w:bidi="ar-SA"/>
              </w:rPr>
              <w:t>；</w:t>
            </w:r>
            <w:r>
              <w:rPr>
                <w:rFonts w:hint="eastAsia" w:ascii="宋体" w:hAnsi="宋体" w:eastAsia="宋体" w:cs="宋体"/>
                <w:b w:val="0"/>
                <w:bCs w:val="0"/>
                <w:snapToGrid w:val="0"/>
                <w:color w:val="auto"/>
                <w:spacing w:val="0"/>
                <w:kern w:val="0"/>
                <w:sz w:val="24"/>
                <w:szCs w:val="24"/>
                <w:highlight w:val="none"/>
                <w:lang w:val="en-US" w:eastAsia="zh-CN" w:bidi="ar-SA"/>
              </w:rPr>
              <w:t>MRO工业品满足品牌商标注册时间及品牌商标持有方成立时间＞1年</w:t>
            </w:r>
            <w:r>
              <w:rPr>
                <w:rFonts w:hint="eastAsia" w:ascii="宋体" w:hAnsi="宋体" w:eastAsia="宋体" w:cs="宋体"/>
                <w:snapToGrid w:val="0"/>
                <w:color w:val="auto"/>
                <w:spacing w:val="0"/>
                <w:kern w:val="0"/>
                <w:sz w:val="24"/>
                <w:szCs w:val="24"/>
                <w:highlight w:val="none"/>
                <w:lang w:val="en-US" w:eastAsia="zh-CN" w:bidi="ar-SA"/>
              </w:rPr>
              <w:t>，且品牌持有方经营范围具备相应品类商品研发、生产、制造等能力之一。电子产品需符合安全可控相关要求。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711" w:type="dxa"/>
            <w:vAlign w:val="center"/>
          </w:tcPr>
          <w:p>
            <w:pPr>
              <w:pStyle w:val="17"/>
              <w:keepNext w:val="0"/>
              <w:keepLines w:val="0"/>
              <w:pageBreakBefore w:val="0"/>
              <w:kinsoku/>
              <w:wordWrap/>
              <w:overflowPunct/>
              <w:topLinePunct w:val="0"/>
              <w:autoSpaceDE/>
              <w:autoSpaceDN/>
              <w:bidi w:val="0"/>
              <w:adjustRightInd/>
              <w:snapToGrid w:val="0"/>
              <w:spacing w:line="240" w:lineRule="auto"/>
              <w:ind w:firstLine="0" w:firstLineChars="0"/>
              <w:jc w:val="center"/>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品牌类别审核</w:t>
            </w:r>
          </w:p>
        </w:tc>
        <w:tc>
          <w:tcPr>
            <w:tcW w:w="1913" w:type="dxa"/>
            <w:vAlign w:val="center"/>
          </w:tcPr>
          <w:p>
            <w:pPr>
              <w:pStyle w:val="17"/>
              <w:keepNext w:val="0"/>
              <w:keepLines w:val="0"/>
              <w:pageBreakBefore w:val="0"/>
              <w:kinsoku/>
              <w:wordWrap/>
              <w:overflowPunct/>
              <w:topLinePunct w:val="0"/>
              <w:autoSpaceDE/>
              <w:autoSpaceDN/>
              <w:bidi w:val="0"/>
              <w:adjustRightInd/>
              <w:snapToGrid w:val="0"/>
              <w:spacing w:line="240" w:lineRule="auto"/>
              <w:ind w:firstLine="0" w:firstLineChars="0"/>
              <w:jc w:val="center"/>
              <w:rPr>
                <w:rFonts w:hint="default" w:ascii="宋体" w:hAnsi="宋体" w:eastAsia="宋体" w:cs="宋体"/>
                <w:snapToGrid w:val="0"/>
                <w:color w:val="auto"/>
                <w:spacing w:val="0"/>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rPr>
              <w:t>通过合规性审查且为“I类”的品牌</w:t>
            </w:r>
          </w:p>
        </w:tc>
        <w:tc>
          <w:tcPr>
            <w:tcW w:w="2189" w:type="dxa"/>
            <w:vAlign w:val="center"/>
          </w:tcPr>
          <w:p>
            <w:pPr>
              <w:pStyle w:val="17"/>
              <w:keepNext w:val="0"/>
              <w:keepLines w:val="0"/>
              <w:pageBreakBefore w:val="0"/>
              <w:kinsoku/>
              <w:wordWrap/>
              <w:overflowPunct/>
              <w:topLinePunct w:val="0"/>
              <w:autoSpaceDE/>
              <w:autoSpaceDN/>
              <w:bidi w:val="0"/>
              <w:adjustRightInd/>
              <w:snapToGrid w:val="0"/>
              <w:spacing w:line="240" w:lineRule="auto"/>
              <w:ind w:firstLine="0" w:firstLineChars="0"/>
              <w:jc w:val="center"/>
              <w:rPr>
                <w:rFonts w:hint="default" w:ascii="宋体" w:hAnsi="宋体" w:eastAsia="宋体" w:cs="宋体"/>
                <w:snapToGrid w:val="0"/>
                <w:color w:val="auto"/>
                <w:spacing w:val="0"/>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rPr>
              <w:t>通过合规性审查且为“I类或II类”的品牌</w:t>
            </w:r>
          </w:p>
        </w:tc>
        <w:tc>
          <w:tcPr>
            <w:tcW w:w="2576" w:type="dxa"/>
            <w:vAlign w:val="center"/>
          </w:tcPr>
          <w:p>
            <w:pPr>
              <w:pStyle w:val="17"/>
              <w:keepNext w:val="0"/>
              <w:keepLines w:val="0"/>
              <w:pageBreakBefore w:val="0"/>
              <w:kinsoku/>
              <w:wordWrap/>
              <w:overflowPunct/>
              <w:topLinePunct w:val="0"/>
              <w:autoSpaceDE/>
              <w:autoSpaceDN/>
              <w:bidi w:val="0"/>
              <w:adjustRightInd/>
              <w:snapToGrid w:val="0"/>
              <w:spacing w:line="240" w:lineRule="auto"/>
              <w:ind w:firstLine="0" w:firstLineChars="0"/>
              <w:jc w:val="center"/>
              <w:rPr>
                <w:rFonts w:hint="eastAsia" w:ascii="宋体" w:hAnsi="宋体" w:eastAsia="宋体" w:cs="宋体"/>
                <w:snapToGrid w:val="0"/>
                <w:color w:val="auto"/>
                <w:spacing w:val="0"/>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rPr>
              <w:t>通过合规性审查的品牌</w:t>
            </w:r>
          </w:p>
        </w:tc>
      </w:tr>
    </w:tbl>
    <w:p>
      <w:pPr>
        <w:pStyle w:val="17"/>
        <w:keepNext w:val="0"/>
        <w:keepLines w:val="0"/>
        <w:pageBreakBefore w:val="0"/>
        <w:kinsoku/>
        <w:wordWrap/>
        <w:overflowPunct/>
        <w:topLinePunct w:val="0"/>
        <w:autoSpaceDE/>
        <w:autoSpaceDN/>
        <w:bidi w:val="0"/>
        <w:adjustRightInd/>
        <w:spacing w:line="560" w:lineRule="exact"/>
        <w:ind w:firstLine="640"/>
        <w:rPr>
          <w:rFonts w:hint="eastAsia" w:ascii="仿宋_GB2312" w:hAnsi="仿宋_GB2312" w:eastAsia="仿宋_GB2312" w:cs="仿宋_GB2312"/>
          <w:b w:val="0"/>
          <w:bCs w:val="0"/>
          <w:color w:val="auto"/>
          <w:lang w:val="en-US" w:eastAsia="zh-CN"/>
        </w:rPr>
      </w:pPr>
      <w:r>
        <w:rPr>
          <w:rFonts w:hint="eastAsia" w:ascii="仿宋_GB2312" w:hAnsi="仿宋_GB2312" w:eastAsia="仿宋_GB2312" w:cs="仿宋_GB2312"/>
          <w:b/>
          <w:bCs/>
          <w:color w:val="auto"/>
          <w:lang w:val="en-US" w:eastAsia="zh-CN"/>
        </w:rPr>
        <w:t>I类品牌</w:t>
      </w:r>
      <w:r>
        <w:rPr>
          <w:rFonts w:hint="eastAsia" w:ascii="仿宋_GB2312" w:hAnsi="仿宋_GB2312" w:eastAsia="仿宋_GB2312" w:cs="仿宋_GB2312"/>
          <w:b/>
          <w:bCs/>
          <w:color w:val="auto"/>
          <w:highlight w:val="none"/>
          <w:lang w:val="en-US" w:eastAsia="zh-CN"/>
        </w:rPr>
        <w:t>（免评品牌）需同时满足以下两个条件</w:t>
      </w:r>
      <w:r>
        <w:rPr>
          <w:rFonts w:hint="eastAsia" w:ascii="仿宋_GB2312" w:hAnsi="仿宋_GB2312" w:eastAsia="仿宋_GB2312" w:cs="仿宋_GB2312"/>
          <w:b w:val="0"/>
          <w:bCs w:val="0"/>
          <w:color w:val="auto"/>
          <w:highlight w:val="none"/>
          <w:lang w:val="en-US" w:eastAsia="zh-CN"/>
        </w:rPr>
        <w:t>：</w:t>
      </w:r>
    </w:p>
    <w:p>
      <w:pPr>
        <w:pStyle w:val="17"/>
        <w:keepNext w:val="0"/>
        <w:keepLines w:val="0"/>
        <w:pageBreakBefore w:val="0"/>
        <w:kinsoku/>
        <w:wordWrap/>
        <w:overflowPunct/>
        <w:topLinePunct w:val="0"/>
        <w:autoSpaceDE/>
        <w:autoSpaceDN/>
        <w:bidi w:val="0"/>
        <w:adjustRightInd/>
        <w:spacing w:line="560" w:lineRule="exact"/>
        <w:ind w:firstLine="640"/>
        <w:rPr>
          <w:rFonts w:hint="eastAsia" w:ascii="仿宋_GB2312" w:hAnsi="仿宋_GB2312" w:eastAsia="仿宋_GB2312" w:cs="仿宋_GB2312"/>
          <w:b w:val="0"/>
          <w:bCs w:val="0"/>
          <w:color w:val="auto"/>
          <w:u w:val="none"/>
          <w:lang w:val="en-US" w:eastAsia="zh-CN"/>
        </w:rPr>
      </w:pPr>
      <w:r>
        <w:rPr>
          <w:rFonts w:hint="eastAsia" w:ascii="仿宋_GB2312" w:hAnsi="仿宋_GB2312" w:eastAsia="仿宋_GB2312" w:cs="仿宋_GB2312"/>
          <w:b w:val="0"/>
          <w:bCs w:val="0"/>
          <w:color w:val="auto"/>
          <w:lang w:val="en-US" w:eastAsia="zh-CN"/>
        </w:rPr>
        <w:t>条件一：办公通用物资</w:t>
      </w:r>
      <w:r>
        <w:rPr>
          <w:rFonts w:hint="eastAsia" w:ascii="仿宋_GB2312" w:hAnsi="仿宋_GB2312" w:eastAsia="仿宋_GB2312" w:cs="仿宋_GB2312"/>
          <w:b w:val="0"/>
          <w:bCs w:val="0"/>
          <w:color w:val="auto"/>
          <w:u w:val="none"/>
          <w:lang w:val="en-US" w:eastAsia="zh-CN"/>
        </w:rPr>
        <w:t>对应品类</w:t>
      </w:r>
      <w:r>
        <w:rPr>
          <w:rFonts w:hint="eastAsia" w:ascii="仿宋_GB2312" w:hAnsi="仿宋_GB2312" w:eastAsia="仿宋_GB2312" w:cs="仿宋_GB2312"/>
          <w:b w:val="0"/>
          <w:bCs w:val="0"/>
          <w:color w:val="auto"/>
          <w:u w:val="none"/>
          <w:vertAlign w:val="superscript"/>
          <w:lang w:val="en-US" w:eastAsia="zh-CN"/>
        </w:rPr>
        <w:footnoteReference w:id="0"/>
      </w:r>
      <w:r>
        <w:rPr>
          <w:rFonts w:hint="eastAsia" w:ascii="仿宋_GB2312" w:hAnsi="仿宋_GB2312" w:eastAsia="仿宋_GB2312" w:cs="仿宋_GB2312"/>
          <w:b w:val="0"/>
          <w:bCs w:val="0"/>
          <w:color w:val="auto"/>
          <w:u w:val="none"/>
          <w:lang w:val="en-US" w:eastAsia="zh-CN"/>
        </w:rPr>
        <w:t>的京东自营店、京东旗舰店或天猫旗舰店的</w:t>
      </w:r>
      <w:r>
        <w:rPr>
          <w:rFonts w:hint="eastAsia" w:ascii="仿宋_GB2312" w:hAnsi="仿宋_GB2312" w:eastAsia="仿宋_GB2312" w:cs="仿宋_GB2312"/>
          <w:b/>
          <w:bCs/>
          <w:color w:val="auto"/>
          <w:u w:val="none"/>
          <w:lang w:val="en-US" w:eastAsia="zh-CN"/>
        </w:rPr>
        <w:t>店铺关注人数大于10万</w:t>
      </w:r>
      <w:r>
        <w:rPr>
          <w:rFonts w:hint="eastAsia" w:ascii="仿宋_GB2312" w:hAnsi="仿宋_GB2312" w:eastAsia="仿宋_GB2312" w:cs="仿宋_GB2312"/>
          <w:b w:val="0"/>
          <w:bCs w:val="0"/>
          <w:color w:val="auto"/>
          <w:u w:val="none"/>
          <w:lang w:val="en-US" w:eastAsia="zh-CN"/>
        </w:rPr>
        <w:t>。MRO工业品对应品类的京东自营店、京东旗舰店的</w:t>
      </w:r>
      <w:r>
        <w:rPr>
          <w:rFonts w:hint="eastAsia" w:ascii="仿宋_GB2312" w:hAnsi="仿宋_GB2312" w:eastAsia="仿宋_GB2312" w:cs="仿宋_GB2312"/>
          <w:b/>
          <w:bCs/>
          <w:color w:val="auto"/>
          <w:u w:val="none"/>
          <w:lang w:val="en-US" w:eastAsia="zh-CN"/>
        </w:rPr>
        <w:t>店铺关注人数大于5万</w:t>
      </w:r>
      <w:r>
        <w:rPr>
          <w:rFonts w:hint="eastAsia" w:ascii="仿宋_GB2312" w:hAnsi="仿宋_GB2312" w:eastAsia="仿宋_GB2312" w:cs="仿宋_GB2312"/>
          <w:b w:val="0"/>
          <w:bCs w:val="0"/>
          <w:color w:val="auto"/>
          <w:u w:val="none"/>
          <w:lang w:val="en-US" w:eastAsia="zh-CN"/>
        </w:rPr>
        <w:t>。</w:t>
      </w:r>
    </w:p>
    <w:p>
      <w:pPr>
        <w:pStyle w:val="17"/>
        <w:keepNext w:val="0"/>
        <w:keepLines w:val="0"/>
        <w:pageBreakBefore w:val="0"/>
        <w:kinsoku/>
        <w:wordWrap/>
        <w:overflowPunct/>
        <w:topLinePunct w:val="0"/>
        <w:autoSpaceDE/>
        <w:autoSpaceDN/>
        <w:bidi w:val="0"/>
        <w:adjustRightInd/>
        <w:spacing w:line="560" w:lineRule="exact"/>
        <w:ind w:firstLine="640"/>
        <w:rPr>
          <w:rFonts w:hint="default" w:ascii="仿宋_GB2312" w:hAnsi="仿宋_GB2312" w:eastAsia="仿宋_GB2312" w:cs="仿宋_GB2312"/>
          <w:b w:val="0"/>
          <w:bCs w:val="0"/>
          <w:color w:val="auto"/>
          <w:u w:val="none"/>
          <w:lang w:val="en-US" w:eastAsia="zh-CN"/>
        </w:rPr>
      </w:pPr>
      <w:r>
        <w:rPr>
          <w:rFonts w:hint="eastAsia" w:ascii="仿宋_GB2312" w:hAnsi="仿宋_GB2312" w:eastAsia="仿宋_GB2312" w:cs="仿宋_GB2312"/>
          <w:b w:val="0"/>
          <w:bCs w:val="0"/>
          <w:color w:val="auto"/>
          <w:u w:val="none"/>
          <w:lang w:val="en-US" w:eastAsia="zh-CN"/>
        </w:rPr>
        <w:t>条件二：该品牌存在10件及以上“销量或评价大于5000的商品链接”，办公通用物资取京东自营店、京东旗舰店或天猫旗舰店的链接。MRO工业品取京东自营店、京东旗舰店的链接。</w:t>
      </w:r>
    </w:p>
    <w:p>
      <w:pPr>
        <w:pStyle w:val="17"/>
        <w:keepNext w:val="0"/>
        <w:keepLines w:val="0"/>
        <w:pageBreakBefore w:val="0"/>
        <w:kinsoku/>
        <w:wordWrap/>
        <w:overflowPunct/>
        <w:topLinePunct w:val="0"/>
        <w:autoSpaceDE/>
        <w:autoSpaceDN/>
        <w:bidi w:val="0"/>
        <w:adjustRightInd/>
        <w:spacing w:line="560" w:lineRule="exact"/>
        <w:ind w:firstLine="640"/>
        <w:rPr>
          <w:rFonts w:hint="eastAsia" w:ascii="仿宋_GB2312" w:hAnsi="仿宋_GB2312" w:eastAsia="仿宋_GB2312" w:cs="仿宋_GB2312"/>
          <w:b w:val="0"/>
          <w:bCs w:val="0"/>
          <w:color w:val="auto"/>
          <w:lang w:val="en-US" w:eastAsia="zh-CN"/>
        </w:rPr>
      </w:pPr>
      <w:r>
        <w:rPr>
          <w:rFonts w:hint="eastAsia" w:ascii="仿宋_GB2312" w:hAnsi="仿宋_GB2312" w:eastAsia="仿宋_GB2312" w:cs="仿宋_GB2312"/>
          <w:b/>
          <w:bCs/>
          <w:color w:val="auto"/>
          <w:lang w:val="en-US" w:eastAsia="zh-CN"/>
        </w:rPr>
        <w:t>II类品牌</w:t>
      </w:r>
      <w:r>
        <w:rPr>
          <w:rFonts w:hint="eastAsia" w:ascii="仿宋_GB2312" w:hAnsi="仿宋_GB2312" w:eastAsia="仿宋_GB2312" w:cs="仿宋_GB2312"/>
          <w:b/>
          <w:bCs/>
          <w:color w:val="auto"/>
          <w:highlight w:val="none"/>
          <w:lang w:val="en-US" w:eastAsia="zh-CN"/>
        </w:rPr>
        <w:t>（品牌评分≥50）要求</w:t>
      </w:r>
      <w:r>
        <w:rPr>
          <w:rFonts w:hint="eastAsia" w:ascii="仿宋_GB2312" w:hAnsi="仿宋_GB2312" w:eastAsia="仿宋_GB2312" w:cs="仿宋_GB2312"/>
          <w:b w:val="0"/>
          <w:bCs w:val="0"/>
          <w:color w:val="auto"/>
          <w:lang w:val="en-US" w:eastAsia="zh-CN"/>
        </w:rPr>
        <w:t>：</w:t>
      </w:r>
    </w:p>
    <w:p>
      <w:pPr>
        <w:pStyle w:val="17"/>
        <w:keepNext w:val="0"/>
        <w:keepLines w:val="0"/>
        <w:pageBreakBefore w:val="0"/>
        <w:kinsoku/>
        <w:wordWrap/>
        <w:overflowPunct/>
        <w:topLinePunct w:val="0"/>
        <w:autoSpaceDE/>
        <w:autoSpaceDN/>
        <w:bidi w:val="0"/>
        <w:adjustRightInd/>
        <w:spacing w:line="560" w:lineRule="exact"/>
        <w:ind w:firstLine="640"/>
        <w:rPr>
          <w:rFonts w:hint="eastAsia" w:ascii="仿宋_GB2312" w:hAnsi="仿宋_GB2312" w:eastAsia="仿宋_GB2312" w:cs="仿宋_GB2312"/>
          <w:color w:val="auto"/>
          <w:lang w:val="en-US" w:eastAsia="zh-CN"/>
        </w:rPr>
      </w:pPr>
      <w:r>
        <w:rPr>
          <w:rFonts w:hint="eastAsia" w:ascii="仿宋_GB2312" w:hAnsi="仿宋_GB2312" w:eastAsia="仿宋_GB2312" w:cs="仿宋_GB2312"/>
          <w:b w:val="0"/>
          <w:bCs w:val="0"/>
          <w:strike w:val="0"/>
          <w:color w:val="auto"/>
          <w:lang w:val="en-US" w:eastAsia="zh-CN"/>
        </w:rPr>
        <w:t>对于不满足免评条款的品牌开展评审，</w:t>
      </w:r>
      <w:r>
        <w:rPr>
          <w:rFonts w:hint="eastAsia" w:ascii="仿宋_GB2312" w:hAnsi="仿宋_GB2312" w:eastAsia="仿宋_GB2312" w:cs="仿宋_GB2312"/>
          <w:b w:val="0"/>
          <w:bCs w:val="0"/>
          <w:color w:val="auto"/>
          <w:lang w:val="en-US" w:eastAsia="zh-CN"/>
        </w:rPr>
        <w:t>品牌评分</w:t>
      </w:r>
      <w:r>
        <w:rPr>
          <w:rFonts w:hint="eastAsia" w:ascii="仿宋_GB2312" w:hAnsi="仿宋_GB2312" w:eastAsia="仿宋_GB2312" w:cs="仿宋_GB2312"/>
          <w:b w:val="0"/>
          <w:bCs w:val="0"/>
          <w:color w:val="auto"/>
        </w:rPr>
        <w:t>主要从企业基础资</w:t>
      </w:r>
      <w:r>
        <w:rPr>
          <w:rFonts w:hint="eastAsia" w:ascii="仿宋_GB2312" w:hAnsi="仿宋_GB2312" w:eastAsia="仿宋_GB2312" w:cs="仿宋_GB2312"/>
          <w:color w:val="auto"/>
        </w:rPr>
        <w:t>质、电商生态力</w:t>
      </w:r>
      <w:r>
        <w:rPr>
          <w:rFonts w:hint="eastAsia" w:ascii="仿宋_GB2312" w:hAnsi="仿宋_GB2312" w:eastAsia="仿宋_GB2312" w:cs="仿宋_GB2312"/>
          <w:color w:val="auto"/>
          <w:lang w:eastAsia="zh-CN"/>
        </w:rPr>
        <w:t>、</w:t>
      </w:r>
      <w:r>
        <w:rPr>
          <w:rFonts w:hint="eastAsia" w:ascii="仿宋_GB2312" w:hAnsi="仿宋_GB2312" w:eastAsia="仿宋_GB2312" w:cs="仿宋_GB2312"/>
          <w:color w:val="auto"/>
        </w:rPr>
        <w:t>企业管理资质能力、</w:t>
      </w:r>
      <w:r>
        <w:rPr>
          <w:rFonts w:hint="eastAsia" w:ascii="仿宋_GB2312" w:hAnsi="仿宋_GB2312" w:eastAsia="仿宋_GB2312" w:cs="仿宋_GB2312"/>
          <w:color w:val="auto"/>
          <w:lang w:val="en-US" w:eastAsia="zh-CN"/>
        </w:rPr>
        <w:t>品牌成长四</w:t>
      </w:r>
      <w:r>
        <w:rPr>
          <w:rFonts w:hint="eastAsia" w:ascii="仿宋_GB2312" w:hAnsi="仿宋_GB2312" w:eastAsia="仿宋_GB2312" w:cs="仿宋_GB2312"/>
          <w:color w:val="auto"/>
        </w:rPr>
        <w:t>个方面开展评价</w:t>
      </w:r>
      <w:r>
        <w:rPr>
          <w:rFonts w:hint="eastAsia" w:ascii="仿宋_GB2312" w:hAnsi="仿宋_GB2312" w:eastAsia="仿宋_GB2312" w:cs="仿宋_GB2312"/>
          <w:color w:val="auto"/>
          <w:lang w:val="en-US" w:eastAsia="zh-CN"/>
        </w:rPr>
        <w:t>。品牌详细评分条款如下：</w:t>
      </w:r>
    </w:p>
    <w:p>
      <w:pPr>
        <w:pStyle w:val="17"/>
        <w:keepNext w:val="0"/>
        <w:keepLines w:val="0"/>
        <w:pageBreakBefore w:val="0"/>
        <w:kinsoku/>
        <w:wordWrap/>
        <w:overflowPunct/>
        <w:topLinePunct w:val="0"/>
        <w:autoSpaceDE/>
        <w:autoSpaceDN/>
        <w:bidi w:val="0"/>
        <w:adjustRightInd/>
        <w:spacing w:line="560" w:lineRule="exact"/>
        <w:ind w:firstLine="640"/>
        <w:rPr>
          <w:rFonts w:hint="eastAsia" w:ascii="仿宋_GB2312" w:hAnsi="仿宋_GB2312" w:eastAsia="仿宋_GB2312" w:cs="仿宋_GB2312"/>
          <w:color w:val="auto"/>
          <w:lang w:val="en-US" w:eastAsia="zh-CN"/>
        </w:rPr>
      </w:pPr>
    </w:p>
    <w:tbl>
      <w:tblPr>
        <w:tblStyle w:val="9"/>
        <w:tblW w:w="835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3"/>
        <w:gridCol w:w="654"/>
        <w:gridCol w:w="1287"/>
        <w:gridCol w:w="4913"/>
        <w:gridCol w:w="8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trPr>
        <w:tc>
          <w:tcPr>
            <w:tcW w:w="64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序号</w:t>
            </w:r>
          </w:p>
        </w:tc>
        <w:tc>
          <w:tcPr>
            <w:tcW w:w="6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评估维度</w:t>
            </w: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评审要素</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bCs/>
                <w:i w:val="0"/>
                <w:iCs w:val="0"/>
                <w:color w:val="auto"/>
                <w:sz w:val="20"/>
                <w:szCs w:val="20"/>
                <w:u w:val="none"/>
                <w:lang w:val="en-US" w:eastAsia="zh-CN"/>
              </w:rPr>
            </w:pPr>
            <w:r>
              <w:rPr>
                <w:rFonts w:hint="eastAsia" w:ascii="宋体" w:hAnsi="宋体" w:eastAsia="宋体" w:cs="宋体"/>
                <w:b/>
                <w:bCs/>
                <w:i w:val="0"/>
                <w:iCs w:val="0"/>
                <w:color w:val="auto"/>
                <w:sz w:val="20"/>
                <w:szCs w:val="20"/>
                <w:u w:val="none"/>
                <w:lang w:val="en-US" w:eastAsia="zh-CN"/>
              </w:rPr>
              <w:t>评分细则</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sz w:val="20"/>
                <w:szCs w:val="20"/>
                <w:u w:val="none"/>
                <w:lang w:val="en-US" w:eastAsia="zh-CN"/>
              </w:rPr>
            </w:pPr>
            <w:r>
              <w:rPr>
                <w:rFonts w:hint="eastAsia" w:ascii="宋体" w:hAnsi="宋体" w:eastAsia="宋体" w:cs="宋体"/>
                <w:b/>
                <w:bCs/>
                <w:i w:val="0"/>
                <w:iCs w:val="0"/>
                <w:color w:val="auto"/>
                <w:sz w:val="20"/>
                <w:szCs w:val="20"/>
                <w:u w:val="none"/>
                <w:lang w:val="en-US" w:eastAsia="zh-CN"/>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643"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654"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企业基础资质</w:t>
            </w: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实缴资金</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6分：品牌持有方公司实缴资金100万（含）人民币以上</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643" w:type="dxa"/>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p>
        </w:tc>
        <w:tc>
          <w:tcPr>
            <w:tcW w:w="65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公司社保实缴人数</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kinsoku/>
              <w:autoSpaceDE/>
              <w:autoSpaceDN/>
              <w:adjustRightInd/>
              <w:snapToGrid/>
              <w:spacing w:line="240" w:lineRule="auto"/>
              <w:textAlignment w:val="center"/>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u w:val="none"/>
                <w:lang w:val="en-US" w:eastAsia="zh-CN" w:bidi="ar"/>
              </w:rPr>
              <w:t>7分：</w:t>
            </w:r>
            <w:r>
              <w:rPr>
                <w:rFonts w:hint="eastAsia" w:ascii="宋体" w:hAnsi="宋体" w:eastAsia="宋体" w:cs="宋体"/>
                <w:i w:val="0"/>
                <w:iCs w:val="0"/>
                <w:color w:val="auto"/>
                <w:kern w:val="0"/>
                <w:sz w:val="20"/>
                <w:szCs w:val="20"/>
                <w:u w:val="none"/>
                <w:lang w:val="en-US" w:eastAsia="zh-CN" w:bidi="ar"/>
              </w:rPr>
              <w:t>品牌持有方</w:t>
            </w:r>
            <w:r>
              <w:rPr>
                <w:rFonts w:hint="eastAsia" w:ascii="宋体" w:hAnsi="宋体" w:eastAsia="宋体" w:cs="宋体"/>
                <w:color w:val="auto"/>
                <w:sz w:val="20"/>
                <w:szCs w:val="20"/>
                <w:u w:val="none"/>
                <w:lang w:val="en-US" w:eastAsia="zh-CN" w:bidi="ar"/>
              </w:rPr>
              <w:t>公司参保人数≥50</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trPr>
        <w:tc>
          <w:tcPr>
            <w:tcW w:w="643" w:type="dxa"/>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p>
        </w:tc>
        <w:tc>
          <w:tcPr>
            <w:tcW w:w="65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企业经营材料</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5分：品牌持有方无经营风险（如行政处罚、经营异常、严重违法等情况）</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trPr>
        <w:tc>
          <w:tcPr>
            <w:tcW w:w="643"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p>
        </w:tc>
        <w:tc>
          <w:tcPr>
            <w:tcW w:w="65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企业纳税材料</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5分：品牌持有方具备一般纳税人资格得5分</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6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电商生态力</w:t>
            </w: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主流电商认证</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sz w:val="20"/>
                <w:szCs w:val="20"/>
                <w:lang w:val="en-US" w:eastAsia="zh-CN"/>
              </w:rPr>
            </w:pPr>
            <w:r>
              <w:rPr>
                <w:rFonts w:hint="eastAsia" w:ascii="宋体" w:hAnsi="宋体" w:eastAsia="宋体" w:cs="宋体"/>
                <w:b/>
                <w:bCs/>
                <w:color w:val="auto"/>
                <w:sz w:val="20"/>
                <w:szCs w:val="20"/>
                <w:lang w:val="en-US" w:eastAsia="zh-CN"/>
              </w:rPr>
              <w:t>办公通用物资</w:t>
            </w:r>
            <w:r>
              <w:rPr>
                <w:rFonts w:hint="eastAsia" w:ascii="宋体" w:hAnsi="宋体" w:eastAsia="宋体" w:cs="宋体"/>
                <w:color w:val="auto"/>
                <w:sz w:val="20"/>
                <w:szCs w:val="20"/>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40分：京东和天猫都有该品牌旗舰店，且有该SPU上架销售，且任一平台该品类最高销量或评论超5000。</w:t>
            </w:r>
            <w:r>
              <w:rPr>
                <w:rFonts w:hint="eastAsia" w:ascii="宋体" w:hAnsi="宋体" w:eastAsia="宋体" w:cs="宋体"/>
                <w:color w:val="auto"/>
                <w:sz w:val="20"/>
                <w:szCs w:val="20"/>
                <w:lang w:val="en-US" w:eastAsia="zh-CN"/>
              </w:rPr>
              <w:br w:type="textWrapping"/>
            </w:r>
            <w:r>
              <w:rPr>
                <w:rFonts w:hint="eastAsia" w:ascii="宋体" w:hAnsi="宋体" w:eastAsia="宋体" w:cs="宋体"/>
                <w:color w:val="auto"/>
                <w:sz w:val="20"/>
                <w:szCs w:val="20"/>
                <w:lang w:val="en-US" w:eastAsia="zh-CN"/>
              </w:rPr>
              <w:t>30分：京东和天猫都有该品牌旗舰店，且有该SPU上架销售，且任一平台该品类最高销量或评论超1000。</w:t>
            </w:r>
            <w:r>
              <w:rPr>
                <w:rFonts w:hint="eastAsia" w:ascii="宋体" w:hAnsi="宋体" w:eastAsia="宋体" w:cs="宋体"/>
                <w:color w:val="auto"/>
                <w:sz w:val="20"/>
                <w:szCs w:val="20"/>
                <w:lang w:val="en-US" w:eastAsia="zh-CN"/>
              </w:rPr>
              <w:br w:type="textWrapping"/>
            </w:r>
            <w:r>
              <w:rPr>
                <w:rFonts w:hint="eastAsia" w:ascii="宋体" w:hAnsi="宋体" w:eastAsia="宋体" w:cs="宋体"/>
                <w:color w:val="auto"/>
                <w:sz w:val="20"/>
                <w:szCs w:val="20"/>
                <w:lang w:val="en-US" w:eastAsia="zh-CN"/>
              </w:rPr>
              <w:t>20分：京东或天猫有该品牌旗舰店，且有该SPU上架销售，且该品类最高销量或评论超5000。</w:t>
            </w:r>
            <w:r>
              <w:rPr>
                <w:rFonts w:hint="eastAsia" w:ascii="宋体" w:hAnsi="宋体" w:eastAsia="宋体" w:cs="宋体"/>
                <w:color w:val="auto"/>
                <w:sz w:val="20"/>
                <w:szCs w:val="20"/>
                <w:lang w:val="en-US" w:eastAsia="zh-CN"/>
              </w:rPr>
              <w:br w:type="textWrapping"/>
            </w:r>
            <w:r>
              <w:rPr>
                <w:rFonts w:hint="eastAsia" w:ascii="宋体" w:hAnsi="宋体" w:eastAsia="宋体" w:cs="宋体"/>
                <w:color w:val="auto"/>
                <w:sz w:val="20"/>
                <w:szCs w:val="20"/>
                <w:lang w:val="en-US" w:eastAsia="zh-CN"/>
              </w:rPr>
              <w:t>10分：京东或天猫有该品牌旗舰店，且有该SPU上架销售，且该品类最高销量或评论超1000。</w:t>
            </w:r>
          </w:p>
          <w:p>
            <w:pPr>
              <w:keepNext w:val="0"/>
              <w:keepLines w:val="0"/>
              <w:kinsoku/>
              <w:autoSpaceDE/>
              <w:autoSpaceDN/>
              <w:adjustRightInd/>
              <w:snapToGrid/>
              <w:spacing w:line="240" w:lineRule="auto"/>
              <w:textAlignment w:val="center"/>
              <w:rPr>
                <w:rFonts w:hint="eastAsia" w:ascii="宋体" w:hAnsi="宋体" w:eastAsia="宋体" w:cs="宋体"/>
                <w:color w:val="auto"/>
                <w:sz w:val="20"/>
                <w:szCs w:val="20"/>
                <w:lang w:val="en-US" w:eastAsia="zh-CN"/>
              </w:rPr>
            </w:pPr>
            <w:r>
              <w:rPr>
                <w:rFonts w:hint="eastAsia" w:ascii="宋体" w:hAnsi="宋体" w:eastAsia="宋体" w:cs="宋体"/>
                <w:b/>
                <w:bCs/>
                <w:color w:val="auto"/>
                <w:sz w:val="20"/>
                <w:szCs w:val="20"/>
                <w:lang w:val="en-US" w:eastAsia="zh-CN"/>
              </w:rPr>
              <w:t>MRO工业品</w:t>
            </w:r>
            <w:r>
              <w:rPr>
                <w:rFonts w:hint="eastAsia" w:ascii="宋体" w:hAnsi="宋体" w:eastAsia="宋体" w:cs="宋体"/>
                <w:color w:val="auto"/>
                <w:sz w:val="20"/>
                <w:szCs w:val="20"/>
                <w:lang w:val="en-US" w:eastAsia="zh-CN"/>
              </w:rPr>
              <w:t>：</w:t>
            </w:r>
          </w:p>
          <w:p>
            <w:pPr>
              <w:kinsoku/>
              <w:autoSpaceDE/>
              <w:autoSpaceDN/>
              <w:adjustRightInd/>
              <w:snapToGrid/>
              <w:textAlignment w:val="center"/>
              <w:rPr>
                <w:rFonts w:hint="eastAsia" w:ascii="宋体" w:hAnsi="宋体" w:eastAsia="宋体" w:cs="宋体"/>
                <w:color w:val="auto"/>
                <w:sz w:val="20"/>
                <w:szCs w:val="20"/>
                <w:lang w:val="en-US"/>
              </w:rPr>
            </w:pPr>
            <w:r>
              <w:rPr>
                <w:rFonts w:hint="eastAsia" w:ascii="宋体" w:hAnsi="宋体" w:eastAsia="宋体" w:cs="宋体"/>
                <w:i w:val="0"/>
                <w:iCs w:val="0"/>
                <w:color w:val="auto"/>
                <w:kern w:val="0"/>
                <w:sz w:val="20"/>
                <w:szCs w:val="20"/>
                <w:u w:val="none"/>
                <w:lang w:val="en-US" w:eastAsia="zh-CN" w:bidi="ar"/>
              </w:rPr>
              <w:t>40分：</w:t>
            </w:r>
            <w:r>
              <w:rPr>
                <w:rFonts w:hint="eastAsia" w:ascii="宋体" w:hAnsi="宋体" w:eastAsia="宋体" w:cs="宋体"/>
                <w:b w:val="0"/>
                <w:bCs w:val="0"/>
                <w:i w:val="0"/>
                <w:iCs w:val="0"/>
                <w:color w:val="auto"/>
                <w:kern w:val="0"/>
                <w:sz w:val="20"/>
                <w:szCs w:val="20"/>
                <w:u w:val="none"/>
                <w:lang w:val="en-US" w:eastAsia="zh-CN" w:bidi="ar"/>
              </w:rPr>
              <w:t>京东、西域、震坤行3家自营店都有在售该品类商品</w:t>
            </w:r>
            <w:r>
              <w:rPr>
                <w:rFonts w:hint="eastAsia" w:ascii="宋体" w:hAnsi="宋体" w:eastAsia="宋体" w:cs="宋体"/>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20分：</w:t>
            </w:r>
            <w:r>
              <w:rPr>
                <w:rFonts w:hint="eastAsia" w:ascii="宋体" w:hAnsi="宋体" w:eastAsia="宋体" w:cs="宋体"/>
                <w:b w:val="0"/>
                <w:bCs w:val="0"/>
                <w:i w:val="0"/>
                <w:iCs w:val="0"/>
                <w:color w:val="auto"/>
                <w:kern w:val="0"/>
                <w:sz w:val="20"/>
                <w:szCs w:val="20"/>
                <w:u w:val="none"/>
                <w:lang w:val="en-US" w:eastAsia="zh-CN" w:bidi="ar"/>
              </w:rPr>
              <w:t>京东、西域、震坤行3家自营店中有2个平台在售该品类商品</w:t>
            </w:r>
            <w:r>
              <w:rPr>
                <w:rFonts w:hint="eastAsia" w:ascii="宋体" w:hAnsi="宋体" w:eastAsia="宋体" w:cs="宋体"/>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10分：</w:t>
            </w:r>
            <w:r>
              <w:rPr>
                <w:rFonts w:hint="eastAsia" w:ascii="宋体" w:hAnsi="宋体" w:eastAsia="宋体" w:cs="宋体"/>
                <w:b w:val="0"/>
                <w:bCs w:val="0"/>
                <w:i w:val="0"/>
                <w:iCs w:val="0"/>
                <w:color w:val="auto"/>
                <w:kern w:val="0"/>
                <w:sz w:val="20"/>
                <w:szCs w:val="20"/>
                <w:u w:val="none"/>
                <w:lang w:val="en-US" w:eastAsia="zh-CN" w:bidi="ar"/>
              </w:rPr>
              <w:t>京东、西域、震坤行3家自营店中有1个平台在售该品类商品</w:t>
            </w:r>
            <w:r>
              <w:rPr>
                <w:rFonts w:hint="eastAsia" w:ascii="宋体" w:hAnsi="宋体" w:eastAsia="宋体" w:cs="宋体"/>
                <w:i w:val="0"/>
                <w:iCs w:val="0"/>
                <w:color w:val="auto"/>
                <w:kern w:val="0"/>
                <w:sz w:val="20"/>
                <w:szCs w:val="20"/>
                <w:u w:val="none"/>
                <w:lang w:val="en-US" w:eastAsia="zh-CN" w:bidi="ar"/>
              </w:rPr>
              <w:t>。</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6" w:hRule="atLeast"/>
        </w:trPr>
        <w:tc>
          <w:tcPr>
            <w:tcW w:w="643"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3</w:t>
            </w:r>
          </w:p>
        </w:tc>
        <w:tc>
          <w:tcPr>
            <w:tcW w:w="654"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企业管理资质能力</w:t>
            </w: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质量管理体系证书（ISO 9001）</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3分：具有有效期内的质量管理体系认证证书(证书适用或覆盖范围应包含上架商品) </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trPr>
        <w:tc>
          <w:tcPr>
            <w:tcW w:w="643" w:type="dxa"/>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p>
        </w:tc>
        <w:tc>
          <w:tcPr>
            <w:tcW w:w="65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自愿产品认证证书</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3分：具有有效期内的自愿产品认证证书(证书适用或覆盖范围应包含上架商品)</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6" w:hRule="atLeast"/>
        </w:trPr>
        <w:tc>
          <w:tcPr>
            <w:tcW w:w="643" w:type="dxa"/>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p>
        </w:tc>
        <w:tc>
          <w:tcPr>
            <w:tcW w:w="65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环境管理体系证书(ISO 14001)</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3分：具有有效期内的环境管理体系认证证书(证书适用或覆盖范围应包含上架商品)</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4" w:hRule="atLeast"/>
        </w:trPr>
        <w:tc>
          <w:tcPr>
            <w:tcW w:w="643"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p>
        </w:tc>
        <w:tc>
          <w:tcPr>
            <w:tcW w:w="65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职业健康安全管理体系证书(ISO 45001)</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3分：具有有效期内的职业健康安全管理体系认证证书(证书适用或覆盖范围应包含上架商品) </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6" w:hRule="atLeast"/>
        </w:trPr>
        <w:tc>
          <w:tcPr>
            <w:tcW w:w="64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654"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品牌成长力</w:t>
            </w: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品牌发展实力（荣誉得分）</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color w:val="auto"/>
              </w:rPr>
            </w:pPr>
            <w:r>
              <w:rPr>
                <w:rFonts w:hint="eastAsia" w:ascii="宋体" w:hAnsi="宋体" w:eastAsia="宋体" w:cs="宋体"/>
                <w:color w:val="auto"/>
                <w:sz w:val="20"/>
                <w:szCs w:val="20"/>
                <w:u w:val="none"/>
                <w:lang w:val="en-US" w:eastAsia="zh-CN" w:bidi="ar"/>
              </w:rPr>
              <w:t>5 分：近三年新获得国家级荣誉&gt;2项</w:t>
            </w:r>
            <w:r>
              <w:rPr>
                <w:rFonts w:hint="eastAsia" w:ascii="宋体" w:hAnsi="宋体" w:eastAsia="宋体" w:cs="宋体"/>
                <w:color w:val="auto"/>
                <w:sz w:val="20"/>
                <w:szCs w:val="20"/>
                <w:u w:val="none"/>
                <w:lang w:val="en-US" w:eastAsia="zh-CN" w:bidi="ar"/>
              </w:rPr>
              <w:br w:type="textWrapping"/>
            </w:r>
            <w:r>
              <w:rPr>
                <w:rFonts w:hint="eastAsia" w:ascii="宋体" w:hAnsi="宋体" w:eastAsia="宋体" w:cs="宋体"/>
                <w:color w:val="auto"/>
                <w:sz w:val="20"/>
                <w:szCs w:val="20"/>
                <w:u w:val="none"/>
                <w:lang w:val="en-US" w:eastAsia="zh-CN" w:bidi="ar"/>
              </w:rPr>
              <w:t>4 分：近三年新获得国家级荣誉1-2项</w:t>
            </w:r>
            <w:r>
              <w:rPr>
                <w:rFonts w:hint="eastAsia" w:ascii="宋体" w:hAnsi="宋体" w:eastAsia="宋体" w:cs="宋体"/>
                <w:color w:val="auto"/>
                <w:sz w:val="20"/>
                <w:szCs w:val="20"/>
                <w:u w:val="none"/>
                <w:lang w:val="en-US" w:eastAsia="zh-CN" w:bidi="ar"/>
              </w:rPr>
              <w:br w:type="textWrapping"/>
            </w:r>
            <w:r>
              <w:rPr>
                <w:rFonts w:hint="eastAsia" w:ascii="宋体" w:hAnsi="宋体" w:eastAsia="宋体" w:cs="宋体"/>
                <w:color w:val="auto"/>
                <w:sz w:val="20"/>
                <w:szCs w:val="20"/>
                <w:u w:val="none"/>
                <w:lang w:val="en-US" w:eastAsia="zh-CN" w:bidi="ar"/>
              </w:rPr>
              <w:t>3 分：近三年新获得省级荣誉&gt;2项</w:t>
            </w:r>
            <w:r>
              <w:rPr>
                <w:rFonts w:hint="eastAsia" w:ascii="宋体" w:hAnsi="宋体" w:eastAsia="宋体" w:cs="宋体"/>
                <w:color w:val="auto"/>
                <w:sz w:val="20"/>
                <w:szCs w:val="20"/>
                <w:u w:val="none"/>
                <w:lang w:val="en-US" w:eastAsia="zh-CN" w:bidi="ar"/>
              </w:rPr>
              <w:br w:type="textWrapping"/>
            </w:r>
            <w:r>
              <w:rPr>
                <w:rFonts w:hint="eastAsia" w:ascii="宋体" w:hAnsi="宋体" w:eastAsia="宋体" w:cs="宋体"/>
                <w:color w:val="auto"/>
                <w:sz w:val="20"/>
                <w:szCs w:val="20"/>
                <w:u w:val="none"/>
                <w:lang w:val="en-US" w:eastAsia="zh-CN" w:bidi="ar"/>
              </w:rPr>
              <w:t>2 分：近三年新获得省级荣誉1-2项</w:t>
            </w:r>
            <w:r>
              <w:rPr>
                <w:rFonts w:hint="eastAsia" w:ascii="宋体" w:hAnsi="宋体" w:eastAsia="宋体" w:cs="宋体"/>
                <w:color w:val="auto"/>
                <w:sz w:val="20"/>
                <w:szCs w:val="20"/>
                <w:u w:val="none"/>
                <w:lang w:val="en-US" w:eastAsia="zh-CN" w:bidi="ar"/>
              </w:rPr>
              <w:br w:type="textWrapping"/>
            </w:r>
            <w:r>
              <w:rPr>
                <w:rFonts w:hint="eastAsia" w:ascii="宋体" w:hAnsi="宋体" w:eastAsia="宋体" w:cs="宋体"/>
                <w:color w:val="auto"/>
                <w:sz w:val="20"/>
                <w:szCs w:val="20"/>
                <w:u w:val="none"/>
                <w:lang w:val="en-US" w:eastAsia="zh-CN" w:bidi="ar"/>
              </w:rPr>
              <w:t>1 分：近三年新获得市级荣誉</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2" w:hRule="atLeast"/>
        </w:trPr>
        <w:tc>
          <w:tcPr>
            <w:tcW w:w="64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65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知识产权积累（新增商标）</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 分：近 3 年新增&gt;8个（快速扩张或全品类布局）</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 分：近 3 年新增7-8个（稳步拓展相关领域）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 分：近 3 年新增5-6个（围绕核心业务延伸）</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 分：近 3 年新增3-4个（小幅补充布局）</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 分：近 3 年新增≤2个（无明显扩张或保护需求）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注：以注册公告日期为准。近3年指评审当前及前2年，如2025年评审，则近3年指2023年1月1日至评审当日。</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64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65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创新能力（新增专利）</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 分：近 3 年新增专利&gt;11项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 分：近 3 年新增专利9-11项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 分：近 3 年新增专利6-8 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 分：近 3 年新增专利3-5 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 分：近 3 年新增专利≤2 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注：以公开（公告）日期为准。近3年指评审当前及前2年，如2025年评审，则近3年指2023年1月1日至评审当日。</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6" w:hRule="atLeast"/>
        </w:trPr>
        <w:tc>
          <w:tcPr>
            <w:tcW w:w="64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65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行业领先能力（标准信息）</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5分：参与专区上架商品相关的国家标准 1 项及以上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4分：参与专区上架商品相关的行业标准 1 项及以上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3分：参与专区上架商品相关的团体标准 1 项及以上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2分：参与专区上架商品相关的地方标准 1 项及以上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1分：参与专区上架商品相关的企业标准 1 项及以上</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3" w:hRule="atLeast"/>
        </w:trPr>
        <w:tc>
          <w:tcPr>
            <w:tcW w:w="64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65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i w:val="0"/>
                <w:iCs w:val="0"/>
                <w:color w:val="auto"/>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历史沉淀（注册时间）</w:t>
            </w:r>
          </w:p>
        </w:tc>
        <w:tc>
          <w:tcPr>
            <w:tcW w:w="49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5分：品牌商标注册时间≥20 年（资深老字号）</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4分：品牌商标注册时间 10-19 年（成熟品牌）</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3分：品牌商标注册时间 5-9 年（成长型品牌）</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2分：品牌商标注册时间 2-4 年（新兴品牌）</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1分：品牌商标注册时间＜2 年（初创品牌）</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bl>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52" w:firstLineChars="200"/>
        <w:jc w:val="both"/>
        <w:textAlignment w:val="baseline"/>
        <w:outlineLvl w:val="9"/>
        <w:rPr>
          <w:rFonts w:hint="default" w:ascii="仿宋_GB2312" w:hAnsi="仿宋_GB2312" w:eastAsia="仿宋_GB2312" w:cs="仿宋_GB2312"/>
          <w:b w:val="0"/>
          <w:bCs w:val="0"/>
          <w:snapToGrid w:val="0"/>
          <w:color w:val="auto"/>
          <w:spacing w:val="3"/>
          <w:kern w:val="0"/>
          <w:sz w:val="32"/>
          <w:szCs w:val="32"/>
          <w:lang w:val="en-US" w:eastAsia="zh-CN" w:bidi="ar-SA"/>
        </w:rPr>
      </w:pPr>
      <w:r>
        <w:rPr>
          <w:rFonts w:hint="eastAsia" w:ascii="仿宋_GB2312" w:hAnsi="仿宋_GB2312" w:eastAsia="仿宋_GB2312" w:cs="仿宋_GB2312"/>
          <w:b w:val="0"/>
          <w:bCs w:val="0"/>
          <w:snapToGrid w:val="0"/>
          <w:color w:val="auto"/>
          <w:spacing w:val="3"/>
          <w:kern w:val="0"/>
          <w:sz w:val="32"/>
          <w:szCs w:val="32"/>
          <w:lang w:val="en-US" w:eastAsia="zh-CN" w:bidi="ar-SA"/>
        </w:rPr>
        <w:t>注：企业管理资质能力、品牌成长力参评主体应为品牌持有方，提供参评资料时需按评审序号命名。</w:t>
      </w:r>
    </w:p>
    <w:p>
      <w:pPr>
        <w:keepNext w:val="0"/>
        <w:keepLines w:val="0"/>
        <w:pageBreakBefore w:val="0"/>
        <w:widowControl w:val="0"/>
        <w:kinsoku/>
        <w:wordWrap/>
        <w:overflowPunct/>
        <w:topLinePunct w:val="0"/>
        <w:autoSpaceDE/>
        <w:autoSpaceDN/>
        <w:bidi w:val="0"/>
        <w:adjustRightInd/>
        <w:snapToGrid/>
        <w:spacing w:line="560" w:lineRule="exact"/>
        <w:ind w:firstLine="668" w:firstLineChars="200"/>
        <w:textAlignment w:val="auto"/>
        <w:outlineLvl w:val="2"/>
        <w:rPr>
          <w:rFonts w:hint="default" w:ascii="楷体_GB2312" w:hAnsi="楷体_GB2312" w:eastAsia="楷体_GB2312" w:cs="楷体_GB2312"/>
          <w:b w:val="0"/>
          <w:bCs w:val="0"/>
          <w:snapToGrid w:val="0"/>
          <w:color w:val="auto"/>
          <w:spacing w:val="7"/>
          <w:kern w:val="0"/>
          <w:sz w:val="32"/>
          <w:szCs w:val="32"/>
          <w:lang w:val="en-US" w:eastAsia="zh-CN" w:bidi="ar-SA"/>
        </w:rPr>
      </w:pPr>
      <w:r>
        <w:rPr>
          <w:rFonts w:hint="eastAsia" w:ascii="楷体_GB2312" w:hAnsi="楷体_GB2312" w:eastAsia="楷体_GB2312" w:cs="楷体_GB2312"/>
          <w:b w:val="0"/>
          <w:bCs w:val="0"/>
          <w:snapToGrid w:val="0"/>
          <w:color w:val="auto"/>
          <w:spacing w:val="7"/>
          <w:kern w:val="0"/>
          <w:sz w:val="32"/>
          <w:szCs w:val="32"/>
          <w:lang w:val="en-US" w:eastAsia="zh-CN" w:bidi="ar-SA"/>
        </w:rPr>
        <w:t>（三）商品审核</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right="0" w:firstLine="641"/>
        <w:jc w:val="both"/>
        <w:textAlignment w:val="baseline"/>
        <w:rPr>
          <w:rFonts w:hint="default"/>
          <w:color w:val="auto"/>
          <w:sz w:val="32"/>
          <w:szCs w:val="32"/>
          <w:lang w:val="en-US" w:eastAsia="zh-CN"/>
        </w:rPr>
      </w:pPr>
      <w:r>
        <w:rPr>
          <w:rFonts w:hint="eastAsia" w:ascii="仿宋_GB2312" w:hAnsi="仿宋_GB2312" w:eastAsia="仿宋_GB2312" w:cs="仿宋_GB2312"/>
          <w:color w:val="auto"/>
          <w:spacing w:val="3"/>
          <w:sz w:val="32"/>
          <w:szCs w:val="32"/>
          <w:lang w:val="en-US" w:eastAsia="zh-CN"/>
        </w:rPr>
        <w:t>1.</w:t>
      </w:r>
      <w:r>
        <w:rPr>
          <w:rFonts w:hint="eastAsia" w:ascii="仿宋_GB2312" w:hAnsi="仿宋_GB2312" w:eastAsia="仿宋_GB2312" w:cs="仿宋_GB2312"/>
          <w:b/>
          <w:bCs/>
          <w:color w:val="auto"/>
          <w:spacing w:val="3"/>
          <w:sz w:val="32"/>
          <w:szCs w:val="32"/>
          <w:lang w:val="en-US" w:eastAsia="zh-CN"/>
        </w:rPr>
        <w:t>基础审查</w:t>
      </w:r>
      <w:r>
        <w:rPr>
          <w:rFonts w:hint="eastAsia" w:ascii="仿宋_GB2312" w:hAnsi="仿宋_GB2312" w:eastAsia="仿宋_GB2312" w:cs="仿宋_GB2312"/>
          <w:color w:val="auto"/>
          <w:spacing w:val="3"/>
          <w:sz w:val="32"/>
          <w:szCs w:val="32"/>
          <w:lang w:val="en-US" w:eastAsia="zh-CN"/>
        </w:rPr>
        <w:t>：商品应属于电子商城采购目录范围；库内无同款商品；具有办公及生产的必要场景。</w:t>
      </w:r>
    </w:p>
    <w:p>
      <w:pPr>
        <w:pStyle w:val="17"/>
        <w:keepNext w:val="0"/>
        <w:keepLines w:val="0"/>
        <w:pageBreakBefore w:val="0"/>
        <w:numPr>
          <w:ilvl w:val="0"/>
          <w:numId w:val="0"/>
        </w:numPr>
        <w:kinsoku/>
        <w:wordWrap/>
        <w:overflowPunct/>
        <w:topLinePunct w:val="0"/>
        <w:autoSpaceDE/>
        <w:autoSpaceDN/>
        <w:bidi w:val="0"/>
        <w:adjustRightInd/>
        <w:spacing w:line="560" w:lineRule="exact"/>
        <w:ind w:firstLine="668" w:firstLineChars="200"/>
        <w:rPr>
          <w:rFonts w:hint="eastAsia" w:ascii="仿宋_GB2312" w:hAnsi="仿宋_GB2312" w:eastAsia="仿宋_GB2312" w:cs="仿宋_GB2312"/>
          <w:snapToGrid w:val="0"/>
          <w:color w:val="auto"/>
          <w:spacing w:val="7"/>
          <w:kern w:val="0"/>
          <w:sz w:val="32"/>
          <w:szCs w:val="32"/>
          <w:lang w:val="en-US" w:eastAsia="zh-CN" w:bidi="ar-SA"/>
        </w:rPr>
      </w:pPr>
      <w:r>
        <w:rPr>
          <w:rFonts w:hint="eastAsia" w:ascii="仿宋_GB2312" w:hAnsi="仿宋_GB2312" w:eastAsia="仿宋_GB2312" w:cs="仿宋_GB2312"/>
          <w:snapToGrid w:val="0"/>
          <w:color w:val="auto"/>
          <w:spacing w:val="7"/>
          <w:kern w:val="0"/>
          <w:sz w:val="32"/>
          <w:szCs w:val="32"/>
          <w:lang w:val="en-US" w:eastAsia="zh-CN" w:bidi="ar-SA"/>
        </w:rPr>
        <w:t>2.</w:t>
      </w:r>
      <w:r>
        <w:rPr>
          <w:rFonts w:hint="eastAsia" w:ascii="仿宋_GB2312" w:hAnsi="仿宋_GB2312" w:eastAsia="仿宋_GB2312" w:cs="仿宋_GB2312"/>
          <w:b/>
          <w:bCs/>
          <w:snapToGrid w:val="0"/>
          <w:color w:val="auto"/>
          <w:spacing w:val="7"/>
          <w:kern w:val="0"/>
          <w:sz w:val="32"/>
          <w:szCs w:val="32"/>
          <w:lang w:val="en-US" w:eastAsia="zh-CN" w:bidi="ar-SA"/>
        </w:rPr>
        <w:t>黑名单审查</w:t>
      </w:r>
      <w:r>
        <w:rPr>
          <w:rFonts w:hint="eastAsia" w:ascii="仿宋_GB2312" w:hAnsi="仿宋_GB2312" w:eastAsia="仿宋_GB2312" w:cs="仿宋_GB2312"/>
          <w:snapToGrid w:val="0"/>
          <w:color w:val="auto"/>
          <w:spacing w:val="7"/>
          <w:kern w:val="0"/>
          <w:sz w:val="32"/>
          <w:szCs w:val="32"/>
          <w:lang w:val="en-US" w:eastAsia="zh-CN" w:bidi="ar-SA"/>
        </w:rPr>
        <w:t>：品牌持有方未被列入南方电网公司“黑名单”供应商。</w:t>
      </w:r>
    </w:p>
    <w:p>
      <w:pPr>
        <w:pStyle w:val="17"/>
        <w:keepNext w:val="0"/>
        <w:keepLines w:val="0"/>
        <w:pageBreakBefore w:val="0"/>
        <w:numPr>
          <w:ilvl w:val="0"/>
          <w:numId w:val="0"/>
        </w:numPr>
        <w:kinsoku/>
        <w:wordWrap/>
        <w:overflowPunct/>
        <w:topLinePunct w:val="0"/>
        <w:autoSpaceDE/>
        <w:autoSpaceDN/>
        <w:bidi w:val="0"/>
        <w:adjustRightInd/>
        <w:spacing w:line="560" w:lineRule="exact"/>
        <w:ind w:firstLine="668" w:firstLineChars="200"/>
        <w:rPr>
          <w:rFonts w:hint="default" w:ascii="仿宋_GB2312" w:hAnsi="仿宋_GB2312" w:eastAsia="仿宋_GB2312" w:cs="仿宋_GB2312"/>
          <w:snapToGrid w:val="0"/>
          <w:color w:val="auto"/>
          <w:spacing w:val="7"/>
          <w:kern w:val="0"/>
          <w:sz w:val="32"/>
          <w:szCs w:val="32"/>
          <w:lang w:val="en-US" w:eastAsia="zh-CN" w:bidi="ar-SA"/>
        </w:rPr>
      </w:pPr>
      <w:r>
        <w:rPr>
          <w:rFonts w:hint="eastAsia" w:ascii="仿宋_GB2312" w:hAnsi="仿宋_GB2312" w:eastAsia="仿宋_GB2312" w:cs="仿宋_GB2312"/>
          <w:snapToGrid w:val="0"/>
          <w:color w:val="auto"/>
          <w:spacing w:val="7"/>
          <w:kern w:val="0"/>
          <w:sz w:val="32"/>
          <w:szCs w:val="32"/>
          <w:lang w:val="en-US" w:eastAsia="zh-CN" w:bidi="ar-SA"/>
        </w:rPr>
        <w:t>3.</w:t>
      </w:r>
      <w:r>
        <w:rPr>
          <w:rFonts w:hint="eastAsia" w:ascii="仿宋_GB2312" w:hAnsi="仿宋_GB2312" w:eastAsia="仿宋_GB2312" w:cs="仿宋_GB2312"/>
          <w:b/>
          <w:bCs/>
          <w:snapToGrid w:val="0"/>
          <w:color w:val="auto"/>
          <w:spacing w:val="7"/>
          <w:kern w:val="0"/>
          <w:sz w:val="32"/>
          <w:szCs w:val="32"/>
          <w:lang w:val="en-US" w:eastAsia="zh-CN" w:bidi="ar-SA"/>
        </w:rPr>
        <w:t>价格审查</w:t>
      </w:r>
      <w:r>
        <w:rPr>
          <w:rFonts w:hint="eastAsia" w:ascii="仿宋_GB2312" w:hAnsi="仿宋_GB2312" w:eastAsia="仿宋_GB2312" w:cs="仿宋_GB2312"/>
          <w:snapToGrid w:val="0"/>
          <w:color w:val="auto"/>
          <w:spacing w:val="7"/>
          <w:kern w:val="0"/>
          <w:sz w:val="32"/>
          <w:szCs w:val="32"/>
          <w:lang w:val="en-US" w:eastAsia="zh-CN" w:bidi="ar-SA"/>
        </w:rPr>
        <w:t>：单件商品价格原则上不超过5万元且不高于SPU限价。</w:t>
      </w:r>
    </w:p>
    <w:p>
      <w:pPr>
        <w:keepNext w:val="0"/>
        <w:keepLines w:val="0"/>
        <w:pageBreakBefore w:val="0"/>
        <w:widowControl w:val="0"/>
        <w:kinsoku/>
        <w:wordWrap/>
        <w:overflowPunct/>
        <w:topLinePunct w:val="0"/>
        <w:autoSpaceDE/>
        <w:autoSpaceDN/>
        <w:bidi w:val="0"/>
        <w:adjustRightInd/>
        <w:snapToGrid/>
        <w:spacing w:line="560" w:lineRule="exact"/>
        <w:ind w:firstLine="668" w:firstLineChars="200"/>
        <w:jc w:val="both"/>
        <w:textAlignment w:val="auto"/>
        <w:outlineLvl w:val="9"/>
        <w:rPr>
          <w:rFonts w:hint="eastAsia" w:ascii="仿宋_GB2312" w:hAnsi="仿宋_GB2312" w:eastAsia="仿宋_GB2312" w:cs="仿宋_GB2312"/>
          <w:snapToGrid w:val="0"/>
          <w:color w:val="auto"/>
          <w:spacing w:val="7"/>
          <w:kern w:val="0"/>
          <w:sz w:val="32"/>
          <w:szCs w:val="32"/>
          <w:lang w:val="en-US" w:eastAsia="zh-CN" w:bidi="ar-SA"/>
        </w:rPr>
      </w:pPr>
      <w:r>
        <w:rPr>
          <w:rFonts w:hint="eastAsia" w:ascii="仿宋_GB2312" w:hAnsi="仿宋_GB2312" w:eastAsia="仿宋_GB2312" w:cs="仿宋_GB2312"/>
          <w:snapToGrid w:val="0"/>
          <w:color w:val="auto"/>
          <w:spacing w:val="7"/>
          <w:kern w:val="0"/>
          <w:sz w:val="32"/>
          <w:szCs w:val="32"/>
          <w:lang w:val="en-US" w:eastAsia="zh-CN" w:bidi="ar-SA"/>
        </w:rPr>
        <w:t>4.</w:t>
      </w:r>
      <w:r>
        <w:rPr>
          <w:rFonts w:hint="eastAsia" w:ascii="仿宋_GB2312" w:hAnsi="仿宋_GB2312" w:eastAsia="仿宋_GB2312" w:cs="仿宋_GB2312"/>
          <w:b/>
          <w:bCs/>
          <w:snapToGrid w:val="0"/>
          <w:color w:val="auto"/>
          <w:spacing w:val="7"/>
          <w:kern w:val="0"/>
          <w:sz w:val="32"/>
          <w:szCs w:val="32"/>
          <w:lang w:val="en-US" w:eastAsia="zh-CN" w:bidi="ar-SA"/>
        </w:rPr>
        <w:t>参考链接有效性审查</w:t>
      </w:r>
      <w:r>
        <w:rPr>
          <w:rFonts w:hint="eastAsia" w:ascii="仿宋_GB2312" w:hAnsi="仿宋_GB2312" w:eastAsia="仿宋_GB2312" w:cs="仿宋_GB2312"/>
          <w:snapToGrid w:val="0"/>
          <w:color w:val="auto"/>
          <w:spacing w:val="7"/>
          <w:kern w:val="0"/>
          <w:sz w:val="32"/>
          <w:szCs w:val="32"/>
          <w:lang w:val="en-US" w:eastAsia="zh-CN" w:bidi="ar-SA"/>
        </w:rPr>
        <w:t>：办公通用物资推品应提供京东自营店或京东旗舰店或天猫官方旗舰店链接，MRO工业品推品应提供京东或西域或震坤行等3家自营店链接。如链接显示已失效、链接相应页面显示“商品已下架”、链接商品无法在相应电商平台搜索入口查询、京东自营商品无相应的自营店铺，均视为无效链接。在标准库合规性审查、专业评审、公示等不同时间节点的外部链接状态不一致时，以最新状态为准。提报的链接仅供入库审核参考，在库商品价格指数参考链接按照电子商城运营单位价格指数管理规定执行。</w:t>
      </w:r>
    </w:p>
    <w:p>
      <w:pPr>
        <w:keepNext w:val="0"/>
        <w:keepLines w:val="0"/>
        <w:pageBreakBefore w:val="0"/>
        <w:widowControl w:val="0"/>
        <w:kinsoku/>
        <w:wordWrap/>
        <w:overflowPunct/>
        <w:topLinePunct w:val="0"/>
        <w:autoSpaceDE/>
        <w:autoSpaceDN/>
        <w:bidi w:val="0"/>
        <w:adjustRightInd/>
        <w:snapToGrid/>
        <w:spacing w:line="560" w:lineRule="exact"/>
        <w:ind w:firstLine="668" w:firstLineChars="200"/>
        <w:jc w:val="both"/>
        <w:textAlignment w:val="auto"/>
        <w:outlineLvl w:val="9"/>
        <w:rPr>
          <w:rFonts w:hint="eastAsia" w:ascii="仿宋_GB2312" w:hAnsi="仿宋_GB2312" w:eastAsia="仿宋_GB2312" w:cs="仿宋_GB2312"/>
          <w:snapToGrid w:val="0"/>
          <w:color w:val="auto"/>
          <w:spacing w:val="7"/>
          <w:kern w:val="0"/>
          <w:sz w:val="32"/>
          <w:szCs w:val="32"/>
          <w:lang w:val="en-US" w:eastAsia="zh-CN" w:bidi="ar-SA"/>
        </w:rPr>
      </w:pPr>
      <w:r>
        <w:rPr>
          <w:rFonts w:hint="eastAsia" w:ascii="仿宋_GB2312" w:hAnsi="仿宋_GB2312" w:eastAsia="仿宋_GB2312" w:cs="仿宋_GB2312"/>
          <w:snapToGrid w:val="0"/>
          <w:color w:val="auto"/>
          <w:spacing w:val="7"/>
          <w:kern w:val="0"/>
          <w:sz w:val="32"/>
          <w:szCs w:val="32"/>
          <w:lang w:val="en-US" w:eastAsia="zh-CN" w:bidi="ar-SA"/>
        </w:rPr>
        <w:t>5.</w:t>
      </w:r>
      <w:r>
        <w:rPr>
          <w:rFonts w:hint="eastAsia" w:ascii="仿宋_GB2312" w:hAnsi="仿宋_GB2312" w:eastAsia="仿宋_GB2312" w:cs="仿宋_GB2312"/>
          <w:b/>
          <w:bCs/>
          <w:snapToGrid w:val="0"/>
          <w:color w:val="auto"/>
          <w:spacing w:val="7"/>
          <w:kern w:val="0"/>
          <w:sz w:val="32"/>
          <w:szCs w:val="32"/>
          <w:lang w:val="en-US" w:eastAsia="zh-CN" w:bidi="ar-SA"/>
        </w:rPr>
        <w:t>参考链接评价数审查</w:t>
      </w:r>
      <w:r>
        <w:rPr>
          <w:rFonts w:hint="eastAsia" w:ascii="仿宋_GB2312" w:hAnsi="仿宋_GB2312" w:eastAsia="仿宋_GB2312" w:cs="仿宋_GB2312"/>
          <w:snapToGrid w:val="0"/>
          <w:color w:val="auto"/>
          <w:spacing w:val="7"/>
          <w:kern w:val="0"/>
          <w:sz w:val="32"/>
          <w:szCs w:val="32"/>
          <w:lang w:val="en-US" w:eastAsia="zh-CN" w:bidi="ar-SA"/>
        </w:rPr>
        <w:t>：对于首批应用品牌库管理的品类，商品参考链接应满足商品评价数量要求。对于京东自营店、京东旗舰店参考链接，商品链接中的“当前商品”好评数满足要求；对于天猫旗舰店的参考链接，应满足链接下仅有一个商品且评价数量满足要求，具有子母链接的商品不采纳。</w:t>
      </w:r>
    </w:p>
    <w:p>
      <w:pPr>
        <w:keepNext w:val="0"/>
        <w:keepLines w:val="0"/>
        <w:pageBreakBefore w:val="0"/>
        <w:widowControl w:val="0"/>
        <w:kinsoku/>
        <w:wordWrap/>
        <w:overflowPunct/>
        <w:topLinePunct w:val="0"/>
        <w:autoSpaceDE/>
        <w:autoSpaceDN/>
        <w:bidi w:val="0"/>
        <w:adjustRightInd/>
        <w:snapToGrid/>
        <w:spacing w:line="560" w:lineRule="exact"/>
        <w:ind w:firstLine="668" w:firstLineChars="200"/>
        <w:textAlignment w:val="auto"/>
        <w:outlineLvl w:val="2"/>
        <w:rPr>
          <w:rFonts w:hint="default" w:ascii="楷体_GB2312" w:hAnsi="楷体_GB2312" w:eastAsia="楷体_GB2312" w:cs="楷体_GB2312"/>
          <w:b w:val="0"/>
          <w:bCs w:val="0"/>
          <w:snapToGrid w:val="0"/>
          <w:color w:val="auto"/>
          <w:spacing w:val="7"/>
          <w:kern w:val="0"/>
          <w:sz w:val="32"/>
          <w:szCs w:val="32"/>
          <w:lang w:val="en-US" w:eastAsia="zh-CN" w:bidi="ar-SA"/>
        </w:rPr>
      </w:pPr>
      <w:r>
        <w:rPr>
          <w:rFonts w:hint="eastAsia" w:ascii="楷体_GB2312" w:hAnsi="楷体_GB2312" w:eastAsia="楷体_GB2312" w:cs="楷体_GB2312"/>
          <w:b w:val="0"/>
          <w:bCs w:val="0"/>
          <w:snapToGrid w:val="0"/>
          <w:color w:val="auto"/>
          <w:spacing w:val="7"/>
          <w:kern w:val="0"/>
          <w:sz w:val="32"/>
          <w:szCs w:val="32"/>
          <w:lang w:val="en-US" w:eastAsia="zh-CN" w:bidi="ar-SA"/>
        </w:rPr>
        <w:t>（四）品牌和商品动态运营</w:t>
      </w:r>
    </w:p>
    <w:p>
      <w:pPr>
        <w:keepNext w:val="0"/>
        <w:keepLines w:val="0"/>
        <w:pageBreakBefore w:val="0"/>
        <w:widowControl w:val="0"/>
        <w:kinsoku/>
        <w:wordWrap/>
        <w:overflowPunct/>
        <w:topLinePunct w:val="0"/>
        <w:autoSpaceDE/>
        <w:autoSpaceDN/>
        <w:bidi w:val="0"/>
        <w:adjustRightInd/>
        <w:snapToGrid/>
        <w:spacing w:line="560" w:lineRule="exact"/>
        <w:ind w:firstLine="668" w:firstLineChars="200"/>
        <w:jc w:val="both"/>
        <w:textAlignment w:val="auto"/>
        <w:outlineLvl w:val="9"/>
        <w:rPr>
          <w:rFonts w:hint="eastAsia" w:ascii="仿宋_GB2312" w:hAnsi="仿宋_GB2312" w:eastAsia="仿宋_GB2312" w:cs="仿宋_GB2312"/>
          <w:strike w:val="0"/>
          <w:dstrike w:val="0"/>
          <w:snapToGrid w:val="0"/>
          <w:color w:val="auto"/>
          <w:spacing w:val="7"/>
          <w:kern w:val="0"/>
          <w:sz w:val="32"/>
          <w:szCs w:val="32"/>
          <w:lang w:val="en-US" w:eastAsia="zh-CN" w:bidi="ar-SA"/>
        </w:rPr>
      </w:pPr>
      <w:r>
        <w:rPr>
          <w:rFonts w:hint="eastAsia" w:ascii="仿宋_GB2312" w:hAnsi="仿宋_GB2312" w:eastAsia="仿宋_GB2312" w:cs="仿宋_GB2312"/>
          <w:strike w:val="0"/>
          <w:dstrike w:val="0"/>
          <w:snapToGrid w:val="0"/>
          <w:color w:val="auto"/>
          <w:spacing w:val="7"/>
          <w:kern w:val="0"/>
          <w:sz w:val="32"/>
          <w:szCs w:val="32"/>
          <w:lang w:val="en-US" w:eastAsia="zh-CN" w:bidi="ar-SA"/>
        </w:rPr>
        <w:t>专区对已入库的品牌和商品是否满足在库要求进行动态稽查和清理。结合试点方案应用情况，动态调整品牌及商品入库规则，逐步推广到全品类。</w:t>
      </w:r>
    </w:p>
    <w:p>
      <w:pPr>
        <w:keepNext w:val="0"/>
        <w:keepLines w:val="0"/>
        <w:pageBreakBefore w:val="0"/>
        <w:widowControl w:val="0"/>
        <w:kinsoku/>
        <w:wordWrap/>
        <w:overflowPunct/>
        <w:topLinePunct w:val="0"/>
        <w:autoSpaceDE/>
        <w:autoSpaceDN/>
        <w:bidi w:val="0"/>
        <w:adjustRightInd/>
        <w:snapToGrid/>
        <w:spacing w:line="560" w:lineRule="exact"/>
        <w:ind w:firstLine="668" w:firstLineChars="200"/>
        <w:jc w:val="both"/>
        <w:textAlignment w:val="auto"/>
        <w:outlineLvl w:val="9"/>
        <w:rPr>
          <w:rFonts w:hint="eastAsia" w:ascii="仿宋_GB2312" w:hAnsi="仿宋_GB2312" w:eastAsia="仿宋_GB2312" w:cs="仿宋_GB2312"/>
          <w:strike w:val="0"/>
          <w:dstrike w:val="0"/>
          <w:snapToGrid w:val="0"/>
          <w:color w:val="auto"/>
          <w:spacing w:val="7"/>
          <w:kern w:val="0"/>
          <w:sz w:val="32"/>
          <w:szCs w:val="32"/>
          <w:lang w:val="en-US" w:eastAsia="zh-CN" w:bidi="ar-SA"/>
        </w:rPr>
      </w:pPr>
    </w:p>
    <w:p>
      <w:pPr>
        <w:rPr>
          <w:rFonts w:hint="eastAsia"/>
          <w:color w:val="auto"/>
          <w:lang w:val="en-US" w:eastAsia="zh-CN"/>
        </w:rPr>
      </w:pPr>
    </w:p>
    <w:sectPr>
      <w:headerReference r:id="rId5" w:type="default"/>
      <w:footerReference r:id="rId6" w:type="default"/>
      <w:pgSz w:w="11906" w:h="16839"/>
      <w:pgMar w:top="1431" w:right="1785" w:bottom="1152" w:left="1785" w:header="0" w:footer="987"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083"/>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240" w:lineRule="auto"/>
      </w:pPr>
      <w:r>
        <w:separator/>
      </w:r>
    </w:p>
  </w:footnote>
  <w:footnote w:type="continuationSeparator" w:id="3">
    <w:p>
      <w:pPr>
        <w:spacing w:line="240" w:lineRule="auto"/>
      </w:pPr>
      <w:r>
        <w:continuationSeparator/>
      </w:r>
    </w:p>
  </w:footnote>
  <w:footnote w:id="0">
    <w:p>
      <w:pPr>
        <w:pStyle w:val="8"/>
        <w:snapToGrid w:val="0"/>
        <w:rPr>
          <w:rFonts w:hint="default" w:eastAsia="宋体"/>
          <w:lang w:val="en-US" w:eastAsia="zh-CN"/>
        </w:rPr>
      </w:pPr>
      <w:r>
        <w:rPr>
          <w:rStyle w:val="13"/>
        </w:rPr>
        <w:footnoteRef/>
      </w:r>
      <w:r>
        <w:t xml:space="preserve"> </w:t>
      </w:r>
      <w:r>
        <w:rPr>
          <w:rFonts w:hint="eastAsia"/>
          <w:lang w:val="en-US" w:eastAsia="zh-CN"/>
        </w:rPr>
        <w:t>判断标准：该店铺里面有相应品类的商品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pPr>
      <w:keepNext w:val="0"/>
      <w:keepLines w:val="0"/>
      <w:widowControl/>
      <w:suppressLineNumbers w:val="0"/>
      <w:jc w:val="right"/>
      <w:rPr>
        <w:rFonts w:hint="eastAsia" w:ascii="宋体" w:hAnsi="宋体" w:eastAsia="宋体" w:cs="宋体"/>
        <w:color w:val="000000"/>
        <w:kern w:val="0"/>
        <w:sz w:val="22"/>
        <w:szCs w:val="22"/>
        <w:lang w:val="en-US" w:eastAsia="zh-CN" w:bidi="ar"/>
      </w:rPr>
    </w:pPr>
  </w:p>
  <w:p>
    <w:pPr>
      <w:keepNext w:val="0"/>
      <w:keepLines w:val="0"/>
      <w:widowControl/>
      <w:suppressLineNumbers w:val="0"/>
      <w:jc w:val="right"/>
      <w:rPr>
        <w:rFonts w:hint="eastAsia" w:ascii="宋体" w:hAnsi="宋体" w:eastAsia="宋体" w:cs="宋体"/>
        <w:color w:val="000000"/>
        <w:kern w:val="0"/>
        <w:sz w:val="22"/>
        <w:szCs w:val="22"/>
        <w:lang w:val="en-US" w:eastAsia="zh-CN" w:bidi="ar"/>
      </w:rPr>
    </w:pPr>
  </w:p>
  <w:p>
    <w:pPr>
      <w:keepNext w:val="0"/>
      <w:keepLines w:val="0"/>
      <w:widowControl/>
      <w:suppressLineNumbers w:val="0"/>
      <w:jc w:val="right"/>
      <w:rPr>
        <w:rFonts w:hint="default"/>
        <w:lang w:val="en-US"/>
      </w:rPr>
    </w:pPr>
  </w:p>
  <w:p>
    <w:pPr>
      <w:pStyle w:val="7"/>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2"/>
    <w:footnote w:id="3"/>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160BD9"/>
    <w:rsid w:val="001C054B"/>
    <w:rsid w:val="00476767"/>
    <w:rsid w:val="00937981"/>
    <w:rsid w:val="00A6531D"/>
    <w:rsid w:val="00D269DD"/>
    <w:rsid w:val="00FE40CE"/>
    <w:rsid w:val="011D6DEA"/>
    <w:rsid w:val="020159BC"/>
    <w:rsid w:val="02231124"/>
    <w:rsid w:val="02256A93"/>
    <w:rsid w:val="02AC5429"/>
    <w:rsid w:val="02B90B7A"/>
    <w:rsid w:val="02B90FED"/>
    <w:rsid w:val="02DB45E0"/>
    <w:rsid w:val="02EF77E1"/>
    <w:rsid w:val="02FF754F"/>
    <w:rsid w:val="031D04AE"/>
    <w:rsid w:val="03CE13CD"/>
    <w:rsid w:val="04074A2A"/>
    <w:rsid w:val="040A1D3B"/>
    <w:rsid w:val="044A0997"/>
    <w:rsid w:val="04556C57"/>
    <w:rsid w:val="04690D5E"/>
    <w:rsid w:val="04D2121D"/>
    <w:rsid w:val="04E54452"/>
    <w:rsid w:val="04F027A9"/>
    <w:rsid w:val="05043648"/>
    <w:rsid w:val="05330A64"/>
    <w:rsid w:val="05D21B3E"/>
    <w:rsid w:val="05EA3215"/>
    <w:rsid w:val="05ED0FE4"/>
    <w:rsid w:val="064957C2"/>
    <w:rsid w:val="069872E2"/>
    <w:rsid w:val="06B653CC"/>
    <w:rsid w:val="071137D1"/>
    <w:rsid w:val="07557695"/>
    <w:rsid w:val="07867E64"/>
    <w:rsid w:val="07903FF7"/>
    <w:rsid w:val="07983601"/>
    <w:rsid w:val="07B25830"/>
    <w:rsid w:val="07C702AF"/>
    <w:rsid w:val="07D32EE5"/>
    <w:rsid w:val="08154499"/>
    <w:rsid w:val="08162AB1"/>
    <w:rsid w:val="082437F8"/>
    <w:rsid w:val="08A15138"/>
    <w:rsid w:val="08B24456"/>
    <w:rsid w:val="08C7059E"/>
    <w:rsid w:val="08C76272"/>
    <w:rsid w:val="08CB4B52"/>
    <w:rsid w:val="08E8202A"/>
    <w:rsid w:val="090D69E6"/>
    <w:rsid w:val="09105748"/>
    <w:rsid w:val="0924660B"/>
    <w:rsid w:val="092B5F96"/>
    <w:rsid w:val="0955045F"/>
    <w:rsid w:val="09575B61"/>
    <w:rsid w:val="095B7DEA"/>
    <w:rsid w:val="096351F6"/>
    <w:rsid w:val="096F0CDA"/>
    <w:rsid w:val="098F75B8"/>
    <w:rsid w:val="09C71698"/>
    <w:rsid w:val="0A883CD4"/>
    <w:rsid w:val="0AA44133"/>
    <w:rsid w:val="0AB916CD"/>
    <w:rsid w:val="0ACE7750"/>
    <w:rsid w:val="0ADD11E0"/>
    <w:rsid w:val="0B125FF3"/>
    <w:rsid w:val="0B5026EC"/>
    <w:rsid w:val="0B770892"/>
    <w:rsid w:val="0BF51CAC"/>
    <w:rsid w:val="0C1945F1"/>
    <w:rsid w:val="0C39369B"/>
    <w:rsid w:val="0C3B574C"/>
    <w:rsid w:val="0C3C341D"/>
    <w:rsid w:val="0CB775F4"/>
    <w:rsid w:val="0CDB31C5"/>
    <w:rsid w:val="0D091A3B"/>
    <w:rsid w:val="0D0D2E02"/>
    <w:rsid w:val="0D257E20"/>
    <w:rsid w:val="0D3B2BC7"/>
    <w:rsid w:val="0D4C5AE1"/>
    <w:rsid w:val="0D7978AA"/>
    <w:rsid w:val="0DC444A6"/>
    <w:rsid w:val="0DC66E0C"/>
    <w:rsid w:val="0E885FCA"/>
    <w:rsid w:val="0EB329C7"/>
    <w:rsid w:val="0EB50BC5"/>
    <w:rsid w:val="0EB84DF2"/>
    <w:rsid w:val="0ED3587E"/>
    <w:rsid w:val="0F454D80"/>
    <w:rsid w:val="0F6A005A"/>
    <w:rsid w:val="0F8501FF"/>
    <w:rsid w:val="0FB33E36"/>
    <w:rsid w:val="0FF137B6"/>
    <w:rsid w:val="10183676"/>
    <w:rsid w:val="11156904"/>
    <w:rsid w:val="11186A37"/>
    <w:rsid w:val="11203F99"/>
    <w:rsid w:val="112428AE"/>
    <w:rsid w:val="11254AAD"/>
    <w:rsid w:val="11483D68"/>
    <w:rsid w:val="115F7210"/>
    <w:rsid w:val="1160140E"/>
    <w:rsid w:val="11670D99"/>
    <w:rsid w:val="116E6670"/>
    <w:rsid w:val="11736E20"/>
    <w:rsid w:val="11CB2733"/>
    <w:rsid w:val="11DA7D54"/>
    <w:rsid w:val="11DC5FC8"/>
    <w:rsid w:val="120410B5"/>
    <w:rsid w:val="122218DF"/>
    <w:rsid w:val="128072E8"/>
    <w:rsid w:val="12B11C8F"/>
    <w:rsid w:val="12BF35E5"/>
    <w:rsid w:val="12F7602D"/>
    <w:rsid w:val="13072953"/>
    <w:rsid w:val="130D494D"/>
    <w:rsid w:val="14111FFD"/>
    <w:rsid w:val="14322531"/>
    <w:rsid w:val="144F4060"/>
    <w:rsid w:val="148F28CB"/>
    <w:rsid w:val="14985759"/>
    <w:rsid w:val="14B14FFE"/>
    <w:rsid w:val="14F23096"/>
    <w:rsid w:val="15052509"/>
    <w:rsid w:val="151964F3"/>
    <w:rsid w:val="15647DAC"/>
    <w:rsid w:val="1565427A"/>
    <w:rsid w:val="157F21D3"/>
    <w:rsid w:val="158353F5"/>
    <w:rsid w:val="159D7523"/>
    <w:rsid w:val="15CC380C"/>
    <w:rsid w:val="15E056F0"/>
    <w:rsid w:val="15F14E49"/>
    <w:rsid w:val="163B4438"/>
    <w:rsid w:val="163D0008"/>
    <w:rsid w:val="167A36F0"/>
    <w:rsid w:val="16840CA4"/>
    <w:rsid w:val="170743A3"/>
    <w:rsid w:val="17E106B9"/>
    <w:rsid w:val="1839468E"/>
    <w:rsid w:val="18577949"/>
    <w:rsid w:val="187B08B7"/>
    <w:rsid w:val="18806715"/>
    <w:rsid w:val="188E5991"/>
    <w:rsid w:val="18C14207"/>
    <w:rsid w:val="196F2136"/>
    <w:rsid w:val="199B6790"/>
    <w:rsid w:val="19B76DD6"/>
    <w:rsid w:val="19BE1321"/>
    <w:rsid w:val="19D652F0"/>
    <w:rsid w:val="1A031D64"/>
    <w:rsid w:val="1A327298"/>
    <w:rsid w:val="1A4C65B4"/>
    <w:rsid w:val="1A8C0106"/>
    <w:rsid w:val="1AC16AF1"/>
    <w:rsid w:val="1ACE27C5"/>
    <w:rsid w:val="1AD67E20"/>
    <w:rsid w:val="1B1E690C"/>
    <w:rsid w:val="1B394FA6"/>
    <w:rsid w:val="1B8A1E0D"/>
    <w:rsid w:val="1BAF48D6"/>
    <w:rsid w:val="1BF862DD"/>
    <w:rsid w:val="1C0C6595"/>
    <w:rsid w:val="1C0F3C96"/>
    <w:rsid w:val="1C503119"/>
    <w:rsid w:val="1C515A75"/>
    <w:rsid w:val="1C642698"/>
    <w:rsid w:val="1C705992"/>
    <w:rsid w:val="1C7217BC"/>
    <w:rsid w:val="1C831A57"/>
    <w:rsid w:val="1D0667AD"/>
    <w:rsid w:val="1D253EFC"/>
    <w:rsid w:val="1D2E40EE"/>
    <w:rsid w:val="1D827349"/>
    <w:rsid w:val="1D87261B"/>
    <w:rsid w:val="1D8C4487"/>
    <w:rsid w:val="1D9007B1"/>
    <w:rsid w:val="1E3C2FA6"/>
    <w:rsid w:val="1E51379E"/>
    <w:rsid w:val="1E976BA9"/>
    <w:rsid w:val="1F4D1EEA"/>
    <w:rsid w:val="1FB55E1C"/>
    <w:rsid w:val="1FCF6A18"/>
    <w:rsid w:val="1FE47897"/>
    <w:rsid w:val="1FE91D68"/>
    <w:rsid w:val="202C1558"/>
    <w:rsid w:val="204C5CDE"/>
    <w:rsid w:val="20BB6867"/>
    <w:rsid w:val="2107261C"/>
    <w:rsid w:val="214D162F"/>
    <w:rsid w:val="21814E6E"/>
    <w:rsid w:val="21B7220C"/>
    <w:rsid w:val="21CF0904"/>
    <w:rsid w:val="21DC5A1B"/>
    <w:rsid w:val="21F27BBF"/>
    <w:rsid w:val="220D693F"/>
    <w:rsid w:val="2220194A"/>
    <w:rsid w:val="22310E88"/>
    <w:rsid w:val="22332576"/>
    <w:rsid w:val="22522A97"/>
    <w:rsid w:val="22632A56"/>
    <w:rsid w:val="22734C95"/>
    <w:rsid w:val="22826A62"/>
    <w:rsid w:val="2287167E"/>
    <w:rsid w:val="228F2B25"/>
    <w:rsid w:val="22A40302"/>
    <w:rsid w:val="230D5D8D"/>
    <w:rsid w:val="234939F4"/>
    <w:rsid w:val="23925A44"/>
    <w:rsid w:val="239B658D"/>
    <w:rsid w:val="23B37820"/>
    <w:rsid w:val="23FD325B"/>
    <w:rsid w:val="244253D9"/>
    <w:rsid w:val="24726959"/>
    <w:rsid w:val="247477D5"/>
    <w:rsid w:val="24992B83"/>
    <w:rsid w:val="24AC6AA7"/>
    <w:rsid w:val="250E682C"/>
    <w:rsid w:val="254002AB"/>
    <w:rsid w:val="25513603"/>
    <w:rsid w:val="25835BD3"/>
    <w:rsid w:val="25D971A5"/>
    <w:rsid w:val="25FE3067"/>
    <w:rsid w:val="2616700A"/>
    <w:rsid w:val="261C4796"/>
    <w:rsid w:val="268550BF"/>
    <w:rsid w:val="26967EB4"/>
    <w:rsid w:val="26A81E0E"/>
    <w:rsid w:val="26D51B65"/>
    <w:rsid w:val="26F215DE"/>
    <w:rsid w:val="27CE635B"/>
    <w:rsid w:val="27D01E8C"/>
    <w:rsid w:val="28533A85"/>
    <w:rsid w:val="288552EF"/>
    <w:rsid w:val="289E0FB2"/>
    <w:rsid w:val="28A563BE"/>
    <w:rsid w:val="293D25A4"/>
    <w:rsid w:val="29547C66"/>
    <w:rsid w:val="299B2660"/>
    <w:rsid w:val="29B1622F"/>
    <w:rsid w:val="29B60188"/>
    <w:rsid w:val="29E313B8"/>
    <w:rsid w:val="2A6D5451"/>
    <w:rsid w:val="2AA73585"/>
    <w:rsid w:val="2ABE5770"/>
    <w:rsid w:val="2B152059"/>
    <w:rsid w:val="2B2B3B24"/>
    <w:rsid w:val="2B2E545E"/>
    <w:rsid w:val="2B54647E"/>
    <w:rsid w:val="2B5E5693"/>
    <w:rsid w:val="2B6E0DD0"/>
    <w:rsid w:val="2B9F73A1"/>
    <w:rsid w:val="2BCA5C66"/>
    <w:rsid w:val="2BCA6932"/>
    <w:rsid w:val="2C2A5BE9"/>
    <w:rsid w:val="2C74067E"/>
    <w:rsid w:val="2CA31516"/>
    <w:rsid w:val="2D0C5AF5"/>
    <w:rsid w:val="2D8A23C4"/>
    <w:rsid w:val="2DD84124"/>
    <w:rsid w:val="2DF14383"/>
    <w:rsid w:val="2DF66BD3"/>
    <w:rsid w:val="2E051C5F"/>
    <w:rsid w:val="2E764191"/>
    <w:rsid w:val="2E9D3027"/>
    <w:rsid w:val="2EA077B7"/>
    <w:rsid w:val="2EB10CDE"/>
    <w:rsid w:val="2ED72029"/>
    <w:rsid w:val="2F241835"/>
    <w:rsid w:val="2F4511E1"/>
    <w:rsid w:val="2F6D7F4D"/>
    <w:rsid w:val="2F866987"/>
    <w:rsid w:val="2F916325"/>
    <w:rsid w:val="2F981831"/>
    <w:rsid w:val="2FB63F10"/>
    <w:rsid w:val="2FDF0AA2"/>
    <w:rsid w:val="2FE21746"/>
    <w:rsid w:val="306D22D8"/>
    <w:rsid w:val="309C64CF"/>
    <w:rsid w:val="30A87D63"/>
    <w:rsid w:val="311B481E"/>
    <w:rsid w:val="314D2A6F"/>
    <w:rsid w:val="314D62F2"/>
    <w:rsid w:val="3172742B"/>
    <w:rsid w:val="3174661E"/>
    <w:rsid w:val="31800F82"/>
    <w:rsid w:val="319152F0"/>
    <w:rsid w:val="31B43718"/>
    <w:rsid w:val="31BF532C"/>
    <w:rsid w:val="325C2C2C"/>
    <w:rsid w:val="32990513"/>
    <w:rsid w:val="32C4034C"/>
    <w:rsid w:val="33225C4A"/>
    <w:rsid w:val="33313F09"/>
    <w:rsid w:val="33837581"/>
    <w:rsid w:val="338556DC"/>
    <w:rsid w:val="33AA0147"/>
    <w:rsid w:val="33D43EF9"/>
    <w:rsid w:val="34124CB0"/>
    <w:rsid w:val="34170F4E"/>
    <w:rsid w:val="341A1476"/>
    <w:rsid w:val="34DB7C20"/>
    <w:rsid w:val="34F97AD6"/>
    <w:rsid w:val="35183DAA"/>
    <w:rsid w:val="3525555A"/>
    <w:rsid w:val="353942DE"/>
    <w:rsid w:val="35687150"/>
    <w:rsid w:val="356B6221"/>
    <w:rsid w:val="35711A16"/>
    <w:rsid w:val="35A2048B"/>
    <w:rsid w:val="35F9471D"/>
    <w:rsid w:val="36562DED"/>
    <w:rsid w:val="36740E26"/>
    <w:rsid w:val="36CF347B"/>
    <w:rsid w:val="374C0B26"/>
    <w:rsid w:val="375D6FA3"/>
    <w:rsid w:val="379B023B"/>
    <w:rsid w:val="37A441F9"/>
    <w:rsid w:val="37D33ACF"/>
    <w:rsid w:val="37DB1B36"/>
    <w:rsid w:val="37F50F33"/>
    <w:rsid w:val="381051E0"/>
    <w:rsid w:val="38186D54"/>
    <w:rsid w:val="38277D06"/>
    <w:rsid w:val="387A56B5"/>
    <w:rsid w:val="388517E9"/>
    <w:rsid w:val="38A05342"/>
    <w:rsid w:val="38CE7A0F"/>
    <w:rsid w:val="38D006A0"/>
    <w:rsid w:val="38D94A42"/>
    <w:rsid w:val="39014694"/>
    <w:rsid w:val="391C1085"/>
    <w:rsid w:val="39493C2A"/>
    <w:rsid w:val="394D193A"/>
    <w:rsid w:val="397F4F63"/>
    <w:rsid w:val="398C5118"/>
    <w:rsid w:val="398D4A17"/>
    <w:rsid w:val="39903CCF"/>
    <w:rsid w:val="3997635D"/>
    <w:rsid w:val="39BD2849"/>
    <w:rsid w:val="39C656D7"/>
    <w:rsid w:val="39DC5326"/>
    <w:rsid w:val="39DC6059"/>
    <w:rsid w:val="39EF3CA5"/>
    <w:rsid w:val="3A736AF5"/>
    <w:rsid w:val="3AAA76BA"/>
    <w:rsid w:val="3AB151EE"/>
    <w:rsid w:val="3AB54FE0"/>
    <w:rsid w:val="3AC807E9"/>
    <w:rsid w:val="3B3E74C2"/>
    <w:rsid w:val="3B551F80"/>
    <w:rsid w:val="3BF97BF5"/>
    <w:rsid w:val="3C10781A"/>
    <w:rsid w:val="3C326368"/>
    <w:rsid w:val="3C961C72"/>
    <w:rsid w:val="3CC054B6"/>
    <w:rsid w:val="3D623944"/>
    <w:rsid w:val="3D986FCD"/>
    <w:rsid w:val="3DA43295"/>
    <w:rsid w:val="3DB85712"/>
    <w:rsid w:val="3DC448E2"/>
    <w:rsid w:val="3DE31781"/>
    <w:rsid w:val="3E183853"/>
    <w:rsid w:val="3E1A4B24"/>
    <w:rsid w:val="3E313366"/>
    <w:rsid w:val="3E5D15DE"/>
    <w:rsid w:val="3E9F334C"/>
    <w:rsid w:val="3ECC4C5D"/>
    <w:rsid w:val="3F2E4ADC"/>
    <w:rsid w:val="3FA710E3"/>
    <w:rsid w:val="3FC75B4C"/>
    <w:rsid w:val="3FD47EC6"/>
    <w:rsid w:val="3FEC558C"/>
    <w:rsid w:val="3FF61A6C"/>
    <w:rsid w:val="401E14D8"/>
    <w:rsid w:val="4068304B"/>
    <w:rsid w:val="408234E1"/>
    <w:rsid w:val="40900279"/>
    <w:rsid w:val="40965A05"/>
    <w:rsid w:val="40B67606"/>
    <w:rsid w:val="40BA692C"/>
    <w:rsid w:val="41053F3F"/>
    <w:rsid w:val="41557271"/>
    <w:rsid w:val="41582240"/>
    <w:rsid w:val="419F35D4"/>
    <w:rsid w:val="41BF170A"/>
    <w:rsid w:val="4265497C"/>
    <w:rsid w:val="42730731"/>
    <w:rsid w:val="428D00BE"/>
    <w:rsid w:val="42932E0A"/>
    <w:rsid w:val="4302227B"/>
    <w:rsid w:val="43087BB3"/>
    <w:rsid w:val="43873B5A"/>
    <w:rsid w:val="43E56B28"/>
    <w:rsid w:val="43E72937"/>
    <w:rsid w:val="441D624B"/>
    <w:rsid w:val="441E7550"/>
    <w:rsid w:val="442510D9"/>
    <w:rsid w:val="443F5506"/>
    <w:rsid w:val="44764150"/>
    <w:rsid w:val="44963CF1"/>
    <w:rsid w:val="44E51517"/>
    <w:rsid w:val="44EF08B2"/>
    <w:rsid w:val="44FA5C39"/>
    <w:rsid w:val="4511089B"/>
    <w:rsid w:val="45205E79"/>
    <w:rsid w:val="453F1DE7"/>
    <w:rsid w:val="45464AF0"/>
    <w:rsid w:val="45EB6847"/>
    <w:rsid w:val="4622569C"/>
    <w:rsid w:val="46323D4A"/>
    <w:rsid w:val="464809A2"/>
    <w:rsid w:val="46B87A73"/>
    <w:rsid w:val="46E22257"/>
    <w:rsid w:val="470034E9"/>
    <w:rsid w:val="47AC51A3"/>
    <w:rsid w:val="47BD1921"/>
    <w:rsid w:val="47C118C5"/>
    <w:rsid w:val="47ED7C17"/>
    <w:rsid w:val="481822D3"/>
    <w:rsid w:val="48273F97"/>
    <w:rsid w:val="484978B7"/>
    <w:rsid w:val="489A439E"/>
    <w:rsid w:val="48DD1BC6"/>
    <w:rsid w:val="48F63EC0"/>
    <w:rsid w:val="49316623"/>
    <w:rsid w:val="49820C82"/>
    <w:rsid w:val="49A45DCB"/>
    <w:rsid w:val="49AE4D9E"/>
    <w:rsid w:val="4A780B39"/>
    <w:rsid w:val="4A9061E0"/>
    <w:rsid w:val="4AB2329C"/>
    <w:rsid w:val="4ACD649C"/>
    <w:rsid w:val="4AF149CF"/>
    <w:rsid w:val="4B3A3A22"/>
    <w:rsid w:val="4B4A3340"/>
    <w:rsid w:val="4B80068C"/>
    <w:rsid w:val="4BA076A2"/>
    <w:rsid w:val="4BAF5D17"/>
    <w:rsid w:val="4BB53E11"/>
    <w:rsid w:val="4BED3F1E"/>
    <w:rsid w:val="4C856040"/>
    <w:rsid w:val="4CB23F05"/>
    <w:rsid w:val="4CCF7D94"/>
    <w:rsid w:val="4CD21707"/>
    <w:rsid w:val="4CD448F6"/>
    <w:rsid w:val="4D021BEE"/>
    <w:rsid w:val="4D94087D"/>
    <w:rsid w:val="4DD3633D"/>
    <w:rsid w:val="4DEA38DB"/>
    <w:rsid w:val="4E0E741B"/>
    <w:rsid w:val="4E1338A3"/>
    <w:rsid w:val="4E474E59"/>
    <w:rsid w:val="4E52248E"/>
    <w:rsid w:val="4E872A13"/>
    <w:rsid w:val="4ECF74D9"/>
    <w:rsid w:val="4F214D1F"/>
    <w:rsid w:val="4F691C56"/>
    <w:rsid w:val="4FC56BAA"/>
    <w:rsid w:val="4FE75DA8"/>
    <w:rsid w:val="502E7A5C"/>
    <w:rsid w:val="50D84EB1"/>
    <w:rsid w:val="50EF74D3"/>
    <w:rsid w:val="5111350A"/>
    <w:rsid w:val="514F4E6E"/>
    <w:rsid w:val="515B1A65"/>
    <w:rsid w:val="5162107A"/>
    <w:rsid w:val="51FE5112"/>
    <w:rsid w:val="52003D8A"/>
    <w:rsid w:val="521A11BF"/>
    <w:rsid w:val="52463308"/>
    <w:rsid w:val="526E5618"/>
    <w:rsid w:val="528D2471"/>
    <w:rsid w:val="529B0814"/>
    <w:rsid w:val="529D3D17"/>
    <w:rsid w:val="52AA73EB"/>
    <w:rsid w:val="531940D3"/>
    <w:rsid w:val="53AE4E59"/>
    <w:rsid w:val="53D23F5E"/>
    <w:rsid w:val="53DB4A23"/>
    <w:rsid w:val="540C1A63"/>
    <w:rsid w:val="5414739B"/>
    <w:rsid w:val="54167D00"/>
    <w:rsid w:val="541D1685"/>
    <w:rsid w:val="544D3FAE"/>
    <w:rsid w:val="547263F4"/>
    <w:rsid w:val="55447E18"/>
    <w:rsid w:val="55477207"/>
    <w:rsid w:val="55887308"/>
    <w:rsid w:val="559C64A6"/>
    <w:rsid w:val="55DA66E7"/>
    <w:rsid w:val="55E414EF"/>
    <w:rsid w:val="56070F5D"/>
    <w:rsid w:val="560B64B1"/>
    <w:rsid w:val="56925E96"/>
    <w:rsid w:val="576D72DB"/>
    <w:rsid w:val="577D4B9A"/>
    <w:rsid w:val="579D4375"/>
    <w:rsid w:val="57C2742B"/>
    <w:rsid w:val="57CA05CB"/>
    <w:rsid w:val="57CC4919"/>
    <w:rsid w:val="57FB5468"/>
    <w:rsid w:val="580759F7"/>
    <w:rsid w:val="580F0885"/>
    <w:rsid w:val="5815278F"/>
    <w:rsid w:val="58664B17"/>
    <w:rsid w:val="588B3A52"/>
    <w:rsid w:val="589939CD"/>
    <w:rsid w:val="58BC4221"/>
    <w:rsid w:val="58FA3F1D"/>
    <w:rsid w:val="59384E70"/>
    <w:rsid w:val="5940227C"/>
    <w:rsid w:val="59520D8D"/>
    <w:rsid w:val="59747BBC"/>
    <w:rsid w:val="59780CDB"/>
    <w:rsid w:val="59A57A22"/>
    <w:rsid w:val="59C36FD2"/>
    <w:rsid w:val="59F15148"/>
    <w:rsid w:val="59F96AFC"/>
    <w:rsid w:val="5A22286F"/>
    <w:rsid w:val="5A451B2A"/>
    <w:rsid w:val="5A4717AA"/>
    <w:rsid w:val="5A563010"/>
    <w:rsid w:val="5AB752E1"/>
    <w:rsid w:val="5AD73617"/>
    <w:rsid w:val="5ADB7A9F"/>
    <w:rsid w:val="5B0E2DD5"/>
    <w:rsid w:val="5B12148F"/>
    <w:rsid w:val="5B3224B0"/>
    <w:rsid w:val="5B47134C"/>
    <w:rsid w:val="5B783BA2"/>
    <w:rsid w:val="5B8759B9"/>
    <w:rsid w:val="5BD80C3B"/>
    <w:rsid w:val="5BF27267"/>
    <w:rsid w:val="5C522B03"/>
    <w:rsid w:val="5C7C3CB1"/>
    <w:rsid w:val="5C8D358B"/>
    <w:rsid w:val="5CBE34B8"/>
    <w:rsid w:val="5D1C2263"/>
    <w:rsid w:val="5D1D5C03"/>
    <w:rsid w:val="5D5104A8"/>
    <w:rsid w:val="5D7054D9"/>
    <w:rsid w:val="5D8D744A"/>
    <w:rsid w:val="5DAC403A"/>
    <w:rsid w:val="5DDB4B89"/>
    <w:rsid w:val="5DEA337F"/>
    <w:rsid w:val="5DF11EF1"/>
    <w:rsid w:val="5DF66A37"/>
    <w:rsid w:val="5E0943D3"/>
    <w:rsid w:val="5E7F7895"/>
    <w:rsid w:val="5EAE232E"/>
    <w:rsid w:val="5ED00919"/>
    <w:rsid w:val="5EE2793A"/>
    <w:rsid w:val="5EF91172"/>
    <w:rsid w:val="5F0E1A83"/>
    <w:rsid w:val="5F1F569B"/>
    <w:rsid w:val="5F2F716C"/>
    <w:rsid w:val="5F495694"/>
    <w:rsid w:val="5F737D3B"/>
    <w:rsid w:val="5F7E0234"/>
    <w:rsid w:val="5FF40A7C"/>
    <w:rsid w:val="60472A84"/>
    <w:rsid w:val="604D05E5"/>
    <w:rsid w:val="60837687"/>
    <w:rsid w:val="60A652C2"/>
    <w:rsid w:val="60EC4D96"/>
    <w:rsid w:val="60F37E1C"/>
    <w:rsid w:val="61054577"/>
    <w:rsid w:val="613E3956"/>
    <w:rsid w:val="61830BFA"/>
    <w:rsid w:val="619758A9"/>
    <w:rsid w:val="61C52EF5"/>
    <w:rsid w:val="61E60EAB"/>
    <w:rsid w:val="61FE6777"/>
    <w:rsid w:val="6200643D"/>
    <w:rsid w:val="624C7A0B"/>
    <w:rsid w:val="627252D3"/>
    <w:rsid w:val="62940BEC"/>
    <w:rsid w:val="63483071"/>
    <w:rsid w:val="63672094"/>
    <w:rsid w:val="637E354B"/>
    <w:rsid w:val="63901267"/>
    <w:rsid w:val="63931323"/>
    <w:rsid w:val="63AB50B3"/>
    <w:rsid w:val="63D11CD0"/>
    <w:rsid w:val="640B2DAF"/>
    <w:rsid w:val="64282A33"/>
    <w:rsid w:val="642968EB"/>
    <w:rsid w:val="644D6CAB"/>
    <w:rsid w:val="64642182"/>
    <w:rsid w:val="64D400E5"/>
    <w:rsid w:val="64FA2A38"/>
    <w:rsid w:val="656E627A"/>
    <w:rsid w:val="658A0895"/>
    <w:rsid w:val="666E039B"/>
    <w:rsid w:val="667B3FDC"/>
    <w:rsid w:val="66A44309"/>
    <w:rsid w:val="66CB0734"/>
    <w:rsid w:val="671A6581"/>
    <w:rsid w:val="672E222A"/>
    <w:rsid w:val="673F7B59"/>
    <w:rsid w:val="6751640F"/>
    <w:rsid w:val="675C2222"/>
    <w:rsid w:val="676A27C9"/>
    <w:rsid w:val="68024591"/>
    <w:rsid w:val="683B21FE"/>
    <w:rsid w:val="683E01D5"/>
    <w:rsid w:val="689E69B8"/>
    <w:rsid w:val="68C535DF"/>
    <w:rsid w:val="68C5725A"/>
    <w:rsid w:val="68DC26A5"/>
    <w:rsid w:val="68F74697"/>
    <w:rsid w:val="69721491"/>
    <w:rsid w:val="69A176A8"/>
    <w:rsid w:val="69AF3970"/>
    <w:rsid w:val="69E718CB"/>
    <w:rsid w:val="6A062767"/>
    <w:rsid w:val="6A075683"/>
    <w:rsid w:val="6A423BFF"/>
    <w:rsid w:val="6A6F3F78"/>
    <w:rsid w:val="6A775937"/>
    <w:rsid w:val="6AA319DC"/>
    <w:rsid w:val="6AC22533"/>
    <w:rsid w:val="6AEE3EE8"/>
    <w:rsid w:val="6AFE4916"/>
    <w:rsid w:val="6B1113B9"/>
    <w:rsid w:val="6B470926"/>
    <w:rsid w:val="6B72277B"/>
    <w:rsid w:val="6B9E0334"/>
    <w:rsid w:val="6BF306A7"/>
    <w:rsid w:val="6BF44366"/>
    <w:rsid w:val="6BFE68E7"/>
    <w:rsid w:val="6C404029"/>
    <w:rsid w:val="6C4B45B8"/>
    <w:rsid w:val="6CC920D0"/>
    <w:rsid w:val="6CF34E8B"/>
    <w:rsid w:val="6CFA3457"/>
    <w:rsid w:val="6CFB0ED9"/>
    <w:rsid w:val="6CFE56E1"/>
    <w:rsid w:val="6D093541"/>
    <w:rsid w:val="6D523E98"/>
    <w:rsid w:val="6DAF376B"/>
    <w:rsid w:val="6DFB373A"/>
    <w:rsid w:val="6E3D05EC"/>
    <w:rsid w:val="6E4E3201"/>
    <w:rsid w:val="6E737441"/>
    <w:rsid w:val="6E762038"/>
    <w:rsid w:val="6E991CE2"/>
    <w:rsid w:val="6EA97D2F"/>
    <w:rsid w:val="6F094805"/>
    <w:rsid w:val="6F5E6D24"/>
    <w:rsid w:val="6F6E41E1"/>
    <w:rsid w:val="6FDA5A8E"/>
    <w:rsid w:val="6FDB6D93"/>
    <w:rsid w:val="6FE412CF"/>
    <w:rsid w:val="70FD67A0"/>
    <w:rsid w:val="713A21D2"/>
    <w:rsid w:val="71681A1D"/>
    <w:rsid w:val="71BE6D71"/>
    <w:rsid w:val="71EB0C4D"/>
    <w:rsid w:val="720C252B"/>
    <w:rsid w:val="72111779"/>
    <w:rsid w:val="72490B8D"/>
    <w:rsid w:val="72954A0D"/>
    <w:rsid w:val="72B13D23"/>
    <w:rsid w:val="72BC104A"/>
    <w:rsid w:val="72CD4B67"/>
    <w:rsid w:val="72D2576C"/>
    <w:rsid w:val="72DC3AFD"/>
    <w:rsid w:val="72EE509C"/>
    <w:rsid w:val="73174266"/>
    <w:rsid w:val="735F1ED8"/>
    <w:rsid w:val="736E6E82"/>
    <w:rsid w:val="737E18B7"/>
    <w:rsid w:val="739C06B8"/>
    <w:rsid w:val="73C4458D"/>
    <w:rsid w:val="73F72FC9"/>
    <w:rsid w:val="743C6043"/>
    <w:rsid w:val="744B2DDA"/>
    <w:rsid w:val="745122FA"/>
    <w:rsid w:val="74755503"/>
    <w:rsid w:val="74DB35C2"/>
    <w:rsid w:val="74FB45E1"/>
    <w:rsid w:val="7510601B"/>
    <w:rsid w:val="75171229"/>
    <w:rsid w:val="755F4EA1"/>
    <w:rsid w:val="75735A9C"/>
    <w:rsid w:val="757415C3"/>
    <w:rsid w:val="759B5BFF"/>
    <w:rsid w:val="75CA4550"/>
    <w:rsid w:val="75DD1EEC"/>
    <w:rsid w:val="75E70156"/>
    <w:rsid w:val="76473B19"/>
    <w:rsid w:val="767422F1"/>
    <w:rsid w:val="76761A07"/>
    <w:rsid w:val="76DE2D93"/>
    <w:rsid w:val="76E173C3"/>
    <w:rsid w:val="7742155A"/>
    <w:rsid w:val="77430539"/>
    <w:rsid w:val="78317A37"/>
    <w:rsid w:val="785E6707"/>
    <w:rsid w:val="78646412"/>
    <w:rsid w:val="78D677BE"/>
    <w:rsid w:val="78F26F7B"/>
    <w:rsid w:val="792E135E"/>
    <w:rsid w:val="794627A1"/>
    <w:rsid w:val="7949798A"/>
    <w:rsid w:val="79616024"/>
    <w:rsid w:val="79622AB2"/>
    <w:rsid w:val="79CD0222"/>
    <w:rsid w:val="79D90CBF"/>
    <w:rsid w:val="7A27752A"/>
    <w:rsid w:val="7A6540D5"/>
    <w:rsid w:val="7A8F2AF1"/>
    <w:rsid w:val="7AC53928"/>
    <w:rsid w:val="7B166C80"/>
    <w:rsid w:val="7B602C51"/>
    <w:rsid w:val="7B787B72"/>
    <w:rsid w:val="7B885AF5"/>
    <w:rsid w:val="7B9265CA"/>
    <w:rsid w:val="7B9C6959"/>
    <w:rsid w:val="7BCA509C"/>
    <w:rsid w:val="7C1B07B3"/>
    <w:rsid w:val="7C204784"/>
    <w:rsid w:val="7C2B7B49"/>
    <w:rsid w:val="7C5E655C"/>
    <w:rsid w:val="7CA21C8A"/>
    <w:rsid w:val="7D032FA8"/>
    <w:rsid w:val="7D090E05"/>
    <w:rsid w:val="7D122E7C"/>
    <w:rsid w:val="7D180DE9"/>
    <w:rsid w:val="7D4177EF"/>
    <w:rsid w:val="7D916896"/>
    <w:rsid w:val="7D975F9A"/>
    <w:rsid w:val="7DBE36DC"/>
    <w:rsid w:val="7DC66DA3"/>
    <w:rsid w:val="7DF369FE"/>
    <w:rsid w:val="7E4200B1"/>
    <w:rsid w:val="7E5F1BE0"/>
    <w:rsid w:val="7E607DD2"/>
    <w:rsid w:val="7F12031F"/>
    <w:rsid w:val="7F433A1C"/>
    <w:rsid w:val="7F4D7202"/>
    <w:rsid w:val="7F8C718F"/>
    <w:rsid w:val="7F982BE1"/>
    <w:rsid w:val="7FA72A2A"/>
    <w:rsid w:val="7FBE46D3"/>
    <w:rsid w:val="7FCC59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9"/>
    <w:pPr>
      <w:keepNext/>
      <w:keepLines/>
      <w:spacing w:before="260" w:after="260" w:line="416" w:lineRule="auto"/>
      <w:outlineLvl w:val="1"/>
    </w:pPr>
    <w:rPr>
      <w:rFonts w:ascii="@仿宋_GB2312" w:hAnsi="@仿宋_GB2312"/>
      <w:b/>
      <w:bCs/>
      <w:kern w:val="0"/>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5"/>
    <w:semiHidden/>
    <w:qFormat/>
    <w:uiPriority w:val="0"/>
    <w:rPr>
      <w:rFonts w:ascii="仿宋" w:hAnsi="仿宋" w:eastAsia="仿宋" w:cs="仿宋"/>
      <w:sz w:val="31"/>
      <w:szCs w:val="31"/>
      <w:lang w:val="en-US" w:eastAsia="en-US" w:bidi="ar-SA"/>
    </w:rPr>
  </w:style>
  <w:style w:type="paragraph" w:styleId="5">
    <w:name w:val="Title"/>
    <w:basedOn w:val="1"/>
    <w:next w:val="1"/>
    <w:qFormat/>
    <w:uiPriority w:val="0"/>
    <w:pPr>
      <w:spacing w:before="240" w:beforeLines="0" w:after="60" w:afterLines="0"/>
      <w:jc w:val="center"/>
      <w:outlineLvl w:val="0"/>
    </w:pPr>
    <w:rPr>
      <w:rFonts w:ascii="Arial" w:hAnsi="Arial" w:cs="Arial"/>
      <w:b/>
      <w:bCs/>
      <w:sz w:val="32"/>
      <w:szCs w:val="32"/>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00FF"/>
      <w:u w:val="single"/>
    </w:rPr>
  </w:style>
  <w:style w:type="character" w:styleId="13">
    <w:name w:val="footnote reference"/>
    <w:basedOn w:val="11"/>
    <w:qFormat/>
    <w:uiPriority w:val="0"/>
    <w:rPr>
      <w:vertAlign w:val="superscript"/>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Table Text"/>
    <w:basedOn w:val="1"/>
    <w:semiHidden/>
    <w:qFormat/>
    <w:uiPriority w:val="0"/>
    <w:rPr>
      <w:rFonts w:ascii="宋体" w:hAnsi="宋体" w:eastAsia="宋体" w:cs="宋体"/>
      <w:sz w:val="24"/>
      <w:szCs w:val="24"/>
      <w:lang w:val="en-US" w:eastAsia="en-US" w:bidi="ar-SA"/>
    </w:rPr>
  </w:style>
  <w:style w:type="paragraph" w:customStyle="1" w:styleId="16">
    <w:name w:val="表格标题粗体_制度头表格"/>
    <w:qFormat/>
    <w:uiPriority w:val="0"/>
    <w:pPr>
      <w:jc w:val="center"/>
    </w:pPr>
    <w:rPr>
      <w:rFonts w:ascii="Calibri" w:hAnsi="Calibri" w:eastAsia="宋体" w:cs="Times New Roman"/>
      <w:b/>
      <w:sz w:val="21"/>
      <w:szCs w:val="21"/>
      <w:lang w:val="en-US" w:eastAsia="zh-CN" w:bidi="ar-SA"/>
    </w:rPr>
  </w:style>
  <w:style w:type="paragraph" w:customStyle="1" w:styleId="17">
    <w:name w:val="南网正文"/>
    <w:qFormat/>
    <w:uiPriority w:val="0"/>
    <w:pPr>
      <w:spacing w:line="560" w:lineRule="exact"/>
      <w:ind w:firstLine="200" w:firstLineChars="200"/>
      <w:jc w:val="both"/>
    </w:pPr>
    <w:rPr>
      <w:rFonts w:ascii="仿宋" w:hAnsi="仿宋" w:eastAsia="仿宋" w:cs="Times New Roman"/>
      <w:kern w:val="2"/>
      <w:sz w:val="32"/>
      <w:szCs w:val="32"/>
      <w:lang w:val="en-US" w:eastAsia="zh-CN" w:bidi="ar-SA"/>
    </w:rPr>
  </w:style>
  <w:style w:type="character" w:customStyle="1" w:styleId="18">
    <w:name w:val="font41"/>
    <w:basedOn w:val="11"/>
    <w:qFormat/>
    <w:uiPriority w:val="0"/>
    <w:rPr>
      <w:rFonts w:hint="eastAsia" w:ascii="等线" w:hAnsi="等线" w:eastAsia="等线" w:cs="等线"/>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4182</Words>
  <Characters>4406</Characters>
  <TotalTime>3</TotalTime>
  <ScaleCrop>false</ScaleCrop>
  <LinksUpToDate>false</LinksUpToDate>
  <CharactersWithSpaces>4473</CharactersWithSpaces>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2024-07-24T08:48:00Z</dcterms:created>
  <dc:creator>NFS</dc:creator>
  <cp:lastModifiedBy>赵欢</cp:lastModifiedBy>
  <cp:lastPrinted>2026-05-12T07:00:00Z</cp:lastPrinted>
  <dcterms:modified xsi:type="dcterms:W3CDTF">2026-05-25T10:35:24Z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KSOProductBuildVer">
    <vt:lpwstr>2052-11.8.2.12309</vt:lpwstr>
  </property>
  <property fmtid="{D5CDD505-2E9C-101B-9397-08002B2CF9AE}" pid="4" name="ICV">
    <vt:lpwstr>72161EF5D50D447CB920D9D3ADAEF6FE</vt:lpwstr>
  </property>
  <property fmtid="{D5CDD505-2E9C-101B-9397-08002B2CF9AE}" pid="5" name="KSOTemplateDocerSaveRecord">
    <vt:lpwstr>eyJoZGlkIjoiYzcyZDI4Y2U0OWM1ODdhY2E2NWM5MWIwMDRiMTczYzAiLCJ1c2VySWQiOiIxMDA3OTY2OTI4In0=</vt:lpwstr>
  </property>
  <property fmtid="{D5CDD505-2E9C-101B-9397-08002B2CF9AE}" pid="6" name="WondersoftTag">
    <vt:lpwstr>FB53F3ED-2EEC-4149-8D40-38A52D676C96#2#65B47829-66E346F1-85D22AA2-440F0BED##0</vt:lpwstr>
  </property>
</Properties>
</file>