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b/>
          <w:sz w:val="52"/>
        </w:rPr>
      </w:pPr>
      <w:bookmarkStart w:id="114" w:name="_GoBack"/>
      <w:bookmarkEnd w:id="114"/>
      <w:r>
        <w:drawing>
          <wp:anchor distT="0" distB="0" distL="114300" distR="114300" simplePos="0" relativeHeight="251660288" behindDoc="1" locked="0" layoutInCell="1" allowOverlap="1">
            <wp:simplePos x="0" y="0"/>
            <wp:positionH relativeFrom="column">
              <wp:posOffset>-1143000</wp:posOffset>
            </wp:positionH>
            <wp:positionV relativeFrom="paragraph">
              <wp:posOffset>-914400</wp:posOffset>
            </wp:positionV>
            <wp:extent cx="8915400" cy="2736850"/>
            <wp:effectExtent l="0" t="0" r="0" b="6350"/>
            <wp:wrapTight wrapText="bothSides">
              <wp:wrapPolygon>
                <wp:start x="0" y="0"/>
                <wp:lineTo x="0" y="21500"/>
                <wp:lineTo x="21554" y="21500"/>
                <wp:lineTo x="21554" y="0"/>
                <wp:lineTo x="0" y="0"/>
              </wp:wrapPolygon>
            </wp:wrapTight>
            <wp:docPr id="4" name="图片 2" descr="模板-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模板-3"/>
                    <pic:cNvPicPr>
                      <a:picLocks noChangeAspect="1"/>
                    </pic:cNvPicPr>
                  </pic:nvPicPr>
                  <pic:blipFill>
                    <a:blip r:embed="rId7"/>
                    <a:stretch>
                      <a:fillRect/>
                    </a:stretch>
                  </pic:blipFill>
                  <pic:spPr>
                    <a:xfrm>
                      <a:off x="0" y="0"/>
                      <a:ext cx="8915400" cy="2736850"/>
                    </a:xfrm>
                    <a:prstGeom prst="rect">
                      <a:avLst/>
                    </a:prstGeom>
                    <a:noFill/>
                    <a:ln>
                      <a:noFill/>
                    </a:ln>
                  </pic:spPr>
                </pic:pic>
              </a:graphicData>
            </a:graphic>
          </wp:anchor>
        </w:drawing>
      </w:r>
      <w:r>
        <w:rPr>
          <w:b/>
          <w:sz w:val="52"/>
        </w:rPr>
        <w:t>塑壳断路器</w:t>
      </w:r>
    </w:p>
    <w:p>
      <w:pPr>
        <w:jc w:val="center"/>
        <w:rPr>
          <w:b/>
          <w:sz w:val="52"/>
        </w:rPr>
      </w:pPr>
      <w:r>
        <w:rPr>
          <w:b/>
          <w:sz w:val="52"/>
        </w:rPr>
        <w:t>技术规范书</w:t>
      </w:r>
    </w:p>
    <w:p>
      <w:pPr>
        <w:jc w:val="center"/>
        <w:rPr>
          <w:b/>
          <w:sz w:val="52"/>
        </w:rPr>
      </w:pPr>
      <w:r>
        <w:rPr>
          <w:b/>
          <w:sz w:val="52"/>
        </w:rPr>
        <w:t>（通用部分）</w:t>
      </w:r>
    </w:p>
    <w:p>
      <w:pPr>
        <w:jc w:val="center"/>
        <w:rPr>
          <w:b/>
          <w:sz w:val="52"/>
        </w:rPr>
      </w:pPr>
    </w:p>
    <w:p>
      <w:pPr>
        <w:jc w:val="center"/>
        <w:rPr>
          <w:b/>
          <w:sz w:val="52"/>
        </w:rPr>
      </w:pPr>
    </w:p>
    <w:p>
      <w:pPr>
        <w:jc w:val="center"/>
        <w:rPr>
          <w:b/>
          <w:sz w:val="52"/>
        </w:rPr>
      </w:pPr>
    </w:p>
    <w:p>
      <w:pPr>
        <w:jc w:val="center"/>
        <w:rPr>
          <w:b/>
          <w:sz w:val="52"/>
        </w:rPr>
      </w:pPr>
    </w:p>
    <w:p>
      <w:pPr>
        <w:spacing w:beforeLines="200"/>
        <w:ind w:firstLine="1970" w:firstLineChars="545"/>
        <w:jc w:val="left"/>
        <w:rPr>
          <w:b/>
          <w:sz w:val="36"/>
        </w:rPr>
      </w:pPr>
      <w:r>
        <w:rPr>
          <w:b/>
          <w:sz w:val="36"/>
        </w:rPr>
        <w:t>版本号：202</w:t>
      </w:r>
      <w:r>
        <w:rPr>
          <w:rFonts w:hint="eastAsia"/>
          <w:b/>
          <w:sz w:val="36"/>
          <w:lang w:val="en-US" w:eastAsia="zh-CN"/>
        </w:rPr>
        <w:t>4</w:t>
      </w:r>
      <w:r>
        <w:rPr>
          <w:b/>
          <w:sz w:val="36"/>
        </w:rPr>
        <w:t>版V1.0</w:t>
      </w:r>
    </w:p>
    <w:p>
      <w:pPr>
        <w:spacing w:beforeLines="200"/>
        <w:ind w:firstLine="1530" w:firstLineChars="343"/>
        <w:jc w:val="left"/>
        <w:rPr>
          <w:b/>
          <w:spacing w:val="20"/>
          <w:w w:val="135"/>
          <w:sz w:val="30"/>
        </w:rPr>
      </w:pPr>
      <w:r>
        <w:rPr>
          <w:b/>
          <w:spacing w:val="20"/>
          <w:w w:val="135"/>
          <w:sz w:val="30"/>
        </w:rPr>
        <w:t>中国南方电网有限责任公司</w:t>
      </w:r>
    </w:p>
    <w:p>
      <w:pPr>
        <w:spacing w:beforeLines="200"/>
        <w:jc w:val="center"/>
        <w:rPr>
          <w:b/>
          <w:spacing w:val="20"/>
          <w:w w:val="135"/>
          <w:sz w:val="30"/>
        </w:rPr>
      </w:pPr>
      <w:r>
        <w:rPr>
          <w:b/>
          <w:spacing w:val="20"/>
          <w:w w:val="135"/>
          <w:sz w:val="30"/>
        </w:rPr>
        <w:t>202</w:t>
      </w:r>
      <w:r>
        <w:rPr>
          <w:rFonts w:hint="eastAsia"/>
          <w:b/>
          <w:spacing w:val="20"/>
          <w:w w:val="135"/>
          <w:sz w:val="30"/>
          <w:lang w:val="en-US" w:eastAsia="zh-CN"/>
        </w:rPr>
        <w:t>4</w:t>
      </w:r>
      <w:r>
        <w:rPr>
          <w:b/>
          <w:spacing w:val="20"/>
          <w:w w:val="135"/>
          <w:sz w:val="30"/>
        </w:rPr>
        <w:t>年</w:t>
      </w:r>
      <w:r>
        <w:rPr>
          <w:rFonts w:hint="eastAsia"/>
          <w:b/>
          <w:spacing w:val="20"/>
          <w:w w:val="135"/>
          <w:sz w:val="30"/>
          <w:lang w:val="en-US" w:eastAsia="zh-CN"/>
        </w:rPr>
        <w:t>3</w:t>
      </w:r>
      <w:r>
        <w:rPr>
          <w:b/>
          <w:spacing w:val="20"/>
          <w:w w:val="135"/>
          <w:sz w:val="30"/>
        </w:rPr>
        <w:t>月</w:t>
      </w:r>
    </w:p>
    <w:p>
      <w:pPr>
        <w:spacing w:beforeLines="100" w:line="560" w:lineRule="exact"/>
        <w:jc w:val="center"/>
        <w:rPr>
          <w:bCs/>
          <w:sz w:val="44"/>
          <w:szCs w:val="44"/>
        </w:rPr>
      </w:pPr>
      <w:r>
        <w:rPr>
          <w:bCs/>
          <w:sz w:val="44"/>
          <w:szCs w:val="44"/>
        </w:rPr>
        <w:br w:type="page"/>
      </w:r>
      <w:r>
        <w:rPr>
          <w:bCs/>
          <w:sz w:val="44"/>
          <w:szCs w:val="44"/>
        </w:rPr>
        <w:t>知识产权声明</w:t>
      </w:r>
    </w:p>
    <w:p>
      <w:pPr>
        <w:spacing w:line="560" w:lineRule="exact"/>
        <w:jc w:val="center"/>
        <w:rPr>
          <w:b/>
          <w:sz w:val="32"/>
          <w:szCs w:val="32"/>
        </w:rPr>
      </w:pPr>
    </w:p>
    <w:p>
      <w:pPr>
        <w:spacing w:line="560" w:lineRule="exact"/>
        <w:ind w:firstLine="640" w:firstLineChars="200"/>
        <w:rPr>
          <w:sz w:val="32"/>
          <w:szCs w:val="32"/>
        </w:rPr>
      </w:pPr>
      <w:r>
        <w:rPr>
          <w:sz w:val="32"/>
          <w:szCs w:val="32"/>
        </w:rPr>
        <w:t>南方电网公司拥有本作品的知识产权，未经南方电网公司书面许可，任何单位和个人不得擅自</w:t>
      </w:r>
      <w:r>
        <w:rPr>
          <w:color w:val="333333"/>
          <w:sz w:val="32"/>
          <w:szCs w:val="32"/>
        </w:rPr>
        <w:t>使用（包括但不限于复制、发行、转载、通过信息网络传播等）</w:t>
      </w:r>
      <w:r>
        <w:rPr>
          <w:sz w:val="32"/>
          <w:szCs w:val="32"/>
        </w:rPr>
        <w:t>，否则，南方电网公司将依法追究法律责任。</w:t>
      </w:r>
    </w:p>
    <w:p>
      <w:pPr>
        <w:spacing w:line="560" w:lineRule="exact"/>
        <w:rPr>
          <w:sz w:val="28"/>
          <w:szCs w:val="28"/>
        </w:rPr>
      </w:pPr>
    </w:p>
    <w:p>
      <w:pPr>
        <w:spacing w:line="560" w:lineRule="exact"/>
        <w:ind w:firstLine="560"/>
        <w:rPr>
          <w:sz w:val="28"/>
          <w:szCs w:val="28"/>
        </w:rPr>
      </w:pPr>
    </w:p>
    <w:p>
      <w:pPr>
        <w:spacing w:line="560" w:lineRule="exact"/>
        <w:jc w:val="center"/>
        <w:rPr>
          <w:sz w:val="44"/>
          <w:szCs w:val="44"/>
        </w:rPr>
      </w:pPr>
      <w:r>
        <w:rPr>
          <w:sz w:val="44"/>
          <w:szCs w:val="44"/>
        </w:rPr>
        <w:t>Intellectual Property Rights Statement</w:t>
      </w:r>
    </w:p>
    <w:p>
      <w:pPr>
        <w:spacing w:line="560" w:lineRule="exact"/>
        <w:ind w:firstLine="640"/>
        <w:rPr>
          <w:sz w:val="32"/>
          <w:szCs w:val="32"/>
        </w:rPr>
      </w:pPr>
    </w:p>
    <w:p>
      <w:pPr>
        <w:spacing w:line="560" w:lineRule="exact"/>
        <w:ind w:firstLine="640"/>
        <w:rPr>
          <w:sz w:val="32"/>
          <w:szCs w:val="32"/>
        </w:rPr>
      </w:pPr>
      <w:r>
        <w:rPr>
          <w:sz w:val="32"/>
          <w:szCs w:val="32"/>
        </w:rPr>
        <w:t>China Southern Power Grid is the owner of the intellectual property rights of this work. Any person or organization shall not utilize (including but not limited to reproduce</w:t>
      </w:r>
      <w:r>
        <w:rPr>
          <w:rFonts w:hint="eastAsia"/>
          <w:sz w:val="32"/>
          <w:szCs w:val="32"/>
        </w:rPr>
        <w:t>，</w:t>
      </w:r>
      <w:r>
        <w:rPr>
          <w:sz w:val="32"/>
          <w:szCs w:val="32"/>
        </w:rPr>
        <w:t>distribute</w:t>
      </w:r>
      <w:r>
        <w:rPr>
          <w:rFonts w:hint="eastAsia"/>
          <w:sz w:val="32"/>
          <w:szCs w:val="32"/>
        </w:rPr>
        <w:t>，</w:t>
      </w:r>
      <w:r>
        <w:rPr>
          <w:sz w:val="32"/>
          <w:szCs w:val="32"/>
        </w:rPr>
        <w:t>transmit or disseminate through the internet) without the prior written permission of the owner and will be held legally responsible otherwise by China Southern Power Grid.</w:t>
      </w:r>
    </w:p>
    <w:p>
      <w:pPr>
        <w:spacing w:line="360" w:lineRule="auto"/>
        <w:jc w:val="center"/>
        <w:rPr>
          <w:sz w:val="32"/>
        </w:rPr>
      </w:pPr>
    </w:p>
    <w:p>
      <w:pPr>
        <w:spacing w:line="360" w:lineRule="auto"/>
        <w:jc w:val="center"/>
        <w:rPr>
          <w:sz w:val="32"/>
          <w:szCs w:val="28"/>
        </w:rPr>
      </w:pPr>
    </w:p>
    <w:p>
      <w:pPr>
        <w:spacing w:line="360" w:lineRule="auto"/>
        <w:jc w:val="center"/>
        <w:rPr>
          <w:sz w:val="32"/>
          <w:szCs w:val="28"/>
        </w:rPr>
      </w:pPr>
      <w:r>
        <w:rPr>
          <w:sz w:val="32"/>
          <w:szCs w:val="28"/>
        </w:rPr>
        <w:br w:type="page"/>
      </w:r>
      <w:r>
        <w:rPr>
          <w:sz w:val="32"/>
          <w:szCs w:val="28"/>
        </w:rPr>
        <w:t>本规范对应的专用技术规范目录</w:t>
      </w:r>
    </w:p>
    <w:tbl>
      <w:tblPr>
        <w:tblStyle w:val="11"/>
        <w:tblW w:w="8563"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741"/>
        <w:gridCol w:w="3396"/>
        <w:gridCol w:w="4426"/>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741" w:type="dxa"/>
            <w:noWrap/>
          </w:tcPr>
          <w:p>
            <w:pPr>
              <w:spacing w:line="360" w:lineRule="auto"/>
              <w:jc w:val="center"/>
              <w:rPr>
                <w:szCs w:val="21"/>
              </w:rPr>
            </w:pPr>
            <w:r>
              <w:rPr>
                <w:szCs w:val="21"/>
              </w:rPr>
              <w:t>序号</w:t>
            </w:r>
          </w:p>
        </w:tc>
        <w:tc>
          <w:tcPr>
            <w:tcW w:w="3396" w:type="dxa"/>
            <w:noWrap/>
          </w:tcPr>
          <w:p>
            <w:pPr>
              <w:spacing w:line="360" w:lineRule="auto"/>
              <w:jc w:val="center"/>
              <w:rPr>
                <w:szCs w:val="21"/>
              </w:rPr>
            </w:pPr>
            <w:r>
              <w:rPr>
                <w:szCs w:val="21"/>
              </w:rPr>
              <w:t>名称</w:t>
            </w:r>
          </w:p>
        </w:tc>
        <w:tc>
          <w:tcPr>
            <w:tcW w:w="4426" w:type="dxa"/>
            <w:noWrap/>
          </w:tcPr>
          <w:p>
            <w:pPr>
              <w:spacing w:line="360" w:lineRule="auto"/>
              <w:jc w:val="center"/>
              <w:rPr>
                <w:szCs w:val="21"/>
              </w:rPr>
            </w:pPr>
            <w:r>
              <w:rPr>
                <w:sz w:val="24"/>
              </w:rPr>
              <w:t>品类优化清单对应型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741" w:type="dxa"/>
            <w:noWrap/>
            <w:vAlign w:val="center"/>
          </w:tcPr>
          <w:p>
            <w:pPr>
              <w:spacing w:line="360" w:lineRule="auto"/>
              <w:jc w:val="center"/>
              <w:rPr>
                <w:szCs w:val="21"/>
              </w:rPr>
            </w:pPr>
            <w:r>
              <w:rPr>
                <w:szCs w:val="21"/>
              </w:rPr>
              <w:t>1</w:t>
            </w:r>
          </w:p>
        </w:tc>
        <w:tc>
          <w:tcPr>
            <w:tcW w:w="3396" w:type="dxa"/>
            <w:noWrap/>
            <w:vAlign w:val="center"/>
          </w:tcPr>
          <w:p>
            <w:pPr>
              <w:spacing w:line="360" w:lineRule="auto"/>
              <w:rPr>
                <w:szCs w:val="21"/>
              </w:rPr>
            </w:pPr>
            <w:r>
              <w:rPr>
                <w:szCs w:val="21"/>
              </w:rPr>
              <w:t>中国南方电网有限责任公司塑壳断路器技术规范书(专用部分)</w:t>
            </w:r>
          </w:p>
        </w:tc>
        <w:tc>
          <w:tcPr>
            <w:tcW w:w="4426" w:type="dxa"/>
            <w:noWrap/>
          </w:tcPr>
          <w:p>
            <w:pPr>
              <w:jc w:val="left"/>
              <w:rPr>
                <w:szCs w:val="21"/>
              </w:rPr>
            </w:pPr>
            <w:r>
              <w:rPr>
                <w:szCs w:val="21"/>
              </w:rPr>
              <w:t>塑壳断路器，125A，3P，无剩余电流保护</w:t>
            </w:r>
          </w:p>
          <w:p>
            <w:pPr>
              <w:jc w:val="left"/>
              <w:rPr>
                <w:szCs w:val="21"/>
              </w:rPr>
            </w:pPr>
            <w:r>
              <w:rPr>
                <w:szCs w:val="21"/>
              </w:rPr>
              <w:t>塑壳断路器，125A，3P，有剩余电流保护</w:t>
            </w:r>
          </w:p>
          <w:p>
            <w:pPr>
              <w:jc w:val="left"/>
              <w:rPr>
                <w:szCs w:val="21"/>
              </w:rPr>
            </w:pPr>
            <w:r>
              <w:rPr>
                <w:szCs w:val="21"/>
              </w:rPr>
              <w:t>塑壳断路器，160A，3P，无剩余电流保护</w:t>
            </w:r>
          </w:p>
          <w:p>
            <w:pPr>
              <w:jc w:val="left"/>
              <w:rPr>
                <w:szCs w:val="21"/>
              </w:rPr>
            </w:pPr>
            <w:r>
              <w:rPr>
                <w:szCs w:val="21"/>
              </w:rPr>
              <w:t>塑壳断路器，160A，3P，有剩余电流保护</w:t>
            </w:r>
          </w:p>
          <w:p>
            <w:pPr>
              <w:jc w:val="left"/>
              <w:rPr>
                <w:szCs w:val="21"/>
              </w:rPr>
            </w:pPr>
            <w:r>
              <w:rPr>
                <w:szCs w:val="21"/>
              </w:rPr>
              <w:t>塑壳断路器，250A，3P，无剩余电流保护</w:t>
            </w:r>
          </w:p>
          <w:p>
            <w:pPr>
              <w:jc w:val="left"/>
              <w:rPr>
                <w:szCs w:val="21"/>
              </w:rPr>
            </w:pPr>
            <w:r>
              <w:rPr>
                <w:szCs w:val="21"/>
              </w:rPr>
              <w:t>塑壳断路器，250A，3P，有剩余电流保护</w:t>
            </w:r>
          </w:p>
          <w:p>
            <w:pPr>
              <w:jc w:val="left"/>
              <w:rPr>
                <w:szCs w:val="21"/>
              </w:rPr>
            </w:pPr>
            <w:r>
              <w:rPr>
                <w:szCs w:val="21"/>
              </w:rPr>
              <w:t>塑壳断路器，400A，3P，无剩余电流保护</w:t>
            </w:r>
          </w:p>
          <w:p>
            <w:pPr>
              <w:jc w:val="left"/>
              <w:rPr>
                <w:szCs w:val="21"/>
              </w:rPr>
            </w:pPr>
            <w:r>
              <w:rPr>
                <w:szCs w:val="21"/>
              </w:rPr>
              <w:t>塑壳断路器，400A，3P，有剩余电流保护</w:t>
            </w:r>
          </w:p>
          <w:p>
            <w:pPr>
              <w:jc w:val="left"/>
              <w:rPr>
                <w:szCs w:val="21"/>
              </w:rPr>
            </w:pPr>
            <w:r>
              <w:rPr>
                <w:szCs w:val="21"/>
              </w:rPr>
              <w:t>塑壳断路器，630A，3P，无剩余电流保护</w:t>
            </w:r>
          </w:p>
          <w:p>
            <w:pPr>
              <w:jc w:val="left"/>
              <w:rPr>
                <w:szCs w:val="21"/>
              </w:rPr>
            </w:pPr>
            <w:r>
              <w:rPr>
                <w:szCs w:val="21"/>
              </w:rPr>
              <w:t>塑壳断路器，630A，3P，有剩余电流保护</w:t>
            </w:r>
          </w:p>
          <w:p>
            <w:pPr>
              <w:jc w:val="left"/>
              <w:rPr>
                <w:szCs w:val="21"/>
              </w:rPr>
            </w:pPr>
            <w:r>
              <w:rPr>
                <w:szCs w:val="21"/>
              </w:rPr>
              <w:t>塑壳断路器，800A，3P，无剩余电流保护</w:t>
            </w:r>
          </w:p>
          <w:p>
            <w:pPr>
              <w:jc w:val="left"/>
              <w:rPr>
                <w:szCs w:val="21"/>
              </w:rPr>
            </w:pPr>
            <w:r>
              <w:rPr>
                <w:szCs w:val="21"/>
              </w:rPr>
              <w:t>塑壳断路器，800A，3P，有剩余电流保护</w:t>
            </w:r>
          </w:p>
        </w:tc>
      </w:tr>
    </w:tbl>
    <w:p>
      <w:pPr>
        <w:spacing w:line="360" w:lineRule="auto"/>
        <w:jc w:val="center"/>
        <w:rPr>
          <w:lang w:val="zh-CN"/>
        </w:rPr>
      </w:pPr>
      <w:r>
        <w:rPr>
          <w:sz w:val="52"/>
          <w:szCs w:val="52"/>
        </w:rPr>
        <w:br w:type="page"/>
      </w:r>
    </w:p>
    <w:p>
      <w:pPr>
        <w:pStyle w:val="14"/>
        <w:jc w:val="center"/>
        <w:rPr>
          <w:rFonts w:ascii="Times New Roman" w:hAnsi="Times New Roman" w:eastAsia="宋体" w:cs="Times New Roman"/>
          <w:color w:val="auto"/>
          <w:lang w:val="zh-CN"/>
        </w:rPr>
      </w:pPr>
      <w:r>
        <w:rPr>
          <w:rFonts w:ascii="Times New Roman" w:hAnsi="Times New Roman" w:eastAsia="宋体" w:cs="Times New Roman"/>
          <w:color w:val="auto"/>
          <w:lang w:val="zh-CN"/>
        </w:rPr>
        <w:t>目    录</w:t>
      </w:r>
    </w:p>
    <w:p>
      <w:pPr>
        <w:pStyle w:val="9"/>
        <w:tabs>
          <w:tab w:val="right" w:leader="dot" w:pos="8306"/>
          <w:tab w:val="clear" w:pos="284"/>
          <w:tab w:val="clear" w:pos="8296"/>
        </w:tabs>
      </w:pPr>
      <w:r>
        <w:fldChar w:fldCharType="begin"/>
      </w:r>
      <w:r>
        <w:instrText xml:space="preserve"> TOC \o "1-3" \h \z \u </w:instrText>
      </w:r>
      <w:r>
        <w:fldChar w:fldCharType="separate"/>
      </w:r>
      <w:r>
        <w:fldChar w:fldCharType="begin"/>
      </w:r>
      <w:r>
        <w:instrText xml:space="preserve"> HYPERLINK \l "_Toc11343" </w:instrText>
      </w:r>
      <w:r>
        <w:fldChar w:fldCharType="separate"/>
      </w:r>
      <w:r>
        <w:rPr>
          <w:szCs w:val="21"/>
        </w:rPr>
        <w:t>1 总则</w:t>
      </w:r>
      <w:r>
        <w:tab/>
      </w:r>
      <w:r>
        <w:fldChar w:fldCharType="begin"/>
      </w:r>
      <w:r>
        <w:instrText xml:space="preserve"> PAGEREF _Toc11343 \h </w:instrText>
      </w:r>
      <w:r>
        <w:fldChar w:fldCharType="separate"/>
      </w:r>
      <w:r>
        <w:t>1</w:t>
      </w:r>
      <w:r>
        <w:fldChar w:fldCharType="end"/>
      </w:r>
      <w:r>
        <w:fldChar w:fldCharType="end"/>
      </w:r>
    </w:p>
    <w:p>
      <w:pPr>
        <w:pStyle w:val="9"/>
        <w:tabs>
          <w:tab w:val="right" w:leader="dot" w:pos="8306"/>
          <w:tab w:val="clear" w:pos="284"/>
          <w:tab w:val="clear" w:pos="8296"/>
        </w:tabs>
      </w:pPr>
      <w:r>
        <w:fldChar w:fldCharType="begin"/>
      </w:r>
      <w:r>
        <w:instrText xml:space="preserve"> HYPERLINK \l "_Toc13687" </w:instrText>
      </w:r>
      <w:r>
        <w:fldChar w:fldCharType="separate"/>
      </w:r>
      <w:r>
        <w:rPr>
          <w:szCs w:val="21"/>
        </w:rPr>
        <w:t>2 工作范围</w:t>
      </w:r>
      <w:r>
        <w:tab/>
      </w:r>
      <w:r>
        <w:fldChar w:fldCharType="begin"/>
      </w:r>
      <w:r>
        <w:instrText xml:space="preserve"> PAGEREF _Toc13687 \h </w:instrText>
      </w:r>
      <w:r>
        <w:fldChar w:fldCharType="separate"/>
      </w:r>
      <w:r>
        <w:t>1</w:t>
      </w:r>
      <w:r>
        <w:fldChar w:fldCharType="end"/>
      </w:r>
      <w:r>
        <w:fldChar w:fldCharType="end"/>
      </w:r>
    </w:p>
    <w:p>
      <w:pPr>
        <w:pStyle w:val="10"/>
        <w:tabs>
          <w:tab w:val="right" w:leader="dot" w:pos="8306"/>
          <w:tab w:val="clear" w:pos="851"/>
          <w:tab w:val="clear" w:pos="8296"/>
        </w:tabs>
      </w:pPr>
      <w:r>
        <w:fldChar w:fldCharType="begin"/>
      </w:r>
      <w:r>
        <w:instrText xml:space="preserve"> HYPERLINK \l "_Toc3622" </w:instrText>
      </w:r>
      <w:r>
        <w:fldChar w:fldCharType="separate"/>
      </w:r>
      <w:r>
        <w:rPr>
          <w:szCs w:val="21"/>
        </w:rPr>
        <w:t>2.1 工程概况</w:t>
      </w:r>
      <w:r>
        <w:tab/>
      </w:r>
      <w:r>
        <w:fldChar w:fldCharType="begin"/>
      </w:r>
      <w:r>
        <w:instrText xml:space="preserve"> PAGEREF _Toc3622 \h </w:instrText>
      </w:r>
      <w:r>
        <w:fldChar w:fldCharType="separate"/>
      </w:r>
      <w:r>
        <w:t>1</w:t>
      </w:r>
      <w:r>
        <w:fldChar w:fldCharType="end"/>
      </w:r>
      <w:r>
        <w:fldChar w:fldCharType="end"/>
      </w:r>
    </w:p>
    <w:p>
      <w:pPr>
        <w:pStyle w:val="10"/>
        <w:tabs>
          <w:tab w:val="right" w:leader="dot" w:pos="8306"/>
          <w:tab w:val="clear" w:pos="851"/>
          <w:tab w:val="clear" w:pos="8296"/>
        </w:tabs>
      </w:pPr>
      <w:r>
        <w:fldChar w:fldCharType="begin"/>
      </w:r>
      <w:r>
        <w:instrText xml:space="preserve"> HYPERLINK \l "_Toc22296" </w:instrText>
      </w:r>
      <w:r>
        <w:fldChar w:fldCharType="separate"/>
      </w:r>
      <w:r>
        <w:rPr>
          <w:szCs w:val="21"/>
        </w:rPr>
        <w:t>2.2 范围和界限</w:t>
      </w:r>
      <w:r>
        <w:tab/>
      </w:r>
      <w:r>
        <w:fldChar w:fldCharType="begin"/>
      </w:r>
      <w:r>
        <w:instrText xml:space="preserve"> PAGEREF _Toc22296 \h </w:instrText>
      </w:r>
      <w:r>
        <w:fldChar w:fldCharType="separate"/>
      </w:r>
      <w:r>
        <w:t>1</w:t>
      </w:r>
      <w:r>
        <w:fldChar w:fldCharType="end"/>
      </w:r>
      <w:r>
        <w:fldChar w:fldCharType="end"/>
      </w:r>
    </w:p>
    <w:p>
      <w:pPr>
        <w:pStyle w:val="10"/>
        <w:tabs>
          <w:tab w:val="right" w:leader="dot" w:pos="8306"/>
          <w:tab w:val="clear" w:pos="851"/>
          <w:tab w:val="clear" w:pos="8296"/>
        </w:tabs>
      </w:pPr>
      <w:r>
        <w:fldChar w:fldCharType="begin"/>
      </w:r>
      <w:r>
        <w:instrText xml:space="preserve"> HYPERLINK \l "_Toc13552" </w:instrText>
      </w:r>
      <w:r>
        <w:fldChar w:fldCharType="separate"/>
      </w:r>
      <w:r>
        <w:rPr>
          <w:szCs w:val="21"/>
        </w:rPr>
        <w:t>2.3 服务范围</w:t>
      </w:r>
      <w:r>
        <w:tab/>
      </w:r>
      <w:r>
        <w:fldChar w:fldCharType="begin"/>
      </w:r>
      <w:r>
        <w:instrText xml:space="preserve"> PAGEREF _Toc13552 \h </w:instrText>
      </w:r>
      <w:r>
        <w:fldChar w:fldCharType="separate"/>
      </w:r>
      <w:r>
        <w:t>2</w:t>
      </w:r>
      <w:r>
        <w:fldChar w:fldCharType="end"/>
      </w:r>
      <w:r>
        <w:fldChar w:fldCharType="end"/>
      </w:r>
    </w:p>
    <w:p>
      <w:pPr>
        <w:pStyle w:val="9"/>
        <w:tabs>
          <w:tab w:val="right" w:leader="dot" w:pos="8306"/>
          <w:tab w:val="clear" w:pos="284"/>
          <w:tab w:val="clear" w:pos="8296"/>
        </w:tabs>
      </w:pPr>
      <w:r>
        <w:fldChar w:fldCharType="begin"/>
      </w:r>
      <w:r>
        <w:instrText xml:space="preserve"> HYPERLINK \l "_Toc7246" </w:instrText>
      </w:r>
      <w:r>
        <w:fldChar w:fldCharType="separate"/>
      </w:r>
      <w:r>
        <w:rPr>
          <w:szCs w:val="21"/>
        </w:rPr>
        <w:t>3 应遵循的主要标准</w:t>
      </w:r>
      <w:r>
        <w:tab/>
      </w:r>
      <w:r>
        <w:fldChar w:fldCharType="begin"/>
      </w:r>
      <w:r>
        <w:instrText xml:space="preserve"> PAGEREF _Toc7246 \h </w:instrText>
      </w:r>
      <w:r>
        <w:fldChar w:fldCharType="separate"/>
      </w:r>
      <w:r>
        <w:t>2</w:t>
      </w:r>
      <w:r>
        <w:fldChar w:fldCharType="end"/>
      </w:r>
      <w:r>
        <w:fldChar w:fldCharType="end"/>
      </w:r>
    </w:p>
    <w:p>
      <w:pPr>
        <w:pStyle w:val="9"/>
        <w:tabs>
          <w:tab w:val="right" w:leader="dot" w:pos="8306"/>
          <w:tab w:val="clear" w:pos="284"/>
          <w:tab w:val="clear" w:pos="8296"/>
        </w:tabs>
      </w:pPr>
      <w:r>
        <w:fldChar w:fldCharType="begin"/>
      </w:r>
      <w:r>
        <w:instrText xml:space="preserve"> HYPERLINK \l "_Toc8882" </w:instrText>
      </w:r>
      <w:r>
        <w:fldChar w:fldCharType="separate"/>
      </w:r>
      <w:r>
        <w:rPr>
          <w:szCs w:val="21"/>
        </w:rPr>
        <w:t>4 使用条件</w:t>
      </w:r>
      <w:r>
        <w:tab/>
      </w:r>
      <w:r>
        <w:fldChar w:fldCharType="begin"/>
      </w:r>
      <w:r>
        <w:instrText xml:space="preserve"> PAGEREF _Toc8882 \h </w:instrText>
      </w:r>
      <w:r>
        <w:fldChar w:fldCharType="separate"/>
      </w:r>
      <w:r>
        <w:t>3</w:t>
      </w:r>
      <w:r>
        <w:fldChar w:fldCharType="end"/>
      </w:r>
      <w:r>
        <w:fldChar w:fldCharType="end"/>
      </w:r>
    </w:p>
    <w:p>
      <w:pPr>
        <w:pStyle w:val="10"/>
        <w:tabs>
          <w:tab w:val="right" w:leader="dot" w:pos="8306"/>
          <w:tab w:val="clear" w:pos="851"/>
          <w:tab w:val="clear" w:pos="8296"/>
        </w:tabs>
      </w:pPr>
      <w:r>
        <w:fldChar w:fldCharType="begin"/>
      </w:r>
      <w:r>
        <w:instrText xml:space="preserve"> HYPERLINK \l "_Toc23676" </w:instrText>
      </w:r>
      <w:r>
        <w:fldChar w:fldCharType="separate"/>
      </w:r>
      <w:r>
        <w:t>4.1 正常使用条件</w:t>
      </w:r>
      <w:r>
        <w:tab/>
      </w:r>
      <w:r>
        <w:fldChar w:fldCharType="begin"/>
      </w:r>
      <w:r>
        <w:instrText xml:space="preserve"> PAGEREF _Toc23676 \h </w:instrText>
      </w:r>
      <w:r>
        <w:fldChar w:fldCharType="separate"/>
      </w:r>
      <w:r>
        <w:t>3</w:t>
      </w:r>
      <w:r>
        <w:fldChar w:fldCharType="end"/>
      </w:r>
      <w:r>
        <w:fldChar w:fldCharType="end"/>
      </w:r>
    </w:p>
    <w:p>
      <w:pPr>
        <w:pStyle w:val="10"/>
        <w:tabs>
          <w:tab w:val="right" w:leader="dot" w:pos="8306"/>
          <w:tab w:val="clear" w:pos="851"/>
          <w:tab w:val="clear" w:pos="8296"/>
        </w:tabs>
      </w:pPr>
      <w:r>
        <w:fldChar w:fldCharType="begin"/>
      </w:r>
      <w:r>
        <w:instrText xml:space="preserve"> HYPERLINK \l "_Toc234" </w:instrText>
      </w:r>
      <w:r>
        <w:fldChar w:fldCharType="separate"/>
      </w:r>
      <w:r>
        <w:t>4.2 特殊使用条件</w:t>
      </w:r>
      <w:r>
        <w:tab/>
      </w:r>
      <w:r>
        <w:fldChar w:fldCharType="begin"/>
      </w:r>
      <w:r>
        <w:instrText xml:space="preserve"> PAGEREF _Toc234 \h </w:instrText>
      </w:r>
      <w:r>
        <w:fldChar w:fldCharType="separate"/>
      </w:r>
      <w:r>
        <w:t>4</w:t>
      </w:r>
      <w:r>
        <w:fldChar w:fldCharType="end"/>
      </w:r>
      <w:r>
        <w:fldChar w:fldCharType="end"/>
      </w:r>
    </w:p>
    <w:p>
      <w:pPr>
        <w:pStyle w:val="9"/>
        <w:tabs>
          <w:tab w:val="right" w:leader="dot" w:pos="8306"/>
          <w:tab w:val="clear" w:pos="284"/>
          <w:tab w:val="clear" w:pos="8296"/>
        </w:tabs>
      </w:pPr>
      <w:r>
        <w:fldChar w:fldCharType="begin"/>
      </w:r>
      <w:r>
        <w:instrText xml:space="preserve"> HYPERLINK \l "_Toc13354" </w:instrText>
      </w:r>
      <w:r>
        <w:fldChar w:fldCharType="separate"/>
      </w:r>
      <w:r>
        <w:rPr>
          <w:szCs w:val="21"/>
        </w:rPr>
        <w:t>5 技术要求</w:t>
      </w:r>
      <w:r>
        <w:tab/>
      </w:r>
      <w:r>
        <w:fldChar w:fldCharType="begin"/>
      </w:r>
      <w:r>
        <w:instrText xml:space="preserve"> PAGEREF _Toc13354 \h </w:instrText>
      </w:r>
      <w:r>
        <w:fldChar w:fldCharType="separate"/>
      </w:r>
      <w:r>
        <w:t>5</w:t>
      </w:r>
      <w:r>
        <w:fldChar w:fldCharType="end"/>
      </w:r>
      <w:r>
        <w:fldChar w:fldCharType="end"/>
      </w:r>
    </w:p>
    <w:p>
      <w:pPr>
        <w:pStyle w:val="10"/>
        <w:tabs>
          <w:tab w:val="right" w:leader="dot" w:pos="8306"/>
          <w:tab w:val="clear" w:pos="851"/>
          <w:tab w:val="clear" w:pos="8296"/>
        </w:tabs>
      </w:pPr>
      <w:r>
        <w:fldChar w:fldCharType="begin"/>
      </w:r>
      <w:r>
        <w:instrText xml:space="preserve"> HYPERLINK \l "_Toc14078" </w:instrText>
      </w:r>
      <w:r>
        <w:fldChar w:fldCharType="separate"/>
      </w:r>
      <w:r>
        <w:t>5.1 技术参数</w:t>
      </w:r>
      <w:r>
        <w:tab/>
      </w:r>
      <w:r>
        <w:fldChar w:fldCharType="begin"/>
      </w:r>
      <w:r>
        <w:instrText xml:space="preserve"> PAGEREF _Toc14078 \h </w:instrText>
      </w:r>
      <w:r>
        <w:fldChar w:fldCharType="separate"/>
      </w:r>
      <w:r>
        <w:t>5</w:t>
      </w:r>
      <w:r>
        <w:fldChar w:fldCharType="end"/>
      </w:r>
      <w:r>
        <w:fldChar w:fldCharType="end"/>
      </w:r>
    </w:p>
    <w:p>
      <w:pPr>
        <w:pStyle w:val="10"/>
        <w:tabs>
          <w:tab w:val="right" w:leader="dot" w:pos="8306"/>
          <w:tab w:val="clear" w:pos="851"/>
          <w:tab w:val="clear" w:pos="8296"/>
        </w:tabs>
      </w:pPr>
      <w:r>
        <w:fldChar w:fldCharType="begin"/>
      </w:r>
      <w:r>
        <w:instrText xml:space="preserve"> HYPERLINK \l "_Toc7737" </w:instrText>
      </w:r>
      <w:r>
        <w:fldChar w:fldCharType="separate"/>
      </w:r>
      <w:r>
        <w:t>5.2 结构要求</w:t>
      </w:r>
      <w:r>
        <w:tab/>
      </w:r>
      <w:r>
        <w:fldChar w:fldCharType="begin"/>
      </w:r>
      <w:r>
        <w:instrText xml:space="preserve"> PAGEREF _Toc7737 \h </w:instrText>
      </w:r>
      <w:r>
        <w:fldChar w:fldCharType="separate"/>
      </w:r>
      <w:r>
        <w:t>5</w:t>
      </w:r>
      <w:r>
        <w:fldChar w:fldCharType="end"/>
      </w:r>
      <w:r>
        <w:fldChar w:fldCharType="end"/>
      </w:r>
    </w:p>
    <w:p>
      <w:pPr>
        <w:pStyle w:val="10"/>
        <w:tabs>
          <w:tab w:val="right" w:leader="dot" w:pos="8306"/>
          <w:tab w:val="clear" w:pos="851"/>
          <w:tab w:val="clear" w:pos="8296"/>
        </w:tabs>
      </w:pPr>
      <w:r>
        <w:fldChar w:fldCharType="begin"/>
      </w:r>
      <w:r>
        <w:instrText xml:space="preserve"> HYPERLINK \l "_Toc2319" </w:instrText>
      </w:r>
      <w:r>
        <w:fldChar w:fldCharType="separate"/>
      </w:r>
      <w:r>
        <w:t>5.3 性能要求</w:t>
      </w:r>
      <w:r>
        <w:tab/>
      </w:r>
      <w:r>
        <w:fldChar w:fldCharType="begin"/>
      </w:r>
      <w:r>
        <w:instrText xml:space="preserve"> PAGEREF _Toc2319 \h </w:instrText>
      </w:r>
      <w:r>
        <w:fldChar w:fldCharType="separate"/>
      </w:r>
      <w:r>
        <w:t>8</w:t>
      </w:r>
      <w:r>
        <w:fldChar w:fldCharType="end"/>
      </w:r>
      <w:r>
        <w:fldChar w:fldCharType="end"/>
      </w:r>
    </w:p>
    <w:p>
      <w:pPr>
        <w:pStyle w:val="10"/>
        <w:tabs>
          <w:tab w:val="right" w:leader="dot" w:pos="8306"/>
          <w:tab w:val="clear" w:pos="851"/>
          <w:tab w:val="clear" w:pos="8296"/>
        </w:tabs>
      </w:pPr>
      <w:r>
        <w:fldChar w:fldCharType="begin"/>
      </w:r>
      <w:r>
        <w:instrText xml:space="preserve"> HYPERLINK \l "_Toc22503" </w:instrText>
      </w:r>
      <w:r>
        <w:fldChar w:fldCharType="separate"/>
      </w:r>
      <w:r>
        <w:t>5.4 产品对环境的影响</w:t>
      </w:r>
      <w:r>
        <w:tab/>
      </w:r>
      <w:r>
        <w:fldChar w:fldCharType="begin"/>
      </w:r>
      <w:r>
        <w:instrText xml:space="preserve"> PAGEREF _Toc22503 \h </w:instrText>
      </w:r>
      <w:r>
        <w:fldChar w:fldCharType="separate"/>
      </w:r>
      <w:r>
        <w:t>9</w:t>
      </w:r>
      <w:r>
        <w:fldChar w:fldCharType="end"/>
      </w:r>
      <w:r>
        <w:fldChar w:fldCharType="end"/>
      </w:r>
    </w:p>
    <w:p>
      <w:pPr>
        <w:pStyle w:val="9"/>
        <w:tabs>
          <w:tab w:val="right" w:leader="dot" w:pos="8306"/>
          <w:tab w:val="clear" w:pos="284"/>
          <w:tab w:val="clear" w:pos="8296"/>
        </w:tabs>
      </w:pPr>
      <w:r>
        <w:fldChar w:fldCharType="begin"/>
      </w:r>
      <w:r>
        <w:instrText xml:space="preserve"> HYPERLINK \l "_Toc10884" </w:instrText>
      </w:r>
      <w:r>
        <w:fldChar w:fldCharType="separate"/>
      </w:r>
      <w:r>
        <w:rPr>
          <w:szCs w:val="21"/>
        </w:rPr>
        <w:t>6 试验</w:t>
      </w:r>
      <w:r>
        <w:tab/>
      </w:r>
      <w:r>
        <w:fldChar w:fldCharType="begin"/>
      </w:r>
      <w:r>
        <w:instrText xml:space="preserve"> PAGEREF _Toc10884 \h </w:instrText>
      </w:r>
      <w:r>
        <w:fldChar w:fldCharType="separate"/>
      </w:r>
      <w:r>
        <w:t>10</w:t>
      </w:r>
      <w:r>
        <w:fldChar w:fldCharType="end"/>
      </w:r>
      <w:r>
        <w:fldChar w:fldCharType="end"/>
      </w:r>
    </w:p>
    <w:p>
      <w:pPr>
        <w:pStyle w:val="10"/>
        <w:tabs>
          <w:tab w:val="right" w:leader="dot" w:pos="8306"/>
          <w:tab w:val="clear" w:pos="851"/>
          <w:tab w:val="clear" w:pos="8296"/>
        </w:tabs>
      </w:pPr>
      <w:r>
        <w:fldChar w:fldCharType="begin"/>
      </w:r>
      <w:r>
        <w:instrText xml:space="preserve"> HYPERLINK \l "_Toc28082" </w:instrText>
      </w:r>
      <w:r>
        <w:fldChar w:fldCharType="separate"/>
      </w:r>
      <w:r>
        <w:t>6.1 试验条件</w:t>
      </w:r>
      <w:r>
        <w:tab/>
      </w:r>
      <w:r>
        <w:fldChar w:fldCharType="begin"/>
      </w:r>
      <w:r>
        <w:instrText xml:space="preserve"> PAGEREF _Toc28082 \h </w:instrText>
      </w:r>
      <w:r>
        <w:fldChar w:fldCharType="separate"/>
      </w:r>
      <w:r>
        <w:t>10</w:t>
      </w:r>
      <w:r>
        <w:fldChar w:fldCharType="end"/>
      </w:r>
      <w:r>
        <w:fldChar w:fldCharType="end"/>
      </w:r>
    </w:p>
    <w:p>
      <w:pPr>
        <w:pStyle w:val="10"/>
        <w:tabs>
          <w:tab w:val="right" w:leader="dot" w:pos="8306"/>
          <w:tab w:val="clear" w:pos="851"/>
          <w:tab w:val="clear" w:pos="8296"/>
        </w:tabs>
      </w:pPr>
      <w:r>
        <w:fldChar w:fldCharType="begin"/>
      </w:r>
      <w:r>
        <w:instrText xml:space="preserve"> HYPERLINK \l "_Toc18886" </w:instrText>
      </w:r>
      <w:r>
        <w:fldChar w:fldCharType="separate"/>
      </w:r>
      <w:r>
        <w:t>6.2 型式试验</w:t>
      </w:r>
      <w:r>
        <w:tab/>
      </w:r>
      <w:r>
        <w:fldChar w:fldCharType="begin"/>
      </w:r>
      <w:r>
        <w:instrText xml:space="preserve"> PAGEREF _Toc18886 \h </w:instrText>
      </w:r>
      <w:r>
        <w:fldChar w:fldCharType="separate"/>
      </w:r>
      <w:r>
        <w:t>10</w:t>
      </w:r>
      <w:r>
        <w:fldChar w:fldCharType="end"/>
      </w:r>
      <w:r>
        <w:fldChar w:fldCharType="end"/>
      </w:r>
    </w:p>
    <w:p>
      <w:pPr>
        <w:pStyle w:val="10"/>
        <w:tabs>
          <w:tab w:val="right" w:leader="dot" w:pos="8306"/>
          <w:tab w:val="clear" w:pos="851"/>
          <w:tab w:val="clear" w:pos="8296"/>
        </w:tabs>
      </w:pPr>
      <w:r>
        <w:fldChar w:fldCharType="begin"/>
      </w:r>
      <w:r>
        <w:instrText xml:space="preserve"> HYPERLINK \l "_Toc159" </w:instrText>
      </w:r>
      <w:r>
        <w:fldChar w:fldCharType="separate"/>
      </w:r>
      <w:r>
        <w:t>6.3 常规试验</w:t>
      </w:r>
      <w:r>
        <w:tab/>
      </w:r>
      <w:r>
        <w:fldChar w:fldCharType="begin"/>
      </w:r>
      <w:r>
        <w:instrText xml:space="preserve"> PAGEREF _Toc159 \h </w:instrText>
      </w:r>
      <w:r>
        <w:fldChar w:fldCharType="separate"/>
      </w:r>
      <w:r>
        <w:t>11</w:t>
      </w:r>
      <w:r>
        <w:fldChar w:fldCharType="end"/>
      </w:r>
      <w:r>
        <w:fldChar w:fldCharType="end"/>
      </w:r>
    </w:p>
    <w:p>
      <w:pPr>
        <w:pStyle w:val="10"/>
        <w:tabs>
          <w:tab w:val="right" w:leader="dot" w:pos="8306"/>
          <w:tab w:val="clear" w:pos="851"/>
          <w:tab w:val="clear" w:pos="8296"/>
        </w:tabs>
      </w:pPr>
      <w:r>
        <w:fldChar w:fldCharType="begin"/>
      </w:r>
      <w:r>
        <w:instrText xml:space="preserve"> HYPERLINK \l "_Toc1798" </w:instrText>
      </w:r>
      <w:r>
        <w:fldChar w:fldCharType="separate"/>
      </w:r>
      <w:r>
        <w:t>6.4 出厂试验</w:t>
      </w:r>
      <w:r>
        <w:tab/>
      </w:r>
      <w:r>
        <w:fldChar w:fldCharType="begin"/>
      </w:r>
      <w:r>
        <w:instrText xml:space="preserve"> PAGEREF _Toc1798 \h </w:instrText>
      </w:r>
      <w:r>
        <w:fldChar w:fldCharType="separate"/>
      </w:r>
      <w:r>
        <w:t>11</w:t>
      </w:r>
      <w:r>
        <w:fldChar w:fldCharType="end"/>
      </w:r>
      <w:r>
        <w:fldChar w:fldCharType="end"/>
      </w:r>
    </w:p>
    <w:p>
      <w:pPr>
        <w:pStyle w:val="10"/>
        <w:tabs>
          <w:tab w:val="right" w:leader="dot" w:pos="8306"/>
          <w:tab w:val="clear" w:pos="851"/>
          <w:tab w:val="clear" w:pos="8296"/>
        </w:tabs>
      </w:pPr>
      <w:r>
        <w:fldChar w:fldCharType="begin"/>
      </w:r>
      <w:r>
        <w:instrText xml:space="preserve"> HYPERLINK \l "_Toc3697" </w:instrText>
      </w:r>
      <w:r>
        <w:fldChar w:fldCharType="separate"/>
      </w:r>
      <w:r>
        <w:t>6.5 现场试验及调试</w:t>
      </w:r>
      <w:r>
        <w:tab/>
      </w:r>
      <w:r>
        <w:fldChar w:fldCharType="begin"/>
      </w:r>
      <w:r>
        <w:instrText xml:space="preserve"> PAGEREF _Toc3697 \h </w:instrText>
      </w:r>
      <w:r>
        <w:fldChar w:fldCharType="separate"/>
      </w:r>
      <w:r>
        <w:t>12</w:t>
      </w:r>
      <w:r>
        <w:fldChar w:fldCharType="end"/>
      </w:r>
      <w:r>
        <w:fldChar w:fldCharType="end"/>
      </w:r>
    </w:p>
    <w:p>
      <w:pPr>
        <w:pStyle w:val="9"/>
        <w:tabs>
          <w:tab w:val="right" w:leader="dot" w:pos="8306"/>
          <w:tab w:val="clear" w:pos="284"/>
          <w:tab w:val="clear" w:pos="8296"/>
        </w:tabs>
      </w:pPr>
      <w:r>
        <w:fldChar w:fldCharType="begin"/>
      </w:r>
      <w:r>
        <w:instrText xml:space="preserve"> HYPERLINK \l "_Toc5633" </w:instrText>
      </w:r>
      <w:r>
        <w:fldChar w:fldCharType="separate"/>
      </w:r>
      <w:r>
        <w:rPr>
          <w:szCs w:val="21"/>
        </w:rPr>
        <w:t>7 企业VI标识</w:t>
      </w:r>
      <w:r>
        <w:tab/>
      </w:r>
      <w:r>
        <w:fldChar w:fldCharType="begin"/>
      </w:r>
      <w:r>
        <w:instrText xml:space="preserve"> PAGEREF _Toc5633 \h </w:instrText>
      </w:r>
      <w:r>
        <w:fldChar w:fldCharType="separate"/>
      </w:r>
      <w:r>
        <w:t>12</w:t>
      </w:r>
      <w:r>
        <w:fldChar w:fldCharType="end"/>
      </w:r>
      <w:r>
        <w:fldChar w:fldCharType="end"/>
      </w:r>
    </w:p>
    <w:p>
      <w:pPr>
        <w:pStyle w:val="10"/>
        <w:tabs>
          <w:tab w:val="right" w:leader="dot" w:pos="8306"/>
          <w:tab w:val="clear" w:pos="851"/>
          <w:tab w:val="clear" w:pos="8296"/>
        </w:tabs>
      </w:pPr>
      <w:r>
        <w:fldChar w:fldCharType="begin"/>
      </w:r>
      <w:r>
        <w:instrText xml:space="preserve"> HYPERLINK \l "_Toc7373" </w:instrText>
      </w:r>
      <w:r>
        <w:fldChar w:fldCharType="separate"/>
      </w:r>
      <w:r>
        <w:t>7.1 VI标识</w:t>
      </w:r>
      <w:r>
        <w:tab/>
      </w:r>
      <w:r>
        <w:fldChar w:fldCharType="begin"/>
      </w:r>
      <w:r>
        <w:instrText xml:space="preserve"> PAGEREF _Toc7373 \h </w:instrText>
      </w:r>
      <w:r>
        <w:fldChar w:fldCharType="separate"/>
      </w:r>
      <w:r>
        <w:t>12</w:t>
      </w:r>
      <w:r>
        <w:fldChar w:fldCharType="end"/>
      </w:r>
      <w:r>
        <w:fldChar w:fldCharType="end"/>
      </w:r>
    </w:p>
    <w:p>
      <w:pPr>
        <w:pStyle w:val="10"/>
        <w:tabs>
          <w:tab w:val="right" w:leader="dot" w:pos="8306"/>
          <w:tab w:val="clear" w:pos="851"/>
          <w:tab w:val="clear" w:pos="8296"/>
        </w:tabs>
      </w:pPr>
      <w:r>
        <w:fldChar w:fldCharType="begin"/>
      </w:r>
      <w:r>
        <w:instrText xml:space="preserve"> HYPERLINK \l "_Toc2849" </w:instrText>
      </w:r>
      <w:r>
        <w:fldChar w:fldCharType="separate"/>
      </w:r>
      <w:r>
        <w:t>7.2 标识地点</w:t>
      </w:r>
      <w:r>
        <w:tab/>
      </w:r>
      <w:r>
        <w:fldChar w:fldCharType="begin"/>
      </w:r>
      <w:r>
        <w:instrText xml:space="preserve"> PAGEREF _Toc2849 \h </w:instrText>
      </w:r>
      <w:r>
        <w:fldChar w:fldCharType="separate"/>
      </w:r>
      <w:r>
        <w:t>12</w:t>
      </w:r>
      <w:r>
        <w:fldChar w:fldCharType="end"/>
      </w:r>
      <w:r>
        <w:fldChar w:fldCharType="end"/>
      </w:r>
    </w:p>
    <w:p>
      <w:pPr>
        <w:pStyle w:val="9"/>
        <w:tabs>
          <w:tab w:val="right" w:leader="dot" w:pos="8306"/>
          <w:tab w:val="clear" w:pos="284"/>
          <w:tab w:val="clear" w:pos="8296"/>
        </w:tabs>
      </w:pPr>
      <w:r>
        <w:fldChar w:fldCharType="begin"/>
      </w:r>
      <w:r>
        <w:instrText xml:space="preserve"> HYPERLINK \l "_Toc26218" </w:instrText>
      </w:r>
      <w:r>
        <w:fldChar w:fldCharType="separate"/>
      </w:r>
      <w:r>
        <w:rPr>
          <w:szCs w:val="21"/>
        </w:rPr>
        <w:t>8 电气及土建接口</w:t>
      </w:r>
      <w:r>
        <w:tab/>
      </w:r>
      <w:r>
        <w:fldChar w:fldCharType="begin"/>
      </w:r>
      <w:r>
        <w:instrText xml:space="preserve"> PAGEREF _Toc26218 \h </w:instrText>
      </w:r>
      <w:r>
        <w:fldChar w:fldCharType="separate"/>
      </w:r>
      <w:r>
        <w:t>13</w:t>
      </w:r>
      <w:r>
        <w:fldChar w:fldCharType="end"/>
      </w:r>
      <w:r>
        <w:fldChar w:fldCharType="end"/>
      </w:r>
    </w:p>
    <w:p>
      <w:pPr>
        <w:pStyle w:val="9"/>
        <w:tabs>
          <w:tab w:val="right" w:leader="dot" w:pos="8306"/>
          <w:tab w:val="clear" w:pos="284"/>
          <w:tab w:val="clear" w:pos="8296"/>
        </w:tabs>
      </w:pPr>
      <w:r>
        <w:fldChar w:fldCharType="begin"/>
      </w:r>
      <w:r>
        <w:instrText xml:space="preserve"> HYPERLINK \l "_Toc5743" </w:instrText>
      </w:r>
      <w:r>
        <w:fldChar w:fldCharType="separate"/>
      </w:r>
      <w:r>
        <w:rPr>
          <w:szCs w:val="21"/>
        </w:rPr>
        <w:t>9 监造、运输、质量保证及其他要求</w:t>
      </w:r>
      <w:r>
        <w:tab/>
      </w:r>
      <w:r>
        <w:fldChar w:fldCharType="begin"/>
      </w:r>
      <w:r>
        <w:instrText xml:space="preserve"> PAGEREF _Toc5743 \h </w:instrText>
      </w:r>
      <w:r>
        <w:fldChar w:fldCharType="separate"/>
      </w:r>
      <w:r>
        <w:t>14</w:t>
      </w:r>
      <w:r>
        <w:fldChar w:fldCharType="end"/>
      </w:r>
      <w:r>
        <w:fldChar w:fldCharType="end"/>
      </w:r>
    </w:p>
    <w:p>
      <w:pPr>
        <w:pStyle w:val="10"/>
        <w:tabs>
          <w:tab w:val="right" w:leader="dot" w:pos="8306"/>
          <w:tab w:val="clear" w:pos="851"/>
          <w:tab w:val="clear" w:pos="8296"/>
        </w:tabs>
      </w:pPr>
      <w:r>
        <w:fldChar w:fldCharType="begin"/>
      </w:r>
      <w:r>
        <w:instrText xml:space="preserve"> HYPERLINK \l "_Toc25266" </w:instrText>
      </w:r>
      <w:r>
        <w:fldChar w:fldCharType="separate"/>
      </w:r>
      <w:r>
        <w:rPr>
          <w:szCs w:val="21"/>
        </w:rPr>
        <w:t>9.1 监造</w:t>
      </w:r>
      <w:r>
        <w:tab/>
      </w:r>
      <w:r>
        <w:fldChar w:fldCharType="begin"/>
      </w:r>
      <w:r>
        <w:instrText xml:space="preserve"> PAGEREF _Toc25266 \h </w:instrText>
      </w:r>
      <w:r>
        <w:fldChar w:fldCharType="separate"/>
      </w:r>
      <w:r>
        <w:t>14</w:t>
      </w:r>
      <w:r>
        <w:fldChar w:fldCharType="end"/>
      </w:r>
      <w:r>
        <w:fldChar w:fldCharType="end"/>
      </w:r>
    </w:p>
    <w:p>
      <w:pPr>
        <w:pStyle w:val="10"/>
        <w:tabs>
          <w:tab w:val="right" w:leader="dot" w:pos="8306"/>
          <w:tab w:val="clear" w:pos="851"/>
          <w:tab w:val="clear" w:pos="8296"/>
        </w:tabs>
      </w:pPr>
      <w:r>
        <w:fldChar w:fldCharType="begin"/>
      </w:r>
      <w:r>
        <w:instrText xml:space="preserve"> HYPERLINK \l "_Toc17189" </w:instrText>
      </w:r>
      <w:r>
        <w:fldChar w:fldCharType="separate"/>
      </w:r>
      <w:r>
        <w:rPr>
          <w:szCs w:val="21"/>
        </w:rPr>
        <w:t>9.2 包装</w:t>
      </w:r>
      <w:r>
        <w:tab/>
      </w:r>
      <w:r>
        <w:fldChar w:fldCharType="begin"/>
      </w:r>
      <w:r>
        <w:instrText xml:space="preserve"> PAGEREF _Toc17189 \h </w:instrText>
      </w:r>
      <w:r>
        <w:fldChar w:fldCharType="separate"/>
      </w:r>
      <w:r>
        <w:t>14</w:t>
      </w:r>
      <w:r>
        <w:fldChar w:fldCharType="end"/>
      </w:r>
      <w:r>
        <w:fldChar w:fldCharType="end"/>
      </w:r>
    </w:p>
    <w:p>
      <w:pPr>
        <w:pStyle w:val="10"/>
        <w:tabs>
          <w:tab w:val="right" w:leader="dot" w:pos="8306"/>
          <w:tab w:val="clear" w:pos="851"/>
          <w:tab w:val="clear" w:pos="8296"/>
        </w:tabs>
      </w:pPr>
      <w:r>
        <w:fldChar w:fldCharType="begin"/>
      </w:r>
      <w:r>
        <w:instrText xml:space="preserve"> HYPERLINK \l "_Toc900" </w:instrText>
      </w:r>
      <w:r>
        <w:fldChar w:fldCharType="separate"/>
      </w:r>
      <w:r>
        <w:rPr>
          <w:szCs w:val="21"/>
        </w:rPr>
        <w:t>9.3 运输</w:t>
      </w:r>
      <w:r>
        <w:tab/>
      </w:r>
      <w:r>
        <w:fldChar w:fldCharType="begin"/>
      </w:r>
      <w:r>
        <w:instrText xml:space="preserve"> PAGEREF _Toc900 \h </w:instrText>
      </w:r>
      <w:r>
        <w:fldChar w:fldCharType="separate"/>
      </w:r>
      <w:r>
        <w:t>14</w:t>
      </w:r>
      <w:r>
        <w:fldChar w:fldCharType="end"/>
      </w:r>
      <w:r>
        <w:fldChar w:fldCharType="end"/>
      </w:r>
    </w:p>
    <w:p>
      <w:pPr>
        <w:pStyle w:val="10"/>
        <w:tabs>
          <w:tab w:val="right" w:leader="dot" w:pos="8306"/>
          <w:tab w:val="clear" w:pos="851"/>
          <w:tab w:val="clear" w:pos="8296"/>
        </w:tabs>
      </w:pPr>
      <w:r>
        <w:fldChar w:fldCharType="begin"/>
      </w:r>
      <w:r>
        <w:instrText xml:space="preserve"> HYPERLINK \l "_Toc18674" </w:instrText>
      </w:r>
      <w:r>
        <w:fldChar w:fldCharType="separate"/>
      </w:r>
      <w:r>
        <w:rPr>
          <w:szCs w:val="21"/>
        </w:rPr>
        <w:t>9.4 安装指导</w:t>
      </w:r>
      <w:r>
        <w:tab/>
      </w:r>
      <w:r>
        <w:fldChar w:fldCharType="begin"/>
      </w:r>
      <w:r>
        <w:instrText xml:space="preserve"> PAGEREF _Toc18674 \h </w:instrText>
      </w:r>
      <w:r>
        <w:fldChar w:fldCharType="separate"/>
      </w:r>
      <w:r>
        <w:t>14</w:t>
      </w:r>
      <w:r>
        <w:fldChar w:fldCharType="end"/>
      </w:r>
      <w:r>
        <w:fldChar w:fldCharType="end"/>
      </w:r>
    </w:p>
    <w:p>
      <w:pPr>
        <w:pStyle w:val="10"/>
        <w:tabs>
          <w:tab w:val="right" w:leader="dot" w:pos="8306"/>
          <w:tab w:val="clear" w:pos="851"/>
          <w:tab w:val="clear" w:pos="8296"/>
        </w:tabs>
      </w:pPr>
      <w:r>
        <w:fldChar w:fldCharType="begin"/>
      </w:r>
      <w:r>
        <w:instrText xml:space="preserve"> HYPERLINK \l "_Toc8696" </w:instrText>
      </w:r>
      <w:r>
        <w:fldChar w:fldCharType="separate"/>
      </w:r>
      <w:r>
        <w:rPr>
          <w:szCs w:val="21"/>
        </w:rPr>
        <w:t>9.5 质量保证</w:t>
      </w:r>
      <w:r>
        <w:tab/>
      </w:r>
      <w:r>
        <w:fldChar w:fldCharType="begin"/>
      </w:r>
      <w:r>
        <w:instrText xml:space="preserve"> PAGEREF _Toc8696 \h </w:instrText>
      </w:r>
      <w:r>
        <w:fldChar w:fldCharType="separate"/>
      </w:r>
      <w:r>
        <w:t>15</w:t>
      </w:r>
      <w:r>
        <w:fldChar w:fldCharType="end"/>
      </w:r>
      <w:r>
        <w:fldChar w:fldCharType="end"/>
      </w:r>
    </w:p>
    <w:p>
      <w:pPr>
        <w:pStyle w:val="10"/>
        <w:tabs>
          <w:tab w:val="right" w:leader="dot" w:pos="8306"/>
          <w:tab w:val="clear" w:pos="851"/>
          <w:tab w:val="clear" w:pos="8296"/>
        </w:tabs>
      </w:pPr>
      <w:r>
        <w:fldChar w:fldCharType="begin"/>
      </w:r>
      <w:r>
        <w:instrText xml:space="preserve"> HYPERLINK \l "_Toc9252" </w:instrText>
      </w:r>
      <w:r>
        <w:fldChar w:fldCharType="separate"/>
      </w:r>
      <w:r>
        <w:rPr>
          <w:szCs w:val="21"/>
        </w:rPr>
        <w:t>9.6 技术文件要求</w:t>
      </w:r>
      <w:r>
        <w:tab/>
      </w:r>
      <w:r>
        <w:fldChar w:fldCharType="begin"/>
      </w:r>
      <w:r>
        <w:instrText xml:space="preserve"> PAGEREF _Toc9252 \h </w:instrText>
      </w:r>
      <w:r>
        <w:fldChar w:fldCharType="separate"/>
      </w:r>
      <w:r>
        <w:t>15</w:t>
      </w:r>
      <w:r>
        <w:fldChar w:fldCharType="end"/>
      </w:r>
      <w:r>
        <w:fldChar w:fldCharType="end"/>
      </w:r>
    </w:p>
    <w:p>
      <w:pPr>
        <w:spacing w:line="360" w:lineRule="auto"/>
        <w:rPr>
          <w:sz w:val="28"/>
          <w:szCs w:val="28"/>
        </w:rPr>
      </w:pPr>
      <w:r>
        <w:rPr>
          <w:bCs/>
          <w:lang w:val="zh-CN"/>
        </w:rPr>
        <w:fldChar w:fldCharType="end"/>
      </w:r>
    </w:p>
    <w:p>
      <w:pPr>
        <w:pStyle w:val="15"/>
        <w:spacing w:beforeLines="50" w:line="360" w:lineRule="auto"/>
        <w:ind w:firstLine="560"/>
        <w:rPr>
          <w:rFonts w:eastAsia="宋体"/>
          <w:sz w:val="28"/>
          <w:szCs w:val="28"/>
        </w:rPr>
        <w:sectPr>
          <w:footerReference r:id="rId3" w:type="default"/>
          <w:pgSz w:w="11906" w:h="16838"/>
          <w:pgMar w:top="1440" w:right="1800" w:bottom="1440" w:left="1800" w:header="851" w:footer="992" w:gutter="0"/>
          <w:pgNumType w:start="1"/>
          <w:cols w:space="720" w:num="1"/>
          <w:docGrid w:type="lines" w:linePitch="312" w:charSpace="0"/>
        </w:sectPr>
      </w:pPr>
    </w:p>
    <w:p>
      <w:pPr>
        <w:pStyle w:val="2"/>
        <w:numPr>
          <w:ilvl w:val="0"/>
          <w:numId w:val="1"/>
        </w:numPr>
        <w:tabs>
          <w:tab w:val="left" w:pos="425"/>
        </w:tabs>
        <w:spacing w:line="360" w:lineRule="auto"/>
        <w:rPr>
          <w:sz w:val="21"/>
          <w:szCs w:val="21"/>
        </w:rPr>
      </w:pPr>
      <w:bookmarkStart w:id="0" w:name="_Toc292025341"/>
      <w:bookmarkStart w:id="1" w:name="_Toc11343"/>
      <w:bookmarkStart w:id="2" w:name="_Toc395186717"/>
      <w:r>
        <w:rPr>
          <w:sz w:val="21"/>
          <w:szCs w:val="21"/>
        </w:rPr>
        <w:t>总则</w:t>
      </w:r>
      <w:bookmarkEnd w:id="0"/>
      <w:bookmarkEnd w:id="1"/>
      <w:bookmarkEnd w:id="2"/>
    </w:p>
    <w:p>
      <w:pPr>
        <w:numPr>
          <w:ilvl w:val="1"/>
          <w:numId w:val="1"/>
        </w:numPr>
        <w:spacing w:line="360" w:lineRule="auto"/>
      </w:pPr>
      <w:r>
        <w:t>本技术规范书适用于中国南方电网公司采购的塑壳断路器，它提出了该设备本体及附属设备的功能设计、结构、性能、安装和试验等方面的技术要求。</w:t>
      </w:r>
    </w:p>
    <w:p>
      <w:pPr>
        <w:numPr>
          <w:ilvl w:val="1"/>
          <w:numId w:val="1"/>
        </w:numPr>
        <w:spacing w:line="360" w:lineRule="auto"/>
      </w:pPr>
      <w:r>
        <w:t>本技术规范书提出的是最低限度的技术要求。凡本技术规范书中未规定，但在相关设备的行业标准、国家标准或IEC标准中有规定的规范条文，投标方应按相关标准的最高技术要求执行。对国家有关安全、环保等强制性标准，必须满足其要求。</w:t>
      </w:r>
    </w:p>
    <w:p>
      <w:pPr>
        <w:numPr>
          <w:ilvl w:val="1"/>
          <w:numId w:val="1"/>
        </w:numPr>
        <w:spacing w:line="360" w:lineRule="auto"/>
      </w:pPr>
      <w:r>
        <w:t>如果投标方没有以书面形式对本技术规范书的条文提出异议，则意味着投标方提供的设备完全符合本技术规范书的要求。如有异议，不管是多么微小，都应在投标文件中以</w:t>
      </w:r>
      <w:r>
        <w:rPr>
          <w:rFonts w:hint="eastAsia"/>
        </w:rPr>
        <w:t>“</w:t>
      </w:r>
      <w:r>
        <w:t>技术偏差表</w:t>
      </w:r>
      <w:r>
        <w:rPr>
          <w:rFonts w:hint="eastAsia"/>
        </w:rPr>
        <w:t>”</w:t>
      </w:r>
      <w:r>
        <w:t>为标题的专门章节中加以详细描述。</w:t>
      </w:r>
    </w:p>
    <w:p>
      <w:pPr>
        <w:numPr>
          <w:ilvl w:val="1"/>
          <w:numId w:val="1"/>
        </w:numPr>
        <w:spacing w:line="360" w:lineRule="auto"/>
      </w:pPr>
      <w:r>
        <w:t>本技术规范书所使用的标准如遇与投标方所执行的标准不一致时，按技术要求较高的标准执行。</w:t>
      </w:r>
    </w:p>
    <w:p>
      <w:pPr>
        <w:numPr>
          <w:ilvl w:val="1"/>
          <w:numId w:val="1"/>
        </w:numPr>
        <w:spacing w:line="360" w:lineRule="auto"/>
      </w:pPr>
      <w:r>
        <w:t>本技术规范书经买、卖双方确认后作为订货合同的技术附件，与合同正文具有同等的法律效力。</w:t>
      </w:r>
    </w:p>
    <w:p>
      <w:pPr>
        <w:numPr>
          <w:ilvl w:val="1"/>
          <w:numId w:val="1"/>
        </w:numPr>
        <w:spacing w:line="360" w:lineRule="auto"/>
      </w:pPr>
      <w:r>
        <w:t>本技术规范书未尽事宜，由买、卖双方协商确定。</w:t>
      </w:r>
    </w:p>
    <w:p>
      <w:pPr>
        <w:numPr>
          <w:ilvl w:val="1"/>
          <w:numId w:val="1"/>
        </w:numPr>
        <w:spacing w:line="360" w:lineRule="auto"/>
      </w:pPr>
      <w:r>
        <w:t>投标方在投标技术文件中应如实反映投标产品与本技术规范书的技术差异。如果投标方没有提出技术差异，而在执行合同的过程中，招标方发现投标方提供的产品与其投标技术文件的条文存在差异，招标方有权利要求退货，并追究投标方违约责任。</w:t>
      </w:r>
    </w:p>
    <w:p>
      <w:pPr>
        <w:numPr>
          <w:ilvl w:val="1"/>
          <w:numId w:val="1"/>
        </w:numPr>
        <w:spacing w:line="360" w:lineRule="auto"/>
      </w:pPr>
      <w:r>
        <w:t>投标方应在投标技术部分按本技术规范书的要求如实详细的填写投标设备的标准配置表，并在投标商务部分按此标准配置进行报价，如发现二者有矛盾之处，将按有利于招标方的条款执行。</w:t>
      </w:r>
    </w:p>
    <w:p>
      <w:pPr>
        <w:numPr>
          <w:ilvl w:val="1"/>
          <w:numId w:val="1"/>
        </w:numPr>
        <w:spacing w:line="360" w:lineRule="auto"/>
      </w:pPr>
      <w:r>
        <w:t>投标方应充分理解本技术规范书并按具体条款、格式要求填写投标的技术文件，如发现投标的技术文件条款、格式不符合本技术规范书的要求，则认为投标不严肃，在评标时将有不同程度的扣分。</w:t>
      </w:r>
    </w:p>
    <w:p>
      <w:pPr>
        <w:pStyle w:val="2"/>
        <w:numPr>
          <w:ilvl w:val="0"/>
          <w:numId w:val="1"/>
        </w:numPr>
        <w:tabs>
          <w:tab w:val="left" w:pos="425"/>
        </w:tabs>
        <w:spacing w:line="360" w:lineRule="auto"/>
        <w:rPr>
          <w:sz w:val="21"/>
          <w:szCs w:val="21"/>
        </w:rPr>
      </w:pPr>
      <w:bookmarkStart w:id="3" w:name="_Toc292025342"/>
      <w:bookmarkStart w:id="4" w:name="_Toc13687"/>
      <w:bookmarkStart w:id="5" w:name="_Toc395186718"/>
      <w:bookmarkStart w:id="6" w:name="_Toc276492358"/>
      <w:bookmarkStart w:id="7" w:name="_Toc279695347"/>
      <w:bookmarkStart w:id="8" w:name="_Toc246216316"/>
      <w:bookmarkStart w:id="9" w:name="_Toc271281204"/>
      <w:bookmarkStart w:id="10" w:name="_Toc276490890"/>
      <w:bookmarkStart w:id="11" w:name="_Toc112756677"/>
      <w:bookmarkStart w:id="12" w:name="_Toc241911995"/>
      <w:bookmarkStart w:id="13" w:name="_Toc155114607"/>
      <w:r>
        <w:rPr>
          <w:sz w:val="21"/>
          <w:szCs w:val="21"/>
        </w:rPr>
        <w:t>工作范围</w:t>
      </w:r>
      <w:bookmarkEnd w:id="3"/>
      <w:bookmarkEnd w:id="4"/>
      <w:bookmarkEnd w:id="5"/>
      <w:bookmarkEnd w:id="6"/>
      <w:bookmarkEnd w:id="7"/>
      <w:bookmarkEnd w:id="8"/>
      <w:bookmarkEnd w:id="9"/>
      <w:bookmarkEnd w:id="10"/>
      <w:bookmarkEnd w:id="11"/>
    </w:p>
    <w:p>
      <w:pPr>
        <w:pStyle w:val="3"/>
        <w:spacing w:line="360" w:lineRule="auto"/>
        <w:rPr>
          <w:rFonts w:ascii="Times New Roman" w:hAnsi="Times New Roman"/>
          <w:b w:val="0"/>
          <w:sz w:val="21"/>
          <w:szCs w:val="21"/>
        </w:rPr>
      </w:pPr>
      <w:bookmarkStart w:id="14" w:name="_Toc400640369"/>
      <w:bookmarkStart w:id="15" w:name="_Toc384340977"/>
      <w:bookmarkStart w:id="16" w:name="_Toc3622"/>
      <w:r>
        <w:rPr>
          <w:rFonts w:ascii="Times New Roman" w:hAnsi="Times New Roman"/>
          <w:b w:val="0"/>
          <w:sz w:val="21"/>
          <w:szCs w:val="21"/>
        </w:rPr>
        <w:t>2.1 工程概况</w:t>
      </w:r>
      <w:bookmarkEnd w:id="14"/>
      <w:bookmarkEnd w:id="15"/>
      <w:bookmarkEnd w:id="16"/>
    </w:p>
    <w:p>
      <w:pPr>
        <w:pStyle w:val="15"/>
        <w:spacing w:line="360" w:lineRule="auto"/>
        <w:rPr>
          <w:rFonts w:eastAsia="宋体"/>
        </w:rPr>
      </w:pPr>
      <w:r>
        <w:rPr>
          <w:rFonts w:eastAsia="宋体"/>
        </w:rPr>
        <w:t>本技术规范书采购的设备适用的工程概况详见专用部分。</w:t>
      </w:r>
    </w:p>
    <w:p>
      <w:pPr>
        <w:pStyle w:val="3"/>
        <w:spacing w:line="360" w:lineRule="auto"/>
        <w:rPr>
          <w:rFonts w:ascii="Times New Roman" w:hAnsi="Times New Roman"/>
          <w:b w:val="0"/>
          <w:sz w:val="21"/>
          <w:szCs w:val="21"/>
        </w:rPr>
      </w:pPr>
      <w:bookmarkStart w:id="17" w:name="_Toc400640370"/>
      <w:bookmarkStart w:id="18" w:name="_Toc384340978"/>
      <w:bookmarkStart w:id="19" w:name="_Toc22296"/>
      <w:r>
        <w:rPr>
          <w:rFonts w:ascii="Times New Roman" w:hAnsi="Times New Roman"/>
          <w:b w:val="0"/>
          <w:sz w:val="21"/>
          <w:szCs w:val="21"/>
        </w:rPr>
        <w:t>2.2 范围和界限</w:t>
      </w:r>
      <w:bookmarkEnd w:id="17"/>
      <w:bookmarkEnd w:id="18"/>
      <w:bookmarkEnd w:id="19"/>
    </w:p>
    <w:p>
      <w:pPr>
        <w:spacing w:line="360" w:lineRule="auto"/>
        <w:ind w:firstLine="420" w:firstLineChars="200"/>
      </w:pPr>
      <w:r>
        <w:t>1）本规范书适应于中国南方电网公司所属配电房新建、扩建及改造工程，塑壳断路器及其附属设备的设计，制造，装配，工厂试验，交付，现场安装和试验的指导、监督以及试运行工作。</w:t>
      </w:r>
    </w:p>
    <w:p>
      <w:pPr>
        <w:spacing w:line="360" w:lineRule="auto"/>
        <w:ind w:firstLine="420" w:firstLineChars="200"/>
      </w:pPr>
      <w:r>
        <w:t>2）运输</w:t>
      </w:r>
    </w:p>
    <w:p>
      <w:pPr>
        <w:spacing w:line="360" w:lineRule="auto"/>
        <w:ind w:firstLine="420" w:firstLineChars="200"/>
      </w:pPr>
      <w:r>
        <w:t>运输条件详见专用部分。</w:t>
      </w:r>
    </w:p>
    <w:p>
      <w:pPr>
        <w:spacing w:line="360" w:lineRule="auto"/>
        <w:ind w:firstLine="420" w:firstLineChars="200"/>
      </w:pPr>
      <w:r>
        <w:t>3）现场安装和试验在投标方的技术指导和监督下由招标方完成。</w:t>
      </w:r>
    </w:p>
    <w:p>
      <w:pPr>
        <w:spacing w:line="360" w:lineRule="auto"/>
        <w:ind w:firstLine="420" w:firstLineChars="200"/>
      </w:pPr>
      <w:r>
        <w:t>4）本规范书未说明，但又与设计、制造、装配、试验、运输、包装、保管、安装和运行维护有关的技术要求，按条款3所规定的有关标准执行。</w:t>
      </w:r>
    </w:p>
    <w:p>
      <w:pPr>
        <w:pStyle w:val="3"/>
        <w:spacing w:line="360" w:lineRule="auto"/>
        <w:rPr>
          <w:rFonts w:ascii="Times New Roman" w:hAnsi="Times New Roman"/>
          <w:b w:val="0"/>
          <w:sz w:val="21"/>
          <w:szCs w:val="21"/>
        </w:rPr>
      </w:pPr>
      <w:bookmarkStart w:id="20" w:name="_Toc400640371"/>
      <w:bookmarkStart w:id="21" w:name="_Toc13552"/>
      <w:bookmarkStart w:id="22" w:name="_Toc384340979"/>
      <w:r>
        <w:rPr>
          <w:rFonts w:ascii="Times New Roman" w:hAnsi="Times New Roman"/>
          <w:b w:val="0"/>
          <w:sz w:val="21"/>
          <w:szCs w:val="21"/>
        </w:rPr>
        <w:t>2.3 服务范围</w:t>
      </w:r>
      <w:bookmarkEnd w:id="20"/>
      <w:bookmarkEnd w:id="21"/>
      <w:bookmarkEnd w:id="22"/>
    </w:p>
    <w:p>
      <w:pPr>
        <w:spacing w:line="360" w:lineRule="auto"/>
        <w:ind w:firstLine="420" w:firstLineChars="200"/>
      </w:pPr>
      <w:r>
        <w:t>1）投标方应按本规范书的要求提供台全新的、合格的塑壳断路器及其附属设备、备品备件、专用工具和仪器。投标方所提供的组件或附件如需向第三方外购时，投标方应对质量向招标方负责，并提供相应出厂和验收证明。</w:t>
      </w:r>
    </w:p>
    <w:p>
      <w:pPr>
        <w:spacing w:line="360" w:lineRule="auto"/>
        <w:ind w:firstLine="420" w:firstLineChars="200"/>
      </w:pPr>
      <w:r>
        <w:t>2）供货范围</w:t>
      </w:r>
      <w:bookmarkStart w:id="23" w:name="_Toc282433715"/>
      <w:bookmarkStart w:id="24" w:name="_Toc283011667"/>
      <w:bookmarkStart w:id="25" w:name="_Toc283142589"/>
      <w:r>
        <w:t>一览表</w:t>
      </w:r>
      <w:bookmarkEnd w:id="23"/>
      <w:bookmarkEnd w:id="24"/>
      <w:bookmarkEnd w:id="25"/>
    </w:p>
    <w:p>
      <w:pPr>
        <w:pStyle w:val="15"/>
        <w:spacing w:line="360" w:lineRule="auto"/>
        <w:rPr>
          <w:rFonts w:eastAsia="宋体"/>
        </w:rPr>
      </w:pPr>
      <w:r>
        <w:rPr>
          <w:rFonts w:eastAsia="宋体"/>
        </w:rPr>
        <w:t>供货设备技术规格一览表详见专用部分。备品备件及专用工具等详见专用条款。</w:t>
      </w:r>
    </w:p>
    <w:p>
      <w:pPr>
        <w:spacing w:line="360" w:lineRule="auto"/>
        <w:ind w:firstLine="420" w:firstLineChars="200"/>
      </w:pPr>
      <w:r>
        <w:t>3）工厂试验由投标方在生产厂家内完成，但应有招标方代表参加，参加工厂验收的人数及天数等规定详见规范书商务部分。</w:t>
      </w:r>
    </w:p>
    <w:p>
      <w:pPr>
        <w:spacing w:line="360" w:lineRule="auto"/>
        <w:ind w:firstLine="420" w:firstLineChars="200"/>
      </w:pPr>
      <w:r>
        <w:t>4）现场安装和试验在投标方的技术指导下由招标方完成，投标方协助招标方按标准检查安装质量，处理调试投运过程中出现的问题，并提供备品、备件，做好销售服务工作。投标方应选派有经验的技术人员，对安装和运行人员免费培训。安装督导的工作范围及人数和天数等规定详见规范书商务部分。</w:t>
      </w:r>
    </w:p>
    <w:p>
      <w:pPr>
        <w:spacing w:line="360" w:lineRule="auto"/>
        <w:ind w:firstLine="420" w:firstLineChars="200"/>
      </w:pPr>
      <w:r>
        <w:t>5）投标方应协助招标方解决设备运行中出现的问题。</w:t>
      </w:r>
    </w:p>
    <w:p>
      <w:pPr>
        <w:spacing w:line="360" w:lineRule="auto"/>
        <w:ind w:firstLine="420" w:firstLineChars="200"/>
      </w:pPr>
      <w:r>
        <w:t>6）产品零整比不大于3，供货商零部件总成本不应超过塑壳断路器本体成本3倍。</w:t>
      </w:r>
    </w:p>
    <w:p>
      <w:pPr>
        <w:spacing w:line="360" w:lineRule="auto"/>
        <w:ind w:firstLine="420" w:firstLineChars="200"/>
      </w:pPr>
      <w:r>
        <w:t>7）设计联络会议的地点及招标方参加人员的人数和天数等规定详见规范书商务部分。</w:t>
      </w:r>
    </w:p>
    <w:p>
      <w:pPr>
        <w:spacing w:line="360" w:lineRule="auto"/>
        <w:ind w:firstLine="420" w:firstLineChars="200"/>
      </w:pPr>
      <w:r>
        <w:t>8）设备安装、调试和性能试验合格后方可投运。设备投运并稳定运行后，投标方和招标方（业主）双方应根据相关法律、法规和公司管理制度签署合同设备的验收证明书。该证明书共两份，双方各执一份。</w:t>
      </w:r>
    </w:p>
    <w:p>
      <w:pPr>
        <w:spacing w:line="360" w:lineRule="auto"/>
        <w:ind w:firstLine="420" w:firstLineChars="200"/>
      </w:pPr>
      <w:r>
        <w:t>9）如果安装、调试、性能试验、试运行及质保期内技术指标一项或多项不能满足合同技术部分要求，买卖双方共同分析原因，分清责任，如属制造方面的原因，或涉及索赔部分，按商务部分有关条款执行。</w:t>
      </w:r>
    </w:p>
    <w:bookmarkEnd w:id="12"/>
    <w:bookmarkEnd w:id="13"/>
    <w:p>
      <w:pPr>
        <w:pStyle w:val="2"/>
        <w:numPr>
          <w:ilvl w:val="0"/>
          <w:numId w:val="1"/>
        </w:numPr>
        <w:tabs>
          <w:tab w:val="left" w:pos="425"/>
        </w:tabs>
        <w:spacing w:line="360" w:lineRule="auto"/>
        <w:rPr>
          <w:sz w:val="21"/>
          <w:szCs w:val="21"/>
        </w:rPr>
      </w:pPr>
      <w:bookmarkStart w:id="26" w:name="_Toc7246"/>
      <w:bookmarkStart w:id="27" w:name="_Toc292025346"/>
      <w:bookmarkStart w:id="28" w:name="_Toc395186722"/>
      <w:r>
        <w:rPr>
          <w:sz w:val="21"/>
          <w:szCs w:val="21"/>
        </w:rPr>
        <w:t>应遵循的主要标准</w:t>
      </w:r>
      <w:bookmarkEnd w:id="26"/>
      <w:bookmarkEnd w:id="27"/>
      <w:bookmarkEnd w:id="28"/>
    </w:p>
    <w:p>
      <w:pPr>
        <w:spacing w:line="360" w:lineRule="auto"/>
        <w:ind w:firstLine="420" w:firstLineChars="200"/>
      </w:pPr>
      <w:r>
        <w:t>除本技术规范特殊规定外，投标方所提供的设备均按规定的标准和规程的最新版本进行设计、制造、试验和安装。如果这些标准内容有矛盾时，应按技术要求最高的条款执行或按双方商定的标准执行。如果投标方选用本技术规范规定以外的标准时，则需提交这种替换标准供审查和分析。仅在投标方已证明替换标准相当或优于技术规范规定的标准，并从招标方处获得书面的认可才能使用。提交供审查的标准应为中文版本。</w:t>
      </w:r>
    </w:p>
    <w:p>
      <w:pPr>
        <w:spacing w:line="360" w:lineRule="auto"/>
        <w:ind w:firstLine="420" w:firstLineChars="200"/>
      </w:pPr>
      <w:r>
        <w:t>下列文件对于本技术规范书的应用是必不可少。凡是注日期的引用文件，仅注日期的版本适用于本技术规范书。凡是不注日期的引用文件，其最新版本（包括所有的修改单）适用于本技术规范书：</w:t>
      </w:r>
    </w:p>
    <w:p>
      <w:pPr>
        <w:spacing w:line="360" w:lineRule="auto"/>
        <w:ind w:firstLine="420" w:firstLineChars="200"/>
      </w:pPr>
      <w:r>
        <w:t>GB 14048.1</w:t>
      </w:r>
      <w:r>
        <w:rPr>
          <w:rFonts w:hint="eastAsia"/>
        </w:rPr>
        <w:tab/>
      </w:r>
      <w:r>
        <w:rPr>
          <w:rFonts w:hint="eastAsia"/>
        </w:rPr>
        <w:tab/>
      </w:r>
      <w:r>
        <w:t>低压开关设备和控制设备 第1部分：总则</w:t>
      </w:r>
    </w:p>
    <w:p>
      <w:pPr>
        <w:spacing w:line="360" w:lineRule="auto"/>
        <w:ind w:firstLine="420" w:firstLineChars="200"/>
      </w:pPr>
      <w:r>
        <w:t>GB 14048.2</w:t>
      </w:r>
      <w:r>
        <w:rPr>
          <w:rFonts w:hint="eastAsia"/>
        </w:rPr>
        <w:tab/>
      </w:r>
      <w:r>
        <w:rPr>
          <w:rFonts w:hint="eastAsia"/>
        </w:rPr>
        <w:tab/>
      </w:r>
      <w:r>
        <w:t>低压开关设备和控制设备 第2部分：断路器</w:t>
      </w:r>
    </w:p>
    <w:p>
      <w:pPr>
        <w:spacing w:line="360" w:lineRule="auto"/>
        <w:ind w:firstLine="420" w:firstLineChars="200"/>
      </w:pPr>
      <w:r>
        <w:t>GB 4208</w:t>
      </w:r>
      <w:r>
        <w:rPr>
          <w:rFonts w:hint="eastAsia"/>
        </w:rPr>
        <w:tab/>
      </w:r>
      <w:r>
        <w:rPr>
          <w:rFonts w:hint="eastAsia"/>
        </w:rPr>
        <w:tab/>
      </w:r>
      <w:r>
        <w:rPr>
          <w:rFonts w:hint="eastAsia"/>
        </w:rPr>
        <w:tab/>
      </w:r>
      <w:r>
        <w:t>外壳防护等级</w:t>
      </w:r>
    </w:p>
    <w:p>
      <w:pPr>
        <w:spacing w:line="360" w:lineRule="auto"/>
        <w:ind w:firstLine="420" w:firstLineChars="200"/>
      </w:pPr>
      <w:r>
        <w:t>GB 10963.1</w:t>
      </w:r>
      <w:r>
        <w:tab/>
      </w:r>
      <w:r>
        <w:tab/>
      </w:r>
      <w:r>
        <w:t>电气附件 家用及类似场所用过电流保护断路器 第1部分：用于交流的断路器</w:t>
      </w:r>
    </w:p>
    <w:p>
      <w:pPr>
        <w:spacing w:line="360" w:lineRule="auto"/>
        <w:ind w:firstLine="420" w:firstLineChars="200"/>
      </w:pPr>
      <w:r>
        <w:t>GB/T13955</w:t>
      </w:r>
      <w:r>
        <w:rPr>
          <w:rFonts w:hint="eastAsia"/>
        </w:rPr>
        <w:tab/>
      </w:r>
      <w:r>
        <w:rPr>
          <w:rFonts w:hint="eastAsia"/>
        </w:rPr>
        <w:tab/>
      </w:r>
      <w:r>
        <w:t>剩余电流动作保护装置安装和运行</w:t>
      </w:r>
    </w:p>
    <w:p>
      <w:pPr>
        <w:spacing w:line="360" w:lineRule="auto"/>
        <w:ind w:firstLine="420" w:firstLineChars="200"/>
      </w:pPr>
      <w:r>
        <w:t>GB/T 17626.2</w:t>
      </w:r>
      <w:r>
        <w:rPr>
          <w:rFonts w:hint="eastAsia"/>
        </w:rPr>
        <w:tab/>
      </w:r>
      <w:r>
        <w:rPr>
          <w:rFonts w:hint="eastAsia"/>
        </w:rPr>
        <w:tab/>
      </w:r>
      <w:r>
        <w:t>电磁兼容 试验和测量技术 静电放电抗扰度试验</w:t>
      </w:r>
    </w:p>
    <w:p>
      <w:pPr>
        <w:spacing w:line="360" w:lineRule="auto"/>
        <w:ind w:firstLine="420" w:firstLineChars="200"/>
      </w:pPr>
      <w:r>
        <w:t>GB/T 17626.3</w:t>
      </w:r>
      <w:r>
        <w:rPr>
          <w:rFonts w:hint="eastAsia"/>
        </w:rPr>
        <w:tab/>
      </w:r>
      <w:r>
        <w:rPr>
          <w:rFonts w:hint="eastAsia"/>
        </w:rPr>
        <w:tab/>
      </w:r>
      <w:r>
        <w:t>电磁兼容 试验和测量技术 射频电磁场辐射抗扰度试验</w:t>
      </w:r>
    </w:p>
    <w:p>
      <w:pPr>
        <w:spacing w:line="360" w:lineRule="auto"/>
        <w:ind w:firstLine="420" w:firstLineChars="200"/>
      </w:pPr>
      <w:r>
        <w:t>GB/T 17626.4</w:t>
      </w:r>
      <w:r>
        <w:rPr>
          <w:rFonts w:hint="eastAsia"/>
        </w:rPr>
        <w:tab/>
      </w:r>
      <w:r>
        <w:rPr>
          <w:rFonts w:hint="eastAsia"/>
        </w:rPr>
        <w:tab/>
      </w:r>
      <w:r>
        <w:t>电磁兼容 试验和测量技术 电快速瞬变脉冲群抗扰度试验</w:t>
      </w:r>
    </w:p>
    <w:p>
      <w:pPr>
        <w:spacing w:line="360" w:lineRule="auto"/>
        <w:ind w:firstLine="420" w:firstLineChars="200"/>
      </w:pPr>
      <w:r>
        <w:t>GB/T 17626.5</w:t>
      </w:r>
      <w:r>
        <w:rPr>
          <w:rFonts w:hint="eastAsia"/>
        </w:rPr>
        <w:tab/>
      </w:r>
      <w:r>
        <w:rPr>
          <w:rFonts w:hint="eastAsia"/>
        </w:rPr>
        <w:tab/>
      </w:r>
      <w:r>
        <w:t>电磁兼容 试验和测量技术 浪涌（冲击）抗扰度试验</w:t>
      </w:r>
    </w:p>
    <w:p>
      <w:pPr>
        <w:spacing w:line="360" w:lineRule="auto"/>
        <w:ind w:firstLine="420" w:firstLineChars="200"/>
      </w:pPr>
      <w:r>
        <w:t>GB/T 17626.6</w:t>
      </w:r>
      <w:r>
        <w:rPr>
          <w:rFonts w:hint="eastAsia"/>
        </w:rPr>
        <w:tab/>
      </w:r>
      <w:r>
        <w:rPr>
          <w:rFonts w:hint="eastAsia"/>
        </w:rPr>
        <w:tab/>
      </w:r>
      <w:r>
        <w:t>电磁兼容 试验和测量技术 射频场感应的传导骚扰抗扰度</w:t>
      </w:r>
    </w:p>
    <w:p>
      <w:pPr>
        <w:spacing w:line="360" w:lineRule="auto"/>
        <w:ind w:firstLine="420" w:firstLineChars="200"/>
      </w:pPr>
      <w:r>
        <w:t>GB/T 2423.1</w:t>
      </w:r>
      <w:r>
        <w:rPr>
          <w:rFonts w:hint="eastAsia"/>
        </w:rPr>
        <w:tab/>
      </w:r>
      <w:r>
        <w:rPr>
          <w:rFonts w:hint="eastAsia"/>
        </w:rPr>
        <w:tab/>
      </w:r>
      <w:r>
        <w:t>电工电子产品环境试验第2部分：试验方法试验A：低温</w:t>
      </w:r>
    </w:p>
    <w:p>
      <w:pPr>
        <w:spacing w:line="360" w:lineRule="auto"/>
        <w:ind w:firstLine="420" w:firstLineChars="200"/>
      </w:pPr>
      <w:r>
        <w:t>GB/T 2423.2</w:t>
      </w:r>
      <w:r>
        <w:rPr>
          <w:rFonts w:hint="eastAsia"/>
        </w:rPr>
        <w:tab/>
      </w:r>
      <w:r>
        <w:rPr>
          <w:rFonts w:hint="eastAsia"/>
        </w:rPr>
        <w:tab/>
      </w:r>
      <w:r>
        <w:t>电工电子产品环境试验第2部分：试验方法试验B：高温</w:t>
      </w:r>
    </w:p>
    <w:p>
      <w:pPr>
        <w:spacing w:line="360" w:lineRule="auto"/>
        <w:ind w:firstLine="420" w:firstLineChars="200"/>
      </w:pPr>
      <w:r>
        <w:t>GB/T 2423.3</w:t>
      </w:r>
      <w:r>
        <w:rPr>
          <w:rFonts w:hint="eastAsia"/>
        </w:rPr>
        <w:tab/>
      </w:r>
      <w:r>
        <w:rPr>
          <w:rFonts w:hint="eastAsia"/>
        </w:rPr>
        <w:tab/>
      </w:r>
      <w:r>
        <w:t>电工电子产品环境试验第2部分：试验方法试验Cab：恒定湿热</w:t>
      </w:r>
    </w:p>
    <w:p>
      <w:pPr>
        <w:spacing w:line="360" w:lineRule="auto"/>
        <w:ind w:firstLine="420" w:firstLineChars="200"/>
      </w:pPr>
      <w:r>
        <w:t>GB/T 2423.4</w:t>
      </w:r>
      <w:r>
        <w:rPr>
          <w:rFonts w:hint="eastAsia"/>
        </w:rPr>
        <w:tab/>
      </w:r>
      <w:r>
        <w:rPr>
          <w:rFonts w:hint="eastAsia"/>
        </w:rPr>
        <w:tab/>
      </w:r>
      <w:r>
        <w:t>电工电子产品环境试验第2部分：试验方法试验Db：交变湿热</w:t>
      </w:r>
    </w:p>
    <w:p>
      <w:pPr>
        <w:spacing w:line="360" w:lineRule="auto"/>
        <w:ind w:firstLine="420" w:firstLineChars="200"/>
      </w:pPr>
      <w:r>
        <w:t>Q/GDW12174</w:t>
      </w:r>
      <w:r>
        <w:rPr>
          <w:rFonts w:hint="eastAsia"/>
        </w:rPr>
        <w:tab/>
      </w:r>
      <w:r>
        <w:rPr>
          <w:rFonts w:hint="eastAsia"/>
        </w:rPr>
        <w:tab/>
      </w:r>
      <w:r>
        <w:t>智能量测开关技术规范</w:t>
      </w:r>
    </w:p>
    <w:p>
      <w:pPr>
        <w:pStyle w:val="2"/>
        <w:numPr>
          <w:ilvl w:val="0"/>
          <w:numId w:val="1"/>
        </w:numPr>
        <w:tabs>
          <w:tab w:val="left" w:pos="425"/>
        </w:tabs>
        <w:spacing w:line="360" w:lineRule="auto"/>
        <w:rPr>
          <w:sz w:val="21"/>
          <w:szCs w:val="21"/>
        </w:rPr>
      </w:pPr>
      <w:bookmarkStart w:id="29" w:name="_Toc402276224"/>
      <w:bookmarkEnd w:id="29"/>
      <w:bookmarkStart w:id="30" w:name="_Toc8882"/>
      <w:bookmarkStart w:id="31" w:name="_Toc292025347"/>
      <w:bookmarkStart w:id="32" w:name="_Toc395186723"/>
      <w:bookmarkStart w:id="33" w:name="_Toc282993250"/>
      <w:r>
        <w:rPr>
          <w:sz w:val="21"/>
          <w:szCs w:val="21"/>
        </w:rPr>
        <w:t>使用条件</w:t>
      </w:r>
      <w:bookmarkEnd w:id="30"/>
    </w:p>
    <w:p>
      <w:pPr>
        <w:spacing w:line="360" w:lineRule="auto"/>
        <w:ind w:firstLine="420" w:firstLineChars="200"/>
      </w:pPr>
      <w:r>
        <w:t>投标方提供的塑壳断路器不仅应满足本技术规范要求，相关性能参数还应按实际安装地点的外部条件要求进行校验、核对，使所供设备满足实际外部条件要求及全工况运行要求。</w:t>
      </w:r>
    </w:p>
    <w:p>
      <w:pPr>
        <w:numPr>
          <w:ilvl w:val="1"/>
          <w:numId w:val="1"/>
        </w:numPr>
        <w:spacing w:line="360" w:lineRule="auto"/>
        <w:outlineLvl w:val="1"/>
      </w:pPr>
      <w:bookmarkStart w:id="34" w:name="_Toc23676"/>
      <w:bookmarkStart w:id="35" w:name="_Toc282993251"/>
      <w:bookmarkStart w:id="36" w:name="_Toc405368417"/>
      <w:bookmarkStart w:id="37" w:name="_Toc279695711"/>
      <w:bookmarkStart w:id="38" w:name="_Toc292025348"/>
      <w:r>
        <w:t>正常使用条件</w:t>
      </w:r>
      <w:bookmarkEnd w:id="34"/>
      <w:bookmarkEnd w:id="35"/>
      <w:bookmarkEnd w:id="36"/>
      <w:bookmarkEnd w:id="37"/>
      <w:bookmarkEnd w:id="38"/>
    </w:p>
    <w:p>
      <w:pPr>
        <w:numPr>
          <w:ilvl w:val="2"/>
          <w:numId w:val="1"/>
        </w:numPr>
        <w:tabs>
          <w:tab w:val="left" w:pos="567"/>
        </w:tabs>
        <w:spacing w:line="360" w:lineRule="auto"/>
      </w:pPr>
      <w:r>
        <w:t>系统运行条件</w:t>
      </w:r>
    </w:p>
    <w:p>
      <w:pPr>
        <w:numPr>
          <w:ilvl w:val="0"/>
          <w:numId w:val="2"/>
        </w:numPr>
        <w:spacing w:line="360" w:lineRule="auto"/>
        <w:ind w:hanging="729"/>
        <w:rPr>
          <w:snapToGrid w:val="0"/>
          <w:kern w:val="0"/>
        </w:rPr>
      </w:pPr>
      <w:r>
        <w:rPr>
          <w:snapToGrid w:val="0"/>
          <w:kern w:val="0"/>
        </w:rPr>
        <w:t>系统额定频率：50Hz；</w:t>
      </w:r>
    </w:p>
    <w:p>
      <w:pPr>
        <w:numPr>
          <w:ilvl w:val="0"/>
          <w:numId w:val="2"/>
        </w:numPr>
        <w:spacing w:line="360" w:lineRule="auto"/>
        <w:ind w:hanging="729"/>
        <w:rPr>
          <w:snapToGrid w:val="0"/>
          <w:kern w:val="0"/>
        </w:rPr>
      </w:pPr>
      <w:r>
        <w:rPr>
          <w:snapToGrid w:val="0"/>
          <w:kern w:val="0"/>
        </w:rPr>
        <w:t>系统电压：0.4kV。</w:t>
      </w:r>
    </w:p>
    <w:p>
      <w:pPr>
        <w:numPr>
          <w:ilvl w:val="2"/>
          <w:numId w:val="1"/>
        </w:numPr>
        <w:tabs>
          <w:tab w:val="left" w:pos="567"/>
        </w:tabs>
        <w:spacing w:line="360" w:lineRule="auto"/>
      </w:pPr>
      <w:r>
        <w:t>周围空气温度</w:t>
      </w:r>
    </w:p>
    <w:p>
      <w:pPr>
        <w:numPr>
          <w:ilvl w:val="0"/>
          <w:numId w:val="3"/>
        </w:numPr>
        <w:spacing w:line="360" w:lineRule="auto"/>
        <w:ind w:hanging="729"/>
        <w:rPr>
          <w:snapToGrid w:val="0"/>
          <w:kern w:val="0"/>
        </w:rPr>
      </w:pPr>
      <w:r>
        <w:rPr>
          <w:snapToGrid w:val="0"/>
          <w:kern w:val="0"/>
        </w:rPr>
        <w:t>规定的使用温度</w:t>
      </w:r>
      <w:r>
        <w:rPr>
          <w:snapToGrid w:val="0"/>
          <w:kern w:val="0"/>
        </w:rPr>
        <w:tab/>
      </w:r>
      <w:r>
        <w:rPr>
          <w:snapToGrid w:val="0"/>
          <w:kern w:val="0"/>
        </w:rPr>
        <w:t>-5～+40℃；</w:t>
      </w:r>
    </w:p>
    <w:p>
      <w:pPr>
        <w:numPr>
          <w:ilvl w:val="0"/>
          <w:numId w:val="3"/>
        </w:numPr>
        <w:spacing w:line="360" w:lineRule="auto"/>
        <w:ind w:hanging="729"/>
        <w:rPr>
          <w:snapToGrid w:val="0"/>
          <w:kern w:val="0"/>
        </w:rPr>
      </w:pPr>
      <w:r>
        <w:rPr>
          <w:snapToGrid w:val="0"/>
          <w:kern w:val="0"/>
        </w:rPr>
        <w:t>极限使用或运输储存温度：-25～+7</w:t>
      </w:r>
      <w:r>
        <w:rPr>
          <w:rFonts w:hint="eastAsia"/>
          <w:snapToGrid w:val="0"/>
          <w:kern w:val="0"/>
          <w:lang w:val="en-US" w:eastAsia="zh-CN"/>
        </w:rPr>
        <w:t>0</w:t>
      </w:r>
      <w:r>
        <w:rPr>
          <w:snapToGrid w:val="0"/>
          <w:kern w:val="0"/>
        </w:rPr>
        <w:t>℃；</w:t>
      </w:r>
    </w:p>
    <w:p>
      <w:pPr>
        <w:numPr>
          <w:ilvl w:val="0"/>
          <w:numId w:val="3"/>
        </w:numPr>
        <w:spacing w:line="360" w:lineRule="auto"/>
        <w:ind w:hanging="729"/>
        <w:rPr>
          <w:snapToGrid w:val="0"/>
          <w:kern w:val="0"/>
        </w:rPr>
      </w:pPr>
      <w:r>
        <w:rPr>
          <w:snapToGrid w:val="0"/>
          <w:kern w:val="0"/>
        </w:rPr>
        <w:t>最大日温差：25℃；</w:t>
      </w:r>
    </w:p>
    <w:p>
      <w:pPr>
        <w:numPr>
          <w:ilvl w:val="0"/>
          <w:numId w:val="3"/>
        </w:numPr>
        <w:spacing w:line="360" w:lineRule="auto"/>
        <w:ind w:hanging="729"/>
        <w:rPr>
          <w:snapToGrid w:val="0"/>
          <w:kern w:val="0"/>
        </w:rPr>
      </w:pPr>
      <w:r>
        <w:rPr>
          <w:snapToGrid w:val="0"/>
          <w:kern w:val="0"/>
        </w:rPr>
        <w:t>环境温度最大变化率：1℃/min。</w:t>
      </w:r>
    </w:p>
    <w:p>
      <w:pPr>
        <w:numPr>
          <w:ilvl w:val="2"/>
          <w:numId w:val="1"/>
        </w:numPr>
        <w:tabs>
          <w:tab w:val="left" w:pos="567"/>
        </w:tabs>
        <w:spacing w:line="360" w:lineRule="auto"/>
      </w:pPr>
      <w:r>
        <w:t>环境湿度</w:t>
      </w:r>
    </w:p>
    <w:p>
      <w:pPr>
        <w:numPr>
          <w:ilvl w:val="0"/>
          <w:numId w:val="4"/>
        </w:numPr>
        <w:spacing w:line="360" w:lineRule="auto"/>
        <w:ind w:hanging="729"/>
        <w:rPr>
          <w:snapToGrid w:val="0"/>
          <w:kern w:val="0"/>
        </w:rPr>
      </w:pPr>
      <w:r>
        <w:rPr>
          <w:snapToGrid w:val="0"/>
          <w:kern w:val="0"/>
        </w:rPr>
        <w:t>日平均值不超过：95%；</w:t>
      </w:r>
    </w:p>
    <w:p>
      <w:pPr>
        <w:numPr>
          <w:ilvl w:val="0"/>
          <w:numId w:val="4"/>
        </w:numPr>
        <w:spacing w:line="360" w:lineRule="auto"/>
        <w:ind w:hanging="729"/>
        <w:rPr>
          <w:snapToGrid w:val="0"/>
          <w:kern w:val="0"/>
        </w:rPr>
      </w:pPr>
      <w:r>
        <w:rPr>
          <w:snapToGrid w:val="0"/>
          <w:kern w:val="0"/>
        </w:rPr>
        <w:t>月平均值不超过：90%。</w:t>
      </w:r>
    </w:p>
    <w:p>
      <w:pPr>
        <w:numPr>
          <w:ilvl w:val="2"/>
          <w:numId w:val="1"/>
        </w:numPr>
        <w:tabs>
          <w:tab w:val="left" w:pos="567"/>
        </w:tabs>
        <w:spacing w:line="360" w:lineRule="auto"/>
      </w:pPr>
      <w:r>
        <w:t>海拔</w:t>
      </w:r>
    </w:p>
    <w:p>
      <w:pPr>
        <w:pStyle w:val="15"/>
        <w:spacing w:line="360" w:lineRule="auto"/>
        <w:rPr>
          <w:rFonts w:eastAsia="宋体"/>
        </w:rPr>
      </w:pPr>
      <w:r>
        <w:rPr>
          <w:rFonts w:eastAsia="宋体"/>
        </w:rPr>
        <w:t>海拔2000m及以下（63.0kPa～106.0kPa），高海拔地区应按照标准GB/T20645-2006中7.2.2的要求进行修正。</w:t>
      </w:r>
    </w:p>
    <w:p>
      <w:pPr>
        <w:numPr>
          <w:ilvl w:val="2"/>
          <w:numId w:val="1"/>
        </w:numPr>
        <w:tabs>
          <w:tab w:val="left" w:pos="567"/>
        </w:tabs>
        <w:spacing w:line="360" w:lineRule="auto"/>
      </w:pPr>
      <w:r>
        <w:t>耐受地震能力</w:t>
      </w:r>
    </w:p>
    <w:p>
      <w:pPr>
        <w:pStyle w:val="15"/>
        <w:spacing w:line="360" w:lineRule="auto"/>
        <w:rPr>
          <w:rFonts w:eastAsia="宋体"/>
        </w:rPr>
      </w:pPr>
      <w:r>
        <w:rPr>
          <w:rFonts w:eastAsia="宋体"/>
        </w:rPr>
        <w:t>规定为8度，应满足表4-1的规定。</w:t>
      </w:r>
    </w:p>
    <w:p>
      <w:pPr>
        <w:spacing w:line="360" w:lineRule="auto"/>
        <w:jc w:val="center"/>
        <w:rPr>
          <w:snapToGrid w:val="0"/>
          <w:kern w:val="0"/>
          <w:szCs w:val="21"/>
        </w:rPr>
      </w:pPr>
      <w:r>
        <w:rPr>
          <w:snapToGrid w:val="0"/>
          <w:kern w:val="0"/>
          <w:szCs w:val="21"/>
        </w:rPr>
        <w:t>表4-1 耐受地震烈度试验</w:t>
      </w:r>
    </w:p>
    <w:tbl>
      <w:tblPr>
        <w:tblStyle w:val="1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361"/>
        <w:gridCol w:w="1568"/>
        <w:gridCol w:w="1357"/>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4361" w:type="dxa"/>
            <w:vMerge w:val="restart"/>
            <w:noWrap/>
            <w:vAlign w:val="center"/>
          </w:tcPr>
          <w:p>
            <w:pPr>
              <w:spacing w:line="360" w:lineRule="auto"/>
              <w:jc w:val="center"/>
              <w:rPr>
                <w:snapToGrid w:val="0"/>
                <w:kern w:val="0"/>
                <w:szCs w:val="21"/>
              </w:rPr>
            </w:pPr>
            <w:r>
              <w:rPr>
                <w:snapToGrid w:val="0"/>
                <w:kern w:val="0"/>
                <w:szCs w:val="21"/>
              </w:rPr>
              <w:t>考核波形</w:t>
            </w:r>
          </w:p>
        </w:tc>
        <w:tc>
          <w:tcPr>
            <w:tcW w:w="2925" w:type="dxa"/>
            <w:gridSpan w:val="2"/>
            <w:noWrap/>
            <w:vAlign w:val="center"/>
          </w:tcPr>
          <w:p>
            <w:pPr>
              <w:spacing w:line="360" w:lineRule="auto"/>
              <w:jc w:val="center"/>
              <w:rPr>
                <w:snapToGrid w:val="0"/>
                <w:kern w:val="0"/>
                <w:szCs w:val="21"/>
              </w:rPr>
            </w:pPr>
            <w:r>
              <w:rPr>
                <w:snapToGrid w:val="0"/>
                <w:kern w:val="0"/>
                <w:szCs w:val="21"/>
              </w:rPr>
              <w:t>设防烈度</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4361" w:type="dxa"/>
            <w:vMerge w:val="continue"/>
            <w:noWrap/>
            <w:vAlign w:val="center"/>
          </w:tcPr>
          <w:p>
            <w:pPr>
              <w:spacing w:line="360" w:lineRule="auto"/>
              <w:jc w:val="center"/>
              <w:rPr>
                <w:snapToGrid w:val="0"/>
                <w:kern w:val="0"/>
                <w:szCs w:val="21"/>
              </w:rPr>
            </w:pPr>
          </w:p>
        </w:tc>
        <w:tc>
          <w:tcPr>
            <w:tcW w:w="1568" w:type="dxa"/>
            <w:noWrap/>
            <w:vAlign w:val="center"/>
          </w:tcPr>
          <w:p>
            <w:pPr>
              <w:spacing w:line="360" w:lineRule="auto"/>
              <w:jc w:val="center"/>
              <w:rPr>
                <w:snapToGrid w:val="0"/>
                <w:kern w:val="0"/>
                <w:szCs w:val="21"/>
              </w:rPr>
            </w:pPr>
            <w:r>
              <w:rPr>
                <w:snapToGrid w:val="0"/>
                <w:kern w:val="0"/>
                <w:szCs w:val="21"/>
              </w:rPr>
              <w:t>8度</w:t>
            </w:r>
          </w:p>
        </w:tc>
        <w:tc>
          <w:tcPr>
            <w:tcW w:w="1357" w:type="dxa"/>
            <w:noWrap/>
            <w:vAlign w:val="center"/>
          </w:tcPr>
          <w:p>
            <w:pPr>
              <w:spacing w:line="360" w:lineRule="auto"/>
              <w:jc w:val="center"/>
              <w:rPr>
                <w:snapToGrid w:val="0"/>
                <w:kern w:val="0"/>
                <w:szCs w:val="21"/>
              </w:rPr>
            </w:pPr>
            <w:r>
              <w:rPr>
                <w:snapToGrid w:val="0"/>
                <w:kern w:val="0"/>
                <w:szCs w:val="21"/>
              </w:rPr>
              <w:t>9度</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4361" w:type="dxa"/>
            <w:noWrap/>
            <w:vAlign w:val="center"/>
          </w:tcPr>
          <w:p>
            <w:pPr>
              <w:spacing w:line="360" w:lineRule="auto"/>
              <w:jc w:val="center"/>
              <w:rPr>
                <w:snapToGrid w:val="0"/>
                <w:kern w:val="0"/>
                <w:szCs w:val="21"/>
              </w:rPr>
            </w:pPr>
            <w:r>
              <w:rPr>
                <w:snapToGrid w:val="0"/>
                <w:kern w:val="0"/>
                <w:szCs w:val="21"/>
              </w:rPr>
              <w:t>人工合成地震波或实震记录</w:t>
            </w:r>
          </w:p>
        </w:tc>
        <w:tc>
          <w:tcPr>
            <w:tcW w:w="1568" w:type="dxa"/>
            <w:noWrap/>
            <w:vAlign w:val="center"/>
          </w:tcPr>
          <w:p>
            <w:pPr>
              <w:spacing w:line="360" w:lineRule="auto"/>
              <w:jc w:val="center"/>
              <w:rPr>
                <w:snapToGrid w:val="0"/>
                <w:kern w:val="0"/>
                <w:szCs w:val="21"/>
              </w:rPr>
            </w:pPr>
            <w:r>
              <w:rPr>
                <w:snapToGrid w:val="0"/>
                <w:kern w:val="0"/>
                <w:szCs w:val="21"/>
              </w:rPr>
              <w:t>0.25g</w:t>
            </w:r>
          </w:p>
        </w:tc>
        <w:tc>
          <w:tcPr>
            <w:tcW w:w="1357" w:type="dxa"/>
            <w:noWrap/>
            <w:vAlign w:val="center"/>
          </w:tcPr>
          <w:p>
            <w:pPr>
              <w:spacing w:line="360" w:lineRule="auto"/>
              <w:jc w:val="center"/>
              <w:rPr>
                <w:snapToGrid w:val="0"/>
                <w:kern w:val="0"/>
                <w:szCs w:val="21"/>
              </w:rPr>
            </w:pPr>
            <w:r>
              <w:rPr>
                <w:snapToGrid w:val="0"/>
                <w:kern w:val="0"/>
                <w:szCs w:val="21"/>
              </w:rPr>
              <w:t>0.5g</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4361" w:type="dxa"/>
            <w:noWrap/>
            <w:vAlign w:val="center"/>
          </w:tcPr>
          <w:p>
            <w:pPr>
              <w:spacing w:line="360" w:lineRule="auto"/>
              <w:jc w:val="center"/>
              <w:rPr>
                <w:snapToGrid w:val="0"/>
                <w:kern w:val="0"/>
                <w:szCs w:val="21"/>
              </w:rPr>
            </w:pPr>
            <w:r>
              <w:rPr>
                <w:snapToGrid w:val="0"/>
                <w:kern w:val="0"/>
                <w:szCs w:val="21"/>
              </w:rPr>
              <w:t>正弦共振拍波</w:t>
            </w:r>
          </w:p>
        </w:tc>
        <w:tc>
          <w:tcPr>
            <w:tcW w:w="1568" w:type="dxa"/>
            <w:noWrap/>
            <w:vAlign w:val="center"/>
          </w:tcPr>
          <w:p>
            <w:pPr>
              <w:spacing w:line="360" w:lineRule="auto"/>
              <w:jc w:val="center"/>
              <w:rPr>
                <w:snapToGrid w:val="0"/>
                <w:kern w:val="0"/>
                <w:szCs w:val="21"/>
              </w:rPr>
            </w:pPr>
            <w:r>
              <w:rPr>
                <w:snapToGrid w:val="0"/>
                <w:kern w:val="0"/>
                <w:szCs w:val="21"/>
              </w:rPr>
              <w:t>0.15g</w:t>
            </w:r>
          </w:p>
        </w:tc>
        <w:tc>
          <w:tcPr>
            <w:tcW w:w="1357" w:type="dxa"/>
            <w:noWrap/>
            <w:vAlign w:val="center"/>
          </w:tcPr>
          <w:p>
            <w:pPr>
              <w:spacing w:line="360" w:lineRule="auto"/>
              <w:jc w:val="center"/>
              <w:rPr>
                <w:snapToGrid w:val="0"/>
                <w:kern w:val="0"/>
                <w:szCs w:val="21"/>
              </w:rPr>
            </w:pPr>
            <w:r>
              <w:rPr>
                <w:snapToGrid w:val="0"/>
                <w:kern w:val="0"/>
                <w:szCs w:val="21"/>
              </w:rPr>
              <w:t>0.3g</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286" w:type="dxa"/>
            <w:gridSpan w:val="3"/>
            <w:noWrap/>
          </w:tcPr>
          <w:p>
            <w:pPr>
              <w:spacing w:line="360" w:lineRule="auto"/>
              <w:rPr>
                <w:snapToGrid w:val="0"/>
                <w:kern w:val="0"/>
                <w:szCs w:val="21"/>
              </w:rPr>
            </w:pPr>
            <w:r>
              <w:rPr>
                <w:snapToGrid w:val="0"/>
                <w:kern w:val="0"/>
                <w:szCs w:val="21"/>
              </w:rPr>
              <w:t>注：g为地心引力加速度，g=9.8m/s</w:t>
            </w:r>
            <w:r>
              <w:rPr>
                <w:snapToGrid w:val="0"/>
                <w:kern w:val="0"/>
                <w:szCs w:val="21"/>
                <w:vertAlign w:val="superscript"/>
              </w:rPr>
              <w:t>2</w:t>
            </w:r>
          </w:p>
        </w:tc>
      </w:tr>
    </w:tbl>
    <w:p>
      <w:pPr>
        <w:spacing w:line="360" w:lineRule="auto"/>
        <w:ind w:firstLine="420" w:firstLineChars="200"/>
        <w:rPr>
          <w:snapToGrid w:val="0"/>
          <w:kern w:val="0"/>
        </w:rPr>
      </w:pPr>
      <w:r>
        <w:rPr>
          <w:snapToGrid w:val="0"/>
          <w:kern w:val="0"/>
        </w:rPr>
        <w:t>试验方法按GB/T 13540进行。</w:t>
      </w:r>
    </w:p>
    <w:p>
      <w:pPr>
        <w:numPr>
          <w:ilvl w:val="2"/>
          <w:numId w:val="1"/>
        </w:numPr>
        <w:tabs>
          <w:tab w:val="left" w:pos="567"/>
        </w:tabs>
        <w:spacing w:line="360" w:lineRule="auto"/>
      </w:pPr>
      <w:r>
        <w:t>污秽等级</w:t>
      </w:r>
    </w:p>
    <w:p>
      <w:pPr>
        <w:pStyle w:val="15"/>
        <w:spacing w:line="360" w:lineRule="auto"/>
        <w:rPr>
          <w:rFonts w:eastAsia="宋体"/>
          <w:snapToGrid w:val="0"/>
          <w:kern w:val="0"/>
          <w:szCs w:val="22"/>
        </w:rPr>
      </w:pPr>
      <w:r>
        <w:rPr>
          <w:rFonts w:eastAsia="宋体"/>
          <w:snapToGrid w:val="0"/>
          <w:kern w:val="0"/>
          <w:szCs w:val="22"/>
        </w:rPr>
        <w:t>不低于d级，统一爬电比距检查43.3mm/kV（对应III级，爬电比距25mm/kV）。</w:t>
      </w:r>
    </w:p>
    <w:p>
      <w:pPr>
        <w:numPr>
          <w:ilvl w:val="2"/>
          <w:numId w:val="1"/>
        </w:numPr>
        <w:tabs>
          <w:tab w:val="left" w:pos="567"/>
        </w:tabs>
        <w:spacing w:line="360" w:lineRule="auto"/>
      </w:pPr>
      <w:r>
        <w:t>盐害</w:t>
      </w:r>
    </w:p>
    <w:p>
      <w:pPr>
        <w:pStyle w:val="15"/>
        <w:spacing w:line="360" w:lineRule="auto"/>
        <w:rPr>
          <w:rFonts w:eastAsia="宋体"/>
        </w:rPr>
      </w:pPr>
      <w:r>
        <w:rPr>
          <w:rFonts w:eastAsia="宋体"/>
        </w:rPr>
        <w:t>（0.1-0.25）mg/cm</w:t>
      </w:r>
      <w:r>
        <w:rPr>
          <w:rFonts w:eastAsia="宋体"/>
          <w:vertAlign w:val="superscript"/>
        </w:rPr>
        <w:t>2</w:t>
      </w:r>
      <w:r>
        <w:rPr>
          <w:rFonts w:eastAsia="宋体"/>
        </w:rPr>
        <w:t xml:space="preserve">  强电解质。</w:t>
      </w:r>
    </w:p>
    <w:p>
      <w:pPr>
        <w:numPr>
          <w:ilvl w:val="2"/>
          <w:numId w:val="1"/>
        </w:numPr>
        <w:tabs>
          <w:tab w:val="left" w:pos="567"/>
        </w:tabs>
        <w:spacing w:line="360" w:lineRule="auto"/>
      </w:pPr>
      <w:r>
        <w:t>雷电及风暴日数</w:t>
      </w:r>
    </w:p>
    <w:p>
      <w:pPr>
        <w:pStyle w:val="15"/>
        <w:spacing w:line="360" w:lineRule="auto"/>
        <w:rPr>
          <w:rFonts w:eastAsia="宋体"/>
        </w:rPr>
      </w:pPr>
      <w:r>
        <w:rPr>
          <w:rFonts w:eastAsia="宋体"/>
        </w:rPr>
        <w:t>150日/年。</w:t>
      </w:r>
    </w:p>
    <w:p>
      <w:pPr>
        <w:numPr>
          <w:ilvl w:val="2"/>
          <w:numId w:val="1"/>
        </w:numPr>
        <w:tabs>
          <w:tab w:val="left" w:pos="567"/>
        </w:tabs>
        <w:spacing w:line="360" w:lineRule="auto"/>
      </w:pPr>
      <w:r>
        <w:t>日照强度</w:t>
      </w:r>
    </w:p>
    <w:p>
      <w:pPr>
        <w:pStyle w:val="15"/>
        <w:spacing w:line="360" w:lineRule="auto"/>
        <w:rPr>
          <w:rFonts w:eastAsia="宋体"/>
        </w:rPr>
      </w:pPr>
      <w:r>
        <w:rPr>
          <w:rFonts w:eastAsia="宋体"/>
        </w:rPr>
        <w:t>0.1W/cm</w:t>
      </w:r>
      <w:r>
        <w:rPr>
          <w:rFonts w:eastAsia="宋体"/>
          <w:vertAlign w:val="superscript"/>
        </w:rPr>
        <w:t>2</w:t>
      </w:r>
      <w:r>
        <w:rPr>
          <w:rFonts w:eastAsia="宋体"/>
        </w:rPr>
        <w:t>(风速0.5m/s)。</w:t>
      </w:r>
    </w:p>
    <w:p>
      <w:pPr>
        <w:numPr>
          <w:ilvl w:val="2"/>
          <w:numId w:val="1"/>
        </w:numPr>
        <w:tabs>
          <w:tab w:val="left" w:pos="567"/>
        </w:tabs>
        <w:spacing w:line="360" w:lineRule="auto"/>
      </w:pPr>
      <w:r>
        <w:t>安装地点</w:t>
      </w:r>
    </w:p>
    <w:p>
      <w:pPr>
        <w:pStyle w:val="15"/>
        <w:spacing w:line="360" w:lineRule="auto"/>
        <w:rPr>
          <w:rFonts w:eastAsia="宋体"/>
        </w:rPr>
      </w:pPr>
      <w:r>
        <w:rPr>
          <w:rFonts w:eastAsia="宋体"/>
        </w:rPr>
        <w:t>户内、户外遮蔽。</w:t>
      </w:r>
    </w:p>
    <w:p>
      <w:pPr>
        <w:numPr>
          <w:ilvl w:val="1"/>
          <w:numId w:val="1"/>
        </w:numPr>
        <w:spacing w:line="360" w:lineRule="auto"/>
        <w:outlineLvl w:val="1"/>
      </w:pPr>
      <w:bookmarkStart w:id="39" w:name="_Toc292025349"/>
      <w:bookmarkStart w:id="40" w:name="_Toc234"/>
      <w:bookmarkStart w:id="41" w:name="_Toc405368418"/>
      <w:bookmarkStart w:id="42" w:name="_Toc283373625"/>
      <w:bookmarkStart w:id="43" w:name="_Toc279834272"/>
      <w:r>
        <w:t>特殊使用条件</w:t>
      </w:r>
      <w:bookmarkEnd w:id="39"/>
      <w:bookmarkEnd w:id="40"/>
      <w:bookmarkEnd w:id="41"/>
      <w:bookmarkEnd w:id="42"/>
      <w:bookmarkEnd w:id="43"/>
    </w:p>
    <w:p>
      <w:pPr>
        <w:pStyle w:val="15"/>
        <w:spacing w:line="360" w:lineRule="auto"/>
        <w:rPr>
          <w:rFonts w:eastAsia="宋体"/>
        </w:rPr>
      </w:pPr>
      <w:r>
        <w:rPr>
          <w:rFonts w:eastAsia="宋体"/>
        </w:rPr>
        <w:t>塑壳断路器可以在不同于4.1中规定的正常使用条件下使用，这时用户的要求应当在下述特殊使用条件的规定选取。</w:t>
      </w:r>
    </w:p>
    <w:p>
      <w:pPr>
        <w:numPr>
          <w:ilvl w:val="2"/>
          <w:numId w:val="1"/>
        </w:numPr>
        <w:tabs>
          <w:tab w:val="left" w:pos="567"/>
        </w:tabs>
        <w:spacing w:line="360" w:lineRule="auto"/>
      </w:pPr>
      <w:r>
        <w:t>周围空气温度</w:t>
      </w:r>
    </w:p>
    <w:p>
      <w:pPr>
        <w:pStyle w:val="15"/>
        <w:spacing w:line="360" w:lineRule="auto"/>
        <w:rPr>
          <w:rFonts w:eastAsia="宋体"/>
        </w:rPr>
      </w:pPr>
      <w:r>
        <w:rPr>
          <w:rFonts w:eastAsia="宋体"/>
        </w:rPr>
        <w:t>对于周围环境空气温度高于40℃处的设备，其外绝缘在干燥状态下的试验电压应取本标准的额定耐受电压值乘以温度校正因数</w:t>
      </w:r>
      <w:r>
        <w:rPr>
          <w:rFonts w:eastAsia="宋体"/>
          <w:position w:val="-12"/>
        </w:rPr>
        <w:object>
          <v:shape id="_x0000_i1025" o:spt="75" type="#_x0000_t75" style="height:18.35pt;width:14.95pt;" o:ole="t" filled="f" o:preferrelative="t" stroked="f" coordsize="21600,21600">
            <v:path/>
            <v:fill on="f" focussize="0,0"/>
            <v:stroke on="f" joinstyle="miter"/>
            <v:imagedata r:id="rId9" o:title=""/>
            <o:lock v:ext="edit" aspectratio="t"/>
            <w10:wrap type="none"/>
            <w10:anchorlock/>
          </v:shape>
          <o:OLEObject Type="Embed" ProgID="Equation.3" ShapeID="_x0000_i1025" DrawAspect="Content" ObjectID="_1468075725" r:id="rId8">
            <o:LockedField>false</o:LockedField>
          </o:OLEObject>
        </w:object>
      </w:r>
      <w:r>
        <w:rPr>
          <w:rFonts w:eastAsia="宋体"/>
        </w:rPr>
        <w:t>：</w:t>
      </w:r>
    </w:p>
    <w:p>
      <w:pPr>
        <w:spacing w:line="360" w:lineRule="auto"/>
        <w:ind w:firstLine="3675" w:firstLineChars="1750"/>
      </w:pPr>
      <w:r>
        <w:rPr>
          <w:position w:val="-12"/>
        </w:rPr>
        <w:object>
          <v:shape id="_x0000_i1026" o:spt="75" type="#_x0000_t75" style="height:18.35pt;width:114.1pt;" o:ole="t" filled="f" o:preferrelative="t" stroked="f" coordsize="21600,21600">
            <v:path/>
            <v:fill on="f" focussize="0,0"/>
            <v:stroke on="f" joinstyle="miter"/>
            <v:imagedata r:id="rId11" o:title=""/>
            <o:lock v:ext="edit" aspectratio="t"/>
            <w10:wrap type="none"/>
            <w10:anchorlock/>
          </v:shape>
          <o:OLEObject Type="Embed" ProgID="Equation.3" ShapeID="_x0000_i1026" DrawAspect="Content" ObjectID="_1468075726" r:id="rId10">
            <o:LockedField>false</o:LockedField>
          </o:OLEObject>
        </w:object>
      </w:r>
    </w:p>
    <w:p>
      <w:pPr>
        <w:pStyle w:val="15"/>
        <w:spacing w:line="360" w:lineRule="auto"/>
        <w:rPr>
          <w:rFonts w:eastAsia="宋体"/>
        </w:rPr>
      </w:pPr>
      <w:r>
        <w:rPr>
          <w:rFonts w:eastAsia="宋体"/>
        </w:rPr>
        <w:t>式中：</w:t>
      </w:r>
      <w:r>
        <w:rPr>
          <w:rFonts w:hint="eastAsia" w:eastAsia="宋体"/>
          <w:i/>
          <w:iCs/>
        </w:rPr>
        <w:t>T</w:t>
      </w:r>
      <w:r>
        <w:rPr>
          <w:rFonts w:eastAsia="宋体"/>
        </w:rPr>
        <w:t>——环境空气温度，℃。</w:t>
      </w:r>
    </w:p>
    <w:p>
      <w:pPr>
        <w:numPr>
          <w:ilvl w:val="2"/>
          <w:numId w:val="1"/>
        </w:numPr>
        <w:tabs>
          <w:tab w:val="left" w:pos="567"/>
        </w:tabs>
        <w:spacing w:line="360" w:lineRule="auto"/>
      </w:pPr>
      <w:r>
        <w:t>海拔高度</w:t>
      </w:r>
    </w:p>
    <w:p>
      <w:pPr>
        <w:pStyle w:val="15"/>
        <w:spacing w:line="360" w:lineRule="auto"/>
        <w:rPr>
          <w:rFonts w:eastAsia="宋体"/>
        </w:rPr>
      </w:pPr>
      <w:r>
        <w:rPr>
          <w:rFonts w:eastAsia="宋体"/>
        </w:rPr>
        <w:t>对于安装在海拔高于1000m处的设备，外绝缘在使用地点的绝缘耐受水平应为额定绝缘水平乘以海拔修正系数</w:t>
      </w:r>
      <w:r>
        <w:rPr>
          <w:rFonts w:eastAsia="宋体"/>
          <w:position w:val="-12"/>
        </w:rPr>
        <w:object>
          <v:shape id="_x0000_i1027" o:spt="75" type="#_x0000_t75" style="height:18.35pt;width:17pt;" o:ole="t" filled="f" o:preferrelative="t" stroked="f" coordsize="21600,21600">
            <v:path/>
            <v:fill on="f" focussize="0,0"/>
            <v:stroke on="f" joinstyle="miter"/>
            <v:imagedata r:id="rId13" o:title=""/>
            <o:lock v:ext="edit" aspectratio="t"/>
            <w10:wrap type="none"/>
            <w10:anchorlock/>
          </v:shape>
          <o:OLEObject Type="Embed" ProgID="Equation.3" ShapeID="_x0000_i1027" DrawAspect="Content" ObjectID="_1468075727" r:id="rId12">
            <o:LockedField>false</o:LockedField>
          </o:OLEObject>
        </w:object>
      </w:r>
      <w:r>
        <w:rPr>
          <w:rFonts w:eastAsia="宋体"/>
        </w:rPr>
        <w:t>。海拔修正系数</w:t>
      </w:r>
      <w:r>
        <w:rPr>
          <w:rFonts w:eastAsia="宋体"/>
          <w:position w:val="-12"/>
        </w:rPr>
        <w:object>
          <v:shape id="_x0000_i1028" o:spt="75" type="#_x0000_t75" style="height:18.35pt;width:17pt;" o:ole="t" filled="f" o:preferrelative="t" stroked="f" coordsize="21600,21600">
            <v:path/>
            <v:fill on="f" focussize="0,0"/>
            <v:stroke on="f" joinstyle="miter"/>
            <v:imagedata r:id="rId13" o:title=""/>
            <o:lock v:ext="edit" aspectratio="t"/>
            <w10:wrap type="none"/>
            <w10:anchorlock/>
          </v:shape>
          <o:OLEObject Type="Embed" ProgID="Equation.3" ShapeID="_x0000_i1028" DrawAspect="Content" ObjectID="_1468075728" r:id="rId14">
            <o:LockedField>false</o:LockedField>
          </o:OLEObject>
        </w:object>
      </w:r>
      <w:r>
        <w:rPr>
          <w:rFonts w:eastAsia="宋体"/>
        </w:rPr>
        <w:t>可按下式计算，且对于海拔1000m及以下不需要修正：</w:t>
      </w:r>
    </w:p>
    <w:p>
      <w:pPr>
        <w:spacing w:line="360" w:lineRule="auto"/>
        <w:jc w:val="center"/>
        <w:rPr>
          <w:snapToGrid w:val="0"/>
          <w:kern w:val="0"/>
        </w:rPr>
      </w:pPr>
      <w:r>
        <w:rPr>
          <w:position w:val="-14"/>
        </w:rPr>
        <w:object>
          <v:shape id="_x0000_i1029" o:spt="75" type="#_x0000_t75" style="height:17.65pt;width:85.6pt;" o:ole="t" filled="f" o:preferrelative="t" stroked="f" coordsize="21600,21600">
            <v:path/>
            <v:fill on="f" focussize="0,0"/>
            <v:stroke on="f" joinstyle="miter"/>
            <v:imagedata r:id="rId16" o:title=""/>
            <o:lock v:ext="edit" aspectratio="t"/>
            <w10:wrap type="none"/>
            <w10:anchorlock/>
          </v:shape>
          <o:OLEObject Type="Embed" ProgID="Equation.DSMT4" ShapeID="_x0000_i1029" DrawAspect="Content" ObjectID="_1468075729" r:id="rId15">
            <o:LockedField>false</o:LockedField>
          </o:OLEObject>
        </w:object>
      </w:r>
    </w:p>
    <w:p>
      <w:pPr>
        <w:pStyle w:val="15"/>
        <w:spacing w:line="360" w:lineRule="auto"/>
        <w:rPr>
          <w:rFonts w:eastAsia="宋体"/>
        </w:rPr>
      </w:pPr>
      <w:r>
        <w:rPr>
          <w:rFonts w:eastAsia="宋体"/>
        </w:rPr>
        <w:t>式中：</w:t>
      </w:r>
      <w:r>
        <w:rPr>
          <w:rFonts w:eastAsia="宋体"/>
          <w:i/>
          <w:iCs/>
        </w:rPr>
        <w:t>H</w:t>
      </w:r>
      <w:r>
        <w:rPr>
          <w:rFonts w:eastAsia="宋体"/>
        </w:rPr>
        <w:t>是海拔，用米表示。</w:t>
      </w:r>
    </w:p>
    <w:p>
      <w:pPr>
        <w:pStyle w:val="15"/>
        <w:spacing w:line="360" w:lineRule="auto"/>
        <w:rPr>
          <w:rFonts w:eastAsia="宋体"/>
        </w:rPr>
      </w:pPr>
      <w:r>
        <w:rPr>
          <w:rFonts w:eastAsia="宋体"/>
        </w:rPr>
        <w:t>为了简单起见，</w:t>
      </w:r>
      <w:r>
        <w:rPr>
          <w:rFonts w:eastAsia="宋体"/>
          <w:i/>
          <w:iCs/>
        </w:rPr>
        <w:t>m</w:t>
      </w:r>
      <w:r>
        <w:rPr>
          <w:rFonts w:eastAsia="宋体"/>
        </w:rPr>
        <w:t>取下述的确定值：</w:t>
      </w:r>
    </w:p>
    <w:p>
      <w:pPr>
        <w:numPr>
          <w:ilvl w:val="0"/>
          <w:numId w:val="5"/>
        </w:numPr>
        <w:spacing w:line="360" w:lineRule="auto"/>
        <w:rPr>
          <w:snapToGrid w:val="0"/>
          <w:kern w:val="0"/>
          <w:szCs w:val="21"/>
        </w:rPr>
      </w:pPr>
      <w:r>
        <w:rPr>
          <w:i/>
          <w:snapToGrid w:val="0"/>
          <w:kern w:val="0"/>
          <w:szCs w:val="21"/>
        </w:rPr>
        <w:t>m</w:t>
      </w:r>
      <w:r>
        <w:rPr>
          <w:snapToGrid w:val="0"/>
          <w:kern w:val="0"/>
          <w:szCs w:val="21"/>
        </w:rPr>
        <w:t>=1    对于工频、雷电冲击和相间操作冲击电压；</w:t>
      </w:r>
    </w:p>
    <w:p>
      <w:pPr>
        <w:numPr>
          <w:ilvl w:val="0"/>
          <w:numId w:val="5"/>
        </w:numPr>
        <w:spacing w:line="360" w:lineRule="auto"/>
        <w:rPr>
          <w:snapToGrid w:val="0"/>
          <w:kern w:val="0"/>
          <w:szCs w:val="21"/>
        </w:rPr>
      </w:pPr>
      <w:r>
        <w:rPr>
          <w:i/>
          <w:snapToGrid w:val="0"/>
          <w:kern w:val="0"/>
          <w:szCs w:val="21"/>
        </w:rPr>
        <w:t>m</w:t>
      </w:r>
      <w:r>
        <w:rPr>
          <w:snapToGrid w:val="0"/>
          <w:kern w:val="0"/>
          <w:szCs w:val="21"/>
        </w:rPr>
        <w:t>=0.9   对于纵绝缘操作冲击电压；</w:t>
      </w:r>
    </w:p>
    <w:p>
      <w:pPr>
        <w:numPr>
          <w:ilvl w:val="0"/>
          <w:numId w:val="5"/>
        </w:numPr>
        <w:spacing w:line="360" w:lineRule="auto"/>
        <w:rPr>
          <w:snapToGrid w:val="0"/>
          <w:kern w:val="0"/>
        </w:rPr>
      </w:pPr>
      <w:r>
        <w:rPr>
          <w:i/>
          <w:snapToGrid w:val="0"/>
          <w:kern w:val="0"/>
          <w:szCs w:val="21"/>
        </w:rPr>
        <w:t>m</w:t>
      </w:r>
      <w:r>
        <w:rPr>
          <w:snapToGrid w:val="0"/>
          <w:kern w:val="0"/>
          <w:szCs w:val="21"/>
        </w:rPr>
        <w:t>=0.75  对于相对地操作冲击电压。</w:t>
      </w:r>
    </w:p>
    <w:p>
      <w:pPr>
        <w:pStyle w:val="15"/>
        <w:spacing w:line="360" w:lineRule="auto"/>
        <w:rPr>
          <w:rFonts w:eastAsia="宋体"/>
        </w:rPr>
      </w:pPr>
      <w:r>
        <w:rPr>
          <w:rFonts w:eastAsia="宋体"/>
        </w:rPr>
        <w:t>操作冲击的</w:t>
      </w:r>
      <w:r>
        <w:rPr>
          <w:rFonts w:eastAsia="宋体"/>
          <w:i/>
          <w:iCs/>
        </w:rPr>
        <w:t>m</w:t>
      </w:r>
      <w:r>
        <w:rPr>
          <w:rFonts w:eastAsia="宋体"/>
        </w:rPr>
        <w:t>取值可参考IEC 60071-2的4.2.2。</w:t>
      </w:r>
    </w:p>
    <w:p>
      <w:pPr>
        <w:pStyle w:val="16"/>
        <w:widowControl w:val="0"/>
        <w:tabs>
          <w:tab w:val="clear" w:pos="360"/>
        </w:tabs>
        <w:spacing w:line="360" w:lineRule="auto"/>
        <w:ind w:left="426"/>
        <w:rPr>
          <w:rFonts w:ascii="Times New Roman"/>
        </w:rPr>
      </w:pPr>
      <w:r>
        <w:rPr>
          <w:rFonts w:ascii="Times New Roman"/>
        </w:rPr>
        <w:t>注1：在任一海拔处，内绝缘的绝缘特性是相同的，不需采取特别的措施。外绝缘和内绝缘的定义见GB/T 311.2。</w:t>
      </w:r>
    </w:p>
    <w:p>
      <w:pPr>
        <w:pStyle w:val="16"/>
        <w:widowControl w:val="0"/>
        <w:tabs>
          <w:tab w:val="clear" w:pos="360"/>
        </w:tabs>
        <w:spacing w:line="360" w:lineRule="auto"/>
        <w:ind w:left="426"/>
        <w:rPr>
          <w:rFonts w:ascii="Times New Roman"/>
        </w:rPr>
      </w:pPr>
      <w:r>
        <w:rPr>
          <w:rFonts w:ascii="Times New Roman"/>
        </w:rPr>
        <w:t>注2：对于低压辅助设备和控制设备，海拔低于2000m时，不需采取特别措施。对于更高的海拔，需采取的措施见GB/T 16935。</w:t>
      </w:r>
    </w:p>
    <w:p>
      <w:pPr>
        <w:pStyle w:val="16"/>
        <w:widowControl w:val="0"/>
        <w:tabs>
          <w:tab w:val="clear" w:pos="360"/>
        </w:tabs>
        <w:spacing w:line="360" w:lineRule="auto"/>
        <w:ind w:left="426"/>
        <w:rPr>
          <w:rFonts w:ascii="Times New Roman"/>
        </w:rPr>
      </w:pPr>
      <w:r>
        <w:rPr>
          <w:rFonts w:ascii="Times New Roman"/>
        </w:rPr>
        <w:t>注3：海拔高度可参照下列要求确定：</w:t>
      </w:r>
    </w:p>
    <w:p>
      <w:pPr>
        <w:pStyle w:val="16"/>
        <w:widowControl w:val="0"/>
        <w:tabs>
          <w:tab w:val="clear" w:pos="360"/>
        </w:tabs>
        <w:spacing w:line="360" w:lineRule="auto"/>
        <w:ind w:left="426" w:firstLine="424" w:firstLineChars="236"/>
        <w:rPr>
          <w:rFonts w:ascii="Times New Roman"/>
        </w:rPr>
      </w:pPr>
      <w:r>
        <w:rPr>
          <w:rFonts w:ascii="Times New Roman"/>
        </w:rPr>
        <w:t>a. 海拔在1000～2000m范围，设备外绝缘水平按2000m海拔修正；</w:t>
      </w:r>
    </w:p>
    <w:p>
      <w:pPr>
        <w:pStyle w:val="16"/>
        <w:widowControl w:val="0"/>
        <w:tabs>
          <w:tab w:val="clear" w:pos="360"/>
        </w:tabs>
        <w:spacing w:line="360" w:lineRule="auto"/>
        <w:ind w:left="426" w:firstLine="424" w:firstLineChars="236"/>
        <w:rPr>
          <w:rFonts w:ascii="Times New Roman"/>
        </w:rPr>
      </w:pPr>
      <w:r>
        <w:rPr>
          <w:rFonts w:ascii="Times New Roman"/>
        </w:rPr>
        <w:t>b. 海拔在2000～2500m范围，设备外绝缘水平按2500m海拔修正；</w:t>
      </w:r>
    </w:p>
    <w:p>
      <w:pPr>
        <w:pStyle w:val="16"/>
        <w:widowControl w:val="0"/>
        <w:tabs>
          <w:tab w:val="clear" w:pos="360"/>
        </w:tabs>
        <w:spacing w:line="360" w:lineRule="auto"/>
        <w:ind w:left="426" w:firstLine="424" w:firstLineChars="236"/>
        <w:rPr>
          <w:rFonts w:ascii="Times New Roman"/>
        </w:rPr>
      </w:pPr>
      <w:r>
        <w:rPr>
          <w:rFonts w:ascii="Times New Roman"/>
        </w:rPr>
        <w:t>c. 海拔在2500～3000m范围，设备外绝缘水平按3000m海拔修正；</w:t>
      </w:r>
    </w:p>
    <w:p>
      <w:pPr>
        <w:pStyle w:val="16"/>
        <w:widowControl w:val="0"/>
        <w:tabs>
          <w:tab w:val="clear" w:pos="360"/>
        </w:tabs>
        <w:spacing w:line="360" w:lineRule="auto"/>
        <w:ind w:left="426" w:firstLine="424" w:firstLineChars="236"/>
        <w:rPr>
          <w:rFonts w:ascii="Times New Roman"/>
        </w:rPr>
      </w:pPr>
      <w:r>
        <w:rPr>
          <w:rFonts w:ascii="Times New Roman"/>
        </w:rPr>
        <w:t>d. 海拔高于3000m，应考虑实际运行地点的环境，经专题研究后确定。</w:t>
      </w:r>
    </w:p>
    <w:p>
      <w:pPr>
        <w:numPr>
          <w:ilvl w:val="2"/>
          <w:numId w:val="1"/>
        </w:numPr>
        <w:tabs>
          <w:tab w:val="left" w:pos="567"/>
        </w:tabs>
        <w:spacing w:line="360" w:lineRule="auto"/>
      </w:pPr>
      <w:r>
        <w:t>覆冰厚度</w:t>
      </w:r>
    </w:p>
    <w:p>
      <w:pPr>
        <w:pStyle w:val="15"/>
        <w:spacing w:line="360" w:lineRule="auto"/>
        <w:rPr>
          <w:rFonts w:eastAsia="宋体"/>
        </w:rPr>
      </w:pPr>
      <w:r>
        <w:rPr>
          <w:rFonts w:eastAsia="宋体"/>
        </w:rPr>
        <w:t>按30mm考虑，超过30mm的覆冰厚度由制造厂和用户协商。</w:t>
      </w:r>
    </w:p>
    <w:bookmarkEnd w:id="31"/>
    <w:bookmarkEnd w:id="32"/>
    <w:bookmarkEnd w:id="33"/>
    <w:p>
      <w:pPr>
        <w:pStyle w:val="2"/>
        <w:numPr>
          <w:ilvl w:val="0"/>
          <w:numId w:val="1"/>
        </w:numPr>
        <w:tabs>
          <w:tab w:val="left" w:pos="425"/>
        </w:tabs>
        <w:spacing w:line="360" w:lineRule="auto"/>
        <w:rPr>
          <w:sz w:val="21"/>
          <w:szCs w:val="21"/>
        </w:rPr>
      </w:pPr>
      <w:bookmarkStart w:id="44" w:name="_Toc13354"/>
      <w:r>
        <w:rPr>
          <w:sz w:val="21"/>
          <w:szCs w:val="21"/>
        </w:rPr>
        <w:t>技术要求</w:t>
      </w:r>
      <w:bookmarkEnd w:id="44"/>
    </w:p>
    <w:p>
      <w:pPr>
        <w:numPr>
          <w:ilvl w:val="1"/>
          <w:numId w:val="1"/>
        </w:numPr>
        <w:spacing w:line="360" w:lineRule="auto"/>
        <w:outlineLvl w:val="1"/>
      </w:pPr>
      <w:bookmarkStart w:id="45" w:name="_Toc14078"/>
      <w:r>
        <w:t>技术参数</w:t>
      </w:r>
      <w:bookmarkEnd w:id="45"/>
    </w:p>
    <w:p>
      <w:pPr>
        <w:spacing w:line="360" w:lineRule="auto"/>
        <w:ind w:firstLine="420" w:firstLineChars="200"/>
      </w:pPr>
      <w:r>
        <w:t>具体技术参数见技术规范书专用部分的技术参数表。</w:t>
      </w:r>
    </w:p>
    <w:p>
      <w:pPr>
        <w:numPr>
          <w:ilvl w:val="1"/>
          <w:numId w:val="1"/>
        </w:numPr>
        <w:spacing w:line="360" w:lineRule="auto"/>
        <w:outlineLvl w:val="1"/>
      </w:pPr>
      <w:bookmarkStart w:id="46" w:name="_Toc7737"/>
      <w:r>
        <w:t>结构要求</w:t>
      </w:r>
      <w:bookmarkEnd w:id="46"/>
    </w:p>
    <w:p>
      <w:pPr>
        <w:spacing w:line="360" w:lineRule="auto"/>
      </w:pPr>
      <w:r>
        <w:t>5.2.1机械结构</w:t>
      </w:r>
    </w:p>
    <w:p>
      <w:pPr>
        <w:spacing w:line="360" w:lineRule="auto"/>
        <w:jc w:val="left"/>
      </w:pPr>
      <w:r>
        <w:t>5.2.1.1一般要求</w:t>
      </w:r>
    </w:p>
    <w:p>
      <w:pPr>
        <w:spacing w:line="360" w:lineRule="auto"/>
        <w:ind w:firstLine="420" w:firstLineChars="200"/>
      </w:pPr>
      <w:r>
        <w:t>在正常使用条件下性能可靠，对操作者或周围环境无危险，也不危及相邻设备。</w:t>
      </w:r>
    </w:p>
    <w:p>
      <w:pPr>
        <w:spacing w:line="360" w:lineRule="auto"/>
        <w:jc w:val="left"/>
      </w:pPr>
      <w:r>
        <w:t>5.2.1.2外观</w:t>
      </w:r>
    </w:p>
    <w:p>
      <w:pPr>
        <w:spacing w:line="360" w:lineRule="auto"/>
        <w:ind w:firstLine="420" w:firstLineChars="200"/>
      </w:pPr>
      <w:r>
        <w:t>1）</w:t>
      </w:r>
      <w:r>
        <w:rPr>
          <w:szCs w:val="21"/>
        </w:rPr>
        <w:t>塑壳断路器</w:t>
      </w:r>
      <w:r>
        <w:t>的金属零件应采取适当的镀、涂层防蚀。金属零件不应有裂纹、麻点及镀层脱落。塑料制件表面应光滑，不应有气泡、裂纹、麻点等缺陷。</w:t>
      </w:r>
    </w:p>
    <w:p>
      <w:pPr>
        <w:spacing w:line="360" w:lineRule="auto"/>
        <w:ind w:firstLine="420" w:firstLineChars="200"/>
      </w:pPr>
      <w:r>
        <w:t>2）操作断路器时，容易触及的外部零件应用绝缘材料制成。</w:t>
      </w:r>
    </w:p>
    <w:p>
      <w:pPr>
        <w:spacing w:line="360" w:lineRule="auto"/>
      </w:pPr>
      <w:r>
        <w:t>5.2.1.3 机构</w:t>
      </w:r>
    </w:p>
    <w:p>
      <w:pPr>
        <w:spacing w:line="360" w:lineRule="auto"/>
        <w:ind w:firstLine="420" w:firstLineChars="200"/>
      </w:pPr>
      <w:r>
        <w:t xml:space="preserve">1）断路器的操作部件必须灵活可靠，具有自由脱扣机构； </w:t>
      </w:r>
    </w:p>
    <w:p>
      <w:pPr>
        <w:spacing w:line="360" w:lineRule="auto"/>
        <w:ind w:firstLine="420" w:firstLineChars="200"/>
      </w:pPr>
      <w:r>
        <w:t>2）断路器的结构应使动触头只能置于闭合或断开的位置。</w:t>
      </w:r>
    </w:p>
    <w:p>
      <w:pPr>
        <w:spacing w:line="360" w:lineRule="auto"/>
        <w:ind w:firstLine="420" w:firstLineChars="200"/>
      </w:pPr>
      <w:r>
        <w:t>3）断路器具有可用手动分闸和闭合的操作手柄，操作手柄应固定可靠，不能取下。操作手柄和带电部件之间应有良好的绝缘以保证安全。</w:t>
      </w:r>
    </w:p>
    <w:p>
      <w:pPr>
        <w:spacing w:line="360" w:lineRule="auto"/>
      </w:pPr>
      <w:r>
        <w:t>5.2.1.4动作指示器和操作件</w:t>
      </w:r>
    </w:p>
    <w:p>
      <w:pPr>
        <w:spacing w:line="360" w:lineRule="auto"/>
        <w:ind w:firstLine="420" w:firstLineChars="200"/>
      </w:pPr>
      <w:r>
        <w:t>1）断路器应用适当的方法指示其触头的闭合和断开位置。</w:t>
      </w:r>
    </w:p>
    <w:p>
      <w:pPr>
        <w:spacing w:line="360" w:lineRule="auto"/>
        <w:ind w:firstLine="420" w:firstLineChars="200"/>
      </w:pPr>
      <w:r>
        <w:t>2）应有能用手动闭合和断开动触头的操作部件，操作件可用来指示触头位置，用</w:t>
      </w:r>
      <w:r>
        <w:rPr>
          <w:rFonts w:hint="eastAsia"/>
        </w:rPr>
        <w:t>“</w:t>
      </w:r>
      <w:r>
        <w:t>|</w:t>
      </w:r>
      <w:r>
        <w:rPr>
          <w:rFonts w:hint="eastAsia"/>
        </w:rPr>
        <w:t>”（</w:t>
      </w:r>
      <w:r>
        <w:t>或</w:t>
      </w:r>
      <w:r>
        <w:rPr>
          <w:rFonts w:hint="eastAsia"/>
        </w:rPr>
        <w:t>“</w:t>
      </w:r>
      <w:r>
        <w:t>合</w:t>
      </w:r>
      <w:r>
        <w:rPr>
          <w:rFonts w:hint="eastAsia"/>
        </w:rPr>
        <w:t>”</w:t>
      </w:r>
      <w:r>
        <w:t>、</w:t>
      </w:r>
      <w:r>
        <w:rPr>
          <w:rFonts w:hint="eastAsia"/>
        </w:rPr>
        <w:t>“</w:t>
      </w:r>
      <w:r>
        <w:t>ON</w:t>
      </w:r>
      <w:r>
        <w:rPr>
          <w:rFonts w:hint="eastAsia"/>
        </w:rPr>
        <w:t>”）</w:t>
      </w:r>
      <w:r>
        <w:t>表示闭合位置，用</w:t>
      </w:r>
      <w:r>
        <w:rPr>
          <w:rFonts w:hint="eastAsia"/>
        </w:rPr>
        <w:t>“</w:t>
      </w:r>
      <w:r>
        <w:t>○</w:t>
      </w:r>
      <w:r>
        <w:rPr>
          <w:rFonts w:hint="eastAsia"/>
        </w:rPr>
        <w:t>”（</w:t>
      </w:r>
      <w:r>
        <w:t>或</w:t>
      </w:r>
      <w:r>
        <w:rPr>
          <w:rFonts w:hint="eastAsia"/>
        </w:rPr>
        <w:t>“</w:t>
      </w:r>
      <w:r>
        <w:t>分</w:t>
      </w:r>
      <w:r>
        <w:rPr>
          <w:rFonts w:hint="eastAsia"/>
        </w:rPr>
        <w:t>”</w:t>
      </w:r>
      <w:r>
        <w:t>、</w:t>
      </w:r>
      <w:r>
        <w:rPr>
          <w:rFonts w:hint="eastAsia"/>
        </w:rPr>
        <w:t>“</w:t>
      </w:r>
      <w:r>
        <w:t>OFF</w:t>
      </w:r>
      <w:r>
        <w:rPr>
          <w:rFonts w:hint="eastAsia"/>
        </w:rPr>
        <w:t>”）</w:t>
      </w:r>
      <w:r>
        <w:t>表示断开位置。</w:t>
      </w:r>
    </w:p>
    <w:p>
      <w:pPr>
        <w:spacing w:line="360" w:lineRule="auto"/>
        <w:ind w:firstLine="420" w:firstLineChars="200"/>
      </w:pPr>
      <w:r>
        <w:t>3）触头位置指示装置应该可靠。断路器的设计应使得操作件、面板或盖子只能固定在正确的位置，以确保正确指示触头位置。如果用操作件来指示触头的位置，脱扣时操作件应自动地位于与动触头位置相对应的位置。在这种情况下，操作件应有两个明显不同的与触头位置相应的停止位置。</w:t>
      </w:r>
    </w:p>
    <w:p>
      <w:pPr>
        <w:spacing w:line="360" w:lineRule="auto"/>
      </w:pPr>
      <w:r>
        <w:t>5.2.3 外形结构</w:t>
      </w:r>
    </w:p>
    <w:p>
      <w:pPr>
        <w:spacing w:line="360" w:lineRule="auto"/>
      </w:pPr>
      <w:r>
        <w:t>5.2.3.1塑壳断路器采用电子脱扣器，额定电流值连续可调。</w:t>
      </w:r>
    </w:p>
    <w:p>
      <w:pPr>
        <w:spacing w:line="360" w:lineRule="auto"/>
        <w:rPr>
          <w:rFonts w:hint="eastAsia" w:eastAsia="宋体"/>
          <w:lang w:eastAsia="zh-CN"/>
        </w:rPr>
      </w:pPr>
      <w:r>
        <w:t>5.2.3.2尺寸</w:t>
      </w:r>
    </w:p>
    <w:p>
      <w:pPr>
        <w:spacing w:line="360" w:lineRule="auto"/>
        <w:ind w:firstLine="420" w:firstLineChars="200"/>
      </w:pPr>
      <w:r>
        <w:t>尺寸图如5.2.3.3，L、W、H、W4、W5、H1等尺寸为最大或最小限值，L1、L2、A、W1、W2、W3</w:t>
      </w:r>
      <w:r>
        <w:rPr>
          <w:color w:val="000000"/>
          <w:kern w:val="0"/>
          <w:szCs w:val="21"/>
        </w:rPr>
        <w:t>为尺寸及偏差值。</w:t>
      </w:r>
    </w:p>
    <w:p>
      <w:pPr>
        <w:spacing w:line="360" w:lineRule="auto"/>
        <w:jc w:val="center"/>
      </w:pPr>
      <w:r>
        <w:t>表5-1 断路器尺寸应不大于下表所标注尺寸（单位：mm）</w:t>
      </w:r>
    </w:p>
    <w:tbl>
      <w:tblPr>
        <w:tblStyle w:val="11"/>
        <w:tblW w:w="9073" w:type="dxa"/>
        <w:jc w:val="center"/>
        <w:tblLayout w:type="fixed"/>
        <w:tblCellMar>
          <w:top w:w="0" w:type="dxa"/>
          <w:left w:w="108" w:type="dxa"/>
          <w:bottom w:w="0" w:type="dxa"/>
          <w:right w:w="108" w:type="dxa"/>
        </w:tblCellMar>
      </w:tblPr>
      <w:tblGrid>
        <w:gridCol w:w="597"/>
        <w:gridCol w:w="666"/>
        <w:gridCol w:w="829"/>
        <w:gridCol w:w="860"/>
        <w:gridCol w:w="767"/>
        <w:gridCol w:w="822"/>
        <w:gridCol w:w="704"/>
        <w:gridCol w:w="709"/>
        <w:gridCol w:w="821"/>
        <w:gridCol w:w="733"/>
        <w:gridCol w:w="714"/>
        <w:gridCol w:w="851"/>
      </w:tblGrid>
      <w:tr>
        <w:tblPrEx>
          <w:tblCellMar>
            <w:top w:w="0" w:type="dxa"/>
            <w:left w:w="108" w:type="dxa"/>
            <w:bottom w:w="0" w:type="dxa"/>
            <w:right w:w="108" w:type="dxa"/>
          </w:tblCellMar>
        </w:tblPrEx>
        <w:trPr>
          <w:trHeight w:val="630" w:hRule="atLeast"/>
          <w:tblHeader/>
          <w:jc w:val="center"/>
        </w:trPr>
        <w:tc>
          <w:tcPr>
            <w:tcW w:w="1263" w:type="dxa"/>
            <w:gridSpan w:val="2"/>
            <w:tcBorders>
              <w:top w:val="single" w:color="auto" w:sz="8" w:space="0"/>
              <w:left w:val="single" w:color="auto" w:sz="8" w:space="0"/>
              <w:bottom w:val="single" w:color="auto" w:sz="8" w:space="0"/>
              <w:right w:val="single" w:color="auto" w:sz="8" w:space="0"/>
            </w:tcBorders>
            <w:noWrap/>
            <w:vAlign w:val="center"/>
          </w:tcPr>
          <w:p>
            <w:pPr>
              <w:widowControl/>
              <w:jc w:val="center"/>
              <w:rPr>
                <w:color w:val="000000"/>
                <w:kern w:val="0"/>
                <w:szCs w:val="21"/>
              </w:rPr>
            </w:pPr>
            <w:r>
              <w:rPr>
                <w:color w:val="000000"/>
                <w:kern w:val="0"/>
                <w:szCs w:val="21"/>
              </w:rPr>
              <w:t>壳架等级</w:t>
            </w:r>
          </w:p>
        </w:tc>
        <w:tc>
          <w:tcPr>
            <w:tcW w:w="1689" w:type="dxa"/>
            <w:gridSpan w:val="2"/>
            <w:tcBorders>
              <w:top w:val="single" w:color="auto" w:sz="8" w:space="0"/>
              <w:left w:val="nil"/>
              <w:bottom w:val="single" w:color="auto" w:sz="8" w:space="0"/>
              <w:right w:val="single" w:color="auto" w:sz="8" w:space="0"/>
            </w:tcBorders>
            <w:noWrap/>
            <w:vAlign w:val="center"/>
          </w:tcPr>
          <w:p>
            <w:pPr>
              <w:widowControl/>
              <w:jc w:val="center"/>
              <w:rPr>
                <w:color w:val="000000"/>
                <w:kern w:val="0"/>
                <w:szCs w:val="21"/>
              </w:rPr>
            </w:pPr>
            <w:r>
              <w:rPr>
                <w:color w:val="000000"/>
                <w:kern w:val="0"/>
                <w:szCs w:val="21"/>
              </w:rPr>
              <w:t>125A</w:t>
            </w:r>
          </w:p>
        </w:tc>
        <w:tc>
          <w:tcPr>
            <w:tcW w:w="1589" w:type="dxa"/>
            <w:gridSpan w:val="2"/>
            <w:tcBorders>
              <w:top w:val="single" w:color="auto" w:sz="8" w:space="0"/>
              <w:left w:val="nil"/>
              <w:bottom w:val="single" w:color="auto" w:sz="8" w:space="0"/>
              <w:right w:val="single" w:color="auto" w:sz="8" w:space="0"/>
            </w:tcBorders>
            <w:noWrap/>
            <w:vAlign w:val="center"/>
          </w:tcPr>
          <w:p>
            <w:pPr>
              <w:widowControl/>
              <w:jc w:val="center"/>
              <w:rPr>
                <w:color w:val="000000"/>
                <w:kern w:val="0"/>
                <w:szCs w:val="21"/>
              </w:rPr>
            </w:pPr>
            <w:r>
              <w:rPr>
                <w:color w:val="000000"/>
                <w:kern w:val="0"/>
                <w:szCs w:val="21"/>
              </w:rPr>
              <w:t>250A</w:t>
            </w:r>
          </w:p>
        </w:tc>
        <w:tc>
          <w:tcPr>
            <w:tcW w:w="1413" w:type="dxa"/>
            <w:gridSpan w:val="2"/>
            <w:tcBorders>
              <w:top w:val="single" w:color="auto" w:sz="8" w:space="0"/>
              <w:left w:val="nil"/>
              <w:bottom w:val="single" w:color="auto" w:sz="8" w:space="0"/>
              <w:right w:val="single" w:color="auto" w:sz="8" w:space="0"/>
            </w:tcBorders>
            <w:noWrap/>
            <w:vAlign w:val="center"/>
          </w:tcPr>
          <w:p>
            <w:pPr>
              <w:widowControl/>
              <w:jc w:val="center"/>
              <w:rPr>
                <w:color w:val="000000"/>
                <w:kern w:val="0"/>
                <w:szCs w:val="21"/>
              </w:rPr>
            </w:pPr>
            <w:r>
              <w:rPr>
                <w:color w:val="000000"/>
                <w:kern w:val="0"/>
                <w:szCs w:val="21"/>
              </w:rPr>
              <w:t>400A</w:t>
            </w:r>
          </w:p>
        </w:tc>
        <w:tc>
          <w:tcPr>
            <w:tcW w:w="1554" w:type="dxa"/>
            <w:gridSpan w:val="2"/>
            <w:tcBorders>
              <w:top w:val="single" w:color="auto" w:sz="8" w:space="0"/>
              <w:left w:val="nil"/>
              <w:bottom w:val="single" w:color="auto" w:sz="8" w:space="0"/>
              <w:right w:val="single" w:color="auto" w:sz="8" w:space="0"/>
            </w:tcBorders>
            <w:noWrap/>
            <w:vAlign w:val="center"/>
          </w:tcPr>
          <w:p>
            <w:pPr>
              <w:widowControl/>
              <w:jc w:val="center"/>
              <w:rPr>
                <w:color w:val="000000"/>
                <w:kern w:val="0"/>
                <w:szCs w:val="21"/>
              </w:rPr>
            </w:pPr>
            <w:r>
              <w:rPr>
                <w:color w:val="000000"/>
                <w:kern w:val="0"/>
                <w:szCs w:val="21"/>
              </w:rPr>
              <w:t>630A</w:t>
            </w:r>
          </w:p>
        </w:tc>
        <w:tc>
          <w:tcPr>
            <w:tcW w:w="1565" w:type="dxa"/>
            <w:gridSpan w:val="2"/>
            <w:tcBorders>
              <w:top w:val="single" w:color="auto" w:sz="8" w:space="0"/>
              <w:left w:val="nil"/>
              <w:bottom w:val="single" w:color="auto" w:sz="8" w:space="0"/>
              <w:right w:val="single" w:color="auto" w:sz="8" w:space="0"/>
            </w:tcBorders>
            <w:noWrap/>
            <w:vAlign w:val="center"/>
          </w:tcPr>
          <w:p>
            <w:pPr>
              <w:widowControl/>
              <w:jc w:val="center"/>
              <w:rPr>
                <w:color w:val="000000"/>
                <w:kern w:val="0"/>
                <w:szCs w:val="21"/>
              </w:rPr>
            </w:pPr>
            <w:r>
              <w:rPr>
                <w:color w:val="000000"/>
                <w:kern w:val="0"/>
                <w:szCs w:val="21"/>
              </w:rPr>
              <w:t>800A</w:t>
            </w:r>
          </w:p>
        </w:tc>
      </w:tr>
      <w:tr>
        <w:tblPrEx>
          <w:tblCellMar>
            <w:top w:w="0" w:type="dxa"/>
            <w:left w:w="108" w:type="dxa"/>
            <w:bottom w:w="0" w:type="dxa"/>
            <w:right w:w="108" w:type="dxa"/>
          </w:tblCellMar>
        </w:tblPrEx>
        <w:trPr>
          <w:trHeight w:val="630" w:hRule="atLeast"/>
          <w:tblHeader/>
          <w:jc w:val="center"/>
        </w:trPr>
        <w:tc>
          <w:tcPr>
            <w:tcW w:w="1263" w:type="dxa"/>
            <w:gridSpan w:val="2"/>
            <w:tcBorders>
              <w:top w:val="single" w:color="auto" w:sz="8" w:space="0"/>
              <w:left w:val="single" w:color="auto" w:sz="8" w:space="0"/>
              <w:bottom w:val="single" w:color="auto" w:sz="8" w:space="0"/>
              <w:right w:val="single" w:color="auto" w:sz="8" w:space="0"/>
            </w:tcBorders>
            <w:noWrap/>
            <w:vAlign w:val="center"/>
          </w:tcPr>
          <w:p>
            <w:pPr>
              <w:widowControl/>
              <w:jc w:val="center"/>
              <w:rPr>
                <w:color w:val="000000"/>
                <w:kern w:val="0"/>
                <w:szCs w:val="21"/>
              </w:rPr>
            </w:pPr>
            <w:r>
              <w:rPr>
                <w:color w:val="000000"/>
                <w:kern w:val="0"/>
                <w:szCs w:val="21"/>
              </w:rPr>
              <w:t>有无</w:t>
            </w:r>
            <w:r>
              <w:rPr>
                <w:szCs w:val="21"/>
              </w:rPr>
              <w:t>剩余电流保护</w:t>
            </w:r>
          </w:p>
        </w:tc>
        <w:tc>
          <w:tcPr>
            <w:tcW w:w="829" w:type="dxa"/>
            <w:tcBorders>
              <w:top w:val="nil"/>
              <w:left w:val="nil"/>
              <w:bottom w:val="single" w:color="auto" w:sz="8" w:space="0"/>
              <w:right w:val="single" w:color="auto" w:sz="8" w:space="0"/>
            </w:tcBorders>
            <w:noWrap/>
            <w:vAlign w:val="center"/>
          </w:tcPr>
          <w:p>
            <w:pPr>
              <w:widowControl/>
              <w:jc w:val="center"/>
              <w:rPr>
                <w:szCs w:val="21"/>
              </w:rPr>
            </w:pPr>
            <w:r>
              <w:rPr>
                <w:szCs w:val="21"/>
              </w:rPr>
              <w:t>无</w:t>
            </w:r>
          </w:p>
        </w:tc>
        <w:tc>
          <w:tcPr>
            <w:tcW w:w="860" w:type="dxa"/>
            <w:tcBorders>
              <w:top w:val="nil"/>
              <w:left w:val="nil"/>
              <w:bottom w:val="single" w:color="auto" w:sz="8" w:space="0"/>
              <w:right w:val="single" w:color="auto" w:sz="8" w:space="0"/>
            </w:tcBorders>
            <w:noWrap/>
            <w:vAlign w:val="center"/>
          </w:tcPr>
          <w:p>
            <w:pPr>
              <w:widowControl/>
              <w:jc w:val="center"/>
              <w:rPr>
                <w:szCs w:val="21"/>
              </w:rPr>
            </w:pPr>
            <w:r>
              <w:rPr>
                <w:szCs w:val="21"/>
              </w:rPr>
              <w:t>有</w:t>
            </w:r>
          </w:p>
        </w:tc>
        <w:tc>
          <w:tcPr>
            <w:tcW w:w="767" w:type="dxa"/>
            <w:tcBorders>
              <w:top w:val="nil"/>
              <w:left w:val="nil"/>
              <w:bottom w:val="single" w:color="auto" w:sz="8" w:space="0"/>
              <w:right w:val="single" w:color="auto" w:sz="8" w:space="0"/>
            </w:tcBorders>
            <w:noWrap/>
            <w:vAlign w:val="center"/>
          </w:tcPr>
          <w:p>
            <w:pPr>
              <w:widowControl/>
              <w:jc w:val="center"/>
              <w:rPr>
                <w:szCs w:val="21"/>
              </w:rPr>
            </w:pPr>
            <w:r>
              <w:rPr>
                <w:szCs w:val="21"/>
              </w:rPr>
              <w:t>无</w:t>
            </w:r>
          </w:p>
        </w:tc>
        <w:tc>
          <w:tcPr>
            <w:tcW w:w="822" w:type="dxa"/>
            <w:tcBorders>
              <w:top w:val="nil"/>
              <w:left w:val="nil"/>
              <w:bottom w:val="single" w:color="auto" w:sz="8" w:space="0"/>
              <w:right w:val="single" w:color="auto" w:sz="8" w:space="0"/>
            </w:tcBorders>
            <w:noWrap/>
            <w:vAlign w:val="center"/>
          </w:tcPr>
          <w:p>
            <w:pPr>
              <w:widowControl/>
              <w:jc w:val="center"/>
              <w:rPr>
                <w:szCs w:val="21"/>
              </w:rPr>
            </w:pPr>
            <w:r>
              <w:rPr>
                <w:szCs w:val="21"/>
              </w:rPr>
              <w:t>有</w:t>
            </w:r>
          </w:p>
        </w:tc>
        <w:tc>
          <w:tcPr>
            <w:tcW w:w="704" w:type="dxa"/>
            <w:tcBorders>
              <w:top w:val="nil"/>
              <w:left w:val="nil"/>
              <w:bottom w:val="single" w:color="auto" w:sz="8" w:space="0"/>
              <w:right w:val="single" w:color="auto" w:sz="8" w:space="0"/>
            </w:tcBorders>
            <w:noWrap/>
            <w:vAlign w:val="center"/>
          </w:tcPr>
          <w:p>
            <w:pPr>
              <w:widowControl/>
              <w:jc w:val="center"/>
              <w:rPr>
                <w:szCs w:val="21"/>
              </w:rPr>
            </w:pPr>
            <w:r>
              <w:rPr>
                <w:szCs w:val="21"/>
              </w:rPr>
              <w:t>无</w:t>
            </w:r>
          </w:p>
        </w:tc>
        <w:tc>
          <w:tcPr>
            <w:tcW w:w="709" w:type="dxa"/>
            <w:tcBorders>
              <w:top w:val="nil"/>
              <w:left w:val="nil"/>
              <w:bottom w:val="single" w:color="auto" w:sz="8" w:space="0"/>
              <w:right w:val="single" w:color="auto" w:sz="8" w:space="0"/>
            </w:tcBorders>
            <w:noWrap/>
            <w:vAlign w:val="center"/>
          </w:tcPr>
          <w:p>
            <w:pPr>
              <w:widowControl/>
              <w:jc w:val="center"/>
              <w:rPr>
                <w:szCs w:val="21"/>
              </w:rPr>
            </w:pPr>
            <w:r>
              <w:rPr>
                <w:szCs w:val="21"/>
              </w:rPr>
              <w:t>有</w:t>
            </w:r>
          </w:p>
        </w:tc>
        <w:tc>
          <w:tcPr>
            <w:tcW w:w="821" w:type="dxa"/>
            <w:tcBorders>
              <w:top w:val="nil"/>
              <w:left w:val="nil"/>
              <w:bottom w:val="single" w:color="auto" w:sz="8" w:space="0"/>
              <w:right w:val="single" w:color="auto" w:sz="8" w:space="0"/>
            </w:tcBorders>
            <w:noWrap/>
            <w:vAlign w:val="center"/>
          </w:tcPr>
          <w:p>
            <w:pPr>
              <w:widowControl/>
              <w:jc w:val="center"/>
              <w:rPr>
                <w:szCs w:val="21"/>
              </w:rPr>
            </w:pPr>
            <w:r>
              <w:rPr>
                <w:szCs w:val="21"/>
              </w:rPr>
              <w:t>无</w:t>
            </w:r>
          </w:p>
        </w:tc>
        <w:tc>
          <w:tcPr>
            <w:tcW w:w="733" w:type="dxa"/>
            <w:tcBorders>
              <w:top w:val="nil"/>
              <w:left w:val="nil"/>
              <w:bottom w:val="single" w:color="auto" w:sz="8" w:space="0"/>
              <w:right w:val="single" w:color="auto" w:sz="8" w:space="0"/>
            </w:tcBorders>
            <w:noWrap/>
            <w:vAlign w:val="center"/>
          </w:tcPr>
          <w:p>
            <w:pPr>
              <w:widowControl/>
              <w:jc w:val="center"/>
              <w:rPr>
                <w:szCs w:val="21"/>
              </w:rPr>
            </w:pPr>
            <w:r>
              <w:rPr>
                <w:szCs w:val="21"/>
              </w:rPr>
              <w:t>有</w:t>
            </w:r>
          </w:p>
        </w:tc>
        <w:tc>
          <w:tcPr>
            <w:tcW w:w="714" w:type="dxa"/>
            <w:tcBorders>
              <w:top w:val="nil"/>
              <w:left w:val="nil"/>
              <w:bottom w:val="single" w:color="auto" w:sz="8" w:space="0"/>
              <w:right w:val="single" w:color="auto" w:sz="8" w:space="0"/>
            </w:tcBorders>
            <w:noWrap/>
            <w:vAlign w:val="center"/>
          </w:tcPr>
          <w:p>
            <w:pPr>
              <w:widowControl/>
              <w:jc w:val="center"/>
              <w:rPr>
                <w:szCs w:val="21"/>
              </w:rPr>
            </w:pPr>
            <w:r>
              <w:rPr>
                <w:szCs w:val="21"/>
              </w:rPr>
              <w:t>无</w:t>
            </w:r>
          </w:p>
        </w:tc>
        <w:tc>
          <w:tcPr>
            <w:tcW w:w="851" w:type="dxa"/>
            <w:tcBorders>
              <w:top w:val="nil"/>
              <w:left w:val="nil"/>
              <w:bottom w:val="single" w:color="auto" w:sz="8" w:space="0"/>
              <w:right w:val="single" w:color="auto" w:sz="8" w:space="0"/>
            </w:tcBorders>
            <w:noWrap/>
            <w:vAlign w:val="center"/>
          </w:tcPr>
          <w:p>
            <w:pPr>
              <w:widowControl/>
              <w:jc w:val="center"/>
              <w:rPr>
                <w:szCs w:val="21"/>
              </w:rPr>
            </w:pPr>
            <w:r>
              <w:rPr>
                <w:szCs w:val="21"/>
              </w:rPr>
              <w:t>有</w:t>
            </w:r>
          </w:p>
        </w:tc>
      </w:tr>
      <w:tr>
        <w:tblPrEx>
          <w:tblCellMar>
            <w:top w:w="0" w:type="dxa"/>
            <w:left w:w="108" w:type="dxa"/>
            <w:bottom w:w="0" w:type="dxa"/>
            <w:right w:w="108" w:type="dxa"/>
          </w:tblCellMar>
        </w:tblPrEx>
        <w:trPr>
          <w:trHeight w:val="630" w:hRule="atLeast"/>
          <w:jc w:val="center"/>
        </w:trPr>
        <w:tc>
          <w:tcPr>
            <w:tcW w:w="597" w:type="dxa"/>
            <w:vMerge w:val="restart"/>
            <w:tcBorders>
              <w:top w:val="single" w:color="auto" w:sz="8" w:space="0"/>
              <w:left w:val="single" w:color="auto" w:sz="8" w:space="0"/>
              <w:bottom w:val="single" w:color="auto" w:sz="8" w:space="0"/>
              <w:right w:val="single" w:color="auto" w:sz="8" w:space="0"/>
            </w:tcBorders>
            <w:noWrap/>
            <w:vAlign w:val="center"/>
          </w:tcPr>
          <w:p>
            <w:pPr>
              <w:widowControl/>
              <w:jc w:val="center"/>
              <w:rPr>
                <w:color w:val="000000"/>
                <w:kern w:val="0"/>
                <w:szCs w:val="21"/>
              </w:rPr>
            </w:pPr>
            <w:r>
              <w:rPr>
                <w:color w:val="000000"/>
                <w:kern w:val="0"/>
                <w:szCs w:val="21"/>
              </w:rPr>
              <w:t>外形尺寸</w:t>
            </w:r>
          </w:p>
        </w:tc>
        <w:tc>
          <w:tcPr>
            <w:tcW w:w="666" w:type="dxa"/>
            <w:tcBorders>
              <w:top w:val="single" w:color="auto" w:sz="8" w:space="0"/>
              <w:left w:val="single" w:color="auto" w:sz="8" w:space="0"/>
              <w:bottom w:val="single" w:color="auto" w:sz="8" w:space="0"/>
              <w:right w:val="single" w:color="auto" w:sz="8" w:space="0"/>
            </w:tcBorders>
            <w:noWrap/>
            <w:vAlign w:val="center"/>
          </w:tcPr>
          <w:p>
            <w:pPr>
              <w:widowControl/>
              <w:jc w:val="center"/>
              <w:rPr>
                <w:color w:val="000000"/>
                <w:kern w:val="0"/>
                <w:szCs w:val="21"/>
              </w:rPr>
            </w:pPr>
            <w:r>
              <w:rPr>
                <w:color w:val="000000"/>
                <w:kern w:val="0"/>
                <w:szCs w:val="21"/>
              </w:rPr>
              <w:t>长（L）</w:t>
            </w:r>
          </w:p>
        </w:tc>
        <w:tc>
          <w:tcPr>
            <w:tcW w:w="829"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161max</w:t>
            </w:r>
          </w:p>
        </w:tc>
        <w:tc>
          <w:tcPr>
            <w:tcW w:w="860"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161max</w:t>
            </w:r>
          </w:p>
        </w:tc>
        <w:tc>
          <w:tcPr>
            <w:tcW w:w="767" w:type="dxa"/>
            <w:tcBorders>
              <w:top w:val="single" w:color="auto" w:sz="8" w:space="0"/>
              <w:left w:val="single" w:color="auto" w:sz="8" w:space="0"/>
              <w:bottom w:val="single" w:color="auto" w:sz="8" w:space="0"/>
              <w:right w:val="single" w:color="auto" w:sz="8" w:space="0"/>
            </w:tcBorders>
            <w:noWrap/>
            <w:vAlign w:val="bottom"/>
          </w:tcPr>
          <w:p>
            <w:pPr>
              <w:keepNext w:val="0"/>
              <w:keepLines w:val="0"/>
              <w:widowControl/>
              <w:suppressLineNumbers w:val="0"/>
              <w:jc w:val="center"/>
              <w:textAlignment w:val="bottom"/>
              <w:rPr>
                <w:szCs w:val="21"/>
              </w:rPr>
            </w:pPr>
            <w:r>
              <w:rPr>
                <w:rFonts w:hint="default" w:ascii="Times New Roman" w:hAnsi="Times New Roman" w:eastAsia="等线" w:cs="Times New Roman"/>
                <w:i w:val="0"/>
                <w:iCs w:val="0"/>
                <w:color w:val="000000"/>
                <w:kern w:val="0"/>
                <w:sz w:val="20"/>
                <w:szCs w:val="20"/>
                <w:u w:val="none"/>
                <w:lang w:val="en-US" w:eastAsia="zh-CN" w:bidi="ar"/>
              </w:rPr>
              <w:t>181max</w:t>
            </w:r>
          </w:p>
        </w:tc>
        <w:tc>
          <w:tcPr>
            <w:tcW w:w="822" w:type="dxa"/>
            <w:tcBorders>
              <w:top w:val="single" w:color="auto" w:sz="8" w:space="0"/>
              <w:left w:val="single" w:color="auto" w:sz="8" w:space="0"/>
              <w:bottom w:val="single" w:color="auto" w:sz="8" w:space="0"/>
              <w:right w:val="single" w:color="auto" w:sz="8" w:space="0"/>
            </w:tcBorders>
            <w:noWrap/>
            <w:vAlign w:val="bottom"/>
          </w:tcPr>
          <w:p>
            <w:pPr>
              <w:keepNext w:val="0"/>
              <w:keepLines w:val="0"/>
              <w:widowControl/>
              <w:suppressLineNumbers w:val="0"/>
              <w:jc w:val="center"/>
              <w:textAlignment w:val="bottom"/>
              <w:rPr>
                <w:szCs w:val="21"/>
              </w:rPr>
            </w:pPr>
            <w:r>
              <w:rPr>
                <w:rFonts w:hint="default" w:ascii="Times New Roman" w:hAnsi="Times New Roman" w:eastAsia="等线" w:cs="Times New Roman"/>
                <w:i w:val="0"/>
                <w:iCs w:val="0"/>
                <w:color w:val="000000"/>
                <w:kern w:val="0"/>
                <w:sz w:val="20"/>
                <w:szCs w:val="20"/>
                <w:u w:val="none"/>
                <w:lang w:val="en-US" w:eastAsia="zh-CN" w:bidi="ar"/>
              </w:rPr>
              <w:t>181max</w:t>
            </w:r>
          </w:p>
        </w:tc>
        <w:tc>
          <w:tcPr>
            <w:tcW w:w="70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259max</w:t>
            </w:r>
          </w:p>
        </w:tc>
        <w:tc>
          <w:tcPr>
            <w:tcW w:w="709"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259max</w:t>
            </w:r>
          </w:p>
        </w:tc>
        <w:tc>
          <w:tcPr>
            <w:tcW w:w="82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259max</w:t>
            </w:r>
          </w:p>
        </w:tc>
        <w:tc>
          <w:tcPr>
            <w:tcW w:w="733"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259max</w:t>
            </w:r>
          </w:p>
        </w:tc>
        <w:tc>
          <w:tcPr>
            <w:tcW w:w="71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280max</w:t>
            </w:r>
          </w:p>
        </w:tc>
        <w:tc>
          <w:tcPr>
            <w:tcW w:w="85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280max</w:t>
            </w:r>
          </w:p>
        </w:tc>
      </w:tr>
      <w:tr>
        <w:tblPrEx>
          <w:tblCellMar>
            <w:top w:w="0" w:type="dxa"/>
            <w:left w:w="108" w:type="dxa"/>
            <w:bottom w:w="0" w:type="dxa"/>
            <w:right w:w="108" w:type="dxa"/>
          </w:tblCellMar>
        </w:tblPrEx>
        <w:trPr>
          <w:trHeight w:val="630" w:hRule="atLeast"/>
          <w:jc w:val="center"/>
        </w:trPr>
        <w:tc>
          <w:tcPr>
            <w:tcW w:w="597" w:type="dxa"/>
            <w:vMerge w:val="continue"/>
            <w:tcBorders>
              <w:top w:val="single" w:color="auto" w:sz="8" w:space="0"/>
              <w:left w:val="single" w:color="auto" w:sz="8" w:space="0"/>
              <w:bottom w:val="single" w:color="auto" w:sz="8" w:space="0"/>
              <w:right w:val="single" w:color="auto" w:sz="8" w:space="0"/>
            </w:tcBorders>
            <w:noWrap/>
            <w:vAlign w:val="center"/>
          </w:tcPr>
          <w:p>
            <w:pPr>
              <w:widowControl/>
              <w:jc w:val="left"/>
              <w:rPr>
                <w:color w:val="000000"/>
                <w:kern w:val="0"/>
                <w:szCs w:val="21"/>
              </w:rPr>
            </w:pPr>
          </w:p>
        </w:tc>
        <w:tc>
          <w:tcPr>
            <w:tcW w:w="666" w:type="dxa"/>
            <w:tcBorders>
              <w:top w:val="single" w:color="auto" w:sz="8" w:space="0"/>
              <w:left w:val="single" w:color="auto" w:sz="8" w:space="0"/>
              <w:bottom w:val="single" w:color="auto" w:sz="8" w:space="0"/>
              <w:right w:val="single" w:color="auto" w:sz="8" w:space="0"/>
            </w:tcBorders>
            <w:noWrap/>
            <w:vAlign w:val="center"/>
          </w:tcPr>
          <w:p>
            <w:pPr>
              <w:widowControl/>
              <w:jc w:val="center"/>
              <w:rPr>
                <w:color w:val="000000"/>
                <w:kern w:val="0"/>
                <w:szCs w:val="21"/>
              </w:rPr>
            </w:pPr>
            <w:r>
              <w:rPr>
                <w:color w:val="000000"/>
                <w:kern w:val="0"/>
                <w:szCs w:val="21"/>
              </w:rPr>
              <w:t>宽（W）</w:t>
            </w:r>
          </w:p>
        </w:tc>
        <w:tc>
          <w:tcPr>
            <w:tcW w:w="829"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105max</w:t>
            </w:r>
          </w:p>
        </w:tc>
        <w:tc>
          <w:tcPr>
            <w:tcW w:w="860"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105max</w:t>
            </w:r>
          </w:p>
        </w:tc>
        <w:tc>
          <w:tcPr>
            <w:tcW w:w="767"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105max</w:t>
            </w:r>
          </w:p>
        </w:tc>
        <w:tc>
          <w:tcPr>
            <w:tcW w:w="822"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105max</w:t>
            </w:r>
          </w:p>
        </w:tc>
        <w:tc>
          <w:tcPr>
            <w:tcW w:w="70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150max</w:t>
            </w:r>
          </w:p>
        </w:tc>
        <w:tc>
          <w:tcPr>
            <w:tcW w:w="709"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198max</w:t>
            </w:r>
          </w:p>
        </w:tc>
        <w:tc>
          <w:tcPr>
            <w:tcW w:w="82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150max</w:t>
            </w:r>
          </w:p>
        </w:tc>
        <w:tc>
          <w:tcPr>
            <w:tcW w:w="733"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198max</w:t>
            </w:r>
          </w:p>
        </w:tc>
        <w:tc>
          <w:tcPr>
            <w:tcW w:w="71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210max</w:t>
            </w:r>
          </w:p>
        </w:tc>
        <w:tc>
          <w:tcPr>
            <w:tcW w:w="85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280max</w:t>
            </w:r>
          </w:p>
        </w:tc>
      </w:tr>
      <w:tr>
        <w:tblPrEx>
          <w:tblCellMar>
            <w:top w:w="0" w:type="dxa"/>
            <w:left w:w="108" w:type="dxa"/>
            <w:bottom w:w="0" w:type="dxa"/>
            <w:right w:w="108" w:type="dxa"/>
          </w:tblCellMar>
        </w:tblPrEx>
        <w:trPr>
          <w:trHeight w:val="630" w:hRule="atLeast"/>
          <w:jc w:val="center"/>
        </w:trPr>
        <w:tc>
          <w:tcPr>
            <w:tcW w:w="597" w:type="dxa"/>
            <w:vMerge w:val="continue"/>
            <w:tcBorders>
              <w:top w:val="single" w:color="auto" w:sz="8" w:space="0"/>
              <w:left w:val="single" w:color="auto" w:sz="8" w:space="0"/>
              <w:bottom w:val="single" w:color="auto" w:sz="8" w:space="0"/>
              <w:right w:val="single" w:color="auto" w:sz="8" w:space="0"/>
            </w:tcBorders>
            <w:noWrap/>
            <w:vAlign w:val="center"/>
          </w:tcPr>
          <w:p>
            <w:pPr>
              <w:widowControl/>
              <w:jc w:val="left"/>
              <w:rPr>
                <w:color w:val="000000"/>
                <w:kern w:val="0"/>
                <w:szCs w:val="21"/>
              </w:rPr>
            </w:pPr>
          </w:p>
        </w:tc>
        <w:tc>
          <w:tcPr>
            <w:tcW w:w="666" w:type="dxa"/>
            <w:tcBorders>
              <w:top w:val="single" w:color="auto" w:sz="8" w:space="0"/>
              <w:left w:val="single" w:color="auto" w:sz="8" w:space="0"/>
              <w:bottom w:val="single" w:color="auto" w:sz="8" w:space="0"/>
              <w:right w:val="single" w:color="auto" w:sz="8" w:space="0"/>
            </w:tcBorders>
            <w:noWrap/>
            <w:vAlign w:val="center"/>
          </w:tcPr>
          <w:p>
            <w:pPr>
              <w:widowControl/>
              <w:jc w:val="center"/>
              <w:rPr>
                <w:color w:val="000000"/>
                <w:kern w:val="0"/>
                <w:szCs w:val="21"/>
              </w:rPr>
            </w:pPr>
            <w:r>
              <w:rPr>
                <w:color w:val="000000"/>
                <w:kern w:val="0"/>
                <w:szCs w:val="21"/>
              </w:rPr>
              <w:t>高（H）</w:t>
            </w:r>
          </w:p>
        </w:tc>
        <w:tc>
          <w:tcPr>
            <w:tcW w:w="829"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93max</w:t>
            </w:r>
          </w:p>
        </w:tc>
        <w:tc>
          <w:tcPr>
            <w:tcW w:w="860"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93max</w:t>
            </w:r>
          </w:p>
        </w:tc>
        <w:tc>
          <w:tcPr>
            <w:tcW w:w="767"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99max</w:t>
            </w:r>
          </w:p>
        </w:tc>
        <w:tc>
          <w:tcPr>
            <w:tcW w:w="822"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99max</w:t>
            </w:r>
          </w:p>
        </w:tc>
        <w:tc>
          <w:tcPr>
            <w:tcW w:w="70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112max</w:t>
            </w:r>
          </w:p>
        </w:tc>
        <w:tc>
          <w:tcPr>
            <w:tcW w:w="709"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112max</w:t>
            </w:r>
          </w:p>
        </w:tc>
        <w:tc>
          <w:tcPr>
            <w:tcW w:w="82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112max</w:t>
            </w:r>
          </w:p>
        </w:tc>
        <w:tc>
          <w:tcPr>
            <w:tcW w:w="733"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112max</w:t>
            </w:r>
          </w:p>
        </w:tc>
        <w:tc>
          <w:tcPr>
            <w:tcW w:w="71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121max</w:t>
            </w:r>
          </w:p>
        </w:tc>
        <w:tc>
          <w:tcPr>
            <w:tcW w:w="85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121max</w:t>
            </w:r>
          </w:p>
        </w:tc>
      </w:tr>
      <w:tr>
        <w:tblPrEx>
          <w:tblCellMar>
            <w:top w:w="0" w:type="dxa"/>
            <w:left w:w="108" w:type="dxa"/>
            <w:bottom w:w="0" w:type="dxa"/>
            <w:right w:w="108" w:type="dxa"/>
          </w:tblCellMar>
        </w:tblPrEx>
        <w:trPr>
          <w:trHeight w:val="630" w:hRule="atLeast"/>
          <w:jc w:val="center"/>
        </w:trPr>
        <w:tc>
          <w:tcPr>
            <w:tcW w:w="597" w:type="dxa"/>
            <w:vMerge w:val="restart"/>
            <w:tcBorders>
              <w:top w:val="single" w:color="auto" w:sz="8" w:space="0"/>
              <w:left w:val="single" w:color="auto" w:sz="8" w:space="0"/>
              <w:right w:val="single" w:color="auto" w:sz="8" w:space="0"/>
            </w:tcBorders>
            <w:noWrap/>
            <w:vAlign w:val="center"/>
          </w:tcPr>
          <w:p>
            <w:pPr>
              <w:widowControl/>
              <w:jc w:val="left"/>
              <w:rPr>
                <w:color w:val="000000"/>
                <w:kern w:val="0"/>
                <w:szCs w:val="21"/>
              </w:rPr>
            </w:pPr>
            <w:r>
              <w:rPr>
                <w:color w:val="000000"/>
                <w:kern w:val="0"/>
                <w:szCs w:val="21"/>
              </w:rPr>
              <w:t>安装尺寸</w:t>
            </w:r>
          </w:p>
        </w:tc>
        <w:tc>
          <w:tcPr>
            <w:tcW w:w="666" w:type="dxa"/>
            <w:tcBorders>
              <w:top w:val="single" w:color="auto" w:sz="8" w:space="0"/>
              <w:left w:val="single" w:color="auto" w:sz="8" w:space="0"/>
              <w:bottom w:val="single" w:color="auto" w:sz="8" w:space="0"/>
              <w:right w:val="single" w:color="auto" w:sz="8" w:space="0"/>
            </w:tcBorders>
            <w:noWrap/>
            <w:vAlign w:val="center"/>
          </w:tcPr>
          <w:p>
            <w:pPr>
              <w:widowControl/>
              <w:jc w:val="center"/>
              <w:rPr>
                <w:color w:val="000000"/>
                <w:kern w:val="0"/>
                <w:szCs w:val="21"/>
              </w:rPr>
            </w:pPr>
            <w:r>
              <w:rPr>
                <w:color w:val="000000"/>
                <w:kern w:val="0"/>
                <w:szCs w:val="21"/>
              </w:rPr>
              <w:t>L1</w:t>
            </w:r>
          </w:p>
        </w:tc>
        <w:tc>
          <w:tcPr>
            <w:tcW w:w="829"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140±1</w:t>
            </w:r>
          </w:p>
        </w:tc>
        <w:tc>
          <w:tcPr>
            <w:tcW w:w="860"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140±1</w:t>
            </w:r>
          </w:p>
        </w:tc>
        <w:tc>
          <w:tcPr>
            <w:tcW w:w="767" w:type="dxa"/>
            <w:tcBorders>
              <w:top w:val="single" w:color="auto" w:sz="8" w:space="0"/>
              <w:left w:val="single" w:color="auto" w:sz="8" w:space="0"/>
              <w:bottom w:val="single" w:color="auto" w:sz="8" w:space="0"/>
              <w:right w:val="single" w:color="auto" w:sz="8" w:space="0"/>
            </w:tcBorders>
            <w:noWrap/>
            <w:vAlign w:val="bottom"/>
          </w:tcPr>
          <w:p>
            <w:pPr>
              <w:keepNext w:val="0"/>
              <w:keepLines w:val="0"/>
              <w:widowControl/>
              <w:suppressLineNumbers w:val="0"/>
              <w:jc w:val="center"/>
              <w:textAlignment w:val="bottom"/>
              <w:rPr>
                <w:szCs w:val="21"/>
              </w:rPr>
            </w:pPr>
            <w:r>
              <w:rPr>
                <w:rFonts w:hint="default" w:ascii="Times New Roman" w:hAnsi="Times New Roman" w:eastAsia="等线" w:cs="Times New Roman"/>
                <w:i w:val="0"/>
                <w:iCs w:val="0"/>
                <w:color w:val="000000"/>
                <w:kern w:val="0"/>
                <w:sz w:val="20"/>
                <w:szCs w:val="20"/>
                <w:u w:val="none"/>
                <w:lang w:val="en-US" w:eastAsia="zh-CN" w:bidi="ar"/>
              </w:rPr>
              <w:t>157</w:t>
            </w:r>
            <w:r>
              <w:rPr>
                <w:szCs w:val="21"/>
              </w:rPr>
              <w:t>±1</w:t>
            </w:r>
          </w:p>
        </w:tc>
        <w:tc>
          <w:tcPr>
            <w:tcW w:w="822" w:type="dxa"/>
            <w:tcBorders>
              <w:top w:val="single" w:color="auto" w:sz="8" w:space="0"/>
              <w:left w:val="single" w:color="auto" w:sz="8" w:space="0"/>
              <w:bottom w:val="single" w:color="auto" w:sz="8" w:space="0"/>
              <w:right w:val="single" w:color="auto" w:sz="8" w:space="0"/>
            </w:tcBorders>
            <w:noWrap/>
            <w:vAlign w:val="bottom"/>
          </w:tcPr>
          <w:p>
            <w:pPr>
              <w:keepNext w:val="0"/>
              <w:keepLines w:val="0"/>
              <w:widowControl/>
              <w:suppressLineNumbers w:val="0"/>
              <w:jc w:val="center"/>
              <w:textAlignment w:val="bottom"/>
              <w:rPr>
                <w:szCs w:val="21"/>
              </w:rPr>
            </w:pPr>
            <w:r>
              <w:rPr>
                <w:rFonts w:hint="default" w:ascii="Times New Roman" w:hAnsi="Times New Roman" w:eastAsia="等线" w:cs="Times New Roman"/>
                <w:i w:val="0"/>
                <w:iCs w:val="0"/>
                <w:color w:val="000000"/>
                <w:kern w:val="0"/>
                <w:sz w:val="20"/>
                <w:szCs w:val="20"/>
                <w:u w:val="none"/>
                <w:lang w:val="en-US" w:eastAsia="zh-CN" w:bidi="ar"/>
              </w:rPr>
              <w:t>157</w:t>
            </w:r>
            <w:r>
              <w:rPr>
                <w:szCs w:val="21"/>
              </w:rPr>
              <w:t>±1</w:t>
            </w:r>
          </w:p>
        </w:tc>
        <w:tc>
          <w:tcPr>
            <w:tcW w:w="70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225±1</w:t>
            </w:r>
          </w:p>
        </w:tc>
        <w:tc>
          <w:tcPr>
            <w:tcW w:w="709"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225±1</w:t>
            </w:r>
          </w:p>
        </w:tc>
        <w:tc>
          <w:tcPr>
            <w:tcW w:w="82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225±1</w:t>
            </w:r>
          </w:p>
        </w:tc>
        <w:tc>
          <w:tcPr>
            <w:tcW w:w="733"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225±1</w:t>
            </w:r>
          </w:p>
        </w:tc>
        <w:tc>
          <w:tcPr>
            <w:tcW w:w="71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243±1</w:t>
            </w:r>
          </w:p>
        </w:tc>
        <w:tc>
          <w:tcPr>
            <w:tcW w:w="85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243±1</w:t>
            </w:r>
          </w:p>
        </w:tc>
      </w:tr>
      <w:tr>
        <w:tblPrEx>
          <w:tblCellMar>
            <w:top w:w="0" w:type="dxa"/>
            <w:left w:w="108" w:type="dxa"/>
            <w:bottom w:w="0" w:type="dxa"/>
            <w:right w:w="108" w:type="dxa"/>
          </w:tblCellMar>
        </w:tblPrEx>
        <w:trPr>
          <w:trHeight w:val="630" w:hRule="atLeast"/>
          <w:jc w:val="center"/>
        </w:trPr>
        <w:tc>
          <w:tcPr>
            <w:tcW w:w="597" w:type="dxa"/>
            <w:vMerge w:val="continue"/>
            <w:tcBorders>
              <w:left w:val="single" w:color="auto" w:sz="8" w:space="0"/>
              <w:right w:val="single" w:color="auto" w:sz="8" w:space="0"/>
            </w:tcBorders>
            <w:noWrap/>
            <w:vAlign w:val="center"/>
          </w:tcPr>
          <w:p>
            <w:pPr>
              <w:widowControl/>
              <w:jc w:val="left"/>
              <w:rPr>
                <w:color w:val="000000"/>
                <w:kern w:val="0"/>
                <w:szCs w:val="21"/>
              </w:rPr>
            </w:pPr>
          </w:p>
        </w:tc>
        <w:tc>
          <w:tcPr>
            <w:tcW w:w="666" w:type="dxa"/>
            <w:tcBorders>
              <w:top w:val="single" w:color="auto" w:sz="8" w:space="0"/>
              <w:left w:val="single" w:color="auto" w:sz="8" w:space="0"/>
              <w:bottom w:val="single" w:color="auto" w:sz="8" w:space="0"/>
              <w:right w:val="single" w:color="auto" w:sz="8" w:space="0"/>
            </w:tcBorders>
            <w:noWrap/>
            <w:vAlign w:val="center"/>
          </w:tcPr>
          <w:p>
            <w:pPr>
              <w:widowControl/>
              <w:jc w:val="center"/>
              <w:rPr>
                <w:color w:val="000000"/>
                <w:kern w:val="0"/>
                <w:szCs w:val="21"/>
              </w:rPr>
            </w:pPr>
            <w:r>
              <w:rPr>
                <w:color w:val="000000"/>
                <w:kern w:val="0"/>
                <w:szCs w:val="21"/>
              </w:rPr>
              <w:t>L2</w:t>
            </w:r>
          </w:p>
        </w:tc>
        <w:tc>
          <w:tcPr>
            <w:tcW w:w="829"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125±1</w:t>
            </w:r>
          </w:p>
        </w:tc>
        <w:tc>
          <w:tcPr>
            <w:tcW w:w="860"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125±1</w:t>
            </w:r>
          </w:p>
        </w:tc>
        <w:tc>
          <w:tcPr>
            <w:tcW w:w="767"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136</w:t>
            </w:r>
            <w:r>
              <w:rPr>
                <w:szCs w:val="21"/>
              </w:rPr>
              <w:t>±1</w:t>
            </w:r>
          </w:p>
        </w:tc>
        <w:tc>
          <w:tcPr>
            <w:tcW w:w="822"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136</w:t>
            </w:r>
            <w:r>
              <w:rPr>
                <w:szCs w:val="21"/>
              </w:rPr>
              <w:t>±1</w:t>
            </w:r>
          </w:p>
        </w:tc>
        <w:tc>
          <w:tcPr>
            <w:tcW w:w="70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195±1</w:t>
            </w:r>
          </w:p>
        </w:tc>
        <w:tc>
          <w:tcPr>
            <w:tcW w:w="709"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195±1</w:t>
            </w:r>
          </w:p>
        </w:tc>
        <w:tc>
          <w:tcPr>
            <w:tcW w:w="82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195±1</w:t>
            </w:r>
          </w:p>
        </w:tc>
        <w:tc>
          <w:tcPr>
            <w:tcW w:w="733"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195±1</w:t>
            </w:r>
          </w:p>
        </w:tc>
        <w:tc>
          <w:tcPr>
            <w:tcW w:w="71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195±1</w:t>
            </w:r>
          </w:p>
        </w:tc>
        <w:tc>
          <w:tcPr>
            <w:tcW w:w="85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195±1</w:t>
            </w:r>
          </w:p>
        </w:tc>
      </w:tr>
      <w:tr>
        <w:tblPrEx>
          <w:tblCellMar>
            <w:top w:w="0" w:type="dxa"/>
            <w:left w:w="108" w:type="dxa"/>
            <w:bottom w:w="0" w:type="dxa"/>
            <w:right w:w="108" w:type="dxa"/>
          </w:tblCellMar>
        </w:tblPrEx>
        <w:trPr>
          <w:trHeight w:val="630" w:hRule="atLeast"/>
          <w:jc w:val="center"/>
        </w:trPr>
        <w:tc>
          <w:tcPr>
            <w:tcW w:w="597" w:type="dxa"/>
            <w:vMerge w:val="continue"/>
            <w:tcBorders>
              <w:left w:val="single" w:color="auto" w:sz="8" w:space="0"/>
              <w:right w:val="single" w:color="auto" w:sz="8" w:space="0"/>
            </w:tcBorders>
            <w:noWrap/>
            <w:vAlign w:val="center"/>
          </w:tcPr>
          <w:p>
            <w:pPr>
              <w:widowControl/>
              <w:jc w:val="left"/>
              <w:rPr>
                <w:color w:val="000000"/>
                <w:kern w:val="0"/>
                <w:szCs w:val="21"/>
              </w:rPr>
            </w:pPr>
          </w:p>
        </w:tc>
        <w:tc>
          <w:tcPr>
            <w:tcW w:w="666" w:type="dxa"/>
            <w:tcBorders>
              <w:top w:val="single" w:color="auto" w:sz="8" w:space="0"/>
              <w:left w:val="single" w:color="auto" w:sz="8" w:space="0"/>
              <w:bottom w:val="single" w:color="auto" w:sz="8" w:space="0"/>
              <w:right w:val="single" w:color="auto" w:sz="8" w:space="0"/>
            </w:tcBorders>
            <w:noWrap/>
            <w:vAlign w:val="center"/>
          </w:tcPr>
          <w:p>
            <w:pPr>
              <w:widowControl/>
              <w:jc w:val="center"/>
              <w:rPr>
                <w:color w:val="000000"/>
                <w:kern w:val="0"/>
                <w:szCs w:val="21"/>
              </w:rPr>
            </w:pPr>
            <w:r>
              <w:rPr>
                <w:color w:val="000000"/>
                <w:kern w:val="0"/>
                <w:szCs w:val="21"/>
              </w:rPr>
              <w:t>A</w:t>
            </w:r>
          </w:p>
        </w:tc>
        <w:tc>
          <w:tcPr>
            <w:tcW w:w="829"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4Xφ5±0.5</w:t>
            </w:r>
          </w:p>
        </w:tc>
        <w:tc>
          <w:tcPr>
            <w:tcW w:w="860"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6Xφ5±0.5</w:t>
            </w:r>
          </w:p>
        </w:tc>
        <w:tc>
          <w:tcPr>
            <w:tcW w:w="767"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4Xφ5±0.5</w:t>
            </w:r>
          </w:p>
        </w:tc>
        <w:tc>
          <w:tcPr>
            <w:tcW w:w="822"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4Xφ5±0.5</w:t>
            </w:r>
          </w:p>
        </w:tc>
        <w:tc>
          <w:tcPr>
            <w:tcW w:w="70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4Xφ8±0.5</w:t>
            </w:r>
          </w:p>
        </w:tc>
        <w:tc>
          <w:tcPr>
            <w:tcW w:w="709"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6Xφ8±0.5</w:t>
            </w:r>
          </w:p>
        </w:tc>
        <w:tc>
          <w:tcPr>
            <w:tcW w:w="82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4Xφ8±0.5</w:t>
            </w:r>
          </w:p>
        </w:tc>
        <w:tc>
          <w:tcPr>
            <w:tcW w:w="733"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6Xφ8±0.5</w:t>
            </w:r>
          </w:p>
        </w:tc>
        <w:tc>
          <w:tcPr>
            <w:tcW w:w="71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4Xφ8±0.5</w:t>
            </w:r>
          </w:p>
        </w:tc>
        <w:tc>
          <w:tcPr>
            <w:tcW w:w="85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6Xφ8±0.5</w:t>
            </w:r>
          </w:p>
        </w:tc>
      </w:tr>
      <w:tr>
        <w:tblPrEx>
          <w:tblCellMar>
            <w:top w:w="0" w:type="dxa"/>
            <w:left w:w="108" w:type="dxa"/>
            <w:bottom w:w="0" w:type="dxa"/>
            <w:right w:w="108" w:type="dxa"/>
          </w:tblCellMar>
        </w:tblPrEx>
        <w:trPr>
          <w:trHeight w:val="630" w:hRule="atLeast"/>
          <w:jc w:val="center"/>
        </w:trPr>
        <w:tc>
          <w:tcPr>
            <w:tcW w:w="597" w:type="dxa"/>
            <w:vMerge w:val="continue"/>
            <w:tcBorders>
              <w:left w:val="single" w:color="auto" w:sz="8" w:space="0"/>
              <w:right w:val="single" w:color="auto" w:sz="8" w:space="0"/>
            </w:tcBorders>
            <w:noWrap/>
            <w:vAlign w:val="center"/>
          </w:tcPr>
          <w:p>
            <w:pPr>
              <w:widowControl/>
              <w:jc w:val="left"/>
              <w:rPr>
                <w:color w:val="000000"/>
                <w:kern w:val="0"/>
                <w:szCs w:val="21"/>
              </w:rPr>
            </w:pPr>
          </w:p>
        </w:tc>
        <w:tc>
          <w:tcPr>
            <w:tcW w:w="666" w:type="dxa"/>
            <w:tcBorders>
              <w:top w:val="single" w:color="auto" w:sz="8" w:space="0"/>
              <w:left w:val="single" w:color="auto" w:sz="8" w:space="0"/>
              <w:bottom w:val="single" w:color="auto" w:sz="8" w:space="0"/>
              <w:right w:val="single" w:color="auto" w:sz="8" w:space="0"/>
            </w:tcBorders>
            <w:noWrap/>
            <w:vAlign w:val="center"/>
          </w:tcPr>
          <w:p>
            <w:pPr>
              <w:widowControl/>
              <w:jc w:val="center"/>
              <w:rPr>
                <w:color w:val="000000"/>
                <w:kern w:val="0"/>
                <w:szCs w:val="21"/>
              </w:rPr>
            </w:pPr>
            <w:r>
              <w:rPr>
                <w:color w:val="000000"/>
                <w:kern w:val="0"/>
                <w:szCs w:val="21"/>
              </w:rPr>
              <w:t>W1</w:t>
            </w:r>
          </w:p>
        </w:tc>
        <w:tc>
          <w:tcPr>
            <w:tcW w:w="829"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35±0.5</w:t>
            </w:r>
          </w:p>
        </w:tc>
        <w:tc>
          <w:tcPr>
            <w:tcW w:w="860"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35±0.5</w:t>
            </w:r>
          </w:p>
        </w:tc>
        <w:tc>
          <w:tcPr>
            <w:tcW w:w="767"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35±0.5</w:t>
            </w:r>
          </w:p>
        </w:tc>
        <w:tc>
          <w:tcPr>
            <w:tcW w:w="822"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35±0.5</w:t>
            </w:r>
          </w:p>
        </w:tc>
        <w:tc>
          <w:tcPr>
            <w:tcW w:w="70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44±0.5</w:t>
            </w:r>
          </w:p>
        </w:tc>
        <w:tc>
          <w:tcPr>
            <w:tcW w:w="709"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44±0.5</w:t>
            </w:r>
          </w:p>
        </w:tc>
        <w:tc>
          <w:tcPr>
            <w:tcW w:w="82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44±0.5</w:t>
            </w:r>
          </w:p>
        </w:tc>
        <w:tc>
          <w:tcPr>
            <w:tcW w:w="733"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44±0.5</w:t>
            </w:r>
          </w:p>
        </w:tc>
        <w:tc>
          <w:tcPr>
            <w:tcW w:w="71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70±0.5</w:t>
            </w:r>
          </w:p>
        </w:tc>
        <w:tc>
          <w:tcPr>
            <w:tcW w:w="85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70±0.5</w:t>
            </w:r>
          </w:p>
        </w:tc>
      </w:tr>
      <w:tr>
        <w:tblPrEx>
          <w:tblCellMar>
            <w:top w:w="0" w:type="dxa"/>
            <w:left w:w="108" w:type="dxa"/>
            <w:bottom w:w="0" w:type="dxa"/>
            <w:right w:w="108" w:type="dxa"/>
          </w:tblCellMar>
        </w:tblPrEx>
        <w:trPr>
          <w:trHeight w:val="639" w:hRule="atLeast"/>
          <w:jc w:val="center"/>
        </w:trPr>
        <w:tc>
          <w:tcPr>
            <w:tcW w:w="597" w:type="dxa"/>
            <w:vMerge w:val="continue"/>
            <w:tcBorders>
              <w:left w:val="single" w:color="auto" w:sz="8" w:space="0"/>
              <w:right w:val="single" w:color="auto" w:sz="8" w:space="0"/>
            </w:tcBorders>
            <w:noWrap/>
            <w:vAlign w:val="center"/>
          </w:tcPr>
          <w:p>
            <w:pPr>
              <w:widowControl/>
              <w:jc w:val="left"/>
              <w:rPr>
                <w:color w:val="000000"/>
                <w:kern w:val="0"/>
                <w:szCs w:val="21"/>
              </w:rPr>
            </w:pPr>
          </w:p>
        </w:tc>
        <w:tc>
          <w:tcPr>
            <w:tcW w:w="666" w:type="dxa"/>
            <w:tcBorders>
              <w:top w:val="single" w:color="auto" w:sz="8" w:space="0"/>
              <w:left w:val="single" w:color="auto" w:sz="8" w:space="0"/>
              <w:bottom w:val="single" w:color="auto" w:sz="8" w:space="0"/>
              <w:right w:val="single" w:color="auto" w:sz="8" w:space="0"/>
            </w:tcBorders>
            <w:noWrap/>
            <w:vAlign w:val="center"/>
          </w:tcPr>
          <w:p>
            <w:pPr>
              <w:widowControl/>
              <w:jc w:val="center"/>
              <w:rPr>
                <w:color w:val="000000"/>
                <w:kern w:val="0"/>
                <w:szCs w:val="21"/>
              </w:rPr>
            </w:pPr>
            <w:r>
              <w:rPr>
                <w:color w:val="000000"/>
                <w:kern w:val="0"/>
                <w:szCs w:val="21"/>
              </w:rPr>
              <w:t>W2</w:t>
            </w:r>
          </w:p>
        </w:tc>
        <w:tc>
          <w:tcPr>
            <w:tcW w:w="829"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70±0.5</w:t>
            </w:r>
          </w:p>
        </w:tc>
        <w:tc>
          <w:tcPr>
            <w:tcW w:w="860"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70±0.5</w:t>
            </w:r>
          </w:p>
        </w:tc>
        <w:tc>
          <w:tcPr>
            <w:tcW w:w="767"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70±0.5</w:t>
            </w:r>
          </w:p>
        </w:tc>
        <w:tc>
          <w:tcPr>
            <w:tcW w:w="822"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70±0.5</w:t>
            </w:r>
          </w:p>
        </w:tc>
        <w:tc>
          <w:tcPr>
            <w:tcW w:w="70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96±0.5</w:t>
            </w:r>
          </w:p>
        </w:tc>
        <w:tc>
          <w:tcPr>
            <w:tcW w:w="709"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96±0.5</w:t>
            </w:r>
          </w:p>
        </w:tc>
        <w:tc>
          <w:tcPr>
            <w:tcW w:w="82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96±0.5</w:t>
            </w:r>
          </w:p>
        </w:tc>
        <w:tc>
          <w:tcPr>
            <w:tcW w:w="733"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96±0.5</w:t>
            </w:r>
          </w:p>
        </w:tc>
        <w:tc>
          <w:tcPr>
            <w:tcW w:w="71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140±0.5</w:t>
            </w:r>
          </w:p>
        </w:tc>
        <w:tc>
          <w:tcPr>
            <w:tcW w:w="85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140±0.5</w:t>
            </w:r>
          </w:p>
        </w:tc>
      </w:tr>
      <w:tr>
        <w:tblPrEx>
          <w:tblCellMar>
            <w:top w:w="0" w:type="dxa"/>
            <w:left w:w="108" w:type="dxa"/>
            <w:bottom w:w="0" w:type="dxa"/>
            <w:right w:w="108" w:type="dxa"/>
          </w:tblCellMar>
        </w:tblPrEx>
        <w:trPr>
          <w:trHeight w:val="630" w:hRule="atLeast"/>
          <w:jc w:val="center"/>
        </w:trPr>
        <w:tc>
          <w:tcPr>
            <w:tcW w:w="597" w:type="dxa"/>
            <w:vMerge w:val="continue"/>
            <w:tcBorders>
              <w:left w:val="single" w:color="auto" w:sz="8" w:space="0"/>
              <w:right w:val="single" w:color="auto" w:sz="8" w:space="0"/>
            </w:tcBorders>
            <w:noWrap/>
            <w:vAlign w:val="center"/>
          </w:tcPr>
          <w:p>
            <w:pPr>
              <w:widowControl/>
              <w:jc w:val="left"/>
              <w:rPr>
                <w:color w:val="000000"/>
                <w:kern w:val="0"/>
                <w:szCs w:val="21"/>
              </w:rPr>
            </w:pPr>
          </w:p>
        </w:tc>
        <w:tc>
          <w:tcPr>
            <w:tcW w:w="666" w:type="dxa"/>
            <w:tcBorders>
              <w:top w:val="single" w:color="auto" w:sz="8" w:space="0"/>
              <w:left w:val="single" w:color="auto" w:sz="8" w:space="0"/>
              <w:bottom w:val="single" w:color="auto" w:sz="8" w:space="0"/>
              <w:right w:val="single" w:color="auto" w:sz="8" w:space="0"/>
            </w:tcBorders>
            <w:noWrap/>
            <w:vAlign w:val="center"/>
          </w:tcPr>
          <w:p>
            <w:pPr>
              <w:widowControl/>
              <w:jc w:val="center"/>
              <w:rPr>
                <w:color w:val="000000"/>
                <w:kern w:val="0"/>
                <w:szCs w:val="21"/>
              </w:rPr>
            </w:pPr>
            <w:r>
              <w:rPr>
                <w:color w:val="000000"/>
                <w:kern w:val="0"/>
                <w:szCs w:val="21"/>
              </w:rPr>
              <w:t>W3</w:t>
            </w:r>
          </w:p>
        </w:tc>
        <w:tc>
          <w:tcPr>
            <w:tcW w:w="829" w:type="dxa"/>
            <w:tcBorders>
              <w:top w:val="single" w:color="auto" w:sz="8" w:space="0"/>
              <w:left w:val="single" w:color="auto" w:sz="8" w:space="0"/>
              <w:bottom w:val="single" w:color="auto" w:sz="8" w:space="0"/>
              <w:right w:val="single" w:color="auto" w:sz="8" w:space="0"/>
            </w:tcBorders>
            <w:noWrap/>
            <w:vAlign w:val="center"/>
          </w:tcPr>
          <w:p>
            <w:pPr>
              <w:jc w:val="center"/>
              <w:rPr>
                <w:szCs w:val="21"/>
              </w:rPr>
            </w:pPr>
          </w:p>
        </w:tc>
        <w:tc>
          <w:tcPr>
            <w:tcW w:w="860" w:type="dxa"/>
            <w:tcBorders>
              <w:top w:val="single" w:color="auto" w:sz="8" w:space="0"/>
              <w:left w:val="single" w:color="auto" w:sz="8" w:space="0"/>
              <w:bottom w:val="single" w:color="auto" w:sz="8" w:space="0"/>
              <w:right w:val="single" w:color="auto" w:sz="8" w:space="0"/>
            </w:tcBorders>
            <w:noWrap/>
            <w:vAlign w:val="center"/>
          </w:tcPr>
          <w:p>
            <w:pPr>
              <w:jc w:val="center"/>
              <w:rPr>
                <w:szCs w:val="21"/>
              </w:rPr>
            </w:pPr>
          </w:p>
        </w:tc>
        <w:tc>
          <w:tcPr>
            <w:tcW w:w="767" w:type="dxa"/>
            <w:tcBorders>
              <w:top w:val="single" w:color="auto" w:sz="8" w:space="0"/>
              <w:left w:val="single" w:color="auto" w:sz="8" w:space="0"/>
              <w:bottom w:val="single" w:color="auto" w:sz="8" w:space="0"/>
              <w:right w:val="single" w:color="auto" w:sz="8" w:space="0"/>
            </w:tcBorders>
            <w:noWrap/>
            <w:vAlign w:val="center"/>
          </w:tcPr>
          <w:p>
            <w:pPr>
              <w:jc w:val="center"/>
              <w:rPr>
                <w:szCs w:val="21"/>
              </w:rPr>
            </w:pPr>
          </w:p>
        </w:tc>
        <w:tc>
          <w:tcPr>
            <w:tcW w:w="822" w:type="dxa"/>
            <w:tcBorders>
              <w:top w:val="single" w:color="auto" w:sz="8" w:space="0"/>
              <w:left w:val="single" w:color="auto" w:sz="8" w:space="0"/>
              <w:bottom w:val="single" w:color="auto" w:sz="8" w:space="0"/>
              <w:right w:val="single" w:color="auto" w:sz="8" w:space="0"/>
            </w:tcBorders>
            <w:noWrap/>
            <w:vAlign w:val="center"/>
          </w:tcPr>
          <w:p>
            <w:pPr>
              <w:jc w:val="center"/>
              <w:rPr>
                <w:szCs w:val="21"/>
              </w:rPr>
            </w:pPr>
          </w:p>
        </w:tc>
        <w:tc>
          <w:tcPr>
            <w:tcW w:w="70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w:t>
            </w:r>
          </w:p>
        </w:tc>
        <w:tc>
          <w:tcPr>
            <w:tcW w:w="709"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144±1</w:t>
            </w:r>
          </w:p>
        </w:tc>
        <w:tc>
          <w:tcPr>
            <w:tcW w:w="82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w:t>
            </w:r>
          </w:p>
        </w:tc>
        <w:tc>
          <w:tcPr>
            <w:tcW w:w="733"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144±1</w:t>
            </w:r>
          </w:p>
        </w:tc>
        <w:tc>
          <w:tcPr>
            <w:tcW w:w="71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w:t>
            </w:r>
          </w:p>
        </w:tc>
        <w:tc>
          <w:tcPr>
            <w:tcW w:w="85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211±1</w:t>
            </w:r>
          </w:p>
        </w:tc>
      </w:tr>
      <w:tr>
        <w:tblPrEx>
          <w:tblCellMar>
            <w:top w:w="0" w:type="dxa"/>
            <w:left w:w="108" w:type="dxa"/>
            <w:bottom w:w="0" w:type="dxa"/>
            <w:right w:w="108" w:type="dxa"/>
          </w:tblCellMar>
        </w:tblPrEx>
        <w:trPr>
          <w:trHeight w:val="630" w:hRule="atLeast"/>
          <w:jc w:val="center"/>
        </w:trPr>
        <w:tc>
          <w:tcPr>
            <w:tcW w:w="597" w:type="dxa"/>
            <w:vMerge w:val="continue"/>
            <w:tcBorders>
              <w:left w:val="single" w:color="auto" w:sz="8" w:space="0"/>
              <w:right w:val="single" w:color="auto" w:sz="8" w:space="0"/>
            </w:tcBorders>
            <w:noWrap/>
            <w:vAlign w:val="center"/>
          </w:tcPr>
          <w:p>
            <w:pPr>
              <w:widowControl/>
              <w:jc w:val="left"/>
              <w:rPr>
                <w:color w:val="000000"/>
                <w:kern w:val="0"/>
                <w:szCs w:val="21"/>
              </w:rPr>
            </w:pPr>
          </w:p>
        </w:tc>
        <w:tc>
          <w:tcPr>
            <w:tcW w:w="666" w:type="dxa"/>
            <w:tcBorders>
              <w:top w:val="single" w:color="auto" w:sz="8" w:space="0"/>
              <w:left w:val="single" w:color="auto" w:sz="8" w:space="0"/>
              <w:bottom w:val="single" w:color="auto" w:sz="8" w:space="0"/>
              <w:right w:val="single" w:color="auto" w:sz="8" w:space="0"/>
            </w:tcBorders>
            <w:noWrap/>
            <w:vAlign w:val="center"/>
          </w:tcPr>
          <w:p>
            <w:pPr>
              <w:widowControl/>
              <w:jc w:val="center"/>
              <w:rPr>
                <w:color w:val="000000"/>
                <w:kern w:val="0"/>
                <w:szCs w:val="21"/>
              </w:rPr>
            </w:pPr>
            <w:r>
              <w:rPr>
                <w:color w:val="000000"/>
                <w:kern w:val="0"/>
                <w:szCs w:val="21"/>
              </w:rPr>
              <w:t>W4</w:t>
            </w:r>
          </w:p>
        </w:tc>
        <w:tc>
          <w:tcPr>
            <w:tcW w:w="829"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7min</w:t>
            </w:r>
          </w:p>
        </w:tc>
        <w:tc>
          <w:tcPr>
            <w:tcW w:w="860"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7min</w:t>
            </w:r>
          </w:p>
        </w:tc>
        <w:tc>
          <w:tcPr>
            <w:tcW w:w="767"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9.5min</w:t>
            </w:r>
          </w:p>
        </w:tc>
        <w:tc>
          <w:tcPr>
            <w:tcW w:w="822"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9.5min</w:t>
            </w:r>
          </w:p>
        </w:tc>
        <w:tc>
          <w:tcPr>
            <w:tcW w:w="70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12min</w:t>
            </w:r>
          </w:p>
        </w:tc>
        <w:tc>
          <w:tcPr>
            <w:tcW w:w="709"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12min</w:t>
            </w:r>
          </w:p>
        </w:tc>
        <w:tc>
          <w:tcPr>
            <w:tcW w:w="82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12min</w:t>
            </w:r>
          </w:p>
        </w:tc>
        <w:tc>
          <w:tcPr>
            <w:tcW w:w="733"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12min</w:t>
            </w:r>
          </w:p>
        </w:tc>
        <w:tc>
          <w:tcPr>
            <w:tcW w:w="71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15min</w:t>
            </w:r>
          </w:p>
        </w:tc>
        <w:tc>
          <w:tcPr>
            <w:tcW w:w="85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15min</w:t>
            </w:r>
          </w:p>
        </w:tc>
      </w:tr>
      <w:tr>
        <w:tblPrEx>
          <w:tblCellMar>
            <w:top w:w="0" w:type="dxa"/>
            <w:left w:w="108" w:type="dxa"/>
            <w:bottom w:w="0" w:type="dxa"/>
            <w:right w:w="108" w:type="dxa"/>
          </w:tblCellMar>
        </w:tblPrEx>
        <w:trPr>
          <w:trHeight w:val="630" w:hRule="atLeast"/>
          <w:jc w:val="center"/>
        </w:trPr>
        <w:tc>
          <w:tcPr>
            <w:tcW w:w="597" w:type="dxa"/>
            <w:vMerge w:val="continue"/>
            <w:tcBorders>
              <w:left w:val="single" w:color="auto" w:sz="8" w:space="0"/>
              <w:right w:val="single" w:color="auto" w:sz="8" w:space="0"/>
            </w:tcBorders>
            <w:noWrap/>
            <w:vAlign w:val="center"/>
          </w:tcPr>
          <w:p>
            <w:pPr>
              <w:widowControl/>
              <w:jc w:val="left"/>
              <w:rPr>
                <w:color w:val="000000"/>
                <w:kern w:val="0"/>
                <w:szCs w:val="21"/>
              </w:rPr>
            </w:pPr>
          </w:p>
        </w:tc>
        <w:tc>
          <w:tcPr>
            <w:tcW w:w="666" w:type="dxa"/>
            <w:tcBorders>
              <w:top w:val="single" w:color="auto" w:sz="8" w:space="0"/>
              <w:left w:val="single" w:color="auto" w:sz="8" w:space="0"/>
              <w:bottom w:val="single" w:color="auto" w:sz="8" w:space="0"/>
              <w:right w:val="single" w:color="auto" w:sz="8" w:space="0"/>
            </w:tcBorders>
            <w:noWrap/>
            <w:vAlign w:val="center"/>
          </w:tcPr>
          <w:p>
            <w:pPr>
              <w:widowControl/>
              <w:jc w:val="center"/>
              <w:rPr>
                <w:color w:val="000000"/>
                <w:kern w:val="0"/>
                <w:szCs w:val="21"/>
              </w:rPr>
            </w:pPr>
            <w:r>
              <w:rPr>
                <w:color w:val="000000"/>
                <w:kern w:val="0"/>
                <w:szCs w:val="21"/>
              </w:rPr>
              <w:t>W5</w:t>
            </w:r>
          </w:p>
        </w:tc>
        <w:tc>
          <w:tcPr>
            <w:tcW w:w="829"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18min</w:t>
            </w:r>
          </w:p>
        </w:tc>
        <w:tc>
          <w:tcPr>
            <w:tcW w:w="860"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18min</w:t>
            </w:r>
          </w:p>
        </w:tc>
        <w:tc>
          <w:tcPr>
            <w:tcW w:w="767"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18min</w:t>
            </w:r>
          </w:p>
        </w:tc>
        <w:tc>
          <w:tcPr>
            <w:tcW w:w="822"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18min</w:t>
            </w:r>
          </w:p>
        </w:tc>
        <w:tc>
          <w:tcPr>
            <w:tcW w:w="70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32.5min</w:t>
            </w:r>
          </w:p>
        </w:tc>
        <w:tc>
          <w:tcPr>
            <w:tcW w:w="709"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32.5min</w:t>
            </w:r>
          </w:p>
        </w:tc>
        <w:tc>
          <w:tcPr>
            <w:tcW w:w="82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32.5min</w:t>
            </w:r>
          </w:p>
        </w:tc>
        <w:tc>
          <w:tcPr>
            <w:tcW w:w="733"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32.5min</w:t>
            </w:r>
          </w:p>
        </w:tc>
        <w:tc>
          <w:tcPr>
            <w:tcW w:w="71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44min</w:t>
            </w:r>
          </w:p>
        </w:tc>
        <w:tc>
          <w:tcPr>
            <w:tcW w:w="85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44min</w:t>
            </w:r>
          </w:p>
        </w:tc>
      </w:tr>
      <w:tr>
        <w:tblPrEx>
          <w:tblCellMar>
            <w:top w:w="0" w:type="dxa"/>
            <w:left w:w="108" w:type="dxa"/>
            <w:bottom w:w="0" w:type="dxa"/>
            <w:right w:w="108" w:type="dxa"/>
          </w:tblCellMar>
        </w:tblPrEx>
        <w:trPr>
          <w:trHeight w:val="630" w:hRule="atLeast"/>
          <w:jc w:val="center"/>
        </w:trPr>
        <w:tc>
          <w:tcPr>
            <w:tcW w:w="597" w:type="dxa"/>
            <w:vMerge w:val="continue"/>
            <w:tcBorders>
              <w:left w:val="single" w:color="auto" w:sz="8" w:space="0"/>
              <w:bottom w:val="single" w:color="auto" w:sz="8" w:space="0"/>
              <w:right w:val="single" w:color="auto" w:sz="8" w:space="0"/>
            </w:tcBorders>
            <w:noWrap/>
            <w:vAlign w:val="center"/>
          </w:tcPr>
          <w:p>
            <w:pPr>
              <w:widowControl/>
              <w:jc w:val="left"/>
              <w:rPr>
                <w:color w:val="000000"/>
                <w:kern w:val="0"/>
                <w:szCs w:val="21"/>
              </w:rPr>
            </w:pPr>
          </w:p>
        </w:tc>
        <w:tc>
          <w:tcPr>
            <w:tcW w:w="666" w:type="dxa"/>
            <w:tcBorders>
              <w:top w:val="single" w:color="auto" w:sz="8" w:space="0"/>
              <w:left w:val="single" w:color="auto" w:sz="8" w:space="0"/>
              <w:bottom w:val="single" w:color="auto" w:sz="8" w:space="0"/>
              <w:right w:val="single" w:color="auto" w:sz="8" w:space="0"/>
            </w:tcBorders>
            <w:noWrap/>
            <w:vAlign w:val="center"/>
          </w:tcPr>
          <w:p>
            <w:pPr>
              <w:widowControl/>
              <w:jc w:val="center"/>
              <w:rPr>
                <w:color w:val="000000"/>
                <w:kern w:val="0"/>
                <w:szCs w:val="21"/>
              </w:rPr>
            </w:pPr>
            <w:r>
              <w:rPr>
                <w:color w:val="000000"/>
                <w:kern w:val="0"/>
                <w:szCs w:val="21"/>
              </w:rPr>
              <w:t>H1</w:t>
            </w:r>
          </w:p>
        </w:tc>
        <w:tc>
          <w:tcPr>
            <w:tcW w:w="829"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111max</w:t>
            </w:r>
          </w:p>
        </w:tc>
        <w:tc>
          <w:tcPr>
            <w:tcW w:w="860"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111max</w:t>
            </w:r>
          </w:p>
        </w:tc>
        <w:tc>
          <w:tcPr>
            <w:tcW w:w="767"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126max</w:t>
            </w:r>
          </w:p>
        </w:tc>
        <w:tc>
          <w:tcPr>
            <w:tcW w:w="822" w:type="dxa"/>
            <w:tcBorders>
              <w:top w:val="single" w:color="auto" w:sz="8" w:space="0"/>
              <w:left w:val="single" w:color="auto" w:sz="8" w:space="0"/>
              <w:bottom w:val="single" w:color="auto" w:sz="8" w:space="0"/>
              <w:right w:val="single" w:color="auto" w:sz="8" w:space="0"/>
            </w:tcBorders>
            <w:noWrap/>
            <w:vAlign w:val="center"/>
          </w:tcPr>
          <w:p>
            <w:pPr>
              <w:keepNext w:val="0"/>
              <w:keepLines w:val="0"/>
              <w:widowControl/>
              <w:suppressLineNumbers w:val="0"/>
              <w:jc w:val="center"/>
              <w:textAlignment w:val="center"/>
              <w:rPr>
                <w:szCs w:val="21"/>
              </w:rPr>
            </w:pPr>
            <w:r>
              <w:rPr>
                <w:rFonts w:hint="default" w:ascii="Times New Roman" w:hAnsi="Times New Roman" w:eastAsia="等线" w:cs="Times New Roman"/>
                <w:i w:val="0"/>
                <w:iCs w:val="0"/>
                <w:color w:val="000000"/>
                <w:kern w:val="0"/>
                <w:sz w:val="20"/>
                <w:szCs w:val="20"/>
                <w:u w:val="none"/>
                <w:lang w:val="en-US" w:eastAsia="zh-CN" w:bidi="ar"/>
              </w:rPr>
              <w:t>126max</w:t>
            </w:r>
          </w:p>
        </w:tc>
        <w:tc>
          <w:tcPr>
            <w:tcW w:w="70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150max</w:t>
            </w:r>
          </w:p>
        </w:tc>
        <w:tc>
          <w:tcPr>
            <w:tcW w:w="709"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150max</w:t>
            </w:r>
          </w:p>
        </w:tc>
        <w:tc>
          <w:tcPr>
            <w:tcW w:w="82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150max</w:t>
            </w:r>
          </w:p>
        </w:tc>
        <w:tc>
          <w:tcPr>
            <w:tcW w:w="733"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150max</w:t>
            </w:r>
          </w:p>
        </w:tc>
        <w:tc>
          <w:tcPr>
            <w:tcW w:w="714"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156max</w:t>
            </w:r>
          </w:p>
        </w:tc>
        <w:tc>
          <w:tcPr>
            <w:tcW w:w="851" w:type="dxa"/>
            <w:tcBorders>
              <w:top w:val="single" w:color="auto" w:sz="8" w:space="0"/>
              <w:left w:val="single" w:color="auto" w:sz="8" w:space="0"/>
              <w:bottom w:val="single" w:color="auto" w:sz="8" w:space="0"/>
              <w:right w:val="single" w:color="auto" w:sz="8" w:space="0"/>
            </w:tcBorders>
            <w:noWrap/>
            <w:vAlign w:val="center"/>
          </w:tcPr>
          <w:p>
            <w:pPr>
              <w:widowControl/>
              <w:jc w:val="center"/>
              <w:rPr>
                <w:szCs w:val="21"/>
              </w:rPr>
            </w:pPr>
            <w:r>
              <w:rPr>
                <w:szCs w:val="21"/>
              </w:rPr>
              <w:t>156max</w:t>
            </w:r>
          </w:p>
        </w:tc>
      </w:tr>
    </w:tbl>
    <w:p>
      <w:pPr>
        <w:spacing w:line="360" w:lineRule="auto"/>
      </w:pPr>
    </w:p>
    <w:p>
      <w:pPr>
        <w:spacing w:line="360" w:lineRule="auto"/>
      </w:pPr>
      <w:r>
        <w:t>5.2.3.3</w:t>
      </w:r>
      <w:r>
        <w:tab/>
      </w:r>
      <w:r>
        <w:t>塑壳断路器结构图：</w:t>
      </w:r>
    </w:p>
    <w:p>
      <w:pPr>
        <w:ind w:firstLine="420" w:firstLineChars="200"/>
        <w:jc w:val="center"/>
      </w:pPr>
      <w:r>
        <w:drawing>
          <wp:inline distT="0" distB="0" distL="114300" distR="114300">
            <wp:extent cx="5647690" cy="4037965"/>
            <wp:effectExtent l="0" t="0" r="10160" b="635"/>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17"/>
                    <a:stretch>
                      <a:fillRect/>
                    </a:stretch>
                  </pic:blipFill>
                  <pic:spPr>
                    <a:xfrm>
                      <a:off x="0" y="0"/>
                      <a:ext cx="5647690" cy="4037965"/>
                    </a:xfrm>
                    <a:prstGeom prst="rect">
                      <a:avLst/>
                    </a:prstGeom>
                    <a:noFill/>
                    <a:ln>
                      <a:noFill/>
                    </a:ln>
                  </pic:spPr>
                </pic:pic>
              </a:graphicData>
            </a:graphic>
          </wp:inline>
        </w:drawing>
      </w:r>
    </w:p>
    <w:p>
      <w:pPr>
        <w:ind w:firstLine="420" w:firstLineChars="200"/>
        <w:jc w:val="center"/>
      </w:pPr>
      <w:r>
        <w:t>图1低压塑壳断路器（不带漏电保护功能）外形及安装尺寸</w:t>
      </w:r>
    </w:p>
    <w:p>
      <w:pPr>
        <w:ind w:firstLine="420" w:firstLineChars="200"/>
        <w:jc w:val="center"/>
      </w:pPr>
    </w:p>
    <w:p>
      <w:pPr>
        <w:spacing w:line="360" w:lineRule="auto"/>
        <w:jc w:val="center"/>
      </w:pPr>
      <w:r>
        <w:drawing>
          <wp:inline distT="0" distB="0" distL="114300" distR="114300">
            <wp:extent cx="5605780" cy="3743960"/>
            <wp:effectExtent l="0" t="0" r="13970" b="889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18"/>
                    <a:stretch>
                      <a:fillRect/>
                    </a:stretch>
                  </pic:blipFill>
                  <pic:spPr>
                    <a:xfrm>
                      <a:off x="0" y="0"/>
                      <a:ext cx="5605780" cy="3743960"/>
                    </a:xfrm>
                    <a:prstGeom prst="rect">
                      <a:avLst/>
                    </a:prstGeom>
                    <a:noFill/>
                    <a:ln>
                      <a:noFill/>
                    </a:ln>
                  </pic:spPr>
                </pic:pic>
              </a:graphicData>
            </a:graphic>
          </wp:inline>
        </w:drawing>
      </w:r>
    </w:p>
    <w:p>
      <w:pPr>
        <w:ind w:firstLine="420" w:firstLineChars="200"/>
        <w:jc w:val="center"/>
      </w:pPr>
      <w:r>
        <w:t>图2低压塑壳断路器（带漏电保护功能）外形及安装尺寸</w:t>
      </w:r>
    </w:p>
    <w:p>
      <w:pPr>
        <w:spacing w:line="360" w:lineRule="auto"/>
      </w:pPr>
      <w:r>
        <w:t>5.2.3.4绝缘结构要求：</w:t>
      </w:r>
    </w:p>
    <w:p>
      <w:pPr>
        <w:spacing w:line="360" w:lineRule="auto"/>
        <w:ind w:firstLine="420" w:firstLineChars="200"/>
      </w:pPr>
      <w:r>
        <w:t>断路器接线端</w:t>
      </w:r>
      <w:r>
        <w:rPr>
          <w:rFonts w:hint="eastAsia"/>
        </w:rPr>
        <w:t>，2</w:t>
      </w:r>
      <w:r>
        <w:t>50A</w:t>
      </w:r>
      <w:r>
        <w:rPr>
          <w:rFonts w:hint="eastAsia"/>
        </w:rPr>
        <w:t>壳架及以下</w:t>
      </w:r>
      <w:r>
        <w:t>配有镀锡的铜连接排</w:t>
      </w:r>
      <w:r>
        <w:rPr>
          <w:rFonts w:hint="eastAsia"/>
        </w:rPr>
        <w:t>，4</w:t>
      </w:r>
      <w:r>
        <w:t>00A</w:t>
      </w:r>
      <w:r>
        <w:rPr>
          <w:rFonts w:hint="eastAsia"/>
        </w:rPr>
        <w:t>和6</w:t>
      </w:r>
      <w:r>
        <w:t>30A</w:t>
      </w:r>
      <w:r>
        <w:rPr>
          <w:rFonts w:hint="eastAsia"/>
        </w:rPr>
        <w:t>壳架</w:t>
      </w:r>
      <w:r>
        <w:t>配有</w:t>
      </w:r>
      <w:r>
        <w:rPr>
          <w:rFonts w:hint="eastAsia"/>
        </w:rPr>
        <w:t>镀银</w:t>
      </w:r>
      <w:r>
        <w:t>的铜连接排</w:t>
      </w:r>
      <w:r>
        <w:rPr>
          <w:rFonts w:hint="eastAsia"/>
        </w:rPr>
        <w:t>，断路器可配</w:t>
      </w:r>
      <w:r>
        <w:t>相间绝缘隔板。</w:t>
      </w:r>
    </w:p>
    <w:p>
      <w:pPr>
        <w:numPr>
          <w:ilvl w:val="1"/>
          <w:numId w:val="1"/>
        </w:numPr>
        <w:spacing w:line="360" w:lineRule="auto"/>
        <w:outlineLvl w:val="1"/>
      </w:pPr>
      <w:bookmarkStart w:id="47" w:name="_Toc2319"/>
      <w:r>
        <w:t>性能要求</w:t>
      </w:r>
      <w:bookmarkEnd w:id="47"/>
    </w:p>
    <w:p>
      <w:pPr>
        <w:spacing w:line="360" w:lineRule="auto"/>
      </w:pPr>
      <w:r>
        <w:t>5.3.1 保护要求</w:t>
      </w:r>
    </w:p>
    <w:p>
      <w:pPr>
        <w:spacing w:line="360" w:lineRule="auto"/>
        <w:ind w:firstLine="420" w:firstLineChars="200"/>
        <w:rPr>
          <w:kern w:val="0"/>
          <w:szCs w:val="21"/>
        </w:rPr>
      </w:pPr>
      <w:r>
        <w:rPr>
          <w:kern w:val="0"/>
          <w:szCs w:val="21"/>
        </w:rPr>
        <w:t>1）</w:t>
      </w:r>
      <w:r>
        <w:rPr>
          <w:szCs w:val="21"/>
        </w:rPr>
        <w:t>塑壳断路器</w:t>
      </w:r>
      <w:r>
        <w:rPr>
          <w:kern w:val="0"/>
          <w:szCs w:val="21"/>
        </w:rPr>
        <w:t>具有的基本保护功能和附加保护功能保护参数可整定；</w:t>
      </w:r>
    </w:p>
    <w:p>
      <w:pPr>
        <w:spacing w:line="360" w:lineRule="auto"/>
        <w:ind w:firstLine="420" w:firstLineChars="200"/>
        <w:rPr>
          <w:kern w:val="0"/>
          <w:szCs w:val="21"/>
        </w:rPr>
      </w:pPr>
      <w:r>
        <w:rPr>
          <w:kern w:val="0"/>
          <w:szCs w:val="21"/>
        </w:rPr>
        <w:t>2）</w:t>
      </w:r>
      <w:r>
        <w:rPr>
          <w:szCs w:val="21"/>
        </w:rPr>
        <w:t>塑壳断路器</w:t>
      </w:r>
      <w:r>
        <w:rPr>
          <w:kern w:val="0"/>
          <w:szCs w:val="21"/>
        </w:rPr>
        <w:t>的基本保护功能包括：过载长延时保护、短路短延时保护和短路瞬时保护。</w:t>
      </w:r>
    </w:p>
    <w:p>
      <w:pPr>
        <w:spacing w:line="360" w:lineRule="auto"/>
        <w:ind w:firstLine="840" w:firstLineChars="400"/>
        <w:rPr>
          <w:kern w:val="0"/>
          <w:szCs w:val="21"/>
        </w:rPr>
      </w:pPr>
      <w:r>
        <w:rPr>
          <w:kern w:val="0"/>
          <w:szCs w:val="21"/>
        </w:rPr>
        <w:t>a）过载长延时</w:t>
      </w:r>
      <w:r>
        <w:rPr>
          <w:rFonts w:hint="eastAsia"/>
          <w:kern w:val="0"/>
          <w:szCs w:val="21"/>
        </w:rPr>
        <w:t>：</w:t>
      </w:r>
      <w:r>
        <w:rPr>
          <w:i/>
          <w:iCs/>
          <w:kern w:val="0"/>
          <w:szCs w:val="21"/>
        </w:rPr>
        <w:t>Ir</w:t>
      </w:r>
      <w:r>
        <w:rPr>
          <w:rFonts w:hint="eastAsia"/>
          <w:kern w:val="0"/>
          <w:szCs w:val="21"/>
        </w:rPr>
        <w:t xml:space="preserve"> = </w:t>
      </w:r>
      <w:r>
        <w:rPr>
          <w:kern w:val="0"/>
          <w:szCs w:val="21"/>
        </w:rPr>
        <w:t>0.4In～1.0In，步距≤0.05 In</w:t>
      </w:r>
      <w:r>
        <w:rPr>
          <w:rFonts w:hint="eastAsia"/>
          <w:kern w:val="0"/>
          <w:szCs w:val="21"/>
        </w:rPr>
        <w:t>，</w:t>
      </w:r>
      <w:r>
        <w:rPr>
          <w:i/>
          <w:iCs/>
          <w:kern w:val="0"/>
          <w:szCs w:val="21"/>
        </w:rPr>
        <w:t>tr</w:t>
      </w:r>
      <w:r>
        <w:rPr>
          <w:rFonts w:hint="eastAsia"/>
          <w:kern w:val="0"/>
          <w:szCs w:val="21"/>
        </w:rPr>
        <w:t xml:space="preserve"> = </w:t>
      </w:r>
      <w:r>
        <w:rPr>
          <w:kern w:val="0"/>
          <w:szCs w:val="21"/>
        </w:rPr>
        <w:t>8~60s；</w:t>
      </w:r>
    </w:p>
    <w:p>
      <w:pPr>
        <w:spacing w:line="360" w:lineRule="auto"/>
        <w:ind w:firstLine="840" w:firstLineChars="400"/>
        <w:rPr>
          <w:kern w:val="0"/>
          <w:szCs w:val="21"/>
        </w:rPr>
      </w:pPr>
      <w:r>
        <w:rPr>
          <w:kern w:val="0"/>
          <w:szCs w:val="21"/>
        </w:rPr>
        <w:t>b）短路短延时</w:t>
      </w:r>
      <w:r>
        <w:rPr>
          <w:rFonts w:hint="eastAsia"/>
          <w:kern w:val="0"/>
          <w:szCs w:val="21"/>
        </w:rPr>
        <w:t>：</w:t>
      </w:r>
      <w:r>
        <w:rPr>
          <w:i/>
          <w:iCs/>
          <w:kern w:val="0"/>
          <w:szCs w:val="21"/>
        </w:rPr>
        <w:t>Isd</w:t>
      </w:r>
      <w:r>
        <w:rPr>
          <w:rFonts w:hint="eastAsia"/>
          <w:kern w:val="0"/>
          <w:szCs w:val="21"/>
        </w:rPr>
        <w:t xml:space="preserve"> = </w:t>
      </w:r>
      <w:r>
        <w:rPr>
          <w:kern w:val="0"/>
          <w:szCs w:val="21"/>
        </w:rPr>
        <w:t>2~10 Ir</w:t>
      </w:r>
      <w:r>
        <w:rPr>
          <w:rFonts w:hint="eastAsia"/>
          <w:kern w:val="0"/>
          <w:szCs w:val="21"/>
        </w:rPr>
        <w:t>，</w:t>
      </w:r>
      <w:r>
        <w:rPr>
          <w:kern w:val="0"/>
          <w:szCs w:val="21"/>
        </w:rPr>
        <w:t>步距≤1 Ir</w:t>
      </w:r>
      <w:r>
        <w:rPr>
          <w:rFonts w:hint="eastAsia"/>
          <w:kern w:val="0"/>
          <w:szCs w:val="21"/>
        </w:rPr>
        <w:t>，</w:t>
      </w:r>
      <w:r>
        <w:rPr>
          <w:i/>
          <w:iCs/>
          <w:kern w:val="0"/>
          <w:szCs w:val="21"/>
        </w:rPr>
        <w:t>tsd</w:t>
      </w:r>
      <w:r>
        <w:rPr>
          <w:rFonts w:hint="eastAsia"/>
          <w:kern w:val="0"/>
          <w:szCs w:val="21"/>
        </w:rPr>
        <w:t xml:space="preserve"> = </w:t>
      </w:r>
      <w:r>
        <w:rPr>
          <w:kern w:val="0"/>
          <w:szCs w:val="21"/>
        </w:rPr>
        <w:t>0.05~0.3s；</w:t>
      </w:r>
    </w:p>
    <w:p>
      <w:pPr>
        <w:spacing w:line="360" w:lineRule="auto"/>
        <w:ind w:firstLine="840" w:firstLineChars="400"/>
        <w:rPr>
          <w:kern w:val="0"/>
          <w:szCs w:val="21"/>
        </w:rPr>
      </w:pPr>
      <w:r>
        <w:rPr>
          <w:kern w:val="0"/>
          <w:szCs w:val="21"/>
        </w:rPr>
        <w:t>c）短路瞬时</w:t>
      </w:r>
      <w:r>
        <w:rPr>
          <w:rFonts w:hint="eastAsia"/>
          <w:kern w:val="0"/>
          <w:szCs w:val="21"/>
        </w:rPr>
        <w:t>：</w:t>
      </w:r>
      <w:r>
        <w:rPr>
          <w:i/>
          <w:iCs/>
          <w:kern w:val="0"/>
          <w:szCs w:val="21"/>
        </w:rPr>
        <w:t>Ii</w:t>
      </w:r>
      <w:r>
        <w:rPr>
          <w:rFonts w:hint="eastAsia"/>
          <w:kern w:val="0"/>
          <w:szCs w:val="21"/>
        </w:rPr>
        <w:t xml:space="preserve"> = </w:t>
      </w:r>
      <w:r>
        <w:rPr>
          <w:kern w:val="0"/>
          <w:szCs w:val="21"/>
        </w:rPr>
        <w:t>4~10 In</w:t>
      </w:r>
      <w:r>
        <w:rPr>
          <w:rFonts w:hint="eastAsia"/>
          <w:kern w:val="0"/>
          <w:szCs w:val="21"/>
        </w:rPr>
        <w:t>，</w:t>
      </w:r>
      <w:r>
        <w:rPr>
          <w:kern w:val="0"/>
          <w:szCs w:val="21"/>
        </w:rPr>
        <w:t>步距≤1In</w:t>
      </w:r>
      <w:r>
        <w:rPr>
          <w:rFonts w:hint="eastAsia"/>
          <w:kern w:val="0"/>
          <w:szCs w:val="21"/>
        </w:rPr>
        <w:t>，</w:t>
      </w:r>
      <w:r>
        <w:rPr>
          <w:kern w:val="0"/>
          <w:szCs w:val="21"/>
        </w:rPr>
        <w:t>动作时间＜50ms；</w:t>
      </w:r>
    </w:p>
    <w:p>
      <w:pPr>
        <w:spacing w:line="360" w:lineRule="auto"/>
        <w:ind w:firstLine="420" w:firstLineChars="200"/>
        <w:rPr>
          <w:kern w:val="0"/>
          <w:szCs w:val="21"/>
        </w:rPr>
      </w:pPr>
      <w:r>
        <w:rPr>
          <w:kern w:val="0"/>
          <w:szCs w:val="21"/>
        </w:rPr>
        <w:t>3)带剩余电流保护的塑壳断路器需具备带剩余电流保护功能,为满足分级保护需求，剩余电流保护的额定剩余动作电流应为固定分档可调。额定剩余动作电流、额定剩余不动作电流、分断时间、延时级差等参数应满足GB/T 14048.2 -2020</w:t>
      </w:r>
      <w:r>
        <w:rPr>
          <w:rFonts w:hint="eastAsia"/>
          <w:kern w:val="0"/>
          <w:szCs w:val="21"/>
        </w:rPr>
        <w:t>（</w:t>
      </w:r>
      <w:r>
        <w:rPr>
          <w:kern w:val="0"/>
          <w:szCs w:val="21"/>
        </w:rPr>
        <w:t>附录B</w:t>
      </w:r>
      <w:r>
        <w:rPr>
          <w:rFonts w:hint="eastAsia"/>
          <w:kern w:val="0"/>
          <w:szCs w:val="21"/>
        </w:rPr>
        <w:t>）</w:t>
      </w:r>
      <w:r>
        <w:rPr>
          <w:rFonts w:hint="eastAsia"/>
          <w:kern w:val="0"/>
          <w:szCs w:val="21"/>
          <w:lang w:val="en-US" w:eastAsia="zh-CN"/>
        </w:rPr>
        <w:t>的</w:t>
      </w:r>
      <w:r>
        <w:rPr>
          <w:kern w:val="0"/>
          <w:szCs w:val="21"/>
        </w:rPr>
        <w:t>要求。</w:t>
      </w:r>
    </w:p>
    <w:p>
      <w:pPr>
        <w:spacing w:line="360" w:lineRule="auto"/>
        <w:ind w:firstLine="420" w:firstLineChars="200"/>
        <w:rPr>
          <w:kern w:val="0"/>
          <w:szCs w:val="21"/>
        </w:rPr>
      </w:pPr>
      <w:r>
        <w:rPr>
          <w:kern w:val="0"/>
          <w:szCs w:val="21"/>
        </w:rPr>
        <w:t>3）</w:t>
      </w:r>
      <w:r>
        <w:rPr>
          <w:szCs w:val="21"/>
        </w:rPr>
        <w:t>塑壳断路器</w:t>
      </w:r>
      <w:r>
        <w:rPr>
          <w:kern w:val="0"/>
          <w:szCs w:val="21"/>
        </w:rPr>
        <w:t>的附加保护功能包括：保护参数整定包括投退、告警、动作时限、电流定值。</w:t>
      </w:r>
    </w:p>
    <w:p>
      <w:pPr>
        <w:spacing w:line="360" w:lineRule="auto"/>
        <w:ind w:firstLine="420" w:firstLineChars="200"/>
        <w:rPr>
          <w:kern w:val="0"/>
          <w:szCs w:val="21"/>
        </w:rPr>
      </w:pPr>
      <w:r>
        <w:rPr>
          <w:kern w:val="0"/>
          <w:szCs w:val="21"/>
        </w:rPr>
        <w:t>4）</w:t>
      </w:r>
      <w:r>
        <w:rPr>
          <w:szCs w:val="21"/>
        </w:rPr>
        <w:t>塑壳断路器</w:t>
      </w:r>
      <w:r>
        <w:rPr>
          <w:rFonts w:hint="eastAsia"/>
          <w:szCs w:val="21"/>
          <w:lang w:val="en-US" w:eastAsia="zh-CN"/>
        </w:rPr>
        <w:t>不设置失压脱扣</w:t>
      </w:r>
      <w:r>
        <w:rPr>
          <w:kern w:val="0"/>
          <w:szCs w:val="21"/>
        </w:rPr>
        <w:t>。</w:t>
      </w:r>
    </w:p>
    <w:p>
      <w:pPr>
        <w:spacing w:line="360" w:lineRule="auto"/>
        <w:rPr>
          <w:kern w:val="0"/>
          <w:szCs w:val="21"/>
        </w:rPr>
      </w:pPr>
      <w:r>
        <w:t>5.3.2</w:t>
      </w:r>
      <w:r>
        <w:rPr>
          <w:kern w:val="0"/>
          <w:szCs w:val="21"/>
        </w:rPr>
        <w:t>温升限值</w:t>
      </w:r>
    </w:p>
    <w:p>
      <w:pPr>
        <w:spacing w:line="360" w:lineRule="auto"/>
        <w:ind w:firstLine="420" w:firstLineChars="200"/>
        <w:rPr>
          <w:kern w:val="0"/>
          <w:szCs w:val="21"/>
        </w:rPr>
      </w:pPr>
      <w:r>
        <w:rPr>
          <w:kern w:val="0"/>
          <w:szCs w:val="21"/>
        </w:rPr>
        <w:t>应满足GB14048.2中7.2.2要求，断路器在正常工作条件下，按规定条件进行试验时，其各部件的温升不得超过表5-2规定的极限值，断路器不应遭到损坏而影响它的功能或使用安全。</w:t>
      </w:r>
    </w:p>
    <w:p>
      <w:pPr>
        <w:keepNext/>
        <w:spacing w:line="360" w:lineRule="auto"/>
        <w:jc w:val="center"/>
        <w:rPr>
          <w:snapToGrid w:val="0"/>
          <w:kern w:val="0"/>
          <w:szCs w:val="21"/>
        </w:rPr>
      </w:pPr>
      <w:r>
        <w:rPr>
          <w:snapToGrid w:val="0"/>
          <w:kern w:val="0"/>
          <w:szCs w:val="21"/>
        </w:rPr>
        <w:t>表5-2 温升值</w:t>
      </w:r>
    </w:p>
    <w:tbl>
      <w:tblPr>
        <w:tblStyle w:val="1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7008"/>
        <w:gridCol w:w="2294"/>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008" w:type="dxa"/>
            <w:noWrap/>
          </w:tcPr>
          <w:p>
            <w:pPr>
              <w:spacing w:line="320" w:lineRule="exact"/>
              <w:ind w:firstLine="420" w:firstLineChars="200"/>
              <w:jc w:val="center"/>
              <w:rPr>
                <w:szCs w:val="21"/>
              </w:rPr>
            </w:pPr>
            <w:r>
              <w:rPr>
                <w:szCs w:val="21"/>
              </w:rPr>
              <w:t>部件</w:t>
            </w:r>
            <w:r>
              <w:rPr>
                <w:szCs w:val="21"/>
                <w:vertAlign w:val="superscript"/>
              </w:rPr>
              <w:t>a</w:t>
            </w:r>
            <w:r>
              <w:rPr>
                <w:rFonts w:hint="eastAsia"/>
                <w:szCs w:val="21"/>
                <w:vertAlign w:val="superscript"/>
              </w:rPr>
              <w:t>）</w:t>
            </w:r>
            <w:r>
              <w:rPr>
                <w:szCs w:val="21"/>
                <w:vertAlign w:val="superscript"/>
              </w:rPr>
              <w:t>b）</w:t>
            </w:r>
          </w:p>
        </w:tc>
        <w:tc>
          <w:tcPr>
            <w:tcW w:w="2294" w:type="dxa"/>
            <w:noWrap/>
          </w:tcPr>
          <w:p>
            <w:pPr>
              <w:spacing w:line="320" w:lineRule="exact"/>
              <w:ind w:firstLine="420" w:firstLineChars="200"/>
              <w:jc w:val="center"/>
              <w:rPr>
                <w:szCs w:val="21"/>
              </w:rPr>
            </w:pPr>
            <w:r>
              <w:rPr>
                <w:szCs w:val="21"/>
              </w:rPr>
              <w:t>温升/K</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008" w:type="dxa"/>
            <w:noWrap/>
          </w:tcPr>
          <w:p>
            <w:pPr>
              <w:spacing w:line="360" w:lineRule="exact"/>
              <w:ind w:firstLine="420" w:firstLineChars="200"/>
              <w:rPr>
                <w:szCs w:val="21"/>
              </w:rPr>
            </w:pPr>
            <w:r>
              <w:rPr>
                <w:szCs w:val="21"/>
              </w:rPr>
              <w:t>连接外部导体的接线端子</w:t>
            </w:r>
          </w:p>
          <w:p>
            <w:pPr>
              <w:spacing w:line="360" w:lineRule="exact"/>
              <w:ind w:firstLine="420" w:firstLineChars="200"/>
              <w:rPr>
                <w:szCs w:val="21"/>
              </w:rPr>
            </w:pPr>
            <w:r>
              <w:rPr>
                <w:szCs w:val="21"/>
              </w:rPr>
              <w:t>人力操作部件：</w:t>
            </w:r>
          </w:p>
          <w:p>
            <w:pPr>
              <w:spacing w:line="360" w:lineRule="exact"/>
              <w:ind w:firstLine="420" w:firstLineChars="200"/>
              <w:rPr>
                <w:szCs w:val="21"/>
              </w:rPr>
            </w:pPr>
            <w:r>
              <w:rPr>
                <w:szCs w:val="21"/>
              </w:rPr>
              <w:t>金属零件</w:t>
            </w:r>
          </w:p>
          <w:p>
            <w:pPr>
              <w:spacing w:line="360" w:lineRule="exact"/>
              <w:ind w:firstLine="420" w:firstLineChars="200"/>
              <w:rPr>
                <w:szCs w:val="21"/>
              </w:rPr>
            </w:pPr>
            <w:r>
              <w:rPr>
                <w:szCs w:val="21"/>
              </w:rPr>
              <w:t>非金属零件</w:t>
            </w:r>
          </w:p>
          <w:p>
            <w:pPr>
              <w:spacing w:line="360" w:lineRule="exact"/>
              <w:ind w:firstLine="420" w:firstLineChars="200"/>
              <w:rPr>
                <w:szCs w:val="21"/>
              </w:rPr>
            </w:pPr>
            <w:r>
              <w:rPr>
                <w:szCs w:val="21"/>
              </w:rPr>
              <w:t>可触及但不是手握的部件</w:t>
            </w:r>
          </w:p>
          <w:p>
            <w:pPr>
              <w:spacing w:line="360" w:lineRule="exact"/>
              <w:ind w:firstLine="420" w:firstLineChars="200"/>
              <w:rPr>
                <w:szCs w:val="21"/>
              </w:rPr>
            </w:pPr>
            <w:r>
              <w:rPr>
                <w:szCs w:val="21"/>
              </w:rPr>
              <w:t>金属零件</w:t>
            </w:r>
          </w:p>
          <w:p>
            <w:pPr>
              <w:spacing w:line="360" w:lineRule="exact"/>
              <w:ind w:firstLine="630" w:firstLineChars="300"/>
              <w:rPr>
                <w:szCs w:val="21"/>
              </w:rPr>
            </w:pPr>
            <w:r>
              <w:rPr>
                <w:szCs w:val="21"/>
              </w:rPr>
              <w:t>非金属零件</w:t>
            </w:r>
          </w:p>
          <w:p>
            <w:pPr>
              <w:spacing w:line="360" w:lineRule="exact"/>
              <w:ind w:firstLine="420" w:firstLineChars="200"/>
              <w:rPr>
                <w:szCs w:val="21"/>
              </w:rPr>
            </w:pPr>
            <w:r>
              <w:rPr>
                <w:szCs w:val="21"/>
              </w:rPr>
              <w:t>正常操作时无需触及的部件</w:t>
            </w:r>
          </w:p>
          <w:p>
            <w:pPr>
              <w:spacing w:line="360" w:lineRule="exact"/>
              <w:ind w:firstLine="420" w:firstLineChars="200"/>
              <w:rPr>
                <w:szCs w:val="21"/>
              </w:rPr>
            </w:pPr>
            <w:r>
              <w:rPr>
                <w:szCs w:val="21"/>
              </w:rPr>
              <w:t xml:space="preserve">  金属零件</w:t>
            </w:r>
          </w:p>
          <w:p>
            <w:pPr>
              <w:spacing w:line="360" w:lineRule="exact"/>
              <w:ind w:firstLine="420" w:firstLineChars="200"/>
              <w:rPr>
                <w:szCs w:val="21"/>
              </w:rPr>
            </w:pPr>
            <w:r>
              <w:rPr>
                <w:szCs w:val="21"/>
              </w:rPr>
              <w:t xml:space="preserve">  非金属零件</w:t>
            </w:r>
          </w:p>
        </w:tc>
        <w:tc>
          <w:tcPr>
            <w:tcW w:w="2294" w:type="dxa"/>
            <w:noWrap/>
          </w:tcPr>
          <w:p>
            <w:pPr>
              <w:spacing w:line="360" w:lineRule="exact"/>
              <w:ind w:firstLine="420" w:firstLineChars="200"/>
              <w:jc w:val="center"/>
              <w:rPr>
                <w:szCs w:val="21"/>
              </w:rPr>
            </w:pPr>
            <w:r>
              <w:rPr>
                <w:szCs w:val="21"/>
              </w:rPr>
              <w:t>80</w:t>
            </w:r>
          </w:p>
          <w:p>
            <w:pPr>
              <w:spacing w:line="360" w:lineRule="exact"/>
              <w:ind w:firstLine="420" w:firstLineChars="200"/>
              <w:jc w:val="center"/>
              <w:rPr>
                <w:szCs w:val="21"/>
              </w:rPr>
            </w:pPr>
          </w:p>
          <w:p>
            <w:pPr>
              <w:spacing w:line="360" w:lineRule="exact"/>
              <w:ind w:firstLine="420" w:firstLineChars="200"/>
              <w:jc w:val="center"/>
              <w:rPr>
                <w:szCs w:val="21"/>
              </w:rPr>
            </w:pPr>
            <w:r>
              <w:rPr>
                <w:szCs w:val="21"/>
              </w:rPr>
              <w:t>25</w:t>
            </w:r>
          </w:p>
          <w:p>
            <w:pPr>
              <w:spacing w:line="360" w:lineRule="exact"/>
              <w:ind w:firstLine="420" w:firstLineChars="200"/>
              <w:jc w:val="center"/>
              <w:rPr>
                <w:szCs w:val="21"/>
              </w:rPr>
            </w:pPr>
            <w:r>
              <w:rPr>
                <w:szCs w:val="21"/>
              </w:rPr>
              <w:t>35</w:t>
            </w:r>
          </w:p>
          <w:p>
            <w:pPr>
              <w:spacing w:line="360" w:lineRule="exact"/>
              <w:ind w:firstLine="420" w:firstLineChars="200"/>
              <w:jc w:val="center"/>
              <w:rPr>
                <w:szCs w:val="21"/>
              </w:rPr>
            </w:pPr>
          </w:p>
          <w:p>
            <w:pPr>
              <w:spacing w:line="360" w:lineRule="exact"/>
              <w:ind w:firstLine="420" w:firstLineChars="200"/>
              <w:jc w:val="center"/>
              <w:rPr>
                <w:szCs w:val="21"/>
              </w:rPr>
            </w:pPr>
            <w:r>
              <w:rPr>
                <w:szCs w:val="21"/>
              </w:rPr>
              <w:t>40</w:t>
            </w:r>
          </w:p>
          <w:p>
            <w:pPr>
              <w:spacing w:line="360" w:lineRule="exact"/>
              <w:ind w:firstLine="420" w:firstLineChars="200"/>
              <w:jc w:val="center"/>
              <w:rPr>
                <w:szCs w:val="21"/>
              </w:rPr>
            </w:pPr>
            <w:r>
              <w:rPr>
                <w:szCs w:val="21"/>
              </w:rPr>
              <w:t>50</w:t>
            </w:r>
          </w:p>
          <w:p>
            <w:pPr>
              <w:spacing w:line="360" w:lineRule="exact"/>
              <w:ind w:firstLine="420" w:firstLineChars="200"/>
              <w:jc w:val="center"/>
              <w:rPr>
                <w:szCs w:val="21"/>
              </w:rPr>
            </w:pPr>
          </w:p>
          <w:p>
            <w:pPr>
              <w:spacing w:line="360" w:lineRule="exact"/>
              <w:ind w:firstLine="420" w:firstLineChars="200"/>
              <w:jc w:val="center"/>
              <w:rPr>
                <w:szCs w:val="21"/>
              </w:rPr>
            </w:pPr>
            <w:r>
              <w:rPr>
                <w:szCs w:val="21"/>
              </w:rPr>
              <w:t>50</w:t>
            </w:r>
          </w:p>
          <w:p>
            <w:pPr>
              <w:spacing w:line="360" w:lineRule="exact"/>
              <w:ind w:firstLine="420" w:firstLineChars="200"/>
              <w:jc w:val="center"/>
              <w:rPr>
                <w:szCs w:val="21"/>
              </w:rPr>
            </w:pPr>
            <w:r>
              <w:rPr>
                <w:szCs w:val="21"/>
              </w:rPr>
              <w:t>60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881" w:hRule="atLeast"/>
          <w:jc w:val="center"/>
        </w:trPr>
        <w:tc>
          <w:tcPr>
            <w:tcW w:w="9302" w:type="dxa"/>
            <w:gridSpan w:val="2"/>
            <w:noWrap/>
          </w:tcPr>
          <w:p>
            <w:pPr>
              <w:spacing w:line="320" w:lineRule="exact"/>
              <w:ind w:firstLine="360" w:firstLineChars="200"/>
              <w:textAlignment w:val="baseline"/>
              <w:rPr>
                <w:sz w:val="18"/>
                <w:szCs w:val="18"/>
              </w:rPr>
            </w:pPr>
            <w:r>
              <w:rPr>
                <w:sz w:val="18"/>
                <w:szCs w:val="18"/>
              </w:rPr>
              <w:t>a）除了上述部件外，对其他部件的温升值不作规定，但不应引起相邻的绝缘部件损坏为限</w:t>
            </w:r>
          </w:p>
          <w:p>
            <w:pPr>
              <w:spacing w:line="320" w:lineRule="exact"/>
              <w:ind w:firstLine="360" w:firstLineChars="200"/>
              <w:textAlignment w:val="baseline"/>
              <w:rPr>
                <w:szCs w:val="21"/>
              </w:rPr>
            </w:pPr>
            <w:r>
              <w:rPr>
                <w:sz w:val="18"/>
                <w:szCs w:val="18"/>
              </w:rPr>
              <w:t>b）上述规定的温升极限值不适用于新样品，但适用于规定的相应试验程序中的温升验证</w:t>
            </w:r>
          </w:p>
        </w:tc>
      </w:tr>
    </w:tbl>
    <w:p>
      <w:pPr>
        <w:spacing w:line="360" w:lineRule="auto"/>
        <w:rPr>
          <w:szCs w:val="21"/>
        </w:rPr>
      </w:pPr>
      <w:r>
        <w:t>5.3.3</w:t>
      </w:r>
      <w:r>
        <w:rPr>
          <w:szCs w:val="21"/>
        </w:rPr>
        <w:t>可靠性</w:t>
      </w:r>
    </w:p>
    <w:p>
      <w:pPr>
        <w:spacing w:line="360" w:lineRule="auto"/>
        <w:ind w:firstLine="420" w:firstLineChars="200"/>
      </w:pPr>
      <w:r>
        <w:t>塑壳断路器</w:t>
      </w:r>
      <w:r>
        <w:rPr>
          <w:kern w:val="0"/>
          <w:szCs w:val="21"/>
        </w:rPr>
        <w:t>的机械寿命与电气寿命需满足以下所述要求：</w:t>
      </w:r>
    </w:p>
    <w:p>
      <w:pPr>
        <w:spacing w:line="360" w:lineRule="auto"/>
        <w:ind w:firstLine="420" w:firstLineChars="200"/>
        <w:rPr>
          <w:color w:val="FF0000"/>
          <w:kern w:val="0"/>
          <w:szCs w:val="21"/>
        </w:rPr>
      </w:pPr>
      <w:r>
        <w:rPr>
          <w:kern w:val="0"/>
          <w:szCs w:val="21"/>
        </w:rPr>
        <w:t>1）机械寿命（免维护）：≥1</w:t>
      </w:r>
      <w:r>
        <w:rPr>
          <w:rFonts w:hint="eastAsia"/>
          <w:kern w:val="0"/>
          <w:szCs w:val="21"/>
          <w:lang w:val="en-US" w:eastAsia="zh-CN"/>
        </w:rPr>
        <w:t>0</w:t>
      </w:r>
      <w:r>
        <w:rPr>
          <w:kern w:val="0"/>
          <w:szCs w:val="21"/>
        </w:rPr>
        <w:t>000次；</w:t>
      </w:r>
      <w:r>
        <w:rPr>
          <w:color w:val="FF0000"/>
          <w:kern w:val="0"/>
          <w:szCs w:val="21"/>
        </w:rPr>
        <w:t xml:space="preserve"> </w:t>
      </w:r>
    </w:p>
    <w:p>
      <w:pPr>
        <w:spacing w:line="360" w:lineRule="auto"/>
        <w:ind w:firstLine="420" w:firstLineChars="200"/>
      </w:pPr>
      <w:r>
        <w:rPr>
          <w:kern w:val="0"/>
          <w:szCs w:val="21"/>
        </w:rPr>
        <w:t>2）电气寿命（免维护）：250A</w:t>
      </w:r>
      <w:r>
        <w:rPr>
          <w:rFonts w:hint="eastAsia"/>
          <w:kern w:val="0"/>
          <w:szCs w:val="21"/>
        </w:rPr>
        <w:t>及以下</w:t>
      </w:r>
      <w:r>
        <w:rPr>
          <w:kern w:val="0"/>
          <w:szCs w:val="21"/>
        </w:rPr>
        <w:t>≥7000次</w:t>
      </w:r>
      <w:r>
        <w:rPr>
          <w:rFonts w:hint="eastAsia"/>
          <w:kern w:val="0"/>
          <w:szCs w:val="21"/>
        </w:rPr>
        <w:t>，4</w:t>
      </w:r>
      <w:r>
        <w:rPr>
          <w:kern w:val="0"/>
          <w:szCs w:val="21"/>
        </w:rPr>
        <w:t>00A</w:t>
      </w:r>
      <w:r>
        <w:rPr>
          <w:rFonts w:hint="eastAsia"/>
          <w:kern w:val="0"/>
          <w:szCs w:val="21"/>
        </w:rPr>
        <w:t>≥6</w:t>
      </w:r>
      <w:r>
        <w:rPr>
          <w:kern w:val="0"/>
          <w:szCs w:val="21"/>
        </w:rPr>
        <w:t>000</w:t>
      </w:r>
      <w:r>
        <w:rPr>
          <w:rFonts w:hint="eastAsia"/>
          <w:kern w:val="0"/>
          <w:szCs w:val="21"/>
        </w:rPr>
        <w:t>次，6</w:t>
      </w:r>
      <w:r>
        <w:rPr>
          <w:kern w:val="0"/>
          <w:szCs w:val="21"/>
        </w:rPr>
        <w:t>30A</w:t>
      </w:r>
      <w:r>
        <w:rPr>
          <w:rFonts w:hint="eastAsia"/>
          <w:kern w:val="0"/>
          <w:szCs w:val="21"/>
        </w:rPr>
        <w:t>≥</w:t>
      </w:r>
      <w:r>
        <w:rPr>
          <w:kern w:val="0"/>
          <w:szCs w:val="21"/>
        </w:rPr>
        <w:t>4000</w:t>
      </w:r>
      <w:r>
        <w:rPr>
          <w:rFonts w:hint="eastAsia"/>
          <w:kern w:val="0"/>
          <w:szCs w:val="21"/>
        </w:rPr>
        <w:t>次</w:t>
      </w:r>
      <w:r>
        <w:rPr>
          <w:rFonts w:hint="eastAsia"/>
          <w:kern w:val="0"/>
          <w:szCs w:val="21"/>
          <w:lang w:eastAsia="zh-CN"/>
        </w:rPr>
        <w:t>。</w:t>
      </w:r>
    </w:p>
    <w:p>
      <w:pPr>
        <w:spacing w:line="360" w:lineRule="auto"/>
        <w:rPr>
          <w:szCs w:val="21"/>
        </w:rPr>
      </w:pPr>
      <w:r>
        <w:t>5.3.4</w:t>
      </w:r>
      <w:r>
        <w:rPr>
          <w:szCs w:val="21"/>
        </w:rPr>
        <w:t>磁兼容（EMC）性能</w:t>
      </w:r>
    </w:p>
    <w:p>
      <w:pPr>
        <w:spacing w:line="360" w:lineRule="auto"/>
        <w:ind w:firstLine="420"/>
      </w:pPr>
      <w:r>
        <w:t>塑壳断路器的电磁兼容（EMC）性能应满足国标GB/T 14048.2 附录F和附录J的要求</w:t>
      </w:r>
    </w:p>
    <w:p>
      <w:r>
        <w:t>5.3.5设计寿命</w:t>
      </w:r>
    </w:p>
    <w:p>
      <w:pPr>
        <w:spacing w:line="360" w:lineRule="auto"/>
        <w:ind w:firstLine="420"/>
      </w:pPr>
      <w:r>
        <w:t>在本技术规范书规定的环境条件，并根据产品使用说明书正常安装、维护和运行，设备使用寿命不小于10年。</w:t>
      </w:r>
    </w:p>
    <w:p>
      <w:r>
        <w:t>5.3.6 质量追溯</w:t>
      </w:r>
    </w:p>
    <w:p>
      <w:pPr>
        <w:spacing w:line="360" w:lineRule="auto"/>
        <w:ind w:firstLine="420" w:firstLineChars="200"/>
      </w:pPr>
      <w:r>
        <w:t>产品制造过程中的重要环节应有详细记录，便于质量过程可追溯。</w:t>
      </w:r>
    </w:p>
    <w:p>
      <w:pPr>
        <w:numPr>
          <w:ilvl w:val="1"/>
          <w:numId w:val="1"/>
        </w:numPr>
        <w:spacing w:line="360" w:lineRule="auto"/>
        <w:outlineLvl w:val="1"/>
      </w:pPr>
      <w:bookmarkStart w:id="48" w:name="_Toc22503"/>
      <w:r>
        <w:t>产品对环境的影响</w:t>
      </w:r>
      <w:bookmarkEnd w:id="48"/>
    </w:p>
    <w:p>
      <w:pPr>
        <w:numPr>
          <w:ilvl w:val="0"/>
          <w:numId w:val="6"/>
        </w:numPr>
        <w:spacing w:line="360" w:lineRule="auto"/>
        <w:ind w:left="0" w:firstLine="420"/>
      </w:pPr>
      <w:r>
        <w:t>应满足</w:t>
      </w:r>
      <w:r>
        <w:rPr>
          <w:kern w:val="0"/>
          <w:szCs w:val="21"/>
        </w:rPr>
        <w:t>GB/</w:t>
      </w:r>
      <w:r>
        <w:rPr>
          <w:rFonts w:hint="eastAsia"/>
          <w:kern w:val="0"/>
          <w:szCs w:val="21"/>
        </w:rPr>
        <w:t xml:space="preserve">T </w:t>
      </w:r>
      <w:r>
        <w:rPr>
          <w:kern w:val="0"/>
          <w:szCs w:val="21"/>
        </w:rPr>
        <w:t>14048.2</w:t>
      </w:r>
      <w:r>
        <w:t>的</w:t>
      </w:r>
      <w:r>
        <w:rPr>
          <w:rFonts w:hint="eastAsia"/>
          <w:lang w:val="en-US" w:eastAsia="zh-CN"/>
        </w:rPr>
        <w:t>相关</w:t>
      </w:r>
      <w:r>
        <w:t>要求。</w:t>
      </w:r>
    </w:p>
    <w:p>
      <w:pPr>
        <w:numPr>
          <w:ilvl w:val="0"/>
          <w:numId w:val="6"/>
        </w:numPr>
        <w:spacing w:line="360" w:lineRule="auto"/>
        <w:ind w:left="0" w:firstLine="420"/>
      </w:pPr>
      <w:r>
        <w:t>坚持以资源节约型和环境友好型的原则，同时应考虑降低投资成本和提高运行经济性。</w:t>
      </w:r>
    </w:p>
    <w:p>
      <w:pPr>
        <w:numPr>
          <w:ilvl w:val="0"/>
          <w:numId w:val="6"/>
        </w:numPr>
        <w:spacing w:line="360" w:lineRule="auto"/>
        <w:ind w:left="0" w:firstLine="420"/>
      </w:pPr>
      <w:r>
        <w:t>应对噪声、工频电场和磁场、高频电磁波、通信干扰等方面采取必要的防治措施，并满足国家相关标准的要求。</w:t>
      </w:r>
    </w:p>
    <w:p>
      <w:pPr>
        <w:numPr>
          <w:ilvl w:val="0"/>
          <w:numId w:val="6"/>
        </w:numPr>
        <w:spacing w:line="360" w:lineRule="auto"/>
        <w:ind w:left="0" w:firstLine="420"/>
      </w:pPr>
      <w:r>
        <w:t>推广采用高可靠性、小型化和节能型设备。</w:t>
      </w:r>
    </w:p>
    <w:p>
      <w:pPr>
        <w:numPr>
          <w:ilvl w:val="0"/>
          <w:numId w:val="6"/>
        </w:numPr>
        <w:spacing w:line="360" w:lineRule="auto"/>
        <w:ind w:left="0" w:firstLine="420"/>
      </w:pPr>
      <w:r>
        <w:t>优先选用损耗低的产品。</w:t>
      </w:r>
    </w:p>
    <w:p>
      <w:pPr>
        <w:numPr>
          <w:ilvl w:val="0"/>
          <w:numId w:val="6"/>
        </w:numPr>
        <w:spacing w:line="360" w:lineRule="auto"/>
        <w:ind w:left="0" w:firstLine="420"/>
      </w:pPr>
      <w:r>
        <w:t>制造厂应该提供设备对环境影响所需要的材料。任何已知的化学危险和环境危害应在设备手册或使用说明中明确。</w:t>
      </w:r>
    </w:p>
    <w:p>
      <w:pPr>
        <w:numPr>
          <w:ilvl w:val="0"/>
          <w:numId w:val="6"/>
        </w:numPr>
        <w:spacing w:line="360" w:lineRule="auto"/>
        <w:ind w:left="0" w:firstLine="420"/>
      </w:pPr>
      <w:r>
        <w:t>制造厂应该对有关设备的不同材料的使用寿命和拆除的程序给予必要的指导，对再循环使用的可能性给予简要说明。</w:t>
      </w:r>
    </w:p>
    <w:p>
      <w:pPr>
        <w:pStyle w:val="2"/>
        <w:numPr>
          <w:ilvl w:val="0"/>
          <w:numId w:val="1"/>
        </w:numPr>
        <w:tabs>
          <w:tab w:val="left" w:pos="425"/>
        </w:tabs>
        <w:spacing w:line="360" w:lineRule="auto"/>
        <w:rPr>
          <w:sz w:val="21"/>
          <w:szCs w:val="21"/>
        </w:rPr>
      </w:pPr>
      <w:bookmarkStart w:id="49" w:name="_Toc372723710"/>
      <w:bookmarkEnd w:id="49"/>
      <w:bookmarkStart w:id="50" w:name="_Toc372729497"/>
      <w:bookmarkEnd w:id="50"/>
      <w:bookmarkStart w:id="51" w:name="_Toc402276237"/>
      <w:bookmarkEnd w:id="51"/>
      <w:bookmarkStart w:id="52" w:name="_Toc402276238"/>
      <w:bookmarkEnd w:id="52"/>
      <w:bookmarkStart w:id="53" w:name="_Toc24919"/>
      <w:bookmarkStart w:id="54" w:name="_Toc10884"/>
      <w:r>
        <w:rPr>
          <w:sz w:val="21"/>
          <w:szCs w:val="21"/>
        </w:rPr>
        <w:t>试验</w:t>
      </w:r>
      <w:bookmarkEnd w:id="53"/>
      <w:bookmarkEnd w:id="54"/>
    </w:p>
    <w:p>
      <w:pPr>
        <w:spacing w:line="360" w:lineRule="auto"/>
        <w:ind w:firstLine="420" w:firstLineChars="200"/>
        <w:rPr>
          <w:szCs w:val="21"/>
        </w:rPr>
      </w:pPr>
      <w:r>
        <w:rPr>
          <w:szCs w:val="21"/>
        </w:rPr>
        <w:t>试验分型式试验、出厂试验和常规试验。</w:t>
      </w:r>
    </w:p>
    <w:p>
      <w:pPr>
        <w:numPr>
          <w:ilvl w:val="1"/>
          <w:numId w:val="1"/>
        </w:numPr>
        <w:spacing w:line="360" w:lineRule="auto"/>
        <w:outlineLvl w:val="1"/>
      </w:pPr>
      <w:bookmarkStart w:id="55" w:name="_Toc9532"/>
      <w:bookmarkStart w:id="56" w:name="_Toc28082"/>
      <w:r>
        <w:t>试验条件</w:t>
      </w:r>
      <w:bookmarkEnd w:id="55"/>
      <w:bookmarkEnd w:id="56"/>
    </w:p>
    <w:p>
      <w:pPr>
        <w:spacing w:line="360" w:lineRule="auto"/>
        <w:ind w:firstLine="420" w:firstLineChars="200"/>
        <w:rPr>
          <w:szCs w:val="21"/>
        </w:rPr>
      </w:pPr>
      <w:r>
        <w:rPr>
          <w:szCs w:val="21"/>
        </w:rPr>
        <w:t>除高低温试验项目及电磁兼容试验项目外，测量和试验的标准环境条件应不超过下列范围：</w:t>
      </w:r>
    </w:p>
    <w:p>
      <w:pPr>
        <w:numPr>
          <w:ilvl w:val="0"/>
          <w:numId w:val="7"/>
        </w:numPr>
        <w:spacing w:line="360" w:lineRule="auto"/>
        <w:rPr>
          <w:szCs w:val="21"/>
        </w:rPr>
      </w:pPr>
      <w:r>
        <w:rPr>
          <w:szCs w:val="21"/>
        </w:rPr>
        <w:t>试验环境温度：-10℃~+55℃；</w:t>
      </w:r>
    </w:p>
    <w:p>
      <w:pPr>
        <w:numPr>
          <w:ilvl w:val="0"/>
          <w:numId w:val="7"/>
        </w:numPr>
        <w:spacing w:line="360" w:lineRule="auto"/>
        <w:rPr>
          <w:szCs w:val="21"/>
        </w:rPr>
      </w:pPr>
      <w:r>
        <w:rPr>
          <w:szCs w:val="21"/>
        </w:rPr>
        <w:t>大气压力：79.5kPa~106.0kPa。</w:t>
      </w:r>
    </w:p>
    <w:p>
      <w:pPr>
        <w:numPr>
          <w:ilvl w:val="1"/>
          <w:numId w:val="1"/>
        </w:numPr>
        <w:spacing w:line="360" w:lineRule="auto"/>
        <w:outlineLvl w:val="1"/>
      </w:pPr>
      <w:bookmarkStart w:id="57" w:name="_Toc18886"/>
      <w:bookmarkStart w:id="58" w:name="_Toc28673"/>
      <w:r>
        <w:t>型式试验</w:t>
      </w:r>
      <w:bookmarkEnd w:id="57"/>
      <w:bookmarkEnd w:id="58"/>
    </w:p>
    <w:p>
      <w:pPr>
        <w:spacing w:line="360" w:lineRule="auto"/>
      </w:pPr>
      <w:bookmarkStart w:id="59" w:name="_Toc410122655"/>
      <w:bookmarkStart w:id="60" w:name="_Toc1225"/>
      <w:r>
        <w:rPr>
          <w:szCs w:val="21"/>
        </w:rPr>
        <w:t>6.2.1型式试验</w:t>
      </w:r>
      <w:r>
        <w:t>的时机</w:t>
      </w:r>
      <w:bookmarkEnd w:id="59"/>
      <w:bookmarkEnd w:id="60"/>
    </w:p>
    <w:p>
      <w:pPr>
        <w:spacing w:line="360" w:lineRule="auto"/>
        <w:ind w:firstLine="420" w:firstLineChars="200"/>
        <w:rPr>
          <w:szCs w:val="21"/>
        </w:rPr>
      </w:pPr>
      <w:r>
        <w:rPr>
          <w:szCs w:val="21"/>
        </w:rPr>
        <w:t>在以下情况下应进行型式试验：</w:t>
      </w:r>
    </w:p>
    <w:p>
      <w:pPr>
        <w:numPr>
          <w:ilvl w:val="0"/>
          <w:numId w:val="8"/>
        </w:numPr>
        <w:spacing w:line="360" w:lineRule="auto"/>
        <w:rPr>
          <w:szCs w:val="21"/>
        </w:rPr>
      </w:pPr>
      <w:r>
        <w:rPr>
          <w:szCs w:val="21"/>
        </w:rPr>
        <w:t>新产品定型或老产品转厂生产时；</w:t>
      </w:r>
    </w:p>
    <w:p>
      <w:pPr>
        <w:numPr>
          <w:ilvl w:val="0"/>
          <w:numId w:val="8"/>
        </w:numPr>
        <w:spacing w:line="360" w:lineRule="auto"/>
        <w:rPr>
          <w:szCs w:val="21"/>
        </w:rPr>
      </w:pPr>
      <w:r>
        <w:rPr>
          <w:szCs w:val="21"/>
        </w:rPr>
        <w:t>正式生产后，在设计、工艺材料、结构有改变，并可能影响产品性能时；</w:t>
      </w:r>
    </w:p>
    <w:p>
      <w:pPr>
        <w:numPr>
          <w:ilvl w:val="0"/>
          <w:numId w:val="8"/>
        </w:numPr>
        <w:spacing w:line="360" w:lineRule="auto"/>
        <w:rPr>
          <w:szCs w:val="21"/>
        </w:rPr>
      </w:pPr>
      <w:r>
        <w:rPr>
          <w:szCs w:val="21"/>
        </w:rPr>
        <w:t>合同规定有型式试验要求时；</w:t>
      </w:r>
    </w:p>
    <w:p>
      <w:pPr>
        <w:numPr>
          <w:ilvl w:val="0"/>
          <w:numId w:val="8"/>
        </w:numPr>
        <w:spacing w:line="360" w:lineRule="auto"/>
        <w:rPr>
          <w:szCs w:val="21"/>
        </w:rPr>
      </w:pPr>
      <w:r>
        <w:rPr>
          <w:szCs w:val="21"/>
        </w:rPr>
        <w:t>国家质量监督机构提出进行型式试验的要求时；</w:t>
      </w:r>
    </w:p>
    <w:p>
      <w:pPr>
        <w:numPr>
          <w:ilvl w:val="0"/>
          <w:numId w:val="8"/>
        </w:numPr>
        <w:spacing w:line="360" w:lineRule="auto"/>
        <w:rPr>
          <w:szCs w:val="21"/>
        </w:rPr>
      </w:pPr>
      <w:r>
        <w:rPr>
          <w:szCs w:val="21"/>
        </w:rPr>
        <w:t>型式试验周期</w:t>
      </w:r>
      <w:r>
        <w:rPr>
          <w:rFonts w:hint="eastAsia"/>
          <w:szCs w:val="21"/>
          <w:lang w:val="en-US" w:eastAsia="zh-CN"/>
        </w:rPr>
        <w:t>按相关国家标准执行</w:t>
      </w:r>
      <w:r>
        <w:rPr>
          <w:szCs w:val="21"/>
        </w:rPr>
        <w:t>。</w:t>
      </w:r>
    </w:p>
    <w:p>
      <w:pPr>
        <w:spacing w:line="360" w:lineRule="auto"/>
      </w:pPr>
      <w:bookmarkStart w:id="61" w:name="_Toc32222"/>
      <w:bookmarkStart w:id="62" w:name="_Toc410122656"/>
      <w:r>
        <w:rPr>
          <w:szCs w:val="21"/>
        </w:rPr>
        <w:t>6.2.</w:t>
      </w:r>
      <w:r>
        <w:rPr>
          <w:rFonts w:hint="eastAsia"/>
          <w:szCs w:val="21"/>
        </w:rPr>
        <w:t>2</w:t>
      </w:r>
      <w:r>
        <w:t>型式试验项目</w:t>
      </w:r>
      <w:bookmarkEnd w:id="61"/>
      <w:bookmarkEnd w:id="62"/>
    </w:p>
    <w:p>
      <w:pPr>
        <w:spacing w:line="360" w:lineRule="auto"/>
        <w:ind w:firstLine="420" w:firstLineChars="200"/>
        <w:rPr>
          <w:szCs w:val="21"/>
        </w:rPr>
      </w:pPr>
      <w:r>
        <w:rPr>
          <w:szCs w:val="21"/>
        </w:rPr>
        <w:t>塑壳断路器的型式试验要求如表6-1所示。</w:t>
      </w:r>
    </w:p>
    <w:p>
      <w:pPr>
        <w:keepNext/>
        <w:spacing w:line="360" w:lineRule="auto"/>
        <w:jc w:val="center"/>
        <w:rPr>
          <w:snapToGrid w:val="0"/>
        </w:rPr>
      </w:pPr>
      <w:bookmarkStart w:id="63" w:name="OLE_LINK24"/>
      <w:r>
        <w:rPr>
          <w:snapToGrid w:val="0"/>
          <w:kern w:val="0"/>
          <w:szCs w:val="21"/>
        </w:rPr>
        <w:t>表6-1</w:t>
      </w:r>
      <w:bookmarkEnd w:id="63"/>
      <w:r>
        <w:rPr>
          <w:snapToGrid w:val="0"/>
          <w:kern w:val="0"/>
          <w:szCs w:val="21"/>
        </w:rPr>
        <w:t>塑壳断路器</w:t>
      </w:r>
      <w:r>
        <w:rPr>
          <w:szCs w:val="21"/>
        </w:rPr>
        <w:t>型式试验</w:t>
      </w:r>
      <w:r>
        <w:rPr>
          <w:snapToGrid w:val="0"/>
          <w:kern w:val="0"/>
          <w:szCs w:val="21"/>
        </w:rPr>
        <w:t>要求</w:t>
      </w:r>
    </w:p>
    <w:tbl>
      <w:tblPr>
        <w:tblStyle w:val="11"/>
        <w:tblW w:w="0" w:type="auto"/>
        <w:jc w:val="center"/>
        <w:tblLayout w:type="fixed"/>
        <w:tblCellMar>
          <w:top w:w="0" w:type="dxa"/>
          <w:left w:w="108" w:type="dxa"/>
          <w:bottom w:w="0" w:type="dxa"/>
          <w:right w:w="108" w:type="dxa"/>
        </w:tblCellMar>
      </w:tblPr>
      <w:tblGrid>
        <w:gridCol w:w="708"/>
        <w:gridCol w:w="3297"/>
        <w:gridCol w:w="3565"/>
      </w:tblGrid>
      <w:tr>
        <w:tblPrEx>
          <w:tblCellMar>
            <w:top w:w="0" w:type="dxa"/>
            <w:left w:w="108" w:type="dxa"/>
            <w:bottom w:w="0" w:type="dxa"/>
            <w:right w:w="108" w:type="dxa"/>
          </w:tblCellMar>
        </w:tblPrEx>
        <w:trPr>
          <w:trHeight w:val="285" w:hRule="atLeast"/>
          <w:tblHeader/>
          <w:jc w:val="center"/>
        </w:trPr>
        <w:tc>
          <w:tcPr>
            <w:tcW w:w="708" w:type="dxa"/>
            <w:tcBorders>
              <w:top w:val="single" w:color="auto" w:sz="4" w:space="0"/>
              <w:left w:val="single" w:color="auto" w:sz="4" w:space="0"/>
              <w:bottom w:val="single" w:color="auto" w:sz="4" w:space="0"/>
              <w:right w:val="single" w:color="auto" w:sz="4" w:space="0"/>
            </w:tcBorders>
            <w:noWrap/>
            <w:vAlign w:val="center"/>
          </w:tcPr>
          <w:p>
            <w:pPr>
              <w:widowControl/>
              <w:jc w:val="center"/>
              <w:rPr>
                <w:b/>
                <w:kern w:val="0"/>
                <w:szCs w:val="21"/>
              </w:rPr>
            </w:pPr>
            <w:r>
              <w:rPr>
                <w:b/>
                <w:kern w:val="0"/>
                <w:szCs w:val="21"/>
              </w:rPr>
              <w:t>序号</w:t>
            </w:r>
          </w:p>
        </w:tc>
        <w:tc>
          <w:tcPr>
            <w:tcW w:w="3297" w:type="dxa"/>
            <w:tcBorders>
              <w:top w:val="single" w:color="auto" w:sz="4" w:space="0"/>
              <w:left w:val="nil"/>
              <w:bottom w:val="single" w:color="auto" w:sz="4" w:space="0"/>
              <w:right w:val="single" w:color="auto" w:sz="4" w:space="0"/>
            </w:tcBorders>
            <w:noWrap/>
            <w:vAlign w:val="center"/>
          </w:tcPr>
          <w:p>
            <w:pPr>
              <w:widowControl/>
              <w:jc w:val="center"/>
              <w:rPr>
                <w:b/>
                <w:kern w:val="0"/>
                <w:szCs w:val="21"/>
              </w:rPr>
            </w:pPr>
            <w:r>
              <w:rPr>
                <w:b/>
                <w:kern w:val="0"/>
                <w:szCs w:val="21"/>
              </w:rPr>
              <w:t>试验项目</w:t>
            </w:r>
          </w:p>
        </w:tc>
        <w:tc>
          <w:tcPr>
            <w:tcW w:w="3565" w:type="dxa"/>
            <w:tcBorders>
              <w:top w:val="single" w:color="auto" w:sz="4" w:space="0"/>
              <w:left w:val="nil"/>
              <w:bottom w:val="single" w:color="auto" w:sz="4" w:space="0"/>
              <w:right w:val="single" w:color="auto" w:sz="4" w:space="0"/>
            </w:tcBorders>
            <w:noWrap/>
            <w:vAlign w:val="center"/>
          </w:tcPr>
          <w:p>
            <w:pPr>
              <w:widowControl/>
              <w:jc w:val="center"/>
              <w:rPr>
                <w:b/>
                <w:kern w:val="0"/>
                <w:szCs w:val="21"/>
              </w:rPr>
            </w:pPr>
            <w:r>
              <w:rPr>
                <w:b/>
                <w:kern w:val="0"/>
                <w:szCs w:val="21"/>
              </w:rPr>
              <w:t>依据标准条款</w:t>
            </w:r>
          </w:p>
        </w:tc>
      </w:tr>
      <w:tr>
        <w:tblPrEx>
          <w:tblCellMar>
            <w:top w:w="0" w:type="dxa"/>
            <w:left w:w="108" w:type="dxa"/>
            <w:bottom w:w="0" w:type="dxa"/>
            <w:right w:w="108" w:type="dxa"/>
          </w:tblCellMar>
        </w:tblPrEx>
        <w:trPr>
          <w:trHeight w:val="285" w:hRule="atLeast"/>
          <w:jc w:val="center"/>
        </w:trPr>
        <w:tc>
          <w:tcPr>
            <w:tcW w:w="708" w:type="dxa"/>
            <w:tcBorders>
              <w:top w:val="nil"/>
              <w:left w:val="single" w:color="auto" w:sz="4" w:space="0"/>
              <w:bottom w:val="single" w:color="auto" w:sz="4" w:space="0"/>
              <w:right w:val="single" w:color="auto" w:sz="4" w:space="0"/>
            </w:tcBorders>
            <w:noWrap/>
            <w:vAlign w:val="center"/>
          </w:tcPr>
          <w:p>
            <w:pPr>
              <w:widowControl/>
              <w:jc w:val="center"/>
              <w:rPr>
                <w:kern w:val="0"/>
                <w:szCs w:val="21"/>
              </w:rPr>
            </w:pPr>
            <w:r>
              <w:rPr>
                <w:kern w:val="0"/>
                <w:szCs w:val="21"/>
              </w:rPr>
              <w:t>1</w:t>
            </w:r>
          </w:p>
        </w:tc>
        <w:tc>
          <w:tcPr>
            <w:tcW w:w="3297" w:type="dxa"/>
            <w:tcBorders>
              <w:top w:val="nil"/>
              <w:left w:val="nil"/>
              <w:bottom w:val="single" w:color="auto" w:sz="4" w:space="0"/>
              <w:right w:val="single" w:color="auto" w:sz="4" w:space="0"/>
            </w:tcBorders>
            <w:noWrap/>
            <w:vAlign w:val="center"/>
          </w:tcPr>
          <w:p>
            <w:pPr>
              <w:widowControl/>
              <w:jc w:val="left"/>
              <w:rPr>
                <w:b/>
                <w:kern w:val="0"/>
                <w:szCs w:val="21"/>
              </w:rPr>
            </w:pPr>
            <w:r>
              <w:rPr>
                <w:kern w:val="0"/>
                <w:szCs w:val="21"/>
              </w:rPr>
              <w:t>温升</w:t>
            </w:r>
          </w:p>
        </w:tc>
        <w:tc>
          <w:tcPr>
            <w:tcW w:w="3565" w:type="dxa"/>
            <w:tcBorders>
              <w:top w:val="nil"/>
              <w:left w:val="nil"/>
              <w:bottom w:val="single" w:color="auto" w:sz="4" w:space="0"/>
              <w:right w:val="single" w:color="auto" w:sz="4" w:space="0"/>
            </w:tcBorders>
            <w:noWrap/>
            <w:vAlign w:val="center"/>
          </w:tcPr>
          <w:p>
            <w:pPr>
              <w:widowControl/>
              <w:jc w:val="center"/>
              <w:rPr>
                <w:b/>
                <w:kern w:val="0"/>
                <w:szCs w:val="21"/>
              </w:rPr>
            </w:pPr>
            <w:r>
              <w:rPr>
                <w:kern w:val="0"/>
                <w:szCs w:val="21"/>
              </w:rPr>
              <w:t>GB/T14048.2 7.2.2和8.3.2.5</w:t>
            </w:r>
          </w:p>
        </w:tc>
      </w:tr>
      <w:tr>
        <w:tblPrEx>
          <w:tblCellMar>
            <w:top w:w="0" w:type="dxa"/>
            <w:left w:w="108" w:type="dxa"/>
            <w:bottom w:w="0" w:type="dxa"/>
            <w:right w:w="108" w:type="dxa"/>
          </w:tblCellMar>
        </w:tblPrEx>
        <w:trPr>
          <w:trHeight w:val="285" w:hRule="atLeast"/>
          <w:jc w:val="center"/>
        </w:trPr>
        <w:tc>
          <w:tcPr>
            <w:tcW w:w="708" w:type="dxa"/>
            <w:tcBorders>
              <w:top w:val="nil"/>
              <w:left w:val="single" w:color="auto" w:sz="4" w:space="0"/>
              <w:bottom w:val="single" w:color="auto" w:sz="4" w:space="0"/>
              <w:right w:val="single" w:color="auto" w:sz="4" w:space="0"/>
            </w:tcBorders>
            <w:noWrap/>
            <w:vAlign w:val="center"/>
          </w:tcPr>
          <w:p>
            <w:pPr>
              <w:widowControl/>
              <w:jc w:val="center"/>
              <w:rPr>
                <w:kern w:val="0"/>
                <w:szCs w:val="21"/>
              </w:rPr>
            </w:pPr>
            <w:r>
              <w:rPr>
                <w:kern w:val="0"/>
                <w:szCs w:val="21"/>
              </w:rPr>
              <w:t>2</w:t>
            </w:r>
          </w:p>
        </w:tc>
        <w:tc>
          <w:tcPr>
            <w:tcW w:w="3297" w:type="dxa"/>
            <w:tcBorders>
              <w:top w:val="nil"/>
              <w:left w:val="nil"/>
              <w:bottom w:val="single" w:color="auto" w:sz="4" w:space="0"/>
              <w:right w:val="single" w:color="auto" w:sz="4" w:space="0"/>
            </w:tcBorders>
            <w:noWrap/>
            <w:vAlign w:val="center"/>
          </w:tcPr>
          <w:p>
            <w:pPr>
              <w:widowControl/>
              <w:jc w:val="left"/>
              <w:rPr>
                <w:kern w:val="0"/>
                <w:szCs w:val="21"/>
              </w:rPr>
            </w:pPr>
            <w:r>
              <w:rPr>
                <w:kern w:val="0"/>
                <w:szCs w:val="21"/>
              </w:rPr>
              <w:t>脱扣极限和特性</w:t>
            </w:r>
          </w:p>
        </w:tc>
        <w:tc>
          <w:tcPr>
            <w:tcW w:w="3565" w:type="dxa"/>
            <w:tcBorders>
              <w:top w:val="nil"/>
              <w:left w:val="nil"/>
              <w:bottom w:val="single" w:color="auto" w:sz="4" w:space="0"/>
              <w:right w:val="single" w:color="auto" w:sz="4" w:space="0"/>
            </w:tcBorders>
            <w:noWrap/>
            <w:vAlign w:val="center"/>
          </w:tcPr>
          <w:p>
            <w:pPr>
              <w:widowControl/>
              <w:jc w:val="center"/>
              <w:rPr>
                <w:kern w:val="0"/>
                <w:szCs w:val="21"/>
              </w:rPr>
            </w:pPr>
            <w:r>
              <w:rPr>
                <w:kern w:val="0"/>
                <w:szCs w:val="21"/>
              </w:rPr>
              <w:t>GB/</w:t>
            </w:r>
            <w:r>
              <w:rPr>
                <w:rFonts w:hint="eastAsia"/>
                <w:kern w:val="0"/>
                <w:szCs w:val="21"/>
              </w:rPr>
              <w:t xml:space="preserve">T </w:t>
            </w:r>
            <w:r>
              <w:rPr>
                <w:kern w:val="0"/>
                <w:szCs w:val="21"/>
              </w:rPr>
              <w:t>14048.2  8.3.3.2</w:t>
            </w:r>
          </w:p>
        </w:tc>
      </w:tr>
      <w:tr>
        <w:tblPrEx>
          <w:tblCellMar>
            <w:top w:w="0" w:type="dxa"/>
            <w:left w:w="108" w:type="dxa"/>
            <w:bottom w:w="0" w:type="dxa"/>
            <w:right w:w="108" w:type="dxa"/>
          </w:tblCellMar>
        </w:tblPrEx>
        <w:trPr>
          <w:trHeight w:val="285" w:hRule="atLeast"/>
          <w:jc w:val="center"/>
        </w:trPr>
        <w:tc>
          <w:tcPr>
            <w:tcW w:w="708" w:type="dxa"/>
            <w:tcBorders>
              <w:top w:val="nil"/>
              <w:left w:val="single" w:color="auto" w:sz="4" w:space="0"/>
              <w:bottom w:val="single" w:color="auto" w:sz="4" w:space="0"/>
              <w:right w:val="single" w:color="auto" w:sz="4" w:space="0"/>
            </w:tcBorders>
            <w:noWrap/>
            <w:vAlign w:val="center"/>
          </w:tcPr>
          <w:p>
            <w:pPr>
              <w:widowControl/>
              <w:jc w:val="center"/>
              <w:rPr>
                <w:kern w:val="0"/>
                <w:szCs w:val="21"/>
              </w:rPr>
            </w:pPr>
            <w:r>
              <w:rPr>
                <w:kern w:val="0"/>
                <w:szCs w:val="21"/>
              </w:rPr>
              <w:t>3</w:t>
            </w:r>
          </w:p>
        </w:tc>
        <w:tc>
          <w:tcPr>
            <w:tcW w:w="3297" w:type="dxa"/>
            <w:tcBorders>
              <w:top w:val="nil"/>
              <w:left w:val="nil"/>
              <w:bottom w:val="single" w:color="auto" w:sz="4" w:space="0"/>
              <w:right w:val="single" w:color="auto" w:sz="4" w:space="0"/>
            </w:tcBorders>
            <w:noWrap/>
            <w:vAlign w:val="center"/>
          </w:tcPr>
          <w:p>
            <w:pPr>
              <w:widowControl/>
              <w:jc w:val="left"/>
              <w:rPr>
                <w:kern w:val="0"/>
                <w:szCs w:val="21"/>
              </w:rPr>
            </w:pPr>
            <w:r>
              <w:rPr>
                <w:kern w:val="0"/>
                <w:szCs w:val="21"/>
              </w:rPr>
              <w:t>介电性能</w:t>
            </w:r>
          </w:p>
        </w:tc>
        <w:tc>
          <w:tcPr>
            <w:tcW w:w="3565" w:type="dxa"/>
            <w:tcBorders>
              <w:top w:val="nil"/>
              <w:left w:val="nil"/>
              <w:bottom w:val="single" w:color="auto" w:sz="4" w:space="0"/>
              <w:right w:val="single" w:color="auto" w:sz="4" w:space="0"/>
            </w:tcBorders>
            <w:noWrap/>
            <w:vAlign w:val="center"/>
          </w:tcPr>
          <w:p>
            <w:pPr>
              <w:widowControl/>
              <w:jc w:val="center"/>
              <w:rPr>
                <w:kern w:val="0"/>
                <w:szCs w:val="21"/>
              </w:rPr>
            </w:pPr>
            <w:r>
              <w:rPr>
                <w:kern w:val="0"/>
                <w:szCs w:val="21"/>
              </w:rPr>
              <w:t>GB/</w:t>
            </w:r>
            <w:r>
              <w:rPr>
                <w:rFonts w:hint="eastAsia"/>
                <w:kern w:val="0"/>
                <w:szCs w:val="21"/>
              </w:rPr>
              <w:t xml:space="preserve">T </w:t>
            </w:r>
            <w:r>
              <w:rPr>
                <w:kern w:val="0"/>
                <w:szCs w:val="21"/>
              </w:rPr>
              <w:t>14048.2 7.2.3和8.3.3.3</w:t>
            </w:r>
          </w:p>
        </w:tc>
      </w:tr>
      <w:tr>
        <w:tblPrEx>
          <w:tblCellMar>
            <w:top w:w="0" w:type="dxa"/>
            <w:left w:w="108" w:type="dxa"/>
            <w:bottom w:w="0" w:type="dxa"/>
            <w:right w:w="108" w:type="dxa"/>
          </w:tblCellMar>
        </w:tblPrEx>
        <w:trPr>
          <w:trHeight w:val="285" w:hRule="atLeast"/>
          <w:jc w:val="center"/>
        </w:trPr>
        <w:tc>
          <w:tcPr>
            <w:tcW w:w="708" w:type="dxa"/>
            <w:tcBorders>
              <w:top w:val="nil"/>
              <w:left w:val="single" w:color="auto" w:sz="4" w:space="0"/>
              <w:bottom w:val="single" w:color="auto" w:sz="4" w:space="0"/>
              <w:right w:val="single" w:color="auto" w:sz="4" w:space="0"/>
            </w:tcBorders>
            <w:noWrap/>
            <w:vAlign w:val="center"/>
          </w:tcPr>
          <w:p>
            <w:pPr>
              <w:widowControl/>
              <w:jc w:val="center"/>
              <w:rPr>
                <w:kern w:val="0"/>
                <w:szCs w:val="21"/>
              </w:rPr>
            </w:pPr>
            <w:r>
              <w:rPr>
                <w:kern w:val="0"/>
                <w:szCs w:val="21"/>
              </w:rPr>
              <w:t>4</w:t>
            </w:r>
          </w:p>
        </w:tc>
        <w:tc>
          <w:tcPr>
            <w:tcW w:w="3297" w:type="dxa"/>
            <w:tcBorders>
              <w:top w:val="nil"/>
              <w:left w:val="nil"/>
              <w:bottom w:val="single" w:color="auto" w:sz="4" w:space="0"/>
              <w:right w:val="single" w:color="auto" w:sz="4" w:space="0"/>
            </w:tcBorders>
            <w:noWrap/>
            <w:vAlign w:val="center"/>
          </w:tcPr>
          <w:p>
            <w:pPr>
              <w:widowControl/>
              <w:jc w:val="left"/>
              <w:rPr>
                <w:kern w:val="0"/>
                <w:szCs w:val="21"/>
              </w:rPr>
            </w:pPr>
            <w:r>
              <w:rPr>
                <w:kern w:val="0"/>
                <w:szCs w:val="21"/>
              </w:rPr>
              <w:t>操作性能能力</w:t>
            </w:r>
          </w:p>
        </w:tc>
        <w:tc>
          <w:tcPr>
            <w:tcW w:w="3565" w:type="dxa"/>
            <w:tcBorders>
              <w:top w:val="nil"/>
              <w:left w:val="nil"/>
              <w:bottom w:val="single" w:color="auto" w:sz="4" w:space="0"/>
              <w:right w:val="single" w:color="auto" w:sz="4" w:space="0"/>
            </w:tcBorders>
            <w:noWrap/>
            <w:vAlign w:val="center"/>
          </w:tcPr>
          <w:p>
            <w:pPr>
              <w:widowControl/>
              <w:jc w:val="center"/>
              <w:rPr>
                <w:kern w:val="0"/>
                <w:szCs w:val="21"/>
              </w:rPr>
            </w:pPr>
            <w:r>
              <w:rPr>
                <w:kern w:val="0"/>
                <w:szCs w:val="21"/>
              </w:rPr>
              <w:t>GB/</w:t>
            </w:r>
            <w:r>
              <w:rPr>
                <w:rFonts w:hint="eastAsia"/>
                <w:kern w:val="0"/>
                <w:szCs w:val="21"/>
              </w:rPr>
              <w:t xml:space="preserve">T </w:t>
            </w:r>
            <w:r>
              <w:rPr>
                <w:kern w:val="0"/>
                <w:szCs w:val="21"/>
              </w:rPr>
              <w:t>14048.2  8.3.3.4</w:t>
            </w:r>
          </w:p>
        </w:tc>
      </w:tr>
      <w:tr>
        <w:tblPrEx>
          <w:tblCellMar>
            <w:top w:w="0" w:type="dxa"/>
            <w:left w:w="108" w:type="dxa"/>
            <w:bottom w:w="0" w:type="dxa"/>
            <w:right w:w="108" w:type="dxa"/>
          </w:tblCellMar>
        </w:tblPrEx>
        <w:trPr>
          <w:trHeight w:val="285" w:hRule="atLeast"/>
          <w:jc w:val="center"/>
        </w:trPr>
        <w:tc>
          <w:tcPr>
            <w:tcW w:w="708" w:type="dxa"/>
            <w:tcBorders>
              <w:top w:val="nil"/>
              <w:left w:val="single" w:color="auto" w:sz="4" w:space="0"/>
              <w:bottom w:val="single" w:color="auto" w:sz="4" w:space="0"/>
              <w:right w:val="single" w:color="auto" w:sz="4" w:space="0"/>
            </w:tcBorders>
            <w:noWrap/>
            <w:vAlign w:val="center"/>
          </w:tcPr>
          <w:p>
            <w:pPr>
              <w:widowControl/>
              <w:jc w:val="center"/>
              <w:rPr>
                <w:kern w:val="0"/>
                <w:szCs w:val="21"/>
              </w:rPr>
            </w:pPr>
            <w:r>
              <w:rPr>
                <w:kern w:val="0"/>
                <w:szCs w:val="21"/>
              </w:rPr>
              <w:t>5</w:t>
            </w:r>
          </w:p>
        </w:tc>
        <w:tc>
          <w:tcPr>
            <w:tcW w:w="3297" w:type="dxa"/>
            <w:tcBorders>
              <w:top w:val="nil"/>
              <w:left w:val="nil"/>
              <w:bottom w:val="single" w:color="auto" w:sz="4" w:space="0"/>
              <w:right w:val="single" w:color="auto" w:sz="4" w:space="0"/>
            </w:tcBorders>
            <w:noWrap/>
            <w:vAlign w:val="center"/>
          </w:tcPr>
          <w:p>
            <w:pPr>
              <w:widowControl/>
              <w:jc w:val="left"/>
              <w:rPr>
                <w:kern w:val="0"/>
                <w:szCs w:val="21"/>
              </w:rPr>
            </w:pPr>
            <w:r>
              <w:rPr>
                <w:kern w:val="0"/>
                <w:szCs w:val="21"/>
              </w:rPr>
              <w:t>过载性能</w:t>
            </w:r>
          </w:p>
        </w:tc>
        <w:tc>
          <w:tcPr>
            <w:tcW w:w="3565" w:type="dxa"/>
            <w:tcBorders>
              <w:top w:val="nil"/>
              <w:left w:val="nil"/>
              <w:bottom w:val="single" w:color="auto" w:sz="4" w:space="0"/>
              <w:right w:val="single" w:color="auto" w:sz="4" w:space="0"/>
            </w:tcBorders>
            <w:noWrap/>
            <w:vAlign w:val="center"/>
          </w:tcPr>
          <w:p>
            <w:pPr>
              <w:widowControl/>
              <w:jc w:val="center"/>
              <w:rPr>
                <w:kern w:val="0"/>
                <w:szCs w:val="21"/>
              </w:rPr>
            </w:pPr>
            <w:r>
              <w:rPr>
                <w:kern w:val="0"/>
                <w:szCs w:val="21"/>
              </w:rPr>
              <w:t>GB/</w:t>
            </w:r>
            <w:r>
              <w:rPr>
                <w:rFonts w:hint="eastAsia"/>
                <w:kern w:val="0"/>
                <w:szCs w:val="21"/>
              </w:rPr>
              <w:t xml:space="preserve">T </w:t>
            </w:r>
            <w:r>
              <w:rPr>
                <w:kern w:val="0"/>
                <w:szCs w:val="21"/>
              </w:rPr>
              <w:t>14048.2  8.3.3.5</w:t>
            </w:r>
          </w:p>
        </w:tc>
      </w:tr>
      <w:tr>
        <w:tblPrEx>
          <w:tblCellMar>
            <w:top w:w="0" w:type="dxa"/>
            <w:left w:w="108" w:type="dxa"/>
            <w:bottom w:w="0" w:type="dxa"/>
            <w:right w:w="108" w:type="dxa"/>
          </w:tblCellMar>
        </w:tblPrEx>
        <w:trPr>
          <w:trHeight w:val="285" w:hRule="atLeast"/>
          <w:jc w:val="center"/>
        </w:trPr>
        <w:tc>
          <w:tcPr>
            <w:tcW w:w="708" w:type="dxa"/>
            <w:tcBorders>
              <w:top w:val="nil"/>
              <w:left w:val="single" w:color="auto" w:sz="4" w:space="0"/>
              <w:bottom w:val="single" w:color="auto" w:sz="4" w:space="0"/>
              <w:right w:val="single" w:color="auto" w:sz="4" w:space="0"/>
            </w:tcBorders>
            <w:noWrap/>
            <w:vAlign w:val="center"/>
          </w:tcPr>
          <w:p>
            <w:pPr>
              <w:widowControl/>
              <w:jc w:val="center"/>
              <w:rPr>
                <w:kern w:val="0"/>
                <w:szCs w:val="21"/>
              </w:rPr>
            </w:pPr>
            <w:r>
              <w:rPr>
                <w:kern w:val="0"/>
                <w:szCs w:val="21"/>
              </w:rPr>
              <w:t>6</w:t>
            </w:r>
          </w:p>
        </w:tc>
        <w:tc>
          <w:tcPr>
            <w:tcW w:w="3297" w:type="dxa"/>
            <w:tcBorders>
              <w:top w:val="nil"/>
              <w:left w:val="nil"/>
              <w:bottom w:val="single" w:color="auto" w:sz="4" w:space="0"/>
              <w:right w:val="single" w:color="auto" w:sz="4" w:space="0"/>
            </w:tcBorders>
            <w:noWrap/>
            <w:vAlign w:val="center"/>
          </w:tcPr>
          <w:p>
            <w:pPr>
              <w:widowControl/>
              <w:jc w:val="left"/>
              <w:rPr>
                <w:kern w:val="0"/>
                <w:szCs w:val="21"/>
              </w:rPr>
            </w:pPr>
            <w:r>
              <w:rPr>
                <w:kern w:val="0"/>
                <w:szCs w:val="21"/>
              </w:rPr>
              <w:t>断路分断能力</w:t>
            </w:r>
          </w:p>
        </w:tc>
        <w:tc>
          <w:tcPr>
            <w:tcW w:w="3565" w:type="dxa"/>
            <w:tcBorders>
              <w:top w:val="nil"/>
              <w:left w:val="nil"/>
              <w:bottom w:val="single" w:color="auto" w:sz="4" w:space="0"/>
              <w:right w:val="single" w:color="auto" w:sz="4" w:space="0"/>
            </w:tcBorders>
            <w:noWrap/>
            <w:vAlign w:val="center"/>
          </w:tcPr>
          <w:p>
            <w:pPr>
              <w:widowControl/>
              <w:jc w:val="center"/>
              <w:rPr>
                <w:kern w:val="0"/>
                <w:szCs w:val="21"/>
              </w:rPr>
            </w:pPr>
            <w:r>
              <w:rPr>
                <w:kern w:val="0"/>
                <w:szCs w:val="21"/>
              </w:rPr>
              <w:t>GB/</w:t>
            </w:r>
            <w:r>
              <w:rPr>
                <w:rFonts w:hint="eastAsia"/>
                <w:kern w:val="0"/>
                <w:szCs w:val="21"/>
              </w:rPr>
              <w:t xml:space="preserve">T </w:t>
            </w:r>
            <w:r>
              <w:rPr>
                <w:kern w:val="0"/>
                <w:szCs w:val="21"/>
              </w:rPr>
              <w:t>14048.2  8.3.4和8.3.5</w:t>
            </w:r>
          </w:p>
        </w:tc>
      </w:tr>
      <w:tr>
        <w:tblPrEx>
          <w:tblCellMar>
            <w:top w:w="0" w:type="dxa"/>
            <w:left w:w="108" w:type="dxa"/>
            <w:bottom w:w="0" w:type="dxa"/>
            <w:right w:w="108" w:type="dxa"/>
          </w:tblCellMar>
        </w:tblPrEx>
        <w:trPr>
          <w:trHeight w:val="285" w:hRule="atLeast"/>
          <w:jc w:val="center"/>
        </w:trPr>
        <w:tc>
          <w:tcPr>
            <w:tcW w:w="708" w:type="dxa"/>
            <w:tcBorders>
              <w:top w:val="nil"/>
              <w:left w:val="single" w:color="auto" w:sz="4" w:space="0"/>
              <w:bottom w:val="single" w:color="auto" w:sz="4" w:space="0"/>
              <w:right w:val="single" w:color="auto" w:sz="4" w:space="0"/>
            </w:tcBorders>
            <w:noWrap/>
            <w:vAlign w:val="center"/>
          </w:tcPr>
          <w:p>
            <w:pPr>
              <w:widowControl/>
              <w:jc w:val="center"/>
              <w:rPr>
                <w:kern w:val="0"/>
                <w:szCs w:val="21"/>
              </w:rPr>
            </w:pPr>
            <w:r>
              <w:rPr>
                <w:kern w:val="0"/>
                <w:szCs w:val="21"/>
              </w:rPr>
              <w:t>7</w:t>
            </w:r>
          </w:p>
        </w:tc>
        <w:tc>
          <w:tcPr>
            <w:tcW w:w="3297" w:type="dxa"/>
            <w:tcBorders>
              <w:top w:val="nil"/>
              <w:left w:val="nil"/>
              <w:bottom w:val="single" w:color="auto" w:sz="4" w:space="0"/>
              <w:right w:val="single" w:color="auto" w:sz="4" w:space="0"/>
            </w:tcBorders>
            <w:noWrap/>
            <w:vAlign w:val="center"/>
          </w:tcPr>
          <w:p>
            <w:pPr>
              <w:widowControl/>
              <w:jc w:val="left"/>
              <w:rPr>
                <w:kern w:val="0"/>
                <w:szCs w:val="21"/>
              </w:rPr>
            </w:pPr>
            <w:r>
              <w:rPr>
                <w:kern w:val="0"/>
                <w:szCs w:val="21"/>
              </w:rPr>
              <w:t>短时耐受能力</w:t>
            </w:r>
          </w:p>
        </w:tc>
        <w:tc>
          <w:tcPr>
            <w:tcW w:w="3565" w:type="dxa"/>
            <w:tcBorders>
              <w:top w:val="nil"/>
              <w:left w:val="nil"/>
              <w:bottom w:val="single" w:color="auto" w:sz="4" w:space="0"/>
              <w:right w:val="single" w:color="auto" w:sz="4" w:space="0"/>
            </w:tcBorders>
            <w:noWrap/>
            <w:vAlign w:val="center"/>
          </w:tcPr>
          <w:p>
            <w:pPr>
              <w:widowControl/>
              <w:jc w:val="center"/>
              <w:rPr>
                <w:kern w:val="0"/>
                <w:szCs w:val="21"/>
              </w:rPr>
            </w:pPr>
            <w:r>
              <w:rPr>
                <w:kern w:val="0"/>
                <w:szCs w:val="21"/>
              </w:rPr>
              <w:t>GB/</w:t>
            </w:r>
            <w:r>
              <w:rPr>
                <w:rFonts w:hint="eastAsia"/>
                <w:kern w:val="0"/>
                <w:szCs w:val="21"/>
              </w:rPr>
              <w:t xml:space="preserve">T </w:t>
            </w:r>
            <w:r>
              <w:rPr>
                <w:kern w:val="0"/>
                <w:szCs w:val="21"/>
              </w:rPr>
              <w:t>14048.2  8.3.6</w:t>
            </w:r>
          </w:p>
        </w:tc>
      </w:tr>
    </w:tbl>
    <w:p>
      <w:pPr>
        <w:spacing w:line="360" w:lineRule="auto"/>
        <w:ind w:firstLine="422" w:firstLineChars="200"/>
        <w:rPr>
          <w:b/>
          <w:bCs/>
          <w:szCs w:val="21"/>
        </w:rPr>
      </w:pPr>
      <w:r>
        <w:rPr>
          <w:b/>
          <w:bCs/>
          <w:szCs w:val="21"/>
        </w:rPr>
        <w:t>注：投标时需按照所述基本试验项目提供低压智能开关的第三方权威机构出具的测试报告和3C证书。</w:t>
      </w:r>
    </w:p>
    <w:p>
      <w:pPr>
        <w:spacing w:line="360" w:lineRule="auto"/>
        <w:ind w:firstLine="420" w:firstLineChars="200"/>
        <w:rPr>
          <w:szCs w:val="21"/>
        </w:rPr>
      </w:pPr>
      <w:bookmarkStart w:id="64" w:name="_Toc410122657"/>
      <w:bookmarkStart w:id="65" w:name="_Toc26691"/>
      <w:r>
        <w:rPr>
          <w:szCs w:val="21"/>
        </w:rPr>
        <w:t>塑壳断路器的功能试验要求如表6-2所示。</w:t>
      </w:r>
    </w:p>
    <w:p>
      <w:pPr>
        <w:spacing w:line="360" w:lineRule="auto"/>
        <w:jc w:val="center"/>
        <w:rPr>
          <w:szCs w:val="21"/>
        </w:rPr>
      </w:pPr>
      <w:r>
        <w:rPr>
          <w:szCs w:val="21"/>
        </w:rPr>
        <w:t>6-2</w:t>
      </w:r>
      <w:r>
        <w:rPr>
          <w:snapToGrid w:val="0"/>
          <w:kern w:val="0"/>
          <w:szCs w:val="21"/>
        </w:rPr>
        <w:t>塑壳断路器功能试验要求</w:t>
      </w:r>
    </w:p>
    <w:tbl>
      <w:tblPr>
        <w:tblStyle w:val="11"/>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758"/>
        <w:gridCol w:w="4912"/>
        <w:gridCol w:w="184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58" w:type="dxa"/>
            <w:noWrap/>
            <w:vAlign w:val="center"/>
          </w:tcPr>
          <w:p>
            <w:pPr>
              <w:spacing w:line="360" w:lineRule="auto"/>
              <w:rPr>
                <w:b/>
                <w:szCs w:val="21"/>
              </w:rPr>
            </w:pPr>
            <w:r>
              <w:rPr>
                <w:b/>
                <w:szCs w:val="21"/>
              </w:rPr>
              <w:t>序号</w:t>
            </w:r>
          </w:p>
        </w:tc>
        <w:tc>
          <w:tcPr>
            <w:tcW w:w="4912" w:type="dxa"/>
            <w:noWrap/>
            <w:vAlign w:val="center"/>
          </w:tcPr>
          <w:p>
            <w:pPr>
              <w:spacing w:line="360" w:lineRule="auto"/>
              <w:rPr>
                <w:b/>
                <w:szCs w:val="21"/>
              </w:rPr>
            </w:pPr>
            <w:r>
              <w:rPr>
                <w:b/>
                <w:szCs w:val="21"/>
              </w:rPr>
              <w:t>试验项目</w:t>
            </w:r>
          </w:p>
        </w:tc>
        <w:tc>
          <w:tcPr>
            <w:tcW w:w="1842" w:type="dxa"/>
            <w:noWrap/>
            <w:vAlign w:val="center"/>
          </w:tcPr>
          <w:p>
            <w:pPr>
              <w:spacing w:line="360" w:lineRule="auto"/>
              <w:rPr>
                <w:b/>
                <w:szCs w:val="21"/>
              </w:rPr>
            </w:pPr>
            <w:r>
              <w:rPr>
                <w:b/>
                <w:szCs w:val="21"/>
              </w:rPr>
              <w:t>试验要求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58" w:type="dxa"/>
            <w:noWrap/>
            <w:vAlign w:val="center"/>
          </w:tcPr>
          <w:p>
            <w:pPr>
              <w:spacing w:line="360" w:lineRule="auto"/>
              <w:rPr>
                <w:szCs w:val="21"/>
              </w:rPr>
            </w:pPr>
            <w:r>
              <w:rPr>
                <w:szCs w:val="21"/>
              </w:rPr>
              <w:t>1</w:t>
            </w:r>
          </w:p>
        </w:tc>
        <w:tc>
          <w:tcPr>
            <w:tcW w:w="4912" w:type="dxa"/>
            <w:noWrap/>
            <w:vAlign w:val="center"/>
          </w:tcPr>
          <w:p>
            <w:pPr>
              <w:spacing w:line="360" w:lineRule="auto"/>
              <w:rPr>
                <w:szCs w:val="21"/>
              </w:rPr>
            </w:pPr>
            <w:r>
              <w:rPr>
                <w:szCs w:val="21"/>
              </w:rPr>
              <w:t>功能测试</w:t>
            </w:r>
          </w:p>
        </w:tc>
        <w:tc>
          <w:tcPr>
            <w:tcW w:w="1842" w:type="dxa"/>
            <w:noWrap/>
            <w:vAlign w:val="center"/>
          </w:tcPr>
          <w:p>
            <w:pPr>
              <w:spacing w:line="360" w:lineRule="auto"/>
              <w:rPr>
                <w:szCs w:val="21"/>
              </w:rPr>
            </w:pPr>
            <w:r>
              <w:rPr>
                <w:szCs w:val="21"/>
              </w:rPr>
              <w:t>必做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58" w:type="dxa"/>
            <w:noWrap/>
            <w:vAlign w:val="center"/>
          </w:tcPr>
          <w:p>
            <w:pPr>
              <w:spacing w:line="360" w:lineRule="auto"/>
              <w:rPr>
                <w:szCs w:val="21"/>
              </w:rPr>
            </w:pPr>
            <w:r>
              <w:rPr>
                <w:szCs w:val="21"/>
              </w:rPr>
              <w:t>4</w:t>
            </w:r>
          </w:p>
        </w:tc>
        <w:tc>
          <w:tcPr>
            <w:tcW w:w="4912" w:type="dxa"/>
            <w:noWrap/>
            <w:vAlign w:val="center"/>
          </w:tcPr>
          <w:p>
            <w:pPr>
              <w:spacing w:line="360" w:lineRule="auto"/>
              <w:rPr>
                <w:szCs w:val="21"/>
              </w:rPr>
            </w:pPr>
            <w:r>
              <w:rPr>
                <w:szCs w:val="21"/>
              </w:rPr>
              <w:t>电磁兼容（EMC）性能测试</w:t>
            </w:r>
          </w:p>
        </w:tc>
        <w:tc>
          <w:tcPr>
            <w:tcW w:w="1842" w:type="dxa"/>
            <w:noWrap/>
            <w:vAlign w:val="center"/>
          </w:tcPr>
          <w:p>
            <w:pPr>
              <w:spacing w:line="360" w:lineRule="auto"/>
              <w:rPr>
                <w:szCs w:val="21"/>
              </w:rPr>
            </w:pPr>
            <w:r>
              <w:rPr>
                <w:szCs w:val="21"/>
              </w:rPr>
              <w:t>必做</w:t>
            </w:r>
          </w:p>
        </w:tc>
      </w:tr>
    </w:tbl>
    <w:p>
      <w:pPr>
        <w:spacing w:line="360" w:lineRule="auto"/>
        <w:ind w:firstLine="420" w:firstLineChars="200"/>
        <w:rPr>
          <w:szCs w:val="21"/>
        </w:rPr>
      </w:pPr>
      <w:r>
        <w:rPr>
          <w:szCs w:val="21"/>
        </w:rPr>
        <w:t>注：投标时需按照所述功能试验项目提供低压智能开关的第三方权威机构或招标人指定的测试机构测试出具的测试报告。</w:t>
      </w:r>
    </w:p>
    <w:p>
      <w:pPr>
        <w:spacing w:line="360" w:lineRule="auto"/>
      </w:pPr>
      <w:r>
        <w:rPr>
          <w:szCs w:val="21"/>
        </w:rPr>
        <w:t>6.2.</w:t>
      </w:r>
      <w:r>
        <w:rPr>
          <w:rFonts w:hint="eastAsia"/>
          <w:szCs w:val="21"/>
        </w:rPr>
        <w:t xml:space="preserve">3 </w:t>
      </w:r>
      <w:r>
        <w:t>型式试验要求</w:t>
      </w:r>
      <w:bookmarkEnd w:id="64"/>
      <w:bookmarkEnd w:id="65"/>
    </w:p>
    <w:p>
      <w:pPr>
        <w:spacing w:line="360" w:lineRule="auto"/>
        <w:ind w:firstLine="420" w:firstLineChars="200"/>
        <w:rPr>
          <w:szCs w:val="21"/>
        </w:rPr>
      </w:pPr>
      <w:r>
        <w:rPr>
          <w:szCs w:val="21"/>
        </w:rPr>
        <w:t>型式试验在1套样品上进行，试验中途不得更换样品。</w:t>
      </w:r>
    </w:p>
    <w:p>
      <w:pPr>
        <w:spacing w:line="360" w:lineRule="auto"/>
        <w:ind w:firstLine="420" w:firstLineChars="200"/>
        <w:rPr>
          <w:szCs w:val="21"/>
        </w:rPr>
      </w:pPr>
      <w:r>
        <w:rPr>
          <w:szCs w:val="21"/>
        </w:rPr>
        <w:t>型式试验各项目全部符合技术要求为合格。发现有不符合技术要求的项目应分析原因，处理缺陷。对产品进行整改后，再按全部型式试验项目进行试验。</w:t>
      </w:r>
    </w:p>
    <w:p>
      <w:pPr>
        <w:numPr>
          <w:ilvl w:val="1"/>
          <w:numId w:val="1"/>
        </w:numPr>
        <w:spacing w:line="360" w:lineRule="auto"/>
        <w:outlineLvl w:val="1"/>
      </w:pPr>
      <w:bookmarkStart w:id="66" w:name="_Toc159"/>
      <w:r>
        <w:t>常规试验</w:t>
      </w:r>
      <w:bookmarkEnd w:id="66"/>
    </w:p>
    <w:p>
      <w:pPr>
        <w:spacing w:line="360" w:lineRule="auto"/>
        <w:ind w:firstLine="420" w:firstLineChars="200"/>
        <w:rPr>
          <w:szCs w:val="21"/>
        </w:rPr>
      </w:pPr>
      <w:r>
        <w:rPr>
          <w:szCs w:val="21"/>
        </w:rPr>
        <w:t>塑壳断路器的常规试验要求如表6-3所示，适用于出厂试验或抽样试验。</w:t>
      </w:r>
    </w:p>
    <w:p>
      <w:pPr>
        <w:keepNext/>
        <w:spacing w:line="360" w:lineRule="auto"/>
        <w:jc w:val="center"/>
        <w:rPr>
          <w:snapToGrid w:val="0"/>
        </w:rPr>
      </w:pPr>
      <w:r>
        <w:rPr>
          <w:snapToGrid w:val="0"/>
          <w:kern w:val="0"/>
          <w:szCs w:val="21"/>
        </w:rPr>
        <w:t>表6-3 塑壳断路器</w:t>
      </w:r>
      <w:r>
        <w:rPr>
          <w:szCs w:val="21"/>
        </w:rPr>
        <w:t>常规试验</w:t>
      </w:r>
      <w:r>
        <w:rPr>
          <w:snapToGrid w:val="0"/>
          <w:kern w:val="0"/>
          <w:szCs w:val="21"/>
        </w:rPr>
        <w:t>要求</w:t>
      </w:r>
    </w:p>
    <w:tbl>
      <w:tblPr>
        <w:tblStyle w:val="11"/>
        <w:tblW w:w="0" w:type="auto"/>
        <w:jc w:val="center"/>
        <w:tblLayout w:type="fixed"/>
        <w:tblCellMar>
          <w:top w:w="0" w:type="dxa"/>
          <w:left w:w="108" w:type="dxa"/>
          <w:bottom w:w="0" w:type="dxa"/>
          <w:right w:w="108" w:type="dxa"/>
        </w:tblCellMar>
      </w:tblPr>
      <w:tblGrid>
        <w:gridCol w:w="708"/>
        <w:gridCol w:w="3297"/>
        <w:gridCol w:w="3565"/>
      </w:tblGrid>
      <w:tr>
        <w:tblPrEx>
          <w:tblCellMar>
            <w:top w:w="0" w:type="dxa"/>
            <w:left w:w="108" w:type="dxa"/>
            <w:bottom w:w="0" w:type="dxa"/>
            <w:right w:w="108" w:type="dxa"/>
          </w:tblCellMar>
        </w:tblPrEx>
        <w:trPr>
          <w:trHeight w:val="285" w:hRule="atLeast"/>
          <w:tblHeader/>
          <w:jc w:val="center"/>
        </w:trPr>
        <w:tc>
          <w:tcPr>
            <w:tcW w:w="708" w:type="dxa"/>
            <w:tcBorders>
              <w:top w:val="single" w:color="auto" w:sz="4" w:space="0"/>
              <w:left w:val="single" w:color="auto" w:sz="4" w:space="0"/>
              <w:bottom w:val="single" w:color="auto" w:sz="4" w:space="0"/>
              <w:right w:val="single" w:color="auto" w:sz="4" w:space="0"/>
            </w:tcBorders>
            <w:noWrap/>
            <w:vAlign w:val="center"/>
          </w:tcPr>
          <w:p>
            <w:pPr>
              <w:widowControl/>
              <w:jc w:val="center"/>
              <w:rPr>
                <w:b/>
                <w:kern w:val="0"/>
                <w:szCs w:val="21"/>
              </w:rPr>
            </w:pPr>
            <w:r>
              <w:rPr>
                <w:b/>
                <w:kern w:val="0"/>
                <w:szCs w:val="21"/>
              </w:rPr>
              <w:t>序号</w:t>
            </w:r>
          </w:p>
        </w:tc>
        <w:tc>
          <w:tcPr>
            <w:tcW w:w="3297" w:type="dxa"/>
            <w:tcBorders>
              <w:top w:val="single" w:color="auto" w:sz="4" w:space="0"/>
              <w:left w:val="nil"/>
              <w:bottom w:val="single" w:color="auto" w:sz="4" w:space="0"/>
              <w:right w:val="single" w:color="auto" w:sz="4" w:space="0"/>
            </w:tcBorders>
            <w:noWrap/>
            <w:vAlign w:val="center"/>
          </w:tcPr>
          <w:p>
            <w:pPr>
              <w:widowControl/>
              <w:jc w:val="center"/>
              <w:rPr>
                <w:b/>
                <w:kern w:val="0"/>
                <w:szCs w:val="21"/>
              </w:rPr>
            </w:pPr>
            <w:r>
              <w:rPr>
                <w:b/>
                <w:kern w:val="0"/>
                <w:szCs w:val="21"/>
              </w:rPr>
              <w:t>试验项目</w:t>
            </w:r>
          </w:p>
        </w:tc>
        <w:tc>
          <w:tcPr>
            <w:tcW w:w="3565" w:type="dxa"/>
            <w:tcBorders>
              <w:top w:val="single" w:color="auto" w:sz="4" w:space="0"/>
              <w:left w:val="nil"/>
              <w:bottom w:val="single" w:color="auto" w:sz="4" w:space="0"/>
              <w:right w:val="single" w:color="auto" w:sz="4" w:space="0"/>
            </w:tcBorders>
            <w:noWrap/>
            <w:vAlign w:val="center"/>
          </w:tcPr>
          <w:p>
            <w:pPr>
              <w:widowControl/>
              <w:jc w:val="center"/>
              <w:rPr>
                <w:b/>
                <w:kern w:val="0"/>
                <w:szCs w:val="21"/>
              </w:rPr>
            </w:pPr>
            <w:r>
              <w:rPr>
                <w:b/>
                <w:kern w:val="0"/>
                <w:szCs w:val="21"/>
              </w:rPr>
              <w:t>依据标准条款</w:t>
            </w:r>
          </w:p>
        </w:tc>
      </w:tr>
      <w:tr>
        <w:tblPrEx>
          <w:tblCellMar>
            <w:top w:w="0" w:type="dxa"/>
            <w:left w:w="108" w:type="dxa"/>
            <w:bottom w:w="0" w:type="dxa"/>
            <w:right w:w="108" w:type="dxa"/>
          </w:tblCellMar>
        </w:tblPrEx>
        <w:trPr>
          <w:trHeight w:val="285" w:hRule="atLeast"/>
          <w:jc w:val="center"/>
        </w:trPr>
        <w:tc>
          <w:tcPr>
            <w:tcW w:w="708" w:type="dxa"/>
            <w:tcBorders>
              <w:top w:val="nil"/>
              <w:left w:val="single" w:color="auto" w:sz="4" w:space="0"/>
              <w:bottom w:val="single" w:color="auto" w:sz="4" w:space="0"/>
              <w:right w:val="single" w:color="auto" w:sz="4" w:space="0"/>
            </w:tcBorders>
            <w:noWrap/>
            <w:vAlign w:val="center"/>
          </w:tcPr>
          <w:p>
            <w:pPr>
              <w:widowControl/>
              <w:jc w:val="center"/>
              <w:rPr>
                <w:kern w:val="0"/>
                <w:szCs w:val="21"/>
              </w:rPr>
            </w:pPr>
            <w:r>
              <w:rPr>
                <w:kern w:val="0"/>
                <w:szCs w:val="21"/>
              </w:rPr>
              <w:t>1</w:t>
            </w:r>
          </w:p>
        </w:tc>
        <w:tc>
          <w:tcPr>
            <w:tcW w:w="3297" w:type="dxa"/>
            <w:tcBorders>
              <w:top w:val="nil"/>
              <w:left w:val="nil"/>
              <w:bottom w:val="single" w:color="auto" w:sz="4" w:space="0"/>
              <w:right w:val="single" w:color="auto" w:sz="4" w:space="0"/>
            </w:tcBorders>
            <w:noWrap/>
            <w:vAlign w:val="center"/>
          </w:tcPr>
          <w:p>
            <w:pPr>
              <w:widowControl/>
              <w:jc w:val="left"/>
              <w:rPr>
                <w:kern w:val="0"/>
                <w:szCs w:val="21"/>
              </w:rPr>
            </w:pPr>
            <w:r>
              <w:rPr>
                <w:kern w:val="0"/>
                <w:szCs w:val="21"/>
              </w:rPr>
              <w:t>机械操作</w:t>
            </w:r>
          </w:p>
        </w:tc>
        <w:tc>
          <w:tcPr>
            <w:tcW w:w="3565" w:type="dxa"/>
            <w:tcBorders>
              <w:top w:val="nil"/>
              <w:left w:val="nil"/>
              <w:bottom w:val="single" w:color="auto" w:sz="4" w:space="0"/>
              <w:right w:val="single" w:color="auto" w:sz="4" w:space="0"/>
            </w:tcBorders>
            <w:noWrap/>
            <w:vAlign w:val="center"/>
          </w:tcPr>
          <w:p>
            <w:pPr>
              <w:widowControl/>
              <w:jc w:val="center"/>
              <w:rPr>
                <w:b/>
                <w:kern w:val="0"/>
                <w:szCs w:val="21"/>
              </w:rPr>
            </w:pPr>
            <w:r>
              <w:rPr>
                <w:kern w:val="0"/>
                <w:szCs w:val="21"/>
              </w:rPr>
              <w:t>GB/</w:t>
            </w:r>
            <w:r>
              <w:rPr>
                <w:rFonts w:hint="eastAsia"/>
                <w:kern w:val="0"/>
                <w:szCs w:val="21"/>
              </w:rPr>
              <w:t xml:space="preserve">T </w:t>
            </w:r>
            <w:r>
              <w:rPr>
                <w:kern w:val="0"/>
                <w:szCs w:val="21"/>
              </w:rPr>
              <w:t>14048.2 8.4.2</w:t>
            </w:r>
          </w:p>
        </w:tc>
      </w:tr>
      <w:tr>
        <w:tblPrEx>
          <w:tblCellMar>
            <w:top w:w="0" w:type="dxa"/>
            <w:left w:w="108" w:type="dxa"/>
            <w:bottom w:w="0" w:type="dxa"/>
            <w:right w:w="108" w:type="dxa"/>
          </w:tblCellMar>
        </w:tblPrEx>
        <w:trPr>
          <w:trHeight w:val="285" w:hRule="atLeast"/>
          <w:jc w:val="center"/>
        </w:trPr>
        <w:tc>
          <w:tcPr>
            <w:tcW w:w="708" w:type="dxa"/>
            <w:tcBorders>
              <w:top w:val="nil"/>
              <w:left w:val="single" w:color="auto" w:sz="4" w:space="0"/>
              <w:bottom w:val="single" w:color="auto" w:sz="4" w:space="0"/>
              <w:right w:val="single" w:color="auto" w:sz="4" w:space="0"/>
            </w:tcBorders>
            <w:noWrap/>
            <w:vAlign w:val="center"/>
          </w:tcPr>
          <w:p>
            <w:pPr>
              <w:widowControl/>
              <w:jc w:val="center"/>
              <w:rPr>
                <w:kern w:val="0"/>
                <w:szCs w:val="21"/>
              </w:rPr>
            </w:pPr>
            <w:r>
              <w:rPr>
                <w:kern w:val="0"/>
                <w:szCs w:val="21"/>
              </w:rPr>
              <w:t>2</w:t>
            </w:r>
          </w:p>
        </w:tc>
        <w:tc>
          <w:tcPr>
            <w:tcW w:w="3297" w:type="dxa"/>
            <w:tcBorders>
              <w:top w:val="nil"/>
              <w:left w:val="nil"/>
              <w:bottom w:val="single" w:color="auto" w:sz="4" w:space="0"/>
              <w:right w:val="single" w:color="auto" w:sz="4" w:space="0"/>
            </w:tcBorders>
            <w:noWrap/>
            <w:vAlign w:val="center"/>
          </w:tcPr>
          <w:p>
            <w:pPr>
              <w:widowControl/>
              <w:jc w:val="left"/>
              <w:rPr>
                <w:kern w:val="0"/>
                <w:szCs w:val="21"/>
              </w:rPr>
            </w:pPr>
            <w:r>
              <w:rPr>
                <w:kern w:val="0"/>
                <w:szCs w:val="21"/>
              </w:rPr>
              <w:t>验证过电流脱扣器</w:t>
            </w:r>
          </w:p>
        </w:tc>
        <w:tc>
          <w:tcPr>
            <w:tcW w:w="3565" w:type="dxa"/>
            <w:tcBorders>
              <w:top w:val="nil"/>
              <w:left w:val="nil"/>
              <w:bottom w:val="single" w:color="auto" w:sz="4" w:space="0"/>
              <w:right w:val="single" w:color="auto" w:sz="4" w:space="0"/>
            </w:tcBorders>
            <w:noWrap/>
            <w:vAlign w:val="center"/>
          </w:tcPr>
          <w:p>
            <w:pPr>
              <w:widowControl/>
              <w:jc w:val="center"/>
              <w:rPr>
                <w:kern w:val="0"/>
                <w:szCs w:val="21"/>
              </w:rPr>
            </w:pPr>
            <w:r>
              <w:rPr>
                <w:kern w:val="0"/>
                <w:szCs w:val="21"/>
              </w:rPr>
              <w:t>GB/</w:t>
            </w:r>
            <w:r>
              <w:rPr>
                <w:rFonts w:hint="eastAsia"/>
                <w:kern w:val="0"/>
                <w:szCs w:val="21"/>
              </w:rPr>
              <w:t xml:space="preserve">T </w:t>
            </w:r>
            <w:r>
              <w:rPr>
                <w:kern w:val="0"/>
                <w:szCs w:val="21"/>
              </w:rPr>
              <w:t>14048.2  8.4.3</w:t>
            </w:r>
          </w:p>
        </w:tc>
      </w:tr>
      <w:tr>
        <w:tblPrEx>
          <w:tblCellMar>
            <w:top w:w="0" w:type="dxa"/>
            <w:left w:w="108" w:type="dxa"/>
            <w:bottom w:w="0" w:type="dxa"/>
            <w:right w:w="108" w:type="dxa"/>
          </w:tblCellMar>
        </w:tblPrEx>
        <w:trPr>
          <w:trHeight w:val="285" w:hRule="atLeast"/>
          <w:jc w:val="center"/>
        </w:trPr>
        <w:tc>
          <w:tcPr>
            <w:tcW w:w="708" w:type="dxa"/>
            <w:tcBorders>
              <w:top w:val="nil"/>
              <w:left w:val="single" w:color="auto" w:sz="4" w:space="0"/>
              <w:bottom w:val="single" w:color="auto" w:sz="4" w:space="0"/>
              <w:right w:val="single" w:color="auto" w:sz="4" w:space="0"/>
            </w:tcBorders>
            <w:noWrap/>
            <w:vAlign w:val="center"/>
          </w:tcPr>
          <w:p>
            <w:pPr>
              <w:widowControl/>
              <w:jc w:val="center"/>
              <w:rPr>
                <w:kern w:val="0"/>
                <w:szCs w:val="21"/>
              </w:rPr>
            </w:pPr>
            <w:r>
              <w:rPr>
                <w:kern w:val="0"/>
                <w:szCs w:val="21"/>
              </w:rPr>
              <w:t>3</w:t>
            </w:r>
          </w:p>
        </w:tc>
        <w:tc>
          <w:tcPr>
            <w:tcW w:w="3297" w:type="dxa"/>
            <w:tcBorders>
              <w:top w:val="nil"/>
              <w:left w:val="nil"/>
              <w:bottom w:val="single" w:color="auto" w:sz="4" w:space="0"/>
              <w:right w:val="single" w:color="auto" w:sz="4" w:space="0"/>
            </w:tcBorders>
            <w:noWrap/>
            <w:vAlign w:val="center"/>
          </w:tcPr>
          <w:p>
            <w:pPr>
              <w:widowControl/>
              <w:jc w:val="left"/>
              <w:rPr>
                <w:kern w:val="0"/>
                <w:szCs w:val="21"/>
              </w:rPr>
            </w:pPr>
            <w:r>
              <w:rPr>
                <w:kern w:val="0"/>
                <w:szCs w:val="21"/>
              </w:rPr>
              <w:t>验证欠电压和分励脱扣器的动作</w:t>
            </w:r>
          </w:p>
        </w:tc>
        <w:tc>
          <w:tcPr>
            <w:tcW w:w="3565" w:type="dxa"/>
            <w:tcBorders>
              <w:top w:val="nil"/>
              <w:left w:val="nil"/>
              <w:bottom w:val="single" w:color="auto" w:sz="4" w:space="0"/>
              <w:right w:val="single" w:color="auto" w:sz="4" w:space="0"/>
            </w:tcBorders>
            <w:noWrap/>
            <w:vAlign w:val="center"/>
          </w:tcPr>
          <w:p>
            <w:pPr>
              <w:widowControl/>
              <w:jc w:val="center"/>
              <w:rPr>
                <w:kern w:val="0"/>
                <w:szCs w:val="21"/>
              </w:rPr>
            </w:pPr>
            <w:r>
              <w:rPr>
                <w:kern w:val="0"/>
                <w:szCs w:val="21"/>
              </w:rPr>
              <w:t>GB/</w:t>
            </w:r>
            <w:r>
              <w:rPr>
                <w:rFonts w:hint="eastAsia"/>
                <w:kern w:val="0"/>
                <w:szCs w:val="21"/>
              </w:rPr>
              <w:t xml:space="preserve">T </w:t>
            </w:r>
            <w:r>
              <w:rPr>
                <w:kern w:val="0"/>
                <w:szCs w:val="21"/>
              </w:rPr>
              <w:t>14048.28.4.4</w:t>
            </w:r>
          </w:p>
        </w:tc>
      </w:tr>
      <w:tr>
        <w:tblPrEx>
          <w:tblCellMar>
            <w:top w:w="0" w:type="dxa"/>
            <w:left w:w="108" w:type="dxa"/>
            <w:bottom w:w="0" w:type="dxa"/>
            <w:right w:w="108" w:type="dxa"/>
          </w:tblCellMar>
        </w:tblPrEx>
        <w:trPr>
          <w:trHeight w:val="285" w:hRule="atLeast"/>
          <w:jc w:val="center"/>
        </w:trPr>
        <w:tc>
          <w:tcPr>
            <w:tcW w:w="708" w:type="dxa"/>
            <w:tcBorders>
              <w:top w:val="nil"/>
              <w:left w:val="single" w:color="auto" w:sz="4" w:space="0"/>
              <w:bottom w:val="single" w:color="auto" w:sz="4" w:space="0"/>
              <w:right w:val="single" w:color="auto" w:sz="4" w:space="0"/>
            </w:tcBorders>
            <w:noWrap/>
            <w:vAlign w:val="center"/>
          </w:tcPr>
          <w:p>
            <w:pPr>
              <w:widowControl/>
              <w:jc w:val="center"/>
              <w:rPr>
                <w:kern w:val="0"/>
                <w:szCs w:val="21"/>
              </w:rPr>
            </w:pPr>
            <w:r>
              <w:rPr>
                <w:kern w:val="0"/>
                <w:szCs w:val="21"/>
              </w:rPr>
              <w:t>4</w:t>
            </w:r>
          </w:p>
        </w:tc>
        <w:tc>
          <w:tcPr>
            <w:tcW w:w="3297" w:type="dxa"/>
            <w:tcBorders>
              <w:top w:val="nil"/>
              <w:left w:val="nil"/>
              <w:bottom w:val="single" w:color="auto" w:sz="4" w:space="0"/>
              <w:right w:val="single" w:color="auto" w:sz="4" w:space="0"/>
            </w:tcBorders>
            <w:noWrap/>
            <w:vAlign w:val="center"/>
          </w:tcPr>
          <w:p>
            <w:pPr>
              <w:widowControl/>
              <w:jc w:val="left"/>
              <w:rPr>
                <w:kern w:val="0"/>
                <w:szCs w:val="21"/>
              </w:rPr>
            </w:pPr>
            <w:r>
              <w:rPr>
                <w:kern w:val="0"/>
                <w:szCs w:val="21"/>
              </w:rPr>
              <w:t>CBR附加试验（带剩余电流保护功能需做）</w:t>
            </w:r>
          </w:p>
        </w:tc>
        <w:tc>
          <w:tcPr>
            <w:tcW w:w="3565" w:type="dxa"/>
            <w:tcBorders>
              <w:top w:val="nil"/>
              <w:left w:val="nil"/>
              <w:bottom w:val="single" w:color="auto" w:sz="4" w:space="0"/>
              <w:right w:val="single" w:color="auto" w:sz="4" w:space="0"/>
            </w:tcBorders>
            <w:noWrap/>
            <w:vAlign w:val="center"/>
          </w:tcPr>
          <w:p>
            <w:pPr>
              <w:widowControl/>
              <w:jc w:val="center"/>
              <w:rPr>
                <w:kern w:val="0"/>
                <w:szCs w:val="21"/>
              </w:rPr>
            </w:pPr>
            <w:r>
              <w:rPr>
                <w:kern w:val="0"/>
                <w:szCs w:val="21"/>
              </w:rPr>
              <w:t>GB/</w:t>
            </w:r>
            <w:r>
              <w:rPr>
                <w:rFonts w:hint="eastAsia"/>
                <w:kern w:val="0"/>
                <w:szCs w:val="21"/>
              </w:rPr>
              <w:t xml:space="preserve">T </w:t>
            </w:r>
            <w:r>
              <w:rPr>
                <w:kern w:val="0"/>
                <w:szCs w:val="21"/>
              </w:rPr>
              <w:t>14048.28.4.5</w:t>
            </w:r>
          </w:p>
        </w:tc>
      </w:tr>
      <w:tr>
        <w:tblPrEx>
          <w:tblCellMar>
            <w:top w:w="0" w:type="dxa"/>
            <w:left w:w="108" w:type="dxa"/>
            <w:bottom w:w="0" w:type="dxa"/>
            <w:right w:w="108" w:type="dxa"/>
          </w:tblCellMar>
        </w:tblPrEx>
        <w:trPr>
          <w:trHeight w:val="285" w:hRule="atLeast"/>
          <w:jc w:val="center"/>
        </w:trPr>
        <w:tc>
          <w:tcPr>
            <w:tcW w:w="708" w:type="dxa"/>
            <w:tcBorders>
              <w:top w:val="nil"/>
              <w:left w:val="single" w:color="auto" w:sz="4" w:space="0"/>
              <w:bottom w:val="single" w:color="auto" w:sz="4" w:space="0"/>
              <w:right w:val="single" w:color="auto" w:sz="4" w:space="0"/>
            </w:tcBorders>
            <w:noWrap/>
            <w:vAlign w:val="center"/>
          </w:tcPr>
          <w:p>
            <w:pPr>
              <w:widowControl/>
              <w:jc w:val="center"/>
              <w:rPr>
                <w:kern w:val="0"/>
                <w:szCs w:val="21"/>
              </w:rPr>
            </w:pPr>
            <w:r>
              <w:rPr>
                <w:kern w:val="0"/>
                <w:szCs w:val="21"/>
              </w:rPr>
              <w:t>5</w:t>
            </w:r>
          </w:p>
        </w:tc>
        <w:tc>
          <w:tcPr>
            <w:tcW w:w="3297" w:type="dxa"/>
            <w:tcBorders>
              <w:top w:val="nil"/>
              <w:left w:val="nil"/>
              <w:bottom w:val="single" w:color="auto" w:sz="4" w:space="0"/>
              <w:right w:val="single" w:color="auto" w:sz="4" w:space="0"/>
            </w:tcBorders>
            <w:noWrap/>
            <w:vAlign w:val="center"/>
          </w:tcPr>
          <w:p>
            <w:pPr>
              <w:widowControl/>
              <w:jc w:val="left"/>
              <w:rPr>
                <w:kern w:val="0"/>
                <w:szCs w:val="21"/>
              </w:rPr>
            </w:pPr>
            <w:r>
              <w:rPr>
                <w:kern w:val="0"/>
                <w:szCs w:val="21"/>
              </w:rPr>
              <w:t>介电试验</w:t>
            </w:r>
          </w:p>
        </w:tc>
        <w:tc>
          <w:tcPr>
            <w:tcW w:w="3565" w:type="dxa"/>
            <w:tcBorders>
              <w:top w:val="nil"/>
              <w:left w:val="nil"/>
              <w:bottom w:val="single" w:color="auto" w:sz="4" w:space="0"/>
              <w:right w:val="single" w:color="auto" w:sz="4" w:space="0"/>
            </w:tcBorders>
            <w:noWrap/>
            <w:vAlign w:val="center"/>
          </w:tcPr>
          <w:p>
            <w:pPr>
              <w:widowControl/>
              <w:jc w:val="center"/>
              <w:rPr>
                <w:kern w:val="0"/>
                <w:szCs w:val="21"/>
              </w:rPr>
            </w:pPr>
            <w:r>
              <w:rPr>
                <w:kern w:val="0"/>
                <w:szCs w:val="21"/>
              </w:rPr>
              <w:t>GB/</w:t>
            </w:r>
            <w:r>
              <w:rPr>
                <w:rFonts w:hint="eastAsia"/>
                <w:kern w:val="0"/>
                <w:szCs w:val="21"/>
              </w:rPr>
              <w:t xml:space="preserve">T </w:t>
            </w:r>
            <w:r>
              <w:rPr>
                <w:kern w:val="0"/>
                <w:szCs w:val="21"/>
              </w:rPr>
              <w:t>14048.2  8.4.6</w:t>
            </w:r>
          </w:p>
        </w:tc>
      </w:tr>
      <w:tr>
        <w:tblPrEx>
          <w:tblCellMar>
            <w:top w:w="0" w:type="dxa"/>
            <w:left w:w="108" w:type="dxa"/>
            <w:bottom w:w="0" w:type="dxa"/>
            <w:right w:w="108" w:type="dxa"/>
          </w:tblCellMar>
        </w:tblPrEx>
        <w:trPr>
          <w:trHeight w:val="285" w:hRule="atLeast"/>
          <w:jc w:val="center"/>
        </w:trPr>
        <w:tc>
          <w:tcPr>
            <w:tcW w:w="708" w:type="dxa"/>
            <w:tcBorders>
              <w:top w:val="nil"/>
              <w:left w:val="single" w:color="auto" w:sz="4" w:space="0"/>
              <w:bottom w:val="single" w:color="auto" w:sz="4" w:space="0"/>
              <w:right w:val="single" w:color="auto" w:sz="4" w:space="0"/>
            </w:tcBorders>
            <w:noWrap/>
            <w:vAlign w:val="center"/>
          </w:tcPr>
          <w:p>
            <w:pPr>
              <w:widowControl/>
              <w:jc w:val="center"/>
              <w:rPr>
                <w:kern w:val="0"/>
                <w:szCs w:val="21"/>
              </w:rPr>
            </w:pPr>
            <w:r>
              <w:rPr>
                <w:kern w:val="0"/>
                <w:szCs w:val="21"/>
              </w:rPr>
              <w:t>6</w:t>
            </w:r>
          </w:p>
        </w:tc>
        <w:tc>
          <w:tcPr>
            <w:tcW w:w="3297" w:type="dxa"/>
            <w:tcBorders>
              <w:top w:val="nil"/>
              <w:left w:val="nil"/>
              <w:bottom w:val="single" w:color="auto" w:sz="4" w:space="0"/>
              <w:right w:val="single" w:color="auto" w:sz="4" w:space="0"/>
            </w:tcBorders>
            <w:noWrap/>
            <w:vAlign w:val="center"/>
          </w:tcPr>
          <w:p>
            <w:pPr>
              <w:widowControl/>
              <w:jc w:val="left"/>
              <w:rPr>
                <w:kern w:val="0"/>
                <w:szCs w:val="21"/>
              </w:rPr>
            </w:pPr>
            <w:r>
              <w:rPr>
                <w:kern w:val="0"/>
                <w:szCs w:val="21"/>
              </w:rPr>
              <w:t>验证电气间隙</w:t>
            </w:r>
          </w:p>
        </w:tc>
        <w:tc>
          <w:tcPr>
            <w:tcW w:w="3565" w:type="dxa"/>
            <w:tcBorders>
              <w:top w:val="nil"/>
              <w:left w:val="nil"/>
              <w:bottom w:val="single" w:color="auto" w:sz="4" w:space="0"/>
              <w:right w:val="single" w:color="auto" w:sz="4" w:space="0"/>
            </w:tcBorders>
            <w:noWrap/>
            <w:vAlign w:val="center"/>
          </w:tcPr>
          <w:p>
            <w:pPr>
              <w:widowControl/>
              <w:jc w:val="center"/>
              <w:rPr>
                <w:kern w:val="0"/>
                <w:szCs w:val="21"/>
              </w:rPr>
            </w:pPr>
            <w:r>
              <w:rPr>
                <w:kern w:val="0"/>
                <w:szCs w:val="21"/>
              </w:rPr>
              <w:t>GB/</w:t>
            </w:r>
            <w:r>
              <w:rPr>
                <w:rFonts w:hint="eastAsia"/>
                <w:kern w:val="0"/>
                <w:szCs w:val="21"/>
              </w:rPr>
              <w:t xml:space="preserve">T </w:t>
            </w:r>
            <w:r>
              <w:rPr>
                <w:kern w:val="0"/>
                <w:szCs w:val="21"/>
              </w:rPr>
              <w:t>14048.2  8.4.7</w:t>
            </w:r>
          </w:p>
        </w:tc>
      </w:tr>
    </w:tbl>
    <w:p>
      <w:pPr>
        <w:spacing w:line="360" w:lineRule="auto"/>
        <w:rPr>
          <w:szCs w:val="21"/>
        </w:rPr>
      </w:pPr>
    </w:p>
    <w:p>
      <w:pPr>
        <w:numPr>
          <w:ilvl w:val="1"/>
          <w:numId w:val="1"/>
        </w:numPr>
        <w:spacing w:line="360" w:lineRule="auto"/>
        <w:outlineLvl w:val="1"/>
      </w:pPr>
      <w:bookmarkStart w:id="67" w:name="_Toc1798"/>
      <w:bookmarkStart w:id="68" w:name="_Toc29782"/>
      <w:r>
        <w:t>出厂试验</w:t>
      </w:r>
      <w:bookmarkEnd w:id="67"/>
      <w:bookmarkEnd w:id="68"/>
    </w:p>
    <w:p>
      <w:pPr>
        <w:spacing w:line="360" w:lineRule="auto"/>
        <w:ind w:firstLine="420" w:firstLineChars="200"/>
        <w:rPr>
          <w:szCs w:val="21"/>
        </w:rPr>
      </w:pPr>
      <w:r>
        <w:rPr>
          <w:szCs w:val="21"/>
        </w:rPr>
        <w:t>产品出厂之前，必须按照南方电网相关设备验收规范进行出厂验收试验。全部出厂试验项目合格后才发放产品合格证。试验后如果有的项目不符合规范要求，必须返修合格后再发放产品合格证。</w:t>
      </w:r>
    </w:p>
    <w:p>
      <w:pPr>
        <w:numPr>
          <w:ilvl w:val="0"/>
          <w:numId w:val="9"/>
        </w:numPr>
        <w:tabs>
          <w:tab w:val="left" w:pos="709"/>
        </w:tabs>
        <w:spacing w:line="360" w:lineRule="auto"/>
        <w:ind w:left="0" w:firstLine="426"/>
        <w:rPr>
          <w:szCs w:val="21"/>
        </w:rPr>
      </w:pPr>
      <w:r>
        <w:rPr>
          <w:szCs w:val="21"/>
        </w:rPr>
        <w:t>投标方向招标方提交设备详细的工厂验收大纲，该大纲至少应包括：试验日期、</w:t>
      </w:r>
      <w:r>
        <w:rPr>
          <w:rFonts w:hint="eastAsia"/>
          <w:szCs w:val="21"/>
        </w:rPr>
        <w:t>规格型号、抽样标准、</w:t>
      </w:r>
      <w:r>
        <w:rPr>
          <w:szCs w:val="21"/>
        </w:rPr>
        <w:t>试验接线、试验项目、</w:t>
      </w:r>
      <w:r>
        <w:rPr>
          <w:rFonts w:hint="eastAsia"/>
          <w:szCs w:val="21"/>
          <w:lang w:val="en-US" w:eastAsia="zh-CN"/>
        </w:rPr>
        <w:t>检查要求、</w:t>
      </w:r>
      <w:r>
        <w:rPr>
          <w:szCs w:val="21"/>
        </w:rPr>
        <w:t>试验方法，以及测量仪器和仪表</w:t>
      </w:r>
      <w:r>
        <w:rPr>
          <w:rFonts w:hint="eastAsia"/>
          <w:szCs w:val="21"/>
          <w:lang w:eastAsia="zh-CN"/>
        </w:rPr>
        <w:t>、</w:t>
      </w:r>
      <w:r>
        <w:rPr>
          <w:rFonts w:hint="eastAsia"/>
          <w:szCs w:val="21"/>
          <w:lang w:val="en-US" w:eastAsia="zh-CN"/>
        </w:rPr>
        <w:t>结果</w:t>
      </w:r>
      <w:r>
        <w:rPr>
          <w:szCs w:val="21"/>
        </w:rPr>
        <w:t>等。该大纲经设计联络会议讨论修改后，经招标方确认后执行。</w:t>
      </w:r>
    </w:p>
    <w:p>
      <w:pPr>
        <w:numPr>
          <w:ilvl w:val="0"/>
          <w:numId w:val="9"/>
        </w:numPr>
        <w:tabs>
          <w:tab w:val="left" w:pos="709"/>
        </w:tabs>
        <w:spacing w:line="360" w:lineRule="auto"/>
        <w:ind w:left="0" w:firstLine="426"/>
        <w:rPr>
          <w:szCs w:val="21"/>
        </w:rPr>
      </w:pPr>
      <w:r>
        <w:rPr>
          <w:szCs w:val="21"/>
        </w:rPr>
        <w:t>投标方应确认提供的设备满足标书要求。</w:t>
      </w:r>
    </w:p>
    <w:p>
      <w:pPr>
        <w:pStyle w:val="4"/>
        <w:rPr>
          <w:rFonts w:ascii="Times New Roman" w:hAnsi="Times New Roman" w:eastAsia="宋体" w:cs="Times New Roman"/>
          <w:kern w:val="0"/>
          <w:szCs w:val="21"/>
        </w:rPr>
      </w:pPr>
      <w:r>
        <w:rPr>
          <w:szCs w:val="21"/>
        </w:rPr>
        <w:t>投标方应按本规范书的要求，向招标方提供工厂试验报告，有关设备的试验报告，同时提供设备的使用和测试说明书。</w:t>
      </w:r>
      <w:r>
        <w:rPr>
          <w:rFonts w:ascii="Times New Roman" w:hAnsi="Times New Roman" w:eastAsia="宋体" w:cs="Times New Roman"/>
          <w:kern w:val="0"/>
          <w:szCs w:val="21"/>
        </w:rPr>
        <w:t>如果在安装、调试、试运行及质保期内，设备发生异常，</w:t>
      </w:r>
      <w:r>
        <w:rPr>
          <w:rFonts w:hint="eastAsia" w:ascii="Times New Roman" w:hAnsi="Times New Roman" w:eastAsia="宋体" w:cs="Times New Roman"/>
          <w:kern w:val="0"/>
          <w:szCs w:val="21"/>
        </w:rPr>
        <w:t>经确认是投标方产品质量问题的，</w:t>
      </w:r>
      <w:r>
        <w:rPr>
          <w:rFonts w:ascii="Times New Roman" w:hAnsi="Times New Roman" w:eastAsia="宋体" w:cs="Times New Roman"/>
          <w:kern w:val="0"/>
          <w:szCs w:val="21"/>
        </w:rPr>
        <w:t>由投标方负责免费更换。</w:t>
      </w:r>
    </w:p>
    <w:p>
      <w:pPr>
        <w:numPr>
          <w:ilvl w:val="0"/>
          <w:numId w:val="9"/>
        </w:numPr>
        <w:tabs>
          <w:tab w:val="left" w:pos="709"/>
        </w:tabs>
        <w:spacing w:line="360" w:lineRule="auto"/>
        <w:ind w:left="0" w:firstLine="426"/>
      </w:pPr>
      <w:r>
        <w:rPr>
          <w:szCs w:val="21"/>
        </w:rPr>
        <w:t>在工厂验收试验期间，投标方应向招标方参加试验的工作人员提供检查、测试和记录设备。</w:t>
      </w:r>
      <w:r>
        <w:rPr>
          <w:rFonts w:ascii="Times New Roman" w:hAnsi="Times New Roman" w:eastAsia="宋体" w:cs="Times New Roman"/>
          <w:kern w:val="0"/>
          <w:szCs w:val="21"/>
        </w:rPr>
        <w:t>在试验和调试期间所有损坏的供货范围内设备，</w:t>
      </w:r>
      <w:r>
        <w:rPr>
          <w:rFonts w:hint="eastAsia" w:ascii="Times New Roman" w:hAnsi="Times New Roman" w:eastAsia="宋体" w:cs="Times New Roman"/>
          <w:kern w:val="0"/>
          <w:szCs w:val="21"/>
        </w:rPr>
        <w:t>经确认是投标方产品质量问题的，</w:t>
      </w:r>
      <w:r>
        <w:rPr>
          <w:rFonts w:ascii="Times New Roman" w:hAnsi="Times New Roman" w:eastAsia="宋体" w:cs="Times New Roman"/>
          <w:kern w:val="0"/>
          <w:szCs w:val="21"/>
        </w:rPr>
        <w:t>投标方应免费给予更换。</w:t>
      </w:r>
    </w:p>
    <w:p>
      <w:pPr>
        <w:numPr>
          <w:ilvl w:val="0"/>
          <w:numId w:val="9"/>
        </w:numPr>
        <w:tabs>
          <w:tab w:val="left" w:pos="709"/>
        </w:tabs>
        <w:spacing w:line="360" w:lineRule="auto"/>
        <w:ind w:left="0" w:firstLine="426"/>
        <w:rPr>
          <w:szCs w:val="21"/>
        </w:rPr>
      </w:pPr>
      <w:r>
        <w:rPr>
          <w:szCs w:val="21"/>
        </w:rPr>
        <w:t>招标方参加工厂验收试验的工作人员将不签署任何有关系统性能的证明书，招标方参加工厂验收试验并不意味着解除投标方保证系统质量的责任，也不能代替设备到现场后的检查和测试。</w:t>
      </w:r>
    </w:p>
    <w:p>
      <w:pPr>
        <w:numPr>
          <w:ilvl w:val="0"/>
          <w:numId w:val="9"/>
        </w:numPr>
        <w:tabs>
          <w:tab w:val="left" w:pos="709"/>
        </w:tabs>
        <w:spacing w:line="360" w:lineRule="auto"/>
        <w:ind w:left="0" w:firstLine="426"/>
        <w:rPr>
          <w:szCs w:val="21"/>
        </w:rPr>
      </w:pPr>
      <w:r>
        <w:rPr>
          <w:szCs w:val="21"/>
        </w:rPr>
        <w:t>工厂验收试验在工厂试验的基础上进行，主要根据规范书要求进行设备的功能和性能试验，以便确认。</w:t>
      </w:r>
    </w:p>
    <w:p>
      <w:pPr>
        <w:numPr>
          <w:ilvl w:val="0"/>
          <w:numId w:val="9"/>
        </w:numPr>
        <w:tabs>
          <w:tab w:val="left" w:pos="709"/>
        </w:tabs>
        <w:spacing w:line="360" w:lineRule="auto"/>
        <w:ind w:left="0" w:firstLine="426"/>
        <w:rPr>
          <w:szCs w:val="21"/>
        </w:rPr>
      </w:pPr>
      <w:r>
        <w:rPr>
          <w:szCs w:val="21"/>
        </w:rPr>
        <w:t>工厂验收试验要有完整、且双方签字的试验报告。</w:t>
      </w:r>
    </w:p>
    <w:p>
      <w:pPr>
        <w:numPr>
          <w:ilvl w:val="0"/>
          <w:numId w:val="9"/>
        </w:numPr>
        <w:tabs>
          <w:tab w:val="left" w:pos="709"/>
        </w:tabs>
        <w:spacing w:line="360" w:lineRule="auto"/>
        <w:ind w:left="0" w:firstLine="426"/>
        <w:rPr>
          <w:szCs w:val="21"/>
        </w:rPr>
      </w:pPr>
      <w:r>
        <w:rPr>
          <w:szCs w:val="21"/>
        </w:rPr>
        <w:t>完成所有工厂验收试验后，经招标方参加工厂验收试验人员认可后，设备可以装运至现场。</w:t>
      </w:r>
    </w:p>
    <w:p>
      <w:pPr>
        <w:numPr>
          <w:ilvl w:val="1"/>
          <w:numId w:val="1"/>
        </w:numPr>
        <w:spacing w:line="360" w:lineRule="auto"/>
        <w:outlineLvl w:val="1"/>
      </w:pPr>
      <w:bookmarkStart w:id="69" w:name="_Toc289214780"/>
      <w:bookmarkStart w:id="70" w:name="_Toc18891"/>
      <w:bookmarkStart w:id="71" w:name="_Toc3697"/>
      <w:r>
        <w:t>现场试验及调试</w:t>
      </w:r>
      <w:bookmarkEnd w:id="69"/>
      <w:bookmarkEnd w:id="70"/>
      <w:bookmarkEnd w:id="71"/>
    </w:p>
    <w:p>
      <w:pPr>
        <w:numPr>
          <w:ilvl w:val="0"/>
          <w:numId w:val="10"/>
        </w:numPr>
        <w:tabs>
          <w:tab w:val="left" w:pos="709"/>
        </w:tabs>
        <w:spacing w:line="360" w:lineRule="auto"/>
        <w:ind w:left="0" w:firstLine="426"/>
        <w:rPr>
          <w:szCs w:val="21"/>
        </w:rPr>
      </w:pPr>
      <w:r>
        <w:rPr>
          <w:szCs w:val="21"/>
        </w:rPr>
        <w:t>设备到现场后，应进行抽检，抽检合格后方可进入现场安装。抽检不合格，全部返回原厂整改，再次到现场进行抽检。</w:t>
      </w:r>
    </w:p>
    <w:p>
      <w:pPr>
        <w:numPr>
          <w:ilvl w:val="0"/>
          <w:numId w:val="10"/>
        </w:numPr>
        <w:tabs>
          <w:tab w:val="left" w:pos="709"/>
        </w:tabs>
        <w:spacing w:line="360" w:lineRule="auto"/>
        <w:ind w:left="0" w:firstLine="426"/>
        <w:rPr>
          <w:szCs w:val="21"/>
        </w:rPr>
      </w:pPr>
      <w:r>
        <w:rPr>
          <w:szCs w:val="21"/>
        </w:rPr>
        <w:t>合同设备的安装、调试，将由投标方在招标方监督下进行。</w:t>
      </w:r>
    </w:p>
    <w:p>
      <w:pPr>
        <w:numPr>
          <w:ilvl w:val="0"/>
          <w:numId w:val="10"/>
        </w:numPr>
        <w:tabs>
          <w:tab w:val="left" w:pos="709"/>
        </w:tabs>
        <w:spacing w:line="360" w:lineRule="auto"/>
        <w:ind w:left="0" w:firstLine="426"/>
        <w:rPr>
          <w:szCs w:val="21"/>
        </w:rPr>
      </w:pPr>
      <w:r>
        <w:rPr>
          <w:szCs w:val="21"/>
        </w:rPr>
        <w:t>如果在安装、调试、试运行及质保期内，设备发生异常，由投标方负责免费更换。</w:t>
      </w:r>
    </w:p>
    <w:p>
      <w:pPr>
        <w:numPr>
          <w:ilvl w:val="0"/>
          <w:numId w:val="10"/>
        </w:numPr>
        <w:tabs>
          <w:tab w:val="left" w:pos="709"/>
        </w:tabs>
        <w:spacing w:line="360" w:lineRule="auto"/>
        <w:ind w:left="0" w:firstLine="426"/>
      </w:pPr>
      <w:r>
        <w:rPr>
          <w:szCs w:val="21"/>
        </w:rPr>
        <w:t>在试验和调试期间所有损坏的供货范围内设备，投标方应免费给予更换。</w:t>
      </w:r>
      <w:bookmarkStart w:id="72" w:name="_Toc282993355"/>
      <w:bookmarkStart w:id="73" w:name="_Toc292025359"/>
      <w:bookmarkStart w:id="74" w:name="_Toc395186734"/>
    </w:p>
    <w:p>
      <w:pPr>
        <w:numPr>
          <w:ilvl w:val="0"/>
          <w:numId w:val="10"/>
        </w:numPr>
        <w:tabs>
          <w:tab w:val="left" w:pos="709"/>
        </w:tabs>
        <w:spacing w:line="360" w:lineRule="auto"/>
        <w:ind w:left="0" w:firstLine="426"/>
      </w:pPr>
      <w:r>
        <w:t>可能性给予简要说明。</w:t>
      </w:r>
    </w:p>
    <w:p>
      <w:pPr>
        <w:pStyle w:val="2"/>
        <w:numPr>
          <w:ilvl w:val="0"/>
          <w:numId w:val="1"/>
        </w:numPr>
        <w:tabs>
          <w:tab w:val="left" w:pos="425"/>
        </w:tabs>
        <w:spacing w:line="360" w:lineRule="auto"/>
        <w:rPr>
          <w:sz w:val="21"/>
          <w:szCs w:val="21"/>
        </w:rPr>
      </w:pPr>
      <w:bookmarkStart w:id="75" w:name="_Toc5633"/>
      <w:bookmarkStart w:id="76" w:name="_Toc15959"/>
      <w:r>
        <w:rPr>
          <w:sz w:val="21"/>
          <w:szCs w:val="21"/>
        </w:rPr>
        <w:t>企业VI标识</w:t>
      </w:r>
      <w:bookmarkEnd w:id="72"/>
      <w:bookmarkEnd w:id="73"/>
      <w:bookmarkEnd w:id="74"/>
      <w:bookmarkEnd w:id="75"/>
      <w:bookmarkEnd w:id="76"/>
    </w:p>
    <w:p>
      <w:pPr>
        <w:numPr>
          <w:ilvl w:val="1"/>
          <w:numId w:val="1"/>
        </w:numPr>
        <w:spacing w:line="360" w:lineRule="auto"/>
        <w:outlineLvl w:val="1"/>
      </w:pPr>
      <w:bookmarkStart w:id="77" w:name="_Toc7373"/>
      <w:bookmarkStart w:id="78" w:name="_Toc282993356"/>
      <w:bookmarkStart w:id="79" w:name="_Toc384341026"/>
      <w:r>
        <w:t>VI标识</w:t>
      </w:r>
      <w:bookmarkEnd w:id="77"/>
      <w:bookmarkEnd w:id="78"/>
      <w:bookmarkEnd w:id="79"/>
    </w:p>
    <w:p>
      <w:pPr>
        <w:numPr>
          <w:ilvl w:val="0"/>
          <w:numId w:val="11"/>
        </w:numPr>
        <w:spacing w:line="360" w:lineRule="auto"/>
      </w:pPr>
      <w:r>
        <w:t>设备外立面上应有统一的南方电网公司企业VI标识，并符合最新版《中国南方电网视觉识别系统管理手册》的要求。</w:t>
      </w:r>
    </w:p>
    <w:p>
      <w:pPr>
        <w:numPr>
          <w:ilvl w:val="0"/>
          <w:numId w:val="11"/>
        </w:numPr>
        <w:spacing w:line="360" w:lineRule="auto"/>
      </w:pPr>
      <w:bookmarkStart w:id="80" w:name="_Toc277686860"/>
      <w:bookmarkStart w:id="81" w:name="_Toc277255903"/>
      <w:bookmarkStart w:id="82" w:name="_Toc277686861"/>
      <w:r>
        <w:t>标识的内容构成：中国南方电网标志、</w:t>
      </w:r>
      <w:r>
        <w:rPr>
          <w:rFonts w:hint="eastAsia"/>
        </w:rPr>
        <w:t>“</w:t>
      </w:r>
      <w:r>
        <w:t>中国南方电网</w:t>
      </w:r>
      <w:r>
        <w:rPr>
          <w:rFonts w:hint="eastAsia"/>
        </w:rPr>
        <w:t>”</w:t>
      </w:r>
      <w:r>
        <w:t>中英文名称。</w:t>
      </w:r>
      <w:bookmarkEnd w:id="80"/>
    </w:p>
    <w:p>
      <w:pPr>
        <w:numPr>
          <w:ilvl w:val="0"/>
          <w:numId w:val="11"/>
        </w:numPr>
        <w:spacing w:line="360" w:lineRule="auto"/>
      </w:pPr>
      <w:r>
        <w:t>颜色：标识采用企业标准色C100 M69 Y0 K38，背景采用白色。</w:t>
      </w:r>
      <w:bookmarkEnd w:id="81"/>
      <w:bookmarkEnd w:id="82"/>
    </w:p>
    <w:p>
      <w:pPr>
        <w:numPr>
          <w:ilvl w:val="0"/>
          <w:numId w:val="11"/>
        </w:numPr>
        <w:spacing w:line="360" w:lineRule="auto"/>
      </w:pPr>
      <w:bookmarkStart w:id="83" w:name="_Toc277686863"/>
      <w:r>
        <w:t>企业标识安装在设备外立面正面醒目位置。</w:t>
      </w:r>
      <w:bookmarkEnd w:id="83"/>
    </w:p>
    <w:p>
      <w:pPr>
        <w:numPr>
          <w:ilvl w:val="1"/>
          <w:numId w:val="1"/>
        </w:numPr>
        <w:spacing w:line="360" w:lineRule="auto"/>
        <w:outlineLvl w:val="1"/>
      </w:pPr>
      <w:bookmarkStart w:id="84" w:name="_Toc2849"/>
      <w:r>
        <w:t>标识地点</w:t>
      </w:r>
      <w:bookmarkEnd w:id="84"/>
    </w:p>
    <w:p>
      <w:pPr>
        <w:spacing w:line="360" w:lineRule="auto"/>
        <w:ind w:firstLine="420" w:firstLineChars="200"/>
      </w:pPr>
      <w:r>
        <w:t>标识地点：与厂家名称标识相邻。</w:t>
      </w:r>
    </w:p>
    <w:p>
      <w:pPr>
        <w:spacing w:line="360" w:lineRule="auto"/>
        <w:ind w:firstLine="420" w:firstLineChars="200"/>
      </w:pPr>
      <w:r>
        <w:t>厂家名称与南网标示并排安装于油箱正面。两者标识牌大小相当。南网标识牌材质与厂家名称标识牌材质保持一致。南网标识牌的图案、色泽、造型按最新版《南方电网公司视觉识别系统管理手册》要求，按所需比例修正。</w:t>
      </w:r>
    </w:p>
    <w:p>
      <w:pPr>
        <w:jc w:val="center"/>
        <w:rPr>
          <w:szCs w:val="21"/>
        </w:rPr>
      </w:pPr>
      <w:r>
        <w:rPr>
          <w:b/>
        </w:rPr>
        <w:drawing>
          <wp:inline distT="0" distB="0" distL="114300" distR="114300">
            <wp:extent cx="5336540" cy="7184390"/>
            <wp:effectExtent l="0" t="0" r="16510" b="16510"/>
            <wp:docPr id="1" name="图片 3" descr="8817686724436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descr="88176867244361067"/>
                    <pic:cNvPicPr>
                      <a:picLocks noChangeAspect="1"/>
                    </pic:cNvPicPr>
                  </pic:nvPicPr>
                  <pic:blipFill>
                    <a:blip r:embed="rId19"/>
                    <a:stretch>
                      <a:fillRect/>
                    </a:stretch>
                  </pic:blipFill>
                  <pic:spPr>
                    <a:xfrm>
                      <a:off x="0" y="0"/>
                      <a:ext cx="5336540" cy="7184390"/>
                    </a:xfrm>
                    <a:prstGeom prst="rect">
                      <a:avLst/>
                    </a:prstGeom>
                    <a:noFill/>
                    <a:ln>
                      <a:noFill/>
                    </a:ln>
                  </pic:spPr>
                </pic:pic>
              </a:graphicData>
            </a:graphic>
          </wp:inline>
        </w:drawing>
      </w:r>
    </w:p>
    <w:p>
      <w:pPr>
        <w:pStyle w:val="2"/>
        <w:numPr>
          <w:ilvl w:val="0"/>
          <w:numId w:val="1"/>
        </w:numPr>
        <w:tabs>
          <w:tab w:val="left" w:pos="425"/>
        </w:tabs>
        <w:spacing w:line="360" w:lineRule="auto"/>
        <w:rPr>
          <w:sz w:val="21"/>
          <w:szCs w:val="21"/>
        </w:rPr>
      </w:pPr>
      <w:bookmarkStart w:id="85" w:name="_Toc26218"/>
      <w:bookmarkStart w:id="86" w:name="_Toc23937"/>
      <w:bookmarkStart w:id="87" w:name="_Toc282433757"/>
      <w:bookmarkStart w:id="88" w:name="_Toc395186735"/>
      <w:bookmarkStart w:id="89" w:name="_Toc279695206"/>
      <w:bookmarkStart w:id="90" w:name="_Toc282993358"/>
      <w:bookmarkStart w:id="91" w:name="_Toc292025360"/>
      <w:r>
        <w:rPr>
          <w:sz w:val="21"/>
          <w:szCs w:val="21"/>
        </w:rPr>
        <w:t>电气及土建接口</w:t>
      </w:r>
      <w:bookmarkEnd w:id="85"/>
    </w:p>
    <w:bookmarkEnd w:id="86"/>
    <w:bookmarkEnd w:id="87"/>
    <w:bookmarkEnd w:id="88"/>
    <w:bookmarkEnd w:id="89"/>
    <w:bookmarkEnd w:id="90"/>
    <w:bookmarkEnd w:id="91"/>
    <w:p>
      <w:pPr>
        <w:pStyle w:val="15"/>
        <w:spacing w:line="360" w:lineRule="auto"/>
        <w:rPr>
          <w:rFonts w:eastAsia="宋体"/>
        </w:rPr>
      </w:pPr>
      <w:bookmarkStart w:id="92" w:name="_Toc292025362"/>
      <w:bookmarkStart w:id="93" w:name="_Toc395186737"/>
      <w:r>
        <w:rPr>
          <w:rFonts w:eastAsia="宋体"/>
        </w:rPr>
        <w:t>必须满足5.2.3</w:t>
      </w:r>
      <w:r>
        <w:rPr>
          <w:rFonts w:hint="eastAsia" w:eastAsia="宋体"/>
        </w:rPr>
        <w:t>外型及安装孔位要求，同时满足</w:t>
      </w:r>
      <w:r>
        <w:rPr>
          <w:rFonts w:eastAsia="宋体"/>
        </w:rPr>
        <w:t>《0.4kV标准化低压开关柜技术规范书》</w:t>
      </w:r>
      <w:r>
        <w:rPr>
          <w:rFonts w:hint="eastAsia" w:eastAsia="宋体"/>
        </w:rPr>
        <w:t>、《0.4kV标准化配电箱类技术规范书》</w:t>
      </w:r>
      <w:r>
        <w:rPr>
          <w:rFonts w:eastAsia="宋体"/>
        </w:rPr>
        <w:t>第8章要求。</w:t>
      </w:r>
    </w:p>
    <w:p>
      <w:pPr>
        <w:pStyle w:val="2"/>
        <w:numPr>
          <w:ilvl w:val="0"/>
          <w:numId w:val="1"/>
        </w:numPr>
        <w:spacing w:line="360" w:lineRule="auto"/>
        <w:rPr>
          <w:sz w:val="21"/>
          <w:szCs w:val="21"/>
        </w:rPr>
      </w:pPr>
      <w:bookmarkStart w:id="94" w:name="_Toc5743"/>
      <w:r>
        <w:rPr>
          <w:sz w:val="21"/>
          <w:szCs w:val="21"/>
        </w:rPr>
        <w:t>监造、运输、质量保证及其他要求</w:t>
      </w:r>
      <w:bookmarkEnd w:id="94"/>
    </w:p>
    <w:p>
      <w:pPr>
        <w:pStyle w:val="3"/>
        <w:numPr>
          <w:ilvl w:val="1"/>
          <w:numId w:val="12"/>
        </w:numPr>
        <w:spacing w:line="360" w:lineRule="auto"/>
        <w:rPr>
          <w:rFonts w:ascii="Times New Roman" w:hAnsi="Times New Roman"/>
          <w:b w:val="0"/>
          <w:sz w:val="21"/>
          <w:szCs w:val="21"/>
        </w:rPr>
      </w:pPr>
      <w:bookmarkStart w:id="95" w:name="_Toc27908"/>
      <w:bookmarkStart w:id="96" w:name="_Toc25266"/>
      <w:bookmarkStart w:id="97" w:name="_Toc404621470"/>
      <w:r>
        <w:rPr>
          <w:rFonts w:ascii="Times New Roman" w:hAnsi="Times New Roman"/>
          <w:b w:val="0"/>
          <w:sz w:val="21"/>
          <w:szCs w:val="21"/>
        </w:rPr>
        <w:t>监造</w:t>
      </w:r>
      <w:bookmarkEnd w:id="95"/>
      <w:bookmarkEnd w:id="96"/>
    </w:p>
    <w:p>
      <w:pPr>
        <w:pStyle w:val="17"/>
        <w:tabs>
          <w:tab w:val="left" w:pos="567"/>
        </w:tabs>
        <w:spacing w:line="360" w:lineRule="auto"/>
        <w:ind w:firstLine="420" w:firstLineChars="200"/>
        <w:rPr>
          <w:szCs w:val="21"/>
        </w:rPr>
      </w:pPr>
      <w:r>
        <w:rPr>
          <w:szCs w:val="21"/>
        </w:rPr>
        <w:t>1）投标方必须在签订合同后10天之内以书面形式提供所供设备的制造进度表。根据需要招标方可随时进厂监造。监造和检验人员有权了解生产过程、查询质量记录和参加各种试验。</w:t>
      </w:r>
    </w:p>
    <w:p>
      <w:pPr>
        <w:pStyle w:val="17"/>
        <w:tabs>
          <w:tab w:val="left" w:pos="567"/>
        </w:tabs>
        <w:spacing w:line="360" w:lineRule="auto"/>
        <w:ind w:firstLine="420" w:firstLineChars="200"/>
        <w:rPr>
          <w:szCs w:val="21"/>
        </w:rPr>
      </w:pPr>
      <w:r>
        <w:rPr>
          <w:szCs w:val="21"/>
        </w:rPr>
        <w:t>2）监造范围包括设备的设计、加工、制造、储运、材料采购、组装和试验等重要过程，关键部件的质量控制，进行见证、检验和审核。</w:t>
      </w:r>
    </w:p>
    <w:p>
      <w:pPr>
        <w:pStyle w:val="17"/>
        <w:tabs>
          <w:tab w:val="left" w:pos="567"/>
        </w:tabs>
        <w:spacing w:line="360" w:lineRule="auto"/>
        <w:ind w:firstLine="420" w:firstLineChars="200"/>
        <w:rPr>
          <w:szCs w:val="21"/>
        </w:rPr>
      </w:pPr>
      <w:r>
        <w:rPr>
          <w:szCs w:val="21"/>
        </w:rPr>
        <w:t>3）运行单位的工厂监造和检验工作，不减少投标方对产品的质量责任，监造和检验人员不签署任何质量证明。</w:t>
      </w:r>
    </w:p>
    <w:p>
      <w:pPr>
        <w:pStyle w:val="3"/>
        <w:numPr>
          <w:ilvl w:val="1"/>
          <w:numId w:val="12"/>
        </w:numPr>
        <w:spacing w:line="360" w:lineRule="auto"/>
        <w:rPr>
          <w:rFonts w:ascii="Times New Roman" w:hAnsi="Times New Roman"/>
          <w:b w:val="0"/>
          <w:sz w:val="21"/>
          <w:szCs w:val="21"/>
        </w:rPr>
      </w:pPr>
      <w:bookmarkStart w:id="98" w:name="_Toc16397"/>
      <w:bookmarkStart w:id="99" w:name="_Toc17189"/>
      <w:r>
        <w:rPr>
          <w:rFonts w:ascii="Times New Roman" w:hAnsi="Times New Roman"/>
          <w:b w:val="0"/>
          <w:sz w:val="21"/>
          <w:szCs w:val="21"/>
        </w:rPr>
        <w:t>包装</w:t>
      </w:r>
      <w:bookmarkEnd w:id="97"/>
      <w:bookmarkEnd w:id="98"/>
      <w:bookmarkEnd w:id="99"/>
    </w:p>
    <w:p>
      <w:pPr>
        <w:pStyle w:val="17"/>
        <w:tabs>
          <w:tab w:val="left" w:pos="567"/>
        </w:tabs>
        <w:spacing w:line="360" w:lineRule="auto"/>
        <w:ind w:firstLine="420" w:firstLineChars="200"/>
        <w:rPr>
          <w:szCs w:val="21"/>
        </w:rPr>
      </w:pPr>
      <w:r>
        <w:rPr>
          <w:szCs w:val="21"/>
        </w:rPr>
        <w:t>1）要严格按照制造厂给出的说明书对设备进行包装、运输和储存。制造厂应在交货前的适当时间提供设备的运输和储存说明书。</w:t>
      </w:r>
    </w:p>
    <w:p>
      <w:pPr>
        <w:pStyle w:val="17"/>
        <w:tabs>
          <w:tab w:val="left" w:pos="567"/>
        </w:tabs>
        <w:spacing w:line="360" w:lineRule="auto"/>
        <w:ind w:firstLine="420" w:firstLineChars="200"/>
        <w:rPr>
          <w:szCs w:val="21"/>
        </w:rPr>
      </w:pPr>
      <w:r>
        <w:rPr>
          <w:szCs w:val="21"/>
        </w:rPr>
        <w:t>2）设备制造完成并通过试验后应及时包装，否则应得到切实的保护。其包装也应符合铁路、公路和海运部门的有关规定。</w:t>
      </w:r>
    </w:p>
    <w:p>
      <w:pPr>
        <w:pStyle w:val="17"/>
        <w:tabs>
          <w:tab w:val="left" w:pos="567"/>
        </w:tabs>
        <w:spacing w:line="360" w:lineRule="auto"/>
        <w:ind w:firstLine="420" w:firstLineChars="200"/>
        <w:rPr>
          <w:szCs w:val="21"/>
        </w:rPr>
      </w:pPr>
      <w:r>
        <w:rPr>
          <w:szCs w:val="21"/>
        </w:rPr>
        <w:t>3）包装箱上应有运输及起吊标志：</w:t>
      </w:r>
      <w:r>
        <w:rPr>
          <w:rFonts w:hint="eastAsia"/>
          <w:szCs w:val="21"/>
        </w:rPr>
        <w:t>“</w:t>
      </w:r>
      <w:r>
        <w:rPr>
          <w:szCs w:val="21"/>
        </w:rPr>
        <w:t>向上</w:t>
      </w:r>
      <w:r>
        <w:rPr>
          <w:rFonts w:hint="eastAsia"/>
          <w:szCs w:val="21"/>
        </w:rPr>
        <w:t>”</w:t>
      </w:r>
      <w:r>
        <w:rPr>
          <w:szCs w:val="21"/>
        </w:rPr>
        <w:t>、</w:t>
      </w:r>
      <w:r>
        <w:rPr>
          <w:rFonts w:hint="eastAsia"/>
          <w:szCs w:val="21"/>
        </w:rPr>
        <w:t>“</w:t>
      </w:r>
      <w:r>
        <w:rPr>
          <w:szCs w:val="21"/>
        </w:rPr>
        <w:t>防潮</w:t>
      </w:r>
      <w:r>
        <w:rPr>
          <w:rFonts w:hint="eastAsia"/>
          <w:szCs w:val="21"/>
        </w:rPr>
        <w:t>”</w:t>
      </w:r>
      <w:r>
        <w:rPr>
          <w:szCs w:val="21"/>
        </w:rPr>
        <w:t>、</w:t>
      </w:r>
      <w:r>
        <w:rPr>
          <w:rFonts w:hint="eastAsia"/>
          <w:szCs w:val="21"/>
        </w:rPr>
        <w:t>“</w:t>
      </w:r>
      <w:r>
        <w:rPr>
          <w:szCs w:val="21"/>
        </w:rPr>
        <w:t>小心轻放</w:t>
      </w:r>
      <w:r>
        <w:rPr>
          <w:rFonts w:hint="eastAsia"/>
          <w:szCs w:val="21"/>
        </w:rPr>
        <w:t>”</w:t>
      </w:r>
      <w:r>
        <w:rPr>
          <w:szCs w:val="21"/>
        </w:rPr>
        <w:t>、</w:t>
      </w:r>
      <w:r>
        <w:rPr>
          <w:rFonts w:hint="eastAsia"/>
          <w:szCs w:val="21"/>
        </w:rPr>
        <w:t>“</w:t>
      </w:r>
      <w:r>
        <w:rPr>
          <w:szCs w:val="21"/>
        </w:rPr>
        <w:t>由此吊起</w:t>
      </w:r>
      <w:r>
        <w:rPr>
          <w:rFonts w:hint="eastAsia"/>
          <w:szCs w:val="21"/>
        </w:rPr>
        <w:t>”</w:t>
      </w:r>
      <w:r>
        <w:rPr>
          <w:szCs w:val="21"/>
        </w:rPr>
        <w:t>等字样明显的包装储运图示标志，并应标明设备的订货号和发货号。</w:t>
      </w:r>
    </w:p>
    <w:p>
      <w:pPr>
        <w:pStyle w:val="17"/>
        <w:tabs>
          <w:tab w:val="left" w:pos="567"/>
        </w:tabs>
        <w:spacing w:line="360" w:lineRule="auto"/>
        <w:ind w:firstLine="420" w:firstLineChars="200"/>
        <w:rPr>
          <w:szCs w:val="21"/>
        </w:rPr>
      </w:pPr>
      <w:r>
        <w:rPr>
          <w:szCs w:val="21"/>
        </w:rPr>
        <w:t>4）设备及附件的包装应能保证各零部件在运输过程中不致遭到脏污、损坏、变形、丢失及受潮。对于其中的绝缘部件及由有机绝缘材料制成的绝缘件应特别加以保护，以免损坏和受潮。对于外露的接触表面，应有预防腐蚀的措施。所有运输措施均应经过验证。凡有运输损坏，应由制造厂负责赔偿。</w:t>
      </w:r>
    </w:p>
    <w:p>
      <w:pPr>
        <w:pStyle w:val="3"/>
        <w:numPr>
          <w:ilvl w:val="1"/>
          <w:numId w:val="12"/>
        </w:numPr>
        <w:spacing w:line="360" w:lineRule="auto"/>
        <w:rPr>
          <w:rFonts w:ascii="Times New Roman" w:hAnsi="Times New Roman"/>
          <w:b w:val="0"/>
          <w:sz w:val="21"/>
          <w:szCs w:val="21"/>
        </w:rPr>
      </w:pPr>
      <w:bookmarkStart w:id="100" w:name="_Toc4562"/>
      <w:bookmarkStart w:id="101" w:name="_Toc900"/>
      <w:r>
        <w:rPr>
          <w:rFonts w:ascii="Times New Roman" w:hAnsi="Times New Roman"/>
          <w:b w:val="0"/>
          <w:sz w:val="21"/>
          <w:szCs w:val="21"/>
        </w:rPr>
        <w:t>运输</w:t>
      </w:r>
      <w:bookmarkEnd w:id="100"/>
      <w:bookmarkEnd w:id="101"/>
    </w:p>
    <w:p>
      <w:pPr>
        <w:spacing w:line="360" w:lineRule="auto"/>
        <w:ind w:firstLine="420" w:firstLineChars="200"/>
        <w:rPr>
          <w:szCs w:val="21"/>
        </w:rPr>
      </w:pPr>
      <w:r>
        <w:rPr>
          <w:szCs w:val="21"/>
        </w:rPr>
        <w:t>1）整体运输时，设备内部元件应不得移位、损坏和受潮，不得影响安装。</w:t>
      </w:r>
    </w:p>
    <w:p>
      <w:pPr>
        <w:spacing w:line="360" w:lineRule="auto"/>
        <w:ind w:firstLine="420" w:firstLineChars="200"/>
        <w:rPr>
          <w:szCs w:val="21"/>
        </w:rPr>
      </w:pPr>
      <w:r>
        <w:rPr>
          <w:szCs w:val="21"/>
        </w:rPr>
        <w:t>2）单独运输的零部件应有标志，便于用户安装装配。</w:t>
      </w:r>
    </w:p>
    <w:p>
      <w:pPr>
        <w:spacing w:line="360" w:lineRule="auto"/>
        <w:ind w:firstLine="420" w:firstLineChars="200"/>
        <w:rPr>
          <w:szCs w:val="21"/>
        </w:rPr>
      </w:pPr>
      <w:r>
        <w:rPr>
          <w:szCs w:val="21"/>
        </w:rPr>
        <w:t>3）整体产品或分别运输的部件，都要适合于运输及装卸的要求。</w:t>
      </w:r>
    </w:p>
    <w:p>
      <w:pPr>
        <w:spacing w:line="360" w:lineRule="auto"/>
        <w:ind w:firstLine="420" w:firstLineChars="200"/>
        <w:rPr>
          <w:szCs w:val="21"/>
        </w:rPr>
      </w:pPr>
      <w:r>
        <w:rPr>
          <w:szCs w:val="21"/>
        </w:rPr>
        <w:t>4）随同运输的产品应附有装箱清单，产品所需提供的技术资料应完整无缺。</w:t>
      </w:r>
    </w:p>
    <w:p>
      <w:pPr>
        <w:spacing w:line="360" w:lineRule="auto"/>
        <w:ind w:firstLine="420" w:firstLineChars="200"/>
        <w:rPr>
          <w:szCs w:val="21"/>
        </w:rPr>
      </w:pPr>
      <w:r>
        <w:rPr>
          <w:szCs w:val="21"/>
        </w:rPr>
        <w:t>5）设备在运输和装卸时，应按照DL/T 1071《电力大件运输规范》在要求进行。</w:t>
      </w:r>
    </w:p>
    <w:p>
      <w:pPr>
        <w:pStyle w:val="3"/>
        <w:numPr>
          <w:ilvl w:val="1"/>
          <w:numId w:val="12"/>
        </w:numPr>
        <w:spacing w:line="360" w:lineRule="auto"/>
        <w:rPr>
          <w:rFonts w:ascii="Times New Roman" w:hAnsi="Times New Roman"/>
          <w:b w:val="0"/>
          <w:sz w:val="21"/>
          <w:szCs w:val="21"/>
        </w:rPr>
      </w:pPr>
      <w:bookmarkStart w:id="102" w:name="_Toc18674"/>
      <w:bookmarkStart w:id="103" w:name="_Toc1298"/>
      <w:r>
        <w:rPr>
          <w:rFonts w:ascii="Times New Roman" w:hAnsi="Times New Roman"/>
          <w:b w:val="0"/>
          <w:sz w:val="21"/>
          <w:szCs w:val="21"/>
        </w:rPr>
        <w:t>安装指导</w:t>
      </w:r>
      <w:bookmarkEnd w:id="102"/>
      <w:bookmarkEnd w:id="103"/>
    </w:p>
    <w:p>
      <w:pPr>
        <w:spacing w:line="360" w:lineRule="auto"/>
        <w:ind w:firstLine="412" w:firstLineChars="200"/>
        <w:rPr>
          <w:spacing w:val="-2"/>
        </w:rPr>
      </w:pPr>
      <w:r>
        <w:rPr>
          <w:spacing w:val="-2"/>
        </w:rPr>
        <w:t>制造厂在安装和启动时应安排技术人员提供现场安装指导服务，提出技术建议，并有对运行人员提供相关培训的义务。</w:t>
      </w:r>
    </w:p>
    <w:p>
      <w:pPr>
        <w:spacing w:line="360" w:lineRule="auto"/>
        <w:ind w:firstLine="412" w:firstLineChars="200"/>
        <w:rPr>
          <w:spacing w:val="-2"/>
        </w:rPr>
      </w:pPr>
      <w:r>
        <w:rPr>
          <w:spacing w:val="-2"/>
        </w:rPr>
        <w:t>设备在现场搬运、吊装就位和安装时，应按照GB 26164.1-2010</w:t>
      </w:r>
      <w:r>
        <w:rPr>
          <w:rFonts w:hint="eastAsia"/>
          <w:spacing w:val="-2"/>
        </w:rPr>
        <w:t>L</w:t>
      </w:r>
      <w:r>
        <w:rPr>
          <w:spacing w:val="-2"/>
        </w:rPr>
        <w:t>《电业安全工作规程 第1部分：热力和机械》的要求进行。</w:t>
      </w:r>
    </w:p>
    <w:p>
      <w:pPr>
        <w:pStyle w:val="3"/>
        <w:numPr>
          <w:ilvl w:val="1"/>
          <w:numId w:val="12"/>
        </w:numPr>
        <w:spacing w:line="360" w:lineRule="auto"/>
        <w:rPr>
          <w:rFonts w:ascii="Times New Roman" w:hAnsi="Times New Roman"/>
          <w:b w:val="0"/>
          <w:sz w:val="21"/>
          <w:szCs w:val="21"/>
        </w:rPr>
      </w:pPr>
      <w:bookmarkStart w:id="104" w:name="_Toc8696"/>
      <w:bookmarkStart w:id="105" w:name="_Toc22039"/>
      <w:r>
        <w:rPr>
          <w:rFonts w:ascii="Times New Roman" w:hAnsi="Times New Roman"/>
          <w:b w:val="0"/>
          <w:sz w:val="21"/>
          <w:szCs w:val="21"/>
        </w:rPr>
        <w:t>质量保证</w:t>
      </w:r>
      <w:bookmarkEnd w:id="104"/>
      <w:bookmarkEnd w:id="105"/>
    </w:p>
    <w:p>
      <w:pPr>
        <w:spacing w:line="360" w:lineRule="auto"/>
        <w:ind w:firstLine="412" w:firstLineChars="200"/>
        <w:rPr>
          <w:spacing w:val="-2"/>
        </w:rPr>
      </w:pPr>
      <w:r>
        <w:rPr>
          <w:spacing w:val="-2"/>
        </w:rPr>
        <w:t>1）全部设备必须是全新的，持久耐用的，应满足作为一个完整产品所能满足的全部要求。投标方应保证设备在规定的使用条件下运行、并按使用说明书进行安装和维护、预期寿命应不少于10年。</w:t>
      </w:r>
    </w:p>
    <w:p>
      <w:pPr>
        <w:spacing w:line="360" w:lineRule="auto"/>
        <w:ind w:firstLine="412" w:firstLineChars="200"/>
        <w:rPr>
          <w:spacing w:val="-2"/>
        </w:rPr>
      </w:pPr>
      <w:r>
        <w:rPr>
          <w:spacing w:val="-2"/>
        </w:rPr>
        <w:t>2）</w:t>
      </w:r>
      <w:r>
        <w:rPr>
          <w:color w:val="auto"/>
          <w:spacing w:val="-2"/>
        </w:rPr>
        <w:t>投标方应对其整组设备在到货后提供不少于</w:t>
      </w:r>
      <w:r>
        <w:rPr>
          <w:rFonts w:hint="eastAsia"/>
          <w:color w:val="auto"/>
          <w:spacing w:val="-2"/>
          <w:lang w:val="en-US" w:eastAsia="zh-CN"/>
        </w:rPr>
        <w:t>五</w:t>
      </w:r>
      <w:r>
        <w:rPr>
          <w:color w:val="auto"/>
          <w:spacing w:val="-2"/>
        </w:rPr>
        <w:t>年的三包质量保证</w:t>
      </w:r>
      <w:r>
        <w:rPr>
          <w:rFonts w:hint="eastAsia"/>
          <w:color w:val="auto"/>
          <w:spacing w:val="-2"/>
          <w:lang w:eastAsia="zh-CN"/>
        </w:rPr>
        <w:t>，</w:t>
      </w:r>
      <w:r>
        <w:rPr>
          <w:rFonts w:hint="eastAsia"/>
          <w:color w:val="auto"/>
          <w:lang w:val="en-US" w:eastAsia="zh-CN"/>
        </w:rPr>
        <w:t>质保期器内满足招标方的技术支持的诉求，故障分析需求等等</w:t>
      </w:r>
      <w:r>
        <w:rPr>
          <w:color w:val="auto"/>
          <w:spacing w:val="-2"/>
        </w:rPr>
        <w:t>。</w:t>
      </w:r>
      <w:r>
        <w:rPr>
          <w:rFonts w:hint="eastAsia"/>
          <w:color w:val="auto"/>
          <w:spacing w:val="-2"/>
        </w:rPr>
        <w:t>在保质期</w:t>
      </w:r>
      <w:r>
        <w:rPr>
          <w:rFonts w:hint="eastAsia"/>
          <w:color w:val="auto"/>
          <w:spacing w:val="-2"/>
          <w:lang w:eastAsia="zh-CN"/>
        </w:rPr>
        <w:t>五</w:t>
      </w:r>
      <w:r>
        <w:rPr>
          <w:rFonts w:hint="eastAsia"/>
          <w:color w:val="auto"/>
          <w:spacing w:val="-2"/>
        </w:rPr>
        <w:t>年内</w:t>
      </w:r>
      <w:r>
        <w:rPr>
          <w:rFonts w:hint="eastAsia"/>
          <w:color w:val="auto"/>
          <w:spacing w:val="-2"/>
          <w:lang w:eastAsia="zh-CN"/>
        </w:rPr>
        <w:t>装置及其零部件</w:t>
      </w:r>
      <w:r>
        <w:rPr>
          <w:rFonts w:hint="eastAsia"/>
          <w:color w:val="auto"/>
          <w:spacing w:val="-2"/>
        </w:rPr>
        <w:t>如有问题</w:t>
      </w:r>
      <w:r>
        <w:rPr>
          <w:rFonts w:hint="eastAsia"/>
          <w:color w:val="auto"/>
          <w:spacing w:val="-2"/>
          <w:lang w:eastAsia="zh-CN"/>
        </w:rPr>
        <w:t>，</w:t>
      </w:r>
      <w:r>
        <w:rPr>
          <w:rFonts w:hint="eastAsia"/>
          <w:color w:val="auto"/>
          <w:spacing w:val="-2"/>
        </w:rPr>
        <w:t>将免费送回原厂维修。在保质期后卖方仍然将负责所销售设备的终身维护及售后服务。</w:t>
      </w:r>
      <w:r>
        <w:rPr>
          <w:color w:val="auto"/>
          <w:spacing w:val="-2"/>
        </w:rPr>
        <w:t>质保期后，设备生命周期内，投标方应保证备品备件的供应满足投标服务响应要求。如发生产品损坏，投标方应及时为本组装置提供维修部件，并按最近的投标价提供。</w:t>
      </w:r>
    </w:p>
    <w:p>
      <w:pPr>
        <w:spacing w:line="360" w:lineRule="auto"/>
        <w:ind w:firstLine="412" w:firstLineChars="200"/>
        <w:rPr>
          <w:spacing w:val="-2"/>
        </w:rPr>
      </w:pPr>
      <w:r>
        <w:rPr>
          <w:spacing w:val="-2"/>
        </w:rPr>
        <w:t>3）在现场安装时非对接需要对货物进行开盖处理的，质量保证期应延长二年。在货物质量保证期内，现场开盖处理的间隔的质量保证期重新计算，并延长二年。</w:t>
      </w:r>
    </w:p>
    <w:p>
      <w:pPr>
        <w:spacing w:line="360" w:lineRule="auto"/>
        <w:ind w:firstLine="412" w:firstLineChars="200"/>
        <w:rPr>
          <w:spacing w:val="-2"/>
        </w:rPr>
      </w:pPr>
      <w:r>
        <w:rPr>
          <w:spacing w:val="-2"/>
        </w:rPr>
        <w:t>4）投标方保证其提供的产品是全新的、未使用过的，所有合同货物本体、附件及螺栓、螺帽、阀门等部件必须防腐防锈，质保期内不得出现锈蚀、开裂，否则应无条件更换；质保期后但在投运8年内，出现喷漆脱落、锈蚀等任何影响合同货物外观的损坏，投标方应免费处理。投标方保证其产品在正确安装、正常操作情况下，运行安全、可靠。在合同货物质量保证期内，如发现投标方提供的合同货物有缺陷，不符合合同约定时，招标方可向投标方提出索赔。</w:t>
      </w:r>
    </w:p>
    <w:p>
      <w:pPr>
        <w:spacing w:line="360" w:lineRule="auto"/>
        <w:ind w:firstLine="412" w:firstLineChars="200"/>
        <w:rPr>
          <w:spacing w:val="-2"/>
        </w:rPr>
      </w:pPr>
      <w:r>
        <w:rPr>
          <w:spacing w:val="-2"/>
        </w:rPr>
        <w:t>5）订购的新型产品除应满足本标准外，投标方还应提供该产品的鉴定证书。</w:t>
      </w:r>
    </w:p>
    <w:p>
      <w:pPr>
        <w:spacing w:line="360" w:lineRule="auto"/>
        <w:ind w:firstLine="412" w:firstLineChars="200"/>
        <w:rPr>
          <w:spacing w:val="-2"/>
        </w:rPr>
      </w:pPr>
      <w:r>
        <w:rPr>
          <w:spacing w:val="-2"/>
        </w:rPr>
        <w:t>6）投标方应保证制造过程中的所有工艺、材料试验等（包括投标方的外购件在内）均应符合本标准的规定。若招标方根据运行经验指定投标方提供某种外购零部件，投标方应积极配合。</w:t>
      </w:r>
    </w:p>
    <w:p>
      <w:pPr>
        <w:spacing w:line="360" w:lineRule="auto"/>
        <w:ind w:firstLine="412" w:firstLineChars="200"/>
        <w:rPr>
          <w:spacing w:val="-2"/>
        </w:rPr>
      </w:pPr>
      <w:r>
        <w:rPr>
          <w:spacing w:val="-2"/>
        </w:rPr>
        <w:t>7）附属及配套设备必须满足有关行业标准的要求，并提供试验报告和产品合格证。</w:t>
      </w:r>
    </w:p>
    <w:p>
      <w:pPr>
        <w:spacing w:line="360" w:lineRule="auto"/>
        <w:ind w:firstLine="412" w:firstLineChars="200"/>
        <w:rPr>
          <w:sz w:val="24"/>
          <w:szCs w:val="24"/>
        </w:rPr>
      </w:pPr>
      <w:r>
        <w:rPr>
          <w:spacing w:val="-2"/>
        </w:rPr>
        <w:t>8）投标方应有遵守本标准中各条款和工作项目的ISO9000-GB/T19000质量保证体系，该质量保证体系已经通过国家认证并在正常运转。</w:t>
      </w:r>
      <w:bookmarkEnd w:id="92"/>
      <w:bookmarkEnd w:id="93"/>
    </w:p>
    <w:p>
      <w:pPr>
        <w:pStyle w:val="3"/>
        <w:numPr>
          <w:ilvl w:val="1"/>
          <w:numId w:val="12"/>
        </w:numPr>
        <w:spacing w:line="360" w:lineRule="auto"/>
        <w:rPr>
          <w:rFonts w:ascii="Times New Roman" w:hAnsi="Times New Roman"/>
          <w:b w:val="0"/>
          <w:sz w:val="21"/>
          <w:szCs w:val="21"/>
        </w:rPr>
      </w:pPr>
      <w:bookmarkStart w:id="106" w:name="_Toc9252"/>
      <w:r>
        <w:rPr>
          <w:rFonts w:ascii="Times New Roman" w:hAnsi="Times New Roman"/>
          <w:b w:val="0"/>
          <w:sz w:val="21"/>
          <w:szCs w:val="21"/>
        </w:rPr>
        <w:t>技术文件要求</w:t>
      </w:r>
      <w:bookmarkEnd w:id="106"/>
    </w:p>
    <w:p>
      <w:pPr>
        <w:spacing w:line="360" w:lineRule="auto"/>
      </w:pPr>
      <w:bookmarkStart w:id="107" w:name="_Toc14936"/>
      <w:bookmarkStart w:id="108" w:name="_Toc292025361"/>
      <w:bookmarkStart w:id="109" w:name="_Toc395186736"/>
      <w:r>
        <w:t>9.6.1 一般要求</w:t>
      </w:r>
      <w:bookmarkEnd w:id="107"/>
      <w:bookmarkEnd w:id="108"/>
      <w:bookmarkEnd w:id="109"/>
    </w:p>
    <w:p>
      <w:pPr>
        <w:numPr>
          <w:ilvl w:val="0"/>
          <w:numId w:val="13"/>
        </w:numPr>
        <w:tabs>
          <w:tab w:val="left" w:pos="709"/>
        </w:tabs>
        <w:spacing w:line="360" w:lineRule="auto"/>
        <w:ind w:left="0" w:firstLine="426"/>
        <w:rPr>
          <w:szCs w:val="21"/>
        </w:rPr>
      </w:pPr>
      <w:r>
        <w:rPr>
          <w:szCs w:val="21"/>
        </w:rPr>
        <w:t>投标方提供的图纸、资料、文件应使用国家法定单位制即国际单位制，语言为中文。</w:t>
      </w:r>
    </w:p>
    <w:p>
      <w:pPr>
        <w:numPr>
          <w:ilvl w:val="0"/>
          <w:numId w:val="13"/>
        </w:numPr>
        <w:tabs>
          <w:tab w:val="left" w:pos="709"/>
        </w:tabs>
        <w:spacing w:line="360" w:lineRule="auto"/>
        <w:ind w:left="0" w:firstLine="426"/>
        <w:rPr>
          <w:szCs w:val="21"/>
        </w:rPr>
      </w:pPr>
      <w:r>
        <w:rPr>
          <w:szCs w:val="21"/>
        </w:rPr>
        <w:t>资料的组织结构清晰、逻辑性强。资料内容耍正确、准确、一致、清晰、完整，满足工程要求。</w:t>
      </w:r>
    </w:p>
    <w:p>
      <w:pPr>
        <w:numPr>
          <w:ilvl w:val="0"/>
          <w:numId w:val="13"/>
        </w:numPr>
        <w:tabs>
          <w:tab w:val="left" w:pos="709"/>
        </w:tabs>
        <w:spacing w:line="360" w:lineRule="auto"/>
        <w:ind w:left="0" w:firstLine="426"/>
        <w:rPr>
          <w:szCs w:val="21"/>
        </w:rPr>
      </w:pPr>
      <w:r>
        <w:rPr>
          <w:szCs w:val="21"/>
        </w:rPr>
        <w:t>投标方资料的提交及时充分，满足工程进度要求。在合同谈判日或收到中标通知书后（以先到为准），在项目单位在专用部分规定的时间内给出全部最终技术资料，经招标方确认后不能更改。</w:t>
      </w:r>
    </w:p>
    <w:p>
      <w:pPr>
        <w:numPr>
          <w:ilvl w:val="0"/>
          <w:numId w:val="13"/>
        </w:numPr>
        <w:tabs>
          <w:tab w:val="left" w:pos="709"/>
        </w:tabs>
        <w:spacing w:line="360" w:lineRule="auto"/>
        <w:ind w:left="0" w:firstLine="426"/>
        <w:rPr>
          <w:szCs w:val="21"/>
        </w:rPr>
      </w:pPr>
      <w:r>
        <w:rPr>
          <w:szCs w:val="21"/>
        </w:rPr>
        <w:t>对于其它没有列入合同技术资料清单，却是工程所必需的文件和资料，一经发现，投标方也应及时免费提供。如项目工程为多台设备构成，后续设备有改进时，投标方应及时免费提供新技术资料。</w:t>
      </w:r>
    </w:p>
    <w:p>
      <w:pPr>
        <w:numPr>
          <w:ilvl w:val="0"/>
          <w:numId w:val="13"/>
        </w:numPr>
        <w:tabs>
          <w:tab w:val="left" w:pos="709"/>
        </w:tabs>
        <w:spacing w:line="360" w:lineRule="auto"/>
        <w:ind w:left="0" w:firstLine="426"/>
        <w:rPr>
          <w:szCs w:val="21"/>
        </w:rPr>
      </w:pPr>
      <w:r>
        <w:rPr>
          <w:rFonts w:hint="eastAsia"/>
          <w:szCs w:val="21"/>
        </w:rPr>
        <w:t>“</w:t>
      </w:r>
      <w:r>
        <w:rPr>
          <w:szCs w:val="21"/>
        </w:rPr>
        <w:t>工厂图纸</w:t>
      </w:r>
      <w:r>
        <w:rPr>
          <w:rFonts w:hint="eastAsia"/>
          <w:szCs w:val="21"/>
        </w:rPr>
        <w:t>”</w:t>
      </w:r>
      <w:r>
        <w:rPr>
          <w:szCs w:val="21"/>
        </w:rPr>
        <w:t>包括制造、装配、安装和布置图、接线图、控制图、材料和设备的清单或表格、标准图、设计计算书、说明书、样本、小册子、特性图表、试验报告，以及涉及到与材料、设备和管道系统设计有关的图纸和说明等。</w:t>
      </w:r>
    </w:p>
    <w:p>
      <w:pPr>
        <w:numPr>
          <w:ilvl w:val="0"/>
          <w:numId w:val="13"/>
        </w:numPr>
        <w:tabs>
          <w:tab w:val="left" w:pos="709"/>
        </w:tabs>
        <w:spacing w:line="360" w:lineRule="auto"/>
        <w:ind w:left="0" w:firstLine="426"/>
        <w:rPr>
          <w:szCs w:val="21"/>
        </w:rPr>
      </w:pPr>
      <w:r>
        <w:rPr>
          <w:szCs w:val="21"/>
        </w:rPr>
        <w:t>投标方应将</w:t>
      </w:r>
      <w:r>
        <w:rPr>
          <w:rFonts w:hint="eastAsia"/>
          <w:szCs w:val="21"/>
        </w:rPr>
        <w:t>“</w:t>
      </w:r>
      <w:r>
        <w:rPr>
          <w:szCs w:val="21"/>
        </w:rPr>
        <w:t>工厂图纸</w:t>
      </w:r>
      <w:r>
        <w:rPr>
          <w:rFonts w:hint="eastAsia"/>
          <w:szCs w:val="21"/>
        </w:rPr>
        <w:t>”</w:t>
      </w:r>
      <w:r>
        <w:rPr>
          <w:szCs w:val="21"/>
        </w:rPr>
        <w:t>提交给招标方审查认可。未经审查认可，不得进行备料和工厂生产。</w:t>
      </w:r>
    </w:p>
    <w:p>
      <w:pPr>
        <w:numPr>
          <w:ilvl w:val="0"/>
          <w:numId w:val="13"/>
        </w:numPr>
        <w:tabs>
          <w:tab w:val="left" w:pos="709"/>
        </w:tabs>
        <w:spacing w:line="360" w:lineRule="auto"/>
        <w:ind w:left="0" w:firstLine="426"/>
        <w:rPr>
          <w:szCs w:val="21"/>
        </w:rPr>
      </w:pPr>
      <w:r>
        <w:rPr>
          <w:szCs w:val="21"/>
        </w:rPr>
        <w:t>投标方提供的设备及附件规格、重量或接线有变化时，应及时书面通知招标方。</w:t>
      </w:r>
    </w:p>
    <w:p>
      <w:pPr>
        <w:numPr>
          <w:ilvl w:val="0"/>
          <w:numId w:val="13"/>
        </w:numPr>
        <w:tabs>
          <w:tab w:val="left" w:pos="709"/>
        </w:tabs>
        <w:spacing w:line="360" w:lineRule="auto"/>
        <w:ind w:left="0" w:firstLine="426"/>
        <w:rPr>
          <w:szCs w:val="21"/>
        </w:rPr>
      </w:pPr>
      <w:r>
        <w:rPr>
          <w:szCs w:val="21"/>
        </w:rPr>
        <w:t>现场安装和试验在投标方的技术指导和监督下由招标方完成，在安装过程中，如发现有质量问题，投标方应及时解决，并提供备品、备件，做好销售服务工作。</w:t>
      </w:r>
    </w:p>
    <w:p>
      <w:pPr>
        <w:numPr>
          <w:ilvl w:val="0"/>
          <w:numId w:val="13"/>
        </w:numPr>
        <w:tabs>
          <w:tab w:val="left" w:pos="709"/>
        </w:tabs>
        <w:spacing w:line="360" w:lineRule="auto"/>
        <w:ind w:left="0" w:firstLine="426"/>
        <w:rPr>
          <w:szCs w:val="21"/>
        </w:rPr>
      </w:pPr>
      <w:r>
        <w:rPr>
          <w:szCs w:val="21"/>
        </w:rPr>
        <w:t>投标方协助招标方按标准检查安装质量，及时处理调试投运过程中出现的问题。当发生设备质量问题，应及时采取措施解决。</w:t>
      </w:r>
    </w:p>
    <w:p>
      <w:pPr>
        <w:numPr>
          <w:ilvl w:val="0"/>
          <w:numId w:val="13"/>
        </w:numPr>
        <w:tabs>
          <w:tab w:val="left" w:pos="709"/>
        </w:tabs>
        <w:spacing w:line="360" w:lineRule="auto"/>
        <w:ind w:left="0" w:firstLine="426"/>
        <w:rPr>
          <w:szCs w:val="21"/>
        </w:rPr>
      </w:pPr>
      <w:r>
        <w:rPr>
          <w:szCs w:val="21"/>
        </w:rPr>
        <w:t>投标方应选派有经验的技术人员，对安装和运行人员免费培训，具体培训人次及时间等要求见技术规范书（专用部分）。</w:t>
      </w:r>
    </w:p>
    <w:p>
      <w:pPr>
        <w:numPr>
          <w:ilvl w:val="0"/>
          <w:numId w:val="13"/>
        </w:numPr>
        <w:tabs>
          <w:tab w:val="left" w:pos="709"/>
        </w:tabs>
        <w:spacing w:line="360" w:lineRule="auto"/>
        <w:ind w:left="0" w:firstLine="426"/>
        <w:rPr>
          <w:szCs w:val="21"/>
        </w:rPr>
      </w:pPr>
      <w:r>
        <w:rPr>
          <w:szCs w:val="21"/>
        </w:rPr>
        <w:t>投标方应协助招标方解决设备运行中出现的问题。</w:t>
      </w:r>
    </w:p>
    <w:p>
      <w:pPr>
        <w:numPr>
          <w:ilvl w:val="0"/>
          <w:numId w:val="13"/>
        </w:numPr>
        <w:tabs>
          <w:tab w:val="left" w:pos="709"/>
        </w:tabs>
        <w:spacing w:line="360" w:lineRule="auto"/>
        <w:ind w:left="0" w:firstLine="426"/>
        <w:rPr>
          <w:szCs w:val="21"/>
        </w:rPr>
      </w:pPr>
      <w:r>
        <w:rPr>
          <w:szCs w:val="21"/>
        </w:rPr>
        <w:t>投标方应在10年使用寿命期限内，提供设备所需备品备件。</w:t>
      </w:r>
    </w:p>
    <w:p>
      <w:pPr>
        <w:spacing w:line="360" w:lineRule="auto"/>
      </w:pPr>
      <w:bookmarkStart w:id="110" w:name="_Toc27009"/>
      <w:bookmarkStart w:id="111" w:name="_Toc404621467"/>
      <w:r>
        <w:t>9.6.2 资料文件</w:t>
      </w:r>
      <w:bookmarkEnd w:id="110"/>
      <w:bookmarkEnd w:id="111"/>
    </w:p>
    <w:p>
      <w:pPr>
        <w:tabs>
          <w:tab w:val="left" w:pos="567"/>
        </w:tabs>
        <w:spacing w:line="360" w:lineRule="auto"/>
        <w:rPr>
          <w:szCs w:val="21"/>
        </w:rPr>
      </w:pPr>
      <w:r>
        <w:rPr>
          <w:szCs w:val="21"/>
        </w:rPr>
        <w:t>9.6.2.1 随同投标文件一起提供的一般性资料，详见表9</w:t>
      </w:r>
      <w:r>
        <w:rPr>
          <w:rFonts w:hint="eastAsia"/>
          <w:szCs w:val="21"/>
        </w:rPr>
        <w:t>-</w:t>
      </w:r>
      <w:r>
        <w:rPr>
          <w:szCs w:val="21"/>
        </w:rPr>
        <w:t>1。</w:t>
      </w:r>
    </w:p>
    <w:p>
      <w:pPr>
        <w:spacing w:line="360" w:lineRule="auto"/>
        <w:jc w:val="center"/>
        <w:rPr>
          <w:szCs w:val="21"/>
        </w:rPr>
      </w:pPr>
      <w:r>
        <w:rPr>
          <w:szCs w:val="21"/>
        </w:rPr>
        <w:t>表9</w:t>
      </w:r>
      <w:r>
        <w:rPr>
          <w:rFonts w:hint="eastAsia"/>
          <w:szCs w:val="21"/>
        </w:rPr>
        <w:t>-</w:t>
      </w:r>
      <w:r>
        <w:rPr>
          <w:szCs w:val="21"/>
        </w:rPr>
        <w:t>1 随同投标文件需提供的资料</w:t>
      </w:r>
    </w:p>
    <w:tbl>
      <w:tblPr>
        <w:tblStyle w:val="1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034"/>
        <w:gridCol w:w="6729"/>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jc w:val="center"/>
        </w:trPr>
        <w:tc>
          <w:tcPr>
            <w:tcW w:w="1034" w:type="dxa"/>
            <w:noWrap/>
            <w:vAlign w:val="center"/>
          </w:tcPr>
          <w:p>
            <w:pPr>
              <w:spacing w:beforeLines="50"/>
              <w:jc w:val="center"/>
              <w:rPr>
                <w:szCs w:val="21"/>
              </w:rPr>
            </w:pPr>
            <w:r>
              <w:rPr>
                <w:szCs w:val="21"/>
              </w:rPr>
              <w:t>序号</w:t>
            </w:r>
          </w:p>
        </w:tc>
        <w:tc>
          <w:tcPr>
            <w:tcW w:w="6729" w:type="dxa"/>
            <w:noWrap/>
            <w:vAlign w:val="center"/>
          </w:tcPr>
          <w:p>
            <w:pPr>
              <w:spacing w:beforeLines="50"/>
              <w:jc w:val="center"/>
              <w:rPr>
                <w:szCs w:val="21"/>
              </w:rPr>
            </w:pPr>
            <w:r>
              <w:rPr>
                <w:szCs w:val="21"/>
              </w:rPr>
              <w:t>需提供的资料</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034" w:type="dxa"/>
            <w:noWrap/>
            <w:vAlign w:val="center"/>
          </w:tcPr>
          <w:p>
            <w:pPr>
              <w:spacing w:beforeLines="50"/>
              <w:jc w:val="center"/>
              <w:rPr>
                <w:szCs w:val="21"/>
              </w:rPr>
            </w:pPr>
            <w:r>
              <w:rPr>
                <w:szCs w:val="21"/>
              </w:rPr>
              <w:t>1</w:t>
            </w:r>
          </w:p>
        </w:tc>
        <w:tc>
          <w:tcPr>
            <w:tcW w:w="6729" w:type="dxa"/>
            <w:noWrap/>
            <w:vAlign w:val="center"/>
          </w:tcPr>
          <w:p>
            <w:pPr>
              <w:spacing w:beforeLines="50"/>
              <w:rPr>
                <w:szCs w:val="21"/>
              </w:rPr>
            </w:pPr>
            <w:r>
              <w:rPr>
                <w:szCs w:val="21"/>
              </w:rPr>
              <w:t>第三方检测报告</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034" w:type="dxa"/>
            <w:noWrap/>
            <w:vAlign w:val="center"/>
          </w:tcPr>
          <w:p>
            <w:pPr>
              <w:spacing w:beforeLines="50"/>
              <w:jc w:val="center"/>
              <w:rPr>
                <w:szCs w:val="21"/>
              </w:rPr>
            </w:pPr>
            <w:r>
              <w:rPr>
                <w:szCs w:val="21"/>
              </w:rPr>
              <w:t>2</w:t>
            </w:r>
          </w:p>
        </w:tc>
        <w:tc>
          <w:tcPr>
            <w:tcW w:w="6729" w:type="dxa"/>
            <w:noWrap/>
            <w:vAlign w:val="center"/>
          </w:tcPr>
          <w:p>
            <w:pPr>
              <w:spacing w:beforeLines="50"/>
              <w:rPr>
                <w:szCs w:val="21"/>
              </w:rPr>
            </w:pPr>
            <w:r>
              <w:rPr>
                <w:szCs w:val="21"/>
              </w:rPr>
              <w:t>质量管理体系认证证书</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034" w:type="dxa"/>
            <w:noWrap/>
            <w:vAlign w:val="center"/>
          </w:tcPr>
          <w:p>
            <w:pPr>
              <w:spacing w:beforeLines="50"/>
              <w:jc w:val="center"/>
              <w:rPr>
                <w:szCs w:val="21"/>
              </w:rPr>
            </w:pPr>
            <w:r>
              <w:rPr>
                <w:szCs w:val="21"/>
              </w:rPr>
              <w:t>3</w:t>
            </w:r>
          </w:p>
        </w:tc>
        <w:tc>
          <w:tcPr>
            <w:tcW w:w="6729" w:type="dxa"/>
            <w:noWrap/>
            <w:vAlign w:val="center"/>
          </w:tcPr>
          <w:p>
            <w:pPr>
              <w:spacing w:beforeLines="50"/>
              <w:rPr>
                <w:szCs w:val="21"/>
              </w:rPr>
            </w:pPr>
            <w:r>
              <w:rPr>
                <w:szCs w:val="21"/>
              </w:rPr>
              <w:t>质量相关认证证书等</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034" w:type="dxa"/>
            <w:noWrap/>
            <w:vAlign w:val="center"/>
          </w:tcPr>
          <w:p>
            <w:pPr>
              <w:spacing w:beforeLines="50"/>
              <w:jc w:val="center"/>
              <w:rPr>
                <w:szCs w:val="21"/>
              </w:rPr>
            </w:pPr>
            <w:r>
              <w:rPr>
                <w:szCs w:val="21"/>
              </w:rPr>
              <w:t>4</w:t>
            </w:r>
          </w:p>
        </w:tc>
        <w:tc>
          <w:tcPr>
            <w:tcW w:w="6729" w:type="dxa"/>
            <w:noWrap/>
            <w:vAlign w:val="center"/>
          </w:tcPr>
          <w:p>
            <w:pPr>
              <w:spacing w:beforeLines="50"/>
              <w:rPr>
                <w:szCs w:val="21"/>
              </w:rPr>
            </w:pPr>
            <w:r>
              <w:rPr>
                <w:szCs w:val="21"/>
              </w:rPr>
              <w:t>包装清单</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034" w:type="dxa"/>
            <w:noWrap/>
            <w:vAlign w:val="center"/>
          </w:tcPr>
          <w:p>
            <w:pPr>
              <w:pStyle w:val="5"/>
              <w:spacing w:beforeLines="50"/>
              <w:jc w:val="center"/>
              <w:rPr>
                <w:rFonts w:ascii="Times New Roman" w:hAnsi="Times New Roman"/>
                <w:szCs w:val="21"/>
              </w:rPr>
            </w:pPr>
            <w:r>
              <w:rPr>
                <w:rFonts w:ascii="Times New Roman" w:hAnsi="Times New Roman"/>
                <w:szCs w:val="21"/>
              </w:rPr>
              <w:t>5</w:t>
            </w:r>
          </w:p>
        </w:tc>
        <w:tc>
          <w:tcPr>
            <w:tcW w:w="6729" w:type="dxa"/>
            <w:noWrap/>
            <w:vAlign w:val="center"/>
          </w:tcPr>
          <w:p>
            <w:pPr>
              <w:spacing w:beforeLines="50"/>
              <w:rPr>
                <w:szCs w:val="21"/>
              </w:rPr>
            </w:pPr>
            <w:r>
              <w:rPr>
                <w:szCs w:val="21"/>
              </w:rPr>
              <w:t>出厂合格证</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034" w:type="dxa"/>
            <w:noWrap/>
            <w:vAlign w:val="center"/>
          </w:tcPr>
          <w:p>
            <w:pPr>
              <w:pStyle w:val="5"/>
              <w:spacing w:beforeLines="50"/>
              <w:jc w:val="center"/>
              <w:rPr>
                <w:rFonts w:ascii="Times New Roman" w:hAnsi="Times New Roman"/>
                <w:szCs w:val="21"/>
              </w:rPr>
            </w:pPr>
            <w:r>
              <w:rPr>
                <w:rFonts w:ascii="Times New Roman" w:hAnsi="Times New Roman"/>
                <w:szCs w:val="21"/>
              </w:rPr>
              <w:t>6</w:t>
            </w:r>
          </w:p>
        </w:tc>
        <w:tc>
          <w:tcPr>
            <w:tcW w:w="6729" w:type="dxa"/>
            <w:noWrap/>
            <w:vAlign w:val="center"/>
          </w:tcPr>
          <w:p>
            <w:pPr>
              <w:spacing w:beforeLines="50"/>
              <w:rPr>
                <w:szCs w:val="21"/>
              </w:rPr>
            </w:pPr>
            <w:r>
              <w:rPr>
                <w:szCs w:val="21"/>
              </w:rPr>
              <w:t>出厂检验报告</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034" w:type="dxa"/>
            <w:noWrap/>
            <w:vAlign w:val="center"/>
          </w:tcPr>
          <w:p>
            <w:pPr>
              <w:pStyle w:val="5"/>
              <w:spacing w:beforeLines="50"/>
              <w:jc w:val="center"/>
              <w:rPr>
                <w:rFonts w:ascii="Times New Roman" w:hAnsi="Times New Roman"/>
                <w:szCs w:val="21"/>
              </w:rPr>
            </w:pPr>
            <w:r>
              <w:rPr>
                <w:rFonts w:ascii="Times New Roman" w:hAnsi="Times New Roman"/>
                <w:szCs w:val="21"/>
              </w:rPr>
              <w:t>7</w:t>
            </w:r>
          </w:p>
        </w:tc>
        <w:tc>
          <w:tcPr>
            <w:tcW w:w="6729" w:type="dxa"/>
            <w:noWrap/>
            <w:vAlign w:val="center"/>
          </w:tcPr>
          <w:p>
            <w:pPr>
              <w:spacing w:beforeLines="50"/>
              <w:rPr>
                <w:szCs w:val="21"/>
              </w:rPr>
            </w:pPr>
            <w:r>
              <w:rPr>
                <w:szCs w:val="21"/>
              </w:rPr>
              <w:t>产品安装使用说明书</w:t>
            </w:r>
          </w:p>
        </w:tc>
      </w:tr>
    </w:tbl>
    <w:p>
      <w:pPr>
        <w:tabs>
          <w:tab w:val="left" w:pos="567"/>
        </w:tabs>
        <w:spacing w:line="360" w:lineRule="auto"/>
        <w:rPr>
          <w:szCs w:val="21"/>
        </w:rPr>
      </w:pPr>
      <w:r>
        <w:rPr>
          <w:szCs w:val="21"/>
        </w:rPr>
        <w:t>9.6.2.2 在技术协议签订10天内，投标方向招标方提供包括但不限于下列图纸资料及其AutoCAD格式的电子文档光盘2份，纸质版6套。</w:t>
      </w:r>
    </w:p>
    <w:p>
      <w:pPr>
        <w:numPr>
          <w:ilvl w:val="0"/>
          <w:numId w:val="14"/>
        </w:numPr>
        <w:spacing w:line="360" w:lineRule="auto"/>
        <w:ind w:left="782" w:hanging="363"/>
      </w:pPr>
      <w:r>
        <w:t>投标方应承诺提供招标方提出的所有所需资料、图纸、文件供工程设计、安装、运维使用。</w:t>
      </w:r>
    </w:p>
    <w:p>
      <w:pPr>
        <w:numPr>
          <w:ilvl w:val="0"/>
          <w:numId w:val="14"/>
        </w:numPr>
        <w:spacing w:line="360" w:lineRule="auto"/>
        <w:ind w:left="782" w:hanging="363"/>
      </w:pPr>
      <w:r>
        <w:t>技术数据表及相关技术资料。</w:t>
      </w:r>
    </w:p>
    <w:p>
      <w:pPr>
        <w:numPr>
          <w:ilvl w:val="0"/>
          <w:numId w:val="14"/>
        </w:numPr>
        <w:spacing w:line="360" w:lineRule="auto"/>
        <w:ind w:left="782" w:hanging="363"/>
      </w:pPr>
      <w:r>
        <w:t>同型产品通过型式试验的最新说明文件。</w:t>
      </w:r>
    </w:p>
    <w:p>
      <w:pPr>
        <w:numPr>
          <w:ilvl w:val="0"/>
          <w:numId w:val="14"/>
        </w:numPr>
        <w:spacing w:line="360" w:lineRule="auto"/>
        <w:ind w:left="782" w:hanging="363"/>
      </w:pPr>
      <w:r>
        <w:t>具有同类设备安装地点名称、投运时间、运行情况的记录。</w:t>
      </w:r>
    </w:p>
    <w:p>
      <w:pPr>
        <w:numPr>
          <w:ilvl w:val="0"/>
          <w:numId w:val="14"/>
        </w:numPr>
        <w:spacing w:line="360" w:lineRule="auto"/>
        <w:ind w:left="782" w:hanging="363"/>
      </w:pPr>
      <w:r>
        <w:t>设备适用的标准说明。</w:t>
      </w:r>
    </w:p>
    <w:p>
      <w:pPr>
        <w:numPr>
          <w:ilvl w:val="0"/>
          <w:numId w:val="14"/>
        </w:numPr>
        <w:spacing w:line="360" w:lineRule="auto"/>
        <w:ind w:left="782" w:hanging="363"/>
      </w:pPr>
      <w:r>
        <w:t>提供图纸计划及生产制造、交货进度计划。</w:t>
      </w:r>
    </w:p>
    <w:p>
      <w:pPr>
        <w:numPr>
          <w:ilvl w:val="0"/>
          <w:numId w:val="14"/>
        </w:numPr>
        <w:spacing w:line="360" w:lineRule="auto"/>
        <w:ind w:left="782" w:hanging="363"/>
      </w:pPr>
      <w:r>
        <w:t>图纸和技术文件，包括安装、运行和维护等说明书及试验报告。</w:t>
      </w:r>
    </w:p>
    <w:p>
      <w:pPr>
        <w:tabs>
          <w:tab w:val="left" w:pos="567"/>
        </w:tabs>
        <w:spacing w:line="360" w:lineRule="auto"/>
        <w:rPr>
          <w:szCs w:val="21"/>
        </w:rPr>
      </w:pPr>
      <w:r>
        <w:rPr>
          <w:szCs w:val="21"/>
        </w:rPr>
        <w:t>9.6.2.3 设备供货时，开箱资料除了9.</w:t>
      </w:r>
      <w:r>
        <w:rPr>
          <w:rFonts w:hint="eastAsia"/>
          <w:szCs w:val="21"/>
        </w:rPr>
        <w:t>6.</w:t>
      </w:r>
      <w:r>
        <w:rPr>
          <w:szCs w:val="21"/>
        </w:rPr>
        <w:t>2.2条所规定的图纸资料外，还应提供下列资料，均为一式8份：</w:t>
      </w:r>
    </w:p>
    <w:p>
      <w:pPr>
        <w:spacing w:line="360" w:lineRule="auto"/>
        <w:ind w:firstLine="420" w:firstLineChars="200"/>
        <w:textAlignment w:val="baseline"/>
        <w:rPr>
          <w:szCs w:val="21"/>
        </w:rPr>
      </w:pPr>
      <w:r>
        <w:rPr>
          <w:szCs w:val="21"/>
        </w:rPr>
        <w:t>1）设备安装、运行、维护说明书(中文或中英文对照，并提供电子版)，安装作业指导书，包括一次本体装配作业指导书、二次安装调试作业指导、关键质量控制点、质量管理措施和相关工艺的指导性文件；</w:t>
      </w:r>
    </w:p>
    <w:p>
      <w:pPr>
        <w:spacing w:line="360" w:lineRule="auto"/>
        <w:ind w:firstLine="420" w:firstLineChars="200"/>
        <w:textAlignment w:val="baseline"/>
        <w:rPr>
          <w:szCs w:val="21"/>
        </w:rPr>
      </w:pPr>
      <w:r>
        <w:rPr>
          <w:szCs w:val="21"/>
        </w:rPr>
        <w:t>2）部件、易损件、备品备件及专用工器具清单；</w:t>
      </w:r>
    </w:p>
    <w:p>
      <w:pPr>
        <w:spacing w:line="360" w:lineRule="auto"/>
        <w:ind w:firstLine="420" w:firstLineChars="200"/>
        <w:textAlignment w:val="baseline"/>
        <w:rPr>
          <w:szCs w:val="21"/>
        </w:rPr>
      </w:pPr>
      <w:r>
        <w:rPr>
          <w:szCs w:val="21"/>
        </w:rPr>
        <w:t>3）设备出厂试验报告、产品合格证、控制器软件版本号和硬件版本号等；</w:t>
      </w:r>
    </w:p>
    <w:p>
      <w:pPr>
        <w:spacing w:line="360" w:lineRule="auto"/>
        <w:ind w:firstLine="420" w:firstLineChars="200"/>
        <w:textAlignment w:val="baseline"/>
        <w:rPr>
          <w:szCs w:val="21"/>
        </w:rPr>
      </w:pPr>
      <w:r>
        <w:rPr>
          <w:szCs w:val="21"/>
        </w:rPr>
        <w:t>4）装箱清单。</w:t>
      </w:r>
    </w:p>
    <w:p>
      <w:pPr>
        <w:spacing w:line="360" w:lineRule="auto"/>
      </w:pPr>
      <w:bookmarkStart w:id="112" w:name="_Toc404621468"/>
      <w:bookmarkStart w:id="113" w:name="_Toc27881"/>
      <w:r>
        <w:t>9.6.3 设计联络</w:t>
      </w:r>
      <w:bookmarkEnd w:id="112"/>
      <w:bookmarkEnd w:id="113"/>
    </w:p>
    <w:p>
      <w:pPr>
        <w:spacing w:line="360" w:lineRule="auto"/>
        <w:ind w:firstLine="420" w:firstLineChars="200"/>
        <w:textAlignment w:val="baseline"/>
        <w:rPr>
          <w:szCs w:val="21"/>
        </w:rPr>
      </w:pPr>
      <w:r>
        <w:rPr>
          <w:szCs w:val="21"/>
        </w:rPr>
        <w:t xml:space="preserve">1）投标方应在技术协议签订后的在专用部分要求的时间内向招标方提供正式版的用于设计、设备监造和检验、现场安装和调试以及运行维护方面的图纸、说明书和有关技术资料，同时向招标方设计代表提供拷贝磁盘2份（图纸为AutoCAD 版、文字资料为Word版）。 </w:t>
      </w:r>
    </w:p>
    <w:p>
      <w:pPr>
        <w:spacing w:line="360" w:lineRule="auto"/>
        <w:ind w:firstLine="420" w:firstLineChars="200"/>
        <w:textAlignment w:val="baseline"/>
        <w:rPr>
          <w:szCs w:val="21"/>
        </w:rPr>
      </w:pPr>
      <w:r>
        <w:rPr>
          <w:szCs w:val="21"/>
        </w:rPr>
        <w:t>2）投标方应按设计需要随时开展设计联络工作，提供设计所需的相关资料，以保证招标方工期要求。</w:t>
      </w:r>
    </w:p>
    <w:p>
      <w:pPr>
        <w:spacing w:line="360" w:lineRule="auto"/>
        <w:ind w:firstLine="420" w:firstLineChars="200"/>
        <w:textAlignment w:val="baseline"/>
        <w:rPr>
          <w:szCs w:val="21"/>
        </w:rPr>
      </w:pPr>
      <w:r>
        <w:rPr>
          <w:szCs w:val="21"/>
        </w:rPr>
        <w:t>3）投标方提供的图纸必须经招标方代表确认。</w:t>
      </w:r>
    </w:p>
    <w:p/>
    <w:sectPr>
      <w:headerReference r:id="rId4" w:type="default"/>
      <w:footerReference r:id="rId5" w:type="default"/>
      <w:pgSz w:w="11906" w:h="16838"/>
      <w:pgMar w:top="1440" w:right="1274" w:bottom="1440" w:left="1276" w:header="851" w:footer="992" w:gutter="0"/>
      <w:pgNumType w:fmt="decimal"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ambria Math">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center"/>
    </w:pPr>
    <w:r>
      <w:rPr>
        <w:sz w:val="18"/>
      </w:rPr>
      <w:pict>
        <v:shape id="_x0000_s2049" o:spid="_x0000_s2049"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v:imagedata o:title=""/>
          <o:lock v:ext="edit" aspectratio="f"/>
          <v:textbox inset="0mm,0mm,0mm,0mm" style="mso-fit-shape-to-text:t;">
            <w:txbxContent>
              <w:p>
                <w:pPr>
                  <w:pStyle w:val="7"/>
                  <w:jc w:val="center"/>
                </w:pPr>
                <w:r>
                  <w:fldChar w:fldCharType="begin"/>
                </w:r>
                <w:r>
                  <w:instrText xml:space="preserve">PAGE   \* MERGEFORMAT</w:instrText>
                </w:r>
                <w:r>
                  <w:fldChar w:fldCharType="separate"/>
                </w:r>
                <w:r>
                  <w:rPr>
                    <w:lang w:val="zh-CN"/>
                  </w:rPr>
                  <w:t>10</w:t>
                </w:r>
                <w:r>
                  <w:rPr>
                    <w:lang w:val="zh-CN"/>
                  </w:rPr>
                  <w:fldChar w:fldCharType="end"/>
                </w:r>
              </w:p>
            </w:txbxContent>
          </v:textbox>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rFonts w:hint="eastAsia"/>
      </w:rPr>
      <w:t>塑壳断路器技术规范书(通用部分)</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6F5D74B"/>
    <w:multiLevelType w:val="multilevel"/>
    <w:tmpl w:val="C6F5D74B"/>
    <w:lvl w:ilvl="0" w:tentative="0">
      <w:start w:val="1"/>
      <w:numFmt w:val="decimal"/>
      <w:lvlText w:val="%1"/>
      <w:lvlJc w:val="left"/>
      <w:pPr>
        <w:ind w:left="0" w:firstLine="0"/>
      </w:pPr>
      <w:rPr>
        <w:rFonts w:hint="default" w:ascii="Times New Roman" w:hAnsi="Times New Roman" w:eastAsia="宋体" w:cs="Times New Roman"/>
      </w:rPr>
    </w:lvl>
    <w:lvl w:ilvl="1" w:tentative="0">
      <w:start w:val="1"/>
      <w:numFmt w:val="decimal"/>
      <w:lvlText w:val="%1.%2"/>
      <w:lvlJc w:val="left"/>
      <w:pPr>
        <w:ind w:left="0" w:firstLine="0"/>
      </w:pPr>
      <w:rPr>
        <w:rFonts w:hint="default"/>
      </w:rPr>
    </w:lvl>
    <w:lvl w:ilvl="2" w:tentative="0">
      <w:start w:val="1"/>
      <w:numFmt w:val="decimal"/>
      <w:lvlText w:val="4.1.%3"/>
      <w:lvlJc w:val="left"/>
      <w:pPr>
        <w:ind w:left="0" w:firstLine="0"/>
      </w:pPr>
      <w:rPr>
        <w:rFonts w:hint="default" w:ascii="Times New Roman" w:hAnsi="Times New Roman" w:eastAsia="宋体" w:cs="Times New Roman"/>
      </w:rPr>
    </w:lvl>
    <w:lvl w:ilvl="3" w:tentative="0">
      <w:start w:val="1"/>
      <w:numFmt w:val="decimal"/>
      <w:lvlText w:val="%1.%2.%3.%4"/>
      <w:lvlJc w:val="left"/>
      <w:pPr>
        <w:ind w:left="0" w:firstLine="0"/>
      </w:pPr>
      <w:rPr>
        <w:rFonts w:hint="default" w:ascii="Cambria Math" w:hAnsi="Cambria Math" w:cs="Cambria Math"/>
      </w:rPr>
    </w:lvl>
    <w:lvl w:ilvl="4" w:tentative="0">
      <w:start w:val="1"/>
      <w:numFmt w:val="decimal"/>
      <w:lvlText w:val="%1.%2.%3.%4.%5"/>
      <w:lvlJc w:val="left"/>
      <w:pPr>
        <w:ind w:left="0" w:firstLine="0"/>
      </w:pPr>
      <w:rPr>
        <w:rFonts w:hint="eastAsia"/>
      </w:rPr>
    </w:lvl>
    <w:lvl w:ilvl="5" w:tentative="0">
      <w:start w:val="1"/>
      <w:numFmt w:val="decimal"/>
      <w:lvlText w:val="%1.%2.%3.%4.%5.%6"/>
      <w:lvlJc w:val="left"/>
      <w:pPr>
        <w:ind w:left="0" w:firstLine="0"/>
      </w:pPr>
      <w:rPr>
        <w:rFonts w:hint="eastAsia"/>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1">
    <w:nsid w:val="03BC6F48"/>
    <w:multiLevelType w:val="multilevel"/>
    <w:tmpl w:val="03BC6F48"/>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
    <w:nsid w:val="12864658"/>
    <w:multiLevelType w:val="multilevel"/>
    <w:tmpl w:val="12864658"/>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
    <w:nsid w:val="1C3D7CAF"/>
    <w:multiLevelType w:val="multilevel"/>
    <w:tmpl w:val="1C3D7CAF"/>
    <w:lvl w:ilvl="0" w:tentative="0">
      <w:start w:val="1"/>
      <w:numFmt w:val="decimal"/>
      <w:lvlText w:val="%1)"/>
      <w:lvlJc w:val="left"/>
      <w:pPr>
        <w:ind w:left="1271" w:hanging="420"/>
      </w:pPr>
    </w:lvl>
    <w:lvl w:ilvl="1" w:tentative="0">
      <w:start w:val="1"/>
      <w:numFmt w:val="lowerLetter"/>
      <w:lvlText w:val="%2)"/>
      <w:lvlJc w:val="left"/>
      <w:pPr>
        <w:ind w:left="1691" w:hanging="420"/>
      </w:pPr>
    </w:lvl>
    <w:lvl w:ilvl="2" w:tentative="0">
      <w:start w:val="1"/>
      <w:numFmt w:val="lowerRoman"/>
      <w:lvlText w:val="%3."/>
      <w:lvlJc w:val="right"/>
      <w:pPr>
        <w:ind w:left="2111" w:hanging="420"/>
      </w:pPr>
    </w:lvl>
    <w:lvl w:ilvl="3" w:tentative="0">
      <w:start w:val="1"/>
      <w:numFmt w:val="decimal"/>
      <w:lvlText w:val="%4."/>
      <w:lvlJc w:val="left"/>
      <w:pPr>
        <w:ind w:left="2531" w:hanging="420"/>
      </w:pPr>
    </w:lvl>
    <w:lvl w:ilvl="4" w:tentative="0">
      <w:start w:val="1"/>
      <w:numFmt w:val="lowerLetter"/>
      <w:lvlText w:val="%5)"/>
      <w:lvlJc w:val="left"/>
      <w:pPr>
        <w:ind w:left="2951" w:hanging="420"/>
      </w:pPr>
    </w:lvl>
    <w:lvl w:ilvl="5" w:tentative="0">
      <w:start w:val="1"/>
      <w:numFmt w:val="lowerRoman"/>
      <w:lvlText w:val="%6."/>
      <w:lvlJc w:val="right"/>
      <w:pPr>
        <w:ind w:left="3371" w:hanging="420"/>
      </w:pPr>
    </w:lvl>
    <w:lvl w:ilvl="6" w:tentative="0">
      <w:start w:val="1"/>
      <w:numFmt w:val="decimal"/>
      <w:lvlText w:val="%7."/>
      <w:lvlJc w:val="left"/>
      <w:pPr>
        <w:ind w:left="3791" w:hanging="420"/>
      </w:pPr>
    </w:lvl>
    <w:lvl w:ilvl="7" w:tentative="0">
      <w:start w:val="1"/>
      <w:numFmt w:val="lowerLetter"/>
      <w:lvlText w:val="%8)"/>
      <w:lvlJc w:val="left"/>
      <w:pPr>
        <w:ind w:left="4211" w:hanging="420"/>
      </w:pPr>
    </w:lvl>
    <w:lvl w:ilvl="8" w:tentative="0">
      <w:start w:val="1"/>
      <w:numFmt w:val="lowerRoman"/>
      <w:lvlText w:val="%9."/>
      <w:lvlJc w:val="right"/>
      <w:pPr>
        <w:ind w:left="4631" w:hanging="420"/>
      </w:pPr>
    </w:lvl>
  </w:abstractNum>
  <w:abstractNum w:abstractNumId="4">
    <w:nsid w:val="1E013549"/>
    <w:multiLevelType w:val="multilevel"/>
    <w:tmpl w:val="1E013549"/>
    <w:lvl w:ilvl="0" w:tentative="0">
      <w:start w:val="1"/>
      <w:numFmt w:val="decimal"/>
      <w:lvlText w:val="%1)"/>
      <w:lvlJc w:val="left"/>
      <w:pPr>
        <w:ind w:left="1155" w:hanging="420"/>
      </w:pPr>
    </w:lvl>
    <w:lvl w:ilvl="1" w:tentative="0">
      <w:start w:val="1"/>
      <w:numFmt w:val="lowerLetter"/>
      <w:lvlText w:val="%2)"/>
      <w:lvlJc w:val="left"/>
      <w:pPr>
        <w:ind w:left="1575" w:hanging="420"/>
      </w:pPr>
    </w:lvl>
    <w:lvl w:ilvl="2" w:tentative="0">
      <w:start w:val="1"/>
      <w:numFmt w:val="lowerRoman"/>
      <w:lvlText w:val="%3."/>
      <w:lvlJc w:val="right"/>
      <w:pPr>
        <w:ind w:left="1995" w:hanging="420"/>
      </w:pPr>
    </w:lvl>
    <w:lvl w:ilvl="3" w:tentative="0">
      <w:start w:val="1"/>
      <w:numFmt w:val="decimal"/>
      <w:lvlText w:val="%4."/>
      <w:lvlJc w:val="left"/>
      <w:pPr>
        <w:ind w:left="2415" w:hanging="420"/>
      </w:pPr>
    </w:lvl>
    <w:lvl w:ilvl="4" w:tentative="0">
      <w:start w:val="1"/>
      <w:numFmt w:val="lowerLetter"/>
      <w:lvlText w:val="%5)"/>
      <w:lvlJc w:val="left"/>
      <w:pPr>
        <w:ind w:left="2835" w:hanging="420"/>
      </w:pPr>
    </w:lvl>
    <w:lvl w:ilvl="5" w:tentative="0">
      <w:start w:val="1"/>
      <w:numFmt w:val="lowerRoman"/>
      <w:lvlText w:val="%6."/>
      <w:lvlJc w:val="right"/>
      <w:pPr>
        <w:ind w:left="3255" w:hanging="420"/>
      </w:pPr>
    </w:lvl>
    <w:lvl w:ilvl="6" w:tentative="0">
      <w:start w:val="1"/>
      <w:numFmt w:val="decimal"/>
      <w:lvlText w:val="%7."/>
      <w:lvlJc w:val="left"/>
      <w:pPr>
        <w:ind w:left="3675" w:hanging="420"/>
      </w:pPr>
    </w:lvl>
    <w:lvl w:ilvl="7" w:tentative="0">
      <w:start w:val="1"/>
      <w:numFmt w:val="lowerLetter"/>
      <w:lvlText w:val="%8)"/>
      <w:lvlJc w:val="left"/>
      <w:pPr>
        <w:ind w:left="4095" w:hanging="420"/>
      </w:pPr>
    </w:lvl>
    <w:lvl w:ilvl="8" w:tentative="0">
      <w:start w:val="1"/>
      <w:numFmt w:val="lowerRoman"/>
      <w:lvlText w:val="%9."/>
      <w:lvlJc w:val="right"/>
      <w:pPr>
        <w:ind w:left="4515" w:hanging="420"/>
      </w:pPr>
    </w:lvl>
  </w:abstractNum>
  <w:abstractNum w:abstractNumId="5">
    <w:nsid w:val="268F79E5"/>
    <w:multiLevelType w:val="multilevel"/>
    <w:tmpl w:val="268F79E5"/>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6">
    <w:nsid w:val="3E2F558F"/>
    <w:multiLevelType w:val="multilevel"/>
    <w:tmpl w:val="3E2F558F"/>
    <w:lvl w:ilvl="0" w:tentative="0">
      <w:start w:val="1"/>
      <w:numFmt w:val="decimal"/>
      <w:lvlText w:val="%1"/>
      <w:lvlJc w:val="left"/>
      <w:pPr>
        <w:ind w:left="0" w:firstLine="0"/>
      </w:pPr>
      <w:rPr>
        <w:rFonts w:hint="eastAsia"/>
      </w:rPr>
    </w:lvl>
    <w:lvl w:ilvl="1" w:tentative="0">
      <w:start w:val="1"/>
      <w:numFmt w:val="decimal"/>
      <w:lvlText w:val="9.%2"/>
      <w:lvlJc w:val="left"/>
      <w:pPr>
        <w:ind w:left="0" w:firstLine="0"/>
      </w:pPr>
      <w:rPr>
        <w:rFonts w:hint="default" w:ascii="Times New Roman" w:hAnsi="Times New Roman" w:eastAsia="宋体" w:cs="Times New Roman"/>
      </w:rPr>
    </w:lvl>
    <w:lvl w:ilvl="2" w:tentative="0">
      <w:start w:val="1"/>
      <w:numFmt w:val="decimal"/>
      <w:lvlText w:val="6.%2.%3"/>
      <w:lvlJc w:val="left"/>
      <w:pPr>
        <w:ind w:left="0" w:firstLine="0"/>
      </w:pPr>
      <w:rPr>
        <w:rFonts w:hint="eastAsia"/>
      </w:rPr>
    </w:lvl>
    <w:lvl w:ilvl="3" w:tentative="0">
      <w:start w:val="1"/>
      <w:numFmt w:val="decimal"/>
      <w:lvlText w:val="%1.%2.%3.%4"/>
      <w:lvlJc w:val="left"/>
      <w:pPr>
        <w:ind w:left="0" w:firstLine="0"/>
      </w:pPr>
      <w:rPr>
        <w:rFonts w:hint="eastAsia"/>
      </w:rPr>
    </w:lvl>
    <w:lvl w:ilvl="4" w:tentative="0">
      <w:start w:val="1"/>
      <w:numFmt w:val="decimal"/>
      <w:lvlText w:val="%1.%2.%3.%4.%5"/>
      <w:lvlJc w:val="left"/>
      <w:pPr>
        <w:ind w:left="0" w:firstLine="0"/>
      </w:pPr>
      <w:rPr>
        <w:rFonts w:hint="eastAsia"/>
      </w:rPr>
    </w:lvl>
    <w:lvl w:ilvl="5" w:tentative="0">
      <w:start w:val="1"/>
      <w:numFmt w:val="decimal"/>
      <w:lvlText w:val="%1.%2.%3.%4.%5.%6"/>
      <w:lvlJc w:val="left"/>
      <w:pPr>
        <w:ind w:left="0" w:firstLine="0"/>
      </w:pPr>
      <w:rPr>
        <w:rFonts w:hint="eastAsia"/>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7">
    <w:nsid w:val="40C917F8"/>
    <w:multiLevelType w:val="multilevel"/>
    <w:tmpl w:val="40C917F8"/>
    <w:lvl w:ilvl="0" w:tentative="0">
      <w:start w:val="1"/>
      <w:numFmt w:val="decimal"/>
      <w:lvlText w:val="%1)"/>
      <w:lvlJc w:val="left"/>
      <w:pPr>
        <w:ind w:left="1155" w:hanging="420"/>
      </w:pPr>
    </w:lvl>
    <w:lvl w:ilvl="1" w:tentative="0">
      <w:start w:val="1"/>
      <w:numFmt w:val="lowerLetter"/>
      <w:lvlText w:val="%2)"/>
      <w:lvlJc w:val="left"/>
      <w:pPr>
        <w:ind w:left="1575" w:hanging="420"/>
      </w:pPr>
    </w:lvl>
    <w:lvl w:ilvl="2" w:tentative="0">
      <w:start w:val="1"/>
      <w:numFmt w:val="lowerRoman"/>
      <w:lvlText w:val="%3."/>
      <w:lvlJc w:val="right"/>
      <w:pPr>
        <w:ind w:left="1995" w:hanging="420"/>
      </w:pPr>
    </w:lvl>
    <w:lvl w:ilvl="3" w:tentative="0">
      <w:start w:val="1"/>
      <w:numFmt w:val="decimal"/>
      <w:lvlText w:val="%4."/>
      <w:lvlJc w:val="left"/>
      <w:pPr>
        <w:ind w:left="2415" w:hanging="420"/>
      </w:pPr>
    </w:lvl>
    <w:lvl w:ilvl="4" w:tentative="0">
      <w:start w:val="1"/>
      <w:numFmt w:val="lowerLetter"/>
      <w:lvlText w:val="%5)"/>
      <w:lvlJc w:val="left"/>
      <w:pPr>
        <w:ind w:left="2835" w:hanging="420"/>
      </w:pPr>
    </w:lvl>
    <w:lvl w:ilvl="5" w:tentative="0">
      <w:start w:val="1"/>
      <w:numFmt w:val="lowerRoman"/>
      <w:lvlText w:val="%6."/>
      <w:lvlJc w:val="right"/>
      <w:pPr>
        <w:ind w:left="3255" w:hanging="420"/>
      </w:pPr>
    </w:lvl>
    <w:lvl w:ilvl="6" w:tentative="0">
      <w:start w:val="1"/>
      <w:numFmt w:val="decimal"/>
      <w:lvlText w:val="%7."/>
      <w:lvlJc w:val="left"/>
      <w:pPr>
        <w:ind w:left="3675" w:hanging="420"/>
      </w:pPr>
    </w:lvl>
    <w:lvl w:ilvl="7" w:tentative="0">
      <w:start w:val="1"/>
      <w:numFmt w:val="lowerLetter"/>
      <w:lvlText w:val="%8)"/>
      <w:lvlJc w:val="left"/>
      <w:pPr>
        <w:ind w:left="4095" w:hanging="420"/>
      </w:pPr>
    </w:lvl>
    <w:lvl w:ilvl="8" w:tentative="0">
      <w:start w:val="1"/>
      <w:numFmt w:val="lowerRoman"/>
      <w:lvlText w:val="%9."/>
      <w:lvlJc w:val="right"/>
      <w:pPr>
        <w:ind w:left="4515" w:hanging="420"/>
      </w:pPr>
    </w:lvl>
  </w:abstractNum>
  <w:abstractNum w:abstractNumId="8">
    <w:nsid w:val="49B15EC5"/>
    <w:multiLevelType w:val="multilevel"/>
    <w:tmpl w:val="49B15EC5"/>
    <w:lvl w:ilvl="0" w:tentative="0">
      <w:start w:val="1"/>
      <w:numFmt w:val="decimal"/>
      <w:lvlText w:val="%1)"/>
      <w:lvlJc w:val="left"/>
      <w:pPr>
        <w:ind w:left="1155" w:hanging="420"/>
      </w:pPr>
    </w:lvl>
    <w:lvl w:ilvl="1" w:tentative="0">
      <w:start w:val="1"/>
      <w:numFmt w:val="lowerLetter"/>
      <w:lvlText w:val="%2)"/>
      <w:lvlJc w:val="left"/>
      <w:pPr>
        <w:ind w:left="1575" w:hanging="420"/>
      </w:pPr>
    </w:lvl>
    <w:lvl w:ilvl="2" w:tentative="0">
      <w:start w:val="1"/>
      <w:numFmt w:val="lowerRoman"/>
      <w:lvlText w:val="%3."/>
      <w:lvlJc w:val="right"/>
      <w:pPr>
        <w:ind w:left="1995" w:hanging="420"/>
      </w:pPr>
    </w:lvl>
    <w:lvl w:ilvl="3" w:tentative="0">
      <w:start w:val="1"/>
      <w:numFmt w:val="decimal"/>
      <w:lvlText w:val="%4."/>
      <w:lvlJc w:val="left"/>
      <w:pPr>
        <w:ind w:left="2415" w:hanging="420"/>
      </w:pPr>
    </w:lvl>
    <w:lvl w:ilvl="4" w:tentative="0">
      <w:start w:val="1"/>
      <w:numFmt w:val="lowerLetter"/>
      <w:lvlText w:val="%5)"/>
      <w:lvlJc w:val="left"/>
      <w:pPr>
        <w:ind w:left="2835" w:hanging="420"/>
      </w:pPr>
    </w:lvl>
    <w:lvl w:ilvl="5" w:tentative="0">
      <w:start w:val="1"/>
      <w:numFmt w:val="lowerRoman"/>
      <w:lvlText w:val="%6."/>
      <w:lvlJc w:val="right"/>
      <w:pPr>
        <w:ind w:left="3255" w:hanging="420"/>
      </w:pPr>
    </w:lvl>
    <w:lvl w:ilvl="6" w:tentative="0">
      <w:start w:val="1"/>
      <w:numFmt w:val="decimal"/>
      <w:lvlText w:val="%7."/>
      <w:lvlJc w:val="left"/>
      <w:pPr>
        <w:ind w:left="3675" w:hanging="420"/>
      </w:pPr>
    </w:lvl>
    <w:lvl w:ilvl="7" w:tentative="0">
      <w:start w:val="1"/>
      <w:numFmt w:val="lowerLetter"/>
      <w:lvlText w:val="%8)"/>
      <w:lvlJc w:val="left"/>
      <w:pPr>
        <w:ind w:left="4095" w:hanging="420"/>
      </w:pPr>
    </w:lvl>
    <w:lvl w:ilvl="8" w:tentative="0">
      <w:start w:val="1"/>
      <w:numFmt w:val="lowerRoman"/>
      <w:lvlText w:val="%9."/>
      <w:lvlJc w:val="right"/>
      <w:pPr>
        <w:ind w:left="4515" w:hanging="420"/>
      </w:pPr>
    </w:lvl>
  </w:abstractNum>
  <w:abstractNum w:abstractNumId="9">
    <w:nsid w:val="503A0B7D"/>
    <w:multiLevelType w:val="multilevel"/>
    <w:tmpl w:val="503A0B7D"/>
    <w:lvl w:ilvl="0" w:tentative="0">
      <w:start w:val="1"/>
      <w:numFmt w:val="decimal"/>
      <w:lvlText w:val="%1）"/>
      <w:lvlJc w:val="left"/>
      <w:pPr>
        <w:ind w:left="780" w:hanging="360"/>
      </w:pPr>
      <w:rPr>
        <w:rFonts w:hint="default" w:ascii="Cambria Math" w:hAnsi="Cambria Math"/>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0">
    <w:nsid w:val="532F7C4C"/>
    <w:multiLevelType w:val="multilevel"/>
    <w:tmpl w:val="532F7C4C"/>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1">
    <w:nsid w:val="6C055118"/>
    <w:multiLevelType w:val="multilevel"/>
    <w:tmpl w:val="6C055118"/>
    <w:lvl w:ilvl="0" w:tentative="0">
      <w:start w:val="1"/>
      <w:numFmt w:val="decimal"/>
      <w:lvlText w:val="%1)"/>
      <w:lvlJc w:val="left"/>
      <w:pPr>
        <w:ind w:left="840" w:hanging="420"/>
      </w:pPr>
    </w:lvl>
    <w:lvl w:ilvl="1" w:tentative="0">
      <w:start w:val="1"/>
      <w:numFmt w:val="lowerLetter"/>
      <w:lvlText w:val="%2）"/>
      <w:lvlJc w:val="left"/>
      <w:pPr>
        <w:ind w:left="1530" w:hanging="690"/>
      </w:pPr>
      <w:rPr>
        <w:rFonts w:hint="default"/>
      </w:r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2">
    <w:nsid w:val="6EE92E15"/>
    <w:multiLevelType w:val="multilevel"/>
    <w:tmpl w:val="6EE92E15"/>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3">
    <w:nsid w:val="7DB4238E"/>
    <w:multiLevelType w:val="multilevel"/>
    <w:tmpl w:val="7DB4238E"/>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num w:numId="1">
    <w:abstractNumId w:val="0"/>
  </w:num>
  <w:num w:numId="2">
    <w:abstractNumId w:val="7"/>
  </w:num>
  <w:num w:numId="3">
    <w:abstractNumId w:val="8"/>
  </w:num>
  <w:num w:numId="4">
    <w:abstractNumId w:val="4"/>
  </w:num>
  <w:num w:numId="5">
    <w:abstractNumId w:val="3"/>
  </w:num>
  <w:num w:numId="6">
    <w:abstractNumId w:val="11"/>
  </w:num>
  <w:num w:numId="7">
    <w:abstractNumId w:val="13"/>
  </w:num>
  <w:num w:numId="8">
    <w:abstractNumId w:val="2"/>
  </w:num>
  <w:num w:numId="9">
    <w:abstractNumId w:val="10"/>
  </w:num>
  <w:num w:numId="10">
    <w:abstractNumId w:val="1"/>
  </w:num>
  <w:num w:numId="11">
    <w:abstractNumId w:val="12"/>
  </w:num>
  <w:num w:numId="12">
    <w:abstractNumId w:val="6"/>
  </w:num>
  <w:num w:numId="13">
    <w:abstractNumId w:val="5"/>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MzQyZjRmZTQzMjkyZmU1YTg0ODBjMzRlNTNlYTQ3ZmIifQ=="/>
  </w:docVars>
  <w:rsids>
    <w:rsidRoot w:val="6D9730C5"/>
    <w:rsid w:val="000566FD"/>
    <w:rsid w:val="002F1E5B"/>
    <w:rsid w:val="003267DA"/>
    <w:rsid w:val="003443B1"/>
    <w:rsid w:val="0058646B"/>
    <w:rsid w:val="009C6028"/>
    <w:rsid w:val="01080A12"/>
    <w:rsid w:val="011F70D4"/>
    <w:rsid w:val="013F3A6A"/>
    <w:rsid w:val="014F4893"/>
    <w:rsid w:val="019E081A"/>
    <w:rsid w:val="01A37EA7"/>
    <w:rsid w:val="01F4172C"/>
    <w:rsid w:val="021867D0"/>
    <w:rsid w:val="02B760F1"/>
    <w:rsid w:val="02FA37BC"/>
    <w:rsid w:val="03891862"/>
    <w:rsid w:val="055879A1"/>
    <w:rsid w:val="07632054"/>
    <w:rsid w:val="07C5140B"/>
    <w:rsid w:val="0869511D"/>
    <w:rsid w:val="091A5353"/>
    <w:rsid w:val="0B390634"/>
    <w:rsid w:val="0BD45D4F"/>
    <w:rsid w:val="0C134CB2"/>
    <w:rsid w:val="0D922111"/>
    <w:rsid w:val="0DAE0103"/>
    <w:rsid w:val="0DD423A8"/>
    <w:rsid w:val="0DE77F12"/>
    <w:rsid w:val="0E20133D"/>
    <w:rsid w:val="0E490605"/>
    <w:rsid w:val="0E72207B"/>
    <w:rsid w:val="0EAC0966"/>
    <w:rsid w:val="0EF8660C"/>
    <w:rsid w:val="0F1B5DB5"/>
    <w:rsid w:val="0F6239E3"/>
    <w:rsid w:val="108B6D7B"/>
    <w:rsid w:val="11B1653C"/>
    <w:rsid w:val="11B666B4"/>
    <w:rsid w:val="11CB30EA"/>
    <w:rsid w:val="13B93B6C"/>
    <w:rsid w:val="142F76A5"/>
    <w:rsid w:val="14380A95"/>
    <w:rsid w:val="14535E79"/>
    <w:rsid w:val="14DD2C1B"/>
    <w:rsid w:val="14E75240"/>
    <w:rsid w:val="15566D5E"/>
    <w:rsid w:val="16272ADD"/>
    <w:rsid w:val="16E11692"/>
    <w:rsid w:val="17001571"/>
    <w:rsid w:val="173619DD"/>
    <w:rsid w:val="17BB6387"/>
    <w:rsid w:val="188744BB"/>
    <w:rsid w:val="195425EF"/>
    <w:rsid w:val="1A605174"/>
    <w:rsid w:val="1ABE4F06"/>
    <w:rsid w:val="1AC83294"/>
    <w:rsid w:val="1AD655B7"/>
    <w:rsid w:val="1C274029"/>
    <w:rsid w:val="1CAB5593"/>
    <w:rsid w:val="1D721295"/>
    <w:rsid w:val="1E287D28"/>
    <w:rsid w:val="1EE80CDA"/>
    <w:rsid w:val="1F7532BF"/>
    <w:rsid w:val="20527AEC"/>
    <w:rsid w:val="20C2345D"/>
    <w:rsid w:val="21E060F6"/>
    <w:rsid w:val="23485F72"/>
    <w:rsid w:val="240F7F39"/>
    <w:rsid w:val="24FF28F9"/>
    <w:rsid w:val="251406E0"/>
    <w:rsid w:val="260206E7"/>
    <w:rsid w:val="26330B38"/>
    <w:rsid w:val="26384900"/>
    <w:rsid w:val="27987A6A"/>
    <w:rsid w:val="28403892"/>
    <w:rsid w:val="28D72411"/>
    <w:rsid w:val="294C2F64"/>
    <w:rsid w:val="2C444745"/>
    <w:rsid w:val="2C4604BD"/>
    <w:rsid w:val="2CCD473A"/>
    <w:rsid w:val="2D353BCF"/>
    <w:rsid w:val="2D385ABF"/>
    <w:rsid w:val="2D9A5504"/>
    <w:rsid w:val="2E812EA1"/>
    <w:rsid w:val="2F417517"/>
    <w:rsid w:val="2F44472E"/>
    <w:rsid w:val="302649E7"/>
    <w:rsid w:val="305040FC"/>
    <w:rsid w:val="307F47A2"/>
    <w:rsid w:val="312A65DD"/>
    <w:rsid w:val="31342FDA"/>
    <w:rsid w:val="31482F39"/>
    <w:rsid w:val="31DE211E"/>
    <w:rsid w:val="329E00AD"/>
    <w:rsid w:val="32C108BD"/>
    <w:rsid w:val="3335369D"/>
    <w:rsid w:val="34DA058F"/>
    <w:rsid w:val="35172430"/>
    <w:rsid w:val="354C0D81"/>
    <w:rsid w:val="36055FB1"/>
    <w:rsid w:val="36CE5337"/>
    <w:rsid w:val="37364124"/>
    <w:rsid w:val="376F1E40"/>
    <w:rsid w:val="37C323E9"/>
    <w:rsid w:val="37C6296F"/>
    <w:rsid w:val="37E67E94"/>
    <w:rsid w:val="383B5D6A"/>
    <w:rsid w:val="38AE4C7F"/>
    <w:rsid w:val="39C849EA"/>
    <w:rsid w:val="3A2F0753"/>
    <w:rsid w:val="3AB5124B"/>
    <w:rsid w:val="3AD77BE9"/>
    <w:rsid w:val="3B33651B"/>
    <w:rsid w:val="3DEB6E0F"/>
    <w:rsid w:val="3E247F32"/>
    <w:rsid w:val="3E3D0FF4"/>
    <w:rsid w:val="3E607D79"/>
    <w:rsid w:val="3EC040FF"/>
    <w:rsid w:val="3EE95920"/>
    <w:rsid w:val="3EF6113C"/>
    <w:rsid w:val="3F550817"/>
    <w:rsid w:val="3F585548"/>
    <w:rsid w:val="3F7B7928"/>
    <w:rsid w:val="3FB12189"/>
    <w:rsid w:val="3FD47305"/>
    <w:rsid w:val="3FF76698"/>
    <w:rsid w:val="401F2BF9"/>
    <w:rsid w:val="40CB549D"/>
    <w:rsid w:val="41A55233"/>
    <w:rsid w:val="427B0F3A"/>
    <w:rsid w:val="427B6B1F"/>
    <w:rsid w:val="430805E6"/>
    <w:rsid w:val="432C1C27"/>
    <w:rsid w:val="438213E1"/>
    <w:rsid w:val="44FD51B4"/>
    <w:rsid w:val="45862AF8"/>
    <w:rsid w:val="47106BDA"/>
    <w:rsid w:val="47245DE4"/>
    <w:rsid w:val="49062BDD"/>
    <w:rsid w:val="49306869"/>
    <w:rsid w:val="4DB05926"/>
    <w:rsid w:val="4DDD4EA4"/>
    <w:rsid w:val="4DED405F"/>
    <w:rsid w:val="4ECA68D4"/>
    <w:rsid w:val="50501F54"/>
    <w:rsid w:val="51D35A9F"/>
    <w:rsid w:val="523429E2"/>
    <w:rsid w:val="52950FA7"/>
    <w:rsid w:val="530A0112"/>
    <w:rsid w:val="531426F5"/>
    <w:rsid w:val="542B1BC3"/>
    <w:rsid w:val="542D7A16"/>
    <w:rsid w:val="54F45765"/>
    <w:rsid w:val="55BB61B1"/>
    <w:rsid w:val="55F9301C"/>
    <w:rsid w:val="57B317F1"/>
    <w:rsid w:val="58525E77"/>
    <w:rsid w:val="586D09FC"/>
    <w:rsid w:val="598E4D65"/>
    <w:rsid w:val="59EC581F"/>
    <w:rsid w:val="5A905C1D"/>
    <w:rsid w:val="5B037E8F"/>
    <w:rsid w:val="5B0B5345"/>
    <w:rsid w:val="5B256C20"/>
    <w:rsid w:val="5C0E36AA"/>
    <w:rsid w:val="5C245875"/>
    <w:rsid w:val="5C3A23FF"/>
    <w:rsid w:val="5D196B28"/>
    <w:rsid w:val="5D782F4B"/>
    <w:rsid w:val="5DF254FF"/>
    <w:rsid w:val="5E41491A"/>
    <w:rsid w:val="5E990887"/>
    <w:rsid w:val="5FFA68EF"/>
    <w:rsid w:val="60070F5D"/>
    <w:rsid w:val="606304C8"/>
    <w:rsid w:val="60812208"/>
    <w:rsid w:val="60E554D1"/>
    <w:rsid w:val="6110461A"/>
    <w:rsid w:val="61DC44FC"/>
    <w:rsid w:val="622B3B39"/>
    <w:rsid w:val="6257387A"/>
    <w:rsid w:val="63845454"/>
    <w:rsid w:val="64E718E9"/>
    <w:rsid w:val="65012A05"/>
    <w:rsid w:val="65BA4077"/>
    <w:rsid w:val="67174A22"/>
    <w:rsid w:val="681C1AF7"/>
    <w:rsid w:val="683D2858"/>
    <w:rsid w:val="695C15B6"/>
    <w:rsid w:val="69E45E93"/>
    <w:rsid w:val="69F17170"/>
    <w:rsid w:val="69F9496F"/>
    <w:rsid w:val="6A8B2F63"/>
    <w:rsid w:val="6B31045D"/>
    <w:rsid w:val="6B641DF5"/>
    <w:rsid w:val="6CC0691B"/>
    <w:rsid w:val="6CE7198C"/>
    <w:rsid w:val="6D9730C5"/>
    <w:rsid w:val="6E5B2D27"/>
    <w:rsid w:val="6F2B6BEF"/>
    <w:rsid w:val="70103BCC"/>
    <w:rsid w:val="70344EA3"/>
    <w:rsid w:val="70604666"/>
    <w:rsid w:val="70E63CFD"/>
    <w:rsid w:val="71E441C8"/>
    <w:rsid w:val="72555406"/>
    <w:rsid w:val="72A44BC2"/>
    <w:rsid w:val="72E36317"/>
    <w:rsid w:val="74D3459E"/>
    <w:rsid w:val="76004806"/>
    <w:rsid w:val="77021AF5"/>
    <w:rsid w:val="77BB2585"/>
    <w:rsid w:val="78C42189"/>
    <w:rsid w:val="78FE53F8"/>
    <w:rsid w:val="79144122"/>
    <w:rsid w:val="794458C9"/>
    <w:rsid w:val="7C1215DA"/>
    <w:rsid w:val="7C2B54C3"/>
    <w:rsid w:val="7C915818"/>
    <w:rsid w:val="7D601AD4"/>
    <w:rsid w:val="7ED87A55"/>
    <w:rsid w:val="7F325817"/>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qFormat/>
    <w:uiPriority w:val="9"/>
    <w:pPr>
      <w:keepNext/>
      <w:keepLines/>
      <w:spacing w:line="578" w:lineRule="auto"/>
      <w:outlineLvl w:val="0"/>
    </w:pPr>
    <w:rPr>
      <w:b/>
      <w:bCs/>
      <w:kern w:val="44"/>
      <w:sz w:val="44"/>
      <w:szCs w:val="44"/>
    </w:rPr>
  </w:style>
  <w:style w:type="paragraph" w:styleId="3">
    <w:name w:val="heading 2"/>
    <w:basedOn w:val="1"/>
    <w:next w:val="1"/>
    <w:qFormat/>
    <w:uiPriority w:val="99"/>
    <w:pPr>
      <w:keepNext/>
      <w:keepLines/>
      <w:spacing w:line="416" w:lineRule="auto"/>
      <w:outlineLvl w:val="1"/>
    </w:pPr>
    <w:rPr>
      <w:rFonts w:ascii="Calibri" w:hAnsi="Calibri"/>
      <w:b/>
      <w:bCs/>
      <w:sz w:val="32"/>
      <w:szCs w:val="32"/>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4">
    <w:name w:val="annotation text"/>
    <w:basedOn w:val="1"/>
    <w:unhideWhenUsed/>
    <w:qFormat/>
    <w:uiPriority w:val="99"/>
    <w:pPr>
      <w:jc w:val="left"/>
    </w:pPr>
  </w:style>
  <w:style w:type="paragraph" w:styleId="5">
    <w:name w:val="Plain Text"/>
    <w:basedOn w:val="1"/>
    <w:qFormat/>
    <w:uiPriority w:val="99"/>
    <w:rPr>
      <w:rFonts w:ascii="黑体" w:hAnsi="Cambria"/>
      <w:szCs w:val="20"/>
    </w:rPr>
  </w:style>
  <w:style w:type="paragraph" w:styleId="6">
    <w:name w:val="Balloon Text"/>
    <w:basedOn w:val="1"/>
    <w:link w:val="18"/>
    <w:qFormat/>
    <w:uiPriority w:val="0"/>
    <w:rPr>
      <w:sz w:val="18"/>
      <w:szCs w:val="18"/>
    </w:rPr>
  </w:style>
  <w:style w:type="paragraph" w:styleId="7">
    <w:name w:val="footer"/>
    <w:basedOn w:val="1"/>
    <w:qFormat/>
    <w:uiPriority w:val="99"/>
    <w:pPr>
      <w:tabs>
        <w:tab w:val="center" w:pos="4153"/>
        <w:tab w:val="right" w:pos="8306"/>
      </w:tabs>
      <w:snapToGrid w:val="0"/>
      <w:jc w:val="left"/>
    </w:pPr>
    <w:rPr>
      <w:sz w:val="18"/>
      <w:szCs w:val="18"/>
    </w:rPr>
  </w:style>
  <w:style w:type="paragraph" w:styleId="8">
    <w:name w:val="header"/>
    <w:basedOn w:val="1"/>
    <w:qFormat/>
    <w:uiPriority w:val="99"/>
    <w:pPr>
      <w:pBdr>
        <w:bottom w:val="single" w:color="auto" w:sz="6" w:space="1"/>
      </w:pBdr>
      <w:tabs>
        <w:tab w:val="center" w:pos="4153"/>
        <w:tab w:val="right" w:pos="8306"/>
      </w:tabs>
      <w:snapToGrid w:val="0"/>
      <w:jc w:val="center"/>
    </w:pPr>
    <w:rPr>
      <w:sz w:val="18"/>
      <w:szCs w:val="18"/>
    </w:rPr>
  </w:style>
  <w:style w:type="paragraph" w:styleId="9">
    <w:name w:val="toc 1"/>
    <w:basedOn w:val="1"/>
    <w:next w:val="1"/>
    <w:unhideWhenUsed/>
    <w:qFormat/>
    <w:uiPriority w:val="39"/>
    <w:pPr>
      <w:tabs>
        <w:tab w:val="left" w:pos="284"/>
        <w:tab w:val="right" w:leader="dot" w:pos="8296"/>
      </w:tabs>
    </w:pPr>
  </w:style>
  <w:style w:type="paragraph" w:styleId="10">
    <w:name w:val="toc 2"/>
    <w:basedOn w:val="1"/>
    <w:next w:val="1"/>
    <w:unhideWhenUsed/>
    <w:qFormat/>
    <w:uiPriority w:val="39"/>
    <w:pPr>
      <w:tabs>
        <w:tab w:val="left" w:pos="851"/>
        <w:tab w:val="right" w:leader="dot" w:pos="8296"/>
      </w:tabs>
      <w:ind w:left="420" w:leftChars="200"/>
    </w:p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
    <w:name w:val="_Style 4"/>
    <w:basedOn w:val="2"/>
    <w:next w:val="1"/>
    <w:qFormat/>
    <w:uiPriority w:val="39"/>
    <w:pPr>
      <w:widowControl/>
      <w:spacing w:before="480" w:line="276" w:lineRule="auto"/>
      <w:jc w:val="left"/>
      <w:outlineLvl w:val="9"/>
    </w:pPr>
    <w:rPr>
      <w:rFonts w:ascii="Calibri" w:hAnsi="Calibri" w:eastAsia="黑体" w:cs="Cambria Math"/>
      <w:color w:val="365F91"/>
      <w:kern w:val="0"/>
      <w:sz w:val="28"/>
      <w:szCs w:val="28"/>
    </w:rPr>
  </w:style>
  <w:style w:type="paragraph" w:customStyle="1" w:styleId="15">
    <w:name w:val="首行缩进"/>
    <w:basedOn w:val="1"/>
    <w:qFormat/>
    <w:uiPriority w:val="99"/>
    <w:pPr>
      <w:spacing w:line="300" w:lineRule="auto"/>
      <w:ind w:firstLine="420" w:firstLineChars="200"/>
    </w:pPr>
    <w:rPr>
      <w:rFonts w:eastAsia="Courier New"/>
      <w:szCs w:val="20"/>
    </w:rPr>
  </w:style>
  <w:style w:type="paragraph" w:customStyle="1" w:styleId="16">
    <w:name w:val="注×：（正文）"/>
    <w:qFormat/>
    <w:uiPriority w:val="0"/>
    <w:pPr>
      <w:tabs>
        <w:tab w:val="left" w:pos="360"/>
      </w:tabs>
      <w:jc w:val="both"/>
    </w:pPr>
    <w:rPr>
      <w:rFonts w:ascii="黑体" w:hAnsi="Times New Roman" w:eastAsia="宋体" w:cs="Times New Roman"/>
      <w:sz w:val="18"/>
      <w:szCs w:val="18"/>
      <w:lang w:val="en-US" w:eastAsia="zh-CN" w:bidi="ar-SA"/>
    </w:rPr>
  </w:style>
  <w:style w:type="paragraph" w:customStyle="1" w:styleId="17">
    <w:name w:val="_Style 5"/>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8">
    <w:name w:val="批注框文本 Char"/>
    <w:basedOn w:val="13"/>
    <w:link w:val="6"/>
    <w:qFormat/>
    <w:uiPriority w:val="0"/>
    <w:rPr>
      <w:kern w:val="2"/>
      <w:sz w:val="18"/>
      <w:szCs w:val="18"/>
    </w:rPr>
  </w:style>
  <w:style w:type="character" w:customStyle="1" w:styleId="19">
    <w:name w:val="font51"/>
    <w:basedOn w:val="13"/>
    <w:qFormat/>
    <w:uiPriority w:val="0"/>
    <w:rPr>
      <w:rFonts w:hint="default" w:ascii="Times New Roman" w:hAnsi="Times New Roman" w:cs="Times New Roman"/>
      <w:color w:val="00B0F0"/>
      <w:sz w:val="21"/>
      <w:szCs w:val="21"/>
      <w:u w:val="none"/>
    </w:rPr>
  </w:style>
  <w:style w:type="character" w:customStyle="1" w:styleId="20">
    <w:name w:val="font21"/>
    <w:basedOn w:val="13"/>
    <w:qFormat/>
    <w:uiPriority w:val="0"/>
    <w:rPr>
      <w:rFonts w:hint="default" w:ascii="Times New Roman" w:hAnsi="Times New Roman" w:cs="Times New Roman"/>
      <w:color w:val="000000"/>
      <w:sz w:val="21"/>
      <w:szCs w:val="21"/>
      <w:u w:val="none"/>
    </w:rPr>
  </w:style>
  <w:style w:type="character" w:customStyle="1" w:styleId="21">
    <w:name w:val="font11"/>
    <w:basedOn w:val="13"/>
    <w:qFormat/>
    <w:uiPriority w:val="0"/>
    <w:rPr>
      <w:rFonts w:hint="eastAsia" w:ascii="宋体" w:hAnsi="宋体" w:eastAsia="宋体" w:cs="宋体"/>
      <w:color w:val="000000"/>
      <w:sz w:val="21"/>
      <w:szCs w:val="21"/>
      <w:u w:val="none"/>
    </w:rPr>
  </w:style>
  <w:style w:type="character" w:customStyle="1" w:styleId="22">
    <w:name w:val="font31"/>
    <w:basedOn w:val="13"/>
    <w:qFormat/>
    <w:uiPriority w:val="0"/>
    <w:rPr>
      <w:rFonts w:hint="eastAsia" w:ascii="宋体" w:hAnsi="宋体" w:eastAsia="宋体" w:cs="宋体"/>
      <w:color w:val="000000"/>
      <w:sz w:val="21"/>
      <w:szCs w:val="21"/>
      <w:u w:val="none"/>
    </w:rPr>
  </w:style>
  <w:style w:type="character" w:customStyle="1" w:styleId="23">
    <w:name w:val="font41"/>
    <w:basedOn w:val="13"/>
    <w:qFormat/>
    <w:uiPriority w:val="0"/>
    <w:rPr>
      <w:rFonts w:hint="default" w:ascii="Times New Roman" w:hAnsi="Times New Roman" w:cs="Times New Roman"/>
      <w:color w:val="000000"/>
      <w:sz w:val="21"/>
      <w:szCs w:val="21"/>
      <w:u w:val="none"/>
    </w:rPr>
  </w:style>
  <w:style w:type="character" w:customStyle="1" w:styleId="24">
    <w:name w:val="font61"/>
    <w:basedOn w:val="13"/>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2.wmf"/><Relationship Id="rId8" Type="http://schemas.openxmlformats.org/officeDocument/2006/relationships/oleObject" Target="embeddings/oleObject1.bin"/><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wmf"/><Relationship Id="rId15" Type="http://schemas.openxmlformats.org/officeDocument/2006/relationships/oleObject" Target="embeddings/oleObject5.bin"/><Relationship Id="rId14" Type="http://schemas.openxmlformats.org/officeDocument/2006/relationships/oleObject" Target="embeddings/oleObject4.bin"/><Relationship Id="rId13" Type="http://schemas.openxmlformats.org/officeDocument/2006/relationships/image" Target="media/image4.wmf"/><Relationship Id="rId12" Type="http://schemas.openxmlformats.org/officeDocument/2006/relationships/oleObject" Target="embeddings/oleObject3.bin"/><Relationship Id="rId11" Type="http://schemas.openxmlformats.org/officeDocument/2006/relationships/image" Target="media/image3.wmf"/><Relationship Id="rId10" Type="http://schemas.openxmlformats.org/officeDocument/2006/relationships/oleObject" Target="embeddings/oleObject2.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21</Pages>
  <Words>10324</Words>
  <Characters>12269</Characters>
  <Lines>106</Lines>
  <Paragraphs>29</Paragraphs>
  <TotalTime>0</TotalTime>
  <ScaleCrop>false</ScaleCrop>
  <LinksUpToDate>false</LinksUpToDate>
  <CharactersWithSpaces>12552</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2022-06-20T09:34:00Z</dcterms:created>
  <dc:creator>李喆</dc:creator>
  <cp:lastModifiedBy>李喆</cp:lastModifiedBy>
  <dcterms:modified xsi:type="dcterms:W3CDTF">2024-04-02T11:39:46Z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52C6E80F75E14708B39AF400C4BE6200</vt:lpwstr>
  </property>
</Properties>
</file>