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0.11.0 -->
  <w:body>
    <w:p>
      <w:pPr>
        <w:overflowPunct w:val="0"/>
        <w:topLinePunct/>
        <w:spacing w:line="360" w:lineRule="auto"/>
        <w:jc w:val="left"/>
        <w:rPr>
          <w:rStyle w:val="EUChar"/>
          <w:rFonts w:ascii="黑体" w:eastAsia="黑体" w:hAnsi="黑体" w:cs="黑体" w:hint="default"/>
          <w:b w:val="0"/>
          <w:bCs w:val="0"/>
          <w:sz w:val="32"/>
          <w:szCs w:val="32"/>
          <w:highlight w:val="none"/>
        </w:rPr>
      </w:pPr>
      <w:bookmarkStart w:id="0" w:name="_GoBack"/>
      <w:r>
        <w:rPr>
          <w:rStyle w:val="EUChar"/>
          <w:rFonts w:ascii="黑体" w:eastAsia="黑体" w:hAnsi="黑体" w:cs="黑体" w:hint="eastAsia"/>
          <w:b w:val="0"/>
          <w:bCs w:val="0"/>
          <w:sz w:val="32"/>
          <w:szCs w:val="32"/>
          <w:highlight w:val="none"/>
        </w:rPr>
        <w:t>签报〔2026〕-71号</w:t>
      </w:r>
      <w:r>
        <w:rPr>
          <w:rStyle w:val="EUChar"/>
          <w:rFonts w:ascii="黑体" w:eastAsia="黑体" w:hAnsi="黑体" w:cs="黑体" w:hint="eastAsia"/>
          <w:b w:val="0"/>
          <w:bCs w:val="0"/>
          <w:sz w:val="32"/>
          <w:szCs w:val="32"/>
          <w:highlight w:val="none"/>
          <w:lang w:val="en-US" w:eastAsia="zh-CN"/>
        </w:rPr>
        <w:t>附件1</w:t>
      </w:r>
    </w:p>
    <w:bookmarkEnd w:id="0"/>
    <w:p>
      <w:pPr>
        <w:overflowPunct w:val="0"/>
        <w:topLinePunct/>
        <w:spacing w:line="360" w:lineRule="auto"/>
        <w:jc w:val="center"/>
        <w:rPr>
          <w:rStyle w:val="EUChar"/>
          <w:rFonts w:ascii="Times New Roman" w:hint="eastAsia"/>
          <w:b/>
          <w:bCs/>
          <w:highlight w:val="none"/>
        </w:rPr>
      </w:pPr>
    </w:p>
    <w:p>
      <w:pPr>
        <w:overflowPunct w:val="0"/>
        <w:topLinePunct/>
        <w:spacing w:line="360" w:lineRule="auto"/>
        <w:jc w:val="center"/>
        <w:rPr>
          <w:rStyle w:val="EUChar"/>
          <w:rFonts w:ascii="Times New Roman"/>
          <w:b/>
          <w:bCs/>
          <w:highlight w:val="none"/>
        </w:rPr>
      </w:pPr>
      <w:r>
        <w:rPr>
          <w:rStyle w:val="EUChar"/>
          <w:rFonts w:ascii="Times New Roman" w:hint="eastAsia"/>
          <w:b/>
          <w:bCs/>
          <w:highlight w:val="none"/>
        </w:rPr>
        <w:t>预装式微型电动重卡换电站系统</w:t>
      </w:r>
      <w:r>
        <w:rPr>
          <w:rStyle w:val="EUChar"/>
          <w:rFonts w:ascii="Times New Roman"/>
          <w:b/>
          <w:bCs/>
          <w:highlight w:val="none"/>
        </w:rPr>
        <w:t>配置</w:t>
      </w:r>
    </w:p>
    <w:p>
      <w:pPr>
        <w:pStyle w:val="-2"/>
        <w:numPr>
          <w:ilvl w:val="1"/>
          <w:numId w:val="0"/>
        </w:numPr>
        <w:tabs>
          <w:tab w:val="clear" w:pos="567"/>
          <w:tab w:val="clear" w:pos="851"/>
          <w:tab w:val="clear" w:pos="1144"/>
        </w:tabs>
        <w:ind w:leftChars="0"/>
        <w:outlineLvl w:val="1"/>
        <w:rPr>
          <w:rFonts w:ascii="Times New Roman" w:hAnsi="Times New Roman" w:hint="eastAsia"/>
          <w:color w:val="auto"/>
          <w:sz w:val="24"/>
          <w:szCs w:val="24"/>
          <w:highlight w:val="none"/>
          <w:lang w:val="en-US" w:eastAsia="zh-CN"/>
        </w:rPr>
      </w:pPr>
      <w:r>
        <w:rPr>
          <w:rFonts w:ascii="Times New Roman" w:hAnsi="Times New Roman" w:hint="eastAsia"/>
          <w:color w:val="auto"/>
          <w:sz w:val="24"/>
          <w:szCs w:val="24"/>
          <w:highlight w:val="none"/>
          <w:lang w:val="en-US" w:eastAsia="zh-CN"/>
        </w:rPr>
        <w:t>1.系统配置</w:t>
      </w:r>
    </w:p>
    <w:p>
      <w:pPr>
        <w:numPr>
          <w:ilvl w:val="0"/>
          <w:numId w:val="0"/>
        </w:numPr>
        <w:overflowPunct w:val="0"/>
        <w:topLinePunct/>
        <w:spacing w:line="360" w:lineRule="auto"/>
        <w:ind w:firstLine="420" w:firstLineChars="200"/>
        <w:jc w:val="left"/>
        <w:rPr>
          <w:rStyle w:val="EUChar"/>
          <w:rFonts w:ascii="Times New Roman"/>
          <w:highlight w:val="none"/>
        </w:rPr>
      </w:pPr>
      <w:r>
        <w:rPr>
          <w:rStyle w:val="EUChar"/>
          <w:rFonts w:ascii="Times New Roman" w:hint="eastAsia"/>
          <w:highlight w:val="none"/>
        </w:rPr>
        <w:t>预装式微型电动重卡换电站系统基本配置：设置1个车道，4个电池仓位。换电站配置4台300kW充电机，可对电池进行快速充电，单台最大充电电流为400A，充电时间约60min</w:t>
      </w:r>
      <w:r>
        <w:rPr>
          <w:rStyle w:val="EUChar"/>
          <w:rFonts w:ascii="Times New Roman"/>
          <w:highlight w:val="none"/>
        </w:rPr>
        <w:t>。</w:t>
      </w:r>
    </w:p>
    <w:p>
      <w:pPr>
        <w:spacing w:before="156" w:beforeLines="50" w:after="156" w:afterLines="50"/>
        <w:jc w:val="center"/>
        <w:rPr>
          <w:kern w:val="21"/>
          <w:szCs w:val="21"/>
          <w:highlight w:val="none"/>
        </w:rPr>
      </w:pPr>
      <w:r>
        <w:rPr>
          <w:kern w:val="21"/>
          <w:szCs w:val="21"/>
          <w:highlight w:val="none"/>
        </w:rPr>
        <w:t>表</w:t>
      </w:r>
      <w:r>
        <w:rPr>
          <w:rFonts w:hint="eastAsia"/>
          <w:kern w:val="21"/>
          <w:szCs w:val="21"/>
          <w:highlight w:val="none"/>
          <w:lang w:val="en-US" w:eastAsia="zh-CN"/>
        </w:rPr>
        <w:t>1</w:t>
      </w:r>
      <w:r>
        <w:rPr>
          <w:kern w:val="21"/>
          <w:szCs w:val="21"/>
          <w:highlight w:val="none"/>
        </w:rPr>
        <w:t xml:space="preserve"> </w:t>
      </w:r>
      <w:r>
        <w:rPr>
          <w:kern w:val="21"/>
          <w:highlight w:val="none"/>
        </w:rPr>
        <w:t>设备</w:t>
      </w:r>
      <w:r>
        <w:rPr>
          <w:kern w:val="21"/>
          <w:szCs w:val="21"/>
          <w:highlight w:val="none"/>
        </w:rPr>
        <w:t>总体技术要求</w:t>
      </w:r>
    </w:p>
    <w:tbl>
      <w:tblPr>
        <w:tblStyle w:val="TableNormal"/>
        <w:tblW w:w="94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28"/>
        <w:gridCol w:w="1646"/>
        <w:gridCol w:w="3692"/>
        <w:gridCol w:w="3377"/>
      </w:tblGrid>
      <w:tr>
        <w:tblPrEx>
          <w:tblW w:w="94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8"/>
          <w:jc w:val="center"/>
        </w:trPr>
        <w:tc>
          <w:tcPr>
            <w:tcW w:w="728" w:type="dxa"/>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1"/>
                <w:highlight w:val="none"/>
              </w:rPr>
            </w:pPr>
            <w:r>
              <w:rPr>
                <w:szCs w:val="21"/>
                <w:highlight w:val="none"/>
              </w:rPr>
              <w:t>序号</w:t>
            </w:r>
          </w:p>
        </w:tc>
        <w:tc>
          <w:tcPr>
            <w:tcW w:w="1646" w:type="dxa"/>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1"/>
                <w:highlight w:val="none"/>
              </w:rPr>
            </w:pPr>
            <w:r>
              <w:rPr>
                <w:szCs w:val="21"/>
                <w:highlight w:val="none"/>
              </w:rPr>
              <w:t>项目名称</w:t>
            </w:r>
          </w:p>
        </w:tc>
        <w:tc>
          <w:tcPr>
            <w:tcW w:w="3692" w:type="dxa"/>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74" w:firstLineChars="83"/>
              <w:jc w:val="center"/>
              <w:rPr>
                <w:szCs w:val="21"/>
                <w:highlight w:val="none"/>
              </w:rPr>
            </w:pPr>
            <w:r>
              <w:rPr>
                <w:szCs w:val="21"/>
                <w:highlight w:val="none"/>
              </w:rPr>
              <w:t>规格/技术参数</w:t>
            </w:r>
          </w:p>
        </w:tc>
        <w:tc>
          <w:tcPr>
            <w:tcW w:w="3377" w:type="dxa"/>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74" w:firstLineChars="83"/>
              <w:rPr>
                <w:szCs w:val="21"/>
                <w:highlight w:val="none"/>
              </w:rPr>
            </w:pPr>
            <w:r>
              <w:rPr>
                <w:szCs w:val="21"/>
                <w:highlight w:val="none"/>
              </w:rPr>
              <w:t>备注</w:t>
            </w:r>
          </w:p>
        </w:tc>
      </w:tr>
      <w:tr>
        <w:tblPrEx>
          <w:tblW w:w="9443" w:type="dxa"/>
          <w:jc w:val="center"/>
          <w:tblLayout w:type="fixed"/>
          <w:tblCellMar>
            <w:top w:w="0" w:type="dxa"/>
            <w:left w:w="108" w:type="dxa"/>
            <w:bottom w:w="0" w:type="dxa"/>
            <w:right w:w="108" w:type="dxa"/>
          </w:tblCellMar>
        </w:tblPrEx>
        <w:trPr>
          <w:trHeight w:val="398"/>
          <w:jc w:val="center"/>
        </w:trPr>
        <w:tc>
          <w:tcPr>
            <w:tcW w:w="728" w:type="dxa"/>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1"/>
                <w:highlight w:val="none"/>
              </w:rPr>
            </w:pPr>
            <w:r>
              <w:rPr>
                <w:szCs w:val="21"/>
                <w:highlight w:val="none"/>
              </w:rPr>
              <w:t>1</w:t>
            </w:r>
          </w:p>
        </w:tc>
        <w:tc>
          <w:tcPr>
            <w:tcW w:w="1646" w:type="dxa"/>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1"/>
                <w:highlight w:val="none"/>
              </w:rPr>
            </w:pPr>
            <w:r>
              <w:rPr>
                <w:szCs w:val="21"/>
                <w:highlight w:val="none"/>
              </w:rPr>
              <w:t>设备名称</w:t>
            </w:r>
          </w:p>
        </w:tc>
        <w:tc>
          <w:tcPr>
            <w:tcW w:w="3692" w:type="dxa"/>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1"/>
                <w:highlight w:val="none"/>
              </w:rPr>
            </w:pPr>
            <w:r>
              <w:rPr>
                <w:rStyle w:val="EUChar"/>
                <w:rFonts w:ascii="Times New Roman" w:hint="eastAsia"/>
                <w:highlight w:val="none"/>
              </w:rPr>
              <w:t>预装式微型电动重卡换电站系统</w:t>
            </w:r>
          </w:p>
        </w:tc>
        <w:tc>
          <w:tcPr>
            <w:tcW w:w="3377" w:type="dxa"/>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1"/>
                <w:highlight w:val="none"/>
              </w:rPr>
            </w:pPr>
          </w:p>
        </w:tc>
      </w:tr>
      <w:tr>
        <w:tblPrEx>
          <w:tblW w:w="9443" w:type="dxa"/>
          <w:jc w:val="center"/>
          <w:tblLayout w:type="fixed"/>
          <w:tblCellMar>
            <w:top w:w="0" w:type="dxa"/>
            <w:left w:w="108" w:type="dxa"/>
            <w:bottom w:w="0" w:type="dxa"/>
            <w:right w:w="108" w:type="dxa"/>
          </w:tblCellMar>
        </w:tblPrEx>
        <w:trPr>
          <w:trHeight w:val="398"/>
          <w:jc w:val="center"/>
        </w:trPr>
        <w:tc>
          <w:tcPr>
            <w:tcW w:w="728" w:type="dxa"/>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1"/>
                <w:highlight w:val="none"/>
              </w:rPr>
            </w:pPr>
            <w:r>
              <w:rPr>
                <w:szCs w:val="21"/>
                <w:highlight w:val="none"/>
              </w:rPr>
              <w:t>2</w:t>
            </w:r>
          </w:p>
        </w:tc>
        <w:tc>
          <w:tcPr>
            <w:tcW w:w="1646" w:type="dxa"/>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1"/>
                <w:highlight w:val="none"/>
              </w:rPr>
            </w:pPr>
            <w:r>
              <w:rPr>
                <w:szCs w:val="21"/>
                <w:highlight w:val="none"/>
              </w:rPr>
              <w:t>设备型号</w:t>
            </w:r>
          </w:p>
        </w:tc>
        <w:tc>
          <w:tcPr>
            <w:tcW w:w="3692" w:type="dxa"/>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1"/>
                <w:highlight w:val="none"/>
              </w:rPr>
            </w:pPr>
            <w:r>
              <w:rPr>
                <w:szCs w:val="21"/>
                <w:highlight w:val="none"/>
              </w:rPr>
              <w:t>充电4工位，单车道</w:t>
            </w:r>
          </w:p>
        </w:tc>
        <w:tc>
          <w:tcPr>
            <w:tcW w:w="3377" w:type="dxa"/>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FF0000"/>
                <w:szCs w:val="21"/>
                <w:highlight w:val="none"/>
              </w:rPr>
            </w:pPr>
          </w:p>
        </w:tc>
      </w:tr>
      <w:tr>
        <w:tblPrEx>
          <w:tblW w:w="9443" w:type="dxa"/>
          <w:jc w:val="center"/>
          <w:tblLayout w:type="fixed"/>
          <w:tblCellMar>
            <w:top w:w="0" w:type="dxa"/>
            <w:left w:w="108" w:type="dxa"/>
            <w:bottom w:w="0" w:type="dxa"/>
            <w:right w:w="108" w:type="dxa"/>
          </w:tblCellMar>
        </w:tblPrEx>
        <w:trPr>
          <w:trHeight w:val="90"/>
          <w:jc w:val="center"/>
        </w:trPr>
        <w:tc>
          <w:tcPr>
            <w:tcW w:w="728" w:type="dxa"/>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1"/>
                <w:highlight w:val="none"/>
              </w:rPr>
            </w:pPr>
            <w:r>
              <w:rPr>
                <w:szCs w:val="21"/>
                <w:highlight w:val="none"/>
              </w:rPr>
              <w:t>3</w:t>
            </w:r>
          </w:p>
        </w:tc>
        <w:tc>
          <w:tcPr>
            <w:tcW w:w="1646" w:type="dxa"/>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1"/>
                <w:highlight w:val="none"/>
              </w:rPr>
            </w:pPr>
            <w:r>
              <w:rPr>
                <w:szCs w:val="21"/>
                <w:highlight w:val="none"/>
              </w:rPr>
              <w:t>换电时间</w:t>
            </w:r>
          </w:p>
        </w:tc>
        <w:tc>
          <w:tcPr>
            <w:tcW w:w="3692" w:type="dxa"/>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1"/>
                <w:highlight w:val="none"/>
              </w:rPr>
            </w:pPr>
            <w:r>
              <w:rPr>
                <w:szCs w:val="21"/>
                <w:highlight w:val="none"/>
              </w:rPr>
              <w:t>≤5min</w:t>
            </w:r>
          </w:p>
        </w:tc>
        <w:tc>
          <w:tcPr>
            <w:tcW w:w="3377" w:type="dxa"/>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szCs w:val="21"/>
                <w:highlight w:val="none"/>
              </w:rPr>
            </w:pPr>
            <w:r>
              <w:rPr>
                <w:szCs w:val="21"/>
                <w:highlight w:val="none"/>
              </w:rPr>
              <w:t>从开始执行换电到换电结束的时间</w:t>
            </w:r>
            <w:r>
              <w:rPr>
                <w:rFonts w:hint="eastAsia"/>
                <w:szCs w:val="21"/>
                <w:highlight w:val="none"/>
              </w:rPr>
              <w:t>，</w:t>
            </w:r>
          </w:p>
        </w:tc>
      </w:tr>
      <w:tr>
        <w:tblPrEx>
          <w:tblW w:w="9443" w:type="dxa"/>
          <w:jc w:val="center"/>
          <w:tblLayout w:type="fixed"/>
          <w:tblCellMar>
            <w:top w:w="0" w:type="dxa"/>
            <w:left w:w="108" w:type="dxa"/>
            <w:bottom w:w="0" w:type="dxa"/>
            <w:right w:w="108" w:type="dxa"/>
          </w:tblCellMar>
        </w:tblPrEx>
        <w:trPr>
          <w:trHeight w:val="398"/>
          <w:jc w:val="center"/>
        </w:trPr>
        <w:tc>
          <w:tcPr>
            <w:tcW w:w="728" w:type="dxa"/>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1"/>
                <w:highlight w:val="none"/>
              </w:rPr>
            </w:pPr>
            <w:r>
              <w:rPr>
                <w:szCs w:val="21"/>
                <w:highlight w:val="none"/>
              </w:rPr>
              <w:t>4</w:t>
            </w:r>
          </w:p>
        </w:tc>
        <w:tc>
          <w:tcPr>
            <w:tcW w:w="1646" w:type="dxa"/>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1"/>
                <w:highlight w:val="none"/>
              </w:rPr>
            </w:pPr>
            <w:r>
              <w:rPr>
                <w:szCs w:val="21"/>
                <w:highlight w:val="none"/>
              </w:rPr>
              <w:t>充电机数量</w:t>
            </w:r>
          </w:p>
        </w:tc>
        <w:tc>
          <w:tcPr>
            <w:tcW w:w="3692" w:type="dxa"/>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1"/>
                <w:highlight w:val="none"/>
              </w:rPr>
            </w:pPr>
            <w:r>
              <w:rPr>
                <w:szCs w:val="21"/>
                <w:highlight w:val="none"/>
              </w:rPr>
              <w:t>4套</w:t>
            </w:r>
          </w:p>
        </w:tc>
        <w:tc>
          <w:tcPr>
            <w:tcW w:w="3377" w:type="dxa"/>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1"/>
                <w:highlight w:val="none"/>
              </w:rPr>
            </w:pPr>
          </w:p>
        </w:tc>
      </w:tr>
      <w:tr>
        <w:tblPrEx>
          <w:tblW w:w="9443" w:type="dxa"/>
          <w:jc w:val="center"/>
          <w:tblLayout w:type="fixed"/>
          <w:tblCellMar>
            <w:top w:w="0" w:type="dxa"/>
            <w:left w:w="108" w:type="dxa"/>
            <w:bottom w:w="0" w:type="dxa"/>
            <w:right w:w="108" w:type="dxa"/>
          </w:tblCellMar>
        </w:tblPrEx>
        <w:trPr>
          <w:trHeight w:val="398"/>
          <w:jc w:val="center"/>
        </w:trPr>
        <w:tc>
          <w:tcPr>
            <w:tcW w:w="728" w:type="dxa"/>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1"/>
                <w:highlight w:val="none"/>
              </w:rPr>
            </w:pPr>
            <w:r>
              <w:rPr>
                <w:szCs w:val="21"/>
                <w:highlight w:val="none"/>
              </w:rPr>
              <w:t>5</w:t>
            </w:r>
          </w:p>
        </w:tc>
        <w:tc>
          <w:tcPr>
            <w:tcW w:w="1646" w:type="dxa"/>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1"/>
                <w:highlight w:val="none"/>
              </w:rPr>
            </w:pPr>
            <w:r>
              <w:rPr>
                <w:szCs w:val="21"/>
                <w:highlight w:val="none"/>
              </w:rPr>
              <w:t>充电功率</w:t>
            </w:r>
          </w:p>
        </w:tc>
        <w:tc>
          <w:tcPr>
            <w:tcW w:w="3692" w:type="dxa"/>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1"/>
                <w:highlight w:val="none"/>
              </w:rPr>
            </w:pPr>
            <w:r>
              <w:rPr>
                <w:szCs w:val="21"/>
                <w:highlight w:val="none"/>
              </w:rPr>
              <w:t>300kW</w:t>
            </w:r>
          </w:p>
        </w:tc>
        <w:tc>
          <w:tcPr>
            <w:tcW w:w="3377" w:type="dxa"/>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1"/>
                <w:highlight w:val="none"/>
              </w:rPr>
            </w:pPr>
            <w:r>
              <w:rPr>
                <w:szCs w:val="21"/>
                <w:highlight w:val="none"/>
              </w:rPr>
              <w:t>单个充电机充电功率</w:t>
            </w:r>
          </w:p>
        </w:tc>
      </w:tr>
      <w:tr>
        <w:tblPrEx>
          <w:tblW w:w="9443" w:type="dxa"/>
          <w:jc w:val="center"/>
          <w:tblLayout w:type="fixed"/>
          <w:tblCellMar>
            <w:top w:w="0" w:type="dxa"/>
            <w:left w:w="108" w:type="dxa"/>
            <w:bottom w:w="0" w:type="dxa"/>
            <w:right w:w="108" w:type="dxa"/>
          </w:tblCellMar>
        </w:tblPrEx>
        <w:trPr>
          <w:trHeight w:val="398"/>
          <w:jc w:val="center"/>
        </w:trPr>
        <w:tc>
          <w:tcPr>
            <w:tcW w:w="728" w:type="dxa"/>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1"/>
                <w:highlight w:val="none"/>
              </w:rPr>
            </w:pPr>
            <w:r>
              <w:rPr>
                <w:szCs w:val="21"/>
                <w:highlight w:val="none"/>
              </w:rPr>
              <w:t>6</w:t>
            </w:r>
          </w:p>
        </w:tc>
        <w:tc>
          <w:tcPr>
            <w:tcW w:w="1646" w:type="dxa"/>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1"/>
                <w:highlight w:val="none"/>
              </w:rPr>
            </w:pPr>
            <w:r>
              <w:rPr>
                <w:szCs w:val="21"/>
                <w:highlight w:val="none"/>
              </w:rPr>
              <w:t>充电时间</w:t>
            </w:r>
          </w:p>
        </w:tc>
        <w:tc>
          <w:tcPr>
            <w:tcW w:w="3692" w:type="dxa"/>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1"/>
                <w:highlight w:val="none"/>
              </w:rPr>
            </w:pPr>
            <w:r>
              <w:rPr>
                <w:szCs w:val="21"/>
                <w:highlight w:val="none"/>
              </w:rPr>
              <w:t>约60min</w:t>
            </w:r>
          </w:p>
        </w:tc>
        <w:tc>
          <w:tcPr>
            <w:tcW w:w="3377" w:type="dxa"/>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1"/>
                <w:highlight w:val="none"/>
              </w:rPr>
            </w:pPr>
          </w:p>
        </w:tc>
      </w:tr>
      <w:tr>
        <w:tblPrEx>
          <w:tblW w:w="9443" w:type="dxa"/>
          <w:jc w:val="center"/>
          <w:tblLayout w:type="fixed"/>
          <w:tblCellMar>
            <w:top w:w="0" w:type="dxa"/>
            <w:left w:w="108" w:type="dxa"/>
            <w:bottom w:w="0" w:type="dxa"/>
            <w:right w:w="108" w:type="dxa"/>
          </w:tblCellMar>
        </w:tblPrEx>
        <w:trPr>
          <w:trHeight w:val="90"/>
          <w:jc w:val="center"/>
        </w:trPr>
        <w:tc>
          <w:tcPr>
            <w:tcW w:w="728" w:type="dxa"/>
            <w:vMerge w:val="restar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1"/>
                <w:highlight w:val="none"/>
              </w:rPr>
            </w:pPr>
            <w:r>
              <w:rPr>
                <w:szCs w:val="21"/>
                <w:highlight w:val="none"/>
              </w:rPr>
              <w:t>7</w:t>
            </w:r>
          </w:p>
        </w:tc>
        <w:tc>
          <w:tcPr>
            <w:tcW w:w="1646" w:type="dxa"/>
            <w:vMerge w:val="restar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1"/>
                <w:highlight w:val="none"/>
              </w:rPr>
            </w:pPr>
            <w:r>
              <w:rPr>
                <w:szCs w:val="21"/>
                <w:highlight w:val="none"/>
              </w:rPr>
              <w:t>外形尺寸</w:t>
            </w:r>
          </w:p>
        </w:tc>
        <w:tc>
          <w:tcPr>
            <w:tcW w:w="3692" w:type="dxa"/>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1"/>
                <w:highlight w:val="none"/>
              </w:rPr>
            </w:pPr>
            <w:r>
              <w:rPr>
                <w:rFonts w:hint="eastAsia"/>
                <w:szCs w:val="21"/>
                <w:highlight w:val="none"/>
              </w:rPr>
              <w:t>长度L</w:t>
            </w:r>
            <w:r>
              <w:rPr>
                <w:szCs w:val="21"/>
                <w:highlight w:val="none"/>
              </w:rPr>
              <w:t>≤11000mm</w:t>
            </w:r>
          </w:p>
        </w:tc>
        <w:tc>
          <w:tcPr>
            <w:tcW w:w="3377" w:type="dxa"/>
            <w:vMerge w:val="restar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szCs w:val="21"/>
                <w:highlight w:val="none"/>
              </w:rPr>
            </w:pPr>
          </w:p>
        </w:tc>
      </w:tr>
      <w:tr>
        <w:tblPrEx>
          <w:tblW w:w="9443" w:type="dxa"/>
          <w:jc w:val="center"/>
          <w:tblLayout w:type="fixed"/>
          <w:tblCellMar>
            <w:top w:w="0" w:type="dxa"/>
            <w:left w:w="108" w:type="dxa"/>
            <w:bottom w:w="0" w:type="dxa"/>
            <w:right w:w="108" w:type="dxa"/>
          </w:tblCellMar>
        </w:tblPrEx>
        <w:trPr>
          <w:trHeight w:val="90"/>
          <w:jc w:val="center"/>
        </w:trPr>
        <w:tc>
          <w:tcPr>
            <w:tcW w:w="728" w:type="dxa"/>
            <w:vMerge/>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1"/>
                <w:highlight w:val="none"/>
              </w:rPr>
            </w:pPr>
          </w:p>
        </w:tc>
        <w:tc>
          <w:tcPr>
            <w:tcW w:w="1646" w:type="dxa"/>
            <w:vMerge/>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1"/>
                <w:highlight w:val="none"/>
              </w:rPr>
            </w:pPr>
          </w:p>
        </w:tc>
        <w:tc>
          <w:tcPr>
            <w:tcW w:w="3692" w:type="dxa"/>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1"/>
                <w:highlight w:val="none"/>
              </w:rPr>
            </w:pPr>
            <w:r>
              <w:rPr>
                <w:rFonts w:hint="eastAsia"/>
                <w:szCs w:val="21"/>
                <w:highlight w:val="none"/>
              </w:rPr>
              <w:t>宽度W</w:t>
            </w:r>
            <w:r>
              <w:rPr>
                <w:szCs w:val="21"/>
                <w:highlight w:val="none"/>
              </w:rPr>
              <w:t>≤4000mm</w:t>
            </w:r>
          </w:p>
        </w:tc>
        <w:tc>
          <w:tcPr>
            <w:tcW w:w="3377" w:type="dxa"/>
            <w:vMerge/>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1"/>
                <w:highlight w:val="none"/>
              </w:rPr>
            </w:pPr>
          </w:p>
        </w:tc>
      </w:tr>
      <w:tr>
        <w:tblPrEx>
          <w:tblW w:w="9443" w:type="dxa"/>
          <w:jc w:val="center"/>
          <w:tblLayout w:type="fixed"/>
          <w:tblCellMar>
            <w:top w:w="0" w:type="dxa"/>
            <w:left w:w="108" w:type="dxa"/>
            <w:bottom w:w="0" w:type="dxa"/>
            <w:right w:w="108" w:type="dxa"/>
          </w:tblCellMar>
        </w:tblPrEx>
        <w:trPr>
          <w:trHeight w:val="90"/>
          <w:jc w:val="center"/>
        </w:trPr>
        <w:tc>
          <w:tcPr>
            <w:tcW w:w="728" w:type="dxa"/>
            <w:vMerge/>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1"/>
                <w:highlight w:val="none"/>
              </w:rPr>
            </w:pPr>
          </w:p>
        </w:tc>
        <w:tc>
          <w:tcPr>
            <w:tcW w:w="1646" w:type="dxa"/>
            <w:vMerge/>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1"/>
                <w:highlight w:val="none"/>
              </w:rPr>
            </w:pPr>
          </w:p>
        </w:tc>
        <w:tc>
          <w:tcPr>
            <w:tcW w:w="3692" w:type="dxa"/>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1"/>
                <w:highlight w:val="none"/>
              </w:rPr>
            </w:pPr>
            <w:r>
              <w:rPr>
                <w:rFonts w:hint="eastAsia"/>
                <w:szCs w:val="21"/>
                <w:highlight w:val="none"/>
              </w:rPr>
              <w:t>高度H</w:t>
            </w:r>
            <w:r>
              <w:rPr>
                <w:szCs w:val="21"/>
                <w:highlight w:val="none"/>
              </w:rPr>
              <w:t>≤5</w:t>
            </w:r>
            <w:r>
              <w:rPr>
                <w:rFonts w:hint="eastAsia"/>
                <w:szCs w:val="21"/>
                <w:highlight w:val="none"/>
              </w:rPr>
              <w:t>70</w:t>
            </w:r>
            <w:r>
              <w:rPr>
                <w:szCs w:val="21"/>
                <w:highlight w:val="none"/>
              </w:rPr>
              <w:t>0mm</w:t>
            </w:r>
          </w:p>
        </w:tc>
        <w:tc>
          <w:tcPr>
            <w:tcW w:w="3377" w:type="dxa"/>
            <w:vMerge/>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1"/>
                <w:highlight w:val="none"/>
              </w:rPr>
            </w:pPr>
          </w:p>
        </w:tc>
      </w:tr>
      <w:tr>
        <w:tblPrEx>
          <w:tblW w:w="9443" w:type="dxa"/>
          <w:jc w:val="center"/>
          <w:tblLayout w:type="fixed"/>
          <w:tblCellMar>
            <w:top w:w="0" w:type="dxa"/>
            <w:left w:w="108" w:type="dxa"/>
            <w:bottom w:w="0" w:type="dxa"/>
            <w:right w:w="108" w:type="dxa"/>
          </w:tblCellMar>
        </w:tblPrEx>
        <w:trPr>
          <w:trHeight w:val="398"/>
          <w:jc w:val="center"/>
        </w:trPr>
        <w:tc>
          <w:tcPr>
            <w:tcW w:w="728" w:type="dxa"/>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1"/>
                <w:highlight w:val="none"/>
              </w:rPr>
            </w:pPr>
            <w:r>
              <w:rPr>
                <w:szCs w:val="21"/>
                <w:highlight w:val="none"/>
              </w:rPr>
              <w:t>8</w:t>
            </w:r>
          </w:p>
        </w:tc>
        <w:tc>
          <w:tcPr>
            <w:tcW w:w="1646" w:type="dxa"/>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1"/>
                <w:highlight w:val="none"/>
              </w:rPr>
            </w:pPr>
            <w:r>
              <w:rPr>
                <w:szCs w:val="21"/>
                <w:highlight w:val="none"/>
              </w:rPr>
              <w:t>防雷性能</w:t>
            </w:r>
          </w:p>
        </w:tc>
        <w:tc>
          <w:tcPr>
            <w:tcW w:w="3692" w:type="dxa"/>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1"/>
                <w:highlight w:val="none"/>
              </w:rPr>
            </w:pPr>
            <w:r>
              <w:rPr>
                <w:szCs w:val="21"/>
                <w:highlight w:val="none"/>
              </w:rPr>
              <w:t>多点接地极和浪涌保护器</w:t>
            </w:r>
          </w:p>
        </w:tc>
        <w:tc>
          <w:tcPr>
            <w:tcW w:w="3377" w:type="dxa"/>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1"/>
                <w:highlight w:val="none"/>
              </w:rPr>
            </w:pPr>
          </w:p>
        </w:tc>
      </w:tr>
      <w:tr>
        <w:tblPrEx>
          <w:tblW w:w="9443" w:type="dxa"/>
          <w:jc w:val="center"/>
          <w:tblLayout w:type="fixed"/>
          <w:tblCellMar>
            <w:top w:w="0" w:type="dxa"/>
            <w:left w:w="108" w:type="dxa"/>
            <w:bottom w:w="0" w:type="dxa"/>
            <w:right w:w="108" w:type="dxa"/>
          </w:tblCellMar>
        </w:tblPrEx>
        <w:trPr>
          <w:trHeight w:val="398"/>
          <w:jc w:val="center"/>
        </w:trPr>
        <w:tc>
          <w:tcPr>
            <w:tcW w:w="728" w:type="dxa"/>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1"/>
                <w:highlight w:val="none"/>
              </w:rPr>
            </w:pPr>
            <w:r>
              <w:rPr>
                <w:szCs w:val="21"/>
                <w:highlight w:val="none"/>
              </w:rPr>
              <w:t>9</w:t>
            </w:r>
          </w:p>
        </w:tc>
        <w:tc>
          <w:tcPr>
            <w:tcW w:w="1646" w:type="dxa"/>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1"/>
                <w:highlight w:val="none"/>
              </w:rPr>
            </w:pPr>
            <w:r>
              <w:rPr>
                <w:szCs w:val="21"/>
                <w:highlight w:val="none"/>
              </w:rPr>
              <w:t>绝缘性能</w:t>
            </w:r>
          </w:p>
        </w:tc>
        <w:tc>
          <w:tcPr>
            <w:tcW w:w="3692" w:type="dxa"/>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1"/>
                <w:highlight w:val="none"/>
              </w:rPr>
            </w:pPr>
            <w:r>
              <w:rPr>
                <w:szCs w:val="21"/>
                <w:highlight w:val="none"/>
              </w:rPr>
              <w:t>660V</w:t>
            </w:r>
          </w:p>
        </w:tc>
        <w:tc>
          <w:tcPr>
            <w:tcW w:w="3377" w:type="dxa"/>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1"/>
                <w:highlight w:val="none"/>
              </w:rPr>
            </w:pPr>
          </w:p>
        </w:tc>
      </w:tr>
      <w:tr>
        <w:tblPrEx>
          <w:tblW w:w="9443" w:type="dxa"/>
          <w:jc w:val="center"/>
          <w:tblLayout w:type="fixed"/>
          <w:tblCellMar>
            <w:top w:w="0" w:type="dxa"/>
            <w:left w:w="108" w:type="dxa"/>
            <w:bottom w:w="0" w:type="dxa"/>
            <w:right w:w="108" w:type="dxa"/>
          </w:tblCellMar>
        </w:tblPrEx>
        <w:trPr>
          <w:trHeight w:val="398"/>
          <w:jc w:val="center"/>
        </w:trPr>
        <w:tc>
          <w:tcPr>
            <w:tcW w:w="728" w:type="dxa"/>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1"/>
                <w:highlight w:val="none"/>
              </w:rPr>
            </w:pPr>
            <w:r>
              <w:rPr>
                <w:szCs w:val="21"/>
                <w:highlight w:val="none"/>
              </w:rPr>
              <w:t>10</w:t>
            </w:r>
          </w:p>
        </w:tc>
        <w:tc>
          <w:tcPr>
            <w:tcW w:w="1646" w:type="dxa"/>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1"/>
                <w:highlight w:val="none"/>
              </w:rPr>
            </w:pPr>
            <w:r>
              <w:rPr>
                <w:szCs w:val="21"/>
                <w:highlight w:val="none"/>
              </w:rPr>
              <w:t>IP等级</w:t>
            </w:r>
          </w:p>
        </w:tc>
        <w:tc>
          <w:tcPr>
            <w:tcW w:w="3692" w:type="dxa"/>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1"/>
                <w:highlight w:val="none"/>
              </w:rPr>
            </w:pPr>
            <w:r>
              <w:rPr>
                <w:szCs w:val="21"/>
                <w:highlight w:val="none"/>
              </w:rPr>
              <w:t>IP</w:t>
            </w:r>
            <w:r>
              <w:rPr>
                <w:rFonts w:hint="eastAsia"/>
                <w:szCs w:val="21"/>
                <w:highlight w:val="none"/>
              </w:rPr>
              <w:t>X</w:t>
            </w:r>
            <w:r>
              <w:rPr>
                <w:szCs w:val="21"/>
                <w:highlight w:val="none"/>
              </w:rPr>
              <w:t>4(百叶窗处)</w:t>
            </w:r>
          </w:p>
        </w:tc>
        <w:tc>
          <w:tcPr>
            <w:tcW w:w="3377" w:type="dxa"/>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1"/>
                <w:highlight w:val="none"/>
              </w:rPr>
            </w:pPr>
          </w:p>
        </w:tc>
      </w:tr>
      <w:tr>
        <w:tblPrEx>
          <w:tblW w:w="9443" w:type="dxa"/>
          <w:jc w:val="center"/>
          <w:tblLayout w:type="fixed"/>
          <w:tblCellMar>
            <w:top w:w="0" w:type="dxa"/>
            <w:left w:w="108" w:type="dxa"/>
            <w:bottom w:w="0" w:type="dxa"/>
            <w:right w:w="108" w:type="dxa"/>
          </w:tblCellMar>
        </w:tblPrEx>
        <w:trPr>
          <w:trHeight w:val="398"/>
          <w:jc w:val="center"/>
        </w:trPr>
        <w:tc>
          <w:tcPr>
            <w:tcW w:w="728" w:type="dxa"/>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1"/>
                <w:highlight w:val="none"/>
              </w:rPr>
            </w:pPr>
            <w:r>
              <w:rPr>
                <w:szCs w:val="21"/>
                <w:highlight w:val="none"/>
              </w:rPr>
              <w:t>11</w:t>
            </w:r>
          </w:p>
        </w:tc>
        <w:tc>
          <w:tcPr>
            <w:tcW w:w="1646" w:type="dxa"/>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1"/>
                <w:highlight w:val="none"/>
              </w:rPr>
            </w:pPr>
            <w:r>
              <w:rPr>
                <w:szCs w:val="21"/>
                <w:highlight w:val="none"/>
              </w:rPr>
              <w:t>抗震性能</w:t>
            </w:r>
          </w:p>
        </w:tc>
        <w:tc>
          <w:tcPr>
            <w:tcW w:w="3692" w:type="dxa"/>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1"/>
                <w:highlight w:val="none"/>
              </w:rPr>
            </w:pPr>
            <w:r>
              <w:rPr>
                <w:szCs w:val="21"/>
                <w:highlight w:val="none"/>
              </w:rPr>
              <w:t>抗震设防烈度：7度，0.15g</w:t>
            </w:r>
          </w:p>
        </w:tc>
        <w:tc>
          <w:tcPr>
            <w:tcW w:w="3377" w:type="dxa"/>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1"/>
                <w:highlight w:val="none"/>
              </w:rPr>
            </w:pPr>
          </w:p>
        </w:tc>
      </w:tr>
      <w:tr>
        <w:tblPrEx>
          <w:tblW w:w="9443" w:type="dxa"/>
          <w:jc w:val="center"/>
          <w:tblLayout w:type="fixed"/>
          <w:tblCellMar>
            <w:top w:w="0" w:type="dxa"/>
            <w:left w:w="108" w:type="dxa"/>
            <w:bottom w:w="0" w:type="dxa"/>
            <w:right w:w="108" w:type="dxa"/>
          </w:tblCellMar>
        </w:tblPrEx>
        <w:trPr>
          <w:trHeight w:val="398"/>
          <w:jc w:val="center"/>
        </w:trPr>
        <w:tc>
          <w:tcPr>
            <w:tcW w:w="728" w:type="dxa"/>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1"/>
                <w:highlight w:val="none"/>
              </w:rPr>
            </w:pPr>
            <w:r>
              <w:rPr>
                <w:szCs w:val="21"/>
                <w:highlight w:val="none"/>
              </w:rPr>
              <w:t>12</w:t>
            </w:r>
          </w:p>
        </w:tc>
        <w:tc>
          <w:tcPr>
            <w:tcW w:w="1646" w:type="dxa"/>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1"/>
                <w:highlight w:val="none"/>
              </w:rPr>
            </w:pPr>
            <w:r>
              <w:rPr>
                <w:szCs w:val="21"/>
                <w:highlight w:val="none"/>
              </w:rPr>
              <w:t>噪声性能</w:t>
            </w:r>
          </w:p>
        </w:tc>
        <w:tc>
          <w:tcPr>
            <w:tcW w:w="3692" w:type="dxa"/>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1"/>
                <w:highlight w:val="none"/>
              </w:rPr>
            </w:pPr>
            <w:r>
              <w:rPr>
                <w:szCs w:val="21"/>
                <w:highlight w:val="none"/>
              </w:rPr>
              <w:t>整体噪音小于75dB</w:t>
            </w:r>
          </w:p>
        </w:tc>
        <w:tc>
          <w:tcPr>
            <w:tcW w:w="3377" w:type="dxa"/>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szCs w:val="21"/>
                <w:highlight w:val="none"/>
              </w:rPr>
            </w:pPr>
            <w:r>
              <w:rPr>
                <w:szCs w:val="21"/>
                <w:highlight w:val="none"/>
              </w:rPr>
              <w:t>1米处</w:t>
            </w:r>
          </w:p>
        </w:tc>
      </w:tr>
      <w:tr>
        <w:tblPrEx>
          <w:tblW w:w="9443" w:type="dxa"/>
          <w:jc w:val="center"/>
          <w:tblLayout w:type="fixed"/>
          <w:tblCellMar>
            <w:top w:w="0" w:type="dxa"/>
            <w:left w:w="108" w:type="dxa"/>
            <w:bottom w:w="0" w:type="dxa"/>
            <w:right w:w="108" w:type="dxa"/>
          </w:tblCellMar>
        </w:tblPrEx>
        <w:trPr>
          <w:trHeight w:val="398"/>
          <w:jc w:val="center"/>
        </w:trPr>
        <w:tc>
          <w:tcPr>
            <w:tcW w:w="728" w:type="dxa"/>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1"/>
                <w:highlight w:val="none"/>
              </w:rPr>
            </w:pPr>
            <w:r>
              <w:rPr>
                <w:szCs w:val="21"/>
                <w:highlight w:val="none"/>
              </w:rPr>
              <w:t>13</w:t>
            </w:r>
          </w:p>
        </w:tc>
        <w:tc>
          <w:tcPr>
            <w:tcW w:w="1646" w:type="dxa"/>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1"/>
                <w:highlight w:val="none"/>
              </w:rPr>
            </w:pPr>
            <w:r>
              <w:rPr>
                <w:szCs w:val="21"/>
                <w:highlight w:val="none"/>
              </w:rPr>
              <w:t>设计寿命</w:t>
            </w:r>
          </w:p>
        </w:tc>
        <w:tc>
          <w:tcPr>
            <w:tcW w:w="3692" w:type="dxa"/>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1"/>
                <w:highlight w:val="none"/>
              </w:rPr>
            </w:pPr>
            <w:r>
              <w:rPr>
                <w:szCs w:val="21"/>
                <w:highlight w:val="none"/>
              </w:rPr>
              <w:t>≥10年</w:t>
            </w:r>
          </w:p>
        </w:tc>
        <w:tc>
          <w:tcPr>
            <w:tcW w:w="3377" w:type="dxa"/>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szCs w:val="21"/>
                <w:highlight w:val="none"/>
              </w:rPr>
            </w:pPr>
            <w:r>
              <w:rPr>
                <w:szCs w:val="21"/>
                <w:highlight w:val="none"/>
              </w:rPr>
              <w:t>整站</w:t>
            </w:r>
          </w:p>
        </w:tc>
      </w:tr>
      <w:tr>
        <w:tblPrEx>
          <w:tblW w:w="9443" w:type="dxa"/>
          <w:jc w:val="center"/>
          <w:tblLayout w:type="fixed"/>
          <w:tblCellMar>
            <w:top w:w="0" w:type="dxa"/>
            <w:left w:w="108" w:type="dxa"/>
            <w:bottom w:w="0" w:type="dxa"/>
            <w:right w:w="108" w:type="dxa"/>
          </w:tblCellMar>
        </w:tblPrEx>
        <w:trPr>
          <w:trHeight w:val="398"/>
          <w:jc w:val="center"/>
        </w:trPr>
        <w:tc>
          <w:tcPr>
            <w:tcW w:w="728" w:type="dxa"/>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1"/>
                <w:highlight w:val="none"/>
              </w:rPr>
            </w:pPr>
            <w:r>
              <w:rPr>
                <w:szCs w:val="21"/>
                <w:highlight w:val="none"/>
              </w:rPr>
              <w:t>14</w:t>
            </w:r>
          </w:p>
        </w:tc>
        <w:tc>
          <w:tcPr>
            <w:tcW w:w="1646" w:type="dxa"/>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1"/>
                <w:highlight w:val="none"/>
              </w:rPr>
            </w:pPr>
            <w:r>
              <w:rPr>
                <w:szCs w:val="21"/>
                <w:highlight w:val="none"/>
              </w:rPr>
              <w:t>供电要求</w:t>
            </w:r>
          </w:p>
        </w:tc>
        <w:tc>
          <w:tcPr>
            <w:tcW w:w="3692" w:type="dxa"/>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1"/>
                <w:highlight w:val="none"/>
              </w:rPr>
            </w:pPr>
            <w:r>
              <w:rPr>
                <w:szCs w:val="21"/>
                <w:highlight w:val="none"/>
              </w:rPr>
              <w:t>电压：AC380V±15%  三相五线制</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1"/>
                <w:highlight w:val="none"/>
              </w:rPr>
            </w:pPr>
            <w:r>
              <w:rPr>
                <w:szCs w:val="21"/>
                <w:highlight w:val="none"/>
              </w:rPr>
              <w:t>频率：50Hz±1Hz</w:t>
            </w:r>
          </w:p>
        </w:tc>
        <w:tc>
          <w:tcPr>
            <w:tcW w:w="3377" w:type="dxa"/>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1"/>
                <w:highlight w:val="none"/>
              </w:rPr>
            </w:pPr>
          </w:p>
        </w:tc>
      </w:tr>
    </w:tbl>
    <w:p>
      <w:pPr>
        <w:pStyle w:val="-2"/>
        <w:numPr>
          <w:ilvl w:val="1"/>
          <w:numId w:val="0"/>
        </w:numPr>
        <w:tabs>
          <w:tab w:val="clear" w:pos="567"/>
          <w:tab w:val="clear" w:pos="851"/>
          <w:tab w:val="clear" w:pos="1144"/>
        </w:tabs>
        <w:ind w:leftChars="0"/>
        <w:outlineLvl w:val="1"/>
        <w:rPr>
          <w:rFonts w:ascii="Times New Roman" w:hAnsi="Times New Roman"/>
          <w:color w:val="auto"/>
          <w:sz w:val="24"/>
          <w:szCs w:val="24"/>
          <w:highlight w:val="none"/>
        </w:rPr>
      </w:pPr>
      <w:bookmarkStart w:id="1" w:name="_Toc29877"/>
      <w:bookmarkStart w:id="2" w:name="_Toc16705"/>
      <w:bookmarkStart w:id="3" w:name="_Toc7219"/>
      <w:bookmarkStart w:id="4" w:name="_Toc27176"/>
      <w:bookmarkStart w:id="5" w:name="_Toc17117"/>
      <w:r>
        <w:rPr>
          <w:rFonts w:ascii="Times New Roman" w:hAnsi="Times New Roman" w:hint="eastAsia"/>
          <w:color w:val="auto"/>
          <w:sz w:val="24"/>
          <w:szCs w:val="24"/>
          <w:highlight w:val="none"/>
          <w:lang w:val="en-US" w:eastAsia="zh-CN"/>
        </w:rPr>
        <w:t>2.</w:t>
      </w:r>
      <w:r>
        <w:rPr>
          <w:rFonts w:ascii="Times New Roman" w:hAnsi="Times New Roman"/>
          <w:color w:val="auto"/>
          <w:sz w:val="24"/>
          <w:szCs w:val="24"/>
          <w:highlight w:val="none"/>
        </w:rPr>
        <w:t>外壳系统</w:t>
      </w:r>
      <w:bookmarkEnd w:id="1"/>
      <w:bookmarkEnd w:id="2"/>
      <w:bookmarkEnd w:id="3"/>
      <w:bookmarkEnd w:id="4"/>
      <w:bookmarkEnd w:id="5"/>
    </w:p>
    <w:p>
      <w:pPr>
        <w:overflowPunct w:val="0"/>
        <w:topLinePunct/>
        <w:spacing w:line="360" w:lineRule="auto"/>
        <w:ind w:firstLine="420" w:firstLineChars="200"/>
        <w:rPr>
          <w:rStyle w:val="EUChar"/>
          <w:rFonts w:ascii="Times New Roman"/>
          <w:highlight w:val="none"/>
        </w:rPr>
      </w:pPr>
      <w:r>
        <w:rPr>
          <w:rStyle w:val="EUChar"/>
          <w:rFonts w:ascii="Times New Roman"/>
          <w:highlight w:val="none"/>
        </w:rPr>
        <w:t>集装箱式外壳</w:t>
      </w:r>
      <w:r>
        <w:rPr>
          <w:rStyle w:val="EUChar"/>
          <w:rFonts w:ascii="Times New Roman" w:hint="eastAsia"/>
          <w:highlight w:val="none"/>
        </w:rPr>
        <w:t>采用单层集装箱，包括桁架主结构、电池底座、防护外壳、保温结构、内饰结构、通风散热系统、空调、维护门、移门、监控窗口、照明、监控摄像头、消防和相关监控室内配套设施，应便于现场安装，满足使用环境要求</w:t>
      </w:r>
      <w:r>
        <w:rPr>
          <w:rStyle w:val="EUChar"/>
          <w:rFonts w:ascii="Times New Roman"/>
          <w:highlight w:val="none"/>
        </w:rPr>
        <w:t>。</w:t>
      </w:r>
    </w:p>
    <w:p>
      <w:pPr>
        <w:overflowPunct w:val="0"/>
        <w:topLinePunct/>
        <w:spacing w:line="360" w:lineRule="auto"/>
        <w:ind w:firstLine="420" w:firstLineChars="200"/>
        <w:rPr>
          <w:rStyle w:val="EUChar"/>
          <w:rFonts w:ascii="Times New Roman" w:hint="eastAsia"/>
          <w:highlight w:val="none"/>
        </w:rPr>
      </w:pPr>
      <w:r>
        <w:rPr>
          <w:rStyle w:val="EUChar"/>
          <w:rFonts w:ascii="Times New Roman" w:hint="eastAsia"/>
          <w:highlight w:val="none"/>
        </w:rPr>
        <w:t>行车道尺寸：宽度4000mm、高度≥4300mm。</w:t>
      </w:r>
    </w:p>
    <w:p>
      <w:pPr>
        <w:overflowPunct w:val="0"/>
        <w:topLinePunct/>
        <w:spacing w:line="360" w:lineRule="auto"/>
        <w:ind w:firstLine="420" w:firstLineChars="200"/>
        <w:rPr>
          <w:rStyle w:val="EUChar"/>
          <w:rFonts w:ascii="Times New Roman" w:hint="eastAsia"/>
          <w:highlight w:val="none"/>
        </w:rPr>
      </w:pPr>
      <w:r>
        <w:rPr>
          <w:rStyle w:val="EUChar"/>
          <w:rFonts w:ascii="Times New Roman" w:hint="eastAsia"/>
          <w:highlight w:val="none"/>
        </w:rPr>
        <w:t>保温层材料：岩棉厚度50mm、阻燃A级。</w:t>
      </w:r>
    </w:p>
    <w:p>
      <w:pPr>
        <w:overflowPunct w:val="0"/>
        <w:topLinePunct/>
        <w:spacing w:line="360" w:lineRule="auto"/>
        <w:ind w:firstLine="420" w:firstLineChars="200"/>
        <w:rPr>
          <w:rStyle w:val="EUChar"/>
          <w:rFonts w:ascii="Times New Roman" w:hint="eastAsia"/>
          <w:highlight w:val="none"/>
        </w:rPr>
      </w:pPr>
      <w:r>
        <w:rPr>
          <w:rStyle w:val="EUChar"/>
          <w:rFonts w:ascii="Times New Roman" w:hint="eastAsia"/>
          <w:highlight w:val="none"/>
        </w:rPr>
        <w:t>反光条：粘贴于车辆进出通道处，包含左右两侧和顶部。反光贴带3M标识；尺寸：长307mm*宽50mm。</w:t>
      </w:r>
    </w:p>
    <w:p>
      <w:pPr>
        <w:overflowPunct w:val="0"/>
        <w:topLinePunct/>
        <w:spacing w:line="360" w:lineRule="auto"/>
        <w:ind w:firstLine="420" w:firstLineChars="200"/>
        <w:rPr>
          <w:rStyle w:val="EUChar"/>
          <w:rFonts w:ascii="Times New Roman"/>
          <w:highlight w:val="none"/>
        </w:rPr>
      </w:pPr>
      <w:r>
        <w:rPr>
          <w:rStyle w:val="EUChar"/>
          <w:rFonts w:ascii="Times New Roman" w:hint="eastAsia"/>
          <w:highlight w:val="none"/>
        </w:rPr>
        <w:t>集装箱外壳常规内外颜色采用喷涂，内部分别为2 道，不小于 50μm 厚；外部3 道，不小于 80μm 厚；换电站的颜色及LOGO设计方案按照采购人要求进行生产</w:t>
      </w:r>
      <w:r>
        <w:rPr>
          <w:rStyle w:val="EUChar"/>
          <w:rFonts w:ascii="Times New Roman"/>
          <w:highlight w:val="none"/>
        </w:rPr>
        <w:t>。</w:t>
      </w:r>
    </w:p>
    <w:p>
      <w:pPr>
        <w:overflowPunct w:val="0"/>
        <w:topLinePunct/>
        <w:spacing w:after="156" w:afterLines="50" w:line="360" w:lineRule="auto"/>
        <w:ind w:firstLine="420" w:firstLineChars="200"/>
        <w:rPr>
          <w:rStyle w:val="EUChar"/>
          <w:rFonts w:ascii="Times New Roman" w:hint="eastAsia"/>
          <w:highlight w:val="none"/>
        </w:rPr>
      </w:pPr>
      <w:r>
        <w:rPr>
          <w:rStyle w:val="EUChar"/>
          <w:rFonts w:ascii="Times New Roman" w:hint="eastAsia"/>
          <w:highlight w:val="none"/>
        </w:rPr>
        <w:t>设备布置示意如图3-1所示</w:t>
      </w:r>
      <w:r>
        <w:rPr>
          <w:rStyle w:val="EUChar"/>
          <w:rFonts w:ascii="Times New Roman"/>
          <w:highlight w:val="none"/>
        </w:rPr>
        <w:t>。</w:t>
      </w:r>
    </w:p>
    <w:p>
      <w:pPr>
        <w:spacing w:line="360" w:lineRule="auto"/>
        <w:jc w:val="center"/>
        <w:rPr>
          <w:rFonts w:hint="eastAsia"/>
          <w:sz w:val="24"/>
          <w:highlight w:val="none"/>
        </w:rPr>
      </w:pPr>
      <w:r>
        <w:rPr>
          <w:highlight w:val="none"/>
        </w:rPr>
        <w:drawing>
          <wp:inline distT="0" distB="0" distL="114300" distR="114300">
            <wp:extent cx="4901565" cy="2744470"/>
            <wp:effectExtent l="0" t="0" r="13335" b="177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168550" name="图片 1"/>
                    <pic:cNvPicPr>
                      <a:picLocks noChangeAspect="1"/>
                    </pic:cNvPicPr>
                  </pic:nvPicPr>
                  <pic:blipFill>
                    <a:blip xmlns:r="http://schemas.openxmlformats.org/officeDocument/2006/relationships" r:embed="rId4"/>
                    <a:stretch>
                      <a:fillRect/>
                    </a:stretch>
                  </pic:blipFill>
                  <pic:spPr>
                    <a:xfrm>
                      <a:off x="0" y="0"/>
                      <a:ext cx="4901565" cy="2744470"/>
                    </a:xfrm>
                    <a:prstGeom prst="rect">
                      <a:avLst/>
                    </a:prstGeom>
                    <a:noFill/>
                    <a:ln>
                      <a:noFill/>
                    </a:ln>
                  </pic:spPr>
                </pic:pic>
              </a:graphicData>
            </a:graphic>
          </wp:inline>
        </w:drawing>
      </w:r>
    </w:p>
    <w:p>
      <w:pPr>
        <w:spacing w:before="156" w:beforeLines="50" w:after="156" w:afterLines="50"/>
        <w:jc w:val="center"/>
        <w:rPr>
          <w:rFonts w:hint="eastAsia"/>
          <w:sz w:val="24"/>
          <w:highlight w:val="none"/>
        </w:rPr>
      </w:pPr>
      <w:r>
        <w:rPr>
          <w:kern w:val="21"/>
          <w:highlight w:val="none"/>
        </w:rPr>
        <w:t>图</w:t>
      </w:r>
      <w:r>
        <w:rPr>
          <w:rFonts w:hint="eastAsia"/>
          <w:kern w:val="21"/>
          <w:highlight w:val="none"/>
          <w:lang w:val="en-US" w:eastAsia="zh-CN"/>
        </w:rPr>
        <w:t>1</w:t>
      </w:r>
      <w:r>
        <w:rPr>
          <w:kern w:val="21"/>
          <w:highlight w:val="none"/>
        </w:rPr>
        <w:t xml:space="preserve"> </w:t>
      </w:r>
      <w:r>
        <w:rPr>
          <w:highlight w:val="none"/>
        </w:rPr>
        <w:t>集装箱</w:t>
      </w:r>
      <w:r>
        <w:rPr>
          <w:kern w:val="21"/>
          <w:highlight w:val="none"/>
        </w:rPr>
        <w:t>设备布置示意</w:t>
      </w:r>
    </w:p>
    <w:p>
      <w:pPr>
        <w:pStyle w:val="-2"/>
        <w:numPr>
          <w:ilvl w:val="1"/>
          <w:numId w:val="0"/>
        </w:numPr>
        <w:tabs>
          <w:tab w:val="clear" w:pos="567"/>
          <w:tab w:val="clear" w:pos="851"/>
          <w:tab w:val="clear" w:pos="1144"/>
        </w:tabs>
        <w:ind w:leftChars="0"/>
        <w:outlineLvl w:val="1"/>
        <w:rPr>
          <w:rFonts w:ascii="Times New Roman" w:hAnsi="Times New Roman"/>
          <w:color w:val="auto"/>
          <w:sz w:val="24"/>
          <w:szCs w:val="24"/>
          <w:highlight w:val="none"/>
        </w:rPr>
      </w:pPr>
      <w:bookmarkStart w:id="6" w:name="_Toc28802"/>
      <w:bookmarkStart w:id="7" w:name="_Toc10050"/>
      <w:bookmarkStart w:id="8" w:name="_Toc31518"/>
      <w:bookmarkStart w:id="9" w:name="_Toc17993"/>
      <w:r>
        <w:rPr>
          <w:rFonts w:ascii="Times New Roman" w:hAnsi="Times New Roman" w:hint="eastAsia"/>
          <w:color w:val="auto"/>
          <w:sz w:val="24"/>
          <w:szCs w:val="24"/>
          <w:highlight w:val="none"/>
          <w:lang w:val="en-US" w:eastAsia="zh-CN"/>
        </w:rPr>
        <w:t>3.</w:t>
      </w:r>
      <w:r>
        <w:rPr>
          <w:rFonts w:ascii="Times New Roman" w:hAnsi="Times New Roman"/>
          <w:color w:val="auto"/>
          <w:sz w:val="24"/>
          <w:szCs w:val="24"/>
          <w:highlight w:val="none"/>
        </w:rPr>
        <w:t>监控室</w:t>
      </w:r>
      <w:bookmarkEnd w:id="6"/>
      <w:bookmarkEnd w:id="7"/>
      <w:bookmarkEnd w:id="8"/>
      <w:bookmarkEnd w:id="9"/>
    </w:p>
    <w:p>
      <w:pPr>
        <w:overflowPunct w:val="0"/>
        <w:topLinePunct/>
        <w:spacing w:line="360" w:lineRule="auto"/>
        <w:ind w:firstLine="420" w:firstLineChars="200"/>
        <w:rPr>
          <w:rStyle w:val="EUChar"/>
          <w:rFonts w:ascii="Times New Roman" w:hint="eastAsia"/>
          <w:highlight w:val="none"/>
        </w:rPr>
      </w:pPr>
      <w:r>
        <w:rPr>
          <w:rStyle w:val="EUChar"/>
          <w:rFonts w:ascii="Times New Roman" w:hint="eastAsia"/>
          <w:highlight w:val="none"/>
        </w:rPr>
        <w:t>监控室位于换电站换电车辆相对一侧，拥有直接对外的安全出口以及电气柜操作用柜门，监控室内设备至少含配电箱、主控柜、站控柜、UPS柜、工作站、安防显示器、工作台(含桌椅)、文件柜、空调等。</w:t>
      </w:r>
    </w:p>
    <w:p>
      <w:pPr>
        <w:overflowPunct w:val="0"/>
        <w:topLinePunct/>
        <w:spacing w:line="360" w:lineRule="auto"/>
        <w:ind w:firstLine="420" w:firstLineChars="200"/>
        <w:rPr>
          <w:rStyle w:val="EUChar"/>
          <w:rFonts w:ascii="Times New Roman" w:hint="eastAsia"/>
          <w:highlight w:val="none"/>
        </w:rPr>
      </w:pPr>
      <w:r>
        <w:rPr>
          <w:rStyle w:val="EUChar"/>
          <w:rFonts w:ascii="Times New Roman" w:hint="eastAsia"/>
          <w:highlight w:val="none"/>
        </w:rPr>
        <w:t>配电箱应包含换电机器人、安防、照明、插座、空调等设备供电控制开关。</w:t>
      </w:r>
    </w:p>
    <w:p>
      <w:pPr>
        <w:overflowPunct w:val="0"/>
        <w:topLinePunct/>
        <w:spacing w:line="360" w:lineRule="auto"/>
        <w:ind w:firstLine="420" w:firstLineChars="200"/>
        <w:rPr>
          <w:rStyle w:val="EUChar"/>
          <w:rFonts w:ascii="Times New Roman" w:hint="eastAsia"/>
          <w:highlight w:val="none"/>
        </w:rPr>
      </w:pPr>
      <w:r>
        <w:rPr>
          <w:rStyle w:val="EUChar"/>
          <w:rFonts w:ascii="Times New Roman" w:hint="eastAsia"/>
          <w:highlight w:val="none"/>
        </w:rPr>
        <w:t>站控柜内部主要包含安防监控系统设备及站控系统设备。</w:t>
      </w:r>
    </w:p>
    <w:p>
      <w:pPr>
        <w:overflowPunct w:val="0"/>
        <w:topLinePunct/>
        <w:spacing w:line="360" w:lineRule="auto"/>
        <w:ind w:firstLine="420" w:firstLineChars="200"/>
        <w:rPr>
          <w:rStyle w:val="EUChar"/>
          <w:rFonts w:ascii="Times New Roman" w:hint="eastAsia"/>
          <w:highlight w:val="none"/>
        </w:rPr>
      </w:pPr>
      <w:r>
        <w:rPr>
          <w:rStyle w:val="EUChar"/>
          <w:rFonts w:ascii="Times New Roman" w:hint="eastAsia"/>
          <w:highlight w:val="none"/>
        </w:rPr>
        <w:t>主控柜内部主要包含机器人供电及控制模块相关电气设备。</w:t>
      </w:r>
    </w:p>
    <w:p>
      <w:pPr>
        <w:overflowPunct w:val="0"/>
        <w:topLinePunct/>
        <w:spacing w:line="360" w:lineRule="auto"/>
        <w:ind w:firstLine="420" w:firstLineChars="200"/>
        <w:rPr>
          <w:rStyle w:val="EUChar"/>
          <w:rFonts w:ascii="Times New Roman" w:hint="eastAsia"/>
          <w:highlight w:val="none"/>
        </w:rPr>
      </w:pPr>
      <w:r>
        <w:rPr>
          <w:rStyle w:val="EUChar"/>
          <w:rFonts w:ascii="Times New Roman" w:hint="eastAsia"/>
          <w:highlight w:val="none"/>
        </w:rPr>
        <w:t xml:space="preserve">UPS柜应配置UPS设备，UPS配置容量不小于3KVA，满足至少能够完成一次完整的换电过程且站控系统运行时间≥1h。 </w:t>
      </w:r>
    </w:p>
    <w:p>
      <w:pPr>
        <w:overflowPunct w:val="0"/>
        <w:topLinePunct/>
        <w:spacing w:line="360" w:lineRule="auto"/>
        <w:ind w:firstLine="420" w:firstLineChars="200"/>
        <w:rPr>
          <w:rStyle w:val="EUChar"/>
          <w:rFonts w:ascii="Times New Roman"/>
          <w:highlight w:val="none"/>
        </w:rPr>
      </w:pPr>
      <w:r>
        <w:rPr>
          <w:rStyle w:val="EUChar"/>
          <w:rFonts w:ascii="Times New Roman" w:hint="eastAsia"/>
          <w:highlight w:val="none"/>
        </w:rPr>
        <w:t>监控室内设备详细配置清单如下表所示：</w:t>
      </w:r>
    </w:p>
    <w:p>
      <w:pPr>
        <w:spacing w:before="156" w:beforeLines="50" w:after="156" w:afterLines="50"/>
        <w:jc w:val="center"/>
        <w:rPr>
          <w:kern w:val="21"/>
          <w:highlight w:val="none"/>
        </w:rPr>
      </w:pPr>
      <w:r>
        <w:rPr>
          <w:kern w:val="21"/>
          <w:highlight w:val="none"/>
        </w:rPr>
        <w:t>表</w:t>
      </w:r>
      <w:r>
        <w:rPr>
          <w:rFonts w:hint="eastAsia"/>
          <w:kern w:val="21"/>
          <w:highlight w:val="none"/>
          <w:lang w:val="en-US" w:eastAsia="zh-CN"/>
        </w:rPr>
        <w:t>2</w:t>
      </w:r>
      <w:r>
        <w:rPr>
          <w:kern w:val="21"/>
          <w:highlight w:val="none"/>
        </w:rPr>
        <w:t xml:space="preserve"> 监控室</w:t>
      </w:r>
      <w:r>
        <w:rPr>
          <w:szCs w:val="22"/>
          <w:highlight w:val="none"/>
        </w:rPr>
        <w:t>设备</w:t>
      </w:r>
      <w:r>
        <w:rPr>
          <w:kern w:val="21"/>
          <w:highlight w:val="none"/>
        </w:rPr>
        <w:t>详细配置清单</w:t>
      </w:r>
    </w:p>
    <w:tbl>
      <w:tblPr>
        <w:tblStyle w:val="TableNormal"/>
        <w:tblW w:w="835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0" w:type="dxa"/>
          <w:left w:w="0" w:type="dxa"/>
          <w:bottom w:w="0" w:type="dxa"/>
          <w:right w:w="0" w:type="dxa"/>
        </w:tblCellMar>
      </w:tblPr>
      <w:tblGrid>
        <w:gridCol w:w="965"/>
        <w:gridCol w:w="1409"/>
        <w:gridCol w:w="4508"/>
        <w:gridCol w:w="1477"/>
      </w:tblGrid>
      <w:tr>
        <w:tblPrEx>
          <w:tblW w:w="835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0" w:type="dxa"/>
            <w:left w:w="0" w:type="dxa"/>
            <w:bottom w:w="0" w:type="dxa"/>
            <w:right w:w="0" w:type="dxa"/>
          </w:tblCellMar>
        </w:tblPrEx>
        <w:trPr>
          <w:trHeight w:val="366"/>
        </w:trPr>
        <w:tc>
          <w:tcPr>
            <w:tcW w:w="965" w:type="dxa"/>
            <w:shd w:val="clear" w:color="auto" w:fill="auto"/>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highlight w:val="none"/>
              </w:rPr>
            </w:pPr>
            <w:r>
              <w:rPr>
                <w:highlight w:val="none"/>
              </w:rPr>
              <w:t>序号</w:t>
            </w:r>
          </w:p>
        </w:tc>
        <w:tc>
          <w:tcPr>
            <w:tcW w:w="1409" w:type="dxa"/>
            <w:shd w:val="clear" w:color="auto" w:fill="auto"/>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highlight w:val="none"/>
              </w:rPr>
            </w:pPr>
            <w:r>
              <w:rPr>
                <w:highlight w:val="none"/>
              </w:rPr>
              <w:t>项目</w:t>
            </w:r>
          </w:p>
        </w:tc>
        <w:tc>
          <w:tcPr>
            <w:tcW w:w="4508" w:type="dxa"/>
            <w:shd w:val="clear" w:color="auto" w:fill="auto"/>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highlight w:val="none"/>
              </w:rPr>
            </w:pPr>
            <w:r>
              <w:rPr>
                <w:highlight w:val="none"/>
              </w:rPr>
              <w:t>配置</w:t>
            </w:r>
          </w:p>
        </w:tc>
        <w:tc>
          <w:tcPr>
            <w:tcW w:w="1477" w:type="dxa"/>
            <w:shd w:val="clear" w:color="auto" w:fill="auto"/>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highlight w:val="none"/>
              </w:rPr>
            </w:pPr>
            <w:r>
              <w:rPr>
                <w:highlight w:val="none"/>
              </w:rPr>
              <w:t>备注</w:t>
            </w:r>
          </w:p>
        </w:tc>
      </w:tr>
      <w:tr>
        <w:tblPrEx>
          <w:tblW w:w="8359" w:type="dxa"/>
          <w:tblInd w:w="250" w:type="dxa"/>
          <w:shd w:val="clear" w:color="auto" w:fill="FFFFFF"/>
          <w:tblLayout w:type="fixed"/>
          <w:tblCellMar>
            <w:top w:w="0" w:type="dxa"/>
            <w:left w:w="0" w:type="dxa"/>
            <w:bottom w:w="0" w:type="dxa"/>
            <w:right w:w="0" w:type="dxa"/>
          </w:tblCellMar>
        </w:tblPrEx>
        <w:trPr>
          <w:trHeight w:val="366"/>
        </w:trPr>
        <w:tc>
          <w:tcPr>
            <w:tcW w:w="965" w:type="dxa"/>
            <w:shd w:val="clear" w:color="auto" w:fill="FFFFFF"/>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highlight w:val="none"/>
              </w:rPr>
            </w:pPr>
            <w:r>
              <w:rPr>
                <w:highlight w:val="none"/>
              </w:rPr>
              <w:t>1</w:t>
            </w:r>
          </w:p>
        </w:tc>
        <w:tc>
          <w:tcPr>
            <w:tcW w:w="1409" w:type="dxa"/>
            <w:shd w:val="clear" w:color="auto" w:fill="FFFFFF"/>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highlight w:val="none"/>
              </w:rPr>
            </w:pPr>
            <w:r>
              <w:rPr>
                <w:highlight w:val="none"/>
              </w:rPr>
              <w:t>配电箱</w:t>
            </w:r>
          </w:p>
        </w:tc>
        <w:tc>
          <w:tcPr>
            <w:tcW w:w="4508" w:type="dxa"/>
            <w:shd w:val="clear" w:color="auto" w:fill="FFFFFF"/>
            <w:noWrap w:val="0"/>
            <w:tcMar>
              <w:top w:w="0" w:type="dxa"/>
              <w:left w:w="108" w:type="dxa"/>
              <w:bottom w:w="0" w:type="dxa"/>
              <w:right w:w="108" w:type="dxa"/>
            </w:tcMar>
            <w:vAlign w:val="top"/>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highlight w:val="none"/>
              </w:rPr>
            </w:pPr>
            <w:r>
              <w:rPr>
                <w:highlight w:val="none"/>
              </w:rPr>
              <w:t>包含机器人、安防、照明、插座、空调等设备供电控制断路器</w:t>
            </w:r>
          </w:p>
        </w:tc>
        <w:tc>
          <w:tcPr>
            <w:tcW w:w="1477" w:type="dxa"/>
            <w:shd w:val="clear" w:color="auto" w:fill="FFFFFF"/>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highlight w:val="none"/>
              </w:rPr>
            </w:pPr>
          </w:p>
        </w:tc>
      </w:tr>
      <w:tr>
        <w:tblPrEx>
          <w:tblW w:w="8359" w:type="dxa"/>
          <w:tblInd w:w="250" w:type="dxa"/>
          <w:shd w:val="clear" w:color="auto" w:fill="FFFFFF"/>
          <w:tblLayout w:type="fixed"/>
          <w:tblCellMar>
            <w:top w:w="0" w:type="dxa"/>
            <w:left w:w="0" w:type="dxa"/>
            <w:bottom w:w="0" w:type="dxa"/>
            <w:right w:w="0" w:type="dxa"/>
          </w:tblCellMar>
        </w:tblPrEx>
        <w:trPr>
          <w:trHeight w:val="366"/>
        </w:trPr>
        <w:tc>
          <w:tcPr>
            <w:tcW w:w="965" w:type="dxa"/>
            <w:shd w:val="clear" w:color="auto" w:fill="FFFFFF"/>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highlight w:val="none"/>
              </w:rPr>
            </w:pPr>
            <w:r>
              <w:rPr>
                <w:highlight w:val="none"/>
              </w:rPr>
              <w:t>2</w:t>
            </w:r>
          </w:p>
        </w:tc>
        <w:tc>
          <w:tcPr>
            <w:tcW w:w="1409" w:type="dxa"/>
            <w:shd w:val="clear" w:color="auto" w:fill="FFFFFF"/>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highlight w:val="none"/>
              </w:rPr>
            </w:pPr>
            <w:r>
              <w:rPr>
                <w:highlight w:val="none"/>
              </w:rPr>
              <w:t>站控柜</w:t>
            </w:r>
          </w:p>
        </w:tc>
        <w:tc>
          <w:tcPr>
            <w:tcW w:w="4508" w:type="dxa"/>
            <w:shd w:val="clear" w:color="auto" w:fill="FFFFFF"/>
            <w:noWrap w:val="0"/>
            <w:tcMar>
              <w:top w:w="0" w:type="dxa"/>
              <w:left w:w="108" w:type="dxa"/>
              <w:bottom w:w="0" w:type="dxa"/>
              <w:right w:w="108" w:type="dxa"/>
            </w:tcMar>
            <w:vAlign w:val="top"/>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highlight w:val="none"/>
              </w:rPr>
            </w:pPr>
            <w:r>
              <w:rPr>
                <w:highlight w:val="none"/>
              </w:rPr>
              <w:t>包括服务器、充换电交换机、安防交换机、硬盘录像机、硬盘(存储视频时间≥30天)、控制断路器及插排等</w:t>
            </w:r>
          </w:p>
        </w:tc>
        <w:tc>
          <w:tcPr>
            <w:tcW w:w="1477" w:type="dxa"/>
            <w:shd w:val="clear" w:color="auto" w:fill="FFFFFF"/>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highlight w:val="none"/>
              </w:rPr>
            </w:pPr>
          </w:p>
        </w:tc>
      </w:tr>
      <w:tr>
        <w:tblPrEx>
          <w:tblW w:w="8359" w:type="dxa"/>
          <w:tblInd w:w="250" w:type="dxa"/>
          <w:shd w:val="clear" w:color="auto" w:fill="FFFFFF"/>
          <w:tblLayout w:type="fixed"/>
          <w:tblCellMar>
            <w:top w:w="0" w:type="dxa"/>
            <w:left w:w="0" w:type="dxa"/>
            <w:bottom w:w="0" w:type="dxa"/>
            <w:right w:w="0" w:type="dxa"/>
          </w:tblCellMar>
        </w:tblPrEx>
        <w:trPr>
          <w:trHeight w:val="366"/>
        </w:trPr>
        <w:tc>
          <w:tcPr>
            <w:tcW w:w="965" w:type="dxa"/>
            <w:shd w:val="clear" w:color="auto" w:fill="FFFFFF"/>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highlight w:val="none"/>
              </w:rPr>
            </w:pPr>
            <w:r>
              <w:rPr>
                <w:highlight w:val="none"/>
              </w:rPr>
              <w:t>3</w:t>
            </w:r>
          </w:p>
        </w:tc>
        <w:tc>
          <w:tcPr>
            <w:tcW w:w="1409" w:type="dxa"/>
            <w:shd w:val="clear" w:color="auto" w:fill="FFFFFF"/>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highlight w:val="none"/>
              </w:rPr>
            </w:pPr>
            <w:r>
              <w:rPr>
                <w:highlight w:val="none"/>
              </w:rPr>
              <w:t>主控柜</w:t>
            </w:r>
          </w:p>
        </w:tc>
        <w:tc>
          <w:tcPr>
            <w:tcW w:w="4508" w:type="dxa"/>
            <w:shd w:val="clear" w:color="auto" w:fill="FFFFFF"/>
            <w:noWrap w:val="0"/>
            <w:tcMar>
              <w:top w:w="0" w:type="dxa"/>
              <w:left w:w="108" w:type="dxa"/>
              <w:bottom w:w="0" w:type="dxa"/>
              <w:right w:w="108" w:type="dxa"/>
            </w:tcMar>
            <w:vAlign w:val="top"/>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highlight w:val="none"/>
              </w:rPr>
            </w:pPr>
            <w:r>
              <w:rPr>
                <w:highlight w:val="none"/>
              </w:rPr>
              <w:t>机器人供电及控制模块相关电气设备</w:t>
            </w:r>
          </w:p>
        </w:tc>
        <w:tc>
          <w:tcPr>
            <w:tcW w:w="1477" w:type="dxa"/>
            <w:shd w:val="clear" w:color="auto" w:fill="FFFFFF"/>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highlight w:val="none"/>
              </w:rPr>
            </w:pPr>
          </w:p>
        </w:tc>
      </w:tr>
      <w:tr>
        <w:tblPrEx>
          <w:tblW w:w="8359" w:type="dxa"/>
          <w:tblInd w:w="250" w:type="dxa"/>
          <w:shd w:val="clear" w:color="auto" w:fill="FFFFFF"/>
          <w:tblLayout w:type="fixed"/>
          <w:tblCellMar>
            <w:top w:w="0" w:type="dxa"/>
            <w:left w:w="0" w:type="dxa"/>
            <w:bottom w:w="0" w:type="dxa"/>
            <w:right w:w="0" w:type="dxa"/>
          </w:tblCellMar>
        </w:tblPrEx>
        <w:trPr>
          <w:trHeight w:val="366"/>
        </w:trPr>
        <w:tc>
          <w:tcPr>
            <w:tcW w:w="965" w:type="dxa"/>
            <w:shd w:val="clear" w:color="auto" w:fill="FFFFFF"/>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highlight w:val="none"/>
              </w:rPr>
            </w:pPr>
            <w:r>
              <w:rPr>
                <w:highlight w:val="none"/>
              </w:rPr>
              <w:t>4</w:t>
            </w:r>
          </w:p>
        </w:tc>
        <w:tc>
          <w:tcPr>
            <w:tcW w:w="1409" w:type="dxa"/>
            <w:shd w:val="clear" w:color="auto" w:fill="FFFFFF"/>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highlight w:val="none"/>
              </w:rPr>
            </w:pPr>
            <w:r>
              <w:rPr>
                <w:highlight w:val="none"/>
              </w:rPr>
              <w:t>UPS柜</w:t>
            </w:r>
          </w:p>
        </w:tc>
        <w:tc>
          <w:tcPr>
            <w:tcW w:w="4508" w:type="dxa"/>
            <w:shd w:val="clear" w:color="auto" w:fill="FFFFFF"/>
            <w:noWrap w:val="0"/>
            <w:tcMar>
              <w:top w:w="0" w:type="dxa"/>
              <w:left w:w="108" w:type="dxa"/>
              <w:bottom w:w="0" w:type="dxa"/>
              <w:right w:w="108" w:type="dxa"/>
            </w:tcMar>
            <w:vAlign w:val="top"/>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highlight w:val="none"/>
              </w:rPr>
            </w:pPr>
            <w:r>
              <w:rPr>
                <w:color w:val="000000"/>
                <w:kern w:val="0"/>
                <w:szCs w:val="21"/>
                <w:highlight w:val="none"/>
                <w:lang w:bidi="ar"/>
              </w:rPr>
              <w:t>UPS配置容量</w:t>
            </w:r>
            <w:r>
              <w:rPr>
                <w:rFonts w:hint="eastAsia"/>
                <w:color w:val="000000"/>
                <w:kern w:val="0"/>
                <w:szCs w:val="21"/>
                <w:highlight w:val="none"/>
                <w:lang w:bidi="ar"/>
              </w:rPr>
              <w:t>不小于3KVA，</w:t>
            </w:r>
            <w:r>
              <w:rPr>
                <w:color w:val="000000"/>
                <w:kern w:val="0"/>
                <w:szCs w:val="21"/>
                <w:highlight w:val="none"/>
                <w:lang w:bidi="ar"/>
              </w:rPr>
              <w:t>满足至少能够完成一次完整的换电过程且站控系统运行时间≥1h</w:t>
            </w:r>
          </w:p>
        </w:tc>
        <w:tc>
          <w:tcPr>
            <w:tcW w:w="1477" w:type="dxa"/>
            <w:shd w:val="clear" w:color="auto" w:fill="FFFFFF"/>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highlight w:val="none"/>
              </w:rPr>
            </w:pPr>
          </w:p>
        </w:tc>
      </w:tr>
      <w:tr>
        <w:tblPrEx>
          <w:tblW w:w="8359" w:type="dxa"/>
          <w:tblInd w:w="250" w:type="dxa"/>
          <w:shd w:val="clear" w:color="auto" w:fill="FFFFFF"/>
          <w:tblLayout w:type="fixed"/>
          <w:tblCellMar>
            <w:top w:w="0" w:type="dxa"/>
            <w:left w:w="0" w:type="dxa"/>
            <w:bottom w:w="0" w:type="dxa"/>
            <w:right w:w="0" w:type="dxa"/>
          </w:tblCellMar>
        </w:tblPrEx>
        <w:trPr>
          <w:trHeight w:val="366"/>
        </w:trPr>
        <w:tc>
          <w:tcPr>
            <w:tcW w:w="965" w:type="dxa"/>
            <w:shd w:val="clear" w:color="auto" w:fill="FFFFFF"/>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highlight w:val="none"/>
              </w:rPr>
            </w:pPr>
            <w:r>
              <w:rPr>
                <w:highlight w:val="none"/>
              </w:rPr>
              <w:t>5</w:t>
            </w:r>
          </w:p>
        </w:tc>
        <w:tc>
          <w:tcPr>
            <w:tcW w:w="1409" w:type="dxa"/>
            <w:shd w:val="clear" w:color="auto" w:fill="FFFFFF"/>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highlight w:val="none"/>
              </w:rPr>
            </w:pPr>
            <w:r>
              <w:rPr>
                <w:highlight w:val="none"/>
              </w:rPr>
              <w:t>工作站</w:t>
            </w:r>
          </w:p>
        </w:tc>
        <w:tc>
          <w:tcPr>
            <w:tcW w:w="4508" w:type="dxa"/>
            <w:shd w:val="clear" w:color="auto" w:fill="FFFFFF"/>
            <w:noWrap w:val="0"/>
            <w:tcMar>
              <w:top w:w="0" w:type="dxa"/>
              <w:left w:w="108" w:type="dxa"/>
              <w:bottom w:w="0" w:type="dxa"/>
              <w:right w:w="108" w:type="dxa"/>
            </w:tcMar>
            <w:vAlign w:val="top"/>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highlight w:val="none"/>
              </w:rPr>
            </w:pPr>
            <w:r>
              <w:rPr>
                <w:color w:val="000000"/>
                <w:kern w:val="0"/>
                <w:szCs w:val="21"/>
                <w:highlight w:val="none"/>
                <w:lang w:bidi="ar"/>
              </w:rPr>
              <w:t>CPU八核，主频≥2.8GHz，≥16GB内存，≥1T硬盘，集显；显示器24寸，分辨率≥1920*1080</w:t>
            </w:r>
          </w:p>
        </w:tc>
        <w:tc>
          <w:tcPr>
            <w:tcW w:w="1477" w:type="dxa"/>
            <w:shd w:val="clear" w:color="auto" w:fill="FFFFFF"/>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highlight w:val="none"/>
              </w:rPr>
            </w:pPr>
          </w:p>
        </w:tc>
      </w:tr>
      <w:tr>
        <w:tblPrEx>
          <w:tblW w:w="8359" w:type="dxa"/>
          <w:tblInd w:w="250" w:type="dxa"/>
          <w:shd w:val="clear" w:color="auto" w:fill="FFFFFF"/>
          <w:tblLayout w:type="fixed"/>
          <w:tblCellMar>
            <w:top w:w="0" w:type="dxa"/>
            <w:left w:w="0" w:type="dxa"/>
            <w:bottom w:w="0" w:type="dxa"/>
            <w:right w:w="0" w:type="dxa"/>
          </w:tblCellMar>
        </w:tblPrEx>
        <w:trPr>
          <w:trHeight w:val="366"/>
        </w:trPr>
        <w:tc>
          <w:tcPr>
            <w:tcW w:w="965" w:type="dxa"/>
            <w:shd w:val="clear" w:color="auto" w:fill="FFFFFF"/>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highlight w:val="none"/>
              </w:rPr>
            </w:pPr>
            <w:r>
              <w:rPr>
                <w:highlight w:val="none"/>
              </w:rPr>
              <w:t>6</w:t>
            </w:r>
          </w:p>
        </w:tc>
        <w:tc>
          <w:tcPr>
            <w:tcW w:w="1409" w:type="dxa"/>
            <w:shd w:val="clear" w:color="auto" w:fill="FFFFFF"/>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eastAsia"/>
                <w:highlight w:val="none"/>
              </w:rPr>
            </w:pPr>
            <w:r>
              <w:rPr>
                <w:highlight w:val="none"/>
              </w:rPr>
              <w:t>安防</w:t>
            </w:r>
            <w:r>
              <w:rPr>
                <w:rFonts w:hint="eastAsia"/>
                <w:highlight w:val="none"/>
              </w:rPr>
              <w:t>显示器</w:t>
            </w:r>
          </w:p>
        </w:tc>
        <w:tc>
          <w:tcPr>
            <w:tcW w:w="4508" w:type="dxa"/>
            <w:shd w:val="clear" w:color="auto" w:fill="FFFFFF"/>
            <w:noWrap w:val="0"/>
            <w:tcMar>
              <w:top w:w="0" w:type="dxa"/>
              <w:left w:w="108" w:type="dxa"/>
              <w:bottom w:w="0" w:type="dxa"/>
              <w:right w:w="108" w:type="dxa"/>
            </w:tcMar>
            <w:vAlign w:val="top"/>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highlight w:val="none"/>
              </w:rPr>
            </w:pPr>
            <w:r>
              <w:rPr>
                <w:rFonts w:hint="eastAsia"/>
                <w:highlight w:val="none"/>
              </w:rPr>
              <w:t>显示器</w:t>
            </w:r>
            <w:r>
              <w:rPr>
                <w:highlight w:val="none"/>
              </w:rPr>
              <w:t>≥22寸，</w:t>
            </w:r>
            <w:r>
              <w:rPr>
                <w:color w:val="000000"/>
                <w:kern w:val="0"/>
                <w:szCs w:val="21"/>
                <w:highlight w:val="none"/>
                <w:lang w:bidi="ar"/>
              </w:rPr>
              <w:t>分辨率≥1920*1080</w:t>
            </w:r>
          </w:p>
        </w:tc>
        <w:tc>
          <w:tcPr>
            <w:tcW w:w="1477" w:type="dxa"/>
            <w:shd w:val="clear" w:color="auto" w:fill="FFFFFF"/>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highlight w:val="none"/>
              </w:rPr>
            </w:pPr>
          </w:p>
        </w:tc>
      </w:tr>
      <w:tr>
        <w:tblPrEx>
          <w:tblW w:w="8359" w:type="dxa"/>
          <w:tblInd w:w="250" w:type="dxa"/>
          <w:shd w:val="clear" w:color="auto" w:fill="FFFFFF"/>
          <w:tblLayout w:type="fixed"/>
          <w:tblCellMar>
            <w:top w:w="0" w:type="dxa"/>
            <w:left w:w="0" w:type="dxa"/>
            <w:bottom w:w="0" w:type="dxa"/>
            <w:right w:w="0" w:type="dxa"/>
          </w:tblCellMar>
        </w:tblPrEx>
        <w:trPr>
          <w:trHeight w:val="366"/>
        </w:trPr>
        <w:tc>
          <w:tcPr>
            <w:tcW w:w="965" w:type="dxa"/>
            <w:shd w:val="clear" w:color="auto" w:fill="FFFFFF"/>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highlight w:val="none"/>
              </w:rPr>
            </w:pPr>
            <w:r>
              <w:rPr>
                <w:highlight w:val="none"/>
              </w:rPr>
              <w:t>7</w:t>
            </w:r>
          </w:p>
        </w:tc>
        <w:tc>
          <w:tcPr>
            <w:tcW w:w="1409" w:type="dxa"/>
            <w:shd w:val="clear" w:color="auto" w:fill="FFFFFF"/>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highlight w:val="none"/>
              </w:rPr>
            </w:pPr>
            <w:r>
              <w:rPr>
                <w:highlight w:val="none"/>
              </w:rPr>
              <w:t>工作台</w:t>
            </w:r>
          </w:p>
        </w:tc>
        <w:tc>
          <w:tcPr>
            <w:tcW w:w="4508" w:type="dxa"/>
            <w:shd w:val="clear" w:color="auto" w:fill="FFFFFF"/>
            <w:noWrap w:val="0"/>
            <w:tcMar>
              <w:top w:w="0" w:type="dxa"/>
              <w:left w:w="108" w:type="dxa"/>
              <w:bottom w:w="0" w:type="dxa"/>
              <w:right w:w="108" w:type="dxa"/>
            </w:tcMar>
            <w:vAlign w:val="top"/>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highlight w:val="none"/>
              </w:rPr>
            </w:pPr>
            <w:r>
              <w:rPr>
                <w:highlight w:val="none"/>
              </w:rPr>
              <w:t>桌子长度≥1400mm，配置至少2把椅子</w:t>
            </w:r>
          </w:p>
        </w:tc>
        <w:tc>
          <w:tcPr>
            <w:tcW w:w="1477" w:type="dxa"/>
            <w:shd w:val="clear" w:color="auto" w:fill="FFFFFF"/>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highlight w:val="none"/>
              </w:rPr>
            </w:pPr>
          </w:p>
        </w:tc>
      </w:tr>
      <w:tr>
        <w:tblPrEx>
          <w:tblW w:w="8359" w:type="dxa"/>
          <w:tblInd w:w="250" w:type="dxa"/>
          <w:shd w:val="clear" w:color="auto" w:fill="FFFFFF"/>
          <w:tblLayout w:type="fixed"/>
          <w:tblCellMar>
            <w:top w:w="0" w:type="dxa"/>
            <w:left w:w="0" w:type="dxa"/>
            <w:bottom w:w="0" w:type="dxa"/>
            <w:right w:w="0" w:type="dxa"/>
          </w:tblCellMar>
        </w:tblPrEx>
        <w:trPr>
          <w:trHeight w:val="366"/>
        </w:trPr>
        <w:tc>
          <w:tcPr>
            <w:tcW w:w="965" w:type="dxa"/>
            <w:shd w:val="clear" w:color="auto" w:fill="FFFFFF"/>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highlight w:val="none"/>
              </w:rPr>
            </w:pPr>
            <w:r>
              <w:rPr>
                <w:highlight w:val="none"/>
              </w:rPr>
              <w:t>8</w:t>
            </w:r>
          </w:p>
        </w:tc>
        <w:tc>
          <w:tcPr>
            <w:tcW w:w="1409" w:type="dxa"/>
            <w:shd w:val="clear" w:color="auto" w:fill="FFFFFF"/>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highlight w:val="none"/>
              </w:rPr>
            </w:pPr>
            <w:r>
              <w:rPr>
                <w:highlight w:val="none"/>
              </w:rPr>
              <w:t>文件柜</w:t>
            </w:r>
          </w:p>
        </w:tc>
        <w:tc>
          <w:tcPr>
            <w:tcW w:w="4508" w:type="dxa"/>
            <w:shd w:val="clear" w:color="auto" w:fill="FFFFFF"/>
            <w:noWrap w:val="0"/>
            <w:tcMar>
              <w:top w:w="0" w:type="dxa"/>
              <w:left w:w="108" w:type="dxa"/>
              <w:bottom w:w="0" w:type="dxa"/>
              <w:right w:w="108" w:type="dxa"/>
            </w:tcMar>
            <w:vAlign w:val="top"/>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highlight w:val="none"/>
              </w:rPr>
            </w:pPr>
            <w:r>
              <w:rPr>
                <w:highlight w:val="none"/>
              </w:rPr>
              <w:t>冷轧钢材质，尺寸≥900mm*390mm*1850mm</w:t>
            </w:r>
          </w:p>
        </w:tc>
        <w:tc>
          <w:tcPr>
            <w:tcW w:w="1477" w:type="dxa"/>
            <w:shd w:val="clear" w:color="auto" w:fill="FFFFFF"/>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highlight w:val="none"/>
              </w:rPr>
            </w:pPr>
          </w:p>
        </w:tc>
      </w:tr>
      <w:tr>
        <w:tblPrEx>
          <w:tblW w:w="8359" w:type="dxa"/>
          <w:tblInd w:w="250" w:type="dxa"/>
          <w:shd w:val="clear" w:color="auto" w:fill="FFFFFF"/>
          <w:tblLayout w:type="fixed"/>
          <w:tblCellMar>
            <w:top w:w="0" w:type="dxa"/>
            <w:left w:w="0" w:type="dxa"/>
            <w:bottom w:w="0" w:type="dxa"/>
            <w:right w:w="0" w:type="dxa"/>
          </w:tblCellMar>
        </w:tblPrEx>
        <w:trPr>
          <w:trHeight w:val="366"/>
        </w:trPr>
        <w:tc>
          <w:tcPr>
            <w:tcW w:w="965" w:type="dxa"/>
            <w:shd w:val="clear" w:color="auto" w:fill="FFFFFF"/>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highlight w:val="none"/>
              </w:rPr>
            </w:pPr>
            <w:r>
              <w:rPr>
                <w:highlight w:val="none"/>
              </w:rPr>
              <w:t>9</w:t>
            </w:r>
          </w:p>
        </w:tc>
        <w:tc>
          <w:tcPr>
            <w:tcW w:w="1409" w:type="dxa"/>
            <w:shd w:val="clear" w:color="auto" w:fill="FFFFFF"/>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highlight w:val="none"/>
              </w:rPr>
            </w:pPr>
            <w:r>
              <w:rPr>
                <w:highlight w:val="none"/>
              </w:rPr>
              <w:t>空调</w:t>
            </w:r>
          </w:p>
        </w:tc>
        <w:tc>
          <w:tcPr>
            <w:tcW w:w="4508" w:type="dxa"/>
            <w:shd w:val="clear" w:color="auto" w:fill="FFFFFF"/>
            <w:noWrap w:val="0"/>
            <w:tcMar>
              <w:top w:w="0" w:type="dxa"/>
              <w:left w:w="108" w:type="dxa"/>
              <w:bottom w:w="0" w:type="dxa"/>
              <w:right w:w="108" w:type="dxa"/>
            </w:tcMar>
            <w:vAlign w:val="top"/>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highlight w:val="none"/>
              </w:rPr>
            </w:pPr>
            <w:r>
              <w:rPr>
                <w:rFonts w:hint="eastAsia"/>
                <w:highlight w:val="none"/>
              </w:rPr>
              <w:t>不小于</w:t>
            </w:r>
            <w:r>
              <w:rPr>
                <w:highlight w:val="none"/>
              </w:rPr>
              <w:t>3P空调，国内一线品牌</w:t>
            </w:r>
            <w:r>
              <w:rPr>
                <w:rFonts w:hint="eastAsia"/>
                <w:highlight w:val="none"/>
              </w:rPr>
              <w:t>，新一级能效，变频冷暖，低噪节能</w:t>
            </w:r>
          </w:p>
        </w:tc>
        <w:tc>
          <w:tcPr>
            <w:tcW w:w="1477" w:type="dxa"/>
            <w:shd w:val="clear" w:color="auto" w:fill="FFFFFF"/>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highlight w:val="none"/>
              </w:rPr>
            </w:pPr>
          </w:p>
        </w:tc>
      </w:tr>
    </w:tbl>
    <w:p>
      <w:pPr>
        <w:pStyle w:val="-2"/>
        <w:numPr>
          <w:ilvl w:val="1"/>
          <w:numId w:val="0"/>
        </w:numPr>
        <w:tabs>
          <w:tab w:val="clear" w:pos="567"/>
          <w:tab w:val="clear" w:pos="851"/>
          <w:tab w:val="clear" w:pos="1144"/>
        </w:tabs>
        <w:ind w:leftChars="0"/>
        <w:outlineLvl w:val="1"/>
        <w:rPr>
          <w:rFonts w:ascii="Times New Roman" w:hAnsi="Times New Roman"/>
          <w:color w:val="auto"/>
          <w:sz w:val="24"/>
          <w:szCs w:val="24"/>
          <w:highlight w:val="none"/>
        </w:rPr>
      </w:pPr>
      <w:r>
        <w:rPr>
          <w:rFonts w:ascii="Times New Roman" w:hAnsi="Times New Roman" w:hint="eastAsia"/>
          <w:color w:val="auto"/>
          <w:sz w:val="24"/>
          <w:szCs w:val="24"/>
          <w:highlight w:val="none"/>
          <w:lang w:val="en-US" w:eastAsia="zh-CN"/>
        </w:rPr>
        <w:t>4.</w:t>
      </w:r>
      <w:r>
        <w:rPr>
          <w:rFonts w:ascii="Times New Roman" w:hAnsi="Times New Roman"/>
          <w:color w:val="auto"/>
          <w:sz w:val="24"/>
          <w:szCs w:val="24"/>
          <w:highlight w:val="none"/>
        </w:rPr>
        <w:t>外壳系统</w:t>
      </w:r>
    </w:p>
    <w:p>
      <w:pPr>
        <w:overflowPunct w:val="0"/>
        <w:topLinePunct/>
        <w:spacing w:line="360" w:lineRule="auto"/>
        <w:ind w:firstLine="420" w:firstLineChars="200"/>
        <w:rPr>
          <w:rStyle w:val="EUChar"/>
          <w:rFonts w:ascii="Times New Roman"/>
          <w:highlight w:val="none"/>
        </w:rPr>
      </w:pPr>
      <w:r>
        <w:rPr>
          <w:rStyle w:val="EUChar"/>
          <w:rFonts w:ascii="Times New Roman"/>
          <w:highlight w:val="none"/>
        </w:rPr>
        <w:t>集装箱式外壳</w:t>
      </w:r>
      <w:r>
        <w:rPr>
          <w:rStyle w:val="EUChar"/>
          <w:rFonts w:ascii="Times New Roman" w:hint="eastAsia"/>
          <w:highlight w:val="none"/>
        </w:rPr>
        <w:t>采用单层集装箱，包括桁架主结构、电池底座、防护外壳、保温结构、内饰结构、通风散热系统、空调、维护门、移门、监控窗口、照明、监控摄像头、消防和相关监控室内配套设施，应便于现场安装，满足使用环境要求</w:t>
      </w:r>
      <w:r>
        <w:rPr>
          <w:rStyle w:val="EUChar"/>
          <w:rFonts w:ascii="Times New Roman"/>
          <w:highlight w:val="none"/>
        </w:rPr>
        <w:t>。</w:t>
      </w:r>
    </w:p>
    <w:p>
      <w:pPr>
        <w:overflowPunct w:val="0"/>
        <w:topLinePunct/>
        <w:spacing w:line="360" w:lineRule="auto"/>
        <w:ind w:firstLine="420" w:firstLineChars="200"/>
        <w:rPr>
          <w:rStyle w:val="EUChar"/>
          <w:rFonts w:ascii="Times New Roman" w:hint="eastAsia"/>
          <w:highlight w:val="none"/>
        </w:rPr>
      </w:pPr>
      <w:r>
        <w:rPr>
          <w:rStyle w:val="EUChar"/>
          <w:rFonts w:ascii="Times New Roman" w:hint="eastAsia"/>
          <w:highlight w:val="none"/>
        </w:rPr>
        <w:t>行车道尺寸：宽度4000mm、高度≥4300mm。</w:t>
      </w:r>
    </w:p>
    <w:p>
      <w:pPr>
        <w:overflowPunct w:val="0"/>
        <w:topLinePunct/>
        <w:spacing w:line="360" w:lineRule="auto"/>
        <w:ind w:firstLine="420" w:firstLineChars="200"/>
        <w:rPr>
          <w:rStyle w:val="EUChar"/>
          <w:rFonts w:ascii="Times New Roman" w:hint="eastAsia"/>
          <w:highlight w:val="none"/>
        </w:rPr>
      </w:pPr>
      <w:r>
        <w:rPr>
          <w:rStyle w:val="EUChar"/>
          <w:rFonts w:ascii="Times New Roman" w:hint="eastAsia"/>
          <w:highlight w:val="none"/>
        </w:rPr>
        <w:t>保温层材料：岩棉厚度50mm、阻燃A级。</w:t>
      </w:r>
    </w:p>
    <w:p>
      <w:pPr>
        <w:overflowPunct w:val="0"/>
        <w:topLinePunct/>
        <w:spacing w:line="360" w:lineRule="auto"/>
        <w:ind w:firstLine="420" w:firstLineChars="200"/>
        <w:rPr>
          <w:rStyle w:val="EUChar"/>
          <w:rFonts w:ascii="Times New Roman" w:hint="eastAsia"/>
          <w:highlight w:val="none"/>
        </w:rPr>
      </w:pPr>
      <w:r>
        <w:rPr>
          <w:rStyle w:val="EUChar"/>
          <w:rFonts w:ascii="Times New Roman" w:hint="eastAsia"/>
          <w:highlight w:val="none"/>
        </w:rPr>
        <w:t>反光条：粘贴于车辆进出通道处，包含左右两侧和顶部。反光贴带3M标识；尺寸：长307mm*宽50mm。</w:t>
      </w:r>
    </w:p>
    <w:p>
      <w:pPr>
        <w:overflowPunct w:val="0"/>
        <w:topLinePunct/>
        <w:spacing w:line="360" w:lineRule="auto"/>
        <w:ind w:firstLine="420" w:firstLineChars="200"/>
        <w:rPr>
          <w:rStyle w:val="EUChar"/>
          <w:rFonts w:ascii="Times New Roman"/>
          <w:highlight w:val="none"/>
        </w:rPr>
      </w:pPr>
      <w:r>
        <w:rPr>
          <w:rStyle w:val="EUChar"/>
          <w:rFonts w:ascii="Times New Roman" w:hint="eastAsia"/>
          <w:highlight w:val="none"/>
        </w:rPr>
        <w:t>集装箱外壳常规内外颜色采用喷涂，内部分别为2 道，不小于 50μm 厚；外部3 道，不小于 80μm 厚；换电站的颜色及LOGO设计方案按照采购人要求进行生产</w:t>
      </w:r>
      <w:r>
        <w:rPr>
          <w:rStyle w:val="EUChar"/>
          <w:rFonts w:ascii="Times New Roman"/>
          <w:highlight w:val="none"/>
        </w:rPr>
        <w:t>。</w:t>
      </w:r>
    </w:p>
    <w:p>
      <w:pPr>
        <w:overflowPunct w:val="0"/>
        <w:topLinePunct/>
        <w:spacing w:after="156" w:afterLines="50" w:line="360" w:lineRule="auto"/>
        <w:ind w:firstLine="420" w:firstLineChars="200"/>
        <w:rPr>
          <w:rStyle w:val="EUChar"/>
          <w:rFonts w:ascii="Times New Roman" w:hint="eastAsia"/>
          <w:highlight w:val="none"/>
        </w:rPr>
      </w:pPr>
      <w:r>
        <w:rPr>
          <w:rStyle w:val="EUChar"/>
          <w:rFonts w:ascii="Times New Roman" w:hint="eastAsia"/>
          <w:highlight w:val="none"/>
        </w:rPr>
        <w:t>设备布置示意如图3-1所示</w:t>
      </w:r>
      <w:r>
        <w:rPr>
          <w:rStyle w:val="EUChar"/>
          <w:rFonts w:ascii="Times New Roman"/>
          <w:highlight w:val="none"/>
        </w:rPr>
        <w:t>。</w:t>
      </w:r>
    </w:p>
    <w:p>
      <w:pPr>
        <w:spacing w:line="360" w:lineRule="auto"/>
        <w:jc w:val="center"/>
        <w:rPr>
          <w:rFonts w:hint="eastAsia"/>
          <w:sz w:val="24"/>
          <w:highlight w:val="none"/>
        </w:rPr>
      </w:pPr>
      <w:r>
        <w:rPr>
          <w:highlight w:val="none"/>
        </w:rPr>
        <w:drawing>
          <wp:inline distT="0" distB="0" distL="114300" distR="114300">
            <wp:extent cx="4901565" cy="2744470"/>
            <wp:effectExtent l="0" t="0" r="13335" b="1778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190331" name="图片 2"/>
                    <pic:cNvPicPr>
                      <a:picLocks noChangeAspect="1"/>
                    </pic:cNvPicPr>
                  </pic:nvPicPr>
                  <pic:blipFill>
                    <a:blip xmlns:r="http://schemas.openxmlformats.org/officeDocument/2006/relationships" r:embed="rId4"/>
                    <a:stretch>
                      <a:fillRect/>
                    </a:stretch>
                  </pic:blipFill>
                  <pic:spPr>
                    <a:xfrm>
                      <a:off x="0" y="0"/>
                      <a:ext cx="4901565" cy="2744470"/>
                    </a:xfrm>
                    <a:prstGeom prst="rect">
                      <a:avLst/>
                    </a:prstGeom>
                    <a:noFill/>
                    <a:ln>
                      <a:noFill/>
                    </a:ln>
                  </pic:spPr>
                </pic:pic>
              </a:graphicData>
            </a:graphic>
          </wp:inline>
        </w:drawing>
      </w:r>
    </w:p>
    <w:p>
      <w:pPr>
        <w:spacing w:before="156" w:beforeLines="50" w:after="156" w:afterLines="50"/>
        <w:jc w:val="center"/>
        <w:rPr>
          <w:rFonts w:hint="eastAsia"/>
          <w:sz w:val="24"/>
          <w:highlight w:val="none"/>
        </w:rPr>
      </w:pPr>
      <w:r>
        <w:rPr>
          <w:kern w:val="21"/>
          <w:highlight w:val="none"/>
        </w:rPr>
        <w:t>图</w:t>
      </w:r>
      <w:r>
        <w:rPr>
          <w:rFonts w:hint="eastAsia"/>
          <w:kern w:val="21"/>
          <w:highlight w:val="none"/>
          <w:lang w:val="en-US" w:eastAsia="zh-CN"/>
        </w:rPr>
        <w:t>2</w:t>
      </w:r>
      <w:r>
        <w:rPr>
          <w:kern w:val="21"/>
          <w:highlight w:val="none"/>
        </w:rPr>
        <w:t xml:space="preserve"> </w:t>
      </w:r>
      <w:r>
        <w:rPr>
          <w:highlight w:val="none"/>
        </w:rPr>
        <w:t>集装箱</w:t>
      </w:r>
      <w:r>
        <w:rPr>
          <w:kern w:val="21"/>
          <w:highlight w:val="none"/>
        </w:rPr>
        <w:t>设备布置示意</w:t>
      </w:r>
    </w:p>
    <w:p>
      <w:pPr>
        <w:pStyle w:val="-2"/>
        <w:numPr>
          <w:ilvl w:val="1"/>
          <w:numId w:val="0"/>
        </w:numPr>
        <w:tabs>
          <w:tab w:val="clear" w:pos="567"/>
          <w:tab w:val="clear" w:pos="851"/>
          <w:tab w:val="clear" w:pos="1144"/>
        </w:tabs>
        <w:ind w:leftChars="0"/>
        <w:outlineLvl w:val="1"/>
        <w:rPr>
          <w:rFonts w:ascii="Times New Roman" w:hAnsi="Times New Roman"/>
          <w:color w:val="auto"/>
          <w:sz w:val="24"/>
          <w:szCs w:val="24"/>
          <w:highlight w:val="none"/>
        </w:rPr>
      </w:pPr>
      <w:r>
        <w:rPr>
          <w:rFonts w:ascii="Times New Roman" w:hAnsi="Times New Roman" w:hint="eastAsia"/>
          <w:color w:val="auto"/>
          <w:sz w:val="24"/>
          <w:szCs w:val="24"/>
          <w:highlight w:val="none"/>
          <w:lang w:val="en-US" w:eastAsia="zh-CN"/>
        </w:rPr>
        <w:t>5.</w:t>
      </w:r>
      <w:r>
        <w:rPr>
          <w:rFonts w:ascii="Times New Roman" w:hAnsi="Times New Roman"/>
          <w:color w:val="auto"/>
          <w:sz w:val="24"/>
          <w:szCs w:val="24"/>
          <w:highlight w:val="none"/>
        </w:rPr>
        <w:t>监控室</w:t>
      </w:r>
    </w:p>
    <w:p>
      <w:pPr>
        <w:overflowPunct w:val="0"/>
        <w:topLinePunct/>
        <w:spacing w:line="360" w:lineRule="auto"/>
        <w:ind w:firstLine="420" w:firstLineChars="200"/>
        <w:rPr>
          <w:rStyle w:val="EUChar"/>
          <w:rFonts w:ascii="Times New Roman" w:hint="eastAsia"/>
          <w:highlight w:val="none"/>
        </w:rPr>
      </w:pPr>
      <w:r>
        <w:rPr>
          <w:rStyle w:val="EUChar"/>
          <w:rFonts w:ascii="Times New Roman" w:hint="eastAsia"/>
          <w:highlight w:val="none"/>
        </w:rPr>
        <w:t>监控室位于换电站换电车辆相对一侧，拥有直接对外的安全出口以及电气柜操作用柜门，监控室内设备至少含配电箱、主控柜、站控柜、UPS柜、工作站、安防显示器、工作台(含桌椅)、文件柜、空调等。</w:t>
      </w:r>
    </w:p>
    <w:p>
      <w:pPr>
        <w:overflowPunct w:val="0"/>
        <w:topLinePunct/>
        <w:spacing w:line="360" w:lineRule="auto"/>
        <w:ind w:firstLine="420" w:firstLineChars="200"/>
        <w:rPr>
          <w:rStyle w:val="EUChar"/>
          <w:rFonts w:ascii="Times New Roman" w:hint="eastAsia"/>
          <w:highlight w:val="none"/>
        </w:rPr>
      </w:pPr>
      <w:r>
        <w:rPr>
          <w:rStyle w:val="EUChar"/>
          <w:rFonts w:ascii="Times New Roman" w:hint="eastAsia"/>
          <w:highlight w:val="none"/>
        </w:rPr>
        <w:t>配电箱应包含换电机器人、安防、照明、插座、空调等设备供电控制开关。</w:t>
      </w:r>
    </w:p>
    <w:p>
      <w:pPr>
        <w:overflowPunct w:val="0"/>
        <w:topLinePunct/>
        <w:spacing w:line="360" w:lineRule="auto"/>
        <w:ind w:firstLine="420" w:firstLineChars="200"/>
        <w:rPr>
          <w:rStyle w:val="EUChar"/>
          <w:rFonts w:ascii="Times New Roman" w:hint="eastAsia"/>
          <w:highlight w:val="none"/>
        </w:rPr>
      </w:pPr>
      <w:r>
        <w:rPr>
          <w:rStyle w:val="EUChar"/>
          <w:rFonts w:ascii="Times New Roman" w:hint="eastAsia"/>
          <w:highlight w:val="none"/>
        </w:rPr>
        <w:t>站控柜内部主要包含安防监控系统设备及站控系统设备。</w:t>
      </w:r>
    </w:p>
    <w:p>
      <w:pPr>
        <w:overflowPunct w:val="0"/>
        <w:topLinePunct/>
        <w:spacing w:line="360" w:lineRule="auto"/>
        <w:ind w:firstLine="420" w:firstLineChars="200"/>
        <w:rPr>
          <w:rStyle w:val="EUChar"/>
          <w:rFonts w:ascii="Times New Roman" w:hint="eastAsia"/>
          <w:highlight w:val="none"/>
        </w:rPr>
      </w:pPr>
      <w:r>
        <w:rPr>
          <w:rStyle w:val="EUChar"/>
          <w:rFonts w:ascii="Times New Roman" w:hint="eastAsia"/>
          <w:highlight w:val="none"/>
        </w:rPr>
        <w:t>主控柜内部主要包含机器人供电及控制模块相关电气设备。</w:t>
      </w:r>
    </w:p>
    <w:p>
      <w:pPr>
        <w:overflowPunct w:val="0"/>
        <w:topLinePunct/>
        <w:spacing w:line="360" w:lineRule="auto"/>
        <w:ind w:firstLine="420" w:firstLineChars="200"/>
        <w:rPr>
          <w:rStyle w:val="EUChar"/>
          <w:rFonts w:ascii="Times New Roman" w:hint="eastAsia"/>
          <w:highlight w:val="none"/>
        </w:rPr>
      </w:pPr>
      <w:r>
        <w:rPr>
          <w:rStyle w:val="EUChar"/>
          <w:rFonts w:ascii="Times New Roman" w:hint="eastAsia"/>
          <w:highlight w:val="none"/>
        </w:rPr>
        <w:t xml:space="preserve">UPS柜应配置UPS设备，UPS配置容量不小于3KVA，满足至少能够完成一次完整的换电过程且站控系统运行时间≥1h。 </w:t>
      </w:r>
    </w:p>
    <w:p>
      <w:pPr>
        <w:overflowPunct w:val="0"/>
        <w:topLinePunct/>
        <w:spacing w:line="360" w:lineRule="auto"/>
        <w:ind w:firstLine="420" w:firstLineChars="200"/>
        <w:rPr>
          <w:rStyle w:val="EUChar"/>
          <w:rFonts w:ascii="Times New Roman"/>
          <w:highlight w:val="none"/>
        </w:rPr>
      </w:pPr>
      <w:r>
        <w:rPr>
          <w:rStyle w:val="EUChar"/>
          <w:rFonts w:ascii="Times New Roman" w:hint="eastAsia"/>
          <w:highlight w:val="none"/>
        </w:rPr>
        <w:t>监控室内设备详细配置清单如下表所示：</w:t>
      </w:r>
    </w:p>
    <w:p>
      <w:pPr>
        <w:spacing w:before="156" w:beforeLines="50" w:after="156" w:afterLines="50"/>
        <w:jc w:val="center"/>
        <w:rPr>
          <w:kern w:val="21"/>
          <w:highlight w:val="none"/>
        </w:rPr>
      </w:pPr>
      <w:r>
        <w:rPr>
          <w:kern w:val="21"/>
          <w:highlight w:val="none"/>
        </w:rPr>
        <w:t>表3 监控室</w:t>
      </w:r>
      <w:r>
        <w:rPr>
          <w:szCs w:val="22"/>
          <w:highlight w:val="none"/>
        </w:rPr>
        <w:t>设备</w:t>
      </w:r>
      <w:r>
        <w:rPr>
          <w:kern w:val="21"/>
          <w:highlight w:val="none"/>
        </w:rPr>
        <w:t>详细配置清单</w:t>
      </w:r>
    </w:p>
    <w:tbl>
      <w:tblPr>
        <w:tblStyle w:val="TableNormal"/>
        <w:tblW w:w="835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0" w:type="dxa"/>
          <w:left w:w="0" w:type="dxa"/>
          <w:bottom w:w="0" w:type="dxa"/>
          <w:right w:w="0" w:type="dxa"/>
        </w:tblCellMar>
      </w:tblPr>
      <w:tblGrid>
        <w:gridCol w:w="965"/>
        <w:gridCol w:w="1409"/>
        <w:gridCol w:w="4508"/>
        <w:gridCol w:w="1477"/>
      </w:tblGrid>
      <w:tr>
        <w:tblPrEx>
          <w:tblW w:w="835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0" w:type="dxa"/>
            <w:left w:w="0" w:type="dxa"/>
            <w:bottom w:w="0" w:type="dxa"/>
            <w:right w:w="0" w:type="dxa"/>
          </w:tblCellMar>
        </w:tblPrEx>
        <w:trPr>
          <w:trHeight w:val="366"/>
        </w:trPr>
        <w:tc>
          <w:tcPr>
            <w:tcW w:w="965" w:type="dxa"/>
            <w:shd w:val="clear" w:color="auto" w:fill="auto"/>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highlight w:val="none"/>
              </w:rPr>
            </w:pPr>
            <w:r>
              <w:rPr>
                <w:highlight w:val="none"/>
              </w:rPr>
              <w:t>序号</w:t>
            </w:r>
          </w:p>
        </w:tc>
        <w:tc>
          <w:tcPr>
            <w:tcW w:w="1409" w:type="dxa"/>
            <w:shd w:val="clear" w:color="auto" w:fill="auto"/>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highlight w:val="none"/>
              </w:rPr>
            </w:pPr>
            <w:r>
              <w:rPr>
                <w:highlight w:val="none"/>
              </w:rPr>
              <w:t>项目</w:t>
            </w:r>
          </w:p>
        </w:tc>
        <w:tc>
          <w:tcPr>
            <w:tcW w:w="4508" w:type="dxa"/>
            <w:shd w:val="clear" w:color="auto" w:fill="auto"/>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highlight w:val="none"/>
              </w:rPr>
            </w:pPr>
            <w:r>
              <w:rPr>
                <w:highlight w:val="none"/>
              </w:rPr>
              <w:t>配置</w:t>
            </w:r>
          </w:p>
        </w:tc>
        <w:tc>
          <w:tcPr>
            <w:tcW w:w="1477" w:type="dxa"/>
            <w:shd w:val="clear" w:color="auto" w:fill="auto"/>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highlight w:val="none"/>
              </w:rPr>
            </w:pPr>
            <w:r>
              <w:rPr>
                <w:highlight w:val="none"/>
              </w:rPr>
              <w:t>备注</w:t>
            </w:r>
          </w:p>
        </w:tc>
      </w:tr>
      <w:tr>
        <w:tblPrEx>
          <w:tblW w:w="8359" w:type="dxa"/>
          <w:tblInd w:w="250" w:type="dxa"/>
          <w:shd w:val="clear" w:color="auto" w:fill="FFFFFF"/>
          <w:tblLayout w:type="fixed"/>
          <w:tblCellMar>
            <w:top w:w="0" w:type="dxa"/>
            <w:left w:w="0" w:type="dxa"/>
            <w:bottom w:w="0" w:type="dxa"/>
            <w:right w:w="0" w:type="dxa"/>
          </w:tblCellMar>
        </w:tblPrEx>
        <w:trPr>
          <w:trHeight w:val="366"/>
        </w:trPr>
        <w:tc>
          <w:tcPr>
            <w:tcW w:w="965" w:type="dxa"/>
            <w:shd w:val="clear" w:color="auto" w:fill="FFFFFF"/>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highlight w:val="none"/>
              </w:rPr>
            </w:pPr>
            <w:r>
              <w:rPr>
                <w:highlight w:val="none"/>
              </w:rPr>
              <w:t>1</w:t>
            </w:r>
          </w:p>
        </w:tc>
        <w:tc>
          <w:tcPr>
            <w:tcW w:w="1409" w:type="dxa"/>
            <w:shd w:val="clear" w:color="auto" w:fill="FFFFFF"/>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highlight w:val="none"/>
              </w:rPr>
            </w:pPr>
            <w:r>
              <w:rPr>
                <w:highlight w:val="none"/>
              </w:rPr>
              <w:t>配电箱</w:t>
            </w:r>
          </w:p>
        </w:tc>
        <w:tc>
          <w:tcPr>
            <w:tcW w:w="4508" w:type="dxa"/>
            <w:shd w:val="clear" w:color="auto" w:fill="FFFFFF"/>
            <w:noWrap w:val="0"/>
            <w:tcMar>
              <w:top w:w="0" w:type="dxa"/>
              <w:left w:w="108" w:type="dxa"/>
              <w:bottom w:w="0" w:type="dxa"/>
              <w:right w:w="108" w:type="dxa"/>
            </w:tcMar>
            <w:vAlign w:val="top"/>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highlight w:val="none"/>
              </w:rPr>
            </w:pPr>
            <w:r>
              <w:rPr>
                <w:highlight w:val="none"/>
              </w:rPr>
              <w:t>包含机器人、安防、照明、插座、空调等设备供电控制断路器</w:t>
            </w:r>
          </w:p>
        </w:tc>
        <w:tc>
          <w:tcPr>
            <w:tcW w:w="1477" w:type="dxa"/>
            <w:shd w:val="clear" w:color="auto" w:fill="FFFFFF"/>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highlight w:val="none"/>
              </w:rPr>
            </w:pPr>
          </w:p>
        </w:tc>
      </w:tr>
      <w:tr>
        <w:tblPrEx>
          <w:tblW w:w="8359" w:type="dxa"/>
          <w:tblInd w:w="250" w:type="dxa"/>
          <w:shd w:val="clear" w:color="auto" w:fill="FFFFFF"/>
          <w:tblLayout w:type="fixed"/>
          <w:tblCellMar>
            <w:top w:w="0" w:type="dxa"/>
            <w:left w:w="0" w:type="dxa"/>
            <w:bottom w:w="0" w:type="dxa"/>
            <w:right w:w="0" w:type="dxa"/>
          </w:tblCellMar>
        </w:tblPrEx>
        <w:trPr>
          <w:trHeight w:val="366"/>
        </w:trPr>
        <w:tc>
          <w:tcPr>
            <w:tcW w:w="965" w:type="dxa"/>
            <w:shd w:val="clear" w:color="auto" w:fill="FFFFFF"/>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highlight w:val="none"/>
              </w:rPr>
            </w:pPr>
            <w:r>
              <w:rPr>
                <w:highlight w:val="none"/>
              </w:rPr>
              <w:t>2</w:t>
            </w:r>
          </w:p>
        </w:tc>
        <w:tc>
          <w:tcPr>
            <w:tcW w:w="1409" w:type="dxa"/>
            <w:shd w:val="clear" w:color="auto" w:fill="FFFFFF"/>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highlight w:val="none"/>
              </w:rPr>
            </w:pPr>
            <w:r>
              <w:rPr>
                <w:highlight w:val="none"/>
              </w:rPr>
              <w:t>站控柜</w:t>
            </w:r>
          </w:p>
        </w:tc>
        <w:tc>
          <w:tcPr>
            <w:tcW w:w="4508" w:type="dxa"/>
            <w:shd w:val="clear" w:color="auto" w:fill="FFFFFF"/>
            <w:noWrap w:val="0"/>
            <w:tcMar>
              <w:top w:w="0" w:type="dxa"/>
              <w:left w:w="108" w:type="dxa"/>
              <w:bottom w:w="0" w:type="dxa"/>
              <w:right w:w="108" w:type="dxa"/>
            </w:tcMar>
            <w:vAlign w:val="top"/>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highlight w:val="none"/>
              </w:rPr>
            </w:pPr>
            <w:r>
              <w:rPr>
                <w:highlight w:val="none"/>
              </w:rPr>
              <w:t>包括服务器、充换电交换机、安防交换机、硬盘录像机、硬盘(存储视频时间≥30天)、控制断路器及插排等</w:t>
            </w:r>
          </w:p>
        </w:tc>
        <w:tc>
          <w:tcPr>
            <w:tcW w:w="1477" w:type="dxa"/>
            <w:shd w:val="clear" w:color="auto" w:fill="FFFFFF"/>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highlight w:val="none"/>
              </w:rPr>
            </w:pPr>
          </w:p>
        </w:tc>
      </w:tr>
      <w:tr>
        <w:tblPrEx>
          <w:tblW w:w="8359" w:type="dxa"/>
          <w:tblInd w:w="250" w:type="dxa"/>
          <w:shd w:val="clear" w:color="auto" w:fill="FFFFFF"/>
          <w:tblLayout w:type="fixed"/>
          <w:tblCellMar>
            <w:top w:w="0" w:type="dxa"/>
            <w:left w:w="0" w:type="dxa"/>
            <w:bottom w:w="0" w:type="dxa"/>
            <w:right w:w="0" w:type="dxa"/>
          </w:tblCellMar>
        </w:tblPrEx>
        <w:trPr>
          <w:trHeight w:val="366"/>
        </w:trPr>
        <w:tc>
          <w:tcPr>
            <w:tcW w:w="965" w:type="dxa"/>
            <w:shd w:val="clear" w:color="auto" w:fill="FFFFFF"/>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highlight w:val="none"/>
              </w:rPr>
            </w:pPr>
            <w:r>
              <w:rPr>
                <w:highlight w:val="none"/>
              </w:rPr>
              <w:t>3</w:t>
            </w:r>
          </w:p>
        </w:tc>
        <w:tc>
          <w:tcPr>
            <w:tcW w:w="1409" w:type="dxa"/>
            <w:shd w:val="clear" w:color="auto" w:fill="FFFFFF"/>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highlight w:val="none"/>
              </w:rPr>
            </w:pPr>
            <w:r>
              <w:rPr>
                <w:highlight w:val="none"/>
              </w:rPr>
              <w:t>主控柜</w:t>
            </w:r>
          </w:p>
        </w:tc>
        <w:tc>
          <w:tcPr>
            <w:tcW w:w="4508" w:type="dxa"/>
            <w:shd w:val="clear" w:color="auto" w:fill="FFFFFF"/>
            <w:noWrap w:val="0"/>
            <w:tcMar>
              <w:top w:w="0" w:type="dxa"/>
              <w:left w:w="108" w:type="dxa"/>
              <w:bottom w:w="0" w:type="dxa"/>
              <w:right w:w="108" w:type="dxa"/>
            </w:tcMar>
            <w:vAlign w:val="top"/>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highlight w:val="none"/>
              </w:rPr>
            </w:pPr>
            <w:r>
              <w:rPr>
                <w:highlight w:val="none"/>
              </w:rPr>
              <w:t>机器人供电及控制模块相关电气设备</w:t>
            </w:r>
          </w:p>
        </w:tc>
        <w:tc>
          <w:tcPr>
            <w:tcW w:w="1477" w:type="dxa"/>
            <w:shd w:val="clear" w:color="auto" w:fill="FFFFFF"/>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highlight w:val="none"/>
              </w:rPr>
            </w:pPr>
          </w:p>
        </w:tc>
      </w:tr>
      <w:tr>
        <w:tblPrEx>
          <w:tblW w:w="8359" w:type="dxa"/>
          <w:tblInd w:w="250" w:type="dxa"/>
          <w:shd w:val="clear" w:color="auto" w:fill="FFFFFF"/>
          <w:tblLayout w:type="fixed"/>
          <w:tblCellMar>
            <w:top w:w="0" w:type="dxa"/>
            <w:left w:w="0" w:type="dxa"/>
            <w:bottom w:w="0" w:type="dxa"/>
            <w:right w:w="0" w:type="dxa"/>
          </w:tblCellMar>
        </w:tblPrEx>
        <w:trPr>
          <w:trHeight w:val="366"/>
        </w:trPr>
        <w:tc>
          <w:tcPr>
            <w:tcW w:w="965" w:type="dxa"/>
            <w:shd w:val="clear" w:color="auto" w:fill="FFFFFF"/>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highlight w:val="none"/>
              </w:rPr>
            </w:pPr>
            <w:r>
              <w:rPr>
                <w:highlight w:val="none"/>
              </w:rPr>
              <w:t>4</w:t>
            </w:r>
          </w:p>
        </w:tc>
        <w:tc>
          <w:tcPr>
            <w:tcW w:w="1409" w:type="dxa"/>
            <w:shd w:val="clear" w:color="auto" w:fill="FFFFFF"/>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highlight w:val="none"/>
              </w:rPr>
            </w:pPr>
            <w:r>
              <w:rPr>
                <w:highlight w:val="none"/>
              </w:rPr>
              <w:t>UPS柜</w:t>
            </w:r>
          </w:p>
        </w:tc>
        <w:tc>
          <w:tcPr>
            <w:tcW w:w="4508" w:type="dxa"/>
            <w:shd w:val="clear" w:color="auto" w:fill="FFFFFF"/>
            <w:noWrap w:val="0"/>
            <w:tcMar>
              <w:top w:w="0" w:type="dxa"/>
              <w:left w:w="108" w:type="dxa"/>
              <w:bottom w:w="0" w:type="dxa"/>
              <w:right w:w="108" w:type="dxa"/>
            </w:tcMar>
            <w:vAlign w:val="top"/>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highlight w:val="none"/>
              </w:rPr>
            </w:pPr>
            <w:r>
              <w:rPr>
                <w:color w:val="000000"/>
                <w:kern w:val="0"/>
                <w:szCs w:val="21"/>
                <w:highlight w:val="none"/>
                <w:lang w:bidi="ar"/>
              </w:rPr>
              <w:t>UPS配置容量</w:t>
            </w:r>
            <w:r>
              <w:rPr>
                <w:rFonts w:hint="eastAsia"/>
                <w:color w:val="000000"/>
                <w:kern w:val="0"/>
                <w:szCs w:val="21"/>
                <w:highlight w:val="none"/>
                <w:lang w:bidi="ar"/>
              </w:rPr>
              <w:t>不小于3KVA，</w:t>
            </w:r>
            <w:r>
              <w:rPr>
                <w:color w:val="000000"/>
                <w:kern w:val="0"/>
                <w:szCs w:val="21"/>
                <w:highlight w:val="none"/>
                <w:lang w:bidi="ar"/>
              </w:rPr>
              <w:t>满足至少能够完成一次完整的换电过程且站控系统运行时间≥1h</w:t>
            </w:r>
          </w:p>
        </w:tc>
        <w:tc>
          <w:tcPr>
            <w:tcW w:w="1477" w:type="dxa"/>
            <w:shd w:val="clear" w:color="auto" w:fill="FFFFFF"/>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highlight w:val="none"/>
              </w:rPr>
            </w:pPr>
          </w:p>
        </w:tc>
      </w:tr>
      <w:tr>
        <w:tblPrEx>
          <w:tblW w:w="8359" w:type="dxa"/>
          <w:tblInd w:w="250" w:type="dxa"/>
          <w:shd w:val="clear" w:color="auto" w:fill="FFFFFF"/>
          <w:tblLayout w:type="fixed"/>
          <w:tblCellMar>
            <w:top w:w="0" w:type="dxa"/>
            <w:left w:w="0" w:type="dxa"/>
            <w:bottom w:w="0" w:type="dxa"/>
            <w:right w:w="0" w:type="dxa"/>
          </w:tblCellMar>
        </w:tblPrEx>
        <w:trPr>
          <w:trHeight w:val="366"/>
        </w:trPr>
        <w:tc>
          <w:tcPr>
            <w:tcW w:w="965" w:type="dxa"/>
            <w:shd w:val="clear" w:color="auto" w:fill="FFFFFF"/>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highlight w:val="none"/>
              </w:rPr>
            </w:pPr>
            <w:r>
              <w:rPr>
                <w:highlight w:val="none"/>
              </w:rPr>
              <w:t>5</w:t>
            </w:r>
          </w:p>
        </w:tc>
        <w:tc>
          <w:tcPr>
            <w:tcW w:w="1409" w:type="dxa"/>
            <w:shd w:val="clear" w:color="auto" w:fill="FFFFFF"/>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highlight w:val="none"/>
              </w:rPr>
            </w:pPr>
            <w:r>
              <w:rPr>
                <w:highlight w:val="none"/>
              </w:rPr>
              <w:t>工作站</w:t>
            </w:r>
          </w:p>
        </w:tc>
        <w:tc>
          <w:tcPr>
            <w:tcW w:w="4508" w:type="dxa"/>
            <w:shd w:val="clear" w:color="auto" w:fill="FFFFFF"/>
            <w:noWrap w:val="0"/>
            <w:tcMar>
              <w:top w:w="0" w:type="dxa"/>
              <w:left w:w="108" w:type="dxa"/>
              <w:bottom w:w="0" w:type="dxa"/>
              <w:right w:w="108" w:type="dxa"/>
            </w:tcMar>
            <w:vAlign w:val="top"/>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highlight w:val="none"/>
              </w:rPr>
            </w:pPr>
            <w:r>
              <w:rPr>
                <w:color w:val="000000"/>
                <w:kern w:val="0"/>
                <w:szCs w:val="21"/>
                <w:highlight w:val="none"/>
                <w:lang w:bidi="ar"/>
              </w:rPr>
              <w:t>CPU八核，主频≥2.8GHz，≥16GB内存，≥1T硬盘，集显；显示器24寸，分辨率≥1920*1080</w:t>
            </w:r>
          </w:p>
        </w:tc>
        <w:tc>
          <w:tcPr>
            <w:tcW w:w="1477" w:type="dxa"/>
            <w:shd w:val="clear" w:color="auto" w:fill="FFFFFF"/>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highlight w:val="none"/>
              </w:rPr>
            </w:pPr>
          </w:p>
        </w:tc>
      </w:tr>
      <w:tr>
        <w:tblPrEx>
          <w:tblW w:w="8359" w:type="dxa"/>
          <w:tblInd w:w="250" w:type="dxa"/>
          <w:shd w:val="clear" w:color="auto" w:fill="FFFFFF"/>
          <w:tblLayout w:type="fixed"/>
          <w:tblCellMar>
            <w:top w:w="0" w:type="dxa"/>
            <w:left w:w="0" w:type="dxa"/>
            <w:bottom w:w="0" w:type="dxa"/>
            <w:right w:w="0" w:type="dxa"/>
          </w:tblCellMar>
        </w:tblPrEx>
        <w:trPr>
          <w:trHeight w:val="366"/>
        </w:trPr>
        <w:tc>
          <w:tcPr>
            <w:tcW w:w="965" w:type="dxa"/>
            <w:shd w:val="clear" w:color="auto" w:fill="FFFFFF"/>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highlight w:val="none"/>
              </w:rPr>
            </w:pPr>
            <w:r>
              <w:rPr>
                <w:highlight w:val="none"/>
              </w:rPr>
              <w:t>6</w:t>
            </w:r>
          </w:p>
        </w:tc>
        <w:tc>
          <w:tcPr>
            <w:tcW w:w="1409" w:type="dxa"/>
            <w:shd w:val="clear" w:color="auto" w:fill="FFFFFF"/>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eastAsia"/>
                <w:highlight w:val="none"/>
              </w:rPr>
            </w:pPr>
            <w:r>
              <w:rPr>
                <w:highlight w:val="none"/>
              </w:rPr>
              <w:t>安防</w:t>
            </w:r>
            <w:r>
              <w:rPr>
                <w:rFonts w:hint="eastAsia"/>
                <w:highlight w:val="none"/>
              </w:rPr>
              <w:t>显示器</w:t>
            </w:r>
          </w:p>
        </w:tc>
        <w:tc>
          <w:tcPr>
            <w:tcW w:w="4508" w:type="dxa"/>
            <w:shd w:val="clear" w:color="auto" w:fill="FFFFFF"/>
            <w:noWrap w:val="0"/>
            <w:tcMar>
              <w:top w:w="0" w:type="dxa"/>
              <w:left w:w="108" w:type="dxa"/>
              <w:bottom w:w="0" w:type="dxa"/>
              <w:right w:w="108" w:type="dxa"/>
            </w:tcMar>
            <w:vAlign w:val="top"/>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highlight w:val="none"/>
              </w:rPr>
            </w:pPr>
            <w:r>
              <w:rPr>
                <w:rFonts w:hint="eastAsia"/>
                <w:highlight w:val="none"/>
              </w:rPr>
              <w:t>显示器</w:t>
            </w:r>
            <w:r>
              <w:rPr>
                <w:highlight w:val="none"/>
              </w:rPr>
              <w:t>≥22寸，</w:t>
            </w:r>
            <w:r>
              <w:rPr>
                <w:color w:val="000000"/>
                <w:kern w:val="0"/>
                <w:szCs w:val="21"/>
                <w:highlight w:val="none"/>
                <w:lang w:bidi="ar"/>
              </w:rPr>
              <w:t>分辨率≥1920*1080</w:t>
            </w:r>
          </w:p>
        </w:tc>
        <w:tc>
          <w:tcPr>
            <w:tcW w:w="1477" w:type="dxa"/>
            <w:shd w:val="clear" w:color="auto" w:fill="FFFFFF"/>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highlight w:val="none"/>
              </w:rPr>
            </w:pPr>
          </w:p>
        </w:tc>
      </w:tr>
      <w:tr>
        <w:tblPrEx>
          <w:tblW w:w="8359" w:type="dxa"/>
          <w:tblInd w:w="250" w:type="dxa"/>
          <w:shd w:val="clear" w:color="auto" w:fill="FFFFFF"/>
          <w:tblLayout w:type="fixed"/>
          <w:tblCellMar>
            <w:top w:w="0" w:type="dxa"/>
            <w:left w:w="0" w:type="dxa"/>
            <w:bottom w:w="0" w:type="dxa"/>
            <w:right w:w="0" w:type="dxa"/>
          </w:tblCellMar>
        </w:tblPrEx>
        <w:trPr>
          <w:trHeight w:val="366"/>
        </w:trPr>
        <w:tc>
          <w:tcPr>
            <w:tcW w:w="965" w:type="dxa"/>
            <w:shd w:val="clear" w:color="auto" w:fill="FFFFFF"/>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highlight w:val="none"/>
              </w:rPr>
            </w:pPr>
            <w:r>
              <w:rPr>
                <w:highlight w:val="none"/>
              </w:rPr>
              <w:t>7</w:t>
            </w:r>
          </w:p>
        </w:tc>
        <w:tc>
          <w:tcPr>
            <w:tcW w:w="1409" w:type="dxa"/>
            <w:shd w:val="clear" w:color="auto" w:fill="FFFFFF"/>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highlight w:val="none"/>
              </w:rPr>
            </w:pPr>
            <w:r>
              <w:rPr>
                <w:highlight w:val="none"/>
              </w:rPr>
              <w:t>工作台</w:t>
            </w:r>
          </w:p>
        </w:tc>
        <w:tc>
          <w:tcPr>
            <w:tcW w:w="4508" w:type="dxa"/>
            <w:shd w:val="clear" w:color="auto" w:fill="FFFFFF"/>
            <w:noWrap w:val="0"/>
            <w:tcMar>
              <w:top w:w="0" w:type="dxa"/>
              <w:left w:w="108" w:type="dxa"/>
              <w:bottom w:w="0" w:type="dxa"/>
              <w:right w:w="108" w:type="dxa"/>
            </w:tcMar>
            <w:vAlign w:val="top"/>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highlight w:val="none"/>
              </w:rPr>
            </w:pPr>
            <w:r>
              <w:rPr>
                <w:highlight w:val="none"/>
              </w:rPr>
              <w:t>桌子长度≥1400mm，配置至少2把椅子</w:t>
            </w:r>
          </w:p>
        </w:tc>
        <w:tc>
          <w:tcPr>
            <w:tcW w:w="1477" w:type="dxa"/>
            <w:shd w:val="clear" w:color="auto" w:fill="FFFFFF"/>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highlight w:val="none"/>
              </w:rPr>
            </w:pPr>
          </w:p>
        </w:tc>
      </w:tr>
      <w:tr>
        <w:tblPrEx>
          <w:tblW w:w="8359" w:type="dxa"/>
          <w:tblInd w:w="250" w:type="dxa"/>
          <w:shd w:val="clear" w:color="auto" w:fill="FFFFFF"/>
          <w:tblLayout w:type="fixed"/>
          <w:tblCellMar>
            <w:top w:w="0" w:type="dxa"/>
            <w:left w:w="0" w:type="dxa"/>
            <w:bottom w:w="0" w:type="dxa"/>
            <w:right w:w="0" w:type="dxa"/>
          </w:tblCellMar>
        </w:tblPrEx>
        <w:trPr>
          <w:trHeight w:val="366"/>
        </w:trPr>
        <w:tc>
          <w:tcPr>
            <w:tcW w:w="965" w:type="dxa"/>
            <w:shd w:val="clear" w:color="auto" w:fill="FFFFFF"/>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highlight w:val="none"/>
              </w:rPr>
            </w:pPr>
            <w:r>
              <w:rPr>
                <w:highlight w:val="none"/>
              </w:rPr>
              <w:t>8</w:t>
            </w:r>
          </w:p>
        </w:tc>
        <w:tc>
          <w:tcPr>
            <w:tcW w:w="1409" w:type="dxa"/>
            <w:shd w:val="clear" w:color="auto" w:fill="FFFFFF"/>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highlight w:val="none"/>
              </w:rPr>
            </w:pPr>
            <w:r>
              <w:rPr>
                <w:highlight w:val="none"/>
              </w:rPr>
              <w:t>文件柜</w:t>
            </w:r>
          </w:p>
        </w:tc>
        <w:tc>
          <w:tcPr>
            <w:tcW w:w="4508" w:type="dxa"/>
            <w:shd w:val="clear" w:color="auto" w:fill="FFFFFF"/>
            <w:noWrap w:val="0"/>
            <w:tcMar>
              <w:top w:w="0" w:type="dxa"/>
              <w:left w:w="108" w:type="dxa"/>
              <w:bottom w:w="0" w:type="dxa"/>
              <w:right w:w="108" w:type="dxa"/>
            </w:tcMar>
            <w:vAlign w:val="top"/>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highlight w:val="none"/>
              </w:rPr>
            </w:pPr>
            <w:r>
              <w:rPr>
                <w:highlight w:val="none"/>
              </w:rPr>
              <w:t>冷轧钢材质，尺寸≥900mm*390mm*1850mm</w:t>
            </w:r>
          </w:p>
        </w:tc>
        <w:tc>
          <w:tcPr>
            <w:tcW w:w="1477" w:type="dxa"/>
            <w:shd w:val="clear" w:color="auto" w:fill="FFFFFF"/>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highlight w:val="none"/>
              </w:rPr>
            </w:pPr>
          </w:p>
        </w:tc>
      </w:tr>
      <w:tr>
        <w:tblPrEx>
          <w:tblW w:w="8359" w:type="dxa"/>
          <w:tblInd w:w="250" w:type="dxa"/>
          <w:shd w:val="clear" w:color="auto" w:fill="FFFFFF"/>
          <w:tblLayout w:type="fixed"/>
          <w:tblCellMar>
            <w:top w:w="0" w:type="dxa"/>
            <w:left w:w="0" w:type="dxa"/>
            <w:bottom w:w="0" w:type="dxa"/>
            <w:right w:w="0" w:type="dxa"/>
          </w:tblCellMar>
        </w:tblPrEx>
        <w:trPr>
          <w:trHeight w:val="366"/>
        </w:trPr>
        <w:tc>
          <w:tcPr>
            <w:tcW w:w="965" w:type="dxa"/>
            <w:shd w:val="clear" w:color="auto" w:fill="FFFFFF"/>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highlight w:val="none"/>
              </w:rPr>
            </w:pPr>
            <w:r>
              <w:rPr>
                <w:highlight w:val="none"/>
              </w:rPr>
              <w:t>9</w:t>
            </w:r>
          </w:p>
        </w:tc>
        <w:tc>
          <w:tcPr>
            <w:tcW w:w="1409" w:type="dxa"/>
            <w:shd w:val="clear" w:color="auto" w:fill="FFFFFF"/>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highlight w:val="none"/>
              </w:rPr>
            </w:pPr>
            <w:r>
              <w:rPr>
                <w:highlight w:val="none"/>
              </w:rPr>
              <w:t>空调</w:t>
            </w:r>
          </w:p>
        </w:tc>
        <w:tc>
          <w:tcPr>
            <w:tcW w:w="4508" w:type="dxa"/>
            <w:shd w:val="clear" w:color="auto" w:fill="FFFFFF"/>
            <w:noWrap w:val="0"/>
            <w:tcMar>
              <w:top w:w="0" w:type="dxa"/>
              <w:left w:w="108" w:type="dxa"/>
              <w:bottom w:w="0" w:type="dxa"/>
              <w:right w:w="108" w:type="dxa"/>
            </w:tcMar>
            <w:vAlign w:val="top"/>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highlight w:val="none"/>
              </w:rPr>
            </w:pPr>
            <w:r>
              <w:rPr>
                <w:rFonts w:hint="eastAsia"/>
                <w:highlight w:val="none"/>
              </w:rPr>
              <w:t>不小于</w:t>
            </w:r>
            <w:r>
              <w:rPr>
                <w:highlight w:val="none"/>
              </w:rPr>
              <w:t>3P空调，国内一线品牌</w:t>
            </w:r>
            <w:r>
              <w:rPr>
                <w:rFonts w:hint="eastAsia"/>
                <w:highlight w:val="none"/>
              </w:rPr>
              <w:t>，新一级能效，变频冷暖，低噪节能</w:t>
            </w:r>
          </w:p>
        </w:tc>
        <w:tc>
          <w:tcPr>
            <w:tcW w:w="1477" w:type="dxa"/>
            <w:shd w:val="clear" w:color="auto" w:fill="FFFFFF"/>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highlight w:val="none"/>
              </w:rPr>
            </w:pPr>
          </w:p>
        </w:tc>
      </w:tr>
    </w:tbl>
    <w:p>
      <w:pPr>
        <w:pStyle w:val="-2"/>
        <w:numPr>
          <w:ilvl w:val="1"/>
          <w:numId w:val="0"/>
        </w:numPr>
        <w:tabs>
          <w:tab w:val="clear" w:pos="567"/>
          <w:tab w:val="clear" w:pos="851"/>
          <w:tab w:val="clear" w:pos="1144"/>
        </w:tabs>
        <w:spacing w:before="156" w:beforeLines="50"/>
        <w:ind w:leftChars="0"/>
        <w:outlineLvl w:val="1"/>
        <w:rPr>
          <w:rFonts w:ascii="Times New Roman" w:hAnsi="Times New Roman"/>
          <w:color w:val="auto"/>
          <w:sz w:val="24"/>
          <w:szCs w:val="24"/>
          <w:highlight w:val="none"/>
        </w:rPr>
      </w:pPr>
      <w:bookmarkStart w:id="10" w:name="_Toc487"/>
      <w:bookmarkStart w:id="11" w:name="_Toc14663"/>
      <w:bookmarkStart w:id="12" w:name="_Toc27771"/>
      <w:bookmarkStart w:id="13" w:name="_Toc24873"/>
      <w:bookmarkStart w:id="14" w:name="_Toc23402"/>
      <w:r>
        <w:rPr>
          <w:rFonts w:ascii="Times New Roman" w:hAnsi="Times New Roman" w:hint="eastAsia"/>
          <w:color w:val="auto"/>
          <w:sz w:val="24"/>
          <w:szCs w:val="24"/>
          <w:highlight w:val="none"/>
          <w:lang w:val="en-US" w:eastAsia="zh-CN"/>
        </w:rPr>
        <w:t>6.</w:t>
      </w:r>
      <w:r>
        <w:rPr>
          <w:rFonts w:ascii="Times New Roman" w:hAnsi="Times New Roman"/>
          <w:color w:val="auto"/>
          <w:sz w:val="24"/>
          <w:szCs w:val="24"/>
          <w:highlight w:val="none"/>
        </w:rPr>
        <w:t>智能换电机器人</w:t>
      </w:r>
      <w:bookmarkEnd w:id="10"/>
      <w:bookmarkEnd w:id="11"/>
      <w:bookmarkEnd w:id="12"/>
      <w:bookmarkEnd w:id="13"/>
      <w:bookmarkEnd w:id="14"/>
    </w:p>
    <w:p>
      <w:pPr>
        <w:overflowPunct w:val="0"/>
        <w:topLinePunct/>
        <w:spacing w:line="360" w:lineRule="auto"/>
        <w:rPr>
          <w:rStyle w:val="EUChar"/>
          <w:rFonts w:ascii="Times New Roman"/>
          <w:highlight w:val="none"/>
        </w:rPr>
      </w:pPr>
      <w:r>
        <w:rPr>
          <w:rStyle w:val="EUChar"/>
          <w:rFonts w:hint="eastAsia"/>
          <w:highlight w:val="none"/>
          <w:lang w:val="en-US" w:eastAsia="zh-CN"/>
        </w:rPr>
        <w:t>6.1</w:t>
      </w:r>
      <w:r>
        <w:rPr>
          <w:rStyle w:val="EUChar"/>
          <w:rFonts w:ascii="Times New Roman"/>
          <w:highlight w:val="none"/>
        </w:rPr>
        <w:t xml:space="preserve">  换电机器人的基本组成</w:t>
      </w:r>
    </w:p>
    <w:p>
      <w:pPr>
        <w:overflowPunct w:val="0"/>
        <w:topLinePunct/>
        <w:spacing w:line="360" w:lineRule="auto"/>
        <w:ind w:firstLine="420" w:firstLineChars="200"/>
        <w:rPr>
          <w:rStyle w:val="EUChar"/>
          <w:rFonts w:ascii="Times New Roman"/>
          <w:highlight w:val="none"/>
        </w:rPr>
      </w:pPr>
      <w:r>
        <w:rPr>
          <w:rStyle w:val="EUChar"/>
          <w:rFonts w:ascii="Times New Roman"/>
          <w:highlight w:val="none"/>
        </w:rPr>
        <w:t>换电机器人主要包含机械系统和电气控制系统两大部分等。换电机器人的机械系统通过一个PLC总控制器实现各模块的运动控制。</w:t>
      </w:r>
    </w:p>
    <w:p>
      <w:pPr>
        <w:overflowPunct w:val="0"/>
        <w:topLinePunct/>
        <w:spacing w:after="156" w:afterLines="50" w:line="360" w:lineRule="auto"/>
        <w:ind w:firstLine="420" w:firstLineChars="200"/>
        <w:rPr>
          <w:rStyle w:val="EUChar"/>
          <w:rFonts w:ascii="Times New Roman"/>
          <w:highlight w:val="none"/>
        </w:rPr>
      </w:pPr>
      <w:r>
        <w:rPr>
          <w:rStyle w:val="EUChar"/>
          <w:rFonts w:ascii="Times New Roman"/>
          <w:highlight w:val="none"/>
        </w:rPr>
        <w:t>机械系统主要包含大车运动子系统、小车运动子系统、卷扬机升降子系统和智能吊具子系统。大车运动子系统负责换电机器人沿车辆宽度方向（Y方向）的移动，小车运动子系统负责换电机器人沿车辆行走方向（X方向）的移动，卷扬机升降子系统负责换电机器人升降方向（Z方向）的移动，智能吊具子系统负责换电机器人电池取放吊钩的移动。</w:t>
      </w:r>
    </w:p>
    <w:p>
      <w:pPr>
        <w:adjustRightInd w:val="0"/>
        <w:snapToGrid w:val="0"/>
        <w:spacing w:line="360" w:lineRule="auto"/>
        <w:jc w:val="center"/>
        <w:rPr>
          <w:sz w:val="24"/>
          <w:highlight w:val="none"/>
        </w:rPr>
      </w:pPr>
      <w:r>
        <w:rPr>
          <w:highlight w:val="none"/>
        </w:rPr>
        <w:drawing>
          <wp:inline distT="0" distB="0" distL="114300" distR="114300">
            <wp:extent cx="3790950" cy="1849120"/>
            <wp:effectExtent l="0" t="0" r="0" b="17780"/>
            <wp:docPr id="1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752113" name="图片 3"/>
                    <pic:cNvPicPr>
                      <a:picLocks noChangeAspect="1"/>
                    </pic:cNvPicPr>
                  </pic:nvPicPr>
                  <pic:blipFill>
                    <a:blip xmlns:r="http://schemas.openxmlformats.org/officeDocument/2006/relationships" r:embed="rId5"/>
                    <a:stretch>
                      <a:fillRect/>
                    </a:stretch>
                  </pic:blipFill>
                  <pic:spPr>
                    <a:xfrm>
                      <a:off x="0" y="0"/>
                      <a:ext cx="3790950" cy="1849120"/>
                    </a:xfrm>
                    <a:prstGeom prst="rect">
                      <a:avLst/>
                    </a:prstGeom>
                    <a:noFill/>
                    <a:ln>
                      <a:noFill/>
                    </a:ln>
                  </pic:spPr>
                </pic:pic>
              </a:graphicData>
            </a:graphic>
          </wp:inline>
        </w:drawing>
      </w:r>
    </w:p>
    <w:p>
      <w:pPr>
        <w:spacing w:before="156" w:beforeLines="50" w:after="156" w:afterLines="50"/>
        <w:jc w:val="center"/>
        <w:rPr>
          <w:szCs w:val="21"/>
          <w:highlight w:val="none"/>
        </w:rPr>
      </w:pPr>
      <w:r>
        <w:rPr>
          <w:szCs w:val="21"/>
          <w:highlight w:val="none"/>
        </w:rPr>
        <w:t>图</w:t>
      </w:r>
      <w:r>
        <w:rPr>
          <w:rFonts w:hint="eastAsia"/>
          <w:szCs w:val="21"/>
          <w:highlight w:val="none"/>
          <w:lang w:val="en-US" w:eastAsia="zh-CN"/>
        </w:rPr>
        <w:t>3</w:t>
      </w:r>
      <w:r>
        <w:rPr>
          <w:szCs w:val="21"/>
          <w:highlight w:val="none"/>
        </w:rPr>
        <w:t xml:space="preserve"> 换电设备系统拓扑图</w:t>
      </w:r>
    </w:p>
    <w:p>
      <w:pPr>
        <w:overflowPunct w:val="0"/>
        <w:topLinePunct/>
        <w:spacing w:line="360" w:lineRule="auto"/>
        <w:ind w:firstLine="420" w:firstLineChars="200"/>
        <w:rPr>
          <w:rStyle w:val="EUChar"/>
          <w:rFonts w:ascii="Times New Roman"/>
          <w:highlight w:val="none"/>
        </w:rPr>
      </w:pPr>
      <w:r>
        <w:rPr>
          <w:rStyle w:val="EUChar"/>
          <w:rFonts w:ascii="Times New Roman"/>
          <w:highlight w:val="none"/>
        </w:rPr>
        <w:t>换电机器人的电气控制系统主要分为机器人驱动控制子系统，传感器子系统、测量定位子系统，人机交互子系统等。驱动控制子系统主要包含PLC、电机驱动、行走定位相关设备；传感器子系统主要包含设备各极限开关、防撞、防入侵、过载等传感器等；测量定位子系统主要包含电池箱坐标采集相关传感器、开关；人机交互子系统主要包含触摸屏以及PLC与监控系统通讯模块。</w:t>
      </w:r>
    </w:p>
    <w:p>
      <w:pPr>
        <w:overflowPunct w:val="0"/>
        <w:topLinePunct/>
        <w:spacing w:line="360" w:lineRule="auto"/>
        <w:ind w:firstLine="420" w:firstLineChars="200"/>
        <w:rPr>
          <w:rStyle w:val="EUChar"/>
          <w:rFonts w:ascii="Times New Roman"/>
          <w:highlight w:val="none"/>
        </w:rPr>
      </w:pPr>
      <w:r>
        <w:rPr>
          <w:rStyle w:val="EUChar"/>
          <w:rFonts w:ascii="Times New Roman"/>
          <w:highlight w:val="none"/>
        </w:rPr>
        <w:t>PLC控制器采集各传感器、测量定位系统的输入信号，以太网通讯方式接收人机交互系统、监控系统的输入信号，通过控制驱动控制系统实现各模块的运动，模块实现人机交互。</w:t>
      </w:r>
    </w:p>
    <w:p>
      <w:pPr>
        <w:overflowPunct w:val="0"/>
        <w:topLinePunct/>
        <w:spacing w:after="156" w:afterLines="50" w:line="360" w:lineRule="auto"/>
        <w:ind w:firstLine="420" w:firstLineChars="200"/>
        <w:rPr>
          <w:rStyle w:val="EUChar"/>
          <w:rFonts w:ascii="Times New Roman"/>
          <w:highlight w:val="none"/>
        </w:rPr>
      </w:pPr>
      <w:r>
        <w:rPr>
          <w:rStyle w:val="EUChar"/>
          <w:rFonts w:ascii="Times New Roman"/>
          <w:highlight w:val="none"/>
        </w:rPr>
        <w:t>智能换电机器人的主要结构示意图，包含但不仅限于下图所示部分。</w:t>
      </w:r>
    </w:p>
    <w:p>
      <w:pPr>
        <w:adjustRightInd w:val="0"/>
        <w:snapToGrid w:val="0"/>
        <w:spacing w:line="360" w:lineRule="auto"/>
        <w:jc w:val="center"/>
        <w:rPr>
          <w:sz w:val="24"/>
          <w:highlight w:val="none"/>
        </w:rPr>
      </w:pPr>
      <w:r>
        <w:rPr>
          <w:highlight w:val="none"/>
        </w:rPr>
        <w:drawing>
          <wp:inline distT="0" distB="0" distL="114300" distR="114300">
            <wp:extent cx="4374515" cy="3120390"/>
            <wp:effectExtent l="0" t="0" r="6985" b="381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92109" name="图片 4"/>
                    <pic:cNvPicPr>
                      <a:picLocks noChangeAspect="1"/>
                    </pic:cNvPicPr>
                  </pic:nvPicPr>
                  <pic:blipFill>
                    <a:blip xmlns:r="http://schemas.openxmlformats.org/officeDocument/2006/relationships" r:embed="rId6"/>
                    <a:stretch>
                      <a:fillRect/>
                    </a:stretch>
                  </pic:blipFill>
                  <pic:spPr>
                    <a:xfrm>
                      <a:off x="0" y="0"/>
                      <a:ext cx="4374515" cy="3120390"/>
                    </a:xfrm>
                    <a:prstGeom prst="rect">
                      <a:avLst/>
                    </a:prstGeom>
                    <a:noFill/>
                    <a:ln>
                      <a:noFill/>
                    </a:ln>
                  </pic:spPr>
                </pic:pic>
              </a:graphicData>
            </a:graphic>
          </wp:inline>
        </w:drawing>
      </w:r>
    </w:p>
    <w:p>
      <w:pPr>
        <w:spacing w:before="156" w:beforeLines="50" w:after="156" w:afterLines="50"/>
        <w:jc w:val="center"/>
        <w:rPr>
          <w:szCs w:val="21"/>
          <w:highlight w:val="none"/>
        </w:rPr>
      </w:pPr>
      <w:r>
        <w:rPr>
          <w:szCs w:val="21"/>
          <w:highlight w:val="none"/>
        </w:rPr>
        <w:t>图</w:t>
      </w:r>
      <w:r>
        <w:rPr>
          <w:rFonts w:hint="eastAsia"/>
          <w:szCs w:val="21"/>
          <w:highlight w:val="none"/>
          <w:lang w:val="en-US" w:eastAsia="zh-CN"/>
        </w:rPr>
        <w:t>4</w:t>
      </w:r>
      <w:r>
        <w:rPr>
          <w:szCs w:val="21"/>
          <w:highlight w:val="none"/>
        </w:rPr>
        <w:t xml:space="preserve"> </w:t>
      </w:r>
      <w:r>
        <w:rPr>
          <w:kern w:val="21"/>
          <w:highlight w:val="none"/>
        </w:rPr>
        <w:t>智能机器人</w:t>
      </w:r>
      <w:r>
        <w:rPr>
          <w:szCs w:val="21"/>
          <w:highlight w:val="none"/>
        </w:rPr>
        <w:t>示意图</w:t>
      </w:r>
    </w:p>
    <w:p>
      <w:pPr>
        <w:overflowPunct w:val="0"/>
        <w:topLinePunct/>
        <w:spacing w:line="360" w:lineRule="auto"/>
        <w:rPr>
          <w:rStyle w:val="EUChar"/>
          <w:rFonts w:ascii="Times New Roman"/>
          <w:highlight w:val="none"/>
        </w:rPr>
      </w:pPr>
      <w:r>
        <w:rPr>
          <w:rStyle w:val="EUChar"/>
          <w:rFonts w:hint="eastAsia"/>
          <w:highlight w:val="none"/>
          <w:lang w:val="en-US" w:eastAsia="zh-CN"/>
        </w:rPr>
        <w:t>6.2</w:t>
      </w:r>
      <w:r>
        <w:rPr>
          <w:rStyle w:val="EUChar"/>
          <w:rFonts w:ascii="Times New Roman"/>
          <w:highlight w:val="none"/>
        </w:rPr>
        <w:t xml:space="preserve"> 换电机器人的结构要求</w:t>
      </w:r>
    </w:p>
    <w:p>
      <w:pPr>
        <w:overflowPunct w:val="0"/>
        <w:topLinePunct/>
        <w:spacing w:line="360" w:lineRule="auto"/>
        <w:ind w:firstLine="420" w:firstLineChars="200"/>
        <w:rPr>
          <w:rStyle w:val="EUChar"/>
          <w:rFonts w:ascii="Times New Roman"/>
          <w:highlight w:val="none"/>
        </w:rPr>
      </w:pPr>
      <w:r>
        <w:rPr>
          <w:rStyle w:val="EUChar"/>
          <w:rFonts w:ascii="Times New Roman" w:hint="eastAsia"/>
          <w:highlight w:val="none"/>
        </w:rPr>
        <w:t>（1）</w:t>
      </w:r>
      <w:r>
        <w:rPr>
          <w:rStyle w:val="EUChar"/>
          <w:rFonts w:ascii="Times New Roman"/>
          <w:highlight w:val="none"/>
        </w:rPr>
        <w:t>换电机器人驱动控制子系统中的电气驱动变频器等应置于大车框架上的电控柜内部；换电机器人PLC控制器等置于监控室地面上的主控柜内部。</w:t>
      </w:r>
    </w:p>
    <w:p>
      <w:pPr>
        <w:overflowPunct w:val="0"/>
        <w:topLinePunct/>
        <w:spacing w:line="360" w:lineRule="auto"/>
        <w:ind w:firstLine="420" w:firstLineChars="200"/>
        <w:rPr>
          <w:rStyle w:val="EUChar"/>
          <w:rFonts w:ascii="Times New Roman"/>
          <w:highlight w:val="none"/>
        </w:rPr>
      </w:pPr>
      <w:r>
        <w:rPr>
          <w:rStyle w:val="EUChar"/>
          <w:rFonts w:ascii="Times New Roman" w:hint="eastAsia"/>
          <w:highlight w:val="none"/>
        </w:rPr>
        <w:t>（2）</w:t>
      </w:r>
      <w:r>
        <w:rPr>
          <w:rStyle w:val="EUChar"/>
          <w:rFonts w:ascii="Times New Roman"/>
          <w:highlight w:val="none"/>
        </w:rPr>
        <w:t>换电大车沿集装箱侧壁上的轨道行走，换电小车沿固定在换电大车上的轨道行走。</w:t>
      </w:r>
    </w:p>
    <w:p>
      <w:pPr>
        <w:overflowPunct w:val="0"/>
        <w:topLinePunct/>
        <w:spacing w:line="360" w:lineRule="auto"/>
        <w:ind w:firstLine="420" w:firstLineChars="200"/>
        <w:rPr>
          <w:rStyle w:val="EUChar"/>
          <w:rFonts w:ascii="Times New Roman"/>
          <w:highlight w:val="none"/>
        </w:rPr>
      </w:pPr>
      <w:r>
        <w:rPr>
          <w:rStyle w:val="EUChar"/>
          <w:rFonts w:ascii="Times New Roman" w:hint="eastAsia"/>
          <w:highlight w:val="none"/>
        </w:rPr>
        <w:t>（3）</w:t>
      </w:r>
      <w:r>
        <w:rPr>
          <w:rStyle w:val="EUChar"/>
          <w:rFonts w:ascii="Times New Roman"/>
          <w:highlight w:val="none"/>
        </w:rPr>
        <w:t>大车、小车均且具备精确定位功能，且具备防止电机空转功能。</w:t>
      </w:r>
    </w:p>
    <w:p>
      <w:pPr>
        <w:overflowPunct w:val="0"/>
        <w:topLinePunct/>
        <w:spacing w:line="360" w:lineRule="auto"/>
        <w:ind w:firstLine="420" w:firstLineChars="200"/>
        <w:rPr>
          <w:rStyle w:val="EUChar"/>
          <w:rFonts w:ascii="Times New Roman"/>
          <w:highlight w:val="none"/>
        </w:rPr>
      </w:pPr>
      <w:r>
        <w:rPr>
          <w:rStyle w:val="EUChar"/>
          <w:rFonts w:ascii="Times New Roman" w:hint="eastAsia"/>
          <w:highlight w:val="none"/>
        </w:rPr>
        <w:t>（4）</w:t>
      </w:r>
      <w:r>
        <w:rPr>
          <w:rStyle w:val="EUChar"/>
          <w:rFonts w:ascii="Times New Roman"/>
          <w:highlight w:val="none"/>
        </w:rPr>
        <w:t>换电小车上应设置卷扬机，通过4根钢丝绳与吊具模块4处吊点连接，实现吊具的升降功能。</w:t>
      </w:r>
    </w:p>
    <w:p>
      <w:pPr>
        <w:overflowPunct w:val="0"/>
        <w:topLinePunct/>
        <w:spacing w:line="360" w:lineRule="auto"/>
        <w:ind w:firstLine="420" w:firstLineChars="200"/>
        <w:rPr>
          <w:rStyle w:val="EUChar"/>
          <w:rFonts w:ascii="Times New Roman"/>
          <w:highlight w:val="none"/>
        </w:rPr>
      </w:pPr>
      <w:r>
        <w:rPr>
          <w:rStyle w:val="EUChar"/>
          <w:rFonts w:ascii="Times New Roman" w:hint="eastAsia"/>
          <w:highlight w:val="none"/>
        </w:rPr>
        <w:t>（5）</w:t>
      </w:r>
      <w:r>
        <w:rPr>
          <w:rStyle w:val="EUChar"/>
          <w:rFonts w:ascii="Times New Roman"/>
          <w:highlight w:val="none"/>
        </w:rPr>
        <w:t>智能吊具应有4个吊钩，可执行吊钩的伸出和收回动作，配合卷扬机的升降功能实现电池箱的抓取和存放。</w:t>
      </w:r>
    </w:p>
    <w:p>
      <w:pPr>
        <w:overflowPunct w:val="0"/>
        <w:topLinePunct/>
        <w:spacing w:line="360" w:lineRule="auto"/>
        <w:rPr>
          <w:rStyle w:val="EUChar"/>
          <w:rFonts w:ascii="Times New Roman"/>
          <w:highlight w:val="none"/>
        </w:rPr>
      </w:pPr>
      <w:r>
        <w:rPr>
          <w:rStyle w:val="EUChar"/>
          <w:rFonts w:hint="eastAsia"/>
          <w:highlight w:val="none"/>
          <w:lang w:val="en-US" w:eastAsia="zh-CN"/>
        </w:rPr>
        <w:t>6.3</w:t>
      </w:r>
      <w:r>
        <w:rPr>
          <w:rStyle w:val="EUChar"/>
          <w:rFonts w:ascii="Times New Roman"/>
          <w:highlight w:val="none"/>
        </w:rPr>
        <w:t>换电机器人的基本功能要求</w:t>
      </w:r>
    </w:p>
    <w:p>
      <w:pPr>
        <w:overflowPunct w:val="0"/>
        <w:topLinePunct/>
        <w:spacing w:line="360" w:lineRule="auto"/>
        <w:ind w:firstLine="420" w:firstLineChars="200"/>
        <w:rPr>
          <w:rStyle w:val="EUChar"/>
          <w:rFonts w:ascii="Times New Roman"/>
          <w:highlight w:val="none"/>
        </w:rPr>
      </w:pPr>
      <w:r>
        <w:rPr>
          <w:rStyle w:val="EUChar"/>
          <w:rFonts w:ascii="Times New Roman" w:hint="eastAsia"/>
          <w:highlight w:val="none"/>
        </w:rPr>
        <w:t>（1）</w:t>
      </w:r>
      <w:r>
        <w:rPr>
          <w:rStyle w:val="EUChar"/>
          <w:rFonts w:ascii="Times New Roman"/>
          <w:highlight w:val="none"/>
        </w:rPr>
        <w:t xml:space="preserve">换电机器人应能够在X、Y、Z方向进行移动，通过系统精确测量定位完成对电池的更换工作； </w:t>
      </w:r>
    </w:p>
    <w:p>
      <w:pPr>
        <w:overflowPunct w:val="0"/>
        <w:topLinePunct/>
        <w:spacing w:line="360" w:lineRule="auto"/>
        <w:ind w:firstLine="420" w:firstLineChars="200"/>
        <w:rPr>
          <w:rStyle w:val="EUChar"/>
          <w:rFonts w:ascii="Times New Roman"/>
          <w:highlight w:val="none"/>
        </w:rPr>
      </w:pPr>
      <w:r>
        <w:rPr>
          <w:rStyle w:val="EUChar"/>
          <w:rFonts w:ascii="Times New Roman" w:hint="eastAsia"/>
          <w:highlight w:val="none"/>
        </w:rPr>
        <w:t>（2）</w:t>
      </w:r>
      <w:r>
        <w:rPr>
          <w:rStyle w:val="EUChar"/>
          <w:rFonts w:ascii="Times New Roman"/>
          <w:highlight w:val="none"/>
        </w:rPr>
        <w:t>应具备远程/本地全自动运行，整个换电过程只需一键启动，即可完成；</w:t>
      </w:r>
    </w:p>
    <w:p>
      <w:pPr>
        <w:overflowPunct w:val="0"/>
        <w:topLinePunct/>
        <w:spacing w:line="360" w:lineRule="auto"/>
        <w:ind w:firstLine="420" w:firstLineChars="200"/>
        <w:rPr>
          <w:rStyle w:val="EUChar"/>
          <w:rFonts w:ascii="Times New Roman"/>
          <w:highlight w:val="none"/>
        </w:rPr>
      </w:pPr>
      <w:r>
        <w:rPr>
          <w:rStyle w:val="EUChar"/>
          <w:rFonts w:ascii="Times New Roman" w:hint="eastAsia"/>
          <w:highlight w:val="none"/>
        </w:rPr>
        <w:t>（3）</w:t>
      </w:r>
      <w:r>
        <w:rPr>
          <w:rStyle w:val="EUChar"/>
          <w:rFonts w:ascii="Times New Roman"/>
          <w:highlight w:val="none"/>
        </w:rPr>
        <w:t>换电机器人应具备远程或本地半自动换电功能，实现可实现自动取电池、自动放电池、电池调库位等功能。</w:t>
      </w:r>
    </w:p>
    <w:p>
      <w:pPr>
        <w:overflowPunct w:val="0"/>
        <w:topLinePunct/>
        <w:spacing w:line="360" w:lineRule="auto"/>
        <w:ind w:firstLine="420" w:firstLineChars="200"/>
        <w:rPr>
          <w:rStyle w:val="EUChar"/>
          <w:rFonts w:ascii="Times New Roman"/>
          <w:highlight w:val="none"/>
        </w:rPr>
      </w:pPr>
      <w:r>
        <w:rPr>
          <w:rStyle w:val="EUChar"/>
          <w:rFonts w:ascii="Times New Roman" w:hint="eastAsia"/>
          <w:highlight w:val="none"/>
        </w:rPr>
        <w:t>（4）</w:t>
      </w:r>
      <w:r>
        <w:rPr>
          <w:rStyle w:val="EUChar"/>
          <w:rFonts w:ascii="Times New Roman"/>
          <w:highlight w:val="none"/>
        </w:rPr>
        <w:t>换电机器人应具备手动运动控制功能。可手动操作设备X/Y/Z方向移动和吊钩的移动。</w:t>
      </w:r>
    </w:p>
    <w:p>
      <w:pPr>
        <w:overflowPunct w:val="0"/>
        <w:topLinePunct/>
        <w:spacing w:line="360" w:lineRule="auto"/>
        <w:ind w:firstLine="420" w:firstLineChars="200"/>
        <w:rPr>
          <w:rStyle w:val="EUChar"/>
          <w:rFonts w:ascii="Times New Roman"/>
          <w:highlight w:val="none"/>
        </w:rPr>
      </w:pPr>
      <w:r>
        <w:rPr>
          <w:rStyle w:val="EUChar"/>
          <w:rFonts w:ascii="Times New Roman" w:hint="eastAsia"/>
          <w:highlight w:val="none"/>
        </w:rPr>
        <w:t>（5）</w:t>
      </w:r>
      <w:r>
        <w:rPr>
          <w:rStyle w:val="EUChar"/>
          <w:rFonts w:ascii="Times New Roman"/>
          <w:highlight w:val="none"/>
        </w:rPr>
        <w:t>换电机器人应能够进行大车、小车、吊具自身位置的坐标定位。</w:t>
      </w:r>
    </w:p>
    <w:p>
      <w:pPr>
        <w:overflowPunct w:val="0"/>
        <w:topLinePunct/>
        <w:spacing w:line="360" w:lineRule="auto"/>
        <w:ind w:firstLine="420" w:firstLineChars="200"/>
        <w:rPr>
          <w:rStyle w:val="EUChar"/>
          <w:rFonts w:ascii="Times New Roman"/>
          <w:highlight w:val="none"/>
        </w:rPr>
      </w:pPr>
      <w:r>
        <w:rPr>
          <w:rStyle w:val="EUChar"/>
          <w:rFonts w:ascii="Times New Roman" w:hint="eastAsia"/>
          <w:highlight w:val="none"/>
        </w:rPr>
        <w:t>（6）</w:t>
      </w:r>
      <w:r>
        <w:rPr>
          <w:rStyle w:val="EUChar"/>
          <w:rFonts w:ascii="Times New Roman"/>
          <w:highlight w:val="none"/>
        </w:rPr>
        <w:t>换电机器人应具备极限、防撞、防入侵、过载、断电等保护报警功能和故障报警功能，有语音、闪烁灯等提示。</w:t>
      </w:r>
    </w:p>
    <w:p>
      <w:pPr>
        <w:overflowPunct w:val="0"/>
        <w:topLinePunct/>
        <w:spacing w:line="360" w:lineRule="auto"/>
        <w:ind w:firstLine="420" w:firstLineChars="200"/>
        <w:rPr>
          <w:rStyle w:val="EUChar"/>
          <w:rFonts w:ascii="Times New Roman"/>
          <w:highlight w:val="none"/>
        </w:rPr>
      </w:pPr>
      <w:r>
        <w:rPr>
          <w:rStyle w:val="EUChar"/>
          <w:rFonts w:ascii="Times New Roman" w:hint="eastAsia"/>
          <w:highlight w:val="none"/>
        </w:rPr>
        <w:t>（7）</w:t>
      </w:r>
      <w:r>
        <w:rPr>
          <w:rStyle w:val="EUChar"/>
          <w:rFonts w:ascii="Times New Roman"/>
          <w:highlight w:val="none"/>
        </w:rPr>
        <w:t>换电机器人应能识别当前设备两侧、底部的电池箱有无状态信息。</w:t>
      </w:r>
    </w:p>
    <w:p>
      <w:pPr>
        <w:overflowPunct w:val="0"/>
        <w:topLinePunct/>
        <w:spacing w:line="360" w:lineRule="auto"/>
        <w:ind w:firstLine="420" w:firstLineChars="200"/>
        <w:rPr>
          <w:rStyle w:val="EUChar"/>
          <w:rFonts w:ascii="Times New Roman"/>
          <w:highlight w:val="none"/>
        </w:rPr>
      </w:pPr>
      <w:r>
        <w:rPr>
          <w:rStyle w:val="EUChar"/>
          <w:rFonts w:ascii="Times New Roman" w:hint="eastAsia"/>
          <w:highlight w:val="none"/>
        </w:rPr>
        <w:t>（8）</w:t>
      </w:r>
      <w:r>
        <w:rPr>
          <w:rStyle w:val="EUChar"/>
          <w:rFonts w:ascii="Times New Roman"/>
          <w:highlight w:val="none"/>
        </w:rPr>
        <w:t>换电机器人应设置压力检测装置，可实时检测电池箱吊取状态，防止未解锁吊取电池与空吊电池箱。</w:t>
      </w:r>
    </w:p>
    <w:p>
      <w:pPr>
        <w:overflowPunct w:val="0"/>
        <w:topLinePunct/>
        <w:spacing w:line="360" w:lineRule="auto"/>
        <w:ind w:firstLine="420" w:firstLineChars="200"/>
        <w:rPr>
          <w:rStyle w:val="EUChar"/>
          <w:rFonts w:ascii="Times New Roman"/>
          <w:highlight w:val="none"/>
        </w:rPr>
      </w:pPr>
      <w:r>
        <w:rPr>
          <w:rStyle w:val="EUChar"/>
          <w:rFonts w:ascii="Times New Roman" w:hint="eastAsia"/>
          <w:highlight w:val="none"/>
        </w:rPr>
        <w:t>（9）</w:t>
      </w:r>
      <w:r>
        <w:rPr>
          <w:rStyle w:val="EUChar"/>
          <w:rFonts w:ascii="Times New Roman"/>
          <w:highlight w:val="none"/>
        </w:rPr>
        <w:t>换电机器人应在吊取过程中实时检测电池箱状态，防止吊取过程出现吊取歪斜；并可实时检测吊钩状态，防止吊钩异常时吊取电池箱。</w:t>
      </w:r>
    </w:p>
    <w:p>
      <w:pPr>
        <w:overflowPunct w:val="0"/>
        <w:topLinePunct/>
        <w:spacing w:line="360" w:lineRule="auto"/>
        <w:ind w:firstLine="420" w:firstLineChars="200"/>
        <w:rPr>
          <w:rStyle w:val="EUChar"/>
          <w:rFonts w:ascii="Times New Roman" w:hint="eastAsia"/>
          <w:highlight w:val="none"/>
        </w:rPr>
      </w:pPr>
      <w:r>
        <w:rPr>
          <w:rStyle w:val="EUChar"/>
          <w:rFonts w:ascii="Times New Roman" w:hint="eastAsia"/>
          <w:highlight w:val="none"/>
        </w:rPr>
        <w:t>（10）换电机器人应具备防掉落功能，吊具升到顶部后，应能机械锁止，防止坠落</w:t>
      </w:r>
    </w:p>
    <w:p>
      <w:pPr>
        <w:overflowPunct w:val="0"/>
        <w:topLinePunct/>
        <w:spacing w:line="360" w:lineRule="auto"/>
        <w:ind w:firstLine="420" w:firstLineChars="200"/>
        <w:rPr>
          <w:rStyle w:val="EUChar"/>
          <w:rFonts w:ascii="Times New Roman"/>
          <w:highlight w:val="none"/>
        </w:rPr>
      </w:pPr>
      <w:r>
        <w:rPr>
          <w:rStyle w:val="EUChar"/>
          <w:rFonts w:ascii="Times New Roman" w:hint="eastAsia"/>
          <w:highlight w:val="none"/>
        </w:rPr>
        <w:t>（11）</w:t>
      </w:r>
      <w:r>
        <w:rPr>
          <w:rStyle w:val="EUChar"/>
          <w:rFonts w:ascii="Times New Roman"/>
          <w:highlight w:val="none"/>
        </w:rPr>
        <w:t>换电机器人应具备设备状态与统计功能：换电节拍、运行状态、参数设置、报警记录等。</w:t>
      </w:r>
    </w:p>
    <w:p>
      <w:pPr>
        <w:overflowPunct w:val="0"/>
        <w:topLinePunct/>
        <w:spacing w:line="360" w:lineRule="auto"/>
        <w:ind w:firstLine="420" w:firstLineChars="200"/>
        <w:rPr>
          <w:rStyle w:val="EUChar"/>
          <w:rFonts w:ascii="Times New Roman"/>
          <w:highlight w:val="none"/>
        </w:rPr>
      </w:pPr>
      <w:r>
        <w:rPr>
          <w:rStyle w:val="EUChar"/>
          <w:rFonts w:ascii="Times New Roman" w:hint="eastAsia"/>
          <w:highlight w:val="none"/>
        </w:rPr>
        <w:t>（12）</w:t>
      </w:r>
      <w:r>
        <w:rPr>
          <w:rStyle w:val="EUChar"/>
          <w:rFonts w:ascii="Times New Roman"/>
          <w:highlight w:val="none"/>
        </w:rPr>
        <w:t>车辆精确定位功能：当车辆进站之后自动检测车辆位置，并进行语音播报，提示驾驶员正常换电或重新驶入。</w:t>
      </w:r>
    </w:p>
    <w:p>
      <w:pPr>
        <w:overflowPunct w:val="0"/>
        <w:topLinePunct/>
        <w:spacing w:line="360" w:lineRule="auto"/>
        <w:ind w:firstLine="420" w:firstLineChars="200"/>
        <w:rPr>
          <w:rStyle w:val="EUChar"/>
          <w:rFonts w:ascii="Times New Roman"/>
          <w:highlight w:val="none"/>
        </w:rPr>
      </w:pPr>
      <w:r>
        <w:rPr>
          <w:rStyle w:val="EUChar"/>
          <w:rFonts w:ascii="Times New Roman" w:hint="eastAsia"/>
          <w:highlight w:val="none"/>
        </w:rPr>
        <w:t>（13）</w:t>
      </w:r>
      <w:r>
        <w:rPr>
          <w:rStyle w:val="EUChar"/>
          <w:rFonts w:ascii="Times New Roman"/>
          <w:highlight w:val="none"/>
        </w:rPr>
        <w:t>换电机器人与站控系统应具备通信功能，满足TCP协议。</w:t>
      </w:r>
    </w:p>
    <w:p>
      <w:pPr>
        <w:overflowPunct w:val="0"/>
        <w:topLinePunct/>
        <w:spacing w:line="360" w:lineRule="auto"/>
        <w:ind w:firstLine="420" w:firstLineChars="200"/>
        <w:rPr>
          <w:rStyle w:val="EUChar"/>
          <w:rFonts w:ascii="Times New Roman"/>
          <w:highlight w:val="none"/>
        </w:rPr>
      </w:pPr>
      <w:r>
        <w:rPr>
          <w:rStyle w:val="EUChar"/>
          <w:rFonts w:ascii="Times New Roman" w:hint="eastAsia"/>
          <w:highlight w:val="none"/>
        </w:rPr>
        <w:t>（14）</w:t>
      </w:r>
      <w:r>
        <w:rPr>
          <w:rStyle w:val="EUChar"/>
          <w:rFonts w:ascii="Times New Roman"/>
          <w:highlight w:val="none"/>
        </w:rPr>
        <w:t>输入输出模块点应预留10%。</w:t>
      </w:r>
    </w:p>
    <w:p>
      <w:pPr>
        <w:overflowPunct w:val="0"/>
        <w:topLinePunct/>
        <w:spacing w:line="360" w:lineRule="auto"/>
        <w:rPr>
          <w:rStyle w:val="EUChar"/>
          <w:rFonts w:ascii="Times New Roman"/>
          <w:highlight w:val="none"/>
        </w:rPr>
      </w:pPr>
      <w:r>
        <w:rPr>
          <w:rStyle w:val="EUChar"/>
          <w:rFonts w:hint="eastAsia"/>
          <w:highlight w:val="none"/>
          <w:lang w:val="en-US" w:eastAsia="zh-CN"/>
        </w:rPr>
        <w:t>6.4</w:t>
      </w:r>
      <w:r>
        <w:rPr>
          <w:rStyle w:val="EUChar"/>
          <w:rFonts w:ascii="Times New Roman"/>
          <w:highlight w:val="none"/>
        </w:rPr>
        <w:t>换电机器人的基本参数要求</w:t>
      </w:r>
    </w:p>
    <w:p>
      <w:pPr>
        <w:overflowPunct w:val="0"/>
        <w:topLinePunct/>
        <w:spacing w:line="360" w:lineRule="auto"/>
        <w:ind w:firstLine="420" w:firstLineChars="200"/>
        <w:rPr>
          <w:rStyle w:val="EUChar"/>
          <w:rFonts w:ascii="Times New Roman"/>
          <w:highlight w:val="none"/>
        </w:rPr>
      </w:pPr>
      <w:r>
        <w:rPr>
          <w:rStyle w:val="EUChar"/>
          <w:rFonts w:ascii="Times New Roman"/>
          <w:highlight w:val="none"/>
        </w:rPr>
        <w:t>换电机器人集成到换电站内，每个换电站配置1台，换电机器人应满足下表主要技术参数的要求。</w:t>
      </w:r>
    </w:p>
    <w:p>
      <w:pPr>
        <w:spacing w:before="156" w:beforeLines="50" w:after="156" w:afterLines="50"/>
        <w:jc w:val="center"/>
        <w:rPr>
          <w:highlight w:val="none"/>
        </w:rPr>
      </w:pPr>
      <w:r>
        <w:rPr>
          <w:highlight w:val="none"/>
        </w:rPr>
        <w:t xml:space="preserve">表 </w:t>
      </w:r>
      <w:r>
        <w:rPr>
          <w:rFonts w:hint="eastAsia"/>
          <w:highlight w:val="none"/>
          <w:lang w:val="en-US" w:eastAsia="zh-CN"/>
        </w:rPr>
        <w:t>4</w:t>
      </w:r>
      <w:r>
        <w:rPr>
          <w:highlight w:val="none"/>
        </w:rPr>
        <w:t xml:space="preserve"> 换电机器人主要技术参数</w:t>
      </w:r>
      <w:r>
        <w:rPr>
          <w:rFonts w:hint="eastAsia"/>
          <w:highlight w:val="none"/>
        </w:rPr>
        <w:t>（关</w:t>
      </w:r>
      <w:r>
        <w:rPr>
          <w:highlight w:val="none"/>
        </w:rPr>
        <w:t>键性</w:t>
      </w:r>
      <w:r>
        <w:rPr>
          <w:rFonts w:hint="eastAsia"/>
          <w:highlight w:val="none"/>
        </w:rPr>
        <w:t>技术参数）</w:t>
      </w:r>
    </w:p>
    <w:tbl>
      <w:tblPr>
        <w:tblStyle w:val="TableNormal"/>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30"/>
        <w:gridCol w:w="3735"/>
        <w:gridCol w:w="1664"/>
        <w:gridCol w:w="2493"/>
      </w:tblGrid>
      <w:tr>
        <w:tblPrEx>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60"/>
          <w:tblHeader/>
          <w:jc w:val="center"/>
        </w:trPr>
        <w:tc>
          <w:tcPr>
            <w:tcW w:w="481" w:type="pct"/>
            <w:noWrap/>
            <w:vAlign w:val="center"/>
          </w:tcPr>
          <w:p>
            <w:pPr>
              <w:widowControl/>
              <w:adjustRightInd w:val="0"/>
              <w:snapToGrid w:val="0"/>
              <w:spacing w:line="360" w:lineRule="exact"/>
              <w:jc w:val="center"/>
              <w:rPr>
                <w:szCs w:val="21"/>
                <w:highlight w:val="none"/>
              </w:rPr>
            </w:pPr>
            <w:r>
              <w:rPr>
                <w:szCs w:val="21"/>
                <w:highlight w:val="none"/>
              </w:rPr>
              <w:t>序号</w:t>
            </w:r>
          </w:p>
        </w:tc>
        <w:tc>
          <w:tcPr>
            <w:tcW w:w="1533" w:type="pct"/>
            <w:noWrap/>
            <w:vAlign w:val="center"/>
          </w:tcPr>
          <w:p>
            <w:pPr>
              <w:widowControl/>
              <w:adjustRightInd w:val="0"/>
              <w:snapToGrid w:val="0"/>
              <w:spacing w:line="360" w:lineRule="exact"/>
              <w:jc w:val="center"/>
              <w:rPr>
                <w:szCs w:val="21"/>
                <w:highlight w:val="none"/>
              </w:rPr>
            </w:pPr>
            <w:r>
              <w:rPr>
                <w:szCs w:val="21"/>
                <w:highlight w:val="none"/>
              </w:rPr>
              <w:t>项目</w:t>
            </w:r>
          </w:p>
        </w:tc>
        <w:tc>
          <w:tcPr>
            <w:tcW w:w="1399" w:type="pct"/>
            <w:noWrap w:val="0"/>
            <w:vAlign w:val="center"/>
          </w:tcPr>
          <w:p>
            <w:pPr>
              <w:widowControl/>
              <w:adjustRightInd w:val="0"/>
              <w:snapToGrid w:val="0"/>
              <w:spacing w:line="360" w:lineRule="exact"/>
              <w:jc w:val="center"/>
              <w:rPr>
                <w:szCs w:val="21"/>
                <w:highlight w:val="none"/>
              </w:rPr>
            </w:pPr>
            <w:r>
              <w:rPr>
                <w:szCs w:val="21"/>
                <w:highlight w:val="none"/>
              </w:rPr>
              <w:t>技术参数</w:t>
            </w:r>
          </w:p>
        </w:tc>
        <w:tc>
          <w:tcPr>
            <w:tcW w:w="1586" w:type="pct"/>
            <w:noWrap/>
            <w:vAlign w:val="center"/>
          </w:tcPr>
          <w:p>
            <w:pPr>
              <w:widowControl/>
              <w:adjustRightInd w:val="0"/>
              <w:snapToGrid w:val="0"/>
              <w:spacing w:line="360" w:lineRule="exact"/>
              <w:jc w:val="center"/>
              <w:rPr>
                <w:szCs w:val="21"/>
                <w:highlight w:val="none"/>
              </w:rPr>
            </w:pPr>
            <w:r>
              <w:rPr>
                <w:szCs w:val="21"/>
                <w:highlight w:val="none"/>
              </w:rPr>
              <w:t>备注</w:t>
            </w:r>
          </w:p>
        </w:tc>
      </w:tr>
      <w:tr>
        <w:tblPrEx>
          <w:tblW w:w="4998" w:type="pct"/>
          <w:jc w:val="center"/>
          <w:tblCellMar>
            <w:top w:w="0" w:type="dxa"/>
            <w:left w:w="108" w:type="dxa"/>
            <w:bottom w:w="0" w:type="dxa"/>
            <w:right w:w="108" w:type="dxa"/>
          </w:tblCellMar>
        </w:tblPrEx>
        <w:trPr>
          <w:trHeight w:val="360"/>
          <w:jc w:val="center"/>
        </w:trPr>
        <w:tc>
          <w:tcPr>
            <w:tcW w:w="481" w:type="pct"/>
            <w:noWrap/>
            <w:vAlign w:val="center"/>
          </w:tcPr>
          <w:p>
            <w:pPr>
              <w:pStyle w:val="ListParagraph"/>
              <w:widowControl/>
              <w:adjustRightInd w:val="0"/>
              <w:snapToGrid w:val="0"/>
              <w:spacing w:line="360" w:lineRule="exact"/>
              <w:ind w:firstLine="0" w:firstLineChars="0"/>
              <w:jc w:val="center"/>
              <w:rPr>
                <w:szCs w:val="21"/>
                <w:highlight w:val="none"/>
                <w:lang w:val="en-US" w:eastAsia="zh-CN"/>
              </w:rPr>
            </w:pPr>
            <w:r>
              <w:rPr>
                <w:szCs w:val="21"/>
                <w:highlight w:val="none"/>
                <w:lang w:val="en-US" w:eastAsia="zh-CN"/>
              </w:rPr>
              <w:t>1</w:t>
            </w:r>
          </w:p>
        </w:tc>
        <w:tc>
          <w:tcPr>
            <w:tcW w:w="1533" w:type="pct"/>
            <w:noWrap/>
            <w:vAlign w:val="center"/>
          </w:tcPr>
          <w:p>
            <w:pPr>
              <w:widowControl/>
              <w:adjustRightInd w:val="0"/>
              <w:snapToGrid w:val="0"/>
              <w:spacing w:line="360" w:lineRule="exact"/>
              <w:jc w:val="center"/>
              <w:rPr>
                <w:color w:val="000000"/>
                <w:szCs w:val="21"/>
                <w:highlight w:val="none"/>
              </w:rPr>
            </w:pPr>
            <w:r>
              <w:rPr>
                <w:color w:val="000000"/>
                <w:szCs w:val="21"/>
                <w:highlight w:val="none"/>
              </w:rPr>
              <w:t>工作温度</w:t>
            </w:r>
          </w:p>
        </w:tc>
        <w:tc>
          <w:tcPr>
            <w:tcW w:w="1399" w:type="pct"/>
            <w:noWrap w:val="0"/>
            <w:vAlign w:val="center"/>
          </w:tcPr>
          <w:p>
            <w:pPr>
              <w:widowControl/>
              <w:adjustRightInd w:val="0"/>
              <w:snapToGrid w:val="0"/>
              <w:spacing w:line="360" w:lineRule="exact"/>
              <w:jc w:val="center"/>
              <w:rPr>
                <w:color w:val="000000"/>
                <w:szCs w:val="21"/>
                <w:highlight w:val="none"/>
              </w:rPr>
            </w:pPr>
            <w:r>
              <w:rPr>
                <w:color w:val="000000"/>
                <w:szCs w:val="21"/>
                <w:highlight w:val="none"/>
              </w:rPr>
              <w:t>-40℃～55℃</w:t>
            </w:r>
          </w:p>
        </w:tc>
        <w:tc>
          <w:tcPr>
            <w:tcW w:w="1586" w:type="pct"/>
            <w:noWrap/>
            <w:vAlign w:val="center"/>
          </w:tcPr>
          <w:p>
            <w:pPr>
              <w:widowControl/>
              <w:adjustRightInd w:val="0"/>
              <w:snapToGrid w:val="0"/>
              <w:spacing w:line="360" w:lineRule="exact"/>
              <w:jc w:val="center"/>
              <w:rPr>
                <w:szCs w:val="21"/>
                <w:highlight w:val="none"/>
              </w:rPr>
            </w:pPr>
          </w:p>
        </w:tc>
      </w:tr>
      <w:tr>
        <w:tblPrEx>
          <w:tblW w:w="4998" w:type="pct"/>
          <w:jc w:val="center"/>
          <w:tblCellMar>
            <w:top w:w="0" w:type="dxa"/>
            <w:left w:w="108" w:type="dxa"/>
            <w:bottom w:w="0" w:type="dxa"/>
            <w:right w:w="108" w:type="dxa"/>
          </w:tblCellMar>
        </w:tblPrEx>
        <w:trPr>
          <w:trHeight w:val="360"/>
          <w:jc w:val="center"/>
        </w:trPr>
        <w:tc>
          <w:tcPr>
            <w:tcW w:w="481" w:type="pct"/>
            <w:noWrap/>
            <w:vAlign w:val="center"/>
          </w:tcPr>
          <w:p>
            <w:pPr>
              <w:pStyle w:val="ListParagraph"/>
              <w:widowControl/>
              <w:adjustRightInd w:val="0"/>
              <w:snapToGrid w:val="0"/>
              <w:spacing w:line="360" w:lineRule="exact"/>
              <w:ind w:firstLine="0" w:firstLineChars="0"/>
              <w:jc w:val="center"/>
              <w:rPr>
                <w:szCs w:val="21"/>
                <w:highlight w:val="none"/>
                <w:lang w:val="en-US" w:eastAsia="zh-CN"/>
              </w:rPr>
            </w:pPr>
            <w:r>
              <w:rPr>
                <w:szCs w:val="21"/>
                <w:highlight w:val="none"/>
                <w:lang w:val="en-US" w:eastAsia="zh-CN"/>
              </w:rPr>
              <w:t>2</w:t>
            </w:r>
          </w:p>
        </w:tc>
        <w:tc>
          <w:tcPr>
            <w:tcW w:w="1533" w:type="pct"/>
            <w:noWrap/>
            <w:vAlign w:val="center"/>
          </w:tcPr>
          <w:p>
            <w:pPr>
              <w:widowControl/>
              <w:adjustRightInd w:val="0"/>
              <w:snapToGrid w:val="0"/>
              <w:spacing w:line="360" w:lineRule="exact"/>
              <w:jc w:val="center"/>
              <w:rPr>
                <w:color w:val="000000"/>
                <w:szCs w:val="21"/>
                <w:highlight w:val="none"/>
              </w:rPr>
            </w:pPr>
            <w:r>
              <w:rPr>
                <w:szCs w:val="21"/>
                <w:highlight w:val="none"/>
              </w:rPr>
              <w:t>供电电源</w:t>
            </w:r>
          </w:p>
        </w:tc>
        <w:tc>
          <w:tcPr>
            <w:tcW w:w="1399" w:type="pct"/>
            <w:noWrap w:val="0"/>
            <w:vAlign w:val="center"/>
          </w:tcPr>
          <w:p>
            <w:pPr>
              <w:widowControl/>
              <w:adjustRightInd w:val="0"/>
              <w:snapToGrid w:val="0"/>
              <w:spacing w:line="360" w:lineRule="exact"/>
              <w:jc w:val="center"/>
              <w:rPr>
                <w:color w:val="000000"/>
                <w:szCs w:val="21"/>
                <w:highlight w:val="none"/>
              </w:rPr>
            </w:pPr>
            <w:r>
              <w:rPr>
                <w:szCs w:val="21"/>
                <w:highlight w:val="none"/>
              </w:rPr>
              <w:t>三相五线制AC380V±10%，功率≤20kW；</w:t>
            </w:r>
          </w:p>
        </w:tc>
        <w:tc>
          <w:tcPr>
            <w:tcW w:w="1586" w:type="pct"/>
            <w:noWrap/>
            <w:vAlign w:val="center"/>
          </w:tcPr>
          <w:p>
            <w:pPr>
              <w:widowControl/>
              <w:adjustRightInd w:val="0"/>
              <w:snapToGrid w:val="0"/>
              <w:spacing w:line="360" w:lineRule="exact"/>
              <w:jc w:val="center"/>
              <w:rPr>
                <w:szCs w:val="21"/>
                <w:highlight w:val="none"/>
              </w:rPr>
            </w:pPr>
          </w:p>
        </w:tc>
      </w:tr>
      <w:tr>
        <w:tblPrEx>
          <w:tblW w:w="4998" w:type="pct"/>
          <w:jc w:val="center"/>
          <w:tblCellMar>
            <w:top w:w="0" w:type="dxa"/>
            <w:left w:w="108" w:type="dxa"/>
            <w:bottom w:w="0" w:type="dxa"/>
            <w:right w:w="108" w:type="dxa"/>
          </w:tblCellMar>
        </w:tblPrEx>
        <w:trPr>
          <w:trHeight w:val="360"/>
          <w:jc w:val="center"/>
        </w:trPr>
        <w:tc>
          <w:tcPr>
            <w:tcW w:w="481" w:type="pct"/>
            <w:noWrap/>
            <w:vAlign w:val="center"/>
          </w:tcPr>
          <w:p>
            <w:pPr>
              <w:pStyle w:val="ListParagraph"/>
              <w:widowControl/>
              <w:adjustRightInd w:val="0"/>
              <w:snapToGrid w:val="0"/>
              <w:spacing w:line="360" w:lineRule="exact"/>
              <w:ind w:firstLine="0" w:firstLineChars="0"/>
              <w:jc w:val="center"/>
              <w:rPr>
                <w:szCs w:val="21"/>
                <w:highlight w:val="none"/>
                <w:lang w:val="en-US" w:eastAsia="zh-CN"/>
              </w:rPr>
            </w:pPr>
            <w:r>
              <w:rPr>
                <w:szCs w:val="21"/>
                <w:highlight w:val="none"/>
                <w:lang w:val="en-US" w:eastAsia="zh-CN"/>
              </w:rPr>
              <w:t>3</w:t>
            </w:r>
          </w:p>
        </w:tc>
        <w:tc>
          <w:tcPr>
            <w:tcW w:w="1533" w:type="pct"/>
            <w:noWrap/>
            <w:vAlign w:val="center"/>
          </w:tcPr>
          <w:p>
            <w:pPr>
              <w:widowControl/>
              <w:adjustRightInd w:val="0"/>
              <w:snapToGrid w:val="0"/>
              <w:spacing w:line="360" w:lineRule="exact"/>
              <w:jc w:val="center"/>
              <w:rPr>
                <w:color w:val="000000"/>
                <w:szCs w:val="21"/>
                <w:highlight w:val="none"/>
              </w:rPr>
            </w:pPr>
            <w:r>
              <w:rPr>
                <w:szCs w:val="21"/>
                <w:highlight w:val="none"/>
              </w:rPr>
              <w:t>工作模式</w:t>
            </w:r>
          </w:p>
        </w:tc>
        <w:tc>
          <w:tcPr>
            <w:tcW w:w="1399" w:type="pct"/>
            <w:noWrap w:val="0"/>
            <w:vAlign w:val="center"/>
          </w:tcPr>
          <w:p>
            <w:pPr>
              <w:widowControl/>
              <w:adjustRightInd w:val="0"/>
              <w:snapToGrid w:val="0"/>
              <w:spacing w:line="360" w:lineRule="exact"/>
              <w:jc w:val="center"/>
              <w:rPr>
                <w:color w:val="000000"/>
                <w:szCs w:val="21"/>
                <w:highlight w:val="none"/>
              </w:rPr>
            </w:pPr>
            <w:r>
              <w:rPr>
                <w:szCs w:val="21"/>
                <w:highlight w:val="none"/>
              </w:rPr>
              <w:t>顶吊式换电</w:t>
            </w:r>
          </w:p>
        </w:tc>
        <w:tc>
          <w:tcPr>
            <w:tcW w:w="1586" w:type="pct"/>
            <w:noWrap/>
            <w:vAlign w:val="center"/>
          </w:tcPr>
          <w:p>
            <w:pPr>
              <w:widowControl/>
              <w:adjustRightInd w:val="0"/>
              <w:snapToGrid w:val="0"/>
              <w:spacing w:line="360" w:lineRule="exact"/>
              <w:jc w:val="center"/>
              <w:rPr>
                <w:szCs w:val="21"/>
                <w:highlight w:val="none"/>
              </w:rPr>
            </w:pPr>
          </w:p>
        </w:tc>
      </w:tr>
      <w:tr>
        <w:tblPrEx>
          <w:tblW w:w="4998" w:type="pct"/>
          <w:jc w:val="center"/>
          <w:tblCellMar>
            <w:top w:w="0" w:type="dxa"/>
            <w:left w:w="108" w:type="dxa"/>
            <w:bottom w:w="0" w:type="dxa"/>
            <w:right w:w="108" w:type="dxa"/>
          </w:tblCellMar>
        </w:tblPrEx>
        <w:trPr>
          <w:trHeight w:val="360"/>
          <w:jc w:val="center"/>
        </w:trPr>
        <w:tc>
          <w:tcPr>
            <w:tcW w:w="481" w:type="pct"/>
            <w:noWrap/>
            <w:vAlign w:val="center"/>
          </w:tcPr>
          <w:p>
            <w:pPr>
              <w:pStyle w:val="ListParagraph"/>
              <w:widowControl/>
              <w:adjustRightInd w:val="0"/>
              <w:snapToGrid w:val="0"/>
              <w:spacing w:line="360" w:lineRule="exact"/>
              <w:ind w:firstLine="0" w:firstLineChars="0"/>
              <w:jc w:val="center"/>
              <w:rPr>
                <w:szCs w:val="21"/>
                <w:highlight w:val="none"/>
                <w:lang w:val="en-US" w:eastAsia="zh-CN"/>
              </w:rPr>
            </w:pPr>
            <w:r>
              <w:rPr>
                <w:szCs w:val="21"/>
                <w:highlight w:val="none"/>
                <w:lang w:val="en-US" w:eastAsia="zh-CN"/>
              </w:rPr>
              <w:t>4</w:t>
            </w:r>
          </w:p>
        </w:tc>
        <w:tc>
          <w:tcPr>
            <w:tcW w:w="1533" w:type="pct"/>
            <w:noWrap/>
            <w:vAlign w:val="center"/>
          </w:tcPr>
          <w:p>
            <w:pPr>
              <w:widowControl/>
              <w:adjustRightInd w:val="0"/>
              <w:snapToGrid w:val="0"/>
              <w:spacing w:line="360" w:lineRule="exact"/>
              <w:jc w:val="center"/>
              <w:rPr>
                <w:color w:val="000000"/>
                <w:szCs w:val="21"/>
                <w:highlight w:val="none"/>
              </w:rPr>
            </w:pPr>
            <w:r>
              <w:rPr>
                <w:color w:val="000000"/>
                <w:szCs w:val="21"/>
                <w:highlight w:val="none"/>
              </w:rPr>
              <w:t>吊具额定载重</w:t>
            </w:r>
          </w:p>
        </w:tc>
        <w:tc>
          <w:tcPr>
            <w:tcW w:w="1399" w:type="pct"/>
            <w:noWrap w:val="0"/>
            <w:vAlign w:val="center"/>
          </w:tcPr>
          <w:p>
            <w:pPr>
              <w:widowControl/>
              <w:adjustRightInd w:val="0"/>
              <w:snapToGrid w:val="0"/>
              <w:spacing w:line="360" w:lineRule="exact"/>
              <w:jc w:val="center"/>
              <w:rPr>
                <w:color w:val="000000"/>
                <w:szCs w:val="21"/>
                <w:highlight w:val="none"/>
              </w:rPr>
            </w:pPr>
            <w:r>
              <w:rPr>
                <w:color w:val="000000"/>
                <w:szCs w:val="21"/>
                <w:highlight w:val="none"/>
              </w:rPr>
              <w:t>3.5T</w:t>
            </w:r>
          </w:p>
        </w:tc>
        <w:tc>
          <w:tcPr>
            <w:tcW w:w="1586" w:type="pct"/>
            <w:noWrap/>
            <w:vAlign w:val="center"/>
          </w:tcPr>
          <w:p>
            <w:pPr>
              <w:widowControl/>
              <w:adjustRightInd w:val="0"/>
              <w:snapToGrid w:val="0"/>
              <w:spacing w:line="360" w:lineRule="exact"/>
              <w:jc w:val="center"/>
              <w:rPr>
                <w:szCs w:val="21"/>
                <w:highlight w:val="none"/>
              </w:rPr>
            </w:pPr>
          </w:p>
        </w:tc>
      </w:tr>
      <w:tr>
        <w:tblPrEx>
          <w:tblW w:w="4998" w:type="pct"/>
          <w:jc w:val="center"/>
          <w:tblCellMar>
            <w:top w:w="0" w:type="dxa"/>
            <w:left w:w="108" w:type="dxa"/>
            <w:bottom w:w="0" w:type="dxa"/>
            <w:right w:w="108" w:type="dxa"/>
          </w:tblCellMar>
        </w:tblPrEx>
        <w:trPr>
          <w:trHeight w:val="360"/>
          <w:jc w:val="center"/>
        </w:trPr>
        <w:tc>
          <w:tcPr>
            <w:tcW w:w="481" w:type="pct"/>
            <w:noWrap/>
            <w:vAlign w:val="center"/>
          </w:tcPr>
          <w:p>
            <w:pPr>
              <w:pStyle w:val="ListParagraph"/>
              <w:widowControl/>
              <w:adjustRightInd w:val="0"/>
              <w:snapToGrid w:val="0"/>
              <w:spacing w:line="360" w:lineRule="exact"/>
              <w:ind w:firstLine="0" w:firstLineChars="0"/>
              <w:jc w:val="center"/>
              <w:rPr>
                <w:szCs w:val="21"/>
                <w:highlight w:val="none"/>
                <w:lang w:val="en-US" w:eastAsia="zh-CN"/>
              </w:rPr>
            </w:pPr>
            <w:r>
              <w:rPr>
                <w:szCs w:val="21"/>
                <w:highlight w:val="none"/>
                <w:lang w:val="en-US" w:eastAsia="zh-CN"/>
              </w:rPr>
              <w:t>5</w:t>
            </w:r>
          </w:p>
        </w:tc>
        <w:tc>
          <w:tcPr>
            <w:tcW w:w="1533" w:type="pct"/>
            <w:noWrap/>
            <w:vAlign w:val="center"/>
          </w:tcPr>
          <w:p>
            <w:pPr>
              <w:widowControl/>
              <w:adjustRightInd w:val="0"/>
              <w:snapToGrid w:val="0"/>
              <w:spacing w:line="360" w:lineRule="exact"/>
              <w:jc w:val="center"/>
              <w:rPr>
                <w:color w:val="000000"/>
                <w:szCs w:val="21"/>
                <w:highlight w:val="none"/>
              </w:rPr>
            </w:pPr>
            <w:r>
              <w:rPr>
                <w:color w:val="000000"/>
                <w:szCs w:val="21"/>
                <w:highlight w:val="none"/>
              </w:rPr>
              <w:t>吊具瞬间载重</w:t>
            </w:r>
          </w:p>
        </w:tc>
        <w:tc>
          <w:tcPr>
            <w:tcW w:w="1399" w:type="pct"/>
            <w:noWrap w:val="0"/>
            <w:vAlign w:val="center"/>
          </w:tcPr>
          <w:p>
            <w:pPr>
              <w:widowControl/>
              <w:adjustRightInd w:val="0"/>
              <w:snapToGrid w:val="0"/>
              <w:spacing w:line="360" w:lineRule="exact"/>
              <w:jc w:val="center"/>
              <w:rPr>
                <w:color w:val="000000"/>
                <w:szCs w:val="21"/>
                <w:highlight w:val="none"/>
              </w:rPr>
            </w:pPr>
            <w:r>
              <w:rPr>
                <w:color w:val="000000"/>
                <w:szCs w:val="21"/>
                <w:highlight w:val="none"/>
              </w:rPr>
              <w:t>≥5T</w:t>
            </w:r>
          </w:p>
        </w:tc>
        <w:tc>
          <w:tcPr>
            <w:tcW w:w="1586" w:type="pct"/>
            <w:noWrap/>
            <w:vAlign w:val="center"/>
          </w:tcPr>
          <w:p>
            <w:pPr>
              <w:widowControl/>
              <w:adjustRightInd w:val="0"/>
              <w:snapToGrid w:val="0"/>
              <w:spacing w:line="360" w:lineRule="exact"/>
              <w:jc w:val="center"/>
              <w:rPr>
                <w:szCs w:val="21"/>
                <w:highlight w:val="none"/>
              </w:rPr>
            </w:pPr>
          </w:p>
        </w:tc>
      </w:tr>
      <w:tr>
        <w:tblPrEx>
          <w:tblW w:w="4998" w:type="pct"/>
          <w:jc w:val="center"/>
          <w:tblCellMar>
            <w:top w:w="0" w:type="dxa"/>
            <w:left w:w="108" w:type="dxa"/>
            <w:bottom w:w="0" w:type="dxa"/>
            <w:right w:w="108" w:type="dxa"/>
          </w:tblCellMar>
        </w:tblPrEx>
        <w:trPr>
          <w:trHeight w:val="360"/>
          <w:jc w:val="center"/>
        </w:trPr>
        <w:tc>
          <w:tcPr>
            <w:tcW w:w="481" w:type="pct"/>
            <w:noWrap/>
            <w:vAlign w:val="center"/>
          </w:tcPr>
          <w:p>
            <w:pPr>
              <w:pStyle w:val="ListParagraph"/>
              <w:widowControl/>
              <w:adjustRightInd w:val="0"/>
              <w:snapToGrid w:val="0"/>
              <w:spacing w:line="360" w:lineRule="exact"/>
              <w:ind w:firstLine="0" w:firstLineChars="0"/>
              <w:jc w:val="center"/>
              <w:rPr>
                <w:szCs w:val="21"/>
                <w:highlight w:val="none"/>
                <w:lang w:val="en-US" w:eastAsia="zh-CN"/>
              </w:rPr>
            </w:pPr>
            <w:r>
              <w:rPr>
                <w:szCs w:val="21"/>
                <w:highlight w:val="none"/>
                <w:lang w:val="en-US" w:eastAsia="zh-CN"/>
              </w:rPr>
              <w:t>6</w:t>
            </w:r>
          </w:p>
        </w:tc>
        <w:tc>
          <w:tcPr>
            <w:tcW w:w="1533" w:type="pct"/>
            <w:noWrap/>
            <w:vAlign w:val="center"/>
          </w:tcPr>
          <w:p>
            <w:pPr>
              <w:widowControl/>
              <w:adjustRightInd w:val="0"/>
              <w:snapToGrid w:val="0"/>
              <w:spacing w:line="360" w:lineRule="exact"/>
              <w:jc w:val="center"/>
              <w:rPr>
                <w:color w:val="000000"/>
                <w:szCs w:val="21"/>
                <w:highlight w:val="none"/>
              </w:rPr>
            </w:pPr>
            <w:r>
              <w:rPr>
                <w:color w:val="000000"/>
                <w:szCs w:val="21"/>
                <w:highlight w:val="none"/>
              </w:rPr>
              <w:t>Z最大行程（升降）</w:t>
            </w:r>
          </w:p>
        </w:tc>
        <w:tc>
          <w:tcPr>
            <w:tcW w:w="1399" w:type="pct"/>
            <w:noWrap w:val="0"/>
            <w:vAlign w:val="center"/>
          </w:tcPr>
          <w:p>
            <w:pPr>
              <w:widowControl/>
              <w:adjustRightInd w:val="0"/>
              <w:snapToGrid w:val="0"/>
              <w:spacing w:line="360" w:lineRule="exact"/>
              <w:jc w:val="center"/>
              <w:rPr>
                <w:color w:val="000000"/>
                <w:szCs w:val="21"/>
                <w:highlight w:val="none"/>
              </w:rPr>
            </w:pPr>
            <w:r>
              <w:rPr>
                <w:color w:val="000000"/>
                <w:szCs w:val="21"/>
                <w:highlight w:val="none"/>
              </w:rPr>
              <w:t>≥3500mm</w:t>
            </w:r>
          </w:p>
        </w:tc>
        <w:tc>
          <w:tcPr>
            <w:tcW w:w="1586" w:type="pct"/>
            <w:noWrap/>
            <w:vAlign w:val="center"/>
          </w:tcPr>
          <w:p>
            <w:pPr>
              <w:widowControl/>
              <w:adjustRightInd w:val="0"/>
              <w:snapToGrid w:val="0"/>
              <w:spacing w:line="360" w:lineRule="exact"/>
              <w:jc w:val="center"/>
              <w:rPr>
                <w:szCs w:val="21"/>
                <w:highlight w:val="none"/>
              </w:rPr>
            </w:pPr>
          </w:p>
        </w:tc>
      </w:tr>
      <w:tr>
        <w:tblPrEx>
          <w:tblW w:w="4998" w:type="pct"/>
          <w:jc w:val="center"/>
          <w:tblCellMar>
            <w:top w:w="0" w:type="dxa"/>
            <w:left w:w="108" w:type="dxa"/>
            <w:bottom w:w="0" w:type="dxa"/>
            <w:right w:w="108" w:type="dxa"/>
          </w:tblCellMar>
        </w:tblPrEx>
        <w:trPr>
          <w:trHeight w:val="360"/>
          <w:jc w:val="center"/>
        </w:trPr>
        <w:tc>
          <w:tcPr>
            <w:tcW w:w="481" w:type="pct"/>
            <w:noWrap/>
            <w:vAlign w:val="center"/>
          </w:tcPr>
          <w:p>
            <w:pPr>
              <w:widowControl/>
              <w:adjustRightInd w:val="0"/>
              <w:snapToGrid w:val="0"/>
              <w:spacing w:line="360" w:lineRule="exact"/>
              <w:jc w:val="center"/>
              <w:rPr>
                <w:szCs w:val="21"/>
                <w:highlight w:val="none"/>
              </w:rPr>
            </w:pPr>
            <w:r>
              <w:rPr>
                <w:szCs w:val="21"/>
                <w:highlight w:val="none"/>
              </w:rPr>
              <w:t>7</w:t>
            </w:r>
          </w:p>
        </w:tc>
        <w:tc>
          <w:tcPr>
            <w:tcW w:w="1533" w:type="pct"/>
            <w:noWrap/>
            <w:vAlign w:val="center"/>
          </w:tcPr>
          <w:p>
            <w:pPr>
              <w:widowControl/>
              <w:adjustRightInd w:val="0"/>
              <w:snapToGrid w:val="0"/>
              <w:spacing w:line="360" w:lineRule="exact"/>
              <w:jc w:val="center"/>
              <w:rPr>
                <w:szCs w:val="21"/>
                <w:highlight w:val="none"/>
              </w:rPr>
            </w:pPr>
            <w:r>
              <w:rPr>
                <w:color w:val="000000"/>
                <w:szCs w:val="21"/>
                <w:highlight w:val="none"/>
              </w:rPr>
              <w:t>换电时间</w:t>
            </w:r>
          </w:p>
        </w:tc>
        <w:tc>
          <w:tcPr>
            <w:tcW w:w="1399" w:type="pct"/>
            <w:noWrap w:val="0"/>
            <w:vAlign w:val="center"/>
          </w:tcPr>
          <w:p>
            <w:pPr>
              <w:widowControl/>
              <w:adjustRightInd w:val="0"/>
              <w:snapToGrid w:val="0"/>
              <w:spacing w:line="360" w:lineRule="exact"/>
              <w:jc w:val="center"/>
              <w:rPr>
                <w:szCs w:val="21"/>
                <w:highlight w:val="none"/>
              </w:rPr>
            </w:pPr>
            <w:r>
              <w:rPr>
                <w:color w:val="000000"/>
                <w:szCs w:val="21"/>
                <w:highlight w:val="none"/>
              </w:rPr>
              <w:t>≤5min</w:t>
            </w:r>
          </w:p>
        </w:tc>
        <w:tc>
          <w:tcPr>
            <w:tcW w:w="1586" w:type="pct"/>
            <w:noWrap/>
            <w:vAlign w:val="center"/>
          </w:tcPr>
          <w:p>
            <w:pPr>
              <w:widowControl/>
              <w:adjustRightInd w:val="0"/>
              <w:snapToGrid w:val="0"/>
              <w:spacing w:line="360" w:lineRule="exact"/>
              <w:jc w:val="center"/>
              <w:rPr>
                <w:rFonts w:hint="eastAsia"/>
                <w:szCs w:val="21"/>
                <w:highlight w:val="none"/>
              </w:rPr>
            </w:pPr>
            <w:r>
              <w:rPr>
                <w:szCs w:val="21"/>
                <w:highlight w:val="none"/>
              </w:rPr>
              <w:t>从动作开始至动作结束</w:t>
            </w:r>
            <w:r>
              <w:rPr>
                <w:rFonts w:hint="eastAsia"/>
                <w:szCs w:val="21"/>
                <w:highlight w:val="none"/>
              </w:rPr>
              <w:t>，</w:t>
            </w:r>
          </w:p>
        </w:tc>
      </w:tr>
      <w:tr>
        <w:tblPrEx>
          <w:tblW w:w="4998" w:type="pct"/>
          <w:jc w:val="center"/>
          <w:tblCellMar>
            <w:top w:w="0" w:type="dxa"/>
            <w:left w:w="108" w:type="dxa"/>
            <w:bottom w:w="0" w:type="dxa"/>
            <w:right w:w="108" w:type="dxa"/>
          </w:tblCellMar>
        </w:tblPrEx>
        <w:trPr>
          <w:trHeight w:val="360"/>
          <w:jc w:val="center"/>
        </w:trPr>
        <w:tc>
          <w:tcPr>
            <w:tcW w:w="481" w:type="pct"/>
            <w:noWrap/>
            <w:vAlign w:val="center"/>
          </w:tcPr>
          <w:p>
            <w:pPr>
              <w:widowControl/>
              <w:adjustRightInd w:val="0"/>
              <w:snapToGrid w:val="0"/>
              <w:spacing w:line="360" w:lineRule="exact"/>
              <w:jc w:val="center"/>
              <w:rPr>
                <w:szCs w:val="21"/>
                <w:highlight w:val="none"/>
              </w:rPr>
            </w:pPr>
            <w:r>
              <w:rPr>
                <w:szCs w:val="21"/>
                <w:highlight w:val="none"/>
              </w:rPr>
              <w:t>8</w:t>
            </w:r>
          </w:p>
        </w:tc>
        <w:tc>
          <w:tcPr>
            <w:tcW w:w="1533" w:type="pct"/>
            <w:noWrap/>
            <w:vAlign w:val="center"/>
          </w:tcPr>
          <w:p>
            <w:pPr>
              <w:widowControl/>
              <w:adjustRightInd w:val="0"/>
              <w:snapToGrid w:val="0"/>
              <w:spacing w:line="360" w:lineRule="exact"/>
              <w:jc w:val="center"/>
              <w:rPr>
                <w:szCs w:val="21"/>
                <w:highlight w:val="none"/>
              </w:rPr>
            </w:pPr>
            <w:r>
              <w:rPr>
                <w:color w:val="000000"/>
                <w:szCs w:val="21"/>
                <w:highlight w:val="none"/>
              </w:rPr>
              <w:t>设备不间断工作运行时间</w:t>
            </w:r>
          </w:p>
        </w:tc>
        <w:tc>
          <w:tcPr>
            <w:tcW w:w="1399" w:type="pct"/>
            <w:noWrap w:val="0"/>
            <w:vAlign w:val="center"/>
          </w:tcPr>
          <w:p>
            <w:pPr>
              <w:widowControl/>
              <w:adjustRightInd w:val="0"/>
              <w:snapToGrid w:val="0"/>
              <w:spacing w:line="360" w:lineRule="exact"/>
              <w:jc w:val="center"/>
              <w:rPr>
                <w:szCs w:val="21"/>
                <w:highlight w:val="none"/>
              </w:rPr>
            </w:pPr>
            <w:r>
              <w:rPr>
                <w:color w:val="000000"/>
                <w:szCs w:val="21"/>
                <w:highlight w:val="none"/>
              </w:rPr>
              <w:t>24小时</w:t>
            </w:r>
          </w:p>
        </w:tc>
        <w:tc>
          <w:tcPr>
            <w:tcW w:w="1586" w:type="pct"/>
            <w:noWrap/>
            <w:vAlign w:val="center"/>
          </w:tcPr>
          <w:p>
            <w:pPr>
              <w:widowControl/>
              <w:adjustRightInd w:val="0"/>
              <w:snapToGrid w:val="0"/>
              <w:spacing w:line="360" w:lineRule="exact"/>
              <w:jc w:val="center"/>
              <w:rPr>
                <w:szCs w:val="21"/>
                <w:highlight w:val="none"/>
              </w:rPr>
            </w:pPr>
          </w:p>
        </w:tc>
      </w:tr>
      <w:tr>
        <w:tblPrEx>
          <w:tblW w:w="4998" w:type="pct"/>
          <w:jc w:val="center"/>
          <w:tblCellMar>
            <w:top w:w="0" w:type="dxa"/>
            <w:left w:w="108" w:type="dxa"/>
            <w:bottom w:w="0" w:type="dxa"/>
            <w:right w:w="108" w:type="dxa"/>
          </w:tblCellMar>
        </w:tblPrEx>
        <w:trPr>
          <w:trHeight w:val="360"/>
          <w:jc w:val="center"/>
        </w:trPr>
        <w:tc>
          <w:tcPr>
            <w:tcW w:w="481" w:type="pct"/>
            <w:noWrap/>
            <w:vAlign w:val="center"/>
          </w:tcPr>
          <w:p>
            <w:pPr>
              <w:widowControl/>
              <w:adjustRightInd w:val="0"/>
              <w:snapToGrid w:val="0"/>
              <w:spacing w:line="360" w:lineRule="exact"/>
              <w:jc w:val="center"/>
              <w:rPr>
                <w:szCs w:val="21"/>
                <w:highlight w:val="none"/>
              </w:rPr>
            </w:pPr>
            <w:r>
              <w:rPr>
                <w:szCs w:val="21"/>
                <w:highlight w:val="none"/>
              </w:rPr>
              <w:t>9</w:t>
            </w:r>
          </w:p>
        </w:tc>
        <w:tc>
          <w:tcPr>
            <w:tcW w:w="1533" w:type="pct"/>
            <w:noWrap/>
            <w:vAlign w:val="center"/>
          </w:tcPr>
          <w:p>
            <w:pPr>
              <w:widowControl/>
              <w:adjustRightInd w:val="0"/>
              <w:snapToGrid w:val="0"/>
              <w:spacing w:line="360" w:lineRule="exact"/>
              <w:jc w:val="center"/>
              <w:rPr>
                <w:szCs w:val="21"/>
                <w:highlight w:val="none"/>
              </w:rPr>
            </w:pPr>
            <w:r>
              <w:rPr>
                <w:szCs w:val="21"/>
                <w:highlight w:val="none"/>
              </w:rPr>
              <w:t>设计寿命</w:t>
            </w:r>
          </w:p>
        </w:tc>
        <w:tc>
          <w:tcPr>
            <w:tcW w:w="1399" w:type="pct"/>
            <w:noWrap w:val="0"/>
            <w:vAlign w:val="center"/>
          </w:tcPr>
          <w:p>
            <w:pPr>
              <w:widowControl/>
              <w:adjustRightInd w:val="0"/>
              <w:snapToGrid w:val="0"/>
              <w:spacing w:line="360" w:lineRule="exact"/>
              <w:jc w:val="center"/>
              <w:rPr>
                <w:szCs w:val="21"/>
                <w:highlight w:val="none"/>
              </w:rPr>
            </w:pPr>
            <w:r>
              <w:rPr>
                <w:szCs w:val="21"/>
                <w:highlight w:val="none"/>
              </w:rPr>
              <w:t>≥10年</w:t>
            </w:r>
          </w:p>
        </w:tc>
        <w:tc>
          <w:tcPr>
            <w:tcW w:w="1586" w:type="pct"/>
            <w:noWrap/>
            <w:vAlign w:val="center"/>
          </w:tcPr>
          <w:p>
            <w:pPr>
              <w:widowControl/>
              <w:adjustRightInd w:val="0"/>
              <w:snapToGrid w:val="0"/>
              <w:spacing w:line="360" w:lineRule="exact"/>
              <w:jc w:val="center"/>
              <w:rPr>
                <w:rFonts w:hint="eastAsia"/>
                <w:szCs w:val="21"/>
                <w:highlight w:val="none"/>
              </w:rPr>
            </w:pPr>
          </w:p>
        </w:tc>
      </w:tr>
      <w:tr>
        <w:tblPrEx>
          <w:tblW w:w="4998" w:type="pct"/>
          <w:jc w:val="center"/>
          <w:tblCellMar>
            <w:top w:w="0" w:type="dxa"/>
            <w:left w:w="108" w:type="dxa"/>
            <w:bottom w:w="0" w:type="dxa"/>
            <w:right w:w="108" w:type="dxa"/>
          </w:tblCellMar>
        </w:tblPrEx>
        <w:trPr>
          <w:trHeight w:val="360"/>
          <w:jc w:val="center"/>
        </w:trPr>
        <w:tc>
          <w:tcPr>
            <w:tcW w:w="481" w:type="pct"/>
            <w:noWrap/>
            <w:vAlign w:val="center"/>
          </w:tcPr>
          <w:p>
            <w:pPr>
              <w:widowControl/>
              <w:adjustRightInd w:val="0"/>
              <w:snapToGrid w:val="0"/>
              <w:spacing w:line="360" w:lineRule="exact"/>
              <w:jc w:val="center"/>
              <w:rPr>
                <w:szCs w:val="21"/>
                <w:highlight w:val="none"/>
              </w:rPr>
            </w:pPr>
            <w:r>
              <w:rPr>
                <w:szCs w:val="21"/>
                <w:highlight w:val="none"/>
              </w:rPr>
              <w:t>10</w:t>
            </w:r>
          </w:p>
        </w:tc>
        <w:tc>
          <w:tcPr>
            <w:tcW w:w="1533" w:type="pct"/>
            <w:noWrap/>
            <w:vAlign w:val="center"/>
          </w:tcPr>
          <w:p>
            <w:pPr>
              <w:widowControl/>
              <w:adjustRightInd w:val="0"/>
              <w:snapToGrid w:val="0"/>
              <w:spacing w:line="360" w:lineRule="exact"/>
              <w:jc w:val="center"/>
              <w:rPr>
                <w:szCs w:val="21"/>
                <w:highlight w:val="none"/>
              </w:rPr>
            </w:pPr>
            <w:r>
              <w:rPr>
                <w:color w:val="000000"/>
                <w:szCs w:val="21"/>
                <w:highlight w:val="none"/>
              </w:rPr>
              <w:t>各方向的定位精度</w:t>
            </w:r>
          </w:p>
        </w:tc>
        <w:tc>
          <w:tcPr>
            <w:tcW w:w="1399" w:type="pct"/>
            <w:noWrap w:val="0"/>
            <w:vAlign w:val="center"/>
          </w:tcPr>
          <w:p>
            <w:pPr>
              <w:widowControl/>
              <w:adjustRightInd w:val="0"/>
              <w:snapToGrid w:val="0"/>
              <w:spacing w:line="360" w:lineRule="exact"/>
              <w:jc w:val="center"/>
              <w:rPr>
                <w:szCs w:val="21"/>
                <w:highlight w:val="none"/>
              </w:rPr>
            </w:pPr>
            <w:r>
              <w:rPr>
                <w:color w:val="000000"/>
                <w:szCs w:val="21"/>
                <w:highlight w:val="none"/>
              </w:rPr>
              <w:t>≤±3mm</w:t>
            </w:r>
          </w:p>
        </w:tc>
        <w:tc>
          <w:tcPr>
            <w:tcW w:w="1586" w:type="pct"/>
            <w:noWrap/>
            <w:vAlign w:val="center"/>
          </w:tcPr>
          <w:p>
            <w:pPr>
              <w:widowControl/>
              <w:adjustRightInd w:val="0"/>
              <w:snapToGrid w:val="0"/>
              <w:spacing w:line="360" w:lineRule="exact"/>
              <w:jc w:val="center"/>
              <w:rPr>
                <w:szCs w:val="21"/>
                <w:highlight w:val="none"/>
              </w:rPr>
            </w:pPr>
          </w:p>
        </w:tc>
      </w:tr>
      <w:tr>
        <w:tblPrEx>
          <w:tblW w:w="4998" w:type="pct"/>
          <w:jc w:val="center"/>
          <w:tblCellMar>
            <w:top w:w="0" w:type="dxa"/>
            <w:left w:w="108" w:type="dxa"/>
            <w:bottom w:w="0" w:type="dxa"/>
            <w:right w:w="108" w:type="dxa"/>
          </w:tblCellMar>
        </w:tblPrEx>
        <w:trPr>
          <w:trHeight w:val="360"/>
          <w:jc w:val="center"/>
        </w:trPr>
        <w:tc>
          <w:tcPr>
            <w:tcW w:w="481" w:type="pct"/>
            <w:noWrap/>
            <w:vAlign w:val="center"/>
          </w:tcPr>
          <w:p>
            <w:pPr>
              <w:widowControl/>
              <w:adjustRightInd w:val="0"/>
              <w:snapToGrid w:val="0"/>
              <w:spacing w:line="360" w:lineRule="exact"/>
              <w:jc w:val="center"/>
              <w:rPr>
                <w:szCs w:val="21"/>
                <w:highlight w:val="none"/>
              </w:rPr>
            </w:pPr>
            <w:r>
              <w:rPr>
                <w:szCs w:val="21"/>
                <w:highlight w:val="none"/>
              </w:rPr>
              <w:t>11</w:t>
            </w:r>
          </w:p>
        </w:tc>
        <w:tc>
          <w:tcPr>
            <w:tcW w:w="1533" w:type="pct"/>
            <w:noWrap/>
            <w:vAlign w:val="center"/>
          </w:tcPr>
          <w:p>
            <w:pPr>
              <w:widowControl/>
              <w:adjustRightInd w:val="0"/>
              <w:snapToGrid w:val="0"/>
              <w:spacing w:line="360" w:lineRule="exact"/>
              <w:jc w:val="center"/>
              <w:rPr>
                <w:szCs w:val="21"/>
                <w:highlight w:val="none"/>
              </w:rPr>
            </w:pPr>
            <w:r>
              <w:rPr>
                <w:color w:val="000000"/>
                <w:szCs w:val="21"/>
                <w:highlight w:val="none"/>
              </w:rPr>
              <w:t>车辆左右允许偏差</w:t>
            </w:r>
          </w:p>
        </w:tc>
        <w:tc>
          <w:tcPr>
            <w:tcW w:w="1399" w:type="pct"/>
            <w:noWrap w:val="0"/>
            <w:vAlign w:val="center"/>
          </w:tcPr>
          <w:p>
            <w:pPr>
              <w:widowControl/>
              <w:adjustRightInd w:val="0"/>
              <w:snapToGrid w:val="0"/>
              <w:spacing w:line="360" w:lineRule="exact"/>
              <w:jc w:val="center"/>
              <w:rPr>
                <w:szCs w:val="21"/>
                <w:highlight w:val="none"/>
              </w:rPr>
            </w:pPr>
            <w:r>
              <w:rPr>
                <w:color w:val="000000"/>
                <w:szCs w:val="21"/>
                <w:highlight w:val="none"/>
              </w:rPr>
              <w:t>±150mm</w:t>
            </w:r>
          </w:p>
        </w:tc>
        <w:tc>
          <w:tcPr>
            <w:tcW w:w="1586" w:type="pct"/>
            <w:noWrap/>
            <w:vAlign w:val="center"/>
          </w:tcPr>
          <w:p>
            <w:pPr>
              <w:widowControl/>
              <w:adjustRightInd w:val="0"/>
              <w:snapToGrid w:val="0"/>
              <w:spacing w:line="360" w:lineRule="exact"/>
              <w:jc w:val="center"/>
              <w:rPr>
                <w:szCs w:val="21"/>
                <w:highlight w:val="none"/>
              </w:rPr>
            </w:pPr>
          </w:p>
        </w:tc>
      </w:tr>
      <w:tr>
        <w:tblPrEx>
          <w:tblW w:w="4998" w:type="pct"/>
          <w:jc w:val="center"/>
          <w:tblCellMar>
            <w:top w:w="0" w:type="dxa"/>
            <w:left w:w="108" w:type="dxa"/>
            <w:bottom w:w="0" w:type="dxa"/>
            <w:right w:w="108" w:type="dxa"/>
          </w:tblCellMar>
        </w:tblPrEx>
        <w:trPr>
          <w:trHeight w:val="360"/>
          <w:jc w:val="center"/>
        </w:trPr>
        <w:tc>
          <w:tcPr>
            <w:tcW w:w="481" w:type="pct"/>
            <w:noWrap/>
            <w:vAlign w:val="center"/>
          </w:tcPr>
          <w:p>
            <w:pPr>
              <w:widowControl/>
              <w:adjustRightInd w:val="0"/>
              <w:snapToGrid w:val="0"/>
              <w:spacing w:line="360" w:lineRule="exact"/>
              <w:jc w:val="center"/>
              <w:rPr>
                <w:szCs w:val="21"/>
                <w:highlight w:val="none"/>
              </w:rPr>
            </w:pPr>
            <w:r>
              <w:rPr>
                <w:szCs w:val="21"/>
                <w:highlight w:val="none"/>
              </w:rPr>
              <w:t>12</w:t>
            </w:r>
          </w:p>
        </w:tc>
        <w:tc>
          <w:tcPr>
            <w:tcW w:w="1533" w:type="pct"/>
            <w:noWrap/>
            <w:vAlign w:val="center"/>
          </w:tcPr>
          <w:p>
            <w:pPr>
              <w:widowControl/>
              <w:adjustRightInd w:val="0"/>
              <w:snapToGrid w:val="0"/>
              <w:spacing w:line="360" w:lineRule="exact"/>
              <w:jc w:val="center"/>
              <w:rPr>
                <w:szCs w:val="21"/>
                <w:highlight w:val="none"/>
              </w:rPr>
            </w:pPr>
            <w:r>
              <w:rPr>
                <w:color w:val="000000"/>
                <w:szCs w:val="21"/>
                <w:highlight w:val="none"/>
              </w:rPr>
              <w:t>车辆前后允许偏差</w:t>
            </w:r>
          </w:p>
        </w:tc>
        <w:tc>
          <w:tcPr>
            <w:tcW w:w="1399" w:type="pct"/>
            <w:noWrap w:val="0"/>
            <w:vAlign w:val="center"/>
          </w:tcPr>
          <w:p>
            <w:pPr>
              <w:widowControl/>
              <w:adjustRightInd w:val="0"/>
              <w:snapToGrid w:val="0"/>
              <w:spacing w:line="360" w:lineRule="exact"/>
              <w:jc w:val="center"/>
              <w:rPr>
                <w:szCs w:val="21"/>
                <w:highlight w:val="none"/>
              </w:rPr>
            </w:pPr>
            <w:r>
              <w:rPr>
                <w:color w:val="000000"/>
                <w:szCs w:val="21"/>
                <w:highlight w:val="none"/>
              </w:rPr>
              <w:t>±100mm</w:t>
            </w:r>
          </w:p>
        </w:tc>
        <w:tc>
          <w:tcPr>
            <w:tcW w:w="1586" w:type="pct"/>
            <w:noWrap/>
            <w:vAlign w:val="center"/>
          </w:tcPr>
          <w:p>
            <w:pPr>
              <w:widowControl/>
              <w:adjustRightInd w:val="0"/>
              <w:snapToGrid w:val="0"/>
              <w:spacing w:line="360" w:lineRule="exact"/>
              <w:jc w:val="center"/>
              <w:rPr>
                <w:szCs w:val="21"/>
                <w:highlight w:val="none"/>
              </w:rPr>
            </w:pPr>
          </w:p>
        </w:tc>
      </w:tr>
      <w:tr>
        <w:tblPrEx>
          <w:tblW w:w="4998" w:type="pct"/>
          <w:jc w:val="center"/>
          <w:tblCellMar>
            <w:top w:w="0" w:type="dxa"/>
            <w:left w:w="108" w:type="dxa"/>
            <w:bottom w:w="0" w:type="dxa"/>
            <w:right w:w="108" w:type="dxa"/>
          </w:tblCellMar>
        </w:tblPrEx>
        <w:trPr>
          <w:trHeight w:val="360"/>
          <w:jc w:val="center"/>
        </w:trPr>
        <w:tc>
          <w:tcPr>
            <w:tcW w:w="481" w:type="pct"/>
            <w:noWrap/>
            <w:vAlign w:val="center"/>
          </w:tcPr>
          <w:p>
            <w:pPr>
              <w:pStyle w:val="ListParagraph"/>
              <w:widowControl/>
              <w:adjustRightInd w:val="0"/>
              <w:snapToGrid w:val="0"/>
              <w:spacing w:line="360" w:lineRule="exact"/>
              <w:ind w:firstLine="0" w:firstLineChars="0"/>
              <w:jc w:val="center"/>
              <w:rPr>
                <w:szCs w:val="21"/>
                <w:highlight w:val="none"/>
                <w:lang w:val="en-US" w:eastAsia="zh-CN"/>
              </w:rPr>
            </w:pPr>
            <w:r>
              <w:rPr>
                <w:szCs w:val="21"/>
                <w:highlight w:val="none"/>
                <w:lang w:val="en-US" w:eastAsia="zh-CN"/>
              </w:rPr>
              <w:t>13</w:t>
            </w:r>
          </w:p>
        </w:tc>
        <w:tc>
          <w:tcPr>
            <w:tcW w:w="1533" w:type="pct"/>
            <w:noWrap/>
            <w:vAlign w:val="center"/>
          </w:tcPr>
          <w:p>
            <w:pPr>
              <w:widowControl/>
              <w:adjustRightInd w:val="0"/>
              <w:snapToGrid w:val="0"/>
              <w:spacing w:line="360" w:lineRule="exact"/>
              <w:jc w:val="center"/>
              <w:rPr>
                <w:color w:val="000000"/>
                <w:szCs w:val="21"/>
                <w:highlight w:val="none"/>
              </w:rPr>
            </w:pPr>
            <w:r>
              <w:rPr>
                <w:color w:val="000000"/>
                <w:szCs w:val="21"/>
                <w:highlight w:val="none"/>
              </w:rPr>
              <w:t>允许角度偏差</w:t>
            </w:r>
          </w:p>
        </w:tc>
        <w:tc>
          <w:tcPr>
            <w:tcW w:w="1399" w:type="pct"/>
            <w:noWrap w:val="0"/>
            <w:vAlign w:val="center"/>
          </w:tcPr>
          <w:p>
            <w:pPr>
              <w:widowControl/>
              <w:adjustRightInd w:val="0"/>
              <w:snapToGrid w:val="0"/>
              <w:spacing w:line="360" w:lineRule="exact"/>
              <w:jc w:val="center"/>
              <w:rPr>
                <w:color w:val="000000"/>
                <w:szCs w:val="21"/>
                <w:highlight w:val="none"/>
              </w:rPr>
            </w:pPr>
            <w:r>
              <w:rPr>
                <w:color w:val="000000"/>
                <w:szCs w:val="21"/>
                <w:highlight w:val="none"/>
              </w:rPr>
              <w:t>≤±3°</w:t>
            </w:r>
          </w:p>
        </w:tc>
        <w:tc>
          <w:tcPr>
            <w:tcW w:w="1586" w:type="pct"/>
            <w:noWrap/>
            <w:vAlign w:val="center"/>
          </w:tcPr>
          <w:p>
            <w:pPr>
              <w:widowControl/>
              <w:adjustRightInd w:val="0"/>
              <w:snapToGrid w:val="0"/>
              <w:spacing w:line="360" w:lineRule="exact"/>
              <w:jc w:val="center"/>
              <w:rPr>
                <w:szCs w:val="21"/>
                <w:highlight w:val="none"/>
              </w:rPr>
            </w:pPr>
          </w:p>
        </w:tc>
      </w:tr>
      <w:tr>
        <w:tblPrEx>
          <w:tblW w:w="4998" w:type="pct"/>
          <w:jc w:val="center"/>
          <w:tblCellMar>
            <w:top w:w="0" w:type="dxa"/>
            <w:left w:w="108" w:type="dxa"/>
            <w:bottom w:w="0" w:type="dxa"/>
            <w:right w:w="108" w:type="dxa"/>
          </w:tblCellMar>
        </w:tblPrEx>
        <w:trPr>
          <w:trHeight w:val="360"/>
          <w:jc w:val="center"/>
        </w:trPr>
        <w:tc>
          <w:tcPr>
            <w:tcW w:w="481" w:type="pct"/>
            <w:noWrap/>
            <w:vAlign w:val="center"/>
          </w:tcPr>
          <w:p>
            <w:pPr>
              <w:pStyle w:val="ListParagraph"/>
              <w:widowControl/>
              <w:adjustRightInd w:val="0"/>
              <w:snapToGrid w:val="0"/>
              <w:spacing w:line="360" w:lineRule="exact"/>
              <w:ind w:firstLine="0" w:firstLineChars="0"/>
              <w:jc w:val="center"/>
              <w:rPr>
                <w:szCs w:val="21"/>
                <w:highlight w:val="none"/>
                <w:lang w:val="en-US" w:eastAsia="zh-CN"/>
              </w:rPr>
            </w:pPr>
            <w:r>
              <w:rPr>
                <w:szCs w:val="21"/>
                <w:highlight w:val="none"/>
                <w:lang w:val="en-US" w:eastAsia="zh-CN"/>
              </w:rPr>
              <w:t>14</w:t>
            </w:r>
          </w:p>
        </w:tc>
        <w:tc>
          <w:tcPr>
            <w:tcW w:w="1533" w:type="pct"/>
            <w:noWrap/>
            <w:vAlign w:val="center"/>
          </w:tcPr>
          <w:p>
            <w:pPr>
              <w:widowControl/>
              <w:adjustRightInd w:val="0"/>
              <w:snapToGrid w:val="0"/>
              <w:spacing w:line="360" w:lineRule="exact"/>
              <w:jc w:val="center"/>
              <w:rPr>
                <w:color w:val="000000"/>
                <w:szCs w:val="21"/>
                <w:highlight w:val="none"/>
              </w:rPr>
            </w:pPr>
            <w:r>
              <w:rPr>
                <w:szCs w:val="21"/>
                <w:highlight w:val="none"/>
              </w:rPr>
              <w:t>噪声</w:t>
            </w:r>
          </w:p>
        </w:tc>
        <w:tc>
          <w:tcPr>
            <w:tcW w:w="1399" w:type="pct"/>
            <w:noWrap w:val="0"/>
            <w:vAlign w:val="center"/>
          </w:tcPr>
          <w:p>
            <w:pPr>
              <w:widowControl/>
              <w:adjustRightInd w:val="0"/>
              <w:snapToGrid w:val="0"/>
              <w:spacing w:line="360" w:lineRule="exact"/>
              <w:jc w:val="center"/>
              <w:rPr>
                <w:color w:val="000000"/>
                <w:szCs w:val="21"/>
                <w:highlight w:val="none"/>
              </w:rPr>
            </w:pPr>
            <w:r>
              <w:rPr>
                <w:szCs w:val="21"/>
                <w:highlight w:val="none"/>
              </w:rPr>
              <w:t>≤70dB（A）</w:t>
            </w:r>
          </w:p>
        </w:tc>
        <w:tc>
          <w:tcPr>
            <w:tcW w:w="1586" w:type="pct"/>
            <w:noWrap/>
            <w:vAlign w:val="center"/>
          </w:tcPr>
          <w:p>
            <w:pPr>
              <w:widowControl/>
              <w:adjustRightInd w:val="0"/>
              <w:snapToGrid w:val="0"/>
              <w:spacing w:line="360" w:lineRule="exact"/>
              <w:jc w:val="center"/>
              <w:rPr>
                <w:szCs w:val="21"/>
                <w:highlight w:val="none"/>
              </w:rPr>
            </w:pPr>
          </w:p>
        </w:tc>
      </w:tr>
      <w:tr>
        <w:tblPrEx>
          <w:tblW w:w="4998" w:type="pct"/>
          <w:jc w:val="center"/>
          <w:tblCellMar>
            <w:top w:w="0" w:type="dxa"/>
            <w:left w:w="108" w:type="dxa"/>
            <w:bottom w:w="0" w:type="dxa"/>
            <w:right w:w="108" w:type="dxa"/>
          </w:tblCellMar>
        </w:tblPrEx>
        <w:trPr>
          <w:trHeight w:val="360"/>
          <w:jc w:val="center"/>
        </w:trPr>
        <w:tc>
          <w:tcPr>
            <w:tcW w:w="481" w:type="pct"/>
            <w:noWrap/>
            <w:vAlign w:val="center"/>
          </w:tcPr>
          <w:p>
            <w:pPr>
              <w:pStyle w:val="ListParagraph"/>
              <w:widowControl/>
              <w:adjustRightInd w:val="0"/>
              <w:snapToGrid w:val="0"/>
              <w:spacing w:line="360" w:lineRule="exact"/>
              <w:ind w:firstLine="0" w:firstLineChars="0"/>
              <w:jc w:val="center"/>
              <w:rPr>
                <w:szCs w:val="21"/>
                <w:highlight w:val="none"/>
                <w:lang w:val="en-US" w:eastAsia="zh-CN"/>
              </w:rPr>
            </w:pPr>
            <w:r>
              <w:rPr>
                <w:szCs w:val="21"/>
                <w:highlight w:val="none"/>
                <w:lang w:val="en-US" w:eastAsia="zh-CN"/>
              </w:rPr>
              <w:t>15</w:t>
            </w:r>
          </w:p>
        </w:tc>
        <w:tc>
          <w:tcPr>
            <w:tcW w:w="1533" w:type="pct"/>
            <w:noWrap/>
            <w:vAlign w:val="center"/>
          </w:tcPr>
          <w:p>
            <w:pPr>
              <w:widowControl/>
              <w:adjustRightInd w:val="0"/>
              <w:snapToGrid w:val="0"/>
              <w:spacing w:line="360" w:lineRule="exact"/>
              <w:jc w:val="center"/>
              <w:rPr>
                <w:color w:val="000000"/>
                <w:szCs w:val="21"/>
                <w:highlight w:val="none"/>
              </w:rPr>
            </w:pPr>
            <w:r>
              <w:rPr>
                <w:szCs w:val="21"/>
                <w:highlight w:val="none"/>
              </w:rPr>
              <w:t>电池仓位有无电池检测</w:t>
            </w:r>
          </w:p>
        </w:tc>
        <w:tc>
          <w:tcPr>
            <w:tcW w:w="1399" w:type="pct"/>
            <w:noWrap w:val="0"/>
            <w:vAlign w:val="center"/>
          </w:tcPr>
          <w:p>
            <w:pPr>
              <w:widowControl/>
              <w:adjustRightInd w:val="0"/>
              <w:snapToGrid w:val="0"/>
              <w:spacing w:line="360" w:lineRule="exact"/>
              <w:jc w:val="center"/>
              <w:rPr>
                <w:color w:val="000000"/>
                <w:szCs w:val="21"/>
                <w:highlight w:val="none"/>
              </w:rPr>
            </w:pPr>
            <w:r>
              <w:rPr>
                <w:szCs w:val="21"/>
                <w:highlight w:val="none"/>
              </w:rPr>
              <w:t>传感器检测</w:t>
            </w:r>
          </w:p>
        </w:tc>
        <w:tc>
          <w:tcPr>
            <w:tcW w:w="1586" w:type="pct"/>
            <w:noWrap/>
            <w:vAlign w:val="center"/>
          </w:tcPr>
          <w:p>
            <w:pPr>
              <w:widowControl/>
              <w:adjustRightInd w:val="0"/>
              <w:snapToGrid w:val="0"/>
              <w:spacing w:line="360" w:lineRule="exact"/>
              <w:jc w:val="center"/>
              <w:rPr>
                <w:szCs w:val="21"/>
                <w:highlight w:val="none"/>
              </w:rPr>
            </w:pPr>
          </w:p>
        </w:tc>
      </w:tr>
      <w:tr>
        <w:tblPrEx>
          <w:tblW w:w="4998" w:type="pct"/>
          <w:jc w:val="center"/>
          <w:tblCellMar>
            <w:top w:w="0" w:type="dxa"/>
            <w:left w:w="108" w:type="dxa"/>
            <w:bottom w:w="0" w:type="dxa"/>
            <w:right w:w="108" w:type="dxa"/>
          </w:tblCellMar>
        </w:tblPrEx>
        <w:trPr>
          <w:trHeight w:val="360"/>
          <w:jc w:val="center"/>
        </w:trPr>
        <w:tc>
          <w:tcPr>
            <w:tcW w:w="481" w:type="pct"/>
            <w:noWrap/>
            <w:vAlign w:val="center"/>
          </w:tcPr>
          <w:p>
            <w:pPr>
              <w:pStyle w:val="ListParagraph"/>
              <w:widowControl/>
              <w:adjustRightInd w:val="0"/>
              <w:snapToGrid w:val="0"/>
              <w:spacing w:line="360" w:lineRule="exact"/>
              <w:ind w:firstLine="0" w:firstLineChars="0"/>
              <w:jc w:val="center"/>
              <w:rPr>
                <w:szCs w:val="21"/>
                <w:highlight w:val="none"/>
                <w:lang w:val="en-US" w:eastAsia="zh-CN"/>
              </w:rPr>
            </w:pPr>
            <w:r>
              <w:rPr>
                <w:szCs w:val="21"/>
                <w:highlight w:val="none"/>
                <w:lang w:val="en-US" w:eastAsia="zh-CN"/>
              </w:rPr>
              <w:t>16</w:t>
            </w:r>
          </w:p>
        </w:tc>
        <w:tc>
          <w:tcPr>
            <w:tcW w:w="1533" w:type="pct"/>
            <w:noWrap/>
            <w:vAlign w:val="center"/>
          </w:tcPr>
          <w:p>
            <w:pPr>
              <w:widowControl/>
              <w:adjustRightInd w:val="0"/>
              <w:snapToGrid w:val="0"/>
              <w:spacing w:line="360" w:lineRule="exact"/>
              <w:jc w:val="center"/>
              <w:rPr>
                <w:color w:val="000000"/>
                <w:szCs w:val="21"/>
                <w:highlight w:val="none"/>
              </w:rPr>
            </w:pPr>
            <w:r>
              <w:rPr>
                <w:szCs w:val="21"/>
                <w:highlight w:val="none"/>
              </w:rPr>
              <w:t>抓手提升超重检测</w:t>
            </w:r>
          </w:p>
        </w:tc>
        <w:tc>
          <w:tcPr>
            <w:tcW w:w="1399" w:type="pct"/>
            <w:noWrap w:val="0"/>
            <w:vAlign w:val="center"/>
          </w:tcPr>
          <w:p>
            <w:pPr>
              <w:widowControl/>
              <w:adjustRightInd w:val="0"/>
              <w:snapToGrid w:val="0"/>
              <w:spacing w:line="360" w:lineRule="exact"/>
              <w:jc w:val="center"/>
              <w:rPr>
                <w:color w:val="000000"/>
                <w:szCs w:val="21"/>
                <w:highlight w:val="none"/>
              </w:rPr>
            </w:pPr>
            <w:r>
              <w:rPr>
                <w:szCs w:val="21"/>
                <w:highlight w:val="none"/>
              </w:rPr>
              <w:t>传感器检测</w:t>
            </w:r>
          </w:p>
        </w:tc>
        <w:tc>
          <w:tcPr>
            <w:tcW w:w="1586" w:type="pct"/>
            <w:noWrap/>
            <w:vAlign w:val="center"/>
          </w:tcPr>
          <w:p>
            <w:pPr>
              <w:widowControl/>
              <w:adjustRightInd w:val="0"/>
              <w:snapToGrid w:val="0"/>
              <w:spacing w:line="360" w:lineRule="exact"/>
              <w:jc w:val="center"/>
              <w:rPr>
                <w:szCs w:val="21"/>
                <w:highlight w:val="none"/>
              </w:rPr>
            </w:pPr>
          </w:p>
        </w:tc>
      </w:tr>
      <w:tr>
        <w:tblPrEx>
          <w:tblW w:w="4998" w:type="pct"/>
          <w:jc w:val="center"/>
          <w:tblCellMar>
            <w:top w:w="0" w:type="dxa"/>
            <w:left w:w="108" w:type="dxa"/>
            <w:bottom w:w="0" w:type="dxa"/>
            <w:right w:w="108" w:type="dxa"/>
          </w:tblCellMar>
        </w:tblPrEx>
        <w:trPr>
          <w:trHeight w:val="360"/>
          <w:jc w:val="center"/>
        </w:trPr>
        <w:tc>
          <w:tcPr>
            <w:tcW w:w="481" w:type="pct"/>
            <w:noWrap/>
            <w:vAlign w:val="center"/>
          </w:tcPr>
          <w:p>
            <w:pPr>
              <w:pStyle w:val="ListParagraph"/>
              <w:widowControl/>
              <w:adjustRightInd w:val="0"/>
              <w:snapToGrid w:val="0"/>
              <w:spacing w:line="360" w:lineRule="exact"/>
              <w:ind w:firstLine="0" w:firstLineChars="0"/>
              <w:jc w:val="center"/>
              <w:rPr>
                <w:szCs w:val="21"/>
                <w:highlight w:val="none"/>
                <w:lang w:val="en-US" w:eastAsia="zh-CN"/>
              </w:rPr>
            </w:pPr>
            <w:r>
              <w:rPr>
                <w:szCs w:val="21"/>
                <w:highlight w:val="none"/>
                <w:lang w:val="en-US" w:eastAsia="zh-CN"/>
              </w:rPr>
              <w:t>17</w:t>
            </w:r>
          </w:p>
        </w:tc>
        <w:tc>
          <w:tcPr>
            <w:tcW w:w="1533" w:type="pct"/>
            <w:noWrap/>
            <w:vAlign w:val="center"/>
          </w:tcPr>
          <w:p>
            <w:pPr>
              <w:widowControl/>
              <w:adjustRightInd w:val="0"/>
              <w:snapToGrid w:val="0"/>
              <w:spacing w:line="360" w:lineRule="exact"/>
              <w:jc w:val="center"/>
              <w:rPr>
                <w:color w:val="000000"/>
                <w:szCs w:val="21"/>
                <w:highlight w:val="none"/>
              </w:rPr>
            </w:pPr>
            <w:r>
              <w:rPr>
                <w:szCs w:val="21"/>
                <w:highlight w:val="none"/>
              </w:rPr>
              <w:t>通讯方式</w:t>
            </w:r>
          </w:p>
        </w:tc>
        <w:tc>
          <w:tcPr>
            <w:tcW w:w="1399" w:type="pct"/>
            <w:noWrap w:val="0"/>
            <w:vAlign w:val="center"/>
          </w:tcPr>
          <w:p>
            <w:pPr>
              <w:widowControl/>
              <w:adjustRightInd w:val="0"/>
              <w:snapToGrid w:val="0"/>
              <w:spacing w:line="360" w:lineRule="exact"/>
              <w:jc w:val="center"/>
              <w:rPr>
                <w:color w:val="000000"/>
                <w:szCs w:val="21"/>
                <w:highlight w:val="none"/>
              </w:rPr>
            </w:pPr>
            <w:r>
              <w:rPr>
                <w:szCs w:val="21"/>
                <w:highlight w:val="none"/>
              </w:rPr>
              <w:t>以太网</w:t>
            </w:r>
          </w:p>
        </w:tc>
        <w:tc>
          <w:tcPr>
            <w:tcW w:w="1586" w:type="pct"/>
            <w:noWrap/>
            <w:vAlign w:val="center"/>
          </w:tcPr>
          <w:p>
            <w:pPr>
              <w:widowControl/>
              <w:adjustRightInd w:val="0"/>
              <w:snapToGrid w:val="0"/>
              <w:spacing w:line="360" w:lineRule="exact"/>
              <w:jc w:val="center"/>
              <w:rPr>
                <w:szCs w:val="21"/>
                <w:highlight w:val="none"/>
              </w:rPr>
            </w:pPr>
          </w:p>
        </w:tc>
      </w:tr>
      <w:tr>
        <w:tblPrEx>
          <w:tblW w:w="4998" w:type="pct"/>
          <w:jc w:val="center"/>
          <w:tblCellMar>
            <w:top w:w="0" w:type="dxa"/>
            <w:left w:w="108" w:type="dxa"/>
            <w:bottom w:w="0" w:type="dxa"/>
            <w:right w:w="108" w:type="dxa"/>
          </w:tblCellMar>
        </w:tblPrEx>
        <w:trPr>
          <w:trHeight w:val="360"/>
          <w:jc w:val="center"/>
        </w:trPr>
        <w:tc>
          <w:tcPr>
            <w:tcW w:w="481" w:type="pct"/>
            <w:noWrap/>
            <w:vAlign w:val="center"/>
          </w:tcPr>
          <w:p>
            <w:pPr>
              <w:pStyle w:val="ListParagraph"/>
              <w:widowControl/>
              <w:adjustRightInd w:val="0"/>
              <w:snapToGrid w:val="0"/>
              <w:spacing w:line="360" w:lineRule="exact"/>
              <w:ind w:firstLine="0" w:firstLineChars="0"/>
              <w:jc w:val="center"/>
              <w:rPr>
                <w:szCs w:val="21"/>
                <w:highlight w:val="none"/>
                <w:lang w:val="en-US" w:eastAsia="zh-CN"/>
              </w:rPr>
            </w:pPr>
            <w:r>
              <w:rPr>
                <w:szCs w:val="21"/>
                <w:highlight w:val="none"/>
                <w:lang w:val="en-US" w:eastAsia="zh-CN"/>
              </w:rPr>
              <w:t>18</w:t>
            </w:r>
          </w:p>
        </w:tc>
        <w:tc>
          <w:tcPr>
            <w:tcW w:w="1533" w:type="pct"/>
            <w:noWrap/>
            <w:vAlign w:val="center"/>
          </w:tcPr>
          <w:p>
            <w:pPr>
              <w:widowControl/>
              <w:adjustRightInd w:val="0"/>
              <w:snapToGrid w:val="0"/>
              <w:spacing w:line="360" w:lineRule="exact"/>
              <w:jc w:val="center"/>
              <w:rPr>
                <w:color w:val="000000"/>
                <w:szCs w:val="21"/>
                <w:highlight w:val="none"/>
              </w:rPr>
            </w:pPr>
            <w:r>
              <w:rPr>
                <w:szCs w:val="21"/>
                <w:highlight w:val="none"/>
              </w:rPr>
              <w:t>紧急制动功能</w:t>
            </w:r>
          </w:p>
        </w:tc>
        <w:tc>
          <w:tcPr>
            <w:tcW w:w="1399" w:type="pct"/>
            <w:noWrap w:val="0"/>
            <w:vAlign w:val="center"/>
          </w:tcPr>
          <w:p>
            <w:pPr>
              <w:widowControl/>
              <w:adjustRightInd w:val="0"/>
              <w:snapToGrid w:val="0"/>
              <w:spacing w:line="360" w:lineRule="exact"/>
              <w:jc w:val="center"/>
              <w:rPr>
                <w:color w:val="000000"/>
                <w:szCs w:val="21"/>
                <w:highlight w:val="none"/>
              </w:rPr>
            </w:pPr>
            <w:r>
              <w:rPr>
                <w:szCs w:val="21"/>
                <w:highlight w:val="none"/>
              </w:rPr>
              <w:t>具备</w:t>
            </w:r>
          </w:p>
        </w:tc>
        <w:tc>
          <w:tcPr>
            <w:tcW w:w="1586" w:type="pct"/>
            <w:noWrap/>
            <w:vAlign w:val="center"/>
          </w:tcPr>
          <w:p>
            <w:pPr>
              <w:widowControl/>
              <w:adjustRightInd w:val="0"/>
              <w:snapToGrid w:val="0"/>
              <w:spacing w:line="360" w:lineRule="exact"/>
              <w:jc w:val="center"/>
              <w:rPr>
                <w:szCs w:val="21"/>
                <w:highlight w:val="none"/>
              </w:rPr>
            </w:pPr>
          </w:p>
        </w:tc>
      </w:tr>
      <w:tr>
        <w:tblPrEx>
          <w:tblW w:w="4998" w:type="pct"/>
          <w:jc w:val="center"/>
          <w:tblCellMar>
            <w:top w:w="0" w:type="dxa"/>
            <w:left w:w="108" w:type="dxa"/>
            <w:bottom w:w="0" w:type="dxa"/>
            <w:right w:w="108" w:type="dxa"/>
          </w:tblCellMar>
        </w:tblPrEx>
        <w:trPr>
          <w:trHeight w:val="360"/>
          <w:jc w:val="center"/>
        </w:trPr>
        <w:tc>
          <w:tcPr>
            <w:tcW w:w="481" w:type="pct"/>
            <w:noWrap/>
            <w:vAlign w:val="center"/>
          </w:tcPr>
          <w:p>
            <w:pPr>
              <w:pStyle w:val="ListParagraph"/>
              <w:widowControl/>
              <w:adjustRightInd w:val="0"/>
              <w:snapToGrid w:val="0"/>
              <w:spacing w:line="360" w:lineRule="exact"/>
              <w:ind w:firstLine="0" w:firstLineChars="0"/>
              <w:jc w:val="center"/>
              <w:rPr>
                <w:szCs w:val="21"/>
                <w:highlight w:val="none"/>
                <w:lang w:val="en-US" w:eastAsia="zh-CN"/>
              </w:rPr>
            </w:pPr>
            <w:r>
              <w:rPr>
                <w:szCs w:val="21"/>
                <w:highlight w:val="none"/>
                <w:lang w:val="en-US" w:eastAsia="zh-CN"/>
              </w:rPr>
              <w:t>19</w:t>
            </w:r>
          </w:p>
        </w:tc>
        <w:tc>
          <w:tcPr>
            <w:tcW w:w="1533" w:type="pct"/>
            <w:noWrap/>
            <w:vAlign w:val="center"/>
          </w:tcPr>
          <w:p>
            <w:pPr>
              <w:widowControl/>
              <w:adjustRightInd w:val="0"/>
              <w:snapToGrid w:val="0"/>
              <w:spacing w:line="360" w:lineRule="exact"/>
              <w:jc w:val="center"/>
              <w:rPr>
                <w:color w:val="000000"/>
                <w:szCs w:val="21"/>
                <w:highlight w:val="none"/>
              </w:rPr>
            </w:pPr>
            <w:r>
              <w:rPr>
                <w:szCs w:val="21"/>
                <w:highlight w:val="none"/>
              </w:rPr>
              <w:t>断电保持</w:t>
            </w:r>
          </w:p>
        </w:tc>
        <w:tc>
          <w:tcPr>
            <w:tcW w:w="1399" w:type="pct"/>
            <w:noWrap w:val="0"/>
            <w:vAlign w:val="center"/>
          </w:tcPr>
          <w:p>
            <w:pPr>
              <w:widowControl/>
              <w:adjustRightInd w:val="0"/>
              <w:snapToGrid w:val="0"/>
              <w:spacing w:line="360" w:lineRule="exact"/>
              <w:jc w:val="center"/>
              <w:rPr>
                <w:color w:val="000000"/>
                <w:szCs w:val="21"/>
                <w:highlight w:val="none"/>
              </w:rPr>
            </w:pPr>
            <w:r>
              <w:rPr>
                <w:szCs w:val="21"/>
                <w:highlight w:val="none"/>
              </w:rPr>
              <w:t>具备</w:t>
            </w:r>
          </w:p>
        </w:tc>
        <w:tc>
          <w:tcPr>
            <w:tcW w:w="1586" w:type="pct"/>
            <w:noWrap/>
            <w:vAlign w:val="center"/>
          </w:tcPr>
          <w:p>
            <w:pPr>
              <w:widowControl/>
              <w:adjustRightInd w:val="0"/>
              <w:snapToGrid w:val="0"/>
              <w:spacing w:line="360" w:lineRule="exact"/>
              <w:jc w:val="center"/>
              <w:rPr>
                <w:szCs w:val="21"/>
                <w:highlight w:val="none"/>
              </w:rPr>
            </w:pPr>
            <w:r>
              <w:rPr>
                <w:szCs w:val="21"/>
                <w:highlight w:val="none"/>
              </w:rPr>
              <w:t>设备立即停止动作并抱死</w:t>
            </w:r>
          </w:p>
        </w:tc>
      </w:tr>
      <w:tr>
        <w:tblPrEx>
          <w:tblW w:w="4998" w:type="pct"/>
          <w:jc w:val="center"/>
          <w:tblCellMar>
            <w:top w:w="0" w:type="dxa"/>
            <w:left w:w="108" w:type="dxa"/>
            <w:bottom w:w="0" w:type="dxa"/>
            <w:right w:w="108" w:type="dxa"/>
          </w:tblCellMar>
        </w:tblPrEx>
        <w:trPr>
          <w:trHeight w:val="360"/>
          <w:jc w:val="center"/>
        </w:trPr>
        <w:tc>
          <w:tcPr>
            <w:tcW w:w="481" w:type="pct"/>
            <w:noWrap/>
            <w:vAlign w:val="center"/>
          </w:tcPr>
          <w:p>
            <w:pPr>
              <w:pStyle w:val="ListParagraph"/>
              <w:widowControl/>
              <w:adjustRightInd w:val="0"/>
              <w:snapToGrid w:val="0"/>
              <w:spacing w:line="360" w:lineRule="exact"/>
              <w:ind w:firstLine="0" w:firstLineChars="0"/>
              <w:jc w:val="center"/>
              <w:rPr>
                <w:szCs w:val="21"/>
                <w:highlight w:val="none"/>
                <w:lang w:val="en-US" w:eastAsia="zh-CN"/>
              </w:rPr>
            </w:pPr>
            <w:r>
              <w:rPr>
                <w:szCs w:val="21"/>
                <w:highlight w:val="none"/>
                <w:lang w:val="en-US" w:eastAsia="zh-CN"/>
              </w:rPr>
              <w:t>20</w:t>
            </w:r>
          </w:p>
        </w:tc>
        <w:tc>
          <w:tcPr>
            <w:tcW w:w="1533" w:type="pct"/>
            <w:noWrap/>
            <w:vAlign w:val="center"/>
          </w:tcPr>
          <w:p>
            <w:pPr>
              <w:widowControl/>
              <w:adjustRightInd w:val="0"/>
              <w:snapToGrid w:val="0"/>
              <w:spacing w:line="360" w:lineRule="exact"/>
              <w:jc w:val="center"/>
              <w:rPr>
                <w:color w:val="000000"/>
                <w:szCs w:val="21"/>
                <w:highlight w:val="none"/>
              </w:rPr>
            </w:pPr>
            <w:r>
              <w:rPr>
                <w:szCs w:val="21"/>
                <w:highlight w:val="none"/>
              </w:rPr>
              <w:t>提升电机损坏设备不会坠落，正常抱死</w:t>
            </w:r>
          </w:p>
        </w:tc>
        <w:tc>
          <w:tcPr>
            <w:tcW w:w="1399" w:type="pct"/>
            <w:noWrap w:val="0"/>
            <w:vAlign w:val="center"/>
          </w:tcPr>
          <w:p>
            <w:pPr>
              <w:widowControl/>
              <w:adjustRightInd w:val="0"/>
              <w:snapToGrid w:val="0"/>
              <w:spacing w:line="360" w:lineRule="exact"/>
              <w:jc w:val="center"/>
              <w:rPr>
                <w:color w:val="000000"/>
                <w:szCs w:val="21"/>
                <w:highlight w:val="none"/>
              </w:rPr>
            </w:pPr>
            <w:r>
              <w:rPr>
                <w:szCs w:val="21"/>
                <w:highlight w:val="none"/>
              </w:rPr>
              <w:t>具备</w:t>
            </w:r>
          </w:p>
        </w:tc>
        <w:tc>
          <w:tcPr>
            <w:tcW w:w="1586" w:type="pct"/>
            <w:noWrap/>
            <w:vAlign w:val="center"/>
          </w:tcPr>
          <w:p>
            <w:pPr>
              <w:widowControl/>
              <w:adjustRightInd w:val="0"/>
              <w:snapToGrid w:val="0"/>
              <w:spacing w:line="360" w:lineRule="exact"/>
              <w:jc w:val="center"/>
              <w:rPr>
                <w:szCs w:val="21"/>
                <w:highlight w:val="none"/>
              </w:rPr>
            </w:pPr>
          </w:p>
        </w:tc>
      </w:tr>
      <w:tr>
        <w:tblPrEx>
          <w:tblW w:w="4998" w:type="pct"/>
          <w:jc w:val="center"/>
          <w:tblCellMar>
            <w:top w:w="0" w:type="dxa"/>
            <w:left w:w="108" w:type="dxa"/>
            <w:bottom w:w="0" w:type="dxa"/>
            <w:right w:w="108" w:type="dxa"/>
          </w:tblCellMar>
        </w:tblPrEx>
        <w:trPr>
          <w:trHeight w:val="118"/>
          <w:jc w:val="center"/>
        </w:trPr>
        <w:tc>
          <w:tcPr>
            <w:tcW w:w="481" w:type="pct"/>
            <w:noWrap/>
            <w:vAlign w:val="center"/>
          </w:tcPr>
          <w:p>
            <w:pPr>
              <w:pStyle w:val="ListParagraph"/>
              <w:widowControl/>
              <w:adjustRightInd w:val="0"/>
              <w:snapToGrid w:val="0"/>
              <w:spacing w:line="360" w:lineRule="exact"/>
              <w:ind w:firstLine="0" w:firstLineChars="0"/>
              <w:jc w:val="center"/>
              <w:rPr>
                <w:szCs w:val="21"/>
                <w:highlight w:val="none"/>
                <w:lang w:val="en-US" w:eastAsia="zh-CN"/>
              </w:rPr>
            </w:pPr>
            <w:r>
              <w:rPr>
                <w:szCs w:val="21"/>
                <w:highlight w:val="none"/>
                <w:lang w:val="en-US" w:eastAsia="zh-CN"/>
              </w:rPr>
              <w:t>21</w:t>
            </w:r>
          </w:p>
        </w:tc>
        <w:tc>
          <w:tcPr>
            <w:tcW w:w="1533" w:type="pct"/>
            <w:noWrap/>
            <w:vAlign w:val="center"/>
          </w:tcPr>
          <w:p>
            <w:pPr>
              <w:widowControl/>
              <w:adjustRightInd w:val="0"/>
              <w:snapToGrid w:val="0"/>
              <w:spacing w:line="360" w:lineRule="exact"/>
              <w:jc w:val="center"/>
              <w:rPr>
                <w:color w:val="000000"/>
                <w:szCs w:val="21"/>
                <w:highlight w:val="none"/>
              </w:rPr>
            </w:pPr>
            <w:r>
              <w:rPr>
                <w:szCs w:val="21"/>
                <w:highlight w:val="none"/>
              </w:rPr>
              <w:t>急停按钮</w:t>
            </w:r>
          </w:p>
        </w:tc>
        <w:tc>
          <w:tcPr>
            <w:tcW w:w="1399" w:type="pct"/>
            <w:noWrap w:val="0"/>
            <w:vAlign w:val="center"/>
          </w:tcPr>
          <w:p>
            <w:pPr>
              <w:widowControl/>
              <w:adjustRightInd w:val="0"/>
              <w:snapToGrid w:val="0"/>
              <w:spacing w:line="360" w:lineRule="exact"/>
              <w:jc w:val="center"/>
              <w:rPr>
                <w:color w:val="000000"/>
                <w:szCs w:val="21"/>
                <w:highlight w:val="none"/>
              </w:rPr>
            </w:pPr>
            <w:r>
              <w:rPr>
                <w:szCs w:val="21"/>
                <w:highlight w:val="none"/>
              </w:rPr>
              <w:t>具备</w:t>
            </w:r>
          </w:p>
        </w:tc>
        <w:tc>
          <w:tcPr>
            <w:tcW w:w="1586" w:type="pct"/>
            <w:noWrap/>
            <w:vAlign w:val="center"/>
          </w:tcPr>
          <w:p>
            <w:pPr>
              <w:widowControl/>
              <w:adjustRightInd w:val="0"/>
              <w:snapToGrid w:val="0"/>
              <w:spacing w:line="360" w:lineRule="exact"/>
              <w:jc w:val="center"/>
              <w:rPr>
                <w:szCs w:val="21"/>
                <w:highlight w:val="none"/>
              </w:rPr>
            </w:pPr>
          </w:p>
        </w:tc>
      </w:tr>
      <w:tr>
        <w:tblPrEx>
          <w:tblW w:w="4998" w:type="pct"/>
          <w:jc w:val="center"/>
          <w:tblCellMar>
            <w:top w:w="0" w:type="dxa"/>
            <w:left w:w="108" w:type="dxa"/>
            <w:bottom w:w="0" w:type="dxa"/>
            <w:right w:w="108" w:type="dxa"/>
          </w:tblCellMar>
        </w:tblPrEx>
        <w:trPr>
          <w:trHeight w:val="118"/>
          <w:jc w:val="center"/>
        </w:trPr>
        <w:tc>
          <w:tcPr>
            <w:tcW w:w="481" w:type="pct"/>
            <w:noWrap/>
            <w:vAlign w:val="center"/>
          </w:tcPr>
          <w:p>
            <w:pPr>
              <w:pStyle w:val="ListParagraph"/>
              <w:widowControl/>
              <w:adjustRightInd w:val="0"/>
              <w:snapToGrid w:val="0"/>
              <w:spacing w:line="360" w:lineRule="exact"/>
              <w:ind w:firstLine="0" w:firstLineChars="0"/>
              <w:jc w:val="center"/>
              <w:rPr>
                <w:szCs w:val="21"/>
                <w:highlight w:val="none"/>
                <w:lang w:val="en-US" w:eastAsia="zh-CN"/>
              </w:rPr>
            </w:pPr>
            <w:r>
              <w:rPr>
                <w:szCs w:val="21"/>
                <w:highlight w:val="none"/>
                <w:lang w:val="en-US" w:eastAsia="zh-CN"/>
              </w:rPr>
              <w:t>22</w:t>
            </w:r>
          </w:p>
        </w:tc>
        <w:tc>
          <w:tcPr>
            <w:tcW w:w="1533" w:type="pct"/>
            <w:noWrap/>
            <w:vAlign w:val="center"/>
          </w:tcPr>
          <w:p>
            <w:pPr>
              <w:widowControl/>
              <w:adjustRightInd w:val="0"/>
              <w:snapToGrid w:val="0"/>
              <w:spacing w:line="360" w:lineRule="exact"/>
              <w:jc w:val="center"/>
              <w:rPr>
                <w:color w:val="000000"/>
                <w:szCs w:val="21"/>
                <w:highlight w:val="none"/>
              </w:rPr>
            </w:pPr>
            <w:r>
              <w:rPr>
                <w:szCs w:val="21"/>
                <w:highlight w:val="none"/>
              </w:rPr>
              <w:t>触摸屏</w:t>
            </w:r>
          </w:p>
        </w:tc>
        <w:tc>
          <w:tcPr>
            <w:tcW w:w="1399" w:type="pct"/>
            <w:noWrap w:val="0"/>
            <w:vAlign w:val="center"/>
          </w:tcPr>
          <w:p>
            <w:pPr>
              <w:widowControl/>
              <w:adjustRightInd w:val="0"/>
              <w:snapToGrid w:val="0"/>
              <w:spacing w:line="360" w:lineRule="exact"/>
              <w:jc w:val="center"/>
              <w:rPr>
                <w:color w:val="000000"/>
                <w:szCs w:val="21"/>
                <w:highlight w:val="none"/>
              </w:rPr>
            </w:pPr>
            <w:r>
              <w:rPr>
                <w:szCs w:val="21"/>
                <w:highlight w:val="none"/>
              </w:rPr>
              <w:t>具备</w:t>
            </w:r>
          </w:p>
        </w:tc>
        <w:tc>
          <w:tcPr>
            <w:tcW w:w="1586" w:type="pct"/>
            <w:noWrap/>
            <w:vAlign w:val="center"/>
          </w:tcPr>
          <w:p>
            <w:pPr>
              <w:widowControl/>
              <w:adjustRightInd w:val="0"/>
              <w:snapToGrid w:val="0"/>
              <w:spacing w:line="360" w:lineRule="exact"/>
              <w:jc w:val="center"/>
              <w:rPr>
                <w:szCs w:val="21"/>
                <w:highlight w:val="none"/>
              </w:rPr>
            </w:pPr>
          </w:p>
        </w:tc>
      </w:tr>
      <w:tr>
        <w:tblPrEx>
          <w:tblW w:w="4998" w:type="pct"/>
          <w:jc w:val="center"/>
          <w:tblCellMar>
            <w:top w:w="0" w:type="dxa"/>
            <w:left w:w="108" w:type="dxa"/>
            <w:bottom w:w="0" w:type="dxa"/>
            <w:right w:w="108" w:type="dxa"/>
          </w:tblCellMar>
        </w:tblPrEx>
        <w:trPr>
          <w:trHeight w:val="118"/>
          <w:jc w:val="center"/>
        </w:trPr>
        <w:tc>
          <w:tcPr>
            <w:tcW w:w="481" w:type="pct"/>
            <w:noWrap/>
            <w:vAlign w:val="center"/>
          </w:tcPr>
          <w:p>
            <w:pPr>
              <w:pStyle w:val="ListParagraph"/>
              <w:widowControl/>
              <w:adjustRightInd w:val="0"/>
              <w:snapToGrid w:val="0"/>
              <w:spacing w:line="360" w:lineRule="exact"/>
              <w:ind w:firstLine="0" w:firstLineChars="0"/>
              <w:jc w:val="center"/>
              <w:rPr>
                <w:szCs w:val="21"/>
                <w:highlight w:val="none"/>
                <w:lang w:val="en-US" w:eastAsia="zh-CN"/>
              </w:rPr>
            </w:pPr>
            <w:r>
              <w:rPr>
                <w:szCs w:val="21"/>
                <w:highlight w:val="none"/>
                <w:lang w:val="en-US" w:eastAsia="zh-CN"/>
              </w:rPr>
              <w:t>23</w:t>
            </w:r>
          </w:p>
        </w:tc>
        <w:tc>
          <w:tcPr>
            <w:tcW w:w="1533" w:type="pct"/>
            <w:noWrap/>
            <w:vAlign w:val="center"/>
          </w:tcPr>
          <w:p>
            <w:pPr>
              <w:widowControl/>
              <w:adjustRightInd w:val="0"/>
              <w:snapToGrid w:val="0"/>
              <w:spacing w:line="360" w:lineRule="exact"/>
              <w:jc w:val="center"/>
              <w:rPr>
                <w:color w:val="000000"/>
                <w:szCs w:val="21"/>
                <w:highlight w:val="none"/>
              </w:rPr>
            </w:pPr>
            <w:r>
              <w:rPr>
                <w:szCs w:val="21"/>
                <w:highlight w:val="none"/>
              </w:rPr>
              <w:t>安全防护和防止误操作</w:t>
            </w:r>
          </w:p>
        </w:tc>
        <w:tc>
          <w:tcPr>
            <w:tcW w:w="1399" w:type="pct"/>
            <w:noWrap w:val="0"/>
            <w:vAlign w:val="center"/>
          </w:tcPr>
          <w:p>
            <w:pPr>
              <w:widowControl/>
              <w:adjustRightInd w:val="0"/>
              <w:snapToGrid w:val="0"/>
              <w:spacing w:line="360" w:lineRule="exact"/>
              <w:jc w:val="center"/>
              <w:rPr>
                <w:color w:val="000000"/>
                <w:szCs w:val="21"/>
                <w:highlight w:val="none"/>
              </w:rPr>
            </w:pPr>
            <w:r>
              <w:rPr>
                <w:szCs w:val="21"/>
                <w:highlight w:val="none"/>
              </w:rPr>
              <w:t>具备</w:t>
            </w:r>
          </w:p>
        </w:tc>
        <w:tc>
          <w:tcPr>
            <w:tcW w:w="1586" w:type="pct"/>
            <w:noWrap/>
            <w:vAlign w:val="center"/>
          </w:tcPr>
          <w:p>
            <w:pPr>
              <w:widowControl/>
              <w:adjustRightInd w:val="0"/>
              <w:snapToGrid w:val="0"/>
              <w:spacing w:line="360" w:lineRule="exact"/>
              <w:jc w:val="center"/>
              <w:rPr>
                <w:szCs w:val="21"/>
                <w:highlight w:val="none"/>
              </w:rPr>
            </w:pPr>
          </w:p>
        </w:tc>
      </w:tr>
      <w:tr>
        <w:tblPrEx>
          <w:tblW w:w="4998" w:type="pct"/>
          <w:jc w:val="center"/>
          <w:tblCellMar>
            <w:top w:w="0" w:type="dxa"/>
            <w:left w:w="108" w:type="dxa"/>
            <w:bottom w:w="0" w:type="dxa"/>
            <w:right w:w="108" w:type="dxa"/>
          </w:tblCellMar>
        </w:tblPrEx>
        <w:trPr>
          <w:trHeight w:val="118"/>
          <w:jc w:val="center"/>
        </w:trPr>
        <w:tc>
          <w:tcPr>
            <w:tcW w:w="481" w:type="pct"/>
            <w:noWrap/>
            <w:vAlign w:val="center"/>
          </w:tcPr>
          <w:p>
            <w:pPr>
              <w:pStyle w:val="ListParagraph"/>
              <w:widowControl/>
              <w:adjustRightInd w:val="0"/>
              <w:snapToGrid w:val="0"/>
              <w:spacing w:line="360" w:lineRule="exact"/>
              <w:ind w:firstLine="0" w:firstLineChars="0"/>
              <w:jc w:val="center"/>
              <w:rPr>
                <w:szCs w:val="21"/>
                <w:highlight w:val="none"/>
                <w:lang w:val="en-US" w:eastAsia="zh-CN"/>
              </w:rPr>
            </w:pPr>
            <w:r>
              <w:rPr>
                <w:szCs w:val="21"/>
                <w:highlight w:val="none"/>
                <w:lang w:val="en-US" w:eastAsia="zh-CN"/>
              </w:rPr>
              <w:t>24</w:t>
            </w:r>
          </w:p>
        </w:tc>
        <w:tc>
          <w:tcPr>
            <w:tcW w:w="1533" w:type="pct"/>
            <w:noWrap/>
            <w:vAlign w:val="center"/>
          </w:tcPr>
          <w:p>
            <w:pPr>
              <w:widowControl/>
              <w:adjustRightInd w:val="0"/>
              <w:snapToGrid w:val="0"/>
              <w:spacing w:line="360" w:lineRule="exact"/>
              <w:jc w:val="center"/>
              <w:rPr>
                <w:color w:val="000000"/>
                <w:szCs w:val="21"/>
                <w:highlight w:val="none"/>
              </w:rPr>
            </w:pPr>
            <w:r>
              <w:rPr>
                <w:szCs w:val="21"/>
                <w:highlight w:val="none"/>
              </w:rPr>
              <w:t>XYZ电机过载保护</w:t>
            </w:r>
          </w:p>
        </w:tc>
        <w:tc>
          <w:tcPr>
            <w:tcW w:w="1399" w:type="pct"/>
            <w:noWrap w:val="0"/>
            <w:vAlign w:val="center"/>
          </w:tcPr>
          <w:p>
            <w:pPr>
              <w:widowControl/>
              <w:adjustRightInd w:val="0"/>
              <w:snapToGrid w:val="0"/>
              <w:spacing w:line="360" w:lineRule="exact"/>
              <w:jc w:val="center"/>
              <w:rPr>
                <w:color w:val="000000"/>
                <w:szCs w:val="21"/>
                <w:highlight w:val="none"/>
              </w:rPr>
            </w:pPr>
            <w:r>
              <w:rPr>
                <w:szCs w:val="21"/>
                <w:highlight w:val="none"/>
              </w:rPr>
              <w:t>具备</w:t>
            </w:r>
          </w:p>
        </w:tc>
        <w:tc>
          <w:tcPr>
            <w:tcW w:w="1586" w:type="pct"/>
            <w:noWrap/>
            <w:vAlign w:val="center"/>
          </w:tcPr>
          <w:p>
            <w:pPr>
              <w:widowControl/>
              <w:adjustRightInd w:val="0"/>
              <w:snapToGrid w:val="0"/>
              <w:spacing w:line="360" w:lineRule="exact"/>
              <w:jc w:val="center"/>
              <w:rPr>
                <w:szCs w:val="21"/>
                <w:highlight w:val="none"/>
              </w:rPr>
            </w:pPr>
          </w:p>
        </w:tc>
      </w:tr>
      <w:tr>
        <w:tblPrEx>
          <w:tblW w:w="4998" w:type="pct"/>
          <w:jc w:val="center"/>
          <w:tblCellMar>
            <w:top w:w="0" w:type="dxa"/>
            <w:left w:w="108" w:type="dxa"/>
            <w:bottom w:w="0" w:type="dxa"/>
            <w:right w:w="108" w:type="dxa"/>
          </w:tblCellMar>
        </w:tblPrEx>
        <w:trPr>
          <w:trHeight w:val="118"/>
          <w:jc w:val="center"/>
        </w:trPr>
        <w:tc>
          <w:tcPr>
            <w:tcW w:w="481" w:type="pct"/>
            <w:noWrap/>
            <w:vAlign w:val="center"/>
          </w:tcPr>
          <w:p>
            <w:pPr>
              <w:pStyle w:val="ListParagraph"/>
              <w:widowControl/>
              <w:adjustRightInd w:val="0"/>
              <w:snapToGrid w:val="0"/>
              <w:spacing w:line="360" w:lineRule="exact"/>
              <w:ind w:firstLine="0" w:firstLineChars="0"/>
              <w:jc w:val="center"/>
              <w:rPr>
                <w:szCs w:val="21"/>
                <w:highlight w:val="none"/>
                <w:lang w:val="en-US" w:eastAsia="zh-CN"/>
              </w:rPr>
            </w:pPr>
            <w:r>
              <w:rPr>
                <w:szCs w:val="21"/>
                <w:highlight w:val="none"/>
                <w:lang w:val="en-US" w:eastAsia="zh-CN"/>
              </w:rPr>
              <w:t>25</w:t>
            </w:r>
          </w:p>
        </w:tc>
        <w:tc>
          <w:tcPr>
            <w:tcW w:w="1533" w:type="pct"/>
            <w:noWrap/>
            <w:vAlign w:val="center"/>
          </w:tcPr>
          <w:p>
            <w:pPr>
              <w:widowControl/>
              <w:adjustRightInd w:val="0"/>
              <w:snapToGrid w:val="0"/>
              <w:spacing w:line="360" w:lineRule="exact"/>
              <w:jc w:val="center"/>
              <w:rPr>
                <w:szCs w:val="21"/>
                <w:highlight w:val="none"/>
              </w:rPr>
            </w:pPr>
            <w:r>
              <w:rPr>
                <w:szCs w:val="21"/>
                <w:highlight w:val="none"/>
              </w:rPr>
              <w:t>声光报警</w:t>
            </w:r>
          </w:p>
        </w:tc>
        <w:tc>
          <w:tcPr>
            <w:tcW w:w="1399" w:type="pct"/>
            <w:noWrap w:val="0"/>
            <w:vAlign w:val="center"/>
          </w:tcPr>
          <w:p>
            <w:pPr>
              <w:widowControl/>
              <w:adjustRightInd w:val="0"/>
              <w:snapToGrid w:val="0"/>
              <w:spacing w:line="360" w:lineRule="exact"/>
              <w:jc w:val="center"/>
              <w:rPr>
                <w:szCs w:val="21"/>
                <w:highlight w:val="none"/>
              </w:rPr>
            </w:pPr>
            <w:r>
              <w:rPr>
                <w:szCs w:val="21"/>
                <w:highlight w:val="none"/>
              </w:rPr>
              <w:t>具备</w:t>
            </w:r>
          </w:p>
        </w:tc>
        <w:tc>
          <w:tcPr>
            <w:tcW w:w="1586" w:type="pct"/>
            <w:noWrap/>
            <w:vAlign w:val="center"/>
          </w:tcPr>
          <w:p>
            <w:pPr>
              <w:widowControl/>
              <w:adjustRightInd w:val="0"/>
              <w:snapToGrid w:val="0"/>
              <w:spacing w:line="360" w:lineRule="exact"/>
              <w:jc w:val="center"/>
              <w:rPr>
                <w:rFonts w:hint="eastAsia"/>
                <w:szCs w:val="21"/>
                <w:highlight w:val="none"/>
              </w:rPr>
            </w:pPr>
          </w:p>
        </w:tc>
      </w:tr>
    </w:tbl>
    <w:p>
      <w:pPr>
        <w:overflowPunct w:val="0"/>
        <w:topLinePunct/>
        <w:spacing w:before="156" w:beforeLines="50" w:line="360" w:lineRule="auto"/>
        <w:rPr>
          <w:szCs w:val="21"/>
          <w:highlight w:val="none"/>
        </w:rPr>
      </w:pPr>
      <w:r>
        <w:rPr>
          <w:rStyle w:val="EUChar"/>
          <w:rFonts w:hint="eastAsia"/>
          <w:highlight w:val="none"/>
          <w:lang w:val="en-US" w:eastAsia="zh-CN"/>
        </w:rPr>
        <w:t>6.5</w:t>
      </w:r>
      <w:r>
        <w:rPr>
          <w:rStyle w:val="EUChar"/>
          <w:rFonts w:ascii="Times New Roman"/>
          <w:highlight w:val="none"/>
        </w:rPr>
        <w:t xml:space="preserve"> 智能换电机器人的吊具抓取接口要求</w:t>
      </w:r>
    </w:p>
    <w:p>
      <w:pPr>
        <w:overflowPunct w:val="0"/>
        <w:topLinePunct/>
        <w:spacing w:after="156" w:afterLines="50" w:line="360" w:lineRule="auto"/>
        <w:ind w:firstLine="420" w:firstLineChars="200"/>
        <w:rPr>
          <w:rStyle w:val="EUChar"/>
          <w:rFonts w:ascii="Times New Roman"/>
          <w:highlight w:val="none"/>
        </w:rPr>
      </w:pPr>
      <w:r>
        <w:rPr>
          <w:rStyle w:val="EUChar"/>
          <w:rFonts w:ascii="Times New Roman"/>
          <w:highlight w:val="none"/>
        </w:rPr>
        <w:t>换电机器人应满足以下电池箱顶框式抓取接口结构和尺寸要求，如下图所示</w:t>
      </w:r>
      <w:r>
        <w:rPr>
          <w:rStyle w:val="EUChar"/>
          <w:rFonts w:ascii="Times New Roman" w:hint="eastAsia"/>
          <w:highlight w:val="none"/>
        </w:rPr>
        <w:t>，图中尺寸单位为mm</w:t>
      </w:r>
      <w:r>
        <w:rPr>
          <w:rStyle w:val="EUChar"/>
          <w:rFonts w:ascii="Times New Roman"/>
          <w:highlight w:val="none"/>
        </w:rPr>
        <w:t>。</w:t>
      </w:r>
    </w:p>
    <w:p>
      <w:pPr>
        <w:spacing w:line="360" w:lineRule="auto"/>
        <w:jc w:val="center"/>
        <w:rPr>
          <w:rFonts w:hint="eastAsia"/>
          <w:szCs w:val="21"/>
          <w:highlight w:val="none"/>
        </w:rPr>
      </w:pPr>
      <w:r>
        <w:rPr>
          <w:highlight w:val="none"/>
        </w:rPr>
        <w:drawing>
          <wp:inline distT="0" distB="0" distL="114300" distR="114300">
            <wp:extent cx="4404360" cy="2582545"/>
            <wp:effectExtent l="0" t="0" r="15240" b="825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705490" name="图片 5"/>
                    <pic:cNvPicPr>
                      <a:picLocks noChangeAspect="1"/>
                    </pic:cNvPicPr>
                  </pic:nvPicPr>
                  <pic:blipFill>
                    <a:blip xmlns:r="http://schemas.openxmlformats.org/officeDocument/2006/relationships" r:embed="rId7"/>
                    <a:stretch>
                      <a:fillRect/>
                    </a:stretch>
                  </pic:blipFill>
                  <pic:spPr>
                    <a:xfrm>
                      <a:off x="0" y="0"/>
                      <a:ext cx="4404360" cy="2582545"/>
                    </a:xfrm>
                    <a:prstGeom prst="rect">
                      <a:avLst/>
                    </a:prstGeom>
                    <a:noFill/>
                    <a:ln>
                      <a:noFill/>
                    </a:ln>
                  </pic:spPr>
                </pic:pic>
              </a:graphicData>
            </a:graphic>
          </wp:inline>
        </w:drawing>
      </w:r>
    </w:p>
    <w:p>
      <w:pPr>
        <w:spacing w:before="156" w:beforeLines="50" w:after="156" w:afterLines="50"/>
        <w:jc w:val="center"/>
        <w:rPr>
          <w:szCs w:val="21"/>
          <w:highlight w:val="none"/>
        </w:rPr>
      </w:pPr>
      <w:r>
        <w:rPr>
          <w:szCs w:val="21"/>
          <w:highlight w:val="none"/>
        </w:rPr>
        <w:t>图</w:t>
      </w:r>
      <w:r>
        <w:rPr>
          <w:rFonts w:hint="eastAsia"/>
          <w:szCs w:val="21"/>
          <w:highlight w:val="none"/>
          <w:lang w:val="en-US" w:eastAsia="zh-CN"/>
        </w:rPr>
        <w:t>5</w:t>
      </w:r>
      <w:r>
        <w:rPr>
          <w:szCs w:val="21"/>
          <w:highlight w:val="none"/>
        </w:rPr>
        <w:t xml:space="preserve"> </w:t>
      </w:r>
      <w:r>
        <w:rPr>
          <w:rFonts w:hint="eastAsia"/>
          <w:szCs w:val="21"/>
          <w:highlight w:val="none"/>
        </w:rPr>
        <w:t>标准版</w:t>
      </w:r>
      <w:r>
        <w:rPr>
          <w:szCs w:val="21"/>
          <w:highlight w:val="none"/>
        </w:rPr>
        <w:t>电池框顶部吊框式抓取接口</w:t>
      </w:r>
    </w:p>
    <w:p>
      <w:pPr>
        <w:pStyle w:val="IndexHeading"/>
        <w:rPr>
          <w:highlight w:val="none"/>
        </w:rPr>
      </w:pPr>
      <w:r>
        <w:rPr>
          <w:highlight w:val="none"/>
        </w:rPr>
        <w:drawing>
          <wp:inline distT="0" distB="0" distL="114300" distR="114300">
            <wp:extent cx="3963670" cy="2308225"/>
            <wp:effectExtent l="0" t="0" r="17780" b="1587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824956" name="图片 6"/>
                    <pic:cNvPicPr>
                      <a:picLocks noChangeAspect="1"/>
                    </pic:cNvPicPr>
                  </pic:nvPicPr>
                  <pic:blipFill>
                    <a:blip xmlns:r="http://schemas.openxmlformats.org/officeDocument/2006/relationships" r:embed="rId8"/>
                    <a:stretch>
                      <a:fillRect/>
                    </a:stretch>
                  </pic:blipFill>
                  <pic:spPr>
                    <a:xfrm>
                      <a:off x="0" y="0"/>
                      <a:ext cx="3963670" cy="2308225"/>
                    </a:xfrm>
                    <a:prstGeom prst="rect">
                      <a:avLst/>
                    </a:prstGeom>
                    <a:noFill/>
                    <a:ln>
                      <a:noFill/>
                    </a:ln>
                  </pic:spPr>
                </pic:pic>
              </a:graphicData>
            </a:graphic>
          </wp:inline>
        </w:drawing>
      </w:r>
    </w:p>
    <w:p>
      <w:pPr>
        <w:spacing w:before="156" w:beforeLines="50" w:after="156" w:afterLines="50"/>
        <w:jc w:val="center"/>
        <w:rPr>
          <w:rFonts w:hint="eastAsia"/>
          <w:szCs w:val="21"/>
          <w:highlight w:val="none"/>
        </w:rPr>
      </w:pPr>
      <w:r>
        <w:rPr>
          <w:szCs w:val="21"/>
          <w:highlight w:val="none"/>
        </w:rPr>
        <w:t>图</w:t>
      </w:r>
      <w:r>
        <w:rPr>
          <w:rFonts w:hint="eastAsia"/>
          <w:szCs w:val="21"/>
          <w:highlight w:val="none"/>
          <w:lang w:val="en-US" w:eastAsia="zh-CN"/>
        </w:rPr>
        <w:t>6</w:t>
      </w:r>
      <w:r>
        <w:rPr>
          <w:szCs w:val="21"/>
          <w:highlight w:val="none"/>
        </w:rPr>
        <w:t xml:space="preserve"> </w:t>
      </w:r>
      <w:r>
        <w:rPr>
          <w:rFonts w:hint="eastAsia"/>
          <w:szCs w:val="21"/>
          <w:highlight w:val="none"/>
        </w:rPr>
        <w:t>轻量版</w:t>
      </w:r>
      <w:r>
        <w:rPr>
          <w:szCs w:val="21"/>
          <w:highlight w:val="none"/>
        </w:rPr>
        <w:t>电池框顶部吊框式抓取接口</w:t>
      </w:r>
    </w:p>
    <w:p>
      <w:pPr>
        <w:pStyle w:val="-2"/>
        <w:numPr>
          <w:ilvl w:val="1"/>
          <w:numId w:val="0"/>
        </w:numPr>
        <w:tabs>
          <w:tab w:val="clear" w:pos="567"/>
          <w:tab w:val="clear" w:pos="851"/>
          <w:tab w:val="clear" w:pos="1144"/>
        </w:tabs>
        <w:ind w:leftChars="0"/>
        <w:outlineLvl w:val="1"/>
        <w:rPr>
          <w:rFonts w:ascii="Times New Roman" w:hAnsi="Times New Roman"/>
          <w:color w:val="auto"/>
          <w:sz w:val="24"/>
          <w:szCs w:val="24"/>
          <w:highlight w:val="none"/>
        </w:rPr>
      </w:pPr>
      <w:bookmarkStart w:id="15" w:name="_Toc8931"/>
      <w:bookmarkStart w:id="16" w:name="_Toc13406"/>
      <w:bookmarkStart w:id="17" w:name="_Toc1206"/>
      <w:bookmarkStart w:id="18" w:name="_Toc6356"/>
      <w:bookmarkStart w:id="19" w:name="_Toc10795"/>
      <w:r>
        <w:rPr>
          <w:rFonts w:ascii="Times New Roman" w:hAnsi="Times New Roman" w:hint="eastAsia"/>
          <w:color w:val="auto"/>
          <w:sz w:val="24"/>
          <w:szCs w:val="24"/>
          <w:highlight w:val="none"/>
          <w:lang w:val="en-US" w:eastAsia="zh-CN"/>
        </w:rPr>
        <w:t>7.</w:t>
      </w:r>
      <w:r>
        <w:rPr>
          <w:rFonts w:ascii="Times New Roman" w:hAnsi="Times New Roman"/>
          <w:color w:val="auto"/>
          <w:sz w:val="24"/>
          <w:szCs w:val="24"/>
          <w:highlight w:val="none"/>
        </w:rPr>
        <w:t>充电系统</w:t>
      </w:r>
      <w:bookmarkEnd w:id="15"/>
      <w:bookmarkEnd w:id="16"/>
      <w:bookmarkEnd w:id="17"/>
      <w:bookmarkEnd w:id="18"/>
      <w:bookmarkEnd w:id="19"/>
    </w:p>
    <w:p>
      <w:pPr>
        <w:overflowPunct w:val="0"/>
        <w:topLinePunct/>
        <w:spacing w:line="360" w:lineRule="auto"/>
        <w:ind w:firstLine="420" w:firstLineChars="200"/>
        <w:rPr>
          <w:rStyle w:val="EUChar"/>
          <w:rFonts w:ascii="Times New Roman" w:hint="eastAsia"/>
          <w:highlight w:val="none"/>
        </w:rPr>
      </w:pPr>
      <w:r>
        <w:rPr>
          <w:rStyle w:val="EUChar"/>
          <w:rFonts w:hint="eastAsia"/>
          <w:highlight w:val="none"/>
          <w:lang w:val="en-US" w:eastAsia="zh-CN"/>
        </w:rPr>
        <w:t>7.1</w:t>
      </w:r>
      <w:r>
        <w:rPr>
          <w:rStyle w:val="EUChar"/>
          <w:rFonts w:ascii="Times New Roman" w:hint="eastAsia"/>
          <w:highlight w:val="none"/>
        </w:rPr>
        <w:t>充电系统应满足以下功能要求。</w:t>
      </w:r>
    </w:p>
    <w:p>
      <w:pPr>
        <w:overflowPunct w:val="0"/>
        <w:topLinePunct/>
        <w:spacing w:line="360" w:lineRule="auto"/>
        <w:ind w:firstLine="420" w:firstLineChars="200"/>
        <w:rPr>
          <w:rStyle w:val="EUChar"/>
          <w:rFonts w:ascii="Times New Roman" w:hint="eastAsia"/>
          <w:highlight w:val="none"/>
        </w:rPr>
      </w:pPr>
      <w:r>
        <w:rPr>
          <w:rStyle w:val="EUChar"/>
          <w:rFonts w:ascii="Times New Roman" w:hint="eastAsia"/>
          <w:highlight w:val="none"/>
        </w:rPr>
        <w:t>充电系统应采用模块化设计，由多模块并联而成，支持模块的热插拔，具有自动充电、电量计量、告警等操作，充电功率300kW。</w:t>
      </w:r>
    </w:p>
    <w:p>
      <w:pPr>
        <w:overflowPunct w:val="0"/>
        <w:topLinePunct/>
        <w:spacing w:line="360" w:lineRule="auto"/>
        <w:ind w:firstLine="420" w:firstLineChars="200"/>
        <w:rPr>
          <w:rStyle w:val="EUChar"/>
          <w:rFonts w:ascii="Times New Roman" w:hint="eastAsia"/>
          <w:highlight w:val="none"/>
        </w:rPr>
      </w:pPr>
      <w:r>
        <w:rPr>
          <w:rStyle w:val="EUChar"/>
          <w:rFonts w:ascii="Times New Roman" w:hint="eastAsia"/>
          <w:highlight w:val="none"/>
        </w:rPr>
        <w:t>在充电过程中，充电系统应能依据电动汽车电池管理系统提供的数据动态调整充电参数，执行相应动作，完成充电过程，也可根据需求设定所需的充电功率。</w:t>
      </w:r>
    </w:p>
    <w:p>
      <w:pPr>
        <w:overflowPunct w:val="0"/>
        <w:topLinePunct/>
        <w:spacing w:line="360" w:lineRule="auto"/>
        <w:ind w:firstLine="420" w:firstLineChars="200"/>
        <w:rPr>
          <w:rStyle w:val="EUChar"/>
          <w:rFonts w:ascii="Times New Roman" w:hint="eastAsia"/>
          <w:highlight w:val="none"/>
        </w:rPr>
      </w:pPr>
      <w:r>
        <w:rPr>
          <w:rStyle w:val="EUChar"/>
          <w:rFonts w:ascii="Times New Roman" w:hint="eastAsia"/>
          <w:highlight w:val="none"/>
        </w:rPr>
        <w:t>充电系统应具备连接确认功能，只有当确认连接器完全耦合之后，才能自动启动充电。</w:t>
      </w:r>
    </w:p>
    <w:p>
      <w:pPr>
        <w:overflowPunct w:val="0"/>
        <w:topLinePunct/>
        <w:spacing w:line="360" w:lineRule="auto"/>
        <w:ind w:firstLine="420" w:firstLineChars="200"/>
        <w:rPr>
          <w:rStyle w:val="EUChar"/>
          <w:rFonts w:ascii="Times New Roman" w:hint="eastAsia"/>
          <w:highlight w:val="none"/>
        </w:rPr>
      </w:pPr>
      <w:r>
        <w:rPr>
          <w:rStyle w:val="EUChar"/>
          <w:rFonts w:ascii="Times New Roman" w:hint="eastAsia"/>
          <w:highlight w:val="none"/>
        </w:rPr>
        <w:t>充电系统应具有与电池管理系统通信的CAN接口，获得电池管理系统的充电参数和充电实时数据。通信协议应能满足GB/T 27930-2015和定制化需求的规定。</w:t>
      </w:r>
    </w:p>
    <w:p>
      <w:pPr>
        <w:overflowPunct w:val="0"/>
        <w:topLinePunct/>
        <w:spacing w:line="360" w:lineRule="auto"/>
        <w:ind w:firstLine="420" w:firstLineChars="200"/>
        <w:rPr>
          <w:rStyle w:val="EUChar"/>
          <w:rFonts w:ascii="Times New Roman" w:hint="eastAsia"/>
          <w:highlight w:val="none"/>
        </w:rPr>
      </w:pPr>
      <w:r>
        <w:rPr>
          <w:rStyle w:val="EUChar"/>
          <w:rFonts w:ascii="Times New Roman" w:hint="eastAsia"/>
          <w:highlight w:val="none"/>
        </w:rPr>
        <w:t>充电系统应具有对充电接口输出电能进行计量的功能，计量准确度等级为1.0。</w:t>
      </w:r>
    </w:p>
    <w:p>
      <w:pPr>
        <w:overflowPunct w:val="0"/>
        <w:topLinePunct/>
        <w:spacing w:line="360" w:lineRule="auto"/>
        <w:ind w:firstLine="420" w:firstLineChars="200"/>
        <w:rPr>
          <w:rStyle w:val="EUChar"/>
          <w:rFonts w:ascii="Times New Roman" w:hint="eastAsia"/>
          <w:highlight w:val="none"/>
        </w:rPr>
      </w:pPr>
      <w:r>
        <w:rPr>
          <w:rStyle w:val="EUChar"/>
          <w:rFonts w:ascii="Times New Roman" w:hint="eastAsia"/>
          <w:highlight w:val="none"/>
        </w:rPr>
        <w:t>充电系统应具备在站级监控配置输入和显示功能。显示信息包含但不仅限于如下：充电电压、充电电流、SOC、充电时间、电池单体电压、单包截止电压、电池截止电压、截止电流、电池单体温度、充电电量、故障信息。</w:t>
      </w:r>
    </w:p>
    <w:p>
      <w:pPr>
        <w:overflowPunct w:val="0"/>
        <w:topLinePunct/>
        <w:spacing w:line="360" w:lineRule="auto"/>
        <w:ind w:firstLine="420" w:firstLineChars="200"/>
        <w:rPr>
          <w:rStyle w:val="EUChar"/>
          <w:rFonts w:ascii="Times New Roman" w:hint="eastAsia"/>
          <w:highlight w:val="none"/>
        </w:rPr>
      </w:pPr>
      <w:r>
        <w:rPr>
          <w:rStyle w:val="EUChar"/>
          <w:rFonts w:ascii="Times New Roman" w:hint="eastAsia"/>
          <w:highlight w:val="none"/>
        </w:rPr>
        <w:t>充电系统应具备状态指示功能；应具备通过以太网或CAN与站控系统通讯的功能。</w:t>
      </w:r>
    </w:p>
    <w:p>
      <w:pPr>
        <w:overflowPunct w:val="0"/>
        <w:topLinePunct/>
        <w:spacing w:line="360" w:lineRule="auto"/>
        <w:ind w:firstLine="420" w:firstLineChars="200"/>
        <w:rPr>
          <w:rStyle w:val="EUChar"/>
          <w:rFonts w:ascii="Times New Roman" w:hint="eastAsia"/>
          <w:highlight w:val="none"/>
        </w:rPr>
      </w:pPr>
      <w:r>
        <w:rPr>
          <w:rStyle w:val="EUChar"/>
          <w:rFonts w:ascii="Times New Roman" w:hint="eastAsia"/>
          <w:highlight w:val="none"/>
        </w:rPr>
        <w:t>充电系统应具备连接器温度监测，绝缘检测的功能；应具备识别绝缘劣化的报警的功能，充电电流异常的保护报警功能。</w:t>
      </w:r>
    </w:p>
    <w:p>
      <w:pPr>
        <w:overflowPunct w:val="0"/>
        <w:topLinePunct/>
        <w:spacing w:line="360" w:lineRule="auto"/>
        <w:ind w:firstLine="420" w:firstLineChars="200"/>
        <w:rPr>
          <w:rStyle w:val="EUChar"/>
          <w:rFonts w:ascii="Times New Roman" w:hint="eastAsia"/>
          <w:highlight w:val="none"/>
        </w:rPr>
      </w:pPr>
      <w:r>
        <w:rPr>
          <w:rStyle w:val="EUChar"/>
          <w:rFonts w:ascii="Times New Roman" w:hint="eastAsia"/>
          <w:highlight w:val="none"/>
        </w:rPr>
        <w:t>充电系统应具备本地监控功能，具备手动启动充电的功能。</w:t>
      </w:r>
    </w:p>
    <w:p>
      <w:pPr>
        <w:overflowPunct w:val="0"/>
        <w:topLinePunct/>
        <w:spacing w:line="360" w:lineRule="auto"/>
        <w:ind w:firstLine="420" w:firstLineChars="200"/>
        <w:rPr>
          <w:rStyle w:val="EUChar"/>
          <w:rFonts w:ascii="Times New Roman" w:hint="eastAsia"/>
          <w:highlight w:val="none"/>
        </w:rPr>
      </w:pPr>
      <w:r>
        <w:rPr>
          <w:rStyle w:val="EUChar"/>
          <w:rFonts w:ascii="Times New Roman" w:hint="eastAsia"/>
          <w:highlight w:val="none"/>
        </w:rPr>
        <w:t>站控系统可分别控制每个充电桩的启停。同时具备分时充电功能。可在站控系统通过配置充电的时间段，来自动控制在对应的时间段内进行充电。</w:t>
      </w:r>
    </w:p>
    <w:p>
      <w:pPr>
        <w:overflowPunct w:val="0"/>
        <w:topLinePunct/>
        <w:spacing w:line="360" w:lineRule="auto"/>
        <w:ind w:firstLine="420" w:firstLineChars="200"/>
        <w:rPr>
          <w:rStyle w:val="EUChar"/>
          <w:rFonts w:ascii="Times New Roman"/>
          <w:highlight w:val="none"/>
        </w:rPr>
      </w:pPr>
      <w:r>
        <w:rPr>
          <w:rStyle w:val="EUChar"/>
          <w:rFonts w:ascii="Times New Roman" w:hint="eastAsia"/>
          <w:highlight w:val="none"/>
        </w:rPr>
        <w:t>充电桩最大输出电流为500A，双枪输出电流平均分配，每把枪限制最大输出电流250A，支持双枪400A并充。其主要技术参数如下：</w:t>
      </w:r>
      <w:r>
        <w:rPr>
          <w:rStyle w:val="EUChar"/>
          <w:rFonts w:ascii="Times New Roman"/>
          <w:highlight w:val="none"/>
        </w:rPr>
        <w:t>。</w:t>
      </w:r>
    </w:p>
    <w:p>
      <w:pPr>
        <w:spacing w:before="156" w:beforeLines="50" w:after="156" w:afterLines="50"/>
        <w:jc w:val="center"/>
        <w:rPr>
          <w:szCs w:val="21"/>
          <w:highlight w:val="none"/>
        </w:rPr>
      </w:pPr>
      <w:r>
        <w:rPr>
          <w:szCs w:val="21"/>
          <w:highlight w:val="none"/>
        </w:rPr>
        <w:t>表</w:t>
      </w:r>
      <w:r>
        <w:rPr>
          <w:rFonts w:hint="eastAsia"/>
          <w:szCs w:val="21"/>
          <w:highlight w:val="none"/>
          <w:lang w:val="en-US" w:eastAsia="zh-CN"/>
        </w:rPr>
        <w:t>5</w:t>
      </w:r>
      <w:r>
        <w:rPr>
          <w:szCs w:val="21"/>
          <w:highlight w:val="none"/>
        </w:rPr>
        <w:t xml:space="preserve"> 充电</w:t>
      </w:r>
      <w:r>
        <w:rPr>
          <w:highlight w:val="none"/>
        </w:rPr>
        <w:t>系统</w:t>
      </w:r>
      <w:r>
        <w:rPr>
          <w:szCs w:val="21"/>
          <w:highlight w:val="none"/>
        </w:rPr>
        <w:t>主要技术参数</w:t>
      </w:r>
    </w:p>
    <w:tbl>
      <w:tblPr>
        <w:tblStyle w:val="TableNormal"/>
        <w:tblW w:w="4663"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847"/>
        <w:gridCol w:w="5101"/>
      </w:tblGrid>
      <w:tr>
        <w:tblPrEx>
          <w:tblW w:w="4663"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blHeader/>
        </w:trPr>
        <w:tc>
          <w:tcPr>
            <w:tcW w:w="1791" w:type="pct"/>
            <w:noWrap w:val="0"/>
            <w:vAlign w:val="top"/>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jc w:val="center"/>
              <w:rPr>
                <w:kern w:val="0"/>
                <w:szCs w:val="21"/>
                <w:highlight w:val="none"/>
              </w:rPr>
            </w:pPr>
            <w:r>
              <w:rPr>
                <w:kern w:val="0"/>
                <w:szCs w:val="21"/>
                <w:highlight w:val="none"/>
              </w:rPr>
              <w:t>分项名称</w:t>
            </w:r>
          </w:p>
        </w:tc>
        <w:tc>
          <w:tcPr>
            <w:tcW w:w="3209" w:type="pct"/>
            <w:noWrap w:val="0"/>
            <w:vAlign w:val="top"/>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jc w:val="center"/>
              <w:rPr>
                <w:kern w:val="0"/>
                <w:szCs w:val="21"/>
                <w:highlight w:val="none"/>
              </w:rPr>
            </w:pPr>
            <w:r>
              <w:rPr>
                <w:kern w:val="0"/>
                <w:szCs w:val="21"/>
                <w:highlight w:val="none"/>
              </w:rPr>
              <w:t>技术指标</w:t>
            </w:r>
          </w:p>
        </w:tc>
      </w:tr>
      <w:tr>
        <w:tblPrEx>
          <w:tblW w:w="4663" w:type="pct"/>
          <w:tblInd w:w="250" w:type="dxa"/>
          <w:tblCellMar>
            <w:top w:w="0" w:type="dxa"/>
            <w:left w:w="108" w:type="dxa"/>
            <w:bottom w:w="0" w:type="dxa"/>
            <w:right w:w="108" w:type="dxa"/>
          </w:tblCellMar>
        </w:tblPrEx>
        <w:tc>
          <w:tcPr>
            <w:tcW w:w="1791" w:type="pct"/>
            <w:noWrap w:val="0"/>
            <w:vAlign w:val="top"/>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jc w:val="center"/>
              <w:rPr>
                <w:kern w:val="0"/>
                <w:szCs w:val="21"/>
                <w:highlight w:val="none"/>
              </w:rPr>
            </w:pPr>
            <w:r>
              <w:rPr>
                <w:kern w:val="0"/>
                <w:szCs w:val="21"/>
                <w:highlight w:val="none"/>
              </w:rPr>
              <w:t>额定功率</w:t>
            </w:r>
          </w:p>
        </w:tc>
        <w:tc>
          <w:tcPr>
            <w:tcW w:w="3209" w:type="pct"/>
            <w:noWrap w:val="0"/>
            <w:vAlign w:val="top"/>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jc w:val="center"/>
              <w:rPr>
                <w:kern w:val="0"/>
                <w:szCs w:val="21"/>
                <w:highlight w:val="none"/>
              </w:rPr>
            </w:pPr>
            <w:r>
              <w:rPr>
                <w:color w:val="000000"/>
                <w:kern w:val="0"/>
                <w:szCs w:val="21"/>
                <w:highlight w:val="none"/>
              </w:rPr>
              <w:t>300kW</w:t>
            </w:r>
          </w:p>
        </w:tc>
      </w:tr>
      <w:tr>
        <w:tblPrEx>
          <w:tblW w:w="4663" w:type="pct"/>
          <w:tblInd w:w="250" w:type="dxa"/>
          <w:tblCellMar>
            <w:top w:w="0" w:type="dxa"/>
            <w:left w:w="108" w:type="dxa"/>
            <w:bottom w:w="0" w:type="dxa"/>
            <w:right w:w="108" w:type="dxa"/>
          </w:tblCellMar>
        </w:tblPrEx>
        <w:tc>
          <w:tcPr>
            <w:tcW w:w="1791"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jc w:val="center"/>
              <w:rPr>
                <w:rFonts w:hint="eastAsia"/>
                <w:kern w:val="0"/>
                <w:szCs w:val="21"/>
                <w:highlight w:val="none"/>
              </w:rPr>
            </w:pPr>
            <w:r>
              <w:rPr>
                <w:color w:val="000000"/>
                <w:kern w:val="0"/>
                <w:szCs w:val="21"/>
                <w:highlight w:val="none"/>
              </w:rPr>
              <w:t>交流输入电压</w:t>
            </w:r>
          </w:p>
        </w:tc>
        <w:tc>
          <w:tcPr>
            <w:tcW w:w="3209"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jc w:val="center"/>
              <w:rPr>
                <w:color w:val="000000"/>
                <w:kern w:val="0"/>
                <w:szCs w:val="21"/>
                <w:highlight w:val="none"/>
              </w:rPr>
            </w:pPr>
            <w:r>
              <w:rPr>
                <w:color w:val="000000"/>
                <w:kern w:val="0"/>
                <w:szCs w:val="21"/>
                <w:highlight w:val="none"/>
              </w:rPr>
              <w:t xml:space="preserve">三相五线制 </w:t>
            </w:r>
            <w:r>
              <w:rPr>
                <w:kern w:val="0"/>
                <w:szCs w:val="21"/>
                <w:highlight w:val="none"/>
              </w:rPr>
              <w:t>380VAC ± 15%</w:t>
            </w:r>
          </w:p>
        </w:tc>
      </w:tr>
      <w:tr>
        <w:tblPrEx>
          <w:tblW w:w="4663" w:type="pct"/>
          <w:tblInd w:w="250" w:type="dxa"/>
          <w:tblCellMar>
            <w:top w:w="0" w:type="dxa"/>
            <w:left w:w="108" w:type="dxa"/>
            <w:bottom w:w="0" w:type="dxa"/>
            <w:right w:w="108" w:type="dxa"/>
          </w:tblCellMar>
        </w:tblPrEx>
        <w:tc>
          <w:tcPr>
            <w:tcW w:w="1791"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jc w:val="center"/>
              <w:rPr>
                <w:kern w:val="0"/>
                <w:szCs w:val="21"/>
                <w:highlight w:val="none"/>
              </w:rPr>
            </w:pPr>
            <w:r>
              <w:rPr>
                <w:color w:val="000000"/>
                <w:kern w:val="0"/>
                <w:szCs w:val="21"/>
                <w:highlight w:val="none"/>
              </w:rPr>
              <w:t>交流输入频率</w:t>
            </w:r>
          </w:p>
        </w:tc>
        <w:tc>
          <w:tcPr>
            <w:tcW w:w="3209"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jc w:val="center"/>
              <w:rPr>
                <w:kern w:val="0"/>
                <w:szCs w:val="21"/>
                <w:highlight w:val="none"/>
              </w:rPr>
            </w:pPr>
            <w:r>
              <w:rPr>
                <w:color w:val="000000"/>
                <w:kern w:val="0"/>
                <w:szCs w:val="21"/>
                <w:highlight w:val="none"/>
              </w:rPr>
              <w:t>50Hz±5</w:t>
            </w:r>
          </w:p>
        </w:tc>
      </w:tr>
      <w:tr>
        <w:tblPrEx>
          <w:tblW w:w="4663" w:type="pct"/>
          <w:tblInd w:w="250" w:type="dxa"/>
          <w:tblCellMar>
            <w:top w:w="0" w:type="dxa"/>
            <w:left w:w="108" w:type="dxa"/>
            <w:bottom w:w="0" w:type="dxa"/>
            <w:right w:w="108" w:type="dxa"/>
          </w:tblCellMar>
        </w:tblPrEx>
        <w:tc>
          <w:tcPr>
            <w:tcW w:w="1791"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jc w:val="center"/>
              <w:rPr>
                <w:kern w:val="0"/>
                <w:szCs w:val="21"/>
                <w:highlight w:val="none"/>
              </w:rPr>
            </w:pPr>
            <w:r>
              <w:rPr>
                <w:color w:val="000000"/>
                <w:kern w:val="0"/>
                <w:szCs w:val="21"/>
                <w:highlight w:val="none"/>
              </w:rPr>
              <w:t>THDi</w:t>
            </w:r>
          </w:p>
        </w:tc>
        <w:tc>
          <w:tcPr>
            <w:tcW w:w="3209"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jc w:val="center"/>
              <w:rPr>
                <w:rFonts w:hint="eastAsia"/>
                <w:kern w:val="0"/>
                <w:szCs w:val="21"/>
                <w:highlight w:val="none"/>
              </w:rPr>
            </w:pPr>
            <w:r>
              <w:rPr>
                <w:color w:val="000000"/>
                <w:kern w:val="0"/>
                <w:szCs w:val="21"/>
                <w:highlight w:val="none"/>
              </w:rPr>
              <w:t>＜5%（额定工况）</w:t>
            </w:r>
          </w:p>
        </w:tc>
      </w:tr>
      <w:tr>
        <w:tblPrEx>
          <w:tblW w:w="4663" w:type="pct"/>
          <w:tblInd w:w="250" w:type="dxa"/>
          <w:tblCellMar>
            <w:top w:w="0" w:type="dxa"/>
            <w:left w:w="108" w:type="dxa"/>
            <w:bottom w:w="0" w:type="dxa"/>
            <w:right w:w="108" w:type="dxa"/>
          </w:tblCellMar>
        </w:tblPrEx>
        <w:tc>
          <w:tcPr>
            <w:tcW w:w="1791"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jc w:val="center"/>
              <w:rPr>
                <w:kern w:val="0"/>
                <w:szCs w:val="21"/>
                <w:highlight w:val="none"/>
              </w:rPr>
            </w:pPr>
            <w:r>
              <w:rPr>
                <w:color w:val="000000"/>
                <w:kern w:val="0"/>
                <w:szCs w:val="21"/>
                <w:highlight w:val="none"/>
              </w:rPr>
              <w:t>功率因数</w:t>
            </w:r>
          </w:p>
        </w:tc>
        <w:tc>
          <w:tcPr>
            <w:tcW w:w="3209"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jc w:val="center"/>
              <w:rPr>
                <w:kern w:val="0"/>
                <w:szCs w:val="21"/>
                <w:highlight w:val="none"/>
              </w:rPr>
            </w:pPr>
            <w:r>
              <w:rPr>
                <w:kern w:val="0"/>
                <w:szCs w:val="21"/>
                <w:highlight w:val="none"/>
              </w:rPr>
              <w:t>≥</w:t>
            </w:r>
            <w:r>
              <w:rPr>
                <w:color w:val="000000"/>
                <w:kern w:val="0"/>
                <w:szCs w:val="21"/>
                <w:highlight w:val="none"/>
              </w:rPr>
              <w:t>0.99（额定工况）</w:t>
            </w:r>
          </w:p>
        </w:tc>
      </w:tr>
      <w:tr>
        <w:tblPrEx>
          <w:tblW w:w="4663" w:type="pct"/>
          <w:tblInd w:w="250" w:type="dxa"/>
          <w:tblCellMar>
            <w:top w:w="0" w:type="dxa"/>
            <w:left w:w="108" w:type="dxa"/>
            <w:bottom w:w="0" w:type="dxa"/>
            <w:right w:w="108" w:type="dxa"/>
          </w:tblCellMar>
        </w:tblPrEx>
        <w:tc>
          <w:tcPr>
            <w:tcW w:w="1791"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jc w:val="center"/>
              <w:rPr>
                <w:kern w:val="0"/>
                <w:szCs w:val="21"/>
                <w:highlight w:val="none"/>
              </w:rPr>
            </w:pPr>
            <w:r>
              <w:rPr>
                <w:kern w:val="0"/>
                <w:szCs w:val="21"/>
                <w:highlight w:val="none"/>
              </w:rPr>
              <w:t>效率</w:t>
            </w:r>
          </w:p>
        </w:tc>
        <w:tc>
          <w:tcPr>
            <w:tcW w:w="3209"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jc w:val="center"/>
              <w:rPr>
                <w:kern w:val="0"/>
                <w:szCs w:val="21"/>
                <w:highlight w:val="none"/>
              </w:rPr>
            </w:pPr>
            <w:r>
              <w:rPr>
                <w:kern w:val="0"/>
                <w:szCs w:val="21"/>
                <w:highlight w:val="none"/>
              </w:rPr>
              <w:t>≥9</w:t>
            </w:r>
            <w:r>
              <w:rPr>
                <w:rFonts w:hint="eastAsia"/>
                <w:kern w:val="0"/>
                <w:szCs w:val="21"/>
                <w:highlight w:val="none"/>
              </w:rPr>
              <w:t>4</w:t>
            </w:r>
            <w:r>
              <w:rPr>
                <w:kern w:val="0"/>
                <w:szCs w:val="21"/>
                <w:highlight w:val="none"/>
              </w:rPr>
              <w:t>%（50%～100%的额定负载）</w:t>
            </w:r>
          </w:p>
        </w:tc>
      </w:tr>
      <w:tr>
        <w:tblPrEx>
          <w:tblW w:w="4663" w:type="pct"/>
          <w:tblInd w:w="250" w:type="dxa"/>
          <w:tblCellMar>
            <w:top w:w="0" w:type="dxa"/>
            <w:left w:w="108" w:type="dxa"/>
            <w:bottom w:w="0" w:type="dxa"/>
            <w:right w:w="108" w:type="dxa"/>
          </w:tblCellMar>
        </w:tblPrEx>
        <w:tc>
          <w:tcPr>
            <w:tcW w:w="1791"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jc w:val="center"/>
              <w:rPr>
                <w:kern w:val="0"/>
                <w:szCs w:val="21"/>
                <w:highlight w:val="none"/>
              </w:rPr>
            </w:pPr>
            <w:r>
              <w:rPr>
                <w:color w:val="000000"/>
                <w:kern w:val="0"/>
                <w:szCs w:val="21"/>
                <w:highlight w:val="none"/>
              </w:rPr>
              <w:t>连接方式</w:t>
            </w:r>
          </w:p>
        </w:tc>
        <w:tc>
          <w:tcPr>
            <w:tcW w:w="3209"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jc w:val="center"/>
              <w:rPr>
                <w:kern w:val="0"/>
                <w:szCs w:val="21"/>
                <w:highlight w:val="none"/>
              </w:rPr>
            </w:pPr>
            <w:r>
              <w:rPr>
                <w:color w:val="000000"/>
                <w:kern w:val="0"/>
                <w:szCs w:val="21"/>
                <w:highlight w:val="none"/>
              </w:rPr>
              <w:t>高压连接器</w:t>
            </w:r>
          </w:p>
        </w:tc>
      </w:tr>
      <w:tr>
        <w:tblPrEx>
          <w:tblW w:w="4663" w:type="pct"/>
          <w:tblInd w:w="250" w:type="dxa"/>
          <w:tblCellMar>
            <w:top w:w="0" w:type="dxa"/>
            <w:left w:w="108" w:type="dxa"/>
            <w:bottom w:w="0" w:type="dxa"/>
            <w:right w:w="108" w:type="dxa"/>
          </w:tblCellMar>
        </w:tblPrEx>
        <w:tc>
          <w:tcPr>
            <w:tcW w:w="1791"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jc w:val="center"/>
              <w:rPr>
                <w:kern w:val="0"/>
                <w:szCs w:val="21"/>
                <w:highlight w:val="none"/>
              </w:rPr>
            </w:pPr>
            <w:r>
              <w:rPr>
                <w:color w:val="000000"/>
                <w:kern w:val="0"/>
                <w:szCs w:val="21"/>
                <w:highlight w:val="none"/>
              </w:rPr>
              <w:t>充电方式</w:t>
            </w:r>
          </w:p>
        </w:tc>
        <w:tc>
          <w:tcPr>
            <w:tcW w:w="3209"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jc w:val="center"/>
              <w:rPr>
                <w:kern w:val="0"/>
                <w:szCs w:val="21"/>
                <w:highlight w:val="none"/>
              </w:rPr>
            </w:pPr>
            <w:r>
              <w:rPr>
                <w:color w:val="000000"/>
                <w:kern w:val="0"/>
                <w:szCs w:val="21"/>
                <w:highlight w:val="none"/>
              </w:rPr>
              <w:t>双路同时输出，并联充电，同时支持充电枪输出</w:t>
            </w:r>
          </w:p>
        </w:tc>
      </w:tr>
      <w:tr>
        <w:tblPrEx>
          <w:tblW w:w="4663" w:type="pct"/>
          <w:tblInd w:w="250" w:type="dxa"/>
          <w:tblCellMar>
            <w:top w:w="0" w:type="dxa"/>
            <w:left w:w="108" w:type="dxa"/>
            <w:bottom w:w="0" w:type="dxa"/>
            <w:right w:w="108" w:type="dxa"/>
          </w:tblCellMar>
        </w:tblPrEx>
        <w:tc>
          <w:tcPr>
            <w:tcW w:w="1791"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jc w:val="center"/>
              <w:rPr>
                <w:kern w:val="0"/>
                <w:szCs w:val="21"/>
                <w:highlight w:val="none"/>
              </w:rPr>
            </w:pPr>
            <w:r>
              <w:rPr>
                <w:rFonts w:hint="eastAsia"/>
                <w:kern w:val="0"/>
                <w:szCs w:val="21"/>
                <w:highlight w:val="none"/>
              </w:rPr>
              <w:t>计量方式</w:t>
            </w:r>
          </w:p>
        </w:tc>
        <w:tc>
          <w:tcPr>
            <w:tcW w:w="3209"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jc w:val="center"/>
              <w:rPr>
                <w:kern w:val="0"/>
                <w:szCs w:val="21"/>
                <w:highlight w:val="none"/>
              </w:rPr>
            </w:pPr>
            <w:r>
              <w:rPr>
                <w:rFonts w:hint="eastAsia"/>
                <w:kern w:val="0"/>
                <w:szCs w:val="21"/>
                <w:highlight w:val="none"/>
              </w:rPr>
              <w:t>支持单枪计量计费</w:t>
            </w:r>
          </w:p>
        </w:tc>
      </w:tr>
      <w:tr>
        <w:tblPrEx>
          <w:tblW w:w="4663" w:type="pct"/>
          <w:tblInd w:w="250" w:type="dxa"/>
          <w:tblCellMar>
            <w:top w:w="0" w:type="dxa"/>
            <w:left w:w="108" w:type="dxa"/>
            <w:bottom w:w="0" w:type="dxa"/>
            <w:right w:w="108" w:type="dxa"/>
          </w:tblCellMar>
        </w:tblPrEx>
        <w:tc>
          <w:tcPr>
            <w:tcW w:w="1791"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jc w:val="center"/>
              <w:rPr>
                <w:kern w:val="0"/>
                <w:szCs w:val="21"/>
                <w:highlight w:val="none"/>
              </w:rPr>
            </w:pPr>
            <w:r>
              <w:rPr>
                <w:color w:val="000000"/>
                <w:kern w:val="0"/>
                <w:szCs w:val="21"/>
                <w:highlight w:val="none"/>
              </w:rPr>
              <w:t>额定输出电流</w:t>
            </w:r>
          </w:p>
        </w:tc>
        <w:tc>
          <w:tcPr>
            <w:tcW w:w="3209"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jc w:val="center"/>
              <w:rPr>
                <w:kern w:val="0"/>
                <w:szCs w:val="21"/>
                <w:highlight w:val="none"/>
              </w:rPr>
            </w:pPr>
            <w:r>
              <w:rPr>
                <w:kern w:val="0"/>
                <w:szCs w:val="21"/>
                <w:highlight w:val="none"/>
              </w:rPr>
              <w:t>400A</w:t>
            </w:r>
          </w:p>
        </w:tc>
      </w:tr>
      <w:tr>
        <w:tblPrEx>
          <w:tblW w:w="4663" w:type="pct"/>
          <w:tblInd w:w="250" w:type="dxa"/>
          <w:tblCellMar>
            <w:top w:w="0" w:type="dxa"/>
            <w:left w:w="108" w:type="dxa"/>
            <w:bottom w:w="0" w:type="dxa"/>
            <w:right w:w="108" w:type="dxa"/>
          </w:tblCellMar>
        </w:tblPrEx>
        <w:tc>
          <w:tcPr>
            <w:tcW w:w="1791"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jc w:val="center"/>
              <w:rPr>
                <w:kern w:val="0"/>
                <w:szCs w:val="21"/>
                <w:highlight w:val="none"/>
              </w:rPr>
            </w:pPr>
            <w:r>
              <w:rPr>
                <w:color w:val="000000"/>
                <w:kern w:val="0"/>
                <w:szCs w:val="21"/>
                <w:highlight w:val="none"/>
              </w:rPr>
              <w:t>输出电压</w:t>
            </w:r>
          </w:p>
        </w:tc>
        <w:tc>
          <w:tcPr>
            <w:tcW w:w="3209"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jc w:val="center"/>
              <w:rPr>
                <w:kern w:val="0"/>
                <w:szCs w:val="21"/>
                <w:highlight w:val="none"/>
              </w:rPr>
            </w:pPr>
            <w:r>
              <w:rPr>
                <w:color w:val="000000"/>
                <w:kern w:val="0"/>
                <w:szCs w:val="21"/>
                <w:highlight w:val="none"/>
              </w:rPr>
              <w:t>200～1000VDC</w:t>
            </w:r>
          </w:p>
        </w:tc>
      </w:tr>
      <w:tr>
        <w:tblPrEx>
          <w:tblW w:w="4663" w:type="pct"/>
          <w:tblInd w:w="250" w:type="dxa"/>
          <w:tblCellMar>
            <w:top w:w="0" w:type="dxa"/>
            <w:left w:w="108" w:type="dxa"/>
            <w:bottom w:w="0" w:type="dxa"/>
            <w:right w:w="108" w:type="dxa"/>
          </w:tblCellMar>
        </w:tblPrEx>
        <w:tc>
          <w:tcPr>
            <w:tcW w:w="1791"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jc w:val="center"/>
              <w:rPr>
                <w:color w:val="000000"/>
                <w:kern w:val="0"/>
                <w:szCs w:val="21"/>
                <w:highlight w:val="none"/>
              </w:rPr>
            </w:pPr>
            <w:r>
              <w:rPr>
                <w:color w:val="000000"/>
                <w:kern w:val="0"/>
                <w:szCs w:val="21"/>
                <w:highlight w:val="none"/>
              </w:rPr>
              <w:t>剩余电流保护额定动作电流</w:t>
            </w:r>
          </w:p>
        </w:tc>
        <w:tc>
          <w:tcPr>
            <w:tcW w:w="3209"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jc w:val="center"/>
              <w:rPr>
                <w:color w:val="000000"/>
                <w:kern w:val="0"/>
                <w:szCs w:val="21"/>
                <w:highlight w:val="none"/>
              </w:rPr>
            </w:pPr>
            <w:r>
              <w:rPr>
                <w:color w:val="000000"/>
                <w:kern w:val="0"/>
                <w:szCs w:val="21"/>
                <w:highlight w:val="none"/>
              </w:rPr>
              <w:t>30mA</w:t>
            </w:r>
          </w:p>
        </w:tc>
      </w:tr>
      <w:tr>
        <w:tblPrEx>
          <w:tblW w:w="4663" w:type="pct"/>
          <w:tblInd w:w="250" w:type="dxa"/>
          <w:tblCellMar>
            <w:top w:w="0" w:type="dxa"/>
            <w:left w:w="108" w:type="dxa"/>
            <w:bottom w:w="0" w:type="dxa"/>
            <w:right w:w="108" w:type="dxa"/>
          </w:tblCellMar>
        </w:tblPrEx>
        <w:tc>
          <w:tcPr>
            <w:tcW w:w="1791"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jc w:val="center"/>
              <w:rPr>
                <w:kern w:val="0"/>
                <w:szCs w:val="21"/>
                <w:highlight w:val="none"/>
              </w:rPr>
            </w:pPr>
            <w:r>
              <w:rPr>
                <w:color w:val="000000"/>
                <w:kern w:val="0"/>
                <w:szCs w:val="21"/>
                <w:highlight w:val="none"/>
              </w:rPr>
              <w:t>直流电度表准确度等级</w:t>
            </w:r>
          </w:p>
        </w:tc>
        <w:tc>
          <w:tcPr>
            <w:tcW w:w="3209"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jc w:val="center"/>
              <w:rPr>
                <w:kern w:val="0"/>
                <w:szCs w:val="21"/>
                <w:highlight w:val="none"/>
              </w:rPr>
            </w:pPr>
            <w:r>
              <w:rPr>
                <w:color w:val="000000"/>
                <w:kern w:val="0"/>
                <w:szCs w:val="21"/>
                <w:highlight w:val="none"/>
              </w:rPr>
              <w:t>1.0级</w:t>
            </w:r>
          </w:p>
        </w:tc>
      </w:tr>
      <w:tr>
        <w:tblPrEx>
          <w:tblW w:w="4663" w:type="pct"/>
          <w:tblInd w:w="250" w:type="dxa"/>
          <w:tblCellMar>
            <w:top w:w="0" w:type="dxa"/>
            <w:left w:w="108" w:type="dxa"/>
            <w:bottom w:w="0" w:type="dxa"/>
            <w:right w:w="108" w:type="dxa"/>
          </w:tblCellMar>
        </w:tblPrEx>
        <w:tc>
          <w:tcPr>
            <w:tcW w:w="1791"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jc w:val="center"/>
              <w:rPr>
                <w:kern w:val="0"/>
                <w:szCs w:val="21"/>
                <w:highlight w:val="none"/>
              </w:rPr>
            </w:pPr>
            <w:r>
              <w:rPr>
                <w:color w:val="000000"/>
                <w:kern w:val="0"/>
                <w:szCs w:val="21"/>
                <w:highlight w:val="none"/>
              </w:rPr>
              <w:t>直流绝缘监测</w:t>
            </w:r>
          </w:p>
        </w:tc>
        <w:tc>
          <w:tcPr>
            <w:tcW w:w="3209" w:type="pct"/>
            <w:noWrap w:val="0"/>
            <w:vAlign w:val="center"/>
          </w:tcPr>
          <w:p>
            <w:pPr>
              <w:adjustRightInd w:val="0"/>
              <w:snapToGrid w:val="0"/>
              <w:spacing w:line="360" w:lineRule="exact"/>
              <w:rPr>
                <w:color w:val="000000"/>
                <w:kern w:val="0"/>
                <w:szCs w:val="21"/>
                <w:highlight w:val="none"/>
              </w:rPr>
            </w:pPr>
            <w:r>
              <w:rPr>
                <w:color w:val="000000"/>
                <w:kern w:val="0"/>
                <w:szCs w:val="21"/>
                <w:highlight w:val="none"/>
              </w:rPr>
              <w:t>漏电流＞10mA时，禁止充电；</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jc w:val="center"/>
              <w:rPr>
                <w:kern w:val="0"/>
                <w:szCs w:val="21"/>
                <w:highlight w:val="none"/>
              </w:rPr>
            </w:pPr>
            <w:r>
              <w:rPr>
                <w:color w:val="000000"/>
                <w:kern w:val="0"/>
                <w:szCs w:val="21"/>
                <w:highlight w:val="none"/>
              </w:rPr>
              <w:t>10mA＞漏电流＞2mA时，发出告警，可以充电。</w:t>
            </w:r>
          </w:p>
        </w:tc>
      </w:tr>
      <w:tr>
        <w:tblPrEx>
          <w:tblW w:w="4663" w:type="pct"/>
          <w:tblInd w:w="250" w:type="dxa"/>
          <w:tblCellMar>
            <w:top w:w="0" w:type="dxa"/>
            <w:left w:w="108" w:type="dxa"/>
            <w:bottom w:w="0" w:type="dxa"/>
            <w:right w:w="108" w:type="dxa"/>
          </w:tblCellMar>
        </w:tblPrEx>
        <w:tc>
          <w:tcPr>
            <w:tcW w:w="1791"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jc w:val="center"/>
              <w:rPr>
                <w:kern w:val="0"/>
                <w:szCs w:val="21"/>
                <w:highlight w:val="none"/>
              </w:rPr>
            </w:pPr>
            <w:r>
              <w:rPr>
                <w:color w:val="000000"/>
                <w:kern w:val="0"/>
                <w:szCs w:val="21"/>
                <w:highlight w:val="none"/>
              </w:rPr>
              <w:t>防护等级</w:t>
            </w:r>
          </w:p>
        </w:tc>
        <w:tc>
          <w:tcPr>
            <w:tcW w:w="3209"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jc w:val="center"/>
              <w:rPr>
                <w:kern w:val="0"/>
                <w:szCs w:val="21"/>
                <w:highlight w:val="none"/>
              </w:rPr>
            </w:pPr>
            <w:r>
              <w:rPr>
                <w:kern w:val="0"/>
                <w:szCs w:val="21"/>
                <w:highlight w:val="none"/>
              </w:rPr>
              <w:t>IP54</w:t>
            </w:r>
          </w:p>
        </w:tc>
      </w:tr>
      <w:tr>
        <w:tblPrEx>
          <w:tblW w:w="4663" w:type="pct"/>
          <w:tblInd w:w="250" w:type="dxa"/>
          <w:tblCellMar>
            <w:top w:w="0" w:type="dxa"/>
            <w:left w:w="108" w:type="dxa"/>
            <w:bottom w:w="0" w:type="dxa"/>
            <w:right w:w="108" w:type="dxa"/>
          </w:tblCellMar>
        </w:tblPrEx>
        <w:tc>
          <w:tcPr>
            <w:tcW w:w="1791"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jc w:val="center"/>
              <w:rPr>
                <w:kern w:val="0"/>
                <w:szCs w:val="21"/>
                <w:highlight w:val="none"/>
              </w:rPr>
            </w:pPr>
            <w:r>
              <w:rPr>
                <w:color w:val="000000"/>
                <w:kern w:val="0"/>
                <w:szCs w:val="21"/>
                <w:highlight w:val="none"/>
              </w:rPr>
              <w:t>冷却方式</w:t>
            </w:r>
          </w:p>
        </w:tc>
        <w:tc>
          <w:tcPr>
            <w:tcW w:w="3209"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jc w:val="center"/>
              <w:rPr>
                <w:kern w:val="0"/>
                <w:szCs w:val="21"/>
                <w:highlight w:val="none"/>
              </w:rPr>
            </w:pPr>
            <w:r>
              <w:rPr>
                <w:color w:val="000000"/>
                <w:kern w:val="0"/>
                <w:szCs w:val="21"/>
                <w:highlight w:val="none"/>
              </w:rPr>
              <w:t>智能风冷</w:t>
            </w:r>
          </w:p>
        </w:tc>
      </w:tr>
    </w:tbl>
    <w:p>
      <w:pPr>
        <w:overflowPunct w:val="0"/>
        <w:topLinePunct/>
        <w:spacing w:before="156" w:beforeLines="50" w:line="360" w:lineRule="auto"/>
        <w:ind w:firstLine="420" w:firstLineChars="200"/>
        <w:rPr>
          <w:rStyle w:val="EUChar"/>
          <w:rFonts w:ascii="Times New Roman"/>
          <w:highlight w:val="none"/>
        </w:rPr>
      </w:pPr>
      <w:r>
        <w:rPr>
          <w:rStyle w:val="EUChar"/>
          <w:rFonts w:ascii="Times New Roman" w:hint="eastAsia"/>
          <w:highlight w:val="none"/>
        </w:rPr>
        <w:t>换电连接器采用快插对接方式，电池仓底部采用电池自重压缩弹簧连接，充电桩一侧采用标准双枪直流座连接，两侧通过高压和低压线束连接，主要技术参数应满足下表要求</w:t>
      </w:r>
      <w:r>
        <w:rPr>
          <w:rStyle w:val="EUChar"/>
          <w:rFonts w:ascii="Times New Roman"/>
          <w:highlight w:val="none"/>
        </w:rPr>
        <w:t>。</w:t>
      </w:r>
    </w:p>
    <w:p>
      <w:pPr>
        <w:spacing w:before="156" w:beforeLines="50" w:after="156" w:afterLines="50"/>
        <w:jc w:val="center"/>
        <w:rPr>
          <w:szCs w:val="21"/>
          <w:highlight w:val="none"/>
        </w:rPr>
      </w:pPr>
      <w:r>
        <w:rPr>
          <w:szCs w:val="21"/>
          <w:highlight w:val="none"/>
        </w:rPr>
        <w:t>表</w:t>
      </w:r>
      <w:r>
        <w:rPr>
          <w:rFonts w:hint="eastAsia"/>
          <w:szCs w:val="21"/>
          <w:highlight w:val="none"/>
          <w:lang w:val="en-US" w:eastAsia="zh-CN"/>
        </w:rPr>
        <w:t>6</w:t>
      </w:r>
      <w:r>
        <w:rPr>
          <w:szCs w:val="21"/>
          <w:highlight w:val="none"/>
        </w:rPr>
        <w:t xml:space="preserve"> 换</w:t>
      </w:r>
      <w:r>
        <w:rPr>
          <w:szCs w:val="22"/>
          <w:highlight w:val="none"/>
        </w:rPr>
        <w:t>电连接器</w:t>
      </w:r>
      <w:r>
        <w:rPr>
          <w:szCs w:val="21"/>
          <w:highlight w:val="none"/>
        </w:rPr>
        <w:t>主要技术参数</w:t>
      </w:r>
      <w:r>
        <w:rPr>
          <w:rFonts w:hint="eastAsia"/>
          <w:highlight w:val="none"/>
        </w:rPr>
        <w:t>（关</w:t>
      </w:r>
      <w:r>
        <w:rPr>
          <w:highlight w:val="none"/>
        </w:rPr>
        <w:t>键性</w:t>
      </w:r>
      <w:r>
        <w:rPr>
          <w:rFonts w:hint="eastAsia"/>
          <w:highlight w:val="none"/>
        </w:rPr>
        <w:t>技术参数）</w:t>
      </w:r>
    </w:p>
    <w:tbl>
      <w:tblPr>
        <w:tblStyle w:val="TableNormal"/>
        <w:tblW w:w="47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633"/>
        <w:gridCol w:w="5499"/>
      </w:tblGrid>
      <w:tr>
        <w:tblPrEx>
          <w:tblW w:w="47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17"/>
          <w:jc w:val="center"/>
        </w:trPr>
        <w:tc>
          <w:tcPr>
            <w:tcW w:w="1619" w:type="pct"/>
            <w:noWrap w:val="0"/>
            <w:vAlign w:val="center"/>
          </w:tcPr>
          <w:p>
            <w:pPr>
              <w:adjustRightInd w:val="0"/>
              <w:snapToGrid w:val="0"/>
              <w:spacing w:line="360" w:lineRule="exact"/>
              <w:jc w:val="center"/>
              <w:rPr>
                <w:kern w:val="0"/>
                <w:szCs w:val="21"/>
                <w:highlight w:val="none"/>
              </w:rPr>
            </w:pPr>
            <w:r>
              <w:rPr>
                <w:kern w:val="0"/>
                <w:szCs w:val="21"/>
                <w:highlight w:val="none"/>
              </w:rPr>
              <w:t>分项名称</w:t>
            </w:r>
          </w:p>
        </w:tc>
        <w:tc>
          <w:tcPr>
            <w:tcW w:w="3381" w:type="pct"/>
            <w:noWrap w:val="0"/>
            <w:vAlign w:val="center"/>
          </w:tcPr>
          <w:p>
            <w:pPr>
              <w:adjustRightInd w:val="0"/>
              <w:snapToGrid w:val="0"/>
              <w:spacing w:line="360" w:lineRule="exact"/>
              <w:jc w:val="center"/>
              <w:rPr>
                <w:kern w:val="0"/>
                <w:szCs w:val="21"/>
                <w:highlight w:val="none"/>
              </w:rPr>
            </w:pPr>
            <w:r>
              <w:rPr>
                <w:kern w:val="0"/>
                <w:szCs w:val="21"/>
                <w:highlight w:val="none"/>
              </w:rPr>
              <w:t>性能指标</w:t>
            </w:r>
          </w:p>
        </w:tc>
      </w:tr>
      <w:tr>
        <w:tblPrEx>
          <w:tblW w:w="4771" w:type="pct"/>
          <w:jc w:val="center"/>
          <w:tblCellMar>
            <w:top w:w="0" w:type="dxa"/>
            <w:left w:w="108" w:type="dxa"/>
            <w:bottom w:w="0" w:type="dxa"/>
            <w:right w:w="108" w:type="dxa"/>
          </w:tblCellMar>
        </w:tblPrEx>
        <w:trPr>
          <w:trHeight w:val="433"/>
          <w:jc w:val="center"/>
        </w:trPr>
        <w:tc>
          <w:tcPr>
            <w:tcW w:w="1619"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rPr>
                <w:color w:val="000000"/>
                <w:kern w:val="0"/>
                <w:szCs w:val="21"/>
                <w:highlight w:val="none"/>
              </w:rPr>
            </w:pPr>
            <w:r>
              <w:rPr>
                <w:color w:val="000000"/>
                <w:kern w:val="0"/>
                <w:szCs w:val="21"/>
                <w:highlight w:val="none"/>
              </w:rPr>
              <w:t>使用/环境温度范围</w:t>
            </w:r>
          </w:p>
        </w:tc>
        <w:tc>
          <w:tcPr>
            <w:tcW w:w="3381"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rPr>
                <w:color w:val="000000"/>
                <w:kern w:val="0"/>
                <w:szCs w:val="21"/>
                <w:highlight w:val="none"/>
              </w:rPr>
            </w:pPr>
            <w:r>
              <w:rPr>
                <w:color w:val="000000"/>
                <w:kern w:val="0"/>
                <w:szCs w:val="21"/>
                <w:highlight w:val="none"/>
              </w:rPr>
              <w:t>-40℃～85℃</w:t>
            </w:r>
          </w:p>
        </w:tc>
      </w:tr>
      <w:tr>
        <w:tblPrEx>
          <w:tblW w:w="4771" w:type="pct"/>
          <w:jc w:val="center"/>
          <w:tblCellMar>
            <w:top w:w="0" w:type="dxa"/>
            <w:left w:w="108" w:type="dxa"/>
            <w:bottom w:w="0" w:type="dxa"/>
            <w:right w:w="108" w:type="dxa"/>
          </w:tblCellMar>
        </w:tblPrEx>
        <w:trPr>
          <w:trHeight w:val="411"/>
          <w:jc w:val="center"/>
        </w:trPr>
        <w:tc>
          <w:tcPr>
            <w:tcW w:w="1619"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rPr>
                <w:color w:val="000000"/>
                <w:kern w:val="0"/>
                <w:szCs w:val="21"/>
                <w:highlight w:val="none"/>
              </w:rPr>
            </w:pPr>
            <w:r>
              <w:rPr>
                <w:color w:val="000000"/>
                <w:kern w:val="0"/>
                <w:szCs w:val="21"/>
                <w:highlight w:val="none"/>
              </w:rPr>
              <w:t>使用相对湿度</w:t>
            </w:r>
          </w:p>
        </w:tc>
        <w:tc>
          <w:tcPr>
            <w:tcW w:w="3381"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rPr>
                <w:color w:val="000000"/>
                <w:kern w:val="0"/>
                <w:szCs w:val="21"/>
                <w:highlight w:val="none"/>
              </w:rPr>
            </w:pPr>
            <w:r>
              <w:rPr>
                <w:color w:val="000000"/>
                <w:kern w:val="0"/>
                <w:szCs w:val="21"/>
                <w:highlight w:val="none"/>
              </w:rPr>
              <w:t>25℃时,  5%～95％</w:t>
            </w:r>
          </w:p>
        </w:tc>
      </w:tr>
      <w:tr>
        <w:tblPrEx>
          <w:tblW w:w="4771" w:type="pct"/>
          <w:jc w:val="center"/>
          <w:tblCellMar>
            <w:top w:w="0" w:type="dxa"/>
            <w:left w:w="108" w:type="dxa"/>
            <w:bottom w:w="0" w:type="dxa"/>
            <w:right w:w="108" w:type="dxa"/>
          </w:tblCellMar>
        </w:tblPrEx>
        <w:trPr>
          <w:trHeight w:val="430"/>
          <w:jc w:val="center"/>
        </w:trPr>
        <w:tc>
          <w:tcPr>
            <w:tcW w:w="1619"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rPr>
                <w:kern w:val="0"/>
                <w:szCs w:val="21"/>
                <w:highlight w:val="none"/>
              </w:rPr>
            </w:pPr>
            <w:r>
              <w:rPr>
                <w:kern w:val="0"/>
                <w:szCs w:val="21"/>
                <w:highlight w:val="none"/>
              </w:rPr>
              <w:t>耐盐雾</w:t>
            </w:r>
          </w:p>
        </w:tc>
        <w:tc>
          <w:tcPr>
            <w:tcW w:w="3381"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rPr>
                <w:kern w:val="0"/>
                <w:szCs w:val="21"/>
                <w:highlight w:val="none"/>
              </w:rPr>
            </w:pPr>
            <w:r>
              <w:rPr>
                <w:kern w:val="0"/>
                <w:szCs w:val="21"/>
                <w:highlight w:val="none"/>
              </w:rPr>
              <w:t>480h</w:t>
            </w:r>
          </w:p>
        </w:tc>
      </w:tr>
      <w:tr>
        <w:tblPrEx>
          <w:tblW w:w="4771" w:type="pct"/>
          <w:jc w:val="center"/>
          <w:tblCellMar>
            <w:top w:w="0" w:type="dxa"/>
            <w:left w:w="108" w:type="dxa"/>
            <w:bottom w:w="0" w:type="dxa"/>
            <w:right w:w="108" w:type="dxa"/>
          </w:tblCellMar>
        </w:tblPrEx>
        <w:trPr>
          <w:trHeight w:val="408"/>
          <w:jc w:val="center"/>
        </w:trPr>
        <w:tc>
          <w:tcPr>
            <w:tcW w:w="1619"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rPr>
                <w:color w:val="000000"/>
                <w:kern w:val="0"/>
                <w:szCs w:val="21"/>
                <w:highlight w:val="none"/>
              </w:rPr>
            </w:pPr>
            <w:r>
              <w:rPr>
                <w:color w:val="000000"/>
                <w:kern w:val="0"/>
                <w:szCs w:val="21"/>
                <w:highlight w:val="none"/>
              </w:rPr>
              <w:t>防护等级</w:t>
            </w:r>
          </w:p>
        </w:tc>
        <w:tc>
          <w:tcPr>
            <w:tcW w:w="3381"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rPr>
                <w:color w:val="000000"/>
                <w:kern w:val="0"/>
                <w:szCs w:val="21"/>
                <w:highlight w:val="none"/>
              </w:rPr>
            </w:pPr>
            <w:r>
              <w:rPr>
                <w:color w:val="000000"/>
                <w:kern w:val="0"/>
                <w:szCs w:val="21"/>
                <w:highlight w:val="none"/>
              </w:rPr>
              <w:t>IP67D (配合后)</w:t>
            </w:r>
          </w:p>
        </w:tc>
      </w:tr>
      <w:tr>
        <w:tblPrEx>
          <w:tblW w:w="4771" w:type="pct"/>
          <w:jc w:val="center"/>
          <w:tblCellMar>
            <w:top w:w="0" w:type="dxa"/>
            <w:left w:w="108" w:type="dxa"/>
            <w:bottom w:w="0" w:type="dxa"/>
            <w:right w:w="108" w:type="dxa"/>
          </w:tblCellMar>
        </w:tblPrEx>
        <w:trPr>
          <w:trHeight w:val="415"/>
          <w:jc w:val="center"/>
        </w:trPr>
        <w:tc>
          <w:tcPr>
            <w:tcW w:w="1619"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rPr>
                <w:color w:val="000000"/>
                <w:kern w:val="0"/>
                <w:szCs w:val="21"/>
                <w:highlight w:val="none"/>
              </w:rPr>
            </w:pPr>
            <w:r>
              <w:rPr>
                <w:color w:val="000000"/>
                <w:kern w:val="0"/>
                <w:szCs w:val="21"/>
                <w:highlight w:val="none"/>
              </w:rPr>
              <w:t>针脚防护等级</w:t>
            </w:r>
          </w:p>
        </w:tc>
        <w:tc>
          <w:tcPr>
            <w:tcW w:w="3381"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rPr>
                <w:color w:val="000000"/>
                <w:kern w:val="0"/>
                <w:szCs w:val="21"/>
                <w:highlight w:val="none"/>
              </w:rPr>
            </w:pPr>
            <w:r>
              <w:rPr>
                <w:color w:val="000000"/>
                <w:kern w:val="0"/>
                <w:szCs w:val="21"/>
                <w:highlight w:val="none"/>
              </w:rPr>
              <w:t>IPXXB (高压)</w:t>
            </w:r>
          </w:p>
        </w:tc>
      </w:tr>
      <w:tr>
        <w:tblPrEx>
          <w:tblW w:w="4771" w:type="pct"/>
          <w:jc w:val="center"/>
          <w:tblCellMar>
            <w:top w:w="0" w:type="dxa"/>
            <w:left w:w="108" w:type="dxa"/>
            <w:bottom w:w="0" w:type="dxa"/>
            <w:right w:w="108" w:type="dxa"/>
          </w:tblCellMar>
        </w:tblPrEx>
        <w:trPr>
          <w:trHeight w:val="964"/>
          <w:jc w:val="center"/>
        </w:trPr>
        <w:tc>
          <w:tcPr>
            <w:tcW w:w="1619"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rPr>
                <w:color w:val="000000"/>
                <w:kern w:val="0"/>
                <w:szCs w:val="21"/>
                <w:highlight w:val="none"/>
              </w:rPr>
            </w:pPr>
            <w:r>
              <w:rPr>
                <w:color w:val="000000"/>
                <w:kern w:val="0"/>
                <w:szCs w:val="21"/>
                <w:highlight w:val="none"/>
              </w:rPr>
              <w:t>额定电压</w:t>
            </w:r>
          </w:p>
        </w:tc>
        <w:tc>
          <w:tcPr>
            <w:tcW w:w="3381"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rPr>
                <w:color w:val="000000"/>
                <w:kern w:val="0"/>
                <w:szCs w:val="21"/>
                <w:highlight w:val="none"/>
              </w:rPr>
            </w:pPr>
            <w:r>
              <w:rPr>
                <w:color w:val="000000"/>
                <w:kern w:val="0"/>
                <w:szCs w:val="21"/>
                <w:highlight w:val="none"/>
              </w:rPr>
              <w:t>750V/DC(高压)</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rPr>
                <w:color w:val="000000"/>
                <w:kern w:val="0"/>
                <w:szCs w:val="21"/>
                <w:highlight w:val="none"/>
              </w:rPr>
            </w:pPr>
            <w:r>
              <w:rPr>
                <w:color w:val="000000"/>
                <w:kern w:val="0"/>
                <w:szCs w:val="21"/>
                <w:highlight w:val="none"/>
              </w:rPr>
              <w:t>60V/DC(低压信号)</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rPr>
                <w:color w:val="000000"/>
                <w:kern w:val="0"/>
                <w:szCs w:val="21"/>
                <w:highlight w:val="none"/>
              </w:rPr>
            </w:pPr>
            <w:r>
              <w:rPr>
                <w:color w:val="000000"/>
                <w:kern w:val="0"/>
                <w:szCs w:val="21"/>
                <w:highlight w:val="none"/>
              </w:rPr>
              <w:t>60V/DC(辅助电源)</w:t>
            </w:r>
          </w:p>
        </w:tc>
      </w:tr>
      <w:tr>
        <w:tblPrEx>
          <w:tblW w:w="4771" w:type="pct"/>
          <w:jc w:val="center"/>
          <w:tblCellMar>
            <w:top w:w="0" w:type="dxa"/>
            <w:left w:w="108" w:type="dxa"/>
            <w:bottom w:w="0" w:type="dxa"/>
            <w:right w:w="108" w:type="dxa"/>
          </w:tblCellMar>
        </w:tblPrEx>
        <w:trPr>
          <w:trHeight w:val="401"/>
          <w:jc w:val="center"/>
        </w:trPr>
        <w:tc>
          <w:tcPr>
            <w:tcW w:w="1619"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rPr>
                <w:color w:val="000000"/>
                <w:kern w:val="0"/>
                <w:szCs w:val="21"/>
                <w:highlight w:val="none"/>
              </w:rPr>
            </w:pPr>
            <w:r>
              <w:rPr>
                <w:color w:val="000000"/>
                <w:kern w:val="0"/>
                <w:szCs w:val="21"/>
                <w:highlight w:val="none"/>
              </w:rPr>
              <w:t>MTBF</w:t>
            </w:r>
          </w:p>
        </w:tc>
        <w:tc>
          <w:tcPr>
            <w:tcW w:w="3381"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rPr>
                <w:color w:val="000000"/>
                <w:kern w:val="0"/>
                <w:szCs w:val="21"/>
                <w:highlight w:val="none"/>
              </w:rPr>
            </w:pPr>
            <w:r>
              <w:rPr>
                <w:color w:val="000000"/>
                <w:kern w:val="0"/>
                <w:szCs w:val="21"/>
                <w:highlight w:val="none"/>
              </w:rPr>
              <w:t>≥17520h</w:t>
            </w:r>
          </w:p>
        </w:tc>
      </w:tr>
      <w:tr>
        <w:tblPrEx>
          <w:tblW w:w="4771" w:type="pct"/>
          <w:jc w:val="center"/>
          <w:tblCellMar>
            <w:top w:w="0" w:type="dxa"/>
            <w:left w:w="108" w:type="dxa"/>
            <w:bottom w:w="0" w:type="dxa"/>
            <w:right w:w="108" w:type="dxa"/>
          </w:tblCellMar>
        </w:tblPrEx>
        <w:trPr>
          <w:trHeight w:val="964"/>
          <w:jc w:val="center"/>
        </w:trPr>
        <w:tc>
          <w:tcPr>
            <w:tcW w:w="1619"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rPr>
                <w:color w:val="000000"/>
                <w:kern w:val="0"/>
                <w:szCs w:val="21"/>
                <w:highlight w:val="none"/>
              </w:rPr>
            </w:pPr>
            <w:r>
              <w:rPr>
                <w:color w:val="000000"/>
                <w:kern w:val="0"/>
                <w:szCs w:val="21"/>
                <w:highlight w:val="none"/>
              </w:rPr>
              <w:t>额定电流</w:t>
            </w:r>
          </w:p>
        </w:tc>
        <w:tc>
          <w:tcPr>
            <w:tcW w:w="3381"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rPr>
                <w:color w:val="000000"/>
                <w:kern w:val="0"/>
                <w:szCs w:val="21"/>
                <w:highlight w:val="none"/>
              </w:rPr>
            </w:pPr>
            <w:r>
              <w:rPr>
                <w:color w:val="000000"/>
                <w:kern w:val="0"/>
                <w:szCs w:val="21"/>
                <w:highlight w:val="none"/>
              </w:rPr>
              <w:t>300A/DC(高压)</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rPr>
                <w:color w:val="000000"/>
                <w:kern w:val="0"/>
                <w:szCs w:val="21"/>
                <w:highlight w:val="none"/>
              </w:rPr>
            </w:pPr>
            <w:r>
              <w:rPr>
                <w:color w:val="000000"/>
                <w:kern w:val="0"/>
                <w:szCs w:val="21"/>
                <w:highlight w:val="none"/>
              </w:rPr>
              <w:t>150A/DC(接地)</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rPr>
                <w:color w:val="000000"/>
                <w:kern w:val="0"/>
                <w:szCs w:val="21"/>
                <w:highlight w:val="none"/>
              </w:rPr>
            </w:pPr>
            <w:r>
              <w:rPr>
                <w:color w:val="000000"/>
                <w:kern w:val="0"/>
                <w:szCs w:val="21"/>
                <w:highlight w:val="none"/>
              </w:rPr>
              <w:t>2A/DC(低压信号)</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rPr>
                <w:color w:val="000000"/>
                <w:kern w:val="0"/>
                <w:szCs w:val="21"/>
                <w:highlight w:val="none"/>
              </w:rPr>
            </w:pPr>
            <w:r>
              <w:rPr>
                <w:color w:val="000000"/>
                <w:kern w:val="0"/>
                <w:szCs w:val="21"/>
                <w:highlight w:val="none"/>
              </w:rPr>
              <w:t>8A/DC(辅助电源)</w:t>
            </w:r>
          </w:p>
        </w:tc>
      </w:tr>
      <w:tr>
        <w:tblPrEx>
          <w:tblW w:w="4771" w:type="pct"/>
          <w:jc w:val="center"/>
          <w:tblCellMar>
            <w:top w:w="0" w:type="dxa"/>
            <w:left w:w="108" w:type="dxa"/>
            <w:bottom w:w="0" w:type="dxa"/>
            <w:right w:w="108" w:type="dxa"/>
          </w:tblCellMar>
        </w:tblPrEx>
        <w:trPr>
          <w:trHeight w:val="964"/>
          <w:jc w:val="center"/>
        </w:trPr>
        <w:tc>
          <w:tcPr>
            <w:tcW w:w="1619"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rPr>
                <w:color w:val="000000"/>
                <w:kern w:val="0"/>
                <w:szCs w:val="21"/>
                <w:highlight w:val="none"/>
              </w:rPr>
            </w:pPr>
            <w:r>
              <w:rPr>
                <w:color w:val="000000"/>
                <w:kern w:val="0"/>
                <w:szCs w:val="21"/>
                <w:highlight w:val="none"/>
              </w:rPr>
              <w:t>绝缘电阻(针与壳体)</w:t>
            </w:r>
          </w:p>
        </w:tc>
        <w:tc>
          <w:tcPr>
            <w:tcW w:w="3381"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rPr>
                <w:color w:val="000000"/>
                <w:kern w:val="0"/>
                <w:szCs w:val="21"/>
                <w:highlight w:val="none"/>
              </w:rPr>
            </w:pPr>
            <w:r>
              <w:rPr>
                <w:color w:val="000000"/>
                <w:kern w:val="0"/>
                <w:szCs w:val="21"/>
                <w:highlight w:val="none"/>
              </w:rPr>
              <w:t>200MΩ/1000V(高压，正常状态)</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rPr>
                <w:color w:val="000000"/>
                <w:kern w:val="0"/>
                <w:szCs w:val="21"/>
                <w:highlight w:val="none"/>
              </w:rPr>
            </w:pPr>
            <w:r>
              <w:rPr>
                <w:color w:val="000000"/>
                <w:kern w:val="0"/>
                <w:szCs w:val="21"/>
                <w:highlight w:val="none"/>
              </w:rPr>
              <w:t>20MΩ/1000V(高压，湿热试验后)</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rPr>
                <w:color w:val="000000"/>
                <w:kern w:val="0"/>
                <w:szCs w:val="21"/>
                <w:highlight w:val="none"/>
              </w:rPr>
            </w:pPr>
            <w:r>
              <w:rPr>
                <w:color w:val="000000"/>
                <w:kern w:val="0"/>
                <w:szCs w:val="21"/>
                <w:highlight w:val="none"/>
              </w:rPr>
              <w:t>100MΩ/500V(低压、辅助电源，正常状态)</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rPr>
                <w:color w:val="000000"/>
                <w:kern w:val="0"/>
                <w:szCs w:val="21"/>
                <w:highlight w:val="none"/>
              </w:rPr>
            </w:pPr>
            <w:r>
              <w:rPr>
                <w:color w:val="000000"/>
                <w:kern w:val="0"/>
                <w:szCs w:val="21"/>
                <w:highlight w:val="none"/>
              </w:rPr>
              <w:t>20MΩ/500V(低压、辅助电源，湿热试验后)</w:t>
            </w:r>
          </w:p>
        </w:tc>
      </w:tr>
      <w:tr>
        <w:tblPrEx>
          <w:tblW w:w="4771" w:type="pct"/>
          <w:jc w:val="center"/>
          <w:tblCellMar>
            <w:top w:w="0" w:type="dxa"/>
            <w:left w:w="108" w:type="dxa"/>
            <w:bottom w:w="0" w:type="dxa"/>
            <w:right w:w="108" w:type="dxa"/>
          </w:tblCellMar>
        </w:tblPrEx>
        <w:trPr>
          <w:trHeight w:val="964"/>
          <w:jc w:val="center"/>
        </w:trPr>
        <w:tc>
          <w:tcPr>
            <w:tcW w:w="1619"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rPr>
                <w:color w:val="000000"/>
                <w:kern w:val="0"/>
                <w:szCs w:val="21"/>
                <w:highlight w:val="none"/>
              </w:rPr>
            </w:pPr>
            <w:r>
              <w:rPr>
                <w:color w:val="000000"/>
                <w:kern w:val="0"/>
                <w:szCs w:val="21"/>
                <w:highlight w:val="none"/>
              </w:rPr>
              <w:t>介电强度(针与壳体)</w:t>
            </w:r>
          </w:p>
        </w:tc>
        <w:tc>
          <w:tcPr>
            <w:tcW w:w="3381"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rPr>
                <w:color w:val="000000"/>
                <w:kern w:val="0"/>
                <w:szCs w:val="21"/>
                <w:highlight w:val="none"/>
              </w:rPr>
            </w:pPr>
            <w:r>
              <w:rPr>
                <w:color w:val="000000"/>
                <w:kern w:val="0"/>
                <w:szCs w:val="21"/>
                <w:highlight w:val="none"/>
              </w:rPr>
              <w:t>高压：3000V/AC, 60s,无击穿闪弧，漏电流≤2mA（不含线缆）</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rPr>
                <w:color w:val="000000"/>
                <w:kern w:val="0"/>
                <w:szCs w:val="21"/>
                <w:highlight w:val="none"/>
              </w:rPr>
            </w:pPr>
            <w:r>
              <w:rPr>
                <w:color w:val="000000"/>
                <w:kern w:val="0"/>
                <w:szCs w:val="21"/>
                <w:highlight w:val="none"/>
              </w:rPr>
              <w:t>低压、辅助电源：1500V/AC, 60s,无击穿闪弧，漏电流≤2mA（不含线缆）</w:t>
            </w:r>
          </w:p>
        </w:tc>
      </w:tr>
      <w:tr>
        <w:tblPrEx>
          <w:tblW w:w="4771" w:type="pct"/>
          <w:jc w:val="center"/>
          <w:tblCellMar>
            <w:top w:w="0" w:type="dxa"/>
            <w:left w:w="108" w:type="dxa"/>
            <w:bottom w:w="0" w:type="dxa"/>
            <w:right w:w="108" w:type="dxa"/>
          </w:tblCellMar>
        </w:tblPrEx>
        <w:trPr>
          <w:trHeight w:val="362"/>
          <w:jc w:val="center"/>
        </w:trPr>
        <w:tc>
          <w:tcPr>
            <w:tcW w:w="1619"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rPr>
                <w:color w:val="000000"/>
                <w:kern w:val="0"/>
                <w:szCs w:val="21"/>
                <w:highlight w:val="none"/>
              </w:rPr>
            </w:pPr>
            <w:r>
              <w:rPr>
                <w:color w:val="000000"/>
                <w:kern w:val="0"/>
                <w:szCs w:val="21"/>
                <w:highlight w:val="none"/>
              </w:rPr>
              <w:t>高压互锁</w:t>
            </w:r>
          </w:p>
        </w:tc>
        <w:tc>
          <w:tcPr>
            <w:tcW w:w="3381"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rPr>
                <w:color w:val="000000"/>
                <w:kern w:val="0"/>
                <w:szCs w:val="21"/>
                <w:highlight w:val="none"/>
              </w:rPr>
            </w:pPr>
            <w:r>
              <w:rPr>
                <w:color w:val="000000"/>
                <w:kern w:val="0"/>
                <w:szCs w:val="21"/>
                <w:highlight w:val="none"/>
              </w:rPr>
              <w:t>具备</w:t>
            </w:r>
          </w:p>
        </w:tc>
      </w:tr>
      <w:tr>
        <w:tblPrEx>
          <w:tblW w:w="4771" w:type="pct"/>
          <w:jc w:val="center"/>
          <w:tblCellMar>
            <w:top w:w="0" w:type="dxa"/>
            <w:left w:w="108" w:type="dxa"/>
            <w:bottom w:w="0" w:type="dxa"/>
            <w:right w:w="108" w:type="dxa"/>
          </w:tblCellMar>
        </w:tblPrEx>
        <w:trPr>
          <w:trHeight w:val="411"/>
          <w:jc w:val="center"/>
        </w:trPr>
        <w:tc>
          <w:tcPr>
            <w:tcW w:w="1619"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rPr>
                <w:color w:val="000000"/>
                <w:kern w:val="0"/>
                <w:szCs w:val="21"/>
                <w:highlight w:val="none"/>
              </w:rPr>
            </w:pPr>
            <w:r>
              <w:rPr>
                <w:color w:val="000000"/>
                <w:kern w:val="0"/>
                <w:szCs w:val="21"/>
                <w:highlight w:val="none"/>
              </w:rPr>
              <w:t>机械寿命</w:t>
            </w:r>
          </w:p>
        </w:tc>
        <w:tc>
          <w:tcPr>
            <w:tcW w:w="3381"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rPr>
                <w:color w:val="000000"/>
                <w:kern w:val="0"/>
                <w:szCs w:val="21"/>
                <w:highlight w:val="none"/>
              </w:rPr>
            </w:pPr>
            <w:r>
              <w:rPr>
                <w:color w:val="000000"/>
                <w:kern w:val="0"/>
                <w:szCs w:val="21"/>
                <w:highlight w:val="none"/>
              </w:rPr>
              <w:t>≥10000次(空载插拔)</w:t>
            </w:r>
          </w:p>
        </w:tc>
      </w:tr>
      <w:tr>
        <w:tblPrEx>
          <w:tblW w:w="4771" w:type="pct"/>
          <w:jc w:val="center"/>
          <w:tblCellMar>
            <w:top w:w="0" w:type="dxa"/>
            <w:left w:w="108" w:type="dxa"/>
            <w:bottom w:w="0" w:type="dxa"/>
            <w:right w:w="108" w:type="dxa"/>
          </w:tblCellMar>
        </w:tblPrEx>
        <w:trPr>
          <w:trHeight w:val="417"/>
          <w:jc w:val="center"/>
        </w:trPr>
        <w:tc>
          <w:tcPr>
            <w:tcW w:w="1619"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rPr>
                <w:kern w:val="0"/>
                <w:szCs w:val="21"/>
                <w:highlight w:val="none"/>
              </w:rPr>
            </w:pPr>
            <w:r>
              <w:rPr>
                <w:kern w:val="0"/>
                <w:szCs w:val="21"/>
                <w:highlight w:val="none"/>
              </w:rPr>
              <w:t>密封圈寿命</w:t>
            </w:r>
          </w:p>
        </w:tc>
        <w:tc>
          <w:tcPr>
            <w:tcW w:w="3381"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rPr>
                <w:kern w:val="0"/>
                <w:szCs w:val="21"/>
                <w:highlight w:val="none"/>
              </w:rPr>
            </w:pPr>
            <w:r>
              <w:rPr>
                <w:kern w:val="0"/>
                <w:szCs w:val="21"/>
                <w:highlight w:val="none"/>
              </w:rPr>
              <w:t>1500次</w:t>
            </w:r>
          </w:p>
        </w:tc>
      </w:tr>
      <w:tr>
        <w:tblPrEx>
          <w:tblW w:w="4771" w:type="pct"/>
          <w:jc w:val="center"/>
          <w:tblCellMar>
            <w:top w:w="0" w:type="dxa"/>
            <w:left w:w="108" w:type="dxa"/>
            <w:bottom w:w="0" w:type="dxa"/>
            <w:right w:w="108" w:type="dxa"/>
          </w:tblCellMar>
        </w:tblPrEx>
        <w:trPr>
          <w:trHeight w:val="964"/>
          <w:jc w:val="center"/>
        </w:trPr>
        <w:tc>
          <w:tcPr>
            <w:tcW w:w="1619"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rPr>
                <w:color w:val="000000"/>
                <w:kern w:val="0"/>
                <w:szCs w:val="21"/>
                <w:highlight w:val="none"/>
              </w:rPr>
            </w:pPr>
            <w:r>
              <w:rPr>
                <w:color w:val="000000"/>
                <w:kern w:val="0"/>
                <w:szCs w:val="21"/>
                <w:highlight w:val="none"/>
              </w:rPr>
              <w:t>浮动</w:t>
            </w:r>
          </w:p>
        </w:tc>
        <w:tc>
          <w:tcPr>
            <w:tcW w:w="3381"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rPr>
                <w:color w:val="FF0000"/>
                <w:kern w:val="0"/>
                <w:szCs w:val="21"/>
                <w:highlight w:val="none"/>
              </w:rPr>
            </w:pPr>
            <w:r>
              <w:rPr>
                <w:color w:val="000000"/>
                <w:kern w:val="0"/>
                <w:szCs w:val="21"/>
                <w:highlight w:val="none"/>
              </w:rPr>
              <w:t>X,Y向：+5/-5mm</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rPr>
                <w:color w:val="000000"/>
                <w:kern w:val="0"/>
                <w:szCs w:val="21"/>
                <w:highlight w:val="none"/>
              </w:rPr>
            </w:pPr>
            <w:r>
              <w:rPr>
                <w:color w:val="000000"/>
                <w:kern w:val="0"/>
                <w:szCs w:val="21"/>
                <w:highlight w:val="none"/>
              </w:rPr>
              <w:t>Z向：+0/-10mm</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rPr>
                <w:color w:val="000000"/>
                <w:kern w:val="0"/>
                <w:szCs w:val="21"/>
                <w:highlight w:val="none"/>
              </w:rPr>
            </w:pPr>
            <w:r>
              <w:rPr>
                <w:color w:val="000000"/>
                <w:kern w:val="0"/>
                <w:szCs w:val="21"/>
                <w:highlight w:val="none"/>
              </w:rPr>
              <w:t>角度：≥1°</w:t>
            </w:r>
          </w:p>
        </w:tc>
      </w:tr>
      <w:tr>
        <w:tblPrEx>
          <w:tblW w:w="4771" w:type="pct"/>
          <w:jc w:val="center"/>
          <w:tblCellMar>
            <w:top w:w="0" w:type="dxa"/>
            <w:left w:w="108" w:type="dxa"/>
            <w:bottom w:w="0" w:type="dxa"/>
            <w:right w:w="108" w:type="dxa"/>
          </w:tblCellMar>
        </w:tblPrEx>
        <w:trPr>
          <w:trHeight w:val="436"/>
          <w:jc w:val="center"/>
        </w:trPr>
        <w:tc>
          <w:tcPr>
            <w:tcW w:w="1619"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rPr>
                <w:color w:val="000000"/>
                <w:kern w:val="0"/>
                <w:szCs w:val="21"/>
                <w:highlight w:val="none"/>
              </w:rPr>
            </w:pPr>
            <w:r>
              <w:rPr>
                <w:color w:val="000000"/>
                <w:kern w:val="0"/>
                <w:szCs w:val="21"/>
                <w:highlight w:val="none"/>
              </w:rPr>
              <w:t>插拔力</w:t>
            </w:r>
          </w:p>
        </w:tc>
        <w:tc>
          <w:tcPr>
            <w:tcW w:w="3381"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rPr>
                <w:color w:val="000000"/>
                <w:kern w:val="0"/>
                <w:szCs w:val="21"/>
                <w:highlight w:val="none"/>
              </w:rPr>
            </w:pPr>
            <w:r>
              <w:rPr>
                <w:color w:val="000000"/>
                <w:kern w:val="0"/>
                <w:szCs w:val="21"/>
                <w:highlight w:val="none"/>
              </w:rPr>
              <w:t>≤300N</w:t>
            </w:r>
          </w:p>
        </w:tc>
      </w:tr>
      <w:tr>
        <w:tblPrEx>
          <w:tblW w:w="4771" w:type="pct"/>
          <w:jc w:val="center"/>
          <w:tblCellMar>
            <w:top w:w="0" w:type="dxa"/>
            <w:left w:w="108" w:type="dxa"/>
            <w:bottom w:w="0" w:type="dxa"/>
            <w:right w:w="108" w:type="dxa"/>
          </w:tblCellMar>
        </w:tblPrEx>
        <w:trPr>
          <w:trHeight w:val="63"/>
          <w:jc w:val="center"/>
        </w:trPr>
        <w:tc>
          <w:tcPr>
            <w:tcW w:w="1619"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rPr>
                <w:color w:val="000000"/>
                <w:kern w:val="0"/>
                <w:szCs w:val="21"/>
                <w:highlight w:val="none"/>
              </w:rPr>
            </w:pPr>
            <w:r>
              <w:rPr>
                <w:color w:val="000000"/>
                <w:kern w:val="0"/>
                <w:szCs w:val="21"/>
                <w:highlight w:val="none"/>
              </w:rPr>
              <w:t>高压/低压线保持力</w:t>
            </w:r>
          </w:p>
        </w:tc>
        <w:tc>
          <w:tcPr>
            <w:tcW w:w="3381"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rPr>
                <w:color w:val="000000"/>
                <w:kern w:val="0"/>
                <w:szCs w:val="21"/>
                <w:highlight w:val="none"/>
              </w:rPr>
            </w:pPr>
            <w:r>
              <w:rPr>
                <w:color w:val="000000"/>
                <w:kern w:val="0"/>
                <w:szCs w:val="21"/>
                <w:highlight w:val="none"/>
              </w:rPr>
              <w:t>高压：＞2000N</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rPr>
                <w:color w:val="000000"/>
                <w:kern w:val="0"/>
                <w:szCs w:val="21"/>
                <w:highlight w:val="none"/>
              </w:rPr>
            </w:pPr>
            <w:r>
              <w:rPr>
                <w:color w:val="000000"/>
                <w:kern w:val="0"/>
                <w:szCs w:val="21"/>
                <w:highlight w:val="none"/>
              </w:rPr>
              <w:t>低压、辅助电源：＞80N</w:t>
            </w:r>
          </w:p>
        </w:tc>
      </w:tr>
      <w:tr>
        <w:tblPrEx>
          <w:tblW w:w="4771" w:type="pct"/>
          <w:jc w:val="center"/>
          <w:tblCellMar>
            <w:top w:w="0" w:type="dxa"/>
            <w:left w:w="108" w:type="dxa"/>
            <w:bottom w:w="0" w:type="dxa"/>
            <w:right w:w="108" w:type="dxa"/>
          </w:tblCellMar>
        </w:tblPrEx>
        <w:trPr>
          <w:trHeight w:val="63"/>
          <w:jc w:val="center"/>
        </w:trPr>
        <w:tc>
          <w:tcPr>
            <w:tcW w:w="1619"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rPr>
                <w:color w:val="000000"/>
                <w:kern w:val="0"/>
                <w:szCs w:val="21"/>
                <w:highlight w:val="none"/>
              </w:rPr>
            </w:pPr>
            <w:r>
              <w:rPr>
                <w:color w:val="000000"/>
                <w:kern w:val="0"/>
                <w:szCs w:val="21"/>
                <w:highlight w:val="none"/>
              </w:rPr>
              <w:t>高压/低压端子保持力</w:t>
            </w:r>
          </w:p>
        </w:tc>
        <w:tc>
          <w:tcPr>
            <w:tcW w:w="3381" w:type="pct"/>
            <w:noWrap w:val="0"/>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rPr>
                <w:color w:val="000000"/>
                <w:kern w:val="0"/>
                <w:szCs w:val="21"/>
                <w:highlight w:val="none"/>
              </w:rPr>
            </w:pPr>
            <w:r>
              <w:rPr>
                <w:color w:val="000000"/>
                <w:kern w:val="0"/>
                <w:szCs w:val="21"/>
                <w:highlight w:val="none"/>
              </w:rPr>
              <w:t>高压：＞200N</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rPr>
                <w:color w:val="000000"/>
                <w:kern w:val="0"/>
                <w:szCs w:val="21"/>
                <w:highlight w:val="none"/>
              </w:rPr>
            </w:pPr>
            <w:r>
              <w:rPr>
                <w:color w:val="000000"/>
                <w:kern w:val="0"/>
                <w:szCs w:val="21"/>
                <w:highlight w:val="none"/>
              </w:rPr>
              <w:t>低压、辅助电源：＞50N</w:t>
            </w:r>
          </w:p>
        </w:tc>
      </w:tr>
    </w:tbl>
    <w:p>
      <w:pPr>
        <w:overflowPunct w:val="0"/>
        <w:topLinePunct/>
        <w:spacing w:before="156" w:beforeLines="50" w:line="360" w:lineRule="auto"/>
        <w:ind w:firstLine="420" w:firstLineChars="200"/>
        <w:rPr>
          <w:rStyle w:val="EUChar"/>
          <w:rFonts w:ascii="Times New Roman"/>
          <w:highlight w:val="none"/>
        </w:rPr>
      </w:pPr>
      <w:r>
        <w:rPr>
          <w:rStyle w:val="EUChar"/>
          <w:rFonts w:ascii="Times New Roman"/>
          <w:highlight w:val="none"/>
        </w:rPr>
        <w:t>连接器接口定义见下图。</w:t>
      </w:r>
    </w:p>
    <w:p>
      <w:pPr>
        <w:jc w:val="left"/>
        <w:rPr>
          <w:szCs w:val="21"/>
          <w:highlight w:val="none"/>
        </w:rPr>
      </w:pPr>
      <w:r>
        <w:rPr>
          <w:szCs w:val="21"/>
          <w:highlight w:val="none"/>
        </w:rPr>
        <w:t xml:space="preserve">    </w:t>
      </w:r>
      <w:r>
        <w:rPr>
          <w:szCs w:val="21"/>
          <w:highlight w:val="none"/>
        </w:rPr>
        <w:drawing>
          <wp:inline distT="0" distB="0" distL="114300" distR="114300">
            <wp:extent cx="2278380" cy="1476375"/>
            <wp:effectExtent l="0" t="0" r="7620" b="9525"/>
            <wp:docPr id="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685851" name="图片 8"/>
                    <pic:cNvPicPr>
                      <a:picLocks noChangeAspect="1"/>
                    </pic:cNvPicPr>
                  </pic:nvPicPr>
                  <pic:blipFill>
                    <a:blip xmlns:r="http://schemas.openxmlformats.org/officeDocument/2006/relationships" r:embed="rId9"/>
                    <a:stretch>
                      <a:fillRect/>
                    </a:stretch>
                  </pic:blipFill>
                  <pic:spPr>
                    <a:xfrm>
                      <a:off x="0" y="0"/>
                      <a:ext cx="2278380" cy="1476375"/>
                    </a:xfrm>
                    <a:prstGeom prst="rect">
                      <a:avLst/>
                    </a:prstGeom>
                    <a:noFill/>
                    <a:ln>
                      <a:noFill/>
                    </a:ln>
                  </pic:spPr>
                </pic:pic>
              </a:graphicData>
            </a:graphic>
          </wp:inline>
        </w:drawing>
      </w:r>
      <w:r>
        <w:rPr>
          <w:szCs w:val="21"/>
          <w:highlight w:val="none"/>
        </w:rPr>
        <w:drawing>
          <wp:inline distT="0" distB="0" distL="114300" distR="114300">
            <wp:extent cx="2882900" cy="1458595"/>
            <wp:effectExtent l="0" t="0" r="12700" b="825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199528" name="图片 7"/>
                    <pic:cNvPicPr>
                      <a:picLocks noChangeAspect="1"/>
                    </pic:cNvPicPr>
                  </pic:nvPicPr>
                  <pic:blipFill>
                    <a:blip xmlns:r="http://schemas.openxmlformats.org/officeDocument/2006/relationships" r:embed="rId10"/>
                    <a:srcRect t="8339" b="5203"/>
                    <a:stretch>
                      <a:fillRect/>
                    </a:stretch>
                  </pic:blipFill>
                  <pic:spPr>
                    <a:xfrm>
                      <a:off x="0" y="0"/>
                      <a:ext cx="2882900" cy="1458595"/>
                    </a:xfrm>
                    <a:prstGeom prst="rect">
                      <a:avLst/>
                    </a:prstGeom>
                    <a:noFill/>
                    <a:ln>
                      <a:noFill/>
                    </a:ln>
                  </pic:spPr>
                </pic:pic>
              </a:graphicData>
            </a:graphic>
          </wp:inline>
        </w:drawing>
      </w:r>
    </w:p>
    <w:p>
      <w:pPr>
        <w:spacing w:before="156" w:beforeLines="50" w:after="156" w:afterLines="50"/>
        <w:jc w:val="center"/>
        <w:rPr>
          <w:szCs w:val="21"/>
          <w:highlight w:val="none"/>
        </w:rPr>
      </w:pPr>
      <w:r>
        <w:rPr>
          <w:szCs w:val="21"/>
          <w:highlight w:val="none"/>
        </w:rPr>
        <w:t>图</w:t>
      </w:r>
      <w:r>
        <w:rPr>
          <w:rFonts w:hint="eastAsia"/>
          <w:szCs w:val="21"/>
          <w:highlight w:val="none"/>
          <w:lang w:val="en-US" w:eastAsia="zh-CN"/>
        </w:rPr>
        <w:t>7</w:t>
      </w:r>
      <w:r>
        <w:rPr>
          <w:szCs w:val="21"/>
          <w:highlight w:val="none"/>
        </w:rPr>
        <w:t xml:space="preserve"> </w:t>
      </w:r>
      <w:r>
        <w:rPr>
          <w:kern w:val="21"/>
          <w:highlight w:val="none"/>
        </w:rPr>
        <w:t>连接器</w:t>
      </w:r>
      <w:r>
        <w:rPr>
          <w:szCs w:val="21"/>
          <w:highlight w:val="none"/>
        </w:rPr>
        <w:t>外形图</w:t>
      </w:r>
      <w:r>
        <w:rPr>
          <w:rFonts w:hint="eastAsia"/>
          <w:szCs w:val="21"/>
          <w:highlight w:val="none"/>
          <w:lang w:eastAsia="zh-CN"/>
        </w:rPr>
        <w:t>、</w:t>
      </w:r>
      <w:r>
        <w:rPr>
          <w:szCs w:val="21"/>
          <w:highlight w:val="none"/>
        </w:rPr>
        <w:t>连接器引脚布局</w:t>
      </w:r>
    </w:p>
    <w:p>
      <w:pPr>
        <w:pStyle w:val="NormalIndent"/>
        <w:spacing w:line="360" w:lineRule="auto"/>
        <w:ind w:firstLine="210" w:firstLineChars="100"/>
        <w:jc w:val="left"/>
        <w:rPr>
          <w:szCs w:val="21"/>
          <w:highlight w:val="none"/>
        </w:rPr>
      </w:pPr>
      <w:r>
        <w:rPr>
          <w:szCs w:val="21"/>
          <w:highlight w:val="none"/>
        </w:rPr>
        <w:drawing>
          <wp:inline distT="0" distB="0" distL="114300" distR="114300">
            <wp:extent cx="2643505" cy="3110230"/>
            <wp:effectExtent l="0" t="0" r="4445" b="13970"/>
            <wp:docPr id="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297763" name="图片 9"/>
                    <pic:cNvPicPr>
                      <a:picLocks noChangeAspect="1"/>
                    </pic:cNvPicPr>
                  </pic:nvPicPr>
                  <pic:blipFill>
                    <a:blip xmlns:r="http://schemas.openxmlformats.org/officeDocument/2006/relationships" r:embed="rId11"/>
                    <a:stretch>
                      <a:fillRect/>
                    </a:stretch>
                  </pic:blipFill>
                  <pic:spPr>
                    <a:xfrm>
                      <a:off x="0" y="0"/>
                      <a:ext cx="2643505" cy="3110230"/>
                    </a:xfrm>
                    <a:prstGeom prst="rect">
                      <a:avLst/>
                    </a:prstGeom>
                    <a:noFill/>
                    <a:ln>
                      <a:noFill/>
                    </a:ln>
                  </pic:spPr>
                </pic:pic>
              </a:graphicData>
            </a:graphic>
          </wp:inline>
        </w:drawing>
      </w:r>
      <w:r>
        <w:rPr>
          <w:szCs w:val="21"/>
          <w:highlight w:val="none"/>
        </w:rPr>
        <w:t xml:space="preserve">        </w:t>
      </w:r>
      <w:r>
        <w:rPr>
          <w:szCs w:val="21"/>
          <w:highlight w:val="none"/>
        </w:rPr>
        <w:drawing>
          <wp:inline distT="0" distB="0" distL="114300" distR="114300">
            <wp:extent cx="2245360" cy="2929890"/>
            <wp:effectExtent l="0" t="0" r="2540" b="3810"/>
            <wp:docPr id="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119120" name="图片 10"/>
                    <pic:cNvPicPr>
                      <a:picLocks noChangeAspect="1"/>
                    </pic:cNvPicPr>
                  </pic:nvPicPr>
                  <pic:blipFill>
                    <a:blip xmlns:r="http://schemas.openxmlformats.org/officeDocument/2006/relationships" r:embed="rId12"/>
                    <a:stretch>
                      <a:fillRect/>
                    </a:stretch>
                  </pic:blipFill>
                  <pic:spPr>
                    <a:xfrm>
                      <a:off x="0" y="0"/>
                      <a:ext cx="2245360" cy="2929890"/>
                    </a:xfrm>
                    <a:prstGeom prst="rect">
                      <a:avLst/>
                    </a:prstGeom>
                    <a:noFill/>
                    <a:ln>
                      <a:noFill/>
                    </a:ln>
                  </pic:spPr>
                </pic:pic>
              </a:graphicData>
            </a:graphic>
          </wp:inline>
        </w:drawing>
      </w:r>
    </w:p>
    <w:p>
      <w:pPr>
        <w:spacing w:before="156" w:beforeLines="50" w:after="156" w:afterLines="50"/>
        <w:jc w:val="center"/>
        <w:rPr>
          <w:szCs w:val="21"/>
          <w:highlight w:val="none"/>
        </w:rPr>
      </w:pPr>
      <w:r>
        <w:rPr>
          <w:szCs w:val="21"/>
          <w:highlight w:val="none"/>
        </w:rPr>
        <w:t>图</w:t>
      </w:r>
      <w:r>
        <w:rPr>
          <w:rFonts w:hint="eastAsia"/>
          <w:szCs w:val="21"/>
          <w:highlight w:val="none"/>
          <w:lang w:val="en-US" w:eastAsia="zh-CN"/>
        </w:rPr>
        <w:t>8</w:t>
      </w:r>
      <w:r>
        <w:rPr>
          <w:szCs w:val="21"/>
          <w:highlight w:val="none"/>
        </w:rPr>
        <w:t>充电</w:t>
      </w:r>
      <w:r>
        <w:rPr>
          <w:kern w:val="21"/>
          <w:highlight w:val="none"/>
        </w:rPr>
        <w:t>连接器</w:t>
      </w:r>
      <w:r>
        <w:rPr>
          <w:szCs w:val="21"/>
          <w:highlight w:val="none"/>
        </w:rPr>
        <w:t>一引脚定义</w:t>
      </w:r>
      <w:r>
        <w:rPr>
          <w:rFonts w:hint="eastAsia"/>
          <w:szCs w:val="21"/>
          <w:highlight w:val="none"/>
          <w:lang w:eastAsia="zh-CN"/>
        </w:rPr>
        <w:t>、</w:t>
      </w:r>
      <w:r>
        <w:rPr>
          <w:szCs w:val="21"/>
          <w:highlight w:val="none"/>
        </w:rPr>
        <w:t>二引脚定义</w:t>
      </w:r>
    </w:p>
    <w:p>
      <w:pPr>
        <w:pStyle w:val="NormalIndent"/>
        <w:spacing w:line="360" w:lineRule="auto"/>
        <w:ind w:firstLine="0" w:firstLineChars="0"/>
        <w:jc w:val="center"/>
        <w:rPr>
          <w:szCs w:val="21"/>
          <w:highlight w:val="none"/>
        </w:rPr>
      </w:pPr>
      <w:r>
        <w:rPr>
          <w:szCs w:val="21"/>
          <w:highlight w:val="none"/>
        </w:rPr>
        <w:drawing>
          <wp:inline distT="0" distB="0" distL="114300" distR="114300">
            <wp:extent cx="2875915" cy="2542540"/>
            <wp:effectExtent l="0" t="0" r="635" b="10160"/>
            <wp:docPr id="1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725113" name="图片 11"/>
                    <pic:cNvPicPr>
                      <a:picLocks noChangeAspect="1"/>
                    </pic:cNvPicPr>
                  </pic:nvPicPr>
                  <pic:blipFill>
                    <a:blip xmlns:r="http://schemas.openxmlformats.org/officeDocument/2006/relationships" r:embed="rId13"/>
                    <a:stretch>
                      <a:fillRect/>
                    </a:stretch>
                  </pic:blipFill>
                  <pic:spPr>
                    <a:xfrm>
                      <a:off x="0" y="0"/>
                      <a:ext cx="2875915" cy="2542540"/>
                    </a:xfrm>
                    <a:prstGeom prst="rect">
                      <a:avLst/>
                    </a:prstGeom>
                    <a:noFill/>
                    <a:ln>
                      <a:noFill/>
                    </a:ln>
                  </pic:spPr>
                </pic:pic>
              </a:graphicData>
            </a:graphic>
          </wp:inline>
        </w:drawing>
      </w:r>
    </w:p>
    <w:p>
      <w:pPr>
        <w:spacing w:before="156" w:beforeLines="50" w:after="156" w:afterLines="50"/>
        <w:jc w:val="center"/>
        <w:rPr>
          <w:szCs w:val="21"/>
          <w:highlight w:val="none"/>
        </w:rPr>
      </w:pPr>
      <w:r>
        <w:rPr>
          <w:szCs w:val="21"/>
          <w:highlight w:val="none"/>
        </w:rPr>
        <w:t>图</w:t>
      </w:r>
      <w:r>
        <w:rPr>
          <w:rFonts w:hint="eastAsia"/>
          <w:szCs w:val="21"/>
          <w:highlight w:val="none"/>
          <w:lang w:val="en-US" w:eastAsia="zh-CN"/>
        </w:rPr>
        <w:t>9</w:t>
      </w:r>
      <w:r>
        <w:rPr>
          <w:szCs w:val="21"/>
          <w:highlight w:val="none"/>
        </w:rPr>
        <w:t xml:space="preserve"> </w:t>
      </w:r>
      <w:r>
        <w:rPr>
          <w:kern w:val="21"/>
          <w:highlight w:val="none"/>
        </w:rPr>
        <w:t>放电</w:t>
      </w:r>
      <w:r>
        <w:rPr>
          <w:szCs w:val="21"/>
          <w:highlight w:val="none"/>
        </w:rPr>
        <w:t>连接器引脚定义</w:t>
      </w:r>
    </w:p>
    <w:p>
      <w:pPr>
        <w:pStyle w:val="NormalIndent"/>
        <w:spacing w:line="360" w:lineRule="auto"/>
        <w:ind w:firstLine="480"/>
        <w:rPr>
          <w:color w:val="000000"/>
          <w:sz w:val="24"/>
          <w:szCs w:val="24"/>
          <w:highlight w:val="none"/>
        </w:rPr>
      </w:pPr>
      <w:r>
        <w:rPr>
          <w:rFonts w:hint="eastAsia"/>
          <w:color w:val="000000"/>
          <w:sz w:val="24"/>
          <w:szCs w:val="24"/>
          <w:highlight w:val="none"/>
        </w:rPr>
        <w:t>电池底托机械结构如图3</w:t>
      </w:r>
      <w:r>
        <w:rPr>
          <w:color w:val="000000"/>
          <w:sz w:val="24"/>
          <w:szCs w:val="24"/>
          <w:highlight w:val="none"/>
        </w:rPr>
        <w:t>-11</w:t>
      </w:r>
      <w:r>
        <w:rPr>
          <w:rFonts w:hint="eastAsia"/>
          <w:color w:val="000000"/>
          <w:sz w:val="24"/>
          <w:szCs w:val="24"/>
          <w:highlight w:val="none"/>
        </w:rPr>
        <w:t>所示。</w:t>
      </w:r>
    </w:p>
    <w:tbl>
      <w:tblPr>
        <w:tblStyle w:val="TableNormal"/>
        <w:tblW w:w="0" w:type="auto"/>
        <w:tblInd w:w="0" w:type="dxa"/>
        <w:tblCellMar>
          <w:top w:w="0" w:type="dxa"/>
          <w:left w:w="108" w:type="dxa"/>
          <w:bottom w:w="0" w:type="dxa"/>
          <w:right w:w="108" w:type="dxa"/>
        </w:tblCellMar>
      </w:tblPr>
      <w:tblGrid>
        <w:gridCol w:w="8522"/>
      </w:tblGrid>
      <w:tr>
        <w:tblPrEx>
          <w:tblW w:w="0" w:type="auto"/>
          <w:tblInd w:w="0" w:type="dxa"/>
          <w:tblCellMar>
            <w:top w:w="0" w:type="dxa"/>
            <w:left w:w="108" w:type="dxa"/>
            <w:bottom w:w="0" w:type="dxa"/>
            <w:right w:w="108" w:type="dxa"/>
          </w:tblCellMar>
        </w:tblPrEx>
        <w:tc>
          <w:tcPr>
            <w:tcW w:w="9401" w:type="dxa"/>
            <w:noWrap w:val="0"/>
            <w:vAlign w:val="top"/>
          </w:tcPr>
          <w:p>
            <w:pPr>
              <w:pStyle w:val="NormalIndent"/>
              <w:spacing w:line="360" w:lineRule="auto"/>
              <w:ind w:firstLine="0" w:firstLineChars="0"/>
              <w:jc w:val="center"/>
              <w:rPr>
                <w:rFonts w:hint="eastAsia"/>
                <w:szCs w:val="21"/>
                <w:highlight w:val="none"/>
                <w:lang w:val="en-US" w:eastAsia="zh-CN"/>
              </w:rPr>
            </w:pPr>
            <w:r>
              <w:rPr>
                <w:szCs w:val="21"/>
                <w:highlight w:val="none"/>
                <w:lang w:val="en-US" w:eastAsia="zh-CN"/>
              </w:rPr>
              <w:drawing>
                <wp:inline distT="0" distB="0" distL="114300" distR="114300">
                  <wp:extent cx="4236085" cy="3107690"/>
                  <wp:effectExtent l="0" t="0" r="12065" b="16510"/>
                  <wp:docPr id="10" name="图片 12" descr="54f754289e9844ae4cd04db90135cc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598018" name="图片 12" descr="54f754289e9844ae4cd04db90135ccd"/>
                          <pic:cNvPicPr>
                            <a:picLocks noChangeAspect="1"/>
                          </pic:cNvPicPr>
                        </pic:nvPicPr>
                        <pic:blipFill>
                          <a:blip xmlns:r="http://schemas.openxmlformats.org/officeDocument/2006/relationships" r:embed="rId14"/>
                          <a:stretch>
                            <a:fillRect/>
                          </a:stretch>
                        </pic:blipFill>
                        <pic:spPr>
                          <a:xfrm>
                            <a:off x="0" y="0"/>
                            <a:ext cx="4236085" cy="3107690"/>
                          </a:xfrm>
                          <a:prstGeom prst="rect">
                            <a:avLst/>
                          </a:prstGeom>
                          <a:noFill/>
                          <a:ln>
                            <a:noFill/>
                          </a:ln>
                        </pic:spPr>
                      </pic:pic>
                    </a:graphicData>
                  </a:graphic>
                </wp:inline>
              </w:drawing>
            </w:r>
          </w:p>
        </w:tc>
      </w:tr>
      <w:tr>
        <w:tblPrEx>
          <w:tblW w:w="0" w:type="auto"/>
          <w:tblInd w:w="0" w:type="dxa"/>
          <w:tblCellMar>
            <w:top w:w="0" w:type="dxa"/>
            <w:left w:w="108" w:type="dxa"/>
            <w:bottom w:w="0" w:type="dxa"/>
            <w:right w:w="108" w:type="dxa"/>
          </w:tblCellMar>
        </w:tblPrEx>
        <w:tc>
          <w:tcPr>
            <w:tcW w:w="9401" w:type="dxa"/>
            <w:noWrap w:val="0"/>
            <w:vAlign w:val="top"/>
          </w:tcPr>
          <w:p>
            <w:pPr>
              <w:pStyle w:val="NormalIndent"/>
              <w:spacing w:line="360" w:lineRule="auto"/>
              <w:jc w:val="center"/>
              <w:rPr>
                <w:rFonts w:hint="eastAsia"/>
                <w:szCs w:val="21"/>
                <w:highlight w:val="none"/>
                <w:lang w:val="en-US" w:eastAsia="zh-CN"/>
              </w:rPr>
            </w:pPr>
            <w:r>
              <w:rPr>
                <w:szCs w:val="21"/>
                <w:highlight w:val="none"/>
                <w:lang w:val="en-US" w:eastAsia="zh-CN"/>
              </w:rPr>
              <w:t>图</w:t>
            </w:r>
            <w:r>
              <w:rPr>
                <w:rFonts w:hint="eastAsia"/>
                <w:szCs w:val="21"/>
                <w:highlight w:val="none"/>
                <w:lang w:val="en-US" w:eastAsia="zh-CN"/>
              </w:rPr>
              <w:t>10</w:t>
            </w:r>
            <w:r>
              <w:rPr>
                <w:szCs w:val="21"/>
                <w:highlight w:val="none"/>
                <w:lang w:val="en-US" w:eastAsia="zh-CN"/>
              </w:rPr>
              <w:t xml:space="preserve"> </w:t>
            </w:r>
            <w:r>
              <w:rPr>
                <w:rFonts w:hint="eastAsia"/>
                <w:szCs w:val="21"/>
                <w:highlight w:val="none"/>
                <w:lang w:val="en-US" w:eastAsia="zh-CN"/>
              </w:rPr>
              <w:t>电池底托机械结构</w:t>
            </w:r>
          </w:p>
        </w:tc>
      </w:tr>
    </w:tbl>
    <w:p>
      <w:pPr>
        <w:pStyle w:val="-2"/>
        <w:numPr>
          <w:ilvl w:val="1"/>
          <w:numId w:val="0"/>
        </w:numPr>
        <w:tabs>
          <w:tab w:val="clear" w:pos="567"/>
          <w:tab w:val="clear" w:pos="851"/>
          <w:tab w:val="clear" w:pos="1144"/>
        </w:tabs>
        <w:ind w:leftChars="0"/>
        <w:outlineLvl w:val="1"/>
        <w:rPr>
          <w:rFonts w:ascii="Times New Roman" w:hAnsi="Times New Roman"/>
          <w:color w:val="auto"/>
          <w:sz w:val="24"/>
          <w:szCs w:val="24"/>
          <w:highlight w:val="none"/>
        </w:rPr>
      </w:pPr>
      <w:bookmarkStart w:id="20" w:name="_Toc18517"/>
      <w:bookmarkStart w:id="21" w:name="_Toc22373"/>
      <w:bookmarkStart w:id="22" w:name="_Toc22965"/>
      <w:bookmarkStart w:id="23" w:name="_Toc7644"/>
      <w:bookmarkStart w:id="24" w:name="_Toc3752"/>
      <w:r>
        <w:rPr>
          <w:rFonts w:ascii="Times New Roman" w:hAnsi="Times New Roman" w:hint="eastAsia"/>
          <w:color w:val="auto"/>
          <w:sz w:val="24"/>
          <w:szCs w:val="24"/>
          <w:highlight w:val="none"/>
          <w:lang w:val="en-US" w:eastAsia="zh-CN"/>
        </w:rPr>
        <w:t>8.</w:t>
      </w:r>
      <w:r>
        <w:rPr>
          <w:rFonts w:ascii="Times New Roman" w:hAnsi="Times New Roman" w:hint="eastAsia"/>
          <w:color w:val="auto"/>
          <w:sz w:val="24"/>
          <w:szCs w:val="24"/>
          <w:highlight w:val="none"/>
        </w:rPr>
        <w:t>物联检测及定位引导系统</w:t>
      </w:r>
      <w:bookmarkEnd w:id="20"/>
      <w:bookmarkEnd w:id="21"/>
      <w:bookmarkEnd w:id="22"/>
      <w:bookmarkEnd w:id="23"/>
      <w:bookmarkEnd w:id="24"/>
    </w:p>
    <w:p>
      <w:pPr>
        <w:overflowPunct w:val="0"/>
        <w:topLinePunct/>
        <w:spacing w:line="360" w:lineRule="auto"/>
        <w:ind w:firstLine="420" w:firstLineChars="200"/>
        <w:rPr>
          <w:rStyle w:val="EUChar"/>
          <w:rFonts w:ascii="Times New Roman" w:hint="eastAsia"/>
          <w:highlight w:val="none"/>
        </w:rPr>
      </w:pPr>
      <w:r>
        <w:rPr>
          <w:rStyle w:val="EUChar"/>
          <w:rFonts w:ascii="Times New Roman" w:hint="eastAsia"/>
          <w:highlight w:val="none"/>
        </w:rPr>
        <w:t>物联及检测系统部署于车道驾驶室侧，便于司机停车观测及扫码。包含扫码启动箱、二维码读写器、激光引导发射器等设备组成，扫码器启动箱应具有防遮挡措施，防止光照照射影响扫码，激光引导发射器发射光束应便于司机观测。</w:t>
      </w:r>
    </w:p>
    <w:p>
      <w:pPr>
        <w:overflowPunct w:val="0"/>
        <w:topLinePunct/>
        <w:spacing w:line="360" w:lineRule="auto"/>
        <w:ind w:firstLine="420" w:firstLineChars="200"/>
        <w:rPr>
          <w:rStyle w:val="EUChar"/>
          <w:rFonts w:ascii="Times New Roman"/>
          <w:highlight w:val="none"/>
        </w:rPr>
      </w:pPr>
      <w:r>
        <w:rPr>
          <w:rStyle w:val="EUChar"/>
          <w:rFonts w:ascii="Times New Roman" w:hint="eastAsia"/>
          <w:highlight w:val="none"/>
        </w:rPr>
        <w:t>扫码器启动箱用于固定二维码读写器，同时给二维码读写器、协议转换器、激光引导发射器等设备提供电源。二维码读写器用于读写纸质版二维码或手机二维码，激光引导发射器用于辅助司机准确停车到位。</w:t>
      </w:r>
    </w:p>
    <w:p>
      <w:pPr>
        <w:pStyle w:val="-2"/>
        <w:numPr>
          <w:ilvl w:val="1"/>
          <w:numId w:val="0"/>
        </w:numPr>
        <w:tabs>
          <w:tab w:val="clear" w:pos="567"/>
          <w:tab w:val="clear" w:pos="851"/>
          <w:tab w:val="clear" w:pos="1144"/>
        </w:tabs>
        <w:ind w:leftChars="0"/>
        <w:outlineLvl w:val="1"/>
        <w:rPr>
          <w:rFonts w:ascii="Times New Roman" w:hAnsi="Times New Roman"/>
          <w:color w:val="auto"/>
          <w:sz w:val="24"/>
          <w:szCs w:val="24"/>
          <w:highlight w:val="none"/>
        </w:rPr>
      </w:pPr>
      <w:bookmarkStart w:id="25" w:name="_Toc22792"/>
      <w:bookmarkStart w:id="26" w:name="_Toc16132"/>
      <w:bookmarkStart w:id="27" w:name="_Toc13534"/>
      <w:bookmarkStart w:id="28" w:name="_Toc31701"/>
      <w:bookmarkStart w:id="29" w:name="_Toc19176"/>
      <w:r>
        <w:rPr>
          <w:rFonts w:ascii="Times New Roman" w:hAnsi="Times New Roman" w:hint="eastAsia"/>
          <w:color w:val="auto"/>
          <w:sz w:val="24"/>
          <w:szCs w:val="24"/>
          <w:highlight w:val="none"/>
          <w:lang w:val="en-US" w:eastAsia="zh-CN"/>
        </w:rPr>
        <w:t>9.</w:t>
      </w:r>
      <w:r>
        <w:rPr>
          <w:rFonts w:ascii="Times New Roman" w:hAnsi="Times New Roman"/>
          <w:color w:val="auto"/>
          <w:sz w:val="24"/>
          <w:szCs w:val="24"/>
          <w:highlight w:val="none"/>
        </w:rPr>
        <w:t>站控系统</w:t>
      </w:r>
      <w:bookmarkEnd w:id="25"/>
      <w:bookmarkEnd w:id="26"/>
      <w:bookmarkEnd w:id="27"/>
      <w:bookmarkEnd w:id="28"/>
      <w:bookmarkEnd w:id="29"/>
    </w:p>
    <w:p>
      <w:pPr>
        <w:spacing w:line="360" w:lineRule="auto"/>
        <w:ind w:firstLine="420" w:firstLineChars="200"/>
        <w:rPr>
          <w:rFonts w:ascii="宋体" w:hAnsi="宋体" w:hint="eastAsia"/>
          <w:color w:val="000000"/>
          <w:szCs w:val="21"/>
          <w:highlight w:val="none"/>
        </w:rPr>
      </w:pPr>
      <w:r>
        <w:rPr>
          <w:rFonts w:ascii="宋体" w:hAnsi="宋体" w:hint="eastAsia"/>
          <w:color w:val="000000"/>
          <w:szCs w:val="21"/>
          <w:highlight w:val="none"/>
        </w:rPr>
        <w:t>站控系统部署于换电站内，应具备接入站内换电机器人、充电机、RFID读写设备、配电设备、</w:t>
      </w:r>
      <w:r>
        <w:rPr>
          <w:rFonts w:ascii="宋体" w:hAnsi="宋体" w:hint="eastAsia"/>
          <w:szCs w:val="21"/>
          <w:highlight w:val="none"/>
        </w:rPr>
        <w:t>车载控制器</w:t>
      </w:r>
      <w:r>
        <w:rPr>
          <w:rFonts w:ascii="宋体" w:hAnsi="宋体" w:hint="eastAsia"/>
          <w:color w:val="000000"/>
          <w:szCs w:val="21"/>
          <w:highlight w:val="none"/>
        </w:rPr>
        <w:t>等设备的能力，具备换电监控、充电监控、车辆管理、计量计费、数据统计等功能，实现重卡换电过程的逻辑控制及运维监视。</w:t>
      </w:r>
    </w:p>
    <w:p>
      <w:pPr>
        <w:spacing w:line="360" w:lineRule="auto"/>
        <w:ind w:firstLine="420" w:firstLineChars="200"/>
        <w:rPr>
          <w:rFonts w:ascii="宋体" w:hAnsi="宋体"/>
          <w:color w:val="000000"/>
          <w:szCs w:val="21"/>
          <w:highlight w:val="none"/>
        </w:rPr>
      </w:pPr>
      <w:r>
        <w:rPr>
          <w:rFonts w:ascii="宋体" w:hAnsi="宋体" w:hint="eastAsia"/>
          <w:color w:val="000000"/>
          <w:szCs w:val="21"/>
          <w:highlight w:val="none"/>
        </w:rPr>
        <w:t>（1）系统网络</w:t>
      </w:r>
      <w:r>
        <w:rPr>
          <w:rFonts w:ascii="宋体" w:hAnsi="宋体"/>
          <w:color w:val="000000"/>
          <w:szCs w:val="21"/>
          <w:highlight w:val="none"/>
        </w:rPr>
        <w:t>架构</w:t>
      </w:r>
    </w:p>
    <w:p>
      <w:pPr>
        <w:pStyle w:val="ListParagraph"/>
        <w:adjustRightInd w:val="0"/>
        <w:snapToGrid w:val="0"/>
        <w:spacing w:line="360" w:lineRule="auto"/>
        <w:ind w:left="60"/>
        <w:rPr>
          <w:rFonts w:ascii="宋体" w:hAnsi="宋体" w:hint="eastAsia"/>
          <w:szCs w:val="21"/>
          <w:highlight w:val="none"/>
          <w:lang w:eastAsia="zh-CN"/>
        </w:rPr>
      </w:pPr>
      <w:r>
        <w:rPr>
          <w:rFonts w:ascii="宋体" w:hAnsi="宋体" w:hint="eastAsia"/>
          <w:szCs w:val="21"/>
          <w:highlight w:val="none"/>
        </w:rPr>
        <w:t>应考虑负载和扩展的要求，系统架构采用服务器-客户端</w:t>
      </w:r>
      <w:r>
        <w:rPr>
          <w:rFonts w:ascii="宋体" w:hAnsi="宋体"/>
          <w:szCs w:val="21"/>
          <w:highlight w:val="none"/>
        </w:rPr>
        <w:t>方式</w:t>
      </w:r>
      <w:r>
        <w:rPr>
          <w:rFonts w:ascii="宋体" w:hAnsi="宋体" w:hint="eastAsia"/>
          <w:szCs w:val="21"/>
          <w:highlight w:val="none"/>
        </w:rPr>
        <w:t>，客户端硬件应能够根据需要进行扩展</w:t>
      </w:r>
      <w:r>
        <w:rPr>
          <w:rFonts w:ascii="宋体" w:hAnsi="宋体" w:hint="eastAsia"/>
          <w:szCs w:val="21"/>
          <w:highlight w:val="none"/>
          <w:lang w:eastAsia="zh-CN"/>
        </w:rPr>
        <w:t>。</w:t>
      </w:r>
    </w:p>
    <w:p>
      <w:pPr>
        <w:pStyle w:val="ListParagraph"/>
        <w:adjustRightInd w:val="0"/>
        <w:snapToGrid w:val="0"/>
        <w:spacing w:line="360" w:lineRule="auto"/>
        <w:ind w:left="60"/>
        <w:rPr>
          <w:rFonts w:ascii="宋体" w:hAnsi="宋体"/>
          <w:szCs w:val="21"/>
          <w:highlight w:val="none"/>
        </w:rPr>
      </w:pPr>
      <w:r>
        <w:rPr>
          <w:rFonts w:ascii="宋体" w:hAnsi="宋体" w:hint="eastAsia"/>
          <w:szCs w:val="21"/>
          <w:highlight w:val="none"/>
        </w:rPr>
        <w:t>换电站无线W</w:t>
      </w:r>
      <w:r>
        <w:rPr>
          <w:rFonts w:ascii="宋体" w:hAnsi="宋体"/>
          <w:szCs w:val="21"/>
          <w:highlight w:val="none"/>
        </w:rPr>
        <w:t>IFI</w:t>
      </w:r>
      <w:r>
        <w:rPr>
          <w:rFonts w:ascii="宋体" w:hAnsi="宋体" w:hint="eastAsia"/>
          <w:szCs w:val="21"/>
          <w:highlight w:val="none"/>
        </w:rPr>
        <w:t>应具备与换电控制器自动建立通讯。控制器控制电池锁止机构的加锁和解锁，并在换电过程中将锁止机构的实时状态发送给站控系统。</w:t>
      </w:r>
    </w:p>
    <w:p>
      <w:pPr>
        <w:adjustRightInd w:val="0"/>
        <w:snapToGrid w:val="0"/>
        <w:spacing w:line="360" w:lineRule="auto"/>
        <w:ind w:firstLine="420" w:firstLineChars="200"/>
        <w:rPr>
          <w:rFonts w:ascii="宋体" w:hAnsi="宋体"/>
          <w:color w:val="000000"/>
          <w:szCs w:val="21"/>
          <w:highlight w:val="none"/>
        </w:rPr>
      </w:pPr>
      <w:r>
        <w:rPr>
          <w:rFonts w:ascii="宋体" w:hAnsi="宋体" w:hint="eastAsia"/>
          <w:color w:val="000000"/>
          <w:szCs w:val="21"/>
          <w:highlight w:val="none"/>
        </w:rPr>
        <w:t>（2）站级监控系统应具备以下功能：</w:t>
      </w:r>
    </w:p>
    <w:p>
      <w:pPr>
        <w:numPr>
          <w:ilvl w:val="0"/>
          <w:numId w:val="2"/>
        </w:numPr>
        <w:adjustRightInd w:val="0"/>
        <w:snapToGrid w:val="0"/>
        <w:spacing w:line="360" w:lineRule="auto"/>
        <w:ind w:left="0" w:firstLine="420" w:firstLineChars="200"/>
        <w:rPr>
          <w:rFonts w:ascii="宋体" w:hAnsi="宋体"/>
          <w:color w:val="000000"/>
          <w:szCs w:val="21"/>
          <w:highlight w:val="none"/>
        </w:rPr>
      </w:pPr>
      <w:r>
        <w:rPr>
          <w:rFonts w:ascii="宋体" w:hAnsi="宋体" w:hint="eastAsia"/>
          <w:szCs w:val="21"/>
          <w:highlight w:val="none"/>
        </w:rPr>
        <w:t>数据存储功能</w:t>
      </w:r>
    </w:p>
    <w:p>
      <w:pPr>
        <w:pStyle w:val="ListParagraph"/>
        <w:adjustRightInd w:val="0"/>
        <w:snapToGrid w:val="0"/>
        <w:spacing w:line="360" w:lineRule="auto"/>
        <w:rPr>
          <w:rFonts w:ascii="宋体" w:hAnsi="宋体"/>
          <w:szCs w:val="21"/>
          <w:highlight w:val="none"/>
        </w:rPr>
      </w:pPr>
      <w:r>
        <w:rPr>
          <w:rFonts w:ascii="宋体" w:hAnsi="宋体" w:hint="eastAsia"/>
          <w:szCs w:val="21"/>
          <w:highlight w:val="none"/>
        </w:rPr>
        <w:t>运行数据以数据库形式存储数据，所有数据（包括历史信息）不允许有删除操作。</w:t>
      </w:r>
    </w:p>
    <w:p>
      <w:pPr>
        <w:pStyle w:val="ListParagraph"/>
        <w:adjustRightInd w:val="0"/>
        <w:snapToGrid w:val="0"/>
        <w:spacing w:line="360" w:lineRule="auto"/>
        <w:rPr>
          <w:rFonts w:ascii="宋体" w:hAnsi="宋体"/>
          <w:szCs w:val="21"/>
          <w:highlight w:val="none"/>
        </w:rPr>
      </w:pPr>
      <w:r>
        <w:rPr>
          <w:rFonts w:ascii="宋体" w:hAnsi="宋体" w:hint="eastAsia"/>
          <w:szCs w:val="21"/>
          <w:highlight w:val="none"/>
        </w:rPr>
        <w:t>数据库具备软备份功能，备份周期可以设定。</w:t>
      </w:r>
    </w:p>
    <w:p>
      <w:pPr>
        <w:pStyle w:val="ListParagraph"/>
        <w:adjustRightInd w:val="0"/>
        <w:snapToGrid w:val="0"/>
        <w:spacing w:line="360" w:lineRule="auto"/>
        <w:rPr>
          <w:rFonts w:ascii="宋体" w:hAnsi="宋体"/>
          <w:szCs w:val="21"/>
          <w:highlight w:val="none"/>
        </w:rPr>
      </w:pPr>
      <w:r>
        <w:rPr>
          <w:rFonts w:ascii="宋体" w:hAnsi="宋体" w:hint="eastAsia"/>
          <w:szCs w:val="21"/>
          <w:highlight w:val="none"/>
        </w:rPr>
        <w:t>记录换电过程中的车辆信息、电池信息、换电时间</w:t>
      </w:r>
      <w:r>
        <w:rPr>
          <w:rFonts w:ascii="宋体" w:hAnsi="宋体"/>
          <w:szCs w:val="21"/>
          <w:highlight w:val="none"/>
        </w:rPr>
        <w:t>(</w:t>
      </w:r>
      <w:r>
        <w:rPr>
          <w:rFonts w:ascii="宋体" w:hAnsi="宋体" w:hint="eastAsia"/>
          <w:szCs w:val="21"/>
          <w:highlight w:val="none"/>
        </w:rPr>
        <w:t>精确到秒</w:t>
      </w:r>
      <w:r>
        <w:rPr>
          <w:rFonts w:ascii="宋体" w:hAnsi="宋体"/>
          <w:szCs w:val="21"/>
          <w:highlight w:val="none"/>
        </w:rPr>
        <w:t>)</w:t>
      </w:r>
      <w:r>
        <w:rPr>
          <w:rFonts w:ascii="宋体" w:hAnsi="宋体" w:hint="eastAsia"/>
          <w:szCs w:val="21"/>
          <w:highlight w:val="none"/>
        </w:rPr>
        <w:t>等信息。</w:t>
      </w:r>
    </w:p>
    <w:p>
      <w:pPr>
        <w:pStyle w:val="ListParagraph"/>
        <w:adjustRightInd w:val="0"/>
        <w:snapToGrid w:val="0"/>
        <w:spacing w:line="360" w:lineRule="auto"/>
        <w:rPr>
          <w:rFonts w:ascii="宋体" w:hAnsi="宋体" w:hint="eastAsia"/>
          <w:szCs w:val="21"/>
          <w:highlight w:val="none"/>
        </w:rPr>
      </w:pPr>
      <w:r>
        <w:rPr>
          <w:rFonts w:ascii="宋体" w:hAnsi="宋体" w:hint="eastAsia"/>
          <w:szCs w:val="21"/>
          <w:highlight w:val="none"/>
        </w:rPr>
        <w:t>记录充电过程的电池编码、充电时间、关联车辆、尖峰平谷分时电量，及电量费用等信息。</w:t>
      </w:r>
    </w:p>
    <w:p>
      <w:pPr>
        <w:pStyle w:val="ListParagraph"/>
        <w:adjustRightInd w:val="0"/>
        <w:snapToGrid w:val="0"/>
        <w:spacing w:line="360" w:lineRule="auto"/>
        <w:rPr>
          <w:rFonts w:ascii="宋体" w:hAnsi="宋体"/>
          <w:szCs w:val="21"/>
          <w:highlight w:val="none"/>
        </w:rPr>
      </w:pPr>
      <w:r>
        <w:rPr>
          <w:rFonts w:ascii="宋体" w:hAnsi="宋体" w:hint="eastAsia"/>
          <w:szCs w:val="21"/>
          <w:highlight w:val="none"/>
        </w:rPr>
        <w:t>记录系统运行期间的各种设备异常告警、操作记录等信息。</w:t>
      </w:r>
    </w:p>
    <w:p>
      <w:pPr>
        <w:numPr>
          <w:ilvl w:val="0"/>
          <w:numId w:val="2"/>
        </w:numPr>
        <w:adjustRightInd w:val="0"/>
        <w:snapToGrid w:val="0"/>
        <w:spacing w:line="360" w:lineRule="auto"/>
        <w:ind w:left="0" w:firstLine="420" w:firstLineChars="200"/>
        <w:rPr>
          <w:rFonts w:ascii="宋体" w:hAnsi="宋体"/>
          <w:szCs w:val="21"/>
          <w:highlight w:val="none"/>
        </w:rPr>
      </w:pPr>
      <w:r>
        <w:rPr>
          <w:rFonts w:ascii="宋体" w:hAnsi="宋体" w:hint="eastAsia"/>
          <w:szCs w:val="21"/>
          <w:highlight w:val="none"/>
        </w:rPr>
        <w:t>换电监控功能</w:t>
      </w:r>
    </w:p>
    <w:p>
      <w:pPr>
        <w:pStyle w:val="ListParagraph"/>
        <w:adjustRightInd w:val="0"/>
        <w:snapToGrid w:val="0"/>
        <w:spacing w:line="360" w:lineRule="auto"/>
        <w:rPr>
          <w:rFonts w:ascii="宋体" w:hAnsi="宋体"/>
          <w:szCs w:val="21"/>
          <w:highlight w:val="none"/>
        </w:rPr>
      </w:pPr>
      <w:r>
        <w:rPr>
          <w:rFonts w:ascii="宋体" w:hAnsi="宋体" w:cs="微软雅黑" w:hint="eastAsia"/>
          <w:bCs/>
          <w:szCs w:val="21"/>
          <w:highlight w:val="none"/>
        </w:rPr>
        <w:t>通过底层传感设备提供的各种监测信号，实现从车辆进站到换电完成全过程换电逻辑控制及过程数据的采集和存储。</w:t>
      </w:r>
    </w:p>
    <w:p>
      <w:pPr>
        <w:pStyle w:val="ListParagraph"/>
        <w:adjustRightInd w:val="0"/>
        <w:snapToGrid w:val="0"/>
        <w:spacing w:line="360" w:lineRule="auto"/>
        <w:rPr>
          <w:rFonts w:ascii="宋体" w:hAnsi="宋体"/>
          <w:szCs w:val="21"/>
          <w:highlight w:val="none"/>
        </w:rPr>
      </w:pPr>
      <w:r>
        <w:rPr>
          <w:rFonts w:ascii="宋体" w:hAnsi="宋体" w:hint="eastAsia"/>
          <w:szCs w:val="21"/>
          <w:highlight w:val="none"/>
        </w:rPr>
        <w:t>各子设备运行状态和通信状态展示。</w:t>
      </w:r>
    </w:p>
    <w:p>
      <w:pPr>
        <w:pStyle w:val="ListParagraph"/>
        <w:adjustRightInd w:val="0"/>
        <w:snapToGrid w:val="0"/>
        <w:spacing w:line="360" w:lineRule="auto"/>
        <w:rPr>
          <w:rFonts w:ascii="宋体" w:hAnsi="宋体"/>
          <w:szCs w:val="21"/>
          <w:highlight w:val="none"/>
        </w:rPr>
      </w:pPr>
      <w:r>
        <w:rPr>
          <w:rFonts w:ascii="宋体" w:hAnsi="宋体" w:cs="微软雅黑" w:hint="eastAsia"/>
          <w:bCs/>
          <w:szCs w:val="21"/>
          <w:highlight w:val="none"/>
        </w:rPr>
        <w:t>换电过程数据展示包括：当前换电模式、电池状态、充电状态、RFID状态、车辆状态、设备告警及换电的操作等信息，全面掌握换电的各个模块信息。</w:t>
      </w:r>
    </w:p>
    <w:p>
      <w:pPr>
        <w:numPr>
          <w:ilvl w:val="0"/>
          <w:numId w:val="2"/>
        </w:numPr>
        <w:adjustRightInd w:val="0"/>
        <w:snapToGrid w:val="0"/>
        <w:spacing w:line="360" w:lineRule="auto"/>
        <w:ind w:left="0" w:firstLine="420" w:firstLineChars="200"/>
        <w:rPr>
          <w:rFonts w:ascii="宋体" w:hAnsi="宋体"/>
          <w:szCs w:val="21"/>
          <w:highlight w:val="none"/>
        </w:rPr>
      </w:pPr>
      <w:r>
        <w:rPr>
          <w:rFonts w:ascii="宋体" w:hAnsi="宋体" w:hint="eastAsia"/>
          <w:szCs w:val="21"/>
          <w:highlight w:val="none"/>
        </w:rPr>
        <w:t>充电监控功能</w:t>
      </w:r>
    </w:p>
    <w:p>
      <w:pPr>
        <w:pStyle w:val="ListParagraph"/>
        <w:adjustRightInd w:val="0"/>
        <w:snapToGrid w:val="0"/>
        <w:spacing w:line="360" w:lineRule="auto"/>
        <w:rPr>
          <w:rFonts w:ascii="宋体" w:hAnsi="宋体" w:cs="宋体"/>
          <w:bCs/>
          <w:szCs w:val="21"/>
          <w:highlight w:val="none"/>
        </w:rPr>
      </w:pPr>
      <w:r>
        <w:rPr>
          <w:rFonts w:ascii="宋体" w:hAnsi="宋体" w:cs="宋体" w:hint="eastAsia"/>
          <w:bCs/>
          <w:szCs w:val="21"/>
          <w:highlight w:val="none"/>
        </w:rPr>
        <w:t>充电机运行信息监视，包括基本信息、充电状态、模块信息、告警信息等，实时监视每个充电机和电池的情况。</w:t>
      </w:r>
    </w:p>
    <w:p>
      <w:pPr>
        <w:pStyle w:val="ListParagraph"/>
        <w:adjustRightInd w:val="0"/>
        <w:snapToGrid w:val="0"/>
        <w:spacing w:line="360" w:lineRule="auto"/>
        <w:rPr>
          <w:rFonts w:ascii="宋体" w:hAnsi="宋体" w:cs="宋体"/>
          <w:bCs/>
          <w:szCs w:val="21"/>
          <w:highlight w:val="none"/>
        </w:rPr>
      </w:pPr>
      <w:r>
        <w:rPr>
          <w:rFonts w:ascii="宋体" w:hAnsi="宋体" w:cs="宋体" w:hint="eastAsia"/>
          <w:bCs/>
          <w:szCs w:val="21"/>
          <w:highlight w:val="none"/>
        </w:rPr>
        <w:t>电池充电控制功能，包括手动充电启停等。</w:t>
      </w:r>
    </w:p>
    <w:p>
      <w:pPr>
        <w:numPr>
          <w:ilvl w:val="0"/>
          <w:numId w:val="2"/>
        </w:numPr>
        <w:adjustRightInd w:val="0"/>
        <w:snapToGrid w:val="0"/>
        <w:spacing w:line="360" w:lineRule="auto"/>
        <w:ind w:left="0" w:firstLine="420" w:firstLineChars="200"/>
        <w:rPr>
          <w:rFonts w:ascii="宋体" w:hAnsi="宋体"/>
          <w:szCs w:val="21"/>
          <w:highlight w:val="none"/>
        </w:rPr>
      </w:pPr>
      <w:r>
        <w:rPr>
          <w:rFonts w:ascii="宋体" w:hAnsi="宋体" w:hint="eastAsia"/>
          <w:szCs w:val="21"/>
          <w:highlight w:val="none"/>
        </w:rPr>
        <w:t>历史查询功能</w:t>
      </w:r>
    </w:p>
    <w:p>
      <w:pPr>
        <w:pStyle w:val="ListParagraph"/>
        <w:adjustRightInd w:val="0"/>
        <w:snapToGrid w:val="0"/>
        <w:spacing w:line="360" w:lineRule="auto"/>
        <w:rPr>
          <w:rFonts w:ascii="宋体" w:hAnsi="宋体"/>
          <w:szCs w:val="21"/>
          <w:highlight w:val="none"/>
        </w:rPr>
      </w:pPr>
      <w:r>
        <w:rPr>
          <w:rFonts w:ascii="宋体" w:hAnsi="宋体" w:hint="eastAsia"/>
          <w:szCs w:val="21"/>
          <w:highlight w:val="none"/>
        </w:rPr>
        <w:t>支持换电站历史运行记录的查询，包括换电记录、充电记录、告警记录等。</w:t>
      </w:r>
    </w:p>
    <w:p>
      <w:pPr>
        <w:pStyle w:val="ListParagraph"/>
        <w:adjustRightInd w:val="0"/>
        <w:snapToGrid w:val="0"/>
        <w:spacing w:line="360" w:lineRule="auto"/>
        <w:rPr>
          <w:rFonts w:ascii="宋体" w:hAnsi="宋体"/>
          <w:szCs w:val="21"/>
          <w:highlight w:val="none"/>
        </w:rPr>
      </w:pPr>
      <w:r>
        <w:rPr>
          <w:rFonts w:ascii="宋体" w:hAnsi="宋体" w:hint="eastAsia"/>
          <w:szCs w:val="21"/>
          <w:highlight w:val="none"/>
        </w:rPr>
        <w:t>支持多条件复合筛选查询，并支持查询结果的导出。</w:t>
      </w:r>
    </w:p>
    <w:p>
      <w:pPr>
        <w:numPr>
          <w:ilvl w:val="0"/>
          <w:numId w:val="2"/>
        </w:numPr>
        <w:adjustRightInd w:val="0"/>
        <w:snapToGrid w:val="0"/>
        <w:spacing w:line="360" w:lineRule="auto"/>
        <w:ind w:left="0" w:firstLine="420" w:firstLineChars="200"/>
        <w:rPr>
          <w:rFonts w:ascii="宋体" w:hAnsi="宋体"/>
          <w:szCs w:val="21"/>
          <w:highlight w:val="none"/>
        </w:rPr>
      </w:pPr>
      <w:r>
        <w:rPr>
          <w:rFonts w:ascii="宋体" w:hAnsi="宋体" w:hint="eastAsia"/>
          <w:szCs w:val="21"/>
          <w:highlight w:val="none"/>
        </w:rPr>
        <w:t>数据统计功能</w:t>
      </w:r>
    </w:p>
    <w:p>
      <w:pPr>
        <w:overflowPunct w:val="0"/>
        <w:topLinePunct/>
        <w:spacing w:line="360" w:lineRule="auto"/>
        <w:ind w:firstLine="420" w:firstLineChars="200"/>
        <w:rPr>
          <w:rFonts w:ascii="宋体" w:hAnsi="宋体" w:hint="eastAsia"/>
          <w:szCs w:val="21"/>
          <w:highlight w:val="none"/>
        </w:rPr>
      </w:pPr>
      <w:r>
        <w:rPr>
          <w:rFonts w:ascii="宋体" w:hAnsi="宋体" w:hint="eastAsia"/>
          <w:szCs w:val="21"/>
          <w:highlight w:val="none"/>
        </w:rPr>
        <w:t>在页面展示累计充电次数、累计充电量、累计换电次数、实时告警数量</w:t>
      </w:r>
      <w:r>
        <w:rPr>
          <w:rFonts w:ascii="宋体" w:hAnsi="宋体"/>
          <w:szCs w:val="21"/>
          <w:highlight w:val="none"/>
        </w:rPr>
        <w:t>等统计信息</w:t>
      </w:r>
      <w:r>
        <w:rPr>
          <w:rFonts w:ascii="宋体" w:hAnsi="宋体" w:hint="eastAsia"/>
          <w:szCs w:val="21"/>
          <w:highlight w:val="none"/>
        </w:rPr>
        <w:t>。</w:t>
      </w:r>
    </w:p>
    <w:p>
      <w:pPr>
        <w:numPr>
          <w:ilvl w:val="0"/>
          <w:numId w:val="2"/>
        </w:numPr>
        <w:adjustRightInd w:val="0"/>
        <w:snapToGrid w:val="0"/>
        <w:spacing w:line="360" w:lineRule="auto"/>
        <w:ind w:left="0" w:firstLine="420" w:firstLineChars="200"/>
        <w:rPr>
          <w:rFonts w:ascii="宋体" w:hAnsi="宋体"/>
          <w:szCs w:val="21"/>
          <w:highlight w:val="none"/>
        </w:rPr>
      </w:pPr>
      <w:r>
        <w:rPr>
          <w:rFonts w:ascii="宋体" w:hAnsi="宋体" w:hint="eastAsia"/>
          <w:szCs w:val="21"/>
          <w:highlight w:val="none"/>
        </w:rPr>
        <w:t>计量计费功能</w:t>
      </w:r>
    </w:p>
    <w:p>
      <w:pPr>
        <w:overflowPunct w:val="0"/>
        <w:topLinePunct/>
        <w:spacing w:line="360" w:lineRule="auto"/>
        <w:ind w:firstLine="420" w:firstLineChars="200"/>
        <w:rPr>
          <w:rFonts w:ascii="宋体" w:hAnsi="宋体" w:hint="eastAsia"/>
          <w:szCs w:val="21"/>
          <w:highlight w:val="none"/>
        </w:rPr>
      </w:pPr>
      <w:r>
        <w:rPr>
          <w:rFonts w:ascii="宋体" w:hAnsi="宋体" w:hint="eastAsia"/>
          <w:szCs w:val="21"/>
          <w:highlight w:val="none"/>
        </w:rPr>
        <w:t>就地单独部署时，监控系统可实现单站换电的计量计费。</w:t>
      </w:r>
    </w:p>
    <w:p>
      <w:pPr>
        <w:pStyle w:val="-2"/>
        <w:numPr>
          <w:ilvl w:val="0"/>
          <w:numId w:val="0"/>
        </w:numPr>
        <w:tabs>
          <w:tab w:val="clear" w:pos="567"/>
          <w:tab w:val="clear" w:pos="851"/>
          <w:tab w:val="clear" w:pos="1144"/>
        </w:tabs>
        <w:outlineLvl w:val="1"/>
        <w:rPr>
          <w:rFonts w:ascii="Times New Roman" w:hAnsi="Times New Roman"/>
          <w:color w:val="auto"/>
          <w:sz w:val="24"/>
          <w:szCs w:val="24"/>
          <w:highlight w:val="none"/>
        </w:rPr>
      </w:pPr>
      <w:bookmarkStart w:id="30" w:name="_Toc23658"/>
      <w:bookmarkStart w:id="31" w:name="_Toc1834"/>
      <w:bookmarkStart w:id="32" w:name="_Toc25828"/>
      <w:bookmarkStart w:id="33" w:name="_Toc11950"/>
      <w:bookmarkStart w:id="34" w:name="_Toc23867"/>
      <w:r>
        <w:rPr>
          <w:rFonts w:ascii="Times New Roman" w:hAnsi="Times New Roman" w:hint="eastAsia"/>
          <w:color w:val="auto"/>
          <w:sz w:val="24"/>
          <w:szCs w:val="24"/>
          <w:highlight w:val="none"/>
          <w:lang w:val="en-US" w:eastAsia="zh-CN"/>
        </w:rPr>
        <w:t>10.</w:t>
      </w:r>
      <w:r>
        <w:rPr>
          <w:rFonts w:ascii="Times New Roman" w:hAnsi="Times New Roman"/>
          <w:color w:val="auto"/>
          <w:sz w:val="24"/>
          <w:szCs w:val="24"/>
          <w:highlight w:val="none"/>
        </w:rPr>
        <w:t>视频监控系统</w:t>
      </w:r>
      <w:bookmarkEnd w:id="30"/>
      <w:bookmarkEnd w:id="31"/>
      <w:bookmarkEnd w:id="32"/>
      <w:bookmarkEnd w:id="33"/>
      <w:bookmarkEnd w:id="34"/>
    </w:p>
    <w:p>
      <w:pPr>
        <w:overflowPunct w:val="0"/>
        <w:topLinePunct/>
        <w:spacing w:line="360" w:lineRule="auto"/>
        <w:ind w:firstLine="420" w:firstLineChars="200"/>
        <w:rPr>
          <w:rStyle w:val="EUChar"/>
          <w:rFonts w:ascii="Times New Roman" w:hint="eastAsia"/>
          <w:highlight w:val="none"/>
        </w:rPr>
      </w:pPr>
      <w:r>
        <w:rPr>
          <w:rStyle w:val="EUChar"/>
          <w:rFonts w:ascii="Times New Roman" w:hint="eastAsia"/>
          <w:highlight w:val="none"/>
        </w:rPr>
        <w:t>视频监控系统应包含摄像、传输、控制、显示、记录登记等部分。摄像机通过工业交换机将视频信号传入录像设备，并由录像设备传入显示器进行显示，视频监控系统的配置应能保障无死角监控。监控设备要求国内一线品牌。</w:t>
      </w:r>
    </w:p>
    <w:p>
      <w:pPr>
        <w:overflowPunct w:val="0"/>
        <w:topLinePunct/>
        <w:spacing w:line="360" w:lineRule="auto"/>
        <w:ind w:firstLine="420" w:firstLineChars="200"/>
        <w:rPr>
          <w:rStyle w:val="EUChar"/>
          <w:rFonts w:ascii="Times New Roman"/>
          <w:highlight w:val="none"/>
        </w:rPr>
      </w:pPr>
      <w:r>
        <w:rPr>
          <w:rStyle w:val="EUChar"/>
          <w:rFonts w:ascii="Times New Roman" w:hint="eastAsia"/>
          <w:highlight w:val="none"/>
        </w:rPr>
        <w:t>视频监控主要元器件如下</w:t>
      </w:r>
      <w:r>
        <w:rPr>
          <w:rStyle w:val="EUChar"/>
          <w:rFonts w:ascii="Times New Roman"/>
          <w:highlight w:val="none"/>
        </w:rPr>
        <w:t>：</w:t>
      </w:r>
    </w:p>
    <w:p>
      <w:pPr>
        <w:spacing w:before="156" w:beforeLines="50" w:after="156" w:afterLines="50"/>
        <w:jc w:val="center"/>
        <w:rPr>
          <w:sz w:val="24"/>
          <w:szCs w:val="28"/>
          <w:highlight w:val="none"/>
        </w:rPr>
      </w:pPr>
      <w:r>
        <w:rPr>
          <w:szCs w:val="21"/>
          <w:highlight w:val="none"/>
        </w:rPr>
        <w:t>表</w:t>
      </w:r>
      <w:r>
        <w:rPr>
          <w:rFonts w:hint="eastAsia"/>
          <w:szCs w:val="21"/>
          <w:highlight w:val="none"/>
          <w:lang w:val="en-US" w:eastAsia="zh-CN"/>
        </w:rPr>
        <w:t>7</w:t>
      </w:r>
      <w:r>
        <w:rPr>
          <w:szCs w:val="21"/>
          <w:highlight w:val="none"/>
        </w:rPr>
        <w:t xml:space="preserve"> 视频监控主要元器件</w:t>
      </w:r>
    </w:p>
    <w:tbl>
      <w:tblPr>
        <w:tblStyle w:val="TableNormal"/>
        <w:tblW w:w="4841" w:type="pct"/>
        <w:jc w:val="center"/>
        <w:shd w:val="clear" w:color="auto" w:fill="FFFFFF"/>
        <w:tblCellMar>
          <w:top w:w="0" w:type="dxa"/>
          <w:left w:w="0" w:type="dxa"/>
          <w:bottom w:w="0" w:type="dxa"/>
          <w:right w:w="0" w:type="dxa"/>
        </w:tblCellMar>
      </w:tblPr>
      <w:tblGrid>
        <w:gridCol w:w="794"/>
        <w:gridCol w:w="1229"/>
        <w:gridCol w:w="4183"/>
        <w:gridCol w:w="2045"/>
      </w:tblGrid>
      <w:tr>
        <w:tblPrEx>
          <w:tblW w:w="4841" w:type="pct"/>
          <w:jc w:val="center"/>
          <w:shd w:val="clear" w:color="auto" w:fill="FFFFFF"/>
          <w:tblCellMar>
            <w:top w:w="0" w:type="dxa"/>
            <w:left w:w="0" w:type="dxa"/>
            <w:bottom w:w="0" w:type="dxa"/>
            <w:right w:w="0" w:type="dxa"/>
          </w:tblCellMar>
        </w:tblPrEx>
        <w:trPr>
          <w:trHeight w:val="366"/>
          <w:jc w:val="center"/>
        </w:trPr>
        <w:tc>
          <w:tcPr>
            <w:tcW w:w="481" w:type="pct"/>
            <w:tcBorders>
              <w:top w:val="single" w:sz="4" w:space="0" w:color="auto"/>
              <w:left w:val="single" w:sz="4" w:space="0" w:color="auto"/>
              <w:bottom w:val="single" w:sz="4" w:space="0" w:color="auto"/>
              <w:right w:val="single" w:sz="4" w:space="0" w:color="auto"/>
            </w:tcBorders>
            <w:shd w:val="clear" w:color="auto" w:fill="auto"/>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highlight w:val="none"/>
              </w:rPr>
            </w:pPr>
            <w:r>
              <w:rPr>
                <w:highlight w:val="none"/>
              </w:rPr>
              <w:t>序号</w:t>
            </w:r>
          </w:p>
        </w:tc>
        <w:tc>
          <w:tcPr>
            <w:tcW w:w="745" w:type="pct"/>
            <w:tcBorders>
              <w:top w:val="single" w:sz="4" w:space="0" w:color="auto"/>
              <w:left w:val="single" w:sz="4" w:space="0" w:color="auto"/>
              <w:bottom w:val="single" w:sz="4" w:space="0" w:color="auto"/>
              <w:right w:val="single" w:sz="4" w:space="0" w:color="auto"/>
            </w:tcBorders>
            <w:shd w:val="clear" w:color="auto" w:fill="auto"/>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highlight w:val="none"/>
              </w:rPr>
            </w:pPr>
            <w:r>
              <w:rPr>
                <w:highlight w:val="none"/>
              </w:rPr>
              <w:t>项目</w:t>
            </w:r>
          </w:p>
        </w:tc>
        <w:tc>
          <w:tcPr>
            <w:tcW w:w="2535" w:type="pct"/>
            <w:tcBorders>
              <w:top w:val="single" w:sz="4" w:space="0" w:color="auto"/>
              <w:left w:val="single" w:sz="4" w:space="0" w:color="auto"/>
              <w:bottom w:val="single" w:sz="4" w:space="0" w:color="auto"/>
              <w:right w:val="single" w:sz="4" w:space="0" w:color="auto"/>
            </w:tcBorders>
            <w:shd w:val="clear" w:color="auto" w:fill="auto"/>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highlight w:val="none"/>
              </w:rPr>
            </w:pPr>
            <w:r>
              <w:rPr>
                <w:highlight w:val="none"/>
              </w:rPr>
              <w:t>配置</w:t>
            </w:r>
          </w:p>
        </w:tc>
        <w:tc>
          <w:tcPr>
            <w:tcW w:w="1239" w:type="pct"/>
            <w:tcBorders>
              <w:top w:val="single" w:sz="4" w:space="0" w:color="auto"/>
              <w:left w:val="single" w:sz="4" w:space="0" w:color="auto"/>
              <w:bottom w:val="single" w:sz="4" w:space="0" w:color="auto"/>
              <w:right w:val="single" w:sz="4" w:space="0" w:color="auto"/>
            </w:tcBorders>
            <w:shd w:val="clear" w:color="auto" w:fill="auto"/>
            <w:noWrap w:val="0"/>
            <w:tcMar>
              <w:top w:w="0" w:type="dxa"/>
              <w:left w:w="108" w:type="dxa"/>
              <w:bottom w:w="0" w:type="dxa"/>
              <w:right w:w="108" w:type="dxa"/>
            </w:tcMar>
            <w:vAlign w:val="center"/>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highlight w:val="none"/>
              </w:rPr>
            </w:pPr>
            <w:r>
              <w:rPr>
                <w:highlight w:val="none"/>
              </w:rPr>
              <w:t>备注</w:t>
            </w:r>
          </w:p>
        </w:tc>
      </w:tr>
      <w:tr>
        <w:tblPrEx>
          <w:tblW w:w="4841" w:type="pct"/>
          <w:jc w:val="center"/>
          <w:shd w:val="clear" w:color="auto" w:fill="FFFFFF"/>
          <w:tblCellMar>
            <w:top w:w="0" w:type="dxa"/>
            <w:left w:w="0" w:type="dxa"/>
            <w:bottom w:w="0" w:type="dxa"/>
            <w:right w:w="0" w:type="dxa"/>
          </w:tblCellMar>
        </w:tblPrEx>
        <w:trPr>
          <w:trHeight w:val="366"/>
          <w:jc w:val="center"/>
        </w:trPr>
        <w:tc>
          <w:tcPr>
            <w:tcW w:w="481" w:type="pct"/>
            <w:tcBorders>
              <w:top w:val="single" w:sz="4" w:space="0" w:color="auto"/>
              <w:left w:val="single" w:sz="4" w:space="0" w:color="auto"/>
              <w:bottom w:val="single" w:sz="4" w:space="0" w:color="auto"/>
              <w:right w:val="single" w:sz="4" w:space="0" w:color="auto"/>
            </w:tcBorders>
            <w:shd w:val="clear" w:color="auto" w:fill="FFFFFF"/>
            <w:noWrap w:val="0"/>
            <w:tcMar>
              <w:top w:w="0" w:type="dxa"/>
              <w:left w:w="108" w:type="dxa"/>
              <w:bottom w:w="0" w:type="dxa"/>
              <w:right w:w="108" w:type="dxa"/>
            </w:tcMar>
            <w:vAlign w:val="top"/>
          </w:tcPr>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highlight w:val="none"/>
              </w:rPr>
            </w:pPr>
            <w:r>
              <w:rPr>
                <w:color w:val="000000"/>
                <w:highlight w:val="none"/>
              </w:rPr>
              <w:t>1</w:t>
            </w:r>
          </w:p>
        </w:tc>
        <w:tc>
          <w:tcPr>
            <w:tcW w:w="745" w:type="pct"/>
            <w:tcBorders>
              <w:top w:val="single" w:sz="4" w:space="0" w:color="auto"/>
              <w:left w:val="single" w:sz="4" w:space="0" w:color="auto"/>
              <w:bottom w:val="single" w:sz="4" w:space="0" w:color="auto"/>
              <w:right w:val="single" w:sz="4" w:space="0" w:color="auto"/>
            </w:tcBorders>
            <w:shd w:val="clear" w:color="auto" w:fill="FFFFFF"/>
            <w:noWrap w:val="0"/>
            <w:tcMar>
              <w:top w:w="0" w:type="dxa"/>
              <w:left w:w="108" w:type="dxa"/>
              <w:bottom w:w="0" w:type="dxa"/>
              <w:right w:w="108" w:type="dxa"/>
            </w:tcMar>
            <w:vAlign w:val="top"/>
          </w:tcPr>
          <w:p>
            <w:pPr>
              <w:rPr>
                <w:highlight w:val="none"/>
              </w:rPr>
            </w:pPr>
            <w:r>
              <w:rPr>
                <w:highlight w:val="none"/>
              </w:rPr>
              <w:t>枪机</w:t>
            </w:r>
          </w:p>
        </w:tc>
        <w:tc>
          <w:tcPr>
            <w:tcW w:w="2535" w:type="pct"/>
            <w:tcBorders>
              <w:top w:val="single" w:sz="4" w:space="0" w:color="auto"/>
              <w:left w:val="single" w:sz="4" w:space="0" w:color="auto"/>
              <w:bottom w:val="single" w:sz="4" w:space="0" w:color="auto"/>
              <w:right w:val="single" w:sz="4" w:space="0" w:color="auto"/>
            </w:tcBorders>
            <w:shd w:val="clear" w:color="auto" w:fill="FFFFFF"/>
            <w:noWrap w:val="0"/>
            <w:tcMar>
              <w:top w:w="0" w:type="dxa"/>
              <w:left w:w="108" w:type="dxa"/>
              <w:bottom w:w="0" w:type="dxa"/>
              <w:right w:w="108" w:type="dxa"/>
            </w:tcMar>
            <w:vAlign w:val="top"/>
          </w:tcPr>
          <w:p>
            <w:pPr>
              <w:rPr>
                <w:highlight w:val="none"/>
              </w:rPr>
            </w:pPr>
            <w:r>
              <w:rPr>
                <w:highlight w:val="none"/>
              </w:rPr>
              <w:t>200</w:t>
            </w:r>
            <w:r>
              <w:rPr>
                <w:rFonts w:hint="eastAsia"/>
                <w:highlight w:val="none"/>
              </w:rPr>
              <w:t>万网络高清，夜视3</w:t>
            </w:r>
            <w:r>
              <w:rPr>
                <w:highlight w:val="none"/>
              </w:rPr>
              <w:t>0m</w:t>
            </w:r>
            <w:r>
              <w:rPr>
                <w:rFonts w:hint="eastAsia"/>
                <w:highlight w:val="none"/>
              </w:rPr>
              <w:t>，</w:t>
            </w:r>
            <w:r>
              <w:rPr>
                <w:highlight w:val="none"/>
              </w:rPr>
              <w:t>焦距4mm</w:t>
            </w:r>
            <w:r>
              <w:rPr>
                <w:rFonts w:hint="eastAsia"/>
                <w:highlight w:val="none"/>
              </w:rPr>
              <w:t>，</w:t>
            </w:r>
            <w:r>
              <w:rPr>
                <w:highlight w:val="none"/>
              </w:rPr>
              <w:t>3台</w:t>
            </w:r>
          </w:p>
        </w:tc>
        <w:tc>
          <w:tcPr>
            <w:tcW w:w="1239" w:type="pct"/>
            <w:tcBorders>
              <w:top w:val="single" w:sz="4" w:space="0" w:color="auto"/>
              <w:left w:val="single" w:sz="4" w:space="0" w:color="auto"/>
              <w:bottom w:val="single" w:sz="4" w:space="0" w:color="auto"/>
              <w:right w:val="single" w:sz="4" w:space="0" w:color="auto"/>
            </w:tcBorders>
            <w:shd w:val="clear" w:color="auto" w:fill="FFFFFF"/>
            <w:noWrap w:val="0"/>
            <w:tcMar>
              <w:top w:w="0" w:type="dxa"/>
              <w:left w:w="108" w:type="dxa"/>
              <w:bottom w:w="0" w:type="dxa"/>
              <w:right w:w="108" w:type="dxa"/>
            </w:tcMar>
            <w:vAlign w:val="top"/>
          </w:tcPr>
          <w:p>
            <w:pPr>
              <w:rPr>
                <w:rFonts w:hint="eastAsia"/>
                <w:highlight w:val="none"/>
              </w:rPr>
            </w:pPr>
            <w:r>
              <w:rPr>
                <w:rFonts w:hint="eastAsia"/>
                <w:highlight w:val="none"/>
              </w:rPr>
              <w:t>国产品牌</w:t>
            </w:r>
          </w:p>
        </w:tc>
      </w:tr>
      <w:tr>
        <w:tblPrEx>
          <w:tblW w:w="4841" w:type="pct"/>
          <w:jc w:val="center"/>
          <w:shd w:val="clear" w:color="auto" w:fill="FFFFFF"/>
          <w:tblCellMar>
            <w:top w:w="0" w:type="dxa"/>
            <w:left w:w="0" w:type="dxa"/>
            <w:bottom w:w="0" w:type="dxa"/>
            <w:right w:w="0" w:type="dxa"/>
          </w:tblCellMar>
        </w:tblPrEx>
        <w:trPr>
          <w:trHeight w:val="366"/>
          <w:jc w:val="center"/>
        </w:trPr>
        <w:tc>
          <w:tcPr>
            <w:tcW w:w="481" w:type="pct"/>
            <w:tcBorders>
              <w:top w:val="single" w:sz="4" w:space="0" w:color="auto"/>
              <w:left w:val="single" w:sz="4" w:space="0" w:color="auto"/>
              <w:bottom w:val="single" w:sz="4" w:space="0" w:color="auto"/>
              <w:right w:val="single" w:sz="4" w:space="0" w:color="auto"/>
            </w:tcBorders>
            <w:shd w:val="clear" w:color="auto" w:fill="FFFFFF"/>
            <w:noWrap w:val="0"/>
            <w:tcMar>
              <w:top w:w="0" w:type="dxa"/>
              <w:left w:w="108" w:type="dxa"/>
              <w:bottom w:w="0" w:type="dxa"/>
              <w:right w:w="108" w:type="dxa"/>
            </w:tcMar>
            <w:vAlign w:val="top"/>
          </w:tcPr>
          <w:p>
            <w:pPr>
              <w:jc w:val="center"/>
              <w:rPr>
                <w:highlight w:val="none"/>
              </w:rPr>
            </w:pPr>
            <w:r>
              <w:rPr>
                <w:highlight w:val="none"/>
              </w:rPr>
              <w:t>2</w:t>
            </w:r>
          </w:p>
        </w:tc>
        <w:tc>
          <w:tcPr>
            <w:tcW w:w="745" w:type="pct"/>
            <w:tcBorders>
              <w:top w:val="single" w:sz="4" w:space="0" w:color="auto"/>
              <w:left w:val="single" w:sz="4" w:space="0" w:color="auto"/>
              <w:bottom w:val="single" w:sz="4" w:space="0" w:color="auto"/>
              <w:right w:val="single" w:sz="4" w:space="0" w:color="auto"/>
            </w:tcBorders>
            <w:shd w:val="clear" w:color="auto" w:fill="FFFFFF"/>
            <w:noWrap w:val="0"/>
            <w:tcMar>
              <w:top w:w="0" w:type="dxa"/>
              <w:left w:w="108" w:type="dxa"/>
              <w:bottom w:w="0" w:type="dxa"/>
              <w:right w:w="108" w:type="dxa"/>
            </w:tcMar>
            <w:vAlign w:val="top"/>
          </w:tcPr>
          <w:p>
            <w:pPr>
              <w:rPr>
                <w:highlight w:val="none"/>
              </w:rPr>
            </w:pPr>
            <w:r>
              <w:rPr>
                <w:highlight w:val="none"/>
              </w:rPr>
              <w:t>鱼眼</w:t>
            </w:r>
          </w:p>
        </w:tc>
        <w:tc>
          <w:tcPr>
            <w:tcW w:w="2535" w:type="pct"/>
            <w:tcBorders>
              <w:top w:val="single" w:sz="4" w:space="0" w:color="auto"/>
              <w:left w:val="single" w:sz="4" w:space="0" w:color="auto"/>
              <w:bottom w:val="single" w:sz="4" w:space="0" w:color="auto"/>
              <w:right w:val="single" w:sz="4" w:space="0" w:color="auto"/>
            </w:tcBorders>
            <w:shd w:val="clear" w:color="auto" w:fill="FFFFFF"/>
            <w:noWrap w:val="0"/>
            <w:tcMar>
              <w:top w:w="0" w:type="dxa"/>
              <w:left w:w="108" w:type="dxa"/>
              <w:bottom w:w="0" w:type="dxa"/>
              <w:right w:w="108" w:type="dxa"/>
            </w:tcMar>
            <w:vAlign w:val="top"/>
          </w:tcPr>
          <w:p>
            <w:pPr>
              <w:rPr>
                <w:highlight w:val="none"/>
              </w:rPr>
            </w:pPr>
            <w:r>
              <w:rPr>
                <w:highlight w:val="none"/>
              </w:rPr>
              <w:t>红外夜视</w:t>
            </w:r>
            <w:r>
              <w:rPr>
                <w:rFonts w:hint="eastAsia"/>
                <w:highlight w:val="none"/>
              </w:rPr>
              <w:t>，400万像素及以上网络高清，</w:t>
            </w:r>
            <w:r>
              <w:rPr>
                <w:highlight w:val="none"/>
              </w:rPr>
              <w:t>1台</w:t>
            </w:r>
          </w:p>
        </w:tc>
        <w:tc>
          <w:tcPr>
            <w:tcW w:w="1239" w:type="pct"/>
            <w:tcBorders>
              <w:top w:val="single" w:sz="4" w:space="0" w:color="auto"/>
              <w:left w:val="single" w:sz="4" w:space="0" w:color="auto"/>
              <w:bottom w:val="single" w:sz="4" w:space="0" w:color="auto"/>
              <w:right w:val="single" w:sz="4" w:space="0" w:color="auto"/>
            </w:tcBorders>
            <w:shd w:val="clear" w:color="auto" w:fill="FFFFFF"/>
            <w:noWrap w:val="0"/>
            <w:tcMar>
              <w:top w:w="0" w:type="dxa"/>
              <w:left w:w="108" w:type="dxa"/>
              <w:bottom w:w="0" w:type="dxa"/>
              <w:right w:w="108" w:type="dxa"/>
            </w:tcMar>
            <w:vAlign w:val="top"/>
          </w:tcPr>
          <w:p>
            <w:pPr>
              <w:rPr>
                <w:highlight w:val="none"/>
              </w:rPr>
            </w:pPr>
            <w:r>
              <w:rPr>
                <w:rFonts w:hint="eastAsia"/>
                <w:highlight w:val="none"/>
              </w:rPr>
              <w:t>国产品牌</w:t>
            </w:r>
          </w:p>
        </w:tc>
      </w:tr>
      <w:tr>
        <w:tblPrEx>
          <w:tblW w:w="4841" w:type="pct"/>
          <w:jc w:val="center"/>
          <w:shd w:val="clear" w:color="auto" w:fill="FFFFFF"/>
          <w:tblCellMar>
            <w:top w:w="0" w:type="dxa"/>
            <w:left w:w="0" w:type="dxa"/>
            <w:bottom w:w="0" w:type="dxa"/>
            <w:right w:w="0" w:type="dxa"/>
          </w:tblCellMar>
        </w:tblPrEx>
        <w:trPr>
          <w:trHeight w:val="366"/>
          <w:jc w:val="center"/>
        </w:trPr>
        <w:tc>
          <w:tcPr>
            <w:tcW w:w="481" w:type="pct"/>
            <w:tcBorders>
              <w:top w:val="single" w:sz="4" w:space="0" w:color="auto"/>
              <w:left w:val="single" w:sz="4" w:space="0" w:color="auto"/>
              <w:bottom w:val="single" w:sz="4" w:space="0" w:color="auto"/>
              <w:right w:val="single" w:sz="4" w:space="0" w:color="auto"/>
            </w:tcBorders>
            <w:shd w:val="clear" w:color="auto" w:fill="FFFFFF"/>
            <w:noWrap w:val="0"/>
            <w:tcMar>
              <w:top w:w="0" w:type="dxa"/>
              <w:left w:w="108" w:type="dxa"/>
              <w:bottom w:w="0" w:type="dxa"/>
              <w:right w:w="108" w:type="dxa"/>
            </w:tcMar>
            <w:vAlign w:val="top"/>
          </w:tcPr>
          <w:p>
            <w:pPr>
              <w:jc w:val="center"/>
              <w:rPr>
                <w:highlight w:val="none"/>
              </w:rPr>
            </w:pPr>
            <w:r>
              <w:rPr>
                <w:highlight w:val="none"/>
              </w:rPr>
              <w:t>3</w:t>
            </w:r>
          </w:p>
        </w:tc>
        <w:tc>
          <w:tcPr>
            <w:tcW w:w="745" w:type="pct"/>
            <w:tcBorders>
              <w:top w:val="single" w:sz="4" w:space="0" w:color="auto"/>
              <w:left w:val="single" w:sz="4" w:space="0" w:color="auto"/>
              <w:bottom w:val="single" w:sz="4" w:space="0" w:color="auto"/>
              <w:right w:val="single" w:sz="4" w:space="0" w:color="auto"/>
            </w:tcBorders>
            <w:shd w:val="clear" w:color="auto" w:fill="FFFFFF"/>
            <w:noWrap w:val="0"/>
            <w:tcMar>
              <w:top w:w="0" w:type="dxa"/>
              <w:left w:w="108" w:type="dxa"/>
              <w:bottom w:w="0" w:type="dxa"/>
              <w:right w:w="108" w:type="dxa"/>
            </w:tcMar>
            <w:vAlign w:val="top"/>
          </w:tcPr>
          <w:p>
            <w:pPr>
              <w:rPr>
                <w:highlight w:val="none"/>
              </w:rPr>
            </w:pPr>
            <w:r>
              <w:rPr>
                <w:highlight w:val="none"/>
              </w:rPr>
              <w:t>半球</w:t>
            </w:r>
          </w:p>
        </w:tc>
        <w:tc>
          <w:tcPr>
            <w:tcW w:w="2535" w:type="pct"/>
            <w:tcBorders>
              <w:top w:val="single" w:sz="4" w:space="0" w:color="auto"/>
              <w:left w:val="single" w:sz="4" w:space="0" w:color="auto"/>
              <w:bottom w:val="single" w:sz="4" w:space="0" w:color="auto"/>
              <w:right w:val="single" w:sz="4" w:space="0" w:color="auto"/>
            </w:tcBorders>
            <w:shd w:val="clear" w:color="auto" w:fill="FFFFFF"/>
            <w:noWrap w:val="0"/>
            <w:tcMar>
              <w:top w:w="0" w:type="dxa"/>
              <w:left w:w="108" w:type="dxa"/>
              <w:bottom w:w="0" w:type="dxa"/>
              <w:right w:w="108" w:type="dxa"/>
            </w:tcMar>
            <w:vAlign w:val="top"/>
          </w:tcPr>
          <w:p>
            <w:pPr>
              <w:rPr>
                <w:highlight w:val="none"/>
              </w:rPr>
            </w:pPr>
            <w:r>
              <w:rPr>
                <w:highlight w:val="none"/>
              </w:rPr>
              <w:t>200</w:t>
            </w:r>
            <w:r>
              <w:rPr>
                <w:rFonts w:hint="eastAsia"/>
                <w:highlight w:val="none"/>
              </w:rPr>
              <w:t>万网络高清，日夜型，</w:t>
            </w:r>
            <w:r>
              <w:rPr>
                <w:highlight w:val="none"/>
              </w:rPr>
              <w:t>3台</w:t>
            </w:r>
          </w:p>
        </w:tc>
        <w:tc>
          <w:tcPr>
            <w:tcW w:w="1239" w:type="pct"/>
            <w:tcBorders>
              <w:top w:val="single" w:sz="4" w:space="0" w:color="auto"/>
              <w:left w:val="single" w:sz="4" w:space="0" w:color="auto"/>
              <w:bottom w:val="single" w:sz="4" w:space="0" w:color="auto"/>
              <w:right w:val="single" w:sz="4" w:space="0" w:color="auto"/>
            </w:tcBorders>
            <w:shd w:val="clear" w:color="auto" w:fill="FFFFFF"/>
            <w:noWrap w:val="0"/>
            <w:tcMar>
              <w:top w:w="0" w:type="dxa"/>
              <w:left w:w="108" w:type="dxa"/>
              <w:bottom w:w="0" w:type="dxa"/>
              <w:right w:w="108" w:type="dxa"/>
            </w:tcMar>
            <w:vAlign w:val="top"/>
          </w:tcPr>
          <w:p>
            <w:pPr>
              <w:rPr>
                <w:highlight w:val="none"/>
              </w:rPr>
            </w:pPr>
            <w:r>
              <w:rPr>
                <w:rFonts w:hint="eastAsia"/>
                <w:highlight w:val="none"/>
              </w:rPr>
              <w:t>国产品牌</w:t>
            </w:r>
          </w:p>
        </w:tc>
      </w:tr>
      <w:tr>
        <w:tblPrEx>
          <w:tblW w:w="4841" w:type="pct"/>
          <w:jc w:val="center"/>
          <w:shd w:val="clear" w:color="auto" w:fill="FFFFFF"/>
          <w:tblCellMar>
            <w:top w:w="0" w:type="dxa"/>
            <w:left w:w="0" w:type="dxa"/>
            <w:bottom w:w="0" w:type="dxa"/>
            <w:right w:w="0" w:type="dxa"/>
          </w:tblCellMar>
        </w:tblPrEx>
        <w:trPr>
          <w:trHeight w:val="366"/>
          <w:jc w:val="center"/>
        </w:trPr>
        <w:tc>
          <w:tcPr>
            <w:tcW w:w="481" w:type="pct"/>
            <w:tcBorders>
              <w:top w:val="single" w:sz="4" w:space="0" w:color="auto"/>
              <w:left w:val="single" w:sz="4" w:space="0" w:color="auto"/>
              <w:bottom w:val="single" w:sz="4" w:space="0" w:color="auto"/>
              <w:right w:val="single" w:sz="4" w:space="0" w:color="auto"/>
            </w:tcBorders>
            <w:shd w:val="clear" w:color="auto" w:fill="FFFFFF"/>
            <w:noWrap w:val="0"/>
            <w:tcMar>
              <w:top w:w="0" w:type="dxa"/>
              <w:left w:w="108" w:type="dxa"/>
              <w:bottom w:w="0" w:type="dxa"/>
              <w:right w:w="108" w:type="dxa"/>
            </w:tcMar>
            <w:vAlign w:val="top"/>
          </w:tcPr>
          <w:p>
            <w:pPr>
              <w:jc w:val="center"/>
              <w:rPr>
                <w:highlight w:val="none"/>
              </w:rPr>
            </w:pPr>
            <w:r>
              <w:rPr>
                <w:highlight w:val="none"/>
              </w:rPr>
              <w:t>4</w:t>
            </w:r>
          </w:p>
        </w:tc>
        <w:tc>
          <w:tcPr>
            <w:tcW w:w="745" w:type="pct"/>
            <w:tcBorders>
              <w:top w:val="single" w:sz="4" w:space="0" w:color="auto"/>
              <w:left w:val="single" w:sz="4" w:space="0" w:color="auto"/>
              <w:bottom w:val="single" w:sz="4" w:space="0" w:color="auto"/>
              <w:right w:val="single" w:sz="4" w:space="0" w:color="auto"/>
            </w:tcBorders>
            <w:shd w:val="clear" w:color="auto" w:fill="FFFFFF"/>
            <w:noWrap w:val="0"/>
            <w:tcMar>
              <w:top w:w="0" w:type="dxa"/>
              <w:left w:w="108" w:type="dxa"/>
              <w:bottom w:w="0" w:type="dxa"/>
              <w:right w:w="108" w:type="dxa"/>
            </w:tcMar>
            <w:vAlign w:val="top"/>
          </w:tcPr>
          <w:p>
            <w:pPr>
              <w:rPr>
                <w:highlight w:val="none"/>
              </w:rPr>
            </w:pPr>
            <w:r>
              <w:rPr>
                <w:highlight w:val="none"/>
              </w:rPr>
              <w:t>支架</w:t>
            </w:r>
          </w:p>
        </w:tc>
        <w:tc>
          <w:tcPr>
            <w:tcW w:w="2535" w:type="pct"/>
            <w:tcBorders>
              <w:top w:val="single" w:sz="4" w:space="0" w:color="auto"/>
              <w:left w:val="single" w:sz="4" w:space="0" w:color="auto"/>
              <w:bottom w:val="single" w:sz="4" w:space="0" w:color="auto"/>
              <w:right w:val="single" w:sz="4" w:space="0" w:color="auto"/>
            </w:tcBorders>
            <w:shd w:val="clear" w:color="auto" w:fill="FFFFFF"/>
            <w:noWrap w:val="0"/>
            <w:tcMar>
              <w:top w:w="0" w:type="dxa"/>
              <w:left w:w="108" w:type="dxa"/>
              <w:bottom w:w="0" w:type="dxa"/>
              <w:right w:w="108" w:type="dxa"/>
            </w:tcMar>
            <w:vAlign w:val="top"/>
          </w:tcPr>
          <w:p>
            <w:pPr>
              <w:rPr>
                <w:highlight w:val="none"/>
              </w:rPr>
            </w:pPr>
            <w:r>
              <w:rPr>
                <w:rFonts w:hint="eastAsia"/>
                <w:highlight w:val="none"/>
              </w:rPr>
              <w:t>壁装支架，</w:t>
            </w:r>
            <w:r>
              <w:rPr>
                <w:highlight w:val="none"/>
              </w:rPr>
              <w:t>7个</w:t>
            </w:r>
          </w:p>
        </w:tc>
        <w:tc>
          <w:tcPr>
            <w:tcW w:w="1239" w:type="pct"/>
            <w:tcBorders>
              <w:top w:val="single" w:sz="4" w:space="0" w:color="auto"/>
              <w:left w:val="single" w:sz="4" w:space="0" w:color="auto"/>
              <w:bottom w:val="single" w:sz="4" w:space="0" w:color="auto"/>
              <w:right w:val="single" w:sz="4" w:space="0" w:color="auto"/>
            </w:tcBorders>
            <w:shd w:val="clear" w:color="auto" w:fill="FFFFFF"/>
            <w:noWrap w:val="0"/>
            <w:tcMar>
              <w:top w:w="0" w:type="dxa"/>
              <w:left w:w="108" w:type="dxa"/>
              <w:bottom w:w="0" w:type="dxa"/>
              <w:right w:w="108" w:type="dxa"/>
            </w:tcMar>
            <w:vAlign w:val="top"/>
          </w:tcPr>
          <w:p>
            <w:pPr>
              <w:rPr>
                <w:highlight w:val="none"/>
              </w:rPr>
            </w:pPr>
            <w:r>
              <w:rPr>
                <w:rFonts w:hint="eastAsia"/>
                <w:highlight w:val="none"/>
              </w:rPr>
              <w:t>国产品牌</w:t>
            </w:r>
          </w:p>
        </w:tc>
      </w:tr>
      <w:tr>
        <w:tblPrEx>
          <w:tblW w:w="4841" w:type="pct"/>
          <w:jc w:val="center"/>
          <w:shd w:val="clear" w:color="auto" w:fill="FFFFFF"/>
          <w:tblCellMar>
            <w:top w:w="0" w:type="dxa"/>
            <w:left w:w="0" w:type="dxa"/>
            <w:bottom w:w="0" w:type="dxa"/>
            <w:right w:w="0" w:type="dxa"/>
          </w:tblCellMar>
        </w:tblPrEx>
        <w:trPr>
          <w:trHeight w:val="366"/>
          <w:jc w:val="center"/>
        </w:trPr>
        <w:tc>
          <w:tcPr>
            <w:tcW w:w="481" w:type="pct"/>
            <w:tcBorders>
              <w:top w:val="single" w:sz="4" w:space="0" w:color="auto"/>
              <w:left w:val="single" w:sz="4" w:space="0" w:color="auto"/>
              <w:bottom w:val="single" w:sz="4" w:space="0" w:color="auto"/>
              <w:right w:val="single" w:sz="4" w:space="0" w:color="auto"/>
            </w:tcBorders>
            <w:shd w:val="clear" w:color="auto" w:fill="FFFFFF"/>
            <w:noWrap w:val="0"/>
            <w:tcMar>
              <w:top w:w="0" w:type="dxa"/>
              <w:left w:w="108" w:type="dxa"/>
              <w:bottom w:w="0" w:type="dxa"/>
              <w:right w:w="108" w:type="dxa"/>
            </w:tcMar>
            <w:vAlign w:val="center"/>
          </w:tcPr>
          <w:p>
            <w:pPr>
              <w:jc w:val="center"/>
              <w:rPr>
                <w:highlight w:val="none"/>
              </w:rPr>
            </w:pPr>
            <w:r>
              <w:rPr>
                <w:highlight w:val="none"/>
              </w:rPr>
              <w:t>5</w:t>
            </w:r>
          </w:p>
        </w:tc>
        <w:tc>
          <w:tcPr>
            <w:tcW w:w="745" w:type="pct"/>
            <w:tcBorders>
              <w:top w:val="single" w:sz="4" w:space="0" w:color="auto"/>
              <w:left w:val="single" w:sz="4" w:space="0" w:color="auto"/>
              <w:bottom w:val="single" w:sz="4" w:space="0" w:color="auto"/>
              <w:right w:val="single" w:sz="4" w:space="0" w:color="auto"/>
            </w:tcBorders>
            <w:shd w:val="clear" w:color="auto" w:fill="FFFFFF"/>
            <w:noWrap w:val="0"/>
            <w:tcMar>
              <w:top w:w="0" w:type="dxa"/>
              <w:left w:w="108" w:type="dxa"/>
              <w:bottom w:w="0" w:type="dxa"/>
              <w:right w:w="108" w:type="dxa"/>
            </w:tcMar>
            <w:vAlign w:val="center"/>
          </w:tcPr>
          <w:p>
            <w:pPr>
              <w:rPr>
                <w:highlight w:val="none"/>
              </w:rPr>
            </w:pPr>
            <w:r>
              <w:rPr>
                <w:highlight w:val="none"/>
              </w:rPr>
              <w:t>工业交换机</w:t>
            </w:r>
          </w:p>
        </w:tc>
        <w:tc>
          <w:tcPr>
            <w:tcW w:w="2535" w:type="pct"/>
            <w:tcBorders>
              <w:top w:val="single" w:sz="4" w:space="0" w:color="auto"/>
              <w:left w:val="single" w:sz="4" w:space="0" w:color="auto"/>
              <w:bottom w:val="single" w:sz="4" w:space="0" w:color="auto"/>
              <w:right w:val="single" w:sz="4" w:space="0" w:color="auto"/>
            </w:tcBorders>
            <w:shd w:val="clear" w:color="auto" w:fill="FFFFFF"/>
            <w:noWrap w:val="0"/>
            <w:tcMar>
              <w:top w:w="0" w:type="dxa"/>
              <w:left w:w="108" w:type="dxa"/>
              <w:bottom w:w="0" w:type="dxa"/>
              <w:right w:w="108" w:type="dxa"/>
            </w:tcMar>
            <w:vAlign w:val="center"/>
          </w:tcPr>
          <w:p>
            <w:pPr>
              <w:rPr>
                <w:highlight w:val="none"/>
              </w:rPr>
            </w:pPr>
            <w:r>
              <w:rPr>
                <w:rFonts w:hint="eastAsia"/>
                <w:highlight w:val="none"/>
              </w:rPr>
              <w:t>16个千兆PoE电口，1个千兆电口，1个千兆光口，MDI/MDI-X自适应，1台</w:t>
            </w:r>
          </w:p>
        </w:tc>
        <w:tc>
          <w:tcPr>
            <w:tcW w:w="1239" w:type="pct"/>
            <w:tcBorders>
              <w:top w:val="single" w:sz="4" w:space="0" w:color="auto"/>
              <w:left w:val="single" w:sz="4" w:space="0" w:color="auto"/>
              <w:bottom w:val="single" w:sz="4" w:space="0" w:color="auto"/>
              <w:right w:val="single" w:sz="4" w:space="0" w:color="auto"/>
            </w:tcBorders>
            <w:shd w:val="clear" w:color="auto" w:fill="FFFFFF"/>
            <w:noWrap w:val="0"/>
            <w:tcMar>
              <w:top w:w="0" w:type="dxa"/>
              <w:left w:w="108" w:type="dxa"/>
              <w:bottom w:w="0" w:type="dxa"/>
              <w:right w:w="108" w:type="dxa"/>
            </w:tcMar>
            <w:vAlign w:val="center"/>
          </w:tcPr>
          <w:p>
            <w:pPr>
              <w:rPr>
                <w:highlight w:val="none"/>
              </w:rPr>
            </w:pPr>
            <w:r>
              <w:rPr>
                <w:rFonts w:hint="eastAsia"/>
                <w:highlight w:val="none"/>
              </w:rPr>
              <w:t>国产品牌</w:t>
            </w:r>
          </w:p>
        </w:tc>
      </w:tr>
      <w:tr>
        <w:tblPrEx>
          <w:tblW w:w="4841" w:type="pct"/>
          <w:jc w:val="center"/>
          <w:shd w:val="clear" w:color="auto" w:fill="FFFFFF"/>
          <w:tblCellMar>
            <w:top w:w="0" w:type="dxa"/>
            <w:left w:w="0" w:type="dxa"/>
            <w:bottom w:w="0" w:type="dxa"/>
            <w:right w:w="0" w:type="dxa"/>
          </w:tblCellMar>
        </w:tblPrEx>
        <w:trPr>
          <w:trHeight w:val="366"/>
          <w:jc w:val="center"/>
        </w:trPr>
        <w:tc>
          <w:tcPr>
            <w:tcW w:w="481" w:type="pct"/>
            <w:tcBorders>
              <w:top w:val="single" w:sz="4" w:space="0" w:color="auto"/>
              <w:left w:val="single" w:sz="4" w:space="0" w:color="auto"/>
              <w:bottom w:val="single" w:sz="4" w:space="0" w:color="auto"/>
              <w:right w:val="single" w:sz="4" w:space="0" w:color="auto"/>
            </w:tcBorders>
            <w:shd w:val="clear" w:color="auto" w:fill="FFFFFF"/>
            <w:noWrap w:val="0"/>
            <w:tcMar>
              <w:top w:w="0" w:type="dxa"/>
              <w:left w:w="108" w:type="dxa"/>
              <w:bottom w:w="0" w:type="dxa"/>
              <w:right w:w="108" w:type="dxa"/>
            </w:tcMar>
            <w:vAlign w:val="top"/>
          </w:tcPr>
          <w:p>
            <w:pPr>
              <w:jc w:val="center"/>
              <w:rPr>
                <w:highlight w:val="none"/>
              </w:rPr>
            </w:pPr>
            <w:r>
              <w:rPr>
                <w:highlight w:val="none"/>
              </w:rPr>
              <w:t>6</w:t>
            </w:r>
          </w:p>
        </w:tc>
        <w:tc>
          <w:tcPr>
            <w:tcW w:w="745" w:type="pct"/>
            <w:tcBorders>
              <w:top w:val="single" w:sz="4" w:space="0" w:color="auto"/>
              <w:left w:val="single" w:sz="4" w:space="0" w:color="auto"/>
              <w:bottom w:val="single" w:sz="4" w:space="0" w:color="auto"/>
              <w:right w:val="single" w:sz="4" w:space="0" w:color="auto"/>
            </w:tcBorders>
            <w:shd w:val="clear" w:color="auto" w:fill="FFFFFF"/>
            <w:noWrap w:val="0"/>
            <w:tcMar>
              <w:top w:w="0" w:type="dxa"/>
              <w:left w:w="108" w:type="dxa"/>
              <w:bottom w:w="0" w:type="dxa"/>
              <w:right w:w="108" w:type="dxa"/>
            </w:tcMar>
            <w:vAlign w:val="top"/>
          </w:tcPr>
          <w:p>
            <w:pPr>
              <w:rPr>
                <w:highlight w:val="none"/>
              </w:rPr>
            </w:pPr>
            <w:r>
              <w:rPr>
                <w:highlight w:val="none"/>
              </w:rPr>
              <w:t>录像机</w:t>
            </w:r>
          </w:p>
        </w:tc>
        <w:tc>
          <w:tcPr>
            <w:tcW w:w="2535" w:type="pct"/>
            <w:tcBorders>
              <w:top w:val="single" w:sz="4" w:space="0" w:color="auto"/>
              <w:left w:val="single" w:sz="4" w:space="0" w:color="auto"/>
              <w:bottom w:val="single" w:sz="4" w:space="0" w:color="auto"/>
              <w:right w:val="single" w:sz="4" w:space="0" w:color="auto"/>
            </w:tcBorders>
            <w:shd w:val="clear" w:color="auto" w:fill="FFFFFF"/>
            <w:noWrap w:val="0"/>
            <w:tcMar>
              <w:top w:w="0" w:type="dxa"/>
              <w:left w:w="108" w:type="dxa"/>
              <w:bottom w:w="0" w:type="dxa"/>
              <w:right w:w="108" w:type="dxa"/>
            </w:tcMar>
            <w:vAlign w:val="top"/>
          </w:tcPr>
          <w:p>
            <w:pPr>
              <w:rPr>
                <w:highlight w:val="none"/>
              </w:rPr>
            </w:pPr>
            <w:r>
              <w:rPr>
                <w:rFonts w:hint="eastAsia"/>
                <w:highlight w:val="none"/>
              </w:rPr>
              <w:t>16路1盘位双网口NVR网络嵌入式，1台</w:t>
            </w:r>
          </w:p>
        </w:tc>
        <w:tc>
          <w:tcPr>
            <w:tcW w:w="1239" w:type="pct"/>
            <w:tcBorders>
              <w:top w:val="single" w:sz="4" w:space="0" w:color="auto"/>
              <w:left w:val="single" w:sz="4" w:space="0" w:color="auto"/>
              <w:bottom w:val="single" w:sz="4" w:space="0" w:color="auto"/>
              <w:right w:val="single" w:sz="4" w:space="0" w:color="auto"/>
            </w:tcBorders>
            <w:shd w:val="clear" w:color="auto" w:fill="FFFFFF"/>
            <w:noWrap w:val="0"/>
            <w:tcMar>
              <w:top w:w="0" w:type="dxa"/>
              <w:left w:w="108" w:type="dxa"/>
              <w:bottom w:w="0" w:type="dxa"/>
              <w:right w:w="108" w:type="dxa"/>
            </w:tcMar>
            <w:vAlign w:val="top"/>
          </w:tcPr>
          <w:p>
            <w:pPr>
              <w:rPr>
                <w:highlight w:val="none"/>
              </w:rPr>
            </w:pPr>
            <w:r>
              <w:rPr>
                <w:rFonts w:hint="eastAsia"/>
                <w:highlight w:val="none"/>
              </w:rPr>
              <w:t>国产品牌</w:t>
            </w:r>
          </w:p>
        </w:tc>
      </w:tr>
      <w:tr>
        <w:tblPrEx>
          <w:tblW w:w="4841" w:type="pct"/>
          <w:jc w:val="center"/>
          <w:shd w:val="clear" w:color="auto" w:fill="FFFFFF"/>
          <w:tblCellMar>
            <w:top w:w="0" w:type="dxa"/>
            <w:left w:w="0" w:type="dxa"/>
            <w:bottom w:w="0" w:type="dxa"/>
            <w:right w:w="0" w:type="dxa"/>
          </w:tblCellMar>
        </w:tblPrEx>
        <w:trPr>
          <w:trHeight w:val="366"/>
          <w:jc w:val="center"/>
        </w:trPr>
        <w:tc>
          <w:tcPr>
            <w:tcW w:w="481" w:type="pct"/>
            <w:tcBorders>
              <w:top w:val="single" w:sz="4" w:space="0" w:color="auto"/>
              <w:left w:val="single" w:sz="4" w:space="0" w:color="auto"/>
              <w:bottom w:val="single" w:sz="4" w:space="0" w:color="auto"/>
              <w:right w:val="single" w:sz="4" w:space="0" w:color="auto"/>
            </w:tcBorders>
            <w:shd w:val="clear" w:color="auto" w:fill="FFFFFF"/>
            <w:noWrap w:val="0"/>
            <w:tcMar>
              <w:top w:w="0" w:type="dxa"/>
              <w:left w:w="108" w:type="dxa"/>
              <w:bottom w:w="0" w:type="dxa"/>
              <w:right w:w="108" w:type="dxa"/>
            </w:tcMar>
            <w:vAlign w:val="top"/>
          </w:tcPr>
          <w:p>
            <w:pPr>
              <w:ind w:right="-23"/>
              <w:jc w:val="center"/>
              <w:rPr>
                <w:highlight w:val="none"/>
              </w:rPr>
            </w:pPr>
            <w:r>
              <w:rPr>
                <w:highlight w:val="none"/>
              </w:rPr>
              <w:t>7</w:t>
            </w:r>
          </w:p>
        </w:tc>
        <w:tc>
          <w:tcPr>
            <w:tcW w:w="745" w:type="pct"/>
            <w:tcBorders>
              <w:top w:val="single" w:sz="4" w:space="0" w:color="auto"/>
              <w:left w:val="single" w:sz="4" w:space="0" w:color="auto"/>
              <w:bottom w:val="single" w:sz="4" w:space="0" w:color="auto"/>
              <w:right w:val="single" w:sz="4" w:space="0" w:color="auto"/>
            </w:tcBorders>
            <w:shd w:val="clear" w:color="auto" w:fill="FFFFFF"/>
            <w:noWrap w:val="0"/>
            <w:tcMar>
              <w:top w:w="0" w:type="dxa"/>
              <w:left w:w="108" w:type="dxa"/>
              <w:bottom w:w="0" w:type="dxa"/>
              <w:right w:w="108" w:type="dxa"/>
            </w:tcMar>
            <w:vAlign w:val="top"/>
          </w:tcPr>
          <w:p>
            <w:pPr>
              <w:ind w:right="-23"/>
              <w:jc w:val="left"/>
              <w:rPr>
                <w:highlight w:val="none"/>
              </w:rPr>
            </w:pPr>
            <w:r>
              <w:rPr>
                <w:highlight w:val="none"/>
              </w:rPr>
              <w:t>6T 硬盘</w:t>
            </w:r>
          </w:p>
        </w:tc>
        <w:tc>
          <w:tcPr>
            <w:tcW w:w="2535" w:type="pct"/>
            <w:tcBorders>
              <w:top w:val="single" w:sz="4" w:space="0" w:color="auto"/>
              <w:left w:val="single" w:sz="4" w:space="0" w:color="auto"/>
              <w:bottom w:val="single" w:sz="4" w:space="0" w:color="auto"/>
              <w:right w:val="single" w:sz="4" w:space="0" w:color="auto"/>
            </w:tcBorders>
            <w:shd w:val="clear" w:color="auto" w:fill="FFFFFF"/>
            <w:noWrap w:val="0"/>
            <w:tcMar>
              <w:top w:w="0" w:type="dxa"/>
              <w:left w:w="108" w:type="dxa"/>
              <w:bottom w:w="0" w:type="dxa"/>
              <w:right w:w="108" w:type="dxa"/>
            </w:tcMar>
            <w:vAlign w:val="top"/>
          </w:tcPr>
          <w:p>
            <w:pPr>
              <w:ind w:right="79"/>
              <w:jc w:val="left"/>
              <w:rPr>
                <w:highlight w:val="none"/>
              </w:rPr>
            </w:pPr>
            <w:r>
              <w:rPr>
                <w:rFonts w:hint="eastAsia"/>
                <w:highlight w:val="none"/>
              </w:rPr>
              <w:t>3.5英寸SATA盘5400转</w:t>
            </w:r>
          </w:p>
        </w:tc>
        <w:tc>
          <w:tcPr>
            <w:tcW w:w="1239" w:type="pct"/>
            <w:tcBorders>
              <w:top w:val="single" w:sz="4" w:space="0" w:color="auto"/>
              <w:left w:val="single" w:sz="4" w:space="0" w:color="auto"/>
              <w:bottom w:val="single" w:sz="4" w:space="0" w:color="auto"/>
              <w:right w:val="single" w:sz="4" w:space="0" w:color="auto"/>
            </w:tcBorders>
            <w:shd w:val="clear" w:color="auto" w:fill="FFFFFF"/>
            <w:noWrap w:val="0"/>
            <w:tcMar>
              <w:top w:w="0" w:type="dxa"/>
              <w:left w:w="108" w:type="dxa"/>
              <w:bottom w:w="0" w:type="dxa"/>
              <w:right w:w="108" w:type="dxa"/>
            </w:tcMar>
            <w:vAlign w:val="top"/>
          </w:tcPr>
          <w:p>
            <w:pPr>
              <w:ind w:right="-23"/>
              <w:jc w:val="left"/>
              <w:rPr>
                <w:highlight w:val="none"/>
              </w:rPr>
            </w:pPr>
            <w:r>
              <w:rPr>
                <w:rFonts w:hint="eastAsia"/>
                <w:highlight w:val="none"/>
              </w:rPr>
              <w:t>国产品牌</w:t>
            </w:r>
          </w:p>
        </w:tc>
      </w:tr>
    </w:tbl>
    <w:p>
      <w:pPr>
        <w:pStyle w:val="-2"/>
        <w:numPr>
          <w:ilvl w:val="0"/>
          <w:numId w:val="0"/>
        </w:numPr>
        <w:tabs>
          <w:tab w:val="clear" w:pos="567"/>
          <w:tab w:val="clear" w:pos="851"/>
          <w:tab w:val="clear" w:pos="1144"/>
        </w:tabs>
        <w:spacing w:before="156" w:beforeLines="50"/>
        <w:outlineLvl w:val="1"/>
        <w:rPr>
          <w:rFonts w:ascii="Times New Roman" w:hAnsi="Times New Roman" w:hint="eastAsia"/>
          <w:color w:val="auto"/>
          <w:sz w:val="24"/>
          <w:szCs w:val="24"/>
          <w:highlight w:val="none"/>
        </w:rPr>
      </w:pPr>
      <w:bookmarkStart w:id="35" w:name="_Toc28702"/>
      <w:bookmarkStart w:id="36" w:name="_Toc18778"/>
      <w:bookmarkStart w:id="37" w:name="_Toc3230"/>
      <w:bookmarkStart w:id="38" w:name="_Toc3888"/>
      <w:bookmarkStart w:id="39" w:name="_Toc6092"/>
      <w:r>
        <w:rPr>
          <w:rFonts w:ascii="Times New Roman" w:hAnsi="Times New Roman" w:hint="eastAsia"/>
          <w:color w:val="auto"/>
          <w:sz w:val="24"/>
          <w:szCs w:val="24"/>
          <w:highlight w:val="none"/>
          <w:lang w:val="en-US" w:eastAsia="zh-CN"/>
        </w:rPr>
        <w:t>11.</w:t>
      </w:r>
      <w:r>
        <w:rPr>
          <w:rFonts w:ascii="Times New Roman" w:hAnsi="Times New Roman"/>
          <w:color w:val="auto"/>
          <w:sz w:val="24"/>
          <w:szCs w:val="24"/>
          <w:highlight w:val="none"/>
        </w:rPr>
        <w:t>辅助设施</w:t>
      </w:r>
      <w:r>
        <w:rPr>
          <w:rFonts w:ascii="Times New Roman" w:hAnsi="Times New Roman" w:hint="eastAsia"/>
          <w:color w:val="auto"/>
          <w:sz w:val="24"/>
          <w:szCs w:val="24"/>
          <w:highlight w:val="none"/>
        </w:rPr>
        <w:t>系统</w:t>
      </w:r>
      <w:bookmarkEnd w:id="35"/>
      <w:bookmarkEnd w:id="36"/>
      <w:bookmarkEnd w:id="37"/>
      <w:bookmarkEnd w:id="38"/>
      <w:bookmarkEnd w:id="39"/>
    </w:p>
    <w:p>
      <w:pPr>
        <w:overflowPunct w:val="0"/>
        <w:topLinePunct/>
        <w:spacing w:line="360" w:lineRule="auto"/>
        <w:ind w:firstLine="420" w:firstLineChars="200"/>
        <w:rPr>
          <w:rStyle w:val="EUChar"/>
          <w:rFonts w:ascii="Times New Roman" w:hint="eastAsia"/>
          <w:highlight w:val="none"/>
        </w:rPr>
      </w:pPr>
      <w:r>
        <w:rPr>
          <w:rStyle w:val="EUChar"/>
          <w:rFonts w:ascii="Times New Roman" w:hint="eastAsia"/>
          <w:highlight w:val="none"/>
        </w:rPr>
        <w:t>（1）照明系统</w:t>
      </w:r>
    </w:p>
    <w:p>
      <w:pPr>
        <w:overflowPunct w:val="0"/>
        <w:topLinePunct/>
        <w:spacing w:line="360" w:lineRule="auto"/>
        <w:ind w:firstLine="420" w:firstLineChars="200"/>
        <w:rPr>
          <w:rStyle w:val="EUChar"/>
          <w:rFonts w:ascii="Times New Roman" w:hint="eastAsia"/>
          <w:highlight w:val="none"/>
        </w:rPr>
      </w:pPr>
      <w:r>
        <w:rPr>
          <w:rStyle w:val="EUChar"/>
          <w:rFonts w:ascii="Times New Roman" w:hint="eastAsia"/>
          <w:highlight w:val="none"/>
        </w:rPr>
        <w:t>照明设计需满足换电站整体照明需求。集装箱内、车道、进出口应配置照明装置。站内一般照明照度为300LX，易采用高光效金属卤素灯及配套灯具，监控室照明照度为300LX，易采用荧光灯或节能灯具。</w:t>
      </w:r>
    </w:p>
    <w:p>
      <w:pPr>
        <w:overflowPunct w:val="0"/>
        <w:topLinePunct/>
        <w:spacing w:line="360" w:lineRule="auto"/>
        <w:ind w:firstLine="420" w:firstLineChars="200"/>
        <w:rPr>
          <w:rStyle w:val="EUChar"/>
          <w:rFonts w:ascii="Times New Roman" w:hint="eastAsia"/>
          <w:highlight w:val="none"/>
        </w:rPr>
      </w:pPr>
      <w:r>
        <w:rPr>
          <w:rStyle w:val="EUChar"/>
          <w:rFonts w:ascii="Times New Roman" w:hint="eastAsia"/>
          <w:highlight w:val="none"/>
        </w:rPr>
        <w:t>在监控室处设置两级开关；</w:t>
      </w:r>
    </w:p>
    <w:p>
      <w:pPr>
        <w:overflowPunct w:val="0"/>
        <w:topLinePunct/>
        <w:spacing w:line="360" w:lineRule="auto"/>
        <w:ind w:firstLine="420" w:firstLineChars="200"/>
        <w:rPr>
          <w:rStyle w:val="EUChar"/>
          <w:rFonts w:ascii="Times New Roman" w:hint="eastAsia"/>
          <w:highlight w:val="none"/>
        </w:rPr>
      </w:pPr>
      <w:r>
        <w:rPr>
          <w:rStyle w:val="EUChar"/>
          <w:rFonts w:ascii="Times New Roman" w:hint="eastAsia"/>
          <w:highlight w:val="none"/>
        </w:rPr>
        <w:t>应急照明：应急照明应选用快速点燃光源，换电站电池仓门内布置应急照明灯1盏，连续供电时间不应小于30min。</w:t>
      </w:r>
    </w:p>
    <w:p>
      <w:pPr>
        <w:overflowPunct w:val="0"/>
        <w:topLinePunct/>
        <w:spacing w:line="360" w:lineRule="auto"/>
        <w:ind w:firstLine="420" w:firstLineChars="200"/>
        <w:rPr>
          <w:rStyle w:val="EUChar"/>
          <w:rFonts w:ascii="Times New Roman" w:hint="eastAsia"/>
          <w:highlight w:val="none"/>
        </w:rPr>
      </w:pPr>
      <w:r>
        <w:rPr>
          <w:rStyle w:val="EUChar"/>
          <w:rFonts w:ascii="Times New Roman" w:hint="eastAsia"/>
          <w:highlight w:val="none"/>
        </w:rPr>
        <w:t>（2）采暖通风</w:t>
      </w:r>
    </w:p>
    <w:p>
      <w:pPr>
        <w:overflowPunct w:val="0"/>
        <w:topLinePunct/>
        <w:spacing w:line="360" w:lineRule="auto"/>
        <w:ind w:firstLine="420" w:firstLineChars="200"/>
        <w:rPr>
          <w:rStyle w:val="EUChar"/>
          <w:rFonts w:ascii="Times New Roman" w:hint="eastAsia"/>
          <w:highlight w:val="none"/>
        </w:rPr>
      </w:pPr>
      <w:r>
        <w:rPr>
          <w:rStyle w:val="EUChar"/>
          <w:rFonts w:ascii="Times New Roman" w:hint="eastAsia"/>
          <w:highlight w:val="none"/>
        </w:rPr>
        <w:t>仓内配置智能温控风机；</w:t>
      </w:r>
    </w:p>
    <w:p>
      <w:pPr>
        <w:overflowPunct w:val="0"/>
        <w:topLinePunct/>
        <w:spacing w:line="360" w:lineRule="auto"/>
        <w:ind w:firstLine="420" w:firstLineChars="200"/>
        <w:rPr>
          <w:rStyle w:val="EUChar"/>
          <w:rFonts w:ascii="Times New Roman" w:hint="eastAsia"/>
          <w:highlight w:val="none"/>
        </w:rPr>
      </w:pPr>
      <w:r>
        <w:rPr>
          <w:rStyle w:val="EUChar"/>
          <w:rFonts w:ascii="Times New Roman" w:hint="eastAsia"/>
          <w:highlight w:val="none"/>
        </w:rPr>
        <w:t>监控室及电池仓内配置空调。</w:t>
      </w:r>
    </w:p>
    <w:p>
      <w:pPr>
        <w:overflowPunct w:val="0"/>
        <w:topLinePunct/>
        <w:spacing w:line="360" w:lineRule="auto"/>
        <w:ind w:firstLine="420" w:firstLineChars="200"/>
        <w:rPr>
          <w:rStyle w:val="EUChar"/>
          <w:rFonts w:ascii="Times New Roman" w:hint="eastAsia"/>
          <w:highlight w:val="none"/>
        </w:rPr>
      </w:pPr>
      <w:r>
        <w:rPr>
          <w:rStyle w:val="EUChar"/>
          <w:rFonts w:ascii="Times New Roman" w:hint="eastAsia"/>
          <w:highlight w:val="none"/>
        </w:rPr>
        <w:t>（3）消防系统设施</w:t>
      </w:r>
    </w:p>
    <w:p>
      <w:pPr>
        <w:overflowPunct w:val="0"/>
        <w:topLinePunct/>
        <w:spacing w:line="360" w:lineRule="auto"/>
        <w:ind w:firstLine="420" w:firstLineChars="200"/>
        <w:rPr>
          <w:rStyle w:val="EUChar"/>
          <w:rFonts w:ascii="Times New Roman" w:hint="eastAsia"/>
          <w:highlight w:val="none"/>
        </w:rPr>
      </w:pPr>
      <w:r>
        <w:rPr>
          <w:rStyle w:val="EUChar"/>
          <w:rFonts w:ascii="Times New Roman" w:hint="eastAsia"/>
          <w:highlight w:val="none"/>
        </w:rPr>
        <w:t>烟感系统：每个充电机内部和电池顶部各配置一套烟感报警器，在检测到烟雾信号后，及时发出报警信息给后台，并发出声、光报警信号。同时应触发消防应急模式。</w:t>
      </w:r>
    </w:p>
    <w:p>
      <w:pPr>
        <w:overflowPunct w:val="0"/>
        <w:topLinePunct/>
        <w:spacing w:line="360" w:lineRule="auto"/>
        <w:ind w:firstLine="420" w:firstLineChars="200"/>
        <w:rPr>
          <w:rStyle w:val="EUChar"/>
          <w:rFonts w:ascii="Times New Roman" w:hint="eastAsia"/>
          <w:highlight w:val="none"/>
        </w:rPr>
      </w:pPr>
      <w:r>
        <w:rPr>
          <w:rStyle w:val="EUChar"/>
          <w:rFonts w:ascii="Times New Roman" w:hint="eastAsia"/>
          <w:highlight w:val="none"/>
        </w:rPr>
        <w:t>火灾声光报警器：在电池仓配置火灾声光报警器一套，在检测到火灾信号后，及时发出报警信息给后台，并发出声、光报警信号。同时触发消防应急模式</w:t>
      </w:r>
    </w:p>
    <w:p>
      <w:pPr>
        <w:overflowPunct w:val="0"/>
        <w:topLinePunct/>
        <w:spacing w:line="360" w:lineRule="auto"/>
        <w:ind w:firstLine="420" w:firstLineChars="200"/>
        <w:rPr>
          <w:rStyle w:val="EUChar"/>
          <w:rFonts w:ascii="Times New Roman" w:hint="eastAsia"/>
          <w:highlight w:val="none"/>
        </w:rPr>
      </w:pPr>
      <w:r>
        <w:rPr>
          <w:rStyle w:val="EUChar"/>
          <w:rFonts w:ascii="Times New Roman" w:hint="eastAsia"/>
          <w:highlight w:val="none"/>
        </w:rPr>
        <w:t>换电站内部多处配置消防灭火器。灭火器最少配备气溶胶灭火器2个、干粉灭火器2 个、推车式水基灭火器1个。</w:t>
      </w:r>
    </w:p>
    <w:p>
      <w:pPr>
        <w:overflowPunct w:val="0"/>
        <w:topLinePunct/>
        <w:spacing w:line="360" w:lineRule="auto"/>
        <w:ind w:firstLine="420" w:firstLineChars="200"/>
        <w:rPr>
          <w:rStyle w:val="EUChar"/>
          <w:rFonts w:ascii="Times New Roman" w:hint="eastAsia"/>
          <w:highlight w:val="none"/>
        </w:rPr>
      </w:pPr>
      <w:r>
        <w:rPr>
          <w:rStyle w:val="EUChar"/>
          <w:rFonts w:ascii="Times New Roman" w:hint="eastAsia"/>
          <w:highlight w:val="none"/>
        </w:rPr>
        <w:t>具备消防应急模式：站控应对站内电池进行24h监控，并设置预警功能，当触发热失控预警信号后，站控应可自动将故障电池吊至换电通道内，并放置于地面。</w:t>
      </w:r>
    </w:p>
    <w:p>
      <w:pPr>
        <w:overflowPunct w:val="0"/>
        <w:topLinePunct/>
        <w:spacing w:line="360" w:lineRule="auto"/>
        <w:ind w:firstLine="420" w:firstLineChars="200"/>
        <w:rPr>
          <w:rStyle w:val="EUChar"/>
          <w:rFonts w:ascii="Times New Roman" w:hint="eastAsia"/>
          <w:highlight w:val="none"/>
        </w:rPr>
      </w:pPr>
      <w:r>
        <w:rPr>
          <w:rStyle w:val="EUChar"/>
          <w:rFonts w:ascii="Times New Roman" w:hint="eastAsia"/>
          <w:highlight w:val="none"/>
        </w:rPr>
        <w:t>（4）设备标签颜色</w:t>
      </w:r>
    </w:p>
    <w:p>
      <w:pPr>
        <w:overflowPunct w:val="0"/>
        <w:topLinePunct/>
        <w:spacing w:line="360" w:lineRule="auto"/>
        <w:ind w:firstLine="420" w:firstLineChars="200"/>
        <w:rPr>
          <w:rStyle w:val="EUChar"/>
          <w:rFonts w:ascii="Times New Roman" w:hint="eastAsia"/>
          <w:highlight w:val="none"/>
        </w:rPr>
      </w:pPr>
      <w:r>
        <w:rPr>
          <w:rStyle w:val="EUChar"/>
          <w:rFonts w:ascii="Times New Roman" w:hint="eastAsia"/>
          <w:highlight w:val="none"/>
        </w:rPr>
        <w:t>设备（起重机）外表面喷涂防锈底漆及面漆；</w:t>
      </w:r>
    </w:p>
    <w:p>
      <w:pPr>
        <w:overflowPunct w:val="0"/>
        <w:topLinePunct/>
        <w:spacing w:line="360" w:lineRule="auto"/>
        <w:ind w:firstLine="420" w:firstLineChars="200"/>
        <w:rPr>
          <w:rStyle w:val="EUChar"/>
          <w:rFonts w:ascii="Times New Roman" w:hint="eastAsia"/>
          <w:highlight w:val="none"/>
        </w:rPr>
      </w:pPr>
      <w:r>
        <w:rPr>
          <w:rStyle w:val="EUChar"/>
          <w:rFonts w:ascii="Times New Roman" w:hint="eastAsia"/>
          <w:highlight w:val="none"/>
        </w:rPr>
        <w:t>通用商品件：跟随采购人标准。</w:t>
      </w:r>
    </w:p>
    <w:p>
      <w:pPr>
        <w:overflowPunct w:val="0"/>
        <w:topLinePunct/>
        <w:spacing w:line="360" w:lineRule="auto"/>
        <w:ind w:firstLine="420" w:firstLineChars="200"/>
        <w:rPr>
          <w:rStyle w:val="EUChar"/>
          <w:rFonts w:ascii="Times New Roman" w:hint="eastAsia"/>
          <w:highlight w:val="none"/>
        </w:rPr>
      </w:pPr>
      <w:r>
        <w:rPr>
          <w:rStyle w:val="EUChar"/>
          <w:rFonts w:ascii="Times New Roman" w:hint="eastAsia"/>
          <w:highlight w:val="none"/>
        </w:rPr>
        <w:t>安全警示标签。</w:t>
      </w:r>
    </w:p>
    <w:p>
      <w:pPr>
        <w:overflowPunct w:val="0"/>
        <w:topLinePunct/>
        <w:spacing w:line="360" w:lineRule="auto"/>
        <w:ind w:firstLine="420" w:firstLineChars="200"/>
        <w:rPr>
          <w:rStyle w:val="EUChar"/>
          <w:rFonts w:ascii="Times New Roman" w:hint="eastAsia"/>
          <w:highlight w:val="none"/>
        </w:rPr>
      </w:pPr>
      <w:r>
        <w:rPr>
          <w:rStyle w:val="EUChar"/>
          <w:rFonts w:ascii="Times New Roman" w:hint="eastAsia"/>
          <w:highlight w:val="none"/>
        </w:rPr>
        <w:t>设备铭牌信息。</w:t>
      </w:r>
    </w:p>
    <w:p>
      <w:pPr>
        <w:overflowPunct w:val="0"/>
        <w:topLinePunct/>
        <w:spacing w:line="360" w:lineRule="auto"/>
        <w:ind w:firstLine="420" w:firstLineChars="200"/>
        <w:rPr>
          <w:rStyle w:val="EUChar"/>
          <w:rFonts w:ascii="Times New Roman" w:hint="eastAsia"/>
          <w:highlight w:val="none"/>
        </w:rPr>
      </w:pPr>
      <w:r>
        <w:rPr>
          <w:rStyle w:val="EUChar"/>
          <w:rFonts w:ascii="Times New Roman" w:hint="eastAsia"/>
          <w:highlight w:val="none"/>
        </w:rPr>
        <w:t>行车导向指示信息。</w:t>
      </w:r>
    </w:p>
    <w:p>
      <w:pPr>
        <w:overflowPunct w:val="0"/>
        <w:topLinePunct/>
        <w:spacing w:line="360" w:lineRule="auto"/>
        <w:ind w:firstLine="420" w:firstLineChars="200"/>
        <w:rPr>
          <w:rStyle w:val="EUChar"/>
          <w:rFonts w:ascii="Times New Roman" w:hint="eastAsia"/>
          <w:highlight w:val="none"/>
        </w:rPr>
      </w:pPr>
      <w:r>
        <w:rPr>
          <w:rStyle w:val="EUChar"/>
          <w:rFonts w:ascii="Times New Roman" w:hint="eastAsia"/>
          <w:highlight w:val="none"/>
        </w:rPr>
        <w:t>（5）接地系统</w:t>
      </w:r>
    </w:p>
    <w:p>
      <w:pPr>
        <w:overflowPunct w:val="0"/>
        <w:topLinePunct/>
        <w:spacing w:line="360" w:lineRule="auto"/>
        <w:ind w:firstLine="420" w:firstLineChars="200"/>
        <w:rPr>
          <w:rStyle w:val="EUChar"/>
          <w:rFonts w:ascii="Times New Roman" w:hint="eastAsia"/>
          <w:highlight w:val="none"/>
        </w:rPr>
      </w:pPr>
      <w:r>
        <w:rPr>
          <w:rStyle w:val="EUChar"/>
          <w:rFonts w:ascii="Times New Roman" w:hint="eastAsia"/>
          <w:highlight w:val="none"/>
        </w:rPr>
        <w:t>换电站采用集装箱外壳系统。</w:t>
      </w:r>
    </w:p>
    <w:p>
      <w:pPr>
        <w:overflowPunct w:val="0"/>
        <w:topLinePunct/>
        <w:spacing w:line="360" w:lineRule="auto"/>
        <w:ind w:firstLine="420" w:firstLineChars="200"/>
        <w:rPr>
          <w:rStyle w:val="EUChar"/>
          <w:rFonts w:ascii="Times New Roman" w:hint="eastAsia"/>
          <w:highlight w:val="none"/>
        </w:rPr>
      </w:pPr>
      <w:r>
        <w:rPr>
          <w:rStyle w:val="EUChar"/>
          <w:rFonts w:ascii="Times New Roman" w:hint="eastAsia"/>
          <w:highlight w:val="none"/>
        </w:rPr>
        <w:t>外壳地基预埋多点接地极，多点接地极与集装箱外壳可靠连接，保证换电站的可靠接地。</w:t>
      </w:r>
    </w:p>
    <w:p>
      <w:pPr>
        <w:overflowPunct w:val="0"/>
        <w:topLinePunct/>
        <w:spacing w:line="360" w:lineRule="auto"/>
        <w:ind w:firstLine="420" w:firstLineChars="200"/>
        <w:rPr>
          <w:rStyle w:val="EUChar"/>
          <w:rFonts w:ascii="Times New Roman" w:hint="eastAsia"/>
          <w:highlight w:val="none"/>
        </w:rPr>
      </w:pPr>
      <w:r>
        <w:rPr>
          <w:rStyle w:val="EUChar"/>
          <w:rFonts w:ascii="Times New Roman" w:hint="eastAsia"/>
          <w:highlight w:val="none"/>
        </w:rPr>
        <w:t>换电站外部电源，配置浪涌保护器，对配电系统形成浪涌和接地保护。</w:t>
      </w:r>
    </w:p>
    <w:p>
      <w:pPr>
        <w:overflowPunct w:val="0"/>
        <w:topLinePunct/>
        <w:spacing w:line="360" w:lineRule="auto"/>
        <w:ind w:firstLine="420" w:firstLineChars="200"/>
        <w:rPr>
          <w:rStyle w:val="EUChar"/>
          <w:rFonts w:ascii="Times New Roman" w:hint="eastAsia"/>
          <w:highlight w:val="none"/>
        </w:rPr>
      </w:pPr>
      <w:r>
        <w:rPr>
          <w:rStyle w:val="EUChar"/>
          <w:rFonts w:ascii="Times New Roman" w:hint="eastAsia"/>
          <w:highlight w:val="none"/>
        </w:rPr>
        <w:t>换电站地基要求做好接地极预埋，接地电阻＜4Ω。</w:t>
      </w:r>
    </w:p>
    <w:p>
      <w:pPr>
        <w:overflowPunct w:val="0"/>
        <w:topLinePunct/>
        <w:spacing w:line="360" w:lineRule="auto"/>
        <w:ind w:firstLine="420" w:firstLineChars="200"/>
        <w:rPr>
          <w:rStyle w:val="EUChar"/>
          <w:rFonts w:ascii="Times New Roman" w:hint="eastAsia"/>
          <w:highlight w:val="none"/>
        </w:rPr>
      </w:pPr>
      <w:r>
        <w:rPr>
          <w:rStyle w:val="EUChar"/>
          <w:rFonts w:ascii="Times New Roman" w:hint="eastAsia"/>
          <w:highlight w:val="none"/>
        </w:rPr>
        <w:t>（6）安全要求</w:t>
      </w:r>
    </w:p>
    <w:p>
      <w:pPr>
        <w:overflowPunct w:val="0"/>
        <w:topLinePunct/>
        <w:spacing w:line="360" w:lineRule="auto"/>
        <w:ind w:firstLine="420" w:firstLineChars="200"/>
        <w:rPr>
          <w:rStyle w:val="EUChar"/>
          <w:rFonts w:ascii="Times New Roman" w:hint="eastAsia"/>
          <w:highlight w:val="none"/>
        </w:rPr>
      </w:pPr>
      <w:r>
        <w:rPr>
          <w:rStyle w:val="EUChar"/>
          <w:rFonts w:ascii="Times New Roman" w:hint="eastAsia"/>
          <w:highlight w:val="none"/>
        </w:rPr>
        <w:t>换电站应对存在安全风险的部位或场所张贴警示标志。</w:t>
      </w:r>
    </w:p>
    <w:p>
      <w:pPr>
        <w:overflowPunct w:val="0"/>
        <w:topLinePunct/>
        <w:spacing w:line="360" w:lineRule="auto"/>
        <w:ind w:firstLine="420" w:firstLineChars="200"/>
        <w:rPr>
          <w:rStyle w:val="EUChar"/>
          <w:rFonts w:ascii="Times New Roman" w:hint="eastAsia"/>
          <w:highlight w:val="none"/>
        </w:rPr>
      </w:pPr>
      <w:r>
        <w:rPr>
          <w:rStyle w:val="EUChar"/>
          <w:rFonts w:ascii="Times New Roman" w:hint="eastAsia"/>
          <w:highlight w:val="none"/>
        </w:rPr>
        <w:t>电池仓内通道应敷设绝缘胶垫。</w:t>
      </w:r>
    </w:p>
    <w:p>
      <w:pPr>
        <w:overflowPunct w:val="0"/>
        <w:topLinePunct/>
        <w:spacing w:line="360" w:lineRule="auto"/>
        <w:ind w:firstLine="420" w:firstLineChars="200"/>
        <w:rPr>
          <w:rStyle w:val="EUChar"/>
          <w:rFonts w:ascii="Times New Roman" w:hint="eastAsia"/>
          <w:highlight w:val="none"/>
        </w:rPr>
      </w:pPr>
      <w:r>
        <w:rPr>
          <w:rStyle w:val="EUChar"/>
          <w:rFonts w:ascii="Times New Roman" w:hint="eastAsia"/>
          <w:highlight w:val="none"/>
        </w:rPr>
        <w:t>换电站应具备状态对外显示的功能，正常、异常、停站指示。</w:t>
      </w:r>
    </w:p>
    <w:p/>
    <w:sectPr>
      <w:pgSz w:w="11906" w:h="16838"/>
      <w:pgMar w:top="1440" w:right="1800" w:bottom="1440" w:left="1800" w:header="851" w:footer="992" w:gutter="0"/>
      <w:cols w:num="1" w:space="425"/>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EU-F1">
    <w:altName w:val="宋体"/>
    <w:panose1 w:val="00000000000000000000"/>
    <w:charset w:val="86"/>
    <w:family w:val="script"/>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5B965CF2"/>
    <w:multiLevelType w:val="singleLevel"/>
    <w:tmpl w:val="5B965CF2"/>
    <w:lvl w:ilvl="0">
      <w:start w:val="1"/>
      <w:numFmt w:val="bullet"/>
      <w:lvlText w:val=""/>
      <w:lvlJc w:val="left"/>
      <w:pPr>
        <w:ind w:left="420" w:hanging="420"/>
      </w:pPr>
      <w:rPr>
        <w:rFonts w:ascii="Wingdings" w:hAnsi="Wingdings" w:hint="default"/>
      </w:rPr>
    </w:lvl>
  </w:abstractNum>
  <w:abstractNum w:abstractNumId="1">
    <w:nsid w:val="5BA91C93"/>
    <w:multiLevelType w:val="multilevel"/>
    <w:tmpl w:val="5BA91C93"/>
    <w:lvl w:ilvl="0">
      <w:start w:val="1"/>
      <w:numFmt w:val="decimal"/>
      <w:pStyle w:val="-1"/>
      <w:lvlText w:val="%1."/>
      <w:lvlJc w:val="left"/>
      <w:pPr>
        <w:tabs>
          <w:tab w:val="left" w:pos="425"/>
        </w:tabs>
        <w:ind w:left="425" w:hanging="425"/>
      </w:pPr>
      <w:rPr>
        <w:sz w:val="24"/>
        <w:szCs w:val="24"/>
      </w:rPr>
    </w:lvl>
    <w:lvl w:ilvl="1">
      <w:start w:val="1"/>
      <w:numFmt w:val="decimal"/>
      <w:pStyle w:val="-2"/>
      <w:lvlText w:val="%1.%2."/>
      <w:lvlJc w:val="left"/>
      <w:pPr>
        <w:tabs>
          <w:tab w:val="left" w:pos="851"/>
        </w:tabs>
        <w:ind w:left="851" w:hanging="567"/>
      </w:pPr>
      <w:rPr>
        <w:sz w:val="24"/>
        <w:szCs w:val="24"/>
      </w:rPr>
    </w:lvl>
    <w:lvl w:ilvl="2">
      <w:start w:val="1"/>
      <w:numFmt w:val="decimal"/>
      <w:lvlText w:val="%1.%2.%3."/>
      <w:lvlJc w:val="left"/>
      <w:pPr>
        <w:tabs>
          <w:tab w:val="left" w:pos="993"/>
        </w:tabs>
        <w:ind w:left="993" w:hanging="709"/>
      </w:pPr>
    </w:lvl>
    <w:lvl w:ilvl="3">
      <w:start w:val="1"/>
      <w:numFmt w:val="decimal"/>
      <w:lvlText w:val="%1.%2.%3.%4."/>
      <w:lvlJc w:val="left"/>
      <w:pPr>
        <w:tabs>
          <w:tab w:val="left" w:pos="2128"/>
        </w:tabs>
        <w:ind w:left="2128" w:hanging="851"/>
      </w:pPr>
    </w:lvl>
    <w:lvl w:ilvl="4">
      <w:start w:val="1"/>
      <w:numFmt w:val="decimal"/>
      <w:lvlText w:val="%1.%2.%3.%4.%5."/>
      <w:lvlJc w:val="left"/>
      <w:pPr>
        <w:tabs>
          <w:tab w:val="left" w:pos="992"/>
        </w:tabs>
        <w:ind w:left="992" w:hanging="992"/>
      </w:pPr>
    </w:lvl>
    <w:lvl w:ilvl="5">
      <w:start w:val="1"/>
      <w:numFmt w:val="decimal"/>
      <w:lvlText w:val="%1.%2.%3.%4.%5.%6."/>
      <w:lvlJc w:val="left"/>
      <w:pPr>
        <w:tabs>
          <w:tab w:val="left" w:pos="1134"/>
        </w:tabs>
        <w:ind w:left="1134" w:hanging="1134"/>
      </w:p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15:person w15:author="总文书">
    <w15:presenceInfo w15:providerId="None" w15:userId="总文书"/>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bordersDoNotSurroundHeader/>
  <w:bordersDoNotSurroundFooter/>
  <w:revisionView w:comments="1" w:formatting="1" w:inkAnnotations="1" w:insDel="1" w:markup="0"/>
  <w:trackRevisions/>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8F47744"/>
    <w:rsid w:val="48F47744"/>
    <w:rsid w:val="4A7F0A30"/>
    <w:rsid w:val="5D284C19"/>
    <w:rsid w:val="6685313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qFormat="1"/>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qFormat="1"/>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qFormat="1"/>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next w:val="NormalIndent"/>
    <w:qFormat/>
    <w:pPr>
      <w:widowControl w:val="0"/>
      <w:jc w:val="both"/>
    </w:pPr>
    <w:rPr>
      <w:rFonts w:ascii="Times New Roman" w:eastAsia="宋体" w:hAnsi="Times New Roman" w:cs="Times New Roman"/>
      <w:kern w:val="2"/>
      <w:sz w:val="21"/>
      <w:lang w:val="en-US" w:eastAsia="zh-CN" w:bidi="ar-SA"/>
    </w:rPr>
  </w:style>
  <w:style w:type="character" w:default="1" w:styleId="DefaultParagraphFont">
    <w:name w:val="Default Paragraph Font"/>
    <w:semiHidden/>
    <w:qFormat/>
  </w:style>
  <w:style w:type="table" w:default="1" w:styleId="TableNormal">
    <w:name w:val="Normal Table"/>
    <w:semiHidden/>
    <w:qFormat/>
    <w:tblPr>
      <w:tblCellMar>
        <w:top w:w="0" w:type="dxa"/>
        <w:left w:w="108" w:type="dxa"/>
        <w:bottom w:w="0" w:type="dxa"/>
        <w:right w:w="108" w:type="dxa"/>
      </w:tblCellMar>
    </w:tblPr>
  </w:style>
  <w:style w:type="paragraph" w:styleId="NormalIndent">
    <w:name w:val="Normal Indent"/>
    <w:basedOn w:val="Normal"/>
    <w:qFormat/>
    <w:pPr>
      <w:ind w:firstLine="420" w:firstLineChars="200"/>
    </w:pPr>
  </w:style>
  <w:style w:type="paragraph" w:styleId="BodyText">
    <w:name w:val="Body Text"/>
    <w:basedOn w:val="Normal"/>
    <w:qFormat/>
    <w:pPr>
      <w:spacing w:after="120" w:afterLines="0" w:afterAutospacing="0"/>
    </w:pPr>
  </w:style>
  <w:style w:type="paragraph" w:styleId="IndexHeading">
    <w:name w:val="index heading"/>
    <w:basedOn w:val="Normal"/>
    <w:next w:val="Index1"/>
    <w:qFormat/>
    <w:pPr>
      <w:spacing w:before="120" w:after="120"/>
      <w:jc w:val="center"/>
    </w:pPr>
    <w:rPr>
      <w:rFonts w:ascii="Calibri" w:hAnsi="Calibri"/>
      <w:b/>
      <w:bCs/>
      <w:iCs/>
    </w:rPr>
  </w:style>
  <w:style w:type="paragraph" w:styleId="Index1">
    <w:name w:val="index 1"/>
    <w:basedOn w:val="Normal"/>
    <w:next w:val="Normal"/>
    <w:qFormat/>
    <w:pPr>
      <w:tabs>
        <w:tab w:val="right" w:leader="dot" w:pos="9299"/>
      </w:tabs>
      <w:jc w:val="left"/>
    </w:pPr>
    <w:rPr>
      <w:rFonts w:ascii="宋体"/>
      <w:szCs w:val="21"/>
    </w:rPr>
  </w:style>
  <w:style w:type="character" w:customStyle="1" w:styleId="EUChar">
    <w:name w:val="数字EU Char"/>
    <w:link w:val="EU"/>
    <w:qFormat/>
    <w:rPr>
      <w:rFonts w:ascii="EU-F1"/>
      <w:kern w:val="21"/>
      <w:szCs w:val="21"/>
    </w:rPr>
  </w:style>
  <w:style w:type="paragraph" w:customStyle="1" w:styleId="EU">
    <w:name w:val="数字EU"/>
    <w:basedOn w:val="Normal"/>
    <w:link w:val="EUChar"/>
    <w:qFormat/>
    <w:pPr>
      <w:wordWrap w:val="0"/>
      <w:overflowPunct w:val="0"/>
      <w:topLinePunct/>
    </w:pPr>
    <w:rPr>
      <w:rFonts w:ascii="EU-F1"/>
      <w:kern w:val="21"/>
      <w:szCs w:val="21"/>
    </w:rPr>
  </w:style>
  <w:style w:type="paragraph" w:customStyle="1" w:styleId="-2">
    <w:name w:val="样式-标题2"/>
    <w:basedOn w:val="-1"/>
    <w:qFormat/>
    <w:pPr>
      <w:numPr>
        <w:ilvl w:val="1"/>
        <w:numId w:val="1"/>
      </w:numPr>
      <w:tabs>
        <w:tab w:val="left" w:pos="363"/>
        <w:tab w:val="left" w:pos="425"/>
        <w:tab w:val="left" w:pos="567"/>
        <w:tab w:val="left" w:pos="709"/>
        <w:tab w:val="left" w:pos="1144"/>
        <w:tab w:val="left" w:pos="1575"/>
      </w:tabs>
      <w:outlineLvl w:val="1"/>
    </w:pPr>
    <w:rPr>
      <w:sz w:val="30"/>
      <w:szCs w:val="30"/>
    </w:rPr>
  </w:style>
  <w:style w:type="paragraph" w:customStyle="1" w:styleId="-1">
    <w:name w:val="样式-标题1"/>
    <w:basedOn w:val="Normal"/>
    <w:qFormat/>
    <w:pPr>
      <w:keepNext/>
      <w:keepLines/>
      <w:numPr>
        <w:ilvl w:val="0"/>
        <w:numId w:val="1"/>
      </w:numPr>
      <w:spacing w:line="360" w:lineRule="auto"/>
      <w:jc w:val="left"/>
      <w:outlineLvl w:val="0"/>
    </w:pPr>
    <w:rPr>
      <w:rFonts w:ascii="宋体" w:hAnsi="宋体"/>
      <w:b/>
      <w:bCs/>
      <w:color w:val="000000"/>
      <w:kern w:val="44"/>
      <w:sz w:val="32"/>
      <w:szCs w:val="32"/>
    </w:rPr>
  </w:style>
  <w:style w:type="paragraph" w:styleId="ListParagraph">
    <w:name w:val="List Paragraph"/>
    <w:basedOn w:val="Normal"/>
    <w:uiPriority w:val="34"/>
    <w:qFormat/>
    <w:pPr>
      <w:ind w:firstLine="420" w:firstLineChars="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png" /><Relationship Id="rId11" Type="http://schemas.openxmlformats.org/officeDocument/2006/relationships/image" Target="media/image8.png" /><Relationship Id="rId12" Type="http://schemas.openxmlformats.org/officeDocument/2006/relationships/image" Target="media/image9.png" /><Relationship Id="rId13" Type="http://schemas.openxmlformats.org/officeDocument/2006/relationships/image" Target="media/image10.png" /><Relationship Id="rId14" Type="http://schemas.openxmlformats.org/officeDocument/2006/relationships/image" Target="media/image11.png"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18" Type="http://schemas.microsoft.com/office/2011/relationships/people" Target="people.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image" Target="media/image3.png" /><Relationship Id="rId7" Type="http://schemas.openxmlformats.org/officeDocument/2006/relationships/image" Target="media/image4.png" /><Relationship Id="rId8" Type="http://schemas.openxmlformats.org/officeDocument/2006/relationships/image" Target="media/image5.png" /><Relationship Id="rId9" Type="http://schemas.openxmlformats.org/officeDocument/2006/relationships/image" Target="media/image6.png"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7</TotalTime>
  <Pages>16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张世豪</dc:creator>
  <cp:lastModifiedBy>总文书</cp:lastModifiedBy>
  <cp:revision>1</cp:revision>
  <dcterms:created xsi:type="dcterms:W3CDTF">2026-05-21T06:40:00Z</dcterms:created>
  <dcterms:modified xsi:type="dcterms:W3CDTF">2026-05-26T02:49:10Z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D10568D82D5C4D609072FC2E6039DCD4</vt:lpwstr>
  </property>
  <property fmtid="{D5CDD505-2E9C-101B-9397-08002B2CF9AE}" pid="3" name="KSOProductBuildVer">
    <vt:lpwstr>2052-11.8.2.12309</vt:lpwstr>
  </property>
  <property fmtid="{D5CDD505-2E9C-101B-9397-08002B2CF9AE}" pid="4" name="KSOTemplateDocerSaveRecord">
    <vt:lpwstr>eyJoZGlkIjoiYzUwYjE1OThlMmJjNDczZmRhY2I3MzllMDRkMjdmNjQiLCJ1c2VySWQiOiIxMjM4NTk2ODY5In0=</vt:lpwstr>
  </property>
</Properties>
</file>