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1.0 -->
  <w:body>
    <w:p>
      <w:pPr>
        <w:keepNext w:val="0"/>
        <w:keepLines w:val="0"/>
        <w:pageBreakBefore w:val="0"/>
        <w:widowControl/>
        <w:kinsoku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Style w:val="EUChar"/>
          <w:rFonts w:ascii="黑体" w:eastAsia="黑体" w:hAnsi="黑体" w:cs="黑体"/>
          <w:kern w:val="21"/>
          <w:sz w:val="32"/>
          <w:szCs w:val="32"/>
          <w:highlight w:val="none"/>
        </w:rPr>
      </w:pPr>
      <w:r>
        <w:rPr>
          <w:rStyle w:val="EUChar"/>
          <w:rFonts w:ascii="黑体" w:eastAsia="黑体" w:hAnsi="黑体" w:cs="黑体" w:hint="eastAsia"/>
          <w:b w:val="0"/>
          <w:bCs w:val="0"/>
          <w:sz w:val="32"/>
          <w:szCs w:val="32"/>
          <w:highlight w:val="none"/>
        </w:rPr>
        <w:t>签报〔2026〕-71号</w:t>
      </w:r>
      <w:r>
        <w:rPr>
          <w:rStyle w:val="EUChar"/>
          <w:rFonts w:ascii="黑体" w:eastAsia="黑体" w:hAnsi="黑体" w:cs="黑体" w:hint="eastAsia"/>
          <w:b w:val="0"/>
          <w:bCs w:val="0"/>
          <w:sz w:val="32"/>
          <w:szCs w:val="32"/>
          <w:highlight w:val="none"/>
          <w:lang w:val="en-US" w:eastAsia="zh-CN"/>
        </w:rPr>
        <w:t>附件</w:t>
      </w:r>
      <w:r>
        <w:rPr>
          <w:rStyle w:val="EUChar"/>
          <w:rFonts w:ascii="黑体" w:eastAsia="黑体" w:hAnsi="黑体" w:cs="黑体" w:hint="eastAsia"/>
          <w:b w:val="0"/>
          <w:bCs w:val="0"/>
          <w:sz w:val="32"/>
          <w:szCs w:val="32"/>
          <w:highlight w:val="none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 w:val="0"/>
        <w:topLinePunct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Style w:val="EUChar"/>
          <w:rFonts w:ascii="黑体" w:eastAsia="黑体" w:hAnsi="黑体" w:cs="黑体"/>
          <w:kern w:val="21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ascii="方正小标宋_GBK" w:eastAsia="方正小标宋_GBK" w:hAnsi="方正小标宋_GBK" w:cs="方正小标宋_GBK" w:hint="eastAsia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预装式微型电动重卡换电站拆除工程技术规范书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一、</w:t>
      </w:r>
      <w:r>
        <w:rPr>
          <w:rFonts w:ascii="黑体" w:eastAsia="黑体" w:hAnsi="黑体" w:cs="黑体" w:hint="eastAsia"/>
          <w:sz w:val="32"/>
          <w:szCs w:val="32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本技术规范书用于指导预装式微型电动重卡换电站（单车道、4 电池仓位、4×300kW 充电机） 整体拆除、场地恢复及安全环保管理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</w:rPr>
        <w:t>确保拆除过程安全、合规、高效、无环境污染。适用于本次拆除范围内所有设施，包括但不限于：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1.</w:t>
      </w:r>
      <w:r>
        <w:rPr>
          <w:rFonts w:ascii="仿宋_GB2312" w:eastAsia="仿宋_GB2312" w:hAnsi="仿宋_GB2312" w:cs="仿宋_GB2312" w:hint="eastAsia"/>
          <w:sz w:val="32"/>
          <w:szCs w:val="32"/>
        </w:rPr>
        <w:t>集装箱式外壳系统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</w:rPr>
        <w:t>监控室全套设备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配电箱、主控柜、站控柜、UPS 柜、工作站、安防显示器、工作台、文件柜、空调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等，</w:t>
      </w:r>
      <w:r>
        <w:rPr>
          <w:rFonts w:ascii="仿宋_GB2312" w:eastAsia="仿宋_GB2312" w:hAnsi="仿宋_GB2312" w:cs="仿宋_GB2312" w:hint="eastAsia"/>
          <w:sz w:val="32"/>
          <w:szCs w:val="32"/>
        </w:rPr>
        <w:t>智能换电机器人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充电系统4 台 300kW 充电机、换电连接器、高压线束、计量装置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3.</w:t>
      </w:r>
      <w:r>
        <w:rPr>
          <w:rFonts w:ascii="仿宋_GB2312" w:eastAsia="仿宋_GB2312" w:hAnsi="仿宋_GB2312" w:cs="仿宋_GB2312" w:hint="eastAsia"/>
          <w:sz w:val="32"/>
          <w:szCs w:val="32"/>
        </w:rPr>
        <w:t>物联检测及定位引导系统（扫码箱、读写器、激光引导）站控系统、视频监控系统（摄像机、交换机）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辅助设施（照明、消防、接地、安全标识等）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二、拆除总体要求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1.</w:t>
      </w:r>
      <w:r>
        <w:rPr>
          <w:rFonts w:ascii="仿宋_GB2312" w:eastAsia="仿宋_GB2312" w:hAnsi="仿宋_GB2312" w:cs="仿宋_GB2312" w:hint="eastAsia"/>
          <w:sz w:val="32"/>
          <w:szCs w:val="32"/>
        </w:rPr>
        <w:t>施工单位须具备机电安装拆除资质、起重吊装资质、安全生产许可证，特种作业人员持证上岗（电工、焊工、起重、登高）。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拆除前编制专项施工方案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安全技术交底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应急预案，经审批后方可施工。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3.</w:t>
      </w:r>
      <w:r>
        <w:rPr>
          <w:rFonts w:ascii="仿宋_GB2312" w:eastAsia="仿宋_GB2312" w:hAnsi="仿宋_GB2312" w:cs="仿宋_GB2312" w:hint="eastAsia"/>
          <w:sz w:val="32"/>
          <w:szCs w:val="32"/>
        </w:rPr>
        <w:t>严格执行停电、验电、放电、接地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安规</w:t>
      </w:r>
      <w:r>
        <w:rPr>
          <w:rFonts w:ascii="仿宋_GB2312" w:eastAsia="仿宋_GB2312" w:hAnsi="仿宋_GB2312" w:cs="仿宋_GB2312" w:hint="eastAsia"/>
          <w:sz w:val="32"/>
          <w:szCs w:val="32"/>
        </w:rPr>
        <w:t>流程，高压系统必须放电确认。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4.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实施全过程无损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保护性拆除，对拆除物进行分类标识与妥善保护；对可利旧设备做好防护、编号及拍照存档；针对充电桩等易受潮设备，在拆除后采取防潮措施。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三、系统及设备拆除技术要求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eastAsia="楷体_GB2312" w:hAnsi="楷体_GB2312" w:cs="楷体_GB2312" w:hint="eastAsia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 xml:space="preserve">3.1 </w:t>
      </w:r>
      <w:r>
        <w:rPr>
          <w:rFonts w:ascii="楷体_GB2312" w:eastAsia="楷体_GB2312" w:hAnsi="楷体_GB2312" w:cs="楷体_GB2312" w:hint="eastAsia"/>
          <w:sz w:val="32"/>
          <w:szCs w:val="32"/>
          <w:lang w:val="en-US" w:eastAsia="zh-CN"/>
        </w:rPr>
        <w:t>换电站</w:t>
      </w:r>
      <w:r>
        <w:rPr>
          <w:rFonts w:ascii="楷体_GB2312" w:eastAsia="楷体_GB2312" w:hAnsi="楷体_GB2312" w:cs="楷体_GB2312" w:hint="eastAsia"/>
          <w:sz w:val="32"/>
          <w:szCs w:val="32"/>
        </w:rPr>
        <w:t>及集装箱系统拆除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3.1.1 先拆除外部附属：监控摄像头、照明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等设备</w:t>
      </w:r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3.1.2 拆除箱体连接螺栓、角件、吊装点清理，清理吊装接触面。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3.1.3 整体吊装集装箱，吊点必须原厂指定，吊装前确认无受力线缆、无连接构件、完全脱开基础。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3.1.4 拆除行车道结构、接地扁钢，恢复场地平整度。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eastAsia="楷体_GB2312" w:hAnsi="楷体_GB2312" w:cs="楷体_GB2312" w:hint="eastAsia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3.2 监控室设备拆除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3.2.1 依次断电：UPS→站控柜→主控柜→配电箱→空调 / 照明 / 插座。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3.2.2 放电、验电、挂牌上锁后，拆除所有强弱电线缆、接地线缆、信号线缆，两端做好标签、拍照存档。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3.2.3 拆除设备顺序：工作站、显示器、工作台、文件柜→UPS 柜→站控柜→主控柜→配电箱→空调。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3.2.4 线缆分类：高压、低压、控制、光纤分开整理、成捆、标识。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eastAsia="楷体_GB2312" w:hAnsi="楷体_GB2312" w:cs="楷体_GB2312" w:hint="eastAsia"/>
          <w:sz w:val="32"/>
          <w:szCs w:val="32"/>
          <w:lang w:eastAsia="zh-CN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3.3 智能换电机器人</w:t>
      </w:r>
      <w:r>
        <w:rPr>
          <w:rFonts w:ascii="楷体_GB2312" w:eastAsia="楷体_GB2312" w:hAnsi="楷体_GB2312" w:cs="楷体_GB2312" w:hint="eastAsia"/>
          <w:sz w:val="32"/>
          <w:szCs w:val="32"/>
          <w:lang w:val="en-US" w:eastAsia="zh-CN"/>
        </w:rPr>
        <w:t>加固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3.3.1 断电、放电、验电、挂牌上锁，确认机器人完全失电。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3.3.3 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加固换电机器人</w:t>
      </w:r>
      <w:r>
        <w:rPr>
          <w:rFonts w:ascii="仿宋_GB2312" w:eastAsia="仿宋_GB2312" w:hAnsi="仿宋_GB2312" w:cs="仿宋_GB2312" w:hint="eastAsia"/>
          <w:sz w:val="32"/>
          <w:szCs w:val="32"/>
        </w:rPr>
        <w:t>吊具：吊钩组件、钢丝绳、卷扬机、滑轮组，注意释放钢丝绳张力、防止回弹。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3.3.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所有定位传感器、编码器、PLC、触摸屏做好防尘防潮保护。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eastAsia="楷体_GB2312" w:hAnsi="楷体_GB2312" w:cs="楷体_GB2312" w:hint="eastAsia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3.4 充电系统拆除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3.4.1 高压系统必须停电→验电→放电→接地，确认高压母线、直流母线、电容完全放电。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3.4.2 拆除换电连接器：高压插头、低压信号插头、辅助电源插头，保护端子、密封件、插针。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3.4.3 拆除充电机：输入电缆、输出直流电缆、通讯线、接地线，柜体固定螺栓，整机拆除。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3.4.4 拆除高压线束、直流母线、绝缘支撑、绝缘胶垫、计量表计、绝缘监测装置。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3.4.5 高压部件单独存放、防潮防尘，严禁磕碰。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eastAsia="楷体_GB2312" w:hAnsi="楷体_GB2312" w:cs="楷体_GB2312" w:hint="eastAsia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3.5 站控、监控、物联系统拆除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3.5.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断电后拆除服务器、交换机、硬盘录像机、硬盘、扫码箱、读写器、激光引导器、摄像头、线缆。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3.5.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网络线、光纤、控制线分类整理，标签清晰。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楷体_GB2312" w:eastAsia="楷体_GB2312" w:hAnsi="楷体_GB2312" w:cs="楷体_GB2312" w:hint="eastAsia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3.6 辅助设施拆除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3.6.1 照明、应急照明、疏散指示拆除，线缆抽出。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3.6.2 通风风机、空调内外机、连接管路、冷媒回收（按环保要求）。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3.6.3 消防系统：烟感、声光报警器、灭火器、消防管路拆除，残留物合规处置。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3.6.4 接地系统：接地极、接地扁钢、浪涌保护器拆除，接地电阻测点恢复。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3.6.5 安全标识、警示标牌、设备铭牌拆除，可利旧标识统一收集。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四、</w:t>
      </w:r>
      <w:r>
        <w:rPr>
          <w:rFonts w:ascii="黑体" w:eastAsia="黑体" w:hAnsi="黑体" w:cs="黑体" w:hint="eastAsia"/>
          <w:sz w:val="32"/>
          <w:szCs w:val="32"/>
        </w:rPr>
        <w:t>安全管理要求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4.1 现场设置硬质围挡、警示标志、作业禁区，非作业人员严禁进入。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4.2 高处作业必须系安全带、搭设脚手架或使用高空作业平台，严禁抛物。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4.3 起重吊装设专人指挥，吊装半径内禁止站人，吊具、索具合格。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4.4 动火作业办理动火证，现场配灭火器，清理易燃物。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4.5 高压作业必须 2 人及以上，设监护人，严禁带电作业。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4.6 雨天、大风（≥6 级）、夜间（无足够照明）禁止吊装及高处作业。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五、环保与废弃物处置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建筑垃圾、包装材料、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废弃</w:t>
      </w:r>
      <w:r>
        <w:rPr>
          <w:rFonts w:ascii="仿宋_GB2312" w:eastAsia="仿宋_GB2312" w:hAnsi="仿宋_GB2312" w:cs="仿宋_GB2312" w:hint="eastAsia"/>
          <w:sz w:val="32"/>
          <w:szCs w:val="32"/>
        </w:rPr>
        <w:t>材料分类清运至指定地点。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六、验收与资料移交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6.1 拆除完成后，按清单逐项验收：设备拆除完整性、场地恢复、安全文明施工、环保合规。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6.2 提交完整竣工资料：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拆除施工方案、安全交底、应急预案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。</w:t>
      </w:r>
      <w:r>
        <w:rPr>
          <w:rFonts w:ascii="仿宋_GB2312" w:eastAsia="仿宋_GB2312" w:hAnsi="仿宋_GB2312" w:cs="仿宋_GB2312" w:hint="eastAsia"/>
          <w:sz w:val="32"/>
          <w:szCs w:val="32"/>
        </w:rPr>
        <w:t>设备拆除前后照片、编号清单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竣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工验收资料等。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七、附则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7.1 本技术规范书未尽事宜，按国家现行规范及现场实际情况协商执行。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7.2 施工单位须严格遵守本规范，违规造成安全事故、设备损坏、环境污染，由施工单位承担全部责任。</w:t>
      </w:r>
    </w:p>
    <w:p>
      <w:pPr>
        <w:pStyle w:val="BodyText"/>
        <w:ind w:firstLine="640" w:firstLineChars="200"/>
        <w:rPr>
          <w:rFonts w:ascii="仿宋_GB2312" w:eastAsia="仿宋_GB2312" w:hAnsi="仿宋_GB2312" w:cs="仿宋_GB2312" w:hint="eastAsia"/>
          <w:kern w:val="2"/>
          <w:sz w:val="32"/>
          <w:szCs w:val="32"/>
          <w:lang w:val="en-US" w:eastAsia="zh-CN" w:bidi="ar-SA"/>
        </w:rPr>
      </w:pPr>
      <w:r>
        <w:rPr>
          <w:rFonts w:ascii="仿宋_GB2312" w:eastAsia="仿宋_GB2312" w:hAnsi="仿宋_GB2312" w:cs="仿宋_GB2312" w:hint="eastAsia"/>
          <w:kern w:val="2"/>
          <w:sz w:val="32"/>
          <w:szCs w:val="32"/>
          <w:lang w:val="en-US" w:eastAsia="zh-CN" w:bidi="ar-SA"/>
        </w:rPr>
        <w:t>7.3预估工程量计价表</w:t>
      </w:r>
    </w:p>
    <w:tbl>
      <w:tblPr>
        <w:tblStyle w:val="TableNormal"/>
        <w:tblW w:w="8415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4440"/>
        <w:gridCol w:w="555"/>
        <w:gridCol w:w="795"/>
        <w:gridCol w:w="1035"/>
        <w:gridCol w:w="1035"/>
      </w:tblGrid>
      <w:tr>
        <w:tblPrEx>
          <w:tblW w:w="8415" w:type="dxa"/>
          <w:tblInd w:w="9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工程量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综合单价(元)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合价(元)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合价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300kW直流充电机 保护性拆除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接地扁铁拆除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站内电池箱拆除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 ZRC-YJV-0.6/1kV-3x150mm+2x70mm 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电缆 ZC-YJV22-0.6/1kV-4x10mm+1x6mm 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断路器 保护性拆除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站内UPS柜 保护性拆除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1492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PC一体机 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RFID设备 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服务器 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462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网络有源音柱 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交通灯 保护性拆除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643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照明灯 保护性拆除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监控设备拆除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引导显示器拆除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848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铁质步梯 保护性拆除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1816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换电站支撑支腿拆除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拆除雨蓬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吊车50t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5860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换电机器人加固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高空车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</w:t>
            </w:r>
          </w:p>
        </w:tc>
      </w:tr>
      <w:tr>
        <w:tblPrEx>
          <w:tblW w:w="8415" w:type="dxa"/>
          <w:tblInd w:w="93" w:type="dxa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>
            <w:pPr>
              <w:rPr>
                <w:rFonts w:ascii="Calibri" w:eastAsia="宋体" w:hAnsi="Calibri" w:cs="Calibri" w:hint="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>
            <w:pPr>
              <w:rPr>
                <w:rFonts w:ascii="Calibri" w:eastAsia="宋体" w:hAnsi="Calibri" w:cs="Calibri" w:hint="default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>
            <w:pPr>
              <w:rPr>
                <w:rFonts w:ascii="Calibri" w:eastAsia="宋体" w:hAnsi="Calibri" w:cs="Calibri" w:hint="default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>
            <w:pPr>
              <w:rPr>
                <w:rFonts w:ascii="Calibri" w:eastAsia="宋体" w:hAnsi="Calibri" w:cs="Calibri" w:hint="default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eastAsia="宋体" w:hAnsi="宋体" w:cs="宋体" w:hint="eastAsia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宋体" w:eastAsia="宋体" w:hAnsi="宋体" w:cs="宋体" w:hint="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49000</w:t>
            </w:r>
          </w:p>
        </w:tc>
      </w:tr>
    </w:tbl>
    <w:p>
      <w:pPr>
        <w:pStyle w:val="BodyText"/>
        <w:ind w:firstLine="640" w:firstLineChars="200"/>
        <w:rPr>
          <w:rFonts w:ascii="仿宋_GB2312" w:eastAsia="仿宋_GB2312" w:hAnsi="仿宋_GB2312" w:cs="仿宋_GB2312" w:hint="default"/>
          <w:kern w:val="2"/>
          <w:sz w:val="32"/>
          <w:szCs w:val="32"/>
          <w:lang w:val="en-US" w:eastAsia="zh-CN" w:bidi="ar-SA"/>
        </w:rPr>
      </w:pPr>
    </w:p>
    <w:p>
      <w:pPr>
        <w:pStyle w:val="BodyText"/>
        <w:ind w:firstLine="640" w:firstLineChars="200"/>
        <w:rPr>
          <w:rFonts w:ascii="黑体" w:eastAsia="黑体" w:hAnsi="黑体" w:cs="黑体" w:hint="eastAsia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八、</w:t>
      </w:r>
      <w:r>
        <w:rPr>
          <w:rFonts w:ascii="黑体" w:eastAsia="黑体" w:hAnsi="黑体" w:cs="黑体" w:hint="eastAsia"/>
          <w:sz w:val="32"/>
          <w:szCs w:val="32"/>
          <w:lang w:eastAsia="zh-CN"/>
        </w:rPr>
        <w:t>报价须知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1.报价以人民币为货币单位，采用总价包干报价，包含所有费用。报价不得超过49000元，否则按无效响应处理。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2.报价人应提供支撑项目报价的相关证明文件（例如：企业营业执照加盖公章、企业资质、类似业绩等），报价文件格式见附件。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3.报价文件应按格式要求进行编制，文件格式为彩色扫描PDF版本，并且逐页加盖公章。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4.询价成交原则：最低价中标原则。报价一经我公司认可，即为中标依据。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5.各报价人对上述条款均应作出响应，非响应性报价均作无效报价处理。</w:t>
      </w:r>
    </w:p>
    <w:p>
      <w:pPr>
        <w:pStyle w:val="BodyText"/>
        <w:ind w:firstLine="640" w:firstLineChars="200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九、响应时间要求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成交</w:t>
      </w:r>
      <w:r>
        <w:rPr>
          <w:rFonts w:ascii="仿宋_GB2312" w:eastAsia="仿宋_GB2312" w:hAnsi="仿宋_GB2312" w:cs="仿宋_GB2312" w:hint="eastAsia"/>
          <w:sz w:val="32"/>
          <w:szCs w:val="32"/>
        </w:rPr>
        <w:t>方必须在接到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采购方</w:t>
      </w:r>
      <w:r>
        <w:rPr>
          <w:rFonts w:ascii="仿宋_GB2312" w:eastAsia="仿宋_GB2312" w:hAnsi="仿宋_GB2312" w:cs="仿宋_GB2312" w:hint="eastAsia"/>
          <w:sz w:val="32"/>
          <w:szCs w:val="32"/>
        </w:rPr>
        <w:t>通知后的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48</w:t>
      </w:r>
      <w:r>
        <w:rPr>
          <w:rFonts w:ascii="仿宋_GB2312" w:eastAsia="仿宋_GB2312" w:hAnsi="仿宋_GB2312" w:cs="仿宋_GB2312" w:hint="eastAsia"/>
          <w:sz w:val="32"/>
          <w:szCs w:val="32"/>
        </w:rPr>
        <w:t>小时内响应甲方要求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。</w:t>
      </w:r>
    </w:p>
    <w:p>
      <w:pPr>
        <w:pStyle w:val="BodyText"/>
        <w:ind w:firstLine="640" w:firstLineChars="200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十、费用结算方式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成交方在完成服务后开具增值税发票，采购方在收到发票后30个工作日内完成付款。</w:t>
      </w:r>
    </w:p>
    <w:p>
      <w:pPr>
        <w:pStyle w:val="BodyText"/>
        <w:ind w:firstLine="640" w:firstLineChars="200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十一、联系方式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单位名称：南方电网电动汽车服务有限公司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地址：深圳市龙华区民治街道华南路1号深国际华南数字谷D楼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项目联系人：张先生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电话：0755-28260417-6133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邮箱：518129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附件：报价文件格式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br w:type="page"/>
      </w:r>
    </w:p>
    <w:p>
      <w:pPr>
        <w:rPr>
          <w:rFonts w:ascii="黑体" w:eastAsia="黑体" w:hAnsi="黑体" w:cs="黑体" w:hint="eastAsia"/>
          <w:b w:val="0"/>
          <w:bCs w:val="0"/>
        </w:rPr>
      </w:pPr>
      <w:r>
        <w:rPr>
          <w:rFonts w:ascii="黑体" w:eastAsia="黑体" w:hAnsi="黑体" w:cs="黑体" w:hint="eastAsia"/>
          <w:b w:val="0"/>
          <w:bCs w:val="0"/>
        </w:rPr>
        <w:t>附件：报价文件格式</w:t>
      </w:r>
    </w:p>
    <w:p/>
    <w:p/>
    <w:p>
      <w:pPr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预装式微型电动重卡换电站拆除工程</w:t>
      </w:r>
    </w:p>
    <w:p>
      <w:pPr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</w:p>
    <w:p>
      <w:pPr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</w:p>
    <w:p>
      <w:pPr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</w:p>
    <w:p>
      <w:pPr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报价文件</w:t>
      </w:r>
    </w:p>
    <w:p>
      <w:pPr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</w:p>
    <w:p/>
    <w:p/>
    <w:p/>
    <w:p/>
    <w:p>
      <w:pPr>
        <w:rPr>
          <w:rFonts w:ascii="仿宋_GB2312" w:eastAsia="仿宋_GB2312" w:hAnsi="仿宋_GB2312" w:cs="仿宋_GB2312" w:hint="eastAsia"/>
          <w:sz w:val="32"/>
          <w:szCs w:val="32"/>
        </w:rPr>
      </w:pPr>
    </w:p>
    <w:p>
      <w:pPr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报价单位（盖章）：</w:t>
      </w:r>
    </w:p>
    <w:p>
      <w:pPr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报价日期：</w:t>
      </w:r>
    </w:p>
    <w:p>
      <w:pPr>
        <w:rPr>
          <w:rFonts w:ascii="仿宋_GB2312" w:eastAsia="仿宋_GB2312" w:hAnsi="仿宋_GB2312" w:cs="仿宋_GB2312" w:hint="eastAsia"/>
          <w:sz w:val="32"/>
          <w:szCs w:val="32"/>
        </w:rPr>
      </w:pPr>
    </w:p>
    <w:p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一、</w:t>
      </w:r>
      <w:r>
        <w:rPr>
          <w:rFonts w:ascii="仿宋_GB2312" w:eastAsia="仿宋_GB2312" w:hAnsi="仿宋_GB2312" w:cs="仿宋_GB2312" w:hint="eastAsia"/>
          <w:sz w:val="32"/>
          <w:szCs w:val="32"/>
        </w:rPr>
        <w:t>报价表</w:t>
      </w:r>
    </w:p>
    <w:p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）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项目总报价：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  <w:lang w:val="en-US" w:eastAsia="zh-CN"/>
        </w:rPr>
        <w:t xml:space="preserve">     </w:t>
      </w:r>
      <w:r>
        <w:rPr>
          <w:rFonts w:ascii="仿宋_GB2312" w:eastAsia="仿宋_GB2312" w:hAnsi="仿宋_GB2312" w:cs="仿宋_GB2312" w:hint="eastAsia"/>
          <w:sz w:val="32"/>
          <w:szCs w:val="32"/>
        </w:rPr>
        <w:t>人民币元</w:t>
      </w:r>
    </w:p>
    <w:p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  <w:lang w:val="en-US" w:eastAsia="zh-CN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）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项目费用报价明细：</w:t>
      </w:r>
    </w:p>
    <w:tbl>
      <w:tblPr>
        <w:tblStyle w:val="TableNormal"/>
        <w:tblW w:w="471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1957"/>
        <w:gridCol w:w="2417"/>
        <w:gridCol w:w="1360"/>
        <w:gridCol w:w="1901"/>
      </w:tblGrid>
      <w:tr>
        <w:tblPrEx>
          <w:tblW w:w="4719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/>
        </w:trPr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序号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  <w:t>项目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  <w:lang w:eastAsia="zh-CN"/>
              </w:rPr>
              <w:t>服务明细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  <w:t>含税总报价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  <w:t>服务期限</w:t>
            </w:r>
          </w:p>
        </w:tc>
      </w:tr>
      <w:tr>
        <w:tblPrEx>
          <w:tblW w:w="4719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/>
        </w:trPr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预装式微型电动重卡换电站拆除工程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 xml:space="preserve">预装式微型电动重卡换电站（单车道、4 电池仓位、4×300kW 充电机） </w:t>
            </w:r>
            <w:r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  <w:t>按技术规范书要求</w:t>
            </w:r>
            <w:r>
              <w:rPr>
                <w:rFonts w:ascii="宋体" w:eastAsia="宋体" w:hAnsi="宋体" w:cs="宋体" w:hint="eastAsia"/>
                <w:sz w:val="21"/>
                <w:szCs w:val="21"/>
              </w:rPr>
              <w:t>拆除</w:t>
            </w:r>
            <w:r>
              <w:rPr>
                <w:rFonts w:ascii="宋体" w:eastAsia="宋体" w:hAnsi="宋体" w:cs="宋体" w:hint="eastAsia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8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left"/>
              <w:rPr>
                <w:rFonts w:ascii="宋体" w:eastAsia="宋体" w:hAnsi="宋体" w:cs="宋体" w:hint="eastAsia"/>
                <w:sz w:val="21"/>
                <w:szCs w:val="21"/>
              </w:rPr>
            </w:pP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>
            <w:pPr>
              <w:jc w:val="left"/>
              <w:rPr>
                <w:rFonts w:ascii="宋体" w:eastAsia="宋体" w:hAnsi="宋体" w:cs="宋体" w:hint="default"/>
                <w:sz w:val="21"/>
                <w:szCs w:val="21"/>
                <w:lang w:val="en-US" w:eastAsia="zh-CN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  <w:lang w:val="en-US" w:eastAsia="zh-CN"/>
              </w:rPr>
              <w:t>2026.5.26-2026.6.10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（3）服务地点：广西壮族自治区南宁市武鸣区太平镇六梨北南宁抽蓄项目部。</w:t>
      </w:r>
    </w:p>
    <w:p>
      <w:pPr>
        <w:rPr>
          <w:rFonts w:hint="eastAsia"/>
        </w:rPr>
      </w:pPr>
    </w:p>
    <w:p>
      <w:pPr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二、企业营业执照</w:t>
      </w:r>
    </w:p>
    <w:p/>
    <w:p/>
    <w:p>
      <w:pPr>
        <w:pStyle w:val="BodyText"/>
        <w:ind w:firstLine="640" w:firstLineChars="200"/>
        <w:rPr>
          <w:rFonts w:ascii="黑体" w:eastAsia="黑体" w:hAnsi="黑体" w:cs="黑体" w:hint="eastAsia"/>
          <w:sz w:val="32"/>
          <w:szCs w:val="32"/>
          <w:lang w:eastAsia="zh-CN"/>
        </w:rPr>
      </w:pPr>
    </w:p>
    <w:sectPr>
      <w:footerReference w:type="default" r:id="rId5"/>
      <w:pgSz w:w="11906" w:h="16838"/>
      <w:pgMar w:top="1440" w:right="1800" w:bottom="1440" w:left="1800" w:header="851" w:footer="992" w:gutter="0"/>
      <w:pgNumType w:fmt="decimal"/>
      <w:cols w:num="1" w:space="72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o:spid="_x0000_s2049" type="#_x0000_t202" style="width:2in;height:2in;margin-top:0;margin-left:0;mso-height-relative:page;mso-position-horizontal:center;mso-position-horizontal-relative:margin;mso-width-relative:page;mso-wrap-style:none;position:absolute;z-index:251658240" coordsize="21600,21600" filled="f" stroked="f">
          <v:stroke joinstyle="miter"/>
          <o:lock v:ext="edit" aspectratio="f"/>
          <v:textbox style="mso-fit-shape-to-text:t" inset="0,0,0,0">
            <w:txbxContent>
              <w:p>
                <w:pPr>
                  <w:pStyle w:val="Footer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  <w10:wrap anchorx="margin"/>
        </v:shape>
      </w:pict>
    </w:r>
  </w:p>
</w:ft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15:person w15:author="总文书">
    <w15:presenceInfo w15:providerId="None" w15:userId="总文书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visionView w:comments="1" w:formatting="1" w:inkAnnotations="1" w:insDel="1" w:markup="0"/>
  <w:trackRevisions/>
  <w:defaultTabStop w:val="420"/>
  <w:drawingGridVerticalSpacing w:val="156"/>
  <w:noPunctuationKerning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0B85EDB"/>
    <w:rsid w:val="3DCE1996"/>
    <w:rsid w:val="465D7FEC"/>
    <w:rsid w:val="4A7F0A30"/>
    <w:rsid w:val="53CE5F80"/>
    <w:rsid w:val="556068B7"/>
    <w:rsid w:val="5D284C1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 w:qFormat="1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NormalIndent"/>
    <w:qFormat/>
    <w:pPr>
      <w:widowControl w:val="0"/>
      <w:jc w:val="both"/>
    </w:pPr>
    <w:rPr>
      <w:rFonts w:ascii="Times New Roman" w:eastAsia="宋体" w:hAnsi="Times New Roman" w:cs="仿宋_GB2312"/>
      <w:kern w:val="2"/>
      <w:sz w:val="28"/>
      <w:szCs w:val="28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qFormat/>
    <w:pPr>
      <w:ind w:firstLine="420" w:firstLineChars="200"/>
    </w:pPr>
  </w:style>
  <w:style w:type="paragraph" w:styleId="BodyText">
    <w:name w:val="Body Text"/>
    <w:basedOn w:val="Normal"/>
    <w:qFormat/>
    <w:pPr>
      <w:spacing w:after="120" w:afterLines="0" w:afterAutospacing="0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EUChar">
    <w:name w:val="数字EU Char"/>
    <w:link w:val="EU"/>
    <w:qFormat/>
    <w:rPr>
      <w:rFonts w:ascii="EU-F1"/>
      <w:kern w:val="21"/>
      <w:szCs w:val="21"/>
    </w:rPr>
  </w:style>
  <w:style w:type="paragraph" w:customStyle="1" w:styleId="EU">
    <w:name w:val="数字EU"/>
    <w:basedOn w:val="Normal"/>
    <w:link w:val="EUChar"/>
    <w:qFormat/>
    <w:pPr>
      <w:wordWrap w:val="0"/>
      <w:overflowPunct w:val="0"/>
      <w:topLinePunct/>
    </w:pPr>
    <w:rPr>
      <w:rFonts w:ascii="EU-F1"/>
      <w:kern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Relationship Id="rId8" Type="http://schemas.microsoft.com/office/2011/relationships/people" Target="peop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2500</Words>
  <Characters>2901</Characters>
  <Application>Microsoft Office Word</Application>
  <DocSecurity>0</DocSecurity>
  <Lines>0</Lines>
  <Paragraphs>0</Paragraphs>
  <ScaleCrop>false</ScaleCrop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NWDD</dc:creator>
  <cp:lastModifiedBy>总文书</cp:lastModifiedBy>
  <cp:revision>0</cp:revision>
  <dcterms:created xsi:type="dcterms:W3CDTF">2024-04-07T01:11:00Z</dcterms:created>
  <dcterms:modified xsi:type="dcterms:W3CDTF">2026-05-26T02:50:28Z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709A66A0C5F54B9BAECA73EBC1F68374</vt:lpwstr>
  </property>
  <property fmtid="{D5CDD505-2E9C-101B-9397-08002B2CF9AE}" pid="3" name="KSOProductBuildVer">
    <vt:lpwstr>2052-11.8.2.12309</vt:lpwstr>
  </property>
  <property fmtid="{D5CDD505-2E9C-101B-9397-08002B2CF9AE}" pid="4" name="KSOTemplateDocerSaveRecord">
    <vt:lpwstr>eyJoZGlkIjoiYzUwYjE1OThlMmJjNDczZmRhY2I3MzllMDRkMjdmNjQiLCJ1c2VySWQiOiIxMjM4NTk2ODY5In0=</vt:lpwstr>
  </property>
</Properties>
</file>