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color w:val="auto"/>
        </w:rPr>
      </w:pPr>
      <w:r>
        <w:rPr>
          <w:rFonts w:ascii="宋体" w:hAnsi="宋体" w:cs="宋体"/>
          <w:color w:val="auto"/>
          <w:kern w:val="0"/>
          <w:sz w:val="24"/>
          <w:szCs w:val="24"/>
        </w:rPr>
        <w:drawing>
          <wp:anchor distT="0" distB="0" distL="114300" distR="114300" simplePos="0" relativeHeight="251660288" behindDoc="1" locked="0" layoutInCell="1" allowOverlap="1">
            <wp:simplePos x="0" y="0"/>
            <wp:positionH relativeFrom="column">
              <wp:posOffset>-1149350</wp:posOffset>
            </wp:positionH>
            <wp:positionV relativeFrom="paragraph">
              <wp:posOffset>-895350</wp:posOffset>
            </wp:positionV>
            <wp:extent cx="7538085" cy="2313940"/>
            <wp:effectExtent l="0" t="0" r="5715" b="10160"/>
            <wp:wrapTight wrapText="bothSides">
              <wp:wrapPolygon>
                <wp:start x="0" y="0"/>
                <wp:lineTo x="0" y="21458"/>
                <wp:lineTo x="21580" y="21458"/>
                <wp:lineTo x="21580" y="0"/>
                <wp:lineTo x="0" y="0"/>
              </wp:wrapPolygon>
            </wp:wrapTight>
            <wp:docPr id="2" name="图片 2"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模板-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7538085" cy="2313940"/>
                    </a:xfrm>
                    <a:prstGeom prst="rect">
                      <a:avLst/>
                    </a:prstGeom>
                    <a:noFill/>
                  </pic:spPr>
                </pic:pic>
              </a:graphicData>
            </a:graphic>
          </wp:anchor>
        </w:drawing>
      </w:r>
    </w:p>
    <w:p>
      <w:pPr>
        <w:rPr>
          <w:color w:val="auto"/>
        </w:rPr>
      </w:pPr>
    </w:p>
    <w:p>
      <w:pPr>
        <w:rPr>
          <w:color w:val="auto"/>
        </w:rPr>
      </w:pPr>
    </w:p>
    <w:p>
      <w:pPr>
        <w:rPr>
          <w:color w:val="auto"/>
        </w:rPr>
      </w:pPr>
    </w:p>
    <w:p>
      <w:pPr>
        <w:spacing w:before="624" w:beforeLines="200"/>
        <w:ind w:left="2168" w:hanging="2168" w:hangingChars="450"/>
        <w:jc w:val="center"/>
        <w:rPr>
          <w:rFonts w:ascii="黑体" w:hAnsi="宋体" w:eastAsia="黑体"/>
          <w:b/>
          <w:color w:val="auto"/>
          <w:sz w:val="48"/>
          <w:szCs w:val="48"/>
        </w:rPr>
      </w:pPr>
      <w:r>
        <w:rPr>
          <w:rFonts w:hint="eastAsia" w:ascii="黑体" w:hAnsi="宋体" w:eastAsia="黑体"/>
          <w:b/>
          <w:color w:val="auto"/>
          <w:sz w:val="48"/>
          <w:szCs w:val="48"/>
          <w:lang w:val="en-US" w:eastAsia="zh-CN"/>
        </w:rPr>
        <w:t>保供电应急</w:t>
      </w:r>
      <w:r>
        <w:rPr>
          <w:rFonts w:hint="eastAsia" w:ascii="黑体" w:hAnsi="宋体" w:eastAsia="黑体"/>
          <w:b/>
          <w:color w:val="auto"/>
          <w:sz w:val="48"/>
          <w:szCs w:val="48"/>
        </w:rPr>
        <w:t>指挥车</w:t>
      </w:r>
    </w:p>
    <w:p>
      <w:pPr>
        <w:spacing w:before="624" w:beforeLines="200"/>
        <w:ind w:left="2168" w:hanging="2168" w:hangingChars="450"/>
        <w:jc w:val="center"/>
        <w:rPr>
          <w:rFonts w:ascii="Times New Roman" w:hAnsi="Times New Roman" w:eastAsia="黑体"/>
          <w:b/>
          <w:color w:val="auto"/>
          <w:sz w:val="36"/>
          <w:szCs w:val="36"/>
        </w:rPr>
      </w:pPr>
      <w:r>
        <w:rPr>
          <w:rFonts w:hint="eastAsia" w:ascii="黑体" w:hAnsi="宋体" w:eastAsia="黑体"/>
          <w:b/>
          <w:color w:val="auto"/>
          <w:sz w:val="48"/>
          <w:szCs w:val="48"/>
        </w:rPr>
        <w:t>技术规范书</w:t>
      </w:r>
    </w:p>
    <w:p>
      <w:pPr>
        <w:spacing w:before="624" w:beforeLines="200"/>
        <w:jc w:val="center"/>
        <w:rPr>
          <w:rFonts w:eastAsia="黑体"/>
          <w:b/>
          <w:color w:val="auto"/>
          <w:sz w:val="36"/>
          <w:szCs w:val="24"/>
        </w:rPr>
      </w:pPr>
      <w:r>
        <w:rPr>
          <w:rFonts w:hint="eastAsia" w:eastAsia="黑体"/>
          <w:b/>
          <w:color w:val="auto"/>
          <w:sz w:val="36"/>
        </w:rPr>
        <w:t xml:space="preserve">编号： </w:t>
      </w:r>
    </w:p>
    <w:p>
      <w:pPr>
        <w:spacing w:before="624" w:beforeLines="200"/>
        <w:ind w:firstLine="1771" w:firstLineChars="490"/>
        <w:jc w:val="left"/>
        <w:rPr>
          <w:rFonts w:eastAsia="黑体"/>
          <w:b/>
          <w:color w:val="auto"/>
          <w:sz w:val="36"/>
        </w:rPr>
      </w:pPr>
    </w:p>
    <w:p>
      <w:pPr>
        <w:rPr>
          <w:color w:val="auto"/>
        </w:rPr>
      </w:pPr>
    </w:p>
    <w:p>
      <w:pPr>
        <w:spacing w:before="624" w:beforeLines="200"/>
        <w:jc w:val="center"/>
        <w:rPr>
          <w:rFonts w:ascii="黑体" w:eastAsia="黑体"/>
          <w:b/>
          <w:color w:val="auto"/>
          <w:spacing w:val="20"/>
          <w:w w:val="135"/>
          <w:sz w:val="30"/>
        </w:rPr>
      </w:pPr>
      <w:r>
        <w:rPr>
          <w:rFonts w:hint="eastAsia" w:ascii="黑体" w:eastAsia="黑体"/>
          <w:b/>
          <w:color w:val="auto"/>
          <w:spacing w:val="20"/>
          <w:w w:val="135"/>
          <w:sz w:val="30"/>
        </w:rPr>
        <w:t>深圳供电局有限公司</w:t>
      </w:r>
    </w:p>
    <w:p>
      <w:pPr>
        <w:spacing w:before="624" w:beforeLines="200"/>
        <w:jc w:val="center"/>
        <w:rPr>
          <w:rFonts w:ascii="黑体" w:eastAsia="黑体"/>
          <w:b/>
          <w:color w:val="auto"/>
          <w:spacing w:val="20"/>
          <w:w w:val="135"/>
          <w:sz w:val="30"/>
        </w:rPr>
      </w:pPr>
      <w:r>
        <w:rPr>
          <w:rFonts w:hint="eastAsia" w:ascii="黑体" w:eastAsia="黑体"/>
          <w:b/>
          <w:color w:val="auto"/>
          <w:spacing w:val="20"/>
          <w:w w:val="135"/>
          <w:sz w:val="30"/>
        </w:rPr>
        <w:t>20</w:t>
      </w:r>
      <w:r>
        <w:rPr>
          <w:rFonts w:hint="eastAsia" w:ascii="黑体" w:eastAsia="黑体"/>
          <w:b/>
          <w:color w:val="auto"/>
          <w:spacing w:val="20"/>
          <w:w w:val="135"/>
          <w:sz w:val="30"/>
          <w:lang w:val="en-US" w:eastAsia="zh-CN"/>
        </w:rPr>
        <w:t>26</w:t>
      </w:r>
      <w:r>
        <w:rPr>
          <w:rFonts w:hint="eastAsia" w:ascii="黑体" w:eastAsia="黑体"/>
          <w:b/>
          <w:color w:val="auto"/>
          <w:spacing w:val="20"/>
          <w:w w:val="135"/>
          <w:sz w:val="30"/>
        </w:rPr>
        <w:t>年</w:t>
      </w:r>
      <w:r>
        <w:rPr>
          <w:rFonts w:hint="eastAsia" w:ascii="黑体" w:eastAsia="黑体"/>
          <w:b/>
          <w:color w:val="auto"/>
          <w:spacing w:val="20"/>
          <w:w w:val="135"/>
          <w:sz w:val="30"/>
          <w:lang w:val="en-US" w:eastAsia="zh-CN"/>
        </w:rPr>
        <w:t>5</w:t>
      </w:r>
      <w:r>
        <w:rPr>
          <w:rFonts w:hint="eastAsia" w:ascii="黑体" w:eastAsia="黑体"/>
          <w:b/>
          <w:color w:val="auto"/>
          <w:spacing w:val="20"/>
          <w:w w:val="135"/>
          <w:sz w:val="30"/>
        </w:rPr>
        <w:t>月</w:t>
      </w:r>
    </w:p>
    <w:p>
      <w:pPr>
        <w:spacing w:before="624" w:beforeLines="200"/>
        <w:jc w:val="center"/>
        <w:rPr>
          <w:rFonts w:ascii="Times New Roman" w:eastAsia="黑体"/>
          <w:b/>
          <w:color w:val="auto"/>
          <w:sz w:val="36"/>
        </w:rPr>
      </w:pPr>
    </w:p>
    <w:p>
      <w:pPr>
        <w:rPr>
          <w:rFonts w:hint="eastAsia" w:ascii="黑体" w:hAnsi="黑体" w:eastAsia="黑体" w:cs="Times New Roman"/>
          <w:color w:val="auto"/>
          <w:sz w:val="36"/>
          <w:szCs w:val="36"/>
        </w:rPr>
      </w:pPr>
      <w:r>
        <w:rPr>
          <w:rFonts w:hint="eastAsia" w:ascii="黑体" w:hAnsi="黑体" w:eastAsia="黑体" w:cs="Times New Roman"/>
          <w:color w:val="auto"/>
          <w:sz w:val="36"/>
          <w:szCs w:val="36"/>
        </w:rPr>
        <w:br w:type="page"/>
      </w:r>
    </w:p>
    <w:p>
      <w:pPr>
        <w:pStyle w:val="18"/>
        <w:adjustRightInd w:val="0"/>
        <w:snapToGrid w:val="0"/>
        <w:spacing w:line="360" w:lineRule="auto"/>
        <w:ind w:firstLine="0" w:firstLineChars="0"/>
        <w:jc w:val="center"/>
        <w:rPr>
          <w:rFonts w:ascii="黑体" w:hAnsi="黑体" w:eastAsia="黑体" w:cs="Times New Roman"/>
          <w:color w:val="auto"/>
          <w:sz w:val="36"/>
          <w:szCs w:val="36"/>
        </w:rPr>
      </w:pPr>
      <w:r>
        <w:rPr>
          <w:rFonts w:hint="eastAsia" w:ascii="黑体" w:hAnsi="黑体" w:eastAsia="黑体" w:cs="Times New Roman"/>
          <w:color w:val="auto"/>
          <w:sz w:val="36"/>
          <w:szCs w:val="36"/>
        </w:rPr>
        <w:t>目  录</w:t>
      </w:r>
    </w:p>
    <w:p>
      <w:pPr>
        <w:pStyle w:val="10"/>
        <w:tabs>
          <w:tab w:val="right" w:leader="dot" w:pos="8306"/>
        </w:tabs>
        <w:rPr>
          <w:color w:val="auto"/>
        </w:rPr>
      </w:pPr>
      <w:r>
        <w:rPr>
          <w:rFonts w:hint="eastAsia" w:ascii="宋体" w:hAnsi="宋体"/>
          <w:b w:val="0"/>
          <w:i/>
          <w:color w:val="auto"/>
          <w:sz w:val="21"/>
          <w:szCs w:val="21"/>
        </w:rPr>
        <w:fldChar w:fldCharType="begin"/>
      </w:r>
      <w:r>
        <w:rPr>
          <w:rFonts w:hint="eastAsia" w:ascii="宋体" w:hAnsi="宋体"/>
          <w:b w:val="0"/>
          <w:i/>
          <w:color w:val="auto"/>
          <w:sz w:val="21"/>
          <w:szCs w:val="21"/>
        </w:rPr>
        <w:instrText xml:space="preserve"> TOC \o "1-2" \h \z \u </w:instrText>
      </w:r>
      <w:r>
        <w:rPr>
          <w:rFonts w:hint="eastAsia" w:ascii="宋体" w:hAnsi="宋体"/>
          <w:b w:val="0"/>
          <w:i/>
          <w:color w:val="auto"/>
          <w:sz w:val="21"/>
          <w:szCs w:val="21"/>
        </w:rPr>
        <w:fldChar w:fldCharType="separate"/>
      </w:r>
      <w:r>
        <w:rPr>
          <w:color w:val="auto"/>
        </w:rPr>
        <w:fldChar w:fldCharType="begin"/>
      </w:r>
      <w:r>
        <w:rPr>
          <w:color w:val="auto"/>
        </w:rPr>
        <w:instrText xml:space="preserve"> HYPERLINK \l "_Toc15785" </w:instrText>
      </w:r>
      <w:r>
        <w:rPr>
          <w:color w:val="auto"/>
        </w:rPr>
        <w:fldChar w:fldCharType="separate"/>
      </w:r>
      <w:r>
        <w:rPr>
          <w:rFonts w:hint="eastAsia" w:hAnsi="宋体"/>
          <w:color w:val="auto"/>
          <w:szCs w:val="24"/>
        </w:rPr>
        <w:t>1 总则</w:t>
      </w:r>
      <w:r>
        <w:rPr>
          <w:color w:val="auto"/>
        </w:rPr>
        <w:tab/>
      </w:r>
      <w:r>
        <w:rPr>
          <w:color w:val="auto"/>
        </w:rPr>
        <w:fldChar w:fldCharType="begin"/>
      </w:r>
      <w:r>
        <w:rPr>
          <w:color w:val="auto"/>
        </w:rPr>
        <w:instrText xml:space="preserve"> PAGEREF _Toc15785 \h </w:instrText>
      </w:r>
      <w:r>
        <w:rPr>
          <w:color w:val="auto"/>
        </w:rPr>
        <w:fldChar w:fldCharType="separate"/>
      </w:r>
      <w:r>
        <w:rPr>
          <w:color w:val="auto"/>
        </w:rPr>
        <w:t>3</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"_Toc22051" </w:instrText>
      </w:r>
      <w:r>
        <w:rPr>
          <w:color w:val="auto"/>
        </w:rPr>
        <w:fldChar w:fldCharType="separate"/>
      </w:r>
      <w:r>
        <w:rPr>
          <w:rFonts w:hint="eastAsia" w:hAnsi="宋体"/>
          <w:color w:val="auto"/>
          <w:szCs w:val="24"/>
        </w:rPr>
        <w:t>2 工作范围</w:t>
      </w:r>
      <w:r>
        <w:rPr>
          <w:color w:val="auto"/>
        </w:rPr>
        <w:tab/>
      </w:r>
      <w:r>
        <w:rPr>
          <w:color w:val="auto"/>
        </w:rPr>
        <w:fldChar w:fldCharType="begin"/>
      </w:r>
      <w:r>
        <w:rPr>
          <w:color w:val="auto"/>
        </w:rPr>
        <w:instrText xml:space="preserve"> PAGEREF _Toc22051 \h </w:instrText>
      </w:r>
      <w:r>
        <w:rPr>
          <w:color w:val="auto"/>
        </w:rPr>
        <w:fldChar w:fldCharType="separate"/>
      </w:r>
      <w:r>
        <w:rPr>
          <w:color w:val="auto"/>
        </w:rPr>
        <w:t>3</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"_Toc16992" </w:instrText>
      </w:r>
      <w:r>
        <w:rPr>
          <w:color w:val="auto"/>
        </w:rPr>
        <w:fldChar w:fldCharType="separate"/>
      </w:r>
      <w:r>
        <w:rPr>
          <w:rFonts w:hint="eastAsia" w:hAnsi="宋体"/>
          <w:color w:val="auto"/>
        </w:rPr>
        <w:t>2.1 项目概况</w:t>
      </w:r>
      <w:r>
        <w:rPr>
          <w:color w:val="auto"/>
        </w:rPr>
        <w:tab/>
      </w:r>
      <w:r>
        <w:rPr>
          <w:color w:val="auto"/>
        </w:rPr>
        <w:fldChar w:fldCharType="begin"/>
      </w:r>
      <w:r>
        <w:rPr>
          <w:color w:val="auto"/>
        </w:rPr>
        <w:instrText xml:space="preserve"> PAGEREF _Toc16992 \h </w:instrText>
      </w:r>
      <w:r>
        <w:rPr>
          <w:color w:val="auto"/>
        </w:rPr>
        <w:fldChar w:fldCharType="separate"/>
      </w:r>
      <w:r>
        <w:rPr>
          <w:color w:val="auto"/>
        </w:rPr>
        <w:t>3</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"_Toc31319" </w:instrText>
      </w:r>
      <w:r>
        <w:rPr>
          <w:color w:val="auto"/>
        </w:rPr>
        <w:fldChar w:fldCharType="separate"/>
      </w:r>
      <w:r>
        <w:rPr>
          <w:rFonts w:hint="eastAsia" w:hAnsi="宋体" w:eastAsiaTheme="minorEastAsia" w:cstheme="minorBidi"/>
          <w:color w:val="auto"/>
          <w:szCs w:val="21"/>
        </w:rPr>
        <w:t>2.2 范围和界限</w:t>
      </w:r>
      <w:r>
        <w:rPr>
          <w:color w:val="auto"/>
        </w:rPr>
        <w:tab/>
      </w:r>
      <w:r>
        <w:rPr>
          <w:color w:val="auto"/>
        </w:rPr>
        <w:fldChar w:fldCharType="begin"/>
      </w:r>
      <w:r>
        <w:rPr>
          <w:color w:val="auto"/>
        </w:rPr>
        <w:instrText xml:space="preserve"> PAGEREF _Toc31319 \h </w:instrText>
      </w:r>
      <w:r>
        <w:rPr>
          <w:color w:val="auto"/>
        </w:rPr>
        <w:fldChar w:fldCharType="separate"/>
      </w:r>
      <w:r>
        <w:rPr>
          <w:color w:val="auto"/>
        </w:rPr>
        <w:t>4</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"_Toc17245" </w:instrText>
      </w:r>
      <w:r>
        <w:rPr>
          <w:color w:val="auto"/>
        </w:rPr>
        <w:fldChar w:fldCharType="separate"/>
      </w:r>
      <w:r>
        <w:rPr>
          <w:rFonts w:hint="eastAsia" w:hAnsi="宋体"/>
          <w:color w:val="auto"/>
          <w:szCs w:val="22"/>
        </w:rPr>
        <w:t>2.3 服务范围</w:t>
      </w:r>
      <w:r>
        <w:rPr>
          <w:color w:val="auto"/>
        </w:rPr>
        <w:tab/>
      </w:r>
      <w:r>
        <w:rPr>
          <w:color w:val="auto"/>
        </w:rPr>
        <w:fldChar w:fldCharType="begin"/>
      </w:r>
      <w:r>
        <w:rPr>
          <w:color w:val="auto"/>
        </w:rPr>
        <w:instrText xml:space="preserve"> PAGEREF _Toc17245 \h </w:instrText>
      </w:r>
      <w:r>
        <w:rPr>
          <w:color w:val="auto"/>
        </w:rPr>
        <w:fldChar w:fldCharType="separate"/>
      </w:r>
      <w:r>
        <w:rPr>
          <w:color w:val="auto"/>
        </w:rPr>
        <w:t>4</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"_Toc8382" </w:instrText>
      </w:r>
      <w:r>
        <w:rPr>
          <w:color w:val="auto"/>
        </w:rPr>
        <w:fldChar w:fldCharType="separate"/>
      </w:r>
      <w:r>
        <w:rPr>
          <w:rFonts w:hint="eastAsia" w:hAnsi="宋体"/>
          <w:color w:val="auto"/>
          <w:szCs w:val="22"/>
        </w:rPr>
        <w:t>3 应遵循的主要标准</w:t>
      </w:r>
      <w:r>
        <w:rPr>
          <w:color w:val="auto"/>
        </w:rPr>
        <w:tab/>
      </w:r>
      <w:r>
        <w:rPr>
          <w:color w:val="auto"/>
        </w:rPr>
        <w:fldChar w:fldCharType="begin"/>
      </w:r>
      <w:r>
        <w:rPr>
          <w:color w:val="auto"/>
        </w:rPr>
        <w:instrText xml:space="preserve"> PAGEREF _Toc8382 \h </w:instrText>
      </w:r>
      <w:r>
        <w:rPr>
          <w:color w:val="auto"/>
        </w:rPr>
        <w:fldChar w:fldCharType="separate"/>
      </w:r>
      <w:r>
        <w:rPr>
          <w:color w:val="auto"/>
        </w:rPr>
        <w:t>5</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"_Toc32172" </w:instrText>
      </w:r>
      <w:r>
        <w:rPr>
          <w:color w:val="auto"/>
        </w:rPr>
        <w:fldChar w:fldCharType="separate"/>
      </w:r>
      <w:r>
        <w:rPr>
          <w:rFonts w:hint="eastAsia" w:hAnsi="宋体"/>
          <w:color w:val="auto"/>
          <w:szCs w:val="24"/>
        </w:rPr>
        <w:t>4 使用环境要求</w:t>
      </w:r>
      <w:r>
        <w:rPr>
          <w:color w:val="auto"/>
        </w:rPr>
        <w:tab/>
      </w:r>
      <w:r>
        <w:rPr>
          <w:color w:val="auto"/>
        </w:rPr>
        <w:fldChar w:fldCharType="begin"/>
      </w:r>
      <w:r>
        <w:rPr>
          <w:color w:val="auto"/>
        </w:rPr>
        <w:instrText xml:space="preserve"> PAGEREF _Toc32172 \h </w:instrText>
      </w:r>
      <w:r>
        <w:rPr>
          <w:color w:val="auto"/>
        </w:rPr>
        <w:fldChar w:fldCharType="separate"/>
      </w:r>
      <w:r>
        <w:rPr>
          <w:color w:val="auto"/>
        </w:rPr>
        <w:t>5</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"_Toc27743" </w:instrText>
      </w:r>
      <w:r>
        <w:rPr>
          <w:color w:val="auto"/>
        </w:rPr>
        <w:fldChar w:fldCharType="separate"/>
      </w:r>
      <w:r>
        <w:rPr>
          <w:rFonts w:hint="eastAsia" w:hAnsi="宋体"/>
          <w:color w:val="auto"/>
          <w:szCs w:val="24"/>
        </w:rPr>
        <w:t>5 技术要求</w:t>
      </w:r>
      <w:r>
        <w:rPr>
          <w:color w:val="auto"/>
        </w:rPr>
        <w:tab/>
      </w:r>
      <w:r>
        <w:rPr>
          <w:color w:val="auto"/>
        </w:rPr>
        <w:fldChar w:fldCharType="begin"/>
      </w:r>
      <w:r>
        <w:rPr>
          <w:color w:val="auto"/>
        </w:rPr>
        <w:instrText xml:space="preserve"> PAGEREF _Toc27743 \h </w:instrText>
      </w:r>
      <w:r>
        <w:rPr>
          <w:color w:val="auto"/>
        </w:rPr>
        <w:fldChar w:fldCharType="separate"/>
      </w:r>
      <w:r>
        <w:rPr>
          <w:color w:val="auto"/>
        </w:rPr>
        <w:t>6</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"_Toc8641" </w:instrText>
      </w:r>
      <w:r>
        <w:rPr>
          <w:color w:val="auto"/>
        </w:rPr>
        <w:fldChar w:fldCharType="separate"/>
      </w:r>
      <w:r>
        <w:rPr>
          <w:rFonts w:hAnsi="宋体"/>
          <w:color w:val="auto"/>
          <w:szCs w:val="24"/>
        </w:rPr>
        <w:t>6</w:t>
      </w:r>
      <w:r>
        <w:rPr>
          <w:rFonts w:hint="eastAsia" w:hAnsi="宋体"/>
          <w:color w:val="auto"/>
          <w:szCs w:val="24"/>
        </w:rPr>
        <w:t xml:space="preserve"> 产品对环境的影响</w:t>
      </w:r>
      <w:r>
        <w:rPr>
          <w:color w:val="auto"/>
        </w:rPr>
        <w:tab/>
      </w:r>
      <w:r>
        <w:rPr>
          <w:color w:val="auto"/>
        </w:rPr>
        <w:fldChar w:fldCharType="begin"/>
      </w:r>
      <w:r>
        <w:rPr>
          <w:color w:val="auto"/>
        </w:rPr>
        <w:instrText xml:space="preserve"> PAGEREF _Toc8641 \h </w:instrText>
      </w:r>
      <w:r>
        <w:rPr>
          <w:color w:val="auto"/>
        </w:rPr>
        <w:fldChar w:fldCharType="separate"/>
      </w:r>
      <w:r>
        <w:rPr>
          <w:color w:val="auto"/>
        </w:rPr>
        <w:t>9</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"_Toc1878" </w:instrText>
      </w:r>
      <w:r>
        <w:rPr>
          <w:color w:val="auto"/>
        </w:rPr>
        <w:fldChar w:fldCharType="separate"/>
      </w:r>
      <w:r>
        <w:rPr>
          <w:rFonts w:hAnsi="宋体"/>
          <w:color w:val="auto"/>
          <w:szCs w:val="24"/>
        </w:rPr>
        <w:t>7</w:t>
      </w:r>
      <w:r>
        <w:rPr>
          <w:rFonts w:hint="eastAsia" w:hAnsi="宋体"/>
          <w:color w:val="auto"/>
          <w:szCs w:val="24"/>
        </w:rPr>
        <w:t>技术文件要求</w:t>
      </w:r>
      <w:r>
        <w:rPr>
          <w:color w:val="auto"/>
        </w:rPr>
        <w:tab/>
      </w:r>
      <w:r>
        <w:rPr>
          <w:color w:val="auto"/>
        </w:rPr>
        <w:fldChar w:fldCharType="begin"/>
      </w:r>
      <w:r>
        <w:rPr>
          <w:color w:val="auto"/>
        </w:rPr>
        <w:instrText xml:space="preserve"> PAGEREF _Toc1878 \h </w:instrText>
      </w:r>
      <w:r>
        <w:rPr>
          <w:color w:val="auto"/>
        </w:rPr>
        <w:fldChar w:fldCharType="separate"/>
      </w:r>
      <w:r>
        <w:rPr>
          <w:color w:val="auto"/>
        </w:rPr>
        <w:t>9</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"_Toc26330" </w:instrText>
      </w:r>
      <w:r>
        <w:rPr>
          <w:color w:val="auto"/>
        </w:rPr>
        <w:fldChar w:fldCharType="separate"/>
      </w:r>
      <w:r>
        <w:rPr>
          <w:rFonts w:hAnsi="宋体"/>
          <w:color w:val="auto"/>
          <w:szCs w:val="24"/>
        </w:rPr>
        <w:t>8</w:t>
      </w:r>
      <w:r>
        <w:rPr>
          <w:rFonts w:hint="eastAsia" w:hAnsi="宋体"/>
          <w:color w:val="auto"/>
          <w:szCs w:val="24"/>
        </w:rPr>
        <w:t xml:space="preserve"> 监造、包装、运输、安装及质量保证</w:t>
      </w:r>
      <w:r>
        <w:rPr>
          <w:color w:val="auto"/>
        </w:rPr>
        <w:tab/>
      </w:r>
      <w:r>
        <w:rPr>
          <w:color w:val="auto"/>
        </w:rPr>
        <w:fldChar w:fldCharType="begin"/>
      </w:r>
      <w:r>
        <w:rPr>
          <w:color w:val="auto"/>
        </w:rPr>
        <w:instrText xml:space="preserve"> PAGEREF _Toc26330 \h </w:instrText>
      </w:r>
      <w:r>
        <w:rPr>
          <w:color w:val="auto"/>
        </w:rPr>
        <w:fldChar w:fldCharType="separate"/>
      </w:r>
      <w:r>
        <w:rPr>
          <w:color w:val="auto"/>
        </w:rPr>
        <w:t>10</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"_Toc29492" </w:instrText>
      </w:r>
      <w:r>
        <w:rPr>
          <w:color w:val="auto"/>
        </w:rPr>
        <w:fldChar w:fldCharType="separate"/>
      </w:r>
      <w:r>
        <w:rPr>
          <w:rFonts w:hAnsi="宋体"/>
          <w:color w:val="auto"/>
        </w:rPr>
        <w:t>8</w:t>
      </w:r>
      <w:r>
        <w:rPr>
          <w:rFonts w:hint="eastAsia" w:hAnsi="宋体"/>
          <w:color w:val="auto"/>
        </w:rPr>
        <w:t>.1监造</w:t>
      </w:r>
      <w:r>
        <w:rPr>
          <w:color w:val="auto"/>
        </w:rPr>
        <w:tab/>
      </w:r>
      <w:r>
        <w:rPr>
          <w:color w:val="auto"/>
        </w:rPr>
        <w:fldChar w:fldCharType="begin"/>
      </w:r>
      <w:r>
        <w:rPr>
          <w:color w:val="auto"/>
        </w:rPr>
        <w:instrText xml:space="preserve"> PAGEREF _Toc29492 \h </w:instrText>
      </w:r>
      <w:r>
        <w:rPr>
          <w:color w:val="auto"/>
        </w:rPr>
        <w:fldChar w:fldCharType="separate"/>
      </w:r>
      <w:r>
        <w:rPr>
          <w:color w:val="auto"/>
        </w:rPr>
        <w:t>10</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"_Toc31331" </w:instrText>
      </w:r>
      <w:r>
        <w:rPr>
          <w:color w:val="auto"/>
        </w:rPr>
        <w:fldChar w:fldCharType="separate"/>
      </w:r>
      <w:r>
        <w:rPr>
          <w:rFonts w:hAnsi="宋体"/>
          <w:color w:val="auto"/>
        </w:rPr>
        <w:t>8</w:t>
      </w:r>
      <w:r>
        <w:rPr>
          <w:rFonts w:hint="eastAsia" w:hAnsi="宋体"/>
          <w:color w:val="auto"/>
        </w:rPr>
        <w:t>.2包装</w:t>
      </w:r>
      <w:r>
        <w:rPr>
          <w:color w:val="auto"/>
        </w:rPr>
        <w:tab/>
      </w:r>
      <w:r>
        <w:rPr>
          <w:color w:val="auto"/>
        </w:rPr>
        <w:fldChar w:fldCharType="begin"/>
      </w:r>
      <w:r>
        <w:rPr>
          <w:color w:val="auto"/>
        </w:rPr>
        <w:instrText xml:space="preserve"> PAGEREF _Toc31331 \h </w:instrText>
      </w:r>
      <w:r>
        <w:rPr>
          <w:color w:val="auto"/>
        </w:rPr>
        <w:fldChar w:fldCharType="separate"/>
      </w:r>
      <w:r>
        <w:rPr>
          <w:color w:val="auto"/>
        </w:rPr>
        <w:t>10</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"_Toc6481" </w:instrText>
      </w:r>
      <w:r>
        <w:rPr>
          <w:color w:val="auto"/>
        </w:rPr>
        <w:fldChar w:fldCharType="separate"/>
      </w:r>
      <w:r>
        <w:rPr>
          <w:rFonts w:hAnsi="宋体"/>
          <w:color w:val="auto"/>
        </w:rPr>
        <w:t>8</w:t>
      </w:r>
      <w:r>
        <w:rPr>
          <w:rFonts w:hint="eastAsia" w:hAnsi="宋体"/>
          <w:color w:val="auto"/>
        </w:rPr>
        <w:t>.3运输</w:t>
      </w:r>
      <w:r>
        <w:rPr>
          <w:color w:val="auto"/>
        </w:rPr>
        <w:tab/>
      </w:r>
      <w:r>
        <w:rPr>
          <w:color w:val="auto"/>
        </w:rPr>
        <w:fldChar w:fldCharType="begin"/>
      </w:r>
      <w:r>
        <w:rPr>
          <w:color w:val="auto"/>
        </w:rPr>
        <w:instrText xml:space="preserve"> PAGEREF _Toc6481 \h </w:instrText>
      </w:r>
      <w:r>
        <w:rPr>
          <w:color w:val="auto"/>
        </w:rPr>
        <w:fldChar w:fldCharType="separate"/>
      </w:r>
      <w:r>
        <w:rPr>
          <w:color w:val="auto"/>
        </w:rPr>
        <w:t>10</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"_Toc13192" </w:instrText>
      </w:r>
      <w:r>
        <w:rPr>
          <w:color w:val="auto"/>
        </w:rPr>
        <w:fldChar w:fldCharType="separate"/>
      </w:r>
      <w:r>
        <w:rPr>
          <w:rFonts w:hAnsi="宋体"/>
          <w:color w:val="auto"/>
        </w:rPr>
        <w:t>8</w:t>
      </w:r>
      <w:r>
        <w:rPr>
          <w:rFonts w:hint="eastAsia" w:hAnsi="宋体"/>
          <w:color w:val="auto"/>
        </w:rPr>
        <w:t>.4安装使用指导</w:t>
      </w:r>
      <w:r>
        <w:rPr>
          <w:color w:val="auto"/>
        </w:rPr>
        <w:tab/>
      </w:r>
      <w:r>
        <w:rPr>
          <w:color w:val="auto"/>
        </w:rPr>
        <w:fldChar w:fldCharType="begin"/>
      </w:r>
      <w:r>
        <w:rPr>
          <w:color w:val="auto"/>
        </w:rPr>
        <w:instrText xml:space="preserve"> PAGEREF _Toc13192 \h </w:instrText>
      </w:r>
      <w:r>
        <w:rPr>
          <w:color w:val="auto"/>
        </w:rPr>
        <w:fldChar w:fldCharType="separate"/>
      </w:r>
      <w:r>
        <w:rPr>
          <w:color w:val="auto"/>
        </w:rPr>
        <w:t>10</w:t>
      </w:r>
      <w:r>
        <w:rPr>
          <w:color w:val="auto"/>
        </w:rPr>
        <w:fldChar w:fldCharType="end"/>
      </w:r>
      <w:r>
        <w:rPr>
          <w:color w:val="auto"/>
        </w:rPr>
        <w:fldChar w:fldCharType="end"/>
      </w:r>
    </w:p>
    <w:p>
      <w:pPr>
        <w:pStyle w:val="11"/>
        <w:tabs>
          <w:tab w:val="right" w:leader="dot" w:pos="8306"/>
          <w:tab w:val="clear" w:pos="900"/>
          <w:tab w:val="clear" w:pos="8296"/>
        </w:tabs>
        <w:rPr>
          <w:color w:val="auto"/>
        </w:rPr>
      </w:pPr>
      <w:r>
        <w:rPr>
          <w:color w:val="auto"/>
        </w:rPr>
        <w:fldChar w:fldCharType="begin"/>
      </w:r>
      <w:r>
        <w:rPr>
          <w:color w:val="auto"/>
        </w:rPr>
        <w:instrText xml:space="preserve"> HYPERLINK \l "_Toc657" </w:instrText>
      </w:r>
      <w:r>
        <w:rPr>
          <w:color w:val="auto"/>
        </w:rPr>
        <w:fldChar w:fldCharType="separate"/>
      </w:r>
      <w:r>
        <w:rPr>
          <w:rFonts w:hAnsi="宋体"/>
          <w:color w:val="auto"/>
        </w:rPr>
        <w:t>8</w:t>
      </w:r>
      <w:r>
        <w:rPr>
          <w:rFonts w:hint="eastAsia" w:hAnsi="宋体"/>
          <w:color w:val="auto"/>
        </w:rPr>
        <w:t>.5质量保证</w:t>
      </w:r>
      <w:r>
        <w:rPr>
          <w:color w:val="auto"/>
        </w:rPr>
        <w:tab/>
      </w:r>
      <w:r>
        <w:rPr>
          <w:color w:val="auto"/>
        </w:rPr>
        <w:fldChar w:fldCharType="begin"/>
      </w:r>
      <w:r>
        <w:rPr>
          <w:color w:val="auto"/>
        </w:rPr>
        <w:instrText xml:space="preserve"> PAGEREF _Toc657 \h </w:instrText>
      </w:r>
      <w:r>
        <w:rPr>
          <w:color w:val="auto"/>
        </w:rPr>
        <w:fldChar w:fldCharType="separate"/>
      </w:r>
      <w:r>
        <w:rPr>
          <w:color w:val="auto"/>
        </w:rPr>
        <w:t>11</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"_Toc29790" </w:instrText>
      </w:r>
      <w:r>
        <w:rPr>
          <w:color w:val="auto"/>
        </w:rPr>
        <w:fldChar w:fldCharType="separate"/>
      </w:r>
      <w:r>
        <w:rPr>
          <w:rFonts w:hAnsi="宋体"/>
          <w:color w:val="auto"/>
          <w:szCs w:val="24"/>
        </w:rPr>
        <w:t>9</w:t>
      </w:r>
      <w:r>
        <w:rPr>
          <w:rFonts w:hint="eastAsia" w:hAnsi="宋体"/>
          <w:color w:val="auto"/>
          <w:szCs w:val="24"/>
        </w:rPr>
        <w:t>技术差异表</w:t>
      </w:r>
      <w:r>
        <w:rPr>
          <w:color w:val="auto"/>
        </w:rPr>
        <w:tab/>
      </w:r>
      <w:r>
        <w:rPr>
          <w:color w:val="auto"/>
        </w:rPr>
        <w:fldChar w:fldCharType="begin"/>
      </w:r>
      <w:r>
        <w:rPr>
          <w:color w:val="auto"/>
        </w:rPr>
        <w:instrText xml:space="preserve"> PAGEREF _Toc29790 \h </w:instrText>
      </w:r>
      <w:r>
        <w:rPr>
          <w:color w:val="auto"/>
        </w:rPr>
        <w:fldChar w:fldCharType="separate"/>
      </w:r>
      <w:r>
        <w:rPr>
          <w:color w:val="auto"/>
        </w:rPr>
        <w:t>12</w:t>
      </w:r>
      <w:r>
        <w:rPr>
          <w:color w:val="auto"/>
        </w:rPr>
        <w:fldChar w:fldCharType="end"/>
      </w:r>
      <w:r>
        <w:rPr>
          <w:color w:val="auto"/>
        </w:rPr>
        <w:fldChar w:fldCharType="end"/>
      </w:r>
    </w:p>
    <w:p>
      <w:pPr>
        <w:pStyle w:val="10"/>
        <w:tabs>
          <w:tab w:val="right" w:leader="dot" w:pos="8306"/>
        </w:tabs>
        <w:rPr>
          <w:color w:val="auto"/>
        </w:rPr>
      </w:pPr>
      <w:r>
        <w:rPr>
          <w:color w:val="auto"/>
        </w:rPr>
        <w:fldChar w:fldCharType="begin"/>
      </w:r>
      <w:r>
        <w:rPr>
          <w:color w:val="auto"/>
        </w:rPr>
        <w:instrText xml:space="preserve"> HYPERLINK \l "_Toc6766" </w:instrText>
      </w:r>
      <w:r>
        <w:rPr>
          <w:color w:val="auto"/>
        </w:rPr>
        <w:fldChar w:fldCharType="separate"/>
      </w:r>
      <w:r>
        <w:rPr>
          <w:rFonts w:hint="eastAsia" w:hAnsi="宋体"/>
          <w:color w:val="auto"/>
          <w:szCs w:val="24"/>
        </w:rPr>
        <w:t>1</w:t>
      </w:r>
      <w:r>
        <w:rPr>
          <w:rFonts w:hAnsi="宋体"/>
          <w:color w:val="auto"/>
          <w:szCs w:val="24"/>
        </w:rPr>
        <w:t>0</w:t>
      </w:r>
      <w:r>
        <w:rPr>
          <w:rFonts w:hint="eastAsia" w:hAnsi="宋体"/>
          <w:color w:val="auto"/>
          <w:szCs w:val="24"/>
        </w:rPr>
        <w:t>投标方需说明的其他问题</w:t>
      </w:r>
      <w:r>
        <w:rPr>
          <w:color w:val="auto"/>
        </w:rPr>
        <w:tab/>
      </w:r>
      <w:r>
        <w:rPr>
          <w:color w:val="auto"/>
        </w:rPr>
        <w:fldChar w:fldCharType="begin"/>
      </w:r>
      <w:r>
        <w:rPr>
          <w:color w:val="auto"/>
        </w:rPr>
        <w:instrText xml:space="preserve"> PAGEREF _Toc6766 \h </w:instrText>
      </w:r>
      <w:r>
        <w:rPr>
          <w:color w:val="auto"/>
        </w:rPr>
        <w:fldChar w:fldCharType="separate"/>
      </w:r>
      <w:r>
        <w:rPr>
          <w:color w:val="auto"/>
        </w:rPr>
        <w:t>12</w:t>
      </w:r>
      <w:r>
        <w:rPr>
          <w:color w:val="auto"/>
        </w:rPr>
        <w:fldChar w:fldCharType="end"/>
      </w:r>
      <w:r>
        <w:rPr>
          <w:color w:val="auto"/>
        </w:rPr>
        <w:fldChar w:fldCharType="end"/>
      </w:r>
    </w:p>
    <w:p>
      <w:pPr>
        <w:rPr>
          <w:rFonts w:ascii="宋体" w:hAnsi="宋体"/>
          <w:color w:val="auto"/>
          <w:szCs w:val="21"/>
        </w:rPr>
      </w:pPr>
      <w:r>
        <w:rPr>
          <w:rFonts w:hint="eastAsia" w:ascii="宋体" w:hAnsi="宋体"/>
          <w:color w:val="auto"/>
          <w:szCs w:val="21"/>
        </w:rPr>
        <w:fldChar w:fldCharType="end"/>
      </w:r>
    </w:p>
    <w:p>
      <w:pPr>
        <w:rPr>
          <w:rFonts w:ascii="宋体" w:hAnsi="宋体"/>
          <w:color w:val="auto"/>
          <w:szCs w:val="21"/>
        </w:rPr>
      </w:pPr>
    </w:p>
    <w:p>
      <w:pPr>
        <w:rPr>
          <w:rFonts w:ascii="宋体" w:hAnsi="宋体"/>
          <w:color w:val="auto"/>
          <w:szCs w:val="21"/>
        </w:rPr>
      </w:pPr>
    </w:p>
    <w:p>
      <w:pPr>
        <w:rPr>
          <w:rFonts w:ascii="宋体" w:hAnsi="宋体"/>
          <w:color w:val="auto"/>
          <w:szCs w:val="21"/>
        </w:rPr>
      </w:pPr>
    </w:p>
    <w:p>
      <w:pPr>
        <w:rPr>
          <w:rFonts w:ascii="宋体" w:hAnsi="宋体"/>
          <w:color w:val="auto"/>
          <w:szCs w:val="21"/>
        </w:rPr>
      </w:pPr>
    </w:p>
    <w:p>
      <w:pPr>
        <w:rPr>
          <w:rFonts w:ascii="宋体" w:hAnsi="宋体"/>
          <w:color w:val="auto"/>
          <w:szCs w:val="21"/>
        </w:rPr>
      </w:pPr>
    </w:p>
    <w:p>
      <w:pPr>
        <w:rPr>
          <w:rFonts w:ascii="宋体" w:hAnsi="宋体"/>
          <w:color w:val="auto"/>
          <w:szCs w:val="21"/>
        </w:rPr>
      </w:pPr>
    </w:p>
    <w:p>
      <w:pPr>
        <w:rPr>
          <w:rFonts w:ascii="宋体" w:hAnsi="宋体"/>
          <w:color w:val="auto"/>
          <w:szCs w:val="21"/>
        </w:rPr>
      </w:pPr>
    </w:p>
    <w:p>
      <w:pPr>
        <w:rPr>
          <w:rFonts w:ascii="宋体" w:hAnsi="宋体"/>
          <w:color w:val="auto"/>
          <w:szCs w:val="21"/>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pStyle w:val="2"/>
        <w:numPr>
          <w:ilvl w:val="0"/>
          <w:numId w:val="0"/>
        </w:numPr>
        <w:snapToGrid/>
        <w:spacing w:before="312" w:line="480" w:lineRule="auto"/>
        <w:rPr>
          <w:rFonts w:hAnsi="宋体"/>
          <w:color w:val="auto"/>
          <w:sz w:val="24"/>
          <w:szCs w:val="24"/>
        </w:rPr>
      </w:pPr>
      <w:bookmarkStart w:id="0" w:name="_Toc112756677"/>
      <w:bookmarkStart w:id="1" w:name="_Toc15785"/>
      <w:r>
        <w:rPr>
          <w:rFonts w:hint="eastAsia" w:hAnsi="宋体"/>
          <w:color w:val="auto"/>
          <w:sz w:val="24"/>
          <w:szCs w:val="24"/>
        </w:rPr>
        <w:t xml:space="preserve">1 </w:t>
      </w:r>
      <w:bookmarkEnd w:id="0"/>
      <w:r>
        <w:rPr>
          <w:rFonts w:hint="eastAsia" w:hAnsi="宋体"/>
          <w:color w:val="auto"/>
          <w:sz w:val="24"/>
          <w:szCs w:val="24"/>
        </w:rPr>
        <w:t>总则</w:t>
      </w:r>
      <w:bookmarkEnd w:id="1"/>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1.1  本招标技术文件适用于</w:t>
      </w:r>
      <w:r>
        <w:rPr>
          <w:rFonts w:hint="eastAsia" w:ascii="宋体" w:hAnsi="宋体" w:eastAsia="宋体"/>
          <w:color w:val="auto"/>
          <w:sz w:val="22"/>
        </w:rPr>
        <w:t>深圳供电局有</w:t>
      </w:r>
      <w:r>
        <w:rPr>
          <w:rFonts w:hint="eastAsia" w:ascii="宋体" w:hAnsi="宋体" w:eastAsia="宋体" w:cs="Times New Roman"/>
          <w:color w:val="auto"/>
          <w:sz w:val="22"/>
        </w:rPr>
        <w:t>限公司采购的移动应急通信车，它提出了该设备本体及附属设备的功能设计、结构、性能、安装和试验等方面的技术要求。</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1.2  本设备招标技术文件提出的是最低限度的技术要求。凡本招标技术文件中未规定，但在相关设备的行业标准、国家标准或IEC标准中有规定的规范条文，投标方应按相应标准的条文进行设备设计、制造、试验和安装。对国家有关安全、环保等强制性标准，必须满足其要求。</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1.3  如果投标方没有以书面形式对本招标技术文件的条文提出异议， 则意味着投标方提供的设备完全符合本招标技术文件的要求。如有异议，不管是多么微小，都应在报价书中以“对招标技术文件的意见和同招标技术文件的差异”为标题的专门章节中加以详细描述。</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1.4  本招标技术文件所使用的标准如遇与投标方所执行的标准不一致时， 按较高标准执行。</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1.5  本招标技术文件经招标、投标双方确认后作为订货合同的技术附件，与合同正文具有同等的法律效力。若本标书涉及有关商务方面内容，如与招标文件的商务部分有矛盾时，以商务部分为准。</w:t>
      </w:r>
      <w:bookmarkStart w:id="99" w:name="_GoBack"/>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1.6  本招标技术文件未尽事宜，由招标、投标双方协商确定。</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1.7  投标方在应标招标技术文件中应如实反映应标产品与本招标技术文件的技术差异。如果投标方没有提出技术差异，而在执行合同的过程中，招标方发现投标方提供的产品与其应标招标技术文件的条文存在差异，招标方有权利要求退货，并将对下一年度的评标工作有不同程度的影响。</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1.8  投标方应在应标技术部分按本招标技术文件的要求如实详细的填写应标设备的标准配置表，并在应标商务部分按此标准配置进行报价，如发现二者有矛盾之处，将对评标工作有不同程度的影响。</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color w:val="auto"/>
          <w:sz w:val="22"/>
          <w:szCs w:val="21"/>
        </w:rPr>
        <w:t>1.9  投标方应充分理解本招标技术文件并按本招标技术文件的具体条款、格式要求填写应标的技术文件，如</w:t>
      </w:r>
      <w:r>
        <w:rPr>
          <w:rFonts w:hint="eastAsia" w:ascii="宋体" w:hAnsi="宋体" w:eastAsia="宋体" w:cs="Times New Roman"/>
          <w:color w:val="auto"/>
          <w:sz w:val="22"/>
        </w:rPr>
        <w:t>发现应标的技术文件条款、格式不符合本招标技术文件的要求，则认为应标不严肃，在评标时将有不同程度的扣分。</w:t>
      </w:r>
    </w:p>
    <w:p>
      <w:pPr>
        <w:pStyle w:val="18"/>
        <w:adjustRightInd w:val="0"/>
        <w:snapToGrid w:val="0"/>
        <w:spacing w:line="360" w:lineRule="auto"/>
        <w:ind w:firstLine="0" w:firstLineChars="0"/>
        <w:rPr>
          <w:rFonts w:ascii="宋体" w:hAnsi="宋体" w:eastAsia="宋体" w:cs="Times New Roman"/>
          <w:color w:val="auto"/>
          <w:sz w:val="22"/>
        </w:rPr>
      </w:pPr>
      <w:r>
        <w:rPr>
          <w:rFonts w:hint="eastAsia" w:ascii="宋体" w:hAnsi="宋体" w:eastAsia="宋体" w:cs="Times New Roman"/>
          <w:color w:val="auto"/>
          <w:sz w:val="22"/>
        </w:rPr>
        <w:t>1.10  标注“★”的条款为关键条款，投标方应出具相应技术资料证实其设备可以达到该参数要求，作为评标时打分的重点参考，否则做为废标处理。</w:t>
      </w:r>
    </w:p>
    <w:p>
      <w:pPr>
        <w:pStyle w:val="2"/>
        <w:numPr>
          <w:ilvl w:val="0"/>
          <w:numId w:val="0"/>
        </w:numPr>
        <w:snapToGrid/>
        <w:spacing w:before="312" w:line="480" w:lineRule="auto"/>
        <w:rPr>
          <w:rFonts w:hAnsi="宋体"/>
          <w:color w:val="auto"/>
          <w:sz w:val="24"/>
          <w:szCs w:val="24"/>
        </w:rPr>
      </w:pPr>
      <w:bookmarkStart w:id="2" w:name="_Toc22051"/>
      <w:r>
        <w:rPr>
          <w:rFonts w:hint="eastAsia" w:hAnsi="宋体"/>
          <w:color w:val="auto"/>
          <w:sz w:val="24"/>
          <w:szCs w:val="24"/>
        </w:rPr>
        <w:t>2 工作范围</w:t>
      </w:r>
      <w:bookmarkEnd w:id="2"/>
    </w:p>
    <w:p>
      <w:pPr>
        <w:pStyle w:val="3"/>
        <w:numPr>
          <w:ilvl w:val="0"/>
          <w:numId w:val="0"/>
        </w:numPr>
        <w:rPr>
          <w:rFonts w:hAnsi="宋体"/>
          <w:color w:val="auto"/>
          <w:sz w:val="24"/>
          <w:szCs w:val="24"/>
        </w:rPr>
      </w:pPr>
      <w:bookmarkStart w:id="3" w:name="_Toc16992"/>
      <w:bookmarkStart w:id="4" w:name="_Toc290652071"/>
      <w:r>
        <w:rPr>
          <w:rFonts w:hint="eastAsia" w:hAnsi="宋体"/>
          <w:color w:val="auto"/>
          <w:sz w:val="24"/>
          <w:szCs w:val="24"/>
        </w:rPr>
        <w:t>2.1 项目概况</w:t>
      </w:r>
      <w:bookmarkEnd w:id="3"/>
      <w:bookmarkEnd w:id="4"/>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本标书采购的设备适用的工程概况见表2.1：工程概况一览表。</w:t>
      </w:r>
    </w:p>
    <w:p>
      <w:pPr>
        <w:pStyle w:val="19"/>
        <w:adjustRightInd w:val="0"/>
        <w:snapToGrid w:val="0"/>
        <w:spacing w:line="360" w:lineRule="auto"/>
        <w:ind w:firstLine="0" w:firstLineChars="0"/>
        <w:jc w:val="center"/>
        <w:rPr>
          <w:rFonts w:hAnsi="宋体"/>
          <w:color w:val="auto"/>
          <w:sz w:val="24"/>
          <w:szCs w:val="24"/>
        </w:rPr>
      </w:pPr>
      <w:r>
        <w:rPr>
          <w:rFonts w:hint="eastAsia" w:hAnsi="宋体"/>
          <w:color w:val="auto"/>
          <w:sz w:val="24"/>
          <w:szCs w:val="24"/>
        </w:rPr>
        <w:t>表2.1  工程概况一览表 （项目单位填写）</w:t>
      </w:r>
    </w:p>
    <w:tbl>
      <w:tblPr>
        <w:tblStyle w:val="13"/>
        <w:tblW w:w="836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48"/>
        <w:gridCol w:w="2509"/>
        <w:gridCol w:w="511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9" w:hRule="atLeast"/>
          <w:jc w:val="center"/>
        </w:trPr>
        <w:tc>
          <w:tcPr>
            <w:tcW w:w="748" w:type="dxa"/>
            <w:tcBorders>
              <w:top w:val="single" w:color="auto" w:sz="12" w:space="0"/>
              <w:left w:val="single" w:color="auto" w:sz="12" w:space="0"/>
              <w:bottom w:val="single" w:color="auto" w:sz="6" w:space="0"/>
              <w:right w:val="single" w:color="auto" w:sz="6" w:space="0"/>
            </w:tcBorders>
            <w:vAlign w:val="center"/>
          </w:tcPr>
          <w:p>
            <w:pPr>
              <w:jc w:val="center"/>
              <w:rPr>
                <w:rFonts w:ascii="宋体" w:hAnsi="宋体"/>
                <w:color w:val="auto"/>
                <w:sz w:val="24"/>
                <w:szCs w:val="24"/>
              </w:rPr>
            </w:pPr>
            <w:r>
              <w:rPr>
                <w:rFonts w:hint="eastAsia" w:ascii="宋体" w:hAnsi="宋体"/>
                <w:color w:val="auto"/>
                <w:sz w:val="24"/>
              </w:rPr>
              <w:t>序号</w:t>
            </w:r>
          </w:p>
        </w:tc>
        <w:tc>
          <w:tcPr>
            <w:tcW w:w="2509" w:type="dxa"/>
            <w:tcBorders>
              <w:top w:val="single" w:color="auto" w:sz="12" w:space="0"/>
              <w:left w:val="single" w:color="auto" w:sz="6" w:space="0"/>
              <w:bottom w:val="single" w:color="auto" w:sz="6" w:space="0"/>
              <w:right w:val="single" w:color="auto" w:sz="6" w:space="0"/>
            </w:tcBorders>
            <w:vAlign w:val="center"/>
          </w:tcPr>
          <w:p>
            <w:pPr>
              <w:jc w:val="center"/>
              <w:rPr>
                <w:rFonts w:ascii="宋体" w:hAnsi="宋体"/>
                <w:color w:val="auto"/>
                <w:sz w:val="24"/>
              </w:rPr>
            </w:pPr>
            <w:r>
              <w:rPr>
                <w:rFonts w:hint="eastAsia" w:ascii="宋体" w:hAnsi="宋体"/>
                <w:color w:val="auto"/>
                <w:sz w:val="24"/>
              </w:rPr>
              <w:t>名 称</w:t>
            </w:r>
          </w:p>
        </w:tc>
        <w:tc>
          <w:tcPr>
            <w:tcW w:w="5111" w:type="dxa"/>
            <w:tcBorders>
              <w:top w:val="single" w:color="auto" w:sz="12" w:space="0"/>
              <w:left w:val="single" w:color="auto" w:sz="6" w:space="0"/>
              <w:bottom w:val="single" w:color="auto" w:sz="6" w:space="0"/>
              <w:right w:val="single" w:color="auto" w:sz="12" w:space="0"/>
            </w:tcBorders>
            <w:vAlign w:val="center"/>
          </w:tcPr>
          <w:p>
            <w:pPr>
              <w:jc w:val="center"/>
              <w:rPr>
                <w:rFonts w:ascii="宋体" w:hAnsi="宋体"/>
                <w:color w:val="auto"/>
                <w:sz w:val="24"/>
              </w:rPr>
            </w:pPr>
            <w:r>
              <w:rPr>
                <w:rFonts w:hint="eastAsia" w:ascii="宋体" w:hAnsi="宋体"/>
                <w:color w:val="auto"/>
                <w:sz w:val="24"/>
              </w:rPr>
              <w:t>内  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6" w:hRule="atLeast"/>
          <w:jc w:val="center"/>
        </w:trPr>
        <w:tc>
          <w:tcPr>
            <w:tcW w:w="748" w:type="dxa"/>
            <w:tcBorders>
              <w:top w:val="single" w:color="auto" w:sz="6" w:space="0"/>
              <w:left w:val="single" w:color="auto" w:sz="12" w:space="0"/>
              <w:bottom w:val="single" w:color="auto" w:sz="6" w:space="0"/>
              <w:right w:val="single" w:color="auto" w:sz="6" w:space="0"/>
            </w:tcBorders>
            <w:vAlign w:val="center"/>
          </w:tcPr>
          <w:p>
            <w:pPr>
              <w:jc w:val="center"/>
              <w:rPr>
                <w:rFonts w:ascii="宋体" w:hAnsi="宋体"/>
                <w:color w:val="auto"/>
                <w:sz w:val="24"/>
              </w:rPr>
            </w:pPr>
            <w:r>
              <w:rPr>
                <w:rFonts w:hint="eastAsia" w:ascii="宋体" w:hAnsi="宋体"/>
                <w:color w:val="auto"/>
                <w:sz w:val="24"/>
              </w:rPr>
              <w:t>1</w:t>
            </w:r>
          </w:p>
        </w:tc>
        <w:tc>
          <w:tcPr>
            <w:tcW w:w="2509" w:type="dxa"/>
            <w:tcBorders>
              <w:top w:val="single" w:color="auto" w:sz="6" w:space="0"/>
              <w:left w:val="single" w:color="auto" w:sz="6" w:space="0"/>
              <w:bottom w:val="single" w:color="auto" w:sz="6" w:space="0"/>
              <w:right w:val="single" w:color="auto" w:sz="6" w:space="0"/>
            </w:tcBorders>
            <w:vAlign w:val="center"/>
          </w:tcPr>
          <w:p>
            <w:pPr>
              <w:rPr>
                <w:rFonts w:ascii="宋体" w:hAnsi="宋体"/>
                <w:color w:val="auto"/>
                <w:sz w:val="24"/>
              </w:rPr>
            </w:pPr>
            <w:r>
              <w:rPr>
                <w:rFonts w:hint="eastAsia" w:ascii="宋体" w:hAnsi="宋体"/>
                <w:color w:val="auto"/>
                <w:sz w:val="24"/>
              </w:rPr>
              <w:t>采购设备或项目名称</w:t>
            </w:r>
          </w:p>
        </w:tc>
        <w:tc>
          <w:tcPr>
            <w:tcW w:w="5111" w:type="dxa"/>
            <w:tcBorders>
              <w:top w:val="single" w:color="auto" w:sz="6" w:space="0"/>
              <w:left w:val="single" w:color="auto" w:sz="6" w:space="0"/>
              <w:bottom w:val="single" w:color="auto" w:sz="6" w:space="0"/>
              <w:right w:val="single" w:color="auto" w:sz="12" w:space="0"/>
            </w:tcBorders>
            <w:vAlign w:val="center"/>
          </w:tcPr>
          <w:p>
            <w:pPr>
              <w:rPr>
                <w:rFonts w:hint="default" w:ascii="宋体" w:hAnsi="宋体" w:eastAsiaTheme="minorEastAsia"/>
                <w:color w:val="auto"/>
                <w:sz w:val="24"/>
                <w:lang w:val="en-US" w:eastAsia="zh-CN"/>
              </w:rPr>
            </w:pPr>
            <w:r>
              <w:rPr>
                <w:rFonts w:hint="eastAsia" w:ascii="宋体" w:hAnsi="宋体"/>
                <w:color w:val="auto"/>
                <w:sz w:val="24"/>
                <w:lang w:val="en-US" w:eastAsia="zh-CN"/>
              </w:rPr>
              <w:t>保供电指挥车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748" w:type="dxa"/>
            <w:tcBorders>
              <w:top w:val="single" w:color="auto" w:sz="6" w:space="0"/>
              <w:left w:val="single" w:color="auto" w:sz="12" w:space="0"/>
              <w:bottom w:val="single" w:color="auto" w:sz="6" w:space="0"/>
              <w:right w:val="single" w:color="auto" w:sz="6" w:space="0"/>
            </w:tcBorders>
            <w:vAlign w:val="center"/>
          </w:tcPr>
          <w:p>
            <w:pPr>
              <w:jc w:val="center"/>
              <w:rPr>
                <w:rFonts w:ascii="宋体" w:hAnsi="宋体"/>
                <w:color w:val="auto"/>
                <w:sz w:val="24"/>
              </w:rPr>
            </w:pPr>
            <w:r>
              <w:rPr>
                <w:rFonts w:hint="eastAsia" w:ascii="宋体" w:hAnsi="宋体"/>
                <w:color w:val="auto"/>
                <w:sz w:val="24"/>
              </w:rPr>
              <w:t>2</w:t>
            </w:r>
          </w:p>
        </w:tc>
        <w:tc>
          <w:tcPr>
            <w:tcW w:w="2509" w:type="dxa"/>
            <w:tcBorders>
              <w:top w:val="single" w:color="auto" w:sz="6" w:space="0"/>
              <w:left w:val="single" w:color="auto" w:sz="6" w:space="0"/>
              <w:bottom w:val="single" w:color="auto" w:sz="6" w:space="0"/>
              <w:right w:val="single" w:color="auto" w:sz="6" w:space="0"/>
            </w:tcBorders>
            <w:vAlign w:val="center"/>
          </w:tcPr>
          <w:p>
            <w:pPr>
              <w:rPr>
                <w:rFonts w:ascii="宋体" w:hAnsi="宋体"/>
                <w:color w:val="auto"/>
                <w:sz w:val="24"/>
              </w:rPr>
            </w:pPr>
            <w:r>
              <w:rPr>
                <w:rFonts w:hint="eastAsia" w:ascii="宋体" w:hAnsi="宋体"/>
                <w:color w:val="auto"/>
                <w:sz w:val="24"/>
              </w:rPr>
              <w:t>项目单位</w:t>
            </w:r>
          </w:p>
        </w:tc>
        <w:tc>
          <w:tcPr>
            <w:tcW w:w="5111" w:type="dxa"/>
            <w:tcBorders>
              <w:top w:val="single" w:color="auto" w:sz="6" w:space="0"/>
              <w:left w:val="single" w:color="auto" w:sz="6" w:space="0"/>
              <w:bottom w:val="single" w:color="auto" w:sz="6" w:space="0"/>
              <w:right w:val="single" w:color="auto" w:sz="12" w:space="0"/>
            </w:tcBorders>
            <w:vAlign w:val="center"/>
          </w:tcPr>
          <w:p>
            <w:pPr>
              <w:rPr>
                <w:rFonts w:ascii="宋体" w:hAnsi="宋体"/>
                <w:color w:val="auto"/>
                <w:sz w:val="24"/>
              </w:rPr>
            </w:pPr>
            <w:r>
              <w:rPr>
                <w:rFonts w:hint="eastAsia" w:ascii="宋体" w:hAnsi="宋体"/>
                <w:color w:val="auto"/>
                <w:sz w:val="24"/>
              </w:rPr>
              <w:t>深圳供电局有限公司</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748" w:type="dxa"/>
            <w:tcBorders>
              <w:top w:val="single" w:color="auto" w:sz="6" w:space="0"/>
              <w:left w:val="single" w:color="auto" w:sz="12" w:space="0"/>
              <w:bottom w:val="single" w:color="auto" w:sz="12" w:space="0"/>
              <w:right w:val="single" w:color="auto" w:sz="6" w:space="0"/>
            </w:tcBorders>
            <w:vAlign w:val="center"/>
          </w:tcPr>
          <w:p>
            <w:pPr>
              <w:jc w:val="center"/>
              <w:rPr>
                <w:rFonts w:ascii="宋体" w:hAnsi="宋体"/>
                <w:color w:val="auto"/>
                <w:sz w:val="24"/>
              </w:rPr>
            </w:pPr>
            <w:r>
              <w:rPr>
                <w:rFonts w:hint="eastAsia" w:ascii="宋体" w:hAnsi="宋体"/>
                <w:color w:val="auto"/>
                <w:sz w:val="24"/>
              </w:rPr>
              <w:t>3</w:t>
            </w:r>
          </w:p>
        </w:tc>
        <w:tc>
          <w:tcPr>
            <w:tcW w:w="2509" w:type="dxa"/>
            <w:tcBorders>
              <w:top w:val="single" w:color="auto" w:sz="6" w:space="0"/>
              <w:left w:val="single" w:color="auto" w:sz="6" w:space="0"/>
              <w:bottom w:val="single" w:color="auto" w:sz="12" w:space="0"/>
              <w:right w:val="single" w:color="auto" w:sz="6" w:space="0"/>
            </w:tcBorders>
            <w:vAlign w:val="center"/>
          </w:tcPr>
          <w:p>
            <w:pPr>
              <w:rPr>
                <w:rFonts w:ascii="宋体" w:hAnsi="宋体"/>
                <w:color w:val="auto"/>
                <w:sz w:val="24"/>
              </w:rPr>
            </w:pPr>
            <w:r>
              <w:rPr>
                <w:rFonts w:hint="eastAsia" w:ascii="宋体" w:hAnsi="宋体"/>
                <w:color w:val="auto"/>
                <w:sz w:val="24"/>
              </w:rPr>
              <w:t>项目单位地址</w:t>
            </w:r>
          </w:p>
        </w:tc>
        <w:tc>
          <w:tcPr>
            <w:tcW w:w="5111" w:type="dxa"/>
            <w:tcBorders>
              <w:top w:val="single" w:color="auto" w:sz="6" w:space="0"/>
              <w:left w:val="single" w:color="auto" w:sz="6" w:space="0"/>
              <w:bottom w:val="single" w:color="auto" w:sz="12" w:space="0"/>
              <w:right w:val="single" w:color="auto" w:sz="12" w:space="0"/>
            </w:tcBorders>
            <w:vAlign w:val="center"/>
          </w:tcPr>
          <w:p>
            <w:pPr>
              <w:rPr>
                <w:rFonts w:ascii="宋体" w:hAnsi="宋体"/>
                <w:color w:val="auto"/>
                <w:sz w:val="24"/>
              </w:rPr>
            </w:pPr>
          </w:p>
        </w:tc>
      </w:tr>
    </w:tbl>
    <w:p>
      <w:pPr>
        <w:pStyle w:val="3"/>
        <w:numPr>
          <w:ilvl w:val="0"/>
          <w:numId w:val="0"/>
        </w:numPr>
        <w:spacing w:before="156" w:beforeLines="50"/>
        <w:rPr>
          <w:rFonts w:hAnsi="宋体" w:eastAsiaTheme="minorEastAsia" w:cstheme="minorBidi"/>
          <w:bCs w:val="0"/>
          <w:color w:val="auto"/>
          <w:sz w:val="22"/>
        </w:rPr>
      </w:pPr>
      <w:bookmarkStart w:id="5" w:name="_Toc290652072"/>
      <w:bookmarkStart w:id="6" w:name="_Toc31319"/>
      <w:r>
        <w:rPr>
          <w:rFonts w:hint="eastAsia" w:hAnsi="宋体" w:eastAsiaTheme="minorEastAsia" w:cstheme="minorBidi"/>
          <w:bCs w:val="0"/>
          <w:color w:val="auto"/>
          <w:sz w:val="22"/>
        </w:rPr>
        <w:t>2.2 范围和界限</w:t>
      </w:r>
      <w:bookmarkEnd w:id="5"/>
      <w:bookmarkEnd w:id="6"/>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1）本标书适应于所供设备的设计、制造、装配、工厂试验、交付、现场安装和试验的指导、监督以及试运行工作。</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color w:val="auto"/>
          <w:sz w:val="22"/>
          <w:szCs w:val="21"/>
        </w:rPr>
        <w:t>2）现场安装和试验在投标方的技术指导和监督下由</w:t>
      </w:r>
      <w:r>
        <w:rPr>
          <w:rFonts w:hint="eastAsia" w:ascii="宋体" w:hAnsi="宋体" w:eastAsia="宋体" w:cs="Times New Roman"/>
          <w:color w:val="auto"/>
          <w:sz w:val="22"/>
        </w:rPr>
        <w:t>招标方完成。</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3）本标书未做说明，但又与设计、制造、装配、试验、运输、包装、保管、安装和运行维护有关的技术要求，按条款2所规定的有关标准执行。</w:t>
      </w:r>
    </w:p>
    <w:p>
      <w:pPr>
        <w:pStyle w:val="3"/>
        <w:numPr>
          <w:ilvl w:val="0"/>
          <w:numId w:val="0"/>
        </w:numPr>
        <w:rPr>
          <w:rFonts w:hAnsi="宋体"/>
          <w:color w:val="auto"/>
          <w:sz w:val="22"/>
          <w:szCs w:val="22"/>
        </w:rPr>
      </w:pPr>
      <w:bookmarkStart w:id="7" w:name="_Toc290652073"/>
      <w:bookmarkStart w:id="8" w:name="_Toc17245"/>
      <w:r>
        <w:rPr>
          <w:rFonts w:hint="eastAsia" w:hAnsi="宋体"/>
          <w:color w:val="auto"/>
          <w:sz w:val="22"/>
          <w:szCs w:val="22"/>
        </w:rPr>
        <w:t>2.3 服务范围</w:t>
      </w:r>
      <w:bookmarkEnd w:id="7"/>
      <w:bookmarkEnd w:id="8"/>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1）供货范围一览表（项目单位填写）</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投标方提供的本标书采购设备及其附件的具体规格、数量见表2.2：供货范围及设备技术规格一览表。投标方应如实填写“投标方保证”栏。</w:t>
      </w:r>
    </w:p>
    <w:p>
      <w:pPr>
        <w:pStyle w:val="19"/>
        <w:adjustRightInd w:val="0"/>
        <w:snapToGrid w:val="0"/>
        <w:spacing w:line="360" w:lineRule="auto"/>
        <w:ind w:firstLineChars="0"/>
        <w:rPr>
          <w:rFonts w:hAnsi="宋体"/>
          <w:color w:val="auto"/>
          <w:sz w:val="24"/>
          <w:szCs w:val="24"/>
        </w:rPr>
      </w:pPr>
      <w:r>
        <w:rPr>
          <w:rFonts w:hint="eastAsia" w:hAnsi="宋体"/>
          <w:color w:val="auto"/>
          <w:sz w:val="24"/>
          <w:szCs w:val="24"/>
        </w:rPr>
        <w:t>表2.2   设备供货范围响应表</w:t>
      </w:r>
    </w:p>
    <w:tbl>
      <w:tblPr>
        <w:tblStyle w:val="13"/>
        <w:tblW w:w="836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343"/>
        <w:gridCol w:w="1814"/>
        <w:gridCol w:w="361"/>
        <w:gridCol w:w="2205"/>
        <w:gridCol w:w="633"/>
        <w:gridCol w:w="2412"/>
        <w:gridCol w:w="59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93" w:hRule="atLeast"/>
          <w:tblHeader/>
          <w:jc w:val="center"/>
        </w:trPr>
        <w:tc>
          <w:tcPr>
            <w:tcW w:w="343" w:type="dxa"/>
            <w:vMerge w:val="restart"/>
            <w:vAlign w:val="center"/>
          </w:tcPr>
          <w:p>
            <w:pPr>
              <w:jc w:val="center"/>
              <w:rPr>
                <w:rFonts w:ascii="宋体" w:hAnsi="宋体"/>
                <w:color w:val="auto"/>
                <w:szCs w:val="21"/>
              </w:rPr>
            </w:pPr>
            <w:r>
              <w:rPr>
                <w:rFonts w:hint="eastAsia" w:ascii="宋体" w:hAnsi="宋体"/>
                <w:color w:val="auto"/>
                <w:szCs w:val="21"/>
              </w:rPr>
              <w:t>序号</w:t>
            </w:r>
          </w:p>
        </w:tc>
        <w:tc>
          <w:tcPr>
            <w:tcW w:w="1814" w:type="dxa"/>
            <w:vMerge w:val="restart"/>
            <w:vAlign w:val="center"/>
          </w:tcPr>
          <w:p>
            <w:pPr>
              <w:jc w:val="center"/>
              <w:rPr>
                <w:rFonts w:ascii="宋体" w:hAnsi="宋体"/>
                <w:color w:val="auto"/>
                <w:szCs w:val="21"/>
              </w:rPr>
            </w:pPr>
            <w:r>
              <w:rPr>
                <w:rFonts w:hint="eastAsia" w:ascii="宋体" w:hAnsi="宋体"/>
                <w:color w:val="auto"/>
                <w:szCs w:val="21"/>
              </w:rPr>
              <w:t>名称</w:t>
            </w:r>
          </w:p>
        </w:tc>
        <w:tc>
          <w:tcPr>
            <w:tcW w:w="361" w:type="dxa"/>
            <w:vMerge w:val="restart"/>
            <w:tcBorders>
              <w:right w:val="single" w:color="auto" w:sz="4" w:space="0"/>
            </w:tcBorders>
            <w:vAlign w:val="center"/>
          </w:tcPr>
          <w:p>
            <w:pPr>
              <w:jc w:val="center"/>
              <w:rPr>
                <w:rFonts w:ascii="宋体" w:hAnsi="宋体"/>
                <w:color w:val="auto"/>
                <w:szCs w:val="21"/>
              </w:rPr>
            </w:pPr>
            <w:r>
              <w:rPr>
                <w:rFonts w:hint="eastAsia" w:ascii="宋体" w:hAnsi="宋体"/>
                <w:color w:val="auto"/>
                <w:szCs w:val="21"/>
              </w:rPr>
              <w:t>单位</w:t>
            </w:r>
          </w:p>
        </w:tc>
        <w:tc>
          <w:tcPr>
            <w:tcW w:w="2838" w:type="dxa"/>
            <w:gridSpan w:val="2"/>
            <w:tcBorders>
              <w:left w:val="single" w:color="auto" w:sz="4" w:space="0"/>
              <w:bottom w:val="single" w:color="auto" w:sz="4" w:space="0"/>
            </w:tcBorders>
            <w:vAlign w:val="center"/>
          </w:tcPr>
          <w:p>
            <w:pPr>
              <w:jc w:val="center"/>
              <w:rPr>
                <w:rFonts w:ascii="宋体" w:hAnsi="宋体"/>
                <w:color w:val="auto"/>
                <w:szCs w:val="21"/>
              </w:rPr>
            </w:pPr>
            <w:r>
              <w:rPr>
                <w:rFonts w:hint="eastAsia" w:ascii="宋体" w:hAnsi="宋体"/>
                <w:color w:val="auto"/>
                <w:szCs w:val="21"/>
              </w:rPr>
              <w:t>项目要求</w:t>
            </w:r>
          </w:p>
        </w:tc>
        <w:tc>
          <w:tcPr>
            <w:tcW w:w="3009" w:type="dxa"/>
            <w:gridSpan w:val="2"/>
            <w:tcBorders>
              <w:bottom w:val="single" w:color="auto" w:sz="4" w:space="0"/>
            </w:tcBorders>
            <w:vAlign w:val="center"/>
          </w:tcPr>
          <w:p>
            <w:pPr>
              <w:jc w:val="center"/>
              <w:rPr>
                <w:rFonts w:ascii="宋体" w:hAnsi="宋体"/>
                <w:color w:val="auto"/>
                <w:szCs w:val="21"/>
              </w:rPr>
            </w:pPr>
            <w:r>
              <w:rPr>
                <w:rFonts w:hint="eastAsia" w:ascii="宋体" w:hAnsi="宋体"/>
                <w:color w:val="auto"/>
                <w:szCs w:val="21"/>
              </w:rPr>
              <w:t>投标方保证</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35" w:hRule="atLeast"/>
          <w:tblHeader/>
          <w:jc w:val="center"/>
        </w:trPr>
        <w:tc>
          <w:tcPr>
            <w:tcW w:w="343" w:type="dxa"/>
            <w:vMerge w:val="continue"/>
            <w:vAlign w:val="center"/>
          </w:tcPr>
          <w:p>
            <w:pPr>
              <w:jc w:val="center"/>
              <w:rPr>
                <w:rFonts w:ascii="宋体" w:hAnsi="宋体"/>
                <w:color w:val="auto"/>
                <w:szCs w:val="21"/>
              </w:rPr>
            </w:pPr>
          </w:p>
        </w:tc>
        <w:tc>
          <w:tcPr>
            <w:tcW w:w="1814" w:type="dxa"/>
            <w:vMerge w:val="continue"/>
            <w:vAlign w:val="center"/>
          </w:tcPr>
          <w:p>
            <w:pPr>
              <w:jc w:val="center"/>
              <w:rPr>
                <w:rFonts w:ascii="宋体" w:hAnsi="宋体"/>
                <w:color w:val="auto"/>
                <w:szCs w:val="21"/>
              </w:rPr>
            </w:pPr>
          </w:p>
        </w:tc>
        <w:tc>
          <w:tcPr>
            <w:tcW w:w="361" w:type="dxa"/>
            <w:vMerge w:val="continue"/>
            <w:tcBorders>
              <w:right w:val="single" w:color="auto" w:sz="4" w:space="0"/>
            </w:tcBorders>
            <w:vAlign w:val="center"/>
          </w:tcPr>
          <w:p>
            <w:pPr>
              <w:jc w:val="center"/>
              <w:rPr>
                <w:rFonts w:ascii="宋体" w:hAnsi="宋体"/>
                <w:color w:val="auto"/>
                <w:szCs w:val="21"/>
              </w:rPr>
            </w:pPr>
          </w:p>
        </w:tc>
        <w:tc>
          <w:tcPr>
            <w:tcW w:w="2205" w:type="dxa"/>
            <w:tcBorders>
              <w:top w:val="single" w:color="auto" w:sz="4" w:space="0"/>
              <w:left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Cs w:val="21"/>
              </w:rPr>
              <w:t>型式、规格</w:t>
            </w:r>
          </w:p>
        </w:tc>
        <w:tc>
          <w:tcPr>
            <w:tcW w:w="633" w:type="dxa"/>
            <w:tcBorders>
              <w:top w:val="single" w:color="auto" w:sz="4" w:space="0"/>
              <w:left w:val="single" w:color="auto" w:sz="4" w:space="0"/>
            </w:tcBorders>
            <w:vAlign w:val="center"/>
          </w:tcPr>
          <w:p>
            <w:pPr>
              <w:jc w:val="center"/>
              <w:rPr>
                <w:rFonts w:ascii="宋体" w:hAnsi="宋体"/>
                <w:color w:val="auto"/>
                <w:szCs w:val="21"/>
              </w:rPr>
            </w:pPr>
            <w:r>
              <w:rPr>
                <w:rFonts w:hint="eastAsia" w:ascii="宋体" w:hAnsi="宋体"/>
                <w:color w:val="auto"/>
                <w:szCs w:val="21"/>
              </w:rPr>
              <w:t>数量</w:t>
            </w:r>
          </w:p>
        </w:tc>
        <w:tc>
          <w:tcPr>
            <w:tcW w:w="2412" w:type="dxa"/>
            <w:tcBorders>
              <w:top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Cs w:val="21"/>
              </w:rPr>
              <w:t>型式、规格</w:t>
            </w:r>
          </w:p>
        </w:tc>
        <w:tc>
          <w:tcPr>
            <w:tcW w:w="597" w:type="dxa"/>
            <w:tcBorders>
              <w:top w:val="single" w:color="auto" w:sz="4" w:space="0"/>
              <w:left w:val="single" w:color="auto" w:sz="4" w:space="0"/>
            </w:tcBorders>
            <w:vAlign w:val="center"/>
          </w:tcPr>
          <w:p>
            <w:pPr>
              <w:jc w:val="center"/>
              <w:rPr>
                <w:rFonts w:ascii="宋体" w:hAnsi="宋体"/>
                <w:color w:val="auto"/>
                <w:szCs w:val="21"/>
              </w:rPr>
            </w:pPr>
            <w:r>
              <w:rPr>
                <w:rFonts w:hint="eastAsia" w:ascii="宋体" w:hAnsi="宋体"/>
                <w:color w:val="auto"/>
                <w:szCs w:val="21"/>
              </w:rPr>
              <w:t>数量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hint="eastAsia" w:ascii="宋体" w:hAnsi="宋体"/>
                <w:color w:val="auto"/>
                <w:sz w:val="24"/>
              </w:rPr>
              <w:t>1</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车载通讯系统</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 w:val="24"/>
              </w:rPr>
            </w:pPr>
            <w:r>
              <w:rPr>
                <w:rFonts w:hint="eastAsia" w:ascii="宋体" w:hAnsi="宋体"/>
                <w:color w:val="auto"/>
                <w:sz w:val="24"/>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4" w:space="0"/>
            </w:tcBorders>
          </w:tcPr>
          <w:p>
            <w:pPr>
              <w:jc w:val="center"/>
              <w:rPr>
                <w:rFonts w:ascii="宋体" w:hAnsi="宋体"/>
                <w:color w:val="auto"/>
                <w:sz w:val="24"/>
              </w:rPr>
            </w:pPr>
          </w:p>
        </w:tc>
        <w:tc>
          <w:tcPr>
            <w:tcW w:w="597" w:type="dxa"/>
            <w:tcBorders>
              <w:left w:val="single" w:color="auto" w:sz="4" w:space="0"/>
            </w:tcBorders>
          </w:tcPr>
          <w:p>
            <w:pPr>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hint="eastAsia" w:ascii="宋体" w:hAnsi="宋体"/>
                <w:color w:val="auto"/>
                <w:sz w:val="24"/>
              </w:rPr>
              <w:t>2</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图传系统</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 w:val="24"/>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4" w:space="0"/>
            </w:tcBorders>
          </w:tcPr>
          <w:p>
            <w:pPr>
              <w:jc w:val="center"/>
              <w:rPr>
                <w:rFonts w:ascii="宋体" w:hAnsi="宋体"/>
                <w:color w:val="auto"/>
                <w:szCs w:val="21"/>
              </w:rPr>
            </w:pPr>
          </w:p>
        </w:tc>
        <w:tc>
          <w:tcPr>
            <w:tcW w:w="597" w:type="dxa"/>
            <w:tcBorders>
              <w:left w:val="single" w:color="auto" w:sz="4" w:space="0"/>
            </w:tcBorders>
          </w:tcPr>
          <w:p>
            <w:pPr>
              <w:jc w:val="center"/>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hint="eastAsia" w:ascii="宋体" w:hAnsi="宋体"/>
                <w:color w:val="auto"/>
                <w:sz w:val="24"/>
              </w:rPr>
              <w:t>3</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会议系统</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Cs w:val="21"/>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2" w:space="0"/>
            </w:tcBorders>
          </w:tcPr>
          <w:p>
            <w:pPr>
              <w:jc w:val="center"/>
              <w:rPr>
                <w:rFonts w:ascii="宋体" w:hAnsi="宋体"/>
                <w:color w:val="auto"/>
                <w:sz w:val="24"/>
              </w:rPr>
            </w:pPr>
          </w:p>
        </w:tc>
        <w:tc>
          <w:tcPr>
            <w:tcW w:w="597" w:type="dxa"/>
            <w:tcBorders>
              <w:left w:val="single" w:color="auto" w:sz="2" w:space="0"/>
            </w:tcBorders>
          </w:tcPr>
          <w:p>
            <w:pPr>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hint="eastAsia" w:ascii="宋体" w:hAnsi="宋体"/>
                <w:color w:val="auto"/>
                <w:sz w:val="24"/>
              </w:rPr>
              <w:t>4</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休息区系统</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Cs w:val="21"/>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2" w:space="0"/>
            </w:tcBorders>
          </w:tcPr>
          <w:p>
            <w:pPr>
              <w:jc w:val="center"/>
              <w:rPr>
                <w:rFonts w:ascii="宋体" w:hAnsi="宋体"/>
                <w:color w:val="auto"/>
                <w:sz w:val="24"/>
              </w:rPr>
            </w:pPr>
          </w:p>
        </w:tc>
        <w:tc>
          <w:tcPr>
            <w:tcW w:w="597" w:type="dxa"/>
            <w:tcBorders>
              <w:left w:val="single" w:color="auto" w:sz="2" w:space="0"/>
            </w:tcBorders>
          </w:tcPr>
          <w:p>
            <w:pPr>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ascii="宋体" w:hAnsi="宋体"/>
                <w:color w:val="auto"/>
                <w:sz w:val="24"/>
              </w:rPr>
              <w:t>5</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车载办公系统</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 w:val="24"/>
              </w:rPr>
            </w:pPr>
            <w:r>
              <w:rPr>
                <w:rFonts w:hint="eastAsia" w:ascii="宋体" w:hAnsi="宋体"/>
                <w:color w:val="auto"/>
                <w:sz w:val="24"/>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2" w:space="0"/>
            </w:tcBorders>
          </w:tcPr>
          <w:p>
            <w:pPr>
              <w:jc w:val="center"/>
              <w:rPr>
                <w:rFonts w:ascii="宋体" w:hAnsi="宋体"/>
                <w:color w:val="auto"/>
                <w:sz w:val="24"/>
              </w:rPr>
            </w:pPr>
          </w:p>
        </w:tc>
        <w:tc>
          <w:tcPr>
            <w:tcW w:w="597" w:type="dxa"/>
            <w:tcBorders>
              <w:left w:val="single" w:color="auto" w:sz="2" w:space="0"/>
            </w:tcBorders>
          </w:tcPr>
          <w:p>
            <w:pPr>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ascii="宋体" w:hAnsi="宋体"/>
                <w:color w:val="auto"/>
                <w:sz w:val="24"/>
              </w:rPr>
              <w:t>6</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照明辅助系统</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 w:val="24"/>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2" w:space="0"/>
            </w:tcBorders>
          </w:tcPr>
          <w:p>
            <w:pPr>
              <w:jc w:val="center"/>
              <w:rPr>
                <w:rFonts w:ascii="宋体" w:hAnsi="宋体"/>
                <w:color w:val="auto"/>
                <w:sz w:val="24"/>
              </w:rPr>
            </w:pPr>
          </w:p>
        </w:tc>
        <w:tc>
          <w:tcPr>
            <w:tcW w:w="597" w:type="dxa"/>
            <w:tcBorders>
              <w:left w:val="single" w:color="auto" w:sz="2" w:space="0"/>
            </w:tcBorders>
          </w:tcPr>
          <w:p>
            <w:pPr>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Height w:val="450" w:hRule="atLeast"/>
          <w:jc w:val="center"/>
        </w:trPr>
        <w:tc>
          <w:tcPr>
            <w:tcW w:w="343" w:type="dxa"/>
            <w:vAlign w:val="center"/>
          </w:tcPr>
          <w:p>
            <w:pPr>
              <w:jc w:val="center"/>
              <w:rPr>
                <w:rFonts w:ascii="宋体" w:hAnsi="宋体"/>
                <w:color w:val="auto"/>
                <w:sz w:val="24"/>
              </w:rPr>
            </w:pPr>
            <w:r>
              <w:rPr>
                <w:rFonts w:ascii="宋体" w:hAnsi="宋体"/>
                <w:color w:val="auto"/>
                <w:sz w:val="24"/>
              </w:rPr>
              <w:t>7</w:t>
            </w:r>
          </w:p>
        </w:tc>
        <w:tc>
          <w:tcPr>
            <w:tcW w:w="1814" w:type="dxa"/>
            <w:vAlign w:val="center"/>
          </w:tcPr>
          <w:p>
            <w:pPr>
              <w:spacing w:line="360" w:lineRule="auto"/>
              <w:jc w:val="center"/>
              <w:rPr>
                <w:rFonts w:ascii="宋体" w:hAnsi="宋体"/>
                <w:color w:val="auto"/>
                <w:szCs w:val="21"/>
              </w:rPr>
            </w:pPr>
            <w:r>
              <w:rPr>
                <w:rFonts w:hint="eastAsia" w:ascii="宋体" w:hAnsi="宋体"/>
                <w:color w:val="auto"/>
                <w:szCs w:val="21"/>
              </w:rPr>
              <w:t>乘载车辆</w:t>
            </w:r>
          </w:p>
        </w:tc>
        <w:tc>
          <w:tcPr>
            <w:tcW w:w="361" w:type="dxa"/>
            <w:tcBorders>
              <w:righ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套</w:t>
            </w:r>
          </w:p>
        </w:tc>
        <w:tc>
          <w:tcPr>
            <w:tcW w:w="2205" w:type="dxa"/>
            <w:tcBorders>
              <w:left w:val="single" w:color="auto" w:sz="4" w:space="0"/>
              <w:right w:val="single" w:color="auto" w:sz="4" w:space="0"/>
            </w:tcBorders>
            <w:vAlign w:val="center"/>
          </w:tcPr>
          <w:p>
            <w:pPr>
              <w:jc w:val="center"/>
              <w:rPr>
                <w:rFonts w:ascii="宋体" w:hAnsi="宋体"/>
                <w:color w:val="auto"/>
                <w:szCs w:val="21"/>
              </w:rPr>
            </w:pPr>
            <w:r>
              <w:rPr>
                <w:rFonts w:hint="eastAsia" w:ascii="宋体" w:hAnsi="宋体"/>
                <w:color w:val="auto"/>
                <w:szCs w:val="21"/>
              </w:rPr>
              <w:t>见技术参数</w:t>
            </w:r>
          </w:p>
        </w:tc>
        <w:tc>
          <w:tcPr>
            <w:tcW w:w="633" w:type="dxa"/>
            <w:tcBorders>
              <w:left w:val="single" w:color="auto" w:sz="4" w:space="0"/>
            </w:tcBorders>
            <w:vAlign w:val="center"/>
          </w:tcPr>
          <w:p>
            <w:pPr>
              <w:spacing w:line="360" w:lineRule="auto"/>
              <w:jc w:val="center"/>
              <w:rPr>
                <w:rFonts w:ascii="宋体" w:hAnsi="宋体"/>
                <w:color w:val="auto"/>
                <w:szCs w:val="21"/>
              </w:rPr>
            </w:pPr>
            <w:r>
              <w:rPr>
                <w:rFonts w:hint="eastAsia" w:ascii="宋体" w:hAnsi="宋体"/>
                <w:color w:val="auto"/>
                <w:szCs w:val="21"/>
              </w:rPr>
              <w:t>1</w:t>
            </w:r>
          </w:p>
        </w:tc>
        <w:tc>
          <w:tcPr>
            <w:tcW w:w="2412" w:type="dxa"/>
            <w:tcBorders>
              <w:right w:val="single" w:color="auto" w:sz="2" w:space="0"/>
            </w:tcBorders>
          </w:tcPr>
          <w:p>
            <w:pPr>
              <w:jc w:val="center"/>
              <w:rPr>
                <w:rFonts w:ascii="宋体" w:hAnsi="宋体"/>
                <w:color w:val="auto"/>
                <w:sz w:val="24"/>
              </w:rPr>
            </w:pPr>
          </w:p>
        </w:tc>
        <w:tc>
          <w:tcPr>
            <w:tcW w:w="597" w:type="dxa"/>
            <w:tcBorders>
              <w:left w:val="single" w:color="auto" w:sz="2" w:space="0"/>
            </w:tcBorders>
          </w:tcPr>
          <w:p>
            <w:pPr>
              <w:rPr>
                <w:rFonts w:ascii="宋体" w:hAnsi="宋体"/>
                <w:color w:val="auto"/>
                <w:sz w:val="24"/>
              </w:rPr>
            </w:pPr>
          </w:p>
        </w:tc>
      </w:tr>
    </w:tbl>
    <w:p>
      <w:pPr>
        <w:pStyle w:val="18"/>
        <w:adjustRightInd w:val="0"/>
        <w:snapToGrid w:val="0"/>
        <w:spacing w:line="360" w:lineRule="auto"/>
        <w:ind w:firstLine="0" w:firstLineChars="0"/>
        <w:rPr>
          <w:rFonts w:ascii="宋体" w:hAnsi="宋体" w:eastAsia="宋体" w:cs="Times New Roman"/>
          <w:color w:val="auto"/>
          <w:sz w:val="22"/>
        </w:rPr>
      </w:pP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2）投标方应按本标书的要求提供全新的、合格可用的仪器及配件。投标方应向招标方提供必备的备品备件、专用工具和仪器仪表清单见表2.2， 要求提供的备品备件、专用工具和仪器仪表应是新品，并符合相关技术要求。</w:t>
      </w:r>
    </w:p>
    <w:p>
      <w:pPr>
        <w:spacing w:line="360" w:lineRule="auto"/>
        <w:ind w:firstLine="440" w:firstLineChars="200"/>
        <w:rPr>
          <w:rFonts w:ascii="宋体" w:hAnsi="宋体"/>
          <w:color w:val="auto"/>
          <w:sz w:val="22"/>
          <w:szCs w:val="21"/>
        </w:rPr>
      </w:pPr>
      <w:r>
        <w:rPr>
          <w:rFonts w:hint="eastAsia" w:ascii="宋体" w:hAnsi="宋体"/>
          <w:color w:val="auto"/>
          <w:sz w:val="22"/>
          <w:szCs w:val="21"/>
        </w:rPr>
        <w:t>3）工厂试验由投标方在生产厂家内完成，但应有招标方代表参加，参加工厂验收的人数及天数等规定详见标</w:t>
      </w:r>
      <w:r>
        <w:rPr>
          <w:rFonts w:hint="eastAsia" w:ascii="宋体" w:hAnsi="宋体" w:eastAsia="宋体" w:cs="Times New Roman"/>
          <w:color w:val="auto"/>
          <w:sz w:val="22"/>
        </w:rPr>
        <w:t>书商务部分。</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4）投标方应协助招标方解决设备运行中出现的问题。</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5）如果安装、调试、性能试验、试运行及质保期内技术指标一项或多项不能满足合同技术部分要求，买卖双方共同分析原因，分清责任，如属于制造方面的原因，或涉及索赔部分，按商务部分有关条款执行。</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6）本标书采购设备安装、调试和现场交接验收和试验合格后方可使用。设备正常使用后，投标方和招标方（业主）双方应根据相关法律、法规和公司管理制度签署合同设备的验收证明书。该证明书共两份，双方各执一份。</w:t>
      </w:r>
    </w:p>
    <w:p>
      <w:pPr>
        <w:pStyle w:val="18"/>
        <w:adjustRightInd w:val="0"/>
        <w:snapToGrid w:val="0"/>
        <w:spacing w:line="360" w:lineRule="auto"/>
        <w:ind w:firstLine="440"/>
        <w:rPr>
          <w:rFonts w:ascii="宋体" w:hAnsi="宋体" w:eastAsia="宋体" w:cs="Times New Roman"/>
          <w:color w:val="auto"/>
          <w:sz w:val="22"/>
        </w:rPr>
      </w:pPr>
      <w:r>
        <w:rPr>
          <w:rFonts w:hint="eastAsia" w:ascii="宋体" w:hAnsi="宋体" w:eastAsia="宋体" w:cs="Times New Roman"/>
          <w:color w:val="auto"/>
          <w:sz w:val="22"/>
        </w:rPr>
        <w:t xml:space="preserve">7）投标方应按招标方要求免费提供必须的人员培训和技术指导，确保招标方正常使用和维护设备； </w:t>
      </w:r>
    </w:p>
    <w:p>
      <w:pPr>
        <w:pStyle w:val="2"/>
        <w:numPr>
          <w:ilvl w:val="0"/>
          <w:numId w:val="0"/>
        </w:numPr>
        <w:snapToGrid/>
        <w:spacing w:beforeLines="0" w:line="480" w:lineRule="auto"/>
        <w:rPr>
          <w:rFonts w:hAnsi="宋体"/>
          <w:color w:val="auto"/>
          <w:sz w:val="22"/>
          <w:szCs w:val="22"/>
        </w:rPr>
      </w:pPr>
      <w:bookmarkStart w:id="9" w:name="_Toc8382"/>
      <w:r>
        <w:rPr>
          <w:rFonts w:hint="eastAsia" w:hAnsi="宋体"/>
          <w:color w:val="auto"/>
          <w:sz w:val="22"/>
          <w:szCs w:val="22"/>
        </w:rPr>
        <w:t>3 应遵循的主要标准</w:t>
      </w:r>
      <w:bookmarkEnd w:id="9"/>
    </w:p>
    <w:p>
      <w:pPr>
        <w:pStyle w:val="18"/>
        <w:adjustRightInd w:val="0"/>
        <w:snapToGrid w:val="0"/>
        <w:spacing w:line="360" w:lineRule="auto"/>
        <w:ind w:firstLine="440"/>
        <w:rPr>
          <w:rFonts w:ascii="宋体" w:hAnsi="宋体" w:eastAsia="宋体" w:cs="Times New Roman"/>
          <w:color w:val="auto"/>
          <w:sz w:val="22"/>
        </w:rPr>
      </w:pPr>
      <w:r>
        <w:rPr>
          <w:rFonts w:ascii="宋体" w:hAnsi="宋体" w:eastAsia="宋体" w:cs="Times New Roman"/>
          <w:color w:val="auto"/>
          <w:sz w:val="22"/>
        </w:rPr>
        <w:t>除本标书特殊规定外，投标方所提供的设备均按规定的标准和规程的最新版本进行设计、制造、试验和安装。如果这些标准内容有矛盾时，应按最高标准的条款执行或按双方商定的标准执行。如果投标方选用本标书规定以外的标准时，则需提交这种替换标准供审查和分析。仅在投标方已证明替换标准相当或优于标书规定的标准，并从招标方处获得书面的认可才能使用。提交供审查的标准应为中文或英文版本。</w:t>
      </w:r>
    </w:p>
    <w:p>
      <w:pPr>
        <w:spacing w:line="360" w:lineRule="auto"/>
        <w:ind w:firstLine="420" w:firstLineChars="200"/>
        <w:rPr>
          <w:color w:val="auto"/>
        </w:rPr>
      </w:pPr>
      <w:r>
        <w:rPr>
          <w:rFonts w:hint="eastAsia"/>
          <w:color w:val="auto"/>
          <w:szCs w:val="21"/>
        </w:rPr>
        <w:t>下列文件对于本技术规范书的应用是必不可少。凡是注日期的引用文件，仅注日期的版本适用于本技术规范书。凡是不注日期的引用文件，其最新版本（包括所有的修改单）适用于本技术规范书</w:t>
      </w:r>
      <w:r>
        <w:rPr>
          <w:rFonts w:hint="eastAsia"/>
          <w:color w:val="auto"/>
        </w:rPr>
        <w:t>：</w:t>
      </w:r>
      <w:bookmarkStart w:id="10" w:name="_Toc279769035"/>
    </w:p>
    <w:p>
      <w:pPr>
        <w:spacing w:line="360" w:lineRule="auto"/>
        <w:ind w:firstLine="525" w:firstLineChars="250"/>
        <w:rPr>
          <w:color w:val="auto"/>
          <w:szCs w:val="21"/>
        </w:rPr>
      </w:pPr>
      <w:r>
        <w:rPr>
          <w:rFonts w:hint="eastAsia"/>
          <w:color w:val="auto"/>
          <w:szCs w:val="21"/>
        </w:rPr>
        <w:t>GB14050系统接地的型式及安全技术要求</w:t>
      </w:r>
    </w:p>
    <w:p>
      <w:pPr>
        <w:spacing w:line="360" w:lineRule="auto"/>
        <w:ind w:firstLine="525" w:firstLineChars="250"/>
        <w:rPr>
          <w:color w:val="auto"/>
          <w:szCs w:val="21"/>
        </w:rPr>
      </w:pPr>
      <w:r>
        <w:rPr>
          <w:rFonts w:hint="eastAsia"/>
          <w:color w:val="auto"/>
          <w:szCs w:val="21"/>
        </w:rPr>
        <w:t>GB4785  汽车及挂车的外部照明和信号装置的安装规定</w:t>
      </w:r>
    </w:p>
    <w:p>
      <w:pPr>
        <w:spacing w:line="360" w:lineRule="auto"/>
        <w:ind w:firstLine="525" w:firstLineChars="250"/>
        <w:rPr>
          <w:color w:val="auto"/>
          <w:szCs w:val="21"/>
        </w:rPr>
      </w:pPr>
      <w:r>
        <w:rPr>
          <w:rFonts w:hint="eastAsia"/>
          <w:color w:val="auto"/>
          <w:szCs w:val="21"/>
        </w:rPr>
        <w:t>GB4785.5电工电子产品应用环境条件（地面车辆使用）</w:t>
      </w:r>
    </w:p>
    <w:p>
      <w:pPr>
        <w:tabs>
          <w:tab w:val="left" w:pos="3220"/>
        </w:tabs>
        <w:spacing w:line="360" w:lineRule="auto"/>
        <w:ind w:firstLine="560"/>
        <w:rPr>
          <w:rFonts w:hint="eastAsia"/>
          <w:color w:val="auto"/>
          <w:szCs w:val="21"/>
        </w:rPr>
      </w:pPr>
      <w:r>
        <w:rPr>
          <w:rFonts w:hint="eastAsia"/>
          <w:color w:val="auto"/>
          <w:szCs w:val="21"/>
        </w:rPr>
        <w:t xml:space="preserve">GB 7258－2004 机动车运行安全技术条件 </w:t>
      </w:r>
    </w:p>
    <w:p>
      <w:pPr>
        <w:tabs>
          <w:tab w:val="left" w:pos="3220"/>
        </w:tabs>
        <w:spacing w:line="360" w:lineRule="auto"/>
        <w:ind w:firstLine="560"/>
        <w:rPr>
          <w:rFonts w:hint="eastAsia"/>
          <w:color w:val="auto"/>
          <w:szCs w:val="21"/>
        </w:rPr>
      </w:pPr>
      <w:r>
        <w:rPr>
          <w:rFonts w:hint="eastAsia"/>
          <w:color w:val="auto"/>
          <w:szCs w:val="21"/>
        </w:rPr>
        <w:t>GB 8410－2006 汽车内饰材料的燃烧特性</w:t>
      </w:r>
    </w:p>
    <w:p>
      <w:pPr>
        <w:tabs>
          <w:tab w:val="left" w:pos="3220"/>
        </w:tabs>
        <w:spacing w:line="360" w:lineRule="auto"/>
        <w:ind w:firstLine="560"/>
        <w:rPr>
          <w:rFonts w:hint="eastAsia"/>
          <w:color w:val="auto"/>
          <w:szCs w:val="21"/>
        </w:rPr>
      </w:pPr>
      <w:r>
        <w:rPr>
          <w:rFonts w:hint="eastAsia"/>
          <w:color w:val="auto"/>
          <w:szCs w:val="21"/>
        </w:rPr>
        <w:t>GB 8702-88电磁辐射防护规定</w:t>
      </w:r>
    </w:p>
    <w:p>
      <w:pPr>
        <w:tabs>
          <w:tab w:val="left" w:pos="3220"/>
        </w:tabs>
        <w:spacing w:line="360" w:lineRule="auto"/>
        <w:ind w:firstLine="560"/>
        <w:rPr>
          <w:rFonts w:hint="eastAsia"/>
          <w:color w:val="auto"/>
          <w:szCs w:val="21"/>
        </w:rPr>
      </w:pPr>
      <w:r>
        <w:rPr>
          <w:rFonts w:hint="eastAsia"/>
          <w:color w:val="auto"/>
          <w:szCs w:val="21"/>
        </w:rPr>
        <w:t>GB 9175─88环境电波卫生标准</w:t>
      </w:r>
    </w:p>
    <w:p>
      <w:pPr>
        <w:tabs>
          <w:tab w:val="left" w:pos="3220"/>
        </w:tabs>
        <w:spacing w:line="360" w:lineRule="auto"/>
        <w:ind w:firstLine="560"/>
        <w:rPr>
          <w:rFonts w:hint="eastAsia"/>
          <w:color w:val="auto"/>
          <w:szCs w:val="21"/>
        </w:rPr>
      </w:pPr>
      <w:r>
        <w:rPr>
          <w:rFonts w:hint="eastAsia"/>
          <w:color w:val="auto"/>
          <w:szCs w:val="21"/>
        </w:rPr>
        <w:t>GB 11567－2001 汽车和挂车侧面及后下部防护装置要求</w:t>
      </w:r>
    </w:p>
    <w:p>
      <w:pPr>
        <w:tabs>
          <w:tab w:val="left" w:pos="3220"/>
        </w:tabs>
        <w:spacing w:line="360" w:lineRule="auto"/>
        <w:ind w:firstLine="560"/>
        <w:rPr>
          <w:rFonts w:hint="eastAsia"/>
          <w:color w:val="auto"/>
          <w:szCs w:val="21"/>
        </w:rPr>
      </w:pPr>
      <w:r>
        <w:rPr>
          <w:rFonts w:hint="eastAsia"/>
          <w:color w:val="auto"/>
          <w:szCs w:val="21"/>
        </w:rPr>
        <w:t>GB 14761.5－2001 汽油车怠速污染物排放标准</w:t>
      </w:r>
    </w:p>
    <w:p>
      <w:pPr>
        <w:tabs>
          <w:tab w:val="left" w:pos="3220"/>
        </w:tabs>
        <w:spacing w:line="360" w:lineRule="auto"/>
        <w:ind w:firstLine="560"/>
        <w:rPr>
          <w:rFonts w:hint="eastAsia"/>
          <w:color w:val="auto"/>
          <w:szCs w:val="21"/>
        </w:rPr>
      </w:pPr>
      <w:r>
        <w:rPr>
          <w:rFonts w:hint="eastAsia"/>
          <w:color w:val="auto"/>
          <w:szCs w:val="21"/>
        </w:rPr>
        <w:t xml:space="preserve">GB 17350－2009 专用汽车和专用挂车术语代号编制方法 </w:t>
      </w:r>
    </w:p>
    <w:p>
      <w:pPr>
        <w:tabs>
          <w:tab w:val="left" w:pos="3220"/>
        </w:tabs>
        <w:spacing w:line="360" w:lineRule="auto"/>
        <w:ind w:firstLine="560"/>
        <w:rPr>
          <w:rFonts w:hint="eastAsia"/>
          <w:color w:val="auto"/>
          <w:szCs w:val="21"/>
        </w:rPr>
      </w:pPr>
      <w:r>
        <w:rPr>
          <w:rFonts w:hint="eastAsia"/>
          <w:color w:val="auto"/>
          <w:szCs w:val="21"/>
        </w:rPr>
        <w:t>GB 50689-2011 通信局（站）防雷接地工程设计规范</w:t>
      </w:r>
    </w:p>
    <w:p>
      <w:pPr>
        <w:tabs>
          <w:tab w:val="left" w:pos="3220"/>
        </w:tabs>
        <w:spacing w:line="360" w:lineRule="auto"/>
        <w:ind w:firstLine="560"/>
        <w:rPr>
          <w:rFonts w:hint="eastAsia"/>
          <w:color w:val="auto"/>
          <w:szCs w:val="21"/>
        </w:rPr>
      </w:pPr>
      <w:r>
        <w:rPr>
          <w:rFonts w:hint="eastAsia"/>
          <w:color w:val="auto"/>
          <w:szCs w:val="21"/>
        </w:rPr>
        <w:t>GB/T 1496－1979 机动车辆噪声测量方法</w:t>
      </w:r>
    </w:p>
    <w:p>
      <w:pPr>
        <w:tabs>
          <w:tab w:val="left" w:pos="3220"/>
        </w:tabs>
        <w:spacing w:line="360" w:lineRule="auto"/>
        <w:ind w:firstLine="560"/>
        <w:rPr>
          <w:rFonts w:hint="eastAsia"/>
          <w:color w:val="auto"/>
          <w:szCs w:val="21"/>
        </w:rPr>
      </w:pPr>
      <w:r>
        <w:rPr>
          <w:rFonts w:hint="eastAsia"/>
          <w:color w:val="auto"/>
          <w:szCs w:val="21"/>
        </w:rPr>
        <w:t>GB/T 11380－1989 客车车身涂层技术条件</w:t>
      </w:r>
    </w:p>
    <w:p>
      <w:pPr>
        <w:tabs>
          <w:tab w:val="left" w:pos="3220"/>
        </w:tabs>
        <w:spacing w:line="360" w:lineRule="auto"/>
        <w:ind w:firstLine="560"/>
        <w:rPr>
          <w:rFonts w:hint="eastAsia"/>
          <w:color w:val="auto"/>
          <w:szCs w:val="21"/>
        </w:rPr>
      </w:pPr>
      <w:r>
        <w:rPr>
          <w:rFonts w:hint="eastAsia"/>
          <w:color w:val="auto"/>
          <w:szCs w:val="21"/>
        </w:rPr>
        <w:t>GB/T 12428－2005 客车装载质量计算方法</w:t>
      </w:r>
    </w:p>
    <w:p>
      <w:pPr>
        <w:tabs>
          <w:tab w:val="left" w:pos="3220"/>
        </w:tabs>
        <w:spacing w:line="360" w:lineRule="auto"/>
        <w:ind w:firstLine="560"/>
        <w:rPr>
          <w:rFonts w:hint="eastAsia"/>
          <w:color w:val="auto"/>
          <w:szCs w:val="21"/>
        </w:rPr>
      </w:pPr>
      <w:r>
        <w:rPr>
          <w:rFonts w:hint="eastAsia"/>
          <w:color w:val="auto"/>
          <w:szCs w:val="21"/>
        </w:rPr>
        <w:t xml:space="preserve">GB/T 12534－1990 汽车道路试验方法通则 </w:t>
      </w:r>
    </w:p>
    <w:p>
      <w:pPr>
        <w:tabs>
          <w:tab w:val="left" w:pos="3220"/>
        </w:tabs>
        <w:spacing w:line="360" w:lineRule="auto"/>
        <w:ind w:firstLine="560"/>
        <w:rPr>
          <w:rFonts w:hint="eastAsia"/>
          <w:color w:val="auto"/>
          <w:szCs w:val="21"/>
        </w:rPr>
      </w:pPr>
      <w:r>
        <w:rPr>
          <w:rFonts w:hint="eastAsia"/>
          <w:color w:val="auto"/>
          <w:szCs w:val="21"/>
        </w:rPr>
        <w:t>GB/T 12536－1990 汽车滑行试验方法</w:t>
      </w:r>
    </w:p>
    <w:p>
      <w:pPr>
        <w:tabs>
          <w:tab w:val="left" w:pos="3220"/>
        </w:tabs>
        <w:spacing w:line="360" w:lineRule="auto"/>
        <w:ind w:firstLine="560"/>
        <w:rPr>
          <w:rFonts w:hint="eastAsia"/>
          <w:color w:val="auto"/>
          <w:szCs w:val="21"/>
        </w:rPr>
      </w:pPr>
      <w:r>
        <w:rPr>
          <w:rFonts w:hint="eastAsia"/>
          <w:color w:val="auto"/>
          <w:szCs w:val="21"/>
        </w:rPr>
        <w:t xml:space="preserve">GB/T 12538－2003 两轴道路车辆重心高度测定方法 </w:t>
      </w:r>
    </w:p>
    <w:p>
      <w:pPr>
        <w:tabs>
          <w:tab w:val="left" w:pos="3220"/>
        </w:tabs>
        <w:spacing w:line="360" w:lineRule="auto"/>
        <w:ind w:firstLine="560"/>
        <w:rPr>
          <w:rFonts w:hint="eastAsia"/>
          <w:color w:val="auto"/>
          <w:szCs w:val="21"/>
        </w:rPr>
      </w:pPr>
      <w:r>
        <w:rPr>
          <w:rFonts w:hint="eastAsia"/>
          <w:color w:val="auto"/>
          <w:szCs w:val="21"/>
        </w:rPr>
        <w:t>GB/T 12539－1990 汽车爬陡坡试验方法</w:t>
      </w:r>
    </w:p>
    <w:p>
      <w:pPr>
        <w:tabs>
          <w:tab w:val="left" w:pos="3220"/>
        </w:tabs>
        <w:spacing w:line="360" w:lineRule="auto"/>
        <w:ind w:firstLine="560"/>
        <w:rPr>
          <w:rFonts w:hint="eastAsia"/>
          <w:color w:val="auto"/>
          <w:szCs w:val="21"/>
        </w:rPr>
      </w:pPr>
      <w:r>
        <w:rPr>
          <w:rFonts w:hint="eastAsia"/>
          <w:color w:val="auto"/>
          <w:szCs w:val="21"/>
        </w:rPr>
        <w:t>GB/T 12540－2009 汽车最小转弯直径、最小转弯通道圆直径和外摆测定方法</w:t>
      </w:r>
    </w:p>
    <w:p>
      <w:pPr>
        <w:tabs>
          <w:tab w:val="left" w:pos="3220"/>
        </w:tabs>
        <w:spacing w:line="360" w:lineRule="auto"/>
        <w:ind w:firstLine="560"/>
        <w:rPr>
          <w:rFonts w:hint="eastAsia"/>
          <w:color w:val="auto"/>
          <w:szCs w:val="21"/>
        </w:rPr>
      </w:pPr>
      <w:r>
        <w:rPr>
          <w:rFonts w:hint="eastAsia"/>
          <w:color w:val="auto"/>
          <w:szCs w:val="21"/>
        </w:rPr>
        <w:t xml:space="preserve">GB/T 12543－2009 汽车加速性能试验方法 </w:t>
      </w:r>
    </w:p>
    <w:p>
      <w:pPr>
        <w:tabs>
          <w:tab w:val="left" w:pos="3220"/>
        </w:tabs>
        <w:spacing w:line="360" w:lineRule="auto"/>
        <w:ind w:firstLine="560"/>
        <w:rPr>
          <w:rFonts w:hint="eastAsia"/>
          <w:color w:val="auto"/>
          <w:szCs w:val="21"/>
        </w:rPr>
      </w:pPr>
      <w:r>
        <w:rPr>
          <w:rFonts w:hint="eastAsia"/>
          <w:color w:val="auto"/>
          <w:szCs w:val="21"/>
        </w:rPr>
        <w:t>GB/T 12544－1990 汽车最高车速试验方法</w:t>
      </w:r>
    </w:p>
    <w:p>
      <w:pPr>
        <w:tabs>
          <w:tab w:val="left" w:pos="3220"/>
        </w:tabs>
        <w:spacing w:line="360" w:lineRule="auto"/>
        <w:ind w:firstLine="560"/>
        <w:rPr>
          <w:rFonts w:hint="eastAsia"/>
          <w:color w:val="auto"/>
          <w:szCs w:val="21"/>
        </w:rPr>
      </w:pPr>
      <w:r>
        <w:rPr>
          <w:rFonts w:hint="eastAsia"/>
          <w:color w:val="auto"/>
          <w:szCs w:val="21"/>
        </w:rPr>
        <w:t xml:space="preserve">GB/T 12545.1－2009 汽车燃料消耗量试验方法 </w:t>
      </w:r>
    </w:p>
    <w:p>
      <w:pPr>
        <w:tabs>
          <w:tab w:val="left" w:pos="3220"/>
        </w:tabs>
        <w:spacing w:line="360" w:lineRule="auto"/>
        <w:ind w:firstLine="560"/>
        <w:rPr>
          <w:rFonts w:hint="eastAsia"/>
          <w:color w:val="auto"/>
          <w:szCs w:val="21"/>
        </w:rPr>
      </w:pPr>
      <w:r>
        <w:rPr>
          <w:rFonts w:hint="eastAsia"/>
          <w:color w:val="auto"/>
          <w:szCs w:val="21"/>
        </w:rPr>
        <w:t>GB/T 12547－2009 汽车最低稳定车速试验方法</w:t>
      </w:r>
    </w:p>
    <w:p>
      <w:pPr>
        <w:tabs>
          <w:tab w:val="left" w:pos="3220"/>
        </w:tabs>
        <w:spacing w:line="360" w:lineRule="auto"/>
        <w:ind w:firstLine="560"/>
        <w:rPr>
          <w:rFonts w:hint="eastAsia"/>
          <w:color w:val="auto"/>
          <w:szCs w:val="21"/>
        </w:rPr>
      </w:pPr>
      <w:r>
        <w:rPr>
          <w:rFonts w:hint="eastAsia"/>
          <w:color w:val="auto"/>
          <w:szCs w:val="21"/>
        </w:rPr>
        <w:t>GB/T 12673－1990 汽车主要尺寸测量方法</w:t>
      </w:r>
    </w:p>
    <w:p>
      <w:pPr>
        <w:tabs>
          <w:tab w:val="left" w:pos="3220"/>
        </w:tabs>
        <w:spacing w:line="360" w:lineRule="auto"/>
        <w:ind w:firstLine="560"/>
        <w:rPr>
          <w:rFonts w:hint="eastAsia"/>
          <w:color w:val="auto"/>
          <w:szCs w:val="21"/>
        </w:rPr>
      </w:pPr>
      <w:r>
        <w:rPr>
          <w:rFonts w:hint="eastAsia"/>
          <w:color w:val="auto"/>
          <w:szCs w:val="21"/>
        </w:rPr>
        <w:t xml:space="preserve">GB/T 12674－1990 汽车质量(重量)参数测定方法 </w:t>
      </w:r>
    </w:p>
    <w:p>
      <w:pPr>
        <w:tabs>
          <w:tab w:val="left" w:pos="3220"/>
        </w:tabs>
        <w:spacing w:line="360" w:lineRule="auto"/>
        <w:ind w:firstLine="560"/>
        <w:rPr>
          <w:rFonts w:hint="eastAsia"/>
          <w:color w:val="auto"/>
          <w:szCs w:val="21"/>
        </w:rPr>
      </w:pPr>
      <w:r>
        <w:rPr>
          <w:rFonts w:hint="eastAsia"/>
          <w:color w:val="auto"/>
          <w:szCs w:val="21"/>
        </w:rPr>
        <w:t>GB/T 12677－1990 汽车技术状况行驶检查方法</w:t>
      </w:r>
    </w:p>
    <w:p>
      <w:pPr>
        <w:tabs>
          <w:tab w:val="left" w:pos="3220"/>
        </w:tabs>
        <w:spacing w:line="360" w:lineRule="auto"/>
        <w:ind w:firstLine="560"/>
        <w:rPr>
          <w:color w:val="auto"/>
          <w:szCs w:val="21"/>
        </w:rPr>
      </w:pPr>
      <w:r>
        <w:rPr>
          <w:rFonts w:hint="eastAsia"/>
          <w:color w:val="auto"/>
          <w:szCs w:val="21"/>
        </w:rPr>
        <w:t>GB/T 12678－1990 汽车可靠性行驶试验方法</w:t>
      </w:r>
    </w:p>
    <w:p>
      <w:pPr>
        <w:tabs>
          <w:tab w:val="left" w:pos="3220"/>
        </w:tabs>
        <w:spacing w:line="360" w:lineRule="auto"/>
        <w:ind w:firstLine="560"/>
        <w:rPr>
          <w:rFonts w:hint="eastAsia"/>
          <w:color w:val="auto"/>
          <w:szCs w:val="21"/>
        </w:rPr>
      </w:pPr>
      <w:r>
        <w:rPr>
          <w:rFonts w:hint="eastAsia"/>
          <w:color w:val="auto"/>
          <w:szCs w:val="21"/>
        </w:rPr>
        <w:t>YD/T 944-2007  通信电源设备防雷技术要求和测试方法</w:t>
      </w:r>
    </w:p>
    <w:p>
      <w:pPr>
        <w:tabs>
          <w:tab w:val="left" w:pos="3220"/>
        </w:tabs>
        <w:spacing w:line="360" w:lineRule="auto"/>
        <w:ind w:firstLine="560"/>
        <w:rPr>
          <w:rFonts w:hint="eastAsia"/>
          <w:color w:val="auto"/>
          <w:szCs w:val="21"/>
        </w:rPr>
      </w:pPr>
      <w:r>
        <w:rPr>
          <w:rFonts w:hint="eastAsia"/>
          <w:color w:val="auto"/>
          <w:szCs w:val="21"/>
        </w:rPr>
        <w:t>YD/T 5027-2005 通信电源集中监控系统工程设计规范</w:t>
      </w:r>
    </w:p>
    <w:p>
      <w:pPr>
        <w:tabs>
          <w:tab w:val="left" w:pos="3220"/>
        </w:tabs>
        <w:spacing w:line="360" w:lineRule="auto"/>
        <w:ind w:firstLine="560"/>
        <w:rPr>
          <w:rFonts w:hint="eastAsia"/>
          <w:color w:val="auto"/>
          <w:szCs w:val="21"/>
        </w:rPr>
      </w:pPr>
      <w:r>
        <w:rPr>
          <w:rFonts w:hint="eastAsia"/>
          <w:color w:val="auto"/>
          <w:szCs w:val="21"/>
        </w:rPr>
        <w:t>YD/T 5040-2005  通信电源设备安装工程设计规范</w:t>
      </w:r>
    </w:p>
    <w:p>
      <w:pPr>
        <w:tabs>
          <w:tab w:val="left" w:pos="3220"/>
        </w:tabs>
        <w:spacing w:line="360" w:lineRule="auto"/>
        <w:ind w:firstLine="560"/>
        <w:rPr>
          <w:rFonts w:hint="eastAsia"/>
          <w:color w:val="auto"/>
          <w:szCs w:val="21"/>
        </w:rPr>
      </w:pPr>
      <w:r>
        <w:rPr>
          <w:rFonts w:hint="eastAsia"/>
          <w:color w:val="auto"/>
          <w:szCs w:val="21"/>
        </w:rPr>
        <w:t>YD/T 5114-2005 移动通信应急车载系统工程设计规范</w:t>
      </w:r>
    </w:p>
    <w:p>
      <w:pPr>
        <w:tabs>
          <w:tab w:val="left" w:pos="3220"/>
        </w:tabs>
        <w:spacing w:line="360" w:lineRule="auto"/>
        <w:ind w:firstLine="560"/>
        <w:rPr>
          <w:rFonts w:hint="eastAsia"/>
          <w:color w:val="auto"/>
          <w:szCs w:val="21"/>
        </w:rPr>
      </w:pPr>
      <w:r>
        <w:rPr>
          <w:rFonts w:hint="eastAsia"/>
          <w:color w:val="auto"/>
          <w:szCs w:val="21"/>
        </w:rPr>
        <w:t>YD/T 5131-2005 移动通信钢塔桅结构设计规范</w:t>
      </w:r>
    </w:p>
    <w:p>
      <w:pPr>
        <w:tabs>
          <w:tab w:val="left" w:pos="3220"/>
        </w:tabs>
        <w:spacing w:line="360" w:lineRule="auto"/>
        <w:ind w:firstLine="560"/>
        <w:rPr>
          <w:rFonts w:hint="eastAsia"/>
          <w:color w:val="auto"/>
          <w:szCs w:val="21"/>
        </w:rPr>
      </w:pPr>
      <w:r>
        <w:rPr>
          <w:rFonts w:hint="eastAsia"/>
          <w:color w:val="auto"/>
          <w:szCs w:val="21"/>
        </w:rPr>
        <w:t>YD/T 5132-2005移动通信钢桅结构验收规范</w:t>
      </w:r>
    </w:p>
    <w:p>
      <w:pPr>
        <w:tabs>
          <w:tab w:val="left" w:pos="3220"/>
        </w:tabs>
        <w:spacing w:line="360" w:lineRule="auto"/>
        <w:ind w:firstLine="560"/>
        <w:rPr>
          <w:rFonts w:hint="eastAsia"/>
          <w:color w:val="auto"/>
          <w:szCs w:val="21"/>
        </w:rPr>
      </w:pPr>
      <w:r>
        <w:rPr>
          <w:rFonts w:hint="eastAsia"/>
          <w:color w:val="auto"/>
          <w:szCs w:val="21"/>
        </w:rPr>
        <w:t>QC/T 252－1998(2005) 专用汽车定型试验规程</w:t>
      </w:r>
    </w:p>
    <w:p>
      <w:pPr>
        <w:tabs>
          <w:tab w:val="left" w:pos="3220"/>
        </w:tabs>
        <w:spacing w:line="360" w:lineRule="auto"/>
        <w:ind w:firstLine="560"/>
        <w:rPr>
          <w:rFonts w:hint="eastAsia"/>
          <w:color w:val="auto"/>
          <w:szCs w:val="21"/>
        </w:rPr>
      </w:pPr>
      <w:r>
        <w:rPr>
          <w:rFonts w:hint="eastAsia"/>
          <w:color w:val="auto"/>
          <w:szCs w:val="21"/>
        </w:rPr>
        <w:t>QC/T 261－1998 客车安全门技术要求</w:t>
      </w:r>
    </w:p>
    <w:p>
      <w:pPr>
        <w:tabs>
          <w:tab w:val="left" w:pos="3220"/>
        </w:tabs>
        <w:spacing w:line="360" w:lineRule="auto"/>
        <w:ind w:firstLine="560"/>
        <w:rPr>
          <w:rFonts w:hint="eastAsia"/>
          <w:color w:val="auto"/>
          <w:szCs w:val="21"/>
        </w:rPr>
      </w:pPr>
      <w:r>
        <w:rPr>
          <w:rFonts w:hint="eastAsia"/>
          <w:color w:val="auto"/>
          <w:szCs w:val="21"/>
        </w:rPr>
        <w:t>QC/T 476－2007 客车防雨密封性限值及试验方法</w:t>
      </w:r>
    </w:p>
    <w:p>
      <w:pPr>
        <w:tabs>
          <w:tab w:val="left" w:pos="3220"/>
        </w:tabs>
        <w:spacing w:line="360" w:lineRule="auto"/>
        <w:ind w:firstLine="560"/>
        <w:rPr>
          <w:rFonts w:hint="eastAsia"/>
          <w:color w:val="auto"/>
          <w:szCs w:val="21"/>
        </w:rPr>
      </w:pPr>
      <w:r>
        <w:rPr>
          <w:rFonts w:hint="eastAsia"/>
          <w:color w:val="auto"/>
          <w:szCs w:val="21"/>
        </w:rPr>
        <w:t xml:space="preserve">QC/T 484－1999 汽车油漆涂层 </w:t>
      </w:r>
    </w:p>
    <w:p>
      <w:pPr>
        <w:tabs>
          <w:tab w:val="left" w:pos="3220"/>
        </w:tabs>
        <w:spacing w:line="360" w:lineRule="auto"/>
        <w:ind w:firstLine="560"/>
        <w:rPr>
          <w:rFonts w:hint="eastAsia"/>
          <w:color w:val="auto"/>
          <w:szCs w:val="21"/>
        </w:rPr>
      </w:pPr>
      <w:r>
        <w:rPr>
          <w:rFonts w:hint="eastAsia"/>
          <w:color w:val="auto"/>
          <w:szCs w:val="21"/>
        </w:rPr>
        <w:t xml:space="preserve">QC/T 486－1999 汽车标牌 </w:t>
      </w:r>
    </w:p>
    <w:p>
      <w:pPr>
        <w:tabs>
          <w:tab w:val="left" w:pos="3220"/>
        </w:tabs>
        <w:spacing w:line="360" w:lineRule="auto"/>
        <w:ind w:firstLine="560"/>
        <w:rPr>
          <w:rFonts w:hint="eastAsia"/>
          <w:color w:val="auto"/>
          <w:szCs w:val="21"/>
        </w:rPr>
      </w:pPr>
      <w:r>
        <w:rPr>
          <w:rFonts w:hint="eastAsia"/>
          <w:color w:val="auto"/>
          <w:szCs w:val="21"/>
        </w:rPr>
        <w:t xml:space="preserve">QC/T 569－1999 汽车驻车制动试验方法 </w:t>
      </w:r>
    </w:p>
    <w:p>
      <w:pPr>
        <w:tabs>
          <w:tab w:val="left" w:pos="3220"/>
        </w:tabs>
        <w:spacing w:line="360" w:lineRule="auto"/>
        <w:ind w:firstLine="560"/>
        <w:rPr>
          <w:rFonts w:hint="eastAsia"/>
          <w:color w:val="auto"/>
          <w:szCs w:val="21"/>
        </w:rPr>
      </w:pPr>
      <w:r>
        <w:rPr>
          <w:rFonts w:hint="eastAsia"/>
          <w:color w:val="auto"/>
          <w:szCs w:val="21"/>
        </w:rPr>
        <w:t>GJB 2225.6-1994 地面电子对抗设备通用技术要求 方舱、厢式车和装车要求</w:t>
      </w:r>
    </w:p>
    <w:p>
      <w:pPr>
        <w:tabs>
          <w:tab w:val="left" w:pos="3220"/>
        </w:tabs>
        <w:spacing w:line="360" w:lineRule="auto"/>
        <w:ind w:firstLine="560"/>
        <w:rPr>
          <w:rFonts w:hint="eastAsia"/>
          <w:color w:val="auto"/>
          <w:szCs w:val="21"/>
        </w:rPr>
      </w:pPr>
      <w:r>
        <w:rPr>
          <w:rFonts w:hint="eastAsia"/>
          <w:color w:val="auto"/>
          <w:szCs w:val="21"/>
        </w:rPr>
        <w:t>GJB 3436-1998 综合终端通信车规范</w:t>
      </w:r>
    </w:p>
    <w:p>
      <w:pPr>
        <w:tabs>
          <w:tab w:val="left" w:pos="3220"/>
        </w:tabs>
        <w:spacing w:line="360" w:lineRule="auto"/>
        <w:ind w:firstLine="560"/>
        <w:rPr>
          <w:rFonts w:cs="Arial" w:asciiTheme="minorEastAsia" w:hAnsiTheme="minorEastAsia"/>
          <w:color w:val="auto"/>
          <w:sz w:val="24"/>
          <w:szCs w:val="24"/>
        </w:rPr>
      </w:pPr>
      <w:r>
        <w:rPr>
          <w:rFonts w:cs="Arial" w:asciiTheme="minorEastAsia" w:hAnsiTheme="minorEastAsia"/>
          <w:color w:val="auto"/>
          <w:sz w:val="24"/>
          <w:szCs w:val="24"/>
        </w:rPr>
        <w:t>以上标准如有新版本，按最新版本执行。</w:t>
      </w:r>
    </w:p>
    <w:p>
      <w:pPr>
        <w:pStyle w:val="2"/>
        <w:numPr>
          <w:ilvl w:val="0"/>
          <w:numId w:val="0"/>
        </w:numPr>
        <w:snapToGrid/>
        <w:spacing w:beforeLines="0" w:line="480" w:lineRule="auto"/>
        <w:rPr>
          <w:rFonts w:hAnsi="宋体"/>
          <w:color w:val="auto"/>
          <w:sz w:val="24"/>
          <w:szCs w:val="24"/>
        </w:rPr>
      </w:pPr>
      <w:bookmarkStart w:id="11" w:name="_Toc32172"/>
      <w:r>
        <w:rPr>
          <w:rFonts w:hint="eastAsia" w:hAnsi="宋体"/>
          <w:color w:val="auto"/>
          <w:sz w:val="24"/>
          <w:szCs w:val="24"/>
        </w:rPr>
        <w:t>4 使用</w:t>
      </w:r>
      <w:bookmarkEnd w:id="10"/>
      <w:r>
        <w:rPr>
          <w:rFonts w:hint="eastAsia" w:hAnsi="宋体"/>
          <w:color w:val="auto"/>
          <w:sz w:val="24"/>
          <w:szCs w:val="24"/>
        </w:rPr>
        <w:t>环境要求</w:t>
      </w:r>
      <w:bookmarkEnd w:id="11"/>
    </w:p>
    <w:p>
      <w:pPr>
        <w:pStyle w:val="18"/>
        <w:adjustRightInd w:val="0"/>
        <w:snapToGrid w:val="0"/>
        <w:spacing w:line="360" w:lineRule="auto"/>
        <w:ind w:firstLine="480"/>
        <w:rPr>
          <w:rFonts w:ascii="宋体" w:hAnsi="宋体" w:eastAsia="宋体" w:cs="Times New Roman"/>
          <w:color w:val="auto"/>
          <w:sz w:val="24"/>
          <w:szCs w:val="24"/>
        </w:rPr>
      </w:pPr>
      <w:bookmarkStart w:id="12" w:name="_Toc279769036"/>
      <w:r>
        <w:rPr>
          <w:rFonts w:hint="eastAsia" w:ascii="宋体" w:hAnsi="宋体" w:eastAsia="宋体" w:cs="Times New Roman"/>
          <w:color w:val="auto"/>
          <w:sz w:val="24"/>
          <w:szCs w:val="24"/>
        </w:rPr>
        <w:t>本设备招标书技术文件需要采购的设备，其外部使用条件见表4.1。投标方应对所提供的设备性能参数在外部条件下进行校验、核对，使所供设备满足实际外部条件要求及全工况运行要求。</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4.1 设备</w:t>
      </w:r>
      <w:r>
        <w:rPr>
          <w:rFonts w:hint="eastAsia" w:ascii="宋体" w:hAnsi="宋体" w:eastAsia="宋体"/>
          <w:color w:val="auto"/>
          <w:sz w:val="24"/>
          <w:szCs w:val="24"/>
        </w:rPr>
        <w:t>使用环境要求相应表</w:t>
      </w:r>
      <w:r>
        <w:rPr>
          <w:rFonts w:hint="eastAsia" w:ascii="宋体" w:hAnsi="宋体" w:eastAsia="宋体" w:cs="Times New Roman"/>
          <w:color w:val="auto"/>
          <w:sz w:val="24"/>
          <w:szCs w:val="24"/>
        </w:rPr>
        <w:t>（项目单位填写）</w:t>
      </w:r>
    </w:p>
    <w:tbl>
      <w:tblPr>
        <w:tblStyle w:val="13"/>
        <w:tblW w:w="8784" w:type="dxa"/>
        <w:jc w:val="right"/>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32"/>
        <w:gridCol w:w="2672"/>
        <w:gridCol w:w="2551"/>
        <w:gridCol w:w="1843"/>
        <w:gridCol w:w="12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right"/>
        </w:trPr>
        <w:tc>
          <w:tcPr>
            <w:tcW w:w="432" w:type="dxa"/>
          </w:tcPr>
          <w:p>
            <w:pPr>
              <w:jc w:val="center"/>
              <w:rPr>
                <w:rFonts w:ascii="宋体" w:hAnsi="宋体"/>
                <w:color w:val="auto"/>
                <w:szCs w:val="21"/>
              </w:rPr>
            </w:pPr>
            <w:r>
              <w:rPr>
                <w:rFonts w:hint="eastAsia" w:ascii="宋体" w:hAnsi="宋体"/>
                <w:color w:val="auto"/>
                <w:szCs w:val="21"/>
              </w:rPr>
              <w:t>序号</w:t>
            </w:r>
          </w:p>
        </w:tc>
        <w:tc>
          <w:tcPr>
            <w:tcW w:w="2672" w:type="dxa"/>
            <w:vAlign w:val="center"/>
          </w:tcPr>
          <w:p>
            <w:pPr>
              <w:jc w:val="center"/>
              <w:rPr>
                <w:rFonts w:ascii="宋体" w:hAnsi="宋体"/>
                <w:color w:val="auto"/>
                <w:szCs w:val="21"/>
              </w:rPr>
            </w:pPr>
            <w:r>
              <w:rPr>
                <w:rFonts w:ascii="宋体" w:hAnsi="宋体"/>
                <w:color w:val="auto"/>
                <w:szCs w:val="21"/>
              </w:rPr>
              <w:t>名  称</w:t>
            </w:r>
          </w:p>
        </w:tc>
        <w:tc>
          <w:tcPr>
            <w:tcW w:w="2551" w:type="dxa"/>
            <w:vAlign w:val="center"/>
          </w:tcPr>
          <w:p>
            <w:pPr>
              <w:jc w:val="center"/>
              <w:rPr>
                <w:rFonts w:ascii="宋体" w:hAnsi="宋体"/>
                <w:color w:val="auto"/>
                <w:szCs w:val="21"/>
              </w:rPr>
            </w:pPr>
            <w:r>
              <w:rPr>
                <w:rFonts w:hint="eastAsia" w:ascii="宋体" w:hAnsi="宋体"/>
                <w:color w:val="auto"/>
                <w:szCs w:val="21"/>
              </w:rPr>
              <w:t>项目要求值</w:t>
            </w:r>
          </w:p>
        </w:tc>
        <w:tc>
          <w:tcPr>
            <w:tcW w:w="1843" w:type="dxa"/>
            <w:vAlign w:val="center"/>
          </w:tcPr>
          <w:p>
            <w:pPr>
              <w:jc w:val="center"/>
              <w:rPr>
                <w:rFonts w:ascii="宋体" w:hAnsi="宋体"/>
                <w:color w:val="auto"/>
                <w:szCs w:val="21"/>
              </w:rPr>
            </w:pPr>
            <w:r>
              <w:rPr>
                <w:rFonts w:hint="eastAsia" w:ascii="宋体" w:hAnsi="宋体"/>
                <w:color w:val="auto"/>
                <w:szCs w:val="21"/>
              </w:rPr>
              <w:t>投标方</w:t>
            </w:r>
            <w:r>
              <w:rPr>
                <w:rFonts w:ascii="宋体" w:hAnsi="宋体"/>
                <w:color w:val="auto"/>
                <w:szCs w:val="21"/>
              </w:rPr>
              <w:t>保证值</w:t>
            </w:r>
          </w:p>
        </w:tc>
        <w:tc>
          <w:tcPr>
            <w:tcW w:w="1286" w:type="dxa"/>
            <w:vAlign w:val="center"/>
          </w:tcPr>
          <w:p>
            <w:pPr>
              <w:jc w:val="center"/>
              <w:rPr>
                <w:rFonts w:ascii="宋体" w:hAnsi="宋体"/>
                <w:color w:val="auto"/>
                <w:szCs w:val="21"/>
              </w:rPr>
            </w:pPr>
            <w:r>
              <w:rPr>
                <w:rFonts w:hint="eastAsia" w:ascii="宋体" w:hAnsi="宋体"/>
                <w:color w:val="auto"/>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right"/>
        </w:trPr>
        <w:tc>
          <w:tcPr>
            <w:tcW w:w="432" w:type="dxa"/>
          </w:tcPr>
          <w:p>
            <w:pPr>
              <w:rPr>
                <w:rFonts w:ascii="宋体" w:hAnsi="宋体"/>
                <w:color w:val="auto"/>
                <w:szCs w:val="21"/>
              </w:rPr>
            </w:pPr>
            <w:r>
              <w:rPr>
                <w:rFonts w:hint="eastAsia" w:ascii="宋体" w:hAnsi="宋体"/>
                <w:color w:val="auto"/>
                <w:szCs w:val="21"/>
              </w:rPr>
              <w:t>1</w:t>
            </w:r>
          </w:p>
        </w:tc>
        <w:tc>
          <w:tcPr>
            <w:tcW w:w="2672" w:type="dxa"/>
            <w:vAlign w:val="center"/>
          </w:tcPr>
          <w:p>
            <w:pPr>
              <w:jc w:val="center"/>
              <w:rPr>
                <w:rFonts w:ascii="宋体" w:hAnsi="宋体" w:eastAsia="宋体" w:cs="宋体"/>
                <w:color w:val="auto"/>
                <w:szCs w:val="21"/>
              </w:rPr>
            </w:pPr>
            <w:r>
              <w:rPr>
                <w:rFonts w:hint="eastAsia" w:ascii="宋体" w:hAnsi="宋体" w:eastAsia="宋体" w:cs="宋体"/>
                <w:color w:val="auto"/>
                <w:szCs w:val="21"/>
              </w:rPr>
              <w:t>操作温度</w:t>
            </w:r>
          </w:p>
        </w:tc>
        <w:tc>
          <w:tcPr>
            <w:tcW w:w="2551" w:type="dxa"/>
            <w:vAlign w:val="center"/>
          </w:tcPr>
          <w:p>
            <w:pPr>
              <w:jc w:val="center"/>
              <w:rPr>
                <w:rFonts w:ascii="宋体" w:hAnsi="宋体" w:eastAsia="宋体" w:cs="宋体"/>
                <w:color w:val="auto"/>
                <w:szCs w:val="21"/>
              </w:rPr>
            </w:pPr>
            <w:r>
              <w:rPr>
                <w:rFonts w:hint="eastAsia" w:ascii="宋体" w:hAnsi="宋体" w:eastAsia="宋体" w:cs="宋体"/>
                <w:color w:val="auto"/>
                <w:szCs w:val="21"/>
              </w:rPr>
              <w:t>-</w:t>
            </w:r>
            <w:r>
              <w:rPr>
                <w:rFonts w:ascii="宋体" w:hAnsi="宋体" w:eastAsia="宋体" w:cs="宋体"/>
                <w:color w:val="auto"/>
                <w:szCs w:val="21"/>
              </w:rPr>
              <w:t>1</w:t>
            </w:r>
            <w:r>
              <w:rPr>
                <w:rFonts w:hint="eastAsia" w:ascii="宋体" w:hAnsi="宋体" w:eastAsia="宋体" w:cs="宋体"/>
                <w:color w:val="auto"/>
                <w:szCs w:val="21"/>
              </w:rPr>
              <w:t>0℃~+40℃</w:t>
            </w:r>
          </w:p>
        </w:tc>
        <w:tc>
          <w:tcPr>
            <w:tcW w:w="1843" w:type="dxa"/>
            <w:vAlign w:val="center"/>
          </w:tcPr>
          <w:p>
            <w:pPr>
              <w:spacing w:line="360" w:lineRule="auto"/>
              <w:jc w:val="center"/>
              <w:rPr>
                <w:rFonts w:ascii="宋体" w:hAnsi="宋体"/>
                <w:color w:val="auto"/>
                <w:szCs w:val="21"/>
              </w:rPr>
            </w:pPr>
          </w:p>
        </w:tc>
        <w:tc>
          <w:tcPr>
            <w:tcW w:w="1286" w:type="dxa"/>
            <w:vAlign w:val="center"/>
          </w:tcPr>
          <w:p>
            <w:pPr>
              <w:spacing w:line="360" w:lineRule="auto"/>
              <w:jc w:val="center"/>
              <w:rPr>
                <w:rFonts w:ascii="宋体" w:hAnsi="宋体"/>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right"/>
        </w:trPr>
        <w:tc>
          <w:tcPr>
            <w:tcW w:w="432" w:type="dxa"/>
          </w:tcPr>
          <w:p>
            <w:pPr>
              <w:rPr>
                <w:rFonts w:ascii="宋体" w:hAnsi="宋体"/>
                <w:color w:val="auto"/>
                <w:szCs w:val="21"/>
              </w:rPr>
            </w:pPr>
            <w:r>
              <w:rPr>
                <w:rFonts w:hint="eastAsia" w:ascii="宋体" w:hAnsi="宋体"/>
                <w:color w:val="auto"/>
                <w:szCs w:val="21"/>
              </w:rPr>
              <w:t>2</w:t>
            </w:r>
          </w:p>
        </w:tc>
        <w:tc>
          <w:tcPr>
            <w:tcW w:w="2672" w:type="dxa"/>
            <w:vAlign w:val="center"/>
          </w:tcPr>
          <w:p>
            <w:pPr>
              <w:jc w:val="center"/>
              <w:rPr>
                <w:rFonts w:ascii="宋体" w:hAnsi="宋体" w:eastAsia="宋体" w:cs="宋体"/>
                <w:color w:val="auto"/>
                <w:szCs w:val="21"/>
              </w:rPr>
            </w:pPr>
            <w:r>
              <w:rPr>
                <w:rFonts w:hint="eastAsia" w:ascii="宋体" w:hAnsi="宋体"/>
                <w:color w:val="auto"/>
                <w:szCs w:val="21"/>
              </w:rPr>
              <w:t>最大月平均相对湿度</w:t>
            </w:r>
          </w:p>
        </w:tc>
        <w:tc>
          <w:tcPr>
            <w:tcW w:w="2551" w:type="dxa"/>
            <w:vAlign w:val="center"/>
          </w:tcPr>
          <w:p>
            <w:pPr>
              <w:jc w:val="center"/>
              <w:rPr>
                <w:rFonts w:ascii="宋体" w:hAnsi="宋体" w:eastAsia="宋体" w:cs="宋体"/>
                <w:color w:val="auto"/>
                <w:szCs w:val="21"/>
              </w:rPr>
            </w:pPr>
            <w:r>
              <w:rPr>
                <w:rFonts w:hint="eastAsia" w:ascii="宋体" w:hAnsi="宋体"/>
                <w:color w:val="auto"/>
                <w:szCs w:val="21"/>
              </w:rPr>
              <w:t>90%</w:t>
            </w:r>
          </w:p>
        </w:tc>
        <w:tc>
          <w:tcPr>
            <w:tcW w:w="1843" w:type="dxa"/>
            <w:vAlign w:val="center"/>
          </w:tcPr>
          <w:p>
            <w:pPr>
              <w:spacing w:line="360" w:lineRule="auto"/>
              <w:jc w:val="center"/>
              <w:rPr>
                <w:rFonts w:ascii="宋体" w:hAnsi="宋体"/>
                <w:color w:val="auto"/>
                <w:szCs w:val="21"/>
              </w:rPr>
            </w:pPr>
          </w:p>
        </w:tc>
        <w:tc>
          <w:tcPr>
            <w:tcW w:w="1286" w:type="dxa"/>
            <w:vAlign w:val="center"/>
          </w:tcPr>
          <w:p>
            <w:pPr>
              <w:spacing w:line="360" w:lineRule="auto"/>
              <w:jc w:val="center"/>
              <w:rPr>
                <w:rFonts w:ascii="宋体" w:hAnsi="宋体"/>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right"/>
        </w:trPr>
        <w:tc>
          <w:tcPr>
            <w:tcW w:w="432" w:type="dxa"/>
          </w:tcPr>
          <w:p>
            <w:pPr>
              <w:rPr>
                <w:rFonts w:ascii="宋体" w:hAnsi="宋体"/>
                <w:color w:val="auto"/>
                <w:szCs w:val="21"/>
              </w:rPr>
            </w:pPr>
            <w:r>
              <w:rPr>
                <w:rFonts w:hint="eastAsia" w:ascii="宋体" w:hAnsi="宋体"/>
                <w:color w:val="auto"/>
                <w:szCs w:val="21"/>
              </w:rPr>
              <w:t>3</w:t>
            </w:r>
          </w:p>
        </w:tc>
        <w:tc>
          <w:tcPr>
            <w:tcW w:w="2672" w:type="dxa"/>
            <w:vAlign w:val="center"/>
          </w:tcPr>
          <w:p>
            <w:pPr>
              <w:jc w:val="center"/>
              <w:rPr>
                <w:rFonts w:ascii="宋体" w:hAnsi="宋体" w:eastAsia="宋体" w:cs="宋体"/>
                <w:color w:val="auto"/>
                <w:szCs w:val="21"/>
              </w:rPr>
            </w:pPr>
            <w:r>
              <w:rPr>
                <w:rFonts w:hint="eastAsia" w:ascii="宋体" w:hAnsi="宋体"/>
                <w:color w:val="auto"/>
                <w:szCs w:val="21"/>
              </w:rPr>
              <w:t>最大日平均相对湿度</w:t>
            </w:r>
          </w:p>
        </w:tc>
        <w:tc>
          <w:tcPr>
            <w:tcW w:w="2551" w:type="dxa"/>
            <w:vAlign w:val="center"/>
          </w:tcPr>
          <w:p>
            <w:pPr>
              <w:jc w:val="center"/>
              <w:rPr>
                <w:rFonts w:ascii="宋体" w:hAnsi="宋体" w:eastAsia="宋体" w:cs="宋体"/>
                <w:color w:val="auto"/>
                <w:szCs w:val="21"/>
              </w:rPr>
            </w:pPr>
            <w:r>
              <w:rPr>
                <w:rFonts w:hint="eastAsia" w:ascii="宋体" w:hAnsi="宋体"/>
                <w:color w:val="auto"/>
                <w:szCs w:val="21"/>
              </w:rPr>
              <w:t>90%</w:t>
            </w:r>
          </w:p>
        </w:tc>
        <w:tc>
          <w:tcPr>
            <w:tcW w:w="1843" w:type="dxa"/>
            <w:vAlign w:val="center"/>
          </w:tcPr>
          <w:p>
            <w:pPr>
              <w:spacing w:line="360" w:lineRule="auto"/>
              <w:jc w:val="center"/>
              <w:rPr>
                <w:rFonts w:ascii="宋体" w:hAnsi="宋体"/>
                <w:color w:val="auto"/>
                <w:szCs w:val="21"/>
              </w:rPr>
            </w:pPr>
          </w:p>
        </w:tc>
        <w:tc>
          <w:tcPr>
            <w:tcW w:w="1286" w:type="dxa"/>
            <w:vAlign w:val="center"/>
          </w:tcPr>
          <w:p>
            <w:pPr>
              <w:spacing w:line="360" w:lineRule="auto"/>
              <w:jc w:val="center"/>
              <w:rPr>
                <w:rFonts w:ascii="宋体" w:hAnsi="宋体"/>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right"/>
        </w:trPr>
        <w:tc>
          <w:tcPr>
            <w:tcW w:w="432" w:type="dxa"/>
          </w:tcPr>
          <w:p>
            <w:pPr>
              <w:rPr>
                <w:rFonts w:ascii="宋体" w:hAnsi="宋体"/>
                <w:color w:val="auto"/>
                <w:szCs w:val="21"/>
              </w:rPr>
            </w:pPr>
            <w:r>
              <w:rPr>
                <w:rFonts w:hint="eastAsia" w:ascii="宋体" w:hAnsi="宋体"/>
                <w:color w:val="auto"/>
                <w:szCs w:val="21"/>
              </w:rPr>
              <w:t>4</w:t>
            </w:r>
          </w:p>
        </w:tc>
        <w:tc>
          <w:tcPr>
            <w:tcW w:w="2672" w:type="dxa"/>
            <w:vAlign w:val="center"/>
          </w:tcPr>
          <w:p>
            <w:pPr>
              <w:jc w:val="center"/>
              <w:rPr>
                <w:rFonts w:ascii="宋体" w:hAnsi="宋体" w:eastAsia="宋体" w:cs="宋体"/>
                <w:color w:val="auto"/>
                <w:szCs w:val="21"/>
              </w:rPr>
            </w:pPr>
            <w:r>
              <w:rPr>
                <w:rFonts w:hint="eastAsia" w:ascii="宋体" w:hAnsi="宋体" w:eastAsia="宋体" w:cs="宋体"/>
                <w:color w:val="auto"/>
                <w:szCs w:val="21"/>
              </w:rPr>
              <w:t>海拔高度</w:t>
            </w:r>
          </w:p>
        </w:tc>
        <w:tc>
          <w:tcPr>
            <w:tcW w:w="2551" w:type="dxa"/>
            <w:vAlign w:val="center"/>
          </w:tcPr>
          <w:p>
            <w:pPr>
              <w:jc w:val="center"/>
              <w:rPr>
                <w:rFonts w:ascii="宋体" w:hAnsi="宋体" w:eastAsia="宋体" w:cs="宋体"/>
                <w:color w:val="auto"/>
                <w:szCs w:val="21"/>
              </w:rPr>
            </w:pPr>
            <w:r>
              <w:rPr>
                <w:rFonts w:hint="eastAsia" w:ascii="宋体" w:hAnsi="宋体" w:eastAsia="宋体" w:cs="宋体"/>
                <w:color w:val="auto"/>
                <w:szCs w:val="21"/>
              </w:rPr>
              <w:t>小于</w:t>
            </w:r>
            <w:r>
              <w:rPr>
                <w:rFonts w:ascii="宋体" w:hAnsi="宋体" w:eastAsia="宋体" w:cs="宋体"/>
                <w:color w:val="auto"/>
                <w:szCs w:val="21"/>
              </w:rPr>
              <w:t>1</w:t>
            </w:r>
            <w:r>
              <w:rPr>
                <w:rFonts w:hint="eastAsia" w:ascii="宋体" w:hAnsi="宋体" w:eastAsia="宋体" w:cs="宋体"/>
                <w:color w:val="auto"/>
                <w:szCs w:val="21"/>
              </w:rPr>
              <w:t>000</w:t>
            </w:r>
            <w:r>
              <w:rPr>
                <w:rFonts w:ascii="宋体" w:hAnsi="宋体" w:eastAsia="宋体" w:cs="宋体"/>
                <w:color w:val="auto"/>
                <w:szCs w:val="21"/>
              </w:rPr>
              <w:t>m</w:t>
            </w:r>
          </w:p>
        </w:tc>
        <w:tc>
          <w:tcPr>
            <w:tcW w:w="1843" w:type="dxa"/>
            <w:vAlign w:val="center"/>
          </w:tcPr>
          <w:p>
            <w:pPr>
              <w:spacing w:line="360" w:lineRule="auto"/>
              <w:jc w:val="center"/>
              <w:rPr>
                <w:rFonts w:ascii="宋体" w:hAnsi="宋体"/>
                <w:color w:val="auto"/>
                <w:szCs w:val="21"/>
              </w:rPr>
            </w:pPr>
          </w:p>
        </w:tc>
        <w:tc>
          <w:tcPr>
            <w:tcW w:w="1286" w:type="dxa"/>
            <w:vAlign w:val="center"/>
          </w:tcPr>
          <w:p>
            <w:pPr>
              <w:spacing w:line="360" w:lineRule="auto"/>
              <w:jc w:val="center"/>
              <w:rPr>
                <w:rFonts w:ascii="宋体" w:hAnsi="宋体"/>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right"/>
        </w:trPr>
        <w:tc>
          <w:tcPr>
            <w:tcW w:w="432" w:type="dxa"/>
          </w:tcPr>
          <w:p>
            <w:pPr>
              <w:rPr>
                <w:rFonts w:ascii="宋体" w:hAnsi="宋体"/>
                <w:color w:val="auto"/>
                <w:szCs w:val="21"/>
              </w:rPr>
            </w:pPr>
            <w:r>
              <w:rPr>
                <w:rFonts w:hint="eastAsia" w:ascii="宋体" w:hAnsi="宋体"/>
                <w:color w:val="auto"/>
                <w:szCs w:val="21"/>
              </w:rPr>
              <w:t>5</w:t>
            </w:r>
          </w:p>
        </w:tc>
        <w:tc>
          <w:tcPr>
            <w:tcW w:w="2672" w:type="dxa"/>
            <w:vAlign w:val="center"/>
          </w:tcPr>
          <w:p>
            <w:pPr>
              <w:jc w:val="center"/>
              <w:rPr>
                <w:rFonts w:ascii="宋体" w:hAnsi="宋体"/>
                <w:color w:val="auto"/>
                <w:szCs w:val="21"/>
              </w:rPr>
            </w:pPr>
            <w:r>
              <w:rPr>
                <w:rFonts w:hint="eastAsia" w:ascii="宋体" w:hAnsi="宋体"/>
                <w:color w:val="auto"/>
                <w:szCs w:val="21"/>
              </w:rPr>
              <w:t>语言文字</w:t>
            </w:r>
          </w:p>
        </w:tc>
        <w:tc>
          <w:tcPr>
            <w:tcW w:w="2551" w:type="dxa"/>
            <w:vAlign w:val="center"/>
          </w:tcPr>
          <w:p>
            <w:pPr>
              <w:jc w:val="center"/>
              <w:rPr>
                <w:rFonts w:ascii="宋体" w:hAnsi="宋体"/>
                <w:color w:val="auto"/>
                <w:szCs w:val="21"/>
              </w:rPr>
            </w:pPr>
            <w:r>
              <w:rPr>
                <w:rFonts w:hint="eastAsia" w:ascii="宋体" w:hAnsi="宋体"/>
                <w:color w:val="auto"/>
                <w:szCs w:val="21"/>
              </w:rPr>
              <w:t>汉字或英文和汉字切换</w:t>
            </w:r>
          </w:p>
        </w:tc>
        <w:tc>
          <w:tcPr>
            <w:tcW w:w="1843" w:type="dxa"/>
            <w:vAlign w:val="center"/>
          </w:tcPr>
          <w:p>
            <w:pPr>
              <w:spacing w:line="360" w:lineRule="auto"/>
              <w:jc w:val="center"/>
              <w:rPr>
                <w:rFonts w:ascii="宋体" w:hAnsi="宋体"/>
                <w:color w:val="auto"/>
                <w:szCs w:val="21"/>
              </w:rPr>
            </w:pPr>
          </w:p>
        </w:tc>
        <w:tc>
          <w:tcPr>
            <w:tcW w:w="1286" w:type="dxa"/>
            <w:vAlign w:val="center"/>
          </w:tcPr>
          <w:p>
            <w:pPr>
              <w:spacing w:line="360" w:lineRule="auto"/>
              <w:jc w:val="center"/>
              <w:rPr>
                <w:rFonts w:ascii="宋体" w:hAnsi="宋体"/>
                <w:color w:val="auto"/>
                <w:szCs w:val="21"/>
              </w:rPr>
            </w:pPr>
          </w:p>
        </w:tc>
      </w:tr>
      <w:bookmarkEnd w:id="12"/>
    </w:tbl>
    <w:p>
      <w:pPr>
        <w:pStyle w:val="2"/>
        <w:numPr>
          <w:ilvl w:val="0"/>
          <w:numId w:val="0"/>
        </w:numPr>
        <w:snapToGrid/>
        <w:spacing w:beforeLines="0" w:line="480" w:lineRule="auto"/>
        <w:rPr>
          <w:rFonts w:hAnsi="宋体"/>
          <w:color w:val="auto"/>
          <w:sz w:val="24"/>
          <w:szCs w:val="24"/>
        </w:rPr>
      </w:pPr>
      <w:bookmarkStart w:id="13" w:name="_Toc276492375"/>
      <w:bookmarkStart w:id="14" w:name="_Toc276490903"/>
      <w:bookmarkStart w:id="15" w:name="_Toc27743"/>
      <w:r>
        <w:rPr>
          <w:rFonts w:hint="eastAsia" w:hAnsi="宋体"/>
          <w:color w:val="auto"/>
          <w:sz w:val="24"/>
          <w:szCs w:val="24"/>
        </w:rPr>
        <w:t>5 技术</w:t>
      </w:r>
      <w:bookmarkEnd w:id="13"/>
      <w:bookmarkEnd w:id="14"/>
      <w:r>
        <w:rPr>
          <w:rFonts w:hint="eastAsia" w:hAnsi="宋体"/>
          <w:color w:val="auto"/>
          <w:sz w:val="24"/>
          <w:szCs w:val="24"/>
        </w:rPr>
        <w:t>要求</w:t>
      </w:r>
      <w:bookmarkEnd w:id="15"/>
    </w:p>
    <w:p>
      <w:pPr>
        <w:spacing w:line="300" w:lineRule="auto"/>
        <w:rPr>
          <w:rFonts w:ascii="宋体" w:hAnsi="宋体" w:eastAsia="宋体" w:cs="Times New Roman"/>
          <w:color w:val="auto"/>
          <w:sz w:val="24"/>
          <w:szCs w:val="24"/>
        </w:rPr>
      </w:pPr>
      <w:r>
        <w:rPr>
          <w:rFonts w:hint="eastAsia" w:ascii="宋体" w:hAnsi="宋体" w:eastAsia="宋体" w:cs="Times New Roman"/>
          <w:color w:val="auto"/>
          <w:sz w:val="24"/>
          <w:szCs w:val="24"/>
        </w:rPr>
        <w:t>投标方应认真逐项填写所供设备技术参数和性能要求响应表中“投标方保证值”栏，不能空格，也不能以“响应”两字代替，不允许改动本表内 “投标方保证值”栏之外的数值。标注“★”的条款为关键条款。</w:t>
      </w:r>
    </w:p>
    <w:p>
      <w:pPr>
        <w:spacing w:line="300" w:lineRule="auto"/>
        <w:rPr>
          <w:rFonts w:ascii="宋体" w:hAnsi="宋体" w:eastAsia="宋体" w:cs="Times New Roman"/>
          <w:color w:val="auto"/>
          <w:sz w:val="24"/>
          <w:szCs w:val="24"/>
        </w:rPr>
      </w:pPr>
      <w:r>
        <w:rPr>
          <w:rFonts w:hint="eastAsia" w:ascii="宋体" w:hAnsi="宋体" w:eastAsia="宋体" w:cs="Times New Roman"/>
          <w:color w:val="auto"/>
          <w:sz w:val="24"/>
          <w:szCs w:val="24"/>
        </w:rPr>
        <w:t>★(应标方必须在技术响应中体现应标产品的外观图片，满足技术条件，并与供货实物一致，否则视为不响应技术要求。)</w:t>
      </w:r>
    </w:p>
    <w:p>
      <w:pPr>
        <w:spacing w:line="300" w:lineRule="auto"/>
        <w:rPr>
          <w:color w:val="auto"/>
        </w:rPr>
      </w:pPr>
      <w:bookmarkStart w:id="16" w:name="_Toc283566853"/>
      <w:bookmarkStart w:id="17" w:name="_Toc277597176"/>
      <w:r>
        <w:rPr>
          <w:rFonts w:ascii="宋体" w:hAnsi="宋体" w:cs="Arial-BoldMT"/>
          <w:bCs/>
          <w:color w:val="auto"/>
          <w:sz w:val="24"/>
          <w:szCs w:val="24"/>
        </w:rPr>
        <w:t>5.1</w:t>
      </w:r>
      <w:bookmarkEnd w:id="16"/>
      <w:bookmarkEnd w:id="17"/>
      <w:r>
        <w:rPr>
          <w:rFonts w:hint="eastAsia" w:ascii="宋体" w:hAnsi="宋体" w:cs="Arial-BoldMT"/>
          <w:bCs/>
          <w:color w:val="auto"/>
          <w:sz w:val="24"/>
          <w:szCs w:val="24"/>
        </w:rPr>
        <w:t>．</w:t>
      </w:r>
      <w:bookmarkStart w:id="18" w:name="bookmark0"/>
      <w:bookmarkStart w:id="19" w:name="bookmark3"/>
      <w:bookmarkStart w:id="20" w:name="bookmark1"/>
      <w:r>
        <w:rPr>
          <w:rFonts w:hint="eastAsia" w:ascii="宋体" w:hAnsi="宋体" w:cs="Arial-BoldMT"/>
          <w:bCs/>
          <w:color w:val="auto"/>
          <w:sz w:val="24"/>
          <w:szCs w:val="24"/>
        </w:rPr>
        <w:t>基本功能要求</w:t>
      </w:r>
      <w:bookmarkEnd w:id="18"/>
      <w:bookmarkEnd w:id="19"/>
      <w:bookmarkEnd w:id="20"/>
    </w:p>
    <w:p>
      <w:pPr>
        <w:pStyle w:val="25"/>
        <w:spacing w:after="200" w:line="434" w:lineRule="exact"/>
        <w:rPr>
          <w:rFonts w:eastAsiaTheme="minorEastAsia" w:cstheme="minorBidi"/>
          <w:color w:val="auto"/>
          <w:sz w:val="24"/>
          <w:szCs w:val="22"/>
          <w:lang w:val="en-US" w:eastAsia="zh-CN" w:bidi="ar-SA"/>
        </w:rPr>
      </w:pPr>
      <w:r>
        <w:rPr>
          <w:rFonts w:hint="eastAsia" w:cs="Times New Roman" w:eastAsiaTheme="minorEastAsia"/>
          <w:color w:val="auto"/>
          <w:sz w:val="24"/>
          <w:szCs w:val="24"/>
          <w:lang w:eastAsia="zh-CN"/>
        </w:rPr>
        <w:t>保供电指挥车</w:t>
      </w:r>
      <w:r>
        <w:rPr>
          <w:rFonts w:hint="eastAsia" w:eastAsiaTheme="minorEastAsia" w:cstheme="minorBidi"/>
          <w:color w:val="auto"/>
          <w:sz w:val="24"/>
          <w:szCs w:val="22"/>
          <w:lang w:val="en-US" w:eastAsia="zh-CN" w:bidi="ar-SA"/>
        </w:rPr>
        <w:t>是一款集现场指挥、办公、通信、休息与运输等多功能特种车辆，具备易操控、指挥能力强、可突进到任务现场。移动通信指挥中心应具有较强的机动性，在平时主要以移动指挥车为载体，在必要时也可以脱离移动指挥车独立工作；保供电指挥中心应提供包括有线通信、无线通信在内的全面化的通信系统。</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Ansi="宋体" w:eastAsiaTheme="minorEastAsia" w:cstheme="minorBidi"/>
          <w:color w:val="auto"/>
          <w:sz w:val="24"/>
          <w:szCs w:val="22"/>
        </w:rPr>
      </w:pPr>
      <w:r>
        <w:rPr>
          <w:rFonts w:hAnsi="宋体" w:eastAsiaTheme="minorEastAsia" w:cstheme="minorBidi"/>
          <w:color w:val="auto"/>
          <w:sz w:val="24"/>
          <w:szCs w:val="22"/>
        </w:rPr>
        <w:t>通信功能</w:t>
      </w:r>
      <w:r>
        <w:rPr>
          <w:rFonts w:hint="eastAsia" w:hAnsi="宋体" w:eastAsiaTheme="minorEastAsia" w:cstheme="minorBidi"/>
          <w:color w:val="auto"/>
          <w:sz w:val="24"/>
          <w:szCs w:val="22"/>
        </w:rPr>
        <w:t>：搭载车顶高清云台摄像机、高清摄像头、全向麦克风等。至少四路车载录像机（支持网络模块和GPS），全通道1080P。支持侧翻、撞车、急加速、急减速等事件检测并报警提示GPS。支持内置GPS/北斗双模，支持4G/5G；至少200万红外定焦枪型网络摄像机，带报警输入输出，支持多种主流协议及视频压缩标准，存储支持256G及以上；</w:t>
      </w:r>
      <w:r>
        <w:rPr>
          <w:rFonts w:hint="eastAsia" w:hAnsi="宋体" w:eastAsiaTheme="minorEastAsia" w:cstheme="minorBidi"/>
          <w:color w:val="auto"/>
          <w:sz w:val="24"/>
          <w:szCs w:val="22"/>
          <w:lang w:val="en-US" w:eastAsia="zh-CN"/>
        </w:rPr>
        <w:t>必须具备现场移动电信信号被屏蔽的情况下具备通讯能力。</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Ansi="宋体" w:eastAsiaTheme="minorEastAsia" w:cstheme="minorBidi"/>
          <w:color w:val="auto"/>
          <w:sz w:val="24"/>
          <w:szCs w:val="22"/>
        </w:rPr>
      </w:pPr>
      <w:r>
        <w:rPr>
          <w:rFonts w:hint="eastAsia" w:hAnsi="宋体" w:eastAsiaTheme="minorEastAsia" w:cstheme="minorBidi"/>
          <w:color w:val="auto"/>
          <w:sz w:val="24"/>
          <w:szCs w:val="22"/>
        </w:rPr>
        <w:t>休息区功能：在车上实现至少两人的休息区功能。</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Ansi="宋体" w:eastAsiaTheme="minorEastAsia" w:cstheme="minorBidi"/>
          <w:color w:val="auto"/>
          <w:sz w:val="24"/>
          <w:szCs w:val="22"/>
        </w:rPr>
      </w:pPr>
      <w:r>
        <w:rPr>
          <w:rFonts w:hAnsi="宋体" w:eastAsiaTheme="minorEastAsia" w:cstheme="minorBidi"/>
          <w:color w:val="auto"/>
          <w:sz w:val="24"/>
          <w:szCs w:val="22"/>
        </w:rPr>
        <w:t>会议功能</w:t>
      </w:r>
      <w:r>
        <w:rPr>
          <w:rFonts w:hint="eastAsia" w:hAnsi="宋体" w:eastAsiaTheme="minorEastAsia" w:cstheme="minorBidi"/>
          <w:color w:val="auto"/>
          <w:sz w:val="24"/>
          <w:szCs w:val="22"/>
        </w:rPr>
        <w:t>：</w:t>
      </w:r>
      <w:r>
        <w:rPr>
          <w:rFonts w:hAnsi="宋体" w:eastAsiaTheme="minorEastAsia" w:cstheme="minorBidi"/>
          <w:color w:val="auto"/>
          <w:sz w:val="24"/>
          <w:szCs w:val="22"/>
        </w:rPr>
        <w:t>通信指挥车车内设有会议室，可以召开现场会议。</w:t>
      </w:r>
      <w:bookmarkStart w:id="21" w:name="2.2.3.5G通讯功能"/>
      <w:bookmarkEnd w:id="21"/>
      <w:bookmarkStart w:id="22" w:name="_bookmark6"/>
      <w:bookmarkEnd w:id="22"/>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Ansi="宋体" w:eastAsiaTheme="minorEastAsia" w:cstheme="minorBidi"/>
          <w:color w:val="auto"/>
          <w:sz w:val="24"/>
          <w:szCs w:val="22"/>
        </w:rPr>
      </w:pPr>
      <w:r>
        <w:rPr>
          <w:rFonts w:hAnsi="宋体" w:eastAsiaTheme="minorEastAsia" w:cstheme="minorBidi"/>
          <w:color w:val="auto"/>
          <w:sz w:val="24"/>
          <w:szCs w:val="22"/>
        </w:rPr>
        <w:t>通讯功能</w:t>
      </w:r>
      <w:r>
        <w:rPr>
          <w:rFonts w:hint="eastAsia" w:hAnsi="宋体" w:eastAsiaTheme="minorEastAsia" w:cstheme="minorBidi"/>
          <w:color w:val="auto"/>
          <w:sz w:val="24"/>
          <w:szCs w:val="22"/>
        </w:rPr>
        <w:t>：</w:t>
      </w:r>
      <w:r>
        <w:rPr>
          <w:rFonts w:hAnsi="宋体" w:eastAsiaTheme="minorEastAsia"/>
          <w:color w:val="auto"/>
          <w:sz w:val="24"/>
          <w:szCs w:val="22"/>
        </w:rPr>
        <w:t xml:space="preserve">利用 </w:t>
      </w:r>
      <w:r>
        <w:rPr>
          <w:rFonts w:hint="eastAsia" w:hAnsi="宋体" w:eastAsiaTheme="minorEastAsia"/>
          <w:color w:val="auto"/>
          <w:sz w:val="24"/>
          <w:szCs w:val="22"/>
          <w:lang w:eastAsia="zh-CN"/>
        </w:rPr>
        <w:t>4G/5G</w:t>
      </w:r>
      <w:r>
        <w:rPr>
          <w:rFonts w:hAnsi="宋体" w:eastAsiaTheme="minorEastAsia"/>
          <w:color w:val="auto"/>
          <w:sz w:val="24"/>
          <w:szCs w:val="22"/>
        </w:rPr>
        <w:t xml:space="preserve">网路支持，实现指挥车全模式 </w:t>
      </w:r>
      <w:r>
        <w:rPr>
          <w:rFonts w:hint="eastAsia" w:hAnsi="宋体" w:eastAsiaTheme="minorEastAsia"/>
          <w:color w:val="auto"/>
          <w:sz w:val="24"/>
          <w:szCs w:val="22"/>
          <w:lang w:eastAsia="zh-CN"/>
        </w:rPr>
        <w:t>4G/5G</w:t>
      </w:r>
      <w:r>
        <w:rPr>
          <w:rFonts w:hAnsi="宋体" w:eastAsiaTheme="minorEastAsia"/>
          <w:color w:val="auto"/>
          <w:sz w:val="24"/>
          <w:szCs w:val="22"/>
        </w:rPr>
        <w:t>高速上网、电话。</w:t>
      </w:r>
      <w:bookmarkStart w:id="23" w:name="2.2.4.计算机联网功能"/>
      <w:bookmarkEnd w:id="23"/>
      <w:bookmarkStart w:id="24" w:name="_bookmark7"/>
      <w:bookmarkEnd w:id="24"/>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Ansi="宋体" w:eastAsiaTheme="minorEastAsia" w:cstheme="minorBidi"/>
          <w:color w:val="auto"/>
          <w:sz w:val="24"/>
          <w:szCs w:val="22"/>
        </w:rPr>
      </w:pPr>
      <w:r>
        <w:rPr>
          <w:rFonts w:hAnsi="宋体" w:eastAsiaTheme="minorEastAsia" w:cstheme="minorBidi"/>
          <w:color w:val="auto"/>
          <w:sz w:val="24"/>
          <w:szCs w:val="22"/>
        </w:rPr>
        <w:t>图像传输功能</w:t>
      </w:r>
      <w:r>
        <w:rPr>
          <w:rFonts w:hint="eastAsia" w:hAnsi="宋体" w:eastAsiaTheme="minorEastAsia" w:cstheme="minorBidi"/>
          <w:color w:val="auto"/>
          <w:sz w:val="24"/>
          <w:szCs w:val="22"/>
        </w:rPr>
        <w:t>：</w:t>
      </w:r>
      <w:r>
        <w:rPr>
          <w:rFonts w:hAnsi="宋体" w:eastAsiaTheme="minorEastAsia"/>
          <w:color w:val="auto"/>
          <w:sz w:val="24"/>
          <w:szCs w:val="22"/>
        </w:rPr>
        <w:t>通过单兵采集现场图像传输到指挥车上，通过车载图传</w:t>
      </w:r>
      <w:r>
        <w:rPr>
          <w:rFonts w:hint="eastAsia" w:hAnsi="宋体" w:eastAsiaTheme="minorEastAsia"/>
          <w:color w:val="auto"/>
          <w:sz w:val="24"/>
          <w:szCs w:val="22"/>
        </w:rPr>
        <w:t>或</w:t>
      </w:r>
      <w:r>
        <w:rPr>
          <w:rFonts w:hint="eastAsia" w:hAnsi="宋体" w:eastAsiaTheme="minorEastAsia"/>
          <w:color w:val="auto"/>
          <w:sz w:val="24"/>
          <w:szCs w:val="22"/>
          <w:lang w:eastAsia="zh-CN"/>
        </w:rPr>
        <w:t>4G/</w:t>
      </w:r>
      <w:r>
        <w:rPr>
          <w:rFonts w:hAnsi="宋体" w:eastAsiaTheme="minorEastAsia"/>
          <w:color w:val="auto"/>
          <w:sz w:val="24"/>
          <w:szCs w:val="22"/>
        </w:rPr>
        <w:t>5G图传可将</w:t>
      </w:r>
      <w:r>
        <w:rPr>
          <w:rFonts w:hint="eastAsia" w:hAnsi="宋体" w:eastAsiaTheme="minorEastAsia"/>
          <w:color w:val="auto"/>
          <w:sz w:val="24"/>
          <w:szCs w:val="22"/>
        </w:rPr>
        <w:t>现</w:t>
      </w:r>
      <w:r>
        <w:rPr>
          <w:rFonts w:hAnsi="宋体" w:eastAsiaTheme="minorEastAsia"/>
          <w:color w:val="auto"/>
          <w:sz w:val="24"/>
          <w:szCs w:val="22"/>
        </w:rPr>
        <w:t>场图像传输到指挥中心，供领导决策现场指挥。</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Ansi="宋体" w:eastAsiaTheme="minorEastAsia" w:cstheme="minorBidi"/>
          <w:color w:val="auto"/>
          <w:sz w:val="24"/>
          <w:szCs w:val="22"/>
        </w:rPr>
      </w:pPr>
      <w:r>
        <w:rPr>
          <w:rFonts w:hAnsi="宋体" w:eastAsiaTheme="minorEastAsia" w:cstheme="minorBidi"/>
          <w:color w:val="auto"/>
          <w:sz w:val="24"/>
          <w:szCs w:val="22"/>
        </w:rPr>
        <w:t>现场照明功能</w:t>
      </w:r>
      <w:r>
        <w:rPr>
          <w:rFonts w:hint="eastAsia" w:hAnsi="宋体" w:eastAsiaTheme="minorEastAsia" w:cstheme="minorBidi"/>
          <w:color w:val="auto"/>
          <w:sz w:val="24"/>
          <w:szCs w:val="22"/>
        </w:rPr>
        <w:t>：</w:t>
      </w:r>
      <w:r>
        <w:rPr>
          <w:rFonts w:hAnsi="宋体" w:eastAsiaTheme="minorEastAsia"/>
          <w:color w:val="auto"/>
          <w:sz w:val="24"/>
          <w:szCs w:val="22"/>
        </w:rPr>
        <w:t>配备强光照明，辅助现场图像采集和现场指挥使用。</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int="eastAsia"/>
          <w:color w:val="auto"/>
          <w:sz w:val="24"/>
          <w:lang w:val="en-US" w:eastAsia="zh-CN"/>
        </w:rPr>
      </w:pPr>
      <w:r>
        <w:rPr>
          <w:rFonts w:hint="eastAsia"/>
          <w:color w:val="auto"/>
          <w:sz w:val="24"/>
          <w:lang w:val="en-US" w:eastAsia="zh-CN"/>
        </w:rPr>
        <w:t>现场低压系统电气量采集及回传，至少具备10组采集分支。</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5" w:leftChars="0" w:hanging="425" w:firstLineChars="0"/>
        <w:textAlignment w:val="auto"/>
        <w:rPr>
          <w:rFonts w:hint="default"/>
          <w:color w:val="auto"/>
          <w:sz w:val="24"/>
          <w:lang w:val="en-US" w:eastAsia="zh-CN"/>
        </w:rPr>
      </w:pPr>
      <w:r>
        <w:rPr>
          <w:rFonts w:hint="eastAsia"/>
          <w:color w:val="auto"/>
          <w:sz w:val="24"/>
          <w:lang w:val="en-US" w:eastAsia="zh-CN"/>
        </w:rPr>
        <w:t>与深圳供电局电网管理平台打通，实现远程办公功能。</w:t>
      </w:r>
    </w:p>
    <w:p>
      <w:pPr>
        <w:spacing w:line="300" w:lineRule="auto"/>
        <w:rPr>
          <w:rFonts w:ascii="宋体" w:hAnsi="宋体" w:cs="Arial-BoldMT"/>
          <w:bCs/>
          <w:color w:val="auto"/>
          <w:sz w:val="24"/>
          <w:szCs w:val="24"/>
        </w:rPr>
      </w:pPr>
      <w:bookmarkStart w:id="25" w:name="_Hlk522315732"/>
      <w:bookmarkStart w:id="26" w:name="_Toc283566854"/>
      <w:bookmarkStart w:id="27" w:name="_Toc277597196"/>
      <w:bookmarkStart w:id="28" w:name="_Toc276492376"/>
      <w:r>
        <w:rPr>
          <w:rFonts w:hint="eastAsia" w:ascii="宋体" w:hAnsi="宋体" w:cs="Arial-BoldMT"/>
          <w:bCs/>
          <w:color w:val="auto"/>
          <w:sz w:val="24"/>
          <w:szCs w:val="24"/>
        </w:rPr>
        <w:t>5</w:t>
      </w:r>
      <w:r>
        <w:rPr>
          <w:rFonts w:ascii="宋体" w:hAnsi="宋体" w:cs="Arial-BoldMT"/>
          <w:bCs/>
          <w:color w:val="auto"/>
          <w:sz w:val="24"/>
          <w:szCs w:val="24"/>
        </w:rPr>
        <w:t>.2.</w:t>
      </w:r>
      <w:r>
        <w:rPr>
          <w:color w:val="auto"/>
          <w:sz w:val="24"/>
          <w:szCs w:val="28"/>
        </w:rPr>
        <w:t>主要技术性能</w:t>
      </w:r>
    </w:p>
    <w:bookmarkEnd w:id="25"/>
    <w:p>
      <w:pPr>
        <w:pStyle w:val="25"/>
        <w:spacing w:line="360" w:lineRule="auto"/>
        <w:ind w:firstLine="403"/>
        <w:rPr>
          <w:rFonts w:eastAsiaTheme="minorEastAsia" w:cstheme="minorBidi"/>
          <w:color w:val="auto"/>
          <w:sz w:val="24"/>
          <w:szCs w:val="22"/>
          <w:lang w:val="en-US" w:eastAsia="zh-CN" w:bidi="ar-SA"/>
        </w:rPr>
      </w:pPr>
      <w:bookmarkStart w:id="29" w:name="bookmark8"/>
      <w:r>
        <w:rPr>
          <w:rFonts w:hint="eastAsia" w:eastAsiaTheme="minorEastAsia" w:cstheme="minorBidi"/>
          <w:color w:val="auto"/>
          <w:sz w:val="24"/>
          <w:szCs w:val="22"/>
          <w:lang w:val="en-US" w:eastAsia="zh-CN" w:bidi="ar-SA"/>
        </w:rPr>
        <w:t>1</w:t>
      </w:r>
      <w:bookmarkEnd w:id="29"/>
      <w:r>
        <w:rPr>
          <w:rFonts w:hint="eastAsia" w:eastAsiaTheme="minorEastAsia" w:cstheme="minorBidi"/>
          <w:color w:val="auto"/>
          <w:sz w:val="24"/>
          <w:szCs w:val="22"/>
          <w:lang w:val="en-US" w:eastAsia="zh-CN" w:bidi="ar-SA"/>
        </w:rPr>
        <w:t>、</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生产厂家应承诺所投产品釆用全部技术无侵权。</w:t>
      </w:r>
    </w:p>
    <w:p>
      <w:pPr>
        <w:pStyle w:val="25"/>
        <w:spacing w:line="360" w:lineRule="auto"/>
        <w:ind w:firstLine="403"/>
        <w:rPr>
          <w:rFonts w:eastAsiaTheme="minorEastAsia" w:cstheme="minorBidi"/>
          <w:color w:val="auto"/>
          <w:sz w:val="24"/>
          <w:szCs w:val="22"/>
          <w:lang w:val="en-US" w:eastAsia="zh-CN" w:bidi="ar-SA"/>
        </w:rPr>
      </w:pPr>
      <w:bookmarkStart w:id="30" w:name="bookmark9"/>
      <w:r>
        <w:rPr>
          <w:rFonts w:hint="eastAsia" w:eastAsiaTheme="minorEastAsia" w:cstheme="minorBidi"/>
          <w:color w:val="auto"/>
          <w:sz w:val="24"/>
          <w:szCs w:val="22"/>
          <w:lang w:val="en-US" w:eastAsia="zh-CN" w:bidi="ar-SA"/>
        </w:rPr>
        <w:t>2</w:t>
      </w:r>
      <w:bookmarkEnd w:id="30"/>
      <w:r>
        <w:rPr>
          <w:rFonts w:hint="eastAsia" w:eastAsiaTheme="minorEastAsia" w:cstheme="minorBidi"/>
          <w:color w:val="auto"/>
          <w:sz w:val="24"/>
          <w:szCs w:val="22"/>
          <w:lang w:val="en-US" w:eastAsia="zh-CN" w:bidi="ar-SA"/>
        </w:rPr>
        <w:t>、</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整车尺寸、总质量、接近角、离去角、最小离地间隙应符合国家相关标准。</w:t>
      </w:r>
    </w:p>
    <w:p>
      <w:pPr>
        <w:pStyle w:val="25"/>
        <w:spacing w:line="360" w:lineRule="auto"/>
        <w:ind w:firstLine="403"/>
        <w:rPr>
          <w:rFonts w:eastAsiaTheme="minorEastAsia" w:cstheme="minorBidi"/>
          <w:color w:val="auto"/>
          <w:sz w:val="24"/>
          <w:szCs w:val="22"/>
          <w:lang w:val="en-US" w:eastAsia="zh-CN" w:bidi="ar-SA"/>
        </w:rPr>
      </w:pPr>
      <w:bookmarkStart w:id="31" w:name="bookmark10"/>
      <w:r>
        <w:rPr>
          <w:rFonts w:hint="eastAsia" w:eastAsiaTheme="minorEastAsia" w:cstheme="minorBidi"/>
          <w:color w:val="auto"/>
          <w:sz w:val="24"/>
          <w:szCs w:val="22"/>
          <w:lang w:val="en-US" w:eastAsia="zh-CN" w:bidi="ar-SA"/>
        </w:rPr>
        <w:t>3</w:t>
      </w:r>
      <w:bookmarkEnd w:id="31"/>
      <w:r>
        <w:rPr>
          <w:rFonts w:hint="eastAsia" w:eastAsiaTheme="minorEastAsia" w:cstheme="minorBidi"/>
          <w:color w:val="auto"/>
          <w:sz w:val="24"/>
          <w:szCs w:val="22"/>
          <w:lang w:val="en-US" w:eastAsia="zh-CN" w:bidi="ar-SA"/>
        </w:rPr>
        <w:t>、</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交货时间：签订合同之日起六个月内。</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4、车厢中部为配电指挥车工作区位。操作办公区是现场指挥领导现场会商、操作员现场操作的核心场所，主要具备会商办公功能、现场监控大屏、指挥、通讯功能，能够满足2-3位人员现场工作。</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设备机柜采用标准机架，在相应底盘地板承载受力部位安装5毫米预埋钢板，螺母固定，并安装减震装置以保护机柜内部的系统设备。机柜与设备连接间隙用隔音隔热棉填充，以解决隔音密封问题。</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办公桌：办公桌可用岩板或木制桌面，办公桌下方2个多功能端口和话筒接口，可连接2台笔记本电脑、电源、电话和话筒等。车头处、车身两侧均设置悬挂式电视屏幕，共3部电视屏幕，其中车头处的屏幕尺寸为55吋，车身两侧的屏幕尺寸为17吋。可视办公、现场视频、指挥均可使用。</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工作区另一侧应设置储物柜、临时设备转置台、车载饮水系统。</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车身内饰采用环保材料装修，内壁装修以及沙发座椅、办公桌均达到中高档水平。所有装饰缝隙均采用软包对缝装饰。车内饰、内壁装饰后无螺钉孔和铆钉孔，所有螺钉采用塑料盖帽或皮扣装饰。</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车辆内部各柜体与办公桌、储物柜的外露尖角区域均做圆角处理，避免产生尖锐突出物，在行驶与使用的过程中对乘员产生危害。</w:t>
      </w:r>
    </w:p>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5、</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配备多功能一体打印机、笔记本电脑等现场办公设备。</w:t>
      </w:r>
    </w:p>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6、</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配备5G车载通信设备，配备图像采集传输系统，指挥人员能够在车内了解车外情况，实现360度监控，车辆</w:t>
      </w:r>
      <w:r>
        <w:rPr>
          <w:rFonts w:eastAsiaTheme="minorEastAsia" w:cstheme="minorBidi"/>
          <w:color w:val="auto"/>
          <w:sz w:val="24"/>
          <w:szCs w:val="22"/>
          <w:lang w:val="en-US" w:eastAsia="zh-CN" w:bidi="ar-SA"/>
        </w:rPr>
        <w:t>车顶配备</w:t>
      </w:r>
      <w:r>
        <w:rPr>
          <w:rFonts w:hint="eastAsia" w:eastAsiaTheme="minorEastAsia" w:cstheme="minorBidi"/>
          <w:color w:val="auto"/>
          <w:sz w:val="24"/>
          <w:szCs w:val="22"/>
          <w:lang w:val="en-US" w:eastAsia="zh-CN" w:bidi="ar-SA"/>
        </w:rPr>
        <w:t>了</w:t>
      </w:r>
      <w:r>
        <w:rPr>
          <w:rFonts w:eastAsiaTheme="minorEastAsia" w:cstheme="minorBidi"/>
          <w:color w:val="auto"/>
          <w:sz w:val="24"/>
          <w:szCs w:val="22"/>
          <w:lang w:val="en-US" w:eastAsia="zh-CN" w:bidi="ar-SA"/>
        </w:rPr>
        <w:t>1</w:t>
      </w:r>
      <w:r>
        <w:rPr>
          <w:rFonts w:hint="eastAsia" w:eastAsiaTheme="minorEastAsia" w:cstheme="minorBidi"/>
          <w:color w:val="auto"/>
          <w:sz w:val="24"/>
          <w:szCs w:val="22"/>
          <w:lang w:val="en-US" w:eastAsia="zh-CN" w:bidi="ar-SA"/>
        </w:rPr>
        <w:t>台车顶高清云台摄像机，配备</w:t>
      </w:r>
      <w:r>
        <w:rPr>
          <w:rFonts w:eastAsiaTheme="minorEastAsia" w:cstheme="minorBidi"/>
          <w:color w:val="auto"/>
          <w:sz w:val="24"/>
          <w:szCs w:val="22"/>
          <w:lang w:val="en-US" w:eastAsia="zh-CN" w:bidi="ar-SA"/>
        </w:rPr>
        <w:t>控制键盘</w:t>
      </w:r>
      <w:r>
        <w:rPr>
          <w:rFonts w:hint="eastAsia" w:eastAsiaTheme="minorEastAsia" w:cstheme="minorBidi"/>
          <w:color w:val="auto"/>
          <w:sz w:val="24"/>
          <w:szCs w:val="22"/>
          <w:lang w:val="en-US" w:eastAsia="zh-CN" w:bidi="ar-SA"/>
        </w:rPr>
        <w:t>。</w:t>
      </w:r>
    </w:p>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7、</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配备便携式发电机、充逆变一体机、免维护蓄电池、市电输入接口等配电系统，在周边有市电的情况下，可以</w:t>
      </w:r>
      <w:r>
        <w:rPr>
          <w:rFonts w:eastAsiaTheme="minorEastAsia" w:cstheme="minorBidi"/>
          <w:color w:val="auto"/>
          <w:sz w:val="24"/>
          <w:szCs w:val="22"/>
          <w:lang w:val="en-US" w:eastAsia="zh-CN" w:bidi="ar-SA"/>
        </w:rPr>
        <w:t>采用</w:t>
      </w:r>
      <w:r>
        <w:rPr>
          <w:rFonts w:hint="eastAsia" w:eastAsiaTheme="minorEastAsia" w:cstheme="minorBidi"/>
          <w:color w:val="auto"/>
          <w:sz w:val="24"/>
          <w:szCs w:val="22"/>
          <w:lang w:val="en-US" w:eastAsia="zh-CN" w:bidi="ar-SA"/>
        </w:rPr>
        <w:t>连接</w:t>
      </w:r>
      <w:r>
        <w:rPr>
          <w:rFonts w:eastAsiaTheme="minorEastAsia" w:cstheme="minorBidi"/>
          <w:color w:val="auto"/>
          <w:sz w:val="24"/>
          <w:szCs w:val="22"/>
          <w:lang w:val="en-US" w:eastAsia="zh-CN" w:bidi="ar-SA"/>
        </w:rPr>
        <w:t>市电</w:t>
      </w:r>
      <w:r>
        <w:rPr>
          <w:rFonts w:hint="eastAsia" w:eastAsiaTheme="minorEastAsia" w:cstheme="minorBidi"/>
          <w:color w:val="auto"/>
          <w:sz w:val="24"/>
          <w:szCs w:val="22"/>
          <w:lang w:val="en-US" w:eastAsia="zh-CN" w:bidi="ar-SA"/>
        </w:rPr>
        <w:t>供电</w:t>
      </w:r>
      <w:r>
        <w:rPr>
          <w:rFonts w:eastAsiaTheme="minorEastAsia" w:cstheme="minorBidi"/>
          <w:color w:val="auto"/>
          <w:sz w:val="24"/>
          <w:szCs w:val="22"/>
          <w:lang w:val="en-US" w:eastAsia="zh-CN" w:bidi="ar-SA"/>
        </w:rPr>
        <w:t>，</w:t>
      </w:r>
      <w:r>
        <w:rPr>
          <w:rFonts w:hint="eastAsia" w:eastAsiaTheme="minorEastAsia" w:cstheme="minorBidi"/>
          <w:color w:val="auto"/>
          <w:sz w:val="24"/>
          <w:szCs w:val="22"/>
          <w:lang w:val="en-US" w:eastAsia="zh-CN" w:bidi="ar-SA"/>
        </w:rPr>
        <w:t>配备不低于50米线缆。</w:t>
      </w:r>
    </w:p>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8、</w:t>
      </w:r>
      <w:r>
        <w:rPr>
          <w:rFonts w:hint="eastAsia" w:eastAsiaTheme="minorEastAsia" w:cstheme="minorBidi"/>
          <w:color w:val="auto"/>
          <w:sz w:val="24"/>
          <w:szCs w:val="22"/>
          <w:lang w:val="en-US" w:eastAsia="zh-CN" w:bidi="ar-SA"/>
        </w:rPr>
        <w:tab/>
      </w:r>
      <w:r>
        <w:rPr>
          <w:rFonts w:hint="eastAsia" w:eastAsiaTheme="minorEastAsia" w:cstheme="minorBidi"/>
          <w:color w:val="auto"/>
          <w:sz w:val="24"/>
          <w:szCs w:val="22"/>
          <w:lang w:val="en-US" w:eastAsia="zh-CN" w:bidi="ar-SA"/>
        </w:rPr>
        <w:t>配备行车记录仪、高清倒车影像及四点倒车雷达等安全设备。</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9、车辆需整车对车顶、两侧侧壁、车底等进行加固，满足车辆设备安装及运载要求。</w:t>
      </w:r>
    </w:p>
    <w:p>
      <w:pPr>
        <w:pStyle w:val="25"/>
        <w:spacing w:line="360" w:lineRule="auto"/>
        <w:ind w:firstLine="403"/>
        <w:rPr>
          <w:rFonts w:hint="eastAsia" w:eastAsiaTheme="minorEastAsia" w:cstheme="minorBidi"/>
          <w:color w:val="auto"/>
          <w:sz w:val="24"/>
          <w:szCs w:val="22"/>
          <w:lang w:val="en-US" w:eastAsia="zh-CN" w:bidi="ar-SA"/>
        </w:rPr>
      </w:pPr>
      <w:bookmarkStart w:id="32" w:name="_Hlk522315881"/>
      <w:r>
        <w:rPr>
          <w:rFonts w:hint="eastAsia" w:eastAsiaTheme="minorEastAsia" w:cstheme="minorBidi"/>
          <w:color w:val="auto"/>
          <w:sz w:val="24"/>
          <w:szCs w:val="22"/>
          <w:lang w:val="en-US" w:eastAsia="zh-CN" w:bidi="ar-SA"/>
        </w:rPr>
        <w:t>10、车厢内设有上下铺床位、车载冰箱、临时洗浴卫生间、储物区、车载空调、洗手池等。</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车内使用E0级房车专用板材，整体内侧、顶部装饰板、整车保温隔音降噪处理，使用耐磨防水地板革，设吊柜、储物柜、鞋柜，纱窗配有防蚊帘、隐私帘。</w:t>
      </w:r>
    </w:p>
    <w:p>
      <w:pPr>
        <w:pStyle w:val="25"/>
        <w:spacing w:line="360" w:lineRule="auto"/>
        <w:ind w:firstLine="403"/>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卫生间应具备换气扇、卫浴照明灯、梳妆镜、抽拉式两用花洒、置物架、毛巾杆、花洒支架、防滑防水地板、电动粉碎马桶、20L电热水器。</w:t>
      </w:r>
    </w:p>
    <w:p>
      <w:pPr>
        <w:pStyle w:val="25"/>
        <w:spacing w:line="360" w:lineRule="auto"/>
        <w:ind w:firstLine="403"/>
        <w:rPr>
          <w:rFonts w:hint="default"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车内设备要求安装牢固，防止后期车内装备在车开动时发生异响和松动。（车内装饰仅供参考）</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3" w:hRule="atLeast"/>
        </w:trPr>
        <w:tc>
          <w:tcPr>
            <w:tcW w:w="8080" w:type="dxa"/>
            <w:noWrap w:val="0"/>
            <w:vAlign w:val="top"/>
          </w:tcPr>
          <w:p>
            <w:pPr>
              <w:bidi w:val="0"/>
              <w:spacing w:line="360" w:lineRule="auto"/>
              <w:ind w:left="0" w:leftChars="0" w:firstLine="0" w:firstLineChars="0"/>
              <w:rPr>
                <w:color w:val="auto"/>
              </w:rPr>
            </w:pPr>
            <w:r>
              <w:rPr>
                <w:color w:val="auto"/>
              </w:rPr>
              <w:drawing>
                <wp:inline distT="0" distB="0" distL="114300" distR="114300">
                  <wp:extent cx="2465070" cy="1625600"/>
                  <wp:effectExtent l="0" t="0" r="1143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
                          <a:stretch>
                            <a:fillRect/>
                          </a:stretch>
                        </pic:blipFill>
                        <pic:spPr>
                          <a:xfrm>
                            <a:off x="0" y="0"/>
                            <a:ext cx="2465070" cy="1625600"/>
                          </a:xfrm>
                          <a:prstGeom prst="rect">
                            <a:avLst/>
                          </a:prstGeom>
                          <a:noFill/>
                          <a:ln>
                            <a:noFill/>
                          </a:ln>
                        </pic:spPr>
                      </pic:pic>
                    </a:graphicData>
                  </a:graphic>
                </wp:inline>
              </w:drawing>
            </w:r>
            <w:r>
              <w:rPr>
                <w:color w:val="auto"/>
              </w:rPr>
              <w:drawing>
                <wp:inline distT="0" distB="0" distL="114300" distR="114300">
                  <wp:extent cx="2450465" cy="1596390"/>
                  <wp:effectExtent l="0" t="0" r="635" b="381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7"/>
                          <a:stretch>
                            <a:fillRect/>
                          </a:stretch>
                        </pic:blipFill>
                        <pic:spPr>
                          <a:xfrm>
                            <a:off x="0" y="0"/>
                            <a:ext cx="2450465" cy="1596390"/>
                          </a:xfrm>
                          <a:prstGeom prst="rect">
                            <a:avLst/>
                          </a:prstGeom>
                          <a:noFill/>
                          <a:ln>
                            <a:noFill/>
                          </a:ln>
                        </pic:spPr>
                      </pic:pic>
                    </a:graphicData>
                  </a:graphic>
                </wp:inline>
              </w:drawing>
            </w:r>
          </w:p>
          <w:p>
            <w:pPr>
              <w:bidi w:val="0"/>
              <w:jc w:val="center"/>
              <w:rPr>
                <w:rFonts w:hint="default"/>
                <w:color w:val="auto"/>
                <w:lang w:val="en-US" w:eastAsia="zh-CN"/>
              </w:rPr>
            </w:pPr>
            <w:r>
              <w:rPr>
                <w:rFonts w:hint="eastAsia"/>
                <w:color w:val="auto"/>
                <w:lang w:val="en-US" w:eastAsia="zh-CN"/>
              </w:rPr>
              <w:t>车载冰箱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8080" w:type="dxa"/>
            <w:noWrap w:val="0"/>
            <w:vAlign w:val="top"/>
          </w:tcPr>
          <w:p>
            <w:pPr>
              <w:bidi w:val="0"/>
              <w:spacing w:line="360" w:lineRule="auto"/>
              <w:ind w:left="0" w:leftChars="0" w:firstLine="0" w:firstLineChars="0"/>
              <w:rPr>
                <w:rFonts w:hint="eastAsia"/>
                <w:color w:val="auto"/>
                <w:lang w:val="en-US" w:eastAsia="zh-CN"/>
              </w:rPr>
            </w:pPr>
            <w:r>
              <w:rPr>
                <w:color w:val="auto"/>
              </w:rPr>
              <w:drawing>
                <wp:inline distT="0" distB="0" distL="114300" distR="114300">
                  <wp:extent cx="2634615" cy="1734820"/>
                  <wp:effectExtent l="0" t="0" r="698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634615" cy="1734820"/>
                          </a:xfrm>
                          <a:prstGeom prst="rect">
                            <a:avLst/>
                          </a:prstGeom>
                          <a:noFill/>
                          <a:ln>
                            <a:noFill/>
                          </a:ln>
                        </pic:spPr>
                      </pic:pic>
                    </a:graphicData>
                  </a:graphic>
                </wp:inline>
              </w:drawing>
            </w:r>
            <w:r>
              <w:rPr>
                <w:rFonts w:hint="eastAsia"/>
                <w:color w:val="auto"/>
                <w:lang w:val="en-US" w:eastAsia="zh-CN"/>
              </w:rPr>
              <w:drawing>
                <wp:inline distT="0" distB="0" distL="114300" distR="114300">
                  <wp:extent cx="2338705" cy="1754505"/>
                  <wp:effectExtent l="0" t="0" r="10795" b="10795"/>
                  <wp:docPr id="5" name="图片 4" descr="58156f9bfdd91aca9ec49e6d65c11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58156f9bfdd91aca9ec49e6d65c1109e"/>
                          <pic:cNvPicPr>
                            <a:picLocks noChangeAspect="1"/>
                          </pic:cNvPicPr>
                        </pic:nvPicPr>
                        <pic:blipFill>
                          <a:blip r:embed="rId9"/>
                          <a:stretch>
                            <a:fillRect/>
                          </a:stretch>
                        </pic:blipFill>
                        <pic:spPr>
                          <a:xfrm>
                            <a:off x="0" y="0"/>
                            <a:ext cx="2338705" cy="1754505"/>
                          </a:xfrm>
                          <a:prstGeom prst="rect">
                            <a:avLst/>
                          </a:prstGeom>
                          <a:noFill/>
                          <a:ln>
                            <a:noFill/>
                          </a:ln>
                        </pic:spPr>
                      </pic:pic>
                    </a:graphicData>
                  </a:graphic>
                </wp:inline>
              </w:drawing>
            </w:r>
          </w:p>
          <w:p>
            <w:pPr>
              <w:bidi w:val="0"/>
              <w:ind w:left="0" w:leftChars="0" w:firstLine="0" w:firstLineChars="0"/>
              <w:jc w:val="center"/>
              <w:rPr>
                <w:rFonts w:hint="default"/>
                <w:color w:val="auto"/>
                <w:lang w:val="en-US" w:eastAsia="zh-CN"/>
              </w:rPr>
            </w:pPr>
            <w:r>
              <w:rPr>
                <w:rFonts w:hint="eastAsia"/>
                <w:color w:val="auto"/>
                <w:lang w:val="en-US" w:eastAsia="zh-CN"/>
              </w:rPr>
              <w:t>休息区选配不同类型床位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8080" w:type="dxa"/>
            <w:noWrap w:val="0"/>
            <w:vAlign w:val="top"/>
          </w:tcPr>
          <w:p>
            <w:pPr>
              <w:bidi w:val="0"/>
              <w:spacing w:line="360" w:lineRule="auto"/>
              <w:ind w:left="0" w:leftChars="0" w:firstLine="0" w:firstLineChars="0"/>
              <w:rPr>
                <w:color w:val="auto"/>
              </w:rPr>
            </w:pPr>
            <w:r>
              <w:rPr>
                <w:color w:val="auto"/>
              </w:rPr>
              <w:drawing>
                <wp:inline distT="0" distB="0" distL="114300" distR="114300">
                  <wp:extent cx="5271135" cy="3449955"/>
                  <wp:effectExtent l="0" t="0" r="12065" b="444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0"/>
                          <a:stretch>
                            <a:fillRect/>
                          </a:stretch>
                        </pic:blipFill>
                        <pic:spPr>
                          <a:xfrm>
                            <a:off x="0" y="0"/>
                            <a:ext cx="5271135" cy="3449955"/>
                          </a:xfrm>
                          <a:prstGeom prst="rect">
                            <a:avLst/>
                          </a:prstGeom>
                          <a:noFill/>
                          <a:ln>
                            <a:noFill/>
                          </a:ln>
                        </pic:spPr>
                      </pic:pic>
                    </a:graphicData>
                  </a:graphic>
                </wp:inline>
              </w:drawing>
            </w:r>
          </w:p>
          <w:p>
            <w:pPr>
              <w:bidi w:val="0"/>
              <w:ind w:left="0" w:leftChars="0" w:firstLine="0" w:firstLineChars="0"/>
              <w:jc w:val="center"/>
              <w:rPr>
                <w:rFonts w:hint="eastAsia" w:eastAsia="宋体"/>
                <w:color w:val="auto"/>
                <w:lang w:val="en-US" w:eastAsia="zh-CN"/>
              </w:rPr>
            </w:pPr>
            <w:r>
              <w:rPr>
                <w:rFonts w:hint="eastAsia"/>
                <w:color w:val="auto"/>
                <w:lang w:val="en-US" w:eastAsia="zh-CN"/>
              </w:rPr>
              <w:t>洗手池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8080" w:type="dxa"/>
            <w:noWrap w:val="0"/>
            <w:vAlign w:val="top"/>
          </w:tcPr>
          <w:p>
            <w:pPr>
              <w:bidi w:val="0"/>
              <w:ind w:left="0" w:leftChars="0" w:firstLine="0" w:firstLineChars="0"/>
              <w:jc w:val="center"/>
              <w:rPr>
                <w:color w:val="auto"/>
              </w:rPr>
            </w:pPr>
            <w:r>
              <w:rPr>
                <w:color w:val="auto"/>
              </w:rPr>
              <w:drawing>
                <wp:inline distT="0" distB="0" distL="114300" distR="114300">
                  <wp:extent cx="5267960" cy="3409950"/>
                  <wp:effectExtent l="0" t="0" r="2540" b="635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1"/>
                          <a:stretch>
                            <a:fillRect/>
                          </a:stretch>
                        </pic:blipFill>
                        <pic:spPr>
                          <a:xfrm>
                            <a:off x="0" y="0"/>
                            <a:ext cx="5267960" cy="3409950"/>
                          </a:xfrm>
                          <a:prstGeom prst="rect">
                            <a:avLst/>
                          </a:prstGeom>
                          <a:noFill/>
                          <a:ln>
                            <a:noFill/>
                          </a:ln>
                        </pic:spPr>
                      </pic:pic>
                    </a:graphicData>
                  </a:graphic>
                </wp:inline>
              </w:drawing>
            </w:r>
          </w:p>
          <w:p>
            <w:pPr>
              <w:bidi w:val="0"/>
              <w:ind w:left="0" w:leftChars="0" w:firstLine="0" w:firstLineChars="0"/>
              <w:jc w:val="center"/>
              <w:rPr>
                <w:rFonts w:hint="default"/>
                <w:color w:val="auto"/>
                <w:lang w:val="en-US" w:eastAsia="zh-CN"/>
              </w:rPr>
            </w:pPr>
            <w:r>
              <w:rPr>
                <w:rFonts w:hint="eastAsia"/>
                <w:color w:val="auto"/>
                <w:lang w:val="en-US" w:eastAsia="zh-CN"/>
              </w:rPr>
              <w:t>车载空调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8080" w:type="dxa"/>
            <w:noWrap w:val="0"/>
            <w:vAlign w:val="top"/>
          </w:tcPr>
          <w:p>
            <w:pPr>
              <w:bidi w:val="0"/>
              <w:ind w:left="0" w:leftChars="0" w:firstLine="0" w:firstLineChars="0"/>
              <w:jc w:val="center"/>
              <w:rPr>
                <w:color w:val="auto"/>
              </w:rPr>
            </w:pPr>
            <w:r>
              <w:rPr>
                <w:color w:val="auto"/>
              </w:rPr>
              <w:drawing>
                <wp:inline distT="0" distB="0" distL="114300" distR="114300">
                  <wp:extent cx="5300980" cy="3986530"/>
                  <wp:effectExtent l="0" t="0" r="7620" b="127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2"/>
                          <a:stretch>
                            <a:fillRect/>
                          </a:stretch>
                        </pic:blipFill>
                        <pic:spPr>
                          <a:xfrm>
                            <a:off x="0" y="0"/>
                            <a:ext cx="5300980" cy="3986530"/>
                          </a:xfrm>
                          <a:prstGeom prst="rect">
                            <a:avLst/>
                          </a:prstGeom>
                          <a:noFill/>
                          <a:ln>
                            <a:noFill/>
                          </a:ln>
                        </pic:spPr>
                      </pic:pic>
                    </a:graphicData>
                  </a:graphic>
                </wp:inline>
              </w:drawing>
            </w:r>
          </w:p>
          <w:p>
            <w:pPr>
              <w:bidi w:val="0"/>
              <w:ind w:left="0" w:leftChars="0" w:firstLine="0" w:firstLineChars="0"/>
              <w:jc w:val="center"/>
              <w:rPr>
                <w:rFonts w:hint="default"/>
                <w:color w:val="auto"/>
                <w:lang w:val="en-US" w:eastAsia="zh-CN"/>
              </w:rPr>
            </w:pPr>
            <w:r>
              <w:rPr>
                <w:rFonts w:hint="eastAsia"/>
                <w:color w:val="auto"/>
                <w:lang w:val="en-US" w:eastAsia="zh-CN"/>
              </w:rPr>
              <w:t>车载卫生间</w:t>
            </w:r>
          </w:p>
        </w:tc>
      </w:tr>
    </w:tbl>
    <w:p>
      <w:pPr>
        <w:pStyle w:val="25"/>
        <w:spacing w:line="360" w:lineRule="auto"/>
        <w:ind w:firstLine="403"/>
        <w:rPr>
          <w:rFonts w:hint="eastAsia" w:eastAsiaTheme="minorEastAsia" w:cstheme="minorBidi"/>
          <w:color w:val="auto"/>
          <w:sz w:val="24"/>
          <w:szCs w:val="22"/>
          <w:lang w:val="en-US" w:eastAsia="zh-CN" w:bidi="ar-SA"/>
        </w:rPr>
      </w:pPr>
    </w:p>
    <w:p>
      <w:pPr>
        <w:pStyle w:val="25"/>
        <w:numPr>
          <w:ilvl w:val="0"/>
          <w:numId w:val="0"/>
        </w:numPr>
        <w:spacing w:line="360" w:lineRule="auto"/>
        <w:ind w:firstLine="480" w:firstLineChars="200"/>
        <w:rPr>
          <w:rFonts w:hint="eastAsia"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11、车载设备要求</w:t>
      </w:r>
    </w:p>
    <w:p>
      <w:pPr>
        <w:pStyle w:val="25"/>
        <w:numPr>
          <w:ilvl w:val="0"/>
          <w:numId w:val="0"/>
        </w:numPr>
        <w:spacing w:line="360" w:lineRule="auto"/>
        <w:ind w:firstLine="480" w:firstLineChars="200"/>
        <w:rPr>
          <w:rFonts w:hint="default" w:eastAsiaTheme="minorEastAsia" w:cstheme="minorBidi"/>
          <w:color w:val="auto"/>
          <w:sz w:val="24"/>
          <w:szCs w:val="22"/>
          <w:lang w:val="en-US" w:eastAsia="zh-CN" w:bidi="ar-SA"/>
        </w:rPr>
      </w:pPr>
      <w:r>
        <w:rPr>
          <w:rFonts w:hint="default" w:eastAsiaTheme="minorEastAsia" w:cstheme="minorBidi"/>
          <w:color w:val="auto"/>
          <w:sz w:val="24"/>
          <w:szCs w:val="22"/>
          <w:lang w:val="en-US" w:eastAsia="zh-CN" w:bidi="ar-SA"/>
        </w:rPr>
        <w:t>整车装有多种照明灯、射灯、灯带、阅读灯。</w:t>
      </w:r>
    </w:p>
    <w:p>
      <w:pPr>
        <w:pStyle w:val="25"/>
        <w:numPr>
          <w:ilvl w:val="0"/>
          <w:numId w:val="0"/>
        </w:numPr>
        <w:spacing w:line="360" w:lineRule="auto"/>
        <w:ind w:firstLine="480" w:firstLineChars="200"/>
        <w:rPr>
          <w:rFonts w:hint="default" w:eastAsiaTheme="minorEastAsia" w:cstheme="minorBidi"/>
          <w:color w:val="auto"/>
          <w:sz w:val="24"/>
          <w:szCs w:val="22"/>
          <w:lang w:val="en-US" w:eastAsia="zh-CN" w:bidi="ar-SA"/>
        </w:rPr>
      </w:pPr>
      <w:r>
        <w:rPr>
          <w:rFonts w:hint="default" w:eastAsiaTheme="minorEastAsia" w:cstheme="minorBidi"/>
          <w:color w:val="auto"/>
          <w:sz w:val="24"/>
          <w:szCs w:val="22"/>
          <w:lang w:val="en-US" w:eastAsia="zh-CN" w:bidi="ar-SA"/>
        </w:rPr>
        <w:t>整车安装32A漏电保护器，低压保护器，双电瓶隔离器，过载控制保护器，电源开关总成，总控开关面板，220V/12V交、直流电源插座，USB充电插口，电压表、水位计、库仑计，双向换气扇，网络电视，音响系统</w:t>
      </w:r>
      <w:r>
        <w:rPr>
          <w:rFonts w:hint="eastAsia" w:eastAsiaTheme="minorEastAsia" w:cstheme="minorBidi"/>
          <w:color w:val="auto"/>
          <w:sz w:val="24"/>
          <w:szCs w:val="22"/>
          <w:lang w:val="en-US" w:eastAsia="zh-CN" w:bidi="ar-SA"/>
        </w:rPr>
        <w:t>，烟感报警器</w:t>
      </w:r>
      <w:r>
        <w:rPr>
          <w:rFonts w:hint="default" w:eastAsiaTheme="minorEastAsia" w:cstheme="minorBidi"/>
          <w:color w:val="auto"/>
          <w:sz w:val="24"/>
          <w:szCs w:val="22"/>
          <w:lang w:val="en-US" w:eastAsia="zh-CN" w:bidi="ar-SA"/>
        </w:rPr>
        <w:t>等。</w:t>
      </w:r>
    </w:p>
    <w:p>
      <w:pPr>
        <w:pStyle w:val="25"/>
        <w:numPr>
          <w:ilvl w:val="0"/>
          <w:numId w:val="0"/>
        </w:numPr>
        <w:spacing w:line="360" w:lineRule="auto"/>
        <w:ind w:firstLine="480" w:firstLineChars="200"/>
        <w:rPr>
          <w:rFonts w:hint="default" w:eastAsiaTheme="minorEastAsia" w:cstheme="minorBidi"/>
          <w:color w:val="auto"/>
          <w:sz w:val="24"/>
          <w:szCs w:val="22"/>
          <w:lang w:val="en-US" w:eastAsia="zh-CN" w:bidi="ar-SA"/>
        </w:rPr>
      </w:pPr>
      <w:r>
        <w:rPr>
          <w:rFonts w:hint="default" w:eastAsiaTheme="minorEastAsia" w:cstheme="minorBidi"/>
          <w:color w:val="auto"/>
          <w:sz w:val="24"/>
          <w:szCs w:val="22"/>
          <w:lang w:val="en-US" w:eastAsia="zh-CN" w:bidi="ar-SA"/>
        </w:rPr>
        <w:t>供电方面整车是安装有</w:t>
      </w:r>
      <w:r>
        <w:rPr>
          <w:rFonts w:hint="eastAsia" w:eastAsiaTheme="minorEastAsia" w:cstheme="minorBidi"/>
          <w:color w:val="auto"/>
          <w:sz w:val="24"/>
          <w:szCs w:val="22"/>
          <w:lang w:val="en-US" w:eastAsia="zh-CN" w:bidi="ar-SA"/>
        </w:rPr>
        <w:t>5</w:t>
      </w:r>
      <w:r>
        <w:rPr>
          <w:rFonts w:hint="default" w:eastAsiaTheme="minorEastAsia" w:cstheme="minorBidi"/>
          <w:color w:val="auto"/>
          <w:sz w:val="24"/>
          <w:szCs w:val="22"/>
          <w:lang w:val="en-US" w:eastAsia="zh-CN" w:bidi="ar-SA"/>
        </w:rPr>
        <w:t>KW的充电逆变一体机，UPS带一组700Ah的锂电池，5KW车载汽油发电机。</w:t>
      </w:r>
    </w:p>
    <w:p>
      <w:pPr>
        <w:pStyle w:val="25"/>
        <w:numPr>
          <w:ilvl w:val="0"/>
          <w:numId w:val="0"/>
        </w:numPr>
        <w:spacing w:line="360" w:lineRule="auto"/>
        <w:ind w:firstLine="480" w:firstLineChars="200"/>
        <w:rPr>
          <w:rFonts w:hint="default" w:eastAsiaTheme="minorEastAsia" w:cstheme="minorBidi"/>
          <w:color w:val="auto"/>
          <w:sz w:val="24"/>
          <w:szCs w:val="22"/>
          <w:lang w:val="en-US" w:eastAsia="zh-CN" w:bidi="ar-SA"/>
        </w:rPr>
      </w:pPr>
      <w:r>
        <w:rPr>
          <w:rFonts w:hint="default" w:eastAsiaTheme="minorEastAsia" w:cstheme="minorBidi"/>
          <w:color w:val="auto"/>
          <w:sz w:val="24"/>
          <w:szCs w:val="22"/>
          <w:lang w:val="en-US" w:eastAsia="zh-CN" w:bidi="ar-SA"/>
        </w:rPr>
        <w:t>整车具备外接220V市电供电功能。</w:t>
      </w:r>
    </w:p>
    <w:p>
      <w:pPr>
        <w:pStyle w:val="25"/>
        <w:numPr>
          <w:ilvl w:val="0"/>
          <w:numId w:val="0"/>
        </w:numPr>
        <w:spacing w:line="360" w:lineRule="auto"/>
        <w:ind w:firstLine="480" w:firstLineChars="200"/>
        <w:rPr>
          <w:rFonts w:hint="default" w:eastAsiaTheme="minorEastAsia" w:cstheme="minorBidi"/>
          <w:color w:val="auto"/>
          <w:sz w:val="24"/>
          <w:szCs w:val="22"/>
          <w:lang w:val="en-US" w:eastAsia="zh-CN" w:bidi="ar-SA"/>
        </w:rPr>
      </w:pPr>
      <w:r>
        <w:rPr>
          <w:rFonts w:hint="default" w:eastAsiaTheme="minorEastAsia" w:cstheme="minorBidi"/>
          <w:color w:val="auto"/>
          <w:sz w:val="24"/>
          <w:szCs w:val="22"/>
          <w:lang w:val="en-US" w:eastAsia="zh-CN" w:bidi="ar-SA"/>
        </w:rPr>
        <w:t>车侧还安装有加水口以及五孔插座，水路上配备了200升清水箱和70升灰水箱，自吸加水功能便利。</w:t>
      </w:r>
    </w:p>
    <w:p>
      <w:pPr>
        <w:pStyle w:val="25"/>
        <w:numPr>
          <w:ilvl w:val="0"/>
          <w:numId w:val="0"/>
        </w:numPr>
        <w:spacing w:line="360" w:lineRule="auto"/>
        <w:ind w:firstLine="480" w:firstLineChars="200"/>
        <w:rPr>
          <w:rFonts w:hint="default" w:eastAsiaTheme="minorEastAsia" w:cstheme="minorBidi"/>
          <w:color w:val="auto"/>
          <w:sz w:val="24"/>
          <w:szCs w:val="22"/>
          <w:lang w:val="en-US" w:eastAsia="zh-CN" w:bidi="ar-SA"/>
        </w:rPr>
      </w:pPr>
      <w:r>
        <w:rPr>
          <w:rFonts w:hint="default" w:eastAsiaTheme="minorEastAsia" w:cstheme="minorBidi"/>
          <w:color w:val="auto"/>
          <w:sz w:val="24"/>
          <w:szCs w:val="22"/>
          <w:lang w:val="en-US" w:eastAsia="zh-CN" w:bidi="ar-SA"/>
        </w:rPr>
        <w:t>车顶从车头往后依次安装摄像及云台灯、顶置空调、天线升降装置，四周安装有各类吸盘天线，为了检修和维护车顶设备，设置车顶工作平台。</w:t>
      </w:r>
    </w:p>
    <w:p>
      <w:pPr>
        <w:pStyle w:val="25"/>
        <w:spacing w:line="360" w:lineRule="auto"/>
        <w:ind w:firstLine="403"/>
        <w:rPr>
          <w:rFonts w:hint="eastAsia" w:eastAsiaTheme="minorEastAsia" w:cstheme="minorBidi"/>
          <w:color w:val="auto"/>
          <w:sz w:val="24"/>
          <w:szCs w:val="22"/>
          <w:lang w:val="en-US" w:eastAsia="zh-CN" w:bidi="ar-SA"/>
        </w:rPr>
      </w:pPr>
      <w:bookmarkStart w:id="33" w:name="bookmark18"/>
      <w:r>
        <w:rPr>
          <w:rFonts w:hint="eastAsia" w:eastAsiaTheme="minorEastAsia" w:cstheme="minorBidi"/>
          <w:color w:val="auto"/>
          <w:sz w:val="24"/>
          <w:szCs w:val="22"/>
          <w:lang w:val="en-US" w:eastAsia="zh-CN" w:bidi="ar-SA"/>
        </w:rPr>
        <w:t>1</w:t>
      </w:r>
      <w:bookmarkEnd w:id="33"/>
      <w:r>
        <w:rPr>
          <w:rFonts w:hint="eastAsia" w:eastAsiaTheme="minorEastAsia" w:cstheme="minorBidi"/>
          <w:color w:val="auto"/>
          <w:sz w:val="24"/>
          <w:szCs w:val="22"/>
          <w:lang w:val="en-US" w:eastAsia="zh-CN" w:bidi="ar-SA"/>
        </w:rPr>
        <w:t>2、根据使用要求与国家法规要求对车辆进行改装及申报特种车辆公告。</w:t>
      </w:r>
    </w:p>
    <w:p>
      <w:pPr>
        <w:spacing w:line="300" w:lineRule="auto"/>
        <w:rPr>
          <w:rFonts w:hint="eastAsia" w:ascii="宋体" w:hAnsi="宋体"/>
          <w:color w:val="auto"/>
          <w:sz w:val="24"/>
        </w:rPr>
      </w:pPr>
      <w:r>
        <w:rPr>
          <w:rFonts w:hint="eastAsia" w:ascii="宋体" w:hAnsi="宋体" w:cs="Arial-BoldMT"/>
          <w:bCs/>
          <w:color w:val="auto"/>
          <w:sz w:val="24"/>
          <w:szCs w:val="24"/>
        </w:rPr>
        <w:t>5</w:t>
      </w:r>
      <w:r>
        <w:rPr>
          <w:rFonts w:ascii="宋体" w:hAnsi="宋体" w:cs="Arial-BoldMT"/>
          <w:bCs/>
          <w:color w:val="auto"/>
          <w:sz w:val="24"/>
          <w:szCs w:val="24"/>
        </w:rPr>
        <w:t>.3</w:t>
      </w:r>
      <w:r>
        <w:rPr>
          <w:rFonts w:hint="eastAsia" w:ascii="宋体" w:hAnsi="宋体"/>
          <w:b/>
          <w:color w:val="auto"/>
        </w:rPr>
        <w:t xml:space="preserve"> </w:t>
      </w:r>
      <w:r>
        <w:rPr>
          <w:rFonts w:hint="eastAsia" w:ascii="宋体" w:hAnsi="宋体"/>
          <w:color w:val="auto"/>
          <w:sz w:val="24"/>
        </w:rPr>
        <w:t>底盘品牌及主要技术参数</w:t>
      </w:r>
    </w:p>
    <w:bookmarkEnd w:id="32"/>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1、车辆要求：</w:t>
      </w:r>
    </w:p>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可上蓝牌车型，并符合以上主要功能。</w:t>
      </w:r>
    </w:p>
    <w:p>
      <w:pPr>
        <w:pStyle w:val="25"/>
        <w:spacing w:line="360" w:lineRule="auto"/>
        <w:ind w:firstLine="403"/>
        <w:rPr>
          <w:rFonts w:eastAsiaTheme="minorEastAsia" w:cstheme="minorBidi"/>
          <w:color w:val="auto"/>
          <w:sz w:val="24"/>
          <w:szCs w:val="22"/>
          <w:lang w:val="en-US" w:eastAsia="zh-CN" w:bidi="ar-SA"/>
        </w:rPr>
      </w:pPr>
      <w:bookmarkStart w:id="34" w:name="bookmark26"/>
      <w:bookmarkEnd w:id="34"/>
      <w:bookmarkStart w:id="35" w:name="bookmark24"/>
      <w:bookmarkStart w:id="36" w:name="bookmark25"/>
      <w:bookmarkStart w:id="37" w:name="bookmark27"/>
      <w:r>
        <w:rPr>
          <w:rFonts w:hint="eastAsia" w:eastAsiaTheme="minorEastAsia" w:cstheme="minorBidi"/>
          <w:color w:val="auto"/>
          <w:sz w:val="24"/>
          <w:szCs w:val="22"/>
          <w:lang w:val="en-US" w:eastAsia="zh-CN" w:bidi="ar-SA"/>
        </w:rPr>
        <w:t>2、技术参数</w:t>
      </w:r>
      <w:bookmarkEnd w:id="35"/>
      <w:bookmarkEnd w:id="36"/>
      <w:bookmarkEnd w:id="37"/>
    </w:p>
    <w:p>
      <w:pPr>
        <w:pStyle w:val="25"/>
        <w:numPr>
          <w:ilvl w:val="0"/>
          <w:numId w:val="3"/>
        </w:numPr>
        <w:spacing w:line="360" w:lineRule="auto"/>
        <w:rPr>
          <w:rFonts w:eastAsiaTheme="minorEastAsia" w:cstheme="minorBidi"/>
          <w:color w:val="auto"/>
          <w:sz w:val="24"/>
          <w:szCs w:val="22"/>
          <w:lang w:val="en-US" w:eastAsia="zh-CN" w:bidi="ar-SA"/>
        </w:rPr>
      </w:pPr>
      <w:bookmarkStart w:id="38" w:name="bookmark28"/>
      <w:bookmarkEnd w:id="38"/>
      <w:bookmarkStart w:id="39" w:name="bookmark29"/>
      <w:bookmarkEnd w:id="39"/>
      <w:r>
        <w:rPr>
          <w:rFonts w:hint="eastAsia" w:eastAsiaTheme="minorEastAsia" w:cstheme="minorBidi"/>
          <w:color w:val="auto"/>
          <w:sz w:val="24"/>
          <w:szCs w:val="22"/>
          <w:lang w:val="en-US" w:eastAsia="zh-CN" w:bidi="ar-SA"/>
        </w:rPr>
        <w:t>长：</w:t>
      </w:r>
      <w:r>
        <w:rPr>
          <w:rFonts w:hint="eastAsia" w:asciiTheme="majorEastAsia" w:hAnsiTheme="majorEastAsia" w:eastAsiaTheme="majorEastAsia"/>
          <w:color w:val="auto"/>
        </w:rPr>
        <w:t>≤</w:t>
      </w:r>
      <w:r>
        <w:rPr>
          <w:rFonts w:eastAsiaTheme="minorEastAsia" w:cstheme="minorBidi"/>
          <w:color w:val="auto"/>
          <w:sz w:val="24"/>
          <w:szCs w:val="22"/>
          <w:lang w:val="en-US" w:eastAsia="zh-CN" w:bidi="ar-SA"/>
        </w:rPr>
        <w:t>6000</w:t>
      </w:r>
      <w:r>
        <w:rPr>
          <w:rFonts w:hint="eastAsia" w:eastAsiaTheme="minorEastAsia" w:cstheme="minorBidi"/>
          <w:color w:val="auto"/>
          <w:sz w:val="24"/>
          <w:szCs w:val="22"/>
          <w:lang w:val="en-US" w:eastAsia="zh-CN" w:bidi="ar-SA"/>
        </w:rPr>
        <w:t>mm；宽：</w:t>
      </w:r>
      <w:r>
        <w:rPr>
          <w:rFonts w:hint="eastAsia" w:asciiTheme="majorEastAsia" w:hAnsiTheme="majorEastAsia" w:eastAsiaTheme="majorEastAsia"/>
          <w:color w:val="auto"/>
        </w:rPr>
        <w:t>≤</w:t>
      </w:r>
      <w:r>
        <w:rPr>
          <w:rFonts w:hint="eastAsia" w:eastAsiaTheme="minorEastAsia" w:cstheme="minorBidi"/>
          <w:color w:val="auto"/>
          <w:sz w:val="24"/>
          <w:szCs w:val="22"/>
          <w:lang w:val="en-US" w:eastAsia="zh-CN" w:bidi="ar-SA"/>
        </w:rPr>
        <w:t>25</w:t>
      </w:r>
      <w:r>
        <w:rPr>
          <w:rFonts w:eastAsiaTheme="minorEastAsia" w:cstheme="minorBidi"/>
          <w:color w:val="auto"/>
          <w:sz w:val="24"/>
          <w:szCs w:val="22"/>
          <w:lang w:val="en-US" w:eastAsia="zh-CN" w:bidi="ar-SA"/>
        </w:rPr>
        <w:t>00</w:t>
      </w:r>
      <w:r>
        <w:rPr>
          <w:rFonts w:hint="eastAsia" w:eastAsiaTheme="minorEastAsia" w:cstheme="minorBidi"/>
          <w:color w:val="auto"/>
          <w:sz w:val="24"/>
          <w:szCs w:val="22"/>
          <w:lang w:val="en-US" w:eastAsia="zh-CN" w:bidi="ar-SA"/>
        </w:rPr>
        <w:t>mm；高：</w:t>
      </w:r>
      <w:r>
        <w:rPr>
          <w:rFonts w:hint="eastAsia" w:asciiTheme="majorEastAsia" w:hAnsiTheme="majorEastAsia" w:eastAsiaTheme="majorEastAsia"/>
          <w:color w:val="auto"/>
        </w:rPr>
        <w:t>≤</w:t>
      </w:r>
      <w:r>
        <w:rPr>
          <w:rFonts w:hint="eastAsia" w:eastAsiaTheme="minorEastAsia" w:cstheme="minorBidi"/>
          <w:color w:val="auto"/>
          <w:sz w:val="24"/>
          <w:szCs w:val="22"/>
          <w:lang w:val="en-US" w:eastAsia="zh-CN" w:bidi="ar-SA"/>
        </w:rPr>
        <w:t>348</w:t>
      </w:r>
      <w:r>
        <w:rPr>
          <w:rFonts w:eastAsiaTheme="minorEastAsia" w:cstheme="minorBidi"/>
          <w:color w:val="auto"/>
          <w:sz w:val="24"/>
          <w:szCs w:val="22"/>
          <w:lang w:val="en-US" w:eastAsia="zh-CN" w:bidi="ar-SA"/>
        </w:rPr>
        <w:t>0</w:t>
      </w:r>
      <w:r>
        <w:rPr>
          <w:rFonts w:hint="eastAsia" w:eastAsiaTheme="minorEastAsia" w:cstheme="minorBidi"/>
          <w:color w:val="auto"/>
          <w:sz w:val="24"/>
          <w:szCs w:val="22"/>
          <w:lang w:val="en-US" w:eastAsia="zh-CN" w:bidi="ar-SA"/>
        </w:rPr>
        <w:t>mm；发动机排量：≥2287ml</w:t>
      </w:r>
      <w:r>
        <w:rPr>
          <w:rFonts w:hint="eastAsia" w:eastAsiaTheme="minorEastAsia" w:cstheme="minorBidi"/>
          <w:color w:val="auto"/>
          <w:sz w:val="24"/>
          <w:szCs w:val="22"/>
          <w:lang w:val="en-US" w:eastAsia="en-US" w:bidi="ar-SA"/>
        </w:rPr>
        <w:t>;</w:t>
      </w:r>
    </w:p>
    <w:p>
      <w:pPr>
        <w:pStyle w:val="25"/>
        <w:numPr>
          <w:ilvl w:val="0"/>
          <w:numId w:val="3"/>
        </w:numPr>
        <w:spacing w:line="360" w:lineRule="auto"/>
        <w:rPr>
          <w:rFonts w:eastAsiaTheme="minorEastAsia" w:cstheme="minorBidi"/>
          <w:color w:val="auto"/>
          <w:sz w:val="24"/>
          <w:szCs w:val="22"/>
          <w:lang w:val="en-US" w:eastAsia="zh-CN" w:bidi="ar-SA"/>
        </w:rPr>
      </w:pPr>
      <w:bookmarkStart w:id="40" w:name="bookmark30"/>
      <w:bookmarkEnd w:id="40"/>
      <w:r>
        <w:rPr>
          <w:rFonts w:hint="eastAsia" w:eastAsiaTheme="minorEastAsia" w:cstheme="minorBidi"/>
          <w:color w:val="auto"/>
          <w:sz w:val="24"/>
          <w:szCs w:val="22"/>
          <w:lang w:val="en-US" w:eastAsia="zh-CN" w:bidi="ar-SA"/>
        </w:rPr>
        <w:t>最大功率：</w:t>
      </w:r>
      <w:r>
        <w:rPr>
          <w:rFonts w:hint="eastAsia" w:eastAsiaTheme="minorEastAsia" w:cstheme="minorBidi"/>
          <w:color w:val="auto"/>
          <w:sz w:val="24"/>
          <w:szCs w:val="22"/>
          <w:lang w:val="en-US" w:eastAsia="en-US" w:bidi="ar-SA"/>
        </w:rPr>
        <w:t>≥l</w:t>
      </w:r>
      <w:r>
        <w:rPr>
          <w:rFonts w:hint="eastAsia" w:eastAsiaTheme="minorEastAsia" w:cstheme="minorBidi"/>
          <w:color w:val="auto"/>
          <w:sz w:val="24"/>
          <w:szCs w:val="22"/>
          <w:lang w:val="en-US" w:eastAsia="zh-CN" w:bidi="ar-SA"/>
        </w:rPr>
        <w:t>25</w:t>
      </w:r>
      <w:r>
        <w:rPr>
          <w:rFonts w:hint="eastAsia" w:eastAsiaTheme="minorEastAsia" w:cstheme="minorBidi"/>
          <w:color w:val="auto"/>
          <w:sz w:val="24"/>
          <w:szCs w:val="22"/>
          <w:lang w:val="en-US" w:eastAsia="en-US" w:bidi="ar-SA"/>
        </w:rPr>
        <w:t>kw</w:t>
      </w:r>
    </w:p>
    <w:p>
      <w:pPr>
        <w:pStyle w:val="25"/>
        <w:numPr>
          <w:ilvl w:val="0"/>
          <w:numId w:val="3"/>
        </w:numPr>
        <w:spacing w:line="360" w:lineRule="auto"/>
        <w:rPr>
          <w:rFonts w:eastAsiaTheme="minorEastAsia" w:cstheme="minorBidi"/>
          <w:color w:val="auto"/>
          <w:sz w:val="24"/>
          <w:szCs w:val="22"/>
          <w:lang w:val="en-US" w:eastAsia="zh-CN" w:bidi="ar-SA"/>
        </w:rPr>
      </w:pPr>
      <w:bookmarkStart w:id="41" w:name="bookmark31"/>
      <w:bookmarkEnd w:id="41"/>
      <w:r>
        <w:rPr>
          <w:rFonts w:hint="eastAsia" w:eastAsiaTheme="minorEastAsia" w:cstheme="minorBidi"/>
          <w:color w:val="auto"/>
          <w:sz w:val="24"/>
          <w:szCs w:val="22"/>
          <w:lang w:val="en-US" w:eastAsia="zh-CN" w:bidi="ar-SA"/>
        </w:rPr>
        <w:t>轴距：3300±100mm</w:t>
      </w:r>
    </w:p>
    <w:p>
      <w:pPr>
        <w:pStyle w:val="25"/>
        <w:numPr>
          <w:ilvl w:val="0"/>
          <w:numId w:val="3"/>
        </w:numPr>
        <w:spacing w:line="360" w:lineRule="auto"/>
        <w:rPr>
          <w:rFonts w:eastAsiaTheme="minorEastAsia" w:cstheme="minorBidi"/>
          <w:color w:val="auto"/>
          <w:sz w:val="24"/>
          <w:szCs w:val="22"/>
          <w:lang w:val="en-US" w:eastAsia="zh-CN" w:bidi="ar-SA"/>
        </w:rPr>
      </w:pPr>
      <w:bookmarkStart w:id="42" w:name="bookmark32"/>
      <w:bookmarkEnd w:id="42"/>
      <w:r>
        <w:rPr>
          <w:rFonts w:hint="eastAsia" w:eastAsiaTheme="minorEastAsia" w:cstheme="minorBidi"/>
          <w:color w:val="auto"/>
          <w:sz w:val="24"/>
          <w:szCs w:val="22"/>
          <w:lang w:val="en-US" w:eastAsia="zh-CN" w:bidi="ar-SA"/>
        </w:rPr>
        <w:t>总质量：≤</w:t>
      </w:r>
      <w:r>
        <w:rPr>
          <w:rFonts w:hint="eastAsia" w:eastAsiaTheme="minorEastAsia" w:cstheme="minorBidi"/>
          <w:color w:val="auto"/>
          <w:sz w:val="24"/>
          <w:szCs w:val="22"/>
          <w:lang w:val="en-US" w:eastAsia="en-US" w:bidi="ar-SA"/>
        </w:rPr>
        <w:t>4</w:t>
      </w:r>
      <w:r>
        <w:rPr>
          <w:rFonts w:hint="eastAsia" w:eastAsiaTheme="minorEastAsia" w:cstheme="minorBidi"/>
          <w:color w:val="auto"/>
          <w:sz w:val="24"/>
          <w:szCs w:val="22"/>
          <w:lang w:val="en-US" w:eastAsia="zh-CN" w:bidi="ar-SA"/>
        </w:rPr>
        <w:t>49</w:t>
      </w:r>
      <w:r>
        <w:rPr>
          <w:rFonts w:hint="eastAsia" w:eastAsiaTheme="minorEastAsia" w:cstheme="minorBidi"/>
          <w:color w:val="auto"/>
          <w:sz w:val="24"/>
          <w:szCs w:val="22"/>
          <w:lang w:val="en-US" w:eastAsia="en-US" w:bidi="ar-SA"/>
        </w:rPr>
        <w:t>0kg</w:t>
      </w:r>
    </w:p>
    <w:p>
      <w:pPr>
        <w:pStyle w:val="25"/>
        <w:numPr>
          <w:ilvl w:val="0"/>
          <w:numId w:val="3"/>
        </w:numPr>
        <w:spacing w:line="360" w:lineRule="auto"/>
        <w:rPr>
          <w:rFonts w:eastAsiaTheme="minorEastAsia" w:cstheme="minorBidi"/>
          <w:color w:val="auto"/>
          <w:sz w:val="24"/>
          <w:szCs w:val="22"/>
          <w:lang w:val="en-US" w:eastAsia="zh-CN" w:bidi="ar-SA"/>
        </w:rPr>
      </w:pPr>
      <w:bookmarkStart w:id="43" w:name="bookmark33"/>
      <w:bookmarkEnd w:id="43"/>
      <w:r>
        <w:rPr>
          <w:rFonts w:hint="eastAsia" w:eastAsiaTheme="minorEastAsia" w:cstheme="minorBidi"/>
          <w:color w:val="auto"/>
          <w:sz w:val="24"/>
          <w:szCs w:val="22"/>
          <w:lang w:val="en-US" w:eastAsia="zh-CN" w:bidi="ar-SA"/>
        </w:rPr>
        <w:t>动力类型：柴油；</w:t>
      </w:r>
    </w:p>
    <w:p>
      <w:pPr>
        <w:pStyle w:val="25"/>
        <w:numPr>
          <w:ilvl w:val="0"/>
          <w:numId w:val="3"/>
        </w:numPr>
        <w:spacing w:line="360" w:lineRule="auto"/>
        <w:rPr>
          <w:rFonts w:eastAsiaTheme="minorEastAsia" w:cstheme="minorBidi"/>
          <w:color w:val="auto"/>
          <w:sz w:val="24"/>
          <w:szCs w:val="22"/>
          <w:lang w:val="en-US" w:eastAsia="zh-CN" w:bidi="ar-SA"/>
        </w:rPr>
      </w:pPr>
      <w:bookmarkStart w:id="44" w:name="bookmark34"/>
      <w:bookmarkEnd w:id="44"/>
      <w:r>
        <w:rPr>
          <w:rFonts w:hint="eastAsia" w:eastAsiaTheme="minorEastAsia" w:cstheme="minorBidi"/>
          <w:color w:val="auto"/>
          <w:sz w:val="24"/>
          <w:szCs w:val="22"/>
          <w:lang w:val="en-US" w:eastAsia="zh-CN" w:bidi="ar-SA"/>
        </w:rPr>
        <w:t>环保标准：国六；</w:t>
      </w:r>
    </w:p>
    <w:p>
      <w:pPr>
        <w:pStyle w:val="25"/>
        <w:numPr>
          <w:ilvl w:val="0"/>
          <w:numId w:val="3"/>
        </w:numPr>
        <w:spacing w:line="360" w:lineRule="auto"/>
        <w:rPr>
          <w:rFonts w:eastAsiaTheme="minorEastAsia" w:cstheme="minorBidi"/>
          <w:color w:val="auto"/>
          <w:sz w:val="24"/>
          <w:szCs w:val="22"/>
          <w:lang w:val="en-US" w:eastAsia="zh-CN" w:bidi="ar-SA"/>
        </w:rPr>
      </w:pPr>
      <w:bookmarkStart w:id="45" w:name="bookmark35"/>
      <w:bookmarkEnd w:id="45"/>
      <w:r>
        <w:rPr>
          <w:rFonts w:hint="eastAsia" w:eastAsiaTheme="minorEastAsia" w:cstheme="minorBidi"/>
          <w:color w:val="auto"/>
          <w:sz w:val="24"/>
          <w:szCs w:val="22"/>
          <w:lang w:val="en-US" w:eastAsia="zh-CN" w:bidi="ar-SA"/>
        </w:rPr>
        <w:t>整备质量：</w:t>
      </w:r>
      <w:r>
        <w:rPr>
          <w:rFonts w:hint="eastAsia" w:eastAsiaTheme="minorEastAsia" w:cstheme="minorBidi"/>
          <w:color w:val="auto"/>
          <w:sz w:val="24"/>
          <w:szCs w:val="22"/>
          <w:lang w:val="en-US" w:eastAsia="en-US" w:bidi="ar-SA"/>
        </w:rPr>
        <w:t>≤</w:t>
      </w:r>
      <w:r>
        <w:rPr>
          <w:rFonts w:hint="eastAsia" w:eastAsiaTheme="minorEastAsia" w:cstheme="minorBidi"/>
          <w:color w:val="auto"/>
          <w:sz w:val="24"/>
          <w:szCs w:val="22"/>
          <w:lang w:val="en-US" w:eastAsia="zh-CN" w:bidi="ar-SA"/>
        </w:rPr>
        <w:t>4360</w:t>
      </w:r>
      <w:r>
        <w:rPr>
          <w:rFonts w:hint="eastAsia" w:eastAsiaTheme="minorEastAsia" w:cstheme="minorBidi"/>
          <w:color w:val="auto"/>
          <w:sz w:val="24"/>
          <w:szCs w:val="22"/>
          <w:lang w:val="en-US" w:eastAsia="en-US" w:bidi="ar-SA"/>
        </w:rPr>
        <w:t>kg；</w:t>
      </w:r>
    </w:p>
    <w:p>
      <w:pPr>
        <w:pStyle w:val="25"/>
        <w:numPr>
          <w:ilvl w:val="0"/>
          <w:numId w:val="3"/>
        </w:numPr>
        <w:spacing w:line="360" w:lineRule="auto"/>
        <w:rPr>
          <w:rFonts w:cs="Arial-BoldMT"/>
          <w:bCs/>
          <w:color w:val="auto"/>
          <w:sz w:val="24"/>
          <w:szCs w:val="24"/>
        </w:rPr>
      </w:pPr>
      <w:bookmarkStart w:id="46" w:name="bookmark36"/>
      <w:bookmarkEnd w:id="46"/>
      <w:r>
        <w:rPr>
          <w:rFonts w:hint="eastAsia" w:eastAsiaTheme="minorEastAsia" w:cstheme="minorBidi"/>
          <w:color w:val="auto"/>
          <w:sz w:val="24"/>
          <w:szCs w:val="22"/>
          <w:lang w:val="en-US" w:eastAsia="zh-CN" w:bidi="ar-SA"/>
        </w:rPr>
        <w:t>驱动：</w:t>
      </w:r>
      <w:r>
        <w:rPr>
          <w:rFonts w:hint="eastAsia" w:eastAsiaTheme="minorEastAsia" w:cstheme="minorBidi"/>
          <w:color w:val="auto"/>
          <w:sz w:val="24"/>
          <w:szCs w:val="22"/>
          <w:lang w:val="en-US" w:eastAsia="en-US" w:bidi="ar-SA"/>
        </w:rPr>
        <w:t>4X2；</w:t>
      </w:r>
      <w:bookmarkStart w:id="47" w:name="bookmark37"/>
      <w:bookmarkEnd w:id="47"/>
    </w:p>
    <w:p>
      <w:pPr>
        <w:spacing w:line="300" w:lineRule="auto"/>
        <w:rPr>
          <w:rFonts w:ascii="宋体" w:hAnsi="宋体" w:cs="Arial-BoldMT"/>
          <w:bCs/>
          <w:color w:val="auto"/>
          <w:sz w:val="24"/>
          <w:szCs w:val="24"/>
        </w:rPr>
      </w:pPr>
      <w:r>
        <w:rPr>
          <w:rFonts w:hint="eastAsia" w:ascii="宋体" w:hAnsi="宋体" w:cs="Arial-BoldMT"/>
          <w:bCs/>
          <w:color w:val="auto"/>
          <w:sz w:val="24"/>
          <w:szCs w:val="24"/>
        </w:rPr>
        <w:t>5.4车辆改装及上装设备要求</w:t>
      </w:r>
    </w:p>
    <w:p>
      <w:pPr>
        <w:pStyle w:val="25"/>
        <w:spacing w:line="360" w:lineRule="auto"/>
        <w:ind w:firstLine="403"/>
        <w:rPr>
          <w:rFonts w:eastAsiaTheme="minorEastAsia" w:cstheme="minorBidi"/>
          <w:color w:val="auto"/>
          <w:sz w:val="24"/>
          <w:szCs w:val="22"/>
          <w:lang w:val="en-US" w:eastAsia="zh-CN" w:bidi="ar-SA"/>
        </w:rPr>
      </w:pPr>
      <w:r>
        <w:rPr>
          <w:rFonts w:hint="eastAsia" w:eastAsiaTheme="minorEastAsia" w:cstheme="minorBidi"/>
          <w:color w:val="auto"/>
          <w:sz w:val="24"/>
          <w:szCs w:val="22"/>
          <w:lang w:val="en-US" w:eastAsia="zh-CN" w:bidi="ar-SA"/>
        </w:rPr>
        <w:t>5.</w:t>
      </w:r>
      <w:r>
        <w:rPr>
          <w:rFonts w:hint="eastAsia" w:eastAsiaTheme="minorEastAsia" w:cstheme="minorBidi"/>
          <w:color w:val="auto"/>
          <w:sz w:val="24"/>
          <w:szCs w:val="22"/>
          <w:lang w:val="en-US" w:eastAsia="en-US" w:bidi="ar-SA"/>
        </w:rPr>
        <w:t>4.1</w:t>
      </w:r>
      <w:r>
        <w:rPr>
          <w:rFonts w:hint="eastAsia" w:eastAsiaTheme="minorEastAsia" w:cstheme="minorBidi"/>
          <w:color w:val="auto"/>
          <w:sz w:val="24"/>
          <w:szCs w:val="22"/>
          <w:lang w:val="en-US" w:eastAsia="zh-CN" w:bidi="ar-SA"/>
        </w:rPr>
        <w:t>车辆改装布置原则</w:t>
      </w:r>
    </w:p>
    <w:p>
      <w:pPr>
        <w:pStyle w:val="25"/>
        <w:numPr>
          <w:ilvl w:val="0"/>
          <w:numId w:val="4"/>
        </w:numPr>
        <w:spacing w:line="360" w:lineRule="auto"/>
        <w:ind w:firstLine="480" w:firstLineChars="200"/>
        <w:rPr>
          <w:rFonts w:eastAsiaTheme="minorEastAsia" w:cstheme="minorBidi"/>
          <w:color w:val="auto"/>
          <w:sz w:val="24"/>
          <w:szCs w:val="22"/>
          <w:lang w:val="en-US" w:eastAsia="zh-CN" w:bidi="ar-SA"/>
        </w:rPr>
      </w:pPr>
      <w:bookmarkStart w:id="48" w:name="bookmark42"/>
      <w:bookmarkEnd w:id="48"/>
      <w:r>
        <w:rPr>
          <w:rFonts w:hint="eastAsia" w:eastAsiaTheme="minorEastAsia" w:cstheme="minorBidi"/>
          <w:color w:val="auto"/>
          <w:sz w:val="24"/>
          <w:szCs w:val="22"/>
          <w:lang w:val="en-US" w:eastAsia="zh-CN" w:bidi="ar-SA"/>
        </w:rPr>
        <w:t>主要设备安装优化设计，合理布局，整车配重合理；</w:t>
      </w:r>
    </w:p>
    <w:p>
      <w:pPr>
        <w:pStyle w:val="25"/>
        <w:numPr>
          <w:ilvl w:val="0"/>
          <w:numId w:val="4"/>
        </w:numPr>
        <w:spacing w:line="360" w:lineRule="auto"/>
        <w:ind w:firstLine="480" w:firstLineChars="200"/>
        <w:rPr>
          <w:rFonts w:eastAsiaTheme="minorEastAsia" w:cstheme="minorBidi"/>
          <w:color w:val="auto"/>
          <w:sz w:val="24"/>
          <w:szCs w:val="22"/>
          <w:lang w:val="en-US" w:eastAsia="zh-CN" w:bidi="ar-SA"/>
        </w:rPr>
      </w:pPr>
      <w:bookmarkStart w:id="49" w:name="bookmark43"/>
      <w:bookmarkEnd w:id="49"/>
      <w:r>
        <w:rPr>
          <w:rFonts w:hint="eastAsia" w:eastAsiaTheme="minorEastAsia" w:cstheme="minorBidi"/>
          <w:color w:val="auto"/>
          <w:sz w:val="24"/>
          <w:szCs w:val="22"/>
          <w:lang w:val="en-US" w:eastAsia="zh-CN" w:bidi="ar-SA"/>
        </w:rPr>
        <w:t>各主要设备和控制操作都集中在设备机柜，便于操作人员集中控制和 观察，釆用标准机柜结构，使设备的安装标准化，便于设备的安装、检修、更换;</w:t>
      </w:r>
    </w:p>
    <w:p>
      <w:pPr>
        <w:pStyle w:val="25"/>
        <w:numPr>
          <w:ilvl w:val="0"/>
          <w:numId w:val="4"/>
        </w:numPr>
        <w:spacing w:line="360" w:lineRule="auto"/>
        <w:ind w:firstLine="480" w:firstLineChars="200"/>
        <w:rPr>
          <w:rFonts w:eastAsiaTheme="minorEastAsia" w:cstheme="minorBidi"/>
          <w:color w:val="auto"/>
          <w:sz w:val="24"/>
          <w:szCs w:val="22"/>
          <w:lang w:val="en-US" w:eastAsia="zh-CN" w:bidi="ar-SA"/>
        </w:rPr>
      </w:pPr>
      <w:bookmarkStart w:id="50" w:name="bookmark44"/>
      <w:bookmarkEnd w:id="50"/>
      <w:r>
        <w:rPr>
          <w:rFonts w:hint="eastAsia" w:eastAsiaTheme="minorEastAsia" w:cstheme="minorBidi"/>
          <w:color w:val="auto"/>
          <w:sz w:val="24"/>
          <w:szCs w:val="22"/>
          <w:lang w:val="en-US" w:eastAsia="zh-CN" w:bidi="ar-SA"/>
        </w:rPr>
        <w:t>机柜具有良好通风散热性能；为系统升级换代预留设备接口和通道。</w:t>
      </w:r>
    </w:p>
    <w:p>
      <w:pPr>
        <w:pStyle w:val="25"/>
        <w:numPr>
          <w:ilvl w:val="0"/>
          <w:numId w:val="4"/>
        </w:numPr>
        <w:spacing w:line="360" w:lineRule="auto"/>
        <w:ind w:firstLine="480" w:firstLineChars="200"/>
        <w:rPr>
          <w:rFonts w:eastAsiaTheme="minorEastAsia" w:cstheme="minorBidi"/>
          <w:color w:val="auto"/>
          <w:sz w:val="24"/>
          <w:szCs w:val="22"/>
          <w:lang w:val="en-US" w:eastAsia="zh-CN" w:bidi="ar-SA"/>
        </w:rPr>
      </w:pPr>
      <w:bookmarkStart w:id="51" w:name="bookmark45"/>
      <w:bookmarkEnd w:id="51"/>
      <w:r>
        <w:rPr>
          <w:rFonts w:hint="eastAsia" w:eastAsiaTheme="minorEastAsia" w:cstheme="minorBidi"/>
          <w:color w:val="auto"/>
          <w:sz w:val="24"/>
          <w:szCs w:val="22"/>
          <w:lang w:val="en-US" w:eastAsia="zh-CN" w:bidi="ar-SA"/>
        </w:rPr>
        <w:t>设备机架安装釆用橡胶阻尼减震式结构，可靠性高，抗冲击、防震动、 抗干扰；</w:t>
      </w:r>
    </w:p>
    <w:p>
      <w:pPr>
        <w:pStyle w:val="25"/>
        <w:numPr>
          <w:ilvl w:val="0"/>
          <w:numId w:val="4"/>
        </w:numPr>
        <w:spacing w:line="360" w:lineRule="auto"/>
        <w:ind w:firstLine="480" w:firstLineChars="200"/>
        <w:rPr>
          <w:rFonts w:eastAsiaTheme="minorEastAsia" w:cstheme="minorBidi"/>
          <w:color w:val="auto"/>
          <w:sz w:val="24"/>
          <w:szCs w:val="22"/>
          <w:lang w:val="en-US" w:eastAsia="zh-CN" w:bidi="ar-SA"/>
        </w:rPr>
      </w:pPr>
      <w:bookmarkStart w:id="52" w:name="bookmark46"/>
      <w:bookmarkEnd w:id="52"/>
      <w:r>
        <w:rPr>
          <w:rFonts w:hint="eastAsia" w:eastAsiaTheme="minorEastAsia" w:cstheme="minorBidi"/>
          <w:color w:val="auto"/>
          <w:sz w:val="24"/>
          <w:szCs w:val="22"/>
          <w:lang w:val="en-US" w:eastAsia="zh-CN" w:bidi="ar-SA"/>
        </w:rPr>
        <w:t>按人体工程学原理设计各会议桌及沙发床铺，确保车厢内有足够的操作办公会议空间。</w:t>
      </w:r>
    </w:p>
    <w:p>
      <w:pPr>
        <w:spacing w:line="300" w:lineRule="auto"/>
        <w:rPr>
          <w:rFonts w:hint="eastAsia" w:ascii="宋体" w:hAnsi="宋体" w:cs="Arial-BoldMT"/>
          <w:bCs/>
          <w:color w:val="auto"/>
          <w:sz w:val="24"/>
          <w:szCs w:val="24"/>
          <w:lang w:val="en-US" w:eastAsia="zh-CN"/>
        </w:rPr>
      </w:pPr>
      <w:r>
        <w:rPr>
          <w:rFonts w:hint="eastAsia" w:ascii="宋体" w:hAnsi="宋体" w:cs="Arial-BoldMT"/>
          <w:bCs/>
          <w:color w:val="auto"/>
          <w:sz w:val="24"/>
          <w:szCs w:val="24"/>
          <w:lang w:val="en-US" w:eastAsia="zh-CN"/>
        </w:rPr>
        <w:t>5.5车辆布局参考图</w:t>
      </w:r>
    </w:p>
    <w:p>
      <w:pPr>
        <w:bidi w:val="0"/>
        <w:rPr>
          <w:color w:val="auto"/>
        </w:rPr>
      </w:pPr>
      <w:r>
        <w:rPr>
          <w:color w:val="auto"/>
        </w:rPr>
        <w:drawing>
          <wp:inline distT="0" distB="0" distL="114300" distR="114300">
            <wp:extent cx="5269230" cy="3237230"/>
            <wp:effectExtent l="0" t="0" r="1270" b="127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3"/>
                    <a:stretch>
                      <a:fillRect/>
                    </a:stretch>
                  </pic:blipFill>
                  <pic:spPr>
                    <a:xfrm>
                      <a:off x="0" y="0"/>
                      <a:ext cx="5269230" cy="3237230"/>
                    </a:xfrm>
                    <a:prstGeom prst="rect">
                      <a:avLst/>
                    </a:prstGeom>
                    <a:noFill/>
                    <a:ln>
                      <a:noFill/>
                    </a:ln>
                  </pic:spPr>
                </pic:pic>
              </a:graphicData>
            </a:graphic>
          </wp:inline>
        </w:drawing>
      </w:r>
    </w:p>
    <w:p>
      <w:pPr>
        <w:bidi w:val="0"/>
        <w:jc w:val="center"/>
        <w:rPr>
          <w:rFonts w:hint="eastAsia"/>
          <w:color w:val="auto"/>
          <w:lang w:val="en-US" w:eastAsia="zh-CN"/>
        </w:rPr>
      </w:pPr>
      <w:r>
        <w:rPr>
          <w:rFonts w:hint="eastAsia"/>
          <w:color w:val="auto"/>
          <w:lang w:val="en-US" w:eastAsia="zh-CN"/>
        </w:rPr>
        <w:t>整车布局左视图</w:t>
      </w:r>
    </w:p>
    <w:p>
      <w:pPr>
        <w:bidi w:val="0"/>
        <w:rPr>
          <w:color w:val="auto"/>
        </w:rPr>
      </w:pPr>
      <w:r>
        <w:rPr>
          <w:color w:val="auto"/>
        </w:rPr>
        <w:drawing>
          <wp:inline distT="0" distB="0" distL="114300" distR="114300">
            <wp:extent cx="5267960" cy="3296920"/>
            <wp:effectExtent l="0" t="0" r="2540" b="508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4"/>
                    <a:stretch>
                      <a:fillRect/>
                    </a:stretch>
                  </pic:blipFill>
                  <pic:spPr>
                    <a:xfrm>
                      <a:off x="0" y="0"/>
                      <a:ext cx="5267960" cy="3296920"/>
                    </a:xfrm>
                    <a:prstGeom prst="rect">
                      <a:avLst/>
                    </a:prstGeom>
                    <a:noFill/>
                    <a:ln>
                      <a:noFill/>
                    </a:ln>
                  </pic:spPr>
                </pic:pic>
              </a:graphicData>
            </a:graphic>
          </wp:inline>
        </w:drawing>
      </w:r>
    </w:p>
    <w:p>
      <w:pPr>
        <w:bidi w:val="0"/>
        <w:jc w:val="center"/>
        <w:rPr>
          <w:rFonts w:hint="eastAsia"/>
          <w:color w:val="auto"/>
          <w:lang w:val="en-US" w:eastAsia="zh-CN"/>
        </w:rPr>
      </w:pPr>
      <w:r>
        <w:rPr>
          <w:rFonts w:hint="eastAsia"/>
          <w:color w:val="auto"/>
          <w:lang w:val="en-US" w:eastAsia="zh-CN"/>
        </w:rPr>
        <w:t>整车布局右视图</w:t>
      </w:r>
    </w:p>
    <w:p>
      <w:pPr>
        <w:bidi w:val="0"/>
        <w:rPr>
          <w:color w:val="auto"/>
        </w:rPr>
      </w:pPr>
      <w:r>
        <w:rPr>
          <w:color w:val="auto"/>
        </w:rPr>
        <w:drawing>
          <wp:inline distT="0" distB="0" distL="114300" distR="114300">
            <wp:extent cx="5273675" cy="2963545"/>
            <wp:effectExtent l="0" t="0" r="9525" b="825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5"/>
                    <a:stretch>
                      <a:fillRect/>
                    </a:stretch>
                  </pic:blipFill>
                  <pic:spPr>
                    <a:xfrm>
                      <a:off x="0" y="0"/>
                      <a:ext cx="5273675" cy="2963545"/>
                    </a:xfrm>
                    <a:prstGeom prst="rect">
                      <a:avLst/>
                    </a:prstGeom>
                    <a:noFill/>
                    <a:ln>
                      <a:noFill/>
                    </a:ln>
                  </pic:spPr>
                </pic:pic>
              </a:graphicData>
            </a:graphic>
          </wp:inline>
        </w:drawing>
      </w:r>
    </w:p>
    <w:p>
      <w:pPr>
        <w:bidi w:val="0"/>
        <w:jc w:val="center"/>
        <w:rPr>
          <w:rFonts w:hint="default"/>
          <w:color w:val="auto"/>
          <w:lang w:val="en-US" w:eastAsia="zh-CN"/>
        </w:rPr>
      </w:pPr>
      <w:r>
        <w:rPr>
          <w:rFonts w:hint="eastAsia"/>
          <w:color w:val="auto"/>
          <w:lang w:val="en-US" w:eastAsia="zh-CN"/>
        </w:rPr>
        <w:t>整车布局俯视图</w:t>
      </w:r>
    </w:p>
    <w:p>
      <w:pPr>
        <w:spacing w:line="300" w:lineRule="auto"/>
        <w:rPr>
          <w:rFonts w:ascii="宋体" w:hAnsi="宋体" w:cs="Arial-BoldMT"/>
          <w:bCs/>
          <w:color w:val="auto"/>
          <w:sz w:val="24"/>
          <w:szCs w:val="24"/>
        </w:rPr>
      </w:pPr>
      <w:bookmarkStart w:id="53" w:name="_Toc485834713"/>
      <w:bookmarkStart w:id="54" w:name="_Toc485835120"/>
      <w:bookmarkStart w:id="55" w:name="_Hlk522316472"/>
      <w:r>
        <w:rPr>
          <w:rFonts w:ascii="宋体" w:hAnsi="宋体" w:cs="Arial-BoldMT"/>
          <w:bCs/>
          <w:color w:val="auto"/>
          <w:sz w:val="24"/>
          <w:szCs w:val="24"/>
        </w:rPr>
        <w:t>5.</w:t>
      </w:r>
      <w:bookmarkEnd w:id="26"/>
      <w:bookmarkEnd w:id="27"/>
      <w:bookmarkEnd w:id="53"/>
      <w:bookmarkEnd w:id="54"/>
      <w:r>
        <w:rPr>
          <w:rFonts w:hint="eastAsia" w:ascii="宋体" w:hAnsi="宋体" w:cs="Arial-BoldMT"/>
          <w:bCs/>
          <w:color w:val="auto"/>
          <w:sz w:val="24"/>
          <w:szCs w:val="24"/>
          <w:lang w:val="en-US" w:eastAsia="zh-CN"/>
        </w:rPr>
        <w:t>6</w:t>
      </w:r>
      <w:r>
        <w:rPr>
          <w:rFonts w:hint="eastAsia" w:ascii="宋体" w:hAnsi="宋体" w:cs="Arial-BoldMT"/>
          <w:bCs/>
          <w:color w:val="auto"/>
          <w:sz w:val="24"/>
          <w:szCs w:val="24"/>
        </w:rPr>
        <w:t>车辆改装及上装设备表:</w:t>
      </w:r>
      <w:bookmarkEnd w:id="55"/>
    </w:p>
    <w:tbl>
      <w:tblPr>
        <w:tblStyle w:val="13"/>
        <w:tblW w:w="905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57"/>
        <w:gridCol w:w="1768"/>
        <w:gridCol w:w="4059"/>
        <w:gridCol w:w="1458"/>
        <w:gridCol w:w="1105"/>
        <w:gridCol w:w="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532" w:hRule="atLeast"/>
          <w:jc w:val="center"/>
        </w:trPr>
        <w:tc>
          <w:tcPr>
            <w:tcW w:w="657" w:type="dxa"/>
            <w:tcBorders>
              <w:top w:val="single" w:color="auto" w:sz="8" w:space="0"/>
              <w:left w:val="single" w:color="auto" w:sz="8" w:space="0"/>
              <w:bottom w:val="single" w:color="auto" w:sz="4" w:space="0"/>
              <w:right w:val="single" w:color="auto" w:sz="4" w:space="0"/>
            </w:tcBorders>
            <w:vAlign w:val="center"/>
          </w:tcPr>
          <w:p>
            <w:pPr>
              <w:topLinePunct/>
              <w:snapToGrid w:val="0"/>
              <w:jc w:val="center"/>
              <w:rPr>
                <w:rFonts w:ascii="宋体" w:hAnsi="宋体" w:cs="宋体"/>
                <w:color w:val="auto"/>
                <w:kern w:val="21"/>
                <w:sz w:val="18"/>
                <w:szCs w:val="18"/>
              </w:rPr>
            </w:pPr>
            <w:r>
              <w:rPr>
                <w:rFonts w:hint="eastAsia" w:ascii="宋体" w:hAnsi="宋体" w:cs="宋体"/>
                <w:color w:val="auto"/>
                <w:kern w:val="21"/>
                <w:sz w:val="18"/>
                <w:szCs w:val="18"/>
              </w:rPr>
              <w:t>序号</w:t>
            </w:r>
          </w:p>
        </w:tc>
        <w:tc>
          <w:tcPr>
            <w:tcW w:w="1768" w:type="dxa"/>
            <w:tcBorders>
              <w:top w:val="single" w:color="auto" w:sz="8" w:space="0"/>
              <w:left w:val="single" w:color="auto" w:sz="4" w:space="0"/>
              <w:bottom w:val="single" w:color="auto" w:sz="4" w:space="0"/>
              <w:right w:val="single" w:color="auto" w:sz="4" w:space="0"/>
            </w:tcBorders>
            <w:vAlign w:val="center"/>
          </w:tcPr>
          <w:p>
            <w:pPr>
              <w:topLinePunct/>
              <w:snapToGrid w:val="0"/>
              <w:jc w:val="center"/>
              <w:rPr>
                <w:rFonts w:ascii="宋体" w:hAnsi="宋体" w:cs="宋体"/>
                <w:color w:val="auto"/>
                <w:kern w:val="21"/>
                <w:sz w:val="18"/>
                <w:szCs w:val="18"/>
              </w:rPr>
            </w:pPr>
            <w:r>
              <w:rPr>
                <w:rFonts w:hint="eastAsia" w:ascii="宋体" w:hAnsi="宋体" w:cs="宋体"/>
                <w:color w:val="auto"/>
                <w:kern w:val="21"/>
                <w:sz w:val="18"/>
                <w:szCs w:val="18"/>
              </w:rPr>
              <w:t>项目</w:t>
            </w:r>
          </w:p>
        </w:tc>
        <w:tc>
          <w:tcPr>
            <w:tcW w:w="4059" w:type="dxa"/>
            <w:tcBorders>
              <w:top w:val="single" w:color="auto" w:sz="8" w:space="0"/>
              <w:left w:val="single" w:color="auto" w:sz="4" w:space="0"/>
              <w:bottom w:val="single" w:color="auto" w:sz="4" w:space="0"/>
              <w:right w:val="single" w:color="auto" w:sz="4" w:space="0"/>
            </w:tcBorders>
            <w:vAlign w:val="center"/>
          </w:tcPr>
          <w:p>
            <w:pPr>
              <w:topLinePunct/>
              <w:snapToGrid w:val="0"/>
              <w:jc w:val="center"/>
              <w:rPr>
                <w:rFonts w:ascii="宋体" w:hAnsi="宋体" w:cs="宋体"/>
                <w:color w:val="auto"/>
                <w:kern w:val="21"/>
                <w:sz w:val="18"/>
                <w:szCs w:val="18"/>
              </w:rPr>
            </w:pPr>
            <w:r>
              <w:rPr>
                <w:rFonts w:hint="eastAsia" w:ascii="宋体" w:hAnsi="宋体" w:cs="宋体"/>
                <w:color w:val="auto"/>
                <w:kern w:val="21"/>
                <w:sz w:val="18"/>
                <w:szCs w:val="18"/>
              </w:rPr>
              <w:t>招标要求</w:t>
            </w:r>
          </w:p>
        </w:tc>
        <w:tc>
          <w:tcPr>
            <w:tcW w:w="1458" w:type="dxa"/>
            <w:tcBorders>
              <w:top w:val="single" w:color="auto" w:sz="8" w:space="0"/>
              <w:left w:val="single" w:color="auto" w:sz="4" w:space="0"/>
              <w:bottom w:val="single" w:color="auto" w:sz="4" w:space="0"/>
              <w:right w:val="single" w:color="auto" w:sz="8" w:space="0"/>
            </w:tcBorders>
            <w:vAlign w:val="center"/>
          </w:tcPr>
          <w:p>
            <w:pPr>
              <w:topLinePunct/>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投标产品规格/要求</w:t>
            </w:r>
          </w:p>
        </w:tc>
        <w:tc>
          <w:tcPr>
            <w:tcW w:w="1105" w:type="dxa"/>
            <w:tcBorders>
              <w:top w:val="single" w:color="auto" w:sz="8" w:space="0"/>
              <w:left w:val="single" w:color="auto" w:sz="4" w:space="0"/>
              <w:bottom w:val="single" w:color="auto" w:sz="4" w:space="0"/>
              <w:right w:val="single" w:color="auto" w:sz="8" w:space="0"/>
            </w:tcBorders>
            <w:vAlign w:val="center"/>
          </w:tcPr>
          <w:p>
            <w:pPr>
              <w:topLinePunct/>
              <w:snapToGrid w:val="0"/>
              <w:jc w:val="center"/>
              <w:rPr>
                <w:rFonts w:ascii="宋体" w:hAnsi="宋体" w:cs="宋体"/>
                <w:color w:val="auto"/>
                <w:kern w:val="21"/>
                <w:sz w:val="18"/>
                <w:szCs w:val="18"/>
              </w:rPr>
            </w:pPr>
            <w:r>
              <w:rPr>
                <w:rFonts w:hint="eastAsia" w:ascii="宋体" w:hAnsi="宋体"/>
                <w:color w:val="auto"/>
                <w:sz w:val="18"/>
                <w:szCs w:val="18"/>
              </w:rPr>
              <w:t>响应程度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053" w:type="dxa"/>
            <w:gridSpan w:val="6"/>
            <w:tcBorders>
              <w:top w:val="single" w:color="auto" w:sz="8" w:space="0"/>
              <w:left w:val="single" w:color="auto" w:sz="8" w:space="0"/>
              <w:bottom w:val="single" w:color="auto" w:sz="4" w:space="0"/>
              <w:right w:val="single" w:color="auto" w:sz="8" w:space="0"/>
            </w:tcBorders>
            <w:vAlign w:val="center"/>
          </w:tcPr>
          <w:p>
            <w:pPr>
              <w:topLinePunct/>
              <w:snapToGrid w:val="0"/>
              <w:jc w:val="center"/>
              <w:rPr>
                <w:rFonts w:ascii="宋体" w:hAnsi="宋体" w:cs="宋体"/>
                <w:b/>
                <w:color w:val="auto"/>
                <w:kern w:val="21"/>
                <w:sz w:val="18"/>
                <w:szCs w:val="18"/>
              </w:rPr>
            </w:pPr>
            <w:r>
              <w:rPr>
                <w:rFonts w:hint="eastAsia" w:ascii="宋体" w:hAnsi="宋体" w:cs="宋体"/>
                <w:b/>
                <w:color w:val="auto"/>
                <w:kern w:val="21"/>
                <w:sz w:val="18"/>
                <w:szCs w:val="18"/>
              </w:rPr>
              <w:t>一、车辆改装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686"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车内饰拆除 及恢复</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21"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为预埋线缆及车体加强等，对车内饰进行拆除与恢复。</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车体加固</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2"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包含但不限于对车顶设备、机柜、座椅、 发电机等安装位置预埋件焊接及车体整体 加固，车顶同时站立2人，车顶不变形。</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bottom"/>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车顶造型</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根据整车外观设计，不影响微波信号收发。</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车顶平台</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加装车顶平台，钢骨架+花纹铝板，防滑处 理，过线孔为弯管，防水处理，带走线槽。</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bottom"/>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不锈钢后爬 梯</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不锈钢防滑后爬梯，尺寸根据车体定制。</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车辆内饰</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平台装饰材料选用阻燃材料，具有隔热、 防水、防火、防静电、防污染等特点，易清洁。</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383"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机柜</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骨架釆用≥2mm冷轧钢板数控折弯成型，整体焊接而成；机柜表面整体酸洗磷化后喷塑制作，安装设备后，剩余不低于5U机柜空间。</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383"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val="en-US" w:eastAsia="zh-CN" w:bidi="ar-SA"/>
              </w:rPr>
            </w:pPr>
            <w:r>
              <w:rPr>
                <w:rFonts w:hint="eastAsia" w:asciiTheme="minorEastAsia" w:hAnsiTheme="minorEastAsia" w:eastAsiaTheme="minorEastAsia"/>
                <w:color w:val="auto"/>
                <w:kern w:val="0"/>
                <w:sz w:val="18"/>
                <w:szCs w:val="18"/>
              </w:rPr>
              <w:t>后舱电视隔墙</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val="en-US" w:eastAsia="zh-CN" w:bidi="ar-SA"/>
              </w:rPr>
            </w:pPr>
            <w:r>
              <w:rPr>
                <w:rFonts w:hint="eastAsia" w:asciiTheme="minorEastAsia" w:hAnsiTheme="minorEastAsia" w:eastAsiaTheme="minorEastAsia"/>
                <w:color w:val="auto"/>
                <w:kern w:val="0"/>
                <w:sz w:val="18"/>
                <w:szCs w:val="18"/>
              </w:rPr>
              <w:t>双层隔断、pu包覆内设电视支架</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383"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olor w:val="auto"/>
                <w:kern w:val="0"/>
                <w:sz w:val="18"/>
                <w:szCs w:val="18"/>
              </w:rPr>
            </w:pPr>
            <w:r>
              <w:rPr>
                <w:rFonts w:hint="eastAsia" w:asciiTheme="minorEastAsia" w:hAnsiTheme="minorEastAsia" w:eastAsiaTheme="minorEastAsia"/>
                <w:color w:val="auto"/>
                <w:kern w:val="0"/>
                <w:sz w:val="18"/>
                <w:szCs w:val="18"/>
              </w:rPr>
              <w:t>后舱储物架</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olor w:val="auto"/>
                <w:kern w:val="0"/>
                <w:sz w:val="18"/>
                <w:szCs w:val="18"/>
                <w:lang w:eastAsia="zh-CN"/>
              </w:rPr>
            </w:pPr>
            <w:r>
              <w:rPr>
                <w:rFonts w:hint="eastAsia" w:asciiTheme="minorEastAsia" w:hAnsiTheme="minorEastAsia" w:eastAsiaTheme="minorEastAsia"/>
                <w:color w:val="auto"/>
                <w:kern w:val="0"/>
                <w:sz w:val="18"/>
                <w:szCs w:val="18"/>
                <w:lang w:eastAsia="zh-CN"/>
              </w:rPr>
              <w:t>1套</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强化地板</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耐腐防水，约7平方米，选用复合木地板，防滑耐磨。</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val="en-US" w:eastAsia="zh-CN" w:bidi="ar-SA"/>
              </w:rPr>
            </w:pPr>
            <w:r>
              <w:rPr>
                <w:rFonts w:hint="eastAsia" w:asciiTheme="minorEastAsia" w:hAnsiTheme="minorEastAsia" w:eastAsiaTheme="minorEastAsia" w:cstheme="minorBidi"/>
                <w:color w:val="auto"/>
                <w:sz w:val="18"/>
                <w:szCs w:val="18"/>
                <w:lang w:val="en-US" w:eastAsia="zh-CN" w:bidi="ar-SA"/>
              </w:rPr>
              <w:t>会议座椅</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真皮/2点式安全带,翻折角度≥9</w:t>
            </w:r>
            <w:r>
              <w:rPr>
                <w:rFonts w:asciiTheme="minorEastAsia" w:hAnsiTheme="minorEastAsia" w:eastAsiaTheme="minorEastAsia" w:cstheme="minorBidi"/>
                <w:color w:val="auto"/>
                <w:sz w:val="18"/>
                <w:szCs w:val="18"/>
                <w:lang w:val="en-US" w:eastAsia="zh-CN" w:bidi="ar-SA"/>
              </w:rPr>
              <w:t>0</w:t>
            </w:r>
            <w:r>
              <w:rPr>
                <w:rFonts w:hint="eastAsia" w:asciiTheme="minorEastAsia" w:hAnsiTheme="minorEastAsia" w:eastAsiaTheme="minorEastAsia" w:cstheme="minorBidi"/>
                <w:color w:val="auto"/>
                <w:sz w:val="18"/>
                <w:szCs w:val="18"/>
                <w:lang w:val="en-US" w:eastAsia="zh-CN" w:bidi="ar-SA"/>
              </w:rPr>
              <w:t>°。</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213"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val="en-US" w:eastAsia="zh-CN" w:bidi="ar-SA"/>
              </w:rPr>
            </w:pPr>
            <w:r>
              <w:rPr>
                <w:rFonts w:hint="eastAsia" w:asciiTheme="minorEastAsia" w:hAnsiTheme="minorEastAsia" w:eastAsiaTheme="minorEastAsia" w:cstheme="minorBidi"/>
                <w:color w:val="auto"/>
                <w:sz w:val="18"/>
                <w:szCs w:val="18"/>
                <w:lang w:val="en-US" w:eastAsia="zh-CN" w:bidi="ar-SA"/>
              </w:rPr>
              <w:t>会议桌</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val="en-US" w:eastAsia="zh-CN" w:bidi="ar-SA"/>
              </w:rPr>
            </w:pPr>
            <w:r>
              <w:rPr>
                <w:rFonts w:hint="eastAsia" w:asciiTheme="minorEastAsia" w:hAnsiTheme="minorEastAsia" w:eastAsiaTheme="minorEastAsia"/>
                <w:color w:val="auto"/>
                <w:kern w:val="0"/>
                <w:sz w:val="18"/>
                <w:szCs w:val="18"/>
              </w:rPr>
              <w:t>木质，高档环保漆面。适合</w:t>
            </w:r>
            <w:r>
              <w:rPr>
                <w:rFonts w:hint="eastAsia" w:asciiTheme="minorEastAsia" w:hAnsiTheme="minorEastAsia" w:eastAsiaTheme="minorEastAsia"/>
                <w:color w:val="auto"/>
                <w:kern w:val="0"/>
                <w:sz w:val="18"/>
                <w:szCs w:val="18"/>
                <w:lang w:val="en-US" w:eastAsia="zh-CN"/>
              </w:rPr>
              <w:t>5</w:t>
            </w:r>
            <w:r>
              <w:rPr>
                <w:rFonts w:hint="eastAsia" w:asciiTheme="minorEastAsia" w:hAnsiTheme="minorEastAsia" w:eastAsiaTheme="minorEastAsia"/>
                <w:color w:val="auto"/>
                <w:kern w:val="0"/>
                <w:sz w:val="18"/>
                <w:szCs w:val="18"/>
                <w:lang w:eastAsia="zh-CN"/>
              </w:rPr>
              <w:t>人</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车内装饰</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整车软包内饰等</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贴膜</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tabs>
                <w:tab w:val="left" w:pos="418"/>
              </w:tabs>
              <w:spacing w:line="232" w:lineRule="exact"/>
              <w:jc w:val="left"/>
              <w:rPr>
                <w:rFonts w:asciiTheme="minorEastAsia" w:hAnsiTheme="minorEastAsia" w:eastAsiaTheme="minorEastAsia" w:cstheme="minorBidi"/>
                <w:color w:val="auto"/>
                <w:sz w:val="18"/>
                <w:szCs w:val="18"/>
                <w:lang w:val="en-US" w:eastAsia="zh-CN" w:bidi="ar-SA"/>
              </w:rPr>
            </w:pPr>
            <w:r>
              <w:rPr>
                <w:rFonts w:hint="eastAsia" w:asciiTheme="minorEastAsia" w:hAnsiTheme="minorEastAsia" w:eastAsiaTheme="minorEastAsia" w:cstheme="minorBidi"/>
                <w:color w:val="auto"/>
                <w:sz w:val="18"/>
                <w:szCs w:val="18"/>
                <w:lang w:val="en-US" w:eastAsia="zh-CN" w:bidi="ar-SA"/>
              </w:rPr>
              <w:t>（1）全车玻璃窗贴3M太阳膜（前风挡除 外），会议舱外不能通过玻璃窗看到车内。</w:t>
            </w:r>
          </w:p>
          <w:p>
            <w:pPr>
              <w:pStyle w:val="26"/>
              <w:tabs>
                <w:tab w:val="left" w:pos="397"/>
              </w:tabs>
              <w:spacing w:line="232" w:lineRule="exact"/>
              <w:jc w:val="left"/>
              <w:rPr>
                <w:rFonts w:asciiTheme="minorEastAsia" w:hAnsiTheme="minorEastAsia" w:eastAsiaTheme="minorEastAsia" w:cstheme="minorBidi"/>
                <w:color w:val="auto"/>
                <w:sz w:val="18"/>
                <w:szCs w:val="18"/>
                <w:lang w:bidi="ar-SA"/>
              </w:rPr>
            </w:pPr>
            <w:r>
              <w:rPr>
                <w:rFonts w:hint="eastAsia" w:asciiTheme="minorEastAsia" w:hAnsiTheme="minorEastAsia" w:eastAsiaTheme="minorEastAsia" w:cstheme="minorBidi"/>
                <w:color w:val="auto"/>
                <w:sz w:val="18"/>
                <w:szCs w:val="18"/>
                <w:lang w:val="en-US" w:eastAsia="zh-CN" w:bidi="ar-SA"/>
              </w:rPr>
              <w:t>（2）贴膜平整，周边整齐平整，无气泡及划痕等缺陷。</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油漆及美容</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车身喷涂颜色由用户自定，釆用环保金属漆，亮度高、抗紫外线能力强，保光保色好。</w:t>
            </w:r>
          </w:p>
        </w:tc>
        <w:tc>
          <w:tcPr>
            <w:tcW w:w="1458"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8"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辅料</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bidi="ar-SA"/>
              </w:rPr>
            </w:pPr>
            <w:r>
              <w:rPr>
                <w:rFonts w:hint="eastAsia" w:eastAsiaTheme="minorEastAsia" w:cstheme="minorBidi"/>
                <w:color w:val="auto"/>
                <w:sz w:val="18"/>
                <w:szCs w:val="18"/>
                <w:lang w:val="en-US" w:eastAsia="zh-CN" w:bidi="ar-SA"/>
              </w:rPr>
              <w:t>包括专用胶类、小型五金件、标准件、密封条、压条、固定支架等，釆用环保胶。</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419" w:hRule="atLeast"/>
          <w:jc w:val="center"/>
        </w:trPr>
        <w:tc>
          <w:tcPr>
            <w:tcW w:w="9047" w:type="dxa"/>
            <w:gridSpan w:val="5"/>
            <w:tcBorders>
              <w:top w:val="single" w:color="auto" w:sz="4" w:space="0"/>
              <w:left w:val="single" w:color="auto" w:sz="8"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b/>
                <w:color w:val="auto"/>
                <w:kern w:val="21"/>
                <w:sz w:val="18"/>
                <w:szCs w:val="18"/>
              </w:rPr>
              <w:t>二、设备配置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多功能一体打印机</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彩色激光打印/复印/扫描</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color w:val="auto"/>
                <w:sz w:val="18"/>
                <w:szCs w:val="18"/>
              </w:rPr>
              <w:t>★</w:t>
            </w:r>
            <w:r>
              <w:rPr>
                <w:rFonts w:hint="eastAsia" w:eastAsiaTheme="minorEastAsia" w:cstheme="minorBidi"/>
                <w:color w:val="auto"/>
                <w:sz w:val="18"/>
                <w:szCs w:val="18"/>
                <w:lang w:val="en-US" w:eastAsia="zh-CN" w:bidi="ar-SA"/>
              </w:rPr>
              <w:t>通讯图传系统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车顶高清云台摄像机、高清摄像头、全向麦克风等。</w:t>
            </w:r>
          </w:p>
          <w:p>
            <w:pPr>
              <w:pStyle w:val="26"/>
              <w:spacing w:line="226" w:lineRule="exact"/>
              <w:jc w:val="left"/>
              <w:rPr>
                <w:rFonts w:asciiTheme="minorEastAsia" w:hAnsiTheme="minorEastAsia" w:eastAsiaTheme="minorEastAsia"/>
                <w:color w:val="auto"/>
                <w:kern w:val="0"/>
                <w:sz w:val="18"/>
                <w:szCs w:val="18"/>
              </w:rPr>
            </w:pPr>
            <w:r>
              <w:rPr>
                <w:rFonts w:hint="eastAsia" w:asciiTheme="minorEastAsia" w:hAnsiTheme="minorEastAsia" w:eastAsiaTheme="minorEastAsia"/>
                <w:color w:val="auto"/>
                <w:kern w:val="0"/>
                <w:sz w:val="18"/>
                <w:szCs w:val="18"/>
                <w:lang w:eastAsia="zh-CN"/>
              </w:rPr>
              <w:t>≥4路</w:t>
            </w:r>
            <w:r>
              <w:rPr>
                <w:rFonts w:hint="eastAsia" w:asciiTheme="minorEastAsia" w:hAnsiTheme="minorEastAsia" w:eastAsiaTheme="minorEastAsia"/>
                <w:color w:val="auto"/>
                <w:kern w:val="0"/>
                <w:sz w:val="18"/>
                <w:szCs w:val="18"/>
              </w:rPr>
              <w:t>车载录像机（支持网络模块和GPS），全通道1080P。支持侧翻、撞车、急加速、急减速等事件检测并报警提示GPS。支持内置GPS/北斗双模，支持</w:t>
            </w:r>
            <w:r>
              <w:rPr>
                <w:rFonts w:hint="eastAsia" w:asciiTheme="minorEastAsia" w:hAnsiTheme="minorEastAsia" w:eastAsiaTheme="minorEastAsia"/>
                <w:color w:val="auto"/>
                <w:kern w:val="0"/>
                <w:sz w:val="18"/>
                <w:szCs w:val="18"/>
                <w:lang w:eastAsia="zh-CN"/>
              </w:rPr>
              <w:t>4</w:t>
            </w:r>
            <w:r>
              <w:rPr>
                <w:rFonts w:asciiTheme="minorEastAsia" w:hAnsiTheme="minorEastAsia" w:eastAsiaTheme="minorEastAsia"/>
                <w:color w:val="auto"/>
                <w:kern w:val="0"/>
                <w:sz w:val="18"/>
                <w:szCs w:val="18"/>
              </w:rPr>
              <w:t>G/5G</w:t>
            </w:r>
            <w:r>
              <w:rPr>
                <w:rFonts w:hint="eastAsia" w:asciiTheme="minorEastAsia" w:hAnsiTheme="minorEastAsia" w:eastAsiaTheme="minorEastAsia"/>
                <w:color w:val="auto"/>
                <w:kern w:val="0"/>
                <w:sz w:val="18"/>
                <w:szCs w:val="18"/>
              </w:rPr>
              <w:t>；</w:t>
            </w:r>
          </w:p>
          <w:p>
            <w:pPr>
              <w:pStyle w:val="26"/>
              <w:spacing w:line="226" w:lineRule="exact"/>
              <w:jc w:val="left"/>
              <w:rPr>
                <w:rFonts w:asciiTheme="minorEastAsia" w:hAnsiTheme="minorEastAsia" w:eastAsiaTheme="minorEastAsia"/>
                <w:color w:val="auto"/>
                <w:kern w:val="0"/>
                <w:sz w:val="18"/>
                <w:szCs w:val="18"/>
              </w:rPr>
            </w:pPr>
            <w:r>
              <w:rPr>
                <w:rFonts w:hint="eastAsia" w:asciiTheme="minorEastAsia" w:hAnsiTheme="minorEastAsia" w:eastAsiaTheme="minorEastAsia"/>
                <w:color w:val="auto"/>
                <w:kern w:val="0"/>
                <w:sz w:val="18"/>
                <w:szCs w:val="18"/>
                <w:lang w:eastAsia="zh-CN"/>
              </w:rPr>
              <w:t>≥</w:t>
            </w:r>
            <w:r>
              <w:rPr>
                <w:rFonts w:hint="eastAsia" w:asciiTheme="minorEastAsia" w:hAnsiTheme="minorEastAsia" w:eastAsiaTheme="minorEastAsia"/>
                <w:color w:val="auto"/>
                <w:kern w:val="0"/>
                <w:sz w:val="18"/>
                <w:szCs w:val="18"/>
              </w:rPr>
              <w:t>200万红外定焦枪型网络摄像机，带报警输入输出，支持多种主流协议及视频压缩标准，存储支持</w:t>
            </w:r>
            <w:r>
              <w:rPr>
                <w:rFonts w:hint="eastAsia" w:asciiTheme="minorEastAsia" w:hAnsiTheme="minorEastAsia" w:eastAsiaTheme="minorEastAsia"/>
                <w:color w:val="auto"/>
                <w:kern w:val="0"/>
                <w:sz w:val="18"/>
                <w:szCs w:val="18"/>
                <w:lang w:eastAsia="zh-CN"/>
              </w:rPr>
              <w:t>2</w:t>
            </w:r>
            <w:r>
              <w:rPr>
                <w:rFonts w:asciiTheme="minorEastAsia" w:hAnsiTheme="minorEastAsia" w:eastAsiaTheme="minorEastAsia"/>
                <w:color w:val="auto"/>
                <w:kern w:val="0"/>
                <w:sz w:val="18"/>
                <w:szCs w:val="18"/>
              </w:rPr>
              <w:t>56G</w:t>
            </w:r>
            <w:r>
              <w:rPr>
                <w:rFonts w:hint="eastAsia" w:asciiTheme="minorEastAsia" w:hAnsiTheme="minorEastAsia" w:eastAsiaTheme="minorEastAsia"/>
                <w:color w:val="auto"/>
                <w:kern w:val="0"/>
                <w:sz w:val="18"/>
                <w:szCs w:val="18"/>
              </w:rPr>
              <w:t>及以上；</w:t>
            </w:r>
          </w:p>
          <w:p>
            <w:pPr>
              <w:pStyle w:val="26"/>
              <w:spacing w:line="226" w:lineRule="exact"/>
              <w:jc w:val="left"/>
              <w:rPr>
                <w:rFonts w:asciiTheme="minorEastAsia" w:hAnsiTheme="minorEastAsia" w:eastAsiaTheme="minorEastAsia"/>
                <w:color w:val="auto"/>
                <w:kern w:val="0"/>
                <w:sz w:val="18"/>
                <w:szCs w:val="18"/>
              </w:rPr>
            </w:pPr>
            <w:r>
              <w:rPr>
                <w:rFonts w:hint="eastAsia" w:asciiTheme="minorEastAsia" w:hAnsiTheme="minorEastAsia" w:eastAsiaTheme="minorEastAsia"/>
                <w:color w:val="auto"/>
                <w:kern w:val="0"/>
                <w:sz w:val="18"/>
                <w:szCs w:val="18"/>
              </w:rPr>
              <w:t>不低于43英寸 4k显示器 广视角低蓝光；</w:t>
            </w:r>
          </w:p>
          <w:p>
            <w:pPr>
              <w:pStyle w:val="26"/>
              <w:spacing w:line="226" w:lineRule="exact"/>
              <w:jc w:val="left"/>
              <w:rPr>
                <w:rFonts w:eastAsia="PMingLiU" w:asciiTheme="minorEastAsia" w:hAnsiTheme="minorEastAsia"/>
                <w:color w:val="auto"/>
                <w:kern w:val="0"/>
                <w:sz w:val="18"/>
                <w:szCs w:val="18"/>
              </w:rPr>
            </w:pPr>
            <w:r>
              <w:rPr>
                <w:rFonts w:hint="eastAsia" w:asciiTheme="minorEastAsia" w:hAnsiTheme="minorEastAsia" w:eastAsiaTheme="minorEastAsia"/>
                <w:color w:val="auto"/>
                <w:kern w:val="0"/>
                <w:sz w:val="18"/>
                <w:szCs w:val="18"/>
              </w:rPr>
              <w:t>高性能≥400万像素半球摄像机，</w:t>
            </w:r>
            <w:r>
              <w:rPr>
                <w:rFonts w:hint="eastAsia" w:asciiTheme="minorEastAsia" w:hAnsiTheme="minorEastAsia" w:eastAsiaTheme="minorEastAsia"/>
                <w:color w:val="auto"/>
                <w:kern w:val="0"/>
                <w:sz w:val="18"/>
                <w:szCs w:val="18"/>
                <w:lang w:eastAsia="zh-CN"/>
              </w:rPr>
              <w:t>不少于</w:t>
            </w:r>
            <w:r>
              <w:rPr>
                <w:rFonts w:asciiTheme="minorEastAsia" w:hAnsiTheme="minorEastAsia" w:eastAsiaTheme="minorEastAsia"/>
                <w:color w:val="auto"/>
                <w:kern w:val="0"/>
                <w:sz w:val="18"/>
                <w:szCs w:val="18"/>
              </w:rPr>
              <w:t>3</w:t>
            </w:r>
            <w:r>
              <w:rPr>
                <w:rFonts w:hint="eastAsia" w:asciiTheme="minorEastAsia" w:hAnsiTheme="minorEastAsia" w:eastAsiaTheme="minorEastAsia"/>
                <w:color w:val="auto"/>
                <w:kern w:val="0"/>
                <w:sz w:val="18"/>
                <w:szCs w:val="18"/>
              </w:rPr>
              <w:t>个，内置高效红外补光灯，最大红外监控距离20米。支持走廊模式，宽动态，3D降噪，强光抑制，背光补偿，数字水印，适用不同监控环境；</w:t>
            </w:r>
          </w:p>
          <w:p>
            <w:pPr>
              <w:pStyle w:val="26"/>
              <w:spacing w:line="226" w:lineRule="exact"/>
              <w:jc w:val="left"/>
              <w:rPr>
                <w:rFonts w:asciiTheme="minorEastAsia" w:hAnsiTheme="minorEastAsia" w:eastAsiaTheme="minorEastAsia" w:cstheme="minorBidi"/>
                <w:color w:val="auto"/>
                <w:sz w:val="18"/>
                <w:szCs w:val="18"/>
                <w:lang w:val="en-US" w:bidi="ar-SA"/>
              </w:rPr>
            </w:pPr>
            <w:r>
              <w:rPr>
                <w:rFonts w:hint="eastAsia" w:asciiTheme="minorEastAsia" w:hAnsiTheme="minorEastAsia" w:eastAsiaTheme="minorEastAsia"/>
                <w:color w:val="auto"/>
                <w:kern w:val="0"/>
                <w:sz w:val="18"/>
                <w:szCs w:val="18"/>
              </w:rPr>
              <w:t>单兵接收机，车顶天线，单兵包、便携式卫星、等</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color w:val="auto"/>
                <w:sz w:val="18"/>
                <w:szCs w:val="18"/>
              </w:rPr>
              <w:t>★</w:t>
            </w:r>
            <w:r>
              <w:rPr>
                <w:rFonts w:hint="eastAsia" w:eastAsiaTheme="minorEastAsia" w:cstheme="minorBidi"/>
                <w:color w:val="auto"/>
                <w:sz w:val="18"/>
                <w:szCs w:val="18"/>
                <w:lang w:val="en-US" w:eastAsia="zh-CN" w:bidi="ar-SA"/>
              </w:rPr>
              <w:t>广播系统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无线麦克风、功放、先科车内扬声器</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静音发电机</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汽油，额定功率≥</w:t>
            </w:r>
            <w:r>
              <w:rPr>
                <w:rFonts w:eastAsiaTheme="minorEastAsia" w:cstheme="minorBidi"/>
                <w:color w:val="auto"/>
                <w:sz w:val="18"/>
                <w:szCs w:val="18"/>
                <w:lang w:val="en-US" w:eastAsia="zh-CN" w:bidi="ar-SA"/>
              </w:rPr>
              <w:t>50</w:t>
            </w:r>
            <w:r>
              <w:rPr>
                <w:rFonts w:hint="eastAsia" w:eastAsiaTheme="minorEastAsia" w:cstheme="minorBidi"/>
                <w:color w:val="auto"/>
                <w:sz w:val="18"/>
                <w:szCs w:val="18"/>
                <w:lang w:val="en-US" w:eastAsia="zh-CN" w:bidi="ar-SA"/>
              </w:rPr>
              <w:t>00W,输出电压AC230V,噪音≤6</w:t>
            </w:r>
            <w:r>
              <w:rPr>
                <w:rFonts w:eastAsiaTheme="minorEastAsia" w:cstheme="minorBidi"/>
                <w:color w:val="auto"/>
                <w:sz w:val="18"/>
                <w:szCs w:val="18"/>
                <w:lang w:val="en-US" w:eastAsia="zh-CN" w:bidi="ar-SA"/>
              </w:rPr>
              <w:t>2db</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笔记本电脑</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26"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配置不低于:17-11800H八核RTX3050-4G 独显16G内存512G固态</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电动翻转云台</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0-90°翻转，电动控制</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充逆变一体机</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w:t>
            </w:r>
            <w:r>
              <w:rPr>
                <w:rFonts w:eastAsiaTheme="minorEastAsia" w:cstheme="minorBidi"/>
                <w:color w:val="auto"/>
                <w:sz w:val="18"/>
                <w:szCs w:val="18"/>
                <w:lang w:val="en-US" w:eastAsia="zh-CN" w:bidi="ar-SA"/>
              </w:rPr>
              <w:t>5</w:t>
            </w:r>
            <w:r>
              <w:rPr>
                <w:rFonts w:hint="eastAsia" w:eastAsiaTheme="minorEastAsia" w:cstheme="minorBidi"/>
                <w:color w:val="auto"/>
                <w:sz w:val="18"/>
                <w:szCs w:val="18"/>
                <w:lang w:val="en-US" w:eastAsia="zh-CN" w:bidi="ar-SA"/>
              </w:rPr>
              <w:t>KW,输出 AC230V</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免维护蓄电池</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≥700AH, DC12V</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1266"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color w:val="auto"/>
                <w:sz w:val="18"/>
                <w:szCs w:val="18"/>
              </w:rPr>
              <w:t>★</w:t>
            </w:r>
            <w:r>
              <w:rPr>
                <w:rFonts w:hint="eastAsia" w:eastAsiaTheme="minorEastAsia" w:cstheme="minorBidi"/>
                <w:color w:val="auto"/>
                <w:sz w:val="18"/>
                <w:szCs w:val="18"/>
                <w:lang w:val="en-US" w:eastAsia="zh-CN" w:bidi="ar-SA"/>
              </w:rPr>
              <w:t>配电系统设计</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（1）根据使用需求，对车辆配电改装，含防雷接地功能</w:t>
            </w:r>
          </w:p>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（2）具备过压≥AC280V/欠压≤AC160（@AC220V供电时）断电，线路电压恢复正常时，供电自动恢复</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438"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color w:val="auto"/>
                <w:sz w:val="18"/>
                <w:szCs w:val="18"/>
              </w:rPr>
            </w:pPr>
            <w:r>
              <w:rPr>
                <w:rFonts w:hint="eastAsia"/>
                <w:color w:val="auto"/>
                <w:sz w:val="18"/>
                <w:szCs w:val="18"/>
              </w:rPr>
              <w:t>车载空调</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无线遥控，顶置，静音型</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438"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hint="default" w:eastAsia="宋体"/>
                <w:color w:val="auto"/>
                <w:sz w:val="18"/>
                <w:szCs w:val="18"/>
                <w:lang w:val="en-US" w:eastAsia="zh-CN"/>
              </w:rPr>
            </w:pPr>
            <w:r>
              <w:rPr>
                <w:rFonts w:hint="eastAsia"/>
                <w:color w:val="auto"/>
                <w:sz w:val="18"/>
                <w:szCs w:val="18"/>
                <w:lang w:val="en-US" w:eastAsia="zh-CN"/>
              </w:rPr>
              <w:t>车载冰箱</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default"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嵌入式安装，装于置物台下</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hint="eastAsia"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438"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hint="default"/>
                <w:color w:val="auto"/>
                <w:sz w:val="18"/>
                <w:szCs w:val="18"/>
                <w:lang w:val="en-US" w:eastAsia="zh-CN"/>
              </w:rPr>
            </w:pPr>
            <w:r>
              <w:rPr>
                <w:rFonts w:hint="eastAsia"/>
                <w:color w:val="auto"/>
                <w:sz w:val="18"/>
                <w:szCs w:val="18"/>
                <w:lang w:val="en-US" w:eastAsia="zh-CN"/>
              </w:rPr>
              <w:t>车载饮水系统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default"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随车小型饮水机</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hint="eastAsia"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eastAsia"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车内照明系统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eastAsia"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车内LED照明灯，照度均衡，亮度不小于100流明</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eastAsia"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车外照明系统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eastAsia"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LED泛光场地灯+自动升降360旋转LED 6KW远距离照明。</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行车记录仪</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前后高清摄像头，配≥64G存储卡</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倒车影像及倒车雷达</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高清倒车影像及四点倒车雷达</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trHeight w:val="339" w:hRule="atLeas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灭火器</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2KG二氧化碳、2KG干粉各1支</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★车辆厢舱工艺</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车辆厢舱作为改装车辆重要的组成部件，应具备优良制作工艺确保整车功能性能及安全性能。制造商应提供自身车厢工艺优异的证明文件，如专利等证书</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★整车分区布置</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发电机组与升降灯隔离，预留工具存储空间</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★整车型式试验报告</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投标人需提供投标同型号车辆的3C证书及同型号车辆的强制检测报告</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★工信部公告</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投标人需提供投标同型号车辆的工信部网站检索证明</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★照明灯系统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高度不小于1.2米，单个灯头功率150W，灯组夜间照射距离30m，具备遥控升降、水平、垂直旋转</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其他辅助照明</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电压12V，LED高亮度、防水</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电器控制系统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 xml:space="preserve">车厢一侧独立集成控制箱 </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★云管理系统</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车辆、PC、手机远程联动</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★多功能输出舱</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发电机组电源分配、转换输出、外接电源输入（快速头+接线柱）市电输出/输入</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工具柜总成</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根据使用人设备需求设计增减</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5"/>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pStyle w:val="26"/>
              <w:jc w:val="left"/>
              <w:rPr>
                <w:rFonts w:hint="default"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烟感报警器</w:t>
            </w:r>
          </w:p>
        </w:tc>
        <w:tc>
          <w:tcPr>
            <w:tcW w:w="4059" w:type="dxa"/>
            <w:tcBorders>
              <w:top w:val="single" w:color="auto" w:sz="4" w:space="0"/>
              <w:left w:val="single" w:color="auto" w:sz="4" w:space="0"/>
              <w:bottom w:val="single" w:color="auto" w:sz="4" w:space="0"/>
              <w:right w:val="single" w:color="auto" w:sz="4" w:space="0"/>
            </w:tcBorders>
            <w:vAlign w:val="center"/>
          </w:tcPr>
          <w:p>
            <w:pPr>
              <w:pStyle w:val="26"/>
              <w:spacing w:line="215" w:lineRule="exact"/>
              <w:jc w:val="left"/>
              <w:rPr>
                <w:rFonts w:hint="default" w:eastAsiaTheme="minorEastAsia" w:cstheme="minorBidi"/>
                <w:color w:val="auto"/>
                <w:sz w:val="18"/>
                <w:szCs w:val="18"/>
                <w:lang w:val="en-US" w:eastAsia="zh-CN" w:bidi="ar-SA"/>
              </w:rPr>
            </w:pPr>
            <w:r>
              <w:rPr>
                <w:rFonts w:hint="eastAsia" w:eastAsiaTheme="minorEastAsia" w:cstheme="minorBidi"/>
                <w:color w:val="auto"/>
                <w:sz w:val="18"/>
                <w:szCs w:val="18"/>
                <w:lang w:val="en-US" w:eastAsia="zh-CN" w:bidi="ar-SA"/>
              </w:rPr>
              <w:t>车厢顶部安装烟雾报警器</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jc w:val="center"/>
              <w:rPr>
                <w:rFonts w:hint="eastAsia"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topLinePunct/>
              <w:autoSpaceDE w:val="0"/>
              <w:autoSpaceDN w:val="0"/>
              <w:snapToGrid w:val="0"/>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53" w:type="dxa"/>
            <w:gridSpan w:val="6"/>
            <w:tcBorders>
              <w:top w:val="single" w:color="auto" w:sz="4" w:space="0"/>
              <w:left w:val="single" w:color="auto" w:sz="8" w:space="0"/>
              <w:bottom w:val="single" w:color="auto" w:sz="4" w:space="0"/>
              <w:right w:val="single" w:color="auto" w:sz="8" w:space="0"/>
            </w:tcBorders>
            <w:vAlign w:val="center"/>
          </w:tcPr>
          <w:p>
            <w:pPr>
              <w:snapToGrid w:val="0"/>
              <w:jc w:val="center"/>
              <w:rPr>
                <w:rFonts w:ascii="宋体" w:hAnsi="宋体" w:cs="宋体"/>
                <w:b/>
                <w:color w:val="auto"/>
                <w:kern w:val="21"/>
                <w:sz w:val="18"/>
                <w:szCs w:val="18"/>
              </w:rPr>
            </w:pPr>
            <w:r>
              <w:rPr>
                <w:rFonts w:hint="eastAsia" w:ascii="宋体" w:hAnsi="宋体" w:cs="宋体"/>
                <w:b/>
                <w:color w:val="auto"/>
                <w:kern w:val="21"/>
                <w:sz w:val="18"/>
                <w:szCs w:val="18"/>
              </w:rPr>
              <w:t>二、车辆平台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color w:val="auto"/>
                <w:sz w:val="18"/>
                <w:szCs w:val="18"/>
              </w:rPr>
            </w:pPr>
            <w:r>
              <w:rPr>
                <w:rFonts w:hint="eastAsia" w:ascii="宋体" w:hAnsi="宋体" w:cs="宋体"/>
                <w:color w:val="auto"/>
                <w:sz w:val="18"/>
                <w:szCs w:val="18"/>
              </w:rPr>
              <w:t>★必须具备工信部改装公告目录及备案号</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sz w:val="18"/>
                <w:szCs w:val="18"/>
              </w:rPr>
            </w:pPr>
            <w:r>
              <w:rPr>
                <w:rFonts w:hint="eastAsia" w:ascii="宋体" w:hAnsi="宋体" w:cs="宋体"/>
                <w:color w:val="auto"/>
                <w:sz w:val="18"/>
                <w:szCs w:val="18"/>
                <w:lang w:val="en-US" w:eastAsia="zh-CN"/>
              </w:rPr>
              <w:t>指挥车</w:t>
            </w:r>
            <w:r>
              <w:rPr>
                <w:rFonts w:hint="eastAsia" w:ascii="宋体" w:hAnsi="宋体" w:cs="宋体"/>
                <w:color w:val="auto"/>
                <w:sz w:val="18"/>
                <w:szCs w:val="18"/>
              </w:rPr>
              <w:t>公告</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snapToGrid w:val="0"/>
              <w:jc w:val="center"/>
              <w:rPr>
                <w:rFonts w:ascii="宋体" w:hAnsi="宋体" w:cs="宋体"/>
                <w:color w:val="auto"/>
                <w:sz w:val="18"/>
                <w:szCs w:val="18"/>
              </w:rPr>
            </w:pPr>
            <w:r>
              <w:rPr>
                <w:rFonts w:hint="eastAsia" w:ascii="宋体" w:hAnsi="宋体" w:cs="宋体"/>
                <w:color w:val="auto"/>
                <w:sz w:val="18"/>
                <w:szCs w:val="18"/>
              </w:rPr>
              <w:t>（投标人填写目录号）</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ind w:firstLineChars="0"/>
              <w:jc w:val="center"/>
              <w:rPr>
                <w:rFonts w:ascii="宋体" w:hAnsi="宋体" w:cs="宋体"/>
                <w:color w:val="auto"/>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color w:val="auto"/>
                <w:sz w:val="18"/>
                <w:szCs w:val="18"/>
              </w:rPr>
            </w:pPr>
            <w:r>
              <w:rPr>
                <w:rFonts w:hint="eastAsia" w:ascii="宋体" w:hAnsi="宋体" w:cs="宋体"/>
                <w:color w:val="auto"/>
                <w:sz w:val="18"/>
                <w:szCs w:val="18"/>
              </w:rPr>
              <w:t>★功率（kW）</w:t>
            </w:r>
          </w:p>
        </w:tc>
        <w:tc>
          <w:tcPr>
            <w:tcW w:w="4059" w:type="dxa"/>
            <w:tcBorders>
              <w:top w:val="single" w:color="auto" w:sz="4" w:space="0"/>
              <w:left w:val="single" w:color="auto" w:sz="4" w:space="0"/>
              <w:bottom w:val="single" w:color="auto" w:sz="4" w:space="0"/>
              <w:right w:val="single" w:color="auto" w:sz="4" w:space="0"/>
            </w:tcBorders>
            <w:vAlign w:val="center"/>
          </w:tcPr>
          <w:p>
            <w:pPr>
              <w:jc w:val="left"/>
              <w:rPr>
                <w:rFonts w:hint="default" w:ascii="宋体" w:hAnsi="宋体" w:cs="宋体" w:eastAsiaTheme="minorEastAsia"/>
                <w:color w:val="auto"/>
                <w:sz w:val="18"/>
                <w:szCs w:val="18"/>
                <w:lang w:val="en-US" w:eastAsia="zh-CN"/>
              </w:rPr>
            </w:pPr>
            <w:r>
              <w:rPr>
                <w:rFonts w:hint="eastAsia" w:ascii="宋体" w:hAnsi="宋体" w:cs="宋体"/>
                <w:color w:val="auto"/>
                <w:kern w:val="21"/>
                <w:sz w:val="18"/>
                <w:szCs w:val="18"/>
              </w:rPr>
              <w:t>≥</w:t>
            </w:r>
            <w:r>
              <w:rPr>
                <w:rFonts w:hint="eastAsia" w:ascii="宋体" w:hAnsi="宋体" w:cs="宋体"/>
                <w:color w:val="auto"/>
                <w:sz w:val="18"/>
                <w:szCs w:val="18"/>
                <w:lang w:val="en-US" w:eastAsia="zh-CN"/>
              </w:rPr>
              <w:t>125</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ind w:firstLineChars="0"/>
              <w:jc w:val="center"/>
              <w:rPr>
                <w:rFonts w:ascii="宋体" w:hAnsi="宋体" w:cs="宋体"/>
                <w:color w:val="auto"/>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color w:val="auto"/>
                <w:sz w:val="18"/>
                <w:szCs w:val="18"/>
              </w:rPr>
            </w:pPr>
            <w:r>
              <w:rPr>
                <w:rFonts w:hint="eastAsia" w:ascii="宋体" w:hAnsi="宋体" w:cs="宋体"/>
                <w:color w:val="auto"/>
                <w:sz w:val="18"/>
                <w:szCs w:val="18"/>
              </w:rPr>
              <w:t>★环保标准</w:t>
            </w:r>
          </w:p>
        </w:tc>
        <w:tc>
          <w:tcPr>
            <w:tcW w:w="4059"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color w:val="auto"/>
                <w:kern w:val="21"/>
                <w:sz w:val="18"/>
                <w:szCs w:val="18"/>
              </w:rPr>
            </w:pPr>
            <w:r>
              <w:rPr>
                <w:rFonts w:hint="eastAsia" w:ascii="宋体" w:hAnsi="宋体" w:cs="宋体"/>
                <w:color w:val="auto"/>
                <w:kern w:val="21"/>
                <w:sz w:val="18"/>
                <w:szCs w:val="18"/>
              </w:rPr>
              <w:t>国Ⅵ排放</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燃料种类</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柴油</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排放依据标准</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国六</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转向系统</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液压助力转向</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轮胎数（含备胎）</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6个</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钢板弹簧片数</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-/3</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总质量</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lang w:val="en-US" w:eastAsia="zh-CN"/>
              </w:rPr>
              <w:t>≤</w:t>
            </w:r>
            <w:r>
              <w:rPr>
                <w:rFonts w:hint="eastAsia" w:ascii="宋体" w:hAnsi="宋体" w:cs="宋体"/>
                <w:color w:val="auto"/>
                <w:kern w:val="21"/>
                <w:sz w:val="18"/>
                <w:szCs w:val="18"/>
              </w:rPr>
              <w:t>4</w:t>
            </w:r>
            <w:r>
              <w:rPr>
                <w:rFonts w:hint="eastAsia" w:ascii="宋体" w:hAnsi="宋体" w:cs="宋体"/>
                <w:color w:val="auto"/>
                <w:kern w:val="21"/>
                <w:sz w:val="18"/>
                <w:szCs w:val="18"/>
                <w:lang w:val="en-US" w:eastAsia="zh-CN"/>
              </w:rPr>
              <w:t>49</w:t>
            </w:r>
            <w:r>
              <w:rPr>
                <w:rFonts w:ascii="宋体" w:hAnsi="宋体" w:cs="宋体"/>
                <w:color w:val="auto"/>
                <w:kern w:val="21"/>
                <w:sz w:val="18"/>
                <w:szCs w:val="18"/>
              </w:rPr>
              <w:t>0</w:t>
            </w:r>
            <w:r>
              <w:rPr>
                <w:rFonts w:hint="eastAsia" w:ascii="宋体" w:hAnsi="宋体" w:cs="宋体"/>
                <w:color w:val="auto"/>
                <w:kern w:val="21"/>
                <w:sz w:val="18"/>
                <w:szCs w:val="18"/>
              </w:rPr>
              <w:t>kg</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驾驶室准乘人数</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≥3人</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接近角</w:t>
            </w:r>
            <w:r>
              <w:rPr>
                <w:rFonts w:ascii="宋体" w:hAnsi="宋体" w:cs="宋体"/>
                <w:color w:val="auto"/>
                <w:kern w:val="21"/>
                <w:sz w:val="18"/>
                <w:szCs w:val="18"/>
              </w:rPr>
              <w:t>/</w:t>
            </w:r>
            <w:r>
              <w:rPr>
                <w:rFonts w:hint="eastAsia" w:ascii="宋体" w:hAnsi="宋体" w:cs="宋体"/>
                <w:color w:val="auto"/>
                <w:kern w:val="21"/>
                <w:sz w:val="18"/>
                <w:szCs w:val="18"/>
              </w:rPr>
              <w:t>离去角</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ind w:firstLineChars="0"/>
              <w:jc w:val="center"/>
              <w:rPr>
                <w:rFonts w:ascii="宋体" w:hAnsi="宋体" w:cs="宋体"/>
                <w:color w:val="auto"/>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最高车速</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w:t>
            </w:r>
            <w:r>
              <w:rPr>
                <w:rFonts w:ascii="宋体" w:hAnsi="宋体" w:cs="宋体"/>
                <w:color w:val="auto"/>
                <w:kern w:val="21"/>
                <w:sz w:val="18"/>
                <w:szCs w:val="18"/>
              </w:rPr>
              <w:t>1</w:t>
            </w:r>
            <w:r>
              <w:rPr>
                <w:rFonts w:hint="eastAsia" w:ascii="宋体" w:hAnsi="宋体" w:cs="宋体"/>
                <w:color w:val="auto"/>
                <w:kern w:val="21"/>
                <w:sz w:val="18"/>
                <w:szCs w:val="18"/>
                <w:lang w:val="en-US" w:eastAsia="zh-CN"/>
              </w:rPr>
              <w:t>30</w:t>
            </w:r>
            <w:r>
              <w:rPr>
                <w:rFonts w:hint="eastAsia" w:ascii="宋体" w:hAnsi="宋体" w:cs="宋体"/>
                <w:color w:val="auto"/>
                <w:kern w:val="21"/>
                <w:sz w:val="18"/>
                <w:szCs w:val="18"/>
              </w:rPr>
              <w:t>km/h</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kern w:val="21"/>
                <w:sz w:val="18"/>
                <w:szCs w:val="18"/>
              </w:rPr>
            </w:pPr>
            <w:r>
              <w:rPr>
                <w:rFonts w:hint="eastAsia" w:ascii="宋体" w:hAnsi="宋体" w:cs="宋体"/>
                <w:color w:val="auto"/>
                <w:kern w:val="21"/>
                <w:sz w:val="18"/>
                <w:szCs w:val="18"/>
              </w:rPr>
              <w:t>（</w:t>
            </w: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接近/离去角</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hint="eastAsia" w:ascii="宋体" w:hAnsi="宋体" w:cs="宋体" w:eastAsiaTheme="minorEastAsia"/>
                <w:color w:val="auto"/>
                <w:kern w:val="21"/>
                <w:sz w:val="18"/>
                <w:szCs w:val="18"/>
                <w:lang w:eastAsia="zh-CN"/>
              </w:rPr>
            </w:pPr>
            <w:r>
              <w:rPr>
                <w:rFonts w:hint="eastAsia" w:ascii="宋体" w:hAnsi="宋体" w:cs="宋体"/>
                <w:color w:val="auto"/>
                <w:kern w:val="21"/>
                <w:sz w:val="18"/>
                <w:szCs w:val="18"/>
              </w:rPr>
              <w:t>≥</w:t>
            </w:r>
            <w:r>
              <w:rPr>
                <w:rFonts w:ascii="宋体" w:hAnsi="宋体" w:cs="宋体"/>
                <w:color w:val="auto"/>
                <w:kern w:val="21"/>
                <w:sz w:val="18"/>
                <w:szCs w:val="18"/>
              </w:rPr>
              <w:t>2</w:t>
            </w:r>
            <w:r>
              <w:rPr>
                <w:rFonts w:hint="eastAsia" w:ascii="宋体" w:hAnsi="宋体" w:cs="宋体"/>
                <w:color w:val="auto"/>
                <w:kern w:val="21"/>
                <w:sz w:val="18"/>
                <w:szCs w:val="18"/>
                <w:lang w:val="en-US" w:eastAsia="zh-CN"/>
              </w:rPr>
              <w:t>3</w:t>
            </w:r>
            <w:r>
              <w:rPr>
                <w:rFonts w:ascii="宋体" w:hAnsi="宋体" w:cs="宋体"/>
                <w:color w:val="auto"/>
                <w:kern w:val="21"/>
                <w:sz w:val="18"/>
                <w:szCs w:val="18"/>
              </w:rPr>
              <w:t>/1</w:t>
            </w:r>
            <w:r>
              <w:rPr>
                <w:rFonts w:hint="eastAsia" w:ascii="宋体" w:hAnsi="宋体" w:cs="宋体"/>
                <w:color w:val="auto"/>
                <w:kern w:val="21"/>
                <w:sz w:val="18"/>
                <w:szCs w:val="18"/>
                <w:lang w:val="en-US" w:eastAsia="zh-CN"/>
              </w:rPr>
              <w:t>1</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车身外部颜色</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黄色</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车身外部标志</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南方电网VI</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sz w:val="18"/>
                <w:szCs w:val="18"/>
              </w:rPr>
            </w:pPr>
            <w:r>
              <w:rPr>
                <w:rFonts w:hint="eastAsia" w:ascii="宋体" w:hAnsi="宋体" w:cs="宋体"/>
                <w:color w:val="auto"/>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★售后服务报修系统</w:t>
            </w:r>
          </w:p>
        </w:tc>
        <w:tc>
          <w:tcPr>
            <w:tcW w:w="4059"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color w:val="auto"/>
                <w:kern w:val="21"/>
                <w:sz w:val="18"/>
                <w:szCs w:val="18"/>
              </w:rPr>
            </w:pPr>
            <w:r>
              <w:rPr>
                <w:rFonts w:ascii="宋体" w:hAnsi="宋体" w:cs="宋体"/>
                <w:color w:val="auto"/>
                <w:kern w:val="21"/>
                <w:sz w:val="18"/>
                <w:szCs w:val="18"/>
              </w:rPr>
              <w:t>可在故障发生的第一时间通过本系统进行报修。</w:t>
            </w:r>
          </w:p>
          <w:p>
            <w:pPr>
              <w:rPr>
                <w:rFonts w:ascii="宋体" w:hAnsi="宋体" w:cs="宋体"/>
                <w:color w:val="auto"/>
                <w:kern w:val="21"/>
                <w:sz w:val="18"/>
                <w:szCs w:val="18"/>
              </w:rPr>
            </w:pPr>
            <w:r>
              <w:rPr>
                <w:rFonts w:ascii="宋体" w:hAnsi="宋体" w:cs="宋体"/>
                <w:color w:val="auto"/>
                <w:kern w:val="21"/>
                <w:sz w:val="18"/>
                <w:szCs w:val="18"/>
              </w:rPr>
              <w:t>在报修时可根据实际情况提交故障说明、现场照片、维修地 点等详细信息。</w:t>
            </w:r>
          </w:p>
          <w:p>
            <w:pPr>
              <w:rPr>
                <w:rFonts w:ascii="宋体" w:hAnsi="宋体" w:cs="宋体"/>
                <w:color w:val="auto"/>
                <w:kern w:val="21"/>
                <w:sz w:val="18"/>
                <w:szCs w:val="18"/>
              </w:rPr>
            </w:pPr>
            <w:r>
              <w:rPr>
                <w:rFonts w:ascii="宋体" w:hAnsi="宋体" w:cs="宋体"/>
                <w:color w:val="auto"/>
                <w:kern w:val="21"/>
                <w:sz w:val="18"/>
                <w:szCs w:val="18"/>
              </w:rPr>
              <w:t>报修信息提交后，可登录系统查看报修项的进展、负责该项 目的售后工程师详情。</w:t>
            </w:r>
          </w:p>
          <w:p>
            <w:pPr>
              <w:rPr>
                <w:rFonts w:ascii="宋体" w:hAnsi="宋体" w:cs="宋体"/>
                <w:color w:val="auto"/>
                <w:kern w:val="21"/>
                <w:sz w:val="18"/>
                <w:szCs w:val="18"/>
              </w:rPr>
            </w:pPr>
            <w:r>
              <w:rPr>
                <w:rFonts w:ascii="宋体" w:hAnsi="宋体" w:cs="宋体"/>
                <w:color w:val="auto"/>
                <w:kern w:val="21"/>
                <w:sz w:val="18"/>
                <w:szCs w:val="18"/>
              </w:rPr>
              <w:t>报修项目完成后，可登录系统对本次售后服务进行评价与意 见反馈。</w:t>
            </w:r>
          </w:p>
          <w:p>
            <w:pPr>
              <w:rPr>
                <w:rFonts w:ascii="宋体" w:hAnsi="宋体" w:cs="宋体"/>
                <w:color w:val="auto"/>
                <w:kern w:val="21"/>
                <w:sz w:val="18"/>
                <w:szCs w:val="18"/>
              </w:rPr>
            </w:pPr>
            <w:r>
              <w:rPr>
                <w:rFonts w:ascii="宋体" w:hAnsi="宋体" w:cs="宋体"/>
                <w:color w:val="auto"/>
                <w:kern w:val="21"/>
                <w:sz w:val="18"/>
                <w:szCs w:val="18"/>
              </w:rPr>
              <w:t>可通过本系统，实时查看相关历史报修进度。</w:t>
            </w:r>
          </w:p>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提供系统内容证明材料</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pStyle w:val="20"/>
              <w:numPr>
                <w:ilvl w:val="0"/>
                <w:numId w:val="6"/>
              </w:numPr>
              <w:topLinePunct/>
              <w:snapToGrid w:val="0"/>
              <w:ind w:firstLineChars="0"/>
              <w:jc w:val="center"/>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★接地系统</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接地棒和截面≥25m㎡接地线20M及电缆收纳盘。接地线有自动回收功能。</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gridAfter w:val="1"/>
          <w:wAfter w:w="6" w:type="dxa"/>
          <w:cantSplit/>
          <w:jc w:val="center"/>
        </w:trPr>
        <w:tc>
          <w:tcPr>
            <w:tcW w:w="657" w:type="dxa"/>
            <w:tcBorders>
              <w:top w:val="single" w:color="auto" w:sz="4" w:space="0"/>
              <w:left w:val="single" w:color="auto" w:sz="8"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p>
        </w:tc>
        <w:tc>
          <w:tcPr>
            <w:tcW w:w="1768"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hint="eastAsia" w:ascii="宋体" w:hAnsi="宋体" w:cs="宋体"/>
                <w:color w:val="auto"/>
                <w:kern w:val="21"/>
                <w:sz w:val="18"/>
                <w:szCs w:val="18"/>
              </w:rPr>
              <w:t>★</w:t>
            </w:r>
            <w:r>
              <w:rPr>
                <w:rFonts w:ascii="宋体" w:hAnsi="宋体" w:cs="宋体"/>
                <w:color w:val="auto"/>
                <w:kern w:val="21"/>
                <w:sz w:val="18"/>
                <w:szCs w:val="18"/>
              </w:rPr>
              <w:t>授权函</w:t>
            </w:r>
          </w:p>
        </w:tc>
        <w:tc>
          <w:tcPr>
            <w:tcW w:w="4059" w:type="dxa"/>
            <w:tcBorders>
              <w:top w:val="single" w:color="auto" w:sz="4" w:space="0"/>
              <w:left w:val="single" w:color="auto" w:sz="4" w:space="0"/>
              <w:bottom w:val="single" w:color="auto" w:sz="4" w:space="0"/>
              <w:right w:val="single" w:color="auto" w:sz="4" w:space="0"/>
            </w:tcBorders>
            <w:vAlign w:val="center"/>
          </w:tcPr>
          <w:p>
            <w:pPr>
              <w:topLinePunct/>
              <w:snapToGrid w:val="0"/>
              <w:jc w:val="left"/>
              <w:rPr>
                <w:rFonts w:ascii="宋体" w:hAnsi="宋体" w:cs="宋体"/>
                <w:color w:val="auto"/>
                <w:kern w:val="21"/>
                <w:sz w:val="18"/>
                <w:szCs w:val="18"/>
              </w:rPr>
            </w:pPr>
            <w:r>
              <w:rPr>
                <w:rFonts w:ascii="宋体" w:hAnsi="宋体" w:cs="宋体"/>
                <w:color w:val="auto"/>
                <w:kern w:val="21"/>
                <w:sz w:val="18"/>
                <w:szCs w:val="18"/>
              </w:rPr>
              <w:t>若投标单位为代理商的，需提供投标产品制造商出具的授权函。制造商为国家工信部公告的汽车企业，本次投标型号的车辆已进入国家工信部公告的产品目录，符合现行 国家专用汽车的相关要求，并确保能在招标人当地上牌。</w:t>
            </w:r>
          </w:p>
        </w:tc>
        <w:tc>
          <w:tcPr>
            <w:tcW w:w="1458" w:type="dxa"/>
            <w:tcBorders>
              <w:top w:val="single" w:color="auto" w:sz="4" w:space="0"/>
              <w:left w:val="single" w:color="auto" w:sz="4" w:space="0"/>
              <w:bottom w:val="single" w:color="auto" w:sz="4" w:space="0"/>
              <w:right w:val="single" w:color="auto" w:sz="8" w:space="0"/>
            </w:tcBorders>
            <w:vAlign w:val="center"/>
          </w:tcPr>
          <w:p>
            <w:pPr>
              <w:topLinePunct/>
              <w:jc w:val="center"/>
              <w:rPr>
                <w:rFonts w:ascii="宋体" w:hAnsi="宋体" w:cs="宋体"/>
                <w:color w:val="auto"/>
                <w:kern w:val="21"/>
                <w:sz w:val="18"/>
                <w:szCs w:val="18"/>
              </w:rPr>
            </w:pPr>
            <w:r>
              <w:rPr>
                <w:rFonts w:hint="eastAsia" w:ascii="宋体" w:hAnsi="宋体" w:cs="宋体"/>
                <w:color w:val="auto"/>
                <w:kern w:val="21"/>
                <w:sz w:val="18"/>
                <w:szCs w:val="18"/>
              </w:rPr>
              <w:t>（投标人填写）</w:t>
            </w:r>
          </w:p>
        </w:tc>
        <w:tc>
          <w:tcPr>
            <w:tcW w:w="1105" w:type="dxa"/>
            <w:tcBorders>
              <w:top w:val="single" w:color="auto" w:sz="4" w:space="0"/>
              <w:left w:val="single" w:color="auto" w:sz="4" w:space="0"/>
              <w:bottom w:val="single" w:color="auto" w:sz="4" w:space="0"/>
              <w:right w:val="single" w:color="auto" w:sz="8" w:space="0"/>
            </w:tcBorders>
            <w:vAlign w:val="center"/>
          </w:tcPr>
          <w:p>
            <w:pPr>
              <w:snapToGrid w:val="0"/>
              <w:jc w:val="center"/>
              <w:rPr>
                <w:rFonts w:ascii="宋体" w:hAnsi="宋体" w:cs="宋体"/>
                <w:color w:val="auto"/>
                <w:kern w:val="21"/>
                <w:sz w:val="18"/>
                <w:szCs w:val="18"/>
              </w:rPr>
            </w:pPr>
          </w:p>
        </w:tc>
      </w:tr>
      <w:bookmarkEnd w:id="28"/>
    </w:tbl>
    <w:p>
      <w:pPr>
        <w:pStyle w:val="2"/>
        <w:numPr>
          <w:ilvl w:val="0"/>
          <w:numId w:val="0"/>
        </w:numPr>
        <w:snapToGrid/>
        <w:spacing w:beforeLines="0" w:line="480" w:lineRule="auto"/>
        <w:rPr>
          <w:rFonts w:hAnsi="宋体"/>
          <w:color w:val="auto"/>
          <w:sz w:val="24"/>
          <w:szCs w:val="24"/>
        </w:rPr>
      </w:pPr>
      <w:bookmarkStart w:id="56" w:name="_Toc8641"/>
      <w:r>
        <w:rPr>
          <w:rFonts w:hAnsi="宋体"/>
          <w:color w:val="auto"/>
          <w:sz w:val="24"/>
          <w:szCs w:val="24"/>
        </w:rPr>
        <w:t>6</w:t>
      </w:r>
      <w:r>
        <w:rPr>
          <w:rFonts w:hint="eastAsia" w:hAnsi="宋体"/>
          <w:color w:val="auto"/>
          <w:sz w:val="24"/>
          <w:szCs w:val="24"/>
        </w:rPr>
        <w:t xml:space="preserve"> 产品对环境的影响</w:t>
      </w:r>
      <w:bookmarkEnd w:id="56"/>
    </w:p>
    <w:p>
      <w:pPr>
        <w:pStyle w:val="18"/>
        <w:adjustRightInd w:val="0"/>
        <w:snapToGrid w:val="0"/>
        <w:spacing w:line="360" w:lineRule="auto"/>
        <w:ind w:firstLine="480"/>
        <w:rPr>
          <w:rFonts w:ascii="宋体" w:hAnsi="宋体" w:eastAsia="宋体" w:cs="Times New Roman"/>
          <w:color w:val="auto"/>
          <w:sz w:val="24"/>
          <w:szCs w:val="24"/>
        </w:rPr>
      </w:pPr>
      <w:bookmarkStart w:id="57" w:name="_Toc276492433"/>
      <w:bookmarkStart w:id="58" w:name="_Toc276490915"/>
      <w:r>
        <w:rPr>
          <w:rFonts w:ascii="宋体" w:hAnsi="宋体" w:eastAsia="宋体" w:cs="Times New Roman"/>
          <w:color w:val="auto"/>
          <w:sz w:val="24"/>
          <w:szCs w:val="24"/>
        </w:rPr>
        <w:t>制造厂应该提供有关设备对环境影响所需要的材料。任何已知的化学危险和环境危害应在手册或使用说明中明确。</w:t>
      </w:r>
    </w:p>
    <w:p>
      <w:pPr>
        <w:pStyle w:val="18"/>
        <w:adjustRightInd w:val="0"/>
        <w:snapToGrid w:val="0"/>
        <w:spacing w:line="360" w:lineRule="auto"/>
        <w:ind w:firstLine="480"/>
        <w:rPr>
          <w:rFonts w:ascii="宋体" w:hAnsi="宋体" w:eastAsia="宋体" w:cs="Times New Roman"/>
          <w:color w:val="auto"/>
          <w:sz w:val="24"/>
          <w:szCs w:val="24"/>
        </w:rPr>
      </w:pPr>
      <w:r>
        <w:rPr>
          <w:rFonts w:ascii="宋体" w:hAnsi="宋体" w:eastAsia="宋体" w:cs="Times New Roman"/>
          <w:color w:val="auto"/>
          <w:sz w:val="24"/>
          <w:szCs w:val="24"/>
        </w:rPr>
        <w:t>制造厂应该对有关设备的不同材料的使用寿命和拆除的程序给予必要的指导，对再循环使用的可能性给予简要说明。</w:t>
      </w:r>
    </w:p>
    <w:p>
      <w:pPr>
        <w:pStyle w:val="2"/>
        <w:numPr>
          <w:ilvl w:val="0"/>
          <w:numId w:val="0"/>
        </w:numPr>
        <w:snapToGrid/>
        <w:spacing w:beforeLines="0" w:line="480" w:lineRule="auto"/>
        <w:rPr>
          <w:rFonts w:hAnsi="宋体"/>
          <w:color w:val="auto"/>
          <w:sz w:val="24"/>
          <w:szCs w:val="24"/>
        </w:rPr>
      </w:pPr>
      <w:bookmarkStart w:id="59" w:name="_Toc399493399"/>
      <w:bookmarkStart w:id="60" w:name="_Toc1878"/>
      <w:r>
        <w:rPr>
          <w:rFonts w:hAnsi="宋体"/>
          <w:color w:val="auto"/>
          <w:sz w:val="24"/>
          <w:szCs w:val="24"/>
        </w:rPr>
        <w:t>7</w:t>
      </w:r>
      <w:r>
        <w:rPr>
          <w:rFonts w:hint="eastAsia" w:hAnsi="宋体"/>
          <w:color w:val="auto"/>
          <w:sz w:val="24"/>
          <w:szCs w:val="24"/>
        </w:rPr>
        <w:t>技术文件要求</w:t>
      </w:r>
      <w:bookmarkEnd w:id="59"/>
      <w:bookmarkEnd w:id="60"/>
    </w:p>
    <w:p>
      <w:pPr>
        <w:adjustRightInd w:val="0"/>
        <w:snapToGrid w:val="0"/>
        <w:spacing w:line="360" w:lineRule="auto"/>
        <w:ind w:firstLine="420" w:firstLineChars="200"/>
        <w:rPr>
          <w:color w:val="auto"/>
          <w:szCs w:val="21"/>
        </w:rPr>
      </w:pPr>
      <w:r>
        <w:rPr>
          <w:rFonts w:hint="eastAsia"/>
          <w:color w:val="auto"/>
        </w:rPr>
        <w:t>7.1在设备到货时，</w:t>
      </w:r>
      <w:r>
        <w:rPr>
          <w:rFonts w:hint="eastAsia"/>
          <w:color w:val="auto"/>
          <w:szCs w:val="21"/>
        </w:rPr>
        <w:t>投标方应按招标方要求提供满足本次采购设备安装、调试、使用、维护所需要的相关技术文件纸质版至少3套，电子版资料2套。投标方提供的所有资料均应为中文版或中英文对照版。投标方提供本次采购设备所需的软件应为原装正版软件。具体要求提供资料如下：</w:t>
      </w:r>
    </w:p>
    <w:p>
      <w:pPr>
        <w:pStyle w:val="18"/>
        <w:adjustRightInd w:val="0"/>
        <w:snapToGrid w:val="0"/>
        <w:spacing w:line="360" w:lineRule="auto"/>
        <w:rPr>
          <w:rFonts w:eastAsia="宋体" w:cs="Times New Roman"/>
          <w:color w:val="auto"/>
          <w:szCs w:val="21"/>
        </w:rPr>
      </w:pPr>
      <w:r>
        <w:rPr>
          <w:rFonts w:eastAsia="宋体" w:cs="Times New Roman"/>
          <w:color w:val="auto"/>
          <w:szCs w:val="21"/>
        </w:rPr>
        <w:t>a</w:t>
      </w:r>
      <w:r>
        <w:rPr>
          <w:rFonts w:hint="eastAsia" w:eastAsia="宋体" w:cs="Times New Roman"/>
          <w:color w:val="auto"/>
          <w:szCs w:val="21"/>
        </w:rPr>
        <w:t>.出厂试验报告；</w:t>
      </w:r>
    </w:p>
    <w:p>
      <w:pPr>
        <w:pStyle w:val="18"/>
        <w:adjustRightInd w:val="0"/>
        <w:snapToGrid w:val="0"/>
        <w:spacing w:line="360" w:lineRule="auto"/>
        <w:rPr>
          <w:rFonts w:eastAsia="宋体" w:cs="Times New Roman"/>
          <w:color w:val="auto"/>
          <w:szCs w:val="21"/>
        </w:rPr>
      </w:pPr>
      <w:r>
        <w:rPr>
          <w:rFonts w:hint="eastAsia" w:eastAsia="宋体" w:cs="Times New Roman"/>
          <w:color w:val="auto"/>
          <w:szCs w:val="21"/>
        </w:rPr>
        <w:t>b.产品合格证；</w:t>
      </w:r>
    </w:p>
    <w:p>
      <w:pPr>
        <w:pStyle w:val="18"/>
        <w:adjustRightInd w:val="0"/>
        <w:snapToGrid w:val="0"/>
        <w:spacing w:line="360" w:lineRule="auto"/>
        <w:rPr>
          <w:rFonts w:eastAsia="宋体" w:cs="Times New Roman"/>
          <w:color w:val="auto"/>
          <w:szCs w:val="21"/>
        </w:rPr>
      </w:pPr>
      <w:r>
        <w:rPr>
          <w:rFonts w:hint="eastAsia" w:eastAsia="宋体" w:cs="Times New Roman"/>
          <w:color w:val="auto"/>
          <w:szCs w:val="21"/>
        </w:rPr>
        <w:t>c. 产品安装说明书和产品使用手册（包括：软件和硬件安装使用说明、系统功能说明、调试方法、维护项目、培训教程等等）。</w:t>
      </w:r>
    </w:p>
    <w:p>
      <w:pPr>
        <w:pStyle w:val="18"/>
        <w:adjustRightInd w:val="0"/>
        <w:snapToGrid w:val="0"/>
        <w:spacing w:line="360" w:lineRule="auto"/>
        <w:rPr>
          <w:rFonts w:eastAsia="宋体" w:cs="Times New Roman"/>
          <w:color w:val="auto"/>
          <w:szCs w:val="21"/>
        </w:rPr>
      </w:pPr>
      <w:r>
        <w:rPr>
          <w:rFonts w:hint="eastAsia" w:eastAsia="宋体" w:cs="Times New Roman"/>
          <w:color w:val="auto"/>
          <w:szCs w:val="21"/>
        </w:rPr>
        <w:t>d. 其它相关图纸资料、测试数据、软件密匙等等；</w:t>
      </w:r>
    </w:p>
    <w:p>
      <w:pPr>
        <w:spacing w:line="360" w:lineRule="auto"/>
        <w:ind w:firstLine="420" w:firstLineChars="200"/>
        <w:rPr>
          <w:rFonts w:cs="宋体" w:asciiTheme="minorEastAsia" w:hAnsiTheme="minorEastAsia"/>
          <w:color w:val="auto"/>
        </w:rPr>
      </w:pPr>
      <w:r>
        <w:rPr>
          <w:rFonts w:hint="eastAsia" w:cs="宋体" w:asciiTheme="minorEastAsia" w:hAnsiTheme="minorEastAsia"/>
          <w:color w:val="auto"/>
        </w:rPr>
        <w:t>7.2投标方应提供具备国家工信部公告过的改装资质，车辆改装后的提供合格证明。</w:t>
      </w:r>
    </w:p>
    <w:p>
      <w:pPr>
        <w:spacing w:line="360" w:lineRule="auto"/>
        <w:ind w:firstLine="420" w:firstLineChars="200"/>
        <w:rPr>
          <w:rFonts w:cs="宋体" w:asciiTheme="minorEastAsia" w:hAnsiTheme="minorEastAsia"/>
          <w:color w:val="auto"/>
        </w:rPr>
      </w:pPr>
      <w:r>
        <w:rPr>
          <w:rFonts w:hint="eastAsia" w:cs="宋体" w:asciiTheme="minorEastAsia" w:hAnsiTheme="minorEastAsia"/>
          <w:color w:val="auto"/>
        </w:rPr>
        <w:t>7.3投标方应提供上述技术参数响应表</w:t>
      </w:r>
      <w:r>
        <w:rPr>
          <w:rFonts w:hint="eastAsia" w:hAnsi="宋体"/>
          <w:color w:val="auto"/>
        </w:rPr>
        <w:t>中主要技术参数的型式试验报告、工信部公告或权威部门提供的证明材料等材料扫描件。</w:t>
      </w:r>
    </w:p>
    <w:p>
      <w:pPr>
        <w:pStyle w:val="18"/>
        <w:adjustRightInd w:val="0"/>
        <w:snapToGrid w:val="0"/>
        <w:spacing w:line="360" w:lineRule="auto"/>
        <w:rPr>
          <w:rFonts w:eastAsia="宋体" w:cs="Times New Roman"/>
          <w:color w:val="auto"/>
          <w:szCs w:val="21"/>
        </w:rPr>
      </w:pPr>
    </w:p>
    <w:bookmarkEnd w:id="57"/>
    <w:bookmarkEnd w:id="58"/>
    <w:p>
      <w:pPr>
        <w:pStyle w:val="2"/>
        <w:numPr>
          <w:ilvl w:val="0"/>
          <w:numId w:val="0"/>
        </w:numPr>
        <w:snapToGrid/>
        <w:spacing w:beforeLines="0" w:line="480" w:lineRule="auto"/>
        <w:rPr>
          <w:rFonts w:hAnsi="宋体"/>
          <w:color w:val="auto"/>
          <w:sz w:val="24"/>
          <w:szCs w:val="24"/>
        </w:rPr>
      </w:pPr>
      <w:bookmarkStart w:id="61" w:name="_Toc276492435"/>
      <w:bookmarkStart w:id="62" w:name="_Toc279695207"/>
      <w:bookmarkStart w:id="63" w:name="_Toc276490917"/>
      <w:bookmarkStart w:id="64" w:name="_Toc26330"/>
      <w:r>
        <w:rPr>
          <w:rFonts w:hAnsi="宋体"/>
          <w:color w:val="auto"/>
          <w:sz w:val="24"/>
          <w:szCs w:val="24"/>
        </w:rPr>
        <w:t>8</w:t>
      </w:r>
      <w:r>
        <w:rPr>
          <w:rFonts w:hint="eastAsia" w:hAnsi="宋体"/>
          <w:color w:val="auto"/>
          <w:sz w:val="24"/>
          <w:szCs w:val="24"/>
        </w:rPr>
        <w:t xml:space="preserve"> 监造、包装、运输、安装</w:t>
      </w:r>
      <w:bookmarkEnd w:id="61"/>
      <w:bookmarkEnd w:id="62"/>
      <w:bookmarkEnd w:id="63"/>
      <w:r>
        <w:rPr>
          <w:rFonts w:hint="eastAsia" w:hAnsi="宋体"/>
          <w:color w:val="auto"/>
          <w:sz w:val="24"/>
          <w:szCs w:val="24"/>
        </w:rPr>
        <w:t>及质量保证</w:t>
      </w:r>
      <w:bookmarkEnd w:id="64"/>
    </w:p>
    <w:p>
      <w:pPr>
        <w:pStyle w:val="3"/>
        <w:numPr>
          <w:ilvl w:val="0"/>
          <w:numId w:val="0"/>
        </w:numPr>
        <w:rPr>
          <w:rFonts w:hAnsi="宋体"/>
          <w:color w:val="auto"/>
          <w:sz w:val="24"/>
          <w:szCs w:val="24"/>
        </w:rPr>
      </w:pPr>
      <w:bookmarkStart w:id="65" w:name="_Toc276490898"/>
      <w:bookmarkStart w:id="66" w:name="_Toc29492"/>
      <w:bookmarkStart w:id="67" w:name="_Toc276492370"/>
      <w:bookmarkStart w:id="68" w:name="_Toc279695208"/>
      <w:bookmarkStart w:id="69" w:name="_Toc472997247"/>
      <w:bookmarkStart w:id="70" w:name="_Toc53672785"/>
      <w:bookmarkStart w:id="71" w:name="_Toc200531202"/>
      <w:bookmarkStart w:id="72" w:name="_Toc471528253"/>
      <w:r>
        <w:rPr>
          <w:rFonts w:hAnsi="宋体"/>
          <w:color w:val="auto"/>
          <w:sz w:val="24"/>
          <w:szCs w:val="24"/>
        </w:rPr>
        <w:t>8</w:t>
      </w:r>
      <w:r>
        <w:rPr>
          <w:rFonts w:hint="eastAsia" w:hAnsi="宋体"/>
          <w:color w:val="auto"/>
          <w:sz w:val="24"/>
          <w:szCs w:val="24"/>
        </w:rPr>
        <w:t>.1监造</w:t>
      </w:r>
      <w:bookmarkEnd w:id="65"/>
      <w:bookmarkEnd w:id="66"/>
      <w:bookmarkEnd w:id="67"/>
      <w:bookmarkEnd w:id="68"/>
    </w:p>
    <w:p>
      <w:pPr>
        <w:ind w:firstLine="480" w:firstLineChars="200"/>
        <w:rPr>
          <w:rFonts w:ascii="宋体" w:hAnsi="宋体"/>
          <w:color w:val="auto"/>
          <w:sz w:val="24"/>
        </w:rPr>
      </w:pPr>
      <w:r>
        <w:rPr>
          <w:rFonts w:hint="eastAsia" w:ascii="宋体" w:hAnsi="宋体"/>
          <w:color w:val="auto"/>
          <w:sz w:val="24"/>
        </w:rPr>
        <w:t>本标书采购设备无监造要求。</w:t>
      </w:r>
    </w:p>
    <w:p>
      <w:pPr>
        <w:ind w:firstLine="480" w:firstLineChars="200"/>
        <w:rPr>
          <w:rFonts w:ascii="宋体" w:hAnsi="宋体"/>
          <w:color w:val="auto"/>
          <w:sz w:val="24"/>
        </w:rPr>
      </w:pPr>
    </w:p>
    <w:p>
      <w:pPr>
        <w:pStyle w:val="3"/>
        <w:numPr>
          <w:ilvl w:val="0"/>
          <w:numId w:val="0"/>
        </w:numPr>
        <w:rPr>
          <w:rFonts w:hAnsi="宋体"/>
          <w:color w:val="auto"/>
          <w:sz w:val="24"/>
          <w:szCs w:val="24"/>
        </w:rPr>
      </w:pPr>
      <w:bookmarkStart w:id="73" w:name="_Toc31331"/>
      <w:bookmarkStart w:id="74" w:name="_Toc276301528"/>
      <w:bookmarkStart w:id="75" w:name="_Toc279695209"/>
      <w:bookmarkStart w:id="76" w:name="_Toc276490918"/>
      <w:bookmarkStart w:id="77" w:name="_Toc276492436"/>
      <w:r>
        <w:rPr>
          <w:rFonts w:hAnsi="宋体"/>
          <w:color w:val="auto"/>
          <w:sz w:val="24"/>
          <w:szCs w:val="24"/>
        </w:rPr>
        <w:t>8</w:t>
      </w:r>
      <w:r>
        <w:rPr>
          <w:rFonts w:hint="eastAsia" w:hAnsi="宋体"/>
          <w:color w:val="auto"/>
          <w:sz w:val="24"/>
          <w:szCs w:val="24"/>
        </w:rPr>
        <w:t>.2包装</w:t>
      </w:r>
      <w:bookmarkEnd w:id="69"/>
      <w:bookmarkEnd w:id="70"/>
      <w:bookmarkEnd w:id="71"/>
      <w:bookmarkEnd w:id="72"/>
      <w:bookmarkEnd w:id="73"/>
      <w:bookmarkEnd w:id="74"/>
      <w:bookmarkEnd w:id="75"/>
      <w:bookmarkEnd w:id="76"/>
      <w:bookmarkEnd w:id="77"/>
    </w:p>
    <w:p>
      <w:pPr>
        <w:pStyle w:val="18"/>
        <w:adjustRightInd w:val="0"/>
        <w:snapToGrid w:val="0"/>
        <w:spacing w:line="360" w:lineRule="auto"/>
        <w:ind w:firstLine="480"/>
        <w:rPr>
          <w:rFonts w:ascii="宋体" w:hAnsi="宋体" w:eastAsia="宋体" w:cs="Times New Roman"/>
          <w:color w:val="auto"/>
          <w:sz w:val="24"/>
          <w:szCs w:val="24"/>
        </w:rPr>
      </w:pPr>
      <w:bookmarkStart w:id="78" w:name="_Toc276492437"/>
      <w:bookmarkStart w:id="79" w:name="_Toc276301529"/>
      <w:bookmarkStart w:id="80" w:name="_Toc276490919"/>
      <w:r>
        <w:rPr>
          <w:rFonts w:hint="eastAsia" w:ascii="宋体" w:hAnsi="宋体" w:eastAsia="宋体" w:cs="Times New Roman"/>
          <w:color w:val="auto"/>
          <w:sz w:val="24"/>
          <w:szCs w:val="24"/>
        </w:rPr>
        <w:t>1）</w:t>
      </w:r>
      <w:r>
        <w:rPr>
          <w:rFonts w:ascii="宋体" w:hAnsi="宋体" w:eastAsia="宋体" w:cs="Times New Roman"/>
          <w:color w:val="auto"/>
          <w:sz w:val="24"/>
          <w:szCs w:val="24"/>
        </w:rPr>
        <w:t>要严格按照制造厂给出的说明书对设备进行包装、运输和储存。制造厂应在交货前的适当时间提供设备的运输和储存说明书。</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2）设备</w:t>
      </w:r>
      <w:r>
        <w:rPr>
          <w:rFonts w:ascii="宋体" w:hAnsi="宋体" w:eastAsia="宋体" w:cs="Times New Roman"/>
          <w:color w:val="auto"/>
          <w:sz w:val="24"/>
          <w:szCs w:val="24"/>
        </w:rPr>
        <w:t>制造完成并通过试验后应及时包装， 否则应得到切实的保护。其包装也应符合铁路、公路和海运部门的有关规定。</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3）</w:t>
      </w:r>
      <w:r>
        <w:rPr>
          <w:rFonts w:ascii="宋体" w:hAnsi="宋体" w:eastAsia="宋体" w:cs="Times New Roman"/>
          <w:color w:val="auto"/>
          <w:sz w:val="24"/>
          <w:szCs w:val="24"/>
        </w:rPr>
        <w:t>包装箱上应有明显的包装储运图示标志， 并应标明招标方的订货号和发货号。</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4）设备</w:t>
      </w:r>
      <w:r>
        <w:rPr>
          <w:rFonts w:ascii="宋体" w:hAnsi="宋体" w:eastAsia="宋体" w:cs="Times New Roman"/>
          <w:color w:val="auto"/>
          <w:sz w:val="24"/>
          <w:szCs w:val="24"/>
        </w:rPr>
        <w:t>的包装应能保证</w:t>
      </w:r>
      <w:r>
        <w:rPr>
          <w:rFonts w:hint="eastAsia" w:ascii="宋体" w:hAnsi="宋体" w:eastAsia="宋体" w:cs="Times New Roman"/>
          <w:color w:val="auto"/>
          <w:sz w:val="24"/>
          <w:szCs w:val="24"/>
        </w:rPr>
        <w:t>设备</w:t>
      </w:r>
      <w:r>
        <w:rPr>
          <w:rFonts w:ascii="宋体" w:hAnsi="宋体" w:eastAsia="宋体" w:cs="Times New Roman"/>
          <w:color w:val="auto"/>
          <w:sz w:val="24"/>
          <w:szCs w:val="24"/>
        </w:rPr>
        <w:t>各零部件在运输过程中不致遭到脏污、损坏、变形、丢失及受潮。对于其中的绝缘部件及由有机绝缘材料制成的绝缘件应特别加以保护，以免损坏和受潮。对于外露的接触表面，应有预防腐蚀的措施。所有运输措施均应经过验证。凡有运输损坏，应由制造厂负责赔偿。</w:t>
      </w:r>
    </w:p>
    <w:p>
      <w:pPr>
        <w:pStyle w:val="3"/>
        <w:numPr>
          <w:ilvl w:val="0"/>
          <w:numId w:val="0"/>
        </w:numPr>
        <w:rPr>
          <w:rFonts w:hAnsi="宋体"/>
          <w:color w:val="auto"/>
          <w:sz w:val="24"/>
          <w:szCs w:val="24"/>
        </w:rPr>
      </w:pPr>
      <w:bookmarkStart w:id="81" w:name="_Toc279695210"/>
      <w:bookmarkStart w:id="82" w:name="_Toc6481"/>
      <w:r>
        <w:rPr>
          <w:rFonts w:hAnsi="宋体"/>
          <w:color w:val="auto"/>
          <w:sz w:val="24"/>
          <w:szCs w:val="24"/>
        </w:rPr>
        <w:t>8</w:t>
      </w:r>
      <w:r>
        <w:rPr>
          <w:rFonts w:hint="eastAsia" w:hAnsi="宋体"/>
          <w:color w:val="auto"/>
          <w:sz w:val="24"/>
          <w:szCs w:val="24"/>
        </w:rPr>
        <w:t>.3运输</w:t>
      </w:r>
      <w:bookmarkEnd w:id="78"/>
      <w:bookmarkEnd w:id="79"/>
      <w:bookmarkEnd w:id="80"/>
      <w:bookmarkEnd w:id="81"/>
      <w:bookmarkEnd w:id="82"/>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1）设备</w:t>
      </w:r>
      <w:r>
        <w:rPr>
          <w:rFonts w:ascii="宋体" w:hAnsi="宋体" w:eastAsia="宋体" w:cs="Times New Roman"/>
          <w:color w:val="auto"/>
          <w:sz w:val="24"/>
          <w:szCs w:val="24"/>
        </w:rPr>
        <w:t>单独运输的零部件应有标志，便于用户安装装配。</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2）</w:t>
      </w:r>
      <w:r>
        <w:rPr>
          <w:rFonts w:ascii="宋体" w:hAnsi="宋体" w:eastAsia="宋体" w:cs="Times New Roman"/>
          <w:color w:val="auto"/>
          <w:sz w:val="24"/>
          <w:szCs w:val="24"/>
        </w:rPr>
        <w:t>整体产品或分别运输的部件，都要适合于运输及装卸的要求。</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3）</w:t>
      </w:r>
      <w:r>
        <w:rPr>
          <w:rFonts w:ascii="宋体" w:hAnsi="宋体" w:eastAsia="宋体" w:cs="Times New Roman"/>
          <w:color w:val="auto"/>
          <w:sz w:val="24"/>
          <w:szCs w:val="24"/>
        </w:rPr>
        <w:t>制造厂应提供按全部解体检修用的备品备件和装用机具，随同产品发运。</w:t>
      </w:r>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4）</w:t>
      </w:r>
      <w:r>
        <w:rPr>
          <w:rFonts w:ascii="宋体" w:hAnsi="宋体" w:eastAsia="宋体" w:cs="Times New Roman"/>
          <w:color w:val="auto"/>
          <w:sz w:val="24"/>
          <w:szCs w:val="24"/>
        </w:rPr>
        <w:t>随同运输的产品应附有装箱清单，产品所需提供的技术资料应完整无缺。</w:t>
      </w:r>
    </w:p>
    <w:p>
      <w:pPr>
        <w:pStyle w:val="3"/>
        <w:numPr>
          <w:ilvl w:val="0"/>
          <w:numId w:val="0"/>
        </w:numPr>
        <w:rPr>
          <w:rFonts w:hAnsi="宋体"/>
          <w:color w:val="auto"/>
          <w:sz w:val="24"/>
          <w:szCs w:val="24"/>
        </w:rPr>
      </w:pPr>
      <w:bookmarkStart w:id="83" w:name="_Toc276490920"/>
      <w:bookmarkStart w:id="84" w:name="_Toc276492438"/>
      <w:bookmarkStart w:id="85" w:name="_Toc276301530"/>
      <w:bookmarkStart w:id="86" w:name="_Toc13192"/>
      <w:bookmarkStart w:id="87" w:name="_Toc279695211"/>
      <w:r>
        <w:rPr>
          <w:rFonts w:hAnsi="宋体"/>
          <w:color w:val="auto"/>
          <w:sz w:val="24"/>
          <w:szCs w:val="24"/>
        </w:rPr>
        <w:t>8</w:t>
      </w:r>
      <w:r>
        <w:rPr>
          <w:rFonts w:hint="eastAsia" w:hAnsi="宋体"/>
          <w:color w:val="auto"/>
          <w:sz w:val="24"/>
          <w:szCs w:val="24"/>
        </w:rPr>
        <w:t>.4安装</w:t>
      </w:r>
      <w:bookmarkEnd w:id="83"/>
      <w:bookmarkEnd w:id="84"/>
      <w:bookmarkEnd w:id="85"/>
      <w:r>
        <w:rPr>
          <w:rFonts w:hint="eastAsia" w:hAnsi="宋体"/>
          <w:color w:val="auto"/>
          <w:sz w:val="24"/>
          <w:szCs w:val="24"/>
        </w:rPr>
        <w:t>使用指导</w:t>
      </w:r>
      <w:bookmarkEnd w:id="86"/>
      <w:bookmarkEnd w:id="87"/>
    </w:p>
    <w:p>
      <w:pPr>
        <w:pStyle w:val="18"/>
        <w:adjustRightInd w:val="0"/>
        <w:snapToGrid w:val="0"/>
        <w:spacing w:line="360" w:lineRule="auto"/>
        <w:ind w:firstLine="480"/>
        <w:rPr>
          <w:rFonts w:ascii="宋体" w:hAnsi="宋体" w:eastAsia="宋体" w:cs="Times New Roman"/>
          <w:color w:val="auto"/>
          <w:sz w:val="24"/>
          <w:szCs w:val="24"/>
        </w:rPr>
      </w:pPr>
      <w:r>
        <w:rPr>
          <w:rFonts w:hint="eastAsia" w:ascii="宋体" w:hAnsi="宋体" w:eastAsia="宋体" w:cs="Times New Roman"/>
          <w:color w:val="auto"/>
          <w:sz w:val="24"/>
          <w:szCs w:val="24"/>
        </w:rPr>
        <w:t>投标方应在本标书采购设备首次使用时或必要时，安排技术人员提供现场安装和技术指导服务，并确保招标方现场技术人员熟练掌握设备功能和使用。设备在现场搬运、吊装就位和安装、测试、试验时，应按照GB 26164.1《电业安全工作规程 第1部分：热力和机械》的要求进行。</w:t>
      </w:r>
    </w:p>
    <w:p>
      <w:pPr>
        <w:pStyle w:val="3"/>
        <w:numPr>
          <w:ilvl w:val="0"/>
          <w:numId w:val="0"/>
        </w:numPr>
        <w:rPr>
          <w:rFonts w:hAnsi="宋体"/>
          <w:color w:val="auto"/>
          <w:sz w:val="24"/>
          <w:szCs w:val="24"/>
        </w:rPr>
      </w:pPr>
      <w:bookmarkStart w:id="88" w:name="_Toc657"/>
      <w:r>
        <w:rPr>
          <w:rFonts w:hAnsi="宋体"/>
          <w:color w:val="auto"/>
          <w:sz w:val="24"/>
          <w:szCs w:val="24"/>
        </w:rPr>
        <w:t>8</w:t>
      </w:r>
      <w:r>
        <w:rPr>
          <w:rFonts w:hint="eastAsia" w:hAnsi="宋体"/>
          <w:color w:val="auto"/>
          <w:sz w:val="24"/>
          <w:szCs w:val="24"/>
        </w:rPr>
        <w:t>.5质量保证</w:t>
      </w:r>
      <w:bookmarkEnd w:id="88"/>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全部设备必须是全新的， 持久耐用的，应满足作为一个完整产品所能满足的全部要求。投标方应保证设备在规定的使用条件下运行、并按使用说明书进行安装和维护、预期使用寿命应不少于12年</w:t>
      </w:r>
      <w:r>
        <w:rPr>
          <w:rFonts w:ascii="宋体" w:hAnsi="宋体" w:eastAsia="宋体" w:cs="Times New Roman"/>
          <w:color w:val="auto"/>
          <w:sz w:val="24"/>
          <w:szCs w:val="24"/>
        </w:rPr>
        <w:t>。</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投标方应对其整组设备在到货后提供不少于3年的“三包”质量保证。之后如发生产品损坏，投标方应及时为本组装置提供维修部件，并按最近的投标价提供。</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订购的新型产品除应满足本标准外</w:t>
      </w:r>
      <w:r>
        <w:rPr>
          <w:rFonts w:ascii="宋体" w:hAnsi="宋体" w:eastAsia="宋体" w:cs="Times New Roman"/>
          <w:color w:val="auto"/>
          <w:sz w:val="24"/>
          <w:szCs w:val="24"/>
        </w:rPr>
        <w:t xml:space="preserve">， </w:t>
      </w:r>
      <w:r>
        <w:rPr>
          <w:rFonts w:hint="eastAsia" w:ascii="宋体" w:hAnsi="宋体" w:eastAsia="宋体" w:cs="Times New Roman"/>
          <w:color w:val="auto"/>
          <w:sz w:val="24"/>
          <w:szCs w:val="24"/>
        </w:rPr>
        <w:t>投标方还应提供该产品的鉴定证书。</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投标方应保证制造过程中的所有工艺、材料试验等</w:t>
      </w:r>
      <w:r>
        <w:rPr>
          <w:rFonts w:ascii="宋体" w:hAnsi="宋体" w:eastAsia="宋体" w:cs="Times New Roman"/>
          <w:color w:val="auto"/>
          <w:sz w:val="24"/>
          <w:szCs w:val="24"/>
        </w:rPr>
        <w:t>（</w:t>
      </w:r>
      <w:r>
        <w:rPr>
          <w:rFonts w:hint="eastAsia" w:ascii="宋体" w:hAnsi="宋体" w:eastAsia="宋体" w:cs="Times New Roman"/>
          <w:color w:val="auto"/>
          <w:sz w:val="24"/>
          <w:szCs w:val="24"/>
        </w:rPr>
        <w:t>包括投标方的外购件在内</w:t>
      </w:r>
      <w:r>
        <w:rPr>
          <w:rFonts w:ascii="宋体" w:hAnsi="宋体" w:eastAsia="宋体" w:cs="Times New Roman"/>
          <w:color w:val="auto"/>
          <w:sz w:val="24"/>
          <w:szCs w:val="24"/>
        </w:rPr>
        <w:t>）</w:t>
      </w:r>
      <w:r>
        <w:rPr>
          <w:rFonts w:hint="eastAsia" w:ascii="宋体" w:hAnsi="宋体" w:eastAsia="宋体" w:cs="Times New Roman"/>
          <w:color w:val="auto"/>
          <w:sz w:val="24"/>
          <w:szCs w:val="24"/>
        </w:rPr>
        <w:t>均应符合本标准的规定。若招标方根据运行经验指定投标方提供某种外购零部件</w:t>
      </w:r>
      <w:r>
        <w:rPr>
          <w:rFonts w:ascii="宋体" w:hAnsi="宋体" w:eastAsia="宋体" w:cs="Times New Roman"/>
          <w:color w:val="auto"/>
          <w:sz w:val="24"/>
          <w:szCs w:val="24"/>
        </w:rPr>
        <w:t xml:space="preserve">， </w:t>
      </w:r>
      <w:r>
        <w:rPr>
          <w:rFonts w:hint="eastAsia" w:ascii="宋体" w:hAnsi="宋体" w:eastAsia="宋体" w:cs="Times New Roman"/>
          <w:color w:val="auto"/>
          <w:sz w:val="24"/>
          <w:szCs w:val="24"/>
        </w:rPr>
        <w:t>投标方应积极配合。</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附属及配套设备必须满足有关行业标准的要求</w:t>
      </w:r>
      <w:r>
        <w:rPr>
          <w:rFonts w:ascii="宋体" w:hAnsi="宋体" w:eastAsia="宋体" w:cs="Times New Roman"/>
          <w:color w:val="auto"/>
          <w:sz w:val="24"/>
          <w:szCs w:val="24"/>
        </w:rPr>
        <w:t xml:space="preserve">， </w:t>
      </w:r>
      <w:r>
        <w:rPr>
          <w:rFonts w:hint="eastAsia" w:ascii="宋体" w:hAnsi="宋体" w:eastAsia="宋体" w:cs="Times New Roman"/>
          <w:color w:val="auto"/>
          <w:sz w:val="24"/>
          <w:szCs w:val="24"/>
        </w:rPr>
        <w:t>并提供试验报告和产品合格证。</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投标方应有遵守本标准中各条款和工作项目的</w:t>
      </w:r>
      <w:r>
        <w:rPr>
          <w:rFonts w:ascii="宋体" w:hAnsi="宋体" w:eastAsia="宋体" w:cs="Times New Roman"/>
          <w:color w:val="auto"/>
          <w:sz w:val="24"/>
          <w:szCs w:val="24"/>
        </w:rPr>
        <w:t>ISO900</w:t>
      </w:r>
      <w:r>
        <w:rPr>
          <w:rFonts w:hint="eastAsia" w:ascii="宋体" w:hAnsi="宋体" w:eastAsia="宋体" w:cs="Times New Roman"/>
          <w:color w:val="auto"/>
          <w:sz w:val="24"/>
          <w:szCs w:val="24"/>
        </w:rPr>
        <w:t>0-</w:t>
      </w:r>
      <w:r>
        <w:rPr>
          <w:rFonts w:ascii="宋体" w:hAnsi="宋体" w:eastAsia="宋体" w:cs="Times New Roman"/>
          <w:color w:val="auto"/>
          <w:sz w:val="24"/>
          <w:szCs w:val="24"/>
        </w:rPr>
        <w:t>GB/T1900</w:t>
      </w:r>
      <w:r>
        <w:rPr>
          <w:rFonts w:hint="eastAsia" w:ascii="宋体" w:hAnsi="宋体" w:eastAsia="宋体" w:cs="Times New Roman"/>
          <w:color w:val="auto"/>
          <w:sz w:val="24"/>
          <w:szCs w:val="24"/>
        </w:rPr>
        <w:t>0质量保证体系</w:t>
      </w:r>
      <w:r>
        <w:rPr>
          <w:rFonts w:ascii="宋体" w:hAnsi="宋体" w:eastAsia="宋体" w:cs="Times New Roman"/>
          <w:color w:val="auto"/>
          <w:sz w:val="24"/>
          <w:szCs w:val="24"/>
        </w:rPr>
        <w:t xml:space="preserve">， </w:t>
      </w:r>
      <w:r>
        <w:rPr>
          <w:rFonts w:hint="eastAsia" w:ascii="宋体" w:hAnsi="宋体" w:eastAsia="宋体" w:cs="Times New Roman"/>
          <w:color w:val="auto"/>
          <w:sz w:val="24"/>
          <w:szCs w:val="24"/>
        </w:rPr>
        <w:t>该质量保证体系已经通过国家认证并在正常运转。</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投标</w:t>
      </w:r>
      <w:r>
        <w:rPr>
          <w:rFonts w:ascii="宋体" w:hAnsi="宋体" w:eastAsia="宋体" w:cs="Times New Roman"/>
          <w:color w:val="auto"/>
          <w:sz w:val="24"/>
          <w:szCs w:val="24"/>
        </w:rPr>
        <w:t>设备在</w:t>
      </w:r>
      <w:r>
        <w:rPr>
          <w:rFonts w:hint="eastAsia" w:ascii="宋体" w:hAnsi="宋体" w:eastAsia="宋体" w:cs="Times New Roman"/>
          <w:color w:val="auto"/>
          <w:sz w:val="24"/>
          <w:szCs w:val="24"/>
        </w:rPr>
        <w:t>交货前，</w:t>
      </w:r>
      <w:r>
        <w:rPr>
          <w:rFonts w:ascii="宋体" w:hAnsi="宋体" w:eastAsia="宋体" w:cs="Times New Roman"/>
          <w:color w:val="auto"/>
          <w:sz w:val="24"/>
          <w:szCs w:val="24"/>
        </w:rPr>
        <w:t>按照招标</w:t>
      </w:r>
      <w:r>
        <w:rPr>
          <w:rFonts w:hint="eastAsia" w:ascii="宋体" w:hAnsi="宋体" w:eastAsia="宋体" w:cs="Times New Roman"/>
          <w:color w:val="auto"/>
          <w:sz w:val="24"/>
          <w:szCs w:val="24"/>
        </w:rPr>
        <w:t>技术</w:t>
      </w:r>
      <w:r>
        <w:rPr>
          <w:rFonts w:ascii="宋体" w:hAnsi="宋体" w:eastAsia="宋体" w:cs="Times New Roman"/>
          <w:color w:val="auto"/>
          <w:sz w:val="24"/>
          <w:szCs w:val="24"/>
        </w:rPr>
        <w:t>参数逐一进行检测</w:t>
      </w:r>
      <w:r>
        <w:rPr>
          <w:rFonts w:hint="eastAsia" w:ascii="宋体" w:hAnsi="宋体" w:eastAsia="宋体" w:cs="Times New Roman"/>
          <w:color w:val="auto"/>
          <w:sz w:val="24"/>
          <w:szCs w:val="24"/>
        </w:rPr>
        <w:t>。在</w:t>
      </w:r>
      <w:r>
        <w:rPr>
          <w:rFonts w:ascii="宋体" w:hAnsi="宋体" w:eastAsia="宋体" w:cs="Times New Roman"/>
          <w:color w:val="auto"/>
          <w:sz w:val="24"/>
          <w:szCs w:val="24"/>
        </w:rPr>
        <w:t>拿到检测合格报告后，</w:t>
      </w:r>
      <w:r>
        <w:rPr>
          <w:rFonts w:hint="eastAsia" w:ascii="宋体" w:hAnsi="宋体" w:eastAsia="宋体" w:cs="Times New Roman"/>
          <w:color w:val="auto"/>
          <w:sz w:val="24"/>
          <w:szCs w:val="24"/>
        </w:rPr>
        <w:t>方可</w:t>
      </w:r>
      <w:r>
        <w:rPr>
          <w:rFonts w:ascii="宋体" w:hAnsi="宋体" w:eastAsia="宋体" w:cs="Times New Roman"/>
          <w:color w:val="auto"/>
          <w:sz w:val="24"/>
          <w:szCs w:val="24"/>
        </w:rPr>
        <w:t>送货至项目单位。</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ascii="宋体" w:hAnsi="宋体" w:eastAsia="宋体" w:cs="Times New Roman"/>
          <w:color w:val="auto"/>
          <w:sz w:val="24"/>
          <w:szCs w:val="24"/>
        </w:rPr>
        <w:t>交货后</w:t>
      </w:r>
      <w:bookmarkStart w:id="89" w:name="_Toc319915056"/>
      <w:bookmarkStart w:id="90" w:name="_Toc319930181"/>
      <w:bookmarkStart w:id="91" w:name="_Toc319930077"/>
      <w:r>
        <w:rPr>
          <w:rFonts w:hint="eastAsia" w:ascii="宋体" w:hAnsi="宋体" w:eastAsia="宋体" w:cs="Times New Roman"/>
          <w:color w:val="auto"/>
          <w:sz w:val="24"/>
          <w:szCs w:val="24"/>
        </w:rPr>
        <w:t>项目单位将</w:t>
      </w:r>
      <w:r>
        <w:rPr>
          <w:rFonts w:ascii="宋体" w:hAnsi="宋体" w:eastAsia="宋体" w:cs="Times New Roman"/>
          <w:color w:val="auto"/>
          <w:sz w:val="24"/>
          <w:szCs w:val="24"/>
        </w:rPr>
        <w:t>严格按照本次招标技术文件对供货设备逐项验收，</w:t>
      </w:r>
      <w:r>
        <w:rPr>
          <w:rFonts w:hint="eastAsia" w:ascii="宋体" w:hAnsi="宋体" w:eastAsia="宋体" w:cs="Times New Roman"/>
          <w:color w:val="auto"/>
          <w:sz w:val="24"/>
          <w:szCs w:val="24"/>
        </w:rPr>
        <w:t>技术参数</w:t>
      </w:r>
      <w:r>
        <w:rPr>
          <w:rFonts w:ascii="宋体" w:hAnsi="宋体" w:eastAsia="宋体" w:cs="Times New Roman"/>
          <w:color w:val="auto"/>
          <w:sz w:val="24"/>
          <w:szCs w:val="24"/>
        </w:rPr>
        <w:t>如有不符</w:t>
      </w:r>
      <w:r>
        <w:rPr>
          <w:rFonts w:hint="eastAsia" w:ascii="宋体" w:hAnsi="宋体" w:eastAsia="宋体" w:cs="Times New Roman"/>
          <w:color w:val="auto"/>
          <w:sz w:val="24"/>
          <w:szCs w:val="24"/>
        </w:rPr>
        <w:t>或设备实际功能达不到现场使用要求</w:t>
      </w:r>
      <w:r>
        <w:rPr>
          <w:rFonts w:ascii="宋体" w:hAnsi="宋体" w:eastAsia="宋体" w:cs="Times New Roman"/>
          <w:color w:val="auto"/>
          <w:sz w:val="24"/>
          <w:szCs w:val="24"/>
        </w:rPr>
        <w:t>，</w:t>
      </w:r>
      <w:r>
        <w:rPr>
          <w:rFonts w:hint="eastAsia" w:ascii="宋体" w:hAnsi="宋体" w:eastAsia="宋体" w:cs="Times New Roman"/>
          <w:color w:val="auto"/>
          <w:sz w:val="24"/>
          <w:szCs w:val="24"/>
        </w:rPr>
        <w:t>项目单位</w:t>
      </w:r>
      <w:r>
        <w:rPr>
          <w:rFonts w:ascii="宋体" w:hAnsi="宋体" w:eastAsia="宋体" w:cs="Times New Roman"/>
          <w:color w:val="auto"/>
          <w:sz w:val="24"/>
          <w:szCs w:val="24"/>
        </w:rPr>
        <w:t>有权拒绝收货并终止合同，所有损失及责任由卖方承担。</w:t>
      </w:r>
      <w:bookmarkEnd w:id="89"/>
      <w:bookmarkEnd w:id="90"/>
      <w:bookmarkEnd w:id="91"/>
    </w:p>
    <w:p>
      <w:pPr>
        <w:pStyle w:val="18"/>
        <w:numPr>
          <w:ilvl w:val="0"/>
          <w:numId w:val="7"/>
        </w:numPr>
        <w:adjustRightInd w:val="0"/>
        <w:snapToGrid w:val="0"/>
        <w:spacing w:line="360" w:lineRule="auto"/>
        <w:ind w:firstLineChars="0"/>
        <w:rPr>
          <w:rFonts w:ascii="宋体" w:hAnsi="宋体" w:cs="Arial"/>
          <w:color w:val="auto"/>
          <w:szCs w:val="21"/>
        </w:rPr>
      </w:pPr>
      <w:r>
        <w:rPr>
          <w:rFonts w:hint="eastAsia" w:ascii="宋体" w:hAnsi="宋体" w:eastAsia="宋体" w:cs="Times New Roman"/>
          <w:color w:val="auto"/>
          <w:sz w:val="24"/>
          <w:szCs w:val="24"/>
        </w:rPr>
        <w:t>仪器到达用户所在地后,由投标方的技术人员前往现场进行仪器的安装、测试, 并免费对招标方技术人员进行软硬件操作、仪器的保养、日常维护等方面的培训。</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对仪器在质保期内出现的故障, 投标方人员在接到通知后应在2工作日内派技术人员到现场检查处理, 并立刻提出处理意见, 免费进行维修。</w:t>
      </w:r>
    </w:p>
    <w:p>
      <w:pPr>
        <w:pStyle w:val="18"/>
        <w:numPr>
          <w:ilvl w:val="0"/>
          <w:numId w:val="7"/>
        </w:numPr>
        <w:adjustRightInd w:val="0"/>
        <w:snapToGrid w:val="0"/>
        <w:spacing w:line="360" w:lineRule="auto"/>
        <w:ind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对于质保期已过的仪器, 厂家将负责终身维修。对于一般的故障, 处理时间15工作日内。对于严重的故障，将根据情况安排维修时间的长短。</w:t>
      </w:r>
    </w:p>
    <w:p>
      <w:pPr>
        <w:pStyle w:val="18"/>
        <w:adjustRightInd w:val="0"/>
        <w:snapToGrid w:val="0"/>
        <w:spacing w:line="360" w:lineRule="auto"/>
        <w:ind w:left="480" w:firstLine="0" w:firstLineChars="0"/>
        <w:rPr>
          <w:rFonts w:ascii="宋体" w:hAnsi="宋体" w:eastAsia="宋体" w:cs="Times New Roman"/>
          <w:color w:val="auto"/>
          <w:sz w:val="24"/>
          <w:szCs w:val="24"/>
        </w:rPr>
      </w:pPr>
      <w:r>
        <w:rPr>
          <w:rFonts w:hint="eastAsia" w:ascii="宋体" w:hAnsi="宋体" w:eastAsia="宋体" w:cs="Times New Roman"/>
          <w:color w:val="auto"/>
          <w:sz w:val="24"/>
          <w:szCs w:val="24"/>
        </w:rPr>
        <w:t>8.6 车辆服务</w:t>
      </w:r>
    </w:p>
    <w:p>
      <w:pPr>
        <w:numPr>
          <w:ilvl w:val="0"/>
          <w:numId w:val="8"/>
        </w:numPr>
        <w:spacing w:line="360" w:lineRule="auto"/>
        <w:ind w:left="480" w:hanging="480" w:hangingChars="200"/>
        <w:rPr>
          <w:rFonts w:cs="宋体" w:asciiTheme="minorEastAsia" w:hAnsiTheme="minorEastAsia"/>
          <w:color w:val="auto"/>
          <w:sz w:val="24"/>
          <w:szCs w:val="24"/>
        </w:rPr>
      </w:pPr>
      <w:r>
        <w:rPr>
          <w:rFonts w:hint="eastAsia" w:cs="宋体" w:asciiTheme="minorEastAsia" w:hAnsiTheme="minorEastAsia"/>
          <w:color w:val="auto"/>
          <w:sz w:val="24"/>
          <w:szCs w:val="24"/>
        </w:rPr>
        <w:t>厂商应提供相关技术文件，如合格证、型式试验报告、使用说明书等；</w:t>
      </w:r>
    </w:p>
    <w:p>
      <w:pPr>
        <w:numPr>
          <w:ilvl w:val="0"/>
          <w:numId w:val="8"/>
        </w:numPr>
        <w:spacing w:line="360" w:lineRule="auto"/>
        <w:ind w:left="480" w:hanging="480" w:hangingChars="200"/>
        <w:rPr>
          <w:rFonts w:cs="宋体" w:asciiTheme="minorEastAsia" w:hAnsiTheme="minorEastAsia"/>
          <w:color w:val="auto"/>
          <w:sz w:val="24"/>
          <w:szCs w:val="24"/>
        </w:rPr>
      </w:pPr>
      <w:r>
        <w:rPr>
          <w:rFonts w:hint="eastAsia" w:cs="宋体" w:asciiTheme="minorEastAsia" w:hAnsiTheme="minorEastAsia"/>
          <w:color w:val="auto"/>
          <w:sz w:val="24"/>
          <w:szCs w:val="24"/>
        </w:rPr>
        <w:t>产品交接试验应由双方共同参与见证；</w:t>
      </w:r>
    </w:p>
    <w:p>
      <w:pPr>
        <w:numPr>
          <w:ilvl w:val="0"/>
          <w:numId w:val="8"/>
        </w:numPr>
        <w:spacing w:line="360" w:lineRule="auto"/>
        <w:ind w:left="480" w:hanging="480" w:hangingChars="200"/>
        <w:rPr>
          <w:rFonts w:cs="宋体" w:asciiTheme="minorEastAsia" w:hAnsiTheme="minorEastAsia"/>
          <w:color w:val="auto"/>
          <w:sz w:val="24"/>
          <w:szCs w:val="24"/>
        </w:rPr>
      </w:pPr>
      <w:r>
        <w:rPr>
          <w:rFonts w:hint="eastAsia" w:cs="宋体" w:asciiTheme="minorEastAsia" w:hAnsiTheme="minorEastAsia"/>
          <w:color w:val="auto"/>
          <w:sz w:val="24"/>
          <w:szCs w:val="24"/>
        </w:rPr>
        <w:t>★本次招标报价包括在深圳上牌涉及的检测、上牌指标等服务费（若产生）、抢险、购置税（若产生）等上牌流程及车辆配送甲方所指定区域涉及的费用。上牌前提供需提供国家工信部颁布的改装公告（公告内容与改装后车辆信息一致）及国家环保部提供的环保清单，经甲方核对后，才可申请上牌。</w:t>
      </w:r>
    </w:p>
    <w:p>
      <w:pPr>
        <w:numPr>
          <w:ilvl w:val="0"/>
          <w:numId w:val="8"/>
        </w:numPr>
        <w:spacing w:line="360" w:lineRule="auto"/>
        <w:ind w:left="480" w:hanging="480" w:hangingChars="200"/>
        <w:rPr>
          <w:rFonts w:cs="宋体" w:asciiTheme="minorEastAsia" w:hAnsiTheme="minorEastAsia"/>
          <w:color w:val="auto"/>
          <w:sz w:val="24"/>
          <w:szCs w:val="24"/>
        </w:rPr>
      </w:pPr>
      <w:r>
        <w:rPr>
          <w:rFonts w:hint="eastAsia" w:cs="宋体" w:asciiTheme="minorEastAsia" w:hAnsiTheme="minorEastAsia"/>
          <w:color w:val="auto"/>
          <w:sz w:val="24"/>
          <w:szCs w:val="24"/>
        </w:rPr>
        <w:t>整车验收：整车组装后厂家应提前一周通知买方到厂针对整车进行验收，并对操作人员进行技术培训；</w:t>
      </w:r>
    </w:p>
    <w:p>
      <w:pPr>
        <w:numPr>
          <w:ilvl w:val="0"/>
          <w:numId w:val="8"/>
        </w:numPr>
        <w:spacing w:line="360" w:lineRule="auto"/>
        <w:ind w:left="480" w:hanging="480" w:hangingChars="200"/>
        <w:rPr>
          <w:color w:val="auto"/>
          <w:sz w:val="24"/>
          <w:szCs w:val="24"/>
        </w:rPr>
      </w:pPr>
      <w:r>
        <w:rPr>
          <w:rFonts w:hint="eastAsia" w:cs="宋体" w:asciiTheme="minorEastAsia" w:hAnsiTheme="minorEastAsia"/>
          <w:color w:val="auto"/>
          <w:sz w:val="24"/>
          <w:szCs w:val="24"/>
        </w:rPr>
        <w:t>★整车供货时间：合同签定后45天内。</w:t>
      </w:r>
    </w:p>
    <w:p>
      <w:pPr>
        <w:pStyle w:val="2"/>
        <w:numPr>
          <w:ilvl w:val="0"/>
          <w:numId w:val="0"/>
        </w:numPr>
        <w:snapToGrid/>
        <w:spacing w:beforeLines="0" w:line="480" w:lineRule="auto"/>
        <w:rPr>
          <w:rFonts w:hAnsi="宋体"/>
          <w:color w:val="auto"/>
          <w:sz w:val="24"/>
          <w:szCs w:val="24"/>
        </w:rPr>
      </w:pPr>
      <w:bookmarkStart w:id="92" w:name="_Toc29790"/>
      <w:bookmarkStart w:id="93" w:name="_Toc287602849"/>
      <w:r>
        <w:rPr>
          <w:rFonts w:hAnsi="宋体"/>
          <w:color w:val="auto"/>
          <w:sz w:val="24"/>
          <w:szCs w:val="24"/>
        </w:rPr>
        <w:t>9</w:t>
      </w:r>
      <w:r>
        <w:rPr>
          <w:rFonts w:hint="eastAsia" w:hAnsi="宋体"/>
          <w:color w:val="auto"/>
          <w:sz w:val="24"/>
          <w:szCs w:val="24"/>
        </w:rPr>
        <w:t>技术差异表</w:t>
      </w:r>
      <w:bookmarkEnd w:id="92"/>
      <w:bookmarkEnd w:id="93"/>
    </w:p>
    <w:p>
      <w:pPr>
        <w:pStyle w:val="18"/>
        <w:adjustRightInd w:val="0"/>
        <w:snapToGrid w:val="0"/>
        <w:spacing w:line="360" w:lineRule="auto"/>
        <w:ind w:firstLine="480"/>
        <w:rPr>
          <w:rFonts w:ascii="宋体" w:hAnsi="宋体" w:eastAsia="宋体" w:cs="Times New Roman"/>
          <w:color w:val="auto"/>
          <w:sz w:val="24"/>
          <w:szCs w:val="24"/>
        </w:rPr>
      </w:pPr>
      <w:bookmarkStart w:id="94" w:name="_Toc226362579"/>
      <w:r>
        <w:rPr>
          <w:rFonts w:hint="eastAsia" w:ascii="宋体" w:hAnsi="宋体" w:eastAsia="宋体" w:cs="Times New Roman"/>
          <w:color w:val="auto"/>
          <w:sz w:val="24"/>
          <w:szCs w:val="24"/>
        </w:rPr>
        <w:t>投标方应将所供设备与本招标书技术文件有差异之处，无论优于或劣于本招标书技术文件要求，均汇集至表</w:t>
      </w:r>
      <w:r>
        <w:rPr>
          <w:rFonts w:ascii="宋体" w:hAnsi="宋体" w:eastAsia="宋体" w:cs="Times New Roman"/>
          <w:color w:val="auto"/>
          <w:sz w:val="24"/>
          <w:szCs w:val="24"/>
        </w:rPr>
        <w:t>9</w:t>
      </w:r>
      <w:r>
        <w:rPr>
          <w:rFonts w:hint="eastAsia" w:ascii="宋体" w:hAnsi="宋体" w:eastAsia="宋体" w:cs="Times New Roman"/>
          <w:color w:val="auto"/>
          <w:sz w:val="24"/>
          <w:szCs w:val="24"/>
        </w:rPr>
        <w:t>.1。</w:t>
      </w:r>
    </w:p>
    <w:p>
      <w:pPr>
        <w:adjustRightInd w:val="0"/>
        <w:snapToGrid w:val="0"/>
        <w:spacing w:line="360" w:lineRule="auto"/>
        <w:ind w:firstLine="199"/>
        <w:jc w:val="center"/>
        <w:rPr>
          <w:rFonts w:ascii="宋体" w:hAnsi="宋体"/>
          <w:color w:val="auto"/>
          <w:sz w:val="24"/>
        </w:rPr>
      </w:pPr>
      <w:r>
        <w:rPr>
          <w:rFonts w:hint="eastAsia" w:ascii="宋体" w:hAnsi="宋体"/>
          <w:color w:val="auto"/>
          <w:sz w:val="24"/>
        </w:rPr>
        <w:t>表</w:t>
      </w:r>
      <w:r>
        <w:rPr>
          <w:rFonts w:ascii="宋体" w:hAnsi="宋体"/>
          <w:color w:val="auto"/>
          <w:sz w:val="24"/>
        </w:rPr>
        <w:t>9</w:t>
      </w:r>
      <w:r>
        <w:rPr>
          <w:rFonts w:hint="eastAsia" w:ascii="宋体" w:hAnsi="宋体"/>
          <w:color w:val="auto"/>
          <w:sz w:val="24"/>
        </w:rPr>
        <w:t>.1   技术差异表</w:t>
      </w:r>
      <w:bookmarkEnd w:id="94"/>
      <w:r>
        <w:rPr>
          <w:rFonts w:hint="eastAsia" w:ascii="宋体" w:hAnsi="宋体"/>
          <w:color w:val="auto"/>
          <w:sz w:val="24"/>
        </w:rPr>
        <w:t xml:space="preserve">  （投标方填写）</w:t>
      </w:r>
    </w:p>
    <w:tbl>
      <w:tblPr>
        <w:tblStyle w:val="13"/>
        <w:tblW w:w="838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79"/>
        <w:gridCol w:w="1162"/>
        <w:gridCol w:w="2711"/>
        <w:gridCol w:w="1257"/>
        <w:gridCol w:w="257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679" w:type="dxa"/>
            <w:vMerge w:val="restart"/>
            <w:vAlign w:val="center"/>
          </w:tcPr>
          <w:p>
            <w:pPr>
              <w:jc w:val="center"/>
              <w:rPr>
                <w:rFonts w:ascii="宋体" w:hAnsi="宋体"/>
                <w:color w:val="auto"/>
                <w:szCs w:val="21"/>
              </w:rPr>
            </w:pPr>
            <w:r>
              <w:rPr>
                <w:rFonts w:hint="eastAsia" w:ascii="宋体" w:hAnsi="宋体"/>
                <w:color w:val="auto"/>
                <w:szCs w:val="21"/>
              </w:rPr>
              <w:t>序</w:t>
            </w:r>
          </w:p>
          <w:p>
            <w:pPr>
              <w:jc w:val="center"/>
              <w:rPr>
                <w:rFonts w:ascii="宋体" w:hAnsi="宋体"/>
                <w:color w:val="auto"/>
                <w:szCs w:val="21"/>
              </w:rPr>
            </w:pPr>
            <w:r>
              <w:rPr>
                <w:rFonts w:hint="eastAsia" w:ascii="宋体" w:hAnsi="宋体"/>
                <w:color w:val="auto"/>
                <w:szCs w:val="21"/>
              </w:rPr>
              <w:t>号</w:t>
            </w:r>
          </w:p>
        </w:tc>
        <w:tc>
          <w:tcPr>
            <w:tcW w:w="3873" w:type="dxa"/>
            <w:gridSpan w:val="2"/>
            <w:vAlign w:val="center"/>
          </w:tcPr>
          <w:p>
            <w:pPr>
              <w:jc w:val="center"/>
              <w:rPr>
                <w:rFonts w:ascii="宋体" w:hAnsi="宋体"/>
                <w:color w:val="auto"/>
                <w:szCs w:val="21"/>
              </w:rPr>
            </w:pPr>
            <w:r>
              <w:rPr>
                <w:rFonts w:hint="eastAsia" w:ascii="宋体" w:hAnsi="宋体"/>
                <w:color w:val="auto"/>
                <w:szCs w:val="21"/>
              </w:rPr>
              <w:t>招 标 文 件</w:t>
            </w:r>
          </w:p>
        </w:tc>
        <w:tc>
          <w:tcPr>
            <w:tcW w:w="3830" w:type="dxa"/>
            <w:gridSpan w:val="2"/>
            <w:vAlign w:val="center"/>
          </w:tcPr>
          <w:p>
            <w:pPr>
              <w:jc w:val="center"/>
              <w:rPr>
                <w:rFonts w:ascii="宋体" w:hAnsi="宋体"/>
                <w:color w:val="auto"/>
                <w:szCs w:val="21"/>
              </w:rPr>
            </w:pPr>
            <w:r>
              <w:rPr>
                <w:rFonts w:hint="eastAsia" w:ascii="宋体" w:hAnsi="宋体"/>
                <w:color w:val="auto"/>
                <w:szCs w:val="21"/>
              </w:rPr>
              <w:t>投  标  文  件</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679" w:type="dxa"/>
            <w:vMerge w:val="continue"/>
            <w:vAlign w:val="center"/>
          </w:tcPr>
          <w:p>
            <w:pPr>
              <w:jc w:val="center"/>
              <w:rPr>
                <w:rFonts w:ascii="宋体" w:hAnsi="宋体"/>
                <w:color w:val="auto"/>
                <w:szCs w:val="21"/>
              </w:rPr>
            </w:pPr>
          </w:p>
        </w:tc>
        <w:tc>
          <w:tcPr>
            <w:tcW w:w="1162" w:type="dxa"/>
            <w:vAlign w:val="center"/>
          </w:tcPr>
          <w:p>
            <w:pPr>
              <w:jc w:val="center"/>
              <w:rPr>
                <w:rFonts w:ascii="宋体" w:hAnsi="宋体"/>
                <w:color w:val="auto"/>
                <w:szCs w:val="21"/>
              </w:rPr>
            </w:pPr>
            <w:r>
              <w:rPr>
                <w:rFonts w:hint="eastAsia" w:ascii="宋体" w:hAnsi="宋体"/>
                <w:color w:val="auto"/>
                <w:szCs w:val="21"/>
              </w:rPr>
              <w:t>条  目</w:t>
            </w:r>
          </w:p>
        </w:tc>
        <w:tc>
          <w:tcPr>
            <w:tcW w:w="2711" w:type="dxa"/>
            <w:vAlign w:val="center"/>
          </w:tcPr>
          <w:p>
            <w:pPr>
              <w:jc w:val="center"/>
              <w:rPr>
                <w:rFonts w:ascii="宋体" w:hAnsi="宋体"/>
                <w:color w:val="auto"/>
                <w:szCs w:val="21"/>
              </w:rPr>
            </w:pPr>
            <w:r>
              <w:rPr>
                <w:rFonts w:hint="eastAsia" w:ascii="宋体" w:hAnsi="宋体"/>
                <w:color w:val="auto"/>
                <w:szCs w:val="21"/>
              </w:rPr>
              <w:t>简  要  内  容</w:t>
            </w:r>
          </w:p>
        </w:tc>
        <w:tc>
          <w:tcPr>
            <w:tcW w:w="1257" w:type="dxa"/>
            <w:vAlign w:val="center"/>
          </w:tcPr>
          <w:p>
            <w:pPr>
              <w:jc w:val="center"/>
              <w:rPr>
                <w:rFonts w:ascii="宋体" w:hAnsi="宋体"/>
                <w:color w:val="auto"/>
                <w:szCs w:val="21"/>
              </w:rPr>
            </w:pPr>
            <w:r>
              <w:rPr>
                <w:rFonts w:hint="eastAsia" w:ascii="宋体" w:hAnsi="宋体"/>
                <w:color w:val="auto"/>
                <w:szCs w:val="21"/>
              </w:rPr>
              <w:t>条  目</w:t>
            </w:r>
          </w:p>
        </w:tc>
        <w:tc>
          <w:tcPr>
            <w:tcW w:w="2573" w:type="dxa"/>
            <w:vAlign w:val="center"/>
          </w:tcPr>
          <w:p>
            <w:pPr>
              <w:jc w:val="center"/>
              <w:rPr>
                <w:rFonts w:ascii="宋体" w:hAnsi="宋体"/>
                <w:color w:val="auto"/>
                <w:szCs w:val="21"/>
              </w:rPr>
            </w:pPr>
            <w:r>
              <w:rPr>
                <w:rFonts w:hint="eastAsia" w:ascii="宋体" w:hAnsi="宋体"/>
                <w:color w:val="auto"/>
                <w:szCs w:val="21"/>
              </w:rPr>
              <w:t>简  要  内  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679" w:type="dxa"/>
            <w:vAlign w:val="center"/>
          </w:tcPr>
          <w:p>
            <w:pPr>
              <w:widowControl/>
              <w:autoSpaceDE w:val="0"/>
              <w:autoSpaceDN w:val="0"/>
              <w:jc w:val="center"/>
              <w:textAlignment w:val="bottom"/>
              <w:rPr>
                <w:rFonts w:ascii="宋体" w:hAnsi="宋体"/>
                <w:color w:val="auto"/>
                <w:sz w:val="24"/>
              </w:rPr>
            </w:pPr>
          </w:p>
        </w:tc>
        <w:tc>
          <w:tcPr>
            <w:tcW w:w="1162" w:type="dxa"/>
            <w:vAlign w:val="center"/>
          </w:tcPr>
          <w:p>
            <w:pPr>
              <w:widowControl/>
              <w:autoSpaceDE w:val="0"/>
              <w:autoSpaceDN w:val="0"/>
              <w:jc w:val="center"/>
              <w:textAlignment w:val="bottom"/>
              <w:rPr>
                <w:rFonts w:ascii="宋体" w:hAnsi="宋体"/>
                <w:color w:val="auto"/>
                <w:sz w:val="24"/>
              </w:rPr>
            </w:pPr>
          </w:p>
        </w:tc>
        <w:tc>
          <w:tcPr>
            <w:tcW w:w="2711" w:type="dxa"/>
            <w:vAlign w:val="center"/>
          </w:tcPr>
          <w:p>
            <w:pPr>
              <w:widowControl/>
              <w:autoSpaceDE w:val="0"/>
              <w:autoSpaceDN w:val="0"/>
              <w:jc w:val="center"/>
              <w:textAlignment w:val="bottom"/>
              <w:rPr>
                <w:rFonts w:ascii="宋体" w:hAnsi="宋体"/>
                <w:color w:val="auto"/>
                <w:sz w:val="24"/>
              </w:rPr>
            </w:pPr>
          </w:p>
        </w:tc>
        <w:tc>
          <w:tcPr>
            <w:tcW w:w="1257" w:type="dxa"/>
            <w:vAlign w:val="center"/>
          </w:tcPr>
          <w:p>
            <w:pPr>
              <w:widowControl/>
              <w:autoSpaceDE w:val="0"/>
              <w:autoSpaceDN w:val="0"/>
              <w:jc w:val="center"/>
              <w:textAlignment w:val="bottom"/>
              <w:rPr>
                <w:rFonts w:ascii="宋体" w:hAnsi="宋体"/>
                <w:color w:val="auto"/>
                <w:sz w:val="24"/>
              </w:rPr>
            </w:pPr>
          </w:p>
        </w:tc>
        <w:tc>
          <w:tcPr>
            <w:tcW w:w="2573" w:type="dxa"/>
            <w:vAlign w:val="center"/>
          </w:tcPr>
          <w:p>
            <w:pPr>
              <w:widowControl/>
              <w:autoSpaceDE w:val="0"/>
              <w:autoSpaceDN w:val="0"/>
              <w:jc w:val="center"/>
              <w:textAlignment w:val="bottom"/>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679" w:type="dxa"/>
            <w:vAlign w:val="center"/>
          </w:tcPr>
          <w:p>
            <w:pPr>
              <w:widowControl/>
              <w:autoSpaceDE w:val="0"/>
              <w:autoSpaceDN w:val="0"/>
              <w:jc w:val="center"/>
              <w:textAlignment w:val="bottom"/>
              <w:rPr>
                <w:rFonts w:ascii="宋体" w:hAnsi="宋体"/>
                <w:color w:val="auto"/>
                <w:sz w:val="24"/>
              </w:rPr>
            </w:pPr>
          </w:p>
        </w:tc>
        <w:tc>
          <w:tcPr>
            <w:tcW w:w="1162" w:type="dxa"/>
            <w:vAlign w:val="center"/>
          </w:tcPr>
          <w:p>
            <w:pPr>
              <w:widowControl/>
              <w:autoSpaceDE w:val="0"/>
              <w:autoSpaceDN w:val="0"/>
              <w:jc w:val="center"/>
              <w:textAlignment w:val="bottom"/>
              <w:rPr>
                <w:rFonts w:ascii="宋体" w:hAnsi="宋体"/>
                <w:color w:val="auto"/>
                <w:sz w:val="24"/>
              </w:rPr>
            </w:pPr>
          </w:p>
        </w:tc>
        <w:tc>
          <w:tcPr>
            <w:tcW w:w="2711" w:type="dxa"/>
            <w:vAlign w:val="center"/>
          </w:tcPr>
          <w:p>
            <w:pPr>
              <w:widowControl/>
              <w:autoSpaceDE w:val="0"/>
              <w:autoSpaceDN w:val="0"/>
              <w:jc w:val="center"/>
              <w:textAlignment w:val="bottom"/>
              <w:rPr>
                <w:rFonts w:ascii="宋体" w:hAnsi="宋体"/>
                <w:color w:val="auto"/>
                <w:sz w:val="24"/>
              </w:rPr>
            </w:pPr>
          </w:p>
        </w:tc>
        <w:tc>
          <w:tcPr>
            <w:tcW w:w="1257" w:type="dxa"/>
            <w:vAlign w:val="center"/>
          </w:tcPr>
          <w:p>
            <w:pPr>
              <w:widowControl/>
              <w:autoSpaceDE w:val="0"/>
              <w:autoSpaceDN w:val="0"/>
              <w:jc w:val="center"/>
              <w:textAlignment w:val="bottom"/>
              <w:rPr>
                <w:rFonts w:ascii="宋体" w:hAnsi="宋体"/>
                <w:color w:val="auto"/>
                <w:sz w:val="24"/>
              </w:rPr>
            </w:pPr>
          </w:p>
        </w:tc>
        <w:tc>
          <w:tcPr>
            <w:tcW w:w="2573" w:type="dxa"/>
            <w:vAlign w:val="center"/>
          </w:tcPr>
          <w:p>
            <w:pPr>
              <w:widowControl/>
              <w:autoSpaceDE w:val="0"/>
              <w:autoSpaceDN w:val="0"/>
              <w:jc w:val="center"/>
              <w:textAlignment w:val="bottom"/>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679" w:type="dxa"/>
            <w:vAlign w:val="center"/>
          </w:tcPr>
          <w:p>
            <w:pPr>
              <w:widowControl/>
              <w:autoSpaceDE w:val="0"/>
              <w:autoSpaceDN w:val="0"/>
              <w:jc w:val="center"/>
              <w:textAlignment w:val="bottom"/>
              <w:rPr>
                <w:rFonts w:ascii="宋体" w:hAnsi="宋体"/>
                <w:color w:val="auto"/>
                <w:sz w:val="24"/>
              </w:rPr>
            </w:pPr>
          </w:p>
        </w:tc>
        <w:tc>
          <w:tcPr>
            <w:tcW w:w="1162" w:type="dxa"/>
            <w:vAlign w:val="center"/>
          </w:tcPr>
          <w:p>
            <w:pPr>
              <w:widowControl/>
              <w:autoSpaceDE w:val="0"/>
              <w:autoSpaceDN w:val="0"/>
              <w:jc w:val="center"/>
              <w:textAlignment w:val="bottom"/>
              <w:rPr>
                <w:rFonts w:ascii="宋体" w:hAnsi="宋体"/>
                <w:color w:val="auto"/>
                <w:sz w:val="24"/>
              </w:rPr>
            </w:pPr>
          </w:p>
        </w:tc>
        <w:tc>
          <w:tcPr>
            <w:tcW w:w="2711" w:type="dxa"/>
            <w:vAlign w:val="center"/>
          </w:tcPr>
          <w:p>
            <w:pPr>
              <w:widowControl/>
              <w:autoSpaceDE w:val="0"/>
              <w:autoSpaceDN w:val="0"/>
              <w:jc w:val="center"/>
              <w:textAlignment w:val="bottom"/>
              <w:rPr>
                <w:rFonts w:ascii="宋体" w:hAnsi="宋体"/>
                <w:color w:val="auto"/>
                <w:sz w:val="24"/>
              </w:rPr>
            </w:pPr>
          </w:p>
        </w:tc>
        <w:tc>
          <w:tcPr>
            <w:tcW w:w="1257" w:type="dxa"/>
            <w:vAlign w:val="center"/>
          </w:tcPr>
          <w:p>
            <w:pPr>
              <w:widowControl/>
              <w:autoSpaceDE w:val="0"/>
              <w:autoSpaceDN w:val="0"/>
              <w:jc w:val="center"/>
              <w:textAlignment w:val="bottom"/>
              <w:rPr>
                <w:rFonts w:ascii="宋体" w:hAnsi="宋体"/>
                <w:color w:val="auto"/>
                <w:sz w:val="24"/>
              </w:rPr>
            </w:pPr>
          </w:p>
        </w:tc>
        <w:tc>
          <w:tcPr>
            <w:tcW w:w="2573" w:type="dxa"/>
            <w:vAlign w:val="center"/>
          </w:tcPr>
          <w:p>
            <w:pPr>
              <w:widowControl/>
              <w:autoSpaceDE w:val="0"/>
              <w:autoSpaceDN w:val="0"/>
              <w:jc w:val="center"/>
              <w:textAlignment w:val="bottom"/>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679" w:type="dxa"/>
            <w:vAlign w:val="center"/>
          </w:tcPr>
          <w:p>
            <w:pPr>
              <w:widowControl/>
              <w:autoSpaceDE w:val="0"/>
              <w:autoSpaceDN w:val="0"/>
              <w:jc w:val="center"/>
              <w:textAlignment w:val="bottom"/>
              <w:rPr>
                <w:rFonts w:ascii="宋体" w:hAnsi="宋体"/>
                <w:color w:val="auto"/>
                <w:sz w:val="24"/>
              </w:rPr>
            </w:pPr>
          </w:p>
        </w:tc>
        <w:tc>
          <w:tcPr>
            <w:tcW w:w="1162" w:type="dxa"/>
            <w:vAlign w:val="center"/>
          </w:tcPr>
          <w:p>
            <w:pPr>
              <w:widowControl/>
              <w:autoSpaceDE w:val="0"/>
              <w:autoSpaceDN w:val="0"/>
              <w:jc w:val="center"/>
              <w:textAlignment w:val="bottom"/>
              <w:rPr>
                <w:rFonts w:ascii="宋体" w:hAnsi="宋体"/>
                <w:color w:val="auto"/>
                <w:sz w:val="24"/>
              </w:rPr>
            </w:pPr>
          </w:p>
        </w:tc>
        <w:tc>
          <w:tcPr>
            <w:tcW w:w="2711" w:type="dxa"/>
            <w:vAlign w:val="center"/>
          </w:tcPr>
          <w:p>
            <w:pPr>
              <w:widowControl/>
              <w:autoSpaceDE w:val="0"/>
              <w:autoSpaceDN w:val="0"/>
              <w:jc w:val="center"/>
              <w:textAlignment w:val="bottom"/>
              <w:rPr>
                <w:rFonts w:ascii="宋体" w:hAnsi="宋体"/>
                <w:color w:val="auto"/>
                <w:sz w:val="24"/>
              </w:rPr>
            </w:pPr>
          </w:p>
        </w:tc>
        <w:tc>
          <w:tcPr>
            <w:tcW w:w="1257" w:type="dxa"/>
            <w:vAlign w:val="center"/>
          </w:tcPr>
          <w:p>
            <w:pPr>
              <w:widowControl/>
              <w:autoSpaceDE w:val="0"/>
              <w:autoSpaceDN w:val="0"/>
              <w:jc w:val="center"/>
              <w:textAlignment w:val="bottom"/>
              <w:rPr>
                <w:rFonts w:ascii="宋体" w:hAnsi="宋体"/>
                <w:color w:val="auto"/>
                <w:sz w:val="24"/>
              </w:rPr>
            </w:pPr>
          </w:p>
        </w:tc>
        <w:tc>
          <w:tcPr>
            <w:tcW w:w="2573" w:type="dxa"/>
            <w:vAlign w:val="center"/>
          </w:tcPr>
          <w:p>
            <w:pPr>
              <w:widowControl/>
              <w:autoSpaceDE w:val="0"/>
              <w:autoSpaceDN w:val="0"/>
              <w:jc w:val="center"/>
              <w:textAlignment w:val="bottom"/>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679" w:type="dxa"/>
            <w:vAlign w:val="center"/>
          </w:tcPr>
          <w:p>
            <w:pPr>
              <w:widowControl/>
              <w:autoSpaceDE w:val="0"/>
              <w:autoSpaceDN w:val="0"/>
              <w:jc w:val="center"/>
              <w:textAlignment w:val="bottom"/>
              <w:rPr>
                <w:rFonts w:ascii="宋体" w:hAnsi="宋体"/>
                <w:color w:val="auto"/>
                <w:sz w:val="24"/>
              </w:rPr>
            </w:pPr>
          </w:p>
        </w:tc>
        <w:tc>
          <w:tcPr>
            <w:tcW w:w="1162" w:type="dxa"/>
            <w:vAlign w:val="center"/>
          </w:tcPr>
          <w:p>
            <w:pPr>
              <w:widowControl/>
              <w:autoSpaceDE w:val="0"/>
              <w:autoSpaceDN w:val="0"/>
              <w:jc w:val="center"/>
              <w:textAlignment w:val="bottom"/>
              <w:rPr>
                <w:rFonts w:ascii="宋体" w:hAnsi="宋体"/>
                <w:color w:val="auto"/>
                <w:sz w:val="24"/>
              </w:rPr>
            </w:pPr>
          </w:p>
        </w:tc>
        <w:tc>
          <w:tcPr>
            <w:tcW w:w="2711" w:type="dxa"/>
            <w:vAlign w:val="center"/>
          </w:tcPr>
          <w:p>
            <w:pPr>
              <w:widowControl/>
              <w:autoSpaceDE w:val="0"/>
              <w:autoSpaceDN w:val="0"/>
              <w:jc w:val="center"/>
              <w:textAlignment w:val="bottom"/>
              <w:rPr>
                <w:rFonts w:ascii="宋体" w:hAnsi="宋体"/>
                <w:color w:val="auto"/>
                <w:sz w:val="24"/>
              </w:rPr>
            </w:pPr>
          </w:p>
        </w:tc>
        <w:tc>
          <w:tcPr>
            <w:tcW w:w="1257" w:type="dxa"/>
            <w:vAlign w:val="center"/>
          </w:tcPr>
          <w:p>
            <w:pPr>
              <w:widowControl/>
              <w:autoSpaceDE w:val="0"/>
              <w:autoSpaceDN w:val="0"/>
              <w:jc w:val="center"/>
              <w:textAlignment w:val="bottom"/>
              <w:rPr>
                <w:rFonts w:ascii="宋体" w:hAnsi="宋体"/>
                <w:color w:val="auto"/>
                <w:sz w:val="24"/>
              </w:rPr>
            </w:pPr>
          </w:p>
        </w:tc>
        <w:tc>
          <w:tcPr>
            <w:tcW w:w="2573" w:type="dxa"/>
            <w:vAlign w:val="center"/>
          </w:tcPr>
          <w:p>
            <w:pPr>
              <w:widowControl/>
              <w:autoSpaceDE w:val="0"/>
              <w:autoSpaceDN w:val="0"/>
              <w:jc w:val="center"/>
              <w:textAlignment w:val="bottom"/>
              <w:rPr>
                <w:rFonts w:ascii="宋体" w:hAnsi="宋体"/>
                <w:color w:val="auto"/>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679" w:type="dxa"/>
            <w:vAlign w:val="center"/>
          </w:tcPr>
          <w:p>
            <w:pPr>
              <w:widowControl/>
              <w:autoSpaceDE w:val="0"/>
              <w:autoSpaceDN w:val="0"/>
              <w:jc w:val="center"/>
              <w:textAlignment w:val="bottom"/>
              <w:rPr>
                <w:rFonts w:ascii="宋体" w:hAnsi="宋体"/>
                <w:color w:val="auto"/>
                <w:sz w:val="24"/>
              </w:rPr>
            </w:pPr>
          </w:p>
        </w:tc>
        <w:tc>
          <w:tcPr>
            <w:tcW w:w="1162" w:type="dxa"/>
            <w:vAlign w:val="center"/>
          </w:tcPr>
          <w:p>
            <w:pPr>
              <w:widowControl/>
              <w:autoSpaceDE w:val="0"/>
              <w:autoSpaceDN w:val="0"/>
              <w:jc w:val="center"/>
              <w:textAlignment w:val="bottom"/>
              <w:rPr>
                <w:rFonts w:ascii="宋体" w:hAnsi="宋体"/>
                <w:color w:val="auto"/>
                <w:sz w:val="24"/>
              </w:rPr>
            </w:pPr>
          </w:p>
        </w:tc>
        <w:tc>
          <w:tcPr>
            <w:tcW w:w="2711" w:type="dxa"/>
            <w:vAlign w:val="center"/>
          </w:tcPr>
          <w:p>
            <w:pPr>
              <w:widowControl/>
              <w:autoSpaceDE w:val="0"/>
              <w:autoSpaceDN w:val="0"/>
              <w:jc w:val="center"/>
              <w:textAlignment w:val="bottom"/>
              <w:rPr>
                <w:rFonts w:ascii="宋体" w:hAnsi="宋体"/>
                <w:color w:val="auto"/>
                <w:sz w:val="24"/>
              </w:rPr>
            </w:pPr>
          </w:p>
        </w:tc>
        <w:tc>
          <w:tcPr>
            <w:tcW w:w="1257" w:type="dxa"/>
            <w:vAlign w:val="center"/>
          </w:tcPr>
          <w:p>
            <w:pPr>
              <w:widowControl/>
              <w:autoSpaceDE w:val="0"/>
              <w:autoSpaceDN w:val="0"/>
              <w:jc w:val="center"/>
              <w:textAlignment w:val="bottom"/>
              <w:rPr>
                <w:rFonts w:ascii="宋体" w:hAnsi="宋体"/>
                <w:color w:val="auto"/>
                <w:sz w:val="24"/>
              </w:rPr>
            </w:pPr>
          </w:p>
        </w:tc>
        <w:tc>
          <w:tcPr>
            <w:tcW w:w="2573" w:type="dxa"/>
            <w:vAlign w:val="center"/>
          </w:tcPr>
          <w:p>
            <w:pPr>
              <w:widowControl/>
              <w:autoSpaceDE w:val="0"/>
              <w:autoSpaceDN w:val="0"/>
              <w:jc w:val="center"/>
              <w:textAlignment w:val="bottom"/>
              <w:rPr>
                <w:rFonts w:ascii="宋体" w:hAnsi="宋体"/>
                <w:color w:val="auto"/>
                <w:sz w:val="24"/>
              </w:rPr>
            </w:pPr>
          </w:p>
        </w:tc>
      </w:tr>
    </w:tbl>
    <w:p>
      <w:pPr>
        <w:pStyle w:val="7"/>
        <w:adjustRightInd w:val="0"/>
        <w:snapToGrid w:val="0"/>
        <w:spacing w:before="156" w:beforeLines="50" w:line="360" w:lineRule="auto"/>
        <w:rPr>
          <w:rFonts w:hAnsi="宋体"/>
          <w:color w:val="auto"/>
          <w:sz w:val="24"/>
        </w:rPr>
      </w:pPr>
      <w:r>
        <w:rPr>
          <w:rFonts w:hAnsi="宋体"/>
          <w:color w:val="auto"/>
          <w:sz w:val="24"/>
        </w:rPr>
        <w:t>投标</w:t>
      </w:r>
      <w:r>
        <w:rPr>
          <w:rFonts w:hint="eastAsia" w:hAnsi="宋体"/>
          <w:color w:val="auto"/>
          <w:sz w:val="24"/>
        </w:rPr>
        <w:t>方</w:t>
      </w:r>
      <w:r>
        <w:rPr>
          <w:rFonts w:hAnsi="宋体"/>
          <w:color w:val="auto"/>
          <w:sz w:val="24"/>
        </w:rPr>
        <w:t>：   盖章：</w:t>
      </w:r>
    </w:p>
    <w:p>
      <w:pPr>
        <w:pStyle w:val="2"/>
        <w:numPr>
          <w:ilvl w:val="0"/>
          <w:numId w:val="0"/>
        </w:numPr>
        <w:snapToGrid/>
        <w:spacing w:beforeLines="0" w:line="480" w:lineRule="auto"/>
        <w:rPr>
          <w:rFonts w:hAnsi="宋体"/>
          <w:color w:val="auto"/>
          <w:sz w:val="24"/>
          <w:szCs w:val="24"/>
        </w:rPr>
      </w:pPr>
      <w:bookmarkStart w:id="95" w:name="_Toc282421446"/>
      <w:bookmarkStart w:id="96" w:name="_Toc6766"/>
      <w:bookmarkStart w:id="97" w:name="_Toc282420857"/>
      <w:bookmarkStart w:id="98" w:name="_Toc287602850"/>
      <w:r>
        <w:rPr>
          <w:rFonts w:hint="eastAsia" w:hAnsi="宋体"/>
          <w:color w:val="auto"/>
          <w:sz w:val="24"/>
          <w:szCs w:val="24"/>
        </w:rPr>
        <w:t>1</w:t>
      </w:r>
      <w:r>
        <w:rPr>
          <w:rFonts w:hAnsi="宋体"/>
          <w:color w:val="auto"/>
          <w:sz w:val="24"/>
          <w:szCs w:val="24"/>
        </w:rPr>
        <w:t>0</w:t>
      </w:r>
      <w:r>
        <w:rPr>
          <w:rFonts w:hint="eastAsia" w:hAnsi="宋体"/>
          <w:color w:val="auto"/>
          <w:sz w:val="24"/>
          <w:szCs w:val="24"/>
        </w:rPr>
        <w:t>投标方需说明的其他问题</w:t>
      </w:r>
      <w:bookmarkEnd w:id="95"/>
      <w:bookmarkEnd w:id="96"/>
      <w:bookmarkEnd w:id="97"/>
      <w:bookmarkEnd w:id="98"/>
    </w:p>
    <w:p>
      <w:pPr>
        <w:pStyle w:val="18"/>
        <w:adjustRightInd w:val="0"/>
        <w:snapToGrid w:val="0"/>
        <w:spacing w:line="360" w:lineRule="auto"/>
        <w:ind w:firstLine="480"/>
        <w:rPr>
          <w:color w:val="auto"/>
        </w:rPr>
      </w:pPr>
      <w:r>
        <w:rPr>
          <w:rFonts w:hint="eastAsia" w:ascii="宋体" w:hAnsi="宋体" w:eastAsia="宋体" w:cs="Times New Roman"/>
          <w:color w:val="auto"/>
          <w:sz w:val="24"/>
          <w:szCs w:val="24"/>
        </w:rPr>
        <w:t>如有需说明的其他问题，投标方应通过书面形式提交，并加盖公章。</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方正书宋简体">
    <w:altName w:val="宋体"/>
    <w:panose1 w:val="020B0604020202020204"/>
    <w:charset w:val="86"/>
    <w:family w:val="auto"/>
    <w:pitch w:val="default"/>
    <w:sig w:usb0="00000000" w:usb1="00000000" w:usb2="00000010" w:usb3="00000000" w:csb0="00040000" w:csb1="00000000"/>
  </w:font>
  <w:font w:name="Arial-BoldMT">
    <w:altName w:val="宋体"/>
    <w:panose1 w:val="020B0604020202020204"/>
    <w:charset w:val="86"/>
    <w:family w:val="auto"/>
    <w:pitch w:val="default"/>
    <w:sig w:usb0="00000000" w:usb1="00000000" w:usb2="00000010" w:usb3="00000000" w:csb0="00040000" w:csb1="00000000"/>
  </w:font>
  <w:font w:name="PMingLiU">
    <w:altName w:val="PMingLiU-ExtB"/>
    <w:panose1 w:val="02020500000000000000"/>
    <w:charset w:val="88"/>
    <w:family w:val="roman"/>
    <w:pitch w:val="default"/>
    <w:sig w:usb0="00000000" w:usb1="00000000"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91CBD"/>
    <w:multiLevelType w:val="singleLevel"/>
    <w:tmpl w:val="B2291CBD"/>
    <w:lvl w:ilvl="0" w:tentative="0">
      <w:start w:val="1"/>
      <w:numFmt w:val="decimal"/>
      <w:lvlText w:val="(%1)"/>
      <w:lvlJc w:val="left"/>
      <w:pPr>
        <w:ind w:left="425" w:hanging="425"/>
      </w:pPr>
      <w:rPr>
        <w:rFonts w:hint="default"/>
      </w:rPr>
    </w:lvl>
  </w:abstractNum>
  <w:abstractNum w:abstractNumId="1">
    <w:nsid w:val="046A132E"/>
    <w:multiLevelType w:val="multilevel"/>
    <w:tmpl w:val="046A132E"/>
    <w:lvl w:ilvl="0" w:tentative="0">
      <w:start w:val="1"/>
      <w:numFmt w:val="decimal"/>
      <w:pStyle w:val="2"/>
      <w:suff w:val="space"/>
      <w:lvlText w:val="%1"/>
      <w:lvlJc w:val="left"/>
      <w:pPr>
        <w:ind w:left="0" w:firstLine="0"/>
      </w:pPr>
      <w:rPr>
        <w:rFonts w:hint="default" w:ascii="Times New Roman" w:hAnsi="Times New Roman" w:eastAsia="宋体" w:cs="Times New Roman"/>
        <w:b/>
        <w:i w:val="0"/>
        <w:color w:val="auto"/>
        <w:sz w:val="21"/>
      </w:rPr>
    </w:lvl>
    <w:lvl w:ilvl="1" w:tentative="0">
      <w:start w:val="2"/>
      <w:numFmt w:val="decimal"/>
      <w:pStyle w:val="3"/>
      <w:suff w:val="space"/>
      <w:lvlText w:val="%1.%2"/>
      <w:lvlJc w:val="left"/>
      <w:pPr>
        <w:ind w:left="1134" w:firstLine="0"/>
      </w:pPr>
      <w:rPr>
        <w:rFonts w:hint="default" w:ascii="Times New Roman" w:hAnsi="Times New Roman" w:eastAsia="宋体" w:cs="Times New Roman"/>
        <w:b w:val="0"/>
        <w:i w:val="0"/>
        <w:sz w:val="21"/>
      </w:rPr>
    </w:lvl>
    <w:lvl w:ilvl="2" w:tentative="0">
      <w:start w:val="12"/>
      <w:numFmt w:val="decimal"/>
      <w:suff w:val="space"/>
      <w:lvlText w:val="%1.%2.%3 "/>
      <w:lvlJc w:val="left"/>
      <w:pPr>
        <w:ind w:left="360" w:firstLine="0"/>
      </w:pPr>
      <w:rPr>
        <w:rFonts w:hint="eastAsia" w:ascii="黑体" w:hAnsi="黑体" w:eastAsia="黑体" w:cs="Times New Roman"/>
        <w:b w:val="0"/>
        <w:bCs w:val="0"/>
        <w:i w:val="0"/>
        <w:iCs w:val="0"/>
        <w:caps w:val="0"/>
        <w:smallCaps w:val="0"/>
        <w:strike w:val="0"/>
        <w:dstrike w:val="0"/>
        <w:vanish w:val="0"/>
        <w:color w:val="auto"/>
        <w:spacing w:val="0"/>
        <w:w w:val="100"/>
        <w:kern w:val="2"/>
        <w:position w:val="0"/>
        <w:sz w:val="21"/>
        <w:u w:val="none"/>
        <w:vertAlign w:val="baseline"/>
      </w:rPr>
    </w:lvl>
    <w:lvl w:ilvl="3" w:tentative="0">
      <w:start w:val="1"/>
      <w:numFmt w:val="decimal"/>
      <w:suff w:val="space"/>
      <w:lvlText w:val="%1.%2.%3.%4 "/>
      <w:lvlJc w:val="left"/>
      <w:pPr>
        <w:ind w:left="0" w:firstLine="0"/>
      </w:pPr>
      <w:rPr>
        <w:rFonts w:hint="eastAsia" w:ascii="宋体" w:hAnsi="宋体" w:eastAsia="宋体" w:cs="Times New Roman"/>
        <w:b w:val="0"/>
        <w:bCs w:val="0"/>
        <w:i w:val="0"/>
        <w:iCs w:val="0"/>
        <w:caps w:val="0"/>
        <w:smallCaps w:val="0"/>
        <w:strike w:val="0"/>
        <w:dstrike w:val="0"/>
        <w:vanish w:val="0"/>
        <w:color w:val="auto"/>
        <w:spacing w:val="0"/>
        <w:w w:val="100"/>
        <w:kern w:val="2"/>
        <w:position w:val="0"/>
        <w:sz w:val="21"/>
        <w:szCs w:val="21"/>
        <w:u w:val="none"/>
        <w:vertAlign w:val="baseline"/>
        <w:lang w:val="en-US" w:eastAsia="zh-CN" w:bidi="ar-SA"/>
      </w:rPr>
    </w:lvl>
    <w:lvl w:ilvl="4" w:tentative="0">
      <w:start w:val="1"/>
      <w:numFmt w:val="decimal"/>
      <w:lvlRestart w:val="0"/>
      <w:suff w:val="space"/>
      <w:lvlText w:val="%1.%2.%3.%4.%5"/>
      <w:lvlJc w:val="left"/>
      <w:pPr>
        <w:ind w:left="-180" w:firstLine="0"/>
      </w:pPr>
    </w:lvl>
    <w:lvl w:ilvl="5" w:tentative="0">
      <w:start w:val="1"/>
      <w:numFmt w:val="decimal"/>
      <w:lvlText w:val="%1.%2.%3.%4.%5.%6"/>
      <w:lvlJc w:val="left"/>
      <w:pPr>
        <w:tabs>
          <w:tab w:val="left" w:pos="3746"/>
        </w:tabs>
        <w:ind w:left="3080" w:hanging="1134"/>
      </w:pPr>
    </w:lvl>
    <w:lvl w:ilvl="6" w:tentative="0">
      <w:start w:val="1"/>
      <w:numFmt w:val="decimal"/>
      <w:lvlText w:val="%1.%2.%3.%4.%5.%6.%7"/>
      <w:lvlJc w:val="left"/>
      <w:pPr>
        <w:tabs>
          <w:tab w:val="left" w:pos="4531"/>
        </w:tabs>
        <w:ind w:left="3647" w:hanging="1276"/>
      </w:pPr>
    </w:lvl>
    <w:lvl w:ilvl="7" w:tentative="0">
      <w:start w:val="1"/>
      <w:numFmt w:val="decimal"/>
      <w:lvlText w:val="%1.%2.%3.%4.%5.%6.%7.%8"/>
      <w:lvlJc w:val="left"/>
      <w:pPr>
        <w:tabs>
          <w:tab w:val="left" w:pos="5316"/>
        </w:tabs>
        <w:ind w:left="4214" w:hanging="1418"/>
      </w:pPr>
    </w:lvl>
    <w:lvl w:ilvl="8" w:tentative="0">
      <w:start w:val="1"/>
      <w:numFmt w:val="decimal"/>
      <w:lvlText w:val="%1.%2.%3.%4.%5.%6.%7.%8.%9"/>
      <w:lvlJc w:val="left"/>
      <w:pPr>
        <w:tabs>
          <w:tab w:val="left" w:pos="6102"/>
        </w:tabs>
        <w:ind w:left="4922" w:hanging="1700"/>
      </w:pPr>
    </w:lvl>
  </w:abstractNum>
  <w:abstractNum w:abstractNumId="2">
    <w:nsid w:val="2B89657B"/>
    <w:multiLevelType w:val="multilevel"/>
    <w:tmpl w:val="2B89657B"/>
    <w:lvl w:ilvl="0" w:tentative="0">
      <w:start w:val="1"/>
      <w:numFmt w:val="decimal"/>
      <w:suff w:val="space"/>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425158BB"/>
    <w:multiLevelType w:val="multilevel"/>
    <w:tmpl w:val="425158BB"/>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9878EF1"/>
    <w:multiLevelType w:val="singleLevel"/>
    <w:tmpl w:val="49878EF1"/>
    <w:lvl w:ilvl="0" w:tentative="0">
      <w:start w:val="1"/>
      <w:numFmt w:val="decimalEnclosedCircleChinese"/>
      <w:suff w:val="nothing"/>
      <w:lvlText w:val="%1　"/>
      <w:lvlJc w:val="left"/>
      <w:pPr>
        <w:ind w:left="0" w:firstLine="400"/>
      </w:pPr>
      <w:rPr>
        <w:rFonts w:hint="eastAsia"/>
      </w:rPr>
    </w:lvl>
  </w:abstractNum>
  <w:abstractNum w:abstractNumId="5">
    <w:nsid w:val="5ECB9525"/>
    <w:multiLevelType w:val="singleLevel"/>
    <w:tmpl w:val="5ECB9525"/>
    <w:lvl w:ilvl="0" w:tentative="0">
      <w:start w:val="1"/>
      <w:numFmt w:val="decimal"/>
      <w:lvlText w:val="%1)"/>
      <w:lvlJc w:val="left"/>
      <w:pPr>
        <w:ind w:left="425" w:hanging="425"/>
      </w:pPr>
      <w:rPr>
        <w:rFonts w:hint="default"/>
      </w:rPr>
    </w:lvl>
  </w:abstractNum>
  <w:abstractNum w:abstractNumId="6">
    <w:nsid w:val="6CE8528F"/>
    <w:multiLevelType w:val="multilevel"/>
    <w:tmpl w:val="6CE8528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72A934B1"/>
    <w:multiLevelType w:val="singleLevel"/>
    <w:tmpl w:val="72A934B1"/>
    <w:lvl w:ilvl="0" w:tentative="0">
      <w:start w:val="1"/>
      <w:numFmt w:val="decimal"/>
      <w:suff w:val="space"/>
      <w:lvlText w:val="(%1)"/>
      <w:lvlJc w:val="left"/>
      <w:pPr>
        <w:ind w:left="420" w:firstLine="0"/>
      </w:pPr>
      <w:rPr>
        <w:rFonts w:hint="default"/>
      </w:rPr>
    </w:lvl>
  </w:abstractNum>
  <w:num w:numId="1">
    <w:abstractNumId w:val="1"/>
    <w:lvlOverride w:ilvl="0">
      <w:startOverride w:val="1"/>
    </w:lvlOverride>
    <w:lvlOverride w:ilvl="1">
      <w:startOverride w:val="2"/>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7"/>
  </w:num>
  <w:num w:numId="4">
    <w:abstractNumId w:val="4"/>
  </w:num>
  <w:num w:numId="5">
    <w:abstractNumId w:val="6"/>
  </w:num>
  <w:num w:numId="6">
    <w:abstractNumId w:val="3"/>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g0MmExZDJiOGI0YmM1YmY1YmU2Mjk4MGQ5N2YyOTEifQ=="/>
  </w:docVars>
  <w:rsids>
    <w:rsidRoot w:val="586447C8"/>
    <w:rsid w:val="00071317"/>
    <w:rsid w:val="00076510"/>
    <w:rsid w:val="00124D30"/>
    <w:rsid w:val="00294502"/>
    <w:rsid w:val="002C4FB0"/>
    <w:rsid w:val="002E32CB"/>
    <w:rsid w:val="00304640"/>
    <w:rsid w:val="00325E6C"/>
    <w:rsid w:val="00357B61"/>
    <w:rsid w:val="003B3A1B"/>
    <w:rsid w:val="003B70DA"/>
    <w:rsid w:val="003D520A"/>
    <w:rsid w:val="004019BC"/>
    <w:rsid w:val="004C1A19"/>
    <w:rsid w:val="004D4EAE"/>
    <w:rsid w:val="004F1A1A"/>
    <w:rsid w:val="005F11B9"/>
    <w:rsid w:val="00656DE8"/>
    <w:rsid w:val="00665A0E"/>
    <w:rsid w:val="00680958"/>
    <w:rsid w:val="006B39A8"/>
    <w:rsid w:val="006B3BC1"/>
    <w:rsid w:val="006D5915"/>
    <w:rsid w:val="00721263"/>
    <w:rsid w:val="00725FFB"/>
    <w:rsid w:val="007A355D"/>
    <w:rsid w:val="00826AB3"/>
    <w:rsid w:val="00891318"/>
    <w:rsid w:val="00951C46"/>
    <w:rsid w:val="00957C0E"/>
    <w:rsid w:val="009B662F"/>
    <w:rsid w:val="009D7F05"/>
    <w:rsid w:val="00A74EDC"/>
    <w:rsid w:val="00AC41A2"/>
    <w:rsid w:val="00B202A5"/>
    <w:rsid w:val="00BF5124"/>
    <w:rsid w:val="00C42D8F"/>
    <w:rsid w:val="00CF6EF1"/>
    <w:rsid w:val="00D06D8D"/>
    <w:rsid w:val="00D360B8"/>
    <w:rsid w:val="00D568DE"/>
    <w:rsid w:val="00DC3EA5"/>
    <w:rsid w:val="00E0214F"/>
    <w:rsid w:val="00E15926"/>
    <w:rsid w:val="00FA3776"/>
    <w:rsid w:val="00FF15DC"/>
    <w:rsid w:val="048B3E34"/>
    <w:rsid w:val="05B253F0"/>
    <w:rsid w:val="06FD0F36"/>
    <w:rsid w:val="0C7E427E"/>
    <w:rsid w:val="0CAD2792"/>
    <w:rsid w:val="0FE4264A"/>
    <w:rsid w:val="176E480F"/>
    <w:rsid w:val="19C72DC1"/>
    <w:rsid w:val="1D962570"/>
    <w:rsid w:val="1F263C14"/>
    <w:rsid w:val="20CC6F0F"/>
    <w:rsid w:val="226338A3"/>
    <w:rsid w:val="25893620"/>
    <w:rsid w:val="26B9340C"/>
    <w:rsid w:val="275639D6"/>
    <w:rsid w:val="2B7249D5"/>
    <w:rsid w:val="2BD61589"/>
    <w:rsid w:val="2C7F5863"/>
    <w:rsid w:val="2C8B4122"/>
    <w:rsid w:val="2CA90A4C"/>
    <w:rsid w:val="2D8D5C78"/>
    <w:rsid w:val="2EF91817"/>
    <w:rsid w:val="30D63C46"/>
    <w:rsid w:val="32F02F31"/>
    <w:rsid w:val="33BD7444"/>
    <w:rsid w:val="352944D8"/>
    <w:rsid w:val="37BA7B24"/>
    <w:rsid w:val="37EA43F2"/>
    <w:rsid w:val="38734E86"/>
    <w:rsid w:val="398B39B3"/>
    <w:rsid w:val="3BBC66CC"/>
    <w:rsid w:val="3BBD597A"/>
    <w:rsid w:val="3C1D466B"/>
    <w:rsid w:val="3DFF04CC"/>
    <w:rsid w:val="3FC4377B"/>
    <w:rsid w:val="40C559FD"/>
    <w:rsid w:val="41F93800"/>
    <w:rsid w:val="42310F4F"/>
    <w:rsid w:val="42DF2098"/>
    <w:rsid w:val="434E7CF8"/>
    <w:rsid w:val="43C71A8C"/>
    <w:rsid w:val="445C2D2C"/>
    <w:rsid w:val="47D26C51"/>
    <w:rsid w:val="48455675"/>
    <w:rsid w:val="49DE7B2F"/>
    <w:rsid w:val="4BED5E07"/>
    <w:rsid w:val="4EE16627"/>
    <w:rsid w:val="4F68337B"/>
    <w:rsid w:val="5116195C"/>
    <w:rsid w:val="51AB479B"/>
    <w:rsid w:val="52A42F98"/>
    <w:rsid w:val="542D2056"/>
    <w:rsid w:val="55200C41"/>
    <w:rsid w:val="555313D1"/>
    <w:rsid w:val="586447C8"/>
    <w:rsid w:val="5A345068"/>
    <w:rsid w:val="5B33135D"/>
    <w:rsid w:val="5BDA525C"/>
    <w:rsid w:val="5CFF3BED"/>
    <w:rsid w:val="5FD90725"/>
    <w:rsid w:val="61776447"/>
    <w:rsid w:val="623E0DAD"/>
    <w:rsid w:val="63F0428F"/>
    <w:rsid w:val="64C14C83"/>
    <w:rsid w:val="67801FB3"/>
    <w:rsid w:val="67B6759E"/>
    <w:rsid w:val="67FC76A6"/>
    <w:rsid w:val="68336E40"/>
    <w:rsid w:val="6A2E3D63"/>
    <w:rsid w:val="6A4D0E7C"/>
    <w:rsid w:val="6A641533"/>
    <w:rsid w:val="6B030D4C"/>
    <w:rsid w:val="6B647C74"/>
    <w:rsid w:val="6CFE7AEB"/>
    <w:rsid w:val="6E83612F"/>
    <w:rsid w:val="6F663E4E"/>
    <w:rsid w:val="6FC83328"/>
    <w:rsid w:val="71003BD4"/>
    <w:rsid w:val="75175B20"/>
    <w:rsid w:val="762D1373"/>
    <w:rsid w:val="76836321"/>
    <w:rsid w:val="76CA0970"/>
    <w:rsid w:val="76EC4D8A"/>
    <w:rsid w:val="773F135E"/>
    <w:rsid w:val="77551D0F"/>
    <w:rsid w:val="777A05E8"/>
    <w:rsid w:val="7892370F"/>
    <w:rsid w:val="7C3743CF"/>
    <w:rsid w:val="7CC61BD9"/>
    <w:rsid w:val="7D254B52"/>
    <w:rsid w:val="7D8D3AF5"/>
    <w:rsid w:val="7E867872"/>
    <w:rsid w:val="87EB6C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0"/>
    <w:pPr>
      <w:keepNext/>
      <w:keepLines/>
      <w:numPr>
        <w:ilvl w:val="0"/>
        <w:numId w:val="1"/>
      </w:numPr>
      <w:snapToGrid w:val="0"/>
      <w:spacing w:beforeLines="100" w:line="360" w:lineRule="auto"/>
      <w:outlineLvl w:val="0"/>
    </w:pPr>
    <w:rPr>
      <w:rFonts w:ascii="宋体" w:hAnsi="Times New Roman" w:eastAsia="宋体" w:cs="宋体"/>
      <w:b/>
      <w:bCs/>
      <w:kern w:val="44"/>
      <w:szCs w:val="21"/>
    </w:rPr>
  </w:style>
  <w:style w:type="paragraph" w:styleId="3">
    <w:name w:val="heading 2"/>
    <w:basedOn w:val="1"/>
    <w:next w:val="1"/>
    <w:unhideWhenUsed/>
    <w:qFormat/>
    <w:uiPriority w:val="0"/>
    <w:pPr>
      <w:keepLines/>
      <w:numPr>
        <w:ilvl w:val="1"/>
        <w:numId w:val="1"/>
      </w:numPr>
      <w:adjustRightInd w:val="0"/>
      <w:snapToGrid w:val="0"/>
      <w:spacing w:line="360" w:lineRule="auto"/>
      <w:outlineLvl w:val="1"/>
    </w:pPr>
    <w:rPr>
      <w:rFonts w:ascii="宋体" w:hAnsi="Times New Roman" w:eastAsia="宋体" w:cs="宋体"/>
      <w:bCs/>
      <w:szCs w:val="21"/>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w:basedOn w:val="1"/>
    <w:link w:val="27"/>
    <w:qFormat/>
    <w:uiPriority w:val="0"/>
    <w:pPr>
      <w:spacing w:after="120"/>
    </w:pPr>
  </w:style>
  <w:style w:type="paragraph" w:styleId="6">
    <w:name w:val="Body Text Indent"/>
    <w:basedOn w:val="1"/>
    <w:qFormat/>
    <w:uiPriority w:val="0"/>
    <w:pPr>
      <w:spacing w:after="120"/>
      <w:ind w:left="420" w:leftChars="200"/>
    </w:pPr>
  </w:style>
  <w:style w:type="paragraph" w:styleId="7">
    <w:name w:val="Plain Text"/>
    <w:basedOn w:val="1"/>
    <w:qFormat/>
    <w:uiPriority w:val="0"/>
    <w:rPr>
      <w:rFonts w:ascii="宋体" w:hAnsi="Courier New" w:eastAsia="宋体" w:cs="Times New Roman"/>
      <w:szCs w:val="24"/>
    </w:rPr>
  </w:style>
  <w:style w:type="paragraph" w:styleId="8">
    <w:name w:val="footer"/>
    <w:basedOn w:val="1"/>
    <w:link w:val="23"/>
    <w:qFormat/>
    <w:uiPriority w:val="0"/>
    <w:pPr>
      <w:tabs>
        <w:tab w:val="center" w:pos="4153"/>
        <w:tab w:val="right" w:pos="8306"/>
      </w:tabs>
      <w:snapToGrid w:val="0"/>
      <w:jc w:val="left"/>
    </w:pPr>
    <w:rPr>
      <w:sz w:val="18"/>
      <w:szCs w:val="18"/>
    </w:rPr>
  </w:style>
  <w:style w:type="paragraph" w:styleId="9">
    <w:name w:val="header"/>
    <w:basedOn w:val="1"/>
    <w:link w:val="22"/>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0"/>
    <w:pPr>
      <w:spacing w:before="120" w:after="120"/>
      <w:jc w:val="left"/>
    </w:pPr>
    <w:rPr>
      <w:rFonts w:ascii="Times New Roman" w:hAnsi="Times New Roman" w:eastAsia="宋体" w:cs="Times New Roman"/>
      <w:b/>
      <w:bCs/>
      <w:caps/>
      <w:sz w:val="20"/>
      <w:szCs w:val="20"/>
    </w:rPr>
  </w:style>
  <w:style w:type="paragraph" w:styleId="11">
    <w:name w:val="toc 2"/>
    <w:basedOn w:val="1"/>
    <w:next w:val="1"/>
    <w:qFormat/>
    <w:uiPriority w:val="0"/>
    <w:pPr>
      <w:tabs>
        <w:tab w:val="left" w:pos="900"/>
        <w:tab w:val="right" w:leader="dot" w:pos="8296"/>
      </w:tabs>
      <w:ind w:left="420" w:leftChars="200"/>
    </w:pPr>
    <w:rPr>
      <w:rFonts w:ascii="Times New Roman" w:hAnsi="Times New Roman" w:eastAsia="宋体" w:cs="Times New Roman"/>
      <w:szCs w:val="24"/>
    </w:rPr>
  </w:style>
  <w:style w:type="paragraph" w:styleId="12">
    <w:name w:val="Normal (Web)"/>
    <w:basedOn w:val="1"/>
    <w:qFormat/>
    <w:uiPriority w:val="0"/>
    <w:pPr>
      <w:widowControl/>
      <w:spacing w:before="100" w:beforeAutospacing="1" w:after="100" w:afterAutospacing="1"/>
      <w:jc w:val="left"/>
    </w:pPr>
    <w:rPr>
      <w:rFonts w:ascii="宋体" w:hAnsi="宋体" w:eastAsia="宋体" w:cs="宋体"/>
      <w:kern w:val="0"/>
      <w:sz w:val="24"/>
      <w:szCs w:val="24"/>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FollowedHyperlink"/>
    <w:basedOn w:val="15"/>
    <w:qFormat/>
    <w:uiPriority w:val="0"/>
    <w:rPr>
      <w:color w:val="0066CC"/>
      <w:u w:val="none"/>
    </w:rPr>
  </w:style>
  <w:style w:type="character" w:styleId="17">
    <w:name w:val="Hyperlink"/>
    <w:qFormat/>
    <w:uiPriority w:val="0"/>
    <w:rPr>
      <w:color w:val="0000FF"/>
      <w:u w:val="single"/>
    </w:rPr>
  </w:style>
  <w:style w:type="paragraph" w:customStyle="1" w:styleId="18">
    <w:name w:val="首行缩进"/>
    <w:basedOn w:val="1"/>
    <w:qFormat/>
    <w:uiPriority w:val="0"/>
    <w:pPr>
      <w:spacing w:line="300" w:lineRule="auto"/>
      <w:ind w:firstLine="420" w:firstLineChars="200"/>
    </w:pPr>
    <w:rPr>
      <w:rFonts w:ascii="方正书宋简体" w:eastAsia="方正书宋简体" w:cs="宋体"/>
    </w:rPr>
  </w:style>
  <w:style w:type="paragraph" w:customStyle="1" w:styleId="19">
    <w:name w:val="段"/>
    <w:qFormat/>
    <w:uiPriority w:val="0"/>
    <w:pPr>
      <w:ind w:firstLine="200" w:firstLineChars="200"/>
      <w:jc w:val="both"/>
    </w:pPr>
    <w:rPr>
      <w:rFonts w:ascii="宋体" w:hAnsi="Times New Roman" w:eastAsia="宋体" w:cs="Times New Roman"/>
      <w:sz w:val="21"/>
      <w:lang w:val="en-US" w:eastAsia="zh-CN" w:bidi="ar-SA"/>
    </w:rPr>
  </w:style>
  <w:style w:type="paragraph" w:customStyle="1" w:styleId="20">
    <w:name w:val="列出段落1"/>
    <w:basedOn w:val="1"/>
    <w:qFormat/>
    <w:uiPriority w:val="34"/>
    <w:pPr>
      <w:ind w:firstLine="420" w:firstLineChars="200"/>
    </w:pPr>
    <w:rPr>
      <w:rFonts w:ascii="Times New Roman" w:hAnsi="Times New Roman" w:eastAsia="宋体" w:cs="Times New Roman"/>
      <w:szCs w:val="20"/>
    </w:rPr>
  </w:style>
  <w:style w:type="paragraph" w:customStyle="1" w:styleId="21">
    <w:name w:val="列表段落1"/>
    <w:basedOn w:val="1"/>
    <w:qFormat/>
    <w:uiPriority w:val="99"/>
    <w:pPr>
      <w:ind w:firstLine="420" w:firstLineChars="200"/>
    </w:pPr>
  </w:style>
  <w:style w:type="character" w:customStyle="1" w:styleId="22">
    <w:name w:val="页眉 字符"/>
    <w:basedOn w:val="15"/>
    <w:link w:val="9"/>
    <w:qFormat/>
    <w:uiPriority w:val="0"/>
    <w:rPr>
      <w:kern w:val="2"/>
      <w:sz w:val="18"/>
      <w:szCs w:val="18"/>
    </w:rPr>
  </w:style>
  <w:style w:type="character" w:customStyle="1" w:styleId="23">
    <w:name w:val="页脚 字符"/>
    <w:basedOn w:val="15"/>
    <w:link w:val="8"/>
    <w:qFormat/>
    <w:uiPriority w:val="0"/>
    <w:rPr>
      <w:kern w:val="2"/>
      <w:sz w:val="18"/>
      <w:szCs w:val="18"/>
    </w:rPr>
  </w:style>
  <w:style w:type="paragraph" w:customStyle="1" w:styleId="24">
    <w:name w:val="Heading #1|1"/>
    <w:basedOn w:val="1"/>
    <w:qFormat/>
    <w:uiPriority w:val="0"/>
    <w:pPr>
      <w:outlineLvl w:val="0"/>
    </w:pPr>
    <w:rPr>
      <w:rFonts w:ascii="宋体" w:hAnsi="宋体" w:eastAsia="宋体" w:cs="宋体"/>
      <w:sz w:val="22"/>
      <w:lang w:val="zh-TW" w:eastAsia="zh-TW" w:bidi="zh-TW"/>
    </w:rPr>
  </w:style>
  <w:style w:type="paragraph" w:customStyle="1" w:styleId="25">
    <w:name w:val="Body text|1"/>
    <w:basedOn w:val="1"/>
    <w:qFormat/>
    <w:uiPriority w:val="0"/>
    <w:pPr>
      <w:spacing w:line="480" w:lineRule="auto"/>
      <w:ind w:firstLine="400"/>
    </w:pPr>
    <w:rPr>
      <w:rFonts w:ascii="宋体" w:hAnsi="宋体" w:eastAsia="宋体" w:cs="宋体"/>
      <w:sz w:val="18"/>
      <w:szCs w:val="18"/>
      <w:lang w:val="zh-TW" w:eastAsia="zh-TW" w:bidi="zh-TW"/>
    </w:rPr>
  </w:style>
  <w:style w:type="paragraph" w:customStyle="1" w:styleId="26">
    <w:name w:val="Other|1"/>
    <w:basedOn w:val="1"/>
    <w:qFormat/>
    <w:uiPriority w:val="0"/>
    <w:rPr>
      <w:rFonts w:ascii="宋体" w:hAnsi="宋体" w:eastAsia="宋体" w:cs="宋体"/>
      <w:sz w:val="16"/>
      <w:szCs w:val="16"/>
      <w:lang w:val="zh-TW" w:eastAsia="zh-TW" w:bidi="zh-TW"/>
    </w:rPr>
  </w:style>
  <w:style w:type="character" w:customStyle="1" w:styleId="27">
    <w:name w:val="正文文本 字符"/>
    <w:basedOn w:val="15"/>
    <w:link w:val="5"/>
    <w:qFormat/>
    <w:uiPriority w:val="0"/>
    <w:rPr>
      <w:rFonts w:asciiTheme="minorHAnsi" w:hAnsiTheme="minorHAnsi" w:eastAsiaTheme="minorEastAsia" w:cstheme="minorBidi"/>
      <w:kern w:val="2"/>
      <w:sz w:val="21"/>
      <w:szCs w:val="22"/>
    </w:rPr>
  </w:style>
  <w:style w:type="paragraph" w:customStyle="1" w:styleId="28">
    <w:name w:val="样式 正文文本缩进 + 左  0 字符"/>
    <w:basedOn w:val="6"/>
    <w:qFormat/>
    <w:uiPriority w:val="0"/>
    <w:pPr>
      <w:spacing w:after="0" w:line="360" w:lineRule="auto"/>
      <w:ind w:left="0" w:leftChars="0" w:firstLine="250" w:firstLineChars="250"/>
    </w:pPr>
    <w:rPr>
      <w:rFonts w:ascii="Times New Roman" w:hAnsi="Times New Roman" w:eastAsia="宋体" w:cs="宋体"/>
      <w:sz w:val="24"/>
      <w:szCs w:val="20"/>
      <w:lang w:val="zh-CN"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1</Company>
  <Pages>20</Pages>
  <Words>9841</Words>
  <Characters>10657</Characters>
  <Lines>75</Lines>
  <Paragraphs>21</Paragraphs>
  <TotalTime>7</TotalTime>
  <ScaleCrop>false</ScaleCrop>
  <LinksUpToDate>false</LinksUpToDate>
  <CharactersWithSpaces>10905</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2022-10-26T15:45:00Z</dcterms:created>
  <dc:creator>徐启源</dc:creator>
  <cp:lastModifiedBy>白帆</cp:lastModifiedBy>
  <dcterms:modified xsi:type="dcterms:W3CDTF">2026-05-18T03:06:19Z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D87C0258B92E44BF86DD4F0F8FE831EA</vt:lpwstr>
  </property>
</Properties>
</file>