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r>
        <w:rPr>
          <w:rFonts w:ascii="宋体" w:hAnsi="宋体"/>
          <w:kern w:val="0"/>
          <w:sz w:val="24"/>
          <w:szCs w:val="24"/>
        </w:rPr>
        <w:drawing>
          <wp:anchor distT="0" distB="0" distL="114300" distR="114300" simplePos="0" relativeHeight="251659264" behindDoc="1" locked="0" layoutInCell="1" allowOverlap="1">
            <wp:simplePos x="0" y="0"/>
            <wp:positionH relativeFrom="column">
              <wp:posOffset>-1143000</wp:posOffset>
            </wp:positionH>
            <wp:positionV relativeFrom="paragraph">
              <wp:posOffset>-914400</wp:posOffset>
            </wp:positionV>
            <wp:extent cx="8915400" cy="2736850"/>
            <wp:effectExtent l="0" t="0" r="0" b="6350"/>
            <wp:wrapTight wrapText="bothSides">
              <wp:wrapPolygon>
                <wp:start x="0" y="0"/>
                <wp:lineTo x="0" y="21530"/>
                <wp:lineTo x="21563" y="21530"/>
                <wp:lineTo x="21563" y="0"/>
                <wp:lineTo x="0" y="0"/>
              </wp:wrapPolygon>
            </wp:wrapTight>
            <wp:docPr id="1026" name="图片 2" descr="模板-3"/>
            <wp:cNvGraphicFramePr/>
            <a:graphic xmlns:a="http://schemas.openxmlformats.org/drawingml/2006/main">
              <a:graphicData uri="http://schemas.openxmlformats.org/drawingml/2006/picture">
                <pic:pic xmlns:pic="http://schemas.openxmlformats.org/drawingml/2006/picture">
                  <pic:nvPicPr>
                    <pic:cNvPr id="1026" name="图片 2" descr="模板-3"/>
                    <pic:cNvPicPr/>
                  </pic:nvPicPr>
                  <pic:blipFill>
                    <a:blip r:embed="rId7" cstate="print"/>
                    <a:srcRect/>
                    <a:stretch>
                      <a:fillRect/>
                    </a:stretch>
                  </pic:blipFill>
                  <pic:spPr>
                    <a:xfrm>
                      <a:off x="0" y="0"/>
                      <a:ext cx="8915400" cy="2736850"/>
                    </a:xfrm>
                    <a:prstGeom prst="rect">
                      <a:avLst/>
                    </a:prstGeom>
                  </pic:spPr>
                </pic:pic>
              </a:graphicData>
            </a:graphic>
          </wp:anchor>
        </w:drawing>
      </w:r>
    </w:p>
    <w:p/>
    <w:p/>
    <w:p>
      <w:pPr>
        <w:spacing w:before="624" w:beforeLines="200"/>
        <w:ind w:left="2168" w:hanging="2168" w:hangingChars="450"/>
        <w:jc w:val="center"/>
        <w:rPr>
          <w:rFonts w:ascii="黑体" w:hAnsi="宋体" w:eastAsia="黑体"/>
          <w:b/>
          <w:color w:val="000000"/>
          <w:sz w:val="48"/>
          <w:szCs w:val="48"/>
        </w:rPr>
      </w:pPr>
      <w:r>
        <w:rPr>
          <w:rFonts w:hint="eastAsia" w:ascii="黑体" w:hAnsi="宋体" w:eastAsia="黑体"/>
          <w:b/>
          <w:color w:val="000000"/>
          <w:sz w:val="48"/>
          <w:szCs w:val="48"/>
        </w:rPr>
        <w:t>可移动模块式应急移动电源</w:t>
      </w:r>
    </w:p>
    <w:p>
      <w:pPr>
        <w:spacing w:before="624" w:beforeLines="200"/>
        <w:ind w:left="2168" w:hanging="2168" w:hangingChars="450"/>
        <w:jc w:val="center"/>
        <w:rPr>
          <w:rFonts w:ascii="黑体" w:hAnsi="宋体" w:eastAsia="黑体"/>
          <w:b/>
          <w:color w:val="000000"/>
          <w:sz w:val="48"/>
          <w:szCs w:val="48"/>
        </w:rPr>
      </w:pPr>
      <w:r>
        <w:rPr>
          <w:rFonts w:hint="eastAsia" w:ascii="黑体" w:hAnsi="宋体" w:eastAsia="黑体"/>
          <w:b/>
          <w:color w:val="000000"/>
          <w:sz w:val="48"/>
          <w:szCs w:val="48"/>
          <w:lang w:eastAsia="zh-CN"/>
        </w:rPr>
        <w:t>（</w:t>
      </w:r>
      <w:r>
        <w:rPr>
          <w:rFonts w:hint="eastAsia" w:ascii="黑体" w:hAnsi="宋体" w:eastAsia="黑体"/>
          <w:b/>
          <w:color w:val="000000"/>
          <w:sz w:val="48"/>
          <w:szCs w:val="48"/>
        </w:rPr>
        <w:t>U</w:t>
      </w:r>
      <w:r>
        <w:rPr>
          <w:rFonts w:ascii="黑体" w:hAnsi="宋体" w:eastAsia="黑体"/>
          <w:b/>
          <w:color w:val="000000"/>
          <w:sz w:val="48"/>
          <w:szCs w:val="48"/>
        </w:rPr>
        <w:t>PS</w:t>
      </w:r>
      <w:r>
        <w:rPr>
          <w:rFonts w:hint="eastAsia" w:ascii="黑体" w:hAnsi="宋体" w:eastAsia="黑体"/>
          <w:b/>
          <w:color w:val="000000"/>
          <w:sz w:val="48"/>
          <w:szCs w:val="48"/>
          <w:lang w:eastAsia="zh-CN"/>
        </w:rPr>
        <w:t>）</w:t>
      </w:r>
      <w:r>
        <w:rPr>
          <w:rFonts w:hint="eastAsia" w:ascii="黑体" w:hAnsi="宋体" w:eastAsia="黑体"/>
          <w:b/>
          <w:color w:val="000000"/>
          <w:sz w:val="48"/>
          <w:szCs w:val="48"/>
        </w:rPr>
        <w:t>技术</w:t>
      </w:r>
      <w:r>
        <w:rPr>
          <w:rFonts w:hint="eastAsia" w:ascii="黑体" w:hAnsi="宋体" w:eastAsia="黑体"/>
          <w:b/>
          <w:color w:val="000000"/>
          <w:sz w:val="48"/>
          <w:szCs w:val="48"/>
          <w:lang w:val="en-US" w:eastAsia="zh-CN"/>
        </w:rPr>
        <w:t>规范</w:t>
      </w:r>
      <w:r>
        <w:rPr>
          <w:rFonts w:hint="eastAsia" w:ascii="黑体" w:hAnsi="宋体" w:eastAsia="黑体"/>
          <w:b/>
          <w:color w:val="000000"/>
          <w:sz w:val="48"/>
          <w:szCs w:val="48"/>
        </w:rPr>
        <w:t>书</w:t>
      </w:r>
    </w:p>
    <w:p>
      <w:pPr>
        <w:spacing w:before="624" w:beforeLines="200"/>
        <w:jc w:val="center"/>
        <w:rPr>
          <w:rFonts w:eastAsia="黑体"/>
          <w:b/>
          <w:color w:val="000000"/>
          <w:sz w:val="36"/>
          <w:szCs w:val="24"/>
        </w:rPr>
      </w:pPr>
      <w:r>
        <w:rPr>
          <w:rFonts w:hint="eastAsia" w:eastAsia="黑体"/>
          <w:b/>
          <w:color w:val="000000"/>
          <w:sz w:val="36"/>
        </w:rPr>
        <w:t>编号：</w:t>
      </w:r>
    </w:p>
    <w:p>
      <w:pPr>
        <w:spacing w:before="624" w:beforeLines="200"/>
        <w:ind w:firstLine="1771" w:firstLineChars="490"/>
        <w:jc w:val="left"/>
        <w:rPr>
          <w:rFonts w:eastAsia="黑体"/>
          <w:b/>
          <w:color w:val="000000"/>
          <w:sz w:val="36"/>
        </w:rPr>
      </w:pPr>
    </w:p>
    <w:p/>
    <w:p>
      <w:pPr>
        <w:spacing w:before="624" w:beforeLines="200"/>
        <w:jc w:val="center"/>
        <w:rPr>
          <w:rFonts w:ascii="黑体" w:eastAsia="黑体"/>
          <w:b/>
          <w:color w:val="000000"/>
          <w:spacing w:val="20"/>
          <w:w w:val="135"/>
          <w:sz w:val="30"/>
        </w:rPr>
      </w:pPr>
      <w:r>
        <w:rPr>
          <w:rFonts w:hint="eastAsia" w:ascii="黑体" w:eastAsia="黑体"/>
          <w:b/>
          <w:color w:val="000000"/>
          <w:spacing w:val="20"/>
          <w:w w:val="135"/>
          <w:sz w:val="30"/>
        </w:rPr>
        <w:t>深圳供电局有限公司</w:t>
      </w:r>
    </w:p>
    <w:p>
      <w:pPr>
        <w:spacing w:before="624" w:beforeLines="200"/>
        <w:ind w:firstLine="3123" w:firstLineChars="700"/>
        <w:rPr>
          <w:rFonts w:ascii="黑体" w:eastAsia="黑体"/>
          <w:b/>
          <w:color w:val="000000"/>
          <w:spacing w:val="20"/>
          <w:w w:val="135"/>
          <w:sz w:val="30"/>
          <w:highlight w:val="none"/>
        </w:rPr>
      </w:pPr>
      <w:r>
        <w:rPr>
          <w:rFonts w:hint="eastAsia" w:ascii="黑体" w:eastAsia="黑体"/>
          <w:b/>
          <w:color w:val="000000"/>
          <w:spacing w:val="20"/>
          <w:w w:val="135"/>
          <w:sz w:val="30"/>
          <w:highlight w:val="none"/>
        </w:rPr>
        <w:t>20</w:t>
      </w:r>
      <w:r>
        <w:rPr>
          <w:rFonts w:ascii="黑体" w:eastAsia="黑体"/>
          <w:b/>
          <w:color w:val="000000"/>
          <w:spacing w:val="20"/>
          <w:w w:val="135"/>
          <w:sz w:val="30"/>
          <w:highlight w:val="none"/>
        </w:rPr>
        <w:t>2</w:t>
      </w:r>
      <w:r>
        <w:rPr>
          <w:rFonts w:hint="eastAsia" w:ascii="黑体" w:eastAsia="黑体"/>
          <w:b/>
          <w:color w:val="000000"/>
          <w:spacing w:val="20"/>
          <w:w w:val="135"/>
          <w:sz w:val="30"/>
          <w:highlight w:val="none"/>
          <w:lang w:val="en-US" w:eastAsia="zh-CN"/>
        </w:rPr>
        <w:t>6</w:t>
      </w:r>
      <w:r>
        <w:rPr>
          <w:rFonts w:hint="eastAsia" w:ascii="黑体" w:eastAsia="黑体"/>
          <w:b/>
          <w:color w:val="000000"/>
          <w:spacing w:val="20"/>
          <w:w w:val="135"/>
          <w:sz w:val="30"/>
          <w:highlight w:val="none"/>
        </w:rPr>
        <w:t>年</w:t>
      </w:r>
      <w:r>
        <w:rPr>
          <w:rFonts w:hint="eastAsia" w:ascii="黑体" w:eastAsia="黑体"/>
          <w:b/>
          <w:color w:val="000000"/>
          <w:spacing w:val="20"/>
          <w:w w:val="135"/>
          <w:sz w:val="30"/>
          <w:highlight w:val="none"/>
          <w:lang w:val="en-US" w:eastAsia="zh-CN"/>
        </w:rPr>
        <w:t>5</w:t>
      </w:r>
      <w:r>
        <w:rPr>
          <w:rFonts w:hint="eastAsia" w:ascii="黑体" w:eastAsia="黑体"/>
          <w:b/>
          <w:color w:val="000000"/>
          <w:spacing w:val="20"/>
          <w:w w:val="135"/>
          <w:sz w:val="30"/>
          <w:highlight w:val="none"/>
        </w:rPr>
        <w:t>月</w:t>
      </w:r>
    </w:p>
    <w:p>
      <w:pPr>
        <w:spacing w:before="624" w:beforeLines="200"/>
        <w:jc w:val="center"/>
        <w:rPr>
          <w:rFonts w:ascii="Times New Roman" w:eastAsia="黑体"/>
          <w:b/>
          <w:color w:val="000000"/>
          <w:sz w:val="36"/>
        </w:rPr>
      </w:pPr>
    </w:p>
    <w:p>
      <w:pPr>
        <w:spacing w:before="312" w:beforeLines="100" w:line="560" w:lineRule="exact"/>
        <w:ind w:left="0"/>
        <w:jc w:val="center"/>
        <w:rPr>
          <w:rFonts w:ascii="Arial" w:hAnsi="Arial"/>
          <w:bCs/>
          <w:color w:val="auto"/>
          <w:sz w:val="44"/>
          <w:szCs w:val="44"/>
          <w:highlight w:val="none"/>
        </w:rPr>
      </w:pPr>
      <w:r>
        <w:rPr>
          <w:rFonts w:hint="eastAsia" w:ascii="方正小标宋_GBK" w:hAnsi="方正小标宋_GBK" w:eastAsia="方正小标宋_GBK" w:cs="方正小标宋_GBK"/>
          <w:bCs/>
          <w:color w:val="auto"/>
          <w:sz w:val="44"/>
          <w:szCs w:val="44"/>
          <w:highlight w:val="none"/>
        </w:rPr>
        <w:t>知识产权声明</w:t>
      </w:r>
    </w:p>
    <w:p>
      <w:pPr>
        <w:spacing w:line="560" w:lineRule="exact"/>
        <w:ind w:left="0"/>
        <w:jc w:val="center"/>
        <w:rPr>
          <w:rFonts w:ascii="Arial" w:hAnsi="Arial"/>
          <w:b/>
          <w:color w:val="auto"/>
          <w:sz w:val="32"/>
          <w:szCs w:val="32"/>
          <w:highlight w:val="none"/>
        </w:rPr>
      </w:pPr>
    </w:p>
    <w:p>
      <w:pPr>
        <w:spacing w:line="560" w:lineRule="exact"/>
        <w:ind w:left="0" w:firstLine="0" w:firstLineChars="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南方电网公司拥有本作品的知识产权，未经南方电网公司书面许可，任何单位和个人不得擅自使用（包括但不限于复制、发行、转载、通过信息网络传播等），否则，南方电网公司将依法追究法律责任。</w:t>
      </w:r>
    </w:p>
    <w:p>
      <w:pPr>
        <w:spacing w:line="560" w:lineRule="exact"/>
        <w:ind w:left="0"/>
        <w:rPr>
          <w:rFonts w:ascii="Arial" w:hAnsi="Arial"/>
          <w:color w:val="auto"/>
          <w:sz w:val="28"/>
          <w:szCs w:val="28"/>
          <w:highlight w:val="none"/>
        </w:rPr>
      </w:pPr>
    </w:p>
    <w:p>
      <w:pPr>
        <w:spacing w:line="560" w:lineRule="exact"/>
        <w:ind w:left="0" w:firstLine="0"/>
        <w:rPr>
          <w:rFonts w:ascii="Arial" w:hAnsi="Arial"/>
          <w:color w:val="auto"/>
          <w:sz w:val="28"/>
          <w:szCs w:val="28"/>
          <w:highlight w:val="none"/>
        </w:rPr>
      </w:pPr>
    </w:p>
    <w:p>
      <w:pPr>
        <w:spacing w:line="560" w:lineRule="exact"/>
        <w:ind w:left="0"/>
        <w:jc w:val="center"/>
        <w:rPr>
          <w:rFonts w:ascii="Trebuchet MS" w:hAnsi="Trebuchet MS" w:cs="Trebuchet MS"/>
          <w:color w:val="auto"/>
          <w:sz w:val="44"/>
          <w:szCs w:val="44"/>
          <w:highlight w:val="none"/>
        </w:rPr>
      </w:pPr>
      <w:r>
        <w:rPr>
          <w:rFonts w:ascii="Trebuchet MS" w:hAnsi="Trebuchet MS" w:cs="Trebuchet MS"/>
          <w:color w:val="auto"/>
          <w:sz w:val="44"/>
          <w:szCs w:val="44"/>
          <w:highlight w:val="none"/>
        </w:rPr>
        <w:t>Intellectual Property Rights Statement</w:t>
      </w:r>
    </w:p>
    <w:p>
      <w:pPr>
        <w:spacing w:line="560" w:lineRule="exact"/>
        <w:ind w:left="0" w:firstLine="0"/>
        <w:rPr>
          <w:rFonts w:ascii="Arial" w:hAnsi="Arial"/>
          <w:color w:val="auto"/>
          <w:sz w:val="32"/>
          <w:szCs w:val="32"/>
          <w:highlight w:val="none"/>
        </w:rPr>
      </w:pPr>
    </w:p>
    <w:p>
      <w:pPr>
        <w:spacing w:line="560" w:lineRule="exact"/>
        <w:ind w:left="0" w:firstLine="0"/>
        <w:rPr>
          <w:color w:val="auto"/>
          <w:sz w:val="32"/>
          <w:szCs w:val="32"/>
          <w:highlight w:val="none"/>
        </w:rPr>
      </w:pPr>
      <w:r>
        <w:rPr>
          <w:color w:val="auto"/>
          <w:sz w:val="32"/>
          <w:szCs w:val="32"/>
          <w:highlight w:val="none"/>
        </w:rPr>
        <w:t>China Southern Power Grid is the owner of the intellectual property rights of this work. Any person or organization shall not utilize (including but not limited to reproduce, distribute, transmit or disseminate through the internet) without the prior written permission of the owner and will be held legally responsible otherwise by China Southern Power Grid.</w:t>
      </w:r>
    </w:p>
    <w:p>
      <w:pPr>
        <w:spacing w:line="360" w:lineRule="auto"/>
        <w:jc w:val="center"/>
        <w:rPr>
          <w:rFonts w:eastAsia="仿宋_GB2312"/>
          <w:color w:val="auto"/>
          <w:highlight w:val="none"/>
        </w:rPr>
      </w:pPr>
      <w:r>
        <w:rPr>
          <w:rFonts w:eastAsia="黑体"/>
          <w:color w:val="auto"/>
          <w:sz w:val="32"/>
          <w:szCs w:val="28"/>
          <w:highlight w:val="none"/>
        </w:rPr>
        <w:br w:type="page"/>
      </w:r>
    </w:p>
    <w:p>
      <w:pPr>
        <w:pStyle w:val="15"/>
        <w:adjustRightInd w:val="0"/>
        <w:snapToGrid w:val="0"/>
        <w:spacing w:line="360" w:lineRule="auto"/>
        <w:ind w:firstLine="0" w:firstLineChars="0"/>
        <w:jc w:val="center"/>
        <w:rPr>
          <w:rFonts w:ascii="黑体" w:hAnsi="黑体" w:eastAsia="黑体" w:cs="Times New Roman"/>
          <w:color w:val="000000"/>
          <w:sz w:val="36"/>
          <w:szCs w:val="36"/>
        </w:rPr>
        <w:sectPr>
          <w:headerReference r:id="rId3" w:type="default"/>
          <w:pgSz w:w="11906" w:h="16838"/>
          <w:pgMar w:top="1440" w:right="1800" w:bottom="1440" w:left="1800" w:header="851" w:footer="992" w:gutter="0"/>
          <w:pgNumType w:start="1"/>
          <w:cols w:space="425" w:num="1"/>
          <w:docGrid w:type="lines" w:linePitch="312" w:charSpace="0"/>
        </w:sectPr>
      </w:pPr>
    </w:p>
    <w:p>
      <w:pPr>
        <w:pStyle w:val="15"/>
        <w:adjustRightInd w:val="0"/>
        <w:snapToGrid w:val="0"/>
        <w:spacing w:line="360" w:lineRule="auto"/>
        <w:ind w:firstLine="0" w:firstLineChars="0"/>
        <w:jc w:val="center"/>
        <w:rPr>
          <w:rFonts w:ascii="黑体" w:hAnsi="黑体" w:eastAsia="黑体" w:cs="Times New Roman"/>
          <w:color w:val="000000"/>
          <w:sz w:val="36"/>
          <w:szCs w:val="36"/>
        </w:rPr>
      </w:pPr>
      <w:r>
        <w:rPr>
          <w:rFonts w:hint="eastAsia" w:ascii="黑体" w:hAnsi="黑体" w:eastAsia="黑体" w:cs="Times New Roman"/>
          <w:color w:val="000000"/>
          <w:sz w:val="36"/>
          <w:szCs w:val="36"/>
        </w:rPr>
        <w:t>目  录</w:t>
      </w:r>
    </w:p>
    <w:p>
      <w:pPr>
        <w:pStyle w:val="2"/>
        <w:tabs>
          <w:tab w:val="right" w:leader="dot" w:pos="8296"/>
        </w:tabs>
        <w:rPr>
          <w:rFonts w:ascii="Calibri" w:hAnsi="Calibri" w:cs="宋体"/>
          <w:b w:val="0"/>
          <w:bCs w:val="0"/>
          <w:caps w:val="0"/>
          <w:kern w:val="0"/>
          <w:sz w:val="22"/>
          <w:szCs w:val="22"/>
        </w:rPr>
      </w:pPr>
      <w:r>
        <w:rPr>
          <w:rFonts w:hint="eastAsia" w:ascii="宋体" w:hAnsi="宋体"/>
          <w:b w:val="0"/>
          <w:i/>
          <w:color w:val="000000"/>
          <w:sz w:val="21"/>
          <w:szCs w:val="21"/>
        </w:rPr>
        <w:fldChar w:fldCharType="begin"/>
      </w:r>
      <w:r>
        <w:rPr>
          <w:rFonts w:hint="eastAsia" w:ascii="宋体" w:hAnsi="宋体"/>
          <w:b w:val="0"/>
          <w:i/>
          <w:color w:val="000000"/>
          <w:sz w:val="21"/>
          <w:szCs w:val="21"/>
        </w:rPr>
        <w:instrText xml:space="preserve"> TOC \o "1-2" \h \z \u </w:instrText>
      </w:r>
      <w:r>
        <w:rPr>
          <w:rFonts w:hint="eastAsia" w:ascii="宋体" w:hAnsi="宋体"/>
          <w:b w:val="0"/>
          <w:i/>
          <w:color w:val="000000"/>
          <w:sz w:val="21"/>
          <w:szCs w:val="21"/>
        </w:rPr>
        <w:fldChar w:fldCharType="separate"/>
      </w:r>
      <w:r>
        <w:fldChar w:fldCharType="begin"/>
      </w:r>
      <w:r>
        <w:instrText xml:space="preserve"> HYPERLINK \l "_Toc48211776" </w:instrText>
      </w:r>
      <w:r>
        <w:fldChar w:fldCharType="separate"/>
      </w:r>
      <w:r>
        <w:rPr>
          <w:rStyle w:val="12"/>
          <w:rFonts w:hAnsi="宋体"/>
        </w:rPr>
        <w:t xml:space="preserve">1 </w:t>
      </w:r>
      <w:r>
        <w:rPr>
          <w:rStyle w:val="12"/>
          <w:rFonts w:hint="eastAsia" w:hAnsi="宋体"/>
        </w:rPr>
        <w:t>总则</w:t>
      </w:r>
      <w:r>
        <w:tab/>
      </w:r>
      <w:r>
        <w:fldChar w:fldCharType="begin"/>
      </w:r>
      <w:r>
        <w:instrText xml:space="preserve"> PAGEREF _Toc48211776 \h </w:instrText>
      </w:r>
      <w:r>
        <w:fldChar w:fldCharType="separate"/>
      </w:r>
      <w:r>
        <w:t>1</w:t>
      </w:r>
      <w:r>
        <w:fldChar w:fldCharType="end"/>
      </w:r>
      <w:r>
        <w:fldChar w:fldCharType="end"/>
      </w:r>
    </w:p>
    <w:p>
      <w:pPr>
        <w:pStyle w:val="2"/>
        <w:tabs>
          <w:tab w:val="right" w:leader="dot" w:pos="8296"/>
        </w:tabs>
        <w:rPr>
          <w:rFonts w:ascii="Calibri" w:hAnsi="Calibri" w:cs="宋体"/>
          <w:b w:val="0"/>
          <w:bCs w:val="0"/>
          <w:caps w:val="0"/>
          <w:kern w:val="0"/>
          <w:sz w:val="22"/>
          <w:szCs w:val="22"/>
        </w:rPr>
      </w:pPr>
      <w:r>
        <w:fldChar w:fldCharType="begin"/>
      </w:r>
      <w:r>
        <w:instrText xml:space="preserve"> HYPERLINK \l "_Toc48211777" </w:instrText>
      </w:r>
      <w:r>
        <w:fldChar w:fldCharType="separate"/>
      </w:r>
      <w:r>
        <w:rPr>
          <w:rStyle w:val="12"/>
          <w:rFonts w:hAnsi="宋体"/>
        </w:rPr>
        <w:t xml:space="preserve">2 </w:t>
      </w:r>
      <w:r>
        <w:rPr>
          <w:rStyle w:val="12"/>
          <w:rFonts w:hint="eastAsia" w:hAnsi="宋体"/>
        </w:rPr>
        <w:t>工作范围</w:t>
      </w:r>
      <w:r>
        <w:tab/>
      </w:r>
      <w:r>
        <w:fldChar w:fldCharType="begin"/>
      </w:r>
      <w:r>
        <w:instrText xml:space="preserve"> PAGEREF _Toc48211777 \h </w:instrText>
      </w:r>
      <w:r>
        <w:fldChar w:fldCharType="separate"/>
      </w:r>
      <w:r>
        <w:t>2</w:t>
      </w:r>
      <w:r>
        <w:fldChar w:fldCharType="end"/>
      </w:r>
      <w:r>
        <w:fldChar w:fldCharType="end"/>
      </w:r>
    </w:p>
    <w:p>
      <w:pPr>
        <w:pStyle w:val="9"/>
        <w:rPr>
          <w:rFonts w:ascii="Calibri" w:hAnsi="Calibri" w:cs="宋体"/>
          <w:kern w:val="0"/>
          <w:sz w:val="22"/>
          <w:szCs w:val="22"/>
        </w:rPr>
      </w:pPr>
      <w:r>
        <w:fldChar w:fldCharType="begin"/>
      </w:r>
      <w:r>
        <w:instrText xml:space="preserve"> HYPERLINK \l "_Toc48211778" </w:instrText>
      </w:r>
      <w:r>
        <w:fldChar w:fldCharType="separate"/>
      </w:r>
      <w:r>
        <w:rPr>
          <w:rStyle w:val="12"/>
          <w:rFonts w:hAnsi="宋体"/>
        </w:rPr>
        <w:t xml:space="preserve">2.1 </w:t>
      </w:r>
      <w:r>
        <w:rPr>
          <w:rStyle w:val="12"/>
          <w:rFonts w:hint="eastAsia" w:hAnsi="宋体"/>
        </w:rPr>
        <w:t>项目概况</w:t>
      </w:r>
      <w:r>
        <w:tab/>
      </w:r>
      <w:r>
        <w:fldChar w:fldCharType="begin"/>
      </w:r>
      <w:r>
        <w:instrText xml:space="preserve"> PAGEREF _Toc48211778 \h </w:instrText>
      </w:r>
      <w:r>
        <w:fldChar w:fldCharType="separate"/>
      </w:r>
      <w:r>
        <w:t>2</w:t>
      </w:r>
      <w:r>
        <w:fldChar w:fldCharType="end"/>
      </w:r>
      <w:r>
        <w:fldChar w:fldCharType="end"/>
      </w:r>
    </w:p>
    <w:p>
      <w:pPr>
        <w:pStyle w:val="9"/>
        <w:rPr>
          <w:rFonts w:ascii="Calibri" w:hAnsi="Calibri" w:cs="宋体"/>
          <w:kern w:val="0"/>
          <w:sz w:val="22"/>
          <w:szCs w:val="22"/>
        </w:rPr>
      </w:pPr>
      <w:r>
        <w:fldChar w:fldCharType="begin"/>
      </w:r>
      <w:r>
        <w:instrText xml:space="preserve"> HYPERLINK \l "_Toc48211779" </w:instrText>
      </w:r>
      <w:r>
        <w:fldChar w:fldCharType="separate"/>
      </w:r>
      <w:r>
        <w:rPr>
          <w:rStyle w:val="12"/>
          <w:rFonts w:hAnsi="宋体"/>
        </w:rPr>
        <w:t xml:space="preserve">2.2 </w:t>
      </w:r>
      <w:r>
        <w:rPr>
          <w:rStyle w:val="12"/>
          <w:rFonts w:hint="eastAsia" w:hAnsi="宋体"/>
        </w:rPr>
        <w:t>范围和界限</w:t>
      </w:r>
      <w:r>
        <w:tab/>
      </w:r>
      <w:r>
        <w:fldChar w:fldCharType="begin"/>
      </w:r>
      <w:r>
        <w:instrText xml:space="preserve"> PAGEREF _Toc48211779 \h </w:instrText>
      </w:r>
      <w:r>
        <w:fldChar w:fldCharType="separate"/>
      </w:r>
      <w:r>
        <w:t>2</w:t>
      </w:r>
      <w:r>
        <w:fldChar w:fldCharType="end"/>
      </w:r>
      <w:r>
        <w:fldChar w:fldCharType="end"/>
      </w:r>
    </w:p>
    <w:p>
      <w:pPr>
        <w:pStyle w:val="9"/>
        <w:rPr>
          <w:rFonts w:ascii="Calibri" w:hAnsi="Calibri" w:cs="宋体"/>
          <w:kern w:val="0"/>
          <w:sz w:val="22"/>
          <w:szCs w:val="22"/>
        </w:rPr>
      </w:pPr>
      <w:r>
        <w:fldChar w:fldCharType="begin"/>
      </w:r>
      <w:r>
        <w:instrText xml:space="preserve"> HYPERLINK \l "_Toc48211780" </w:instrText>
      </w:r>
      <w:r>
        <w:fldChar w:fldCharType="separate"/>
      </w:r>
      <w:r>
        <w:rPr>
          <w:rStyle w:val="12"/>
          <w:rFonts w:hAnsi="宋体"/>
        </w:rPr>
        <w:t xml:space="preserve">2.3 </w:t>
      </w:r>
      <w:r>
        <w:rPr>
          <w:rStyle w:val="12"/>
          <w:rFonts w:hint="eastAsia" w:hAnsi="宋体"/>
        </w:rPr>
        <w:t>服务范围</w:t>
      </w:r>
      <w:r>
        <w:tab/>
      </w:r>
      <w:r>
        <w:fldChar w:fldCharType="begin"/>
      </w:r>
      <w:r>
        <w:instrText xml:space="preserve"> PAGEREF _Toc48211780 \h </w:instrText>
      </w:r>
      <w:r>
        <w:fldChar w:fldCharType="separate"/>
      </w:r>
      <w:r>
        <w:t>2</w:t>
      </w:r>
      <w:r>
        <w:fldChar w:fldCharType="end"/>
      </w:r>
      <w:r>
        <w:fldChar w:fldCharType="end"/>
      </w:r>
    </w:p>
    <w:p>
      <w:pPr>
        <w:pStyle w:val="2"/>
        <w:tabs>
          <w:tab w:val="right" w:leader="dot" w:pos="8296"/>
        </w:tabs>
        <w:rPr>
          <w:rFonts w:ascii="Calibri" w:hAnsi="Calibri" w:cs="宋体"/>
          <w:b w:val="0"/>
          <w:bCs w:val="0"/>
          <w:caps w:val="0"/>
          <w:kern w:val="0"/>
          <w:sz w:val="22"/>
          <w:szCs w:val="22"/>
        </w:rPr>
      </w:pPr>
      <w:r>
        <w:fldChar w:fldCharType="begin"/>
      </w:r>
      <w:r>
        <w:instrText xml:space="preserve"> HYPERLINK \l "_Toc48211781" </w:instrText>
      </w:r>
      <w:r>
        <w:fldChar w:fldCharType="separate"/>
      </w:r>
      <w:r>
        <w:rPr>
          <w:rStyle w:val="12"/>
          <w:rFonts w:hAnsi="宋体"/>
        </w:rPr>
        <w:t xml:space="preserve">3 </w:t>
      </w:r>
      <w:r>
        <w:rPr>
          <w:rStyle w:val="12"/>
          <w:rFonts w:hint="eastAsia" w:hAnsi="宋体"/>
        </w:rPr>
        <w:t>应遵循的主要标准</w:t>
      </w:r>
      <w:r>
        <w:tab/>
      </w:r>
      <w:r>
        <w:fldChar w:fldCharType="begin"/>
      </w:r>
      <w:r>
        <w:instrText xml:space="preserve"> PAGEREF _Toc48211781 \h </w:instrText>
      </w:r>
      <w:r>
        <w:fldChar w:fldCharType="separate"/>
      </w:r>
      <w:r>
        <w:t>3</w:t>
      </w:r>
      <w:r>
        <w:fldChar w:fldCharType="end"/>
      </w:r>
      <w:r>
        <w:fldChar w:fldCharType="end"/>
      </w:r>
    </w:p>
    <w:p>
      <w:pPr>
        <w:pStyle w:val="2"/>
        <w:tabs>
          <w:tab w:val="right" w:leader="dot" w:pos="8296"/>
        </w:tabs>
        <w:rPr>
          <w:rFonts w:ascii="Calibri" w:hAnsi="Calibri" w:cs="宋体"/>
          <w:b w:val="0"/>
          <w:bCs w:val="0"/>
          <w:caps w:val="0"/>
          <w:kern w:val="0"/>
          <w:sz w:val="22"/>
          <w:szCs w:val="22"/>
        </w:rPr>
      </w:pPr>
      <w:r>
        <w:fldChar w:fldCharType="begin"/>
      </w:r>
      <w:r>
        <w:instrText xml:space="preserve"> HYPERLINK \l "_Toc48211782" </w:instrText>
      </w:r>
      <w:r>
        <w:fldChar w:fldCharType="separate"/>
      </w:r>
      <w:r>
        <w:rPr>
          <w:rStyle w:val="12"/>
          <w:rFonts w:hAnsi="宋体"/>
        </w:rPr>
        <w:t xml:space="preserve">4 </w:t>
      </w:r>
      <w:r>
        <w:rPr>
          <w:rStyle w:val="12"/>
          <w:rFonts w:hint="eastAsia" w:hAnsi="宋体"/>
        </w:rPr>
        <w:t>使用环境要求</w:t>
      </w:r>
      <w:r>
        <w:tab/>
      </w:r>
      <w:r>
        <w:fldChar w:fldCharType="begin"/>
      </w:r>
      <w:r>
        <w:instrText xml:space="preserve"> PAGEREF _Toc48211782 \h </w:instrText>
      </w:r>
      <w:r>
        <w:fldChar w:fldCharType="separate"/>
      </w:r>
      <w:r>
        <w:t>4</w:t>
      </w:r>
      <w:r>
        <w:fldChar w:fldCharType="end"/>
      </w:r>
      <w:r>
        <w:fldChar w:fldCharType="end"/>
      </w:r>
    </w:p>
    <w:p>
      <w:pPr>
        <w:pStyle w:val="2"/>
        <w:tabs>
          <w:tab w:val="right" w:leader="dot" w:pos="8296"/>
        </w:tabs>
        <w:rPr>
          <w:rFonts w:ascii="Calibri" w:hAnsi="Calibri" w:cs="宋体"/>
          <w:b w:val="0"/>
          <w:bCs w:val="0"/>
          <w:caps w:val="0"/>
          <w:kern w:val="0"/>
          <w:sz w:val="22"/>
          <w:szCs w:val="22"/>
        </w:rPr>
      </w:pPr>
      <w:r>
        <w:fldChar w:fldCharType="begin"/>
      </w:r>
      <w:r>
        <w:instrText xml:space="preserve"> HYPERLINK \l "_Toc48211783" </w:instrText>
      </w:r>
      <w:r>
        <w:fldChar w:fldCharType="separate"/>
      </w:r>
      <w:r>
        <w:rPr>
          <w:rStyle w:val="12"/>
          <w:rFonts w:hAnsi="宋体"/>
        </w:rPr>
        <w:t xml:space="preserve">5 </w:t>
      </w:r>
      <w:r>
        <w:rPr>
          <w:rStyle w:val="12"/>
          <w:rFonts w:hint="eastAsia" w:hAnsi="宋体"/>
        </w:rPr>
        <w:t>技术要求</w:t>
      </w:r>
      <w:r>
        <w:tab/>
      </w:r>
      <w:r>
        <w:fldChar w:fldCharType="begin"/>
      </w:r>
      <w:r>
        <w:instrText xml:space="preserve"> PAGEREF _Toc48211783 \h </w:instrText>
      </w:r>
      <w:r>
        <w:fldChar w:fldCharType="separate"/>
      </w:r>
      <w:r>
        <w:t>5</w:t>
      </w:r>
      <w:r>
        <w:fldChar w:fldCharType="end"/>
      </w:r>
      <w:r>
        <w:fldChar w:fldCharType="end"/>
      </w:r>
    </w:p>
    <w:p>
      <w:pPr>
        <w:pStyle w:val="2"/>
        <w:tabs>
          <w:tab w:val="right" w:leader="dot" w:pos="8296"/>
        </w:tabs>
        <w:rPr>
          <w:rFonts w:ascii="Calibri" w:hAnsi="Calibri" w:cs="宋体"/>
          <w:b w:val="0"/>
          <w:bCs w:val="0"/>
          <w:caps w:val="0"/>
          <w:kern w:val="0"/>
          <w:sz w:val="22"/>
          <w:szCs w:val="22"/>
        </w:rPr>
      </w:pPr>
      <w:r>
        <w:fldChar w:fldCharType="begin"/>
      </w:r>
      <w:r>
        <w:instrText xml:space="preserve"> HYPERLINK \l "_Toc48211784" </w:instrText>
      </w:r>
      <w:r>
        <w:fldChar w:fldCharType="separate"/>
      </w:r>
      <w:r>
        <w:rPr>
          <w:rStyle w:val="12"/>
          <w:rFonts w:hAnsi="宋体"/>
        </w:rPr>
        <w:t xml:space="preserve">6 </w:t>
      </w:r>
      <w:r>
        <w:rPr>
          <w:rStyle w:val="12"/>
          <w:rFonts w:hint="eastAsia" w:hAnsi="宋体"/>
        </w:rPr>
        <w:t>产品对环境的影响</w:t>
      </w:r>
      <w:r>
        <w:tab/>
      </w:r>
      <w:r>
        <w:fldChar w:fldCharType="begin"/>
      </w:r>
      <w:r>
        <w:instrText xml:space="preserve"> PAGEREF _Toc48211784 \h </w:instrText>
      </w:r>
      <w:r>
        <w:fldChar w:fldCharType="separate"/>
      </w:r>
      <w:r>
        <w:t>8</w:t>
      </w:r>
      <w:r>
        <w:fldChar w:fldCharType="end"/>
      </w:r>
      <w:r>
        <w:fldChar w:fldCharType="end"/>
      </w:r>
    </w:p>
    <w:p>
      <w:pPr>
        <w:pStyle w:val="2"/>
        <w:tabs>
          <w:tab w:val="right" w:leader="dot" w:pos="8296"/>
        </w:tabs>
        <w:rPr>
          <w:rFonts w:ascii="Calibri" w:hAnsi="Calibri" w:cs="宋体"/>
          <w:b w:val="0"/>
          <w:bCs w:val="0"/>
          <w:caps w:val="0"/>
          <w:kern w:val="0"/>
          <w:sz w:val="22"/>
          <w:szCs w:val="22"/>
        </w:rPr>
      </w:pPr>
      <w:r>
        <w:fldChar w:fldCharType="begin"/>
      </w:r>
      <w:r>
        <w:instrText xml:space="preserve"> HYPERLINK \l "_Toc48211785" </w:instrText>
      </w:r>
      <w:r>
        <w:fldChar w:fldCharType="separate"/>
      </w:r>
      <w:r>
        <w:rPr>
          <w:rStyle w:val="12"/>
          <w:rFonts w:hAnsi="宋体"/>
        </w:rPr>
        <w:t>7</w:t>
      </w:r>
      <w:r>
        <w:rPr>
          <w:rStyle w:val="12"/>
          <w:rFonts w:hint="eastAsia" w:hAnsi="宋体"/>
        </w:rPr>
        <w:t>技术文件要求</w:t>
      </w:r>
      <w:r>
        <w:tab/>
      </w:r>
      <w:r>
        <w:fldChar w:fldCharType="begin"/>
      </w:r>
      <w:r>
        <w:instrText xml:space="preserve"> PAGEREF _Toc48211785 \h </w:instrText>
      </w:r>
      <w:r>
        <w:fldChar w:fldCharType="separate"/>
      </w:r>
      <w:r>
        <w:t>9</w:t>
      </w:r>
      <w:r>
        <w:fldChar w:fldCharType="end"/>
      </w:r>
      <w:r>
        <w:fldChar w:fldCharType="end"/>
      </w:r>
    </w:p>
    <w:p>
      <w:pPr>
        <w:pStyle w:val="2"/>
        <w:tabs>
          <w:tab w:val="right" w:leader="dot" w:pos="8296"/>
        </w:tabs>
        <w:rPr>
          <w:rFonts w:ascii="Calibri" w:hAnsi="Calibri" w:cs="宋体"/>
          <w:b w:val="0"/>
          <w:bCs w:val="0"/>
          <w:caps w:val="0"/>
          <w:kern w:val="0"/>
          <w:sz w:val="22"/>
          <w:szCs w:val="22"/>
        </w:rPr>
      </w:pPr>
      <w:r>
        <w:fldChar w:fldCharType="begin"/>
      </w:r>
      <w:r>
        <w:instrText xml:space="preserve"> HYPERLINK \l "_Toc48211786" </w:instrText>
      </w:r>
      <w:r>
        <w:fldChar w:fldCharType="separate"/>
      </w:r>
      <w:r>
        <w:rPr>
          <w:rStyle w:val="12"/>
          <w:rFonts w:hAnsi="宋体"/>
        </w:rPr>
        <w:t xml:space="preserve">8 </w:t>
      </w:r>
      <w:r>
        <w:rPr>
          <w:rStyle w:val="12"/>
          <w:rFonts w:hint="eastAsia" w:hAnsi="宋体"/>
        </w:rPr>
        <w:t>监造、包装、运输、安装及质量保证</w:t>
      </w:r>
      <w:r>
        <w:tab/>
      </w:r>
      <w:r>
        <w:fldChar w:fldCharType="begin"/>
      </w:r>
      <w:r>
        <w:instrText xml:space="preserve"> PAGEREF _Toc48211786 \h </w:instrText>
      </w:r>
      <w:r>
        <w:fldChar w:fldCharType="separate"/>
      </w:r>
      <w:r>
        <w:t>9</w:t>
      </w:r>
      <w:r>
        <w:fldChar w:fldCharType="end"/>
      </w:r>
      <w:r>
        <w:fldChar w:fldCharType="end"/>
      </w:r>
    </w:p>
    <w:p>
      <w:pPr>
        <w:pStyle w:val="9"/>
        <w:rPr>
          <w:rFonts w:ascii="Calibri" w:hAnsi="Calibri" w:cs="宋体"/>
          <w:kern w:val="0"/>
          <w:sz w:val="22"/>
          <w:szCs w:val="22"/>
        </w:rPr>
      </w:pPr>
      <w:r>
        <w:fldChar w:fldCharType="begin"/>
      </w:r>
      <w:r>
        <w:instrText xml:space="preserve"> HYPERLINK \l "_Toc48211787" </w:instrText>
      </w:r>
      <w:r>
        <w:fldChar w:fldCharType="separate"/>
      </w:r>
      <w:r>
        <w:rPr>
          <w:rStyle w:val="12"/>
          <w:rFonts w:hAnsi="宋体"/>
        </w:rPr>
        <w:t>8.1</w:t>
      </w:r>
      <w:r>
        <w:rPr>
          <w:rStyle w:val="12"/>
          <w:rFonts w:hint="eastAsia" w:hAnsi="宋体"/>
        </w:rPr>
        <w:t>监造</w:t>
      </w:r>
      <w:r>
        <w:tab/>
      </w:r>
      <w:r>
        <w:fldChar w:fldCharType="begin"/>
      </w:r>
      <w:r>
        <w:instrText xml:space="preserve"> PAGEREF _Toc48211787 \h </w:instrText>
      </w:r>
      <w:r>
        <w:fldChar w:fldCharType="separate"/>
      </w:r>
      <w:r>
        <w:t>9</w:t>
      </w:r>
      <w:r>
        <w:fldChar w:fldCharType="end"/>
      </w:r>
      <w:r>
        <w:fldChar w:fldCharType="end"/>
      </w:r>
    </w:p>
    <w:p>
      <w:pPr>
        <w:pStyle w:val="9"/>
        <w:rPr>
          <w:rFonts w:ascii="Calibri" w:hAnsi="Calibri" w:cs="宋体"/>
          <w:kern w:val="0"/>
          <w:sz w:val="22"/>
          <w:szCs w:val="22"/>
        </w:rPr>
      </w:pPr>
      <w:r>
        <w:fldChar w:fldCharType="begin"/>
      </w:r>
      <w:r>
        <w:instrText xml:space="preserve"> HYPERLINK \l "_Toc48211788" </w:instrText>
      </w:r>
      <w:r>
        <w:fldChar w:fldCharType="separate"/>
      </w:r>
      <w:r>
        <w:rPr>
          <w:rStyle w:val="12"/>
          <w:rFonts w:hAnsi="宋体"/>
        </w:rPr>
        <w:t>8.2</w:t>
      </w:r>
      <w:r>
        <w:rPr>
          <w:rStyle w:val="12"/>
          <w:rFonts w:hint="eastAsia" w:hAnsi="宋体"/>
        </w:rPr>
        <w:t>包装</w:t>
      </w:r>
      <w:r>
        <w:tab/>
      </w:r>
      <w:r>
        <w:fldChar w:fldCharType="begin"/>
      </w:r>
      <w:r>
        <w:instrText xml:space="preserve"> PAGEREF _Toc48211788 \h </w:instrText>
      </w:r>
      <w:r>
        <w:fldChar w:fldCharType="separate"/>
      </w:r>
      <w:r>
        <w:t>9</w:t>
      </w:r>
      <w:r>
        <w:fldChar w:fldCharType="end"/>
      </w:r>
      <w:r>
        <w:fldChar w:fldCharType="end"/>
      </w:r>
    </w:p>
    <w:p>
      <w:pPr>
        <w:pStyle w:val="9"/>
        <w:rPr>
          <w:rFonts w:ascii="Calibri" w:hAnsi="Calibri" w:cs="宋体"/>
          <w:kern w:val="0"/>
          <w:sz w:val="22"/>
          <w:szCs w:val="22"/>
        </w:rPr>
      </w:pPr>
      <w:r>
        <w:fldChar w:fldCharType="begin"/>
      </w:r>
      <w:r>
        <w:instrText xml:space="preserve"> HYPERLINK \l "_Toc48211789" </w:instrText>
      </w:r>
      <w:r>
        <w:fldChar w:fldCharType="separate"/>
      </w:r>
      <w:r>
        <w:rPr>
          <w:rStyle w:val="12"/>
          <w:rFonts w:hAnsi="宋体"/>
        </w:rPr>
        <w:t>8.3</w:t>
      </w:r>
      <w:r>
        <w:rPr>
          <w:rStyle w:val="12"/>
          <w:rFonts w:hint="eastAsia" w:hAnsi="宋体"/>
        </w:rPr>
        <w:t>运输</w:t>
      </w:r>
      <w:r>
        <w:tab/>
      </w:r>
      <w:r>
        <w:fldChar w:fldCharType="begin"/>
      </w:r>
      <w:r>
        <w:instrText xml:space="preserve"> PAGEREF _Toc48211789 \h </w:instrText>
      </w:r>
      <w:r>
        <w:fldChar w:fldCharType="separate"/>
      </w:r>
      <w:r>
        <w:t>10</w:t>
      </w:r>
      <w:r>
        <w:fldChar w:fldCharType="end"/>
      </w:r>
      <w:r>
        <w:fldChar w:fldCharType="end"/>
      </w:r>
    </w:p>
    <w:p>
      <w:pPr>
        <w:pStyle w:val="9"/>
        <w:rPr>
          <w:rFonts w:ascii="Calibri" w:hAnsi="Calibri" w:cs="宋体"/>
          <w:kern w:val="0"/>
          <w:sz w:val="22"/>
          <w:szCs w:val="22"/>
        </w:rPr>
      </w:pPr>
      <w:r>
        <w:fldChar w:fldCharType="begin"/>
      </w:r>
      <w:r>
        <w:instrText xml:space="preserve"> HYPERLINK \l "_Toc48211790" </w:instrText>
      </w:r>
      <w:r>
        <w:fldChar w:fldCharType="separate"/>
      </w:r>
      <w:r>
        <w:rPr>
          <w:rStyle w:val="12"/>
          <w:rFonts w:hAnsi="宋体"/>
        </w:rPr>
        <w:t>8.4</w:t>
      </w:r>
      <w:r>
        <w:rPr>
          <w:rStyle w:val="12"/>
          <w:rFonts w:hint="eastAsia" w:hAnsi="宋体"/>
        </w:rPr>
        <w:t>安装使用指导</w:t>
      </w:r>
      <w:r>
        <w:tab/>
      </w:r>
      <w:r>
        <w:fldChar w:fldCharType="begin"/>
      </w:r>
      <w:r>
        <w:instrText xml:space="preserve"> PAGEREF _Toc48211790 \h </w:instrText>
      </w:r>
      <w:r>
        <w:fldChar w:fldCharType="separate"/>
      </w:r>
      <w:r>
        <w:t>10</w:t>
      </w:r>
      <w:r>
        <w:fldChar w:fldCharType="end"/>
      </w:r>
      <w:r>
        <w:fldChar w:fldCharType="end"/>
      </w:r>
    </w:p>
    <w:p>
      <w:pPr>
        <w:pStyle w:val="9"/>
        <w:rPr>
          <w:rFonts w:ascii="Calibri" w:hAnsi="Calibri" w:cs="宋体"/>
          <w:kern w:val="0"/>
          <w:sz w:val="22"/>
          <w:szCs w:val="22"/>
        </w:rPr>
      </w:pPr>
      <w:r>
        <w:fldChar w:fldCharType="begin"/>
      </w:r>
      <w:r>
        <w:instrText xml:space="preserve"> HYPERLINK \l "_Toc48211791" </w:instrText>
      </w:r>
      <w:r>
        <w:fldChar w:fldCharType="separate"/>
      </w:r>
      <w:r>
        <w:rPr>
          <w:rStyle w:val="12"/>
          <w:rFonts w:hAnsi="宋体"/>
        </w:rPr>
        <w:t>8.5</w:t>
      </w:r>
      <w:r>
        <w:rPr>
          <w:rStyle w:val="12"/>
          <w:rFonts w:hint="eastAsia" w:hAnsi="宋体"/>
        </w:rPr>
        <w:t>质量保证</w:t>
      </w:r>
      <w:r>
        <w:tab/>
      </w:r>
      <w:r>
        <w:fldChar w:fldCharType="begin"/>
      </w:r>
      <w:r>
        <w:instrText xml:space="preserve"> PAGEREF _Toc48211791 \h </w:instrText>
      </w:r>
      <w:r>
        <w:fldChar w:fldCharType="separate"/>
      </w:r>
      <w:r>
        <w:t>10</w:t>
      </w:r>
      <w:r>
        <w:fldChar w:fldCharType="end"/>
      </w:r>
      <w:r>
        <w:fldChar w:fldCharType="end"/>
      </w:r>
    </w:p>
    <w:p>
      <w:pPr>
        <w:pStyle w:val="2"/>
        <w:tabs>
          <w:tab w:val="right" w:leader="dot" w:pos="8296"/>
        </w:tabs>
        <w:rPr>
          <w:rFonts w:ascii="Calibri" w:hAnsi="Calibri" w:cs="宋体"/>
          <w:b w:val="0"/>
          <w:bCs w:val="0"/>
          <w:caps w:val="0"/>
          <w:kern w:val="0"/>
          <w:sz w:val="22"/>
          <w:szCs w:val="22"/>
        </w:rPr>
      </w:pPr>
      <w:r>
        <w:fldChar w:fldCharType="begin"/>
      </w:r>
      <w:r>
        <w:instrText xml:space="preserve"> HYPERLINK \l "_Toc48211792" </w:instrText>
      </w:r>
      <w:r>
        <w:fldChar w:fldCharType="separate"/>
      </w:r>
      <w:r>
        <w:rPr>
          <w:rStyle w:val="12"/>
          <w:rFonts w:hAnsi="宋体"/>
        </w:rPr>
        <w:t>9</w:t>
      </w:r>
      <w:r>
        <w:rPr>
          <w:rStyle w:val="12"/>
          <w:rFonts w:hint="eastAsia" w:hAnsi="宋体"/>
        </w:rPr>
        <w:t>技术差异表</w:t>
      </w:r>
      <w:r>
        <w:tab/>
      </w:r>
      <w:r>
        <w:fldChar w:fldCharType="begin"/>
      </w:r>
      <w:r>
        <w:instrText xml:space="preserve"> PAGEREF _Toc48211792 \h </w:instrText>
      </w:r>
      <w:r>
        <w:fldChar w:fldCharType="separate"/>
      </w:r>
      <w:r>
        <w:t>11</w:t>
      </w:r>
      <w:r>
        <w:fldChar w:fldCharType="end"/>
      </w:r>
      <w:r>
        <w:fldChar w:fldCharType="end"/>
      </w:r>
    </w:p>
    <w:p>
      <w:pPr>
        <w:pStyle w:val="2"/>
        <w:tabs>
          <w:tab w:val="right" w:leader="dot" w:pos="8296"/>
        </w:tabs>
        <w:rPr>
          <w:rFonts w:ascii="Calibri" w:hAnsi="Calibri" w:cs="宋体"/>
          <w:b w:val="0"/>
          <w:bCs w:val="0"/>
          <w:caps w:val="0"/>
          <w:kern w:val="0"/>
          <w:sz w:val="22"/>
          <w:szCs w:val="22"/>
        </w:rPr>
      </w:pPr>
      <w:r>
        <w:fldChar w:fldCharType="begin"/>
      </w:r>
      <w:r>
        <w:instrText xml:space="preserve"> HYPERLINK \l "_Toc48211793" </w:instrText>
      </w:r>
      <w:r>
        <w:fldChar w:fldCharType="separate"/>
      </w:r>
      <w:r>
        <w:rPr>
          <w:rStyle w:val="12"/>
          <w:rFonts w:hAnsi="宋体"/>
        </w:rPr>
        <w:t>10</w:t>
      </w:r>
      <w:r>
        <w:rPr>
          <w:rStyle w:val="12"/>
          <w:rFonts w:hint="eastAsia" w:hAnsi="宋体"/>
        </w:rPr>
        <w:t>投标方需说明的其他问题</w:t>
      </w:r>
      <w:r>
        <w:tab/>
      </w:r>
      <w:r>
        <w:fldChar w:fldCharType="begin"/>
      </w:r>
      <w:r>
        <w:instrText xml:space="preserve"> PAGEREF _Toc48211793 \h </w:instrText>
      </w:r>
      <w:r>
        <w:fldChar w:fldCharType="separate"/>
      </w:r>
      <w:r>
        <w:t>11</w:t>
      </w:r>
      <w:r>
        <w:fldChar w:fldCharType="end"/>
      </w:r>
      <w:r>
        <w:fldChar w:fldCharType="end"/>
      </w:r>
    </w:p>
    <w:p>
      <w:pPr>
        <w:rPr>
          <w:rFonts w:ascii="宋体" w:hAnsi="宋体"/>
          <w:color w:val="000000"/>
          <w:szCs w:val="21"/>
        </w:rPr>
      </w:pPr>
      <w:r>
        <w:rPr>
          <w:rFonts w:hint="eastAsia" w:ascii="宋体" w:hAnsi="宋体"/>
          <w:color w:val="000000"/>
          <w:szCs w:val="21"/>
        </w:rPr>
        <w:fldChar w:fldCharType="end"/>
      </w:r>
    </w:p>
    <w:p>
      <w:pPr>
        <w:rPr>
          <w:rFonts w:ascii="宋体" w:hAnsi="宋体"/>
          <w:color w:val="000000"/>
          <w:szCs w:val="21"/>
        </w:rPr>
      </w:pPr>
    </w:p>
    <w:p>
      <w:pPr>
        <w:rPr>
          <w:rFonts w:ascii="宋体" w:hAnsi="宋体"/>
          <w:color w:val="000000"/>
          <w:szCs w:val="21"/>
        </w:rPr>
      </w:pPr>
    </w:p>
    <w:p>
      <w:pPr>
        <w:rPr>
          <w:rFonts w:ascii="宋体" w:hAnsi="宋体"/>
          <w:color w:val="000000"/>
          <w:szCs w:val="21"/>
        </w:rPr>
      </w:pPr>
    </w:p>
    <w:p>
      <w:pPr>
        <w:rPr>
          <w:rFonts w:ascii="宋体" w:hAnsi="宋体"/>
          <w:color w:val="000000"/>
          <w:szCs w:val="21"/>
        </w:rPr>
      </w:pPr>
    </w:p>
    <w:p>
      <w:pPr>
        <w:rPr>
          <w:rFonts w:ascii="宋体" w:hAnsi="宋体"/>
          <w:color w:val="000000"/>
          <w:szCs w:val="21"/>
        </w:rPr>
      </w:pPr>
    </w:p>
    <w:p>
      <w:pPr>
        <w:rPr>
          <w:rFonts w:ascii="宋体" w:hAnsi="宋体"/>
          <w:color w:val="000000"/>
          <w:szCs w:val="21"/>
        </w:rPr>
      </w:pPr>
    </w:p>
    <w:p>
      <w:pPr>
        <w:rPr>
          <w:rFonts w:ascii="宋体" w:hAnsi="宋体"/>
          <w:color w:val="000000"/>
          <w:szCs w:val="21"/>
        </w:rPr>
      </w:pPr>
    </w:p>
    <w:p>
      <w:pPr>
        <w:rPr>
          <w:rFonts w:ascii="宋体" w:hAnsi="宋体"/>
          <w:color w:val="000000"/>
          <w:szCs w:val="21"/>
        </w:rPr>
      </w:pPr>
    </w:p>
    <w:p/>
    <w:p/>
    <w:p/>
    <w:p/>
    <w:p/>
    <w:p/>
    <w:p>
      <w:pPr>
        <w:pStyle w:val="3"/>
        <w:numPr>
          <w:ilvl w:val="0"/>
          <w:numId w:val="0"/>
        </w:numPr>
        <w:snapToGrid/>
        <w:spacing w:before="312" w:line="480" w:lineRule="auto"/>
        <w:rPr>
          <w:rFonts w:hint="eastAsia" w:hAnsi="宋体"/>
          <w:color w:val="000000"/>
          <w:sz w:val="24"/>
          <w:szCs w:val="24"/>
        </w:rPr>
        <w:sectPr>
          <w:footerReference r:id="rId4" w:type="default"/>
          <w:pgSz w:w="11906" w:h="16838"/>
          <w:pgMar w:top="1440" w:right="1800" w:bottom="1440" w:left="1800" w:header="851" w:footer="992" w:gutter="0"/>
          <w:cols w:space="425" w:num="1"/>
          <w:docGrid w:type="lines" w:linePitch="312" w:charSpace="0"/>
        </w:sectPr>
      </w:pPr>
      <w:bookmarkStart w:id="0" w:name="_Toc112756677"/>
      <w:bookmarkStart w:id="1" w:name="_Toc48211776"/>
    </w:p>
    <w:p>
      <w:pPr>
        <w:pStyle w:val="3"/>
        <w:numPr>
          <w:ilvl w:val="0"/>
          <w:numId w:val="0"/>
        </w:numPr>
        <w:snapToGrid/>
        <w:spacing w:before="312" w:line="480" w:lineRule="auto"/>
        <w:rPr>
          <w:rFonts w:hAnsi="宋体"/>
          <w:color w:val="000000"/>
          <w:sz w:val="24"/>
          <w:szCs w:val="24"/>
        </w:rPr>
      </w:pPr>
      <w:r>
        <w:rPr>
          <w:rFonts w:hint="eastAsia" w:hAnsi="宋体"/>
          <w:color w:val="000000"/>
          <w:sz w:val="24"/>
          <w:szCs w:val="24"/>
        </w:rPr>
        <w:t xml:space="preserve">1 </w:t>
      </w:r>
      <w:bookmarkEnd w:id="0"/>
      <w:r>
        <w:rPr>
          <w:rFonts w:hint="eastAsia" w:hAnsi="宋体"/>
          <w:color w:val="000000"/>
          <w:sz w:val="24"/>
          <w:szCs w:val="24"/>
        </w:rPr>
        <w:t>总则</w:t>
      </w:r>
      <w:bookmarkEnd w:id="1"/>
    </w:p>
    <w:p>
      <w:pPr>
        <w:pStyle w:val="15"/>
        <w:adjustRightInd w:val="0"/>
        <w:snapToGrid w:val="0"/>
        <w:spacing w:line="360" w:lineRule="auto"/>
        <w:ind w:firstLine="0" w:firstLineChars="0"/>
        <w:rPr>
          <w:rFonts w:ascii="宋体" w:hAnsi="宋体" w:eastAsia="宋体" w:cs="Times New Roman"/>
          <w:color w:val="000000"/>
          <w:sz w:val="24"/>
          <w:szCs w:val="24"/>
        </w:rPr>
      </w:pPr>
      <w:r>
        <w:rPr>
          <w:rFonts w:hint="eastAsia" w:ascii="宋体" w:hAnsi="宋体" w:eastAsia="宋体" w:cs="Times New Roman"/>
          <w:color w:val="000000"/>
          <w:sz w:val="24"/>
          <w:szCs w:val="24"/>
        </w:rPr>
        <w:t>1.1  本招标技术文件适用于</w:t>
      </w:r>
      <w:r>
        <w:rPr>
          <w:rFonts w:hint="eastAsia" w:ascii="宋体" w:hAnsi="宋体" w:eastAsia="宋体"/>
          <w:color w:val="000000"/>
          <w:sz w:val="24"/>
          <w:szCs w:val="24"/>
        </w:rPr>
        <w:t>深圳供电局有</w:t>
      </w:r>
      <w:r>
        <w:rPr>
          <w:rFonts w:hint="eastAsia" w:ascii="宋体" w:hAnsi="宋体" w:eastAsia="宋体" w:cs="Times New Roman"/>
          <w:color w:val="000000"/>
          <w:sz w:val="24"/>
          <w:szCs w:val="24"/>
        </w:rPr>
        <w:t>限公司采购的</w:t>
      </w:r>
      <w:r>
        <w:rPr>
          <w:rFonts w:hint="eastAsia" w:ascii="宋体" w:hAnsi="宋体" w:eastAsia="宋体" w:cs="Times New Roman"/>
          <w:color w:val="000000"/>
          <w:sz w:val="24"/>
          <w:szCs w:val="24"/>
          <w:u w:val="single"/>
        </w:rPr>
        <w:t>可移动模块式应急移动电源，</w:t>
      </w:r>
      <w:r>
        <w:rPr>
          <w:rFonts w:hint="eastAsia" w:ascii="宋体" w:hAnsi="宋体" w:eastAsia="宋体" w:cs="Times New Roman"/>
          <w:color w:val="000000"/>
          <w:sz w:val="24"/>
          <w:szCs w:val="24"/>
        </w:rPr>
        <w:t>它提出了该设备本体及附属设备的功能设计、结构、性能、安装和试验等方面的技术要求。</w:t>
      </w:r>
    </w:p>
    <w:p>
      <w:pPr>
        <w:pStyle w:val="15"/>
        <w:adjustRightInd w:val="0"/>
        <w:snapToGrid w:val="0"/>
        <w:spacing w:line="360" w:lineRule="auto"/>
        <w:ind w:firstLine="0" w:firstLineChars="0"/>
        <w:rPr>
          <w:rFonts w:ascii="宋体" w:hAnsi="宋体" w:eastAsia="宋体" w:cs="Times New Roman"/>
          <w:color w:val="000000"/>
          <w:sz w:val="24"/>
          <w:szCs w:val="24"/>
        </w:rPr>
      </w:pPr>
      <w:r>
        <w:rPr>
          <w:rFonts w:hint="eastAsia" w:ascii="宋体" w:hAnsi="宋体" w:eastAsia="宋体" w:cs="Times New Roman"/>
          <w:color w:val="000000"/>
          <w:sz w:val="24"/>
          <w:szCs w:val="24"/>
        </w:rPr>
        <w:t>1.2  本设备招标技术文件提出的是最低限度的技术要求。凡本招标技术文件中未规定，但在相关设备的行业标准、国家标准或IEC标准中有规定的规范条文，投标方应按相应标准的条文进行设备设计、制造、试验和安装。对国家有关安全、环保等强制性标准，必须满足其要求。</w:t>
      </w:r>
    </w:p>
    <w:p>
      <w:pPr>
        <w:pStyle w:val="15"/>
        <w:adjustRightInd w:val="0"/>
        <w:snapToGrid w:val="0"/>
        <w:spacing w:line="360" w:lineRule="auto"/>
        <w:ind w:firstLine="0" w:firstLineChars="0"/>
        <w:rPr>
          <w:rFonts w:ascii="宋体" w:hAnsi="宋体" w:eastAsia="宋体" w:cs="Times New Roman"/>
          <w:color w:val="000000"/>
          <w:sz w:val="24"/>
          <w:szCs w:val="24"/>
        </w:rPr>
      </w:pPr>
      <w:r>
        <w:rPr>
          <w:rFonts w:hint="eastAsia" w:ascii="宋体" w:hAnsi="宋体" w:eastAsia="宋体" w:cs="Times New Roman"/>
          <w:color w:val="000000"/>
          <w:sz w:val="24"/>
          <w:szCs w:val="24"/>
        </w:rPr>
        <w:t>1.3  如果投标方没有以书面形式对本招标技术文件的条文提出异议， 则意味着投标方提供的设备完全符合本招标技术文件的要求。如有异议，不管是多么微小， 都应在报价书中以“对招标技术文件的意见和同招标技术文件的差异”为标题的专门章节中加以详细描述。</w:t>
      </w:r>
    </w:p>
    <w:p>
      <w:pPr>
        <w:pStyle w:val="15"/>
        <w:adjustRightInd w:val="0"/>
        <w:snapToGrid w:val="0"/>
        <w:spacing w:line="360" w:lineRule="auto"/>
        <w:ind w:firstLine="0" w:firstLineChars="0"/>
        <w:rPr>
          <w:rFonts w:ascii="宋体" w:hAnsi="宋体" w:eastAsia="宋体" w:cs="Times New Roman"/>
          <w:color w:val="000000"/>
          <w:sz w:val="24"/>
          <w:szCs w:val="24"/>
        </w:rPr>
      </w:pPr>
      <w:r>
        <w:rPr>
          <w:rFonts w:hint="eastAsia" w:ascii="宋体" w:hAnsi="宋体" w:eastAsia="宋体" w:cs="Times New Roman"/>
          <w:color w:val="000000"/>
          <w:sz w:val="24"/>
          <w:szCs w:val="24"/>
        </w:rPr>
        <w:t>1.4  本招标技术文件所使用的标准如遇与投标方所执行的标准不一致时， 按较高标准执行。</w:t>
      </w:r>
    </w:p>
    <w:p>
      <w:pPr>
        <w:pStyle w:val="15"/>
        <w:adjustRightInd w:val="0"/>
        <w:snapToGrid w:val="0"/>
        <w:spacing w:line="360" w:lineRule="auto"/>
        <w:ind w:firstLine="0" w:firstLineChars="0"/>
        <w:rPr>
          <w:rFonts w:ascii="宋体" w:hAnsi="宋体" w:eastAsia="宋体" w:cs="Times New Roman"/>
          <w:color w:val="000000"/>
          <w:sz w:val="24"/>
          <w:szCs w:val="24"/>
        </w:rPr>
      </w:pPr>
      <w:r>
        <w:rPr>
          <w:rFonts w:hint="eastAsia" w:ascii="宋体" w:hAnsi="宋体" w:eastAsia="宋体" w:cs="Times New Roman"/>
          <w:color w:val="000000"/>
          <w:sz w:val="24"/>
          <w:szCs w:val="24"/>
        </w:rPr>
        <w:t>1.5  本招标技术文件经招标、投标双方确认后作为订货合同的技术附件，与合同正文具有同等的法律效力。若本标书涉及有关商务方面内容，如与招标文件的商务部分有矛盾时，以商务部分为准。</w:t>
      </w:r>
    </w:p>
    <w:p>
      <w:pPr>
        <w:pStyle w:val="15"/>
        <w:adjustRightInd w:val="0"/>
        <w:snapToGrid w:val="0"/>
        <w:spacing w:line="360" w:lineRule="auto"/>
        <w:ind w:firstLine="0" w:firstLineChars="0"/>
        <w:rPr>
          <w:rFonts w:ascii="宋体" w:hAnsi="宋体" w:eastAsia="宋体" w:cs="Times New Roman"/>
          <w:color w:val="000000"/>
          <w:sz w:val="24"/>
          <w:szCs w:val="24"/>
        </w:rPr>
      </w:pPr>
      <w:r>
        <w:rPr>
          <w:rFonts w:hint="eastAsia" w:ascii="宋体" w:hAnsi="宋体" w:eastAsia="宋体" w:cs="Times New Roman"/>
          <w:color w:val="000000"/>
          <w:sz w:val="24"/>
          <w:szCs w:val="24"/>
        </w:rPr>
        <w:t>1.6  本招标技术文件未尽事宜，由招标、投标双方协商确定。</w:t>
      </w:r>
    </w:p>
    <w:p>
      <w:pPr>
        <w:pStyle w:val="15"/>
        <w:adjustRightInd w:val="0"/>
        <w:snapToGrid w:val="0"/>
        <w:spacing w:line="360" w:lineRule="auto"/>
        <w:ind w:firstLine="0" w:firstLineChars="0"/>
        <w:rPr>
          <w:rFonts w:ascii="宋体" w:hAnsi="宋体" w:eastAsia="宋体" w:cs="Times New Roman"/>
          <w:color w:val="000000"/>
          <w:sz w:val="24"/>
          <w:szCs w:val="24"/>
        </w:rPr>
      </w:pPr>
      <w:r>
        <w:rPr>
          <w:rFonts w:hint="eastAsia" w:ascii="宋体" w:hAnsi="宋体" w:eastAsia="宋体" w:cs="Times New Roman"/>
          <w:color w:val="000000"/>
          <w:sz w:val="24"/>
          <w:szCs w:val="24"/>
        </w:rPr>
        <w:t>1.7  投标方在应标招标技术文件中应如实反映应标产品与本招标技术文件的技术差异。如果投标方没有提出技术差异，而在执行合同的过程中，招标方发现投标方提供的产品与其应标招标技术文件的条文存在差异，招标方有权利要求退货，并将对下一年度的评标工作有不同程度的影响。</w:t>
      </w:r>
    </w:p>
    <w:p>
      <w:pPr>
        <w:pStyle w:val="15"/>
        <w:adjustRightInd w:val="0"/>
        <w:snapToGrid w:val="0"/>
        <w:spacing w:line="360" w:lineRule="auto"/>
        <w:ind w:firstLine="0" w:firstLineChars="0"/>
        <w:rPr>
          <w:rFonts w:ascii="宋体" w:hAnsi="宋体" w:eastAsia="宋体" w:cs="Times New Roman"/>
          <w:color w:val="000000"/>
          <w:sz w:val="24"/>
          <w:szCs w:val="24"/>
        </w:rPr>
      </w:pPr>
      <w:r>
        <w:rPr>
          <w:rFonts w:hint="eastAsia" w:ascii="宋体" w:hAnsi="宋体" w:eastAsia="宋体" w:cs="Times New Roman"/>
          <w:color w:val="000000"/>
          <w:sz w:val="24"/>
          <w:szCs w:val="24"/>
        </w:rPr>
        <w:t>1.8  投标方应在应标技术部分按本招标技术文件的要求如实详细的填写应标设备的标准配置表，并在应标商务部分按此标准配置进行报价，如发现二者有矛盾之处，将对评标工作有不同程度的影响。</w:t>
      </w:r>
    </w:p>
    <w:p>
      <w:pPr>
        <w:pStyle w:val="15"/>
        <w:adjustRightInd w:val="0"/>
        <w:snapToGrid w:val="0"/>
        <w:spacing w:line="360" w:lineRule="auto"/>
        <w:ind w:firstLine="0" w:firstLineChars="0"/>
        <w:rPr>
          <w:rFonts w:ascii="宋体" w:hAnsi="宋体" w:eastAsia="宋体" w:cs="Times New Roman"/>
          <w:color w:val="000000"/>
          <w:sz w:val="24"/>
          <w:szCs w:val="24"/>
        </w:rPr>
      </w:pPr>
      <w:r>
        <w:rPr>
          <w:rFonts w:hint="eastAsia" w:ascii="宋体" w:hAnsi="宋体"/>
          <w:color w:val="000000"/>
          <w:sz w:val="24"/>
        </w:rPr>
        <w:t>1.9  投标方应充分理解本招标技术文件并按本招标技术文件的具体条款、格式要求填写应标的技术文件，如</w:t>
      </w:r>
      <w:r>
        <w:rPr>
          <w:rFonts w:hint="eastAsia" w:ascii="宋体" w:hAnsi="宋体" w:eastAsia="宋体" w:cs="Times New Roman"/>
          <w:color w:val="000000"/>
          <w:sz w:val="24"/>
          <w:szCs w:val="24"/>
        </w:rPr>
        <w:t>发现应标的技术文件条款、格式不符合本招标技术文件的要求，则认为应标不严肃，在评标时将有不同程度的扣分。</w:t>
      </w:r>
    </w:p>
    <w:p>
      <w:pPr>
        <w:pStyle w:val="15"/>
        <w:adjustRightInd w:val="0"/>
        <w:snapToGrid w:val="0"/>
        <w:spacing w:line="360" w:lineRule="auto"/>
        <w:ind w:firstLine="0" w:firstLineChars="0"/>
        <w:rPr>
          <w:rFonts w:ascii="宋体" w:hAnsi="宋体" w:eastAsia="宋体" w:cs="Times New Roman"/>
          <w:color w:val="000000"/>
          <w:sz w:val="24"/>
          <w:szCs w:val="24"/>
        </w:rPr>
      </w:pPr>
      <w:r>
        <w:rPr>
          <w:rFonts w:hint="eastAsia" w:ascii="宋体" w:hAnsi="宋体" w:eastAsia="宋体" w:cs="Times New Roman"/>
          <w:color w:val="000000"/>
          <w:sz w:val="24"/>
          <w:szCs w:val="24"/>
        </w:rPr>
        <w:t>1.10  标注“★”的条款为关键条款，投标方应出具相应技术资料证实其设备可以达到该参数要求，作为评标时打分的重点参考，否则做为废标处理。</w:t>
      </w:r>
    </w:p>
    <w:p>
      <w:pPr>
        <w:pStyle w:val="15"/>
        <w:adjustRightInd w:val="0"/>
        <w:snapToGrid w:val="0"/>
        <w:spacing w:line="360" w:lineRule="auto"/>
        <w:ind w:firstLine="0" w:firstLineChars="0"/>
        <w:rPr>
          <w:rFonts w:ascii="宋体" w:hAnsi="宋体" w:eastAsia="宋体" w:cs="Times New Roman"/>
          <w:color w:val="000000"/>
          <w:sz w:val="24"/>
          <w:szCs w:val="24"/>
        </w:rPr>
      </w:pPr>
      <w:r>
        <w:rPr>
          <w:rFonts w:hint="eastAsia" w:ascii="宋体" w:hAnsi="宋体" w:eastAsia="宋体" w:cs="Times New Roman"/>
          <w:color w:val="000000"/>
          <w:sz w:val="24"/>
          <w:szCs w:val="24"/>
        </w:rPr>
        <w:t>1.11 本次招标的中标单位所提供的仪器在交货时必须通过实际测试所满足技术最低标准，否则我局有权退货。</w:t>
      </w:r>
    </w:p>
    <w:p>
      <w:pPr>
        <w:pStyle w:val="3"/>
        <w:numPr>
          <w:ilvl w:val="0"/>
          <w:numId w:val="0"/>
        </w:numPr>
        <w:snapToGrid/>
        <w:spacing w:before="312" w:line="480" w:lineRule="auto"/>
        <w:rPr>
          <w:rFonts w:hAnsi="宋体"/>
          <w:color w:val="000000"/>
          <w:sz w:val="24"/>
          <w:szCs w:val="24"/>
        </w:rPr>
      </w:pPr>
      <w:bookmarkStart w:id="2" w:name="_Toc48211777"/>
      <w:r>
        <w:rPr>
          <w:rFonts w:hint="eastAsia" w:hAnsi="宋体"/>
          <w:color w:val="000000"/>
          <w:sz w:val="24"/>
          <w:szCs w:val="24"/>
        </w:rPr>
        <w:t>2 工作范围</w:t>
      </w:r>
      <w:bookmarkEnd w:id="2"/>
    </w:p>
    <w:p>
      <w:pPr>
        <w:pStyle w:val="4"/>
        <w:numPr>
          <w:ilvl w:val="0"/>
          <w:numId w:val="0"/>
        </w:numPr>
        <w:rPr>
          <w:rFonts w:hAnsi="宋体"/>
          <w:color w:val="000000"/>
          <w:sz w:val="24"/>
          <w:szCs w:val="24"/>
        </w:rPr>
      </w:pPr>
      <w:bookmarkStart w:id="3" w:name="_Toc290652071"/>
      <w:bookmarkStart w:id="4" w:name="_Toc48211778"/>
      <w:r>
        <w:rPr>
          <w:rFonts w:hint="eastAsia" w:hAnsi="宋体"/>
          <w:color w:val="000000"/>
          <w:sz w:val="24"/>
          <w:szCs w:val="24"/>
        </w:rPr>
        <w:t>2.1 项目概况</w:t>
      </w:r>
      <w:bookmarkEnd w:id="3"/>
      <w:bookmarkEnd w:id="4"/>
    </w:p>
    <w:p>
      <w:pPr>
        <w:pStyle w:val="15"/>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本标书采购的设备适用的工程概况见表2.1：工程概况一览表。</w:t>
      </w:r>
    </w:p>
    <w:p>
      <w:pPr>
        <w:pStyle w:val="16"/>
        <w:adjustRightInd w:val="0"/>
        <w:snapToGrid w:val="0"/>
        <w:spacing w:line="360" w:lineRule="auto"/>
        <w:ind w:firstLine="0" w:firstLineChars="0"/>
        <w:jc w:val="center"/>
        <w:rPr>
          <w:rFonts w:hAnsi="宋体"/>
          <w:color w:val="000000"/>
          <w:sz w:val="24"/>
          <w:szCs w:val="24"/>
        </w:rPr>
      </w:pPr>
      <w:r>
        <w:rPr>
          <w:rFonts w:hint="eastAsia" w:hAnsi="宋体"/>
          <w:color w:val="000000"/>
          <w:sz w:val="24"/>
          <w:szCs w:val="24"/>
        </w:rPr>
        <w:t>表2.1  工程概况一览表 （项目单位填写）</w:t>
      </w:r>
    </w:p>
    <w:tbl>
      <w:tblPr>
        <w:tblStyle w:val="10"/>
        <w:tblW w:w="83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48"/>
        <w:gridCol w:w="2509"/>
        <w:gridCol w:w="511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748" w:type="dxa"/>
            <w:tcBorders>
              <w:top w:val="single" w:color="auto" w:sz="12" w:space="0"/>
              <w:left w:val="single" w:color="auto" w:sz="12" w:space="0"/>
              <w:bottom w:val="single" w:color="auto" w:sz="6" w:space="0"/>
              <w:right w:val="single" w:color="auto" w:sz="6" w:space="0"/>
            </w:tcBorders>
            <w:vAlign w:val="center"/>
          </w:tcPr>
          <w:p>
            <w:pPr>
              <w:jc w:val="center"/>
              <w:rPr>
                <w:rFonts w:ascii="宋体" w:hAnsi="宋体"/>
                <w:color w:val="000000"/>
                <w:sz w:val="24"/>
                <w:szCs w:val="24"/>
              </w:rPr>
            </w:pPr>
            <w:r>
              <w:rPr>
                <w:rFonts w:hint="eastAsia" w:ascii="宋体" w:hAnsi="宋体"/>
                <w:color w:val="000000"/>
                <w:sz w:val="24"/>
              </w:rPr>
              <w:t>序号</w:t>
            </w:r>
          </w:p>
        </w:tc>
        <w:tc>
          <w:tcPr>
            <w:tcW w:w="2509" w:type="dxa"/>
            <w:tcBorders>
              <w:top w:val="single" w:color="auto" w:sz="12" w:space="0"/>
              <w:left w:val="single" w:color="auto" w:sz="6" w:space="0"/>
              <w:bottom w:val="single" w:color="auto" w:sz="6" w:space="0"/>
              <w:right w:val="single" w:color="auto" w:sz="6" w:space="0"/>
            </w:tcBorders>
            <w:vAlign w:val="center"/>
          </w:tcPr>
          <w:p>
            <w:pPr>
              <w:jc w:val="center"/>
              <w:rPr>
                <w:rFonts w:ascii="宋体" w:hAnsi="宋体"/>
                <w:color w:val="000000"/>
                <w:sz w:val="24"/>
              </w:rPr>
            </w:pPr>
            <w:r>
              <w:rPr>
                <w:rFonts w:hint="eastAsia" w:ascii="宋体" w:hAnsi="宋体"/>
                <w:color w:val="000000"/>
                <w:sz w:val="24"/>
              </w:rPr>
              <w:t>名 称</w:t>
            </w:r>
          </w:p>
        </w:tc>
        <w:tc>
          <w:tcPr>
            <w:tcW w:w="5111" w:type="dxa"/>
            <w:tcBorders>
              <w:top w:val="single" w:color="auto" w:sz="12" w:space="0"/>
              <w:left w:val="single" w:color="auto" w:sz="6" w:space="0"/>
              <w:bottom w:val="single" w:color="auto" w:sz="6" w:space="0"/>
              <w:right w:val="single" w:color="auto" w:sz="12" w:space="0"/>
            </w:tcBorders>
            <w:vAlign w:val="center"/>
          </w:tcPr>
          <w:p>
            <w:pPr>
              <w:jc w:val="center"/>
              <w:rPr>
                <w:rFonts w:ascii="宋体" w:hAnsi="宋体"/>
                <w:color w:val="000000"/>
                <w:sz w:val="24"/>
              </w:rPr>
            </w:pPr>
            <w:r>
              <w:rPr>
                <w:rFonts w:hint="eastAsia" w:ascii="宋体" w:hAnsi="宋体"/>
                <w:color w:val="000000"/>
                <w:sz w:val="24"/>
              </w:rPr>
              <w:t>内  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6" w:hRule="atLeast"/>
          <w:jc w:val="center"/>
        </w:trPr>
        <w:tc>
          <w:tcPr>
            <w:tcW w:w="748" w:type="dxa"/>
            <w:tcBorders>
              <w:top w:val="single" w:color="auto" w:sz="6" w:space="0"/>
              <w:left w:val="single" w:color="auto" w:sz="12" w:space="0"/>
              <w:bottom w:val="single" w:color="auto" w:sz="6" w:space="0"/>
              <w:right w:val="single" w:color="auto" w:sz="6" w:space="0"/>
            </w:tcBorders>
            <w:vAlign w:val="center"/>
          </w:tcPr>
          <w:p>
            <w:pPr>
              <w:jc w:val="center"/>
              <w:rPr>
                <w:rFonts w:ascii="宋体" w:hAnsi="宋体"/>
                <w:color w:val="000000"/>
                <w:sz w:val="24"/>
              </w:rPr>
            </w:pPr>
            <w:r>
              <w:rPr>
                <w:rFonts w:hint="eastAsia" w:ascii="宋体" w:hAnsi="宋体"/>
                <w:color w:val="000000"/>
                <w:sz w:val="24"/>
              </w:rPr>
              <w:t>1</w:t>
            </w:r>
          </w:p>
        </w:tc>
        <w:tc>
          <w:tcPr>
            <w:tcW w:w="2509" w:type="dxa"/>
            <w:tcBorders>
              <w:top w:val="single" w:color="auto" w:sz="6" w:space="0"/>
              <w:left w:val="single" w:color="auto" w:sz="6" w:space="0"/>
              <w:bottom w:val="single" w:color="auto" w:sz="6" w:space="0"/>
              <w:right w:val="single" w:color="auto" w:sz="6" w:space="0"/>
            </w:tcBorders>
            <w:vAlign w:val="center"/>
          </w:tcPr>
          <w:p>
            <w:pPr>
              <w:rPr>
                <w:rFonts w:ascii="宋体" w:hAnsi="宋体"/>
                <w:color w:val="000000"/>
                <w:sz w:val="24"/>
              </w:rPr>
            </w:pPr>
            <w:r>
              <w:rPr>
                <w:rFonts w:hint="eastAsia" w:ascii="宋体" w:hAnsi="宋体"/>
                <w:color w:val="000000"/>
                <w:sz w:val="24"/>
              </w:rPr>
              <w:t>采购设备或项目名称</w:t>
            </w:r>
          </w:p>
        </w:tc>
        <w:tc>
          <w:tcPr>
            <w:tcW w:w="5111" w:type="dxa"/>
            <w:tcBorders>
              <w:top w:val="single" w:color="auto" w:sz="6" w:space="0"/>
              <w:left w:val="single" w:color="auto" w:sz="6" w:space="0"/>
              <w:bottom w:val="single" w:color="auto" w:sz="6" w:space="0"/>
              <w:right w:val="single" w:color="auto" w:sz="12" w:space="0"/>
            </w:tcBorders>
            <w:vAlign w:val="center"/>
          </w:tcPr>
          <w:p>
            <w:pPr>
              <w:rPr>
                <w:rFonts w:ascii="宋体" w:hAnsi="宋体"/>
                <w:color w:val="000000"/>
                <w:sz w:val="24"/>
              </w:rPr>
            </w:pPr>
            <w:r>
              <w:rPr>
                <w:rFonts w:hint="eastAsia" w:ascii="宋体" w:hAnsi="宋体"/>
                <w:color w:val="000000"/>
                <w:sz w:val="24"/>
              </w:rPr>
              <w:t>可移动模块式应急移动电源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748" w:type="dxa"/>
            <w:tcBorders>
              <w:top w:val="single" w:color="auto" w:sz="6" w:space="0"/>
              <w:left w:val="single" w:color="auto" w:sz="12" w:space="0"/>
              <w:bottom w:val="single" w:color="auto" w:sz="6" w:space="0"/>
              <w:right w:val="single" w:color="auto" w:sz="6" w:space="0"/>
            </w:tcBorders>
            <w:vAlign w:val="center"/>
          </w:tcPr>
          <w:p>
            <w:pPr>
              <w:jc w:val="center"/>
              <w:rPr>
                <w:rFonts w:ascii="宋体" w:hAnsi="宋体"/>
                <w:color w:val="000000"/>
                <w:sz w:val="24"/>
              </w:rPr>
            </w:pPr>
            <w:r>
              <w:rPr>
                <w:rFonts w:hint="eastAsia" w:ascii="宋体" w:hAnsi="宋体"/>
                <w:color w:val="000000"/>
                <w:sz w:val="24"/>
              </w:rPr>
              <w:t>2</w:t>
            </w:r>
          </w:p>
        </w:tc>
        <w:tc>
          <w:tcPr>
            <w:tcW w:w="2509" w:type="dxa"/>
            <w:tcBorders>
              <w:top w:val="single" w:color="auto" w:sz="6" w:space="0"/>
              <w:left w:val="single" w:color="auto" w:sz="6" w:space="0"/>
              <w:bottom w:val="single" w:color="auto" w:sz="6" w:space="0"/>
              <w:right w:val="single" w:color="auto" w:sz="6" w:space="0"/>
            </w:tcBorders>
            <w:vAlign w:val="center"/>
          </w:tcPr>
          <w:p>
            <w:pPr>
              <w:rPr>
                <w:rFonts w:ascii="宋体" w:hAnsi="宋体"/>
                <w:color w:val="000000"/>
                <w:sz w:val="24"/>
              </w:rPr>
            </w:pPr>
            <w:r>
              <w:rPr>
                <w:rFonts w:hint="eastAsia" w:ascii="宋体" w:hAnsi="宋体"/>
                <w:color w:val="000000"/>
                <w:sz w:val="24"/>
              </w:rPr>
              <w:t>项目单位</w:t>
            </w:r>
          </w:p>
        </w:tc>
        <w:tc>
          <w:tcPr>
            <w:tcW w:w="5111" w:type="dxa"/>
            <w:tcBorders>
              <w:top w:val="single" w:color="auto" w:sz="6" w:space="0"/>
              <w:left w:val="single" w:color="auto" w:sz="6" w:space="0"/>
              <w:bottom w:val="single" w:color="auto" w:sz="6" w:space="0"/>
              <w:right w:val="single" w:color="auto" w:sz="12" w:space="0"/>
            </w:tcBorders>
            <w:vAlign w:val="center"/>
          </w:tcPr>
          <w:p>
            <w:pPr>
              <w:rPr>
                <w:rFonts w:ascii="宋体" w:hAnsi="宋体"/>
                <w:color w:val="000000"/>
                <w:sz w:val="24"/>
              </w:rPr>
            </w:pPr>
            <w:r>
              <w:rPr>
                <w:rFonts w:hint="eastAsia" w:ascii="宋体" w:hAnsi="宋体"/>
                <w:color w:val="000000"/>
                <w:sz w:val="24"/>
              </w:rPr>
              <w:t>深圳供电局有限公司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7" w:hRule="atLeast"/>
          <w:jc w:val="center"/>
        </w:trPr>
        <w:tc>
          <w:tcPr>
            <w:tcW w:w="748" w:type="dxa"/>
            <w:tcBorders>
              <w:top w:val="single" w:color="auto" w:sz="6" w:space="0"/>
              <w:left w:val="single" w:color="auto" w:sz="12" w:space="0"/>
              <w:bottom w:val="single" w:color="auto" w:sz="12" w:space="0"/>
              <w:right w:val="single" w:color="auto" w:sz="6" w:space="0"/>
            </w:tcBorders>
            <w:vAlign w:val="center"/>
          </w:tcPr>
          <w:p>
            <w:pPr>
              <w:jc w:val="center"/>
              <w:rPr>
                <w:rFonts w:ascii="宋体" w:hAnsi="宋体"/>
                <w:color w:val="000000"/>
                <w:sz w:val="24"/>
              </w:rPr>
            </w:pPr>
            <w:r>
              <w:rPr>
                <w:rFonts w:hint="eastAsia" w:ascii="宋体" w:hAnsi="宋体"/>
                <w:color w:val="000000"/>
                <w:sz w:val="24"/>
              </w:rPr>
              <w:t>3</w:t>
            </w:r>
          </w:p>
        </w:tc>
        <w:tc>
          <w:tcPr>
            <w:tcW w:w="2509" w:type="dxa"/>
            <w:tcBorders>
              <w:top w:val="single" w:color="auto" w:sz="6" w:space="0"/>
              <w:left w:val="single" w:color="auto" w:sz="6" w:space="0"/>
              <w:bottom w:val="single" w:color="auto" w:sz="12" w:space="0"/>
              <w:right w:val="single" w:color="auto" w:sz="6" w:space="0"/>
            </w:tcBorders>
            <w:vAlign w:val="center"/>
          </w:tcPr>
          <w:p>
            <w:pPr>
              <w:rPr>
                <w:rFonts w:ascii="宋体" w:hAnsi="宋体"/>
                <w:color w:val="000000"/>
                <w:sz w:val="24"/>
              </w:rPr>
            </w:pPr>
            <w:r>
              <w:rPr>
                <w:rFonts w:hint="eastAsia" w:ascii="宋体" w:hAnsi="宋体"/>
                <w:color w:val="000000"/>
                <w:sz w:val="24"/>
              </w:rPr>
              <w:t>项目单位地址</w:t>
            </w:r>
          </w:p>
        </w:tc>
        <w:tc>
          <w:tcPr>
            <w:tcW w:w="5111" w:type="dxa"/>
            <w:tcBorders>
              <w:top w:val="single" w:color="auto" w:sz="6" w:space="0"/>
              <w:left w:val="single" w:color="auto" w:sz="6" w:space="0"/>
              <w:bottom w:val="single" w:color="auto" w:sz="12" w:space="0"/>
              <w:right w:val="single" w:color="auto" w:sz="12" w:space="0"/>
            </w:tcBorders>
            <w:vAlign w:val="center"/>
          </w:tcPr>
          <w:p>
            <w:pPr>
              <w:rPr>
                <w:rFonts w:ascii="宋体" w:hAnsi="宋体"/>
                <w:color w:val="000000"/>
                <w:sz w:val="24"/>
              </w:rPr>
            </w:pPr>
          </w:p>
        </w:tc>
      </w:tr>
    </w:tbl>
    <w:p>
      <w:pPr>
        <w:pStyle w:val="4"/>
        <w:numPr>
          <w:ilvl w:val="0"/>
          <w:numId w:val="0"/>
        </w:numPr>
        <w:spacing w:before="156" w:beforeLines="50"/>
        <w:rPr>
          <w:rFonts w:hAnsi="宋体"/>
          <w:bCs w:val="0"/>
          <w:color w:val="000000"/>
          <w:sz w:val="24"/>
          <w:szCs w:val="22"/>
        </w:rPr>
      </w:pPr>
      <w:bookmarkStart w:id="5" w:name="_Toc290652072"/>
      <w:bookmarkStart w:id="6" w:name="_Toc48211779"/>
      <w:r>
        <w:rPr>
          <w:rFonts w:hint="eastAsia" w:hAnsi="宋体"/>
          <w:bCs w:val="0"/>
          <w:color w:val="000000"/>
          <w:sz w:val="24"/>
          <w:szCs w:val="22"/>
        </w:rPr>
        <w:t>2.2 范围和界限</w:t>
      </w:r>
      <w:bookmarkEnd w:id="5"/>
      <w:bookmarkEnd w:id="6"/>
    </w:p>
    <w:p>
      <w:pPr>
        <w:pStyle w:val="15"/>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1）本标书适应于所供设备的设计、制造、装配、工厂试验、交付、现场安装和试验的指导、监督以及试运行工作。</w:t>
      </w:r>
    </w:p>
    <w:p>
      <w:pPr>
        <w:pStyle w:val="15"/>
        <w:adjustRightInd w:val="0"/>
        <w:snapToGrid w:val="0"/>
        <w:spacing w:line="360" w:lineRule="auto"/>
        <w:ind w:firstLine="480"/>
        <w:rPr>
          <w:rFonts w:ascii="宋体" w:hAnsi="宋体" w:eastAsia="宋体" w:cs="Times New Roman"/>
          <w:color w:val="000000"/>
          <w:sz w:val="24"/>
          <w:szCs w:val="24"/>
        </w:rPr>
      </w:pPr>
      <w:r>
        <w:rPr>
          <w:rFonts w:hint="eastAsia" w:ascii="宋体" w:hAnsi="宋体"/>
          <w:color w:val="000000"/>
          <w:sz w:val="24"/>
        </w:rPr>
        <w:t>2）现场安装和试验在投标方的技术指导和监督下由</w:t>
      </w:r>
      <w:r>
        <w:rPr>
          <w:rFonts w:hint="eastAsia" w:ascii="宋体" w:hAnsi="宋体" w:eastAsia="宋体" w:cs="Times New Roman"/>
          <w:color w:val="000000"/>
          <w:sz w:val="24"/>
          <w:szCs w:val="24"/>
        </w:rPr>
        <w:t>招标方完成。</w:t>
      </w:r>
    </w:p>
    <w:p>
      <w:pPr>
        <w:pStyle w:val="15"/>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3）本标书未做说明，但又与设计、制造、装配、试验、运输、包装、保管、安装和运行维护有关的技术要求，按条款2所规定的有关标准执行。</w:t>
      </w:r>
    </w:p>
    <w:p>
      <w:pPr>
        <w:pStyle w:val="4"/>
        <w:numPr>
          <w:ilvl w:val="0"/>
          <w:numId w:val="0"/>
        </w:numPr>
        <w:rPr>
          <w:rFonts w:hAnsi="宋体"/>
          <w:color w:val="000000"/>
          <w:sz w:val="24"/>
          <w:szCs w:val="24"/>
        </w:rPr>
      </w:pPr>
      <w:bookmarkStart w:id="7" w:name="_Toc290652073"/>
      <w:bookmarkStart w:id="8" w:name="_Toc48211780"/>
      <w:r>
        <w:rPr>
          <w:rFonts w:hint="eastAsia" w:hAnsi="宋体"/>
          <w:color w:val="000000"/>
          <w:sz w:val="24"/>
          <w:szCs w:val="24"/>
        </w:rPr>
        <w:t>2.3 服务范围</w:t>
      </w:r>
      <w:bookmarkEnd w:id="7"/>
      <w:bookmarkEnd w:id="8"/>
    </w:p>
    <w:p>
      <w:pPr>
        <w:pStyle w:val="15"/>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1）供货范围一览表（项目单位填写）</w:t>
      </w:r>
    </w:p>
    <w:p>
      <w:pPr>
        <w:pStyle w:val="15"/>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投标方提供的本标书采购设备及其附件的具体规格、数量见表2.2：供货范围及设备技术规格一览表。投标方应如实填写“投标方保证”栏。</w:t>
      </w:r>
    </w:p>
    <w:p>
      <w:pPr>
        <w:pStyle w:val="16"/>
        <w:adjustRightInd w:val="0"/>
        <w:snapToGrid w:val="0"/>
        <w:spacing w:line="360" w:lineRule="auto"/>
        <w:ind w:firstLine="0" w:firstLineChars="0"/>
        <w:jc w:val="center"/>
        <w:rPr>
          <w:rFonts w:hAnsi="宋体"/>
          <w:color w:val="000000"/>
          <w:sz w:val="24"/>
          <w:szCs w:val="24"/>
        </w:rPr>
      </w:pPr>
      <w:r>
        <w:rPr>
          <w:rFonts w:hint="eastAsia" w:hAnsi="宋体"/>
          <w:color w:val="000000"/>
          <w:sz w:val="24"/>
          <w:szCs w:val="24"/>
        </w:rPr>
        <w:t>表2.2   设备供货范围响应表</w:t>
      </w:r>
    </w:p>
    <w:tbl>
      <w:tblPr>
        <w:tblStyle w:val="10"/>
        <w:tblW w:w="891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343"/>
        <w:gridCol w:w="1530"/>
        <w:gridCol w:w="645"/>
        <w:gridCol w:w="2340"/>
        <w:gridCol w:w="570"/>
        <w:gridCol w:w="2340"/>
        <w:gridCol w:w="114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3" w:hRule="atLeast"/>
          <w:tblHeader/>
          <w:jc w:val="center"/>
        </w:trPr>
        <w:tc>
          <w:tcPr>
            <w:tcW w:w="343" w:type="dxa"/>
            <w:vMerge w:val="restart"/>
            <w:vAlign w:val="center"/>
          </w:tcPr>
          <w:p>
            <w:pPr>
              <w:jc w:val="center"/>
              <w:rPr>
                <w:rFonts w:ascii="宋体" w:hAnsi="宋体"/>
                <w:color w:val="000000"/>
                <w:szCs w:val="21"/>
              </w:rPr>
            </w:pPr>
            <w:r>
              <w:rPr>
                <w:rFonts w:hint="eastAsia" w:ascii="宋体" w:hAnsi="宋体"/>
                <w:color w:val="000000"/>
                <w:szCs w:val="21"/>
              </w:rPr>
              <w:t>序号</w:t>
            </w:r>
          </w:p>
        </w:tc>
        <w:tc>
          <w:tcPr>
            <w:tcW w:w="1530" w:type="dxa"/>
            <w:vMerge w:val="restart"/>
            <w:vAlign w:val="center"/>
          </w:tcPr>
          <w:p>
            <w:pPr>
              <w:jc w:val="center"/>
              <w:rPr>
                <w:rFonts w:ascii="宋体" w:hAnsi="宋体"/>
                <w:color w:val="000000"/>
                <w:szCs w:val="21"/>
              </w:rPr>
            </w:pPr>
            <w:r>
              <w:rPr>
                <w:rFonts w:hint="eastAsia" w:ascii="宋体" w:hAnsi="宋体"/>
                <w:color w:val="000000"/>
                <w:szCs w:val="21"/>
              </w:rPr>
              <w:t>名称</w:t>
            </w:r>
          </w:p>
        </w:tc>
        <w:tc>
          <w:tcPr>
            <w:tcW w:w="645" w:type="dxa"/>
            <w:vMerge w:val="restart"/>
            <w:tcBorders>
              <w:right w:val="single" w:color="auto" w:sz="4" w:space="0"/>
            </w:tcBorders>
            <w:vAlign w:val="center"/>
          </w:tcPr>
          <w:p>
            <w:pPr>
              <w:jc w:val="center"/>
              <w:rPr>
                <w:rFonts w:ascii="宋体" w:hAnsi="宋体"/>
                <w:color w:val="000000"/>
                <w:szCs w:val="21"/>
              </w:rPr>
            </w:pPr>
            <w:r>
              <w:rPr>
                <w:rFonts w:hint="eastAsia" w:ascii="宋体" w:hAnsi="宋体"/>
                <w:color w:val="000000"/>
                <w:szCs w:val="21"/>
              </w:rPr>
              <w:t>单位</w:t>
            </w:r>
          </w:p>
        </w:tc>
        <w:tc>
          <w:tcPr>
            <w:tcW w:w="2910" w:type="dxa"/>
            <w:gridSpan w:val="2"/>
            <w:tcBorders>
              <w:left w:val="single" w:color="auto" w:sz="4" w:space="0"/>
              <w:bottom w:val="single" w:color="auto" w:sz="4" w:space="0"/>
            </w:tcBorders>
            <w:vAlign w:val="center"/>
          </w:tcPr>
          <w:p>
            <w:pPr>
              <w:jc w:val="center"/>
              <w:rPr>
                <w:rFonts w:ascii="宋体" w:hAnsi="宋体"/>
                <w:color w:val="000000"/>
                <w:szCs w:val="21"/>
              </w:rPr>
            </w:pPr>
            <w:r>
              <w:rPr>
                <w:rFonts w:hint="eastAsia" w:ascii="宋体" w:hAnsi="宋体"/>
                <w:color w:val="000000"/>
                <w:szCs w:val="21"/>
              </w:rPr>
              <w:t>项目要求</w:t>
            </w:r>
          </w:p>
        </w:tc>
        <w:tc>
          <w:tcPr>
            <w:tcW w:w="3488" w:type="dxa"/>
            <w:gridSpan w:val="2"/>
            <w:tcBorders>
              <w:bottom w:val="single" w:color="auto" w:sz="4" w:space="0"/>
            </w:tcBorders>
            <w:vAlign w:val="center"/>
          </w:tcPr>
          <w:p>
            <w:pPr>
              <w:jc w:val="center"/>
              <w:rPr>
                <w:rFonts w:ascii="宋体" w:hAnsi="宋体"/>
                <w:color w:val="000000"/>
                <w:szCs w:val="21"/>
              </w:rPr>
            </w:pPr>
            <w:r>
              <w:rPr>
                <w:rFonts w:hint="eastAsia" w:ascii="宋体" w:hAnsi="宋体"/>
                <w:color w:val="000000"/>
                <w:szCs w:val="21"/>
              </w:rPr>
              <w:t>投标方保证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5" w:hRule="atLeast"/>
          <w:tblHeader/>
          <w:jc w:val="center"/>
        </w:trPr>
        <w:tc>
          <w:tcPr>
            <w:tcW w:w="343" w:type="dxa"/>
            <w:vMerge w:val="continue"/>
            <w:vAlign w:val="center"/>
          </w:tcPr>
          <w:p>
            <w:pPr>
              <w:jc w:val="center"/>
              <w:rPr>
                <w:rFonts w:ascii="宋体" w:hAnsi="宋体"/>
                <w:color w:val="000000"/>
                <w:szCs w:val="21"/>
              </w:rPr>
            </w:pPr>
          </w:p>
        </w:tc>
        <w:tc>
          <w:tcPr>
            <w:tcW w:w="1530" w:type="dxa"/>
            <w:vMerge w:val="continue"/>
            <w:vAlign w:val="center"/>
          </w:tcPr>
          <w:p>
            <w:pPr>
              <w:jc w:val="center"/>
              <w:rPr>
                <w:rFonts w:ascii="宋体" w:hAnsi="宋体"/>
                <w:color w:val="000000"/>
                <w:szCs w:val="21"/>
              </w:rPr>
            </w:pPr>
          </w:p>
        </w:tc>
        <w:tc>
          <w:tcPr>
            <w:tcW w:w="645" w:type="dxa"/>
            <w:vMerge w:val="continue"/>
            <w:tcBorders>
              <w:right w:val="single" w:color="auto" w:sz="4" w:space="0"/>
            </w:tcBorders>
            <w:vAlign w:val="center"/>
          </w:tcPr>
          <w:p>
            <w:pPr>
              <w:jc w:val="center"/>
              <w:rPr>
                <w:rFonts w:ascii="宋体" w:hAnsi="宋体"/>
                <w:color w:val="000000"/>
                <w:szCs w:val="21"/>
              </w:rPr>
            </w:pPr>
          </w:p>
        </w:tc>
        <w:tc>
          <w:tcPr>
            <w:tcW w:w="2340" w:type="dxa"/>
            <w:tcBorders>
              <w:top w:val="single" w:color="auto" w:sz="4" w:space="0"/>
              <w:left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型式、规格</w:t>
            </w:r>
          </w:p>
        </w:tc>
        <w:tc>
          <w:tcPr>
            <w:tcW w:w="570" w:type="dxa"/>
            <w:tcBorders>
              <w:top w:val="single" w:color="auto" w:sz="4" w:space="0"/>
              <w:left w:val="single" w:color="auto" w:sz="4" w:space="0"/>
            </w:tcBorders>
            <w:vAlign w:val="center"/>
          </w:tcPr>
          <w:p>
            <w:pPr>
              <w:jc w:val="center"/>
              <w:rPr>
                <w:rFonts w:ascii="宋体" w:hAnsi="宋体"/>
                <w:color w:val="000000"/>
                <w:szCs w:val="21"/>
              </w:rPr>
            </w:pPr>
            <w:r>
              <w:rPr>
                <w:rFonts w:hint="eastAsia" w:ascii="宋体" w:hAnsi="宋体"/>
                <w:color w:val="000000"/>
                <w:szCs w:val="21"/>
              </w:rPr>
              <w:t>数量</w:t>
            </w:r>
          </w:p>
        </w:tc>
        <w:tc>
          <w:tcPr>
            <w:tcW w:w="2340" w:type="dxa"/>
            <w:tcBorders>
              <w:top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型式、规格</w:t>
            </w:r>
          </w:p>
        </w:tc>
        <w:tc>
          <w:tcPr>
            <w:tcW w:w="1148" w:type="dxa"/>
            <w:tcBorders>
              <w:top w:val="single" w:color="auto" w:sz="4" w:space="0"/>
              <w:left w:val="single" w:color="auto" w:sz="4" w:space="0"/>
            </w:tcBorders>
            <w:vAlign w:val="center"/>
          </w:tcPr>
          <w:p>
            <w:pPr>
              <w:jc w:val="center"/>
              <w:rPr>
                <w:rFonts w:ascii="宋体" w:hAnsi="宋体"/>
                <w:color w:val="000000"/>
                <w:szCs w:val="21"/>
              </w:rPr>
            </w:pPr>
            <w:r>
              <w:rPr>
                <w:rFonts w:hint="eastAsia" w:ascii="宋体" w:hAnsi="宋体"/>
                <w:color w:val="000000"/>
                <w:szCs w:val="21"/>
              </w:rPr>
              <w:t>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343" w:type="dxa"/>
            <w:vAlign w:val="center"/>
          </w:tcPr>
          <w:p>
            <w:pPr>
              <w:jc w:val="center"/>
              <w:rPr>
                <w:rFonts w:ascii="宋体" w:hAnsi="宋体"/>
                <w:color w:val="000000"/>
                <w:sz w:val="24"/>
              </w:rPr>
            </w:pPr>
            <w:r>
              <w:rPr>
                <w:rFonts w:hint="eastAsia" w:ascii="宋体" w:hAnsi="宋体"/>
                <w:color w:val="000000"/>
                <w:sz w:val="24"/>
              </w:rPr>
              <w:t>1</w:t>
            </w:r>
          </w:p>
        </w:tc>
        <w:tc>
          <w:tcPr>
            <w:tcW w:w="1530" w:type="dxa"/>
            <w:vAlign w:val="center"/>
          </w:tcPr>
          <w:p>
            <w:pPr>
              <w:spacing w:line="360" w:lineRule="auto"/>
              <w:jc w:val="center"/>
              <w:rPr>
                <w:rFonts w:hint="eastAsia" w:ascii="宋体" w:hAnsi="宋体" w:eastAsia="宋体"/>
                <w:color w:val="000000"/>
                <w:sz w:val="21"/>
                <w:szCs w:val="21"/>
                <w:lang w:eastAsia="zh-CN"/>
              </w:rPr>
            </w:pPr>
            <w:r>
              <w:rPr>
                <w:rFonts w:hint="eastAsia"/>
                <w:sz w:val="21"/>
                <w:szCs w:val="21"/>
                <w:lang w:val="en-US" w:eastAsia="zh-CN"/>
              </w:rPr>
              <w:t>控制柜</w:t>
            </w:r>
          </w:p>
        </w:tc>
        <w:tc>
          <w:tcPr>
            <w:tcW w:w="645" w:type="dxa"/>
            <w:tcBorders>
              <w:right w:val="single" w:color="auto" w:sz="4" w:space="0"/>
            </w:tcBorders>
            <w:vAlign w:val="center"/>
          </w:tcPr>
          <w:p>
            <w:pPr>
              <w:spacing w:line="360" w:lineRule="auto"/>
              <w:jc w:val="center"/>
              <w:rPr>
                <w:rFonts w:ascii="宋体" w:hAnsi="宋体"/>
                <w:color w:val="000000"/>
                <w:sz w:val="21"/>
                <w:szCs w:val="21"/>
              </w:rPr>
            </w:pPr>
            <w:r>
              <w:rPr>
                <w:rFonts w:hint="eastAsia" w:ascii="宋体" w:hAnsi="宋体"/>
                <w:color w:val="000000"/>
                <w:sz w:val="21"/>
                <w:szCs w:val="21"/>
              </w:rPr>
              <w:t>台</w:t>
            </w:r>
          </w:p>
        </w:tc>
        <w:tc>
          <w:tcPr>
            <w:tcW w:w="2340" w:type="dxa"/>
            <w:tcBorders>
              <w:left w:val="single" w:color="auto" w:sz="4" w:space="0"/>
              <w:right w:val="single" w:color="auto" w:sz="4" w:space="0"/>
            </w:tcBorders>
            <w:vAlign w:val="center"/>
          </w:tcPr>
          <w:p>
            <w:pPr>
              <w:jc w:val="center"/>
              <w:rPr>
                <w:rFonts w:ascii="宋体" w:hAnsi="宋体"/>
                <w:color w:val="000000"/>
                <w:sz w:val="21"/>
                <w:szCs w:val="21"/>
              </w:rPr>
            </w:pPr>
            <w:r>
              <w:rPr>
                <w:rFonts w:hint="eastAsia" w:ascii="宋体" w:hAnsi="宋体"/>
                <w:color w:val="000000"/>
                <w:sz w:val="21"/>
                <w:szCs w:val="21"/>
              </w:rPr>
              <w:t>见技术参数</w:t>
            </w:r>
          </w:p>
        </w:tc>
        <w:tc>
          <w:tcPr>
            <w:tcW w:w="570" w:type="dxa"/>
            <w:tcBorders>
              <w:left w:val="single" w:color="auto" w:sz="4" w:space="0"/>
            </w:tcBorders>
            <w:vAlign w:val="center"/>
          </w:tcPr>
          <w:p>
            <w:pPr>
              <w:spacing w:line="360" w:lineRule="auto"/>
              <w:jc w:val="center"/>
              <w:rPr>
                <w:rFonts w:ascii="宋体" w:hAnsi="宋体"/>
                <w:color w:val="000000"/>
                <w:sz w:val="21"/>
                <w:szCs w:val="21"/>
              </w:rPr>
            </w:pPr>
            <w:r>
              <w:rPr>
                <w:rFonts w:hint="eastAsia" w:ascii="宋体" w:hAnsi="宋体"/>
                <w:color w:val="000000"/>
                <w:sz w:val="21"/>
                <w:szCs w:val="21"/>
              </w:rPr>
              <w:t>1</w:t>
            </w:r>
          </w:p>
        </w:tc>
        <w:tc>
          <w:tcPr>
            <w:tcW w:w="2340" w:type="dxa"/>
            <w:tcBorders>
              <w:right w:val="single" w:color="auto" w:sz="4" w:space="0"/>
            </w:tcBorders>
          </w:tcPr>
          <w:p>
            <w:pPr>
              <w:rPr>
                <w:rFonts w:ascii="宋体" w:hAnsi="宋体"/>
                <w:color w:val="000000"/>
                <w:sz w:val="21"/>
                <w:szCs w:val="21"/>
              </w:rPr>
            </w:pPr>
            <w:r>
              <w:rPr>
                <w:rFonts w:hint="eastAsia" w:ascii="宋体" w:hAnsi="宋体"/>
                <w:color w:val="000000"/>
                <w:sz w:val="21"/>
                <w:szCs w:val="21"/>
                <w:lang w:val="en-US" w:eastAsia="zh-CN"/>
              </w:rPr>
              <w:t>功率</w:t>
            </w:r>
            <w:r>
              <w:rPr>
                <w:rFonts w:hint="eastAsia" w:ascii="宋体" w:hAnsi="宋体"/>
                <w:color w:val="000000"/>
                <w:sz w:val="21"/>
                <w:szCs w:val="21"/>
              </w:rPr>
              <w:t>模块：</w:t>
            </w:r>
            <w:r>
              <w:rPr>
                <w:rFonts w:ascii="宋体" w:hAnsi="宋体"/>
                <w:color w:val="000000"/>
                <w:sz w:val="21"/>
                <w:szCs w:val="21"/>
              </w:rPr>
              <w:t>50</w:t>
            </w:r>
            <w:r>
              <w:rPr>
                <w:rFonts w:hint="eastAsia" w:ascii="宋体" w:hAnsi="宋体"/>
                <w:color w:val="000000"/>
                <w:sz w:val="21"/>
                <w:szCs w:val="21"/>
                <w:lang w:val="en-US" w:eastAsia="zh-CN"/>
              </w:rPr>
              <w:t>k</w:t>
            </w:r>
            <w:r>
              <w:rPr>
                <w:rFonts w:ascii="宋体" w:hAnsi="宋体"/>
                <w:color w:val="000000"/>
                <w:sz w:val="21"/>
                <w:szCs w:val="21"/>
              </w:rPr>
              <w:t>W/</w:t>
            </w:r>
            <w:r>
              <w:rPr>
                <w:rFonts w:hint="eastAsia" w:ascii="宋体" w:hAnsi="宋体"/>
                <w:color w:val="000000"/>
                <w:sz w:val="21"/>
                <w:szCs w:val="21"/>
              </w:rPr>
              <w:t>个，模块可在线拔插，最大可达到满载1</w:t>
            </w:r>
            <w:r>
              <w:rPr>
                <w:rFonts w:ascii="宋体" w:hAnsi="宋体"/>
                <w:color w:val="000000"/>
                <w:sz w:val="21"/>
                <w:szCs w:val="21"/>
              </w:rPr>
              <w:t>50</w:t>
            </w:r>
            <w:r>
              <w:rPr>
                <w:rFonts w:hint="eastAsia" w:ascii="宋体" w:hAnsi="宋体"/>
                <w:color w:val="000000"/>
                <w:sz w:val="21"/>
                <w:szCs w:val="21"/>
                <w:lang w:val="en-US" w:eastAsia="zh-CN"/>
              </w:rPr>
              <w:t>k</w:t>
            </w:r>
            <w:r>
              <w:rPr>
                <w:rFonts w:ascii="宋体" w:hAnsi="宋体"/>
                <w:color w:val="000000"/>
                <w:sz w:val="21"/>
                <w:szCs w:val="21"/>
              </w:rPr>
              <w:t xml:space="preserve">W </w:t>
            </w:r>
          </w:p>
        </w:tc>
        <w:tc>
          <w:tcPr>
            <w:tcW w:w="1148" w:type="dxa"/>
            <w:tcBorders>
              <w:left w:val="single" w:color="auto" w:sz="4" w:space="0"/>
            </w:tcBorders>
          </w:tcPr>
          <w:p>
            <w:pPr>
              <w:rPr>
                <w:rFonts w:ascii="宋体" w:hAnsi="宋体"/>
                <w:color w:val="00000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343" w:type="dxa"/>
            <w:vAlign w:val="center"/>
          </w:tcPr>
          <w:p>
            <w:pPr>
              <w:jc w:val="center"/>
              <w:rPr>
                <w:rFonts w:ascii="宋体" w:hAnsi="宋体"/>
                <w:color w:val="000000"/>
                <w:sz w:val="24"/>
              </w:rPr>
            </w:pPr>
            <w:r>
              <w:rPr>
                <w:rFonts w:hint="eastAsia" w:ascii="宋体" w:hAnsi="宋体"/>
                <w:color w:val="000000"/>
                <w:sz w:val="24"/>
              </w:rPr>
              <w:t>2</w:t>
            </w:r>
          </w:p>
        </w:tc>
        <w:tc>
          <w:tcPr>
            <w:tcW w:w="1530" w:type="dxa"/>
            <w:vAlign w:val="center"/>
          </w:tcPr>
          <w:p>
            <w:pPr>
              <w:spacing w:line="276" w:lineRule="auto"/>
              <w:jc w:val="center"/>
              <w:rPr>
                <w:sz w:val="21"/>
                <w:szCs w:val="21"/>
              </w:rPr>
            </w:pPr>
            <w:r>
              <w:rPr>
                <w:rFonts w:hint="eastAsia"/>
                <w:sz w:val="21"/>
                <w:szCs w:val="21"/>
                <w:lang w:val="en-US" w:eastAsia="zh-CN"/>
              </w:rPr>
              <w:t>电池柜</w:t>
            </w:r>
          </w:p>
        </w:tc>
        <w:tc>
          <w:tcPr>
            <w:tcW w:w="645" w:type="dxa"/>
            <w:tcBorders>
              <w:right w:val="single" w:color="auto" w:sz="4" w:space="0"/>
            </w:tcBorders>
            <w:vAlign w:val="center"/>
          </w:tcPr>
          <w:p>
            <w:pPr>
              <w:spacing w:line="360" w:lineRule="auto"/>
              <w:jc w:val="center"/>
              <w:rPr>
                <w:rFonts w:ascii="宋体" w:hAnsi="宋体"/>
                <w:color w:val="000000"/>
                <w:sz w:val="21"/>
                <w:szCs w:val="21"/>
              </w:rPr>
            </w:pPr>
            <w:r>
              <w:rPr>
                <w:rFonts w:hint="eastAsia" w:ascii="宋体" w:hAnsi="宋体"/>
                <w:color w:val="000000"/>
                <w:sz w:val="21"/>
                <w:szCs w:val="21"/>
              </w:rPr>
              <w:t>台</w:t>
            </w:r>
          </w:p>
        </w:tc>
        <w:tc>
          <w:tcPr>
            <w:tcW w:w="2340" w:type="dxa"/>
            <w:tcBorders>
              <w:left w:val="single" w:color="auto" w:sz="4" w:space="0"/>
              <w:right w:val="single" w:color="auto" w:sz="4" w:space="0"/>
            </w:tcBorders>
            <w:vAlign w:val="center"/>
          </w:tcPr>
          <w:p>
            <w:pPr>
              <w:jc w:val="center"/>
              <w:rPr>
                <w:rFonts w:ascii="宋体" w:hAnsi="宋体"/>
                <w:color w:val="000000"/>
                <w:sz w:val="21"/>
                <w:szCs w:val="21"/>
              </w:rPr>
            </w:pPr>
            <w:r>
              <w:rPr>
                <w:rFonts w:hint="eastAsia" w:ascii="宋体" w:hAnsi="宋体"/>
                <w:color w:val="000000"/>
                <w:sz w:val="21"/>
                <w:szCs w:val="21"/>
              </w:rPr>
              <w:t>见技术参数</w:t>
            </w:r>
          </w:p>
        </w:tc>
        <w:tc>
          <w:tcPr>
            <w:tcW w:w="570" w:type="dxa"/>
            <w:tcBorders>
              <w:left w:val="single" w:color="auto" w:sz="4" w:space="0"/>
            </w:tcBorders>
            <w:vAlign w:val="center"/>
          </w:tcPr>
          <w:p>
            <w:pPr>
              <w:spacing w:line="360" w:lineRule="auto"/>
              <w:jc w:val="center"/>
              <w:rPr>
                <w:rFonts w:ascii="宋体" w:hAnsi="宋体"/>
                <w:color w:val="000000"/>
                <w:sz w:val="21"/>
                <w:szCs w:val="21"/>
              </w:rPr>
            </w:pPr>
            <w:r>
              <w:rPr>
                <w:rFonts w:ascii="宋体" w:hAnsi="宋体"/>
                <w:color w:val="000000"/>
                <w:sz w:val="21"/>
                <w:szCs w:val="21"/>
              </w:rPr>
              <w:t>X</w:t>
            </w:r>
          </w:p>
        </w:tc>
        <w:tc>
          <w:tcPr>
            <w:tcW w:w="2340" w:type="dxa"/>
            <w:tcBorders>
              <w:right w:val="single" w:color="auto" w:sz="4" w:space="0"/>
            </w:tcBorders>
          </w:tcPr>
          <w:p>
            <w:pPr>
              <w:jc w:val="center"/>
              <w:rPr>
                <w:rFonts w:ascii="宋体" w:hAnsi="宋体"/>
                <w:color w:val="000000"/>
                <w:sz w:val="21"/>
                <w:szCs w:val="21"/>
              </w:rPr>
            </w:pPr>
            <w:r>
              <w:rPr>
                <w:rFonts w:hint="eastAsia" w:ascii="宋体" w:hAnsi="宋体"/>
                <w:color w:val="000000"/>
                <w:sz w:val="21"/>
                <w:szCs w:val="21"/>
              </w:rPr>
              <w:t xml:space="preserve"> 1</w:t>
            </w:r>
            <w:r>
              <w:rPr>
                <w:rFonts w:ascii="宋体" w:hAnsi="宋体"/>
                <w:color w:val="000000"/>
                <w:sz w:val="21"/>
                <w:szCs w:val="21"/>
              </w:rPr>
              <w:t>50</w:t>
            </w:r>
            <w:r>
              <w:rPr>
                <w:rFonts w:hint="eastAsia" w:ascii="宋体" w:hAnsi="宋体"/>
                <w:color w:val="000000"/>
                <w:sz w:val="21"/>
                <w:szCs w:val="21"/>
                <w:lang w:val="en-US" w:eastAsia="zh-CN"/>
              </w:rPr>
              <w:t>k</w:t>
            </w:r>
            <w:r>
              <w:rPr>
                <w:rFonts w:ascii="宋体" w:hAnsi="宋体"/>
                <w:color w:val="000000"/>
                <w:sz w:val="21"/>
                <w:szCs w:val="21"/>
              </w:rPr>
              <w:t>W</w:t>
            </w:r>
            <w:r>
              <w:rPr>
                <w:rFonts w:hint="eastAsia" w:ascii="宋体" w:hAnsi="宋体"/>
                <w:color w:val="000000"/>
                <w:sz w:val="21"/>
                <w:szCs w:val="21"/>
              </w:rPr>
              <w:t>满载可以持续1</w:t>
            </w:r>
            <w:r>
              <w:rPr>
                <w:rFonts w:ascii="宋体" w:hAnsi="宋体"/>
                <w:color w:val="000000"/>
                <w:sz w:val="21"/>
                <w:szCs w:val="21"/>
              </w:rPr>
              <w:t>1</w:t>
            </w:r>
            <w:r>
              <w:rPr>
                <w:rFonts w:hint="eastAsia" w:ascii="宋体" w:hAnsi="宋体"/>
                <w:color w:val="000000"/>
                <w:sz w:val="21"/>
                <w:szCs w:val="21"/>
              </w:rPr>
              <w:t>分钟，锂电池，1</w:t>
            </w:r>
            <w:r>
              <w:rPr>
                <w:rFonts w:ascii="宋体" w:hAnsi="宋体"/>
                <w:color w:val="000000"/>
                <w:sz w:val="21"/>
                <w:szCs w:val="21"/>
              </w:rPr>
              <w:t>00</w:t>
            </w:r>
            <w:r>
              <w:rPr>
                <w:rFonts w:hint="eastAsia" w:ascii="宋体" w:hAnsi="宋体"/>
                <w:color w:val="000000"/>
                <w:sz w:val="21"/>
                <w:szCs w:val="21"/>
                <w:lang w:val="en-US" w:eastAsia="zh-CN"/>
              </w:rPr>
              <w:t>k</w:t>
            </w:r>
            <w:r>
              <w:rPr>
                <w:rFonts w:ascii="宋体" w:hAnsi="宋体"/>
                <w:color w:val="000000"/>
                <w:sz w:val="21"/>
                <w:szCs w:val="21"/>
              </w:rPr>
              <w:t>W</w:t>
            </w:r>
            <w:r>
              <w:rPr>
                <w:rFonts w:hint="eastAsia" w:ascii="宋体" w:hAnsi="宋体"/>
                <w:color w:val="000000"/>
                <w:sz w:val="21"/>
                <w:szCs w:val="21"/>
              </w:rPr>
              <w:t>可以持续</w:t>
            </w:r>
            <w:r>
              <w:rPr>
                <w:rFonts w:ascii="宋体" w:hAnsi="宋体"/>
                <w:color w:val="000000"/>
                <w:sz w:val="21"/>
                <w:szCs w:val="21"/>
              </w:rPr>
              <w:t xml:space="preserve"> 16</w:t>
            </w:r>
            <w:r>
              <w:rPr>
                <w:rFonts w:hint="eastAsia" w:ascii="宋体" w:hAnsi="宋体"/>
                <w:color w:val="000000"/>
                <w:sz w:val="21"/>
                <w:szCs w:val="21"/>
              </w:rPr>
              <w:t>分钟以上</w:t>
            </w:r>
          </w:p>
        </w:tc>
        <w:tc>
          <w:tcPr>
            <w:tcW w:w="1148" w:type="dxa"/>
            <w:tcBorders>
              <w:left w:val="single" w:color="auto" w:sz="4" w:space="0"/>
            </w:tcBorders>
          </w:tcPr>
          <w:p>
            <w:pPr>
              <w:jc w:val="center"/>
              <w:rPr>
                <w:rFonts w:ascii="宋体" w:hAnsi="宋体"/>
                <w:color w:val="000000"/>
                <w:sz w:val="21"/>
                <w:szCs w:val="21"/>
              </w:rPr>
            </w:pPr>
            <w:r>
              <w:rPr>
                <w:rFonts w:hint="eastAsia" w:ascii="宋体" w:hAnsi="宋体"/>
                <w:color w:val="000000"/>
                <w:sz w:val="21"/>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343" w:type="dxa"/>
            <w:vAlign w:val="center"/>
          </w:tcPr>
          <w:p>
            <w:pPr>
              <w:jc w:val="center"/>
              <w:rPr>
                <w:rFonts w:ascii="宋体" w:hAnsi="宋体"/>
                <w:color w:val="000000"/>
                <w:sz w:val="24"/>
              </w:rPr>
            </w:pPr>
          </w:p>
        </w:tc>
        <w:tc>
          <w:tcPr>
            <w:tcW w:w="1530" w:type="dxa"/>
            <w:vAlign w:val="center"/>
          </w:tcPr>
          <w:p>
            <w:pPr>
              <w:spacing w:line="360" w:lineRule="auto"/>
              <w:jc w:val="center"/>
              <w:rPr>
                <w:rFonts w:ascii="宋体" w:hAnsi="宋体"/>
                <w:color w:val="000000"/>
                <w:sz w:val="21"/>
                <w:szCs w:val="21"/>
              </w:rPr>
            </w:pPr>
          </w:p>
        </w:tc>
        <w:tc>
          <w:tcPr>
            <w:tcW w:w="645" w:type="dxa"/>
            <w:tcBorders>
              <w:right w:val="single" w:color="auto" w:sz="4" w:space="0"/>
            </w:tcBorders>
            <w:vAlign w:val="center"/>
          </w:tcPr>
          <w:p>
            <w:pPr>
              <w:spacing w:line="360" w:lineRule="auto"/>
              <w:jc w:val="center"/>
              <w:rPr>
                <w:rFonts w:ascii="宋体" w:hAnsi="宋体"/>
                <w:color w:val="000000"/>
                <w:sz w:val="21"/>
                <w:szCs w:val="21"/>
              </w:rPr>
            </w:pPr>
          </w:p>
        </w:tc>
        <w:tc>
          <w:tcPr>
            <w:tcW w:w="2340" w:type="dxa"/>
            <w:tcBorders>
              <w:left w:val="single" w:color="auto" w:sz="4" w:space="0"/>
              <w:right w:val="single" w:color="auto" w:sz="4" w:space="0"/>
            </w:tcBorders>
            <w:vAlign w:val="center"/>
          </w:tcPr>
          <w:p>
            <w:pPr>
              <w:jc w:val="center"/>
              <w:rPr>
                <w:rFonts w:ascii="宋体" w:hAnsi="宋体"/>
                <w:color w:val="000000"/>
                <w:sz w:val="21"/>
                <w:szCs w:val="21"/>
              </w:rPr>
            </w:pPr>
          </w:p>
        </w:tc>
        <w:tc>
          <w:tcPr>
            <w:tcW w:w="570" w:type="dxa"/>
            <w:tcBorders>
              <w:left w:val="single" w:color="auto" w:sz="4" w:space="0"/>
            </w:tcBorders>
            <w:vAlign w:val="center"/>
          </w:tcPr>
          <w:p>
            <w:pPr>
              <w:spacing w:line="360" w:lineRule="auto"/>
              <w:jc w:val="center"/>
              <w:rPr>
                <w:rFonts w:ascii="宋体" w:hAnsi="宋体"/>
                <w:color w:val="000000"/>
                <w:sz w:val="21"/>
                <w:szCs w:val="21"/>
              </w:rPr>
            </w:pPr>
          </w:p>
        </w:tc>
        <w:tc>
          <w:tcPr>
            <w:tcW w:w="2340" w:type="dxa"/>
            <w:tcBorders>
              <w:right w:val="single" w:color="auto" w:sz="2" w:space="0"/>
            </w:tcBorders>
          </w:tcPr>
          <w:p>
            <w:pPr>
              <w:jc w:val="center"/>
              <w:rPr>
                <w:rFonts w:ascii="宋体" w:hAnsi="宋体"/>
                <w:color w:val="000000"/>
                <w:sz w:val="21"/>
                <w:szCs w:val="21"/>
              </w:rPr>
            </w:pPr>
          </w:p>
        </w:tc>
        <w:tc>
          <w:tcPr>
            <w:tcW w:w="1148" w:type="dxa"/>
            <w:tcBorders>
              <w:left w:val="single" w:color="auto" w:sz="2" w:space="0"/>
            </w:tcBorders>
          </w:tcPr>
          <w:p>
            <w:pPr>
              <w:rPr>
                <w:rFonts w:ascii="宋体" w:hAnsi="宋体"/>
                <w:color w:val="000000"/>
                <w:sz w:val="21"/>
                <w:szCs w:val="21"/>
              </w:rPr>
            </w:pPr>
          </w:p>
        </w:tc>
      </w:tr>
    </w:tbl>
    <w:p>
      <w:pPr>
        <w:pStyle w:val="15"/>
        <w:adjustRightInd w:val="0"/>
        <w:snapToGrid w:val="0"/>
        <w:spacing w:line="360" w:lineRule="auto"/>
        <w:ind w:firstLine="0" w:firstLineChars="0"/>
        <w:rPr>
          <w:rFonts w:ascii="宋体" w:hAnsi="宋体" w:eastAsia="宋体" w:cs="Times New Roman"/>
          <w:color w:val="000000"/>
          <w:sz w:val="24"/>
          <w:szCs w:val="24"/>
        </w:rPr>
      </w:pPr>
    </w:p>
    <w:p>
      <w:pPr>
        <w:pStyle w:val="15"/>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2）投标方应按本标书的要求提供全新的、合格可用的仪器及配件。投标方应向招标方提供必备的备品备件、专用工具和仪器仪表清单见表2.2，要求提供的备品备件、专用工具和仪器仪表应是新品，并符合相关技术要求。</w:t>
      </w:r>
    </w:p>
    <w:p>
      <w:pPr>
        <w:pStyle w:val="15"/>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3）投标方所提供的组件或附件如需向第三方外购时，投标方应对其质量向招标方负责，并提供相应出厂和验收报告。</w:t>
      </w:r>
    </w:p>
    <w:p>
      <w:pPr>
        <w:spacing w:line="360" w:lineRule="auto"/>
        <w:ind w:firstLine="480" w:firstLineChars="200"/>
        <w:rPr>
          <w:rFonts w:ascii="宋体" w:hAnsi="宋体"/>
          <w:color w:val="000000"/>
          <w:sz w:val="24"/>
        </w:rPr>
      </w:pPr>
      <w:r>
        <w:rPr>
          <w:rFonts w:hint="eastAsia" w:ascii="宋体" w:hAnsi="宋体"/>
          <w:color w:val="000000"/>
          <w:sz w:val="24"/>
        </w:rPr>
        <w:t>4）工厂试验由投标方在生产厂家内完成，但应有招标方代表参加，参加工厂验收的人数及天数等规定详见标</w:t>
      </w:r>
      <w:r>
        <w:rPr>
          <w:rFonts w:hint="eastAsia" w:ascii="宋体" w:hAnsi="宋体" w:cs="Times New Roman"/>
          <w:color w:val="000000"/>
          <w:sz w:val="24"/>
          <w:szCs w:val="24"/>
        </w:rPr>
        <w:t>书商务部分。</w:t>
      </w:r>
    </w:p>
    <w:p>
      <w:pPr>
        <w:pStyle w:val="15"/>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5）投标方应协助招标方解决设备运行中出现的问题。</w:t>
      </w:r>
    </w:p>
    <w:p>
      <w:pPr>
        <w:pStyle w:val="15"/>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6）如果安装、调试、性能试验、试运行及质保期内技术指标一项或多项不能满足合同技术部分要求，买卖双方共同分析原因，分清责任，如属于制造方面的原因，或涉及索赔部分，按商务部分有关条款执行。</w:t>
      </w:r>
    </w:p>
    <w:p>
      <w:pPr>
        <w:pStyle w:val="15"/>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8）本标书采购设备安装、调试和现场交接验收和试验合格后方可使用。设备正常使用后，投标方和招标方（业主）双方应根据相关法律、法规和公司管理制度签署合同设备的验收证明书。该证明书共两份，双方各执一份。</w:t>
      </w:r>
    </w:p>
    <w:p>
      <w:pPr>
        <w:pStyle w:val="15"/>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9）投标方应按招标方要求免费提供必须的人员培训和技术指导，确保招标方正常使用和维护设备</w:t>
      </w:r>
      <w:r>
        <w:rPr>
          <w:rFonts w:hint="eastAsia" w:ascii="宋体" w:hAnsi="宋体" w:eastAsia="宋体" w:cs="Times New Roman"/>
          <w:color w:val="000000"/>
          <w:sz w:val="24"/>
          <w:szCs w:val="24"/>
          <w:lang w:eastAsia="zh-CN"/>
        </w:rPr>
        <w:t>。</w:t>
      </w:r>
    </w:p>
    <w:p>
      <w:pPr>
        <w:pStyle w:val="3"/>
        <w:numPr>
          <w:ilvl w:val="0"/>
          <w:numId w:val="0"/>
        </w:numPr>
        <w:snapToGrid/>
        <w:spacing w:before="312" w:line="480" w:lineRule="auto"/>
        <w:rPr>
          <w:rFonts w:hAnsi="宋体"/>
          <w:color w:val="000000"/>
          <w:sz w:val="24"/>
          <w:szCs w:val="24"/>
        </w:rPr>
      </w:pPr>
      <w:bookmarkStart w:id="9" w:name="_Toc48211781"/>
      <w:r>
        <w:rPr>
          <w:rFonts w:hint="eastAsia" w:hAnsi="宋体"/>
          <w:color w:val="000000"/>
          <w:sz w:val="24"/>
          <w:szCs w:val="24"/>
        </w:rPr>
        <w:t>3 应遵循的主要标准</w:t>
      </w:r>
      <w:bookmarkEnd w:id="9"/>
    </w:p>
    <w:p>
      <w:pPr>
        <w:pStyle w:val="15"/>
        <w:adjustRightInd w:val="0"/>
        <w:snapToGrid w:val="0"/>
        <w:spacing w:line="360" w:lineRule="auto"/>
        <w:ind w:firstLine="480"/>
        <w:rPr>
          <w:rFonts w:ascii="宋体" w:hAnsi="宋体" w:eastAsia="宋体" w:cs="Times New Roman"/>
          <w:color w:val="000000"/>
          <w:sz w:val="24"/>
          <w:szCs w:val="24"/>
        </w:rPr>
      </w:pPr>
      <w:bookmarkStart w:id="10" w:name="_Toc279769035"/>
      <w:r>
        <w:rPr>
          <w:rFonts w:ascii="宋体" w:hAnsi="宋体" w:eastAsia="宋体" w:cs="Times New Roman"/>
          <w:color w:val="000000"/>
          <w:sz w:val="24"/>
          <w:szCs w:val="24"/>
        </w:rPr>
        <w:t>除本标书特殊规定外，投标方所提供的设备均按规定的标准和规程的最新版本进行设计、制造、试验和安装。如果这些标准内容有矛盾时，应按最高标准的条款执行或按双方商定的标准执行。如果投标方选用本标书规定以外的标准时，则需提交这种替换标准供审查和分析。仅在投标方已证明替换标准相当或优于标书规定的标准，并从招标方处获得书面的认可才能使用。提交供审查的标准应为中文或英文版本。</w:t>
      </w:r>
    </w:p>
    <w:p>
      <w:pPr>
        <w:spacing w:line="360" w:lineRule="auto"/>
        <w:ind w:firstLine="420" w:firstLineChars="200"/>
        <w:rPr>
          <w:color w:val="000000"/>
        </w:rPr>
      </w:pPr>
      <w:r>
        <w:rPr>
          <w:rFonts w:hint="eastAsia"/>
          <w:color w:val="000000"/>
          <w:szCs w:val="21"/>
        </w:rPr>
        <w:t>下列文件对于本技术规范书的应用是必不可少。凡是注日期的引用文件，仅注日期的版本适用于本技术规范书。凡是不注日期的引用文件，其最新版本（包括所有的修改单）适用于本技术规范书</w:t>
      </w:r>
      <w:r>
        <w:rPr>
          <w:rFonts w:hint="eastAsia"/>
          <w:color w:val="000000"/>
        </w:rPr>
        <w:t>：</w:t>
      </w:r>
    </w:p>
    <w:tbl>
      <w:tblPr>
        <w:tblStyle w:val="10"/>
        <w:tblW w:w="7763" w:type="dxa"/>
        <w:tblInd w:w="0" w:type="dxa"/>
        <w:tblLayout w:type="fixed"/>
        <w:tblCellMar>
          <w:top w:w="0" w:type="dxa"/>
          <w:left w:w="108" w:type="dxa"/>
          <w:bottom w:w="0" w:type="dxa"/>
          <w:right w:w="108" w:type="dxa"/>
        </w:tblCellMar>
      </w:tblPr>
      <w:tblGrid>
        <w:gridCol w:w="1902"/>
        <w:gridCol w:w="5861"/>
      </w:tblGrid>
      <w:tr>
        <w:tblPrEx>
          <w:tblCellMar>
            <w:top w:w="0" w:type="dxa"/>
            <w:left w:w="108" w:type="dxa"/>
            <w:bottom w:w="0" w:type="dxa"/>
            <w:right w:w="108" w:type="dxa"/>
          </w:tblCellMar>
        </w:tblPrEx>
        <w:tc>
          <w:tcPr>
            <w:tcW w:w="1902" w:type="dxa"/>
          </w:tcPr>
          <w:p>
            <w:pPr>
              <w:spacing w:line="360" w:lineRule="auto"/>
              <w:rPr>
                <w:szCs w:val="21"/>
              </w:rPr>
            </w:pPr>
            <w:r>
              <w:t xml:space="preserve">GB5226.1-2008 </w:t>
            </w:r>
          </w:p>
        </w:tc>
        <w:tc>
          <w:tcPr>
            <w:tcW w:w="5861" w:type="dxa"/>
          </w:tcPr>
          <w:p>
            <w:pPr>
              <w:spacing w:line="360" w:lineRule="auto"/>
              <w:rPr>
                <w:szCs w:val="21"/>
              </w:rPr>
            </w:pPr>
            <w:r>
              <w:t>机械安全 机械电气设备 第1 部分:通用技术条件</w:t>
            </w:r>
          </w:p>
        </w:tc>
      </w:tr>
      <w:tr>
        <w:tblPrEx>
          <w:tblCellMar>
            <w:top w:w="0" w:type="dxa"/>
            <w:left w:w="108" w:type="dxa"/>
            <w:bottom w:w="0" w:type="dxa"/>
            <w:right w:w="108" w:type="dxa"/>
          </w:tblCellMar>
        </w:tblPrEx>
        <w:tc>
          <w:tcPr>
            <w:tcW w:w="1902" w:type="dxa"/>
          </w:tcPr>
          <w:p>
            <w:pPr>
              <w:spacing w:line="360" w:lineRule="auto"/>
              <w:rPr>
                <w:szCs w:val="21"/>
              </w:rPr>
            </w:pPr>
            <w:r>
              <w:t xml:space="preserve">GB/T2900.19-1994 </w:t>
            </w:r>
          </w:p>
        </w:tc>
        <w:tc>
          <w:tcPr>
            <w:tcW w:w="5861" w:type="dxa"/>
          </w:tcPr>
          <w:p>
            <w:pPr>
              <w:spacing w:line="360" w:lineRule="auto"/>
              <w:rPr>
                <w:szCs w:val="21"/>
              </w:rPr>
            </w:pPr>
            <w:r>
              <w:t>电工术语 高电压试验技术和绝缘配合</w:t>
            </w:r>
          </w:p>
        </w:tc>
      </w:tr>
      <w:tr>
        <w:tblPrEx>
          <w:tblCellMar>
            <w:top w:w="0" w:type="dxa"/>
            <w:left w:w="108" w:type="dxa"/>
            <w:bottom w:w="0" w:type="dxa"/>
            <w:right w:w="108" w:type="dxa"/>
          </w:tblCellMar>
        </w:tblPrEx>
        <w:tc>
          <w:tcPr>
            <w:tcW w:w="1902" w:type="dxa"/>
          </w:tcPr>
          <w:p>
            <w:pPr>
              <w:spacing w:line="360" w:lineRule="auto"/>
              <w:rPr>
                <w:szCs w:val="21"/>
              </w:rPr>
            </w:pPr>
            <w:r>
              <w:rPr>
                <w:szCs w:val="21"/>
              </w:rPr>
              <w:t xml:space="preserve">GB/T16927.1-1997 </w:t>
            </w:r>
          </w:p>
        </w:tc>
        <w:tc>
          <w:tcPr>
            <w:tcW w:w="5861" w:type="dxa"/>
          </w:tcPr>
          <w:p>
            <w:pPr>
              <w:spacing w:line="360" w:lineRule="auto"/>
              <w:rPr>
                <w:szCs w:val="21"/>
              </w:rPr>
            </w:pPr>
            <w:r>
              <w:rPr>
                <w:szCs w:val="21"/>
              </w:rPr>
              <w:t>高电压试验技术   一般试验要求</w:t>
            </w:r>
          </w:p>
        </w:tc>
      </w:tr>
      <w:tr>
        <w:tblPrEx>
          <w:tblCellMar>
            <w:top w:w="0" w:type="dxa"/>
            <w:left w:w="108" w:type="dxa"/>
            <w:bottom w:w="0" w:type="dxa"/>
            <w:right w:w="108" w:type="dxa"/>
          </w:tblCellMar>
        </w:tblPrEx>
        <w:tc>
          <w:tcPr>
            <w:tcW w:w="1902" w:type="dxa"/>
          </w:tcPr>
          <w:p>
            <w:pPr>
              <w:spacing w:line="360" w:lineRule="auto"/>
              <w:rPr>
                <w:szCs w:val="21"/>
              </w:rPr>
            </w:pPr>
            <w:r>
              <w:rPr>
                <w:szCs w:val="21"/>
              </w:rPr>
              <w:t>GB/T16927.2-1997</w:t>
            </w:r>
          </w:p>
        </w:tc>
        <w:tc>
          <w:tcPr>
            <w:tcW w:w="5861" w:type="dxa"/>
          </w:tcPr>
          <w:p>
            <w:pPr>
              <w:spacing w:line="360" w:lineRule="auto"/>
              <w:rPr>
                <w:szCs w:val="21"/>
              </w:rPr>
            </w:pPr>
            <w:r>
              <w:rPr>
                <w:szCs w:val="21"/>
              </w:rPr>
              <w:t>高电压试验技术   试验程序</w:t>
            </w:r>
          </w:p>
        </w:tc>
      </w:tr>
      <w:tr>
        <w:tblPrEx>
          <w:tblCellMar>
            <w:top w:w="0" w:type="dxa"/>
            <w:left w:w="108" w:type="dxa"/>
            <w:bottom w:w="0" w:type="dxa"/>
            <w:right w:w="108" w:type="dxa"/>
          </w:tblCellMar>
        </w:tblPrEx>
        <w:tc>
          <w:tcPr>
            <w:tcW w:w="1902" w:type="dxa"/>
          </w:tcPr>
          <w:p>
            <w:pPr>
              <w:spacing w:line="360" w:lineRule="auto"/>
              <w:rPr>
                <w:szCs w:val="21"/>
              </w:rPr>
            </w:pPr>
            <w:r>
              <w:rPr>
                <w:rFonts w:hint="eastAsia" w:hAnsi="宋体"/>
                <w:szCs w:val="21"/>
              </w:rPr>
              <w:t>GB50150-91-2006</w:t>
            </w:r>
          </w:p>
        </w:tc>
        <w:tc>
          <w:tcPr>
            <w:tcW w:w="5861" w:type="dxa"/>
          </w:tcPr>
          <w:p>
            <w:pPr>
              <w:spacing w:line="360" w:lineRule="auto"/>
              <w:rPr>
                <w:szCs w:val="21"/>
              </w:rPr>
            </w:pPr>
            <w:r>
              <w:rPr>
                <w:rFonts w:hint="eastAsia" w:hAnsi="宋体"/>
                <w:szCs w:val="21"/>
              </w:rPr>
              <w:t>电气装置安装工程电气设备交接试验标准</w:t>
            </w:r>
          </w:p>
        </w:tc>
      </w:tr>
      <w:tr>
        <w:tblPrEx>
          <w:tblCellMar>
            <w:top w:w="0" w:type="dxa"/>
            <w:left w:w="108" w:type="dxa"/>
            <w:bottom w:w="0" w:type="dxa"/>
            <w:right w:w="108" w:type="dxa"/>
          </w:tblCellMar>
        </w:tblPrEx>
        <w:tc>
          <w:tcPr>
            <w:tcW w:w="1902" w:type="dxa"/>
          </w:tcPr>
          <w:p>
            <w:pPr>
              <w:spacing w:line="360" w:lineRule="auto"/>
              <w:rPr>
                <w:szCs w:val="21"/>
              </w:rPr>
            </w:pPr>
            <w:r>
              <w:t xml:space="preserve">GB/T24243-2009 </w:t>
            </w:r>
          </w:p>
        </w:tc>
        <w:tc>
          <w:tcPr>
            <w:tcW w:w="5861" w:type="dxa"/>
          </w:tcPr>
          <w:p>
            <w:pPr>
              <w:spacing w:line="360" w:lineRule="auto"/>
              <w:rPr>
                <w:szCs w:val="21"/>
              </w:rPr>
            </w:pPr>
            <w:r>
              <w:t>工业机械电气设备 绝缘电阻试验规范</w:t>
            </w:r>
          </w:p>
        </w:tc>
      </w:tr>
      <w:tr>
        <w:tblPrEx>
          <w:tblCellMar>
            <w:top w:w="0" w:type="dxa"/>
            <w:left w:w="108" w:type="dxa"/>
            <w:bottom w:w="0" w:type="dxa"/>
            <w:right w:w="108" w:type="dxa"/>
          </w:tblCellMar>
        </w:tblPrEx>
        <w:tc>
          <w:tcPr>
            <w:tcW w:w="1902" w:type="dxa"/>
          </w:tcPr>
          <w:p>
            <w:pPr>
              <w:spacing w:line="360" w:lineRule="auto"/>
              <w:rPr>
                <w:szCs w:val="21"/>
              </w:rPr>
            </w:pPr>
            <w:r>
              <w:rPr>
                <w:rFonts w:hint="eastAsia"/>
              </w:rPr>
              <w:t>GB4793</w:t>
            </w:r>
          </w:p>
        </w:tc>
        <w:tc>
          <w:tcPr>
            <w:tcW w:w="5861" w:type="dxa"/>
          </w:tcPr>
          <w:p>
            <w:pPr>
              <w:spacing w:line="360" w:lineRule="auto"/>
              <w:rPr>
                <w:szCs w:val="21"/>
              </w:rPr>
            </w:pPr>
            <w:r>
              <w:rPr>
                <w:rFonts w:hint="eastAsia"/>
              </w:rPr>
              <w:t>电子测量仪器安全要求</w:t>
            </w:r>
          </w:p>
        </w:tc>
      </w:tr>
      <w:tr>
        <w:tblPrEx>
          <w:tblCellMar>
            <w:top w:w="0" w:type="dxa"/>
            <w:left w:w="108" w:type="dxa"/>
            <w:bottom w:w="0" w:type="dxa"/>
            <w:right w:w="108" w:type="dxa"/>
          </w:tblCellMar>
        </w:tblPrEx>
        <w:tc>
          <w:tcPr>
            <w:tcW w:w="1902" w:type="dxa"/>
          </w:tcPr>
          <w:p>
            <w:pPr>
              <w:spacing w:line="360" w:lineRule="auto"/>
              <w:rPr>
                <w:szCs w:val="21"/>
              </w:rPr>
            </w:pPr>
            <w:r>
              <w:rPr>
                <w:rFonts w:hint="eastAsia"/>
              </w:rPr>
              <w:t>GB191</w:t>
            </w:r>
          </w:p>
        </w:tc>
        <w:tc>
          <w:tcPr>
            <w:tcW w:w="5861" w:type="dxa"/>
          </w:tcPr>
          <w:p>
            <w:pPr>
              <w:spacing w:line="360" w:lineRule="auto"/>
              <w:rPr>
                <w:szCs w:val="21"/>
              </w:rPr>
            </w:pPr>
            <w:r>
              <w:rPr>
                <w:rFonts w:hint="eastAsia"/>
              </w:rPr>
              <w:t>包装贮运标志</w:t>
            </w:r>
          </w:p>
        </w:tc>
      </w:tr>
      <w:tr>
        <w:tblPrEx>
          <w:tblCellMar>
            <w:top w:w="0" w:type="dxa"/>
            <w:left w:w="108" w:type="dxa"/>
            <w:bottom w:w="0" w:type="dxa"/>
            <w:right w:w="108" w:type="dxa"/>
          </w:tblCellMar>
        </w:tblPrEx>
        <w:tc>
          <w:tcPr>
            <w:tcW w:w="1902" w:type="dxa"/>
          </w:tcPr>
          <w:p>
            <w:pPr>
              <w:spacing w:line="360" w:lineRule="auto"/>
            </w:pPr>
            <w:r>
              <w:t>DL/T 848.2-2004</w:t>
            </w:r>
          </w:p>
        </w:tc>
        <w:tc>
          <w:tcPr>
            <w:tcW w:w="5861" w:type="dxa"/>
          </w:tcPr>
          <w:p>
            <w:pPr>
              <w:spacing w:line="360" w:lineRule="auto"/>
            </w:pPr>
            <w:r>
              <w:t>高压试验装置通用技术条件　第2部分:工频高压试验装置</w:t>
            </w:r>
          </w:p>
        </w:tc>
      </w:tr>
      <w:tr>
        <w:tblPrEx>
          <w:tblCellMar>
            <w:top w:w="0" w:type="dxa"/>
            <w:left w:w="108" w:type="dxa"/>
            <w:bottom w:w="0" w:type="dxa"/>
            <w:right w:w="108" w:type="dxa"/>
          </w:tblCellMar>
        </w:tblPrEx>
        <w:tc>
          <w:tcPr>
            <w:tcW w:w="1902" w:type="dxa"/>
          </w:tcPr>
          <w:p>
            <w:pPr>
              <w:spacing w:line="360" w:lineRule="auto"/>
            </w:pPr>
            <w:r>
              <w:rPr>
                <w:rFonts w:hint="eastAsia"/>
                <w:szCs w:val="21"/>
              </w:rPr>
              <w:t>DL/T 474.4-2006</w:t>
            </w:r>
          </w:p>
        </w:tc>
        <w:tc>
          <w:tcPr>
            <w:tcW w:w="5861" w:type="dxa"/>
          </w:tcPr>
          <w:p>
            <w:pPr>
              <w:spacing w:line="360" w:lineRule="auto"/>
            </w:pPr>
            <w:r>
              <w:rPr>
                <w:rFonts w:hint="eastAsia"/>
                <w:szCs w:val="21"/>
              </w:rPr>
              <w:t>现场绝缘试验实施导则 第4部分:交流耐压试验</w:t>
            </w:r>
          </w:p>
        </w:tc>
      </w:tr>
      <w:tr>
        <w:tblPrEx>
          <w:tblCellMar>
            <w:top w:w="0" w:type="dxa"/>
            <w:left w:w="108" w:type="dxa"/>
            <w:bottom w:w="0" w:type="dxa"/>
            <w:right w:w="108" w:type="dxa"/>
          </w:tblCellMar>
        </w:tblPrEx>
        <w:tc>
          <w:tcPr>
            <w:tcW w:w="1902" w:type="dxa"/>
          </w:tcPr>
          <w:p>
            <w:pPr>
              <w:spacing w:line="360" w:lineRule="auto"/>
            </w:pPr>
            <w:r>
              <w:rPr>
                <w:rFonts w:hAnsi="宋体"/>
                <w:szCs w:val="21"/>
              </w:rPr>
              <w:t>DL/T 1015-2006</w:t>
            </w:r>
          </w:p>
        </w:tc>
        <w:tc>
          <w:tcPr>
            <w:tcW w:w="5861" w:type="dxa"/>
          </w:tcPr>
          <w:p>
            <w:pPr>
              <w:spacing w:line="360" w:lineRule="auto"/>
            </w:pPr>
            <w:r>
              <w:rPr>
                <w:rFonts w:hAnsi="宋体"/>
                <w:szCs w:val="21"/>
              </w:rPr>
              <w:t>现场直流和交流耐压试验电压测量</w:t>
            </w:r>
          </w:p>
        </w:tc>
      </w:tr>
      <w:tr>
        <w:tblPrEx>
          <w:tblCellMar>
            <w:top w:w="0" w:type="dxa"/>
            <w:left w:w="108" w:type="dxa"/>
            <w:bottom w:w="0" w:type="dxa"/>
            <w:right w:w="108" w:type="dxa"/>
          </w:tblCellMar>
        </w:tblPrEx>
        <w:tc>
          <w:tcPr>
            <w:tcW w:w="1902" w:type="dxa"/>
          </w:tcPr>
          <w:p>
            <w:pPr>
              <w:spacing w:line="360" w:lineRule="auto"/>
              <w:rPr>
                <w:szCs w:val="21"/>
              </w:rPr>
            </w:pPr>
            <w:r>
              <w:rPr>
                <w:rFonts w:hint="eastAsia" w:hAnsi="宋体"/>
                <w:szCs w:val="21"/>
              </w:rPr>
              <w:t>DL/T596-2005</w:t>
            </w:r>
          </w:p>
        </w:tc>
        <w:tc>
          <w:tcPr>
            <w:tcW w:w="5861" w:type="dxa"/>
          </w:tcPr>
          <w:p>
            <w:pPr>
              <w:spacing w:line="360" w:lineRule="auto"/>
              <w:rPr>
                <w:szCs w:val="21"/>
              </w:rPr>
            </w:pPr>
            <w:r>
              <w:rPr>
                <w:rFonts w:hint="eastAsia" w:hAnsi="宋体"/>
                <w:szCs w:val="21"/>
              </w:rPr>
              <w:t>电力设备预防性试验规程</w:t>
            </w:r>
          </w:p>
        </w:tc>
      </w:tr>
      <w:tr>
        <w:tc>
          <w:tcPr>
            <w:tcW w:w="1902" w:type="dxa"/>
          </w:tcPr>
          <w:p>
            <w:pPr>
              <w:spacing w:line="360" w:lineRule="auto"/>
              <w:rPr>
                <w:szCs w:val="21"/>
              </w:rPr>
            </w:pPr>
            <w:r>
              <w:rPr>
                <w:rFonts w:hint="eastAsia"/>
                <w:szCs w:val="21"/>
              </w:rPr>
              <w:t>JB/T9641</w:t>
            </w:r>
          </w:p>
        </w:tc>
        <w:tc>
          <w:tcPr>
            <w:tcW w:w="5861" w:type="dxa"/>
          </w:tcPr>
          <w:p>
            <w:pPr>
              <w:spacing w:line="360" w:lineRule="auto"/>
              <w:rPr>
                <w:szCs w:val="21"/>
              </w:rPr>
            </w:pPr>
            <w:r>
              <w:rPr>
                <w:rFonts w:hint="eastAsia"/>
                <w:szCs w:val="21"/>
              </w:rPr>
              <w:t>移动电源</w:t>
            </w:r>
          </w:p>
        </w:tc>
      </w:tr>
      <w:tr>
        <w:tblPrEx>
          <w:tblCellMar>
            <w:top w:w="0" w:type="dxa"/>
            <w:left w:w="108" w:type="dxa"/>
            <w:bottom w:w="0" w:type="dxa"/>
            <w:right w:w="108" w:type="dxa"/>
          </w:tblCellMar>
        </w:tblPrEx>
        <w:tc>
          <w:tcPr>
            <w:tcW w:w="1902" w:type="dxa"/>
          </w:tcPr>
          <w:p>
            <w:pPr>
              <w:spacing w:line="360" w:lineRule="auto"/>
              <w:rPr>
                <w:rFonts w:hAnsi="宋体"/>
                <w:szCs w:val="21"/>
              </w:rPr>
            </w:pPr>
            <w:r>
              <w:rPr>
                <w:rFonts w:hint="eastAsia"/>
                <w:szCs w:val="21"/>
              </w:rPr>
              <w:t>JB/T501</w:t>
            </w:r>
          </w:p>
        </w:tc>
        <w:tc>
          <w:tcPr>
            <w:tcW w:w="5861" w:type="dxa"/>
          </w:tcPr>
          <w:p>
            <w:pPr>
              <w:spacing w:line="360" w:lineRule="auto"/>
              <w:rPr>
                <w:rFonts w:hAnsi="宋体"/>
                <w:szCs w:val="21"/>
              </w:rPr>
            </w:pPr>
            <w:r>
              <w:rPr>
                <w:rFonts w:hint="eastAsia"/>
                <w:szCs w:val="21"/>
              </w:rPr>
              <w:t>电力变压器    试验导则</w:t>
            </w:r>
          </w:p>
        </w:tc>
      </w:tr>
    </w:tbl>
    <w:p>
      <w:pPr>
        <w:tabs>
          <w:tab w:val="left" w:pos="3220"/>
        </w:tabs>
        <w:spacing w:line="360" w:lineRule="auto"/>
        <w:ind w:hanging="142"/>
        <w:rPr>
          <w:rFonts w:ascii="宋体" w:hAnsi="宋体" w:cs="Arial"/>
          <w:sz w:val="24"/>
          <w:szCs w:val="24"/>
        </w:rPr>
      </w:pPr>
      <w:r>
        <w:rPr>
          <w:rFonts w:ascii="宋体" w:hAnsi="宋体" w:cs="Arial"/>
          <w:sz w:val="24"/>
          <w:szCs w:val="24"/>
        </w:rPr>
        <w:t>以上标准如有新版本，按最新版本执行。</w:t>
      </w:r>
    </w:p>
    <w:p>
      <w:pPr>
        <w:pStyle w:val="3"/>
        <w:numPr>
          <w:ilvl w:val="0"/>
          <w:numId w:val="0"/>
        </w:numPr>
        <w:snapToGrid/>
        <w:spacing w:before="312" w:line="480" w:lineRule="auto"/>
        <w:rPr>
          <w:rFonts w:hAnsi="宋体"/>
          <w:color w:val="000000"/>
          <w:sz w:val="24"/>
          <w:szCs w:val="24"/>
        </w:rPr>
      </w:pPr>
      <w:bookmarkStart w:id="11" w:name="_Toc48211782"/>
      <w:r>
        <w:rPr>
          <w:rFonts w:hint="eastAsia" w:hAnsi="宋体"/>
          <w:color w:val="000000"/>
          <w:sz w:val="24"/>
          <w:szCs w:val="24"/>
        </w:rPr>
        <w:t>4 使用</w:t>
      </w:r>
      <w:bookmarkEnd w:id="10"/>
      <w:r>
        <w:rPr>
          <w:rFonts w:hint="eastAsia" w:hAnsi="宋体"/>
          <w:color w:val="000000"/>
          <w:sz w:val="24"/>
          <w:szCs w:val="24"/>
        </w:rPr>
        <w:t>环境要求</w:t>
      </w:r>
      <w:bookmarkEnd w:id="11"/>
    </w:p>
    <w:p>
      <w:pPr>
        <w:pStyle w:val="15"/>
        <w:adjustRightInd w:val="0"/>
        <w:snapToGrid w:val="0"/>
        <w:spacing w:line="360" w:lineRule="auto"/>
        <w:ind w:firstLine="480"/>
        <w:rPr>
          <w:rFonts w:ascii="宋体" w:hAnsi="宋体" w:eastAsia="宋体" w:cs="Times New Roman"/>
          <w:color w:val="000000"/>
          <w:sz w:val="24"/>
          <w:szCs w:val="24"/>
        </w:rPr>
      </w:pPr>
      <w:bookmarkStart w:id="12" w:name="_Toc279769036"/>
      <w:bookmarkStart w:id="13" w:name="_Toc276492375"/>
      <w:bookmarkStart w:id="14" w:name="_Toc276490903"/>
      <w:r>
        <w:rPr>
          <w:rFonts w:hint="eastAsia" w:ascii="宋体" w:hAnsi="宋体" w:eastAsia="宋体" w:cs="Times New Roman"/>
          <w:color w:val="000000"/>
          <w:sz w:val="24"/>
          <w:szCs w:val="24"/>
        </w:rPr>
        <w:t>本设备招标书技术文件需要采购的设备，其外部使用条件见表4.1。投标方应对所提供的设备性能参数在外部条件下进行校验、核对，使所供设备满足实际外部条件要求及全工况运行要求。</w:t>
      </w:r>
    </w:p>
    <w:p>
      <w:pPr>
        <w:pStyle w:val="15"/>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4.1 设备</w:t>
      </w:r>
      <w:r>
        <w:rPr>
          <w:rFonts w:hint="eastAsia" w:ascii="宋体" w:hAnsi="宋体" w:eastAsia="宋体"/>
          <w:color w:val="000000"/>
          <w:sz w:val="24"/>
          <w:szCs w:val="24"/>
        </w:rPr>
        <w:t>使用环境要求相应表</w:t>
      </w:r>
      <w:r>
        <w:rPr>
          <w:rFonts w:hint="eastAsia" w:ascii="宋体" w:hAnsi="宋体" w:eastAsia="宋体" w:cs="Times New Roman"/>
          <w:color w:val="000000"/>
          <w:sz w:val="24"/>
          <w:szCs w:val="24"/>
        </w:rPr>
        <w:t>（项目单位填写）</w:t>
      </w:r>
    </w:p>
    <w:tbl>
      <w:tblPr>
        <w:tblStyle w:val="10"/>
        <w:tblW w:w="8784" w:type="dxa"/>
        <w:jc w:val="right"/>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2"/>
        <w:gridCol w:w="2672"/>
        <w:gridCol w:w="2551"/>
        <w:gridCol w:w="1843"/>
        <w:gridCol w:w="128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right"/>
        </w:trPr>
        <w:tc>
          <w:tcPr>
            <w:tcW w:w="432" w:type="dxa"/>
          </w:tcPr>
          <w:p>
            <w:pPr>
              <w:jc w:val="center"/>
              <w:rPr>
                <w:rFonts w:ascii="宋体" w:hAnsi="宋体"/>
                <w:color w:val="000000"/>
                <w:szCs w:val="21"/>
              </w:rPr>
            </w:pPr>
            <w:r>
              <w:rPr>
                <w:rFonts w:hint="eastAsia" w:ascii="宋体" w:hAnsi="宋体"/>
                <w:color w:val="000000"/>
                <w:szCs w:val="21"/>
              </w:rPr>
              <w:t>序号</w:t>
            </w:r>
          </w:p>
        </w:tc>
        <w:tc>
          <w:tcPr>
            <w:tcW w:w="2672" w:type="dxa"/>
            <w:vAlign w:val="center"/>
          </w:tcPr>
          <w:p>
            <w:pPr>
              <w:jc w:val="center"/>
              <w:rPr>
                <w:rFonts w:ascii="宋体" w:hAnsi="宋体"/>
                <w:color w:val="000000"/>
                <w:szCs w:val="21"/>
              </w:rPr>
            </w:pPr>
            <w:r>
              <w:rPr>
                <w:rFonts w:ascii="宋体" w:hAnsi="宋体"/>
                <w:color w:val="000000"/>
                <w:szCs w:val="21"/>
              </w:rPr>
              <w:t>名  称</w:t>
            </w:r>
          </w:p>
        </w:tc>
        <w:tc>
          <w:tcPr>
            <w:tcW w:w="2551" w:type="dxa"/>
            <w:vAlign w:val="center"/>
          </w:tcPr>
          <w:p>
            <w:pPr>
              <w:jc w:val="center"/>
              <w:rPr>
                <w:rFonts w:ascii="宋体" w:hAnsi="宋体"/>
                <w:color w:val="000000"/>
                <w:szCs w:val="21"/>
              </w:rPr>
            </w:pPr>
            <w:r>
              <w:rPr>
                <w:rFonts w:hint="eastAsia" w:ascii="宋体" w:hAnsi="宋体"/>
                <w:color w:val="000000"/>
                <w:szCs w:val="21"/>
              </w:rPr>
              <w:t>项目要求值</w:t>
            </w:r>
          </w:p>
        </w:tc>
        <w:tc>
          <w:tcPr>
            <w:tcW w:w="1843" w:type="dxa"/>
            <w:vAlign w:val="center"/>
          </w:tcPr>
          <w:p>
            <w:pPr>
              <w:jc w:val="center"/>
              <w:rPr>
                <w:rFonts w:ascii="宋体" w:hAnsi="宋体"/>
                <w:color w:val="000000"/>
                <w:szCs w:val="21"/>
              </w:rPr>
            </w:pPr>
            <w:r>
              <w:rPr>
                <w:rFonts w:hint="eastAsia" w:ascii="宋体" w:hAnsi="宋体"/>
                <w:color w:val="000000"/>
                <w:szCs w:val="21"/>
              </w:rPr>
              <w:t>投标方</w:t>
            </w:r>
            <w:r>
              <w:rPr>
                <w:rFonts w:ascii="宋体" w:hAnsi="宋体"/>
                <w:color w:val="000000"/>
                <w:szCs w:val="21"/>
              </w:rPr>
              <w:t>保证值</w:t>
            </w:r>
          </w:p>
        </w:tc>
        <w:tc>
          <w:tcPr>
            <w:tcW w:w="1286" w:type="dxa"/>
            <w:vAlign w:val="center"/>
          </w:tcPr>
          <w:p>
            <w:pPr>
              <w:jc w:val="center"/>
              <w:rPr>
                <w:rFonts w:ascii="宋体" w:hAnsi="宋体"/>
                <w:color w:val="000000"/>
                <w:szCs w:val="21"/>
              </w:rPr>
            </w:pPr>
            <w:r>
              <w:rPr>
                <w:rFonts w:hint="eastAsia" w:ascii="宋体" w:hAnsi="宋体"/>
                <w:color w:val="000000"/>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right"/>
        </w:trPr>
        <w:tc>
          <w:tcPr>
            <w:tcW w:w="432" w:type="dxa"/>
          </w:tcPr>
          <w:p>
            <w:pPr>
              <w:rPr>
                <w:rFonts w:ascii="宋体" w:hAnsi="宋体"/>
                <w:color w:val="000000"/>
                <w:szCs w:val="21"/>
              </w:rPr>
            </w:pPr>
            <w:r>
              <w:rPr>
                <w:rFonts w:hint="eastAsia" w:ascii="宋体" w:hAnsi="宋体"/>
                <w:color w:val="000000"/>
                <w:szCs w:val="21"/>
              </w:rPr>
              <w:t>1</w:t>
            </w:r>
          </w:p>
        </w:tc>
        <w:tc>
          <w:tcPr>
            <w:tcW w:w="2672" w:type="dxa"/>
            <w:vAlign w:val="center"/>
          </w:tcPr>
          <w:p>
            <w:pPr>
              <w:jc w:val="center"/>
              <w:rPr>
                <w:rFonts w:ascii="宋体" w:hAnsi="宋体"/>
                <w:color w:val="000000"/>
                <w:sz w:val="24"/>
                <w:szCs w:val="24"/>
              </w:rPr>
            </w:pPr>
            <w:r>
              <w:rPr>
                <w:rFonts w:hint="eastAsia" w:ascii="宋体" w:hAnsi="宋体"/>
                <w:color w:val="000000"/>
                <w:sz w:val="24"/>
                <w:szCs w:val="24"/>
              </w:rPr>
              <w:t>操作温度</w:t>
            </w:r>
          </w:p>
        </w:tc>
        <w:tc>
          <w:tcPr>
            <w:tcW w:w="2551" w:type="dxa"/>
            <w:vAlign w:val="center"/>
          </w:tcPr>
          <w:p>
            <w:pPr>
              <w:jc w:val="center"/>
              <w:rPr>
                <w:rFonts w:hint="default" w:ascii="宋体" w:hAnsi="宋体" w:eastAsia="宋体"/>
                <w:color w:val="000000"/>
                <w:sz w:val="24"/>
                <w:szCs w:val="24"/>
                <w:lang w:val="en-US" w:eastAsia="zh-CN"/>
              </w:rPr>
            </w:pPr>
            <w:r>
              <w:rPr>
                <w:rFonts w:hint="eastAsia" w:ascii="宋体" w:hAnsi="宋体"/>
                <w:color w:val="000000"/>
                <w:sz w:val="24"/>
                <w:szCs w:val="24"/>
                <w:highlight w:val="none"/>
              </w:rPr>
              <w:t>正常满载工作温度</w:t>
            </w:r>
            <w:r>
              <w:rPr>
                <w:rFonts w:ascii="宋体" w:hAnsi="宋体"/>
                <w:color w:val="000000"/>
                <w:sz w:val="24"/>
                <w:szCs w:val="24"/>
                <w:highlight w:val="none"/>
              </w:rPr>
              <w:t>0</w:t>
            </w:r>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0℃</w:t>
            </w:r>
            <w:r>
              <w:rPr>
                <w:rFonts w:hint="eastAsia" w:ascii="宋体" w:hAnsi="宋体"/>
                <w:color w:val="000000"/>
                <w:sz w:val="24"/>
                <w:szCs w:val="24"/>
                <w:highlight w:val="none"/>
                <w:lang w:eastAsia="zh-CN"/>
              </w:rPr>
              <w:t>，</w:t>
            </w:r>
            <w:r>
              <w:rPr>
                <w:rFonts w:hint="eastAsia" w:ascii="宋体" w:hAnsi="宋体"/>
                <w:color w:val="000000"/>
                <w:sz w:val="24"/>
                <w:szCs w:val="24"/>
                <w:highlight w:val="none"/>
                <w:lang w:val="en-US" w:eastAsia="zh-CN"/>
              </w:rPr>
              <w:t>最高温度不超过50</w:t>
            </w:r>
            <w:r>
              <w:rPr>
                <w:rFonts w:hint="eastAsia" w:ascii="宋体" w:hAnsi="宋体"/>
                <w:color w:val="000000"/>
                <w:sz w:val="24"/>
                <w:szCs w:val="24"/>
                <w:highlight w:val="none"/>
              </w:rPr>
              <w:t>℃</w:t>
            </w:r>
          </w:p>
        </w:tc>
        <w:tc>
          <w:tcPr>
            <w:tcW w:w="1843" w:type="dxa"/>
            <w:vAlign w:val="center"/>
          </w:tcPr>
          <w:p>
            <w:pPr>
              <w:spacing w:line="360" w:lineRule="auto"/>
              <w:jc w:val="center"/>
              <w:rPr>
                <w:rFonts w:ascii="宋体" w:hAnsi="宋体"/>
                <w:color w:val="000000"/>
                <w:sz w:val="24"/>
              </w:rPr>
            </w:pPr>
          </w:p>
        </w:tc>
        <w:tc>
          <w:tcPr>
            <w:tcW w:w="1286" w:type="dxa"/>
            <w:vAlign w:val="center"/>
          </w:tcPr>
          <w:p>
            <w:pPr>
              <w:spacing w:line="360" w:lineRule="auto"/>
              <w:jc w:val="center"/>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right"/>
        </w:trPr>
        <w:tc>
          <w:tcPr>
            <w:tcW w:w="432" w:type="dxa"/>
          </w:tcPr>
          <w:p>
            <w:pPr>
              <w:rPr>
                <w:rFonts w:ascii="宋体" w:hAnsi="宋体"/>
                <w:color w:val="000000"/>
                <w:szCs w:val="21"/>
              </w:rPr>
            </w:pPr>
            <w:r>
              <w:rPr>
                <w:rFonts w:hint="eastAsia" w:ascii="宋体" w:hAnsi="宋体"/>
                <w:color w:val="000000"/>
                <w:szCs w:val="21"/>
              </w:rPr>
              <w:t>2</w:t>
            </w:r>
          </w:p>
        </w:tc>
        <w:tc>
          <w:tcPr>
            <w:tcW w:w="2672" w:type="dxa"/>
            <w:vAlign w:val="center"/>
          </w:tcPr>
          <w:p>
            <w:pPr>
              <w:jc w:val="center"/>
              <w:rPr>
                <w:rFonts w:ascii="宋体" w:hAnsi="宋体"/>
                <w:color w:val="000000"/>
                <w:sz w:val="24"/>
                <w:szCs w:val="24"/>
              </w:rPr>
            </w:pPr>
            <w:r>
              <w:rPr>
                <w:rFonts w:hint="eastAsia" w:ascii="宋体" w:hAnsi="宋体"/>
                <w:sz w:val="24"/>
                <w:szCs w:val="24"/>
              </w:rPr>
              <w:t>频率</w:t>
            </w:r>
          </w:p>
        </w:tc>
        <w:tc>
          <w:tcPr>
            <w:tcW w:w="2551" w:type="dxa"/>
            <w:vAlign w:val="center"/>
          </w:tcPr>
          <w:p>
            <w:pPr>
              <w:jc w:val="center"/>
              <w:rPr>
                <w:rFonts w:ascii="宋体" w:hAnsi="宋体"/>
                <w:color w:val="000000"/>
                <w:sz w:val="24"/>
                <w:szCs w:val="24"/>
              </w:rPr>
            </w:pPr>
            <w:r>
              <w:rPr>
                <w:rFonts w:hint="eastAsia" w:ascii="宋体" w:hAnsi="宋体"/>
                <w:sz w:val="24"/>
                <w:szCs w:val="24"/>
              </w:rPr>
              <w:t>50Hz</w:t>
            </w:r>
          </w:p>
        </w:tc>
        <w:tc>
          <w:tcPr>
            <w:tcW w:w="1843" w:type="dxa"/>
            <w:vAlign w:val="center"/>
          </w:tcPr>
          <w:p>
            <w:pPr>
              <w:spacing w:line="360" w:lineRule="auto"/>
              <w:jc w:val="center"/>
              <w:rPr>
                <w:rFonts w:ascii="宋体" w:hAnsi="宋体"/>
                <w:color w:val="000000"/>
                <w:sz w:val="24"/>
              </w:rPr>
            </w:pPr>
          </w:p>
        </w:tc>
        <w:tc>
          <w:tcPr>
            <w:tcW w:w="1286" w:type="dxa"/>
            <w:vAlign w:val="center"/>
          </w:tcPr>
          <w:p>
            <w:pPr>
              <w:spacing w:line="360" w:lineRule="auto"/>
              <w:jc w:val="center"/>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right"/>
        </w:trPr>
        <w:tc>
          <w:tcPr>
            <w:tcW w:w="432" w:type="dxa"/>
          </w:tcPr>
          <w:p>
            <w:pPr>
              <w:rPr>
                <w:rFonts w:ascii="宋体" w:hAnsi="宋体"/>
                <w:color w:val="000000"/>
                <w:szCs w:val="21"/>
              </w:rPr>
            </w:pPr>
            <w:r>
              <w:rPr>
                <w:rFonts w:hint="eastAsia" w:ascii="宋体" w:hAnsi="宋体"/>
                <w:color w:val="000000"/>
                <w:szCs w:val="21"/>
              </w:rPr>
              <w:t>3</w:t>
            </w:r>
          </w:p>
        </w:tc>
        <w:tc>
          <w:tcPr>
            <w:tcW w:w="2672" w:type="dxa"/>
            <w:vAlign w:val="center"/>
          </w:tcPr>
          <w:p>
            <w:pPr>
              <w:jc w:val="center"/>
              <w:rPr>
                <w:rFonts w:ascii="宋体" w:hAnsi="宋体"/>
                <w:color w:val="000000"/>
                <w:sz w:val="24"/>
                <w:szCs w:val="24"/>
              </w:rPr>
            </w:pPr>
            <w:r>
              <w:rPr>
                <w:rFonts w:hint="eastAsia" w:ascii="宋体" w:hAnsi="宋体"/>
                <w:color w:val="000000"/>
                <w:sz w:val="24"/>
                <w:szCs w:val="24"/>
              </w:rPr>
              <w:t>海拔高度</w:t>
            </w:r>
          </w:p>
        </w:tc>
        <w:tc>
          <w:tcPr>
            <w:tcW w:w="2551" w:type="dxa"/>
            <w:vAlign w:val="center"/>
          </w:tcPr>
          <w:p>
            <w:pPr>
              <w:jc w:val="center"/>
              <w:rPr>
                <w:rFonts w:ascii="宋体" w:hAnsi="宋体"/>
                <w:color w:val="000000"/>
                <w:sz w:val="24"/>
                <w:szCs w:val="24"/>
              </w:rPr>
            </w:pPr>
            <w:r>
              <w:rPr>
                <w:rFonts w:hint="eastAsia" w:ascii="宋体" w:hAnsi="宋体"/>
                <w:color w:val="000000"/>
                <w:sz w:val="24"/>
                <w:szCs w:val="24"/>
              </w:rPr>
              <w:t>小于</w:t>
            </w:r>
            <w:r>
              <w:rPr>
                <w:rFonts w:ascii="宋体" w:hAnsi="宋体"/>
                <w:color w:val="000000"/>
                <w:sz w:val="24"/>
                <w:szCs w:val="24"/>
              </w:rPr>
              <w:t>1</w:t>
            </w:r>
            <w:r>
              <w:rPr>
                <w:rFonts w:hint="eastAsia" w:ascii="宋体" w:hAnsi="宋体"/>
                <w:color w:val="000000"/>
                <w:sz w:val="24"/>
                <w:szCs w:val="24"/>
              </w:rPr>
              <w:t>000</w:t>
            </w:r>
            <w:r>
              <w:rPr>
                <w:rFonts w:ascii="宋体" w:hAnsi="宋体"/>
                <w:color w:val="000000"/>
                <w:sz w:val="24"/>
                <w:szCs w:val="24"/>
              </w:rPr>
              <w:t>M</w:t>
            </w:r>
          </w:p>
        </w:tc>
        <w:tc>
          <w:tcPr>
            <w:tcW w:w="1843" w:type="dxa"/>
            <w:vAlign w:val="center"/>
          </w:tcPr>
          <w:p>
            <w:pPr>
              <w:spacing w:line="360" w:lineRule="auto"/>
              <w:jc w:val="center"/>
              <w:rPr>
                <w:rFonts w:ascii="宋体" w:hAnsi="宋体"/>
                <w:color w:val="000000"/>
                <w:sz w:val="24"/>
              </w:rPr>
            </w:pPr>
          </w:p>
        </w:tc>
        <w:tc>
          <w:tcPr>
            <w:tcW w:w="1286" w:type="dxa"/>
            <w:vAlign w:val="center"/>
          </w:tcPr>
          <w:p>
            <w:pPr>
              <w:spacing w:line="360" w:lineRule="auto"/>
              <w:jc w:val="center"/>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right"/>
        </w:trPr>
        <w:tc>
          <w:tcPr>
            <w:tcW w:w="432" w:type="dxa"/>
          </w:tcPr>
          <w:p>
            <w:pPr>
              <w:rPr>
                <w:rFonts w:ascii="宋体" w:hAnsi="宋体"/>
                <w:color w:val="000000"/>
                <w:szCs w:val="21"/>
              </w:rPr>
            </w:pPr>
            <w:r>
              <w:rPr>
                <w:rFonts w:ascii="宋体" w:hAnsi="宋体"/>
                <w:color w:val="000000"/>
                <w:szCs w:val="21"/>
              </w:rPr>
              <w:t>4</w:t>
            </w:r>
          </w:p>
        </w:tc>
        <w:tc>
          <w:tcPr>
            <w:tcW w:w="2672" w:type="dxa"/>
            <w:vAlign w:val="center"/>
          </w:tcPr>
          <w:p>
            <w:pPr>
              <w:jc w:val="center"/>
              <w:rPr>
                <w:rFonts w:ascii="宋体" w:hAnsi="宋体"/>
                <w:color w:val="000000"/>
                <w:szCs w:val="21"/>
              </w:rPr>
            </w:pPr>
            <w:r>
              <w:rPr>
                <w:rFonts w:hint="eastAsia" w:ascii="宋体" w:hAnsi="宋体"/>
                <w:color w:val="000000"/>
                <w:szCs w:val="21"/>
              </w:rPr>
              <w:t>适应环境</w:t>
            </w:r>
          </w:p>
        </w:tc>
        <w:tc>
          <w:tcPr>
            <w:tcW w:w="2551" w:type="dxa"/>
            <w:vAlign w:val="center"/>
          </w:tcPr>
          <w:p>
            <w:pPr>
              <w:jc w:val="center"/>
              <w:rPr>
                <w:rFonts w:ascii="宋体" w:hAnsi="宋体"/>
                <w:color w:val="000000"/>
                <w:szCs w:val="21"/>
              </w:rPr>
            </w:pPr>
            <w:r>
              <w:rPr>
                <w:rFonts w:hint="eastAsia" w:ascii="宋体" w:hAnsi="宋体"/>
                <w:color w:val="000000"/>
                <w:szCs w:val="21"/>
              </w:rPr>
              <w:t>室内环境</w:t>
            </w:r>
          </w:p>
        </w:tc>
        <w:tc>
          <w:tcPr>
            <w:tcW w:w="1843" w:type="dxa"/>
            <w:vAlign w:val="center"/>
          </w:tcPr>
          <w:p>
            <w:pPr>
              <w:spacing w:line="360" w:lineRule="auto"/>
              <w:jc w:val="center"/>
              <w:rPr>
                <w:rFonts w:ascii="宋体" w:hAnsi="宋体"/>
                <w:color w:val="000000"/>
                <w:sz w:val="24"/>
              </w:rPr>
            </w:pPr>
          </w:p>
        </w:tc>
        <w:tc>
          <w:tcPr>
            <w:tcW w:w="1286" w:type="dxa"/>
            <w:vAlign w:val="center"/>
          </w:tcPr>
          <w:p>
            <w:pPr>
              <w:spacing w:line="360" w:lineRule="auto"/>
              <w:jc w:val="center"/>
              <w:rPr>
                <w:rFonts w:ascii="宋体" w:hAnsi="宋体"/>
                <w:color w:val="000000"/>
                <w:sz w:val="24"/>
              </w:rPr>
            </w:pPr>
          </w:p>
        </w:tc>
      </w:tr>
      <w:bookmarkEnd w:id="12"/>
    </w:tbl>
    <w:p>
      <w:pPr>
        <w:pStyle w:val="3"/>
        <w:numPr>
          <w:ilvl w:val="0"/>
          <w:numId w:val="0"/>
        </w:numPr>
        <w:snapToGrid/>
        <w:spacing w:before="312" w:line="480" w:lineRule="auto"/>
        <w:rPr>
          <w:rFonts w:hAnsi="宋体"/>
          <w:color w:val="000000"/>
          <w:sz w:val="24"/>
          <w:szCs w:val="24"/>
        </w:rPr>
      </w:pPr>
      <w:bookmarkStart w:id="15" w:name="_Toc48211783"/>
      <w:r>
        <w:rPr>
          <w:rFonts w:hint="eastAsia" w:hAnsi="宋体"/>
          <w:color w:val="000000"/>
          <w:sz w:val="24"/>
          <w:szCs w:val="24"/>
        </w:rPr>
        <w:t>5 技术</w:t>
      </w:r>
      <w:bookmarkEnd w:id="13"/>
      <w:bookmarkEnd w:id="14"/>
      <w:r>
        <w:rPr>
          <w:rFonts w:hint="eastAsia" w:hAnsi="宋体"/>
          <w:color w:val="000000"/>
          <w:sz w:val="24"/>
          <w:szCs w:val="24"/>
        </w:rPr>
        <w:t>要求</w:t>
      </w:r>
      <w:bookmarkEnd w:id="15"/>
    </w:p>
    <w:p>
      <w:pPr>
        <w:spacing w:line="360" w:lineRule="auto"/>
        <w:ind w:firstLine="424" w:firstLineChars="177"/>
        <w:rPr>
          <w:rFonts w:ascii="宋体" w:hAnsi="宋体" w:cs="Times New Roman"/>
          <w:color w:val="000000"/>
          <w:sz w:val="24"/>
          <w:szCs w:val="24"/>
        </w:rPr>
      </w:pPr>
      <w:r>
        <w:rPr>
          <w:rFonts w:hint="eastAsia" w:ascii="宋体" w:hAnsi="宋体" w:cs="Times New Roman"/>
          <w:color w:val="000000"/>
          <w:sz w:val="24"/>
          <w:szCs w:val="24"/>
        </w:rPr>
        <w:t>投标方应认真逐项填写所供设备技术参数和性能要求响应表中“投标方保证值”栏，不能空格，也不能以“响应”两字代替，不允许改动本表内 “投标方保证值”栏之外的数值。标注“★”的条款为关键条款。</w:t>
      </w:r>
    </w:p>
    <w:p>
      <w:pPr>
        <w:spacing w:line="360" w:lineRule="auto"/>
        <w:ind w:firstLine="424" w:firstLineChars="177"/>
        <w:rPr>
          <w:rFonts w:ascii="宋体" w:hAnsi="宋体" w:cs="Times New Roman"/>
          <w:color w:val="000000"/>
          <w:sz w:val="24"/>
          <w:szCs w:val="24"/>
        </w:rPr>
      </w:pPr>
      <w:r>
        <w:rPr>
          <w:rFonts w:hint="eastAsia" w:ascii="宋体" w:hAnsi="宋体" w:cs="Times New Roman"/>
          <w:color w:val="000000"/>
          <w:sz w:val="24"/>
          <w:szCs w:val="24"/>
        </w:rPr>
        <w:t>(★应标方必须在技术响应中体现应标产品的外观图片以及相关公开资料或厂家盖章详细描述文件，满足技术条件，并与供货实物一致，否则视为不响应技术要求。)</w:t>
      </w:r>
    </w:p>
    <w:p>
      <w:pPr>
        <w:spacing w:line="300" w:lineRule="auto"/>
        <w:rPr>
          <w:rFonts w:ascii="宋体" w:hAnsi="宋体" w:cs="Arial-BoldMT"/>
          <w:bCs/>
          <w:sz w:val="24"/>
          <w:szCs w:val="24"/>
        </w:rPr>
      </w:pPr>
      <w:bookmarkStart w:id="16" w:name="_Hlk522399319"/>
      <w:bookmarkStart w:id="17" w:name="_Toc276492376"/>
      <w:bookmarkStart w:id="18" w:name="_Toc485834716"/>
      <w:bookmarkStart w:id="19" w:name="_Toc485835123"/>
      <w:r>
        <w:rPr>
          <w:rFonts w:ascii="宋体" w:hAnsi="宋体" w:cs="Arial-BoldMT"/>
          <w:bCs/>
          <w:sz w:val="24"/>
          <w:szCs w:val="24"/>
        </w:rPr>
        <w:t>5.1</w:t>
      </w:r>
      <w:r>
        <w:rPr>
          <w:rFonts w:hint="eastAsia" w:ascii="宋体" w:hAnsi="宋体" w:cs="Arial-BoldMT"/>
          <w:bCs/>
          <w:sz w:val="24"/>
          <w:szCs w:val="24"/>
        </w:rPr>
        <w:t>．应用场景：</w:t>
      </w:r>
    </w:p>
    <w:p>
      <w:pPr>
        <w:spacing w:line="360" w:lineRule="auto"/>
        <w:ind w:left="566" w:hanging="566" w:hangingChars="236"/>
      </w:pPr>
      <w:r>
        <w:rPr>
          <w:rFonts w:hint="eastAsia" w:ascii="宋体" w:hAnsi="宋体" w:cs="Arial-BoldMT"/>
          <w:bCs/>
          <w:sz w:val="24"/>
          <w:szCs w:val="24"/>
        </w:rPr>
        <w:t>此类产品需满足</w:t>
      </w:r>
      <w:r>
        <w:rPr>
          <w:rFonts w:hint="eastAsia" w:ascii="宋体" w:hAnsi="宋体"/>
          <w:sz w:val="24"/>
          <w:szCs w:val="24"/>
        </w:rPr>
        <w:t>锂离子电池的便携式交直流电源装置，它拥有安全的锂离子电池和逆变转换技术，其</w:t>
      </w:r>
      <w:r>
        <w:rPr>
          <w:rFonts w:hint="eastAsia" w:ascii="宋体" w:hAnsi="Times New Roman"/>
          <w:bCs/>
          <w:sz w:val="24"/>
          <w:szCs w:val="21"/>
        </w:rPr>
        <w:t>重量</w:t>
      </w:r>
      <w:r>
        <w:rPr>
          <w:rFonts w:hint="eastAsia" w:ascii="宋体" w:hAnsi="宋体"/>
          <w:sz w:val="24"/>
          <w:szCs w:val="24"/>
        </w:rPr>
        <w:t>轻、</w:t>
      </w:r>
      <w:r>
        <w:rPr>
          <w:rFonts w:hint="eastAsia" w:ascii="宋体" w:hAnsi="Times New Roman"/>
          <w:bCs/>
          <w:sz w:val="24"/>
          <w:szCs w:val="21"/>
        </w:rPr>
        <w:t>容量</w:t>
      </w:r>
      <w:r>
        <w:rPr>
          <w:rFonts w:hint="eastAsia" w:ascii="宋体" w:hAnsi="宋体"/>
          <w:sz w:val="24"/>
          <w:szCs w:val="24"/>
        </w:rPr>
        <w:t>高、功率大，集多种功能于一身，方便拖拉携带。</w:t>
      </w:r>
    </w:p>
    <w:p>
      <w:pPr>
        <w:spacing w:line="300" w:lineRule="auto"/>
        <w:rPr>
          <w:rFonts w:ascii="宋体" w:hAnsi="宋体" w:cs="Arial-BoldMT"/>
          <w:bCs/>
          <w:sz w:val="24"/>
          <w:szCs w:val="24"/>
        </w:rPr>
      </w:pPr>
      <w:r>
        <w:rPr>
          <w:rFonts w:hint="eastAsia" w:ascii="宋体" w:hAnsi="宋体" w:cs="Arial-BoldMT"/>
          <w:bCs/>
          <w:sz w:val="24"/>
          <w:szCs w:val="24"/>
        </w:rPr>
        <w:t>5</w:t>
      </w:r>
      <w:r>
        <w:rPr>
          <w:rFonts w:ascii="宋体" w:hAnsi="宋体" w:cs="Arial-BoldMT"/>
          <w:bCs/>
          <w:sz w:val="24"/>
          <w:szCs w:val="24"/>
        </w:rPr>
        <w:t>.2.</w:t>
      </w:r>
      <w:r>
        <w:rPr>
          <w:rFonts w:hint="eastAsia" w:ascii="宋体" w:hAnsi="宋体" w:cs="Times New Roman"/>
          <w:color w:val="000000"/>
          <w:sz w:val="24"/>
          <w:szCs w:val="24"/>
        </w:rPr>
        <w:t xml:space="preserve"> ★</w:t>
      </w:r>
      <w:r>
        <w:rPr>
          <w:rFonts w:hint="eastAsia" w:ascii="宋体" w:hAnsi="宋体" w:cs="Arial-BoldMT"/>
          <w:bCs/>
          <w:sz w:val="24"/>
          <w:szCs w:val="24"/>
        </w:rPr>
        <w:t>功能要求：</w:t>
      </w:r>
    </w:p>
    <w:p>
      <w:pPr>
        <w:spacing w:line="360" w:lineRule="auto"/>
        <w:ind w:left="0" w:hanging="566" w:hangingChars="236"/>
        <w:rPr>
          <w:rFonts w:hint="eastAsia" w:ascii="宋体" w:hAnsi="Times New Roman"/>
          <w:bCs/>
          <w:sz w:val="24"/>
          <w:szCs w:val="21"/>
        </w:rPr>
      </w:pPr>
      <w:r>
        <w:rPr>
          <w:rFonts w:hint="eastAsia" w:ascii="宋体" w:hAnsi="Times New Roman"/>
          <w:bCs/>
          <w:sz w:val="24"/>
          <w:szCs w:val="21"/>
        </w:rPr>
        <w:t>（1）</w:t>
      </w:r>
      <w:bookmarkEnd w:id="16"/>
      <w:r>
        <w:rPr>
          <w:rFonts w:hint="eastAsia" w:ascii="宋体" w:hAnsi="Times New Roman"/>
          <w:bCs/>
          <w:sz w:val="24"/>
          <w:szCs w:val="21"/>
          <w:lang w:val="en-US" w:eastAsia="zh-CN"/>
        </w:rPr>
        <w:t>控制柜</w:t>
      </w:r>
      <w:r>
        <w:rPr>
          <w:rFonts w:hint="eastAsia" w:ascii="宋体" w:hAnsi="Times New Roman"/>
          <w:bCs/>
          <w:sz w:val="24"/>
          <w:szCs w:val="21"/>
        </w:rPr>
        <w:t xml:space="preserve">包含： </w:t>
      </w:r>
      <w:bookmarkStart w:id="61" w:name="_GoBack"/>
      <w:bookmarkEnd w:id="61"/>
    </w:p>
    <w:p>
      <w:pPr>
        <w:numPr>
          <w:ilvl w:val="0"/>
          <w:numId w:val="1"/>
        </w:numPr>
        <w:spacing w:line="360" w:lineRule="auto"/>
        <w:ind w:left="420" w:leftChars="0" w:hanging="420" w:firstLineChars="0"/>
        <w:rPr>
          <w:rFonts w:hint="eastAsia" w:ascii="宋体" w:hAnsi="Times New Roman"/>
          <w:bCs/>
          <w:sz w:val="24"/>
          <w:szCs w:val="21"/>
        </w:rPr>
      </w:pPr>
      <w:r>
        <w:rPr>
          <w:rFonts w:hint="eastAsia" w:ascii="宋体" w:hAnsi="Times New Roman"/>
          <w:bCs/>
          <w:sz w:val="24"/>
          <w:szCs w:val="21"/>
          <w:lang w:val="en-US" w:eastAsia="zh-CN"/>
        </w:rPr>
        <w:t>3</w:t>
      </w:r>
      <w:r>
        <w:rPr>
          <w:rFonts w:hint="eastAsia" w:ascii="宋体" w:hAnsi="Times New Roman"/>
          <w:bCs/>
          <w:sz w:val="24"/>
          <w:szCs w:val="21"/>
        </w:rPr>
        <w:t>台</w:t>
      </w:r>
      <w:r>
        <w:rPr>
          <w:rFonts w:ascii="宋体" w:hAnsi="Times New Roman"/>
          <w:bCs/>
          <w:sz w:val="24"/>
          <w:szCs w:val="21"/>
        </w:rPr>
        <w:t>50</w:t>
      </w:r>
      <w:r>
        <w:rPr>
          <w:rFonts w:hint="eastAsia" w:ascii="宋体" w:hAnsi="Times New Roman"/>
          <w:bCs/>
          <w:sz w:val="24"/>
          <w:szCs w:val="21"/>
          <w:lang w:val="en-US" w:eastAsia="zh-CN"/>
        </w:rPr>
        <w:t>k</w:t>
      </w:r>
      <w:r>
        <w:rPr>
          <w:rFonts w:ascii="宋体" w:hAnsi="Times New Roman"/>
          <w:bCs/>
          <w:sz w:val="24"/>
          <w:szCs w:val="21"/>
        </w:rPr>
        <w:t xml:space="preserve">W </w:t>
      </w:r>
      <w:r>
        <w:rPr>
          <w:rFonts w:hint="eastAsia" w:ascii="宋体" w:hAnsi="Times New Roman"/>
          <w:bCs/>
          <w:sz w:val="24"/>
          <w:szCs w:val="21"/>
        </w:rPr>
        <w:t>的</w:t>
      </w:r>
      <w:r>
        <w:rPr>
          <w:rFonts w:hint="eastAsia" w:ascii="宋体" w:hAnsi="Times New Roman"/>
          <w:bCs/>
          <w:sz w:val="24"/>
          <w:szCs w:val="21"/>
          <w:lang w:val="en-US" w:eastAsia="zh-CN"/>
        </w:rPr>
        <w:t>功率</w:t>
      </w:r>
      <w:r>
        <w:rPr>
          <w:rFonts w:hint="eastAsia" w:ascii="宋体" w:hAnsi="Times New Roman"/>
          <w:bCs/>
          <w:sz w:val="24"/>
          <w:szCs w:val="21"/>
        </w:rPr>
        <w:t>模块，</w:t>
      </w:r>
      <w:r>
        <w:rPr>
          <w:rFonts w:hint="eastAsia" w:ascii="宋体" w:hAnsi="Times New Roman"/>
          <w:bCs/>
          <w:sz w:val="24"/>
          <w:szCs w:val="21"/>
          <w:lang w:val="en-US" w:eastAsia="zh-CN"/>
        </w:rPr>
        <w:t>最大满载可达到150kW，</w:t>
      </w:r>
      <w:r>
        <w:rPr>
          <w:rFonts w:ascii="宋体" w:hAnsi="Times New Roman"/>
          <w:bCs/>
          <w:sz w:val="24"/>
          <w:szCs w:val="21"/>
        </w:rPr>
        <w:t>38</w:t>
      </w:r>
      <w:r>
        <w:rPr>
          <w:rFonts w:hint="eastAsia" w:ascii="宋体" w:hAnsi="Times New Roman"/>
          <w:bCs/>
          <w:sz w:val="24"/>
          <w:szCs w:val="21"/>
        </w:rPr>
        <w:t>0V/50HZ 纯正弦波交流输出，可兼容与管理锂电池充放电，具有4</w:t>
      </w:r>
      <w:r>
        <w:rPr>
          <w:rFonts w:ascii="宋体" w:hAnsi="Times New Roman"/>
          <w:bCs/>
          <w:sz w:val="24"/>
          <w:szCs w:val="21"/>
        </w:rPr>
        <w:t>0</w:t>
      </w:r>
      <w:r>
        <w:rPr>
          <w:rFonts w:hint="eastAsia" w:ascii="宋体" w:hAnsi="Times New Roman"/>
          <w:bCs/>
          <w:sz w:val="24"/>
          <w:szCs w:val="21"/>
        </w:rPr>
        <w:t>%负载时具有8</w:t>
      </w:r>
      <w:r>
        <w:rPr>
          <w:rFonts w:ascii="宋体" w:hAnsi="Times New Roman"/>
          <w:bCs/>
          <w:sz w:val="24"/>
          <w:szCs w:val="21"/>
        </w:rPr>
        <w:t>0</w:t>
      </w:r>
      <w:r>
        <w:rPr>
          <w:rFonts w:hint="eastAsia" w:ascii="宋体" w:hAnsi="Times New Roman"/>
          <w:bCs/>
          <w:sz w:val="24"/>
          <w:szCs w:val="21"/>
        </w:rPr>
        <w:t>%的容量充电能力。</w:t>
      </w:r>
    </w:p>
    <w:p>
      <w:pPr>
        <w:numPr>
          <w:ilvl w:val="0"/>
          <w:numId w:val="1"/>
        </w:numPr>
        <w:spacing w:line="360" w:lineRule="auto"/>
        <w:ind w:left="420" w:leftChars="0" w:hanging="420" w:firstLineChars="0"/>
        <w:rPr>
          <w:rFonts w:hint="eastAsia" w:ascii="宋体" w:hAnsi="Times New Roman"/>
          <w:bCs/>
          <w:sz w:val="24"/>
          <w:szCs w:val="21"/>
          <w:lang w:eastAsia="zh-CN"/>
        </w:rPr>
      </w:pPr>
      <w:r>
        <w:rPr>
          <w:rFonts w:ascii="宋体" w:hAnsi="Times New Roman"/>
          <w:bCs/>
          <w:sz w:val="24"/>
          <w:szCs w:val="21"/>
        </w:rPr>
        <w:t>1</w:t>
      </w:r>
      <w:r>
        <w:rPr>
          <w:rFonts w:hint="eastAsia" w:ascii="宋体" w:hAnsi="Times New Roman"/>
          <w:bCs/>
          <w:sz w:val="24"/>
          <w:szCs w:val="21"/>
        </w:rPr>
        <w:t>面A</w:t>
      </w:r>
      <w:r>
        <w:rPr>
          <w:rFonts w:ascii="宋体" w:hAnsi="Times New Roman"/>
          <w:bCs/>
          <w:sz w:val="24"/>
          <w:szCs w:val="21"/>
        </w:rPr>
        <w:t>TS</w:t>
      </w:r>
      <w:r>
        <w:rPr>
          <w:rFonts w:hint="eastAsia" w:ascii="宋体" w:hAnsi="Times New Roman"/>
          <w:bCs/>
          <w:sz w:val="24"/>
          <w:szCs w:val="21"/>
          <w:lang w:val="en-US" w:eastAsia="zh-CN"/>
        </w:rPr>
        <w:t>开关</w:t>
      </w:r>
      <w:r>
        <w:rPr>
          <w:rFonts w:hint="eastAsia" w:ascii="宋体" w:hAnsi="Times New Roman"/>
          <w:bCs/>
          <w:sz w:val="24"/>
          <w:szCs w:val="21"/>
        </w:rPr>
        <w:t>，具备双路电切换功能，输入输出开关、A</w:t>
      </w:r>
      <w:r>
        <w:rPr>
          <w:rFonts w:ascii="宋体" w:hAnsi="Times New Roman"/>
          <w:bCs/>
          <w:sz w:val="24"/>
          <w:szCs w:val="21"/>
        </w:rPr>
        <w:t>TS</w:t>
      </w:r>
      <w:r>
        <w:rPr>
          <w:rFonts w:hint="eastAsia" w:ascii="宋体" w:hAnsi="Times New Roman"/>
          <w:bCs/>
          <w:sz w:val="24"/>
          <w:szCs w:val="21"/>
        </w:rPr>
        <w:t>与U</w:t>
      </w:r>
      <w:r>
        <w:rPr>
          <w:rFonts w:ascii="宋体" w:hAnsi="Times New Roman"/>
          <w:bCs/>
          <w:sz w:val="24"/>
          <w:szCs w:val="21"/>
        </w:rPr>
        <w:t>PS</w:t>
      </w:r>
      <w:r>
        <w:rPr>
          <w:rFonts w:hint="eastAsia" w:ascii="宋体" w:hAnsi="Times New Roman"/>
          <w:bCs/>
          <w:sz w:val="24"/>
          <w:szCs w:val="21"/>
        </w:rPr>
        <w:t>同品牌。此柜具有基本电参量监测：实时监测电流、电压、频率、功率、电量等，实现对UPS系统下游设备的电力监测和能耗计量等功能</w:t>
      </w:r>
      <w:r>
        <w:rPr>
          <w:rFonts w:hint="eastAsia" w:ascii="宋体" w:hAnsi="Times New Roman"/>
          <w:bCs/>
          <w:sz w:val="24"/>
          <w:szCs w:val="21"/>
          <w:lang w:eastAsia="zh-CN"/>
        </w:rPr>
        <w:t>。</w:t>
      </w:r>
    </w:p>
    <w:p>
      <w:pPr>
        <w:numPr>
          <w:ilvl w:val="0"/>
          <w:numId w:val="1"/>
        </w:numPr>
        <w:spacing w:line="360" w:lineRule="auto"/>
        <w:ind w:left="420" w:leftChars="0" w:hanging="420" w:firstLineChars="0"/>
        <w:rPr>
          <w:rFonts w:hint="eastAsia" w:ascii="宋体" w:hAnsi="Times New Roman"/>
          <w:bCs/>
          <w:sz w:val="24"/>
          <w:szCs w:val="21"/>
          <w:lang w:eastAsia="zh-CN"/>
        </w:rPr>
      </w:pPr>
      <w:r>
        <w:rPr>
          <w:rFonts w:hint="eastAsia" w:ascii="宋体" w:hAnsi="Times New Roman"/>
          <w:bCs/>
          <w:sz w:val="24"/>
          <w:szCs w:val="21"/>
          <w:lang w:val="en-US" w:eastAsia="zh-CN"/>
        </w:rPr>
        <w:t>1台</w:t>
      </w:r>
      <w:r>
        <w:rPr>
          <w:rFonts w:hint="eastAsia" w:ascii="宋体" w:hAnsi="Times New Roman"/>
          <w:bCs/>
          <w:sz w:val="24"/>
          <w:szCs w:val="21"/>
        </w:rPr>
        <w:t>通风风扇，U</w:t>
      </w:r>
      <w:r>
        <w:rPr>
          <w:rFonts w:ascii="宋体" w:hAnsi="Times New Roman"/>
          <w:bCs/>
          <w:sz w:val="24"/>
          <w:szCs w:val="21"/>
        </w:rPr>
        <w:t>PS</w:t>
      </w:r>
      <w:r>
        <w:rPr>
          <w:rFonts w:hint="eastAsia" w:ascii="宋体" w:hAnsi="Times New Roman"/>
          <w:bCs/>
          <w:sz w:val="24"/>
          <w:szCs w:val="21"/>
        </w:rPr>
        <w:t>具有可插拔风扇与滤网。满足外部环境温度4</w:t>
      </w:r>
      <w:r>
        <w:rPr>
          <w:rFonts w:ascii="宋体" w:hAnsi="Times New Roman"/>
          <w:bCs/>
          <w:sz w:val="24"/>
          <w:szCs w:val="21"/>
        </w:rPr>
        <w:t>0</w:t>
      </w:r>
      <w:r>
        <w:rPr>
          <w:rFonts w:hint="eastAsia" w:ascii="宋体" w:hAnsi="Times New Roman"/>
          <w:bCs/>
          <w:sz w:val="24"/>
          <w:szCs w:val="21"/>
        </w:rPr>
        <w:t>℃时满载持续运行，最高运行温度要求不</w:t>
      </w:r>
      <w:r>
        <w:rPr>
          <w:rFonts w:hint="eastAsia" w:ascii="宋体" w:hAnsi="Times New Roman"/>
          <w:bCs/>
          <w:sz w:val="24"/>
          <w:szCs w:val="21"/>
          <w:lang w:val="en-US" w:eastAsia="zh-CN"/>
        </w:rPr>
        <w:t>高</w:t>
      </w:r>
      <w:r>
        <w:rPr>
          <w:rFonts w:hint="eastAsia" w:ascii="宋体" w:hAnsi="Times New Roman"/>
          <w:bCs/>
          <w:sz w:val="24"/>
          <w:szCs w:val="21"/>
        </w:rPr>
        <w:t>于50℃。内置功率模块与静态旁路模块，符合相关认证</w:t>
      </w:r>
      <w:r>
        <w:rPr>
          <w:rFonts w:ascii="宋体" w:hAnsi="Times New Roman"/>
          <w:bCs/>
          <w:sz w:val="24"/>
          <w:szCs w:val="21"/>
        </w:rPr>
        <w:t>：</w:t>
      </w:r>
      <w:r>
        <w:rPr>
          <w:rFonts w:hint="eastAsia" w:ascii="宋体" w:hAnsi="Times New Roman"/>
          <w:bCs/>
          <w:sz w:val="24"/>
          <w:szCs w:val="21"/>
        </w:rPr>
        <w:t>要求UPS通过行业</w:t>
      </w:r>
      <w:r>
        <w:rPr>
          <w:rFonts w:ascii="宋体" w:hAnsi="Times New Roman"/>
          <w:bCs/>
          <w:sz w:val="24"/>
          <w:szCs w:val="21"/>
        </w:rPr>
        <w:t>相关测试认证，</w:t>
      </w:r>
      <w:r>
        <w:rPr>
          <w:rFonts w:hint="eastAsia" w:ascii="宋体" w:hAnsi="Times New Roman"/>
          <w:bCs/>
          <w:sz w:val="24"/>
          <w:szCs w:val="21"/>
        </w:rPr>
        <w:t>包括泰尔认证、C</w:t>
      </w:r>
      <w:r>
        <w:rPr>
          <w:rFonts w:ascii="宋体" w:hAnsi="Times New Roman"/>
          <w:bCs/>
          <w:sz w:val="24"/>
          <w:szCs w:val="21"/>
        </w:rPr>
        <w:t>B</w:t>
      </w:r>
      <w:r>
        <w:rPr>
          <w:rFonts w:hint="eastAsia" w:ascii="宋体" w:hAnsi="Times New Roman"/>
          <w:bCs/>
          <w:sz w:val="24"/>
          <w:szCs w:val="21"/>
        </w:rPr>
        <w:t>、CE、E</w:t>
      </w:r>
      <w:r>
        <w:rPr>
          <w:rFonts w:ascii="宋体" w:hAnsi="Times New Roman"/>
          <w:bCs/>
          <w:sz w:val="24"/>
          <w:szCs w:val="21"/>
        </w:rPr>
        <w:t>MC</w:t>
      </w:r>
      <w:r>
        <w:rPr>
          <w:rFonts w:hint="eastAsia" w:ascii="宋体" w:hAnsi="Times New Roman"/>
          <w:bCs/>
          <w:sz w:val="24"/>
          <w:szCs w:val="21"/>
        </w:rPr>
        <w:t>电磁兼容性测试、U</w:t>
      </w:r>
      <w:r>
        <w:rPr>
          <w:rFonts w:ascii="宋体" w:hAnsi="Times New Roman"/>
          <w:bCs/>
          <w:sz w:val="24"/>
          <w:szCs w:val="21"/>
        </w:rPr>
        <w:t>L</w:t>
      </w:r>
      <w:r>
        <w:rPr>
          <w:rFonts w:hint="eastAsia" w:ascii="宋体" w:hAnsi="Times New Roman"/>
          <w:bCs/>
          <w:sz w:val="24"/>
          <w:szCs w:val="21"/>
        </w:rPr>
        <w:t>、第三方能效测试等。</w:t>
      </w:r>
      <w:r>
        <w:rPr>
          <w:rFonts w:ascii="宋体" w:hAnsi="Times New Roman"/>
          <w:bCs/>
          <w:sz w:val="24"/>
          <w:szCs w:val="21"/>
        </w:rPr>
        <w:t>要求</w:t>
      </w:r>
      <w:r>
        <w:rPr>
          <w:rFonts w:hint="eastAsia" w:ascii="宋体" w:hAnsi="Times New Roman"/>
          <w:bCs/>
          <w:sz w:val="24"/>
          <w:szCs w:val="21"/>
        </w:rPr>
        <w:t>以</w:t>
      </w:r>
      <w:r>
        <w:rPr>
          <w:rFonts w:ascii="宋体" w:hAnsi="Times New Roman"/>
          <w:bCs/>
          <w:sz w:val="24"/>
          <w:szCs w:val="21"/>
        </w:rPr>
        <w:t>附件的形式提供以上认证证书及检测报告</w:t>
      </w:r>
      <w:r>
        <w:rPr>
          <w:rFonts w:hint="eastAsia" w:ascii="宋体" w:hAnsi="Times New Roman"/>
          <w:bCs/>
          <w:sz w:val="24"/>
          <w:szCs w:val="21"/>
          <w:lang w:eastAsia="zh-CN"/>
        </w:rPr>
        <w:t>；</w:t>
      </w:r>
    </w:p>
    <w:p>
      <w:pPr>
        <w:numPr>
          <w:ilvl w:val="0"/>
          <w:numId w:val="1"/>
        </w:numPr>
        <w:spacing w:line="360" w:lineRule="auto"/>
        <w:ind w:left="420" w:leftChars="0" w:hanging="420"/>
        <w:rPr>
          <w:rFonts w:ascii="宋体" w:hAnsi="Times New Roman"/>
          <w:bCs/>
          <w:sz w:val="24"/>
          <w:szCs w:val="21"/>
        </w:rPr>
      </w:pPr>
      <w:r>
        <w:rPr>
          <w:rFonts w:hint="eastAsia" w:ascii="宋体" w:hAnsi="Times New Roman"/>
          <w:bCs/>
          <w:sz w:val="24"/>
          <w:szCs w:val="21"/>
        </w:rPr>
        <w:t>电能质量监测：实时监测谐波、三相不平衡、电压暂降暂升和短时中断等，实现对UPS保护功能的验证与监测等功能；</w:t>
      </w:r>
    </w:p>
    <w:p>
      <w:pPr>
        <w:numPr>
          <w:ilvl w:val="0"/>
          <w:numId w:val="1"/>
        </w:numPr>
        <w:spacing w:line="360" w:lineRule="auto"/>
        <w:ind w:left="420" w:leftChars="0" w:hanging="420" w:firstLineChars="0"/>
        <w:rPr>
          <w:rFonts w:ascii="宋体" w:hAnsi="Times New Roman"/>
          <w:bCs/>
          <w:sz w:val="24"/>
          <w:szCs w:val="21"/>
        </w:rPr>
      </w:pPr>
      <w:r>
        <w:rPr>
          <w:rFonts w:hint="eastAsia" w:ascii="宋体" w:hAnsi="Times New Roman"/>
          <w:bCs/>
          <w:sz w:val="24"/>
          <w:szCs w:val="21"/>
        </w:rPr>
        <w:t>电气安全保护：实时监测故障电弧，预防全系统的电气火灾发生；</w:t>
      </w:r>
    </w:p>
    <w:p>
      <w:pPr>
        <w:numPr>
          <w:ilvl w:val="0"/>
          <w:numId w:val="1"/>
        </w:numPr>
        <w:spacing w:line="360" w:lineRule="auto"/>
        <w:ind w:left="420" w:leftChars="0" w:hanging="420" w:firstLineChars="0"/>
        <w:rPr>
          <w:rFonts w:ascii="宋体" w:hAnsi="Times New Roman"/>
          <w:bCs/>
          <w:sz w:val="24"/>
          <w:szCs w:val="21"/>
        </w:rPr>
      </w:pPr>
      <w:r>
        <w:rPr>
          <w:rFonts w:hint="eastAsia" w:ascii="宋体" w:hAnsi="Times New Roman"/>
          <w:bCs/>
          <w:sz w:val="24"/>
          <w:szCs w:val="21"/>
        </w:rPr>
        <w:t>故障录波功能：对过流、过压、失压和电压暂降等故障进行触发录波，至少记录故障</w:t>
      </w:r>
      <w:r>
        <w:rPr>
          <w:rFonts w:hint="eastAsia" w:ascii="宋体" w:hAnsi="Times New Roman"/>
          <w:bCs/>
          <w:sz w:val="24"/>
          <w:szCs w:val="21"/>
          <w:highlight w:val="none"/>
        </w:rPr>
        <w:t>后</w:t>
      </w:r>
      <w:r>
        <w:rPr>
          <w:rFonts w:hint="eastAsia" w:ascii="宋体" w:hAnsi="Times New Roman"/>
          <w:bCs/>
          <w:sz w:val="24"/>
          <w:szCs w:val="21"/>
        </w:rPr>
        <w:t>10个周波，实现快速故障诊断和故障原因可追溯功能，甄别上下游故障原因和定位，预防未来发生类似故障；设备高频采样频次要求不低于1024次/周波，实现对故障的精细化分析。</w:t>
      </w:r>
    </w:p>
    <w:p>
      <w:pPr>
        <w:spacing w:line="360" w:lineRule="auto"/>
        <w:ind w:left="566" w:hanging="566" w:hangingChars="236"/>
        <w:rPr>
          <w:rFonts w:ascii="Times New Roman" w:hAnsi="Times New Roman" w:cs="Times New Roman"/>
          <w:bCs/>
          <w:sz w:val="24"/>
          <w:szCs w:val="24"/>
        </w:rPr>
      </w:pPr>
      <w:r>
        <w:rPr>
          <w:rFonts w:hint="eastAsia" w:ascii="Times New Roman" w:hAnsi="Times New Roman" w:cs="Times New Roman"/>
          <w:bCs/>
          <w:sz w:val="24"/>
          <w:szCs w:val="24"/>
        </w:rPr>
        <w:t>（</w:t>
      </w:r>
      <w:r>
        <w:rPr>
          <w:rFonts w:hint="eastAsia" w:ascii="Times New Roman" w:hAnsi="Times New Roman" w:cs="Times New Roman"/>
          <w:bCs/>
          <w:sz w:val="24"/>
          <w:szCs w:val="24"/>
          <w:lang w:val="en-US" w:eastAsia="zh-CN"/>
        </w:rPr>
        <w:t>2</w:t>
      </w:r>
      <w:r>
        <w:rPr>
          <w:rFonts w:hint="eastAsia" w:ascii="Times New Roman" w:hAnsi="Times New Roman" w:cs="Times New Roman"/>
          <w:bCs/>
          <w:sz w:val="24"/>
          <w:szCs w:val="24"/>
        </w:rPr>
        <w:t>）</w:t>
      </w:r>
      <w:r>
        <w:rPr>
          <w:rFonts w:hint="eastAsia" w:ascii="宋体" w:hAnsi="Times New Roman"/>
          <w:bCs/>
          <w:sz w:val="24"/>
          <w:szCs w:val="21"/>
          <w:lang w:val="en-US" w:eastAsia="zh-CN"/>
        </w:rPr>
        <w:t>控制</w:t>
      </w:r>
      <w:r>
        <w:rPr>
          <w:rFonts w:hint="eastAsia" w:ascii="宋体" w:hAnsi="Times New Roman"/>
          <w:bCs/>
          <w:sz w:val="24"/>
          <w:szCs w:val="21"/>
        </w:rPr>
        <w:t>柜体积不大于宽1</w:t>
      </w:r>
      <w:r>
        <w:rPr>
          <w:rFonts w:ascii="宋体" w:hAnsi="Times New Roman"/>
          <w:bCs/>
          <w:sz w:val="24"/>
          <w:szCs w:val="21"/>
        </w:rPr>
        <w:t>000</w:t>
      </w:r>
      <w:r>
        <w:rPr>
          <w:rFonts w:hint="eastAsia" w:ascii="宋体" w:hAnsi="Times New Roman"/>
          <w:bCs/>
          <w:sz w:val="24"/>
          <w:szCs w:val="21"/>
        </w:rPr>
        <w:t>mm深1</w:t>
      </w:r>
      <w:r>
        <w:rPr>
          <w:rFonts w:ascii="宋体" w:hAnsi="Times New Roman"/>
          <w:bCs/>
          <w:sz w:val="24"/>
          <w:szCs w:val="21"/>
        </w:rPr>
        <w:t>200</w:t>
      </w:r>
      <w:r>
        <w:rPr>
          <w:rFonts w:hint="eastAsia" w:ascii="宋体" w:hAnsi="Times New Roman"/>
          <w:bCs/>
          <w:sz w:val="24"/>
          <w:szCs w:val="21"/>
        </w:rPr>
        <w:t>mm高1</w:t>
      </w:r>
      <w:r>
        <w:rPr>
          <w:rFonts w:ascii="宋体" w:hAnsi="Times New Roman"/>
          <w:bCs/>
          <w:sz w:val="24"/>
          <w:szCs w:val="21"/>
        </w:rPr>
        <w:t>800</w:t>
      </w:r>
      <w:r>
        <w:rPr>
          <w:rFonts w:hint="eastAsia" w:ascii="宋体" w:hAnsi="Times New Roman"/>
          <w:bCs/>
          <w:sz w:val="24"/>
          <w:szCs w:val="21"/>
        </w:rPr>
        <w:t>mm，具备可移动脚轮U</w:t>
      </w:r>
      <w:r>
        <w:rPr>
          <w:rFonts w:ascii="宋体" w:hAnsi="Times New Roman"/>
          <w:bCs/>
          <w:sz w:val="24"/>
          <w:szCs w:val="21"/>
        </w:rPr>
        <w:t>PS</w:t>
      </w:r>
      <w:r>
        <w:rPr>
          <w:rFonts w:hint="eastAsia" w:ascii="宋体" w:hAnsi="Times New Roman"/>
          <w:bCs/>
          <w:sz w:val="24"/>
          <w:szCs w:val="21"/>
        </w:rPr>
        <w:t>自身体积小于宽</w:t>
      </w:r>
      <w:r>
        <w:rPr>
          <w:rFonts w:ascii="宋体" w:hAnsi="Times New Roman"/>
          <w:bCs/>
          <w:sz w:val="24"/>
          <w:szCs w:val="21"/>
        </w:rPr>
        <w:t>600</w:t>
      </w:r>
      <w:r>
        <w:rPr>
          <w:rFonts w:hint="eastAsia" w:ascii="宋体" w:hAnsi="Times New Roman"/>
          <w:bCs/>
          <w:sz w:val="24"/>
          <w:szCs w:val="21"/>
        </w:rPr>
        <w:t>mm深</w:t>
      </w:r>
      <w:r>
        <w:rPr>
          <w:rFonts w:ascii="宋体" w:hAnsi="Times New Roman"/>
          <w:bCs/>
          <w:sz w:val="24"/>
          <w:szCs w:val="21"/>
        </w:rPr>
        <w:t>900</w:t>
      </w:r>
      <w:r>
        <w:rPr>
          <w:rFonts w:hint="eastAsia" w:ascii="宋体" w:hAnsi="Times New Roman"/>
          <w:bCs/>
          <w:sz w:val="24"/>
          <w:szCs w:val="21"/>
        </w:rPr>
        <w:t>mm高1</w:t>
      </w:r>
      <w:r>
        <w:rPr>
          <w:rFonts w:ascii="宋体" w:hAnsi="Times New Roman"/>
          <w:bCs/>
          <w:sz w:val="24"/>
          <w:szCs w:val="21"/>
        </w:rPr>
        <w:t>500</w:t>
      </w:r>
      <w:r>
        <w:rPr>
          <w:rFonts w:hint="eastAsia" w:ascii="宋体" w:hAnsi="Times New Roman"/>
          <w:bCs/>
          <w:sz w:val="24"/>
          <w:szCs w:val="21"/>
        </w:rPr>
        <w:t>mm，重量小于</w:t>
      </w:r>
      <w:r>
        <w:rPr>
          <w:rFonts w:ascii="宋体" w:hAnsi="Times New Roman"/>
          <w:bCs/>
          <w:sz w:val="24"/>
          <w:szCs w:val="21"/>
        </w:rPr>
        <w:t>320</w:t>
      </w:r>
      <w:r>
        <w:rPr>
          <w:rFonts w:hint="eastAsia" w:ascii="宋体" w:hAnsi="Times New Roman"/>
          <w:bCs/>
          <w:sz w:val="24"/>
          <w:szCs w:val="21"/>
          <w:lang w:val="en-US" w:eastAsia="zh-CN"/>
        </w:rPr>
        <w:t>k</w:t>
      </w:r>
      <w:r>
        <w:rPr>
          <w:rFonts w:hint="eastAsia" w:ascii="宋体" w:hAnsi="Times New Roman"/>
          <w:bCs/>
          <w:sz w:val="24"/>
          <w:szCs w:val="21"/>
        </w:rPr>
        <w:t>g</w:t>
      </w:r>
    </w:p>
    <w:p>
      <w:pPr>
        <w:spacing w:line="360" w:lineRule="auto"/>
        <w:ind w:left="566" w:hanging="566" w:hangingChars="236"/>
        <w:rPr>
          <w:rFonts w:ascii="宋体" w:hAnsi="Times New Roman"/>
          <w:bCs/>
          <w:sz w:val="24"/>
          <w:szCs w:val="21"/>
        </w:rPr>
      </w:pPr>
      <w:r>
        <w:rPr>
          <w:rFonts w:hint="eastAsia" w:ascii="宋体" w:hAnsi="Times New Roman"/>
          <w:bCs/>
          <w:sz w:val="24"/>
          <w:szCs w:val="21"/>
        </w:rPr>
        <w:t>（</w:t>
      </w:r>
      <w:r>
        <w:rPr>
          <w:rFonts w:hint="eastAsia" w:ascii="宋体" w:hAnsi="Times New Roman"/>
          <w:bCs/>
          <w:sz w:val="24"/>
          <w:szCs w:val="21"/>
          <w:lang w:val="en-US" w:eastAsia="zh-CN"/>
        </w:rPr>
        <w:t>3</w:t>
      </w:r>
      <w:r>
        <w:rPr>
          <w:rFonts w:hint="eastAsia" w:ascii="宋体" w:hAnsi="Times New Roman"/>
          <w:bCs/>
          <w:sz w:val="24"/>
          <w:szCs w:val="21"/>
        </w:rPr>
        <w:t>）</w:t>
      </w:r>
      <w:r>
        <w:rPr>
          <w:rFonts w:hint="eastAsia" w:ascii="宋体" w:hAnsi="Times New Roman"/>
          <w:bCs/>
          <w:sz w:val="24"/>
          <w:szCs w:val="21"/>
          <w:lang w:val="en-US" w:eastAsia="zh-CN"/>
        </w:rPr>
        <w:t>电池柜</w:t>
      </w:r>
      <w:r>
        <w:rPr>
          <w:rFonts w:hint="eastAsia" w:ascii="宋体" w:hAnsi="Times New Roman"/>
          <w:bCs/>
          <w:sz w:val="24"/>
          <w:szCs w:val="21"/>
        </w:rPr>
        <w:t>包含：包含可插拔锂电池组，可控直流电池开关，B</w:t>
      </w:r>
      <w:r>
        <w:rPr>
          <w:rFonts w:ascii="宋体" w:hAnsi="Times New Roman"/>
          <w:bCs/>
          <w:sz w:val="24"/>
          <w:szCs w:val="21"/>
        </w:rPr>
        <w:t>MS</w:t>
      </w:r>
      <w:r>
        <w:rPr>
          <w:rFonts w:hint="eastAsia" w:ascii="宋体" w:hAnsi="Times New Roman"/>
          <w:bCs/>
          <w:sz w:val="24"/>
          <w:szCs w:val="21"/>
        </w:rPr>
        <w:t>系统、快速连接插头以及快速并联接头。锂电池应采用热稳定性好、安全可靠的</w:t>
      </w:r>
      <w:r>
        <w:rPr>
          <w:rFonts w:hint="eastAsia" w:ascii="宋体" w:hAnsi="Times New Roman"/>
          <w:bCs/>
          <w:sz w:val="24"/>
          <w:szCs w:val="21"/>
          <w:lang w:val="en-US" w:eastAsia="zh-CN"/>
        </w:rPr>
        <w:t>磷酸铁锂、</w:t>
      </w:r>
      <w:r>
        <w:rPr>
          <w:rFonts w:hint="eastAsia" w:ascii="宋体" w:hAnsi="Times New Roman"/>
          <w:bCs/>
          <w:sz w:val="24"/>
          <w:szCs w:val="21"/>
        </w:rPr>
        <w:t>锰酸锂</w:t>
      </w:r>
      <w:r>
        <w:rPr>
          <w:rFonts w:hint="eastAsia" w:ascii="宋体" w:hAnsi="Times New Roman"/>
          <w:bCs/>
          <w:sz w:val="24"/>
          <w:szCs w:val="21"/>
          <w:lang w:val="en-US" w:eastAsia="zh-CN"/>
        </w:rPr>
        <w:t>等</w:t>
      </w:r>
      <w:r>
        <w:rPr>
          <w:rFonts w:hint="eastAsia" w:ascii="宋体" w:hAnsi="Times New Roman"/>
          <w:bCs/>
          <w:sz w:val="24"/>
          <w:szCs w:val="21"/>
        </w:rPr>
        <w:t>为主的材质。</w:t>
      </w:r>
    </w:p>
    <w:p>
      <w:pPr>
        <w:spacing w:line="360" w:lineRule="auto"/>
        <w:ind w:left="566" w:hanging="566" w:hangingChars="236"/>
        <w:rPr>
          <w:rFonts w:ascii="Times New Roman" w:hAnsi="Times New Roman" w:cs="Times New Roman"/>
          <w:bCs/>
          <w:sz w:val="24"/>
          <w:szCs w:val="24"/>
        </w:rPr>
      </w:pPr>
      <w:r>
        <w:rPr>
          <w:rFonts w:hint="eastAsia" w:ascii="宋体" w:hAnsi="Times New Roman"/>
          <w:bCs/>
          <w:sz w:val="24"/>
          <w:szCs w:val="21"/>
        </w:rPr>
        <w:t>（</w:t>
      </w:r>
      <w:r>
        <w:rPr>
          <w:rFonts w:hint="eastAsia" w:ascii="宋体" w:hAnsi="Times New Roman"/>
          <w:bCs/>
          <w:sz w:val="24"/>
          <w:szCs w:val="21"/>
          <w:lang w:val="en-US" w:eastAsia="zh-CN"/>
        </w:rPr>
        <w:t>4</w:t>
      </w:r>
      <w:r>
        <w:rPr>
          <w:rFonts w:hint="eastAsia" w:ascii="宋体" w:hAnsi="Times New Roman"/>
          <w:bCs/>
          <w:sz w:val="24"/>
          <w:szCs w:val="21"/>
        </w:rPr>
        <w:t>）电</w:t>
      </w:r>
      <w:r>
        <w:rPr>
          <w:rFonts w:hint="eastAsia" w:ascii="宋体" w:hAnsi="Times New Roman"/>
          <w:bCs/>
          <w:sz w:val="24"/>
          <w:szCs w:val="21"/>
          <w:lang w:val="en-US" w:eastAsia="zh-CN"/>
        </w:rPr>
        <w:t>池</w:t>
      </w:r>
      <w:r>
        <w:rPr>
          <w:rFonts w:hint="eastAsia" w:ascii="宋体" w:hAnsi="Times New Roman"/>
          <w:bCs/>
          <w:sz w:val="24"/>
          <w:szCs w:val="21"/>
        </w:rPr>
        <w:t>柜</w:t>
      </w:r>
      <w:r>
        <w:rPr>
          <w:rFonts w:hint="eastAsia" w:ascii="宋体" w:hAnsi="宋体" w:cs="Arial-BoldMT"/>
          <w:bCs/>
          <w:sz w:val="24"/>
          <w:szCs w:val="24"/>
        </w:rPr>
        <w:t>具备方便的外接电源、锂电池防水插，可快速组装与扩展</w:t>
      </w:r>
      <w:r>
        <w:rPr>
          <w:rFonts w:ascii="Times New Roman" w:hAnsi="Times New Roman" w:cs="Times New Roman"/>
          <w:bCs/>
          <w:sz w:val="24"/>
          <w:szCs w:val="24"/>
        </w:rPr>
        <w:t>。</w:t>
      </w:r>
      <w:r>
        <w:rPr>
          <w:rFonts w:hint="eastAsia" w:ascii="宋体" w:hAnsi="Times New Roman"/>
          <w:bCs/>
          <w:sz w:val="24"/>
          <w:szCs w:val="21"/>
        </w:rPr>
        <w:t>体积不大于宽</w:t>
      </w:r>
      <w:r>
        <w:rPr>
          <w:rFonts w:ascii="宋体" w:hAnsi="Times New Roman"/>
          <w:bCs/>
          <w:sz w:val="24"/>
          <w:szCs w:val="21"/>
        </w:rPr>
        <w:t>600</w:t>
      </w:r>
      <w:r>
        <w:rPr>
          <w:rFonts w:hint="eastAsia" w:ascii="宋体" w:hAnsi="Times New Roman"/>
          <w:bCs/>
          <w:sz w:val="24"/>
          <w:szCs w:val="21"/>
        </w:rPr>
        <w:t>mm深</w:t>
      </w:r>
      <w:r>
        <w:rPr>
          <w:rFonts w:ascii="宋体" w:hAnsi="Times New Roman"/>
          <w:bCs/>
          <w:sz w:val="24"/>
          <w:szCs w:val="21"/>
        </w:rPr>
        <w:t>600</w:t>
      </w:r>
      <w:r>
        <w:rPr>
          <w:rFonts w:hint="eastAsia" w:ascii="宋体" w:hAnsi="Times New Roman"/>
          <w:bCs/>
          <w:sz w:val="24"/>
          <w:szCs w:val="21"/>
        </w:rPr>
        <w:t>mm高</w:t>
      </w:r>
      <w:r>
        <w:rPr>
          <w:rFonts w:ascii="宋体" w:hAnsi="Times New Roman"/>
          <w:bCs/>
          <w:sz w:val="24"/>
          <w:szCs w:val="21"/>
        </w:rPr>
        <w:t>2100</w:t>
      </w:r>
      <w:r>
        <w:rPr>
          <w:rFonts w:hint="eastAsia" w:ascii="宋体" w:hAnsi="Times New Roman"/>
          <w:bCs/>
          <w:sz w:val="24"/>
          <w:szCs w:val="21"/>
        </w:rPr>
        <w:t>mm，满配重量小于</w:t>
      </w:r>
      <w:r>
        <w:rPr>
          <w:rFonts w:ascii="宋体" w:hAnsi="Times New Roman"/>
          <w:bCs/>
          <w:sz w:val="24"/>
          <w:szCs w:val="21"/>
        </w:rPr>
        <w:t>550</w:t>
      </w:r>
      <w:r>
        <w:rPr>
          <w:rFonts w:hint="eastAsia" w:ascii="宋体" w:hAnsi="Times New Roman"/>
          <w:bCs/>
          <w:sz w:val="24"/>
          <w:szCs w:val="21"/>
          <w:lang w:val="en-US" w:eastAsia="zh-CN"/>
        </w:rPr>
        <w:t>k</w:t>
      </w:r>
      <w:r>
        <w:rPr>
          <w:rFonts w:hint="eastAsia" w:ascii="宋体" w:hAnsi="Times New Roman"/>
          <w:bCs/>
          <w:sz w:val="24"/>
          <w:szCs w:val="21"/>
        </w:rPr>
        <w:t>g，</w:t>
      </w:r>
      <w:r>
        <w:rPr>
          <w:rFonts w:hint="eastAsia" w:ascii="Times New Roman" w:hAnsi="Times New Roman" w:cs="Times New Roman"/>
          <w:bCs/>
          <w:sz w:val="24"/>
          <w:szCs w:val="24"/>
        </w:rPr>
        <w:t>锂电池模块可插拔运输，插拔安装。</w:t>
      </w:r>
    </w:p>
    <w:p>
      <w:pPr>
        <w:spacing w:line="360" w:lineRule="auto"/>
        <w:ind w:left="566" w:hanging="566" w:hangingChars="236"/>
        <w:rPr>
          <w:rFonts w:hint="eastAsia" w:ascii="Times New Roman" w:hAnsi="Times New Roman" w:cs="Times New Roman"/>
          <w:bCs/>
          <w:sz w:val="24"/>
          <w:szCs w:val="24"/>
        </w:rPr>
      </w:pPr>
      <w:r>
        <w:rPr>
          <w:rFonts w:hint="eastAsia" w:ascii="Times New Roman" w:hAnsi="Times New Roman" w:cs="Times New Roman"/>
          <w:bCs/>
          <w:sz w:val="24"/>
          <w:szCs w:val="24"/>
        </w:rPr>
        <w:t>（</w:t>
      </w:r>
      <w:r>
        <w:rPr>
          <w:rFonts w:hint="eastAsia" w:ascii="Times New Roman" w:hAnsi="Times New Roman" w:cs="Times New Roman"/>
          <w:bCs/>
          <w:sz w:val="24"/>
          <w:szCs w:val="24"/>
          <w:lang w:val="en-US" w:eastAsia="zh-CN"/>
        </w:rPr>
        <w:t>5</w:t>
      </w:r>
      <w:r>
        <w:rPr>
          <w:rFonts w:hint="eastAsia" w:ascii="Times New Roman" w:hAnsi="Times New Roman" w:cs="Times New Roman"/>
          <w:bCs/>
          <w:sz w:val="24"/>
          <w:szCs w:val="24"/>
        </w:rPr>
        <w:t>）</w:t>
      </w:r>
      <w:r>
        <w:rPr>
          <w:rFonts w:hint="eastAsia" w:ascii="Times New Roman" w:hAnsi="Times New Roman" w:cs="Times New Roman"/>
          <w:bCs/>
          <w:sz w:val="24"/>
          <w:szCs w:val="24"/>
          <w:lang w:val="en-US" w:eastAsia="zh-CN"/>
        </w:rPr>
        <w:t>电池组</w:t>
      </w:r>
      <w:r>
        <w:rPr>
          <w:rFonts w:hint="eastAsia" w:ascii="Times New Roman" w:hAnsi="Times New Roman" w:cs="Times New Roman"/>
          <w:bCs/>
          <w:sz w:val="24"/>
          <w:szCs w:val="24"/>
        </w:rPr>
        <w:t>：自身标准配置B</w:t>
      </w:r>
      <w:r>
        <w:rPr>
          <w:rFonts w:ascii="Times New Roman" w:hAnsi="Times New Roman" w:cs="Times New Roman"/>
          <w:bCs/>
          <w:sz w:val="24"/>
          <w:szCs w:val="24"/>
        </w:rPr>
        <w:t>MS</w:t>
      </w:r>
      <w:r>
        <w:rPr>
          <w:rFonts w:hint="eastAsia" w:ascii="Times New Roman" w:hAnsi="Times New Roman" w:cs="Times New Roman"/>
          <w:bCs/>
          <w:sz w:val="24"/>
          <w:szCs w:val="24"/>
        </w:rPr>
        <w:t>。</w:t>
      </w:r>
    </w:p>
    <w:p>
      <w:pPr>
        <w:spacing w:line="360" w:lineRule="auto"/>
        <w:ind w:left="566" w:hanging="566" w:hangingChars="236"/>
        <w:rPr>
          <w:rFonts w:ascii="宋体" w:hAnsi="Times New Roman"/>
          <w:bCs/>
          <w:sz w:val="24"/>
          <w:szCs w:val="21"/>
        </w:rPr>
      </w:pPr>
      <w:r>
        <w:rPr>
          <w:rFonts w:hint="eastAsia" w:ascii="Times New Roman" w:hAnsi="Times New Roman" w:cs="Times New Roman"/>
          <w:bCs/>
          <w:sz w:val="24"/>
          <w:szCs w:val="24"/>
        </w:rPr>
        <w:t>（</w:t>
      </w:r>
      <w:r>
        <w:rPr>
          <w:rFonts w:hint="eastAsia" w:ascii="Times New Roman" w:hAnsi="Times New Roman" w:cs="Times New Roman"/>
          <w:bCs/>
          <w:sz w:val="24"/>
          <w:szCs w:val="24"/>
          <w:lang w:val="en-US" w:eastAsia="zh-CN"/>
        </w:rPr>
        <w:t>6</w:t>
      </w:r>
      <w:r>
        <w:rPr>
          <w:rFonts w:hint="eastAsia" w:ascii="宋体" w:hAnsi="Times New Roman"/>
          <w:bCs/>
          <w:sz w:val="24"/>
          <w:szCs w:val="21"/>
        </w:rPr>
        <w:t>）参照</w:t>
      </w:r>
      <w:r>
        <w:rPr>
          <w:rFonts w:hint="eastAsia" w:ascii="Times New Roman" w:hAnsi="Times New Roman" w:cs="Times New Roman"/>
          <w:bCs/>
          <w:sz w:val="24"/>
          <w:szCs w:val="24"/>
        </w:rPr>
        <w:t>系统设计</w:t>
      </w:r>
      <w:r>
        <w:rPr>
          <w:rFonts w:hint="eastAsia" w:ascii="宋体" w:hAnsi="Times New Roman"/>
          <w:bCs/>
          <w:sz w:val="24"/>
          <w:szCs w:val="21"/>
        </w:rPr>
        <w:t>图。需要满足方便接线与维护</w:t>
      </w:r>
    </w:p>
    <w:p>
      <w:pPr>
        <w:jc w:val="center"/>
        <w:rPr>
          <w:rFonts w:ascii="宋体" w:hAnsi="Times New Roman"/>
          <w:bCs/>
          <w:sz w:val="24"/>
          <w:szCs w:val="21"/>
        </w:rPr>
      </w:pPr>
      <w:r>
        <w:drawing>
          <wp:inline distT="0" distB="0" distL="0" distR="0">
            <wp:extent cx="5162550" cy="4259580"/>
            <wp:effectExtent l="0" t="0" r="381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219909" cy="4306906"/>
                    </a:xfrm>
                    <a:prstGeom prst="rect">
                      <a:avLst/>
                    </a:prstGeom>
                  </pic:spPr>
                </pic:pic>
              </a:graphicData>
            </a:graphic>
          </wp:inline>
        </w:drawing>
      </w:r>
    </w:p>
    <w:p>
      <w:pPr>
        <w:spacing w:line="360" w:lineRule="auto"/>
      </w:pPr>
    </w:p>
    <w:p>
      <w:pPr>
        <w:spacing w:line="360" w:lineRule="auto"/>
        <w:sectPr>
          <w:footerReference r:id="rId5" w:type="default"/>
          <w:pgSz w:w="11906" w:h="16838"/>
          <w:pgMar w:top="1440" w:right="1800" w:bottom="1440" w:left="1800" w:header="851" w:footer="992" w:gutter="0"/>
          <w:pgNumType w:start="1"/>
          <w:cols w:space="425" w:num="1"/>
          <w:docGrid w:type="lines" w:linePitch="312" w:charSpace="0"/>
        </w:sectPr>
      </w:pPr>
    </w:p>
    <w:p>
      <w:pPr>
        <w:spacing w:line="300" w:lineRule="auto"/>
        <w:rPr>
          <w:rFonts w:hint="eastAsia" w:ascii="宋体" w:hAnsi="宋体" w:cs="Arial-BoldMT"/>
          <w:bCs/>
          <w:sz w:val="24"/>
          <w:szCs w:val="24"/>
        </w:rPr>
      </w:pPr>
      <w:bookmarkStart w:id="20" w:name="_Hlk522399745"/>
      <w:r>
        <w:rPr>
          <w:rFonts w:ascii="宋体" w:hAnsi="宋体" w:cs="Arial-BoldMT"/>
          <w:bCs/>
          <w:sz w:val="24"/>
          <w:szCs w:val="24"/>
        </w:rPr>
        <w:t>5.3</w:t>
      </w:r>
      <w:r>
        <w:rPr>
          <w:rFonts w:hint="eastAsia" w:ascii="宋体" w:hAnsi="宋体" w:cs="Times New Roman"/>
          <w:color w:val="000000"/>
          <w:sz w:val="24"/>
          <w:szCs w:val="24"/>
        </w:rPr>
        <w:t>★</w:t>
      </w:r>
      <w:r>
        <w:rPr>
          <w:rFonts w:hint="eastAsia" w:ascii="宋体" w:hAnsi="宋体" w:cs="Arial-BoldMT"/>
          <w:bCs/>
          <w:sz w:val="24"/>
          <w:szCs w:val="24"/>
        </w:rPr>
        <w:t>参数要求:</w:t>
      </w:r>
    </w:p>
    <w:p>
      <w:pPr>
        <w:pStyle w:val="15"/>
        <w:adjustRightInd w:val="0"/>
        <w:snapToGrid w:val="0"/>
        <w:spacing w:line="360" w:lineRule="auto"/>
        <w:ind w:firstLine="0" w:firstLineChars="0"/>
        <w:jc w:val="center"/>
        <w:rPr>
          <w:sz w:val="21"/>
          <w:szCs w:val="21"/>
        </w:rPr>
      </w:pPr>
      <w:r>
        <w:rPr>
          <w:rFonts w:hint="eastAsia" w:ascii="宋体" w:hAnsi="宋体" w:eastAsia="宋体"/>
          <w:color w:val="000000"/>
          <w:sz w:val="21"/>
          <w:szCs w:val="21"/>
        </w:rPr>
        <w:t>表5.1  技术参数和性能要求响应表</w:t>
      </w:r>
      <w:r>
        <w:rPr>
          <w:rFonts w:hint="eastAsia" w:ascii="宋体" w:hAnsi="宋体" w:eastAsia="宋体" w:cs="Times New Roman"/>
          <w:color w:val="000000"/>
          <w:sz w:val="21"/>
          <w:szCs w:val="21"/>
        </w:rPr>
        <w:t>（项目单位填写）</w:t>
      </w:r>
    </w:p>
    <w:tbl>
      <w:tblPr>
        <w:tblStyle w:val="10"/>
        <w:tblW w:w="91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9"/>
        <w:gridCol w:w="1247"/>
        <w:gridCol w:w="4345"/>
        <w:gridCol w:w="1426"/>
        <w:gridCol w:w="1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449" w:type="dxa"/>
            <w:vAlign w:val="center"/>
          </w:tcPr>
          <w:p>
            <w:pPr>
              <w:widowControl/>
              <w:spacing w:before="100" w:beforeAutospacing="1" w:after="100" w:afterAutospacing="1" w:line="240" w:lineRule="exact"/>
              <w:jc w:val="center"/>
              <w:rPr>
                <w:rFonts w:asciiTheme="minorEastAsia" w:hAnsiTheme="minorEastAsia" w:eastAsiaTheme="minorEastAsia"/>
                <w:color w:val="auto"/>
                <w:kern w:val="0"/>
                <w:sz w:val="20"/>
                <w:szCs w:val="20"/>
              </w:rPr>
            </w:pPr>
            <w:r>
              <w:rPr>
                <w:rFonts w:hint="eastAsia" w:asciiTheme="minorEastAsia" w:hAnsiTheme="minorEastAsia" w:eastAsiaTheme="minorEastAsia"/>
                <w:color w:val="auto"/>
                <w:kern w:val="0"/>
                <w:sz w:val="20"/>
                <w:szCs w:val="20"/>
              </w:rPr>
              <w:t>序号</w:t>
            </w:r>
          </w:p>
        </w:tc>
        <w:tc>
          <w:tcPr>
            <w:tcW w:w="1247" w:type="dxa"/>
            <w:vAlign w:val="center"/>
          </w:tcPr>
          <w:p>
            <w:pPr>
              <w:widowControl/>
              <w:spacing w:before="100" w:beforeAutospacing="1" w:after="100" w:afterAutospacing="1" w:line="240" w:lineRule="exact"/>
              <w:jc w:val="center"/>
              <w:rPr>
                <w:rFonts w:asciiTheme="minorEastAsia" w:hAnsiTheme="minorEastAsia" w:eastAsiaTheme="minorEastAsia"/>
                <w:color w:val="auto"/>
                <w:kern w:val="0"/>
                <w:sz w:val="20"/>
                <w:szCs w:val="20"/>
              </w:rPr>
            </w:pPr>
            <w:r>
              <w:rPr>
                <w:rFonts w:hint="eastAsia" w:asciiTheme="minorEastAsia" w:hAnsiTheme="minorEastAsia" w:eastAsiaTheme="minorEastAsia"/>
                <w:color w:val="auto"/>
                <w:kern w:val="0"/>
                <w:sz w:val="20"/>
                <w:szCs w:val="20"/>
              </w:rPr>
              <w:t>项目</w:t>
            </w:r>
          </w:p>
        </w:tc>
        <w:tc>
          <w:tcPr>
            <w:tcW w:w="4345" w:type="dxa"/>
            <w:vAlign w:val="center"/>
          </w:tcPr>
          <w:p>
            <w:pPr>
              <w:widowControl/>
              <w:spacing w:before="100" w:beforeAutospacing="1" w:after="100" w:afterAutospacing="1" w:line="240" w:lineRule="exact"/>
              <w:jc w:val="center"/>
              <w:rPr>
                <w:rFonts w:asciiTheme="minorEastAsia" w:hAnsiTheme="minorEastAsia" w:eastAsiaTheme="minorEastAsia"/>
                <w:color w:val="auto"/>
                <w:kern w:val="0"/>
                <w:sz w:val="20"/>
                <w:szCs w:val="20"/>
              </w:rPr>
            </w:pPr>
            <w:r>
              <w:rPr>
                <w:rFonts w:hint="eastAsia" w:asciiTheme="minorEastAsia" w:hAnsiTheme="minorEastAsia" w:eastAsiaTheme="minorEastAsia"/>
                <w:color w:val="auto"/>
                <w:kern w:val="0"/>
                <w:sz w:val="20"/>
                <w:szCs w:val="20"/>
              </w:rPr>
              <w:t>招标要求</w:t>
            </w:r>
          </w:p>
        </w:tc>
        <w:tc>
          <w:tcPr>
            <w:tcW w:w="1426" w:type="dxa"/>
            <w:vAlign w:val="center"/>
          </w:tcPr>
          <w:p>
            <w:pPr>
              <w:widowControl/>
              <w:spacing w:before="100" w:beforeAutospacing="1" w:after="100" w:afterAutospacing="1" w:line="240" w:lineRule="exact"/>
              <w:jc w:val="center"/>
              <w:rPr>
                <w:rFonts w:asciiTheme="minorEastAsia" w:hAnsiTheme="minorEastAsia" w:eastAsiaTheme="minorEastAsia"/>
                <w:color w:val="auto"/>
                <w:kern w:val="0"/>
                <w:sz w:val="20"/>
                <w:szCs w:val="20"/>
              </w:rPr>
            </w:pPr>
            <w:r>
              <w:rPr>
                <w:rFonts w:hint="eastAsia" w:asciiTheme="minorEastAsia" w:hAnsiTheme="minorEastAsia" w:eastAsiaTheme="minorEastAsia"/>
                <w:color w:val="auto"/>
                <w:sz w:val="20"/>
                <w:szCs w:val="20"/>
              </w:rPr>
              <w:t>投标产品规格/要求</w:t>
            </w:r>
          </w:p>
        </w:tc>
        <w:tc>
          <w:tcPr>
            <w:tcW w:w="1690" w:type="dxa"/>
            <w:vAlign w:val="center"/>
          </w:tcPr>
          <w:p>
            <w:pPr>
              <w:widowControl/>
              <w:spacing w:before="100" w:beforeAutospacing="1" w:after="100" w:afterAutospacing="1" w:line="240" w:lineRule="exact"/>
              <w:jc w:val="center"/>
              <w:rPr>
                <w:rFonts w:asciiTheme="minorEastAsia" w:hAnsiTheme="minorEastAsia" w:eastAsiaTheme="minorEastAsia"/>
                <w:color w:val="auto"/>
                <w:sz w:val="20"/>
                <w:szCs w:val="20"/>
              </w:rPr>
            </w:pPr>
            <w:r>
              <w:rPr>
                <w:rFonts w:hint="eastAsia" w:asciiTheme="minorEastAsia" w:hAnsiTheme="minorEastAsia" w:eastAsiaTheme="minorEastAsia"/>
                <w:color w:val="auto"/>
                <w:sz w:val="20"/>
                <w:szCs w:val="20"/>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9157" w:type="dxa"/>
            <w:gridSpan w:val="5"/>
            <w:vAlign w:val="center"/>
          </w:tcPr>
          <w:p>
            <w:pPr>
              <w:widowControl/>
              <w:spacing w:before="100" w:beforeAutospacing="1" w:after="100" w:afterAutospacing="1" w:line="240" w:lineRule="exact"/>
              <w:rPr>
                <w:rFonts w:asciiTheme="minorEastAsia" w:hAnsiTheme="minorEastAsia" w:eastAsiaTheme="minorEastAsia"/>
                <w:color w:val="auto"/>
                <w:sz w:val="20"/>
                <w:szCs w:val="20"/>
              </w:rPr>
            </w:pPr>
            <w:r>
              <w:rPr>
                <w:rFonts w:hint="eastAsia" w:asciiTheme="minorEastAsia" w:hAnsiTheme="minorEastAsia" w:eastAsiaTheme="minorEastAsia"/>
                <w:bCs/>
                <w:color w:val="auto"/>
                <w:sz w:val="20"/>
                <w:szCs w:val="20"/>
              </w:rPr>
              <w:t>主机1</w:t>
            </w:r>
            <w:r>
              <w:rPr>
                <w:rFonts w:asciiTheme="minorEastAsia" w:hAnsiTheme="minorEastAsia" w:eastAsiaTheme="minorEastAsia"/>
                <w:bCs/>
                <w:color w:val="auto"/>
                <w:sz w:val="20"/>
                <w:szCs w:val="20"/>
              </w:rPr>
              <w:t>50KW</w:t>
            </w:r>
          </w:p>
        </w:tc>
      </w:tr>
      <w:bookmark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3" w:hRule="atLeast"/>
        </w:trPr>
        <w:tc>
          <w:tcPr>
            <w:tcW w:w="449" w:type="dxa"/>
            <w:vAlign w:val="center"/>
          </w:tcPr>
          <w:p>
            <w:pPr>
              <w:spacing w:line="360" w:lineRule="exact"/>
              <w:jc w:val="center"/>
              <w:rPr>
                <w:rFonts w:asciiTheme="minorEastAsia" w:hAnsiTheme="minorEastAsia" w:eastAsiaTheme="minorEastAsia"/>
                <w:color w:val="auto"/>
                <w:sz w:val="20"/>
                <w:szCs w:val="20"/>
              </w:rPr>
            </w:pPr>
            <w:r>
              <w:rPr>
                <w:rFonts w:hint="eastAsia" w:asciiTheme="minorEastAsia" w:hAnsiTheme="minorEastAsia" w:eastAsiaTheme="minorEastAsia"/>
                <w:color w:val="auto"/>
                <w:sz w:val="20"/>
                <w:szCs w:val="20"/>
              </w:rPr>
              <w:t>1</w:t>
            </w:r>
          </w:p>
        </w:tc>
        <w:tc>
          <w:tcPr>
            <w:tcW w:w="1247" w:type="dxa"/>
            <w:vAlign w:val="center"/>
          </w:tcPr>
          <w:p>
            <w:pPr>
              <w:spacing w:line="360" w:lineRule="auto"/>
              <w:jc w:val="center"/>
              <w:textAlignment w:val="baseline"/>
              <w:rPr>
                <w:rFonts w:cs="Times New Roman" w:asciiTheme="minorEastAsia" w:hAnsiTheme="minorEastAsia" w:eastAsiaTheme="minorEastAsia"/>
                <w:bCs/>
                <w:color w:val="auto"/>
                <w:sz w:val="20"/>
                <w:szCs w:val="20"/>
              </w:rPr>
            </w:pPr>
            <w:r>
              <w:rPr>
                <w:rFonts w:cs="Times New Roman" w:asciiTheme="minorEastAsia" w:hAnsiTheme="minorEastAsia" w:eastAsiaTheme="minorEastAsia"/>
                <w:bCs/>
                <w:color w:val="auto"/>
                <w:sz w:val="20"/>
                <w:szCs w:val="20"/>
              </w:rPr>
              <w:t>输出</w:t>
            </w:r>
            <w:r>
              <w:rPr>
                <w:rFonts w:hint="eastAsia" w:cs="Times New Roman" w:asciiTheme="minorEastAsia" w:hAnsiTheme="minorEastAsia" w:eastAsiaTheme="minorEastAsia"/>
                <w:bCs/>
                <w:color w:val="auto"/>
                <w:sz w:val="20"/>
                <w:szCs w:val="20"/>
              </w:rPr>
              <w:t>功率</w:t>
            </w:r>
            <w:r>
              <w:rPr>
                <w:rFonts w:cs="Times New Roman" w:asciiTheme="minorEastAsia" w:hAnsiTheme="minorEastAsia" w:eastAsiaTheme="minorEastAsia"/>
                <w:bCs/>
                <w:color w:val="auto"/>
                <w:sz w:val="20"/>
                <w:szCs w:val="20"/>
              </w:rPr>
              <w:t>（KW）</w:t>
            </w:r>
          </w:p>
        </w:tc>
        <w:tc>
          <w:tcPr>
            <w:tcW w:w="4345" w:type="dxa"/>
          </w:tcPr>
          <w:p>
            <w:pPr>
              <w:spacing w:line="20" w:lineRule="atLeast"/>
              <w:jc w:val="left"/>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主机框容量应不低于1</w:t>
            </w:r>
            <w:r>
              <w:rPr>
                <w:rFonts w:cs="Times New Roman" w:asciiTheme="minorEastAsia" w:hAnsiTheme="minorEastAsia" w:eastAsiaTheme="minorEastAsia"/>
                <w:bCs/>
                <w:color w:val="auto"/>
                <w:sz w:val="20"/>
                <w:szCs w:val="20"/>
              </w:rPr>
              <w:t>50</w:t>
            </w:r>
            <w:r>
              <w:rPr>
                <w:rFonts w:hint="eastAsia" w:cs="Times New Roman" w:asciiTheme="minorEastAsia" w:hAnsiTheme="minorEastAsia" w:eastAsiaTheme="minorEastAsia"/>
                <w:bCs/>
                <w:color w:val="auto"/>
                <w:sz w:val="20"/>
                <w:szCs w:val="20"/>
                <w:lang w:val="en-US" w:eastAsia="zh-CN"/>
              </w:rPr>
              <w:t>k</w:t>
            </w:r>
            <w:r>
              <w:rPr>
                <w:rFonts w:cs="Times New Roman" w:asciiTheme="minorEastAsia" w:hAnsiTheme="minorEastAsia" w:eastAsiaTheme="minorEastAsia"/>
                <w:bCs/>
                <w:color w:val="auto"/>
                <w:sz w:val="20"/>
                <w:szCs w:val="20"/>
              </w:rPr>
              <w:t>W</w:t>
            </w:r>
            <w:r>
              <w:rPr>
                <w:rFonts w:hint="eastAsia" w:cs="Times New Roman" w:asciiTheme="minorEastAsia" w:hAnsiTheme="minorEastAsia" w:eastAsiaTheme="minorEastAsia"/>
                <w:bCs/>
                <w:color w:val="auto"/>
                <w:sz w:val="20"/>
                <w:szCs w:val="20"/>
              </w:rPr>
              <w:t>，单个功率模块容量建议为5</w:t>
            </w:r>
            <w:r>
              <w:rPr>
                <w:rFonts w:cs="Times New Roman" w:asciiTheme="minorEastAsia" w:hAnsiTheme="minorEastAsia" w:eastAsiaTheme="minorEastAsia"/>
                <w:bCs/>
                <w:color w:val="auto"/>
                <w:sz w:val="20"/>
                <w:szCs w:val="20"/>
              </w:rPr>
              <w:t>0</w:t>
            </w:r>
            <w:r>
              <w:rPr>
                <w:rFonts w:hint="eastAsia" w:cs="Times New Roman" w:asciiTheme="minorEastAsia" w:hAnsiTheme="minorEastAsia" w:eastAsiaTheme="minorEastAsia"/>
                <w:bCs/>
                <w:color w:val="auto"/>
                <w:sz w:val="20"/>
                <w:szCs w:val="20"/>
                <w:lang w:val="en-US" w:eastAsia="zh-CN"/>
              </w:rPr>
              <w:t>k</w:t>
            </w:r>
            <w:r>
              <w:rPr>
                <w:rFonts w:cs="Times New Roman" w:asciiTheme="minorEastAsia" w:hAnsiTheme="minorEastAsia" w:eastAsiaTheme="minorEastAsia"/>
                <w:bCs/>
                <w:color w:val="auto"/>
                <w:sz w:val="20"/>
                <w:szCs w:val="20"/>
              </w:rPr>
              <w:t>W</w:t>
            </w:r>
            <w:r>
              <w:rPr>
                <w:rFonts w:hint="eastAsia" w:cs="Times New Roman" w:asciiTheme="minorEastAsia" w:hAnsiTheme="minorEastAsia" w:eastAsiaTheme="minorEastAsia"/>
                <w:bCs/>
                <w:color w:val="auto"/>
                <w:sz w:val="20"/>
                <w:szCs w:val="20"/>
              </w:rPr>
              <w:t>。</w:t>
            </w:r>
          </w:p>
          <w:p>
            <w:pPr>
              <w:spacing w:line="20" w:lineRule="atLeast"/>
              <w:jc w:val="left"/>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UPS主机采用模块化可热插拔的架构，功率模块可以实现内部冗余功能，以保证提供最高的可用性。为保障操作人员的安全，带电插拔功率模块时，需保证避免电弧的产生或者确保拉弧能量小于1.2cal/cm2，请提供U</w:t>
            </w:r>
            <w:r>
              <w:rPr>
                <w:rFonts w:cs="Times New Roman" w:asciiTheme="minorEastAsia" w:hAnsiTheme="minorEastAsia" w:eastAsiaTheme="minorEastAsia"/>
                <w:bCs/>
                <w:color w:val="auto"/>
                <w:sz w:val="20"/>
                <w:szCs w:val="20"/>
              </w:rPr>
              <w:t>L</w:t>
            </w:r>
            <w:r>
              <w:rPr>
                <w:rFonts w:hint="eastAsia" w:cs="Times New Roman" w:asciiTheme="minorEastAsia" w:hAnsiTheme="minorEastAsia" w:eastAsiaTheme="minorEastAsia"/>
                <w:bCs/>
                <w:color w:val="auto"/>
                <w:sz w:val="20"/>
                <w:szCs w:val="20"/>
              </w:rPr>
              <w:t>认证证明文件。</w:t>
            </w:r>
          </w:p>
        </w:tc>
        <w:tc>
          <w:tcPr>
            <w:tcW w:w="1426" w:type="dxa"/>
            <w:vAlign w:val="center"/>
          </w:tcPr>
          <w:p>
            <w:pPr>
              <w:spacing w:line="360" w:lineRule="exact"/>
              <w:jc w:val="center"/>
              <w:rPr>
                <w:rFonts w:asciiTheme="minorEastAsia" w:hAnsiTheme="minorEastAsia" w:eastAsiaTheme="minorEastAsia"/>
                <w:color w:val="auto"/>
                <w:sz w:val="20"/>
                <w:szCs w:val="20"/>
              </w:rPr>
            </w:pPr>
          </w:p>
        </w:tc>
        <w:tc>
          <w:tcPr>
            <w:tcW w:w="1690" w:type="dxa"/>
            <w:vAlign w:val="center"/>
          </w:tcPr>
          <w:p>
            <w:pPr>
              <w:spacing w:line="360" w:lineRule="exact"/>
              <w:jc w:val="center"/>
              <w:rPr>
                <w:rFonts w:asciiTheme="minorEastAsia" w:hAnsiTheme="minorEastAsia" w:eastAsiaTheme="min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49" w:type="dxa"/>
            <w:vAlign w:val="center"/>
          </w:tcPr>
          <w:p>
            <w:pPr>
              <w:spacing w:line="360" w:lineRule="exact"/>
              <w:jc w:val="center"/>
              <w:rPr>
                <w:rFonts w:asciiTheme="minorEastAsia" w:hAnsiTheme="minorEastAsia" w:eastAsiaTheme="minorEastAsia"/>
                <w:color w:val="auto"/>
                <w:sz w:val="20"/>
                <w:szCs w:val="20"/>
              </w:rPr>
            </w:pPr>
            <w:r>
              <w:rPr>
                <w:rFonts w:hint="eastAsia" w:asciiTheme="minorEastAsia" w:hAnsiTheme="minorEastAsia" w:eastAsiaTheme="minorEastAsia"/>
                <w:color w:val="auto"/>
                <w:sz w:val="20"/>
                <w:szCs w:val="20"/>
              </w:rPr>
              <w:t>2</w:t>
            </w:r>
          </w:p>
        </w:tc>
        <w:tc>
          <w:tcPr>
            <w:tcW w:w="1247" w:type="dxa"/>
            <w:vAlign w:val="center"/>
          </w:tcPr>
          <w:p>
            <w:pPr>
              <w:spacing w:line="20" w:lineRule="atLeast"/>
              <w:jc w:val="center"/>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输出功率因素</w:t>
            </w:r>
          </w:p>
        </w:tc>
        <w:tc>
          <w:tcPr>
            <w:tcW w:w="4345" w:type="dxa"/>
          </w:tcPr>
          <w:p>
            <w:pPr>
              <w:spacing w:line="20" w:lineRule="atLeast"/>
              <w:jc w:val="left"/>
              <w:rPr>
                <w:rFonts w:cs="Times New Roman" w:asciiTheme="minorEastAsia" w:hAnsiTheme="minorEastAsia" w:eastAsiaTheme="minorEastAsia"/>
                <w:bCs/>
                <w:color w:val="auto"/>
                <w:sz w:val="20"/>
                <w:szCs w:val="20"/>
              </w:rPr>
            </w:pPr>
            <w:r>
              <w:rPr>
                <w:rFonts w:cs="Times New Roman" w:asciiTheme="minorEastAsia" w:hAnsiTheme="minorEastAsia" w:eastAsiaTheme="minorEastAsia"/>
                <w:bCs/>
                <w:color w:val="auto"/>
                <w:sz w:val="20"/>
                <w:szCs w:val="20"/>
              </w:rPr>
              <w:t>1</w:t>
            </w:r>
          </w:p>
        </w:tc>
        <w:tc>
          <w:tcPr>
            <w:tcW w:w="1426" w:type="dxa"/>
            <w:vAlign w:val="center"/>
          </w:tcPr>
          <w:p>
            <w:pPr>
              <w:spacing w:line="360" w:lineRule="exact"/>
              <w:jc w:val="center"/>
              <w:rPr>
                <w:rFonts w:asciiTheme="minorEastAsia" w:hAnsiTheme="minorEastAsia" w:eastAsiaTheme="minorEastAsia"/>
                <w:color w:val="auto"/>
                <w:sz w:val="20"/>
                <w:szCs w:val="20"/>
              </w:rPr>
            </w:pPr>
          </w:p>
        </w:tc>
        <w:tc>
          <w:tcPr>
            <w:tcW w:w="1690" w:type="dxa"/>
            <w:vAlign w:val="center"/>
          </w:tcPr>
          <w:p>
            <w:pPr>
              <w:spacing w:line="360" w:lineRule="exact"/>
              <w:jc w:val="center"/>
              <w:rPr>
                <w:rFonts w:asciiTheme="minorEastAsia" w:hAnsiTheme="minorEastAsia" w:eastAsiaTheme="min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49" w:type="dxa"/>
            <w:vAlign w:val="center"/>
          </w:tcPr>
          <w:p>
            <w:pPr>
              <w:spacing w:line="360" w:lineRule="exact"/>
              <w:jc w:val="center"/>
              <w:rPr>
                <w:rFonts w:asciiTheme="minorEastAsia" w:hAnsiTheme="minorEastAsia" w:eastAsiaTheme="minorEastAsia"/>
                <w:color w:val="auto"/>
                <w:sz w:val="20"/>
                <w:szCs w:val="20"/>
              </w:rPr>
            </w:pPr>
            <w:r>
              <w:rPr>
                <w:rFonts w:hint="eastAsia" w:asciiTheme="minorEastAsia" w:hAnsiTheme="minorEastAsia" w:eastAsiaTheme="minorEastAsia"/>
                <w:color w:val="auto"/>
                <w:sz w:val="20"/>
                <w:szCs w:val="20"/>
              </w:rPr>
              <w:t>3</w:t>
            </w:r>
          </w:p>
        </w:tc>
        <w:tc>
          <w:tcPr>
            <w:tcW w:w="1247" w:type="dxa"/>
            <w:vAlign w:val="center"/>
          </w:tcPr>
          <w:p>
            <w:pPr>
              <w:spacing w:line="20" w:lineRule="atLeast"/>
              <w:jc w:val="center"/>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输出电压</w:t>
            </w:r>
          </w:p>
        </w:tc>
        <w:tc>
          <w:tcPr>
            <w:tcW w:w="4345" w:type="dxa"/>
          </w:tcPr>
          <w:p>
            <w:pPr>
              <w:spacing w:line="20" w:lineRule="atLeast"/>
              <w:jc w:val="left"/>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 xml:space="preserve">AC纯正弦波 </w:t>
            </w:r>
            <w:r>
              <w:rPr>
                <w:rFonts w:cs="Times New Roman" w:asciiTheme="minorEastAsia" w:hAnsiTheme="minorEastAsia" w:eastAsiaTheme="minorEastAsia"/>
                <w:bCs/>
                <w:color w:val="auto"/>
                <w:sz w:val="20"/>
                <w:szCs w:val="20"/>
              </w:rPr>
              <w:t>380</w:t>
            </w:r>
            <w:r>
              <w:rPr>
                <w:rFonts w:hint="eastAsia" w:cs="Times New Roman" w:asciiTheme="minorEastAsia" w:hAnsiTheme="minorEastAsia" w:eastAsiaTheme="minorEastAsia"/>
                <w:bCs/>
                <w:color w:val="auto"/>
                <w:sz w:val="20"/>
                <w:szCs w:val="20"/>
              </w:rPr>
              <w:t>V/50HZ</w:t>
            </w:r>
          </w:p>
        </w:tc>
        <w:tc>
          <w:tcPr>
            <w:tcW w:w="1426" w:type="dxa"/>
            <w:vAlign w:val="center"/>
          </w:tcPr>
          <w:p>
            <w:pPr>
              <w:spacing w:line="360" w:lineRule="exact"/>
              <w:jc w:val="center"/>
              <w:rPr>
                <w:rFonts w:asciiTheme="minorEastAsia" w:hAnsiTheme="minorEastAsia" w:eastAsiaTheme="minorEastAsia"/>
                <w:color w:val="auto"/>
                <w:sz w:val="20"/>
                <w:szCs w:val="20"/>
              </w:rPr>
            </w:pPr>
          </w:p>
        </w:tc>
        <w:tc>
          <w:tcPr>
            <w:tcW w:w="1690" w:type="dxa"/>
            <w:vAlign w:val="center"/>
          </w:tcPr>
          <w:p>
            <w:pPr>
              <w:spacing w:line="360" w:lineRule="exact"/>
              <w:jc w:val="center"/>
              <w:rPr>
                <w:rFonts w:asciiTheme="minorEastAsia" w:hAnsiTheme="minorEastAsia" w:eastAsiaTheme="min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49" w:type="dxa"/>
            <w:vAlign w:val="center"/>
          </w:tcPr>
          <w:p>
            <w:pPr>
              <w:spacing w:line="360" w:lineRule="exact"/>
              <w:jc w:val="center"/>
              <w:rPr>
                <w:rFonts w:asciiTheme="minorEastAsia" w:hAnsiTheme="minorEastAsia" w:eastAsiaTheme="minorEastAsia"/>
                <w:color w:val="auto"/>
                <w:sz w:val="20"/>
                <w:szCs w:val="20"/>
              </w:rPr>
            </w:pPr>
            <w:r>
              <w:rPr>
                <w:rFonts w:hint="eastAsia" w:asciiTheme="minorEastAsia" w:hAnsiTheme="minorEastAsia" w:eastAsiaTheme="minorEastAsia"/>
                <w:color w:val="auto"/>
                <w:sz w:val="20"/>
                <w:szCs w:val="20"/>
              </w:rPr>
              <w:t>4</w:t>
            </w:r>
          </w:p>
        </w:tc>
        <w:tc>
          <w:tcPr>
            <w:tcW w:w="1247" w:type="dxa"/>
            <w:vAlign w:val="center"/>
          </w:tcPr>
          <w:p>
            <w:pPr>
              <w:spacing w:line="20" w:lineRule="atLeast"/>
              <w:jc w:val="center"/>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输出波形</w:t>
            </w:r>
          </w:p>
        </w:tc>
        <w:tc>
          <w:tcPr>
            <w:tcW w:w="4345" w:type="dxa"/>
          </w:tcPr>
          <w:p>
            <w:pPr>
              <w:spacing w:line="20" w:lineRule="atLeast"/>
              <w:jc w:val="left"/>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纯正弦波</w:t>
            </w:r>
          </w:p>
        </w:tc>
        <w:tc>
          <w:tcPr>
            <w:tcW w:w="1426" w:type="dxa"/>
            <w:vAlign w:val="center"/>
          </w:tcPr>
          <w:p>
            <w:pPr>
              <w:spacing w:line="360" w:lineRule="exact"/>
              <w:jc w:val="center"/>
              <w:rPr>
                <w:rFonts w:asciiTheme="minorEastAsia" w:hAnsiTheme="minorEastAsia" w:eastAsiaTheme="minorEastAsia"/>
                <w:color w:val="auto"/>
                <w:sz w:val="20"/>
                <w:szCs w:val="20"/>
              </w:rPr>
            </w:pPr>
          </w:p>
        </w:tc>
        <w:tc>
          <w:tcPr>
            <w:tcW w:w="1690" w:type="dxa"/>
            <w:vAlign w:val="center"/>
          </w:tcPr>
          <w:p>
            <w:pPr>
              <w:spacing w:line="360" w:lineRule="exact"/>
              <w:jc w:val="center"/>
              <w:rPr>
                <w:rFonts w:asciiTheme="minorEastAsia" w:hAnsiTheme="minorEastAsia" w:eastAsiaTheme="min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49" w:type="dxa"/>
            <w:vAlign w:val="center"/>
          </w:tcPr>
          <w:p>
            <w:pPr>
              <w:spacing w:line="360" w:lineRule="exact"/>
              <w:jc w:val="center"/>
              <w:rPr>
                <w:rFonts w:asciiTheme="minorEastAsia" w:hAnsiTheme="minorEastAsia" w:eastAsiaTheme="minorEastAsia"/>
                <w:color w:val="auto"/>
                <w:sz w:val="20"/>
                <w:szCs w:val="20"/>
              </w:rPr>
            </w:pPr>
            <w:r>
              <w:rPr>
                <w:rFonts w:hint="eastAsia" w:asciiTheme="minorEastAsia" w:hAnsiTheme="minorEastAsia" w:eastAsiaTheme="minorEastAsia"/>
                <w:color w:val="auto"/>
                <w:sz w:val="20"/>
                <w:szCs w:val="20"/>
              </w:rPr>
              <w:t>6</w:t>
            </w:r>
          </w:p>
        </w:tc>
        <w:tc>
          <w:tcPr>
            <w:tcW w:w="1247" w:type="dxa"/>
            <w:vAlign w:val="center"/>
          </w:tcPr>
          <w:p>
            <w:pPr>
              <w:spacing w:line="20" w:lineRule="atLeast"/>
              <w:jc w:val="center"/>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电池类型</w:t>
            </w:r>
          </w:p>
        </w:tc>
        <w:tc>
          <w:tcPr>
            <w:tcW w:w="4345" w:type="dxa"/>
          </w:tcPr>
          <w:p>
            <w:pPr>
              <w:spacing w:line="20" w:lineRule="atLeast"/>
              <w:jc w:val="left"/>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锂电池</w:t>
            </w:r>
          </w:p>
        </w:tc>
        <w:tc>
          <w:tcPr>
            <w:tcW w:w="1426" w:type="dxa"/>
            <w:vAlign w:val="center"/>
          </w:tcPr>
          <w:p>
            <w:pPr>
              <w:spacing w:line="360" w:lineRule="exact"/>
              <w:jc w:val="center"/>
              <w:rPr>
                <w:rFonts w:asciiTheme="minorEastAsia" w:hAnsiTheme="minorEastAsia" w:eastAsiaTheme="minorEastAsia"/>
                <w:color w:val="auto"/>
                <w:sz w:val="20"/>
                <w:szCs w:val="20"/>
              </w:rPr>
            </w:pPr>
          </w:p>
        </w:tc>
        <w:tc>
          <w:tcPr>
            <w:tcW w:w="1690" w:type="dxa"/>
            <w:vAlign w:val="center"/>
          </w:tcPr>
          <w:p>
            <w:pPr>
              <w:spacing w:line="360" w:lineRule="exact"/>
              <w:jc w:val="center"/>
              <w:rPr>
                <w:rFonts w:asciiTheme="minorEastAsia" w:hAnsiTheme="minorEastAsia" w:eastAsiaTheme="min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49" w:type="dxa"/>
            <w:vAlign w:val="center"/>
          </w:tcPr>
          <w:p>
            <w:pPr>
              <w:spacing w:line="360" w:lineRule="exact"/>
              <w:jc w:val="center"/>
              <w:rPr>
                <w:rFonts w:asciiTheme="minorEastAsia" w:hAnsiTheme="minorEastAsia" w:eastAsiaTheme="minorEastAsia"/>
                <w:color w:val="auto"/>
                <w:sz w:val="20"/>
                <w:szCs w:val="20"/>
              </w:rPr>
            </w:pPr>
            <w:r>
              <w:rPr>
                <w:rFonts w:hint="eastAsia" w:asciiTheme="minorEastAsia" w:hAnsiTheme="minorEastAsia" w:eastAsiaTheme="minorEastAsia"/>
                <w:color w:val="auto"/>
                <w:sz w:val="20"/>
                <w:szCs w:val="20"/>
                <w:lang w:val="en-US" w:eastAsia="zh-CN"/>
              </w:rPr>
              <w:t>7</w:t>
            </w:r>
          </w:p>
        </w:tc>
        <w:tc>
          <w:tcPr>
            <w:tcW w:w="1247" w:type="dxa"/>
            <w:vAlign w:val="center"/>
          </w:tcPr>
          <w:p>
            <w:pPr>
              <w:spacing w:line="20" w:lineRule="atLeast"/>
              <w:jc w:val="center"/>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后备时间</w:t>
            </w:r>
          </w:p>
        </w:tc>
        <w:tc>
          <w:tcPr>
            <w:tcW w:w="4345" w:type="dxa"/>
          </w:tcPr>
          <w:p>
            <w:pPr>
              <w:spacing w:line="20" w:lineRule="atLeast"/>
              <w:jc w:val="left"/>
              <w:rPr>
                <w:rFonts w:cs="Times New Roman" w:asciiTheme="minorEastAsia" w:hAnsiTheme="minorEastAsia" w:eastAsiaTheme="minorEastAsia"/>
                <w:bCs/>
                <w:color w:val="auto"/>
                <w:sz w:val="20"/>
                <w:szCs w:val="20"/>
              </w:rPr>
            </w:pPr>
            <w:r>
              <w:rPr>
                <w:rFonts w:hint="eastAsia" w:asciiTheme="minorEastAsia" w:hAnsiTheme="minorEastAsia" w:eastAsiaTheme="minorEastAsia"/>
                <w:color w:val="auto"/>
                <w:sz w:val="20"/>
                <w:szCs w:val="20"/>
                <w:lang w:val="en-US" w:eastAsia="zh-CN"/>
              </w:rPr>
              <w:t>电池柜</w:t>
            </w:r>
            <w:r>
              <w:rPr>
                <w:rFonts w:hint="eastAsia" w:asciiTheme="minorEastAsia" w:hAnsiTheme="minorEastAsia" w:eastAsiaTheme="minorEastAsia"/>
                <w:color w:val="auto"/>
                <w:sz w:val="20"/>
                <w:szCs w:val="20"/>
              </w:rPr>
              <w:t>，1</w:t>
            </w:r>
            <w:r>
              <w:rPr>
                <w:rFonts w:asciiTheme="minorEastAsia" w:hAnsiTheme="minorEastAsia" w:eastAsiaTheme="minorEastAsia"/>
                <w:color w:val="auto"/>
                <w:sz w:val="20"/>
                <w:szCs w:val="20"/>
              </w:rPr>
              <w:t>50</w:t>
            </w:r>
            <w:r>
              <w:rPr>
                <w:rFonts w:hint="eastAsia" w:asciiTheme="minorEastAsia" w:hAnsiTheme="minorEastAsia" w:eastAsiaTheme="minorEastAsia"/>
                <w:color w:val="auto"/>
                <w:sz w:val="20"/>
                <w:szCs w:val="20"/>
                <w:lang w:val="en-US" w:eastAsia="zh-CN"/>
              </w:rPr>
              <w:t>k</w:t>
            </w:r>
            <w:r>
              <w:rPr>
                <w:rFonts w:asciiTheme="minorEastAsia" w:hAnsiTheme="minorEastAsia" w:eastAsiaTheme="minorEastAsia"/>
                <w:color w:val="auto"/>
                <w:sz w:val="20"/>
                <w:szCs w:val="20"/>
              </w:rPr>
              <w:t>W</w:t>
            </w:r>
            <w:r>
              <w:rPr>
                <w:rFonts w:hint="eastAsia" w:asciiTheme="minorEastAsia" w:hAnsiTheme="minorEastAsia" w:eastAsiaTheme="minorEastAsia"/>
                <w:color w:val="auto"/>
                <w:sz w:val="20"/>
                <w:szCs w:val="20"/>
              </w:rPr>
              <w:t>对应1</w:t>
            </w:r>
            <w:r>
              <w:rPr>
                <w:rFonts w:asciiTheme="minorEastAsia" w:hAnsiTheme="minorEastAsia" w:eastAsiaTheme="minorEastAsia"/>
                <w:color w:val="auto"/>
                <w:sz w:val="20"/>
                <w:szCs w:val="20"/>
              </w:rPr>
              <w:t>1</w:t>
            </w:r>
            <w:r>
              <w:rPr>
                <w:rFonts w:hint="eastAsia" w:asciiTheme="minorEastAsia" w:hAnsiTheme="minorEastAsia" w:eastAsiaTheme="minorEastAsia"/>
                <w:color w:val="auto"/>
                <w:sz w:val="20"/>
                <w:szCs w:val="20"/>
              </w:rPr>
              <w:t>分钟以上锂电池</w:t>
            </w:r>
          </w:p>
        </w:tc>
        <w:tc>
          <w:tcPr>
            <w:tcW w:w="1426" w:type="dxa"/>
            <w:vAlign w:val="center"/>
          </w:tcPr>
          <w:p>
            <w:pPr>
              <w:spacing w:line="360" w:lineRule="exact"/>
              <w:jc w:val="center"/>
              <w:rPr>
                <w:rFonts w:asciiTheme="minorEastAsia" w:hAnsiTheme="minorEastAsia" w:eastAsiaTheme="minorEastAsia"/>
                <w:color w:val="auto"/>
                <w:sz w:val="20"/>
                <w:szCs w:val="20"/>
              </w:rPr>
            </w:pPr>
          </w:p>
        </w:tc>
        <w:tc>
          <w:tcPr>
            <w:tcW w:w="1690" w:type="dxa"/>
            <w:vAlign w:val="center"/>
          </w:tcPr>
          <w:p>
            <w:pPr>
              <w:spacing w:line="360" w:lineRule="exact"/>
              <w:jc w:val="center"/>
              <w:rPr>
                <w:rFonts w:asciiTheme="minorEastAsia" w:hAnsiTheme="minorEastAsia" w:eastAsiaTheme="min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49" w:type="dxa"/>
            <w:vAlign w:val="center"/>
          </w:tcPr>
          <w:p>
            <w:pPr>
              <w:spacing w:line="360" w:lineRule="exact"/>
              <w:jc w:val="center"/>
              <w:rPr>
                <w:rFonts w:asciiTheme="minorEastAsia" w:hAnsiTheme="minorEastAsia" w:eastAsiaTheme="minorEastAsia"/>
                <w:color w:val="auto"/>
                <w:sz w:val="20"/>
                <w:szCs w:val="20"/>
              </w:rPr>
            </w:pPr>
            <w:r>
              <w:rPr>
                <w:rFonts w:hint="eastAsia" w:asciiTheme="minorEastAsia" w:hAnsiTheme="minorEastAsia" w:eastAsiaTheme="minorEastAsia"/>
                <w:color w:val="auto"/>
                <w:sz w:val="20"/>
                <w:szCs w:val="20"/>
                <w:lang w:val="en-US" w:eastAsia="zh-CN"/>
              </w:rPr>
              <w:t>10</w:t>
            </w:r>
          </w:p>
        </w:tc>
        <w:tc>
          <w:tcPr>
            <w:tcW w:w="1247" w:type="dxa"/>
            <w:vAlign w:val="center"/>
          </w:tcPr>
          <w:p>
            <w:pPr>
              <w:spacing w:line="20" w:lineRule="atLeast"/>
              <w:jc w:val="center"/>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锂电池寿命</w:t>
            </w:r>
          </w:p>
        </w:tc>
        <w:tc>
          <w:tcPr>
            <w:tcW w:w="4345" w:type="dxa"/>
          </w:tcPr>
          <w:p>
            <w:pPr>
              <w:spacing w:line="20" w:lineRule="atLeast"/>
              <w:jc w:val="left"/>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&gt;=1000</w:t>
            </w:r>
            <w:r>
              <w:rPr>
                <w:rFonts w:hint="eastAsia" w:cs="Times New Roman" w:asciiTheme="minorEastAsia" w:hAnsiTheme="minorEastAsia" w:eastAsiaTheme="minorEastAsia"/>
                <w:bCs/>
                <w:color w:val="auto"/>
                <w:sz w:val="20"/>
                <w:szCs w:val="20"/>
                <w:lang w:val="en-US" w:eastAsia="zh-CN"/>
              </w:rPr>
              <w:t>充放电循环</w:t>
            </w:r>
            <w:r>
              <w:rPr>
                <w:rFonts w:hint="eastAsia" w:cs="Times New Roman" w:asciiTheme="minorEastAsia" w:hAnsiTheme="minorEastAsia" w:eastAsiaTheme="minorEastAsia"/>
                <w:bCs/>
                <w:color w:val="auto"/>
                <w:sz w:val="20"/>
                <w:szCs w:val="20"/>
              </w:rPr>
              <w:t xml:space="preserve"> </w:t>
            </w:r>
            <w:r>
              <w:rPr>
                <w:rFonts w:hint="eastAsia" w:cs="Times New Roman" w:asciiTheme="minorEastAsia" w:hAnsiTheme="minorEastAsia" w:eastAsiaTheme="minorEastAsia"/>
                <w:bCs/>
                <w:color w:val="auto"/>
                <w:sz w:val="20"/>
                <w:szCs w:val="20"/>
                <w:lang w:val="en-US" w:eastAsia="zh-CN"/>
              </w:rPr>
              <w:t>容量</w:t>
            </w:r>
            <w:r>
              <w:rPr>
                <w:rFonts w:hint="eastAsia" w:cs="Times New Roman" w:asciiTheme="minorEastAsia" w:hAnsiTheme="minorEastAsia" w:eastAsiaTheme="minorEastAsia"/>
                <w:bCs/>
                <w:color w:val="auto"/>
                <w:sz w:val="20"/>
                <w:szCs w:val="20"/>
              </w:rPr>
              <w:t>&gt;=</w:t>
            </w:r>
            <w:r>
              <w:rPr>
                <w:rFonts w:hint="eastAsia" w:cs="Times New Roman" w:asciiTheme="minorEastAsia" w:hAnsiTheme="minorEastAsia" w:eastAsiaTheme="minorEastAsia"/>
                <w:bCs/>
                <w:color w:val="auto"/>
                <w:sz w:val="20"/>
                <w:szCs w:val="20"/>
                <w:lang w:val="en-US" w:eastAsia="zh-CN"/>
              </w:rPr>
              <w:t>85</w:t>
            </w:r>
            <w:r>
              <w:rPr>
                <w:rFonts w:hint="eastAsia" w:cs="Times New Roman" w:asciiTheme="minorEastAsia" w:hAnsiTheme="minorEastAsia" w:eastAsiaTheme="minorEastAsia"/>
                <w:bCs/>
                <w:color w:val="auto"/>
                <w:sz w:val="20"/>
                <w:szCs w:val="20"/>
              </w:rPr>
              <w:t>%</w:t>
            </w:r>
          </w:p>
        </w:tc>
        <w:tc>
          <w:tcPr>
            <w:tcW w:w="1426" w:type="dxa"/>
            <w:vAlign w:val="center"/>
          </w:tcPr>
          <w:p>
            <w:pPr>
              <w:spacing w:line="360" w:lineRule="exact"/>
              <w:jc w:val="center"/>
              <w:rPr>
                <w:rFonts w:asciiTheme="minorEastAsia" w:hAnsiTheme="minorEastAsia" w:eastAsiaTheme="minorEastAsia"/>
                <w:color w:val="auto"/>
                <w:sz w:val="20"/>
                <w:szCs w:val="20"/>
              </w:rPr>
            </w:pPr>
          </w:p>
        </w:tc>
        <w:tc>
          <w:tcPr>
            <w:tcW w:w="1690" w:type="dxa"/>
            <w:vAlign w:val="center"/>
          </w:tcPr>
          <w:p>
            <w:pPr>
              <w:spacing w:line="360" w:lineRule="exact"/>
              <w:jc w:val="center"/>
              <w:rPr>
                <w:rFonts w:asciiTheme="minorEastAsia" w:hAnsiTheme="minorEastAsia" w:eastAsiaTheme="min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49" w:type="dxa"/>
            <w:vAlign w:val="center"/>
          </w:tcPr>
          <w:p>
            <w:pPr>
              <w:spacing w:line="360" w:lineRule="exact"/>
              <w:jc w:val="center"/>
              <w:rPr>
                <w:rFonts w:asciiTheme="minorEastAsia" w:hAnsiTheme="minorEastAsia" w:eastAsiaTheme="minorEastAsia"/>
                <w:color w:val="auto"/>
                <w:sz w:val="20"/>
                <w:szCs w:val="20"/>
              </w:rPr>
            </w:pPr>
            <w:r>
              <w:rPr>
                <w:rFonts w:hint="eastAsia" w:asciiTheme="minorEastAsia" w:hAnsiTheme="minorEastAsia" w:eastAsiaTheme="minorEastAsia"/>
                <w:color w:val="auto"/>
                <w:sz w:val="20"/>
                <w:szCs w:val="20"/>
              </w:rPr>
              <w:t>1</w:t>
            </w:r>
            <w:r>
              <w:rPr>
                <w:rFonts w:hint="eastAsia" w:asciiTheme="minorEastAsia" w:hAnsiTheme="minorEastAsia" w:eastAsiaTheme="minorEastAsia"/>
                <w:color w:val="auto"/>
                <w:sz w:val="20"/>
                <w:szCs w:val="20"/>
                <w:lang w:val="en-US" w:eastAsia="zh-CN"/>
              </w:rPr>
              <w:t>1</w:t>
            </w:r>
          </w:p>
        </w:tc>
        <w:tc>
          <w:tcPr>
            <w:tcW w:w="1247" w:type="dxa"/>
            <w:vAlign w:val="center"/>
          </w:tcPr>
          <w:p>
            <w:pPr>
              <w:spacing w:line="20" w:lineRule="atLeast"/>
              <w:jc w:val="center"/>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B</w:t>
            </w:r>
            <w:r>
              <w:rPr>
                <w:rFonts w:cs="Times New Roman" w:asciiTheme="minorEastAsia" w:hAnsiTheme="minorEastAsia" w:eastAsiaTheme="minorEastAsia"/>
                <w:bCs/>
                <w:color w:val="auto"/>
                <w:sz w:val="20"/>
                <w:szCs w:val="20"/>
              </w:rPr>
              <w:t>MS</w:t>
            </w:r>
            <w:r>
              <w:rPr>
                <w:rFonts w:hint="eastAsia" w:cs="Times New Roman" w:asciiTheme="minorEastAsia" w:hAnsiTheme="minorEastAsia" w:eastAsiaTheme="minorEastAsia"/>
                <w:bCs/>
                <w:color w:val="auto"/>
                <w:sz w:val="20"/>
                <w:szCs w:val="20"/>
              </w:rPr>
              <w:t>保护功能</w:t>
            </w:r>
          </w:p>
        </w:tc>
        <w:tc>
          <w:tcPr>
            <w:tcW w:w="4345" w:type="dxa"/>
          </w:tcPr>
          <w:p>
            <w:pPr>
              <w:spacing w:line="20" w:lineRule="atLeast"/>
              <w:jc w:val="left"/>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过压、低压、过温、短路保护等</w:t>
            </w:r>
          </w:p>
        </w:tc>
        <w:tc>
          <w:tcPr>
            <w:tcW w:w="1426" w:type="dxa"/>
            <w:vAlign w:val="center"/>
          </w:tcPr>
          <w:p>
            <w:pPr>
              <w:spacing w:line="360" w:lineRule="exact"/>
              <w:jc w:val="center"/>
              <w:rPr>
                <w:rFonts w:asciiTheme="minorEastAsia" w:hAnsiTheme="minorEastAsia" w:eastAsiaTheme="minorEastAsia"/>
                <w:color w:val="auto"/>
                <w:sz w:val="20"/>
                <w:szCs w:val="20"/>
              </w:rPr>
            </w:pPr>
          </w:p>
        </w:tc>
        <w:tc>
          <w:tcPr>
            <w:tcW w:w="1690" w:type="dxa"/>
            <w:vAlign w:val="center"/>
          </w:tcPr>
          <w:p>
            <w:pPr>
              <w:spacing w:line="360" w:lineRule="exact"/>
              <w:jc w:val="center"/>
              <w:rPr>
                <w:rFonts w:asciiTheme="minorEastAsia" w:hAnsiTheme="minorEastAsia" w:eastAsiaTheme="min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1" w:hRule="atLeast"/>
        </w:trPr>
        <w:tc>
          <w:tcPr>
            <w:tcW w:w="449" w:type="dxa"/>
            <w:vAlign w:val="center"/>
          </w:tcPr>
          <w:p>
            <w:pPr>
              <w:spacing w:line="360" w:lineRule="exact"/>
              <w:jc w:val="center"/>
              <w:rPr>
                <w:rFonts w:asciiTheme="minorEastAsia" w:hAnsiTheme="minorEastAsia" w:eastAsiaTheme="minorEastAsia"/>
                <w:color w:val="auto"/>
                <w:sz w:val="20"/>
                <w:szCs w:val="20"/>
              </w:rPr>
            </w:pPr>
            <w:r>
              <w:rPr>
                <w:rFonts w:hint="eastAsia" w:asciiTheme="minorEastAsia" w:hAnsiTheme="minorEastAsia" w:eastAsiaTheme="minorEastAsia"/>
                <w:color w:val="auto"/>
                <w:sz w:val="20"/>
                <w:szCs w:val="20"/>
              </w:rPr>
              <w:t>1</w:t>
            </w:r>
            <w:r>
              <w:rPr>
                <w:rFonts w:hint="eastAsia" w:asciiTheme="minorEastAsia" w:hAnsiTheme="minorEastAsia" w:eastAsiaTheme="minorEastAsia"/>
                <w:color w:val="auto"/>
                <w:sz w:val="20"/>
                <w:szCs w:val="20"/>
                <w:lang w:val="en-US" w:eastAsia="zh-CN"/>
              </w:rPr>
              <w:t>2</w:t>
            </w:r>
          </w:p>
        </w:tc>
        <w:tc>
          <w:tcPr>
            <w:tcW w:w="1247" w:type="dxa"/>
            <w:vAlign w:val="center"/>
          </w:tcPr>
          <w:p>
            <w:pPr>
              <w:spacing w:line="20" w:lineRule="atLeast"/>
              <w:jc w:val="center"/>
              <w:rPr>
                <w:rFonts w:cs="Times New Roman" w:asciiTheme="minorEastAsia" w:hAnsiTheme="minorEastAsia" w:eastAsiaTheme="minorEastAsia"/>
                <w:bCs/>
                <w:color w:val="auto"/>
                <w:sz w:val="20"/>
                <w:szCs w:val="20"/>
              </w:rPr>
            </w:pPr>
            <w:r>
              <w:rPr>
                <w:rFonts w:cs="Times New Roman" w:asciiTheme="minorEastAsia" w:hAnsiTheme="minorEastAsia" w:eastAsiaTheme="minorEastAsia"/>
                <w:bCs/>
                <w:color w:val="auto"/>
                <w:sz w:val="20"/>
                <w:szCs w:val="20"/>
              </w:rPr>
              <w:t>UPS</w:t>
            </w:r>
            <w:r>
              <w:rPr>
                <w:rFonts w:hint="eastAsia" w:cs="Times New Roman" w:asciiTheme="minorEastAsia" w:hAnsiTheme="minorEastAsia" w:eastAsiaTheme="minorEastAsia"/>
                <w:bCs/>
                <w:color w:val="auto"/>
                <w:sz w:val="20"/>
                <w:szCs w:val="20"/>
              </w:rPr>
              <w:t>运行模式</w:t>
            </w:r>
          </w:p>
        </w:tc>
        <w:tc>
          <w:tcPr>
            <w:tcW w:w="4345" w:type="dxa"/>
          </w:tcPr>
          <w:p>
            <w:pPr>
              <w:spacing w:line="20" w:lineRule="atLeast"/>
              <w:jc w:val="left"/>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具有双变换运行模式和节能运行</w:t>
            </w:r>
            <w:r>
              <w:rPr>
                <w:rFonts w:hint="eastAsia" w:cs="Times New Roman" w:asciiTheme="minorEastAsia" w:hAnsiTheme="minorEastAsia" w:eastAsiaTheme="minorEastAsia"/>
                <w:bCs/>
                <w:color w:val="auto"/>
                <w:sz w:val="20"/>
                <w:szCs w:val="20"/>
                <w:highlight w:val="none"/>
                <w:lang w:val="en-US" w:eastAsia="zh-CN"/>
              </w:rPr>
              <w:t>模式</w:t>
            </w:r>
            <w:r>
              <w:rPr>
                <w:rFonts w:hint="eastAsia" w:cs="Times New Roman" w:asciiTheme="minorEastAsia" w:hAnsiTheme="minorEastAsia" w:eastAsiaTheme="minorEastAsia"/>
                <w:bCs/>
                <w:color w:val="auto"/>
                <w:sz w:val="20"/>
                <w:szCs w:val="20"/>
              </w:rPr>
              <w:t>。</w:t>
            </w:r>
          </w:p>
          <w:p>
            <w:pPr>
              <w:spacing w:line="20" w:lineRule="atLeast"/>
              <w:jc w:val="left"/>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在节能运行模式下，U</w:t>
            </w:r>
            <w:r>
              <w:rPr>
                <w:rFonts w:cs="Times New Roman" w:asciiTheme="minorEastAsia" w:hAnsiTheme="minorEastAsia" w:eastAsiaTheme="minorEastAsia"/>
                <w:bCs/>
                <w:color w:val="auto"/>
                <w:sz w:val="20"/>
                <w:szCs w:val="20"/>
              </w:rPr>
              <w:t>PS</w:t>
            </w:r>
            <w:r>
              <w:rPr>
                <w:rFonts w:hint="eastAsia" w:cs="Times New Roman" w:asciiTheme="minorEastAsia" w:hAnsiTheme="minorEastAsia" w:eastAsiaTheme="minorEastAsia"/>
                <w:bCs/>
                <w:color w:val="auto"/>
                <w:sz w:val="20"/>
                <w:szCs w:val="20"/>
              </w:rPr>
              <w:t>应具有继续给电池充电的能力。在节能运行模式时，要求当负载为阻性负载且满载时输入功率因数不小于0.99，输入谐波含量&lt;3%，效率99%；当负载为R</w:t>
            </w:r>
            <w:r>
              <w:rPr>
                <w:rFonts w:cs="Times New Roman" w:asciiTheme="minorEastAsia" w:hAnsiTheme="minorEastAsia" w:eastAsiaTheme="minorEastAsia"/>
                <w:bCs/>
                <w:color w:val="auto"/>
                <w:sz w:val="20"/>
                <w:szCs w:val="20"/>
              </w:rPr>
              <w:t>CD</w:t>
            </w:r>
            <w:r>
              <w:rPr>
                <w:rFonts w:hint="eastAsia" w:cs="Times New Roman" w:asciiTheme="minorEastAsia" w:hAnsiTheme="minorEastAsia" w:eastAsiaTheme="minorEastAsia"/>
                <w:bCs/>
                <w:color w:val="auto"/>
                <w:sz w:val="20"/>
                <w:szCs w:val="20"/>
              </w:rPr>
              <w:t>负载且满载时输入功率因数不小于0.9</w:t>
            </w:r>
            <w:r>
              <w:rPr>
                <w:rFonts w:cs="Times New Roman" w:asciiTheme="minorEastAsia" w:hAnsiTheme="minorEastAsia" w:eastAsiaTheme="minorEastAsia"/>
                <w:bCs/>
                <w:color w:val="auto"/>
                <w:sz w:val="20"/>
                <w:szCs w:val="20"/>
              </w:rPr>
              <w:t>8</w:t>
            </w:r>
            <w:r>
              <w:rPr>
                <w:rFonts w:hint="eastAsia" w:cs="Times New Roman" w:asciiTheme="minorEastAsia" w:hAnsiTheme="minorEastAsia" w:eastAsiaTheme="minorEastAsia"/>
                <w:bCs/>
                <w:color w:val="auto"/>
                <w:sz w:val="20"/>
                <w:szCs w:val="20"/>
              </w:rPr>
              <w:t>，输入谐波含量&lt;</w:t>
            </w:r>
            <w:r>
              <w:rPr>
                <w:rFonts w:cs="Times New Roman" w:asciiTheme="minorEastAsia" w:hAnsiTheme="minorEastAsia" w:eastAsiaTheme="minorEastAsia"/>
                <w:bCs/>
                <w:color w:val="auto"/>
                <w:sz w:val="20"/>
                <w:szCs w:val="20"/>
              </w:rPr>
              <w:t>15</w:t>
            </w:r>
            <w:r>
              <w:rPr>
                <w:rFonts w:hint="eastAsia" w:cs="Times New Roman" w:asciiTheme="minorEastAsia" w:hAnsiTheme="minorEastAsia" w:eastAsiaTheme="minorEastAsia"/>
                <w:bCs/>
                <w:color w:val="auto"/>
                <w:sz w:val="20"/>
                <w:szCs w:val="20"/>
              </w:rPr>
              <w:t>%，效率不低于9</w:t>
            </w:r>
            <w:r>
              <w:rPr>
                <w:rFonts w:cs="Times New Roman" w:asciiTheme="minorEastAsia" w:hAnsiTheme="minorEastAsia" w:eastAsiaTheme="minorEastAsia"/>
                <w:bCs/>
                <w:color w:val="auto"/>
                <w:sz w:val="20"/>
                <w:szCs w:val="20"/>
              </w:rPr>
              <w:t>5</w:t>
            </w:r>
            <w:r>
              <w:rPr>
                <w:rFonts w:hint="eastAsia" w:cs="Times New Roman" w:asciiTheme="minorEastAsia" w:hAnsiTheme="minorEastAsia" w:eastAsiaTheme="minorEastAsia"/>
                <w:bCs/>
                <w:color w:val="auto"/>
                <w:sz w:val="20"/>
                <w:szCs w:val="20"/>
              </w:rPr>
              <w:t>%。节能运行模式需提供第三方测试报告。</w:t>
            </w:r>
          </w:p>
          <w:p>
            <w:pPr>
              <w:spacing w:line="20" w:lineRule="atLeast"/>
              <w:jc w:val="left"/>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双变换运行模式和节能运行模相互切换时间为零。要求可对运行模式进行编程，在不同的时间段可自动切换运行在不同的模式。</w:t>
            </w:r>
          </w:p>
        </w:tc>
        <w:tc>
          <w:tcPr>
            <w:tcW w:w="1426" w:type="dxa"/>
            <w:vAlign w:val="center"/>
          </w:tcPr>
          <w:p>
            <w:pPr>
              <w:spacing w:line="360" w:lineRule="exact"/>
              <w:jc w:val="center"/>
              <w:rPr>
                <w:rFonts w:asciiTheme="minorEastAsia" w:hAnsiTheme="minorEastAsia" w:eastAsiaTheme="minorEastAsia"/>
                <w:color w:val="auto"/>
                <w:sz w:val="20"/>
                <w:szCs w:val="20"/>
              </w:rPr>
            </w:pPr>
          </w:p>
        </w:tc>
        <w:tc>
          <w:tcPr>
            <w:tcW w:w="1690" w:type="dxa"/>
            <w:vAlign w:val="center"/>
          </w:tcPr>
          <w:p>
            <w:pPr>
              <w:spacing w:line="360" w:lineRule="exact"/>
              <w:jc w:val="center"/>
              <w:rPr>
                <w:rFonts w:asciiTheme="minorEastAsia" w:hAnsiTheme="minorEastAsia" w:eastAsiaTheme="min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449" w:type="dxa"/>
            <w:vAlign w:val="center"/>
          </w:tcPr>
          <w:p>
            <w:pPr>
              <w:spacing w:line="360" w:lineRule="exact"/>
              <w:jc w:val="center"/>
              <w:rPr>
                <w:rFonts w:asciiTheme="minorEastAsia" w:hAnsiTheme="minorEastAsia" w:eastAsiaTheme="minorEastAsia"/>
                <w:color w:val="auto"/>
                <w:sz w:val="20"/>
                <w:szCs w:val="20"/>
              </w:rPr>
            </w:pPr>
            <w:r>
              <w:rPr>
                <w:rFonts w:hint="eastAsia" w:asciiTheme="minorEastAsia" w:hAnsiTheme="minorEastAsia" w:eastAsiaTheme="minorEastAsia"/>
                <w:color w:val="auto"/>
                <w:sz w:val="20"/>
                <w:szCs w:val="20"/>
              </w:rPr>
              <w:t>1</w:t>
            </w:r>
            <w:r>
              <w:rPr>
                <w:rFonts w:hint="eastAsia" w:asciiTheme="minorEastAsia" w:hAnsiTheme="minorEastAsia" w:eastAsiaTheme="minorEastAsia"/>
                <w:color w:val="auto"/>
                <w:sz w:val="20"/>
                <w:szCs w:val="20"/>
                <w:lang w:val="en-US" w:eastAsia="zh-CN"/>
              </w:rPr>
              <w:t>3</w:t>
            </w:r>
          </w:p>
        </w:tc>
        <w:tc>
          <w:tcPr>
            <w:tcW w:w="1247" w:type="dxa"/>
            <w:vAlign w:val="center"/>
          </w:tcPr>
          <w:p>
            <w:pPr>
              <w:spacing w:line="20" w:lineRule="atLeast"/>
              <w:jc w:val="center"/>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U</w:t>
            </w:r>
            <w:r>
              <w:rPr>
                <w:rFonts w:cs="Times New Roman" w:asciiTheme="minorEastAsia" w:hAnsiTheme="minorEastAsia" w:eastAsiaTheme="minorEastAsia"/>
                <w:bCs/>
                <w:color w:val="auto"/>
                <w:sz w:val="20"/>
                <w:szCs w:val="20"/>
              </w:rPr>
              <w:t>PS</w:t>
            </w:r>
            <w:r>
              <w:rPr>
                <w:rFonts w:hint="eastAsia" w:cs="Times New Roman" w:asciiTheme="minorEastAsia" w:hAnsiTheme="minorEastAsia" w:eastAsiaTheme="minorEastAsia"/>
                <w:bCs/>
                <w:color w:val="auto"/>
                <w:sz w:val="20"/>
                <w:szCs w:val="20"/>
              </w:rPr>
              <w:t>工作环境温度</w:t>
            </w:r>
          </w:p>
        </w:tc>
        <w:tc>
          <w:tcPr>
            <w:tcW w:w="4345" w:type="dxa"/>
          </w:tcPr>
          <w:p>
            <w:pPr>
              <w:spacing w:line="20" w:lineRule="atLeast"/>
              <w:jc w:val="left"/>
              <w:rPr>
                <w:rFonts w:hint="eastAsia" w:cs="Times New Roman" w:asciiTheme="minorEastAsia" w:hAnsiTheme="minorEastAsia" w:eastAsiaTheme="minorEastAsia"/>
                <w:bCs/>
                <w:color w:val="auto"/>
                <w:sz w:val="20"/>
                <w:szCs w:val="20"/>
                <w:lang w:val="en-US" w:eastAsia="zh-CN"/>
              </w:rPr>
            </w:pPr>
            <w:r>
              <w:rPr>
                <w:rFonts w:cs="Times New Roman" w:asciiTheme="minorEastAsia" w:hAnsiTheme="minorEastAsia" w:eastAsiaTheme="minorEastAsia"/>
                <w:bCs/>
                <w:color w:val="auto"/>
                <w:sz w:val="20"/>
                <w:szCs w:val="20"/>
              </w:rPr>
              <w:t>0</w:t>
            </w:r>
            <w:r>
              <w:rPr>
                <w:rFonts w:hint="eastAsia" w:cs="Times New Roman" w:asciiTheme="minorEastAsia" w:hAnsiTheme="minorEastAsia" w:eastAsiaTheme="minorEastAsia"/>
                <w:bCs/>
                <w:color w:val="auto"/>
                <w:sz w:val="20"/>
                <w:szCs w:val="20"/>
              </w:rPr>
              <w:t xml:space="preserve">℃ ~ </w:t>
            </w:r>
            <w:r>
              <w:rPr>
                <w:rFonts w:cs="Times New Roman" w:asciiTheme="minorEastAsia" w:hAnsiTheme="minorEastAsia" w:eastAsiaTheme="minorEastAsia"/>
                <w:bCs/>
                <w:color w:val="auto"/>
                <w:sz w:val="20"/>
                <w:szCs w:val="20"/>
              </w:rPr>
              <w:t>4</w:t>
            </w:r>
            <w:r>
              <w:rPr>
                <w:rFonts w:hint="eastAsia" w:cs="Times New Roman" w:asciiTheme="minorEastAsia" w:hAnsiTheme="minorEastAsia" w:eastAsiaTheme="minorEastAsia"/>
                <w:bCs/>
                <w:color w:val="auto"/>
                <w:sz w:val="20"/>
                <w:szCs w:val="20"/>
              </w:rPr>
              <w:t>0℃含4</w:t>
            </w:r>
            <w:r>
              <w:rPr>
                <w:rFonts w:cs="Times New Roman" w:asciiTheme="minorEastAsia" w:hAnsiTheme="minorEastAsia" w:eastAsiaTheme="minorEastAsia"/>
                <w:bCs/>
                <w:color w:val="auto"/>
                <w:sz w:val="20"/>
                <w:szCs w:val="20"/>
              </w:rPr>
              <w:t>0</w:t>
            </w:r>
            <w:r>
              <w:rPr>
                <w:rFonts w:hint="eastAsia" w:cs="Times New Roman" w:asciiTheme="minorEastAsia" w:hAnsiTheme="minorEastAsia" w:eastAsiaTheme="minorEastAsia"/>
                <w:bCs/>
                <w:color w:val="auto"/>
                <w:sz w:val="20"/>
                <w:szCs w:val="20"/>
              </w:rPr>
              <w:t>℃满载持续运行，</w:t>
            </w:r>
            <w:r>
              <w:rPr>
                <w:rFonts w:cs="Times New Roman" w:asciiTheme="minorEastAsia" w:hAnsiTheme="minorEastAsia" w:eastAsiaTheme="minorEastAsia"/>
                <w:bCs/>
                <w:color w:val="auto"/>
                <w:sz w:val="20"/>
                <w:szCs w:val="20"/>
              </w:rPr>
              <w:t>4</w:t>
            </w:r>
            <w:r>
              <w:rPr>
                <w:rFonts w:hint="eastAsia" w:cs="Times New Roman" w:asciiTheme="minorEastAsia" w:hAnsiTheme="minorEastAsia" w:eastAsiaTheme="minorEastAsia"/>
                <w:bCs/>
                <w:color w:val="auto"/>
                <w:sz w:val="20"/>
                <w:szCs w:val="20"/>
              </w:rPr>
              <w:t>0℃以上到5</w:t>
            </w:r>
            <w:r>
              <w:rPr>
                <w:rFonts w:cs="Times New Roman" w:asciiTheme="minorEastAsia" w:hAnsiTheme="minorEastAsia" w:eastAsiaTheme="minorEastAsia"/>
                <w:bCs/>
                <w:color w:val="auto"/>
                <w:sz w:val="20"/>
                <w:szCs w:val="20"/>
              </w:rPr>
              <w:t>0</w:t>
            </w:r>
            <w:r>
              <w:rPr>
                <w:rFonts w:hint="eastAsia" w:cs="Times New Roman" w:asciiTheme="minorEastAsia" w:hAnsiTheme="minorEastAsia" w:eastAsiaTheme="minorEastAsia"/>
                <w:bCs/>
                <w:color w:val="auto"/>
                <w:sz w:val="20"/>
                <w:szCs w:val="20"/>
              </w:rPr>
              <w:t>℃，U</w:t>
            </w:r>
            <w:r>
              <w:rPr>
                <w:rFonts w:cs="Times New Roman" w:asciiTheme="minorEastAsia" w:hAnsiTheme="minorEastAsia" w:eastAsiaTheme="minorEastAsia"/>
                <w:bCs/>
                <w:color w:val="auto"/>
                <w:sz w:val="20"/>
                <w:szCs w:val="20"/>
              </w:rPr>
              <w:t>PS</w:t>
            </w:r>
            <w:r>
              <w:rPr>
                <w:rFonts w:hint="eastAsia" w:cs="Times New Roman" w:asciiTheme="minorEastAsia" w:hAnsiTheme="minorEastAsia" w:eastAsiaTheme="minorEastAsia"/>
                <w:bCs/>
                <w:color w:val="auto"/>
                <w:sz w:val="20"/>
                <w:szCs w:val="20"/>
              </w:rPr>
              <w:t>可以降容运行。高温运行能力需提供第三方测试报告。</w:t>
            </w:r>
            <w:r>
              <w:rPr>
                <w:rFonts w:hint="eastAsia" w:cs="Times New Roman" w:asciiTheme="minorEastAsia" w:hAnsiTheme="minorEastAsia" w:eastAsiaTheme="minorEastAsia"/>
                <w:bCs/>
                <w:color w:val="auto"/>
                <w:sz w:val="20"/>
                <w:szCs w:val="20"/>
                <w:highlight w:val="none"/>
                <w:lang w:val="en-US" w:eastAsia="zh-CN"/>
              </w:rPr>
              <w:t>满载运行不能高于50</w:t>
            </w:r>
            <w:r>
              <w:rPr>
                <w:rFonts w:hint="eastAsia" w:cs="Times New Roman" w:asciiTheme="minorEastAsia" w:hAnsiTheme="minorEastAsia" w:eastAsiaTheme="minorEastAsia"/>
                <w:bCs/>
                <w:color w:val="auto"/>
                <w:sz w:val="20"/>
                <w:szCs w:val="20"/>
                <w:highlight w:val="none"/>
              </w:rPr>
              <w:t>℃</w:t>
            </w:r>
            <w:r>
              <w:rPr>
                <w:rFonts w:hint="eastAsia" w:cs="Times New Roman" w:asciiTheme="minorEastAsia" w:hAnsiTheme="minorEastAsia" w:eastAsiaTheme="minorEastAsia"/>
                <w:bCs/>
                <w:color w:val="auto"/>
                <w:sz w:val="20"/>
                <w:szCs w:val="20"/>
                <w:highlight w:val="none"/>
                <w:lang w:eastAsia="zh-CN"/>
              </w:rPr>
              <w:t>。</w:t>
            </w:r>
          </w:p>
        </w:tc>
        <w:tc>
          <w:tcPr>
            <w:tcW w:w="1426" w:type="dxa"/>
            <w:vAlign w:val="center"/>
          </w:tcPr>
          <w:p>
            <w:pPr>
              <w:spacing w:line="360" w:lineRule="exact"/>
              <w:jc w:val="center"/>
              <w:rPr>
                <w:rFonts w:asciiTheme="minorEastAsia" w:hAnsiTheme="minorEastAsia" w:eastAsiaTheme="minorEastAsia"/>
                <w:color w:val="auto"/>
                <w:sz w:val="20"/>
                <w:szCs w:val="20"/>
              </w:rPr>
            </w:pPr>
          </w:p>
        </w:tc>
        <w:tc>
          <w:tcPr>
            <w:tcW w:w="1690" w:type="dxa"/>
            <w:vAlign w:val="center"/>
          </w:tcPr>
          <w:p>
            <w:pPr>
              <w:spacing w:line="360" w:lineRule="exact"/>
              <w:jc w:val="center"/>
              <w:rPr>
                <w:rFonts w:asciiTheme="minorEastAsia" w:hAnsiTheme="minorEastAsia" w:eastAsiaTheme="min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atLeast"/>
        </w:trPr>
        <w:tc>
          <w:tcPr>
            <w:tcW w:w="449" w:type="dxa"/>
            <w:vAlign w:val="center"/>
          </w:tcPr>
          <w:p>
            <w:pPr>
              <w:spacing w:line="360" w:lineRule="exact"/>
              <w:jc w:val="center"/>
              <w:rPr>
                <w:rFonts w:asciiTheme="minorEastAsia" w:hAnsiTheme="minorEastAsia" w:eastAsiaTheme="minorEastAsia"/>
                <w:color w:val="auto"/>
                <w:sz w:val="20"/>
                <w:szCs w:val="20"/>
              </w:rPr>
            </w:pPr>
            <w:r>
              <w:rPr>
                <w:rFonts w:hint="eastAsia" w:asciiTheme="minorEastAsia" w:hAnsiTheme="minorEastAsia" w:eastAsiaTheme="minorEastAsia"/>
                <w:color w:val="auto"/>
                <w:sz w:val="20"/>
                <w:szCs w:val="20"/>
              </w:rPr>
              <w:t>1</w:t>
            </w:r>
            <w:r>
              <w:rPr>
                <w:rFonts w:hint="eastAsia" w:asciiTheme="minorEastAsia" w:hAnsiTheme="minorEastAsia" w:eastAsiaTheme="minorEastAsia"/>
                <w:color w:val="auto"/>
                <w:sz w:val="20"/>
                <w:szCs w:val="20"/>
                <w:lang w:val="en-US" w:eastAsia="zh-CN"/>
              </w:rPr>
              <w:t>4</w:t>
            </w:r>
          </w:p>
        </w:tc>
        <w:tc>
          <w:tcPr>
            <w:tcW w:w="1247" w:type="dxa"/>
            <w:vAlign w:val="center"/>
          </w:tcPr>
          <w:p>
            <w:pPr>
              <w:spacing w:line="20" w:lineRule="atLeast"/>
              <w:jc w:val="center"/>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人机交互</w:t>
            </w:r>
          </w:p>
        </w:tc>
        <w:tc>
          <w:tcPr>
            <w:tcW w:w="4345" w:type="dxa"/>
          </w:tcPr>
          <w:p>
            <w:pPr>
              <w:spacing w:line="20" w:lineRule="atLeast"/>
              <w:jc w:val="left"/>
              <w:rPr>
                <w:rFonts w:cs="Times New Roman" w:asciiTheme="minorEastAsia" w:hAnsiTheme="minorEastAsia" w:eastAsiaTheme="minorEastAsia"/>
                <w:bCs/>
                <w:color w:val="auto"/>
                <w:sz w:val="20"/>
                <w:szCs w:val="20"/>
              </w:rPr>
            </w:pPr>
            <w:r>
              <w:rPr>
                <w:rFonts w:hint="eastAsia" w:asciiTheme="minorEastAsia" w:hAnsiTheme="minorEastAsia" w:eastAsiaTheme="minorEastAsia"/>
                <w:color w:val="auto"/>
                <w:sz w:val="20"/>
                <w:szCs w:val="20"/>
              </w:rPr>
              <w:t>UPS</w:t>
            </w:r>
            <w:r>
              <w:rPr>
                <w:rFonts w:asciiTheme="minorEastAsia" w:hAnsiTheme="minorEastAsia" w:eastAsiaTheme="minorEastAsia"/>
                <w:color w:val="auto"/>
                <w:sz w:val="20"/>
                <w:szCs w:val="20"/>
              </w:rPr>
              <w:t>操作显示面板</w:t>
            </w:r>
            <w:r>
              <w:rPr>
                <w:rFonts w:hint="eastAsia" w:asciiTheme="minorEastAsia" w:hAnsiTheme="minorEastAsia" w:eastAsiaTheme="minorEastAsia"/>
                <w:color w:val="auto"/>
                <w:sz w:val="20"/>
                <w:szCs w:val="20"/>
              </w:rPr>
              <w:t>配置</w:t>
            </w:r>
            <w:r>
              <w:rPr>
                <w:rFonts w:asciiTheme="minorEastAsia" w:hAnsiTheme="minorEastAsia" w:eastAsiaTheme="minorEastAsia"/>
                <w:color w:val="auto"/>
                <w:sz w:val="20"/>
                <w:szCs w:val="20"/>
              </w:rPr>
              <w:t>彩色触摸液晶显示</w:t>
            </w:r>
            <w:r>
              <w:rPr>
                <w:rFonts w:hint="eastAsia" w:asciiTheme="minorEastAsia" w:hAnsiTheme="minorEastAsia" w:eastAsiaTheme="minorEastAsia"/>
                <w:color w:val="auto"/>
                <w:sz w:val="20"/>
                <w:szCs w:val="20"/>
              </w:rPr>
              <w:t>屏</w:t>
            </w:r>
            <w:r>
              <w:rPr>
                <w:rFonts w:asciiTheme="minorEastAsia" w:hAnsiTheme="minorEastAsia" w:eastAsiaTheme="minorEastAsia"/>
                <w:color w:val="auto"/>
                <w:sz w:val="20"/>
                <w:szCs w:val="20"/>
              </w:rPr>
              <w:t>，</w:t>
            </w:r>
            <w:r>
              <w:rPr>
                <w:rFonts w:hint="eastAsia" w:asciiTheme="minorEastAsia" w:hAnsiTheme="minorEastAsia" w:eastAsiaTheme="minorEastAsia"/>
                <w:color w:val="auto"/>
                <w:sz w:val="20"/>
                <w:szCs w:val="20"/>
              </w:rPr>
              <w:t>屏幕</w:t>
            </w:r>
            <w:r>
              <w:rPr>
                <w:rFonts w:asciiTheme="minorEastAsia" w:hAnsiTheme="minorEastAsia" w:eastAsiaTheme="minorEastAsia"/>
                <w:color w:val="auto"/>
                <w:sz w:val="20"/>
                <w:szCs w:val="20"/>
              </w:rPr>
              <w:t>尺寸不小于4</w:t>
            </w:r>
            <w:r>
              <w:rPr>
                <w:rFonts w:hint="eastAsia" w:asciiTheme="minorEastAsia" w:hAnsiTheme="minorEastAsia" w:eastAsiaTheme="minorEastAsia"/>
                <w:color w:val="auto"/>
                <w:sz w:val="20"/>
                <w:szCs w:val="20"/>
              </w:rPr>
              <w:t>英寸，</w:t>
            </w:r>
            <w:r>
              <w:rPr>
                <w:rFonts w:asciiTheme="minorEastAsia" w:hAnsiTheme="minorEastAsia" w:eastAsiaTheme="minorEastAsia"/>
                <w:color w:val="auto"/>
                <w:sz w:val="20"/>
                <w:szCs w:val="20"/>
              </w:rPr>
              <w:t>方便操作维护。</w:t>
            </w:r>
            <w:r>
              <w:rPr>
                <w:rFonts w:hint="eastAsia" w:asciiTheme="minorEastAsia" w:hAnsiTheme="minorEastAsia" w:eastAsiaTheme="minorEastAsia"/>
                <w:color w:val="auto"/>
                <w:sz w:val="20"/>
                <w:szCs w:val="20"/>
              </w:rPr>
              <w:t>中文显示，具有事件记录，</w:t>
            </w:r>
            <w:r>
              <w:rPr>
                <w:rFonts w:asciiTheme="minorEastAsia" w:hAnsiTheme="minorEastAsia" w:eastAsiaTheme="minorEastAsia"/>
                <w:color w:val="auto"/>
                <w:sz w:val="20"/>
                <w:szCs w:val="20"/>
              </w:rPr>
              <w:t>存储</w:t>
            </w:r>
            <w:r>
              <w:rPr>
                <w:rFonts w:hint="eastAsia" w:asciiTheme="minorEastAsia" w:hAnsiTheme="minorEastAsia" w:eastAsiaTheme="minorEastAsia"/>
                <w:color w:val="auto"/>
                <w:sz w:val="20"/>
                <w:szCs w:val="20"/>
              </w:rPr>
              <w:t>不</w:t>
            </w:r>
            <w:r>
              <w:rPr>
                <w:rFonts w:asciiTheme="minorEastAsia" w:hAnsiTheme="minorEastAsia" w:eastAsiaTheme="minorEastAsia"/>
                <w:color w:val="auto"/>
                <w:sz w:val="20"/>
                <w:szCs w:val="20"/>
              </w:rPr>
              <w:t>少于5000</w:t>
            </w:r>
            <w:r>
              <w:rPr>
                <w:rFonts w:hint="eastAsia" w:asciiTheme="minorEastAsia" w:hAnsiTheme="minorEastAsia" w:eastAsiaTheme="minorEastAsia"/>
                <w:color w:val="auto"/>
                <w:sz w:val="20"/>
                <w:szCs w:val="20"/>
              </w:rPr>
              <w:t>条</w:t>
            </w:r>
            <w:r>
              <w:rPr>
                <w:rFonts w:asciiTheme="minorEastAsia" w:hAnsiTheme="minorEastAsia" w:eastAsiaTheme="minorEastAsia"/>
                <w:color w:val="auto"/>
                <w:sz w:val="20"/>
                <w:szCs w:val="20"/>
              </w:rPr>
              <w:t>事件日志</w:t>
            </w:r>
            <w:r>
              <w:rPr>
                <w:rFonts w:hint="eastAsia" w:asciiTheme="minorEastAsia" w:hAnsiTheme="minorEastAsia" w:eastAsiaTheme="minorEastAsia"/>
                <w:color w:val="auto"/>
                <w:sz w:val="20"/>
                <w:szCs w:val="20"/>
              </w:rPr>
              <w:t>。U</w:t>
            </w:r>
            <w:r>
              <w:rPr>
                <w:rFonts w:asciiTheme="minorEastAsia" w:hAnsiTheme="minorEastAsia" w:eastAsiaTheme="minorEastAsia"/>
                <w:color w:val="auto"/>
                <w:sz w:val="20"/>
                <w:szCs w:val="20"/>
              </w:rPr>
              <w:t>PS</w:t>
            </w:r>
            <w:r>
              <w:rPr>
                <w:rFonts w:hint="eastAsia" w:asciiTheme="minorEastAsia" w:hAnsiTheme="minorEastAsia" w:eastAsiaTheme="minorEastAsia"/>
                <w:color w:val="auto"/>
                <w:sz w:val="20"/>
                <w:szCs w:val="20"/>
              </w:rPr>
              <w:t>配置L</w:t>
            </w:r>
            <w:r>
              <w:rPr>
                <w:rFonts w:asciiTheme="minorEastAsia" w:hAnsiTheme="minorEastAsia" w:eastAsiaTheme="minorEastAsia"/>
                <w:color w:val="auto"/>
                <w:sz w:val="20"/>
                <w:szCs w:val="20"/>
              </w:rPr>
              <w:t>ED</w:t>
            </w:r>
            <w:r>
              <w:rPr>
                <w:rFonts w:hint="eastAsia" w:asciiTheme="minorEastAsia" w:hAnsiTheme="minorEastAsia" w:eastAsiaTheme="minorEastAsia"/>
                <w:color w:val="auto"/>
                <w:sz w:val="20"/>
                <w:szCs w:val="20"/>
              </w:rPr>
              <w:t>状态指示灯和开关机物理按钮以方便在L</w:t>
            </w:r>
            <w:r>
              <w:rPr>
                <w:rFonts w:asciiTheme="minorEastAsia" w:hAnsiTheme="minorEastAsia" w:eastAsiaTheme="minorEastAsia"/>
                <w:color w:val="auto"/>
                <w:sz w:val="20"/>
                <w:szCs w:val="20"/>
              </w:rPr>
              <w:t>CD</w:t>
            </w:r>
            <w:r>
              <w:rPr>
                <w:rFonts w:hint="eastAsia" w:asciiTheme="minorEastAsia" w:hAnsiTheme="minorEastAsia" w:eastAsiaTheme="minorEastAsia"/>
                <w:color w:val="auto"/>
                <w:sz w:val="20"/>
                <w:szCs w:val="20"/>
              </w:rPr>
              <w:t>屏幕故障的情况下了解U</w:t>
            </w:r>
            <w:r>
              <w:rPr>
                <w:rFonts w:asciiTheme="minorEastAsia" w:hAnsiTheme="minorEastAsia" w:eastAsiaTheme="minorEastAsia"/>
                <w:color w:val="auto"/>
                <w:sz w:val="20"/>
                <w:szCs w:val="20"/>
              </w:rPr>
              <w:t>PS</w:t>
            </w:r>
            <w:r>
              <w:rPr>
                <w:rFonts w:hint="eastAsia" w:asciiTheme="minorEastAsia" w:hAnsiTheme="minorEastAsia" w:eastAsiaTheme="minorEastAsia"/>
                <w:color w:val="auto"/>
                <w:sz w:val="20"/>
                <w:szCs w:val="20"/>
              </w:rPr>
              <w:t>运行状态和控制操作U</w:t>
            </w:r>
            <w:r>
              <w:rPr>
                <w:rFonts w:asciiTheme="minorEastAsia" w:hAnsiTheme="minorEastAsia" w:eastAsiaTheme="minorEastAsia"/>
                <w:color w:val="auto"/>
                <w:sz w:val="20"/>
                <w:szCs w:val="20"/>
              </w:rPr>
              <w:t>PS</w:t>
            </w:r>
          </w:p>
        </w:tc>
        <w:tc>
          <w:tcPr>
            <w:tcW w:w="1426" w:type="dxa"/>
            <w:vAlign w:val="center"/>
          </w:tcPr>
          <w:p>
            <w:pPr>
              <w:spacing w:line="360" w:lineRule="exact"/>
              <w:jc w:val="center"/>
              <w:rPr>
                <w:rFonts w:asciiTheme="minorEastAsia" w:hAnsiTheme="minorEastAsia" w:eastAsiaTheme="minorEastAsia"/>
                <w:color w:val="auto"/>
                <w:sz w:val="20"/>
                <w:szCs w:val="20"/>
              </w:rPr>
            </w:pPr>
          </w:p>
        </w:tc>
        <w:tc>
          <w:tcPr>
            <w:tcW w:w="1690" w:type="dxa"/>
            <w:vAlign w:val="center"/>
          </w:tcPr>
          <w:p>
            <w:pPr>
              <w:spacing w:line="360" w:lineRule="exact"/>
              <w:jc w:val="center"/>
              <w:rPr>
                <w:rFonts w:asciiTheme="minorEastAsia" w:hAnsiTheme="minorEastAsia" w:eastAsiaTheme="min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49" w:type="dxa"/>
            <w:vAlign w:val="center"/>
          </w:tcPr>
          <w:p>
            <w:pPr>
              <w:spacing w:line="360" w:lineRule="exact"/>
              <w:jc w:val="center"/>
              <w:rPr>
                <w:rFonts w:asciiTheme="minorEastAsia" w:hAnsiTheme="minorEastAsia" w:eastAsiaTheme="minorEastAsia"/>
                <w:color w:val="auto"/>
                <w:sz w:val="20"/>
                <w:szCs w:val="20"/>
              </w:rPr>
            </w:pPr>
            <w:r>
              <w:rPr>
                <w:rFonts w:asciiTheme="minorEastAsia" w:hAnsiTheme="minorEastAsia" w:eastAsiaTheme="minorEastAsia"/>
                <w:color w:val="auto"/>
                <w:sz w:val="20"/>
                <w:szCs w:val="20"/>
              </w:rPr>
              <w:t>1</w:t>
            </w:r>
            <w:r>
              <w:rPr>
                <w:rFonts w:hint="eastAsia" w:asciiTheme="minorEastAsia" w:hAnsiTheme="minorEastAsia" w:eastAsiaTheme="minorEastAsia"/>
                <w:color w:val="auto"/>
                <w:sz w:val="20"/>
                <w:szCs w:val="20"/>
                <w:lang w:val="en-US" w:eastAsia="zh-CN"/>
              </w:rPr>
              <w:t>5</w:t>
            </w:r>
          </w:p>
        </w:tc>
        <w:tc>
          <w:tcPr>
            <w:tcW w:w="1247" w:type="dxa"/>
            <w:vAlign w:val="center"/>
          </w:tcPr>
          <w:p>
            <w:pPr>
              <w:spacing w:line="20" w:lineRule="atLeast"/>
              <w:jc w:val="center"/>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远程云管理</w:t>
            </w:r>
          </w:p>
        </w:tc>
        <w:tc>
          <w:tcPr>
            <w:tcW w:w="4345" w:type="dxa"/>
          </w:tcPr>
          <w:p>
            <w:pPr>
              <w:spacing w:line="20" w:lineRule="atLeast"/>
              <w:jc w:val="left"/>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具有手机A</w:t>
            </w:r>
            <w:r>
              <w:rPr>
                <w:rFonts w:cs="Times New Roman" w:asciiTheme="minorEastAsia" w:hAnsiTheme="minorEastAsia" w:eastAsiaTheme="minorEastAsia"/>
                <w:bCs/>
                <w:color w:val="auto"/>
                <w:sz w:val="20"/>
                <w:szCs w:val="20"/>
              </w:rPr>
              <w:t>PP</w:t>
            </w:r>
            <w:r>
              <w:rPr>
                <w:rFonts w:hint="eastAsia" w:cs="Times New Roman" w:asciiTheme="minorEastAsia" w:hAnsiTheme="minorEastAsia" w:eastAsiaTheme="minorEastAsia"/>
                <w:bCs/>
                <w:color w:val="auto"/>
                <w:sz w:val="20"/>
                <w:szCs w:val="20"/>
              </w:rPr>
              <w:t>云端管理U</w:t>
            </w:r>
            <w:r>
              <w:rPr>
                <w:rFonts w:cs="Times New Roman" w:asciiTheme="minorEastAsia" w:hAnsiTheme="minorEastAsia" w:eastAsiaTheme="minorEastAsia"/>
                <w:bCs/>
                <w:color w:val="auto"/>
                <w:sz w:val="20"/>
                <w:szCs w:val="20"/>
              </w:rPr>
              <w:t>PS</w:t>
            </w:r>
            <w:r>
              <w:rPr>
                <w:rFonts w:hint="eastAsia" w:cs="Times New Roman" w:asciiTheme="minorEastAsia" w:hAnsiTheme="minorEastAsia" w:eastAsiaTheme="minorEastAsia"/>
                <w:bCs/>
                <w:color w:val="auto"/>
                <w:sz w:val="20"/>
                <w:szCs w:val="20"/>
              </w:rPr>
              <w:t>和电池各个参数并及时推送报警</w:t>
            </w:r>
          </w:p>
        </w:tc>
        <w:tc>
          <w:tcPr>
            <w:tcW w:w="1426" w:type="dxa"/>
            <w:vAlign w:val="center"/>
          </w:tcPr>
          <w:p>
            <w:pPr>
              <w:spacing w:line="360" w:lineRule="exact"/>
              <w:jc w:val="center"/>
              <w:rPr>
                <w:rFonts w:asciiTheme="minorEastAsia" w:hAnsiTheme="minorEastAsia" w:eastAsiaTheme="minorEastAsia"/>
                <w:color w:val="auto"/>
                <w:sz w:val="20"/>
                <w:szCs w:val="20"/>
              </w:rPr>
            </w:pPr>
          </w:p>
        </w:tc>
        <w:tc>
          <w:tcPr>
            <w:tcW w:w="1690" w:type="dxa"/>
            <w:vAlign w:val="center"/>
          </w:tcPr>
          <w:p>
            <w:pPr>
              <w:spacing w:line="360" w:lineRule="exact"/>
              <w:jc w:val="center"/>
              <w:rPr>
                <w:rFonts w:asciiTheme="minorEastAsia" w:hAnsiTheme="minorEastAsia" w:eastAsiaTheme="min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49" w:type="dxa"/>
            <w:vAlign w:val="center"/>
          </w:tcPr>
          <w:p>
            <w:pPr>
              <w:spacing w:line="360" w:lineRule="exact"/>
              <w:jc w:val="center"/>
              <w:rPr>
                <w:rFonts w:asciiTheme="minorEastAsia" w:hAnsiTheme="minorEastAsia" w:eastAsiaTheme="minorEastAsia"/>
                <w:color w:val="auto"/>
                <w:sz w:val="20"/>
                <w:szCs w:val="20"/>
              </w:rPr>
            </w:pPr>
            <w:r>
              <w:rPr>
                <w:rFonts w:hint="eastAsia" w:asciiTheme="minorEastAsia" w:hAnsiTheme="minorEastAsia" w:eastAsiaTheme="minorEastAsia"/>
                <w:color w:val="auto"/>
                <w:sz w:val="20"/>
                <w:szCs w:val="20"/>
              </w:rPr>
              <w:t>1</w:t>
            </w:r>
            <w:r>
              <w:rPr>
                <w:rFonts w:hint="eastAsia" w:asciiTheme="minorEastAsia" w:hAnsiTheme="minorEastAsia" w:eastAsiaTheme="minorEastAsia"/>
                <w:color w:val="auto"/>
                <w:sz w:val="20"/>
                <w:szCs w:val="20"/>
                <w:lang w:val="en-US" w:eastAsia="zh-CN"/>
              </w:rPr>
              <w:t>6</w:t>
            </w:r>
          </w:p>
        </w:tc>
        <w:tc>
          <w:tcPr>
            <w:tcW w:w="1247" w:type="dxa"/>
            <w:vAlign w:val="center"/>
          </w:tcPr>
          <w:p>
            <w:pPr>
              <w:spacing w:line="20" w:lineRule="atLeast"/>
              <w:jc w:val="center"/>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防护</w:t>
            </w:r>
          </w:p>
        </w:tc>
        <w:tc>
          <w:tcPr>
            <w:tcW w:w="4345" w:type="dxa"/>
          </w:tcPr>
          <w:p>
            <w:pPr>
              <w:spacing w:line="20" w:lineRule="atLeast"/>
              <w:jc w:val="left"/>
              <w:rPr>
                <w:rFonts w:cs="Times New Roman" w:asciiTheme="minorEastAsia" w:hAnsiTheme="minorEastAsia" w:eastAsiaTheme="minorEastAsia"/>
                <w:bCs/>
                <w:color w:val="auto"/>
                <w:sz w:val="20"/>
                <w:szCs w:val="20"/>
              </w:rPr>
            </w:pPr>
            <w:r>
              <w:rPr>
                <w:rFonts w:asciiTheme="minorEastAsia" w:hAnsiTheme="minorEastAsia" w:eastAsiaTheme="minorEastAsia"/>
                <w:color w:val="auto"/>
                <w:sz w:val="20"/>
                <w:szCs w:val="20"/>
              </w:rPr>
              <w:t>UPS</w:t>
            </w:r>
            <w:r>
              <w:rPr>
                <w:rFonts w:hint="eastAsia" w:asciiTheme="minorEastAsia" w:hAnsiTheme="minorEastAsia" w:eastAsiaTheme="minorEastAsia"/>
                <w:color w:val="auto"/>
                <w:sz w:val="20"/>
                <w:szCs w:val="20"/>
              </w:rPr>
              <w:t>的防护等级</w:t>
            </w:r>
            <w:r>
              <w:rPr>
                <w:rFonts w:asciiTheme="minorEastAsia" w:hAnsiTheme="minorEastAsia" w:eastAsiaTheme="minorEastAsia"/>
                <w:color w:val="auto"/>
                <w:sz w:val="20"/>
                <w:szCs w:val="20"/>
              </w:rPr>
              <w:t>为</w:t>
            </w:r>
            <w:r>
              <w:rPr>
                <w:rFonts w:hint="eastAsia" w:asciiTheme="minorEastAsia" w:hAnsiTheme="minorEastAsia" w:eastAsiaTheme="minorEastAsia"/>
                <w:color w:val="auto"/>
                <w:sz w:val="20"/>
                <w:szCs w:val="20"/>
              </w:rPr>
              <w:t>IP</w:t>
            </w:r>
            <w:r>
              <w:rPr>
                <w:rFonts w:asciiTheme="minorEastAsia" w:hAnsiTheme="minorEastAsia" w:eastAsiaTheme="minorEastAsia"/>
                <w:color w:val="auto"/>
                <w:sz w:val="20"/>
                <w:szCs w:val="20"/>
              </w:rPr>
              <w:t>21</w:t>
            </w:r>
            <w:r>
              <w:rPr>
                <w:rFonts w:hint="eastAsia" w:asciiTheme="minorEastAsia" w:hAnsiTheme="minorEastAsia" w:eastAsiaTheme="minorEastAsia"/>
                <w:color w:val="auto"/>
                <w:sz w:val="20"/>
                <w:szCs w:val="20"/>
              </w:rPr>
              <w:t>，具有防尘网，电路板具有三防油漆保护</w:t>
            </w:r>
          </w:p>
        </w:tc>
        <w:tc>
          <w:tcPr>
            <w:tcW w:w="1426" w:type="dxa"/>
            <w:vAlign w:val="center"/>
          </w:tcPr>
          <w:p>
            <w:pPr>
              <w:spacing w:line="360" w:lineRule="exact"/>
              <w:jc w:val="center"/>
              <w:rPr>
                <w:rFonts w:asciiTheme="minorEastAsia" w:hAnsiTheme="minorEastAsia" w:eastAsiaTheme="minorEastAsia"/>
                <w:color w:val="auto"/>
                <w:sz w:val="20"/>
                <w:szCs w:val="20"/>
              </w:rPr>
            </w:pPr>
          </w:p>
        </w:tc>
        <w:tc>
          <w:tcPr>
            <w:tcW w:w="1690" w:type="dxa"/>
            <w:vAlign w:val="center"/>
          </w:tcPr>
          <w:p>
            <w:pPr>
              <w:spacing w:line="360" w:lineRule="exact"/>
              <w:jc w:val="center"/>
              <w:rPr>
                <w:rFonts w:asciiTheme="minorEastAsia" w:hAnsiTheme="minorEastAsia" w:eastAsiaTheme="min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trPr>
        <w:tc>
          <w:tcPr>
            <w:tcW w:w="449" w:type="dxa"/>
            <w:vAlign w:val="center"/>
          </w:tcPr>
          <w:p>
            <w:pPr>
              <w:spacing w:line="360" w:lineRule="exact"/>
              <w:jc w:val="center"/>
              <w:rPr>
                <w:rFonts w:asciiTheme="minorEastAsia" w:hAnsiTheme="minorEastAsia" w:eastAsiaTheme="minorEastAsia"/>
                <w:color w:val="auto"/>
                <w:sz w:val="20"/>
                <w:szCs w:val="20"/>
              </w:rPr>
            </w:pPr>
            <w:r>
              <w:rPr>
                <w:rFonts w:asciiTheme="minorEastAsia" w:hAnsiTheme="minorEastAsia" w:eastAsiaTheme="minorEastAsia"/>
                <w:color w:val="auto"/>
                <w:sz w:val="20"/>
                <w:szCs w:val="20"/>
              </w:rPr>
              <w:t>1</w:t>
            </w:r>
            <w:r>
              <w:rPr>
                <w:rFonts w:hint="eastAsia" w:asciiTheme="minorEastAsia" w:hAnsiTheme="minorEastAsia" w:eastAsiaTheme="minorEastAsia"/>
                <w:color w:val="auto"/>
                <w:sz w:val="20"/>
                <w:szCs w:val="20"/>
                <w:lang w:val="en-US" w:eastAsia="zh-CN"/>
              </w:rPr>
              <w:t>7</w:t>
            </w:r>
          </w:p>
        </w:tc>
        <w:tc>
          <w:tcPr>
            <w:tcW w:w="1247" w:type="dxa"/>
            <w:vAlign w:val="center"/>
          </w:tcPr>
          <w:p>
            <w:pPr>
              <w:spacing w:line="20" w:lineRule="atLeast"/>
              <w:jc w:val="center"/>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维护管理</w:t>
            </w:r>
          </w:p>
        </w:tc>
        <w:tc>
          <w:tcPr>
            <w:tcW w:w="4345" w:type="dxa"/>
          </w:tcPr>
          <w:p>
            <w:pPr>
              <w:spacing w:line="20" w:lineRule="atLeast"/>
              <w:jc w:val="left"/>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具有LCM（寿命周期管理）功能，能够对UPS内部的消耗类易损部件（包括UPS的过滤网、风扇、交直流电容器、电源板、电池）进行保养周期设置管理，到期提醒用户对以上部件进行检查维护</w:t>
            </w:r>
          </w:p>
        </w:tc>
        <w:tc>
          <w:tcPr>
            <w:tcW w:w="1426" w:type="dxa"/>
            <w:vAlign w:val="center"/>
          </w:tcPr>
          <w:p>
            <w:pPr>
              <w:spacing w:line="360" w:lineRule="exact"/>
              <w:jc w:val="center"/>
              <w:rPr>
                <w:rFonts w:asciiTheme="minorEastAsia" w:hAnsiTheme="minorEastAsia" w:eastAsiaTheme="minorEastAsia"/>
                <w:color w:val="auto"/>
                <w:sz w:val="20"/>
                <w:szCs w:val="20"/>
              </w:rPr>
            </w:pPr>
          </w:p>
        </w:tc>
        <w:tc>
          <w:tcPr>
            <w:tcW w:w="1690" w:type="dxa"/>
            <w:vAlign w:val="center"/>
          </w:tcPr>
          <w:p>
            <w:pPr>
              <w:spacing w:line="360" w:lineRule="exact"/>
              <w:jc w:val="center"/>
              <w:rPr>
                <w:rFonts w:asciiTheme="minorEastAsia" w:hAnsiTheme="minorEastAsia" w:eastAsiaTheme="min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49" w:type="dxa"/>
            <w:vAlign w:val="center"/>
          </w:tcPr>
          <w:p>
            <w:pPr>
              <w:spacing w:line="360" w:lineRule="exact"/>
              <w:jc w:val="center"/>
              <w:rPr>
                <w:rFonts w:asciiTheme="minorEastAsia" w:hAnsiTheme="minorEastAsia" w:eastAsiaTheme="minorEastAsia"/>
                <w:color w:val="auto"/>
                <w:sz w:val="20"/>
                <w:szCs w:val="20"/>
              </w:rPr>
            </w:pPr>
            <w:r>
              <w:rPr>
                <w:rFonts w:asciiTheme="minorEastAsia" w:hAnsiTheme="minorEastAsia" w:eastAsiaTheme="minorEastAsia"/>
                <w:color w:val="auto"/>
                <w:sz w:val="20"/>
                <w:szCs w:val="20"/>
              </w:rPr>
              <w:t>1</w:t>
            </w:r>
            <w:r>
              <w:rPr>
                <w:rFonts w:hint="eastAsia" w:asciiTheme="minorEastAsia" w:hAnsiTheme="minorEastAsia" w:eastAsiaTheme="minorEastAsia"/>
                <w:color w:val="auto"/>
                <w:sz w:val="20"/>
                <w:szCs w:val="20"/>
                <w:lang w:val="en-US" w:eastAsia="zh-CN"/>
              </w:rPr>
              <w:t>8</w:t>
            </w:r>
          </w:p>
        </w:tc>
        <w:tc>
          <w:tcPr>
            <w:tcW w:w="1247" w:type="dxa"/>
            <w:vAlign w:val="center"/>
          </w:tcPr>
          <w:p>
            <w:pPr>
              <w:spacing w:line="20" w:lineRule="atLeast"/>
              <w:jc w:val="center"/>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冷启动</w:t>
            </w:r>
          </w:p>
        </w:tc>
        <w:tc>
          <w:tcPr>
            <w:tcW w:w="4345" w:type="dxa"/>
          </w:tcPr>
          <w:p>
            <w:pPr>
              <w:spacing w:line="20" w:lineRule="atLeast"/>
              <w:jc w:val="left"/>
              <w:rPr>
                <w:rFonts w:cs="Times New Roman" w:asciiTheme="minorEastAsia" w:hAnsiTheme="minorEastAsia" w:eastAsiaTheme="minorEastAsia"/>
                <w:bCs/>
                <w:color w:val="auto"/>
                <w:sz w:val="20"/>
                <w:szCs w:val="20"/>
              </w:rPr>
            </w:pPr>
            <w:r>
              <w:rPr>
                <w:rFonts w:cs="Times New Roman" w:asciiTheme="minorEastAsia" w:hAnsiTheme="minorEastAsia" w:eastAsiaTheme="minorEastAsia"/>
                <w:bCs/>
                <w:color w:val="auto"/>
                <w:sz w:val="20"/>
                <w:szCs w:val="20"/>
              </w:rPr>
              <w:t>UPS</w:t>
            </w:r>
            <w:r>
              <w:rPr>
                <w:rFonts w:hint="eastAsia" w:cs="Times New Roman" w:asciiTheme="minorEastAsia" w:hAnsiTheme="minorEastAsia" w:eastAsiaTheme="minorEastAsia"/>
                <w:bCs/>
                <w:color w:val="auto"/>
                <w:sz w:val="20"/>
                <w:szCs w:val="20"/>
              </w:rPr>
              <w:t>具备冷启动功能，在完全没有市电的情况下，可以用电池启动UPS</w:t>
            </w:r>
          </w:p>
        </w:tc>
        <w:tc>
          <w:tcPr>
            <w:tcW w:w="1426" w:type="dxa"/>
            <w:vAlign w:val="center"/>
          </w:tcPr>
          <w:p>
            <w:pPr>
              <w:spacing w:line="360" w:lineRule="exact"/>
              <w:jc w:val="center"/>
              <w:rPr>
                <w:rFonts w:asciiTheme="minorEastAsia" w:hAnsiTheme="minorEastAsia" w:eastAsiaTheme="minorEastAsia"/>
                <w:color w:val="auto"/>
                <w:sz w:val="20"/>
                <w:szCs w:val="20"/>
              </w:rPr>
            </w:pPr>
          </w:p>
        </w:tc>
        <w:tc>
          <w:tcPr>
            <w:tcW w:w="1690" w:type="dxa"/>
            <w:vAlign w:val="center"/>
          </w:tcPr>
          <w:p>
            <w:pPr>
              <w:spacing w:line="360" w:lineRule="exact"/>
              <w:jc w:val="center"/>
              <w:rPr>
                <w:rFonts w:asciiTheme="minorEastAsia" w:hAnsiTheme="minorEastAsia" w:eastAsiaTheme="min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49" w:type="dxa"/>
            <w:vAlign w:val="center"/>
          </w:tcPr>
          <w:p>
            <w:pPr>
              <w:spacing w:line="360" w:lineRule="exact"/>
              <w:jc w:val="center"/>
              <w:rPr>
                <w:rFonts w:asciiTheme="minorEastAsia" w:hAnsiTheme="minorEastAsia" w:eastAsiaTheme="minorEastAsia"/>
                <w:color w:val="auto"/>
                <w:sz w:val="20"/>
                <w:szCs w:val="20"/>
              </w:rPr>
            </w:pPr>
            <w:r>
              <w:rPr>
                <w:rFonts w:hint="eastAsia" w:asciiTheme="minorEastAsia" w:hAnsiTheme="minorEastAsia" w:eastAsiaTheme="minorEastAsia"/>
                <w:color w:val="auto"/>
                <w:sz w:val="20"/>
                <w:szCs w:val="20"/>
                <w:lang w:val="en-US" w:eastAsia="zh-CN"/>
              </w:rPr>
              <w:t>19</w:t>
            </w:r>
          </w:p>
        </w:tc>
        <w:tc>
          <w:tcPr>
            <w:tcW w:w="1247" w:type="dxa"/>
            <w:vAlign w:val="center"/>
          </w:tcPr>
          <w:p>
            <w:pPr>
              <w:spacing w:line="20" w:lineRule="atLeast"/>
              <w:jc w:val="center"/>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防倒灌保护</w:t>
            </w:r>
          </w:p>
        </w:tc>
        <w:tc>
          <w:tcPr>
            <w:tcW w:w="4345" w:type="dxa"/>
          </w:tcPr>
          <w:p>
            <w:pPr>
              <w:spacing w:line="20" w:lineRule="atLeast"/>
              <w:jc w:val="left"/>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U</w:t>
            </w:r>
            <w:r>
              <w:rPr>
                <w:rFonts w:cs="Times New Roman" w:asciiTheme="minorEastAsia" w:hAnsiTheme="minorEastAsia" w:eastAsiaTheme="minorEastAsia"/>
                <w:bCs/>
                <w:color w:val="auto"/>
                <w:sz w:val="20"/>
                <w:szCs w:val="20"/>
              </w:rPr>
              <w:t>PS</w:t>
            </w:r>
            <w:r>
              <w:rPr>
                <w:rFonts w:hint="eastAsia" w:cs="Times New Roman" w:asciiTheme="minorEastAsia" w:hAnsiTheme="minorEastAsia" w:eastAsiaTheme="minorEastAsia"/>
                <w:bCs/>
                <w:color w:val="auto"/>
                <w:sz w:val="20"/>
                <w:szCs w:val="20"/>
              </w:rPr>
              <w:t>要求设备标配旁路防倒灌保护装置，可以避免逆变器电压倒灌回市电电网，增加安全性</w:t>
            </w:r>
          </w:p>
        </w:tc>
        <w:tc>
          <w:tcPr>
            <w:tcW w:w="1426" w:type="dxa"/>
            <w:vAlign w:val="center"/>
          </w:tcPr>
          <w:p>
            <w:pPr>
              <w:spacing w:line="360" w:lineRule="exact"/>
              <w:jc w:val="center"/>
              <w:rPr>
                <w:rFonts w:asciiTheme="minorEastAsia" w:hAnsiTheme="minorEastAsia" w:eastAsiaTheme="minorEastAsia"/>
                <w:color w:val="auto"/>
                <w:sz w:val="20"/>
                <w:szCs w:val="20"/>
              </w:rPr>
            </w:pPr>
          </w:p>
        </w:tc>
        <w:tc>
          <w:tcPr>
            <w:tcW w:w="1690" w:type="dxa"/>
            <w:vAlign w:val="center"/>
          </w:tcPr>
          <w:p>
            <w:pPr>
              <w:spacing w:line="360" w:lineRule="exact"/>
              <w:jc w:val="center"/>
              <w:rPr>
                <w:rFonts w:asciiTheme="minorEastAsia" w:hAnsiTheme="minorEastAsia" w:eastAsiaTheme="min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49" w:type="dxa"/>
            <w:vAlign w:val="center"/>
          </w:tcPr>
          <w:p>
            <w:pPr>
              <w:spacing w:line="360" w:lineRule="exact"/>
              <w:jc w:val="center"/>
              <w:rPr>
                <w:rFonts w:asciiTheme="minorEastAsia" w:hAnsiTheme="minorEastAsia" w:eastAsiaTheme="minorEastAsia"/>
                <w:color w:val="auto"/>
                <w:sz w:val="20"/>
                <w:szCs w:val="20"/>
              </w:rPr>
            </w:pPr>
            <w:r>
              <w:rPr>
                <w:rFonts w:hint="eastAsia" w:asciiTheme="minorEastAsia" w:hAnsiTheme="minorEastAsia" w:eastAsiaTheme="minorEastAsia"/>
                <w:color w:val="auto"/>
                <w:sz w:val="20"/>
                <w:szCs w:val="20"/>
                <w:lang w:val="en-US" w:eastAsia="zh-CN"/>
              </w:rPr>
              <w:t>20</w:t>
            </w:r>
          </w:p>
        </w:tc>
        <w:tc>
          <w:tcPr>
            <w:tcW w:w="1247" w:type="dxa"/>
            <w:vAlign w:val="center"/>
          </w:tcPr>
          <w:p>
            <w:pPr>
              <w:spacing w:line="20" w:lineRule="atLeast"/>
              <w:jc w:val="center"/>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抗震要求</w:t>
            </w:r>
          </w:p>
        </w:tc>
        <w:tc>
          <w:tcPr>
            <w:tcW w:w="4345" w:type="dxa"/>
          </w:tcPr>
          <w:p>
            <w:pPr>
              <w:spacing w:line="20" w:lineRule="atLeast"/>
              <w:jc w:val="left"/>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由于是移动</w:t>
            </w:r>
            <w:r>
              <w:rPr>
                <w:rFonts w:hint="eastAsia" w:cs="Times New Roman" w:asciiTheme="minorEastAsia" w:hAnsiTheme="minorEastAsia" w:eastAsiaTheme="minorEastAsia"/>
                <w:bCs/>
                <w:color w:val="auto"/>
                <w:sz w:val="20"/>
                <w:szCs w:val="20"/>
                <w:lang w:val="en-US" w:eastAsia="zh-CN"/>
              </w:rPr>
              <w:t>式</w:t>
            </w:r>
            <w:r>
              <w:rPr>
                <w:rFonts w:hint="eastAsia" w:cs="Times New Roman" w:asciiTheme="minorEastAsia" w:hAnsiTheme="minorEastAsia" w:eastAsiaTheme="minorEastAsia"/>
                <w:bCs/>
                <w:color w:val="auto"/>
                <w:sz w:val="20"/>
                <w:szCs w:val="20"/>
              </w:rPr>
              <w:t>电源系统，需要设备提供不低于八级地震的抗震检测报告</w:t>
            </w:r>
          </w:p>
        </w:tc>
        <w:tc>
          <w:tcPr>
            <w:tcW w:w="1426" w:type="dxa"/>
            <w:vAlign w:val="center"/>
          </w:tcPr>
          <w:p>
            <w:pPr>
              <w:spacing w:line="360" w:lineRule="exact"/>
              <w:jc w:val="center"/>
              <w:rPr>
                <w:rFonts w:asciiTheme="minorEastAsia" w:hAnsiTheme="minorEastAsia" w:eastAsiaTheme="minorEastAsia"/>
                <w:color w:val="auto"/>
                <w:sz w:val="20"/>
                <w:szCs w:val="20"/>
              </w:rPr>
            </w:pPr>
          </w:p>
        </w:tc>
        <w:tc>
          <w:tcPr>
            <w:tcW w:w="1690" w:type="dxa"/>
            <w:vAlign w:val="center"/>
          </w:tcPr>
          <w:p>
            <w:pPr>
              <w:spacing w:line="360" w:lineRule="exact"/>
              <w:jc w:val="center"/>
              <w:rPr>
                <w:rFonts w:asciiTheme="minorEastAsia" w:hAnsiTheme="minorEastAsia" w:eastAsiaTheme="min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449" w:type="dxa"/>
            <w:vAlign w:val="center"/>
          </w:tcPr>
          <w:p>
            <w:pPr>
              <w:spacing w:line="360" w:lineRule="exact"/>
              <w:jc w:val="center"/>
              <w:rPr>
                <w:rFonts w:asciiTheme="minorEastAsia" w:hAnsiTheme="minorEastAsia" w:eastAsiaTheme="minorEastAsia"/>
                <w:color w:val="auto"/>
                <w:sz w:val="20"/>
                <w:szCs w:val="20"/>
              </w:rPr>
            </w:pPr>
            <w:r>
              <w:rPr>
                <w:rFonts w:hint="eastAsia" w:asciiTheme="minorEastAsia" w:hAnsiTheme="minorEastAsia" w:eastAsiaTheme="minorEastAsia"/>
                <w:color w:val="auto"/>
                <w:sz w:val="20"/>
                <w:szCs w:val="20"/>
              </w:rPr>
              <w:t>2</w:t>
            </w:r>
            <w:r>
              <w:rPr>
                <w:rFonts w:hint="eastAsia" w:asciiTheme="minorEastAsia" w:hAnsiTheme="minorEastAsia" w:eastAsiaTheme="minorEastAsia"/>
                <w:color w:val="auto"/>
                <w:sz w:val="20"/>
                <w:szCs w:val="20"/>
                <w:lang w:val="en-US" w:eastAsia="zh-CN"/>
              </w:rPr>
              <w:t>1</w:t>
            </w:r>
          </w:p>
        </w:tc>
        <w:tc>
          <w:tcPr>
            <w:tcW w:w="1247" w:type="dxa"/>
            <w:vAlign w:val="center"/>
          </w:tcPr>
          <w:p>
            <w:pPr>
              <w:spacing w:line="20" w:lineRule="atLeast"/>
              <w:jc w:val="center"/>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噪音要求</w:t>
            </w:r>
          </w:p>
        </w:tc>
        <w:tc>
          <w:tcPr>
            <w:tcW w:w="4345" w:type="dxa"/>
          </w:tcPr>
          <w:p>
            <w:pPr>
              <w:spacing w:line="20" w:lineRule="atLeast"/>
              <w:jc w:val="left"/>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U</w:t>
            </w:r>
            <w:r>
              <w:rPr>
                <w:rFonts w:cs="Times New Roman" w:asciiTheme="minorEastAsia" w:hAnsiTheme="minorEastAsia" w:eastAsiaTheme="minorEastAsia"/>
                <w:bCs/>
                <w:color w:val="auto"/>
                <w:sz w:val="20"/>
                <w:szCs w:val="20"/>
              </w:rPr>
              <w:t>PS</w:t>
            </w:r>
            <w:r>
              <w:rPr>
                <w:rFonts w:hint="eastAsia" w:cs="Times New Roman" w:asciiTheme="minorEastAsia" w:hAnsiTheme="minorEastAsia" w:eastAsiaTheme="minorEastAsia"/>
                <w:bCs/>
                <w:color w:val="auto"/>
                <w:sz w:val="20"/>
                <w:szCs w:val="20"/>
              </w:rPr>
              <w:t>在7</w:t>
            </w:r>
            <w:r>
              <w:rPr>
                <w:rFonts w:cs="Times New Roman" w:asciiTheme="minorEastAsia" w:hAnsiTheme="minorEastAsia" w:eastAsiaTheme="minorEastAsia"/>
                <w:bCs/>
                <w:color w:val="auto"/>
                <w:sz w:val="20"/>
                <w:szCs w:val="20"/>
              </w:rPr>
              <w:t>0%</w:t>
            </w:r>
            <w:r>
              <w:rPr>
                <w:rFonts w:hint="eastAsia" w:cs="Times New Roman" w:asciiTheme="minorEastAsia" w:hAnsiTheme="minorEastAsia" w:eastAsiaTheme="minorEastAsia"/>
                <w:bCs/>
                <w:color w:val="auto"/>
                <w:sz w:val="20"/>
                <w:szCs w:val="20"/>
              </w:rPr>
              <w:t>负载时噪音应不高于5</w:t>
            </w:r>
            <w:r>
              <w:rPr>
                <w:rFonts w:cs="Times New Roman" w:asciiTheme="minorEastAsia" w:hAnsiTheme="minorEastAsia" w:eastAsiaTheme="minorEastAsia"/>
                <w:bCs/>
                <w:color w:val="auto"/>
                <w:sz w:val="20"/>
                <w:szCs w:val="20"/>
              </w:rPr>
              <w:t>7</w:t>
            </w:r>
            <w:r>
              <w:rPr>
                <w:rFonts w:hint="eastAsia" w:cs="Times New Roman" w:asciiTheme="minorEastAsia" w:hAnsiTheme="minorEastAsia" w:eastAsiaTheme="minorEastAsia"/>
                <w:bCs/>
                <w:color w:val="auto"/>
                <w:sz w:val="20"/>
                <w:szCs w:val="20"/>
              </w:rPr>
              <w:t>分贝（d</w:t>
            </w:r>
            <w:r>
              <w:rPr>
                <w:rFonts w:cs="Times New Roman" w:asciiTheme="minorEastAsia" w:hAnsiTheme="minorEastAsia" w:eastAsiaTheme="minorEastAsia"/>
                <w:bCs/>
                <w:color w:val="auto"/>
                <w:sz w:val="20"/>
                <w:szCs w:val="20"/>
              </w:rPr>
              <w:t>B</w:t>
            </w:r>
            <w:r>
              <w:rPr>
                <w:rFonts w:hint="eastAsia" w:cs="Times New Roman" w:asciiTheme="minorEastAsia" w:hAnsiTheme="minorEastAsia" w:eastAsiaTheme="minorEastAsia"/>
                <w:bCs/>
                <w:color w:val="auto"/>
                <w:sz w:val="20"/>
                <w:szCs w:val="20"/>
              </w:rPr>
              <w:t>），在</w:t>
            </w:r>
            <w:r>
              <w:rPr>
                <w:rFonts w:cs="Times New Roman" w:asciiTheme="minorEastAsia" w:hAnsiTheme="minorEastAsia" w:eastAsiaTheme="minorEastAsia"/>
                <w:bCs/>
                <w:color w:val="auto"/>
                <w:sz w:val="20"/>
                <w:szCs w:val="20"/>
              </w:rPr>
              <w:t>100%</w:t>
            </w:r>
            <w:r>
              <w:rPr>
                <w:rFonts w:hint="eastAsia" w:cs="Times New Roman" w:asciiTheme="minorEastAsia" w:hAnsiTheme="minorEastAsia" w:eastAsiaTheme="minorEastAsia"/>
                <w:bCs/>
                <w:color w:val="auto"/>
                <w:sz w:val="20"/>
                <w:szCs w:val="20"/>
              </w:rPr>
              <w:t>负载时噪音应不高于</w:t>
            </w:r>
            <w:r>
              <w:rPr>
                <w:rFonts w:cs="Times New Roman" w:asciiTheme="minorEastAsia" w:hAnsiTheme="minorEastAsia" w:eastAsiaTheme="minorEastAsia"/>
                <w:bCs/>
                <w:color w:val="auto"/>
                <w:sz w:val="20"/>
                <w:szCs w:val="20"/>
              </w:rPr>
              <w:t>65</w:t>
            </w:r>
            <w:r>
              <w:rPr>
                <w:rFonts w:hint="eastAsia" w:cs="Times New Roman" w:asciiTheme="minorEastAsia" w:hAnsiTheme="minorEastAsia" w:eastAsiaTheme="minorEastAsia"/>
                <w:bCs/>
                <w:color w:val="auto"/>
                <w:sz w:val="20"/>
                <w:szCs w:val="20"/>
              </w:rPr>
              <w:t>分贝（d</w:t>
            </w:r>
            <w:r>
              <w:rPr>
                <w:rFonts w:cs="Times New Roman" w:asciiTheme="minorEastAsia" w:hAnsiTheme="minorEastAsia" w:eastAsiaTheme="minorEastAsia"/>
                <w:bCs/>
                <w:color w:val="auto"/>
                <w:sz w:val="20"/>
                <w:szCs w:val="20"/>
              </w:rPr>
              <w:t>B</w:t>
            </w:r>
            <w:r>
              <w:rPr>
                <w:rFonts w:hint="eastAsia" w:cs="Times New Roman" w:asciiTheme="minorEastAsia" w:hAnsiTheme="minorEastAsia" w:eastAsiaTheme="minorEastAsia"/>
                <w:bCs/>
                <w:color w:val="auto"/>
                <w:sz w:val="20"/>
                <w:szCs w:val="20"/>
              </w:rPr>
              <w:t>）。需提供第三方噪音测试报告。</w:t>
            </w:r>
          </w:p>
        </w:tc>
        <w:tc>
          <w:tcPr>
            <w:tcW w:w="1426" w:type="dxa"/>
            <w:vAlign w:val="center"/>
          </w:tcPr>
          <w:p>
            <w:pPr>
              <w:spacing w:line="360" w:lineRule="exact"/>
              <w:jc w:val="center"/>
              <w:rPr>
                <w:rFonts w:asciiTheme="minorEastAsia" w:hAnsiTheme="minorEastAsia" w:eastAsiaTheme="minorEastAsia"/>
                <w:color w:val="auto"/>
                <w:sz w:val="20"/>
                <w:szCs w:val="20"/>
              </w:rPr>
            </w:pPr>
          </w:p>
        </w:tc>
        <w:tc>
          <w:tcPr>
            <w:tcW w:w="1690" w:type="dxa"/>
            <w:vAlign w:val="center"/>
          </w:tcPr>
          <w:p>
            <w:pPr>
              <w:spacing w:line="360" w:lineRule="exact"/>
              <w:jc w:val="center"/>
              <w:rPr>
                <w:rFonts w:asciiTheme="minorEastAsia" w:hAnsiTheme="minorEastAsia" w:eastAsiaTheme="min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449" w:type="dxa"/>
            <w:vAlign w:val="center"/>
          </w:tcPr>
          <w:p>
            <w:pPr>
              <w:spacing w:line="360" w:lineRule="exact"/>
              <w:jc w:val="center"/>
              <w:rPr>
                <w:rFonts w:asciiTheme="minorEastAsia" w:hAnsiTheme="minorEastAsia" w:eastAsiaTheme="minorEastAsia"/>
                <w:color w:val="auto"/>
                <w:sz w:val="20"/>
                <w:szCs w:val="20"/>
              </w:rPr>
            </w:pPr>
            <w:r>
              <w:rPr>
                <w:rFonts w:hint="eastAsia" w:asciiTheme="minorEastAsia" w:hAnsiTheme="minorEastAsia" w:eastAsiaTheme="minorEastAsia"/>
                <w:color w:val="auto"/>
                <w:sz w:val="20"/>
                <w:szCs w:val="20"/>
              </w:rPr>
              <w:t>2</w:t>
            </w:r>
            <w:r>
              <w:rPr>
                <w:rFonts w:hint="eastAsia" w:asciiTheme="minorEastAsia" w:hAnsiTheme="minorEastAsia" w:eastAsiaTheme="minorEastAsia"/>
                <w:color w:val="auto"/>
                <w:sz w:val="20"/>
                <w:szCs w:val="20"/>
                <w:lang w:val="en-US" w:eastAsia="zh-CN"/>
              </w:rPr>
              <w:t>2</w:t>
            </w:r>
          </w:p>
        </w:tc>
        <w:tc>
          <w:tcPr>
            <w:tcW w:w="1247" w:type="dxa"/>
            <w:vAlign w:val="center"/>
          </w:tcPr>
          <w:p>
            <w:pPr>
              <w:spacing w:line="20" w:lineRule="atLeast"/>
              <w:jc w:val="center"/>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位置间距要求</w:t>
            </w:r>
          </w:p>
        </w:tc>
        <w:tc>
          <w:tcPr>
            <w:tcW w:w="4345" w:type="dxa"/>
          </w:tcPr>
          <w:p>
            <w:pPr>
              <w:spacing w:line="20" w:lineRule="atLeast"/>
              <w:jc w:val="left"/>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rPr>
              <w:t>为了节能空间，U</w:t>
            </w:r>
            <w:r>
              <w:rPr>
                <w:rFonts w:cs="Times New Roman" w:asciiTheme="minorEastAsia" w:hAnsiTheme="minorEastAsia" w:eastAsiaTheme="minorEastAsia"/>
                <w:bCs/>
                <w:color w:val="auto"/>
                <w:sz w:val="20"/>
                <w:szCs w:val="20"/>
              </w:rPr>
              <w:t>PS</w:t>
            </w:r>
            <w:r>
              <w:rPr>
                <w:rFonts w:hint="eastAsia" w:cs="Times New Roman" w:asciiTheme="minorEastAsia" w:hAnsiTheme="minorEastAsia" w:eastAsiaTheme="minorEastAsia"/>
                <w:bCs/>
                <w:color w:val="auto"/>
                <w:sz w:val="20"/>
                <w:szCs w:val="20"/>
              </w:rPr>
              <w:t>背部距墙距离应不大于1</w:t>
            </w:r>
            <w:r>
              <w:rPr>
                <w:rFonts w:cs="Times New Roman" w:asciiTheme="minorEastAsia" w:hAnsiTheme="minorEastAsia" w:eastAsiaTheme="minorEastAsia"/>
                <w:bCs/>
                <w:color w:val="auto"/>
                <w:sz w:val="20"/>
                <w:szCs w:val="20"/>
              </w:rPr>
              <w:t>50mm</w:t>
            </w:r>
            <w:r>
              <w:rPr>
                <w:rFonts w:hint="eastAsia" w:cs="Times New Roman" w:asciiTheme="minorEastAsia" w:hAnsiTheme="minorEastAsia" w:eastAsiaTheme="minorEastAsia"/>
                <w:bCs/>
                <w:color w:val="auto"/>
                <w:sz w:val="20"/>
                <w:szCs w:val="20"/>
              </w:rPr>
              <w:t>；锂电池柜应可背靠背并排摆放，无需预留额外间隔空间。</w:t>
            </w:r>
          </w:p>
        </w:tc>
        <w:tc>
          <w:tcPr>
            <w:tcW w:w="1426" w:type="dxa"/>
            <w:vAlign w:val="center"/>
          </w:tcPr>
          <w:p>
            <w:pPr>
              <w:spacing w:line="360" w:lineRule="exact"/>
              <w:jc w:val="center"/>
              <w:rPr>
                <w:rFonts w:asciiTheme="minorEastAsia" w:hAnsiTheme="minorEastAsia" w:eastAsiaTheme="minorEastAsia"/>
                <w:color w:val="auto"/>
                <w:sz w:val="20"/>
                <w:szCs w:val="20"/>
              </w:rPr>
            </w:pPr>
          </w:p>
        </w:tc>
        <w:tc>
          <w:tcPr>
            <w:tcW w:w="1690" w:type="dxa"/>
            <w:vAlign w:val="center"/>
          </w:tcPr>
          <w:p>
            <w:pPr>
              <w:spacing w:line="360" w:lineRule="exact"/>
              <w:jc w:val="center"/>
              <w:rPr>
                <w:rFonts w:asciiTheme="minorEastAsia" w:hAnsiTheme="minorEastAsia" w:eastAsiaTheme="minorEastAsia"/>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trPr>
        <w:tc>
          <w:tcPr>
            <w:tcW w:w="449" w:type="dxa"/>
            <w:vAlign w:val="center"/>
          </w:tcPr>
          <w:p>
            <w:pPr>
              <w:spacing w:line="360" w:lineRule="exact"/>
              <w:jc w:val="center"/>
              <w:rPr>
                <w:rFonts w:asciiTheme="minorEastAsia" w:hAnsiTheme="minorEastAsia" w:eastAsiaTheme="minorEastAsia"/>
                <w:color w:val="auto"/>
                <w:sz w:val="20"/>
                <w:szCs w:val="20"/>
              </w:rPr>
            </w:pPr>
            <w:r>
              <w:rPr>
                <w:rFonts w:hint="eastAsia" w:asciiTheme="minorEastAsia" w:hAnsiTheme="minorEastAsia" w:eastAsiaTheme="minorEastAsia"/>
                <w:color w:val="auto"/>
                <w:sz w:val="20"/>
                <w:szCs w:val="20"/>
              </w:rPr>
              <w:t>2</w:t>
            </w:r>
            <w:r>
              <w:rPr>
                <w:rFonts w:hint="eastAsia" w:asciiTheme="minorEastAsia" w:hAnsiTheme="minorEastAsia" w:eastAsiaTheme="minorEastAsia"/>
                <w:color w:val="auto"/>
                <w:sz w:val="20"/>
                <w:szCs w:val="20"/>
                <w:lang w:val="en-US" w:eastAsia="zh-CN"/>
              </w:rPr>
              <w:t>3</w:t>
            </w:r>
          </w:p>
        </w:tc>
        <w:tc>
          <w:tcPr>
            <w:tcW w:w="1247" w:type="dxa"/>
            <w:vAlign w:val="center"/>
          </w:tcPr>
          <w:p>
            <w:pPr>
              <w:spacing w:line="20" w:lineRule="atLeast"/>
              <w:jc w:val="center"/>
              <w:rPr>
                <w:rFonts w:cs="Times New Roman" w:asciiTheme="minorEastAsia" w:hAnsiTheme="minorEastAsia" w:eastAsiaTheme="minorEastAsia"/>
                <w:bCs/>
                <w:color w:val="auto"/>
                <w:sz w:val="20"/>
                <w:szCs w:val="20"/>
              </w:rPr>
            </w:pPr>
            <w:r>
              <w:rPr>
                <w:rFonts w:hint="eastAsia" w:cs="Times New Roman" w:asciiTheme="minorEastAsia" w:hAnsiTheme="minorEastAsia" w:eastAsiaTheme="minorEastAsia"/>
                <w:bCs/>
                <w:color w:val="auto"/>
                <w:sz w:val="20"/>
                <w:szCs w:val="20"/>
                <w:lang w:val="en-US" w:eastAsia="zh-CN"/>
              </w:rPr>
              <w:t>可移动模块是移动电源</w:t>
            </w:r>
            <w:r>
              <w:rPr>
                <w:rFonts w:hint="eastAsia" w:cs="Times New Roman" w:asciiTheme="minorEastAsia" w:hAnsiTheme="minorEastAsia" w:eastAsiaTheme="minorEastAsia"/>
                <w:bCs/>
                <w:color w:val="auto"/>
                <w:sz w:val="20"/>
                <w:szCs w:val="20"/>
              </w:rPr>
              <w:t>需具备的资质认证</w:t>
            </w:r>
          </w:p>
        </w:tc>
        <w:tc>
          <w:tcPr>
            <w:tcW w:w="4345" w:type="dxa"/>
          </w:tcPr>
          <w:p>
            <w:pPr>
              <w:spacing w:line="20" w:lineRule="atLeast"/>
              <w:jc w:val="left"/>
              <w:rPr>
                <w:rFonts w:hint="eastAsia" w:eastAsia="宋体"/>
                <w:lang w:val="en-US" w:eastAsia="zh-CN"/>
              </w:rPr>
            </w:pPr>
            <w:r>
              <w:rPr>
                <w:rFonts w:hint="eastAsia" w:cs="Times New Roman" w:asciiTheme="minorEastAsia" w:hAnsiTheme="minorEastAsia" w:eastAsiaTheme="minorEastAsia"/>
                <w:bCs/>
                <w:color w:val="auto"/>
                <w:sz w:val="20"/>
                <w:szCs w:val="20"/>
                <w:lang w:val="en-US" w:eastAsia="zh-CN"/>
              </w:rPr>
              <w:t>ISO9001质量认证、ISO14001环境认证、ISO45001职业健康安全管理体系认证，具有绿色供应链认证，ISO14064碳核查证书，厂家具备CNAS 认证的关键电源实验室，具有YD/T 2165-2010《通信用模块化不间断电源》或者YD/T1095-2018《通信用不间断电源-UPS》，泰尔检测认证以及报告，CQC中国节能认证证书以及报告；具有第三方抗震检测报告,可承受烈度不低于8级；UPS功率模块带电热插拔时，需要满足IEC TR 61641:2014标准，满足1级防护。</w:t>
            </w:r>
          </w:p>
        </w:tc>
        <w:tc>
          <w:tcPr>
            <w:tcW w:w="1426" w:type="dxa"/>
            <w:vAlign w:val="center"/>
          </w:tcPr>
          <w:p>
            <w:pPr>
              <w:spacing w:line="360" w:lineRule="exact"/>
              <w:jc w:val="center"/>
              <w:rPr>
                <w:rFonts w:asciiTheme="minorEastAsia" w:hAnsiTheme="minorEastAsia" w:eastAsiaTheme="minorEastAsia"/>
                <w:color w:val="auto"/>
                <w:sz w:val="20"/>
                <w:szCs w:val="20"/>
              </w:rPr>
            </w:pPr>
          </w:p>
        </w:tc>
        <w:tc>
          <w:tcPr>
            <w:tcW w:w="1690" w:type="dxa"/>
            <w:vAlign w:val="center"/>
          </w:tcPr>
          <w:p>
            <w:pPr>
              <w:spacing w:line="360" w:lineRule="exact"/>
              <w:jc w:val="center"/>
              <w:rPr>
                <w:rFonts w:asciiTheme="minorEastAsia" w:hAnsiTheme="minorEastAsia" w:eastAsiaTheme="minorEastAsia"/>
                <w:color w:val="auto"/>
                <w:sz w:val="20"/>
                <w:szCs w:val="20"/>
              </w:rPr>
            </w:pPr>
          </w:p>
        </w:tc>
      </w:tr>
      <w:bookmarkEnd w:id="17"/>
      <w:bookmarkEnd w:id="18"/>
      <w:bookmarkEnd w:id="19"/>
    </w:tbl>
    <w:p>
      <w:pPr>
        <w:pStyle w:val="3"/>
        <w:numPr>
          <w:ilvl w:val="0"/>
          <w:numId w:val="0"/>
        </w:numPr>
        <w:snapToGrid/>
        <w:spacing w:before="312" w:line="480" w:lineRule="auto"/>
        <w:rPr>
          <w:rFonts w:hAnsi="宋体"/>
          <w:sz w:val="24"/>
          <w:szCs w:val="24"/>
        </w:rPr>
      </w:pPr>
      <w:bookmarkStart w:id="21" w:name="_Toc48211784"/>
      <w:r>
        <w:rPr>
          <w:rFonts w:hAnsi="宋体"/>
          <w:sz w:val="24"/>
          <w:szCs w:val="24"/>
        </w:rPr>
        <w:t>6</w:t>
      </w:r>
      <w:r>
        <w:rPr>
          <w:rFonts w:hint="eastAsia" w:hAnsi="宋体"/>
          <w:sz w:val="24"/>
          <w:szCs w:val="24"/>
        </w:rPr>
        <w:t xml:space="preserve"> 产品对环境的影响</w:t>
      </w:r>
      <w:bookmarkEnd w:id="21"/>
    </w:p>
    <w:p>
      <w:pPr>
        <w:pStyle w:val="15"/>
        <w:adjustRightInd w:val="0"/>
        <w:snapToGrid w:val="0"/>
        <w:spacing w:line="360" w:lineRule="auto"/>
        <w:ind w:firstLine="480"/>
        <w:rPr>
          <w:rFonts w:ascii="宋体" w:hAnsi="宋体" w:eastAsia="宋体" w:cs="Times New Roman"/>
          <w:sz w:val="24"/>
          <w:szCs w:val="24"/>
        </w:rPr>
      </w:pPr>
      <w:bookmarkStart w:id="22" w:name="_Toc399493399"/>
      <w:bookmarkStart w:id="23" w:name="_Toc276490915"/>
      <w:bookmarkStart w:id="24" w:name="_Toc276492433"/>
      <w:r>
        <w:rPr>
          <w:rFonts w:ascii="宋体" w:hAnsi="宋体" w:eastAsia="宋体" w:cs="Times New Roman"/>
          <w:sz w:val="24"/>
          <w:szCs w:val="24"/>
        </w:rPr>
        <w:t>制造厂应该提供有关设备对环境影响所需要的材料。任何已知的化学危险和环境危害应在手册或使用说明中明确。</w:t>
      </w:r>
    </w:p>
    <w:p>
      <w:pPr>
        <w:pStyle w:val="15"/>
        <w:adjustRightInd w:val="0"/>
        <w:snapToGrid w:val="0"/>
        <w:spacing w:line="360" w:lineRule="auto"/>
        <w:ind w:firstLine="480"/>
        <w:rPr>
          <w:rFonts w:ascii="宋体" w:hAnsi="宋体" w:eastAsia="宋体" w:cs="Times New Roman"/>
          <w:sz w:val="24"/>
          <w:szCs w:val="24"/>
        </w:rPr>
      </w:pPr>
      <w:r>
        <w:rPr>
          <w:rFonts w:ascii="宋体" w:hAnsi="宋体" w:eastAsia="宋体" w:cs="Times New Roman"/>
          <w:sz w:val="24"/>
          <w:szCs w:val="24"/>
        </w:rPr>
        <w:t>制造厂应该对有关设备的不同材料的使用寿命和拆除的程序给予必要的指导，对再循环使用的可能性给予简要说明。</w:t>
      </w:r>
    </w:p>
    <w:p>
      <w:pPr>
        <w:pStyle w:val="3"/>
        <w:numPr>
          <w:ilvl w:val="0"/>
          <w:numId w:val="0"/>
        </w:numPr>
        <w:snapToGrid/>
        <w:spacing w:before="312" w:line="480" w:lineRule="auto"/>
        <w:rPr>
          <w:rFonts w:hint="eastAsia" w:ascii="Calibri" w:hAnsi="Calibri" w:eastAsia="宋体" w:cs="宋体"/>
          <w:b w:val="0"/>
          <w:bCs w:val="0"/>
          <w:color w:val="000000"/>
          <w:kern w:val="2"/>
          <w:sz w:val="24"/>
          <w:szCs w:val="24"/>
          <w:lang w:val="en-US" w:eastAsia="zh-CN" w:bidi="ar-SA"/>
        </w:rPr>
      </w:pPr>
      <w:bookmarkStart w:id="25" w:name="_Toc48211785"/>
      <w:r>
        <w:rPr>
          <w:rFonts w:hAnsi="宋体"/>
          <w:sz w:val="24"/>
          <w:szCs w:val="24"/>
        </w:rPr>
        <w:t>7</w:t>
      </w:r>
      <w:r>
        <w:rPr>
          <w:rFonts w:hint="eastAsia" w:hAnsi="宋体"/>
          <w:sz w:val="24"/>
          <w:szCs w:val="24"/>
        </w:rPr>
        <w:t>技术文件要求</w:t>
      </w:r>
      <w:bookmarkEnd w:id="22"/>
      <w:bookmarkEnd w:id="25"/>
    </w:p>
    <w:bookmarkEnd w:id="23"/>
    <w:bookmarkEnd w:id="24"/>
    <w:p>
      <w:pPr>
        <w:adjustRightInd w:val="0"/>
        <w:snapToGrid w:val="0"/>
        <w:spacing w:line="360" w:lineRule="auto"/>
        <w:ind w:firstLine="480" w:firstLineChars="200"/>
        <w:rPr>
          <w:sz w:val="24"/>
          <w:szCs w:val="24"/>
        </w:rPr>
      </w:pPr>
      <w:bookmarkStart w:id="26" w:name="_Toc276492435"/>
      <w:bookmarkStart w:id="27" w:name="_Toc279695207"/>
      <w:bookmarkStart w:id="28" w:name="_Toc276490917"/>
      <w:r>
        <w:rPr>
          <w:rFonts w:hint="eastAsia" w:ascii="Calibri" w:hAnsi="Calibri" w:eastAsia="宋体" w:cs="宋体"/>
          <w:b w:val="0"/>
          <w:bCs w:val="0"/>
          <w:color w:val="000000"/>
          <w:kern w:val="2"/>
          <w:sz w:val="24"/>
          <w:szCs w:val="24"/>
          <w:lang w:val="en-US" w:eastAsia="zh-CN" w:bidi="ar-SA"/>
        </w:rPr>
        <w:t>在设备到货时，投标方应按招标方要求提供满足本次采购设备安装、调试、使用、维护所需要的相关技术文件纸质版至少3套，电子版资料1。投标</w:t>
      </w:r>
      <w:r>
        <w:rPr>
          <w:rFonts w:hint="eastAsia"/>
          <w:sz w:val="24"/>
          <w:szCs w:val="24"/>
        </w:rPr>
        <w:t>方提供的所有资料均应为中文版或中英文对照版。投标方提供本次采购设备所需的软件应为原装正版软件。具体要求提供资料如下：</w:t>
      </w:r>
    </w:p>
    <w:p>
      <w:pPr>
        <w:pStyle w:val="15"/>
        <w:adjustRightInd w:val="0"/>
        <w:snapToGrid w:val="0"/>
        <w:spacing w:line="360" w:lineRule="auto"/>
        <w:rPr>
          <w:rFonts w:eastAsia="宋体" w:cs="Times New Roman"/>
          <w:sz w:val="24"/>
          <w:szCs w:val="24"/>
        </w:rPr>
      </w:pPr>
      <w:r>
        <w:rPr>
          <w:rFonts w:eastAsia="宋体" w:cs="Times New Roman"/>
          <w:sz w:val="24"/>
          <w:szCs w:val="24"/>
        </w:rPr>
        <w:t>a</w:t>
      </w:r>
      <w:r>
        <w:rPr>
          <w:rFonts w:hint="eastAsia" w:eastAsia="宋体" w:cs="Times New Roman"/>
          <w:sz w:val="24"/>
          <w:szCs w:val="24"/>
        </w:rPr>
        <w:t>.出厂试验报告；</w:t>
      </w:r>
    </w:p>
    <w:p>
      <w:pPr>
        <w:pStyle w:val="15"/>
        <w:adjustRightInd w:val="0"/>
        <w:snapToGrid w:val="0"/>
        <w:spacing w:line="360" w:lineRule="auto"/>
        <w:rPr>
          <w:rFonts w:eastAsia="宋体" w:cs="Times New Roman"/>
          <w:sz w:val="24"/>
          <w:szCs w:val="24"/>
        </w:rPr>
      </w:pPr>
      <w:r>
        <w:rPr>
          <w:rFonts w:hint="eastAsia" w:eastAsia="宋体" w:cs="Times New Roman"/>
          <w:sz w:val="24"/>
          <w:szCs w:val="24"/>
        </w:rPr>
        <w:t>b.产品合格证；</w:t>
      </w:r>
    </w:p>
    <w:p>
      <w:pPr>
        <w:pStyle w:val="15"/>
        <w:adjustRightInd w:val="0"/>
        <w:snapToGrid w:val="0"/>
        <w:spacing w:line="360" w:lineRule="auto"/>
        <w:rPr>
          <w:rFonts w:eastAsia="宋体" w:cs="Times New Roman"/>
          <w:sz w:val="24"/>
          <w:szCs w:val="24"/>
        </w:rPr>
      </w:pPr>
      <w:r>
        <w:rPr>
          <w:rFonts w:hint="eastAsia" w:eastAsia="宋体" w:cs="Times New Roman"/>
          <w:sz w:val="24"/>
          <w:szCs w:val="24"/>
        </w:rPr>
        <w:t>c. 产品安装说明书和产品使用手册（包括：软件和硬件安装使用说明、系统功能说明、调试方法、维护项目、培训教程等等）。</w:t>
      </w:r>
    </w:p>
    <w:p>
      <w:pPr>
        <w:pStyle w:val="15"/>
        <w:adjustRightInd w:val="0"/>
        <w:snapToGrid w:val="0"/>
        <w:spacing w:line="360" w:lineRule="auto"/>
        <w:rPr>
          <w:rFonts w:eastAsia="宋体" w:cs="Times New Roman"/>
          <w:sz w:val="24"/>
          <w:szCs w:val="24"/>
        </w:rPr>
      </w:pPr>
      <w:r>
        <w:rPr>
          <w:rFonts w:hint="eastAsia" w:eastAsia="宋体" w:cs="Times New Roman"/>
          <w:sz w:val="24"/>
          <w:szCs w:val="24"/>
        </w:rPr>
        <w:t>d. 其它相关图纸资料、测试数据、软件密匙等等；</w:t>
      </w:r>
    </w:p>
    <w:p>
      <w:pPr>
        <w:pStyle w:val="15"/>
        <w:adjustRightInd w:val="0"/>
        <w:snapToGrid w:val="0"/>
        <w:spacing w:line="360" w:lineRule="auto"/>
        <w:rPr>
          <w:rFonts w:hint="eastAsia" w:eastAsia="宋体" w:cs="Times New Roman"/>
          <w:sz w:val="24"/>
          <w:szCs w:val="24"/>
          <w:lang w:eastAsia="zh-CN"/>
        </w:rPr>
      </w:pPr>
      <w:r>
        <w:rPr>
          <w:rFonts w:hint="eastAsia" w:eastAsia="宋体" w:cs="Times New Roman"/>
          <w:sz w:val="24"/>
          <w:szCs w:val="24"/>
        </w:rPr>
        <w:t>e．</w:t>
      </w:r>
      <w:r>
        <w:rPr>
          <w:rFonts w:hint="eastAsia" w:ascii="宋体" w:hAnsi="宋体" w:eastAsia="宋体" w:cs="Times New Roman"/>
          <w:color w:val="000000"/>
          <w:sz w:val="24"/>
          <w:szCs w:val="24"/>
        </w:rPr>
        <w:t>★</w:t>
      </w:r>
      <w:r>
        <w:rPr>
          <w:rFonts w:hint="eastAsia" w:eastAsia="宋体" w:cs="Times New Roman"/>
          <w:sz w:val="24"/>
          <w:szCs w:val="24"/>
        </w:rPr>
        <w:t>UPS制造商官方网站应该提供完善的产品资料信息，包括彩页、安装手册、使用手册、通讯协议、技术规格书、认证证书、CAD版本图纸、pdf版本图纸、BIM模型图纸等等</w:t>
      </w:r>
      <w:r>
        <w:rPr>
          <w:rFonts w:hint="eastAsia" w:eastAsia="宋体" w:cs="Times New Roman"/>
          <w:sz w:val="24"/>
          <w:szCs w:val="24"/>
          <w:lang w:eastAsia="zh-CN"/>
        </w:rPr>
        <w:t>。</w:t>
      </w:r>
    </w:p>
    <w:p>
      <w:pPr>
        <w:pStyle w:val="3"/>
        <w:numPr>
          <w:ilvl w:val="0"/>
          <w:numId w:val="0"/>
        </w:numPr>
        <w:snapToGrid/>
        <w:spacing w:before="312" w:line="480" w:lineRule="auto"/>
        <w:rPr>
          <w:rFonts w:hAnsi="宋体"/>
          <w:sz w:val="24"/>
          <w:szCs w:val="24"/>
        </w:rPr>
      </w:pPr>
      <w:bookmarkStart w:id="29" w:name="_Toc48211786"/>
      <w:r>
        <w:rPr>
          <w:rFonts w:hAnsi="宋体"/>
          <w:sz w:val="24"/>
          <w:szCs w:val="24"/>
        </w:rPr>
        <w:t>8</w:t>
      </w:r>
      <w:r>
        <w:rPr>
          <w:rFonts w:hint="eastAsia" w:hAnsi="宋体"/>
          <w:sz w:val="24"/>
          <w:szCs w:val="24"/>
        </w:rPr>
        <w:t xml:space="preserve"> 监造、包装、运输、安装</w:t>
      </w:r>
      <w:bookmarkEnd w:id="26"/>
      <w:bookmarkEnd w:id="27"/>
      <w:bookmarkEnd w:id="28"/>
      <w:r>
        <w:rPr>
          <w:rFonts w:hint="eastAsia" w:hAnsi="宋体"/>
          <w:sz w:val="24"/>
          <w:szCs w:val="24"/>
        </w:rPr>
        <w:t>及质量保证</w:t>
      </w:r>
      <w:bookmarkEnd w:id="29"/>
    </w:p>
    <w:p>
      <w:pPr>
        <w:pStyle w:val="4"/>
        <w:numPr>
          <w:ilvl w:val="0"/>
          <w:numId w:val="0"/>
        </w:numPr>
        <w:rPr>
          <w:rFonts w:hAnsi="宋体"/>
          <w:sz w:val="24"/>
          <w:szCs w:val="24"/>
        </w:rPr>
      </w:pPr>
      <w:bookmarkStart w:id="30" w:name="_Toc276490898"/>
      <w:bookmarkStart w:id="31" w:name="_Toc276492370"/>
      <w:bookmarkStart w:id="32" w:name="_Toc279695208"/>
      <w:bookmarkStart w:id="33" w:name="_Toc48211787"/>
      <w:bookmarkStart w:id="34" w:name="_Toc53672785"/>
      <w:bookmarkStart w:id="35" w:name="_Toc471528253"/>
      <w:bookmarkStart w:id="36" w:name="_Toc472997247"/>
      <w:bookmarkStart w:id="37" w:name="_Toc200531202"/>
      <w:r>
        <w:rPr>
          <w:rFonts w:hAnsi="宋体"/>
          <w:sz w:val="24"/>
          <w:szCs w:val="24"/>
        </w:rPr>
        <w:t>8</w:t>
      </w:r>
      <w:r>
        <w:rPr>
          <w:rFonts w:hint="eastAsia" w:hAnsi="宋体"/>
          <w:sz w:val="24"/>
          <w:szCs w:val="24"/>
        </w:rPr>
        <w:t>.1监造</w:t>
      </w:r>
      <w:bookmarkEnd w:id="30"/>
      <w:bookmarkEnd w:id="31"/>
      <w:bookmarkEnd w:id="32"/>
      <w:bookmarkEnd w:id="33"/>
    </w:p>
    <w:p>
      <w:pPr>
        <w:ind w:firstLine="480" w:firstLineChars="200"/>
        <w:rPr>
          <w:rFonts w:ascii="宋体" w:hAnsi="宋体"/>
          <w:sz w:val="24"/>
        </w:rPr>
      </w:pPr>
      <w:r>
        <w:rPr>
          <w:rFonts w:hint="eastAsia" w:ascii="宋体" w:hAnsi="宋体"/>
          <w:sz w:val="24"/>
        </w:rPr>
        <w:t>本标书采购设备无监造要求。</w:t>
      </w:r>
    </w:p>
    <w:p>
      <w:pPr>
        <w:pStyle w:val="4"/>
        <w:numPr>
          <w:ilvl w:val="0"/>
          <w:numId w:val="0"/>
        </w:numPr>
        <w:rPr>
          <w:rFonts w:hAnsi="宋体"/>
          <w:sz w:val="24"/>
          <w:szCs w:val="24"/>
        </w:rPr>
      </w:pPr>
      <w:bookmarkStart w:id="38" w:name="_Toc276492436"/>
      <w:bookmarkStart w:id="39" w:name="_Toc279695209"/>
      <w:bookmarkStart w:id="40" w:name="_Toc48211788"/>
      <w:bookmarkStart w:id="41" w:name="_Toc276301528"/>
      <w:bookmarkStart w:id="42" w:name="_Toc276490918"/>
      <w:r>
        <w:rPr>
          <w:rFonts w:hAnsi="宋体"/>
          <w:sz w:val="24"/>
          <w:szCs w:val="24"/>
        </w:rPr>
        <w:t>8</w:t>
      </w:r>
      <w:r>
        <w:rPr>
          <w:rFonts w:hint="eastAsia" w:hAnsi="宋体"/>
          <w:sz w:val="24"/>
          <w:szCs w:val="24"/>
        </w:rPr>
        <w:t>.2包装</w:t>
      </w:r>
      <w:bookmarkEnd w:id="34"/>
      <w:bookmarkEnd w:id="35"/>
      <w:bookmarkEnd w:id="36"/>
      <w:bookmarkEnd w:id="37"/>
      <w:bookmarkEnd w:id="38"/>
      <w:bookmarkEnd w:id="39"/>
      <w:bookmarkEnd w:id="40"/>
      <w:bookmarkEnd w:id="41"/>
      <w:bookmarkEnd w:id="42"/>
    </w:p>
    <w:p>
      <w:pPr>
        <w:pStyle w:val="15"/>
        <w:adjustRightInd w:val="0"/>
        <w:snapToGrid w:val="0"/>
        <w:spacing w:line="360" w:lineRule="auto"/>
        <w:ind w:firstLine="480"/>
        <w:rPr>
          <w:rFonts w:ascii="宋体" w:hAnsi="宋体" w:eastAsia="宋体" w:cs="Times New Roman"/>
          <w:sz w:val="24"/>
          <w:szCs w:val="24"/>
        </w:rPr>
      </w:pPr>
      <w:bookmarkStart w:id="43" w:name="_Toc276492437"/>
      <w:bookmarkStart w:id="44" w:name="_Toc276490919"/>
      <w:bookmarkStart w:id="45" w:name="_Toc276301529"/>
      <w:r>
        <w:rPr>
          <w:rFonts w:hint="eastAsia" w:ascii="宋体" w:hAnsi="宋体" w:eastAsia="宋体" w:cs="Times New Roman"/>
          <w:sz w:val="24"/>
          <w:szCs w:val="24"/>
        </w:rPr>
        <w:t>1）</w:t>
      </w:r>
      <w:r>
        <w:rPr>
          <w:rFonts w:ascii="宋体" w:hAnsi="宋体" w:eastAsia="宋体" w:cs="Times New Roman"/>
          <w:sz w:val="24"/>
          <w:szCs w:val="24"/>
        </w:rPr>
        <w:t>要严格按照制造厂给出的说明书对设备进行包装、运输和储存。制造厂应在交货前的适当时间提供设备的运输和储存说明书。</w:t>
      </w:r>
    </w:p>
    <w:p>
      <w:pPr>
        <w:pStyle w:val="15"/>
        <w:adjustRightInd w:val="0"/>
        <w:snapToGrid w:val="0"/>
        <w:spacing w:line="360" w:lineRule="auto"/>
        <w:ind w:firstLine="480"/>
        <w:rPr>
          <w:rFonts w:ascii="宋体" w:hAnsi="宋体" w:eastAsia="宋体" w:cs="Times New Roman"/>
          <w:sz w:val="24"/>
          <w:szCs w:val="24"/>
        </w:rPr>
      </w:pPr>
      <w:r>
        <w:rPr>
          <w:rFonts w:hint="eastAsia" w:ascii="宋体" w:hAnsi="宋体" w:eastAsia="宋体" w:cs="Times New Roman"/>
          <w:sz w:val="24"/>
          <w:szCs w:val="24"/>
        </w:rPr>
        <w:t>2）设备</w:t>
      </w:r>
      <w:r>
        <w:rPr>
          <w:rFonts w:ascii="宋体" w:hAnsi="宋体" w:eastAsia="宋体" w:cs="Times New Roman"/>
          <w:sz w:val="24"/>
          <w:szCs w:val="24"/>
        </w:rPr>
        <w:t>制造完成并通过试验后应及时包装， 否则应得到切实的保护。其包装也应符合铁路、公路和海运部门的有关规定。</w:t>
      </w:r>
    </w:p>
    <w:p>
      <w:pPr>
        <w:pStyle w:val="15"/>
        <w:adjustRightInd w:val="0"/>
        <w:snapToGrid w:val="0"/>
        <w:spacing w:line="360" w:lineRule="auto"/>
        <w:ind w:firstLine="480"/>
        <w:rPr>
          <w:rFonts w:ascii="宋体" w:hAnsi="宋体" w:eastAsia="宋体" w:cs="Times New Roman"/>
          <w:sz w:val="24"/>
          <w:szCs w:val="24"/>
        </w:rPr>
      </w:pPr>
      <w:r>
        <w:rPr>
          <w:rFonts w:hint="eastAsia" w:ascii="宋体" w:hAnsi="宋体" w:eastAsia="宋体" w:cs="Times New Roman"/>
          <w:sz w:val="24"/>
          <w:szCs w:val="24"/>
        </w:rPr>
        <w:t>3）</w:t>
      </w:r>
      <w:r>
        <w:rPr>
          <w:rFonts w:ascii="宋体" w:hAnsi="宋体" w:eastAsia="宋体" w:cs="Times New Roman"/>
          <w:sz w:val="24"/>
          <w:szCs w:val="24"/>
        </w:rPr>
        <w:t>包装箱上应有明显的包装储运图示标志， 并应标明招标方的订货号和发货号。</w:t>
      </w:r>
    </w:p>
    <w:p>
      <w:pPr>
        <w:pStyle w:val="15"/>
        <w:adjustRightInd w:val="0"/>
        <w:snapToGrid w:val="0"/>
        <w:spacing w:line="360" w:lineRule="auto"/>
        <w:ind w:firstLine="480"/>
        <w:rPr>
          <w:rFonts w:ascii="宋体" w:hAnsi="宋体" w:eastAsia="宋体" w:cs="Times New Roman"/>
          <w:sz w:val="24"/>
          <w:szCs w:val="24"/>
        </w:rPr>
      </w:pPr>
      <w:r>
        <w:rPr>
          <w:rFonts w:hint="eastAsia" w:ascii="宋体" w:hAnsi="宋体" w:eastAsia="宋体" w:cs="Times New Roman"/>
          <w:sz w:val="24"/>
          <w:szCs w:val="24"/>
        </w:rPr>
        <w:t>4）设备</w:t>
      </w:r>
      <w:r>
        <w:rPr>
          <w:rFonts w:ascii="宋体" w:hAnsi="宋体" w:eastAsia="宋体" w:cs="Times New Roman"/>
          <w:sz w:val="24"/>
          <w:szCs w:val="24"/>
        </w:rPr>
        <w:t>的包装应能保证</w:t>
      </w:r>
      <w:r>
        <w:rPr>
          <w:rFonts w:hint="eastAsia" w:ascii="宋体" w:hAnsi="宋体" w:eastAsia="宋体" w:cs="Times New Roman"/>
          <w:sz w:val="24"/>
          <w:szCs w:val="24"/>
        </w:rPr>
        <w:t>设备</w:t>
      </w:r>
      <w:r>
        <w:rPr>
          <w:rFonts w:ascii="宋体" w:hAnsi="宋体" w:eastAsia="宋体" w:cs="Times New Roman"/>
          <w:sz w:val="24"/>
          <w:szCs w:val="24"/>
        </w:rPr>
        <w:t>各零部件在运输过程中不致遭到脏污、损坏、变形、丢失及受潮。对于其中的绝缘部件及由有机绝缘材料制成的绝缘件应特别加以保护，以免损坏和受潮。对于外露的接触表面，应有预防腐蚀的措施。所有运输措施均应经过验证。凡有运输损坏，应由制造厂负责赔偿。</w:t>
      </w:r>
    </w:p>
    <w:p>
      <w:pPr>
        <w:pStyle w:val="4"/>
        <w:numPr>
          <w:ilvl w:val="0"/>
          <w:numId w:val="0"/>
        </w:numPr>
        <w:rPr>
          <w:rFonts w:hAnsi="宋体"/>
          <w:sz w:val="24"/>
          <w:szCs w:val="24"/>
        </w:rPr>
      </w:pPr>
      <w:bookmarkStart w:id="46" w:name="_Toc48211789"/>
      <w:bookmarkStart w:id="47" w:name="_Toc279695210"/>
      <w:r>
        <w:rPr>
          <w:rFonts w:hAnsi="宋体"/>
          <w:sz w:val="24"/>
          <w:szCs w:val="24"/>
        </w:rPr>
        <w:t>8</w:t>
      </w:r>
      <w:r>
        <w:rPr>
          <w:rFonts w:hint="eastAsia" w:hAnsi="宋体"/>
          <w:sz w:val="24"/>
          <w:szCs w:val="24"/>
        </w:rPr>
        <w:t>.3运输</w:t>
      </w:r>
      <w:bookmarkEnd w:id="43"/>
      <w:bookmarkEnd w:id="44"/>
      <w:bookmarkEnd w:id="45"/>
      <w:bookmarkEnd w:id="46"/>
      <w:bookmarkEnd w:id="47"/>
    </w:p>
    <w:p>
      <w:pPr>
        <w:pStyle w:val="15"/>
        <w:adjustRightInd w:val="0"/>
        <w:snapToGrid w:val="0"/>
        <w:spacing w:line="360" w:lineRule="auto"/>
        <w:ind w:firstLine="480"/>
        <w:rPr>
          <w:rFonts w:ascii="宋体" w:hAnsi="宋体" w:eastAsia="宋体" w:cs="Times New Roman"/>
          <w:sz w:val="24"/>
          <w:szCs w:val="24"/>
        </w:rPr>
      </w:pPr>
      <w:r>
        <w:rPr>
          <w:rFonts w:hint="eastAsia" w:ascii="宋体" w:hAnsi="宋体" w:eastAsia="宋体" w:cs="Times New Roman"/>
          <w:sz w:val="24"/>
          <w:szCs w:val="24"/>
        </w:rPr>
        <w:t>1）设备</w:t>
      </w:r>
      <w:r>
        <w:rPr>
          <w:rFonts w:ascii="宋体" w:hAnsi="宋体" w:eastAsia="宋体" w:cs="Times New Roman"/>
          <w:sz w:val="24"/>
          <w:szCs w:val="24"/>
        </w:rPr>
        <w:t>单独运输的零部件应有标志，便于用户安装装配。</w:t>
      </w:r>
    </w:p>
    <w:p>
      <w:pPr>
        <w:pStyle w:val="15"/>
        <w:adjustRightInd w:val="0"/>
        <w:snapToGrid w:val="0"/>
        <w:spacing w:line="360" w:lineRule="auto"/>
        <w:ind w:firstLine="480"/>
        <w:rPr>
          <w:rFonts w:ascii="宋体" w:hAnsi="宋体"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整体产品或分别运输的部件，都要适合于运输及装卸的要求。</w:t>
      </w:r>
    </w:p>
    <w:p>
      <w:pPr>
        <w:pStyle w:val="15"/>
        <w:adjustRightInd w:val="0"/>
        <w:snapToGrid w:val="0"/>
        <w:spacing w:line="360" w:lineRule="auto"/>
        <w:ind w:firstLine="480"/>
        <w:rPr>
          <w:rFonts w:ascii="宋体" w:hAnsi="宋体" w:eastAsia="宋体" w:cs="Times New Roman"/>
          <w:sz w:val="24"/>
          <w:szCs w:val="24"/>
        </w:rPr>
      </w:pPr>
      <w:r>
        <w:rPr>
          <w:rFonts w:hint="eastAsia" w:ascii="宋体" w:hAnsi="宋体" w:eastAsia="宋体" w:cs="Times New Roman"/>
          <w:sz w:val="24"/>
          <w:szCs w:val="24"/>
        </w:rPr>
        <w:t>3）</w:t>
      </w:r>
      <w:r>
        <w:rPr>
          <w:rFonts w:ascii="宋体" w:hAnsi="宋体" w:eastAsia="宋体" w:cs="Times New Roman"/>
          <w:sz w:val="24"/>
          <w:szCs w:val="24"/>
        </w:rPr>
        <w:t>制造厂应提供按全部解体检修用的备品备件和装用机具，随同产品发运。</w:t>
      </w:r>
    </w:p>
    <w:p>
      <w:pPr>
        <w:pStyle w:val="15"/>
        <w:adjustRightInd w:val="0"/>
        <w:snapToGrid w:val="0"/>
        <w:spacing w:line="360" w:lineRule="auto"/>
        <w:ind w:firstLine="480"/>
        <w:rPr>
          <w:rFonts w:ascii="宋体" w:hAnsi="宋体" w:eastAsia="宋体" w:cs="Times New Roman"/>
          <w:sz w:val="24"/>
          <w:szCs w:val="24"/>
        </w:rPr>
      </w:pPr>
      <w:r>
        <w:rPr>
          <w:rFonts w:hint="eastAsia" w:ascii="宋体" w:hAnsi="宋体" w:eastAsia="宋体" w:cs="Times New Roman"/>
          <w:sz w:val="24"/>
          <w:szCs w:val="24"/>
        </w:rPr>
        <w:t>4）</w:t>
      </w:r>
      <w:r>
        <w:rPr>
          <w:rFonts w:ascii="宋体" w:hAnsi="宋体" w:eastAsia="宋体" w:cs="Times New Roman"/>
          <w:sz w:val="24"/>
          <w:szCs w:val="24"/>
        </w:rPr>
        <w:t>随同运输的产品应附有装箱清单，产品所需提供的技术资料应完整无缺。</w:t>
      </w:r>
    </w:p>
    <w:p>
      <w:pPr>
        <w:pStyle w:val="4"/>
        <w:numPr>
          <w:ilvl w:val="0"/>
          <w:numId w:val="0"/>
        </w:numPr>
        <w:rPr>
          <w:rFonts w:hAnsi="宋体"/>
          <w:sz w:val="24"/>
          <w:szCs w:val="24"/>
        </w:rPr>
      </w:pPr>
      <w:bookmarkStart w:id="48" w:name="_Toc276490920"/>
      <w:bookmarkStart w:id="49" w:name="_Toc276492438"/>
      <w:bookmarkStart w:id="50" w:name="_Toc276301530"/>
      <w:bookmarkStart w:id="51" w:name="_Toc48211790"/>
      <w:bookmarkStart w:id="52" w:name="_Toc279695211"/>
      <w:r>
        <w:rPr>
          <w:rFonts w:hAnsi="宋体"/>
          <w:sz w:val="24"/>
          <w:szCs w:val="24"/>
        </w:rPr>
        <w:t>8</w:t>
      </w:r>
      <w:r>
        <w:rPr>
          <w:rFonts w:hint="eastAsia" w:hAnsi="宋体"/>
          <w:sz w:val="24"/>
          <w:szCs w:val="24"/>
        </w:rPr>
        <w:t>.4安装</w:t>
      </w:r>
      <w:bookmarkEnd w:id="48"/>
      <w:bookmarkEnd w:id="49"/>
      <w:bookmarkEnd w:id="50"/>
      <w:r>
        <w:rPr>
          <w:rFonts w:hint="eastAsia" w:hAnsi="宋体"/>
          <w:sz w:val="24"/>
          <w:szCs w:val="24"/>
        </w:rPr>
        <w:t>使用指导</w:t>
      </w:r>
      <w:bookmarkEnd w:id="51"/>
      <w:bookmarkEnd w:id="52"/>
    </w:p>
    <w:p>
      <w:pPr>
        <w:pStyle w:val="15"/>
        <w:adjustRightInd w:val="0"/>
        <w:snapToGrid w:val="0"/>
        <w:spacing w:line="360" w:lineRule="auto"/>
        <w:ind w:firstLine="480"/>
        <w:rPr>
          <w:rFonts w:ascii="宋体" w:hAnsi="宋体" w:eastAsia="宋体" w:cs="Times New Roman"/>
          <w:sz w:val="24"/>
          <w:szCs w:val="24"/>
        </w:rPr>
      </w:pPr>
      <w:r>
        <w:rPr>
          <w:rFonts w:hint="eastAsia" w:ascii="宋体" w:hAnsi="宋体" w:eastAsia="宋体" w:cs="Times New Roman"/>
          <w:sz w:val="24"/>
          <w:szCs w:val="24"/>
        </w:rPr>
        <w:t>投标方应在本标书采购设备首次使用时或必要时，安排技术人员提供现场安装和技术指导服务，并确保招标方现场技术人员熟练掌握设备功能和使用。设备在现场搬运、吊装就位和安装、测试、试验时，应按照</w:t>
      </w:r>
      <w:r>
        <w:rPr>
          <w:rFonts w:ascii="宋体" w:hAnsi="宋体" w:eastAsia="宋体" w:cs="Times New Roman"/>
          <w:sz w:val="24"/>
          <w:szCs w:val="24"/>
        </w:rPr>
        <w:t>GB5226.1-2008</w:t>
      </w:r>
      <w:r>
        <w:rPr>
          <w:rFonts w:hint="eastAsia" w:ascii="宋体" w:hAnsi="宋体" w:eastAsia="宋体" w:cs="Times New Roman"/>
          <w:sz w:val="24"/>
          <w:szCs w:val="24"/>
        </w:rPr>
        <w:t>《机械安全 机械电气设备 第1部分：通用技术条件》等的要求进行。</w:t>
      </w:r>
    </w:p>
    <w:p>
      <w:pPr>
        <w:pStyle w:val="4"/>
        <w:numPr>
          <w:ilvl w:val="0"/>
          <w:numId w:val="0"/>
        </w:numPr>
        <w:rPr>
          <w:rFonts w:hAnsi="宋体"/>
          <w:sz w:val="24"/>
          <w:szCs w:val="24"/>
        </w:rPr>
      </w:pPr>
      <w:bookmarkStart w:id="53" w:name="_Toc48211791"/>
      <w:r>
        <w:rPr>
          <w:rFonts w:hAnsi="宋体"/>
          <w:sz w:val="24"/>
          <w:szCs w:val="24"/>
        </w:rPr>
        <w:t>8</w:t>
      </w:r>
      <w:r>
        <w:rPr>
          <w:rFonts w:hint="eastAsia" w:hAnsi="宋体"/>
          <w:sz w:val="24"/>
          <w:szCs w:val="24"/>
        </w:rPr>
        <w:t>.5质量保证</w:t>
      </w:r>
      <w:bookmarkEnd w:id="53"/>
    </w:p>
    <w:p>
      <w:pPr>
        <w:pStyle w:val="15"/>
        <w:adjustRightInd w:val="0"/>
        <w:snapToGrid w:val="0"/>
        <w:spacing w:line="360" w:lineRule="auto"/>
        <w:ind w:firstLine="480"/>
        <w:rPr>
          <w:rFonts w:hint="eastAsia" w:ascii="宋体" w:hAnsi="宋体" w:eastAsia="宋体" w:cs="Times New Roman"/>
          <w:sz w:val="24"/>
          <w:szCs w:val="24"/>
          <w:lang w:eastAsia="zh-CN"/>
        </w:rPr>
      </w:pPr>
      <w:r>
        <w:rPr>
          <w:rFonts w:hint="eastAsia" w:ascii="宋体" w:hAnsi="宋体" w:eastAsia="宋体" w:cs="Times New Roman"/>
          <w:sz w:val="24"/>
          <w:szCs w:val="24"/>
        </w:rPr>
        <w:t>1）</w:t>
      </w:r>
      <w:r>
        <w:rPr>
          <w:rFonts w:hint="eastAsia" w:ascii="宋体" w:hAnsi="宋体" w:eastAsia="宋体" w:cs="Times New Roman"/>
          <w:color w:val="000000"/>
          <w:sz w:val="24"/>
          <w:szCs w:val="24"/>
        </w:rPr>
        <w:t>★</w:t>
      </w:r>
      <w:r>
        <w:rPr>
          <w:rFonts w:hint="eastAsia" w:ascii="宋体" w:hAnsi="宋体" w:eastAsia="宋体" w:cs="Times New Roman"/>
          <w:sz w:val="24"/>
          <w:szCs w:val="24"/>
        </w:rPr>
        <w:t>全部设备必须是全新的，持久耐用的，应满足作为一个完整产品所能满足的全部要求。投标方应保证设备在规定的使用条件下运行、并按使用说明书进行安装和维护、预期使用寿命应不少于12年。本地必须有常驻服务工程师和配件库房</w:t>
      </w:r>
      <w:r>
        <w:rPr>
          <w:rFonts w:hint="eastAsia" w:ascii="宋体" w:hAnsi="宋体" w:eastAsia="宋体" w:cs="Times New Roman"/>
          <w:sz w:val="24"/>
          <w:szCs w:val="24"/>
          <w:lang w:eastAsia="zh-CN"/>
        </w:rPr>
        <w:t>。</w:t>
      </w:r>
    </w:p>
    <w:p>
      <w:pPr>
        <w:pStyle w:val="15"/>
        <w:adjustRightInd w:val="0"/>
        <w:snapToGrid w:val="0"/>
        <w:spacing w:line="360" w:lineRule="auto"/>
        <w:ind w:firstLine="480"/>
        <w:rPr>
          <w:rFonts w:ascii="宋体" w:hAnsi="宋体" w:eastAsia="宋体" w:cs="Times New Roman"/>
          <w:sz w:val="24"/>
          <w:szCs w:val="24"/>
        </w:rPr>
      </w:pPr>
      <w:r>
        <w:rPr>
          <w:rFonts w:hint="eastAsia" w:ascii="宋体" w:hAnsi="宋体" w:eastAsia="宋体" w:cs="Times New Roman"/>
          <w:sz w:val="24"/>
          <w:szCs w:val="24"/>
        </w:rPr>
        <w:t>2）投标方应对其整组设备在到货后提供不少于</w:t>
      </w:r>
      <w:r>
        <w:rPr>
          <w:rFonts w:hint="eastAsia" w:ascii="宋体" w:hAnsi="宋体" w:eastAsia="宋体" w:cs="Times New Roman"/>
          <w:sz w:val="24"/>
          <w:szCs w:val="24"/>
          <w:lang w:val="en-US" w:eastAsia="zh-CN"/>
        </w:rPr>
        <w:t>5</w:t>
      </w:r>
      <w:r>
        <w:rPr>
          <w:rFonts w:hint="eastAsia" w:ascii="宋体" w:hAnsi="宋体" w:eastAsia="宋体" w:cs="Times New Roman"/>
          <w:sz w:val="24"/>
          <w:szCs w:val="24"/>
        </w:rPr>
        <w:t>年的“三包”质量保证。之后如发生产品损坏，投标方应及时为本组装置提供维修部件，并按最近的投标价提供。</w:t>
      </w:r>
    </w:p>
    <w:p>
      <w:pPr>
        <w:pStyle w:val="15"/>
        <w:adjustRightInd w:val="0"/>
        <w:snapToGrid w:val="0"/>
        <w:spacing w:line="360" w:lineRule="auto"/>
        <w:ind w:firstLine="480"/>
        <w:rPr>
          <w:rFonts w:ascii="宋体" w:hAnsi="宋体" w:eastAsia="宋体" w:cs="Times New Roman"/>
          <w:sz w:val="24"/>
          <w:szCs w:val="24"/>
        </w:rPr>
      </w:pPr>
      <w:r>
        <w:rPr>
          <w:rFonts w:hint="eastAsia" w:ascii="宋体" w:hAnsi="宋体" w:eastAsia="宋体" w:cs="Times New Roman"/>
          <w:sz w:val="24"/>
          <w:szCs w:val="24"/>
        </w:rPr>
        <w:t>3）订购的新型产品除应满足本标准外</w:t>
      </w:r>
      <w:r>
        <w:rPr>
          <w:rFonts w:ascii="宋体" w:hAnsi="宋体" w:eastAsia="宋体" w:cs="Times New Roman"/>
          <w:sz w:val="24"/>
          <w:szCs w:val="24"/>
        </w:rPr>
        <w:t xml:space="preserve">， </w:t>
      </w:r>
      <w:r>
        <w:rPr>
          <w:rFonts w:hint="eastAsia" w:ascii="宋体" w:hAnsi="宋体" w:eastAsia="宋体" w:cs="Times New Roman"/>
          <w:sz w:val="24"/>
          <w:szCs w:val="24"/>
        </w:rPr>
        <w:t>投标方还应提供该产品的鉴定证书。</w:t>
      </w:r>
    </w:p>
    <w:p>
      <w:pPr>
        <w:pStyle w:val="15"/>
        <w:adjustRightInd w:val="0"/>
        <w:snapToGrid w:val="0"/>
        <w:spacing w:line="360" w:lineRule="auto"/>
        <w:ind w:firstLine="480"/>
        <w:rPr>
          <w:rFonts w:ascii="宋体" w:hAnsi="宋体" w:eastAsia="宋体" w:cs="Times New Roman"/>
          <w:sz w:val="24"/>
          <w:szCs w:val="24"/>
        </w:rPr>
      </w:pPr>
      <w:r>
        <w:rPr>
          <w:rFonts w:hint="eastAsia" w:ascii="宋体" w:hAnsi="宋体" w:eastAsia="宋体" w:cs="Times New Roman"/>
          <w:sz w:val="24"/>
          <w:szCs w:val="24"/>
        </w:rPr>
        <w:t>4）投标方应保证制造过程中的所有工艺、材料试验等</w:t>
      </w:r>
      <w:r>
        <w:rPr>
          <w:rFonts w:ascii="宋体" w:hAnsi="宋体" w:eastAsia="宋体" w:cs="Times New Roman"/>
          <w:sz w:val="24"/>
          <w:szCs w:val="24"/>
        </w:rPr>
        <w:t>（</w:t>
      </w:r>
      <w:r>
        <w:rPr>
          <w:rFonts w:hint="eastAsia" w:ascii="宋体" w:hAnsi="宋体" w:eastAsia="宋体" w:cs="Times New Roman"/>
          <w:sz w:val="24"/>
          <w:szCs w:val="24"/>
        </w:rPr>
        <w:t>包括投标方的外购件在内</w:t>
      </w:r>
      <w:r>
        <w:rPr>
          <w:rFonts w:ascii="宋体" w:hAnsi="宋体" w:eastAsia="宋体" w:cs="Times New Roman"/>
          <w:sz w:val="24"/>
          <w:szCs w:val="24"/>
        </w:rPr>
        <w:t>）</w:t>
      </w:r>
      <w:r>
        <w:rPr>
          <w:rFonts w:hint="eastAsia" w:ascii="宋体" w:hAnsi="宋体" w:eastAsia="宋体" w:cs="Times New Roman"/>
          <w:sz w:val="24"/>
          <w:szCs w:val="24"/>
        </w:rPr>
        <w:t>均应符合本标准的规定。若招标方根据运行经验指定投标方提供某种外购零部件</w:t>
      </w:r>
      <w:r>
        <w:rPr>
          <w:rFonts w:ascii="宋体" w:hAnsi="宋体" w:eastAsia="宋体" w:cs="Times New Roman"/>
          <w:sz w:val="24"/>
          <w:szCs w:val="24"/>
        </w:rPr>
        <w:t xml:space="preserve">， </w:t>
      </w:r>
      <w:r>
        <w:rPr>
          <w:rFonts w:hint="eastAsia" w:ascii="宋体" w:hAnsi="宋体" w:eastAsia="宋体" w:cs="Times New Roman"/>
          <w:sz w:val="24"/>
          <w:szCs w:val="24"/>
        </w:rPr>
        <w:t>投标方应积极配合。</w:t>
      </w:r>
    </w:p>
    <w:p>
      <w:pPr>
        <w:pStyle w:val="15"/>
        <w:adjustRightInd w:val="0"/>
        <w:snapToGrid w:val="0"/>
        <w:spacing w:line="360" w:lineRule="auto"/>
        <w:ind w:firstLine="480"/>
        <w:rPr>
          <w:rFonts w:ascii="宋体" w:hAnsi="宋体" w:eastAsia="宋体" w:cs="Times New Roman"/>
          <w:sz w:val="24"/>
          <w:szCs w:val="24"/>
        </w:rPr>
      </w:pPr>
      <w:r>
        <w:rPr>
          <w:rFonts w:hint="eastAsia" w:ascii="宋体" w:hAnsi="宋体" w:eastAsia="宋体" w:cs="Times New Roman"/>
          <w:sz w:val="24"/>
          <w:szCs w:val="24"/>
        </w:rPr>
        <w:t>5）附属及配套设备必须满足有关行业标准的要求</w:t>
      </w:r>
      <w:r>
        <w:rPr>
          <w:rFonts w:ascii="宋体" w:hAnsi="宋体" w:eastAsia="宋体" w:cs="Times New Roman"/>
          <w:sz w:val="24"/>
          <w:szCs w:val="24"/>
        </w:rPr>
        <w:t xml:space="preserve">， </w:t>
      </w:r>
      <w:r>
        <w:rPr>
          <w:rFonts w:hint="eastAsia" w:ascii="宋体" w:hAnsi="宋体" w:eastAsia="宋体" w:cs="Times New Roman"/>
          <w:sz w:val="24"/>
          <w:szCs w:val="24"/>
        </w:rPr>
        <w:t>并提供试验报告和产品合格证。</w:t>
      </w:r>
    </w:p>
    <w:p>
      <w:pPr>
        <w:pStyle w:val="15"/>
        <w:adjustRightInd w:val="0"/>
        <w:snapToGrid w:val="0"/>
        <w:spacing w:line="360" w:lineRule="auto"/>
        <w:ind w:firstLine="480"/>
        <w:rPr>
          <w:rFonts w:ascii="宋体" w:hAnsi="宋体" w:eastAsia="宋体" w:cs="Times New Roman"/>
          <w:sz w:val="24"/>
          <w:szCs w:val="24"/>
        </w:rPr>
      </w:pPr>
      <w:r>
        <w:rPr>
          <w:rFonts w:hint="eastAsia" w:ascii="宋体" w:hAnsi="宋体" w:eastAsia="宋体" w:cs="Times New Roman"/>
          <w:sz w:val="24"/>
          <w:szCs w:val="24"/>
        </w:rPr>
        <w:t>6）投标方应有遵守本标准中各条款和工作项目的</w:t>
      </w:r>
      <w:r>
        <w:rPr>
          <w:rFonts w:ascii="宋体" w:hAnsi="宋体" w:eastAsia="宋体" w:cs="Times New Roman"/>
          <w:sz w:val="24"/>
          <w:szCs w:val="24"/>
        </w:rPr>
        <w:t>ISO900</w:t>
      </w:r>
      <w:r>
        <w:rPr>
          <w:rFonts w:hint="eastAsia" w:ascii="宋体" w:hAnsi="宋体" w:eastAsia="宋体" w:cs="Times New Roman"/>
          <w:sz w:val="24"/>
          <w:szCs w:val="24"/>
        </w:rPr>
        <w:t>0-</w:t>
      </w:r>
      <w:r>
        <w:rPr>
          <w:rFonts w:ascii="宋体" w:hAnsi="宋体" w:eastAsia="宋体" w:cs="Times New Roman"/>
          <w:sz w:val="24"/>
          <w:szCs w:val="24"/>
        </w:rPr>
        <w:t>GB/T1900</w:t>
      </w:r>
      <w:r>
        <w:rPr>
          <w:rFonts w:hint="eastAsia" w:ascii="宋体" w:hAnsi="宋体" w:eastAsia="宋体" w:cs="Times New Roman"/>
          <w:sz w:val="24"/>
          <w:szCs w:val="24"/>
        </w:rPr>
        <w:t>0质量保证体系</w:t>
      </w:r>
      <w:r>
        <w:rPr>
          <w:rFonts w:ascii="宋体" w:hAnsi="宋体" w:eastAsia="宋体" w:cs="Times New Roman"/>
          <w:sz w:val="24"/>
          <w:szCs w:val="24"/>
        </w:rPr>
        <w:t xml:space="preserve">， </w:t>
      </w:r>
      <w:r>
        <w:rPr>
          <w:rFonts w:hint="eastAsia" w:ascii="宋体" w:hAnsi="宋体" w:eastAsia="宋体" w:cs="Times New Roman"/>
          <w:sz w:val="24"/>
          <w:szCs w:val="24"/>
        </w:rPr>
        <w:t>该质量保证体系已经通过国家认证并在正常运转。</w:t>
      </w:r>
    </w:p>
    <w:p>
      <w:pPr>
        <w:pStyle w:val="15"/>
        <w:adjustRightInd w:val="0"/>
        <w:snapToGrid w:val="0"/>
        <w:spacing w:line="360" w:lineRule="auto"/>
        <w:ind w:firstLine="480"/>
        <w:rPr>
          <w:rFonts w:ascii="宋体" w:hAnsi="宋体" w:eastAsia="宋体" w:cs="Times New Roman"/>
          <w:sz w:val="24"/>
          <w:szCs w:val="24"/>
        </w:rPr>
      </w:pPr>
      <w:r>
        <w:rPr>
          <w:rFonts w:hint="eastAsia" w:ascii="宋体" w:hAnsi="宋体" w:eastAsia="宋体" w:cs="Times New Roman"/>
          <w:sz w:val="24"/>
          <w:szCs w:val="24"/>
        </w:rPr>
        <w:t>7）仪器到达用户所在地后,由投标方的技术人员前往现场进行仪器的安装、测试, 并免费对招标方技术人员进行软硬件操作、仪器的保养、日常维护等方面的培训。</w:t>
      </w:r>
    </w:p>
    <w:p>
      <w:pPr>
        <w:pStyle w:val="15"/>
        <w:adjustRightInd w:val="0"/>
        <w:snapToGrid w:val="0"/>
        <w:spacing w:line="360" w:lineRule="auto"/>
        <w:ind w:firstLine="480"/>
        <w:rPr>
          <w:rFonts w:ascii="宋体" w:hAnsi="宋体" w:eastAsia="宋体" w:cs="Times New Roman"/>
          <w:sz w:val="24"/>
          <w:szCs w:val="24"/>
        </w:rPr>
      </w:pPr>
      <w:r>
        <w:rPr>
          <w:rFonts w:hint="eastAsia" w:ascii="宋体" w:hAnsi="宋体" w:eastAsia="宋体" w:cs="Times New Roman"/>
          <w:sz w:val="24"/>
          <w:szCs w:val="24"/>
        </w:rPr>
        <w:t>8）对仪器在质保期内出现的故障, 投标方人员在接到通知后应在2工作日内派技术人员到现场检查处理, 并立刻提出处理意见, 免费进行维修。</w:t>
      </w:r>
    </w:p>
    <w:p>
      <w:pPr>
        <w:pStyle w:val="15"/>
        <w:adjustRightInd w:val="0"/>
        <w:snapToGrid w:val="0"/>
        <w:spacing w:line="360" w:lineRule="auto"/>
        <w:ind w:firstLine="480"/>
        <w:rPr>
          <w:rFonts w:ascii="宋体" w:hAnsi="宋体" w:eastAsia="宋体" w:cs="Times New Roman"/>
          <w:sz w:val="24"/>
          <w:szCs w:val="24"/>
        </w:rPr>
      </w:pPr>
      <w:r>
        <w:rPr>
          <w:rFonts w:hint="eastAsia" w:ascii="宋体" w:hAnsi="宋体" w:eastAsia="宋体" w:cs="Times New Roman"/>
          <w:sz w:val="24"/>
          <w:szCs w:val="24"/>
        </w:rPr>
        <w:t>9）对于质保期已过的仪器, 厂家将负责终身维修。对于一般的故障, 处理时间15工作日内。对于严重的故障，将根据情况安排维修时间的长短。</w:t>
      </w:r>
    </w:p>
    <w:p>
      <w:pPr>
        <w:pStyle w:val="3"/>
        <w:numPr>
          <w:ilvl w:val="0"/>
          <w:numId w:val="0"/>
        </w:numPr>
        <w:snapToGrid/>
        <w:spacing w:before="312" w:line="480" w:lineRule="auto"/>
        <w:rPr>
          <w:rFonts w:hAnsi="宋体"/>
          <w:sz w:val="24"/>
          <w:szCs w:val="24"/>
        </w:rPr>
      </w:pPr>
      <w:bookmarkStart w:id="54" w:name="_Toc287602849"/>
      <w:bookmarkStart w:id="55" w:name="_Toc48211792"/>
      <w:r>
        <w:rPr>
          <w:rFonts w:hAnsi="宋体"/>
          <w:sz w:val="24"/>
          <w:szCs w:val="24"/>
        </w:rPr>
        <w:t>9</w:t>
      </w:r>
      <w:r>
        <w:rPr>
          <w:rFonts w:hint="eastAsia" w:hAnsi="宋体"/>
          <w:sz w:val="24"/>
          <w:szCs w:val="24"/>
        </w:rPr>
        <w:t>技术差异表</w:t>
      </w:r>
      <w:bookmarkEnd w:id="54"/>
      <w:bookmarkEnd w:id="55"/>
    </w:p>
    <w:p>
      <w:pPr>
        <w:pStyle w:val="15"/>
        <w:adjustRightInd w:val="0"/>
        <w:snapToGrid w:val="0"/>
        <w:spacing w:line="360" w:lineRule="auto"/>
        <w:ind w:firstLine="480"/>
        <w:rPr>
          <w:rFonts w:ascii="宋体" w:hAnsi="宋体" w:eastAsia="宋体" w:cs="Times New Roman"/>
          <w:sz w:val="24"/>
          <w:szCs w:val="24"/>
        </w:rPr>
      </w:pPr>
      <w:bookmarkStart w:id="56" w:name="_Toc226362579"/>
      <w:r>
        <w:rPr>
          <w:rFonts w:hint="eastAsia" w:ascii="宋体" w:hAnsi="宋体" w:eastAsia="宋体" w:cs="Times New Roman"/>
          <w:sz w:val="24"/>
          <w:szCs w:val="24"/>
        </w:rPr>
        <w:t>投标方应将所供设备与本招标书技术文件有差异之处，无论优于或劣于本招标书技术文件要求，均汇集至表</w:t>
      </w:r>
      <w:r>
        <w:rPr>
          <w:rFonts w:ascii="宋体" w:hAnsi="宋体" w:eastAsia="宋体" w:cs="Times New Roman"/>
          <w:sz w:val="24"/>
          <w:szCs w:val="24"/>
        </w:rPr>
        <w:t>9</w:t>
      </w:r>
      <w:r>
        <w:rPr>
          <w:rFonts w:hint="eastAsia" w:ascii="宋体" w:hAnsi="宋体" w:eastAsia="宋体" w:cs="Times New Roman"/>
          <w:sz w:val="24"/>
          <w:szCs w:val="24"/>
        </w:rPr>
        <w:t>.1。</w:t>
      </w:r>
    </w:p>
    <w:p>
      <w:pPr>
        <w:adjustRightInd w:val="0"/>
        <w:snapToGrid w:val="0"/>
        <w:spacing w:line="360" w:lineRule="auto"/>
        <w:ind w:firstLine="199"/>
        <w:jc w:val="center"/>
        <w:rPr>
          <w:rFonts w:ascii="宋体" w:hAnsi="宋体"/>
          <w:sz w:val="24"/>
        </w:rPr>
      </w:pPr>
      <w:r>
        <w:rPr>
          <w:rFonts w:hint="eastAsia" w:ascii="宋体" w:hAnsi="宋体"/>
          <w:sz w:val="24"/>
        </w:rPr>
        <w:t>表</w:t>
      </w:r>
      <w:r>
        <w:rPr>
          <w:rFonts w:ascii="宋体" w:hAnsi="宋体"/>
          <w:sz w:val="24"/>
        </w:rPr>
        <w:t>9</w:t>
      </w:r>
      <w:r>
        <w:rPr>
          <w:rFonts w:hint="eastAsia" w:ascii="宋体" w:hAnsi="宋体"/>
          <w:sz w:val="24"/>
        </w:rPr>
        <w:t>.1   技术差异表</w:t>
      </w:r>
      <w:bookmarkEnd w:id="56"/>
      <w:r>
        <w:rPr>
          <w:rFonts w:hint="eastAsia" w:ascii="宋体" w:hAnsi="宋体"/>
          <w:sz w:val="24"/>
        </w:rPr>
        <w:t xml:space="preserve">  （投标方填写）</w:t>
      </w:r>
    </w:p>
    <w:tbl>
      <w:tblPr>
        <w:tblStyle w:val="10"/>
        <w:tblW w:w="838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2"/>
        <w:gridCol w:w="2711"/>
        <w:gridCol w:w="1257"/>
        <w:gridCol w:w="25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jc w:val="center"/>
              <w:rPr>
                <w:rFonts w:ascii="宋体" w:hAnsi="宋体"/>
                <w:szCs w:val="21"/>
              </w:rPr>
            </w:pPr>
            <w:r>
              <w:rPr>
                <w:rFonts w:hint="eastAsia" w:ascii="宋体" w:hAnsi="宋体"/>
                <w:szCs w:val="21"/>
              </w:rPr>
              <w:t>序</w:t>
            </w:r>
          </w:p>
          <w:p>
            <w:pPr>
              <w:jc w:val="center"/>
              <w:rPr>
                <w:rFonts w:ascii="宋体" w:hAnsi="宋体"/>
                <w:szCs w:val="21"/>
              </w:rPr>
            </w:pPr>
            <w:r>
              <w:rPr>
                <w:rFonts w:hint="eastAsia" w:ascii="宋体" w:hAnsi="宋体"/>
                <w:szCs w:val="21"/>
              </w:rPr>
              <w:t>号</w:t>
            </w:r>
          </w:p>
        </w:tc>
        <w:tc>
          <w:tcPr>
            <w:tcW w:w="3873" w:type="dxa"/>
            <w:gridSpan w:val="2"/>
            <w:vAlign w:val="center"/>
          </w:tcPr>
          <w:p>
            <w:pPr>
              <w:jc w:val="center"/>
              <w:rPr>
                <w:rFonts w:ascii="宋体" w:hAnsi="宋体"/>
                <w:szCs w:val="21"/>
              </w:rPr>
            </w:pPr>
            <w:r>
              <w:rPr>
                <w:rFonts w:hint="eastAsia" w:ascii="宋体" w:hAnsi="宋体"/>
                <w:szCs w:val="21"/>
              </w:rPr>
              <w:t>招 标 文 件</w:t>
            </w:r>
          </w:p>
        </w:tc>
        <w:tc>
          <w:tcPr>
            <w:tcW w:w="3830" w:type="dxa"/>
            <w:gridSpan w:val="2"/>
            <w:vAlign w:val="center"/>
          </w:tcPr>
          <w:p>
            <w:pPr>
              <w:jc w:val="center"/>
              <w:rPr>
                <w:rFonts w:ascii="宋体" w:hAnsi="宋体"/>
                <w:szCs w:val="21"/>
              </w:rPr>
            </w:pPr>
            <w:r>
              <w:rPr>
                <w:rFonts w:hint="eastAsia" w:ascii="宋体" w:hAnsi="宋体"/>
                <w:szCs w:val="21"/>
              </w:rPr>
              <w:t>投  标  文  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jc w:val="center"/>
              <w:rPr>
                <w:rFonts w:ascii="宋体" w:hAnsi="宋体"/>
                <w:szCs w:val="21"/>
              </w:rPr>
            </w:pPr>
          </w:p>
        </w:tc>
        <w:tc>
          <w:tcPr>
            <w:tcW w:w="1162" w:type="dxa"/>
            <w:vAlign w:val="center"/>
          </w:tcPr>
          <w:p>
            <w:pPr>
              <w:jc w:val="center"/>
              <w:rPr>
                <w:rFonts w:ascii="宋体" w:hAnsi="宋体"/>
                <w:szCs w:val="21"/>
              </w:rPr>
            </w:pPr>
            <w:r>
              <w:rPr>
                <w:rFonts w:hint="eastAsia" w:ascii="宋体" w:hAnsi="宋体"/>
                <w:szCs w:val="21"/>
              </w:rPr>
              <w:t>条  目</w:t>
            </w:r>
          </w:p>
        </w:tc>
        <w:tc>
          <w:tcPr>
            <w:tcW w:w="2711" w:type="dxa"/>
            <w:vAlign w:val="center"/>
          </w:tcPr>
          <w:p>
            <w:pPr>
              <w:jc w:val="center"/>
              <w:rPr>
                <w:rFonts w:ascii="宋体" w:hAnsi="宋体"/>
                <w:szCs w:val="21"/>
              </w:rPr>
            </w:pPr>
            <w:r>
              <w:rPr>
                <w:rFonts w:hint="eastAsia" w:ascii="宋体" w:hAnsi="宋体"/>
                <w:szCs w:val="21"/>
              </w:rPr>
              <w:t>简  要  内  容</w:t>
            </w:r>
          </w:p>
        </w:tc>
        <w:tc>
          <w:tcPr>
            <w:tcW w:w="1257" w:type="dxa"/>
            <w:vAlign w:val="center"/>
          </w:tcPr>
          <w:p>
            <w:pPr>
              <w:jc w:val="center"/>
              <w:rPr>
                <w:rFonts w:ascii="宋体" w:hAnsi="宋体"/>
                <w:szCs w:val="21"/>
              </w:rPr>
            </w:pPr>
            <w:r>
              <w:rPr>
                <w:rFonts w:hint="eastAsia" w:ascii="宋体" w:hAnsi="宋体"/>
                <w:szCs w:val="21"/>
              </w:rPr>
              <w:t>条  目</w:t>
            </w:r>
          </w:p>
        </w:tc>
        <w:tc>
          <w:tcPr>
            <w:tcW w:w="2573" w:type="dxa"/>
            <w:vAlign w:val="center"/>
          </w:tcPr>
          <w:p>
            <w:pPr>
              <w:jc w:val="center"/>
              <w:rPr>
                <w:rFonts w:ascii="宋体" w:hAnsi="宋体"/>
                <w:szCs w:val="21"/>
              </w:rPr>
            </w:pPr>
            <w:r>
              <w:rPr>
                <w:rFonts w:hint="eastAsia" w:ascii="宋体" w:hAnsi="宋体"/>
                <w:szCs w:val="21"/>
              </w:rPr>
              <w:t>简  要  内  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vAlign w:val="center"/>
          </w:tcPr>
          <w:p>
            <w:pPr>
              <w:widowControl/>
              <w:autoSpaceDE w:val="0"/>
              <w:autoSpaceDN w:val="0"/>
              <w:jc w:val="center"/>
              <w:textAlignment w:val="bottom"/>
              <w:rPr>
                <w:rFonts w:ascii="宋体" w:hAnsi="宋体"/>
                <w:sz w:val="24"/>
              </w:rPr>
            </w:pPr>
          </w:p>
        </w:tc>
        <w:tc>
          <w:tcPr>
            <w:tcW w:w="1162" w:type="dxa"/>
            <w:vAlign w:val="center"/>
          </w:tcPr>
          <w:p>
            <w:pPr>
              <w:widowControl/>
              <w:autoSpaceDE w:val="0"/>
              <w:autoSpaceDN w:val="0"/>
              <w:jc w:val="center"/>
              <w:textAlignment w:val="bottom"/>
              <w:rPr>
                <w:rFonts w:ascii="宋体" w:hAnsi="宋体"/>
                <w:sz w:val="24"/>
              </w:rPr>
            </w:pPr>
          </w:p>
        </w:tc>
        <w:tc>
          <w:tcPr>
            <w:tcW w:w="2711" w:type="dxa"/>
            <w:vAlign w:val="center"/>
          </w:tcPr>
          <w:p>
            <w:pPr>
              <w:widowControl/>
              <w:autoSpaceDE w:val="0"/>
              <w:autoSpaceDN w:val="0"/>
              <w:jc w:val="center"/>
              <w:textAlignment w:val="bottom"/>
              <w:rPr>
                <w:rFonts w:ascii="宋体" w:hAnsi="宋体"/>
                <w:sz w:val="24"/>
              </w:rPr>
            </w:pPr>
          </w:p>
        </w:tc>
        <w:tc>
          <w:tcPr>
            <w:tcW w:w="1257" w:type="dxa"/>
            <w:vAlign w:val="center"/>
          </w:tcPr>
          <w:p>
            <w:pPr>
              <w:widowControl/>
              <w:autoSpaceDE w:val="0"/>
              <w:autoSpaceDN w:val="0"/>
              <w:jc w:val="center"/>
              <w:textAlignment w:val="bottom"/>
              <w:rPr>
                <w:rFonts w:ascii="宋体" w:hAnsi="宋体"/>
                <w:sz w:val="24"/>
              </w:rPr>
            </w:pPr>
          </w:p>
        </w:tc>
        <w:tc>
          <w:tcPr>
            <w:tcW w:w="2573" w:type="dxa"/>
            <w:vAlign w:val="center"/>
          </w:tcPr>
          <w:p>
            <w:pPr>
              <w:widowControl/>
              <w:autoSpaceDE w:val="0"/>
              <w:autoSpaceDN w:val="0"/>
              <w:jc w:val="center"/>
              <w:textAlignment w:val="bottom"/>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vAlign w:val="center"/>
          </w:tcPr>
          <w:p>
            <w:pPr>
              <w:widowControl/>
              <w:autoSpaceDE w:val="0"/>
              <w:autoSpaceDN w:val="0"/>
              <w:jc w:val="center"/>
              <w:textAlignment w:val="bottom"/>
              <w:rPr>
                <w:rFonts w:ascii="宋体" w:hAnsi="宋体"/>
                <w:sz w:val="24"/>
              </w:rPr>
            </w:pPr>
          </w:p>
        </w:tc>
        <w:tc>
          <w:tcPr>
            <w:tcW w:w="1162" w:type="dxa"/>
            <w:vAlign w:val="center"/>
          </w:tcPr>
          <w:p>
            <w:pPr>
              <w:widowControl/>
              <w:autoSpaceDE w:val="0"/>
              <w:autoSpaceDN w:val="0"/>
              <w:jc w:val="center"/>
              <w:textAlignment w:val="bottom"/>
              <w:rPr>
                <w:rFonts w:ascii="宋体" w:hAnsi="宋体"/>
                <w:sz w:val="24"/>
              </w:rPr>
            </w:pPr>
          </w:p>
        </w:tc>
        <w:tc>
          <w:tcPr>
            <w:tcW w:w="2711" w:type="dxa"/>
            <w:vAlign w:val="center"/>
          </w:tcPr>
          <w:p>
            <w:pPr>
              <w:widowControl/>
              <w:autoSpaceDE w:val="0"/>
              <w:autoSpaceDN w:val="0"/>
              <w:jc w:val="center"/>
              <w:textAlignment w:val="bottom"/>
              <w:rPr>
                <w:rFonts w:ascii="宋体" w:hAnsi="宋体"/>
                <w:sz w:val="24"/>
              </w:rPr>
            </w:pPr>
          </w:p>
        </w:tc>
        <w:tc>
          <w:tcPr>
            <w:tcW w:w="1257" w:type="dxa"/>
            <w:vAlign w:val="center"/>
          </w:tcPr>
          <w:p>
            <w:pPr>
              <w:widowControl/>
              <w:autoSpaceDE w:val="0"/>
              <w:autoSpaceDN w:val="0"/>
              <w:jc w:val="center"/>
              <w:textAlignment w:val="bottom"/>
              <w:rPr>
                <w:rFonts w:ascii="宋体" w:hAnsi="宋体"/>
                <w:sz w:val="24"/>
              </w:rPr>
            </w:pPr>
          </w:p>
        </w:tc>
        <w:tc>
          <w:tcPr>
            <w:tcW w:w="2573" w:type="dxa"/>
            <w:vAlign w:val="center"/>
          </w:tcPr>
          <w:p>
            <w:pPr>
              <w:widowControl/>
              <w:autoSpaceDE w:val="0"/>
              <w:autoSpaceDN w:val="0"/>
              <w:jc w:val="center"/>
              <w:textAlignment w:val="bottom"/>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vAlign w:val="center"/>
          </w:tcPr>
          <w:p>
            <w:pPr>
              <w:widowControl/>
              <w:autoSpaceDE w:val="0"/>
              <w:autoSpaceDN w:val="0"/>
              <w:jc w:val="center"/>
              <w:textAlignment w:val="bottom"/>
              <w:rPr>
                <w:rFonts w:ascii="宋体" w:hAnsi="宋体"/>
                <w:sz w:val="24"/>
              </w:rPr>
            </w:pPr>
          </w:p>
        </w:tc>
        <w:tc>
          <w:tcPr>
            <w:tcW w:w="1162" w:type="dxa"/>
            <w:vAlign w:val="center"/>
          </w:tcPr>
          <w:p>
            <w:pPr>
              <w:widowControl/>
              <w:autoSpaceDE w:val="0"/>
              <w:autoSpaceDN w:val="0"/>
              <w:jc w:val="center"/>
              <w:textAlignment w:val="bottom"/>
              <w:rPr>
                <w:rFonts w:ascii="宋体" w:hAnsi="宋体"/>
                <w:sz w:val="24"/>
              </w:rPr>
            </w:pPr>
          </w:p>
        </w:tc>
        <w:tc>
          <w:tcPr>
            <w:tcW w:w="2711" w:type="dxa"/>
            <w:vAlign w:val="center"/>
          </w:tcPr>
          <w:p>
            <w:pPr>
              <w:widowControl/>
              <w:autoSpaceDE w:val="0"/>
              <w:autoSpaceDN w:val="0"/>
              <w:jc w:val="center"/>
              <w:textAlignment w:val="bottom"/>
              <w:rPr>
                <w:rFonts w:ascii="宋体" w:hAnsi="宋体"/>
                <w:sz w:val="24"/>
              </w:rPr>
            </w:pPr>
          </w:p>
        </w:tc>
        <w:tc>
          <w:tcPr>
            <w:tcW w:w="1257" w:type="dxa"/>
            <w:vAlign w:val="center"/>
          </w:tcPr>
          <w:p>
            <w:pPr>
              <w:widowControl/>
              <w:autoSpaceDE w:val="0"/>
              <w:autoSpaceDN w:val="0"/>
              <w:jc w:val="center"/>
              <w:textAlignment w:val="bottom"/>
              <w:rPr>
                <w:rFonts w:ascii="宋体" w:hAnsi="宋体"/>
                <w:sz w:val="24"/>
              </w:rPr>
            </w:pPr>
          </w:p>
        </w:tc>
        <w:tc>
          <w:tcPr>
            <w:tcW w:w="2573" w:type="dxa"/>
            <w:vAlign w:val="center"/>
          </w:tcPr>
          <w:p>
            <w:pPr>
              <w:widowControl/>
              <w:autoSpaceDE w:val="0"/>
              <w:autoSpaceDN w:val="0"/>
              <w:jc w:val="center"/>
              <w:textAlignment w:val="bottom"/>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vAlign w:val="center"/>
          </w:tcPr>
          <w:p>
            <w:pPr>
              <w:widowControl/>
              <w:autoSpaceDE w:val="0"/>
              <w:autoSpaceDN w:val="0"/>
              <w:jc w:val="center"/>
              <w:textAlignment w:val="bottom"/>
              <w:rPr>
                <w:rFonts w:ascii="宋体" w:hAnsi="宋体"/>
                <w:sz w:val="24"/>
              </w:rPr>
            </w:pPr>
          </w:p>
        </w:tc>
        <w:tc>
          <w:tcPr>
            <w:tcW w:w="1162" w:type="dxa"/>
            <w:vAlign w:val="center"/>
          </w:tcPr>
          <w:p>
            <w:pPr>
              <w:widowControl/>
              <w:autoSpaceDE w:val="0"/>
              <w:autoSpaceDN w:val="0"/>
              <w:jc w:val="center"/>
              <w:textAlignment w:val="bottom"/>
              <w:rPr>
                <w:rFonts w:ascii="宋体" w:hAnsi="宋体"/>
                <w:sz w:val="24"/>
              </w:rPr>
            </w:pPr>
          </w:p>
        </w:tc>
        <w:tc>
          <w:tcPr>
            <w:tcW w:w="2711" w:type="dxa"/>
            <w:vAlign w:val="center"/>
          </w:tcPr>
          <w:p>
            <w:pPr>
              <w:widowControl/>
              <w:autoSpaceDE w:val="0"/>
              <w:autoSpaceDN w:val="0"/>
              <w:jc w:val="center"/>
              <w:textAlignment w:val="bottom"/>
              <w:rPr>
                <w:rFonts w:ascii="宋体" w:hAnsi="宋体"/>
                <w:sz w:val="24"/>
              </w:rPr>
            </w:pPr>
          </w:p>
        </w:tc>
        <w:tc>
          <w:tcPr>
            <w:tcW w:w="1257" w:type="dxa"/>
            <w:vAlign w:val="center"/>
          </w:tcPr>
          <w:p>
            <w:pPr>
              <w:widowControl/>
              <w:autoSpaceDE w:val="0"/>
              <w:autoSpaceDN w:val="0"/>
              <w:jc w:val="center"/>
              <w:textAlignment w:val="bottom"/>
              <w:rPr>
                <w:rFonts w:ascii="宋体" w:hAnsi="宋体"/>
                <w:sz w:val="24"/>
              </w:rPr>
            </w:pPr>
          </w:p>
        </w:tc>
        <w:tc>
          <w:tcPr>
            <w:tcW w:w="2573" w:type="dxa"/>
            <w:vAlign w:val="center"/>
          </w:tcPr>
          <w:p>
            <w:pPr>
              <w:widowControl/>
              <w:autoSpaceDE w:val="0"/>
              <w:autoSpaceDN w:val="0"/>
              <w:jc w:val="center"/>
              <w:textAlignment w:val="bottom"/>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vAlign w:val="center"/>
          </w:tcPr>
          <w:p>
            <w:pPr>
              <w:widowControl/>
              <w:autoSpaceDE w:val="0"/>
              <w:autoSpaceDN w:val="0"/>
              <w:jc w:val="center"/>
              <w:textAlignment w:val="bottom"/>
              <w:rPr>
                <w:rFonts w:ascii="宋体" w:hAnsi="宋体"/>
                <w:sz w:val="24"/>
              </w:rPr>
            </w:pPr>
          </w:p>
        </w:tc>
        <w:tc>
          <w:tcPr>
            <w:tcW w:w="1162" w:type="dxa"/>
            <w:vAlign w:val="center"/>
          </w:tcPr>
          <w:p>
            <w:pPr>
              <w:widowControl/>
              <w:autoSpaceDE w:val="0"/>
              <w:autoSpaceDN w:val="0"/>
              <w:jc w:val="center"/>
              <w:textAlignment w:val="bottom"/>
              <w:rPr>
                <w:rFonts w:ascii="宋体" w:hAnsi="宋体"/>
                <w:sz w:val="24"/>
              </w:rPr>
            </w:pPr>
          </w:p>
        </w:tc>
        <w:tc>
          <w:tcPr>
            <w:tcW w:w="2711" w:type="dxa"/>
            <w:vAlign w:val="center"/>
          </w:tcPr>
          <w:p>
            <w:pPr>
              <w:widowControl/>
              <w:autoSpaceDE w:val="0"/>
              <w:autoSpaceDN w:val="0"/>
              <w:jc w:val="center"/>
              <w:textAlignment w:val="bottom"/>
              <w:rPr>
                <w:rFonts w:ascii="宋体" w:hAnsi="宋体"/>
                <w:sz w:val="24"/>
              </w:rPr>
            </w:pPr>
          </w:p>
        </w:tc>
        <w:tc>
          <w:tcPr>
            <w:tcW w:w="1257" w:type="dxa"/>
            <w:vAlign w:val="center"/>
          </w:tcPr>
          <w:p>
            <w:pPr>
              <w:widowControl/>
              <w:autoSpaceDE w:val="0"/>
              <w:autoSpaceDN w:val="0"/>
              <w:jc w:val="center"/>
              <w:textAlignment w:val="bottom"/>
              <w:rPr>
                <w:rFonts w:ascii="宋体" w:hAnsi="宋体"/>
                <w:sz w:val="24"/>
              </w:rPr>
            </w:pPr>
          </w:p>
        </w:tc>
        <w:tc>
          <w:tcPr>
            <w:tcW w:w="2573" w:type="dxa"/>
            <w:vAlign w:val="center"/>
          </w:tcPr>
          <w:p>
            <w:pPr>
              <w:widowControl/>
              <w:autoSpaceDE w:val="0"/>
              <w:autoSpaceDN w:val="0"/>
              <w:jc w:val="center"/>
              <w:textAlignment w:val="bottom"/>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vAlign w:val="center"/>
          </w:tcPr>
          <w:p>
            <w:pPr>
              <w:widowControl/>
              <w:autoSpaceDE w:val="0"/>
              <w:autoSpaceDN w:val="0"/>
              <w:jc w:val="center"/>
              <w:textAlignment w:val="bottom"/>
              <w:rPr>
                <w:rFonts w:ascii="宋体" w:hAnsi="宋体"/>
                <w:sz w:val="24"/>
              </w:rPr>
            </w:pPr>
          </w:p>
        </w:tc>
        <w:tc>
          <w:tcPr>
            <w:tcW w:w="1162" w:type="dxa"/>
            <w:vAlign w:val="center"/>
          </w:tcPr>
          <w:p>
            <w:pPr>
              <w:widowControl/>
              <w:autoSpaceDE w:val="0"/>
              <w:autoSpaceDN w:val="0"/>
              <w:jc w:val="center"/>
              <w:textAlignment w:val="bottom"/>
              <w:rPr>
                <w:rFonts w:ascii="宋体" w:hAnsi="宋体"/>
                <w:sz w:val="24"/>
              </w:rPr>
            </w:pPr>
          </w:p>
        </w:tc>
        <w:tc>
          <w:tcPr>
            <w:tcW w:w="2711" w:type="dxa"/>
            <w:vAlign w:val="center"/>
          </w:tcPr>
          <w:p>
            <w:pPr>
              <w:widowControl/>
              <w:autoSpaceDE w:val="0"/>
              <w:autoSpaceDN w:val="0"/>
              <w:jc w:val="center"/>
              <w:textAlignment w:val="bottom"/>
              <w:rPr>
                <w:rFonts w:ascii="宋体" w:hAnsi="宋体"/>
                <w:sz w:val="24"/>
              </w:rPr>
            </w:pPr>
          </w:p>
        </w:tc>
        <w:tc>
          <w:tcPr>
            <w:tcW w:w="1257" w:type="dxa"/>
            <w:vAlign w:val="center"/>
          </w:tcPr>
          <w:p>
            <w:pPr>
              <w:widowControl/>
              <w:autoSpaceDE w:val="0"/>
              <w:autoSpaceDN w:val="0"/>
              <w:jc w:val="center"/>
              <w:textAlignment w:val="bottom"/>
              <w:rPr>
                <w:rFonts w:ascii="宋体" w:hAnsi="宋体"/>
                <w:sz w:val="24"/>
              </w:rPr>
            </w:pPr>
          </w:p>
        </w:tc>
        <w:tc>
          <w:tcPr>
            <w:tcW w:w="2573" w:type="dxa"/>
            <w:vAlign w:val="center"/>
          </w:tcPr>
          <w:p>
            <w:pPr>
              <w:widowControl/>
              <w:autoSpaceDE w:val="0"/>
              <w:autoSpaceDN w:val="0"/>
              <w:jc w:val="center"/>
              <w:textAlignment w:val="bottom"/>
              <w:rPr>
                <w:rFonts w:ascii="宋体" w:hAnsi="宋体"/>
                <w:sz w:val="24"/>
              </w:rPr>
            </w:pPr>
          </w:p>
        </w:tc>
      </w:tr>
    </w:tbl>
    <w:p>
      <w:pPr>
        <w:pStyle w:val="6"/>
        <w:adjustRightInd w:val="0"/>
        <w:snapToGrid w:val="0"/>
        <w:spacing w:before="156" w:beforeLines="50" w:line="360" w:lineRule="auto"/>
        <w:rPr>
          <w:rFonts w:hAnsi="宋体"/>
          <w:sz w:val="24"/>
        </w:rPr>
      </w:pPr>
      <w:r>
        <w:rPr>
          <w:rFonts w:hAnsi="宋体"/>
          <w:sz w:val="24"/>
        </w:rPr>
        <w:t>投标</w:t>
      </w:r>
      <w:r>
        <w:rPr>
          <w:rFonts w:hint="eastAsia" w:hAnsi="宋体"/>
          <w:sz w:val="24"/>
        </w:rPr>
        <w:t>方</w:t>
      </w:r>
      <w:r>
        <w:rPr>
          <w:rFonts w:hAnsi="宋体"/>
          <w:sz w:val="24"/>
        </w:rPr>
        <w:t>：   盖章：</w:t>
      </w:r>
    </w:p>
    <w:p>
      <w:pPr>
        <w:pStyle w:val="3"/>
        <w:numPr>
          <w:ilvl w:val="0"/>
          <w:numId w:val="0"/>
        </w:numPr>
        <w:snapToGrid/>
        <w:spacing w:before="312" w:line="480" w:lineRule="auto"/>
        <w:rPr>
          <w:rFonts w:hAnsi="宋体"/>
          <w:sz w:val="24"/>
          <w:szCs w:val="24"/>
        </w:rPr>
      </w:pPr>
      <w:bookmarkStart w:id="57" w:name="_Toc282421446"/>
      <w:bookmarkStart w:id="58" w:name="_Toc282420857"/>
      <w:bookmarkStart w:id="59" w:name="_Toc287602850"/>
      <w:bookmarkStart w:id="60" w:name="_Toc48211793"/>
      <w:r>
        <w:rPr>
          <w:rFonts w:hint="eastAsia" w:hAnsi="宋体"/>
          <w:sz w:val="24"/>
          <w:szCs w:val="24"/>
        </w:rPr>
        <w:t>1</w:t>
      </w:r>
      <w:r>
        <w:rPr>
          <w:rFonts w:hAnsi="宋体"/>
          <w:sz w:val="24"/>
          <w:szCs w:val="24"/>
        </w:rPr>
        <w:t>0</w:t>
      </w:r>
      <w:r>
        <w:rPr>
          <w:rFonts w:hint="eastAsia" w:hAnsi="宋体"/>
          <w:sz w:val="24"/>
          <w:szCs w:val="24"/>
        </w:rPr>
        <w:t>投标方需说明的其他问题</w:t>
      </w:r>
      <w:bookmarkEnd w:id="57"/>
      <w:bookmarkEnd w:id="58"/>
      <w:bookmarkEnd w:id="59"/>
      <w:bookmarkEnd w:id="60"/>
    </w:p>
    <w:p>
      <w:pPr>
        <w:pStyle w:val="15"/>
        <w:adjustRightInd w:val="0"/>
        <w:snapToGrid w:val="0"/>
        <w:spacing w:line="360" w:lineRule="auto"/>
        <w:ind w:firstLine="480"/>
      </w:pPr>
      <w:r>
        <w:rPr>
          <w:rFonts w:hint="eastAsia" w:ascii="宋体" w:hAnsi="宋体" w:eastAsia="宋体" w:cs="Times New Roman"/>
          <w:sz w:val="24"/>
          <w:szCs w:val="24"/>
        </w:rPr>
        <w:t>如有需说明的其他问题，投标方应通过书面形式提交，并加盖公章。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3F2E1F3-C16A-4EDF-83E4-34A81D08F50C}"/>
  </w:font>
  <w:font w:name="黑体">
    <w:panose1 w:val="02010609060101010101"/>
    <w:charset w:val="86"/>
    <w:family w:val="auto"/>
    <w:pitch w:val="default"/>
    <w:sig w:usb0="800002BF" w:usb1="38CF7CFA" w:usb2="00000016" w:usb3="00000000" w:csb0="00040001" w:csb1="00000000"/>
    <w:embedRegular r:id="rId2" w:fontKey="{D5EC2895-0BFF-417E-8951-23361B1A27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40DC6B9B-3448-4D38-AAA8-D653877E0A8E}"/>
  </w:font>
  <w:font w:name="方正书宋简体">
    <w:altName w:val="宋体"/>
    <w:panose1 w:val="00000000000000000000"/>
    <w:charset w:val="86"/>
    <w:family w:val="auto"/>
    <w:pitch w:val="default"/>
    <w:sig w:usb0="00000000" w:usb1="00000000" w:usb2="00000010" w:usb3="00000000" w:csb0="00040000" w:csb1="00000000"/>
  </w:font>
  <w:font w:name="方正小标宋_GBK">
    <w:panose1 w:val="03000509000000000000"/>
    <w:charset w:val="86"/>
    <w:family w:val="auto"/>
    <w:pitch w:val="default"/>
    <w:sig w:usb0="00000001" w:usb1="080E0000" w:usb2="00000000" w:usb3="00000000" w:csb0="00040000" w:csb1="00000000"/>
    <w:embedRegular r:id="rId4" w:fontKey="{CE50B543-0E30-4239-8B95-70A89B7DFC10}"/>
  </w:font>
  <w:font w:name="仿宋_GB2312">
    <w:panose1 w:val="02010609030101010101"/>
    <w:charset w:val="86"/>
    <w:family w:val="auto"/>
    <w:pitch w:val="default"/>
    <w:sig w:usb0="00000001" w:usb1="080E0000" w:usb2="00000000" w:usb3="00000000" w:csb0="00040000" w:csb1="00000000"/>
    <w:embedRegular r:id="rId5" w:fontKey="{C104988B-BB7F-429C-9F86-EA157E984D20}"/>
  </w:font>
  <w:font w:name="Trebuchet MS">
    <w:panose1 w:val="020B0603020202020204"/>
    <w:charset w:val="00"/>
    <w:family w:val="swiss"/>
    <w:pitch w:val="default"/>
    <w:sig w:usb0="00000687" w:usb1="00000000" w:usb2="00000000" w:usb3="00000000" w:csb0="2000009F" w:csb1="00000000"/>
    <w:embedRegular r:id="rId6" w:fontKey="{009229DD-3B16-4E15-B51A-8EB1AF3F0DE3}"/>
  </w:font>
  <w:font w:name="Arial-BoldMT">
    <w:altName w:val="宋体"/>
    <w:panose1 w:val="00000000000000000000"/>
    <w:charset w:val="86"/>
    <w:family w:val="auto"/>
    <w:pitch w:val="default"/>
    <w:sig w:usb0="00000000" w:usb1="00000000" w:usb2="00000010" w:usb3="00000000" w:csb0="00040000" w:csb1="00000000"/>
    <w:embedRegular r:id="rId7" w:fontKey="{59391D45-0AE8-4798-A286-49024A24D947}"/>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mc:AlternateContent>
        <mc:Choice Requires="wps">
          <w:drawing>
            <wp:anchor distT="0" distB="0" distL="114300" distR="114300" simplePos="0" relativeHeight="251660288" behindDoc="0" locked="0" layoutInCell="0" allowOverlap="1">
              <wp:simplePos x="0" y="0"/>
              <wp:positionH relativeFrom="page">
                <wp:posOffset>0</wp:posOffset>
              </wp:positionH>
              <wp:positionV relativeFrom="page">
                <wp:posOffset>10248900</wp:posOffset>
              </wp:positionV>
              <wp:extent cx="7560310" cy="252095"/>
              <wp:effectExtent l="0" t="0" r="0" b="0"/>
              <wp:wrapNone/>
              <wp:docPr id="1" name="MSIPCMf6fe444b8ab28c333dd02f80" descr="{&quot;HashCode&quot;:12353886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wps:spPr>
                    <wps:txbx>
                      <w:txbxContent>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w:pict>
            <v:shape id="MSIPCMf6fe444b8ab28c333dd02f80" o:spid="_x0000_s1026" o:spt="202" alt="{&quot;HashCode&quot;:1235388660,&quot;Height&quot;:841.0,&quot;Width&quot;:595.0,&quot;Placement&quot;:&quot;Footer&quot;,&quot;Index&quot;:&quot;Primary&quot;,&quot;Section&quot;:1,&quot;Top&quot;:0.0,&quot;Left&quot;:0.0}" type="#_x0000_t202" style="position:absolute;left:0pt;margin-left:0pt;margin-top:807pt;height:19.85pt;width:595.3pt;mso-position-horizontal-relative:page;mso-position-vertical-relative:page;z-index:251660288;v-text-anchor:bottom;mso-width-relative:page;mso-height-relative:page;" filled="f" stroked="f" coordsize="21600,21600" o:allowincell="f" o:gfxdata="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">
              <v:fill on="f" focussize="0,0"/>
              <v:stroke on="f" weight="0.5pt"/>
              <v:imagedata o:title=""/>
              <o:lock v:ext="edit" aspectratio="f"/>
              <v:textbox inset="2.54mm,0mm,2.54mm,0mm">
                <w:txbxConten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mc:AlternateContent>
        <mc:Choice Requires="wps">
          <w:drawing>
            <wp:anchor distT="0" distB="0" distL="114300" distR="114300" simplePos="0" relativeHeight="251661312" behindDoc="0" locked="0" layoutInCell="0" allowOverlap="1">
              <wp:simplePos x="0" y="0"/>
              <wp:positionH relativeFrom="page">
                <wp:posOffset>0</wp:posOffset>
              </wp:positionH>
              <wp:positionV relativeFrom="page">
                <wp:posOffset>10248900</wp:posOffset>
              </wp:positionV>
              <wp:extent cx="7560310" cy="252095"/>
              <wp:effectExtent l="0" t="0" r="0" b="0"/>
              <wp:wrapNone/>
              <wp:docPr id="2" name="MSIPCMf6fe444b8ab28c333dd02f80" descr="{&quot;HashCode&quot;:12353886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wps:spPr>
                    <wps:txbx>
                      <w:txbxContent>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w:pict>
            <v:shape id="MSIPCMf6fe444b8ab28c333dd02f80" o:spid="_x0000_s1026" o:spt="202" alt="{&quot;HashCode&quot;:1235388660,&quot;Height&quot;:841.0,&quot;Width&quot;:595.0,&quot;Placement&quot;:&quot;Footer&quot;,&quot;Index&quot;:&quot;Primary&quot;,&quot;Section&quot;:1,&quot;Top&quot;:0.0,&quot;Left&quot;:0.0}" type="#_x0000_t202" style="position:absolute;left:0pt;margin-left:0pt;margin-top:807pt;height:19.85pt;width:595.3pt;mso-position-horizontal-relative:page;mso-position-vertical-relative:page;z-index:251661312;v-text-anchor:bottom;mso-width-relative:page;mso-height-relative:page;" filled="f" stroked="f" coordsize="21600,21600" o:allowincell="f" o:gfxdata="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Gph+MTYAAAACwEAAA8AAAAAAAAAAQAgAAAAIgAAAGRycy9kb3du&#10;cmV2LnhtbFBLAQIUABQAAAAIAIdO4kBlX1PcqgIAAFoFAAAOAAAAAAAAAAEAIAAAACcBAABkcnMv&#10;ZTJvRG9jLnhtbFBLBQYAAAAABgAGAFkBAABDBgAAAAA=&#10;">
              <v:fill on="f" focussize="0,0"/>
              <v:stroke on="f" weight="0.5pt"/>
              <v:imagedata o:title=""/>
              <o:lock v:ext="edit" aspectratio="f"/>
              <v:textbox inset="2.54mm,0mm,2.54mm,0mm">
                <w:txbxContent>
                  <w:p/>
                </w:txbxContent>
              </v:textbox>
            </v:shape>
          </w:pict>
        </mc:Fallback>
      </mc:AlternateContent>
    </w:r>
    <w:r>
      <w:fldChar w:fldCharType="begin"/>
    </w:r>
    <w:r>
      <w:instrText xml:space="preserve">PAGE   \* MERGEFORMAT</w:instrText>
    </w:r>
    <w:r>
      <w:fldChar w:fldCharType="separate"/>
    </w:r>
    <w:r>
      <w:rPr>
        <w:lang w:val="zh-CN"/>
      </w:rPr>
      <w:t>11</w:t>
    </w:r>
    <w: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1"/>
      </w:pBdr>
      <w:jc w:val="center"/>
    </w:pPr>
    <w:r>
      <w:rPr>
        <w:rFonts w:hint="eastAsia"/>
      </w:rPr>
      <w:t>可移动模块式应急移动电源（UPS）采购技术条件书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CEBEF4"/>
    <w:multiLevelType w:val="singleLevel"/>
    <w:tmpl w:val="74CEBEF4"/>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5E68"/>
    <w:rsid w:val="000613FD"/>
    <w:rsid w:val="00194581"/>
    <w:rsid w:val="00227385"/>
    <w:rsid w:val="002C1D9C"/>
    <w:rsid w:val="00326477"/>
    <w:rsid w:val="003674EE"/>
    <w:rsid w:val="00557CB8"/>
    <w:rsid w:val="00610CB8"/>
    <w:rsid w:val="00645C92"/>
    <w:rsid w:val="00A04D15"/>
    <w:rsid w:val="00AB49D1"/>
    <w:rsid w:val="00AE1ADA"/>
    <w:rsid w:val="00AF63D1"/>
    <w:rsid w:val="00B71F30"/>
    <w:rsid w:val="00C612F0"/>
    <w:rsid w:val="00C766B1"/>
    <w:rsid w:val="00EB6E3B"/>
    <w:rsid w:val="00EE7423"/>
    <w:rsid w:val="00F25A20"/>
    <w:rsid w:val="011720CD"/>
    <w:rsid w:val="011E1843"/>
    <w:rsid w:val="012465A0"/>
    <w:rsid w:val="012F0940"/>
    <w:rsid w:val="01377BF7"/>
    <w:rsid w:val="014056F1"/>
    <w:rsid w:val="015D6528"/>
    <w:rsid w:val="01627229"/>
    <w:rsid w:val="01644E82"/>
    <w:rsid w:val="01646B68"/>
    <w:rsid w:val="01682716"/>
    <w:rsid w:val="01785E19"/>
    <w:rsid w:val="01A40972"/>
    <w:rsid w:val="01A778BB"/>
    <w:rsid w:val="01BB29E1"/>
    <w:rsid w:val="01CA13BF"/>
    <w:rsid w:val="01D82763"/>
    <w:rsid w:val="01E370CE"/>
    <w:rsid w:val="01F80BC6"/>
    <w:rsid w:val="01FE495A"/>
    <w:rsid w:val="02181B54"/>
    <w:rsid w:val="02192B6B"/>
    <w:rsid w:val="021C18F3"/>
    <w:rsid w:val="021E7C6A"/>
    <w:rsid w:val="02281ED4"/>
    <w:rsid w:val="02301FBF"/>
    <w:rsid w:val="02435C04"/>
    <w:rsid w:val="024405BF"/>
    <w:rsid w:val="02447AA2"/>
    <w:rsid w:val="024F2372"/>
    <w:rsid w:val="02504773"/>
    <w:rsid w:val="025C0793"/>
    <w:rsid w:val="025D19B8"/>
    <w:rsid w:val="02650FE9"/>
    <w:rsid w:val="026B146A"/>
    <w:rsid w:val="027537E3"/>
    <w:rsid w:val="028A35FA"/>
    <w:rsid w:val="028C261F"/>
    <w:rsid w:val="028F6C61"/>
    <w:rsid w:val="029574EE"/>
    <w:rsid w:val="02A17340"/>
    <w:rsid w:val="02AB5B5B"/>
    <w:rsid w:val="02AF621B"/>
    <w:rsid w:val="02B73F8A"/>
    <w:rsid w:val="02C10E2C"/>
    <w:rsid w:val="02C324F7"/>
    <w:rsid w:val="02DD2DCC"/>
    <w:rsid w:val="02E3686F"/>
    <w:rsid w:val="02F00E56"/>
    <w:rsid w:val="0303426E"/>
    <w:rsid w:val="030F4A48"/>
    <w:rsid w:val="03112C35"/>
    <w:rsid w:val="0314619F"/>
    <w:rsid w:val="03173453"/>
    <w:rsid w:val="0320744F"/>
    <w:rsid w:val="0327171D"/>
    <w:rsid w:val="032F37E0"/>
    <w:rsid w:val="032F664F"/>
    <w:rsid w:val="03324367"/>
    <w:rsid w:val="033D7D2D"/>
    <w:rsid w:val="03464B16"/>
    <w:rsid w:val="0354660B"/>
    <w:rsid w:val="0356593C"/>
    <w:rsid w:val="03587D7F"/>
    <w:rsid w:val="03682434"/>
    <w:rsid w:val="036A13E2"/>
    <w:rsid w:val="037D0FB1"/>
    <w:rsid w:val="039204A2"/>
    <w:rsid w:val="03AB5A83"/>
    <w:rsid w:val="03C257B6"/>
    <w:rsid w:val="03CA2F91"/>
    <w:rsid w:val="03E37FFE"/>
    <w:rsid w:val="03E91E16"/>
    <w:rsid w:val="03EF1912"/>
    <w:rsid w:val="04070A7B"/>
    <w:rsid w:val="040978CB"/>
    <w:rsid w:val="04243CB1"/>
    <w:rsid w:val="04286238"/>
    <w:rsid w:val="042C6BF2"/>
    <w:rsid w:val="042F3A28"/>
    <w:rsid w:val="04393354"/>
    <w:rsid w:val="043D00F0"/>
    <w:rsid w:val="045A6724"/>
    <w:rsid w:val="045D1511"/>
    <w:rsid w:val="0470645D"/>
    <w:rsid w:val="0474718A"/>
    <w:rsid w:val="047D2A1E"/>
    <w:rsid w:val="04803147"/>
    <w:rsid w:val="04861B4C"/>
    <w:rsid w:val="04965B44"/>
    <w:rsid w:val="049C5BDD"/>
    <w:rsid w:val="04A204E8"/>
    <w:rsid w:val="04AA2A20"/>
    <w:rsid w:val="04AB3026"/>
    <w:rsid w:val="04D36378"/>
    <w:rsid w:val="04D43BAB"/>
    <w:rsid w:val="04E91398"/>
    <w:rsid w:val="04EB6D81"/>
    <w:rsid w:val="04EC0890"/>
    <w:rsid w:val="04EE6806"/>
    <w:rsid w:val="05004DE5"/>
    <w:rsid w:val="0505199A"/>
    <w:rsid w:val="05106009"/>
    <w:rsid w:val="051E49A3"/>
    <w:rsid w:val="05207EE5"/>
    <w:rsid w:val="0532654C"/>
    <w:rsid w:val="05545967"/>
    <w:rsid w:val="05664C96"/>
    <w:rsid w:val="05784346"/>
    <w:rsid w:val="057F5271"/>
    <w:rsid w:val="0580684E"/>
    <w:rsid w:val="059704DB"/>
    <w:rsid w:val="05BC3303"/>
    <w:rsid w:val="05C21B77"/>
    <w:rsid w:val="05FF13BE"/>
    <w:rsid w:val="06077DC8"/>
    <w:rsid w:val="06192ED8"/>
    <w:rsid w:val="061B6E5B"/>
    <w:rsid w:val="06216199"/>
    <w:rsid w:val="06231282"/>
    <w:rsid w:val="062D3E04"/>
    <w:rsid w:val="06372D29"/>
    <w:rsid w:val="063C34D3"/>
    <w:rsid w:val="06427F5D"/>
    <w:rsid w:val="064B54FA"/>
    <w:rsid w:val="0653223D"/>
    <w:rsid w:val="06602180"/>
    <w:rsid w:val="066658A5"/>
    <w:rsid w:val="066A2D46"/>
    <w:rsid w:val="067544A9"/>
    <w:rsid w:val="067A22E9"/>
    <w:rsid w:val="067D0F27"/>
    <w:rsid w:val="067E38B0"/>
    <w:rsid w:val="06830794"/>
    <w:rsid w:val="068571D5"/>
    <w:rsid w:val="06866111"/>
    <w:rsid w:val="068F5528"/>
    <w:rsid w:val="06914E1B"/>
    <w:rsid w:val="06987B0A"/>
    <w:rsid w:val="069F7133"/>
    <w:rsid w:val="06B31277"/>
    <w:rsid w:val="06C04B48"/>
    <w:rsid w:val="06C67F67"/>
    <w:rsid w:val="06C725DE"/>
    <w:rsid w:val="06DE6522"/>
    <w:rsid w:val="06EC481C"/>
    <w:rsid w:val="07024F18"/>
    <w:rsid w:val="070C276B"/>
    <w:rsid w:val="070D5284"/>
    <w:rsid w:val="0712092B"/>
    <w:rsid w:val="0720489F"/>
    <w:rsid w:val="07225F7C"/>
    <w:rsid w:val="07260D07"/>
    <w:rsid w:val="072D4D2F"/>
    <w:rsid w:val="073773C5"/>
    <w:rsid w:val="073A3B8C"/>
    <w:rsid w:val="07406A85"/>
    <w:rsid w:val="07476CC1"/>
    <w:rsid w:val="07504ADA"/>
    <w:rsid w:val="075418B4"/>
    <w:rsid w:val="076515DA"/>
    <w:rsid w:val="076764E5"/>
    <w:rsid w:val="076F3EDC"/>
    <w:rsid w:val="077E7B90"/>
    <w:rsid w:val="078768AA"/>
    <w:rsid w:val="07936A43"/>
    <w:rsid w:val="079A74C9"/>
    <w:rsid w:val="079F1405"/>
    <w:rsid w:val="07A84885"/>
    <w:rsid w:val="07AC2D7C"/>
    <w:rsid w:val="07AF24A5"/>
    <w:rsid w:val="07BC4992"/>
    <w:rsid w:val="07D91643"/>
    <w:rsid w:val="07D91C0E"/>
    <w:rsid w:val="07E017EB"/>
    <w:rsid w:val="07E35F51"/>
    <w:rsid w:val="07F23EE4"/>
    <w:rsid w:val="08084C40"/>
    <w:rsid w:val="080A68ED"/>
    <w:rsid w:val="08280DDF"/>
    <w:rsid w:val="08382676"/>
    <w:rsid w:val="083D7155"/>
    <w:rsid w:val="086036F2"/>
    <w:rsid w:val="08771A56"/>
    <w:rsid w:val="0898662B"/>
    <w:rsid w:val="08A041B1"/>
    <w:rsid w:val="08A27B12"/>
    <w:rsid w:val="08A62B2D"/>
    <w:rsid w:val="08AA77E2"/>
    <w:rsid w:val="08C2083E"/>
    <w:rsid w:val="08CE1165"/>
    <w:rsid w:val="08F62CD2"/>
    <w:rsid w:val="08FB2003"/>
    <w:rsid w:val="09141B22"/>
    <w:rsid w:val="092134F1"/>
    <w:rsid w:val="092E4529"/>
    <w:rsid w:val="09375F9C"/>
    <w:rsid w:val="093A67DF"/>
    <w:rsid w:val="094A01E0"/>
    <w:rsid w:val="0951035A"/>
    <w:rsid w:val="0981799F"/>
    <w:rsid w:val="09870CA1"/>
    <w:rsid w:val="0989710D"/>
    <w:rsid w:val="098D129C"/>
    <w:rsid w:val="09961DFF"/>
    <w:rsid w:val="09A70F2D"/>
    <w:rsid w:val="09BF1350"/>
    <w:rsid w:val="09C25BFA"/>
    <w:rsid w:val="09C716B2"/>
    <w:rsid w:val="09D84EE8"/>
    <w:rsid w:val="09F370C9"/>
    <w:rsid w:val="0A0130FD"/>
    <w:rsid w:val="0A163D9E"/>
    <w:rsid w:val="0A1F152B"/>
    <w:rsid w:val="0A1F25EB"/>
    <w:rsid w:val="0A231AC4"/>
    <w:rsid w:val="0A28395E"/>
    <w:rsid w:val="0A2D539F"/>
    <w:rsid w:val="0A330923"/>
    <w:rsid w:val="0A342C32"/>
    <w:rsid w:val="0A464710"/>
    <w:rsid w:val="0A4E7895"/>
    <w:rsid w:val="0A515B62"/>
    <w:rsid w:val="0A7534DD"/>
    <w:rsid w:val="0A8D5239"/>
    <w:rsid w:val="0A917FCE"/>
    <w:rsid w:val="0A991C11"/>
    <w:rsid w:val="0AA92CA6"/>
    <w:rsid w:val="0ABB468F"/>
    <w:rsid w:val="0AC07AFB"/>
    <w:rsid w:val="0AD34C78"/>
    <w:rsid w:val="0AD4458D"/>
    <w:rsid w:val="0AE944B4"/>
    <w:rsid w:val="0B105981"/>
    <w:rsid w:val="0B116AA5"/>
    <w:rsid w:val="0B1534E5"/>
    <w:rsid w:val="0B1A147D"/>
    <w:rsid w:val="0B1A2D3F"/>
    <w:rsid w:val="0B1B79D0"/>
    <w:rsid w:val="0B1F005F"/>
    <w:rsid w:val="0B2654A6"/>
    <w:rsid w:val="0B2B3784"/>
    <w:rsid w:val="0B3F072D"/>
    <w:rsid w:val="0B4A5412"/>
    <w:rsid w:val="0B546A4C"/>
    <w:rsid w:val="0B58101C"/>
    <w:rsid w:val="0B697C2F"/>
    <w:rsid w:val="0B6A20A0"/>
    <w:rsid w:val="0B8903C4"/>
    <w:rsid w:val="0B8F763B"/>
    <w:rsid w:val="0BAB012F"/>
    <w:rsid w:val="0BB072B2"/>
    <w:rsid w:val="0BB55BBC"/>
    <w:rsid w:val="0BBE53DC"/>
    <w:rsid w:val="0BDC6E19"/>
    <w:rsid w:val="0BE86D38"/>
    <w:rsid w:val="0BE975E6"/>
    <w:rsid w:val="0BF45B50"/>
    <w:rsid w:val="0BFF51EC"/>
    <w:rsid w:val="0C2130A1"/>
    <w:rsid w:val="0C2A7AD9"/>
    <w:rsid w:val="0C36115E"/>
    <w:rsid w:val="0C3D1A1E"/>
    <w:rsid w:val="0C425EA6"/>
    <w:rsid w:val="0C48660D"/>
    <w:rsid w:val="0C495D9B"/>
    <w:rsid w:val="0C506595"/>
    <w:rsid w:val="0C5A03EC"/>
    <w:rsid w:val="0C7C3D29"/>
    <w:rsid w:val="0C8910A5"/>
    <w:rsid w:val="0C8E128D"/>
    <w:rsid w:val="0C9A14B9"/>
    <w:rsid w:val="0C9E432F"/>
    <w:rsid w:val="0CB968D6"/>
    <w:rsid w:val="0CBA3051"/>
    <w:rsid w:val="0CCD082A"/>
    <w:rsid w:val="0CEB73DE"/>
    <w:rsid w:val="0CFE7614"/>
    <w:rsid w:val="0D1011A5"/>
    <w:rsid w:val="0D105BA0"/>
    <w:rsid w:val="0D157D7E"/>
    <w:rsid w:val="0D191C22"/>
    <w:rsid w:val="0D2A0F1D"/>
    <w:rsid w:val="0D391398"/>
    <w:rsid w:val="0D452C87"/>
    <w:rsid w:val="0D515D0A"/>
    <w:rsid w:val="0D5D069E"/>
    <w:rsid w:val="0D5F3BFD"/>
    <w:rsid w:val="0D641075"/>
    <w:rsid w:val="0D6977C6"/>
    <w:rsid w:val="0D6B752A"/>
    <w:rsid w:val="0D6D5EF1"/>
    <w:rsid w:val="0D903284"/>
    <w:rsid w:val="0D9409CD"/>
    <w:rsid w:val="0D9A6497"/>
    <w:rsid w:val="0DAD2A82"/>
    <w:rsid w:val="0DB27088"/>
    <w:rsid w:val="0DBC6962"/>
    <w:rsid w:val="0DD11514"/>
    <w:rsid w:val="0DD81F23"/>
    <w:rsid w:val="0DD83337"/>
    <w:rsid w:val="0DEA0665"/>
    <w:rsid w:val="0DEF0A9D"/>
    <w:rsid w:val="0DF33639"/>
    <w:rsid w:val="0DF55328"/>
    <w:rsid w:val="0E045D2C"/>
    <w:rsid w:val="0E056078"/>
    <w:rsid w:val="0E1E59BE"/>
    <w:rsid w:val="0E1F1B9D"/>
    <w:rsid w:val="0E336DA5"/>
    <w:rsid w:val="0E343E7C"/>
    <w:rsid w:val="0E6D4240"/>
    <w:rsid w:val="0E741B11"/>
    <w:rsid w:val="0E7C7A28"/>
    <w:rsid w:val="0E8120FC"/>
    <w:rsid w:val="0E815FB9"/>
    <w:rsid w:val="0E9F0005"/>
    <w:rsid w:val="0EBF65E0"/>
    <w:rsid w:val="0EE12D2E"/>
    <w:rsid w:val="0EE26076"/>
    <w:rsid w:val="0EEC6E51"/>
    <w:rsid w:val="0EED68ED"/>
    <w:rsid w:val="0EFE637B"/>
    <w:rsid w:val="0F056C97"/>
    <w:rsid w:val="0F177DCA"/>
    <w:rsid w:val="0F1C5432"/>
    <w:rsid w:val="0F1D3BEE"/>
    <w:rsid w:val="0F2D4C4A"/>
    <w:rsid w:val="0F371140"/>
    <w:rsid w:val="0F3A162D"/>
    <w:rsid w:val="0F3B3310"/>
    <w:rsid w:val="0F4435D0"/>
    <w:rsid w:val="0F5D7003"/>
    <w:rsid w:val="0F6B35A8"/>
    <w:rsid w:val="0F6F280D"/>
    <w:rsid w:val="0F7C1B82"/>
    <w:rsid w:val="0F861CC3"/>
    <w:rsid w:val="0F8C51E7"/>
    <w:rsid w:val="0F97201C"/>
    <w:rsid w:val="0F9C548B"/>
    <w:rsid w:val="0FA207E0"/>
    <w:rsid w:val="0FA5057C"/>
    <w:rsid w:val="0FAE7B43"/>
    <w:rsid w:val="0FAF3D59"/>
    <w:rsid w:val="0FAF7082"/>
    <w:rsid w:val="0FB45DBA"/>
    <w:rsid w:val="0FC019A2"/>
    <w:rsid w:val="0FC275EF"/>
    <w:rsid w:val="1003266B"/>
    <w:rsid w:val="100E3F71"/>
    <w:rsid w:val="1014156D"/>
    <w:rsid w:val="101D6960"/>
    <w:rsid w:val="10235E24"/>
    <w:rsid w:val="1029241C"/>
    <w:rsid w:val="102E167A"/>
    <w:rsid w:val="10396CCE"/>
    <w:rsid w:val="10504437"/>
    <w:rsid w:val="106674B4"/>
    <w:rsid w:val="107C1A24"/>
    <w:rsid w:val="108F593A"/>
    <w:rsid w:val="10995920"/>
    <w:rsid w:val="10AB2258"/>
    <w:rsid w:val="10AF1ECE"/>
    <w:rsid w:val="10B85419"/>
    <w:rsid w:val="10E82787"/>
    <w:rsid w:val="10FD6747"/>
    <w:rsid w:val="110F4386"/>
    <w:rsid w:val="11100CE9"/>
    <w:rsid w:val="11126EE6"/>
    <w:rsid w:val="111324B2"/>
    <w:rsid w:val="112B5FA7"/>
    <w:rsid w:val="11396E48"/>
    <w:rsid w:val="11531BD5"/>
    <w:rsid w:val="11537307"/>
    <w:rsid w:val="11551132"/>
    <w:rsid w:val="11566B14"/>
    <w:rsid w:val="116B1AF5"/>
    <w:rsid w:val="116B2206"/>
    <w:rsid w:val="117050A2"/>
    <w:rsid w:val="11B05965"/>
    <w:rsid w:val="11CB7716"/>
    <w:rsid w:val="11D95668"/>
    <w:rsid w:val="11E464F1"/>
    <w:rsid w:val="11F9671E"/>
    <w:rsid w:val="12225139"/>
    <w:rsid w:val="122E1B1D"/>
    <w:rsid w:val="122E4DEA"/>
    <w:rsid w:val="1239205E"/>
    <w:rsid w:val="123B31DB"/>
    <w:rsid w:val="124541C3"/>
    <w:rsid w:val="124A2065"/>
    <w:rsid w:val="124B3003"/>
    <w:rsid w:val="125C13A1"/>
    <w:rsid w:val="12642D7D"/>
    <w:rsid w:val="126A0F85"/>
    <w:rsid w:val="12711030"/>
    <w:rsid w:val="12A41404"/>
    <w:rsid w:val="12A572F0"/>
    <w:rsid w:val="12C740FA"/>
    <w:rsid w:val="12DF0F29"/>
    <w:rsid w:val="12F80B4C"/>
    <w:rsid w:val="12FE1FBA"/>
    <w:rsid w:val="12FE44E2"/>
    <w:rsid w:val="13051255"/>
    <w:rsid w:val="13060E87"/>
    <w:rsid w:val="13083148"/>
    <w:rsid w:val="13150013"/>
    <w:rsid w:val="132C5137"/>
    <w:rsid w:val="1346523D"/>
    <w:rsid w:val="135C33DF"/>
    <w:rsid w:val="13712498"/>
    <w:rsid w:val="13847BDA"/>
    <w:rsid w:val="139D06BD"/>
    <w:rsid w:val="13A471E2"/>
    <w:rsid w:val="13A752F1"/>
    <w:rsid w:val="13AF4C14"/>
    <w:rsid w:val="13C567B3"/>
    <w:rsid w:val="13C73966"/>
    <w:rsid w:val="13C87736"/>
    <w:rsid w:val="13D56198"/>
    <w:rsid w:val="13DB322E"/>
    <w:rsid w:val="13DF2FE6"/>
    <w:rsid w:val="13E05650"/>
    <w:rsid w:val="13E54715"/>
    <w:rsid w:val="13E874BF"/>
    <w:rsid w:val="13EB7B69"/>
    <w:rsid w:val="13F37D87"/>
    <w:rsid w:val="13FB0478"/>
    <w:rsid w:val="14173A37"/>
    <w:rsid w:val="141B3A77"/>
    <w:rsid w:val="141F1992"/>
    <w:rsid w:val="142C2396"/>
    <w:rsid w:val="144A7221"/>
    <w:rsid w:val="144D07C4"/>
    <w:rsid w:val="14553251"/>
    <w:rsid w:val="1465122A"/>
    <w:rsid w:val="14785AC6"/>
    <w:rsid w:val="14A24CDE"/>
    <w:rsid w:val="14D74D18"/>
    <w:rsid w:val="14E626AB"/>
    <w:rsid w:val="150D256B"/>
    <w:rsid w:val="153530EF"/>
    <w:rsid w:val="153634E2"/>
    <w:rsid w:val="15394F9B"/>
    <w:rsid w:val="15427BD6"/>
    <w:rsid w:val="154E13A1"/>
    <w:rsid w:val="156E44A2"/>
    <w:rsid w:val="15700AEA"/>
    <w:rsid w:val="15904A57"/>
    <w:rsid w:val="15953B65"/>
    <w:rsid w:val="15A261D9"/>
    <w:rsid w:val="15A965E0"/>
    <w:rsid w:val="15AB67DB"/>
    <w:rsid w:val="15AE7EF3"/>
    <w:rsid w:val="15C20BFF"/>
    <w:rsid w:val="15C5460B"/>
    <w:rsid w:val="15C75F1C"/>
    <w:rsid w:val="15CA0A26"/>
    <w:rsid w:val="15CB4F61"/>
    <w:rsid w:val="15EE59F4"/>
    <w:rsid w:val="16073B37"/>
    <w:rsid w:val="16110D4A"/>
    <w:rsid w:val="1615132D"/>
    <w:rsid w:val="163505E4"/>
    <w:rsid w:val="163F7CF9"/>
    <w:rsid w:val="16432FCD"/>
    <w:rsid w:val="164902A5"/>
    <w:rsid w:val="16574E39"/>
    <w:rsid w:val="166A0751"/>
    <w:rsid w:val="168867AE"/>
    <w:rsid w:val="16982C41"/>
    <w:rsid w:val="1699510B"/>
    <w:rsid w:val="16B8311F"/>
    <w:rsid w:val="16B862AD"/>
    <w:rsid w:val="16B9035E"/>
    <w:rsid w:val="16BA4344"/>
    <w:rsid w:val="16D763CB"/>
    <w:rsid w:val="16EF5E2B"/>
    <w:rsid w:val="170A5AF9"/>
    <w:rsid w:val="17263DCC"/>
    <w:rsid w:val="172F6E9B"/>
    <w:rsid w:val="173972B5"/>
    <w:rsid w:val="173E4E36"/>
    <w:rsid w:val="1740133B"/>
    <w:rsid w:val="174248CE"/>
    <w:rsid w:val="1776648C"/>
    <w:rsid w:val="17844720"/>
    <w:rsid w:val="179A5642"/>
    <w:rsid w:val="17A00E19"/>
    <w:rsid w:val="17A1080B"/>
    <w:rsid w:val="17A32587"/>
    <w:rsid w:val="17A3780F"/>
    <w:rsid w:val="17A67B65"/>
    <w:rsid w:val="17B92BBD"/>
    <w:rsid w:val="17BE3D3D"/>
    <w:rsid w:val="17BF11B1"/>
    <w:rsid w:val="17DB37BE"/>
    <w:rsid w:val="17FD1710"/>
    <w:rsid w:val="1800477E"/>
    <w:rsid w:val="180A6956"/>
    <w:rsid w:val="181873EE"/>
    <w:rsid w:val="181B47B5"/>
    <w:rsid w:val="182152B1"/>
    <w:rsid w:val="184475CB"/>
    <w:rsid w:val="18565BDB"/>
    <w:rsid w:val="1857105F"/>
    <w:rsid w:val="18621658"/>
    <w:rsid w:val="18790CDB"/>
    <w:rsid w:val="189F2AF0"/>
    <w:rsid w:val="18AC49CD"/>
    <w:rsid w:val="18AD0F2B"/>
    <w:rsid w:val="18D057DC"/>
    <w:rsid w:val="18E836B0"/>
    <w:rsid w:val="18F715C2"/>
    <w:rsid w:val="190878C4"/>
    <w:rsid w:val="19196F9D"/>
    <w:rsid w:val="192F38B3"/>
    <w:rsid w:val="19395035"/>
    <w:rsid w:val="1955137B"/>
    <w:rsid w:val="19587399"/>
    <w:rsid w:val="195B7BC6"/>
    <w:rsid w:val="195E733A"/>
    <w:rsid w:val="19721CB7"/>
    <w:rsid w:val="198737C7"/>
    <w:rsid w:val="199307D5"/>
    <w:rsid w:val="19996ACC"/>
    <w:rsid w:val="19B47B03"/>
    <w:rsid w:val="19E106E9"/>
    <w:rsid w:val="19F64A8D"/>
    <w:rsid w:val="1A123972"/>
    <w:rsid w:val="1A367935"/>
    <w:rsid w:val="1A456373"/>
    <w:rsid w:val="1A467589"/>
    <w:rsid w:val="1A4A6474"/>
    <w:rsid w:val="1A4B797D"/>
    <w:rsid w:val="1A504869"/>
    <w:rsid w:val="1A5168B5"/>
    <w:rsid w:val="1A584D69"/>
    <w:rsid w:val="1A95686D"/>
    <w:rsid w:val="1AC04CCE"/>
    <w:rsid w:val="1ADF1762"/>
    <w:rsid w:val="1AE16165"/>
    <w:rsid w:val="1AE72065"/>
    <w:rsid w:val="1AE80C84"/>
    <w:rsid w:val="1AEA2DCA"/>
    <w:rsid w:val="1B0167C8"/>
    <w:rsid w:val="1B0A3476"/>
    <w:rsid w:val="1B0C36D2"/>
    <w:rsid w:val="1B0F2451"/>
    <w:rsid w:val="1B3B3369"/>
    <w:rsid w:val="1B43363D"/>
    <w:rsid w:val="1B531C1B"/>
    <w:rsid w:val="1B6706A3"/>
    <w:rsid w:val="1B6D7EF7"/>
    <w:rsid w:val="1B9040B6"/>
    <w:rsid w:val="1BC0772B"/>
    <w:rsid w:val="1BC364B3"/>
    <w:rsid w:val="1BCA4027"/>
    <w:rsid w:val="1BD00392"/>
    <w:rsid w:val="1BDA393D"/>
    <w:rsid w:val="1BFA6B6D"/>
    <w:rsid w:val="1BFA7F2E"/>
    <w:rsid w:val="1C0C3131"/>
    <w:rsid w:val="1C12103B"/>
    <w:rsid w:val="1C19357E"/>
    <w:rsid w:val="1C271E6A"/>
    <w:rsid w:val="1C3D0835"/>
    <w:rsid w:val="1C572C23"/>
    <w:rsid w:val="1C616E98"/>
    <w:rsid w:val="1C6356D6"/>
    <w:rsid w:val="1C6910FB"/>
    <w:rsid w:val="1C7D5509"/>
    <w:rsid w:val="1C937AFF"/>
    <w:rsid w:val="1CAB680C"/>
    <w:rsid w:val="1CB27FC1"/>
    <w:rsid w:val="1CF33C49"/>
    <w:rsid w:val="1CF66E9A"/>
    <w:rsid w:val="1CF67D53"/>
    <w:rsid w:val="1CF86DE0"/>
    <w:rsid w:val="1D035D71"/>
    <w:rsid w:val="1D067136"/>
    <w:rsid w:val="1D09233C"/>
    <w:rsid w:val="1D21660B"/>
    <w:rsid w:val="1D3E592D"/>
    <w:rsid w:val="1D5B1906"/>
    <w:rsid w:val="1D622A5D"/>
    <w:rsid w:val="1D652F47"/>
    <w:rsid w:val="1D727BCE"/>
    <w:rsid w:val="1D781763"/>
    <w:rsid w:val="1D907903"/>
    <w:rsid w:val="1D995AB1"/>
    <w:rsid w:val="1DA32F82"/>
    <w:rsid w:val="1DEA2C73"/>
    <w:rsid w:val="1DEE667E"/>
    <w:rsid w:val="1DEF20DD"/>
    <w:rsid w:val="1DF05DB5"/>
    <w:rsid w:val="1DF42692"/>
    <w:rsid w:val="1DF52D33"/>
    <w:rsid w:val="1DF87371"/>
    <w:rsid w:val="1DFA481F"/>
    <w:rsid w:val="1E01682A"/>
    <w:rsid w:val="1E171E4C"/>
    <w:rsid w:val="1E2515D0"/>
    <w:rsid w:val="1E270DAA"/>
    <w:rsid w:val="1E322658"/>
    <w:rsid w:val="1E3C7F50"/>
    <w:rsid w:val="1E470E7E"/>
    <w:rsid w:val="1E4A7BC7"/>
    <w:rsid w:val="1E4E5AC0"/>
    <w:rsid w:val="1E5F1576"/>
    <w:rsid w:val="1E6F757F"/>
    <w:rsid w:val="1E736B4B"/>
    <w:rsid w:val="1E7801B2"/>
    <w:rsid w:val="1E8F1682"/>
    <w:rsid w:val="1E984D94"/>
    <w:rsid w:val="1EA63BC1"/>
    <w:rsid w:val="1EC16652"/>
    <w:rsid w:val="1EC651BC"/>
    <w:rsid w:val="1EEA3B4B"/>
    <w:rsid w:val="1EFA05EE"/>
    <w:rsid w:val="1EFE1317"/>
    <w:rsid w:val="1F196156"/>
    <w:rsid w:val="1F224307"/>
    <w:rsid w:val="1F340FC1"/>
    <w:rsid w:val="1F37767D"/>
    <w:rsid w:val="1F483854"/>
    <w:rsid w:val="1F6A49BC"/>
    <w:rsid w:val="1F6F2A19"/>
    <w:rsid w:val="1F725D00"/>
    <w:rsid w:val="1F9E6833"/>
    <w:rsid w:val="1FB8272E"/>
    <w:rsid w:val="1FCE0D9C"/>
    <w:rsid w:val="1FD560B3"/>
    <w:rsid w:val="1FE35E12"/>
    <w:rsid w:val="1FF73A46"/>
    <w:rsid w:val="1FFB2EF0"/>
    <w:rsid w:val="200A704E"/>
    <w:rsid w:val="201502D1"/>
    <w:rsid w:val="202250D8"/>
    <w:rsid w:val="20292756"/>
    <w:rsid w:val="20294B9D"/>
    <w:rsid w:val="202D1ED0"/>
    <w:rsid w:val="203055ED"/>
    <w:rsid w:val="20363A63"/>
    <w:rsid w:val="203D542C"/>
    <w:rsid w:val="203E5F79"/>
    <w:rsid w:val="20485235"/>
    <w:rsid w:val="204D55CD"/>
    <w:rsid w:val="20503D74"/>
    <w:rsid w:val="20541295"/>
    <w:rsid w:val="205911AB"/>
    <w:rsid w:val="205E21FD"/>
    <w:rsid w:val="206A51FD"/>
    <w:rsid w:val="206C3723"/>
    <w:rsid w:val="20735A50"/>
    <w:rsid w:val="207753E4"/>
    <w:rsid w:val="2081022C"/>
    <w:rsid w:val="20846552"/>
    <w:rsid w:val="20875A96"/>
    <w:rsid w:val="20934A07"/>
    <w:rsid w:val="20AE08A7"/>
    <w:rsid w:val="20B53F46"/>
    <w:rsid w:val="20BB6F1D"/>
    <w:rsid w:val="20CC11BF"/>
    <w:rsid w:val="20DC42B1"/>
    <w:rsid w:val="20E029BA"/>
    <w:rsid w:val="20F5426B"/>
    <w:rsid w:val="211179BB"/>
    <w:rsid w:val="212029EF"/>
    <w:rsid w:val="212E418A"/>
    <w:rsid w:val="213C67B2"/>
    <w:rsid w:val="2143112F"/>
    <w:rsid w:val="21743562"/>
    <w:rsid w:val="21763F7F"/>
    <w:rsid w:val="21793ED6"/>
    <w:rsid w:val="218F7041"/>
    <w:rsid w:val="218F718B"/>
    <w:rsid w:val="21972FA7"/>
    <w:rsid w:val="21A46B56"/>
    <w:rsid w:val="21BC4993"/>
    <w:rsid w:val="21BC653D"/>
    <w:rsid w:val="21C31363"/>
    <w:rsid w:val="21DB5B31"/>
    <w:rsid w:val="21E76DC9"/>
    <w:rsid w:val="21F756E7"/>
    <w:rsid w:val="21F956B8"/>
    <w:rsid w:val="220009C4"/>
    <w:rsid w:val="22266CDF"/>
    <w:rsid w:val="22461CD2"/>
    <w:rsid w:val="226610CD"/>
    <w:rsid w:val="227A6389"/>
    <w:rsid w:val="22884748"/>
    <w:rsid w:val="22972E3E"/>
    <w:rsid w:val="22BB6C26"/>
    <w:rsid w:val="22D56E76"/>
    <w:rsid w:val="22ED2A7B"/>
    <w:rsid w:val="22EE6D05"/>
    <w:rsid w:val="22FD74FA"/>
    <w:rsid w:val="23062D32"/>
    <w:rsid w:val="23091D24"/>
    <w:rsid w:val="232753AB"/>
    <w:rsid w:val="23282DFB"/>
    <w:rsid w:val="23326837"/>
    <w:rsid w:val="233316CC"/>
    <w:rsid w:val="233D54CB"/>
    <w:rsid w:val="234321F7"/>
    <w:rsid w:val="23485FB0"/>
    <w:rsid w:val="23566C16"/>
    <w:rsid w:val="23644964"/>
    <w:rsid w:val="238807C1"/>
    <w:rsid w:val="2389451C"/>
    <w:rsid w:val="239924B9"/>
    <w:rsid w:val="23A77C98"/>
    <w:rsid w:val="23B31C3E"/>
    <w:rsid w:val="23C92101"/>
    <w:rsid w:val="23D47F3A"/>
    <w:rsid w:val="23DB2509"/>
    <w:rsid w:val="23F30E72"/>
    <w:rsid w:val="23F96A2E"/>
    <w:rsid w:val="242C761F"/>
    <w:rsid w:val="244F4E78"/>
    <w:rsid w:val="24592855"/>
    <w:rsid w:val="24593D2C"/>
    <w:rsid w:val="24631B00"/>
    <w:rsid w:val="247302E8"/>
    <w:rsid w:val="24920679"/>
    <w:rsid w:val="24B34FE1"/>
    <w:rsid w:val="24CE7A9F"/>
    <w:rsid w:val="24DB5E21"/>
    <w:rsid w:val="24F04E1D"/>
    <w:rsid w:val="24F97B6D"/>
    <w:rsid w:val="24FC13DB"/>
    <w:rsid w:val="250151E2"/>
    <w:rsid w:val="2510263B"/>
    <w:rsid w:val="251C7906"/>
    <w:rsid w:val="251E301F"/>
    <w:rsid w:val="253C3873"/>
    <w:rsid w:val="254D1302"/>
    <w:rsid w:val="254F347B"/>
    <w:rsid w:val="2567376B"/>
    <w:rsid w:val="258127B7"/>
    <w:rsid w:val="25830FD4"/>
    <w:rsid w:val="258D49B8"/>
    <w:rsid w:val="25914479"/>
    <w:rsid w:val="25973B45"/>
    <w:rsid w:val="259D6659"/>
    <w:rsid w:val="25A94913"/>
    <w:rsid w:val="25AA5246"/>
    <w:rsid w:val="25B762A4"/>
    <w:rsid w:val="25CA2435"/>
    <w:rsid w:val="25CF6535"/>
    <w:rsid w:val="25DE47B7"/>
    <w:rsid w:val="25E82F57"/>
    <w:rsid w:val="25F748CB"/>
    <w:rsid w:val="260F3553"/>
    <w:rsid w:val="261602AD"/>
    <w:rsid w:val="26400CA6"/>
    <w:rsid w:val="26512641"/>
    <w:rsid w:val="26551C0B"/>
    <w:rsid w:val="265F0F25"/>
    <w:rsid w:val="266E483D"/>
    <w:rsid w:val="26711C59"/>
    <w:rsid w:val="26713B57"/>
    <w:rsid w:val="2678173B"/>
    <w:rsid w:val="267C3934"/>
    <w:rsid w:val="26816464"/>
    <w:rsid w:val="26875EFF"/>
    <w:rsid w:val="26932F6F"/>
    <w:rsid w:val="269543F3"/>
    <w:rsid w:val="269F1EF8"/>
    <w:rsid w:val="26A072F1"/>
    <w:rsid w:val="26A256EB"/>
    <w:rsid w:val="26A732E9"/>
    <w:rsid w:val="26AA3E92"/>
    <w:rsid w:val="26AE763D"/>
    <w:rsid w:val="26BA70DD"/>
    <w:rsid w:val="26BB3822"/>
    <w:rsid w:val="26BD47E7"/>
    <w:rsid w:val="26BF1544"/>
    <w:rsid w:val="26C46E29"/>
    <w:rsid w:val="26C57557"/>
    <w:rsid w:val="26D547A9"/>
    <w:rsid w:val="26E2159A"/>
    <w:rsid w:val="26F97366"/>
    <w:rsid w:val="27017A8D"/>
    <w:rsid w:val="27026BC8"/>
    <w:rsid w:val="27072A3E"/>
    <w:rsid w:val="271B331F"/>
    <w:rsid w:val="272F6BA0"/>
    <w:rsid w:val="27353A2B"/>
    <w:rsid w:val="274B3DCA"/>
    <w:rsid w:val="275D542F"/>
    <w:rsid w:val="27746193"/>
    <w:rsid w:val="277A6190"/>
    <w:rsid w:val="278063A5"/>
    <w:rsid w:val="2783011C"/>
    <w:rsid w:val="27966B95"/>
    <w:rsid w:val="279813C6"/>
    <w:rsid w:val="279C10ED"/>
    <w:rsid w:val="27A3569D"/>
    <w:rsid w:val="27B2561D"/>
    <w:rsid w:val="27B44B1C"/>
    <w:rsid w:val="27BD20ED"/>
    <w:rsid w:val="27CF1257"/>
    <w:rsid w:val="27D9520E"/>
    <w:rsid w:val="27DB776C"/>
    <w:rsid w:val="27E70F36"/>
    <w:rsid w:val="27ED6A5B"/>
    <w:rsid w:val="27EF5159"/>
    <w:rsid w:val="27F556B7"/>
    <w:rsid w:val="27F55CF6"/>
    <w:rsid w:val="280006BF"/>
    <w:rsid w:val="28051202"/>
    <w:rsid w:val="28221BBA"/>
    <w:rsid w:val="28267ABA"/>
    <w:rsid w:val="28275E94"/>
    <w:rsid w:val="283E28B9"/>
    <w:rsid w:val="28572BF9"/>
    <w:rsid w:val="285A4D42"/>
    <w:rsid w:val="28653C43"/>
    <w:rsid w:val="28671738"/>
    <w:rsid w:val="287032AE"/>
    <w:rsid w:val="28776DD9"/>
    <w:rsid w:val="287D56EB"/>
    <w:rsid w:val="28875579"/>
    <w:rsid w:val="288A68CF"/>
    <w:rsid w:val="288B5E7F"/>
    <w:rsid w:val="289B64EE"/>
    <w:rsid w:val="28A823D4"/>
    <w:rsid w:val="28AC5627"/>
    <w:rsid w:val="28C8686F"/>
    <w:rsid w:val="28E57A9B"/>
    <w:rsid w:val="28F16069"/>
    <w:rsid w:val="28F223EB"/>
    <w:rsid w:val="290B1900"/>
    <w:rsid w:val="290C30D1"/>
    <w:rsid w:val="2944741B"/>
    <w:rsid w:val="29455AA7"/>
    <w:rsid w:val="29497388"/>
    <w:rsid w:val="295A1400"/>
    <w:rsid w:val="296B3900"/>
    <w:rsid w:val="297950F6"/>
    <w:rsid w:val="298B39CE"/>
    <w:rsid w:val="29A461DA"/>
    <w:rsid w:val="29DC7211"/>
    <w:rsid w:val="29DC79D7"/>
    <w:rsid w:val="29DF3C90"/>
    <w:rsid w:val="29F56E02"/>
    <w:rsid w:val="29F74B40"/>
    <w:rsid w:val="29F97C5D"/>
    <w:rsid w:val="2A1D5952"/>
    <w:rsid w:val="2A3267AF"/>
    <w:rsid w:val="2A467273"/>
    <w:rsid w:val="2A4813B6"/>
    <w:rsid w:val="2A483484"/>
    <w:rsid w:val="2A516352"/>
    <w:rsid w:val="2A522DD3"/>
    <w:rsid w:val="2A55512E"/>
    <w:rsid w:val="2A574C7B"/>
    <w:rsid w:val="2A6D6133"/>
    <w:rsid w:val="2A90633B"/>
    <w:rsid w:val="2A9D456A"/>
    <w:rsid w:val="2AB641EA"/>
    <w:rsid w:val="2ABD4D20"/>
    <w:rsid w:val="2ACA23A0"/>
    <w:rsid w:val="2AD61FBF"/>
    <w:rsid w:val="2AE11D44"/>
    <w:rsid w:val="2B042598"/>
    <w:rsid w:val="2B203099"/>
    <w:rsid w:val="2B21749B"/>
    <w:rsid w:val="2B2A211B"/>
    <w:rsid w:val="2B414D66"/>
    <w:rsid w:val="2B426EC9"/>
    <w:rsid w:val="2B4C2E2E"/>
    <w:rsid w:val="2B4D79AE"/>
    <w:rsid w:val="2B7D40F3"/>
    <w:rsid w:val="2B9D628F"/>
    <w:rsid w:val="2BA4049A"/>
    <w:rsid w:val="2BA90200"/>
    <w:rsid w:val="2BB02892"/>
    <w:rsid w:val="2BB046D4"/>
    <w:rsid w:val="2BCA1ADC"/>
    <w:rsid w:val="2BD5679E"/>
    <w:rsid w:val="2BDC6D0D"/>
    <w:rsid w:val="2BE040B0"/>
    <w:rsid w:val="2BE07773"/>
    <w:rsid w:val="2BFD721A"/>
    <w:rsid w:val="2C0B0101"/>
    <w:rsid w:val="2C131FA3"/>
    <w:rsid w:val="2C182E66"/>
    <w:rsid w:val="2C216435"/>
    <w:rsid w:val="2C2D5C56"/>
    <w:rsid w:val="2C340385"/>
    <w:rsid w:val="2C3760ED"/>
    <w:rsid w:val="2C4136FD"/>
    <w:rsid w:val="2C527C19"/>
    <w:rsid w:val="2C6D1D71"/>
    <w:rsid w:val="2C824CD4"/>
    <w:rsid w:val="2C832774"/>
    <w:rsid w:val="2CA91516"/>
    <w:rsid w:val="2CAB71D3"/>
    <w:rsid w:val="2CB2675F"/>
    <w:rsid w:val="2CBE2283"/>
    <w:rsid w:val="2CC81BD7"/>
    <w:rsid w:val="2CD05870"/>
    <w:rsid w:val="2CDC2DDD"/>
    <w:rsid w:val="2CED4575"/>
    <w:rsid w:val="2CF02816"/>
    <w:rsid w:val="2CF211D6"/>
    <w:rsid w:val="2CF419D0"/>
    <w:rsid w:val="2CF4782B"/>
    <w:rsid w:val="2D0166C6"/>
    <w:rsid w:val="2D052878"/>
    <w:rsid w:val="2D0C31FC"/>
    <w:rsid w:val="2D0E7468"/>
    <w:rsid w:val="2D2B64A2"/>
    <w:rsid w:val="2D2D5271"/>
    <w:rsid w:val="2D2E40BA"/>
    <w:rsid w:val="2D351173"/>
    <w:rsid w:val="2D353627"/>
    <w:rsid w:val="2D3808B0"/>
    <w:rsid w:val="2D3E37D0"/>
    <w:rsid w:val="2D402A72"/>
    <w:rsid w:val="2D4056B0"/>
    <w:rsid w:val="2D41487C"/>
    <w:rsid w:val="2D685D10"/>
    <w:rsid w:val="2D840EC1"/>
    <w:rsid w:val="2D8773FA"/>
    <w:rsid w:val="2D9F0145"/>
    <w:rsid w:val="2DA2338B"/>
    <w:rsid w:val="2DCE2632"/>
    <w:rsid w:val="2E0417B3"/>
    <w:rsid w:val="2E125190"/>
    <w:rsid w:val="2E1E45F8"/>
    <w:rsid w:val="2E4E2915"/>
    <w:rsid w:val="2E524516"/>
    <w:rsid w:val="2E584370"/>
    <w:rsid w:val="2E591935"/>
    <w:rsid w:val="2E664886"/>
    <w:rsid w:val="2E6C56C4"/>
    <w:rsid w:val="2E794927"/>
    <w:rsid w:val="2E8D0DA8"/>
    <w:rsid w:val="2E8F3E4C"/>
    <w:rsid w:val="2EBA3CBD"/>
    <w:rsid w:val="2EC3749C"/>
    <w:rsid w:val="2EC60CCD"/>
    <w:rsid w:val="2ED63E21"/>
    <w:rsid w:val="2EE560E9"/>
    <w:rsid w:val="2EF3308C"/>
    <w:rsid w:val="2F0839A7"/>
    <w:rsid w:val="2F0E237E"/>
    <w:rsid w:val="2F115F60"/>
    <w:rsid w:val="2F213DCC"/>
    <w:rsid w:val="2F3F26B5"/>
    <w:rsid w:val="2F451CA3"/>
    <w:rsid w:val="2F454D5F"/>
    <w:rsid w:val="2F4E1FAF"/>
    <w:rsid w:val="2F535BA3"/>
    <w:rsid w:val="2F7102C2"/>
    <w:rsid w:val="2F7929BD"/>
    <w:rsid w:val="2F7C38E5"/>
    <w:rsid w:val="2F820E36"/>
    <w:rsid w:val="2F832432"/>
    <w:rsid w:val="2F8F30B4"/>
    <w:rsid w:val="2F956E29"/>
    <w:rsid w:val="2F9D53EB"/>
    <w:rsid w:val="2FA30E6E"/>
    <w:rsid w:val="2FAC0707"/>
    <w:rsid w:val="2FC93275"/>
    <w:rsid w:val="2FE0475C"/>
    <w:rsid w:val="2FE535D1"/>
    <w:rsid w:val="2FEA2C21"/>
    <w:rsid w:val="2FF63E2A"/>
    <w:rsid w:val="2FF723EC"/>
    <w:rsid w:val="300510DD"/>
    <w:rsid w:val="301C365C"/>
    <w:rsid w:val="304A315C"/>
    <w:rsid w:val="305205C0"/>
    <w:rsid w:val="30661D31"/>
    <w:rsid w:val="306A0F78"/>
    <w:rsid w:val="30850531"/>
    <w:rsid w:val="30AD45DE"/>
    <w:rsid w:val="30B25794"/>
    <w:rsid w:val="30B66FB5"/>
    <w:rsid w:val="30BC7632"/>
    <w:rsid w:val="30C6635D"/>
    <w:rsid w:val="30D41C30"/>
    <w:rsid w:val="30E50135"/>
    <w:rsid w:val="30EA6A9D"/>
    <w:rsid w:val="30F751E6"/>
    <w:rsid w:val="310A097F"/>
    <w:rsid w:val="31107315"/>
    <w:rsid w:val="311157C2"/>
    <w:rsid w:val="31152861"/>
    <w:rsid w:val="311A2B0A"/>
    <w:rsid w:val="3134450D"/>
    <w:rsid w:val="31352146"/>
    <w:rsid w:val="3135409E"/>
    <w:rsid w:val="313B797A"/>
    <w:rsid w:val="314A103B"/>
    <w:rsid w:val="31556EDA"/>
    <w:rsid w:val="315B3699"/>
    <w:rsid w:val="316F0CE8"/>
    <w:rsid w:val="31730350"/>
    <w:rsid w:val="31854CC9"/>
    <w:rsid w:val="318B44D0"/>
    <w:rsid w:val="3193088F"/>
    <w:rsid w:val="319C1133"/>
    <w:rsid w:val="31A22315"/>
    <w:rsid w:val="31B11B87"/>
    <w:rsid w:val="31C214E1"/>
    <w:rsid w:val="31D36B71"/>
    <w:rsid w:val="31EA226C"/>
    <w:rsid w:val="31EB01C9"/>
    <w:rsid w:val="31F84E9A"/>
    <w:rsid w:val="31FE4F34"/>
    <w:rsid w:val="322B3832"/>
    <w:rsid w:val="32321C29"/>
    <w:rsid w:val="324D678A"/>
    <w:rsid w:val="324E5421"/>
    <w:rsid w:val="324F12F3"/>
    <w:rsid w:val="325B3ADB"/>
    <w:rsid w:val="325F73D3"/>
    <w:rsid w:val="32626549"/>
    <w:rsid w:val="326F7002"/>
    <w:rsid w:val="32752D1A"/>
    <w:rsid w:val="32914601"/>
    <w:rsid w:val="329D39FD"/>
    <w:rsid w:val="32AC45D8"/>
    <w:rsid w:val="32B05072"/>
    <w:rsid w:val="32B14DC1"/>
    <w:rsid w:val="32D06590"/>
    <w:rsid w:val="32DD5CCC"/>
    <w:rsid w:val="32DD73FF"/>
    <w:rsid w:val="32E84C4E"/>
    <w:rsid w:val="32EE127A"/>
    <w:rsid w:val="32FE168D"/>
    <w:rsid w:val="330F05B5"/>
    <w:rsid w:val="33242138"/>
    <w:rsid w:val="33271EF4"/>
    <w:rsid w:val="33284CB9"/>
    <w:rsid w:val="332A0247"/>
    <w:rsid w:val="332F38B0"/>
    <w:rsid w:val="33382087"/>
    <w:rsid w:val="33443F01"/>
    <w:rsid w:val="33462816"/>
    <w:rsid w:val="336246A7"/>
    <w:rsid w:val="3379204E"/>
    <w:rsid w:val="337C49E4"/>
    <w:rsid w:val="33806BC4"/>
    <w:rsid w:val="33850D90"/>
    <w:rsid w:val="338B624F"/>
    <w:rsid w:val="338D5D80"/>
    <w:rsid w:val="338F444A"/>
    <w:rsid w:val="33911D7D"/>
    <w:rsid w:val="33BA6195"/>
    <w:rsid w:val="33C12950"/>
    <w:rsid w:val="33CB38F9"/>
    <w:rsid w:val="33D3202C"/>
    <w:rsid w:val="33D92FF2"/>
    <w:rsid w:val="33D9555F"/>
    <w:rsid w:val="33E051D5"/>
    <w:rsid w:val="33F3499B"/>
    <w:rsid w:val="33F65197"/>
    <w:rsid w:val="3404225C"/>
    <w:rsid w:val="340A1F8B"/>
    <w:rsid w:val="3426095B"/>
    <w:rsid w:val="344E264E"/>
    <w:rsid w:val="346B13A1"/>
    <w:rsid w:val="348B5629"/>
    <w:rsid w:val="34911258"/>
    <w:rsid w:val="34952035"/>
    <w:rsid w:val="34AF4EDB"/>
    <w:rsid w:val="34B83EF5"/>
    <w:rsid w:val="34CD58CC"/>
    <w:rsid w:val="34CF7FBC"/>
    <w:rsid w:val="34E74D7F"/>
    <w:rsid w:val="34F912A5"/>
    <w:rsid w:val="350012E8"/>
    <w:rsid w:val="3503048D"/>
    <w:rsid w:val="352A053F"/>
    <w:rsid w:val="355A1D20"/>
    <w:rsid w:val="35620D9C"/>
    <w:rsid w:val="356438F8"/>
    <w:rsid w:val="35715F11"/>
    <w:rsid w:val="35744591"/>
    <w:rsid w:val="357A1941"/>
    <w:rsid w:val="358D019C"/>
    <w:rsid w:val="358F4118"/>
    <w:rsid w:val="35907EBA"/>
    <w:rsid w:val="359239F2"/>
    <w:rsid w:val="35972701"/>
    <w:rsid w:val="359B2FAC"/>
    <w:rsid w:val="359D5D69"/>
    <w:rsid w:val="35B70362"/>
    <w:rsid w:val="35DE5AAA"/>
    <w:rsid w:val="35E228F0"/>
    <w:rsid w:val="35E92D42"/>
    <w:rsid w:val="35F1068C"/>
    <w:rsid w:val="35F960AA"/>
    <w:rsid w:val="36045AB3"/>
    <w:rsid w:val="360E5439"/>
    <w:rsid w:val="360F1593"/>
    <w:rsid w:val="362F6E32"/>
    <w:rsid w:val="36367305"/>
    <w:rsid w:val="365E5295"/>
    <w:rsid w:val="36611CAB"/>
    <w:rsid w:val="36636E04"/>
    <w:rsid w:val="3668167E"/>
    <w:rsid w:val="3670740A"/>
    <w:rsid w:val="368313F7"/>
    <w:rsid w:val="368C7AB4"/>
    <w:rsid w:val="36AB1945"/>
    <w:rsid w:val="36C76E57"/>
    <w:rsid w:val="36CF4895"/>
    <w:rsid w:val="36DB0A31"/>
    <w:rsid w:val="36E758CA"/>
    <w:rsid w:val="36E87D56"/>
    <w:rsid w:val="36EF7E94"/>
    <w:rsid w:val="3718280E"/>
    <w:rsid w:val="371A25CC"/>
    <w:rsid w:val="374568CA"/>
    <w:rsid w:val="37470B7A"/>
    <w:rsid w:val="375623D5"/>
    <w:rsid w:val="37692B99"/>
    <w:rsid w:val="37747BE7"/>
    <w:rsid w:val="37754507"/>
    <w:rsid w:val="378B08E3"/>
    <w:rsid w:val="378B41F3"/>
    <w:rsid w:val="379612DB"/>
    <w:rsid w:val="379C1003"/>
    <w:rsid w:val="37B42A15"/>
    <w:rsid w:val="37C13934"/>
    <w:rsid w:val="37CB2058"/>
    <w:rsid w:val="37D4588F"/>
    <w:rsid w:val="37DA678D"/>
    <w:rsid w:val="37EC5BFA"/>
    <w:rsid w:val="37FA19A9"/>
    <w:rsid w:val="380B3E4E"/>
    <w:rsid w:val="38303905"/>
    <w:rsid w:val="383B0838"/>
    <w:rsid w:val="385D7DD3"/>
    <w:rsid w:val="38637644"/>
    <w:rsid w:val="386A3B6B"/>
    <w:rsid w:val="38735B41"/>
    <w:rsid w:val="38800295"/>
    <w:rsid w:val="3890103D"/>
    <w:rsid w:val="389A39A7"/>
    <w:rsid w:val="38AD45F5"/>
    <w:rsid w:val="38C479B9"/>
    <w:rsid w:val="38C948FC"/>
    <w:rsid w:val="38CA24DA"/>
    <w:rsid w:val="38DF6F23"/>
    <w:rsid w:val="38EB195D"/>
    <w:rsid w:val="38EB2946"/>
    <w:rsid w:val="38EF2923"/>
    <w:rsid w:val="391060AB"/>
    <w:rsid w:val="39224773"/>
    <w:rsid w:val="3935520C"/>
    <w:rsid w:val="393731F7"/>
    <w:rsid w:val="394432E8"/>
    <w:rsid w:val="394E49EA"/>
    <w:rsid w:val="39504E30"/>
    <w:rsid w:val="39527A8A"/>
    <w:rsid w:val="396F7B77"/>
    <w:rsid w:val="397A3B1C"/>
    <w:rsid w:val="398048E2"/>
    <w:rsid w:val="398D536E"/>
    <w:rsid w:val="39971187"/>
    <w:rsid w:val="39990BC1"/>
    <w:rsid w:val="399D358A"/>
    <w:rsid w:val="39AB3232"/>
    <w:rsid w:val="39BB3988"/>
    <w:rsid w:val="39C531EB"/>
    <w:rsid w:val="39F93C72"/>
    <w:rsid w:val="39FA14ED"/>
    <w:rsid w:val="3A120FE1"/>
    <w:rsid w:val="3A2C2564"/>
    <w:rsid w:val="3A3478DE"/>
    <w:rsid w:val="3A3631B8"/>
    <w:rsid w:val="3A440072"/>
    <w:rsid w:val="3A4B3697"/>
    <w:rsid w:val="3A512E98"/>
    <w:rsid w:val="3A533B2A"/>
    <w:rsid w:val="3A5C4765"/>
    <w:rsid w:val="3A62070C"/>
    <w:rsid w:val="3A6552F2"/>
    <w:rsid w:val="3A7D02C8"/>
    <w:rsid w:val="3A7D46D5"/>
    <w:rsid w:val="3A8677C7"/>
    <w:rsid w:val="3A961531"/>
    <w:rsid w:val="3A9A1428"/>
    <w:rsid w:val="3AC774A3"/>
    <w:rsid w:val="3AD87E73"/>
    <w:rsid w:val="3ADF757A"/>
    <w:rsid w:val="3AF54C54"/>
    <w:rsid w:val="3B0A25D7"/>
    <w:rsid w:val="3B265C43"/>
    <w:rsid w:val="3B2C2867"/>
    <w:rsid w:val="3B30618A"/>
    <w:rsid w:val="3B3530ED"/>
    <w:rsid w:val="3B422261"/>
    <w:rsid w:val="3B495F43"/>
    <w:rsid w:val="3B4D2036"/>
    <w:rsid w:val="3B50224A"/>
    <w:rsid w:val="3B632FC2"/>
    <w:rsid w:val="3B6E388C"/>
    <w:rsid w:val="3B843BCF"/>
    <w:rsid w:val="3B881E37"/>
    <w:rsid w:val="3BC1241B"/>
    <w:rsid w:val="3BC306BC"/>
    <w:rsid w:val="3BD04DDA"/>
    <w:rsid w:val="3BE03D54"/>
    <w:rsid w:val="3BE54669"/>
    <w:rsid w:val="3BED6580"/>
    <w:rsid w:val="3C0D17F1"/>
    <w:rsid w:val="3C174CB6"/>
    <w:rsid w:val="3C283FF4"/>
    <w:rsid w:val="3C3A3155"/>
    <w:rsid w:val="3C4C76B2"/>
    <w:rsid w:val="3C6B11A4"/>
    <w:rsid w:val="3C6C4D2D"/>
    <w:rsid w:val="3C6D1C36"/>
    <w:rsid w:val="3C893738"/>
    <w:rsid w:val="3CC3160F"/>
    <w:rsid w:val="3CC4102A"/>
    <w:rsid w:val="3CD47B96"/>
    <w:rsid w:val="3CEA3BD2"/>
    <w:rsid w:val="3CF147B5"/>
    <w:rsid w:val="3CF5493C"/>
    <w:rsid w:val="3CF84982"/>
    <w:rsid w:val="3D071540"/>
    <w:rsid w:val="3D0D191E"/>
    <w:rsid w:val="3D216CE9"/>
    <w:rsid w:val="3D373A38"/>
    <w:rsid w:val="3D5C122E"/>
    <w:rsid w:val="3D6A06B8"/>
    <w:rsid w:val="3D700E7C"/>
    <w:rsid w:val="3D76177E"/>
    <w:rsid w:val="3D791B0B"/>
    <w:rsid w:val="3D84703A"/>
    <w:rsid w:val="3D992F08"/>
    <w:rsid w:val="3D9E177A"/>
    <w:rsid w:val="3DAC585E"/>
    <w:rsid w:val="3DB7619D"/>
    <w:rsid w:val="3DC201E5"/>
    <w:rsid w:val="3DC64CFC"/>
    <w:rsid w:val="3DC713AA"/>
    <w:rsid w:val="3DC9038E"/>
    <w:rsid w:val="3DD9556A"/>
    <w:rsid w:val="3DE0548D"/>
    <w:rsid w:val="3DEE76DC"/>
    <w:rsid w:val="3E026005"/>
    <w:rsid w:val="3E081BFF"/>
    <w:rsid w:val="3E150C5C"/>
    <w:rsid w:val="3E1B0AAA"/>
    <w:rsid w:val="3E2045E8"/>
    <w:rsid w:val="3E344B86"/>
    <w:rsid w:val="3E3E7EAB"/>
    <w:rsid w:val="3E4D41B9"/>
    <w:rsid w:val="3E6301C9"/>
    <w:rsid w:val="3E663CB5"/>
    <w:rsid w:val="3E6D1BDB"/>
    <w:rsid w:val="3E740559"/>
    <w:rsid w:val="3E811FDC"/>
    <w:rsid w:val="3E8651B9"/>
    <w:rsid w:val="3EAC01AB"/>
    <w:rsid w:val="3EB90F04"/>
    <w:rsid w:val="3EBD4F24"/>
    <w:rsid w:val="3EC54072"/>
    <w:rsid w:val="3ECC3F38"/>
    <w:rsid w:val="3ECC6F13"/>
    <w:rsid w:val="3ED05974"/>
    <w:rsid w:val="3ED373C0"/>
    <w:rsid w:val="3ED54FA0"/>
    <w:rsid w:val="3EE2167A"/>
    <w:rsid w:val="3EEC1D52"/>
    <w:rsid w:val="3EFE4E6E"/>
    <w:rsid w:val="3F022312"/>
    <w:rsid w:val="3F080EE1"/>
    <w:rsid w:val="3F0E7169"/>
    <w:rsid w:val="3F417760"/>
    <w:rsid w:val="3F4B4A3B"/>
    <w:rsid w:val="3F5759EF"/>
    <w:rsid w:val="3F6749E8"/>
    <w:rsid w:val="3F711C35"/>
    <w:rsid w:val="3F97782D"/>
    <w:rsid w:val="3F9E565E"/>
    <w:rsid w:val="3FA20D05"/>
    <w:rsid w:val="3FA52197"/>
    <w:rsid w:val="3FAC1ADC"/>
    <w:rsid w:val="3FB0093B"/>
    <w:rsid w:val="3FB05CD0"/>
    <w:rsid w:val="3FE202E6"/>
    <w:rsid w:val="3FE60631"/>
    <w:rsid w:val="3FE933EC"/>
    <w:rsid w:val="3FFB0B40"/>
    <w:rsid w:val="403934EA"/>
    <w:rsid w:val="403C5CF7"/>
    <w:rsid w:val="403D62E7"/>
    <w:rsid w:val="40431A3F"/>
    <w:rsid w:val="40450CBE"/>
    <w:rsid w:val="40547340"/>
    <w:rsid w:val="405C7CBC"/>
    <w:rsid w:val="405E422E"/>
    <w:rsid w:val="406B0184"/>
    <w:rsid w:val="408A46B1"/>
    <w:rsid w:val="408D2090"/>
    <w:rsid w:val="4092743B"/>
    <w:rsid w:val="40AB2368"/>
    <w:rsid w:val="40BC47FA"/>
    <w:rsid w:val="40CE49DB"/>
    <w:rsid w:val="40E23ADE"/>
    <w:rsid w:val="40E24092"/>
    <w:rsid w:val="40EF4CA4"/>
    <w:rsid w:val="40FC39B4"/>
    <w:rsid w:val="410C74CE"/>
    <w:rsid w:val="41166146"/>
    <w:rsid w:val="4132404E"/>
    <w:rsid w:val="415C55E4"/>
    <w:rsid w:val="4184060A"/>
    <w:rsid w:val="41846AA0"/>
    <w:rsid w:val="419D643F"/>
    <w:rsid w:val="41A72970"/>
    <w:rsid w:val="41AE297C"/>
    <w:rsid w:val="41BA5A19"/>
    <w:rsid w:val="41CE38BA"/>
    <w:rsid w:val="41DE2E7F"/>
    <w:rsid w:val="41E32AE9"/>
    <w:rsid w:val="41F53149"/>
    <w:rsid w:val="41FD46F9"/>
    <w:rsid w:val="41FE749D"/>
    <w:rsid w:val="420A7912"/>
    <w:rsid w:val="421E0940"/>
    <w:rsid w:val="421E1880"/>
    <w:rsid w:val="422C2140"/>
    <w:rsid w:val="422E4288"/>
    <w:rsid w:val="4257219A"/>
    <w:rsid w:val="426F2114"/>
    <w:rsid w:val="42795FC6"/>
    <w:rsid w:val="4282303D"/>
    <w:rsid w:val="42841630"/>
    <w:rsid w:val="42A50C70"/>
    <w:rsid w:val="42B32667"/>
    <w:rsid w:val="42B80167"/>
    <w:rsid w:val="42CB39A5"/>
    <w:rsid w:val="42CF71B6"/>
    <w:rsid w:val="43201D61"/>
    <w:rsid w:val="43275FCF"/>
    <w:rsid w:val="434D3379"/>
    <w:rsid w:val="435A5778"/>
    <w:rsid w:val="437843BE"/>
    <w:rsid w:val="437C7692"/>
    <w:rsid w:val="43922128"/>
    <w:rsid w:val="43951FA5"/>
    <w:rsid w:val="43A744D7"/>
    <w:rsid w:val="43B234FC"/>
    <w:rsid w:val="43D738DB"/>
    <w:rsid w:val="43E87EC5"/>
    <w:rsid w:val="43FD7AAA"/>
    <w:rsid w:val="43FE2E22"/>
    <w:rsid w:val="443602A6"/>
    <w:rsid w:val="443A787D"/>
    <w:rsid w:val="444B77A0"/>
    <w:rsid w:val="44520A43"/>
    <w:rsid w:val="445E22AD"/>
    <w:rsid w:val="44654AE1"/>
    <w:rsid w:val="448C4F95"/>
    <w:rsid w:val="449A31B2"/>
    <w:rsid w:val="449F49ED"/>
    <w:rsid w:val="44A23D52"/>
    <w:rsid w:val="44B264DE"/>
    <w:rsid w:val="44B70CC3"/>
    <w:rsid w:val="44D13B86"/>
    <w:rsid w:val="44DA216A"/>
    <w:rsid w:val="44E101EE"/>
    <w:rsid w:val="44E27DC1"/>
    <w:rsid w:val="44F27AEE"/>
    <w:rsid w:val="451F73CE"/>
    <w:rsid w:val="45235C2D"/>
    <w:rsid w:val="452516E2"/>
    <w:rsid w:val="452757C1"/>
    <w:rsid w:val="452D52F5"/>
    <w:rsid w:val="453B1653"/>
    <w:rsid w:val="45583245"/>
    <w:rsid w:val="4570563A"/>
    <w:rsid w:val="45804EB0"/>
    <w:rsid w:val="4589322D"/>
    <w:rsid w:val="459F78B9"/>
    <w:rsid w:val="45AB7028"/>
    <w:rsid w:val="45B235A7"/>
    <w:rsid w:val="45C10B4C"/>
    <w:rsid w:val="45CB5071"/>
    <w:rsid w:val="45E83C3E"/>
    <w:rsid w:val="45EE688D"/>
    <w:rsid w:val="45F445D4"/>
    <w:rsid w:val="45FE2835"/>
    <w:rsid w:val="46032B63"/>
    <w:rsid w:val="46093216"/>
    <w:rsid w:val="46130820"/>
    <w:rsid w:val="461D0259"/>
    <w:rsid w:val="462662BC"/>
    <w:rsid w:val="46335B68"/>
    <w:rsid w:val="46362D0C"/>
    <w:rsid w:val="464517CC"/>
    <w:rsid w:val="46465FA7"/>
    <w:rsid w:val="46497554"/>
    <w:rsid w:val="465430E6"/>
    <w:rsid w:val="46595312"/>
    <w:rsid w:val="46645BB9"/>
    <w:rsid w:val="4666080D"/>
    <w:rsid w:val="46683452"/>
    <w:rsid w:val="46692A5F"/>
    <w:rsid w:val="46696BC9"/>
    <w:rsid w:val="46744186"/>
    <w:rsid w:val="469D71BB"/>
    <w:rsid w:val="469F7DC4"/>
    <w:rsid w:val="46A970F1"/>
    <w:rsid w:val="46B35A7A"/>
    <w:rsid w:val="46B90527"/>
    <w:rsid w:val="46BE04B6"/>
    <w:rsid w:val="46CA223F"/>
    <w:rsid w:val="46CD0A2D"/>
    <w:rsid w:val="46CF1248"/>
    <w:rsid w:val="46D463CC"/>
    <w:rsid w:val="46EF3F38"/>
    <w:rsid w:val="47001F3B"/>
    <w:rsid w:val="4708090B"/>
    <w:rsid w:val="470C0DD5"/>
    <w:rsid w:val="471B79B9"/>
    <w:rsid w:val="47211488"/>
    <w:rsid w:val="47213CAF"/>
    <w:rsid w:val="472C1118"/>
    <w:rsid w:val="47437AF8"/>
    <w:rsid w:val="47471EE3"/>
    <w:rsid w:val="47523136"/>
    <w:rsid w:val="47D96E41"/>
    <w:rsid w:val="47DF359D"/>
    <w:rsid w:val="47E045A2"/>
    <w:rsid w:val="47E51D22"/>
    <w:rsid w:val="47ED231F"/>
    <w:rsid w:val="47EF0C9B"/>
    <w:rsid w:val="47F9042E"/>
    <w:rsid w:val="48014C60"/>
    <w:rsid w:val="4806389A"/>
    <w:rsid w:val="480B6601"/>
    <w:rsid w:val="48320167"/>
    <w:rsid w:val="48447FFA"/>
    <w:rsid w:val="4849037A"/>
    <w:rsid w:val="48545B1F"/>
    <w:rsid w:val="48557E64"/>
    <w:rsid w:val="486012C7"/>
    <w:rsid w:val="488176D3"/>
    <w:rsid w:val="488212C3"/>
    <w:rsid w:val="488F1557"/>
    <w:rsid w:val="48A6787D"/>
    <w:rsid w:val="48A8181E"/>
    <w:rsid w:val="48A97073"/>
    <w:rsid w:val="48C21A31"/>
    <w:rsid w:val="48C36D60"/>
    <w:rsid w:val="48D432D2"/>
    <w:rsid w:val="48DB41B6"/>
    <w:rsid w:val="48E6193A"/>
    <w:rsid w:val="490A4F1C"/>
    <w:rsid w:val="4913101B"/>
    <w:rsid w:val="49290C23"/>
    <w:rsid w:val="49333DD4"/>
    <w:rsid w:val="493663DD"/>
    <w:rsid w:val="494B00F7"/>
    <w:rsid w:val="49605C8D"/>
    <w:rsid w:val="496D1F45"/>
    <w:rsid w:val="499D21C2"/>
    <w:rsid w:val="49A636DC"/>
    <w:rsid w:val="49D34594"/>
    <w:rsid w:val="49E80491"/>
    <w:rsid w:val="49F168F6"/>
    <w:rsid w:val="4A1329BF"/>
    <w:rsid w:val="4A2350A0"/>
    <w:rsid w:val="4A267581"/>
    <w:rsid w:val="4A295ECA"/>
    <w:rsid w:val="4A323139"/>
    <w:rsid w:val="4A343B0C"/>
    <w:rsid w:val="4A4E1A2D"/>
    <w:rsid w:val="4A4F6D81"/>
    <w:rsid w:val="4A4F7076"/>
    <w:rsid w:val="4A564816"/>
    <w:rsid w:val="4A584850"/>
    <w:rsid w:val="4A605016"/>
    <w:rsid w:val="4A63572F"/>
    <w:rsid w:val="4A6510E9"/>
    <w:rsid w:val="4A7F1AE7"/>
    <w:rsid w:val="4A88665B"/>
    <w:rsid w:val="4A95162B"/>
    <w:rsid w:val="4A9A15E1"/>
    <w:rsid w:val="4A9B535D"/>
    <w:rsid w:val="4AAE45F6"/>
    <w:rsid w:val="4AD979F5"/>
    <w:rsid w:val="4AE90E0B"/>
    <w:rsid w:val="4AEA14B8"/>
    <w:rsid w:val="4AF16080"/>
    <w:rsid w:val="4AF72260"/>
    <w:rsid w:val="4AFC1E43"/>
    <w:rsid w:val="4B0E7930"/>
    <w:rsid w:val="4B1526C4"/>
    <w:rsid w:val="4B1E5030"/>
    <w:rsid w:val="4B262582"/>
    <w:rsid w:val="4B3206AE"/>
    <w:rsid w:val="4B3E7229"/>
    <w:rsid w:val="4B4D3CD4"/>
    <w:rsid w:val="4B501C2F"/>
    <w:rsid w:val="4B74297C"/>
    <w:rsid w:val="4B7B3828"/>
    <w:rsid w:val="4B7C5AD2"/>
    <w:rsid w:val="4B9403B2"/>
    <w:rsid w:val="4B9D5A1E"/>
    <w:rsid w:val="4BA3692D"/>
    <w:rsid w:val="4BAF1D7A"/>
    <w:rsid w:val="4BC03172"/>
    <w:rsid w:val="4BDF0A82"/>
    <w:rsid w:val="4BE42AC2"/>
    <w:rsid w:val="4BF0020B"/>
    <w:rsid w:val="4BFC3D8F"/>
    <w:rsid w:val="4C080630"/>
    <w:rsid w:val="4C0A0CEE"/>
    <w:rsid w:val="4C191286"/>
    <w:rsid w:val="4C28567E"/>
    <w:rsid w:val="4C2E5490"/>
    <w:rsid w:val="4C3408B8"/>
    <w:rsid w:val="4C364513"/>
    <w:rsid w:val="4C4014D5"/>
    <w:rsid w:val="4C443991"/>
    <w:rsid w:val="4C572C8D"/>
    <w:rsid w:val="4C574326"/>
    <w:rsid w:val="4C645611"/>
    <w:rsid w:val="4C677303"/>
    <w:rsid w:val="4C764F35"/>
    <w:rsid w:val="4C87155C"/>
    <w:rsid w:val="4CC70F6A"/>
    <w:rsid w:val="4CE06CC2"/>
    <w:rsid w:val="4CE55B82"/>
    <w:rsid w:val="4D08523C"/>
    <w:rsid w:val="4D1905A5"/>
    <w:rsid w:val="4D1F2EEE"/>
    <w:rsid w:val="4D2678CA"/>
    <w:rsid w:val="4D280C51"/>
    <w:rsid w:val="4D3007EB"/>
    <w:rsid w:val="4D362BEF"/>
    <w:rsid w:val="4D3D1CE9"/>
    <w:rsid w:val="4D4329BF"/>
    <w:rsid w:val="4D4D3B63"/>
    <w:rsid w:val="4D5D5801"/>
    <w:rsid w:val="4D6C0FFC"/>
    <w:rsid w:val="4D6E087A"/>
    <w:rsid w:val="4D834C9A"/>
    <w:rsid w:val="4D8C0876"/>
    <w:rsid w:val="4DAE5763"/>
    <w:rsid w:val="4DBB772B"/>
    <w:rsid w:val="4DC61D3A"/>
    <w:rsid w:val="4DC74D70"/>
    <w:rsid w:val="4DF3268A"/>
    <w:rsid w:val="4E044DE7"/>
    <w:rsid w:val="4E1903B4"/>
    <w:rsid w:val="4E1B442A"/>
    <w:rsid w:val="4E4A0BD1"/>
    <w:rsid w:val="4E5A4EF9"/>
    <w:rsid w:val="4E680B8B"/>
    <w:rsid w:val="4E83382C"/>
    <w:rsid w:val="4E8C5BF4"/>
    <w:rsid w:val="4E9865B8"/>
    <w:rsid w:val="4EB40AD6"/>
    <w:rsid w:val="4EC825B8"/>
    <w:rsid w:val="4EC852BC"/>
    <w:rsid w:val="4EC858C0"/>
    <w:rsid w:val="4ED96C73"/>
    <w:rsid w:val="4EDC1CD0"/>
    <w:rsid w:val="4EF42B62"/>
    <w:rsid w:val="4EFA7121"/>
    <w:rsid w:val="4F003F8C"/>
    <w:rsid w:val="4F0F21CB"/>
    <w:rsid w:val="4F1B34EC"/>
    <w:rsid w:val="4F2143D7"/>
    <w:rsid w:val="4F341AAA"/>
    <w:rsid w:val="4F3C0D62"/>
    <w:rsid w:val="4F4415DC"/>
    <w:rsid w:val="4F4958EC"/>
    <w:rsid w:val="4F503B21"/>
    <w:rsid w:val="4F53225C"/>
    <w:rsid w:val="4F600F87"/>
    <w:rsid w:val="4F6E2314"/>
    <w:rsid w:val="4F702F49"/>
    <w:rsid w:val="4F8C5808"/>
    <w:rsid w:val="4FA61BA1"/>
    <w:rsid w:val="4FAF5C7F"/>
    <w:rsid w:val="4FBE7C40"/>
    <w:rsid w:val="4FC4248F"/>
    <w:rsid w:val="4FC674D0"/>
    <w:rsid w:val="4FE85715"/>
    <w:rsid w:val="4FF871BF"/>
    <w:rsid w:val="500361C3"/>
    <w:rsid w:val="500F565D"/>
    <w:rsid w:val="501D3B77"/>
    <w:rsid w:val="50250E18"/>
    <w:rsid w:val="50270827"/>
    <w:rsid w:val="502F6BDB"/>
    <w:rsid w:val="50505B37"/>
    <w:rsid w:val="505952B7"/>
    <w:rsid w:val="50597737"/>
    <w:rsid w:val="506944E0"/>
    <w:rsid w:val="507E691C"/>
    <w:rsid w:val="508F2F81"/>
    <w:rsid w:val="50973A7A"/>
    <w:rsid w:val="50B90317"/>
    <w:rsid w:val="50C40125"/>
    <w:rsid w:val="50D34352"/>
    <w:rsid w:val="50D77430"/>
    <w:rsid w:val="50DD345B"/>
    <w:rsid w:val="50DD40D1"/>
    <w:rsid w:val="50E676D8"/>
    <w:rsid w:val="50EB4521"/>
    <w:rsid w:val="50EE4893"/>
    <w:rsid w:val="50EF1451"/>
    <w:rsid w:val="50F01E94"/>
    <w:rsid w:val="50FB27DA"/>
    <w:rsid w:val="51032A92"/>
    <w:rsid w:val="51066744"/>
    <w:rsid w:val="511873B0"/>
    <w:rsid w:val="512C19D8"/>
    <w:rsid w:val="512F34D6"/>
    <w:rsid w:val="513E7A59"/>
    <w:rsid w:val="513F712D"/>
    <w:rsid w:val="51457259"/>
    <w:rsid w:val="51544DF3"/>
    <w:rsid w:val="515D0809"/>
    <w:rsid w:val="516449CB"/>
    <w:rsid w:val="51655716"/>
    <w:rsid w:val="51655CB4"/>
    <w:rsid w:val="51744324"/>
    <w:rsid w:val="519E578A"/>
    <w:rsid w:val="51BC374D"/>
    <w:rsid w:val="51C43DFF"/>
    <w:rsid w:val="51C768CC"/>
    <w:rsid w:val="51D81105"/>
    <w:rsid w:val="51F50003"/>
    <w:rsid w:val="51FB2809"/>
    <w:rsid w:val="521362EB"/>
    <w:rsid w:val="52397FDC"/>
    <w:rsid w:val="523E3006"/>
    <w:rsid w:val="52473AAD"/>
    <w:rsid w:val="524C5A36"/>
    <w:rsid w:val="525E19FF"/>
    <w:rsid w:val="527849E6"/>
    <w:rsid w:val="527F5B51"/>
    <w:rsid w:val="52931212"/>
    <w:rsid w:val="52A675C2"/>
    <w:rsid w:val="52AA4124"/>
    <w:rsid w:val="52AB4387"/>
    <w:rsid w:val="52AC7DE4"/>
    <w:rsid w:val="52B46038"/>
    <w:rsid w:val="52B6789F"/>
    <w:rsid w:val="52BA5B93"/>
    <w:rsid w:val="52C04A0B"/>
    <w:rsid w:val="52C73040"/>
    <w:rsid w:val="52D071D5"/>
    <w:rsid w:val="52D35FB7"/>
    <w:rsid w:val="52D8676C"/>
    <w:rsid w:val="52DB172E"/>
    <w:rsid w:val="530D0FCC"/>
    <w:rsid w:val="530D1A3F"/>
    <w:rsid w:val="531171A6"/>
    <w:rsid w:val="53151422"/>
    <w:rsid w:val="531768FB"/>
    <w:rsid w:val="531D0F70"/>
    <w:rsid w:val="53307B0F"/>
    <w:rsid w:val="533253F2"/>
    <w:rsid w:val="533E129C"/>
    <w:rsid w:val="534339E0"/>
    <w:rsid w:val="53460BAB"/>
    <w:rsid w:val="534B5B89"/>
    <w:rsid w:val="53617C8F"/>
    <w:rsid w:val="537627E0"/>
    <w:rsid w:val="53806D96"/>
    <w:rsid w:val="53890D59"/>
    <w:rsid w:val="539F1DDB"/>
    <w:rsid w:val="53CA2013"/>
    <w:rsid w:val="53D06EB9"/>
    <w:rsid w:val="53D319A4"/>
    <w:rsid w:val="53E528AC"/>
    <w:rsid w:val="541B19E3"/>
    <w:rsid w:val="543244A5"/>
    <w:rsid w:val="543C405B"/>
    <w:rsid w:val="544F15F7"/>
    <w:rsid w:val="54542B62"/>
    <w:rsid w:val="546C7065"/>
    <w:rsid w:val="547A7CA2"/>
    <w:rsid w:val="548C5A6F"/>
    <w:rsid w:val="54A11B01"/>
    <w:rsid w:val="54B31B2C"/>
    <w:rsid w:val="54B4423C"/>
    <w:rsid w:val="54C65B1C"/>
    <w:rsid w:val="54F27EE8"/>
    <w:rsid w:val="54F6236C"/>
    <w:rsid w:val="55014968"/>
    <w:rsid w:val="55025DA2"/>
    <w:rsid w:val="55064EB7"/>
    <w:rsid w:val="5517503B"/>
    <w:rsid w:val="551B1EB5"/>
    <w:rsid w:val="55257383"/>
    <w:rsid w:val="554500B6"/>
    <w:rsid w:val="55484BC6"/>
    <w:rsid w:val="554E08D5"/>
    <w:rsid w:val="555F2D20"/>
    <w:rsid w:val="556118DC"/>
    <w:rsid w:val="557F08BC"/>
    <w:rsid w:val="557F5ACE"/>
    <w:rsid w:val="5588047C"/>
    <w:rsid w:val="55916FBB"/>
    <w:rsid w:val="55A257DD"/>
    <w:rsid w:val="55A43F12"/>
    <w:rsid w:val="55A8490B"/>
    <w:rsid w:val="55AB4533"/>
    <w:rsid w:val="55AD33FF"/>
    <w:rsid w:val="55AE1E96"/>
    <w:rsid w:val="55AE6BB2"/>
    <w:rsid w:val="55BF3F46"/>
    <w:rsid w:val="55CB44B6"/>
    <w:rsid w:val="55CC061B"/>
    <w:rsid w:val="55DF5BCE"/>
    <w:rsid w:val="55EF0A9F"/>
    <w:rsid w:val="56000C23"/>
    <w:rsid w:val="56020701"/>
    <w:rsid w:val="560A688D"/>
    <w:rsid w:val="56107373"/>
    <w:rsid w:val="56174621"/>
    <w:rsid w:val="56204084"/>
    <w:rsid w:val="562F46F0"/>
    <w:rsid w:val="564D1E73"/>
    <w:rsid w:val="566B4F0B"/>
    <w:rsid w:val="566D440A"/>
    <w:rsid w:val="56706469"/>
    <w:rsid w:val="567D4DC1"/>
    <w:rsid w:val="56816BC2"/>
    <w:rsid w:val="56867738"/>
    <w:rsid w:val="568966E3"/>
    <w:rsid w:val="56A5669E"/>
    <w:rsid w:val="56C50B58"/>
    <w:rsid w:val="56F83774"/>
    <w:rsid w:val="570C7351"/>
    <w:rsid w:val="572A220B"/>
    <w:rsid w:val="573D53C5"/>
    <w:rsid w:val="5745536F"/>
    <w:rsid w:val="57470240"/>
    <w:rsid w:val="574A38C2"/>
    <w:rsid w:val="57624E93"/>
    <w:rsid w:val="57842D4C"/>
    <w:rsid w:val="578A276A"/>
    <w:rsid w:val="57B07F46"/>
    <w:rsid w:val="57B14537"/>
    <w:rsid w:val="57D602FA"/>
    <w:rsid w:val="580159C4"/>
    <w:rsid w:val="580E2C0B"/>
    <w:rsid w:val="580E7F81"/>
    <w:rsid w:val="581602FB"/>
    <w:rsid w:val="58172642"/>
    <w:rsid w:val="58182386"/>
    <w:rsid w:val="581A2242"/>
    <w:rsid w:val="581B564F"/>
    <w:rsid w:val="582844C9"/>
    <w:rsid w:val="58286422"/>
    <w:rsid w:val="582B4F39"/>
    <w:rsid w:val="584846B5"/>
    <w:rsid w:val="584C1A87"/>
    <w:rsid w:val="58523152"/>
    <w:rsid w:val="585852F3"/>
    <w:rsid w:val="586F2AB5"/>
    <w:rsid w:val="588C5EA8"/>
    <w:rsid w:val="58A651FF"/>
    <w:rsid w:val="58B0165F"/>
    <w:rsid w:val="58B52B93"/>
    <w:rsid w:val="58E30581"/>
    <w:rsid w:val="58ED0B26"/>
    <w:rsid w:val="58F108E7"/>
    <w:rsid w:val="58F872B8"/>
    <w:rsid w:val="59064C3E"/>
    <w:rsid w:val="590A4B2A"/>
    <w:rsid w:val="590D6CAA"/>
    <w:rsid w:val="5927055F"/>
    <w:rsid w:val="5933201E"/>
    <w:rsid w:val="593E64CF"/>
    <w:rsid w:val="5948345C"/>
    <w:rsid w:val="595163EA"/>
    <w:rsid w:val="59596C16"/>
    <w:rsid w:val="595A2532"/>
    <w:rsid w:val="596C2C94"/>
    <w:rsid w:val="59751508"/>
    <w:rsid w:val="59766463"/>
    <w:rsid w:val="59776CEE"/>
    <w:rsid w:val="59831633"/>
    <w:rsid w:val="598F7DE8"/>
    <w:rsid w:val="59905842"/>
    <w:rsid w:val="599B5F4D"/>
    <w:rsid w:val="59A707B4"/>
    <w:rsid w:val="59A92200"/>
    <w:rsid w:val="59A938F5"/>
    <w:rsid w:val="59B932C7"/>
    <w:rsid w:val="59D83D6F"/>
    <w:rsid w:val="5A0A7FE2"/>
    <w:rsid w:val="5A17052C"/>
    <w:rsid w:val="5A2055AE"/>
    <w:rsid w:val="5A2258C4"/>
    <w:rsid w:val="5A370EBD"/>
    <w:rsid w:val="5A533CF2"/>
    <w:rsid w:val="5A5D0F8E"/>
    <w:rsid w:val="5A71524D"/>
    <w:rsid w:val="5A7B3A90"/>
    <w:rsid w:val="5A7E024A"/>
    <w:rsid w:val="5A987BAB"/>
    <w:rsid w:val="5AA60BAC"/>
    <w:rsid w:val="5AB311C9"/>
    <w:rsid w:val="5AB90175"/>
    <w:rsid w:val="5ABC3D1F"/>
    <w:rsid w:val="5ACD5705"/>
    <w:rsid w:val="5ADA4DD9"/>
    <w:rsid w:val="5ADE1735"/>
    <w:rsid w:val="5AE14190"/>
    <w:rsid w:val="5AEA41EF"/>
    <w:rsid w:val="5AED4D1B"/>
    <w:rsid w:val="5AFA0B81"/>
    <w:rsid w:val="5B0667E1"/>
    <w:rsid w:val="5B0C205A"/>
    <w:rsid w:val="5B142782"/>
    <w:rsid w:val="5B1B6E89"/>
    <w:rsid w:val="5B2464A6"/>
    <w:rsid w:val="5B3275B4"/>
    <w:rsid w:val="5B445AE6"/>
    <w:rsid w:val="5B4836C9"/>
    <w:rsid w:val="5B513E9C"/>
    <w:rsid w:val="5B514DEB"/>
    <w:rsid w:val="5B530290"/>
    <w:rsid w:val="5B636824"/>
    <w:rsid w:val="5B6827E2"/>
    <w:rsid w:val="5B8975C0"/>
    <w:rsid w:val="5B915F40"/>
    <w:rsid w:val="5BA2218E"/>
    <w:rsid w:val="5BB2217A"/>
    <w:rsid w:val="5BB67E51"/>
    <w:rsid w:val="5BD30245"/>
    <w:rsid w:val="5BD56CDE"/>
    <w:rsid w:val="5BE2361F"/>
    <w:rsid w:val="5BEE02E7"/>
    <w:rsid w:val="5BEF47C1"/>
    <w:rsid w:val="5BF17D0C"/>
    <w:rsid w:val="5BFB25E5"/>
    <w:rsid w:val="5C090BEE"/>
    <w:rsid w:val="5C0A6FAF"/>
    <w:rsid w:val="5C1867F1"/>
    <w:rsid w:val="5C1C492C"/>
    <w:rsid w:val="5C21404A"/>
    <w:rsid w:val="5C25339C"/>
    <w:rsid w:val="5C263D4B"/>
    <w:rsid w:val="5C390131"/>
    <w:rsid w:val="5C5A5670"/>
    <w:rsid w:val="5C5D5477"/>
    <w:rsid w:val="5C6B7105"/>
    <w:rsid w:val="5C7A45B1"/>
    <w:rsid w:val="5C8160F3"/>
    <w:rsid w:val="5C8E5DEE"/>
    <w:rsid w:val="5CA873A7"/>
    <w:rsid w:val="5CA90183"/>
    <w:rsid w:val="5CB635BF"/>
    <w:rsid w:val="5CC20DFA"/>
    <w:rsid w:val="5CD40E4F"/>
    <w:rsid w:val="5CD54C7D"/>
    <w:rsid w:val="5CF32FFA"/>
    <w:rsid w:val="5CF56340"/>
    <w:rsid w:val="5CF85C93"/>
    <w:rsid w:val="5CFB5E67"/>
    <w:rsid w:val="5D252F14"/>
    <w:rsid w:val="5D266143"/>
    <w:rsid w:val="5D273F0E"/>
    <w:rsid w:val="5D30257F"/>
    <w:rsid w:val="5D337242"/>
    <w:rsid w:val="5D4323BA"/>
    <w:rsid w:val="5D4438AC"/>
    <w:rsid w:val="5D5570D8"/>
    <w:rsid w:val="5D6867C2"/>
    <w:rsid w:val="5D6D043B"/>
    <w:rsid w:val="5D7B7978"/>
    <w:rsid w:val="5D8029E1"/>
    <w:rsid w:val="5D9005D7"/>
    <w:rsid w:val="5D911BAE"/>
    <w:rsid w:val="5D987AAD"/>
    <w:rsid w:val="5DAA624E"/>
    <w:rsid w:val="5DCB1A6E"/>
    <w:rsid w:val="5DD2414E"/>
    <w:rsid w:val="5DD9558B"/>
    <w:rsid w:val="5DEB2216"/>
    <w:rsid w:val="5DEB69A3"/>
    <w:rsid w:val="5DEC06AE"/>
    <w:rsid w:val="5E1D27F8"/>
    <w:rsid w:val="5E1E1B75"/>
    <w:rsid w:val="5E292CF7"/>
    <w:rsid w:val="5E2D14D0"/>
    <w:rsid w:val="5E3D6A8F"/>
    <w:rsid w:val="5E430351"/>
    <w:rsid w:val="5E4A5FE4"/>
    <w:rsid w:val="5E4D3114"/>
    <w:rsid w:val="5E4F4216"/>
    <w:rsid w:val="5E8055D0"/>
    <w:rsid w:val="5E8D1FF4"/>
    <w:rsid w:val="5EA45F47"/>
    <w:rsid w:val="5EAB08F3"/>
    <w:rsid w:val="5EB52993"/>
    <w:rsid w:val="5EB76232"/>
    <w:rsid w:val="5EBC155B"/>
    <w:rsid w:val="5EBC4211"/>
    <w:rsid w:val="5ED07A20"/>
    <w:rsid w:val="5EFD5A0F"/>
    <w:rsid w:val="5F2E499A"/>
    <w:rsid w:val="5F3122A3"/>
    <w:rsid w:val="5F360C0E"/>
    <w:rsid w:val="5F404958"/>
    <w:rsid w:val="5F4B32CC"/>
    <w:rsid w:val="5F533B70"/>
    <w:rsid w:val="5F550DB6"/>
    <w:rsid w:val="5F6164EB"/>
    <w:rsid w:val="5F7C6067"/>
    <w:rsid w:val="5F8B495D"/>
    <w:rsid w:val="5F8E2724"/>
    <w:rsid w:val="5FA87699"/>
    <w:rsid w:val="5FAF4F7E"/>
    <w:rsid w:val="5FB44D11"/>
    <w:rsid w:val="5FC1057D"/>
    <w:rsid w:val="5FC55335"/>
    <w:rsid w:val="5FC82D88"/>
    <w:rsid w:val="5FCA26AD"/>
    <w:rsid w:val="5FD52C22"/>
    <w:rsid w:val="5FDC2ED2"/>
    <w:rsid w:val="5FF0454F"/>
    <w:rsid w:val="600370A2"/>
    <w:rsid w:val="600D6003"/>
    <w:rsid w:val="6015333F"/>
    <w:rsid w:val="603F1449"/>
    <w:rsid w:val="60450734"/>
    <w:rsid w:val="607274A8"/>
    <w:rsid w:val="607E1D32"/>
    <w:rsid w:val="60894A24"/>
    <w:rsid w:val="609E7C26"/>
    <w:rsid w:val="609F096F"/>
    <w:rsid w:val="60A71967"/>
    <w:rsid w:val="60B54B7D"/>
    <w:rsid w:val="60BE6659"/>
    <w:rsid w:val="60C02195"/>
    <w:rsid w:val="60CC1515"/>
    <w:rsid w:val="60D1769E"/>
    <w:rsid w:val="60E04A72"/>
    <w:rsid w:val="611F3F45"/>
    <w:rsid w:val="61485C2D"/>
    <w:rsid w:val="614E6A0A"/>
    <w:rsid w:val="61767BAF"/>
    <w:rsid w:val="619175F3"/>
    <w:rsid w:val="61974DB3"/>
    <w:rsid w:val="61B34BC2"/>
    <w:rsid w:val="61C911EB"/>
    <w:rsid w:val="61EE2504"/>
    <w:rsid w:val="6201736A"/>
    <w:rsid w:val="62090792"/>
    <w:rsid w:val="621060E9"/>
    <w:rsid w:val="621B5D91"/>
    <w:rsid w:val="6242529D"/>
    <w:rsid w:val="626508E4"/>
    <w:rsid w:val="626E2BFB"/>
    <w:rsid w:val="627C2006"/>
    <w:rsid w:val="627E1E87"/>
    <w:rsid w:val="6290391F"/>
    <w:rsid w:val="62974EAD"/>
    <w:rsid w:val="62A56724"/>
    <w:rsid w:val="62B154E5"/>
    <w:rsid w:val="62B35CB3"/>
    <w:rsid w:val="62C439C8"/>
    <w:rsid w:val="62C44195"/>
    <w:rsid w:val="62D45D8B"/>
    <w:rsid w:val="62DA73F9"/>
    <w:rsid w:val="62F70AD2"/>
    <w:rsid w:val="63220955"/>
    <w:rsid w:val="633D4282"/>
    <w:rsid w:val="63426C8E"/>
    <w:rsid w:val="634C30E7"/>
    <w:rsid w:val="63562CBB"/>
    <w:rsid w:val="635F3C5A"/>
    <w:rsid w:val="636C2384"/>
    <w:rsid w:val="63892771"/>
    <w:rsid w:val="63A87F52"/>
    <w:rsid w:val="63AB0146"/>
    <w:rsid w:val="63AB5A62"/>
    <w:rsid w:val="63AF5133"/>
    <w:rsid w:val="63BC41FD"/>
    <w:rsid w:val="63D53C9D"/>
    <w:rsid w:val="63E31ED9"/>
    <w:rsid w:val="640D195A"/>
    <w:rsid w:val="64175138"/>
    <w:rsid w:val="64255C82"/>
    <w:rsid w:val="643A72A2"/>
    <w:rsid w:val="64404F7E"/>
    <w:rsid w:val="6440515E"/>
    <w:rsid w:val="644D4E44"/>
    <w:rsid w:val="64550F3E"/>
    <w:rsid w:val="64570CEC"/>
    <w:rsid w:val="646038FE"/>
    <w:rsid w:val="64665718"/>
    <w:rsid w:val="646976F8"/>
    <w:rsid w:val="64790749"/>
    <w:rsid w:val="64880CA1"/>
    <w:rsid w:val="649B7D74"/>
    <w:rsid w:val="649C36D2"/>
    <w:rsid w:val="649E3241"/>
    <w:rsid w:val="649F0A49"/>
    <w:rsid w:val="64A63270"/>
    <w:rsid w:val="64D1471D"/>
    <w:rsid w:val="64E23BBE"/>
    <w:rsid w:val="64EB7A75"/>
    <w:rsid w:val="64EE266A"/>
    <w:rsid w:val="64F00162"/>
    <w:rsid w:val="64F673F0"/>
    <w:rsid w:val="650B2457"/>
    <w:rsid w:val="650E2AFD"/>
    <w:rsid w:val="652821A3"/>
    <w:rsid w:val="65414283"/>
    <w:rsid w:val="654F1A55"/>
    <w:rsid w:val="655700A1"/>
    <w:rsid w:val="655D438C"/>
    <w:rsid w:val="656061BF"/>
    <w:rsid w:val="6573733C"/>
    <w:rsid w:val="658B0085"/>
    <w:rsid w:val="65AB5FC6"/>
    <w:rsid w:val="65B26C3D"/>
    <w:rsid w:val="65BE0513"/>
    <w:rsid w:val="65CB3662"/>
    <w:rsid w:val="65EC44EA"/>
    <w:rsid w:val="65EC7B19"/>
    <w:rsid w:val="66024B15"/>
    <w:rsid w:val="660D43C1"/>
    <w:rsid w:val="662349C5"/>
    <w:rsid w:val="6625279D"/>
    <w:rsid w:val="66523487"/>
    <w:rsid w:val="66782B20"/>
    <w:rsid w:val="66846223"/>
    <w:rsid w:val="66915851"/>
    <w:rsid w:val="669C3F6B"/>
    <w:rsid w:val="66A55D3E"/>
    <w:rsid w:val="66AE17D0"/>
    <w:rsid w:val="66AE3877"/>
    <w:rsid w:val="66B62474"/>
    <w:rsid w:val="66BB2590"/>
    <w:rsid w:val="66C0290A"/>
    <w:rsid w:val="66D21B90"/>
    <w:rsid w:val="66D258DA"/>
    <w:rsid w:val="66E677C6"/>
    <w:rsid w:val="67163637"/>
    <w:rsid w:val="672A7C97"/>
    <w:rsid w:val="672D0D71"/>
    <w:rsid w:val="67306F9B"/>
    <w:rsid w:val="673933CD"/>
    <w:rsid w:val="674246CC"/>
    <w:rsid w:val="6772059E"/>
    <w:rsid w:val="678845A0"/>
    <w:rsid w:val="679A06B9"/>
    <w:rsid w:val="67A03501"/>
    <w:rsid w:val="67A943B2"/>
    <w:rsid w:val="67B02CE9"/>
    <w:rsid w:val="67C430C8"/>
    <w:rsid w:val="67CB3518"/>
    <w:rsid w:val="67DC0D0D"/>
    <w:rsid w:val="67FA0425"/>
    <w:rsid w:val="68087EB2"/>
    <w:rsid w:val="681B365E"/>
    <w:rsid w:val="68397AD8"/>
    <w:rsid w:val="68485F56"/>
    <w:rsid w:val="68557FA7"/>
    <w:rsid w:val="686041F1"/>
    <w:rsid w:val="686A5375"/>
    <w:rsid w:val="687B1CBD"/>
    <w:rsid w:val="688E5CA0"/>
    <w:rsid w:val="689B2220"/>
    <w:rsid w:val="689D2A7D"/>
    <w:rsid w:val="68AD1B48"/>
    <w:rsid w:val="68B12758"/>
    <w:rsid w:val="68B1391D"/>
    <w:rsid w:val="68BC6494"/>
    <w:rsid w:val="68BD08B7"/>
    <w:rsid w:val="68CA3301"/>
    <w:rsid w:val="68CB3F3E"/>
    <w:rsid w:val="68DA7388"/>
    <w:rsid w:val="68FF625B"/>
    <w:rsid w:val="69137A17"/>
    <w:rsid w:val="692B5F06"/>
    <w:rsid w:val="69335AED"/>
    <w:rsid w:val="69347445"/>
    <w:rsid w:val="694861CB"/>
    <w:rsid w:val="694B1DB1"/>
    <w:rsid w:val="69551958"/>
    <w:rsid w:val="696541E8"/>
    <w:rsid w:val="69796A84"/>
    <w:rsid w:val="697A61B2"/>
    <w:rsid w:val="6983797C"/>
    <w:rsid w:val="6988204C"/>
    <w:rsid w:val="698F4266"/>
    <w:rsid w:val="69902233"/>
    <w:rsid w:val="69AA6ECC"/>
    <w:rsid w:val="69B924AD"/>
    <w:rsid w:val="69BE5691"/>
    <w:rsid w:val="69BF1728"/>
    <w:rsid w:val="69CD1C31"/>
    <w:rsid w:val="69D100A0"/>
    <w:rsid w:val="69E0631E"/>
    <w:rsid w:val="69EC6DB1"/>
    <w:rsid w:val="69ED3D35"/>
    <w:rsid w:val="6A080597"/>
    <w:rsid w:val="6A0A4563"/>
    <w:rsid w:val="6A0C7FDD"/>
    <w:rsid w:val="6A0E4427"/>
    <w:rsid w:val="6A2C21C7"/>
    <w:rsid w:val="6A2E464A"/>
    <w:rsid w:val="6A3A1D84"/>
    <w:rsid w:val="6A3E0066"/>
    <w:rsid w:val="6A481373"/>
    <w:rsid w:val="6A801B4B"/>
    <w:rsid w:val="6A861887"/>
    <w:rsid w:val="6A8A7300"/>
    <w:rsid w:val="6AAB7CC0"/>
    <w:rsid w:val="6AB12FD3"/>
    <w:rsid w:val="6AB73845"/>
    <w:rsid w:val="6AF12086"/>
    <w:rsid w:val="6AF12943"/>
    <w:rsid w:val="6AF82032"/>
    <w:rsid w:val="6AF97738"/>
    <w:rsid w:val="6B012CA5"/>
    <w:rsid w:val="6B0D207F"/>
    <w:rsid w:val="6B123027"/>
    <w:rsid w:val="6B163482"/>
    <w:rsid w:val="6B221150"/>
    <w:rsid w:val="6B236D57"/>
    <w:rsid w:val="6B2C4F98"/>
    <w:rsid w:val="6B4E00D0"/>
    <w:rsid w:val="6B5824F4"/>
    <w:rsid w:val="6B653CF4"/>
    <w:rsid w:val="6B975E82"/>
    <w:rsid w:val="6BB714F7"/>
    <w:rsid w:val="6BBD0A4F"/>
    <w:rsid w:val="6BC213D6"/>
    <w:rsid w:val="6BD67679"/>
    <w:rsid w:val="6BDC1617"/>
    <w:rsid w:val="6BE226B8"/>
    <w:rsid w:val="6C010F72"/>
    <w:rsid w:val="6C2E30CA"/>
    <w:rsid w:val="6C4273B4"/>
    <w:rsid w:val="6C642302"/>
    <w:rsid w:val="6C6F4B15"/>
    <w:rsid w:val="6C7F2886"/>
    <w:rsid w:val="6C837B00"/>
    <w:rsid w:val="6C8666B4"/>
    <w:rsid w:val="6C8863F5"/>
    <w:rsid w:val="6CB05F8C"/>
    <w:rsid w:val="6CB74819"/>
    <w:rsid w:val="6CDF743A"/>
    <w:rsid w:val="6CF806AC"/>
    <w:rsid w:val="6D0624F9"/>
    <w:rsid w:val="6D1508EC"/>
    <w:rsid w:val="6D1D422D"/>
    <w:rsid w:val="6D203794"/>
    <w:rsid w:val="6D224475"/>
    <w:rsid w:val="6D275CDF"/>
    <w:rsid w:val="6D330A37"/>
    <w:rsid w:val="6D3E40D3"/>
    <w:rsid w:val="6D4B7D34"/>
    <w:rsid w:val="6D5C50E7"/>
    <w:rsid w:val="6D5E5794"/>
    <w:rsid w:val="6D603EB8"/>
    <w:rsid w:val="6D6166D2"/>
    <w:rsid w:val="6D670158"/>
    <w:rsid w:val="6D71248B"/>
    <w:rsid w:val="6D741595"/>
    <w:rsid w:val="6D7B14D7"/>
    <w:rsid w:val="6D7C1EA8"/>
    <w:rsid w:val="6D990228"/>
    <w:rsid w:val="6DB416C5"/>
    <w:rsid w:val="6DB94F62"/>
    <w:rsid w:val="6DC876EF"/>
    <w:rsid w:val="6DD553A5"/>
    <w:rsid w:val="6DD77BEF"/>
    <w:rsid w:val="6DDE5C10"/>
    <w:rsid w:val="6DE102C7"/>
    <w:rsid w:val="6DF72224"/>
    <w:rsid w:val="6DFA5669"/>
    <w:rsid w:val="6E233358"/>
    <w:rsid w:val="6E234395"/>
    <w:rsid w:val="6E3B1821"/>
    <w:rsid w:val="6E446480"/>
    <w:rsid w:val="6E6003EB"/>
    <w:rsid w:val="6E61194B"/>
    <w:rsid w:val="6E6A38C8"/>
    <w:rsid w:val="6E6B47F8"/>
    <w:rsid w:val="6E757478"/>
    <w:rsid w:val="6EA839A4"/>
    <w:rsid w:val="6EA94D92"/>
    <w:rsid w:val="6EC53098"/>
    <w:rsid w:val="6EDA61D0"/>
    <w:rsid w:val="6EE0056D"/>
    <w:rsid w:val="6EE52903"/>
    <w:rsid w:val="6EE62BBB"/>
    <w:rsid w:val="6EF77881"/>
    <w:rsid w:val="6F06168F"/>
    <w:rsid w:val="6F0A6377"/>
    <w:rsid w:val="6F1A52D0"/>
    <w:rsid w:val="6F207604"/>
    <w:rsid w:val="6F3B64C4"/>
    <w:rsid w:val="6F3B65A7"/>
    <w:rsid w:val="6F61173F"/>
    <w:rsid w:val="6F6905BD"/>
    <w:rsid w:val="6F6E23E9"/>
    <w:rsid w:val="6F7464C9"/>
    <w:rsid w:val="6F8F67A4"/>
    <w:rsid w:val="6F9A0097"/>
    <w:rsid w:val="6F9E2622"/>
    <w:rsid w:val="6FCB0C76"/>
    <w:rsid w:val="6FD57AD5"/>
    <w:rsid w:val="6FF6494A"/>
    <w:rsid w:val="70016834"/>
    <w:rsid w:val="70060D8D"/>
    <w:rsid w:val="700F21BB"/>
    <w:rsid w:val="701E4887"/>
    <w:rsid w:val="702448D7"/>
    <w:rsid w:val="70340715"/>
    <w:rsid w:val="704F204F"/>
    <w:rsid w:val="70752041"/>
    <w:rsid w:val="70841E33"/>
    <w:rsid w:val="70CB70BF"/>
    <w:rsid w:val="70D51DA6"/>
    <w:rsid w:val="70D54F08"/>
    <w:rsid w:val="70DA7A83"/>
    <w:rsid w:val="70F44709"/>
    <w:rsid w:val="70FB6954"/>
    <w:rsid w:val="71055C76"/>
    <w:rsid w:val="711D52F7"/>
    <w:rsid w:val="712430C0"/>
    <w:rsid w:val="715759B4"/>
    <w:rsid w:val="715E2631"/>
    <w:rsid w:val="71713004"/>
    <w:rsid w:val="718E04D7"/>
    <w:rsid w:val="719B1367"/>
    <w:rsid w:val="719B2906"/>
    <w:rsid w:val="71A834BF"/>
    <w:rsid w:val="71B81C2A"/>
    <w:rsid w:val="71B95578"/>
    <w:rsid w:val="71BB187C"/>
    <w:rsid w:val="71F95426"/>
    <w:rsid w:val="72271171"/>
    <w:rsid w:val="722F70D2"/>
    <w:rsid w:val="724135CD"/>
    <w:rsid w:val="724455CE"/>
    <w:rsid w:val="7253459A"/>
    <w:rsid w:val="725B2FBB"/>
    <w:rsid w:val="729006DF"/>
    <w:rsid w:val="72954D9D"/>
    <w:rsid w:val="72B320E2"/>
    <w:rsid w:val="72B9100D"/>
    <w:rsid w:val="72C447B9"/>
    <w:rsid w:val="72C47C33"/>
    <w:rsid w:val="72CB4C7C"/>
    <w:rsid w:val="72D3121C"/>
    <w:rsid w:val="72DE37BE"/>
    <w:rsid w:val="72DE5E7B"/>
    <w:rsid w:val="72E417AC"/>
    <w:rsid w:val="72F04B21"/>
    <w:rsid w:val="730F035A"/>
    <w:rsid w:val="731C61E0"/>
    <w:rsid w:val="73243B86"/>
    <w:rsid w:val="735B3B3B"/>
    <w:rsid w:val="73677C04"/>
    <w:rsid w:val="73685CF4"/>
    <w:rsid w:val="737252B2"/>
    <w:rsid w:val="737E7103"/>
    <w:rsid w:val="739114F7"/>
    <w:rsid w:val="739D2257"/>
    <w:rsid w:val="73AC5D08"/>
    <w:rsid w:val="73B1066F"/>
    <w:rsid w:val="73BC4E6F"/>
    <w:rsid w:val="73C36E5F"/>
    <w:rsid w:val="73CA38CE"/>
    <w:rsid w:val="73D42FBA"/>
    <w:rsid w:val="73E8383D"/>
    <w:rsid w:val="73EC25A5"/>
    <w:rsid w:val="741F0CD3"/>
    <w:rsid w:val="742E1578"/>
    <w:rsid w:val="7430195B"/>
    <w:rsid w:val="74363C39"/>
    <w:rsid w:val="74406AF5"/>
    <w:rsid w:val="744907C7"/>
    <w:rsid w:val="74514139"/>
    <w:rsid w:val="745B522D"/>
    <w:rsid w:val="74780C95"/>
    <w:rsid w:val="74785A1E"/>
    <w:rsid w:val="748F5F65"/>
    <w:rsid w:val="749032CC"/>
    <w:rsid w:val="74927983"/>
    <w:rsid w:val="7494517F"/>
    <w:rsid w:val="74985712"/>
    <w:rsid w:val="74B322A4"/>
    <w:rsid w:val="74B4137F"/>
    <w:rsid w:val="74CA5B69"/>
    <w:rsid w:val="74CB0543"/>
    <w:rsid w:val="74D01DBB"/>
    <w:rsid w:val="74DD79BC"/>
    <w:rsid w:val="750C0456"/>
    <w:rsid w:val="75105F72"/>
    <w:rsid w:val="75217BEE"/>
    <w:rsid w:val="753507FD"/>
    <w:rsid w:val="7548526E"/>
    <w:rsid w:val="755D1427"/>
    <w:rsid w:val="75696F62"/>
    <w:rsid w:val="756F711B"/>
    <w:rsid w:val="75750FF4"/>
    <w:rsid w:val="757812E5"/>
    <w:rsid w:val="757C396E"/>
    <w:rsid w:val="758D648D"/>
    <w:rsid w:val="759C3A8F"/>
    <w:rsid w:val="75A518B9"/>
    <w:rsid w:val="75AD3CED"/>
    <w:rsid w:val="75B06276"/>
    <w:rsid w:val="75B35EB4"/>
    <w:rsid w:val="75B44AC6"/>
    <w:rsid w:val="75B77559"/>
    <w:rsid w:val="75C5230F"/>
    <w:rsid w:val="75D15665"/>
    <w:rsid w:val="75D727C0"/>
    <w:rsid w:val="75E97055"/>
    <w:rsid w:val="75F91C32"/>
    <w:rsid w:val="7601720F"/>
    <w:rsid w:val="76021DBC"/>
    <w:rsid w:val="762D7D33"/>
    <w:rsid w:val="7634789A"/>
    <w:rsid w:val="763A3749"/>
    <w:rsid w:val="763B10A0"/>
    <w:rsid w:val="76403987"/>
    <w:rsid w:val="7675556C"/>
    <w:rsid w:val="767C2E50"/>
    <w:rsid w:val="768D58B1"/>
    <w:rsid w:val="769B2708"/>
    <w:rsid w:val="76B073D5"/>
    <w:rsid w:val="76BD43E0"/>
    <w:rsid w:val="76BF3E4C"/>
    <w:rsid w:val="76EA3F21"/>
    <w:rsid w:val="76ED02D3"/>
    <w:rsid w:val="76EE06AF"/>
    <w:rsid w:val="76F81221"/>
    <w:rsid w:val="77076F6D"/>
    <w:rsid w:val="770A3A07"/>
    <w:rsid w:val="771234C4"/>
    <w:rsid w:val="77170F5B"/>
    <w:rsid w:val="77181EC2"/>
    <w:rsid w:val="771C0BF1"/>
    <w:rsid w:val="772E20AC"/>
    <w:rsid w:val="77305F49"/>
    <w:rsid w:val="77336A0E"/>
    <w:rsid w:val="774D217E"/>
    <w:rsid w:val="77526E33"/>
    <w:rsid w:val="776E5317"/>
    <w:rsid w:val="776F7D84"/>
    <w:rsid w:val="777B5177"/>
    <w:rsid w:val="777F395D"/>
    <w:rsid w:val="77C6573A"/>
    <w:rsid w:val="77CB4C5C"/>
    <w:rsid w:val="77D51A8E"/>
    <w:rsid w:val="77E22D51"/>
    <w:rsid w:val="77E4726F"/>
    <w:rsid w:val="77F27021"/>
    <w:rsid w:val="780E1CA0"/>
    <w:rsid w:val="781A1787"/>
    <w:rsid w:val="78215C40"/>
    <w:rsid w:val="783059EB"/>
    <w:rsid w:val="783821AE"/>
    <w:rsid w:val="78480A61"/>
    <w:rsid w:val="78545BBE"/>
    <w:rsid w:val="78601F68"/>
    <w:rsid w:val="787275D9"/>
    <w:rsid w:val="787B0DCF"/>
    <w:rsid w:val="788B7505"/>
    <w:rsid w:val="78924874"/>
    <w:rsid w:val="78947B23"/>
    <w:rsid w:val="78B478E3"/>
    <w:rsid w:val="78BB032F"/>
    <w:rsid w:val="78C7125C"/>
    <w:rsid w:val="78CA2953"/>
    <w:rsid w:val="78CC561E"/>
    <w:rsid w:val="78E41ADF"/>
    <w:rsid w:val="78E728C7"/>
    <w:rsid w:val="7907297C"/>
    <w:rsid w:val="791F6C7D"/>
    <w:rsid w:val="79210095"/>
    <w:rsid w:val="79224E89"/>
    <w:rsid w:val="792567C9"/>
    <w:rsid w:val="795B263E"/>
    <w:rsid w:val="79603ED3"/>
    <w:rsid w:val="7962458B"/>
    <w:rsid w:val="79632712"/>
    <w:rsid w:val="79742809"/>
    <w:rsid w:val="79791BE0"/>
    <w:rsid w:val="797A1037"/>
    <w:rsid w:val="797A71D9"/>
    <w:rsid w:val="798D7918"/>
    <w:rsid w:val="79972548"/>
    <w:rsid w:val="79A25D11"/>
    <w:rsid w:val="79A64D33"/>
    <w:rsid w:val="79B12C30"/>
    <w:rsid w:val="79B35276"/>
    <w:rsid w:val="79BB1597"/>
    <w:rsid w:val="79CD5518"/>
    <w:rsid w:val="79F4305B"/>
    <w:rsid w:val="79FE21D8"/>
    <w:rsid w:val="7A0A7300"/>
    <w:rsid w:val="7A135C14"/>
    <w:rsid w:val="7A237262"/>
    <w:rsid w:val="7A286AF6"/>
    <w:rsid w:val="7A3962A0"/>
    <w:rsid w:val="7A41263C"/>
    <w:rsid w:val="7A6E4807"/>
    <w:rsid w:val="7A794DD9"/>
    <w:rsid w:val="7A8E3C35"/>
    <w:rsid w:val="7AA13E0C"/>
    <w:rsid w:val="7AA35BB3"/>
    <w:rsid w:val="7AB51461"/>
    <w:rsid w:val="7AD232FC"/>
    <w:rsid w:val="7ADA1E89"/>
    <w:rsid w:val="7AEE0A2D"/>
    <w:rsid w:val="7B1025D9"/>
    <w:rsid w:val="7B14264E"/>
    <w:rsid w:val="7B1F349B"/>
    <w:rsid w:val="7B252358"/>
    <w:rsid w:val="7B5D278A"/>
    <w:rsid w:val="7B674B3A"/>
    <w:rsid w:val="7B705E50"/>
    <w:rsid w:val="7B7FD052"/>
    <w:rsid w:val="7B827262"/>
    <w:rsid w:val="7B9039D2"/>
    <w:rsid w:val="7B9D4961"/>
    <w:rsid w:val="7BAC0F6E"/>
    <w:rsid w:val="7BC71C06"/>
    <w:rsid w:val="7BD86C24"/>
    <w:rsid w:val="7BE079E9"/>
    <w:rsid w:val="7BFF713C"/>
    <w:rsid w:val="7C0D1262"/>
    <w:rsid w:val="7C153FE8"/>
    <w:rsid w:val="7C27052B"/>
    <w:rsid w:val="7C287741"/>
    <w:rsid w:val="7C632D1F"/>
    <w:rsid w:val="7C6933D6"/>
    <w:rsid w:val="7C6D19AA"/>
    <w:rsid w:val="7C7810E5"/>
    <w:rsid w:val="7C9165F2"/>
    <w:rsid w:val="7C93131E"/>
    <w:rsid w:val="7CA06C10"/>
    <w:rsid w:val="7CA33C00"/>
    <w:rsid w:val="7CAD735B"/>
    <w:rsid w:val="7CB07835"/>
    <w:rsid w:val="7CD461A1"/>
    <w:rsid w:val="7CD90214"/>
    <w:rsid w:val="7CFF16F0"/>
    <w:rsid w:val="7D13673A"/>
    <w:rsid w:val="7D2952ED"/>
    <w:rsid w:val="7D2C1634"/>
    <w:rsid w:val="7D353E13"/>
    <w:rsid w:val="7D520CD6"/>
    <w:rsid w:val="7D651D3D"/>
    <w:rsid w:val="7D6A0D92"/>
    <w:rsid w:val="7D7458B9"/>
    <w:rsid w:val="7D763BE4"/>
    <w:rsid w:val="7D883A37"/>
    <w:rsid w:val="7D905874"/>
    <w:rsid w:val="7DB4371E"/>
    <w:rsid w:val="7DBF488F"/>
    <w:rsid w:val="7DC63BE0"/>
    <w:rsid w:val="7DF27C61"/>
    <w:rsid w:val="7DF44F38"/>
    <w:rsid w:val="7E111043"/>
    <w:rsid w:val="7E150718"/>
    <w:rsid w:val="7E1E0CB5"/>
    <w:rsid w:val="7E1E5F5F"/>
    <w:rsid w:val="7E3F5B57"/>
    <w:rsid w:val="7E531A40"/>
    <w:rsid w:val="7E5349E1"/>
    <w:rsid w:val="7E5B0DD6"/>
    <w:rsid w:val="7E5D261E"/>
    <w:rsid w:val="7E657EBA"/>
    <w:rsid w:val="7E675962"/>
    <w:rsid w:val="7E6A4FE7"/>
    <w:rsid w:val="7E6C6D77"/>
    <w:rsid w:val="7E7212F5"/>
    <w:rsid w:val="7E9021B1"/>
    <w:rsid w:val="7EA415EA"/>
    <w:rsid w:val="7ECD500F"/>
    <w:rsid w:val="7F0161AF"/>
    <w:rsid w:val="7F1973E4"/>
    <w:rsid w:val="7F3463FE"/>
    <w:rsid w:val="7F392E61"/>
    <w:rsid w:val="7F850686"/>
    <w:rsid w:val="7FB87B87"/>
    <w:rsid w:val="7FC67167"/>
    <w:rsid w:val="7FD30163"/>
    <w:rsid w:val="7FDD2289"/>
    <w:rsid w:val="7FE75191"/>
    <w:rsid w:val="7FE91492"/>
    <w:rsid w:val="B7BB1524"/>
    <w:rsid w:val="DE2E8E44"/>
    <w:rsid w:val="E57F913D"/>
    <w:rsid w:val="EDF97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2"/>
      <w:lang w:val="en-US" w:eastAsia="zh-CN" w:bidi="ar-SA"/>
    </w:rPr>
  </w:style>
  <w:style w:type="paragraph" w:styleId="3">
    <w:name w:val="heading 1"/>
    <w:basedOn w:val="1"/>
    <w:next w:val="1"/>
    <w:link w:val="14"/>
    <w:qFormat/>
    <w:uiPriority w:val="0"/>
    <w:pPr>
      <w:keepNext/>
      <w:keepLines/>
      <w:snapToGrid w:val="0"/>
      <w:spacing w:before="100" w:beforeLines="100" w:after="0" w:afterLines="0" w:line="360" w:lineRule="auto"/>
      <w:outlineLvl w:val="0"/>
    </w:pPr>
    <w:rPr>
      <w:rFonts w:ascii="宋体" w:hAnsi="宋体" w:eastAsia="宋体" w:cs="宋体"/>
      <w:b/>
      <w:bCs/>
      <w:kern w:val="44"/>
      <w:szCs w:val="21"/>
    </w:rPr>
  </w:style>
  <w:style w:type="paragraph" w:styleId="4">
    <w:name w:val="heading 2"/>
    <w:basedOn w:val="1"/>
    <w:next w:val="1"/>
    <w:link w:val="13"/>
    <w:semiHidden/>
    <w:unhideWhenUsed/>
    <w:qFormat/>
    <w:uiPriority w:val="0"/>
    <w:pPr>
      <w:keepLines/>
      <w:adjustRightInd w:val="0"/>
      <w:snapToGrid w:val="0"/>
      <w:spacing w:line="360" w:lineRule="auto"/>
      <w:ind w:left="0"/>
      <w:outlineLvl w:val="1"/>
    </w:pPr>
    <w:rPr>
      <w:rFonts w:ascii="宋体" w:hAnsi="宋体" w:eastAsia="宋体" w:cs="宋体"/>
      <w:b/>
      <w:bCs/>
      <w:szCs w:val="21"/>
    </w:rPr>
  </w:style>
  <w:style w:type="character" w:default="1" w:styleId="11">
    <w:name w:val="Default Paragraph Font"/>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5">
    <w:name w:val="annotation text"/>
    <w:basedOn w:val="1"/>
    <w:qFormat/>
    <w:uiPriority w:val="0"/>
    <w:pPr>
      <w:jc w:val="left"/>
    </w:pPr>
  </w:style>
  <w:style w:type="paragraph" w:styleId="6">
    <w:name w:val="Plain Text"/>
    <w:basedOn w:val="1"/>
    <w:qFormat/>
    <w:uiPriority w:val="0"/>
    <w:rPr>
      <w:rFonts w:ascii="宋体" w:hAnsi="Courier New" w:cs="Times New Roman"/>
      <w:szCs w:val="24"/>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2"/>
    <w:basedOn w:val="1"/>
    <w:next w:val="1"/>
    <w:qFormat/>
    <w:uiPriority w:val="39"/>
    <w:pPr>
      <w:tabs>
        <w:tab w:val="left" w:pos="900"/>
        <w:tab w:val="right" w:leader="dot" w:pos="8296"/>
      </w:tabs>
      <w:ind w:left="420" w:leftChars="200"/>
    </w:pPr>
    <w:rPr>
      <w:rFonts w:ascii="Times New Roman" w:hAnsi="Times New Roman" w:cs="Times New Roman"/>
      <w:szCs w:val="24"/>
    </w:rPr>
  </w:style>
  <w:style w:type="character" w:styleId="12">
    <w:name w:val="Hyperlink"/>
    <w:qFormat/>
    <w:uiPriority w:val="99"/>
    <w:rPr>
      <w:color w:val="0000FF"/>
      <w:u w:val="single"/>
    </w:rPr>
  </w:style>
  <w:style w:type="character" w:customStyle="1" w:styleId="13">
    <w:name w:val="标题 2 Char"/>
    <w:basedOn w:val="11"/>
    <w:link w:val="4"/>
    <w:qFormat/>
    <w:uiPriority w:val="9"/>
    <w:rPr>
      <w:rFonts w:ascii="宋体" w:hAnsi="宋体" w:eastAsia="宋体" w:cs="宋体"/>
      <w:b/>
      <w:bCs/>
      <w:szCs w:val="32"/>
    </w:rPr>
  </w:style>
  <w:style w:type="character" w:customStyle="1" w:styleId="14">
    <w:name w:val="标题 1 Char"/>
    <w:basedOn w:val="11"/>
    <w:link w:val="3"/>
    <w:qFormat/>
    <w:uiPriority w:val="0"/>
    <w:rPr>
      <w:rFonts w:ascii="宋体" w:hAnsi="宋体" w:eastAsia="宋体" w:cs="宋体"/>
      <w:b/>
      <w:kern w:val="44"/>
      <w:sz w:val="24"/>
    </w:rPr>
  </w:style>
  <w:style w:type="paragraph" w:customStyle="1" w:styleId="15">
    <w:name w:val="首行缩进"/>
    <w:basedOn w:val="1"/>
    <w:qFormat/>
    <w:uiPriority w:val="0"/>
    <w:pPr>
      <w:spacing w:line="300" w:lineRule="auto"/>
      <w:ind w:firstLine="420" w:firstLineChars="200"/>
    </w:pPr>
    <w:rPr>
      <w:rFonts w:ascii="方正书宋简体" w:eastAsia="方正书宋简体"/>
    </w:rPr>
  </w:style>
  <w:style w:type="paragraph" w:customStyle="1" w:styleId="16">
    <w:name w:val="段"/>
    <w:qFormat/>
    <w:uiPriority w:val="0"/>
    <w:pPr>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14</Pages>
  <Words>526</Words>
  <Characters>840</Characters>
  <Lines>0</Lines>
  <Paragraphs>0</Paragraphs>
  <TotalTime>3</TotalTime>
  <ScaleCrop>false</ScaleCrop>
  <LinksUpToDate>false</LinksUpToDate>
  <CharactersWithSpaces>932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zhaoxinlei</dc:creator>
  <cp:lastModifiedBy>罗明昀</cp:lastModifiedBy>
  <dcterms:modified xsi:type="dcterms:W3CDTF">2026-05-18T01:15:05Z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84CF299DF75A4504BA9F02488E879065</vt:lpwstr>
  </property>
  <property fmtid="{D5CDD505-2E9C-101B-9397-08002B2CF9AE}" pid="4" name="KSOTemplateDocerSaveRecord">
    <vt:lpwstr>eyJoZGlkIjoiYWQzNWI2MDgzOTRmNzNkMWEyZmNkOWEwMGUwZjg0MmYiLCJ1c2VySWQiOiIyNjczNzk0NzMifQ==</vt:lpwstr>
  </property>
</Properties>
</file>