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left"/>
      </w:pPr>
      <w:bookmarkStart w:id="0" w:name="_Toc246216323"/>
      <w:r>
        <w:rPr>
          <w:rFonts w:eastAsia="黑体"/>
          <w:b/>
          <w:sz w:val="52"/>
          <w:szCs w:val="22"/>
        </w:rPr>
        <w:drawing>
          <wp:anchor distT="0" distB="0" distL="114300" distR="114300" simplePos="0" relativeHeight="251659264" behindDoc="1" locked="0" layoutInCell="1" allowOverlap="1">
            <wp:simplePos x="0" y="0"/>
            <wp:positionH relativeFrom="column">
              <wp:posOffset>-1136015</wp:posOffset>
            </wp:positionH>
            <wp:positionV relativeFrom="paragraph">
              <wp:posOffset>-914400</wp:posOffset>
            </wp:positionV>
            <wp:extent cx="7579995" cy="2327275"/>
            <wp:effectExtent l="0" t="0" r="0" b="0"/>
            <wp:wrapTight wrapText="bothSides">
              <wp:wrapPolygon>
                <wp:start x="0" y="0"/>
                <wp:lineTo x="0" y="21394"/>
                <wp:lineTo x="21551" y="21394"/>
                <wp:lineTo x="21551" y="0"/>
                <wp:lineTo x="0" y="0"/>
              </wp:wrapPolygon>
            </wp:wrapTight>
            <wp:docPr id="2" name="Picture 68"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8" descr="模板-3"/>
                    <pic:cNvPicPr>
                      <a:picLocks noChangeAspect="1"/>
                    </pic:cNvPicPr>
                  </pic:nvPicPr>
                  <pic:blipFill>
                    <a:blip r:embed="rId7"/>
                    <a:stretch>
                      <a:fillRect/>
                    </a:stretch>
                  </pic:blipFill>
                  <pic:spPr>
                    <a:xfrm>
                      <a:off x="0" y="0"/>
                      <a:ext cx="7579995" cy="2327275"/>
                    </a:xfrm>
                    <a:prstGeom prst="rect">
                      <a:avLst/>
                    </a:prstGeom>
                    <a:noFill/>
                    <a:ln w="9525">
                      <a:noFill/>
                    </a:ln>
                  </pic:spPr>
                </pic:pic>
              </a:graphicData>
            </a:graphic>
          </wp:anchor>
        </w:drawing>
      </w:r>
    </w:p>
    <w:p>
      <w:pPr>
        <w:spacing w:before="624" w:beforeLines="200"/>
        <w:rPr>
          <w:rFonts w:eastAsia="黑体"/>
          <w:b/>
          <w:sz w:val="52"/>
          <w:szCs w:val="22"/>
        </w:rPr>
      </w:pPr>
    </w:p>
    <w:p>
      <w:pPr>
        <w:jc w:val="center"/>
        <w:rPr>
          <w:rFonts w:hint="eastAsia" w:ascii="黑体" w:hAnsi="宋体" w:eastAsia="黑体"/>
          <w:b/>
          <w:color w:val="000000"/>
          <w:sz w:val="48"/>
          <w:szCs w:val="48"/>
        </w:rPr>
      </w:pPr>
      <w:r>
        <w:rPr>
          <w:rFonts w:hint="eastAsia" w:ascii="黑体" w:hAnsi="宋体" w:eastAsia="黑体"/>
          <w:b/>
          <w:color w:val="000000"/>
          <w:sz w:val="48"/>
          <w:szCs w:val="48"/>
          <w:lang w:eastAsia="zh-CN"/>
        </w:rPr>
        <w:t>架空线路故障监测</w:t>
      </w:r>
      <w:r>
        <w:rPr>
          <w:rFonts w:hint="eastAsia" w:ascii="黑体" w:hAnsi="宋体" w:eastAsia="黑体"/>
          <w:b/>
          <w:color w:val="000000"/>
          <w:sz w:val="48"/>
          <w:szCs w:val="48"/>
        </w:rPr>
        <w:t>装置</w:t>
      </w:r>
    </w:p>
    <w:p>
      <w:pPr>
        <w:spacing w:before="624" w:beforeLines="200"/>
        <w:ind w:left="2168" w:hanging="2168" w:hangingChars="450"/>
        <w:jc w:val="center"/>
        <w:rPr>
          <w:rFonts w:ascii="宋体" w:hAnsi="宋体"/>
          <w:sz w:val="32"/>
          <w:szCs w:val="32"/>
        </w:rPr>
      </w:pPr>
      <w:r>
        <w:rPr>
          <w:rFonts w:hint="eastAsia" w:ascii="黑体" w:hAnsi="宋体" w:eastAsia="黑体" w:cstheme="minorBidi"/>
          <w:b/>
          <w:color w:val="000000"/>
          <w:sz w:val="48"/>
          <w:szCs w:val="48"/>
          <w:lang w:val="en-US" w:eastAsia="zh-CN"/>
        </w:rPr>
        <w:t>技术规范</w:t>
      </w:r>
      <w:r>
        <w:rPr>
          <w:rFonts w:hint="eastAsia" w:ascii="黑体" w:hAnsi="宋体" w:eastAsia="黑体" w:cstheme="minorBidi"/>
          <w:b/>
          <w:color w:val="000000"/>
          <w:sz w:val="48"/>
          <w:szCs w:val="48"/>
        </w:rPr>
        <w:t>书</w:t>
      </w:r>
    </w:p>
    <w:p>
      <w:pPr>
        <w:spacing w:before="624" w:beforeLines="200"/>
        <w:jc w:val="center"/>
        <w:rPr>
          <w:rFonts w:ascii="宋体" w:hAnsi="宋体"/>
          <w:sz w:val="32"/>
          <w:szCs w:val="32"/>
        </w:rPr>
      </w:pPr>
      <w:r>
        <w:rPr>
          <w:rFonts w:hint="eastAsia" w:eastAsia="黑体"/>
          <w:b/>
          <w:color w:val="000000"/>
          <w:sz w:val="36"/>
        </w:rPr>
        <w:t>编号：010027100312</w:t>
      </w:r>
    </w:p>
    <w:p>
      <w:pPr>
        <w:rPr>
          <w:rFonts w:ascii="宋体" w:hAnsi="宋体"/>
          <w:sz w:val="32"/>
          <w:szCs w:val="32"/>
        </w:rPr>
      </w:pPr>
    </w:p>
    <w:p>
      <w:pPr>
        <w:rPr>
          <w:rFonts w:ascii="宋体" w:hAnsi="宋体"/>
          <w:sz w:val="32"/>
          <w:szCs w:val="32"/>
        </w:rPr>
      </w:pPr>
    </w:p>
    <w:p>
      <w:pPr>
        <w:rPr>
          <w:rFonts w:ascii="宋体" w:hAnsi="宋体"/>
          <w:sz w:val="32"/>
          <w:szCs w:val="32"/>
        </w:rPr>
      </w:pPr>
    </w:p>
    <w:p>
      <w:pPr>
        <w:rPr>
          <w:rFonts w:ascii="宋体" w:hAnsi="宋体"/>
          <w:sz w:val="32"/>
          <w:szCs w:val="32"/>
        </w:rPr>
      </w:pPr>
    </w:p>
    <w:p>
      <w:pPr>
        <w:rPr>
          <w:rFonts w:ascii="宋体" w:hAnsi="宋体"/>
          <w:sz w:val="32"/>
          <w:szCs w:val="32"/>
        </w:rPr>
      </w:pPr>
    </w:p>
    <w:p>
      <w:pPr>
        <w:spacing w:before="624" w:beforeLines="200"/>
        <w:jc w:val="center"/>
        <w:rPr>
          <w:rFonts w:ascii="宋体" w:hAnsi="宋体"/>
          <w:sz w:val="32"/>
          <w:szCs w:val="32"/>
        </w:rPr>
      </w:pPr>
      <w:r>
        <w:rPr>
          <w:rFonts w:hint="eastAsia" w:ascii="黑体" w:eastAsia="黑体"/>
          <w:b/>
          <w:color w:val="000000"/>
          <w:spacing w:val="20"/>
          <w:w w:val="135"/>
          <w:sz w:val="30"/>
        </w:rPr>
        <w:t>深圳供电局有限公司</w:t>
      </w:r>
    </w:p>
    <w:p>
      <w:pPr>
        <w:spacing w:before="624" w:beforeLines="200"/>
        <w:jc w:val="center"/>
        <w:rPr>
          <w:rFonts w:hint="eastAsia" w:ascii="黑体" w:eastAsia="黑体"/>
          <w:b/>
          <w:color w:val="000000"/>
          <w:spacing w:val="20"/>
          <w:w w:val="135"/>
          <w:sz w:val="30"/>
        </w:rPr>
      </w:pPr>
      <w:r>
        <w:rPr>
          <w:rFonts w:hint="eastAsia" w:ascii="黑体" w:eastAsia="黑体"/>
          <w:b/>
          <w:color w:val="000000"/>
          <w:spacing w:val="20"/>
          <w:w w:val="135"/>
          <w:sz w:val="30"/>
        </w:rPr>
        <w:t>二O二</w:t>
      </w:r>
      <w:r>
        <w:rPr>
          <w:rFonts w:hint="eastAsia" w:ascii="黑体" w:eastAsia="黑体"/>
          <w:b/>
          <w:color w:val="000000"/>
          <w:spacing w:val="20"/>
          <w:w w:val="135"/>
          <w:sz w:val="30"/>
          <w:lang w:val="en-US" w:eastAsia="zh-CN"/>
        </w:rPr>
        <w:t>六</w:t>
      </w:r>
      <w:r>
        <w:rPr>
          <w:rFonts w:hint="eastAsia" w:ascii="黑体" w:eastAsia="黑体"/>
          <w:b/>
          <w:color w:val="000000"/>
          <w:spacing w:val="20"/>
          <w:w w:val="135"/>
          <w:sz w:val="30"/>
        </w:rPr>
        <w:t>年</w:t>
      </w:r>
      <w:r>
        <w:rPr>
          <w:rFonts w:hint="eastAsia" w:ascii="黑体" w:eastAsia="黑体"/>
          <w:b/>
          <w:color w:val="000000"/>
          <w:spacing w:val="20"/>
          <w:w w:val="135"/>
          <w:sz w:val="30"/>
          <w:lang w:val="en-US" w:eastAsia="zh-CN"/>
        </w:rPr>
        <w:t>五</w:t>
      </w:r>
      <w:r>
        <w:rPr>
          <w:rFonts w:hint="eastAsia" w:ascii="黑体" w:eastAsia="黑体"/>
          <w:b/>
          <w:color w:val="000000"/>
          <w:spacing w:val="20"/>
          <w:w w:val="135"/>
          <w:sz w:val="30"/>
        </w:rPr>
        <w:t>月</w:t>
      </w:r>
    </w:p>
    <w:p>
      <w:pPr>
        <w:jc w:val="center"/>
        <w:rPr>
          <w:rFonts w:ascii="宋体" w:hAnsi="宋体"/>
          <w:sz w:val="32"/>
          <w:szCs w:val="32"/>
        </w:rPr>
      </w:pPr>
    </w:p>
    <w:p>
      <w:pPr>
        <w:rPr>
          <w:rFonts w:hint="eastAsia"/>
          <w:szCs w:val="20"/>
          <w:lang w:val="zh-CN"/>
        </w:rPr>
        <w:sectPr>
          <w:footerReference r:id="rId4" w:type="first"/>
          <w:footerReference r:id="rId3" w:type="default"/>
          <w:pgSz w:w="11906" w:h="16838"/>
          <w:pgMar w:top="1440" w:right="1800" w:bottom="1440" w:left="1800" w:header="851" w:footer="992" w:gutter="0"/>
          <w:cols w:space="425" w:num="1"/>
          <w:docGrid w:type="lines" w:linePitch="312" w:charSpace="0"/>
        </w:sectPr>
      </w:pPr>
    </w:p>
    <w:sdt>
      <w:sdtPr>
        <w:rPr>
          <w:rFonts w:ascii="Calibri" w:hAnsi="Calibri" w:eastAsia="宋体" w:cs="Times New Roman"/>
          <w:b w:val="0"/>
          <w:color w:val="auto"/>
          <w:kern w:val="2"/>
          <w:sz w:val="21"/>
          <w:szCs w:val="24"/>
          <w:lang w:val="zh-CN"/>
        </w:rPr>
        <w:id w:val="1735813957"/>
      </w:sdtPr>
      <w:sdtEndPr>
        <w:rPr>
          <w:rFonts w:ascii="Calibri" w:hAnsi="Calibri" w:eastAsia="宋体" w:cs="Times New Roman"/>
          <w:b w:val="0"/>
          <w:bCs/>
          <w:color w:val="auto"/>
          <w:kern w:val="2"/>
          <w:sz w:val="21"/>
          <w:szCs w:val="24"/>
          <w:lang w:val="zh-CN"/>
        </w:rPr>
      </w:sdtEndPr>
      <w:sdtContent>
        <w:p>
          <w:pPr>
            <w:pStyle w:val="27"/>
            <w:jc w:val="center"/>
            <w:rPr>
              <w:rFonts w:ascii="黑体" w:hAnsi="黑体" w:eastAsia="黑体"/>
              <w:b w:val="0"/>
              <w:color w:val="auto"/>
              <w:sz w:val="36"/>
              <w:szCs w:val="36"/>
            </w:rPr>
          </w:pPr>
          <w:r>
            <w:rPr>
              <w:rFonts w:ascii="黑体" w:hAnsi="黑体" w:eastAsia="黑体"/>
              <w:b w:val="0"/>
              <w:color w:val="auto"/>
              <w:sz w:val="36"/>
              <w:szCs w:val="36"/>
              <w:lang w:val="zh-CN"/>
            </w:rPr>
            <w:t>目</w:t>
          </w:r>
          <w:r>
            <w:rPr>
              <w:rFonts w:hint="eastAsia" w:ascii="黑体" w:hAnsi="黑体" w:eastAsia="黑体"/>
              <w:b w:val="0"/>
              <w:color w:val="auto"/>
              <w:sz w:val="36"/>
              <w:szCs w:val="36"/>
              <w:lang w:val="en-US" w:eastAsia="zh-CN"/>
            </w:rPr>
            <w:t xml:space="preserve">  </w:t>
          </w:r>
          <w:r>
            <w:rPr>
              <w:rFonts w:ascii="黑体" w:hAnsi="黑体" w:eastAsia="黑体"/>
              <w:b w:val="0"/>
              <w:color w:val="auto"/>
              <w:sz w:val="36"/>
              <w:szCs w:val="36"/>
              <w:lang w:val="zh-CN"/>
            </w:rPr>
            <w:t>录</w:t>
          </w:r>
        </w:p>
        <w:p>
          <w:pPr>
            <w:pStyle w:val="2"/>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TOC \o "1-3" \h \z \u </w:instrText>
          </w:r>
          <w:r>
            <w:rPr>
              <w:rFonts w:asciiTheme="minorEastAsia" w:hAnsiTheme="minorEastAsia" w:eastAsiaTheme="minorEastAsia"/>
              <w:sz w:val="24"/>
            </w:rPr>
            <w:fldChar w:fldCharType="separate"/>
          </w:r>
          <w:r>
            <w:fldChar w:fldCharType="begin"/>
          </w:r>
          <w:r>
            <w:instrText xml:space="preserve"> HYPERLINK \l "_Toc57813321" </w:instrText>
          </w:r>
          <w:r>
            <w:fldChar w:fldCharType="separate"/>
          </w:r>
          <w:r>
            <w:rPr>
              <w:rStyle w:val="23"/>
              <w:rFonts w:asciiTheme="minorEastAsia" w:hAnsiTheme="minorEastAsia" w:eastAsiaTheme="minorEastAsia"/>
              <w:sz w:val="24"/>
            </w:rPr>
            <w:t>1.</w:t>
          </w:r>
          <w:r>
            <w:rPr>
              <w:rStyle w:val="23"/>
              <w:rFonts w:hint="eastAsia" w:asciiTheme="minorEastAsia" w:hAnsiTheme="minorEastAsia" w:eastAsiaTheme="minorEastAsia"/>
              <w:sz w:val="24"/>
            </w:rPr>
            <w:t>总则</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_Toc57813321 \h </w:instrText>
          </w:r>
          <w:r>
            <w:rPr>
              <w:rFonts w:asciiTheme="minorEastAsia" w:hAnsiTheme="minorEastAsia" w:eastAsiaTheme="minorEastAsia"/>
              <w:sz w:val="24"/>
            </w:rPr>
            <w:fldChar w:fldCharType="separate"/>
          </w:r>
          <w:r>
            <w:rPr>
              <w:rFonts w:asciiTheme="minorEastAsia" w:hAnsiTheme="minorEastAsia" w:eastAsiaTheme="minorEastAsia"/>
              <w:sz w:val="24"/>
            </w:rPr>
            <w:t>1</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pStyle w:val="2"/>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"_Toc57813322" </w:instrText>
          </w:r>
          <w:r>
            <w:fldChar w:fldCharType="separate"/>
          </w:r>
          <w:r>
            <w:rPr>
              <w:rStyle w:val="23"/>
              <w:rFonts w:asciiTheme="minorEastAsia" w:hAnsiTheme="minorEastAsia" w:eastAsiaTheme="minorEastAsia"/>
              <w:sz w:val="24"/>
            </w:rPr>
            <w:t>2.</w:t>
          </w:r>
          <w:r>
            <w:rPr>
              <w:rStyle w:val="23"/>
              <w:rFonts w:hint="eastAsia" w:asciiTheme="minorEastAsia" w:hAnsiTheme="minorEastAsia" w:eastAsiaTheme="minorEastAsia"/>
              <w:sz w:val="24"/>
            </w:rPr>
            <w:t>规范性引用文件</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_Toc57813322 \h </w:instrText>
          </w:r>
          <w:r>
            <w:rPr>
              <w:rFonts w:asciiTheme="minorEastAsia" w:hAnsiTheme="minorEastAsia" w:eastAsiaTheme="minorEastAsia"/>
              <w:sz w:val="24"/>
            </w:rPr>
            <w:fldChar w:fldCharType="separate"/>
          </w:r>
          <w:r>
            <w:rPr>
              <w:rFonts w:asciiTheme="minorEastAsia" w:hAnsiTheme="minorEastAsia" w:eastAsiaTheme="minorEastAsia"/>
              <w:sz w:val="24"/>
            </w:rPr>
            <w:t>2</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pStyle w:val="2"/>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"_Toc57813323" </w:instrText>
          </w:r>
          <w:r>
            <w:fldChar w:fldCharType="separate"/>
          </w:r>
          <w:r>
            <w:rPr>
              <w:rStyle w:val="23"/>
              <w:rFonts w:asciiTheme="minorEastAsia" w:hAnsiTheme="minorEastAsia" w:eastAsiaTheme="minorEastAsia"/>
              <w:sz w:val="24"/>
            </w:rPr>
            <w:t>3.</w:t>
          </w:r>
          <w:r>
            <w:rPr>
              <w:rStyle w:val="23"/>
              <w:rFonts w:hint="eastAsia" w:asciiTheme="minorEastAsia" w:hAnsiTheme="minorEastAsia" w:eastAsiaTheme="minorEastAsia"/>
              <w:sz w:val="24"/>
            </w:rPr>
            <w:t>技术要求</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_Toc57813323 \h </w:instrText>
          </w:r>
          <w:r>
            <w:rPr>
              <w:rFonts w:asciiTheme="minorEastAsia" w:hAnsiTheme="minorEastAsia" w:eastAsiaTheme="minorEastAsia"/>
              <w:sz w:val="24"/>
            </w:rPr>
            <w:fldChar w:fldCharType="separate"/>
          </w:r>
          <w:r>
            <w:rPr>
              <w:rFonts w:asciiTheme="minorEastAsia" w:hAnsiTheme="minorEastAsia" w:eastAsiaTheme="minorEastAsia"/>
              <w:sz w:val="24"/>
            </w:rPr>
            <w:t>3</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pStyle w:val="18"/>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"_Toc57813324" </w:instrText>
          </w:r>
          <w:r>
            <w:fldChar w:fldCharType="separate"/>
          </w:r>
          <w:r>
            <w:rPr>
              <w:rStyle w:val="23"/>
              <w:rFonts w:asciiTheme="minorEastAsia" w:hAnsiTheme="minorEastAsia" w:eastAsiaTheme="minorEastAsia"/>
              <w:sz w:val="24"/>
            </w:rPr>
            <w:t>3.1</w:t>
          </w:r>
          <w:r>
            <w:rPr>
              <w:rStyle w:val="23"/>
              <w:rFonts w:hint="eastAsia" w:asciiTheme="minorEastAsia" w:hAnsiTheme="minorEastAsia" w:eastAsiaTheme="minorEastAsia"/>
              <w:sz w:val="24"/>
            </w:rPr>
            <w:t>总体要求</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_Toc57813324 \h </w:instrText>
          </w:r>
          <w:r>
            <w:rPr>
              <w:rFonts w:asciiTheme="minorEastAsia" w:hAnsiTheme="minorEastAsia" w:eastAsiaTheme="minorEastAsia"/>
              <w:sz w:val="24"/>
            </w:rPr>
            <w:fldChar w:fldCharType="separate"/>
          </w:r>
          <w:r>
            <w:rPr>
              <w:rFonts w:asciiTheme="minorEastAsia" w:hAnsiTheme="minorEastAsia" w:eastAsiaTheme="minorEastAsia"/>
              <w:sz w:val="24"/>
            </w:rPr>
            <w:t>3</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pStyle w:val="18"/>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"_Toc57813325" </w:instrText>
          </w:r>
          <w:r>
            <w:fldChar w:fldCharType="separate"/>
          </w:r>
          <w:r>
            <w:rPr>
              <w:rStyle w:val="23"/>
              <w:rFonts w:asciiTheme="minorEastAsia" w:hAnsiTheme="minorEastAsia" w:eastAsiaTheme="minorEastAsia"/>
              <w:sz w:val="24"/>
            </w:rPr>
            <w:t>3.2</w:t>
          </w:r>
          <w:r>
            <w:rPr>
              <w:rStyle w:val="23"/>
              <w:rFonts w:hint="eastAsia" w:asciiTheme="minorEastAsia" w:hAnsiTheme="minorEastAsia" w:eastAsiaTheme="minorEastAsia"/>
              <w:sz w:val="24"/>
            </w:rPr>
            <w:t>装置要求</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_Toc57813325 \h </w:instrText>
          </w:r>
          <w:r>
            <w:rPr>
              <w:rFonts w:asciiTheme="minorEastAsia" w:hAnsiTheme="minorEastAsia" w:eastAsiaTheme="minorEastAsia"/>
              <w:sz w:val="24"/>
            </w:rPr>
            <w:fldChar w:fldCharType="separate"/>
          </w:r>
          <w:r>
            <w:rPr>
              <w:rFonts w:asciiTheme="minorEastAsia" w:hAnsiTheme="minorEastAsia" w:eastAsiaTheme="minorEastAsia"/>
              <w:sz w:val="24"/>
            </w:rPr>
            <w:t>3</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pStyle w:val="12"/>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"_Toc57813326" </w:instrText>
          </w:r>
          <w:r>
            <w:fldChar w:fldCharType="separate"/>
          </w:r>
          <w:r>
            <w:rPr>
              <w:rStyle w:val="23"/>
              <w:rFonts w:asciiTheme="minorEastAsia" w:hAnsiTheme="minorEastAsia" w:eastAsiaTheme="minorEastAsia"/>
              <w:sz w:val="24"/>
            </w:rPr>
            <w:t xml:space="preserve">3.2.1 </w:t>
          </w:r>
          <w:r>
            <w:rPr>
              <w:rStyle w:val="23"/>
              <w:rFonts w:hint="eastAsia" w:asciiTheme="minorEastAsia" w:hAnsiTheme="minorEastAsia" w:eastAsiaTheme="minorEastAsia"/>
              <w:sz w:val="24"/>
            </w:rPr>
            <w:t>遥测要求</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_Toc57813326 \h </w:instrText>
          </w:r>
          <w:r>
            <w:rPr>
              <w:rFonts w:asciiTheme="minorEastAsia" w:hAnsiTheme="minorEastAsia" w:eastAsiaTheme="minorEastAsia"/>
              <w:sz w:val="24"/>
            </w:rPr>
            <w:fldChar w:fldCharType="separate"/>
          </w:r>
          <w:r>
            <w:rPr>
              <w:rFonts w:asciiTheme="minorEastAsia" w:hAnsiTheme="minorEastAsia" w:eastAsiaTheme="minorEastAsia"/>
              <w:sz w:val="24"/>
            </w:rPr>
            <w:t>3</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pStyle w:val="12"/>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"_Toc57813327" </w:instrText>
          </w:r>
          <w:r>
            <w:fldChar w:fldCharType="separate"/>
          </w:r>
          <w:r>
            <w:rPr>
              <w:rStyle w:val="23"/>
              <w:rFonts w:asciiTheme="minorEastAsia" w:hAnsiTheme="minorEastAsia" w:eastAsiaTheme="minorEastAsia"/>
              <w:sz w:val="24"/>
            </w:rPr>
            <w:t xml:space="preserve">3.2.2 </w:t>
          </w:r>
          <w:r>
            <w:rPr>
              <w:rStyle w:val="23"/>
              <w:rFonts w:hint="eastAsia" w:asciiTheme="minorEastAsia" w:hAnsiTheme="minorEastAsia" w:eastAsiaTheme="minorEastAsia"/>
              <w:sz w:val="24"/>
            </w:rPr>
            <w:t>通信要求</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_Toc57813327 \h </w:instrText>
          </w:r>
          <w:r>
            <w:rPr>
              <w:rFonts w:asciiTheme="minorEastAsia" w:hAnsiTheme="minorEastAsia" w:eastAsiaTheme="minorEastAsia"/>
              <w:sz w:val="24"/>
            </w:rPr>
            <w:fldChar w:fldCharType="separate"/>
          </w:r>
          <w:r>
            <w:rPr>
              <w:rFonts w:asciiTheme="minorEastAsia" w:hAnsiTheme="minorEastAsia" w:eastAsiaTheme="minorEastAsia"/>
              <w:sz w:val="24"/>
            </w:rPr>
            <w:t>4</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pStyle w:val="12"/>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"_Toc57813328" </w:instrText>
          </w:r>
          <w:r>
            <w:fldChar w:fldCharType="separate"/>
          </w:r>
          <w:r>
            <w:rPr>
              <w:rStyle w:val="23"/>
              <w:rFonts w:asciiTheme="minorEastAsia" w:hAnsiTheme="minorEastAsia" w:eastAsiaTheme="minorEastAsia"/>
              <w:sz w:val="24"/>
            </w:rPr>
            <w:t xml:space="preserve">3.2.3 </w:t>
          </w:r>
          <w:r>
            <w:rPr>
              <w:rStyle w:val="23"/>
              <w:rFonts w:hint="eastAsia" w:asciiTheme="minorEastAsia" w:hAnsiTheme="minorEastAsia" w:eastAsiaTheme="minorEastAsia"/>
              <w:sz w:val="24"/>
            </w:rPr>
            <w:t>参数设置要求</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_Toc57813328 \h </w:instrText>
          </w:r>
          <w:r>
            <w:rPr>
              <w:rFonts w:asciiTheme="minorEastAsia" w:hAnsiTheme="minorEastAsia" w:eastAsiaTheme="minorEastAsia"/>
              <w:sz w:val="24"/>
            </w:rPr>
            <w:fldChar w:fldCharType="separate"/>
          </w:r>
          <w:r>
            <w:rPr>
              <w:rFonts w:asciiTheme="minorEastAsia" w:hAnsiTheme="minorEastAsia" w:eastAsiaTheme="minorEastAsia"/>
              <w:sz w:val="24"/>
            </w:rPr>
            <w:t>4</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pStyle w:val="12"/>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"_Toc57813329" </w:instrText>
          </w:r>
          <w:r>
            <w:fldChar w:fldCharType="separate"/>
          </w:r>
          <w:r>
            <w:rPr>
              <w:rStyle w:val="23"/>
              <w:rFonts w:asciiTheme="minorEastAsia" w:hAnsiTheme="minorEastAsia" w:eastAsiaTheme="minorEastAsia"/>
              <w:sz w:val="24"/>
            </w:rPr>
            <w:t xml:space="preserve">3.2.4 </w:t>
          </w:r>
          <w:r>
            <w:rPr>
              <w:rStyle w:val="23"/>
              <w:rFonts w:hint="eastAsia" w:asciiTheme="minorEastAsia" w:hAnsiTheme="minorEastAsia" w:eastAsiaTheme="minorEastAsia"/>
              <w:sz w:val="24"/>
            </w:rPr>
            <w:t>防误动功能</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_Toc57813329 \h </w:instrText>
          </w:r>
          <w:r>
            <w:rPr>
              <w:rFonts w:asciiTheme="minorEastAsia" w:hAnsiTheme="minorEastAsia" w:eastAsiaTheme="minorEastAsia"/>
              <w:sz w:val="24"/>
            </w:rPr>
            <w:fldChar w:fldCharType="separate"/>
          </w:r>
          <w:r>
            <w:rPr>
              <w:rFonts w:asciiTheme="minorEastAsia" w:hAnsiTheme="minorEastAsia" w:eastAsiaTheme="minorEastAsia"/>
              <w:sz w:val="24"/>
            </w:rPr>
            <w:t>4</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pStyle w:val="12"/>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"_Toc57813330" </w:instrText>
          </w:r>
          <w:r>
            <w:fldChar w:fldCharType="separate"/>
          </w:r>
          <w:r>
            <w:rPr>
              <w:rStyle w:val="23"/>
              <w:rFonts w:asciiTheme="minorEastAsia" w:hAnsiTheme="minorEastAsia" w:eastAsiaTheme="minorEastAsia"/>
              <w:sz w:val="24"/>
            </w:rPr>
            <w:t xml:space="preserve">3.2.5 </w:t>
          </w:r>
          <w:r>
            <w:rPr>
              <w:rStyle w:val="23"/>
              <w:rFonts w:hint="eastAsia" w:asciiTheme="minorEastAsia" w:hAnsiTheme="minorEastAsia" w:eastAsiaTheme="minorEastAsia"/>
              <w:sz w:val="24"/>
            </w:rPr>
            <w:t>电源要求</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_Toc57813330 \h </w:instrText>
          </w:r>
          <w:r>
            <w:rPr>
              <w:rFonts w:asciiTheme="minorEastAsia" w:hAnsiTheme="minorEastAsia" w:eastAsiaTheme="minorEastAsia"/>
              <w:sz w:val="24"/>
            </w:rPr>
            <w:fldChar w:fldCharType="separate"/>
          </w:r>
          <w:r>
            <w:rPr>
              <w:rFonts w:asciiTheme="minorEastAsia" w:hAnsiTheme="minorEastAsia" w:eastAsiaTheme="minorEastAsia"/>
              <w:sz w:val="24"/>
            </w:rPr>
            <w:t>4</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pStyle w:val="12"/>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"_Toc57813331" </w:instrText>
          </w:r>
          <w:r>
            <w:fldChar w:fldCharType="separate"/>
          </w:r>
          <w:r>
            <w:rPr>
              <w:rStyle w:val="23"/>
              <w:rFonts w:asciiTheme="minorEastAsia" w:hAnsiTheme="minorEastAsia" w:eastAsiaTheme="minorEastAsia"/>
              <w:sz w:val="24"/>
            </w:rPr>
            <w:t xml:space="preserve">3.2.6 </w:t>
          </w:r>
          <w:r>
            <w:rPr>
              <w:rStyle w:val="23"/>
              <w:rFonts w:hint="eastAsia" w:asciiTheme="minorEastAsia" w:hAnsiTheme="minorEastAsia" w:eastAsiaTheme="minorEastAsia"/>
              <w:sz w:val="24"/>
            </w:rPr>
            <w:t>防护等级要求</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_Toc57813331 \h </w:instrText>
          </w:r>
          <w:r>
            <w:rPr>
              <w:rFonts w:asciiTheme="minorEastAsia" w:hAnsiTheme="minorEastAsia" w:eastAsiaTheme="minorEastAsia"/>
              <w:sz w:val="24"/>
            </w:rPr>
            <w:fldChar w:fldCharType="separate"/>
          </w:r>
          <w:r>
            <w:rPr>
              <w:rFonts w:asciiTheme="minorEastAsia" w:hAnsiTheme="minorEastAsia" w:eastAsiaTheme="minorEastAsia"/>
              <w:sz w:val="24"/>
            </w:rPr>
            <w:t>4</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pStyle w:val="12"/>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"_Toc57813332" </w:instrText>
          </w:r>
          <w:r>
            <w:fldChar w:fldCharType="separate"/>
          </w:r>
          <w:r>
            <w:rPr>
              <w:rStyle w:val="23"/>
              <w:rFonts w:asciiTheme="minorEastAsia" w:hAnsiTheme="minorEastAsia" w:eastAsiaTheme="minorEastAsia"/>
              <w:sz w:val="24"/>
            </w:rPr>
            <w:t xml:space="preserve">3.2.7 </w:t>
          </w:r>
          <w:r>
            <w:rPr>
              <w:rStyle w:val="23"/>
              <w:rFonts w:hint="eastAsia" w:asciiTheme="minorEastAsia" w:hAnsiTheme="minorEastAsia" w:eastAsiaTheme="minorEastAsia"/>
              <w:sz w:val="24"/>
            </w:rPr>
            <w:t>安装要求</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_Toc57813332 \h </w:instrText>
          </w:r>
          <w:r>
            <w:rPr>
              <w:rFonts w:asciiTheme="minorEastAsia" w:hAnsiTheme="minorEastAsia" w:eastAsiaTheme="minorEastAsia"/>
              <w:sz w:val="24"/>
            </w:rPr>
            <w:fldChar w:fldCharType="separate"/>
          </w:r>
          <w:r>
            <w:rPr>
              <w:rFonts w:asciiTheme="minorEastAsia" w:hAnsiTheme="minorEastAsia" w:eastAsiaTheme="minorEastAsia"/>
              <w:sz w:val="24"/>
            </w:rPr>
            <w:t>4</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pStyle w:val="12"/>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sz w:val="24"/>
            </w:rPr>
          </w:pPr>
          <w:r>
            <w:fldChar w:fldCharType="begin"/>
          </w:r>
          <w:r>
            <w:instrText xml:space="preserve"> HYPERLINK \l "_Toc57813333" </w:instrText>
          </w:r>
          <w:r>
            <w:fldChar w:fldCharType="separate"/>
          </w:r>
          <w:r>
            <w:rPr>
              <w:rStyle w:val="23"/>
              <w:rFonts w:asciiTheme="minorEastAsia" w:hAnsiTheme="minorEastAsia" w:eastAsiaTheme="minorEastAsia"/>
              <w:sz w:val="24"/>
            </w:rPr>
            <w:t>3.2.8</w:t>
          </w:r>
          <w:r>
            <w:rPr>
              <w:rStyle w:val="23"/>
              <w:rFonts w:hint="eastAsia" w:asciiTheme="minorEastAsia" w:hAnsiTheme="minorEastAsia" w:eastAsiaTheme="minorEastAsia"/>
              <w:sz w:val="24"/>
            </w:rPr>
            <w:t>工作环境</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_Toc57813333 \h </w:instrText>
          </w:r>
          <w:r>
            <w:rPr>
              <w:rFonts w:asciiTheme="minorEastAsia" w:hAnsiTheme="minorEastAsia" w:eastAsiaTheme="minorEastAsia"/>
              <w:sz w:val="24"/>
            </w:rPr>
            <w:fldChar w:fldCharType="separate"/>
          </w:r>
          <w:r>
            <w:rPr>
              <w:rFonts w:asciiTheme="minorEastAsia" w:hAnsiTheme="minorEastAsia" w:eastAsiaTheme="minorEastAsia"/>
              <w:sz w:val="24"/>
            </w:rPr>
            <w:t>4</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pStyle w:val="12"/>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pPr>
          <w:r>
            <w:fldChar w:fldCharType="begin"/>
          </w:r>
          <w:r>
            <w:instrText xml:space="preserve"> HYPERLINK \l "_Toc57813333" </w:instrText>
          </w:r>
          <w:r>
            <w:fldChar w:fldCharType="separate"/>
          </w:r>
          <w:r>
            <w:rPr>
              <w:rStyle w:val="23"/>
              <w:rFonts w:asciiTheme="minorEastAsia" w:hAnsiTheme="minorEastAsia" w:eastAsiaTheme="minorEastAsia"/>
              <w:sz w:val="24"/>
            </w:rPr>
            <w:t>3.2.</w:t>
          </w:r>
          <w:r>
            <w:rPr>
              <w:rStyle w:val="23"/>
              <w:rFonts w:hint="eastAsia" w:asciiTheme="minorEastAsia" w:hAnsiTheme="minorEastAsia" w:eastAsiaTheme="minorEastAsia"/>
              <w:sz w:val="24"/>
              <w:lang w:val="en-US" w:eastAsia="zh-CN"/>
            </w:rPr>
            <w:t>9安全性要求</w:t>
          </w:r>
          <w:r>
            <w:rPr>
              <w:rFonts w:asciiTheme="minorEastAsia" w:hAnsiTheme="minorEastAsia" w:eastAsiaTheme="minorEastAsia"/>
              <w:sz w:val="24"/>
            </w:rPr>
            <w:tab/>
          </w:r>
          <w:r>
            <w:rPr>
              <w:rFonts w:hint="eastAsia" w:asciiTheme="minorEastAsia" w:hAnsiTheme="minorEastAsia" w:eastAsiaTheme="minorEastAsia"/>
              <w:sz w:val="24"/>
              <w:lang w:val="en-US" w:eastAsia="zh-CN"/>
            </w:rPr>
            <w:t>5</w:t>
          </w:r>
          <w:r>
            <w:rPr>
              <w:rFonts w:asciiTheme="minorEastAsia" w:hAnsiTheme="minorEastAsia" w:eastAsiaTheme="minorEastAsia"/>
              <w:sz w:val="24"/>
            </w:rPr>
            <w:fldChar w:fldCharType="end"/>
          </w:r>
        </w:p>
        <w:p>
          <w:pPr>
            <w:pStyle w:val="2"/>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"_Toc57813334" </w:instrText>
          </w:r>
          <w:r>
            <w:fldChar w:fldCharType="separate"/>
          </w:r>
          <w:r>
            <w:rPr>
              <w:rStyle w:val="23"/>
              <w:rFonts w:asciiTheme="minorEastAsia" w:hAnsiTheme="minorEastAsia" w:eastAsiaTheme="minorEastAsia"/>
              <w:sz w:val="24"/>
            </w:rPr>
            <w:t>4.</w:t>
          </w:r>
          <w:r>
            <w:rPr>
              <w:rStyle w:val="23"/>
              <w:rFonts w:hint="eastAsia" w:asciiTheme="minorEastAsia" w:hAnsiTheme="minorEastAsia" w:eastAsiaTheme="minorEastAsia"/>
              <w:sz w:val="24"/>
            </w:rPr>
            <w:t>性能要求</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_Toc57813334 \h </w:instrText>
          </w:r>
          <w:r>
            <w:rPr>
              <w:rFonts w:asciiTheme="minorEastAsia" w:hAnsiTheme="minorEastAsia" w:eastAsiaTheme="minorEastAsia"/>
              <w:sz w:val="24"/>
            </w:rPr>
            <w:fldChar w:fldCharType="separate"/>
          </w:r>
          <w:r>
            <w:rPr>
              <w:rFonts w:asciiTheme="minorEastAsia" w:hAnsiTheme="minorEastAsia" w:eastAsiaTheme="minorEastAsia"/>
              <w:sz w:val="24"/>
            </w:rPr>
            <w:t>5</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pStyle w:val="18"/>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"_Toc57813335" </w:instrText>
          </w:r>
          <w:r>
            <w:fldChar w:fldCharType="separate"/>
          </w:r>
          <w:r>
            <w:rPr>
              <w:rStyle w:val="23"/>
              <w:rFonts w:asciiTheme="minorEastAsia" w:hAnsiTheme="minorEastAsia" w:eastAsiaTheme="minorEastAsia"/>
              <w:sz w:val="24"/>
            </w:rPr>
            <w:t>4.1</w:t>
          </w:r>
          <w:r>
            <w:rPr>
              <w:rStyle w:val="23"/>
              <w:rFonts w:hint="eastAsia" w:asciiTheme="minorEastAsia" w:hAnsiTheme="minorEastAsia" w:eastAsiaTheme="minorEastAsia"/>
              <w:sz w:val="24"/>
            </w:rPr>
            <w:t>功能检验要求</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_Toc57813335 \h </w:instrText>
          </w:r>
          <w:r>
            <w:rPr>
              <w:rFonts w:asciiTheme="minorEastAsia" w:hAnsiTheme="minorEastAsia" w:eastAsiaTheme="minorEastAsia"/>
              <w:sz w:val="24"/>
            </w:rPr>
            <w:fldChar w:fldCharType="separate"/>
          </w:r>
          <w:r>
            <w:rPr>
              <w:rFonts w:asciiTheme="minorEastAsia" w:hAnsiTheme="minorEastAsia" w:eastAsiaTheme="minorEastAsia"/>
              <w:sz w:val="24"/>
            </w:rPr>
            <w:t>5</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pStyle w:val="18"/>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"_Toc57813336" </w:instrText>
          </w:r>
          <w:r>
            <w:fldChar w:fldCharType="separate"/>
          </w:r>
          <w:r>
            <w:rPr>
              <w:rStyle w:val="23"/>
              <w:rFonts w:asciiTheme="minorEastAsia" w:hAnsiTheme="minorEastAsia" w:eastAsiaTheme="minorEastAsia"/>
              <w:sz w:val="24"/>
            </w:rPr>
            <w:t>4.2</w:t>
          </w:r>
          <w:r>
            <w:rPr>
              <w:rStyle w:val="23"/>
              <w:rFonts w:hint="eastAsia" w:asciiTheme="minorEastAsia" w:hAnsiTheme="minorEastAsia" w:eastAsiaTheme="minorEastAsia"/>
              <w:sz w:val="24"/>
            </w:rPr>
            <w:t>高温试验要求</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_Toc57813336 \h </w:instrText>
          </w:r>
          <w:r>
            <w:rPr>
              <w:rFonts w:asciiTheme="minorEastAsia" w:hAnsiTheme="minorEastAsia" w:eastAsiaTheme="minorEastAsia"/>
              <w:sz w:val="24"/>
            </w:rPr>
            <w:fldChar w:fldCharType="separate"/>
          </w:r>
          <w:r>
            <w:rPr>
              <w:rFonts w:asciiTheme="minorEastAsia" w:hAnsiTheme="minorEastAsia" w:eastAsiaTheme="minorEastAsia"/>
              <w:sz w:val="24"/>
            </w:rPr>
            <w:t>5</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pStyle w:val="18"/>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"_Toc57813337" </w:instrText>
          </w:r>
          <w:r>
            <w:fldChar w:fldCharType="separate"/>
          </w:r>
          <w:r>
            <w:rPr>
              <w:rStyle w:val="23"/>
              <w:rFonts w:asciiTheme="minorEastAsia" w:hAnsiTheme="minorEastAsia" w:eastAsiaTheme="minorEastAsia"/>
              <w:sz w:val="24"/>
            </w:rPr>
            <w:t>4.3</w:t>
          </w:r>
          <w:r>
            <w:rPr>
              <w:rStyle w:val="23"/>
              <w:rFonts w:hint="eastAsia" w:asciiTheme="minorEastAsia" w:hAnsiTheme="minorEastAsia" w:eastAsiaTheme="minorEastAsia"/>
              <w:sz w:val="24"/>
            </w:rPr>
            <w:t>低温试验要求</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_Toc57813337 \h </w:instrText>
          </w:r>
          <w:r>
            <w:rPr>
              <w:rFonts w:asciiTheme="minorEastAsia" w:hAnsiTheme="minorEastAsia" w:eastAsiaTheme="minorEastAsia"/>
              <w:sz w:val="24"/>
            </w:rPr>
            <w:fldChar w:fldCharType="separate"/>
          </w:r>
          <w:r>
            <w:rPr>
              <w:rFonts w:asciiTheme="minorEastAsia" w:hAnsiTheme="minorEastAsia" w:eastAsiaTheme="minorEastAsia"/>
              <w:sz w:val="24"/>
            </w:rPr>
            <w:t>5</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pStyle w:val="18"/>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"_Toc57813338" </w:instrText>
          </w:r>
          <w:r>
            <w:fldChar w:fldCharType="separate"/>
          </w:r>
          <w:r>
            <w:rPr>
              <w:rStyle w:val="23"/>
              <w:rFonts w:asciiTheme="minorEastAsia" w:hAnsiTheme="minorEastAsia" w:eastAsiaTheme="minorEastAsia"/>
              <w:sz w:val="24"/>
            </w:rPr>
            <w:t>4.4</w:t>
          </w:r>
          <w:r>
            <w:rPr>
              <w:rStyle w:val="23"/>
              <w:rFonts w:hint="eastAsia" w:asciiTheme="minorEastAsia" w:hAnsiTheme="minorEastAsia" w:eastAsiaTheme="minorEastAsia"/>
              <w:sz w:val="24"/>
            </w:rPr>
            <w:t>冲击电流测量实验要求</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_Toc57813338 \h </w:instrText>
          </w:r>
          <w:r>
            <w:rPr>
              <w:rFonts w:asciiTheme="minorEastAsia" w:hAnsiTheme="minorEastAsia" w:eastAsiaTheme="minorEastAsia"/>
              <w:sz w:val="24"/>
            </w:rPr>
            <w:fldChar w:fldCharType="separate"/>
          </w:r>
          <w:r>
            <w:rPr>
              <w:rFonts w:asciiTheme="minorEastAsia" w:hAnsiTheme="minorEastAsia" w:eastAsiaTheme="minorEastAsia"/>
              <w:sz w:val="24"/>
            </w:rPr>
            <w:t>5</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pStyle w:val="18"/>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"_Toc57813339" </w:instrText>
          </w:r>
          <w:r>
            <w:fldChar w:fldCharType="separate"/>
          </w:r>
          <w:r>
            <w:rPr>
              <w:rStyle w:val="23"/>
              <w:rFonts w:asciiTheme="minorEastAsia" w:hAnsiTheme="minorEastAsia" w:eastAsiaTheme="minorEastAsia"/>
              <w:sz w:val="24"/>
            </w:rPr>
            <w:t>4.5</w:t>
          </w:r>
          <w:r>
            <w:rPr>
              <w:rStyle w:val="23"/>
              <w:rFonts w:hint="eastAsia" w:asciiTheme="minorEastAsia" w:hAnsiTheme="minorEastAsia" w:eastAsiaTheme="minorEastAsia"/>
              <w:sz w:val="24"/>
            </w:rPr>
            <w:t>防护等级试验要求</w:t>
          </w:r>
          <w:r>
            <w:rPr>
              <w:rFonts w:asciiTheme="minorEastAsia" w:hAnsiTheme="minorEastAsia" w:eastAsiaTheme="minorEastAsia"/>
              <w:sz w:val="24"/>
            </w:rPr>
            <w:tab/>
          </w:r>
          <w:r>
            <w:rPr>
              <w:rFonts w:hint="eastAsia" w:asciiTheme="minorEastAsia" w:hAnsiTheme="minorEastAsia" w:eastAsiaTheme="minorEastAsia"/>
              <w:sz w:val="24"/>
              <w:lang w:val="en-US" w:eastAsia="zh-CN"/>
            </w:rPr>
            <w:t>6</w:t>
          </w:r>
          <w:r>
            <w:rPr>
              <w:rFonts w:asciiTheme="minorEastAsia" w:hAnsiTheme="minorEastAsia" w:eastAsiaTheme="minorEastAsia"/>
              <w:sz w:val="24"/>
            </w:rPr>
            <w:fldChar w:fldCharType="end"/>
          </w:r>
        </w:p>
        <w:p>
          <w:pPr>
            <w:pStyle w:val="18"/>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"_Toc57813340" </w:instrText>
          </w:r>
          <w:r>
            <w:fldChar w:fldCharType="separate"/>
          </w:r>
          <w:r>
            <w:rPr>
              <w:rStyle w:val="23"/>
              <w:rFonts w:asciiTheme="minorEastAsia" w:hAnsiTheme="minorEastAsia" w:eastAsiaTheme="minorEastAsia"/>
              <w:sz w:val="24"/>
            </w:rPr>
            <w:t>4.6</w:t>
          </w:r>
          <w:r>
            <w:rPr>
              <w:rStyle w:val="23"/>
              <w:rFonts w:hint="eastAsia" w:asciiTheme="minorEastAsia" w:hAnsiTheme="minorEastAsia" w:eastAsiaTheme="minorEastAsia"/>
              <w:sz w:val="24"/>
            </w:rPr>
            <w:t>电磁兼容性试验</w:t>
          </w:r>
          <w:r>
            <w:rPr>
              <w:rFonts w:asciiTheme="minorEastAsia" w:hAnsiTheme="minorEastAsia" w:eastAsiaTheme="minorEastAsia"/>
              <w:sz w:val="24"/>
            </w:rPr>
            <w:tab/>
          </w:r>
          <w:r>
            <w:rPr>
              <w:rFonts w:hint="eastAsia" w:asciiTheme="minorEastAsia" w:hAnsiTheme="minorEastAsia" w:eastAsiaTheme="minorEastAsia"/>
              <w:sz w:val="24"/>
              <w:lang w:val="en-US" w:eastAsia="zh-CN"/>
            </w:rPr>
            <w:t>6</w:t>
          </w:r>
          <w:r>
            <w:rPr>
              <w:rFonts w:asciiTheme="minorEastAsia" w:hAnsiTheme="minorEastAsia" w:eastAsiaTheme="minorEastAsia"/>
              <w:sz w:val="24"/>
            </w:rPr>
            <w:fldChar w:fldCharType="end"/>
          </w:r>
        </w:p>
        <w:p>
          <w:pPr>
            <w:pStyle w:val="18"/>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"_Toc57813341" </w:instrText>
          </w:r>
          <w:r>
            <w:fldChar w:fldCharType="separate"/>
          </w:r>
          <w:r>
            <w:rPr>
              <w:rStyle w:val="23"/>
              <w:rFonts w:asciiTheme="minorEastAsia" w:hAnsiTheme="minorEastAsia" w:eastAsiaTheme="minorEastAsia"/>
              <w:sz w:val="24"/>
            </w:rPr>
            <w:t>4.7</w:t>
          </w:r>
          <w:r>
            <w:rPr>
              <w:rStyle w:val="23"/>
              <w:rFonts w:hint="eastAsia" w:asciiTheme="minorEastAsia" w:hAnsiTheme="minorEastAsia" w:eastAsiaTheme="minorEastAsia"/>
              <w:sz w:val="24"/>
            </w:rPr>
            <w:t>试验分类</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_Toc57813341 \h </w:instrText>
          </w:r>
          <w:r>
            <w:rPr>
              <w:rFonts w:asciiTheme="minorEastAsia" w:hAnsiTheme="minorEastAsia" w:eastAsiaTheme="minorEastAsia"/>
              <w:sz w:val="24"/>
            </w:rPr>
            <w:fldChar w:fldCharType="separate"/>
          </w:r>
          <w:r>
            <w:rPr>
              <w:rFonts w:asciiTheme="minorEastAsia" w:hAnsiTheme="minorEastAsia" w:eastAsiaTheme="minorEastAsia"/>
              <w:sz w:val="24"/>
            </w:rPr>
            <w:t>6</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pStyle w:val="12"/>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"_Toc57813342" </w:instrText>
          </w:r>
          <w:r>
            <w:fldChar w:fldCharType="separate"/>
          </w:r>
          <w:r>
            <w:rPr>
              <w:rStyle w:val="23"/>
              <w:rFonts w:asciiTheme="minorEastAsia" w:hAnsiTheme="minorEastAsia" w:eastAsiaTheme="minorEastAsia"/>
              <w:sz w:val="24"/>
            </w:rPr>
            <w:t>4.7.1</w:t>
          </w:r>
          <w:r>
            <w:rPr>
              <w:rStyle w:val="23"/>
              <w:rFonts w:hint="eastAsia" w:asciiTheme="minorEastAsia" w:hAnsiTheme="minorEastAsia" w:eastAsiaTheme="minorEastAsia"/>
              <w:sz w:val="24"/>
            </w:rPr>
            <w:t>出厂试验</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_Toc57813342 \h </w:instrText>
          </w:r>
          <w:r>
            <w:rPr>
              <w:rFonts w:asciiTheme="minorEastAsia" w:hAnsiTheme="minorEastAsia" w:eastAsiaTheme="minorEastAsia"/>
              <w:sz w:val="24"/>
            </w:rPr>
            <w:fldChar w:fldCharType="separate"/>
          </w:r>
          <w:r>
            <w:rPr>
              <w:rFonts w:asciiTheme="minorEastAsia" w:hAnsiTheme="minorEastAsia" w:eastAsiaTheme="minorEastAsia"/>
              <w:sz w:val="24"/>
            </w:rPr>
            <w:t>6</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pStyle w:val="12"/>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"_Toc57813343" </w:instrText>
          </w:r>
          <w:r>
            <w:fldChar w:fldCharType="separate"/>
          </w:r>
          <w:r>
            <w:rPr>
              <w:rStyle w:val="23"/>
              <w:rFonts w:asciiTheme="minorEastAsia" w:hAnsiTheme="minorEastAsia" w:eastAsiaTheme="minorEastAsia"/>
              <w:sz w:val="24"/>
            </w:rPr>
            <w:t>4.7.2</w:t>
          </w:r>
          <w:r>
            <w:rPr>
              <w:rStyle w:val="23"/>
              <w:rFonts w:hint="eastAsia" w:asciiTheme="minorEastAsia" w:hAnsiTheme="minorEastAsia" w:eastAsiaTheme="minorEastAsia"/>
              <w:sz w:val="24"/>
            </w:rPr>
            <w:t>抽检试验</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_Toc57813343 \h </w:instrText>
          </w:r>
          <w:r>
            <w:rPr>
              <w:rFonts w:asciiTheme="minorEastAsia" w:hAnsiTheme="minorEastAsia" w:eastAsiaTheme="minorEastAsia"/>
              <w:sz w:val="24"/>
            </w:rPr>
            <w:fldChar w:fldCharType="separate"/>
          </w:r>
          <w:r>
            <w:rPr>
              <w:rFonts w:asciiTheme="minorEastAsia" w:hAnsiTheme="minorEastAsia" w:eastAsiaTheme="minorEastAsia"/>
              <w:sz w:val="24"/>
            </w:rPr>
            <w:t>7</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pStyle w:val="2"/>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"_Toc57813344" </w:instrText>
          </w:r>
          <w:r>
            <w:fldChar w:fldCharType="separate"/>
          </w:r>
          <w:r>
            <w:rPr>
              <w:rStyle w:val="23"/>
              <w:rFonts w:asciiTheme="minorEastAsia" w:hAnsiTheme="minorEastAsia" w:eastAsiaTheme="minorEastAsia"/>
              <w:sz w:val="24"/>
            </w:rPr>
            <w:t>5.</w:t>
          </w:r>
          <w:r>
            <w:rPr>
              <w:rStyle w:val="23"/>
              <w:rFonts w:hint="eastAsia" w:asciiTheme="minorEastAsia" w:hAnsiTheme="minorEastAsia" w:eastAsiaTheme="minorEastAsia"/>
              <w:sz w:val="24"/>
            </w:rPr>
            <w:t>储运条件</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_Toc57813344 \h </w:instrText>
          </w:r>
          <w:r>
            <w:rPr>
              <w:rFonts w:asciiTheme="minorEastAsia" w:hAnsiTheme="minorEastAsia" w:eastAsiaTheme="minorEastAsia"/>
              <w:sz w:val="24"/>
            </w:rPr>
            <w:fldChar w:fldCharType="separate"/>
          </w:r>
          <w:r>
            <w:rPr>
              <w:rFonts w:asciiTheme="minorEastAsia" w:hAnsiTheme="minorEastAsia" w:eastAsiaTheme="minorEastAsia"/>
              <w:sz w:val="24"/>
            </w:rPr>
            <w:t>8</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pStyle w:val="2"/>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"_Toc57813345" </w:instrText>
          </w:r>
          <w:r>
            <w:fldChar w:fldCharType="separate"/>
          </w:r>
          <w:r>
            <w:rPr>
              <w:rStyle w:val="23"/>
              <w:rFonts w:asciiTheme="minorEastAsia" w:hAnsiTheme="minorEastAsia" w:eastAsiaTheme="minorEastAsia"/>
              <w:sz w:val="24"/>
            </w:rPr>
            <w:t>6.</w:t>
          </w:r>
          <w:r>
            <w:rPr>
              <w:rStyle w:val="23"/>
              <w:rFonts w:hint="eastAsia" w:asciiTheme="minorEastAsia" w:hAnsiTheme="minorEastAsia" w:eastAsiaTheme="minorEastAsia"/>
              <w:sz w:val="24"/>
            </w:rPr>
            <w:t>验收和培训</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_Toc57813345 \h </w:instrText>
          </w:r>
          <w:r>
            <w:rPr>
              <w:rFonts w:asciiTheme="minorEastAsia" w:hAnsiTheme="minorEastAsia" w:eastAsiaTheme="minorEastAsia"/>
              <w:sz w:val="24"/>
            </w:rPr>
            <w:fldChar w:fldCharType="separate"/>
          </w:r>
          <w:r>
            <w:rPr>
              <w:rFonts w:asciiTheme="minorEastAsia" w:hAnsiTheme="minorEastAsia" w:eastAsiaTheme="minorEastAsia"/>
              <w:sz w:val="24"/>
            </w:rPr>
            <w:t>8</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pStyle w:val="2"/>
            <w:keepNext w:val="0"/>
            <w:keepLines w:val="0"/>
            <w:pageBreakBefore w:val="0"/>
            <w:widowControl w:val="0"/>
            <w:tabs>
              <w:tab w:val="right" w:leader="dot" w:pos="8296"/>
            </w:tabs>
            <w:kinsoku/>
            <w:wordWrap/>
            <w:overflowPunct/>
            <w:topLinePunct w:val="0"/>
            <w:autoSpaceDE/>
            <w:autoSpaceDN/>
            <w:bidi w:val="0"/>
            <w:adjustRightInd/>
            <w:snapToGrid/>
            <w:spacing w:line="336" w:lineRule="auto"/>
            <w:textAlignment w:val="auto"/>
            <w:rPr>
              <w:rFonts w:asciiTheme="minorEastAsia" w:hAnsiTheme="minorEastAsia" w:eastAsiaTheme="minorEastAsia" w:cstheme="minorBidi"/>
              <w:sz w:val="24"/>
            </w:rPr>
          </w:pPr>
          <w:r>
            <w:fldChar w:fldCharType="begin"/>
          </w:r>
          <w:r>
            <w:instrText xml:space="preserve"> HYPERLINK \l "_Toc57813346" </w:instrText>
          </w:r>
          <w:r>
            <w:fldChar w:fldCharType="separate"/>
          </w:r>
          <w:r>
            <w:rPr>
              <w:rStyle w:val="23"/>
              <w:rFonts w:asciiTheme="minorEastAsia" w:hAnsiTheme="minorEastAsia" w:eastAsiaTheme="minorEastAsia"/>
              <w:sz w:val="24"/>
            </w:rPr>
            <w:t>7.</w:t>
          </w:r>
          <w:r>
            <w:rPr>
              <w:rStyle w:val="23"/>
              <w:rFonts w:hint="eastAsia" w:asciiTheme="minorEastAsia" w:hAnsiTheme="minorEastAsia" w:eastAsiaTheme="minorEastAsia"/>
              <w:sz w:val="24"/>
            </w:rPr>
            <w:t>技术支持和售后服务</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_Toc57813346 \h </w:instrText>
          </w:r>
          <w:r>
            <w:rPr>
              <w:rFonts w:asciiTheme="minorEastAsia" w:hAnsiTheme="minorEastAsia" w:eastAsiaTheme="minorEastAsia"/>
              <w:sz w:val="24"/>
            </w:rPr>
            <w:fldChar w:fldCharType="separate"/>
          </w:r>
          <w:r>
            <w:rPr>
              <w:rFonts w:asciiTheme="minorEastAsia" w:hAnsiTheme="minorEastAsia" w:eastAsiaTheme="minorEastAsia"/>
              <w:sz w:val="24"/>
            </w:rPr>
            <w:t>8</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pPr>
            <w:keepNext w:val="0"/>
            <w:keepLines w:val="0"/>
            <w:pageBreakBefore w:val="0"/>
            <w:widowControl w:val="0"/>
            <w:kinsoku/>
            <w:wordWrap/>
            <w:overflowPunct/>
            <w:topLinePunct w:val="0"/>
            <w:autoSpaceDE/>
            <w:autoSpaceDN/>
            <w:bidi w:val="0"/>
            <w:adjustRightInd/>
            <w:snapToGrid/>
            <w:spacing w:line="336" w:lineRule="auto"/>
            <w:textAlignment w:val="auto"/>
          </w:pPr>
          <w:r>
            <w:rPr>
              <w:rFonts w:asciiTheme="minorEastAsia" w:hAnsiTheme="minorEastAsia" w:eastAsiaTheme="minorEastAsia"/>
              <w:b/>
              <w:bCs/>
              <w:sz w:val="24"/>
              <w:lang w:val="zh-CN"/>
            </w:rPr>
            <w:fldChar w:fldCharType="end"/>
          </w:r>
        </w:p>
      </w:sdtContent>
    </w:sdt>
    <w:p>
      <w:pPr>
        <w:sectPr>
          <w:pgSz w:w="11906" w:h="16838"/>
          <w:pgMar w:top="1440" w:right="1800" w:bottom="1440" w:left="1800" w:header="851" w:footer="992" w:gutter="0"/>
          <w:cols w:space="425" w:num="1"/>
          <w:docGrid w:type="lines" w:linePitch="312" w:charSpace="0"/>
        </w:sectPr>
      </w:pPr>
      <w:r>
        <w:br w:type="page"/>
      </w:r>
    </w:p>
    <w:p>
      <w:pPr>
        <w:pStyle w:val="3"/>
        <w:rPr>
          <w:rFonts w:ascii="Times New Roman" w:hAnsi="Times New Roman" w:cs="Times New Roman"/>
          <w:sz w:val="32"/>
          <w:szCs w:val="32"/>
        </w:rPr>
      </w:pPr>
      <w:bookmarkStart w:id="1" w:name="_Toc57813321"/>
      <w:bookmarkStart w:id="2" w:name="_Toc490993882"/>
      <w:r>
        <w:rPr>
          <w:rFonts w:ascii="Times New Roman" w:hAnsi="Times New Roman" w:cs="Times New Roman"/>
          <w:sz w:val="32"/>
          <w:szCs w:val="32"/>
        </w:rPr>
        <w:t>1.总则</w:t>
      </w:r>
      <w:bookmarkEnd w:id="1"/>
      <w:bookmarkEnd w:id="2"/>
      <w:bookmarkStart w:id="70" w:name="_GoBack"/>
      <w:bookmarkEnd w:id="70"/>
    </w:p>
    <w:p>
      <w:pPr>
        <w:spacing w:line="360" w:lineRule="auto"/>
        <w:contextualSpacing/>
        <w:rPr>
          <w:rFonts w:asciiTheme="minorEastAsia" w:hAnsiTheme="minorEastAsia" w:eastAsiaTheme="minorEastAsia"/>
          <w:sz w:val="24"/>
        </w:rPr>
      </w:pPr>
      <w:r>
        <w:rPr>
          <w:rFonts w:asciiTheme="minorEastAsia" w:hAnsiTheme="minorEastAsia" w:eastAsiaTheme="minorEastAsia"/>
          <w:sz w:val="24"/>
        </w:rPr>
        <w:t>1.1 本技术规范规定了</w:t>
      </w:r>
      <w:r>
        <w:rPr>
          <w:rFonts w:hint="eastAsia" w:asciiTheme="minorEastAsia" w:hAnsiTheme="minorEastAsia" w:eastAsiaTheme="minorEastAsia"/>
          <w:sz w:val="24"/>
        </w:rPr>
        <w:t>10kV配网架空线路故障监测装置</w:t>
      </w:r>
      <w:r>
        <w:rPr>
          <w:rFonts w:asciiTheme="minorEastAsia" w:hAnsiTheme="minorEastAsia" w:eastAsiaTheme="minorEastAsia"/>
          <w:sz w:val="24"/>
        </w:rPr>
        <w:t>的功能要求、性能指标、资料交付、服务、验收等方面的技术要求。</w:t>
      </w:r>
    </w:p>
    <w:p>
      <w:pPr>
        <w:spacing w:line="360" w:lineRule="auto"/>
        <w:contextualSpacing/>
        <w:rPr>
          <w:rFonts w:asciiTheme="minorEastAsia" w:hAnsiTheme="minorEastAsia" w:eastAsiaTheme="minorEastAsia"/>
          <w:sz w:val="24"/>
        </w:rPr>
      </w:pPr>
      <w:r>
        <w:rPr>
          <w:rFonts w:asciiTheme="minorEastAsia" w:hAnsiTheme="minorEastAsia" w:eastAsiaTheme="minorEastAsia"/>
          <w:sz w:val="24"/>
        </w:rPr>
        <w:t>1.2 本技术规范书提出的是最低限度的技术要求，并未对一切技术细节做出规定，也未充分引述有关标准和规范的条文，卖方应提供符合工业标准和本规范书的优质产品。</w:t>
      </w:r>
    </w:p>
    <w:p>
      <w:pPr>
        <w:spacing w:line="360" w:lineRule="auto"/>
        <w:contextualSpacing/>
        <w:rPr>
          <w:rFonts w:asciiTheme="minorEastAsia" w:hAnsiTheme="minorEastAsia" w:eastAsiaTheme="minorEastAsia"/>
          <w:sz w:val="24"/>
        </w:rPr>
      </w:pPr>
      <w:r>
        <w:rPr>
          <w:rFonts w:asciiTheme="minorEastAsia" w:hAnsiTheme="minorEastAsia" w:eastAsiaTheme="minorEastAsia"/>
          <w:sz w:val="24"/>
        </w:rPr>
        <w:t>1.3 如果卖方没有以书面形式对本规范书的条文提出异议，则意味着卖方提供的设备完全符合本规范书的要求。如有异议，不管是多么微小，都应在报价书中以</w:t>
      </w:r>
      <w:r>
        <w:rPr>
          <w:rFonts w:hint="eastAsia" w:asciiTheme="minorEastAsia" w:hAnsiTheme="minorEastAsia" w:eastAsiaTheme="minorEastAsia"/>
          <w:sz w:val="24"/>
        </w:rPr>
        <w:t>“</w:t>
      </w:r>
      <w:r>
        <w:rPr>
          <w:rFonts w:asciiTheme="minorEastAsia" w:hAnsiTheme="minorEastAsia" w:eastAsiaTheme="minorEastAsia"/>
          <w:sz w:val="24"/>
        </w:rPr>
        <w:t>对规范书的意见和同规范书的差异</w:t>
      </w:r>
      <w:r>
        <w:rPr>
          <w:rFonts w:hint="eastAsia" w:asciiTheme="minorEastAsia" w:hAnsiTheme="minorEastAsia" w:eastAsiaTheme="minorEastAsia"/>
          <w:sz w:val="24"/>
        </w:rPr>
        <w:t>”</w:t>
      </w:r>
      <w:r>
        <w:rPr>
          <w:rFonts w:asciiTheme="minorEastAsia" w:hAnsiTheme="minorEastAsia" w:eastAsiaTheme="minorEastAsia"/>
          <w:sz w:val="24"/>
        </w:rPr>
        <w:t>为标题的专门章节中加以详细描述。</w:t>
      </w:r>
    </w:p>
    <w:p>
      <w:pPr>
        <w:spacing w:line="360" w:lineRule="auto"/>
        <w:contextualSpacing/>
        <w:rPr>
          <w:rFonts w:hint="eastAsia" w:asciiTheme="minorEastAsia" w:hAnsiTheme="minorEastAsia" w:eastAsiaTheme="minorEastAsia"/>
          <w:sz w:val="24"/>
        </w:rPr>
      </w:pPr>
      <w:r>
        <w:rPr>
          <w:rFonts w:asciiTheme="minorEastAsia" w:hAnsiTheme="minorEastAsia" w:eastAsiaTheme="minorEastAsia"/>
          <w:sz w:val="24"/>
        </w:rPr>
        <w:t>1.4 标书内技术资料应根据技术条件参数提供投标产品，提供制造方主要的材料明细。</w:t>
      </w:r>
    </w:p>
    <w:p>
      <w:pPr>
        <w:spacing w:line="360" w:lineRule="auto"/>
        <w:contextualSpacing/>
        <w:rPr>
          <w:rFonts w:asciiTheme="minorEastAsia" w:hAnsiTheme="minorEastAsia" w:eastAsiaTheme="minorEastAsia"/>
          <w:color w:val="auto"/>
          <w:sz w:val="24"/>
        </w:rPr>
      </w:pPr>
      <w:r>
        <w:rPr>
          <w:rFonts w:hint="eastAsia" w:asciiTheme="minorEastAsia" w:hAnsiTheme="minorEastAsia" w:eastAsiaTheme="minorEastAsia"/>
          <w:sz w:val="24"/>
        </w:rPr>
        <w:t>1.5 对本技术条件书各条目的应答为“满足”、“不满足”、“部分满足”，不得使用“明白”、“理解”等词语。在答复中，要求明确满足的程度，并逐条做</w:t>
      </w:r>
      <w:r>
        <w:rPr>
          <w:rFonts w:hint="eastAsia" w:asciiTheme="minorEastAsia" w:hAnsiTheme="minorEastAsia" w:eastAsiaTheme="minorEastAsia"/>
          <w:color w:val="auto"/>
          <w:sz w:val="24"/>
        </w:rPr>
        <w:t>出具体、详细的说明，凡采用“详见”、“参见”方式说明的，应指明参见文档中的具体的章节或页码，否则将导致废标。</w:t>
      </w:r>
    </w:p>
    <w:p>
      <w:pPr>
        <w:spacing w:line="360" w:lineRule="auto"/>
        <w:contextualSpacing/>
        <w:rPr>
          <w:rFonts w:hint="eastAsia" w:asciiTheme="minorEastAsia" w:hAnsiTheme="minorEastAsia" w:eastAsiaTheme="minorEastAsia"/>
          <w:color w:val="auto"/>
          <w:sz w:val="24"/>
        </w:rPr>
      </w:pPr>
      <w:r>
        <w:rPr>
          <w:rFonts w:asciiTheme="minorEastAsia" w:hAnsiTheme="minorEastAsia" w:eastAsiaTheme="minorEastAsia"/>
          <w:color w:val="auto"/>
          <w:sz w:val="24"/>
        </w:rPr>
        <w:t>1.</w:t>
      </w:r>
      <w:r>
        <w:rPr>
          <w:rFonts w:hint="eastAsia" w:asciiTheme="minorEastAsia" w:hAnsiTheme="minorEastAsia" w:eastAsiaTheme="minorEastAsia"/>
          <w:color w:val="auto"/>
          <w:sz w:val="24"/>
        </w:rPr>
        <w:t xml:space="preserve">6 </w:t>
      </w:r>
      <w:r>
        <w:rPr>
          <w:rFonts w:asciiTheme="minorEastAsia" w:hAnsiTheme="minorEastAsia" w:eastAsiaTheme="minorEastAsia"/>
          <w:color w:val="auto"/>
          <w:sz w:val="24"/>
        </w:rPr>
        <w:t>本技术条件书经招标、投标双方确认后作为订货合同的技术附件，与合同正文具有同等法律效力。</w:t>
      </w:r>
    </w:p>
    <w:p>
      <w:pPr>
        <w:spacing w:line="360" w:lineRule="auto"/>
        <w:contextualSpacing/>
        <w:rPr>
          <w:rFonts w:hint="default" w:asciiTheme="minorEastAsia" w:hAnsiTheme="minorEastAsia" w:eastAsiaTheme="minorEastAsia"/>
          <w:color w:val="auto"/>
          <w:sz w:val="24"/>
          <w:highlight w:val="none"/>
          <w:lang w:val="en-US"/>
        </w:rPr>
      </w:pPr>
      <w:bookmarkStart w:id="3" w:name="_Hlk53906981"/>
      <w:r>
        <w:rPr>
          <w:rFonts w:hint="eastAsia" w:asciiTheme="minorEastAsia" w:hAnsiTheme="minorEastAsia" w:eastAsiaTheme="minorEastAsia"/>
          <w:color w:val="auto"/>
          <w:sz w:val="24"/>
          <w:highlight w:val="none"/>
        </w:rPr>
        <w:t>1</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投标人所投标产品</w:t>
      </w:r>
      <w:r>
        <w:rPr>
          <w:rFonts w:hint="eastAsia" w:asciiTheme="minorEastAsia" w:hAnsiTheme="minorEastAsia" w:eastAsiaTheme="minorEastAsia"/>
          <w:color w:val="auto"/>
          <w:sz w:val="24"/>
          <w:highlight w:val="none"/>
          <w:lang w:eastAsia="zh-CN"/>
        </w:rPr>
        <w:t>、</w:t>
      </w:r>
      <w:r>
        <w:rPr>
          <w:rFonts w:hint="eastAsia" w:asciiTheme="minorEastAsia" w:hAnsiTheme="minorEastAsia" w:eastAsiaTheme="minorEastAsia"/>
          <w:color w:val="auto"/>
          <w:sz w:val="24"/>
          <w:highlight w:val="none"/>
        </w:rPr>
        <w:t>设备安装工具需具有</w:t>
      </w:r>
      <w:r>
        <w:rPr>
          <w:rFonts w:hint="eastAsia" w:asciiTheme="minorEastAsia" w:hAnsiTheme="minorEastAsia" w:eastAsiaTheme="minorEastAsia"/>
          <w:color w:val="auto"/>
          <w:sz w:val="24"/>
          <w:highlight w:val="none"/>
          <w:lang w:val="en-US" w:eastAsia="zh-CN"/>
        </w:rPr>
        <w:t>CNAS或者CMA认证机构第三方</w:t>
      </w:r>
      <w:r>
        <w:rPr>
          <w:rFonts w:hint="eastAsia" w:asciiTheme="minorEastAsia" w:hAnsiTheme="minorEastAsia" w:eastAsiaTheme="minorEastAsia"/>
          <w:color w:val="auto"/>
          <w:sz w:val="24"/>
          <w:highlight w:val="none"/>
        </w:rPr>
        <w:t>的试验报告</w:t>
      </w:r>
      <w:r>
        <w:rPr>
          <w:rFonts w:hint="eastAsia" w:asciiTheme="minorEastAsia" w:hAnsiTheme="minorEastAsia" w:eastAsiaTheme="minorEastAsia"/>
          <w:color w:val="auto"/>
          <w:sz w:val="24"/>
          <w:highlight w:val="none"/>
          <w:lang w:val="en-US" w:eastAsia="zh-CN"/>
        </w:rPr>
        <w:t>或检测报告，满足10kV线路安全作业要求。</w:t>
      </w:r>
    </w:p>
    <w:p>
      <w:pPr>
        <w:spacing w:line="360" w:lineRule="auto"/>
        <w:contextualSpacing/>
        <w:rPr>
          <w:rFonts w:asciiTheme="minorEastAsia" w:hAnsiTheme="minorEastAsia" w:eastAsiaTheme="minorEastAsia"/>
          <w:color w:val="auto"/>
          <w:sz w:val="24"/>
        </w:rPr>
      </w:pPr>
      <w:r>
        <w:rPr>
          <w:rFonts w:hint="eastAsia" w:asciiTheme="minorEastAsia" w:hAnsiTheme="minorEastAsia" w:eastAsiaTheme="minorEastAsia"/>
          <w:color w:val="auto"/>
          <w:sz w:val="24"/>
        </w:rPr>
        <w:t>1.</w:t>
      </w:r>
      <w:r>
        <w:rPr>
          <w:rFonts w:hint="eastAsia" w:asciiTheme="minorEastAsia" w:hAnsiTheme="minorEastAsia" w:eastAsiaTheme="minorEastAsia"/>
          <w:color w:val="auto"/>
          <w:sz w:val="24"/>
          <w:lang w:val="en-US" w:eastAsia="zh-CN"/>
        </w:rPr>
        <w:t>8</w:t>
      </w:r>
      <w:r>
        <w:rPr>
          <w:rFonts w:hint="eastAsia" w:asciiTheme="minorEastAsia" w:hAnsiTheme="minorEastAsia" w:eastAsiaTheme="minorEastAsia"/>
          <w:color w:val="auto"/>
          <w:sz w:val="24"/>
        </w:rPr>
        <w:t xml:space="preserve"> 投标人需在技术投标文件中需提供至少</w:t>
      </w:r>
      <w:r>
        <w:rPr>
          <w:rFonts w:asciiTheme="minorEastAsia" w:hAnsiTheme="minorEastAsia" w:eastAsiaTheme="minorEastAsia"/>
          <w:color w:val="auto"/>
          <w:sz w:val="24"/>
        </w:rPr>
        <w:t>1</w:t>
      </w:r>
      <w:r>
        <w:rPr>
          <w:rFonts w:hint="eastAsia" w:asciiTheme="minorEastAsia" w:hAnsiTheme="minorEastAsia" w:eastAsiaTheme="minorEastAsia"/>
          <w:color w:val="auto"/>
          <w:sz w:val="24"/>
        </w:rPr>
        <w:t>次经巡线结果验证的线路故障诊断情况说明。</w:t>
      </w:r>
    </w:p>
    <w:bookmarkEnd w:id="3"/>
    <w:p>
      <w:pPr>
        <w:spacing w:line="360" w:lineRule="auto"/>
        <w:contextualSpacing/>
        <w:rPr>
          <w:rFonts w:hint="eastAsia" w:asciiTheme="minorEastAsia" w:hAnsiTheme="minorEastAsia" w:eastAsiaTheme="minorEastAsia"/>
          <w:color w:val="auto"/>
        </w:rPr>
      </w:pPr>
      <w:r>
        <w:rPr>
          <w:rFonts w:asciiTheme="minorEastAsia" w:hAnsiTheme="minorEastAsia" w:eastAsiaTheme="minorEastAsia"/>
          <w:color w:val="auto"/>
          <w:sz w:val="24"/>
        </w:rPr>
        <w:t>1.</w:t>
      </w:r>
      <w:r>
        <w:rPr>
          <w:rFonts w:hint="eastAsia" w:asciiTheme="minorEastAsia" w:hAnsiTheme="minorEastAsia" w:eastAsiaTheme="minorEastAsia"/>
          <w:color w:val="auto"/>
          <w:sz w:val="24"/>
          <w:lang w:val="en-US" w:eastAsia="zh-CN"/>
        </w:rPr>
        <w:t>9</w:t>
      </w:r>
      <w:r>
        <w:rPr>
          <w:rFonts w:hint="eastAsia" w:asciiTheme="minorEastAsia" w:hAnsiTheme="minorEastAsia" w:eastAsiaTheme="minorEastAsia"/>
          <w:color w:val="auto"/>
          <w:sz w:val="24"/>
        </w:rPr>
        <w:t xml:space="preserve"> </w:t>
      </w:r>
      <w:r>
        <w:rPr>
          <w:rFonts w:asciiTheme="minorEastAsia" w:hAnsiTheme="minorEastAsia" w:eastAsiaTheme="minorEastAsia"/>
          <w:color w:val="auto"/>
          <w:sz w:val="24"/>
        </w:rPr>
        <w:t>本技术规范未尽事宜</w:t>
      </w:r>
      <w:r>
        <w:rPr>
          <w:rFonts w:hint="eastAsia" w:asciiTheme="minorEastAsia" w:hAnsiTheme="minorEastAsia" w:eastAsiaTheme="minorEastAsia"/>
          <w:color w:val="auto"/>
          <w:sz w:val="24"/>
        </w:rPr>
        <w:t>，</w:t>
      </w:r>
      <w:r>
        <w:rPr>
          <w:rFonts w:asciiTheme="minorEastAsia" w:hAnsiTheme="minorEastAsia" w:eastAsiaTheme="minorEastAsia"/>
          <w:color w:val="auto"/>
          <w:sz w:val="24"/>
        </w:rPr>
        <w:t>由买、卖双方协商确定。</w:t>
      </w:r>
    </w:p>
    <w:p>
      <w:pPr>
        <w:pStyle w:val="3"/>
        <w:rPr>
          <w:rFonts w:ascii="Times New Roman" w:hAnsi="Times New Roman" w:cs="Times New Roman"/>
          <w:color w:val="auto"/>
          <w:sz w:val="32"/>
          <w:szCs w:val="32"/>
        </w:rPr>
      </w:pPr>
      <w:bookmarkStart w:id="4" w:name="_Toc57813322"/>
      <w:bookmarkStart w:id="5" w:name="_Toc490993884"/>
      <w:r>
        <w:rPr>
          <w:rFonts w:ascii="Times New Roman" w:hAnsi="Times New Roman" w:cs="Times New Roman"/>
          <w:color w:val="auto"/>
          <w:sz w:val="32"/>
          <w:szCs w:val="32"/>
        </w:rPr>
        <w:t>2</w:t>
      </w:r>
      <w:r>
        <w:rPr>
          <w:rFonts w:hint="eastAsia" w:ascii="Times New Roman" w:hAnsi="Times New Roman" w:cs="Times New Roman"/>
          <w:color w:val="auto"/>
          <w:sz w:val="32"/>
          <w:szCs w:val="32"/>
        </w:rPr>
        <w:t>.规范性引用文件</w:t>
      </w:r>
      <w:bookmarkEnd w:id="4"/>
      <w:bookmarkEnd w:id="5"/>
    </w:p>
    <w:p>
      <w:pPr>
        <w:adjustRightInd w:val="0"/>
        <w:snapToGrid w:val="0"/>
        <w:spacing w:line="360" w:lineRule="auto"/>
        <w:ind w:firstLine="480" w:firstLineChars="200"/>
        <w:rPr>
          <w:color w:val="auto"/>
          <w:sz w:val="24"/>
          <w:szCs w:val="21"/>
        </w:rPr>
      </w:pPr>
      <w:r>
        <w:rPr>
          <w:color w:val="auto"/>
          <w:sz w:val="24"/>
          <w:szCs w:val="21"/>
        </w:rPr>
        <w:t>除本标书特殊规定外</w:t>
      </w:r>
      <w:r>
        <w:rPr>
          <w:rFonts w:hint="eastAsia"/>
          <w:color w:val="auto"/>
          <w:sz w:val="24"/>
          <w:szCs w:val="21"/>
        </w:rPr>
        <w:t>，</w:t>
      </w:r>
      <w:r>
        <w:rPr>
          <w:color w:val="auto"/>
          <w:sz w:val="24"/>
          <w:szCs w:val="21"/>
        </w:rPr>
        <w:t>投标方所提供的设备均按规定的标准和规程的最新版本进行设计、制造、试验和安装。如果这些标准内容有矛盾时</w:t>
      </w:r>
      <w:r>
        <w:rPr>
          <w:rFonts w:hint="eastAsia"/>
          <w:color w:val="auto"/>
          <w:sz w:val="24"/>
          <w:szCs w:val="21"/>
        </w:rPr>
        <w:t>，</w:t>
      </w:r>
      <w:r>
        <w:rPr>
          <w:color w:val="auto"/>
          <w:sz w:val="24"/>
          <w:szCs w:val="21"/>
        </w:rPr>
        <w:t>应按最高标准的条款执行或按双方商定的标准执行。如果投标方选用本标书规定以外的标准时</w:t>
      </w:r>
      <w:r>
        <w:rPr>
          <w:rFonts w:hint="eastAsia"/>
          <w:color w:val="auto"/>
          <w:sz w:val="24"/>
          <w:szCs w:val="21"/>
        </w:rPr>
        <w:t>，</w:t>
      </w:r>
      <w:r>
        <w:rPr>
          <w:color w:val="auto"/>
          <w:sz w:val="24"/>
          <w:szCs w:val="21"/>
        </w:rPr>
        <w:t>则需提交这种替换标准供审查和分析。仅在投标方已证明替换标准相当或优于标书规定的标准</w:t>
      </w:r>
      <w:r>
        <w:rPr>
          <w:rFonts w:hint="eastAsia"/>
          <w:color w:val="auto"/>
          <w:sz w:val="24"/>
          <w:szCs w:val="21"/>
        </w:rPr>
        <w:t>，</w:t>
      </w:r>
      <w:r>
        <w:rPr>
          <w:color w:val="auto"/>
          <w:sz w:val="24"/>
          <w:szCs w:val="21"/>
        </w:rPr>
        <w:t>并从招标方处获得书面的认可才能使用。提交供审查的标准应为中文或英文版本。主要引用标准如下：</w:t>
      </w:r>
    </w:p>
    <w:p>
      <w:pPr>
        <w:adjustRightInd w:val="0"/>
        <w:snapToGrid w:val="0"/>
        <w:spacing w:line="360" w:lineRule="auto"/>
        <w:ind w:firstLine="480" w:firstLineChars="200"/>
        <w:rPr>
          <w:rFonts w:hint="eastAsia"/>
          <w:color w:val="auto"/>
          <w:sz w:val="24"/>
        </w:rPr>
      </w:pPr>
      <w:r>
        <w:rPr>
          <w:rFonts w:hint="eastAsia"/>
          <w:color w:val="auto"/>
          <w:sz w:val="24"/>
        </w:rPr>
        <w:t>DL/T 814</w:t>
      </w:r>
      <w:r>
        <w:rPr>
          <w:rFonts w:hint="eastAsia"/>
          <w:color w:val="auto"/>
          <w:sz w:val="24"/>
        </w:rPr>
        <w:tab/>
      </w:r>
      <w:r>
        <w:rPr>
          <w:color w:val="auto"/>
          <w:sz w:val="24"/>
        </w:rPr>
        <w:t xml:space="preserve">   </w:t>
      </w:r>
      <w:r>
        <w:rPr>
          <w:rFonts w:hint="eastAsia"/>
          <w:color w:val="auto"/>
          <w:sz w:val="24"/>
        </w:rPr>
        <w:t>配电自动化系统功能规范</w:t>
      </w:r>
    </w:p>
    <w:p>
      <w:pPr>
        <w:adjustRightInd w:val="0"/>
        <w:snapToGrid w:val="0"/>
        <w:spacing w:line="360" w:lineRule="auto"/>
        <w:ind w:firstLine="480" w:firstLineChars="200"/>
        <w:rPr>
          <w:rFonts w:hint="eastAsia"/>
          <w:color w:val="auto"/>
          <w:sz w:val="24"/>
        </w:rPr>
      </w:pPr>
      <w:r>
        <w:rPr>
          <w:rFonts w:hint="eastAsia"/>
          <w:color w:val="auto"/>
          <w:sz w:val="24"/>
        </w:rPr>
        <w:t xml:space="preserve">GB/T13729 </w:t>
      </w:r>
      <w:r>
        <w:rPr>
          <w:color w:val="auto"/>
          <w:sz w:val="24"/>
        </w:rPr>
        <w:t xml:space="preserve">  </w:t>
      </w:r>
      <w:r>
        <w:rPr>
          <w:rFonts w:hint="eastAsia"/>
          <w:color w:val="auto"/>
          <w:sz w:val="24"/>
          <w:lang w:val="en-US" w:eastAsia="zh-CN"/>
        </w:rPr>
        <w:t xml:space="preserve"> </w:t>
      </w:r>
      <w:r>
        <w:rPr>
          <w:rFonts w:hint="eastAsia"/>
          <w:color w:val="auto"/>
          <w:sz w:val="24"/>
        </w:rPr>
        <w:t>远方终端通用技术条件</w:t>
      </w:r>
    </w:p>
    <w:p>
      <w:pPr>
        <w:adjustRightInd w:val="0"/>
        <w:snapToGrid w:val="0"/>
        <w:spacing w:line="360" w:lineRule="auto"/>
        <w:ind w:firstLine="480" w:firstLineChars="200"/>
        <w:rPr>
          <w:rFonts w:hint="eastAsia"/>
          <w:color w:val="auto"/>
          <w:sz w:val="24"/>
        </w:rPr>
      </w:pPr>
      <w:r>
        <w:rPr>
          <w:rFonts w:hint="eastAsia"/>
          <w:color w:val="auto"/>
          <w:sz w:val="24"/>
        </w:rPr>
        <w:t xml:space="preserve">DL/T630    </w:t>
      </w:r>
      <w:r>
        <w:rPr>
          <w:color w:val="auto"/>
          <w:sz w:val="24"/>
        </w:rPr>
        <w:t xml:space="preserve"> </w:t>
      </w:r>
      <w:r>
        <w:rPr>
          <w:rFonts w:hint="eastAsia"/>
          <w:color w:val="auto"/>
          <w:sz w:val="24"/>
          <w:lang w:val="en-US" w:eastAsia="zh-CN"/>
        </w:rPr>
        <w:t xml:space="preserve"> </w:t>
      </w:r>
      <w:r>
        <w:rPr>
          <w:rFonts w:hint="eastAsia"/>
          <w:color w:val="auto"/>
          <w:sz w:val="24"/>
        </w:rPr>
        <w:t>交流采样远动终端技术条件</w:t>
      </w:r>
    </w:p>
    <w:p>
      <w:pPr>
        <w:adjustRightInd w:val="0"/>
        <w:snapToGrid w:val="0"/>
        <w:spacing w:line="360" w:lineRule="auto"/>
        <w:ind w:firstLine="480" w:firstLineChars="200"/>
        <w:rPr>
          <w:rFonts w:hint="eastAsia"/>
          <w:color w:val="auto"/>
          <w:sz w:val="24"/>
        </w:rPr>
      </w:pPr>
      <w:r>
        <w:rPr>
          <w:rFonts w:hint="eastAsia"/>
          <w:color w:val="auto"/>
          <w:sz w:val="24"/>
        </w:rPr>
        <w:t>DL/T 721</w:t>
      </w:r>
      <w:r>
        <w:rPr>
          <w:rFonts w:hint="eastAsia"/>
          <w:color w:val="auto"/>
          <w:sz w:val="24"/>
        </w:rPr>
        <w:tab/>
      </w:r>
      <w:r>
        <w:rPr>
          <w:color w:val="auto"/>
          <w:sz w:val="24"/>
        </w:rPr>
        <w:t xml:space="preserve">   </w:t>
      </w:r>
      <w:r>
        <w:rPr>
          <w:rFonts w:hint="eastAsia"/>
          <w:color w:val="auto"/>
          <w:sz w:val="24"/>
        </w:rPr>
        <w:t>配网自动化系统远方终端</w:t>
      </w:r>
    </w:p>
    <w:p>
      <w:pPr>
        <w:adjustRightInd w:val="0"/>
        <w:snapToGrid w:val="0"/>
        <w:spacing w:line="360" w:lineRule="auto"/>
        <w:ind w:firstLine="480" w:firstLineChars="200"/>
        <w:rPr>
          <w:rFonts w:hint="eastAsia"/>
          <w:color w:val="auto"/>
          <w:sz w:val="24"/>
        </w:rPr>
      </w:pPr>
      <w:r>
        <w:rPr>
          <w:rFonts w:hint="eastAsia"/>
          <w:color w:val="auto"/>
          <w:sz w:val="24"/>
        </w:rPr>
        <w:t>QWD/436     配电线路故障指示器技术规范</w:t>
      </w:r>
    </w:p>
    <w:p>
      <w:pPr>
        <w:adjustRightInd w:val="0"/>
        <w:snapToGrid w:val="0"/>
        <w:spacing w:line="360" w:lineRule="auto"/>
        <w:ind w:firstLine="480" w:firstLineChars="200"/>
        <w:rPr>
          <w:rFonts w:hint="eastAsia"/>
          <w:color w:val="auto"/>
          <w:sz w:val="24"/>
        </w:rPr>
      </w:pPr>
      <w:r>
        <w:rPr>
          <w:rFonts w:hint="eastAsia"/>
          <w:color w:val="auto"/>
          <w:sz w:val="24"/>
        </w:rPr>
        <w:t>GB 4208</w:t>
      </w:r>
      <w:r>
        <w:rPr>
          <w:rFonts w:hint="eastAsia"/>
          <w:color w:val="auto"/>
          <w:sz w:val="24"/>
        </w:rPr>
        <w:tab/>
      </w:r>
      <w:r>
        <w:rPr>
          <w:rFonts w:hint="eastAsia"/>
          <w:color w:val="auto"/>
          <w:sz w:val="24"/>
        </w:rPr>
        <w:tab/>
      </w:r>
      <w:r>
        <w:rPr>
          <w:rFonts w:hint="eastAsia"/>
          <w:color w:val="auto"/>
          <w:sz w:val="24"/>
        </w:rPr>
        <w:t>外壳防护等级（IP代码）</w:t>
      </w:r>
    </w:p>
    <w:p>
      <w:pPr>
        <w:adjustRightInd w:val="0"/>
        <w:snapToGrid w:val="0"/>
        <w:spacing w:line="360" w:lineRule="auto"/>
        <w:ind w:firstLine="480" w:firstLineChars="200"/>
        <w:rPr>
          <w:rFonts w:hint="eastAsia"/>
          <w:color w:val="auto"/>
          <w:sz w:val="24"/>
        </w:rPr>
      </w:pPr>
      <w:r>
        <w:rPr>
          <w:rFonts w:hint="eastAsia"/>
          <w:color w:val="auto"/>
          <w:sz w:val="24"/>
        </w:rPr>
        <w:t>DL/T 634.5101</w:t>
      </w:r>
      <w:r>
        <w:rPr>
          <w:color w:val="auto"/>
          <w:sz w:val="24"/>
        </w:rPr>
        <w:t xml:space="preserve"> </w:t>
      </w:r>
      <w:r>
        <w:rPr>
          <w:rFonts w:hint="eastAsia"/>
          <w:color w:val="auto"/>
          <w:sz w:val="24"/>
        </w:rPr>
        <w:t>远动设备及系统第5-101部分:传输规定</w:t>
      </w:r>
    </w:p>
    <w:p>
      <w:pPr>
        <w:adjustRightInd w:val="0"/>
        <w:snapToGrid w:val="0"/>
        <w:spacing w:line="360" w:lineRule="auto"/>
        <w:ind w:firstLine="480" w:firstLineChars="200"/>
        <w:rPr>
          <w:rFonts w:hint="eastAsia"/>
          <w:color w:val="auto"/>
          <w:sz w:val="24"/>
        </w:rPr>
      </w:pPr>
      <w:r>
        <w:rPr>
          <w:rFonts w:hint="eastAsia"/>
          <w:color w:val="auto"/>
          <w:sz w:val="24"/>
        </w:rPr>
        <w:t>DL/T 634.5104</w:t>
      </w:r>
      <w:r>
        <w:rPr>
          <w:color w:val="auto"/>
          <w:sz w:val="24"/>
        </w:rPr>
        <w:t xml:space="preserve"> </w:t>
      </w:r>
      <w:r>
        <w:rPr>
          <w:rFonts w:hint="eastAsia"/>
          <w:color w:val="auto"/>
          <w:sz w:val="24"/>
        </w:rPr>
        <w:t>远动设备及系统第5-104部分:传输规定</w:t>
      </w:r>
    </w:p>
    <w:p>
      <w:pPr>
        <w:adjustRightInd w:val="0"/>
        <w:snapToGrid w:val="0"/>
        <w:spacing w:line="360" w:lineRule="auto"/>
        <w:ind w:firstLine="480" w:firstLineChars="200"/>
        <w:rPr>
          <w:rFonts w:hint="eastAsia"/>
          <w:color w:val="auto"/>
          <w:sz w:val="24"/>
        </w:rPr>
      </w:pPr>
      <w:r>
        <w:rPr>
          <w:rFonts w:hint="eastAsia"/>
          <w:color w:val="auto"/>
          <w:sz w:val="24"/>
        </w:rPr>
        <w:t xml:space="preserve">GB/T2423.1  </w:t>
      </w:r>
      <w:r>
        <w:rPr>
          <w:rFonts w:hint="eastAsia"/>
          <w:color w:val="auto"/>
          <w:sz w:val="24"/>
          <w:lang w:val="en-US" w:eastAsia="zh-CN"/>
        </w:rPr>
        <w:t xml:space="preserve"> </w:t>
      </w:r>
      <w:r>
        <w:rPr>
          <w:rFonts w:hint="eastAsia"/>
          <w:color w:val="auto"/>
          <w:sz w:val="24"/>
        </w:rPr>
        <w:t>电工电子产品环境试验  第2部分：试验方法  试验 A：低温</w:t>
      </w:r>
    </w:p>
    <w:p>
      <w:pPr>
        <w:adjustRightInd w:val="0"/>
        <w:snapToGrid w:val="0"/>
        <w:spacing w:line="360" w:lineRule="auto"/>
        <w:ind w:firstLine="480" w:firstLineChars="200"/>
        <w:rPr>
          <w:rFonts w:hint="eastAsia"/>
          <w:color w:val="auto"/>
          <w:sz w:val="24"/>
        </w:rPr>
      </w:pPr>
      <w:r>
        <w:rPr>
          <w:rFonts w:hint="eastAsia"/>
          <w:color w:val="auto"/>
          <w:sz w:val="24"/>
        </w:rPr>
        <w:t>GB/T2423.2  电工电子产品环境试验  第2部分：试验方法  试验B：高温</w:t>
      </w:r>
    </w:p>
    <w:p>
      <w:pPr>
        <w:adjustRightInd w:val="0"/>
        <w:snapToGrid w:val="0"/>
        <w:spacing w:line="360" w:lineRule="auto"/>
        <w:ind w:firstLine="480" w:firstLineChars="200"/>
        <w:rPr>
          <w:rFonts w:hint="eastAsia"/>
          <w:color w:val="auto"/>
          <w:sz w:val="24"/>
        </w:rPr>
      </w:pPr>
      <w:r>
        <w:rPr>
          <w:rFonts w:hint="eastAsia"/>
          <w:color w:val="auto"/>
          <w:sz w:val="24"/>
        </w:rPr>
        <w:t xml:space="preserve">GB/T 2423.4  电工电子产品基本环境试验规程 试验Db: 交变湿热试验方法 </w:t>
      </w:r>
    </w:p>
    <w:p>
      <w:pPr>
        <w:adjustRightInd w:val="0"/>
        <w:snapToGrid w:val="0"/>
        <w:spacing w:line="360" w:lineRule="auto"/>
        <w:ind w:firstLine="480" w:firstLineChars="200"/>
        <w:rPr>
          <w:rFonts w:hint="eastAsia"/>
          <w:color w:val="auto"/>
          <w:sz w:val="24"/>
        </w:rPr>
      </w:pPr>
      <w:r>
        <w:rPr>
          <w:rFonts w:hint="eastAsia"/>
          <w:color w:val="auto"/>
          <w:sz w:val="24"/>
        </w:rPr>
        <w:t>GB/T 2423.8 电工电子产品环境试验 第2部分:</w:t>
      </w:r>
      <w:r>
        <w:rPr>
          <w:color w:val="auto"/>
          <w:sz w:val="24"/>
        </w:rPr>
        <w:t xml:space="preserve"> </w:t>
      </w:r>
      <w:r>
        <w:rPr>
          <w:rFonts w:hint="eastAsia"/>
          <w:color w:val="auto"/>
          <w:sz w:val="24"/>
        </w:rPr>
        <w:t>试验方法 试验Ed: 自由跌落</w:t>
      </w:r>
    </w:p>
    <w:p>
      <w:pPr>
        <w:adjustRightInd w:val="0"/>
        <w:snapToGrid w:val="0"/>
        <w:spacing w:line="360" w:lineRule="auto"/>
        <w:ind w:firstLine="480" w:firstLineChars="200"/>
        <w:rPr>
          <w:rFonts w:hint="eastAsia"/>
          <w:color w:val="auto"/>
          <w:sz w:val="24"/>
        </w:rPr>
      </w:pPr>
      <w:r>
        <w:rPr>
          <w:rFonts w:hint="eastAsia"/>
          <w:color w:val="auto"/>
          <w:sz w:val="24"/>
        </w:rPr>
        <w:t>GB/T2423.9  电工电子产品环境试验  第2部分：试验方法  试验Cb：设备用恒定湿热</w:t>
      </w:r>
    </w:p>
    <w:p>
      <w:pPr>
        <w:adjustRightInd w:val="0"/>
        <w:snapToGrid w:val="0"/>
        <w:spacing w:line="360" w:lineRule="auto"/>
        <w:ind w:firstLine="480" w:firstLineChars="200"/>
        <w:rPr>
          <w:rFonts w:hint="eastAsia"/>
          <w:color w:val="auto"/>
          <w:sz w:val="24"/>
        </w:rPr>
      </w:pPr>
      <w:r>
        <w:rPr>
          <w:rFonts w:hint="eastAsia"/>
          <w:color w:val="auto"/>
          <w:sz w:val="24"/>
        </w:rPr>
        <w:t>GB/T 2423.10 电工电子产品环境试验 第2部分: 试验方法 试验Fc和导则:振动(正弦)</w:t>
      </w:r>
    </w:p>
    <w:p>
      <w:pPr>
        <w:adjustRightInd w:val="0"/>
        <w:snapToGrid w:val="0"/>
        <w:spacing w:line="360" w:lineRule="auto"/>
        <w:ind w:firstLine="480" w:firstLineChars="200"/>
        <w:rPr>
          <w:rFonts w:hint="eastAsia"/>
          <w:color w:val="auto"/>
          <w:sz w:val="24"/>
        </w:rPr>
      </w:pPr>
      <w:r>
        <w:rPr>
          <w:rFonts w:hint="eastAsia"/>
          <w:color w:val="auto"/>
          <w:sz w:val="24"/>
        </w:rPr>
        <w:t xml:space="preserve">GB/T17626.2 </w:t>
      </w:r>
      <w:r>
        <w:rPr>
          <w:color w:val="auto"/>
          <w:sz w:val="24"/>
        </w:rPr>
        <w:t xml:space="preserve"> </w:t>
      </w:r>
      <w:r>
        <w:rPr>
          <w:rFonts w:hint="eastAsia"/>
          <w:color w:val="auto"/>
          <w:sz w:val="24"/>
        </w:rPr>
        <w:t>电磁兼容 试验和测量技术 静电放电抗扰度试验</w:t>
      </w:r>
    </w:p>
    <w:p>
      <w:pPr>
        <w:adjustRightInd w:val="0"/>
        <w:snapToGrid w:val="0"/>
        <w:spacing w:line="360" w:lineRule="auto"/>
        <w:ind w:firstLine="480" w:firstLineChars="200"/>
        <w:rPr>
          <w:rFonts w:hint="eastAsia"/>
          <w:color w:val="auto"/>
          <w:sz w:val="24"/>
        </w:rPr>
      </w:pPr>
      <w:r>
        <w:rPr>
          <w:rFonts w:hint="eastAsia"/>
          <w:color w:val="auto"/>
          <w:sz w:val="24"/>
        </w:rPr>
        <w:t>GB/T17626.3  电磁兼容 试验和测量技术 射频电磁场辐射抗扰度试验</w:t>
      </w:r>
    </w:p>
    <w:p>
      <w:pPr>
        <w:adjustRightInd w:val="0"/>
        <w:snapToGrid w:val="0"/>
        <w:spacing w:line="360" w:lineRule="auto"/>
        <w:ind w:firstLine="480" w:firstLineChars="200"/>
        <w:rPr>
          <w:rFonts w:hint="eastAsia"/>
          <w:color w:val="auto"/>
          <w:sz w:val="24"/>
        </w:rPr>
      </w:pPr>
      <w:r>
        <w:rPr>
          <w:rFonts w:hint="eastAsia"/>
          <w:color w:val="auto"/>
          <w:sz w:val="24"/>
        </w:rPr>
        <w:t>GB/T17626.4  电磁兼容 试验和测量技术 快速脉冲群抗扰度试验</w:t>
      </w:r>
    </w:p>
    <w:p>
      <w:pPr>
        <w:adjustRightInd w:val="0"/>
        <w:snapToGrid w:val="0"/>
        <w:spacing w:line="360" w:lineRule="auto"/>
        <w:ind w:firstLine="480" w:firstLineChars="200"/>
        <w:rPr>
          <w:rFonts w:hint="eastAsia"/>
          <w:color w:val="auto"/>
          <w:sz w:val="24"/>
        </w:rPr>
      </w:pPr>
      <w:r>
        <w:rPr>
          <w:rFonts w:hint="eastAsia"/>
          <w:color w:val="auto"/>
          <w:sz w:val="24"/>
        </w:rPr>
        <w:t>GB/T17626.5  电磁兼容 试验和测量技术 浪涌抗扰度试验</w:t>
      </w:r>
    </w:p>
    <w:p>
      <w:pPr>
        <w:adjustRightInd w:val="0"/>
        <w:snapToGrid w:val="0"/>
        <w:spacing w:line="360" w:lineRule="auto"/>
        <w:ind w:firstLine="480" w:firstLineChars="200"/>
        <w:rPr>
          <w:rFonts w:hint="eastAsia"/>
          <w:color w:val="auto"/>
          <w:sz w:val="24"/>
        </w:rPr>
      </w:pPr>
      <w:r>
        <w:rPr>
          <w:rFonts w:hint="eastAsia"/>
          <w:color w:val="auto"/>
          <w:sz w:val="24"/>
        </w:rPr>
        <w:t>GB/T17626.88  电磁兼容 试验和测量技术 工频磁场抗扰度试验</w:t>
      </w:r>
    </w:p>
    <w:p>
      <w:pPr>
        <w:adjustRightInd w:val="0"/>
        <w:snapToGrid w:val="0"/>
        <w:spacing w:line="360" w:lineRule="auto"/>
        <w:ind w:firstLine="480" w:firstLineChars="200"/>
        <w:rPr>
          <w:rFonts w:hint="eastAsia"/>
          <w:color w:val="auto"/>
          <w:sz w:val="24"/>
        </w:rPr>
      </w:pPr>
      <w:r>
        <w:rPr>
          <w:rFonts w:hint="eastAsia"/>
          <w:color w:val="auto"/>
          <w:sz w:val="24"/>
        </w:rPr>
        <w:t xml:space="preserve">GB/T17626.12 </w:t>
      </w:r>
      <w:r>
        <w:rPr>
          <w:color w:val="auto"/>
          <w:sz w:val="24"/>
        </w:rPr>
        <w:t xml:space="preserve"> </w:t>
      </w:r>
      <w:r>
        <w:rPr>
          <w:rFonts w:hint="eastAsia"/>
          <w:color w:val="auto"/>
          <w:sz w:val="24"/>
        </w:rPr>
        <w:t>电磁兼容 试验和测量技术 阻尼振荡波抗扰度试验</w:t>
      </w:r>
    </w:p>
    <w:p>
      <w:pPr>
        <w:adjustRightInd w:val="0"/>
        <w:snapToGrid w:val="0"/>
        <w:spacing w:line="360" w:lineRule="auto"/>
        <w:ind w:firstLine="480" w:firstLineChars="200"/>
        <w:rPr>
          <w:rFonts w:hint="eastAsia"/>
          <w:color w:val="auto"/>
          <w:sz w:val="24"/>
        </w:rPr>
      </w:pPr>
      <w:r>
        <w:rPr>
          <w:rFonts w:hint="eastAsia"/>
          <w:color w:val="auto"/>
          <w:sz w:val="24"/>
        </w:rPr>
        <w:t xml:space="preserve">GB/T11287   </w:t>
      </w:r>
      <w:r>
        <w:rPr>
          <w:color w:val="auto"/>
          <w:sz w:val="24"/>
        </w:rPr>
        <w:t xml:space="preserve"> </w:t>
      </w:r>
      <w:r>
        <w:rPr>
          <w:rFonts w:hint="eastAsia"/>
          <w:color w:val="auto"/>
          <w:sz w:val="24"/>
        </w:rPr>
        <w:t>电气继电器 第21部分：量度继电器和保护装置的振动、冲击、碰撞和地震试验 第1篇：振动试验（正弦）</w:t>
      </w:r>
    </w:p>
    <w:p>
      <w:pPr>
        <w:adjustRightInd w:val="0"/>
        <w:snapToGrid w:val="0"/>
        <w:spacing w:line="360" w:lineRule="auto"/>
        <w:ind w:firstLine="480" w:firstLineChars="200"/>
        <w:rPr>
          <w:rFonts w:hint="eastAsia"/>
          <w:color w:val="auto"/>
          <w:sz w:val="24"/>
        </w:rPr>
      </w:pPr>
      <w:r>
        <w:rPr>
          <w:rFonts w:hint="eastAsia"/>
          <w:color w:val="auto"/>
          <w:sz w:val="24"/>
        </w:rPr>
        <w:t>GB/T14537   量度继电器和保护装置的冲击与碰撞试验</w:t>
      </w:r>
    </w:p>
    <w:p>
      <w:pPr>
        <w:adjustRightInd w:val="0"/>
        <w:snapToGrid w:val="0"/>
        <w:spacing w:line="360" w:lineRule="auto"/>
        <w:ind w:firstLine="480" w:firstLineChars="200"/>
        <w:rPr>
          <w:rFonts w:hint="eastAsia"/>
          <w:color w:val="auto"/>
          <w:sz w:val="24"/>
        </w:rPr>
      </w:pPr>
      <w:r>
        <w:rPr>
          <w:rFonts w:hint="eastAsia"/>
          <w:color w:val="auto"/>
          <w:sz w:val="24"/>
        </w:rPr>
        <w:t>GB/T 9969.1</w:t>
      </w:r>
      <w:r>
        <w:rPr>
          <w:color w:val="auto"/>
          <w:sz w:val="24"/>
        </w:rPr>
        <w:t xml:space="preserve">  </w:t>
      </w:r>
      <w:r>
        <w:rPr>
          <w:rFonts w:hint="eastAsia"/>
          <w:color w:val="auto"/>
          <w:sz w:val="24"/>
        </w:rPr>
        <w:t>工业产品使用说明书  总则</w:t>
      </w:r>
    </w:p>
    <w:p>
      <w:pPr>
        <w:adjustRightInd w:val="0"/>
        <w:snapToGrid w:val="0"/>
        <w:spacing w:line="360" w:lineRule="auto"/>
        <w:ind w:firstLine="480" w:firstLineChars="200"/>
        <w:rPr>
          <w:rFonts w:hint="eastAsia"/>
          <w:color w:val="auto"/>
          <w:sz w:val="24"/>
        </w:rPr>
      </w:pPr>
      <w:r>
        <w:rPr>
          <w:rFonts w:hint="eastAsia"/>
          <w:color w:val="auto"/>
          <w:sz w:val="24"/>
        </w:rPr>
        <w:t>GB/T 14436   工业产品保证文件  总则</w:t>
      </w:r>
    </w:p>
    <w:p>
      <w:pPr>
        <w:adjustRightInd w:val="0"/>
        <w:snapToGrid w:val="0"/>
        <w:spacing w:line="360" w:lineRule="auto"/>
        <w:ind w:firstLine="480" w:firstLineChars="200"/>
        <w:rPr>
          <w:color w:val="auto"/>
          <w:szCs w:val="21"/>
        </w:rPr>
      </w:pPr>
      <w:r>
        <w:rPr>
          <w:rFonts w:hint="eastAsia"/>
          <w:color w:val="auto"/>
          <w:sz w:val="24"/>
        </w:rPr>
        <w:t xml:space="preserve">GB/T 191    </w:t>
      </w:r>
      <w:r>
        <w:rPr>
          <w:color w:val="auto"/>
          <w:sz w:val="24"/>
        </w:rPr>
        <w:t xml:space="preserve"> </w:t>
      </w:r>
      <w:r>
        <w:rPr>
          <w:rFonts w:hint="eastAsia"/>
          <w:color w:val="auto"/>
          <w:sz w:val="24"/>
        </w:rPr>
        <w:t>包装储运图示标志</w:t>
      </w:r>
    </w:p>
    <w:p>
      <w:pPr>
        <w:pStyle w:val="3"/>
        <w:rPr>
          <w:rFonts w:ascii="Times New Roman" w:hAnsi="Times New Roman" w:cs="Times New Roman"/>
          <w:color w:val="auto"/>
          <w:sz w:val="32"/>
          <w:szCs w:val="32"/>
        </w:rPr>
      </w:pPr>
      <w:bookmarkStart w:id="6" w:name="_Toc57813323"/>
      <w:bookmarkStart w:id="7" w:name="_Toc490993885"/>
      <w:r>
        <w:rPr>
          <w:rFonts w:ascii="Times New Roman" w:hAnsi="Times New Roman" w:cs="Times New Roman"/>
          <w:color w:val="auto"/>
          <w:sz w:val="32"/>
          <w:szCs w:val="32"/>
        </w:rPr>
        <w:t>3</w:t>
      </w:r>
      <w:r>
        <w:rPr>
          <w:rFonts w:hint="eastAsia" w:ascii="Times New Roman" w:hAnsi="Times New Roman" w:cs="Times New Roman"/>
          <w:color w:val="auto"/>
          <w:sz w:val="32"/>
          <w:szCs w:val="32"/>
        </w:rPr>
        <w:t>.技术要求</w:t>
      </w:r>
      <w:bookmarkEnd w:id="6"/>
      <w:bookmarkEnd w:id="7"/>
    </w:p>
    <w:p>
      <w:pPr>
        <w:pStyle w:val="5"/>
        <w:spacing w:beforeAutospacing="0" w:afterAutospacing="0" w:line="360" w:lineRule="auto"/>
        <w:rPr>
          <w:rFonts w:ascii="Times New Roman" w:hAnsi="Times New Roman"/>
          <w:color w:val="auto"/>
          <w:sz w:val="30"/>
          <w:szCs w:val="30"/>
        </w:rPr>
      </w:pPr>
      <w:bookmarkStart w:id="8" w:name="_Toc57813324"/>
      <w:bookmarkStart w:id="9" w:name="_Toc331178878"/>
      <w:bookmarkStart w:id="10" w:name="_Toc331179028"/>
      <w:bookmarkStart w:id="11" w:name="_Toc331179070"/>
      <w:bookmarkStart w:id="12" w:name="_Toc247430084"/>
      <w:bookmarkStart w:id="13" w:name="_Toc331178970"/>
      <w:bookmarkStart w:id="14" w:name="_Toc331178998"/>
      <w:bookmarkStart w:id="15" w:name="_Toc331407198"/>
      <w:r>
        <w:rPr>
          <w:rFonts w:ascii="Times New Roman" w:hAnsi="Times New Roman"/>
          <w:color w:val="auto"/>
          <w:sz w:val="30"/>
          <w:szCs w:val="30"/>
        </w:rPr>
        <w:t>3.1总体要求</w:t>
      </w:r>
      <w:bookmarkEnd w:id="8"/>
    </w:p>
    <w:p>
      <w:pPr>
        <w:spacing w:line="360" w:lineRule="auto"/>
        <w:ind w:firstLine="480" w:firstLineChars="200"/>
        <w:contextualSpacing/>
        <w:rPr>
          <w:rFonts w:ascii="Times New Roman" w:hAnsi="Times New Roman" w:eastAsiaTheme="minorEastAsia"/>
          <w:color w:val="auto"/>
          <w:sz w:val="24"/>
        </w:rPr>
      </w:pPr>
      <w:r>
        <w:rPr>
          <w:rFonts w:ascii="Times New Roman" w:hAnsi="Times New Roman" w:eastAsiaTheme="minorEastAsia"/>
          <w:color w:val="auto"/>
          <w:sz w:val="24"/>
        </w:rPr>
        <w:t>装置具有各类短路及接地故障的工频故障电流、工频对地电压与高频电流的采集、处理、上传、统计，储存等功能，具有实现短路故障及接地故障下的故障区段定位、杆塔级精确定位功能。</w:t>
      </w:r>
    </w:p>
    <w:p>
      <w:pPr>
        <w:spacing w:line="360" w:lineRule="auto"/>
        <w:ind w:firstLine="480" w:firstLineChars="200"/>
        <w:contextualSpacing/>
        <w:rPr>
          <w:rFonts w:hint="default" w:ascii="Times New Roman" w:hAnsi="Times New Roman" w:eastAsiaTheme="minorEastAsia"/>
          <w:color w:val="auto"/>
          <w:sz w:val="24"/>
          <w:lang w:val="en-US" w:eastAsia="zh-CN"/>
        </w:rPr>
      </w:pPr>
      <w:r>
        <w:rPr>
          <w:rFonts w:ascii="Times New Roman" w:hAnsi="Times New Roman" w:eastAsiaTheme="minorEastAsia"/>
          <w:color w:val="auto"/>
          <w:sz w:val="24"/>
        </w:rPr>
        <w:t>1）应能识别永久性、瞬时性故障，以及区内、区外故障，并主动告警</w:t>
      </w:r>
      <w:r>
        <w:rPr>
          <w:rFonts w:hint="eastAsia" w:ascii="Times New Roman" w:hAnsi="Times New Roman" w:eastAsiaTheme="minorEastAsia"/>
          <w:color w:val="auto"/>
          <w:sz w:val="24"/>
          <w:lang w:eastAsia="zh-CN"/>
        </w:rPr>
        <w:t>，</w:t>
      </w:r>
      <w:r>
        <w:rPr>
          <w:rFonts w:hint="eastAsia" w:ascii="Times New Roman" w:hAnsi="Times New Roman" w:eastAsiaTheme="minorEastAsia"/>
          <w:b w:val="0"/>
          <w:bCs w:val="0"/>
          <w:color w:val="auto"/>
          <w:sz w:val="24"/>
          <w:highlight w:val="none"/>
          <w:lang w:val="en-US" w:eastAsia="zh-CN"/>
        </w:rPr>
        <w:t>具备能接入招标方部署在内网运行监控平台进行集中监视的能力</w:t>
      </w:r>
      <w:r>
        <w:rPr>
          <w:rFonts w:hint="eastAsia" w:ascii="Times New Roman" w:hAnsi="Times New Roman" w:eastAsiaTheme="minorEastAsia"/>
          <w:color w:val="auto"/>
          <w:sz w:val="24"/>
          <w:highlight w:val="none"/>
          <w:lang w:eastAsia="zh-CN"/>
        </w:rPr>
        <w:t>，</w:t>
      </w:r>
      <w:r>
        <w:rPr>
          <w:rFonts w:hint="eastAsia" w:ascii="Times New Roman" w:hAnsi="Times New Roman" w:eastAsiaTheme="minorEastAsia"/>
          <w:color w:val="auto"/>
          <w:sz w:val="24"/>
          <w:highlight w:val="none"/>
          <w:lang w:val="en-US" w:eastAsia="zh-CN"/>
        </w:rPr>
        <w:t>并以短信的形式实时发送告警信号；</w:t>
      </w:r>
    </w:p>
    <w:p>
      <w:pPr>
        <w:spacing w:line="360" w:lineRule="auto"/>
        <w:ind w:firstLine="480" w:firstLineChars="200"/>
        <w:contextualSpacing/>
        <w:rPr>
          <w:rFonts w:ascii="Times New Roman" w:hAnsi="Times New Roman" w:eastAsiaTheme="minorEastAsia"/>
          <w:color w:val="auto"/>
          <w:sz w:val="24"/>
        </w:rPr>
      </w:pPr>
      <w:r>
        <w:rPr>
          <w:rFonts w:ascii="Times New Roman" w:hAnsi="Times New Roman" w:eastAsiaTheme="minorEastAsia"/>
          <w:color w:val="auto"/>
          <w:sz w:val="24"/>
        </w:rPr>
        <w:t>2）应能准确确定线路故障区段，短路故障区段定位准确率大于95%，接地故障故障区段定位准确率大于90%</w:t>
      </w:r>
      <w:r>
        <w:rPr>
          <w:rFonts w:hint="eastAsia" w:ascii="Times New Roman" w:hAnsi="Times New Roman" w:eastAsiaTheme="minorEastAsia"/>
          <w:color w:val="auto"/>
          <w:sz w:val="24"/>
          <w:lang w:eastAsia="zh-CN"/>
        </w:rPr>
        <w:t>（厂家应提供设备故障检测试验报告来反映</w:t>
      </w:r>
      <w:r>
        <w:rPr>
          <w:rFonts w:ascii="Times New Roman" w:hAnsi="Times New Roman" w:eastAsiaTheme="minorEastAsia"/>
          <w:color w:val="auto"/>
          <w:sz w:val="24"/>
        </w:rPr>
        <w:t>准确率</w:t>
      </w:r>
      <w:r>
        <w:rPr>
          <w:rFonts w:hint="eastAsia" w:ascii="Times New Roman" w:hAnsi="Times New Roman" w:eastAsiaTheme="minorEastAsia"/>
          <w:color w:val="auto"/>
          <w:sz w:val="24"/>
          <w:lang w:eastAsia="zh-CN"/>
        </w:rPr>
        <w:t>）</w:t>
      </w:r>
      <w:r>
        <w:rPr>
          <w:rFonts w:ascii="Times New Roman" w:hAnsi="Times New Roman" w:eastAsiaTheme="minorEastAsia"/>
          <w:color w:val="auto"/>
          <w:sz w:val="24"/>
        </w:rPr>
        <w:t>；</w:t>
      </w:r>
    </w:p>
    <w:p>
      <w:pPr>
        <w:spacing w:line="360" w:lineRule="auto"/>
        <w:ind w:firstLine="480" w:firstLineChars="200"/>
        <w:contextualSpacing/>
        <w:rPr>
          <w:rFonts w:hint="eastAsia" w:ascii="Times New Roman" w:hAnsi="Times New Roman" w:eastAsiaTheme="minorEastAsia"/>
          <w:color w:val="auto"/>
          <w:sz w:val="24"/>
          <w:lang w:eastAsia="zh-CN"/>
        </w:rPr>
      </w:pPr>
      <w:r>
        <w:rPr>
          <w:rFonts w:ascii="Times New Roman" w:hAnsi="Times New Roman" w:eastAsiaTheme="minorEastAsia"/>
          <w:color w:val="auto"/>
          <w:sz w:val="24"/>
        </w:rPr>
        <w:t>3）应能准确故障测距，实现配电线路杆塔级的故障点定位，</w:t>
      </w:r>
      <w:r>
        <w:rPr>
          <w:rFonts w:hint="eastAsia" w:ascii="Times New Roman" w:hAnsi="Times New Roman" w:eastAsiaTheme="minorEastAsia"/>
          <w:color w:val="auto"/>
          <w:sz w:val="24"/>
          <w:lang w:val="en-US" w:eastAsia="zh-CN"/>
        </w:rPr>
        <w:t>最大</w:t>
      </w:r>
      <w:r>
        <w:rPr>
          <w:rFonts w:ascii="Times New Roman" w:hAnsi="Times New Roman" w:eastAsiaTheme="minorEastAsia"/>
          <w:color w:val="auto"/>
          <w:sz w:val="24"/>
        </w:rPr>
        <w:t>定位误差在±</w:t>
      </w:r>
      <w:r>
        <w:rPr>
          <w:rFonts w:hint="eastAsia" w:ascii="Times New Roman" w:hAnsi="Times New Roman" w:eastAsiaTheme="minorEastAsia"/>
          <w:color w:val="auto"/>
          <w:sz w:val="24"/>
          <w:lang w:val="en-US" w:eastAsia="zh-CN"/>
        </w:rPr>
        <w:t>35</w:t>
      </w:r>
      <w:r>
        <w:rPr>
          <w:rFonts w:ascii="Times New Roman" w:hAnsi="Times New Roman" w:eastAsiaTheme="minorEastAsia"/>
          <w:color w:val="auto"/>
          <w:sz w:val="24"/>
        </w:rPr>
        <w:t>米范围内</w:t>
      </w:r>
      <w:r>
        <w:rPr>
          <w:rFonts w:hint="eastAsia" w:ascii="Times New Roman" w:hAnsi="Times New Roman" w:eastAsiaTheme="minorEastAsia"/>
          <w:color w:val="auto"/>
          <w:sz w:val="24"/>
          <w:lang w:eastAsia="zh-CN"/>
        </w:rPr>
        <w:t>，厂家应提供设备故障检测试验报告来反映定位精度；</w:t>
      </w:r>
    </w:p>
    <w:p>
      <w:pPr>
        <w:spacing w:line="360" w:lineRule="auto"/>
        <w:ind w:firstLine="480" w:firstLineChars="200"/>
        <w:contextualSpacing/>
        <w:rPr>
          <w:rFonts w:ascii="Times New Roman" w:hAnsi="Times New Roman" w:eastAsiaTheme="minorEastAsia"/>
          <w:color w:val="auto"/>
          <w:sz w:val="24"/>
        </w:rPr>
      </w:pPr>
      <w:r>
        <w:rPr>
          <w:rFonts w:ascii="Times New Roman" w:hAnsi="Times New Roman" w:eastAsiaTheme="minorEastAsia"/>
          <w:color w:val="auto"/>
          <w:sz w:val="24"/>
        </w:rPr>
        <w:t>4）应能输出相应的故障诊断报告。</w:t>
      </w:r>
    </w:p>
    <w:p>
      <w:pPr>
        <w:spacing w:line="360" w:lineRule="auto"/>
        <w:ind w:firstLine="480" w:firstLineChars="200"/>
        <w:contextualSpacing/>
        <w:rPr>
          <w:rFonts w:hint="default" w:ascii="Times New Roman" w:hAnsi="Times New Roman" w:eastAsiaTheme="minorEastAsia"/>
          <w:color w:val="auto"/>
          <w:sz w:val="24"/>
          <w:lang w:val="en-US" w:eastAsia="zh-CN"/>
        </w:rPr>
      </w:pPr>
      <w:r>
        <w:rPr>
          <w:rFonts w:hint="eastAsia" w:ascii="Times New Roman" w:hAnsi="Times New Roman" w:eastAsiaTheme="minorEastAsia"/>
          <w:color w:val="auto"/>
          <w:sz w:val="24"/>
          <w:lang w:val="en-US" w:eastAsia="zh-CN"/>
        </w:rPr>
        <w:t>5）应能实时监测线路绝缘缺陷导致的周期性对地高频放电信号。</w:t>
      </w:r>
    </w:p>
    <w:p>
      <w:pPr>
        <w:pStyle w:val="5"/>
        <w:spacing w:beforeAutospacing="0" w:afterAutospacing="0" w:line="360" w:lineRule="auto"/>
        <w:rPr>
          <w:rFonts w:ascii="Times New Roman" w:hAnsi="Times New Roman"/>
          <w:color w:val="auto"/>
          <w:sz w:val="30"/>
          <w:szCs w:val="30"/>
        </w:rPr>
      </w:pPr>
      <w:bookmarkStart w:id="16" w:name="_Toc57813325"/>
      <w:r>
        <w:rPr>
          <w:rFonts w:ascii="Times New Roman" w:hAnsi="Times New Roman"/>
          <w:color w:val="auto"/>
          <w:sz w:val="30"/>
          <w:szCs w:val="30"/>
        </w:rPr>
        <w:t>3.2装置要求</w:t>
      </w:r>
      <w:bookmarkEnd w:id="9"/>
      <w:bookmarkEnd w:id="10"/>
      <w:bookmarkEnd w:id="11"/>
      <w:bookmarkEnd w:id="12"/>
      <w:bookmarkEnd w:id="13"/>
      <w:bookmarkEnd w:id="14"/>
      <w:bookmarkEnd w:id="15"/>
      <w:bookmarkEnd w:id="16"/>
    </w:p>
    <w:p>
      <w:pPr>
        <w:pStyle w:val="6"/>
        <w:rPr>
          <w:rFonts w:eastAsiaTheme="minorEastAsia"/>
          <w:color w:val="auto"/>
          <w:sz w:val="28"/>
          <w:szCs w:val="28"/>
        </w:rPr>
      </w:pPr>
      <w:bookmarkStart w:id="17" w:name="_Toc57813326"/>
      <w:r>
        <w:rPr>
          <w:rFonts w:eastAsiaTheme="minorEastAsia"/>
          <w:color w:val="auto"/>
          <w:sz w:val="28"/>
          <w:szCs w:val="28"/>
        </w:rPr>
        <w:t>3.2.1 遥测要求</w:t>
      </w:r>
      <w:bookmarkEnd w:id="17"/>
    </w:p>
    <w:p>
      <w:pPr>
        <w:tabs>
          <w:tab w:val="left" w:pos="1980"/>
        </w:tabs>
        <w:spacing w:line="360" w:lineRule="auto"/>
        <w:ind w:firstLine="480" w:firstLineChars="200"/>
        <w:rPr>
          <w:color w:val="auto"/>
          <w:sz w:val="24"/>
        </w:rPr>
      </w:pPr>
      <w:r>
        <w:rPr>
          <w:color w:val="auto"/>
          <w:sz w:val="24"/>
        </w:rPr>
        <w:t>装置可实时采集</w:t>
      </w:r>
      <w:r>
        <w:rPr>
          <w:rFonts w:hint="eastAsia"/>
          <w:color w:val="auto"/>
          <w:sz w:val="24"/>
        </w:rPr>
        <w:t>配电</w:t>
      </w:r>
      <w:r>
        <w:rPr>
          <w:color w:val="auto"/>
          <w:sz w:val="24"/>
        </w:rPr>
        <w:t>线路上的故障工频电流</w:t>
      </w:r>
      <w:r>
        <w:rPr>
          <w:rFonts w:hint="eastAsia"/>
          <w:color w:val="auto"/>
          <w:sz w:val="24"/>
        </w:rPr>
        <w:t>、</w:t>
      </w:r>
      <w:r>
        <w:rPr>
          <w:color w:val="auto"/>
          <w:sz w:val="24"/>
        </w:rPr>
        <w:t>对地电压</w:t>
      </w:r>
      <w:r>
        <w:rPr>
          <w:rFonts w:hint="eastAsia"/>
          <w:color w:val="auto"/>
          <w:sz w:val="24"/>
        </w:rPr>
        <w:t>、</w:t>
      </w:r>
      <w:r>
        <w:rPr>
          <w:color w:val="auto"/>
          <w:sz w:val="24"/>
        </w:rPr>
        <w:t>高频电流信号</w:t>
      </w:r>
      <w:r>
        <w:rPr>
          <w:rFonts w:hint="eastAsia"/>
          <w:color w:val="auto"/>
          <w:sz w:val="24"/>
        </w:rPr>
        <w:t>，并发送数据中心</w:t>
      </w:r>
      <w:r>
        <w:rPr>
          <w:color w:val="auto"/>
          <w:sz w:val="24"/>
        </w:rPr>
        <w:t>。</w:t>
      </w:r>
    </w:p>
    <w:p>
      <w:pPr>
        <w:pStyle w:val="9"/>
        <w:numPr>
          <w:ilvl w:val="2"/>
          <w:numId w:val="2"/>
        </w:numPr>
        <w:spacing w:line="360" w:lineRule="auto"/>
        <w:ind w:firstLineChars="0"/>
        <w:rPr>
          <w:color w:val="auto"/>
          <w:sz w:val="24"/>
        </w:rPr>
      </w:pPr>
      <w:r>
        <w:rPr>
          <w:rFonts w:hint="eastAsia"/>
          <w:color w:val="auto"/>
          <w:sz w:val="24"/>
        </w:rPr>
        <w:t>工频电流：测量范围0-600A，测量精度±</w:t>
      </w:r>
      <w:r>
        <w:rPr>
          <w:color w:val="auto"/>
          <w:sz w:val="24"/>
        </w:rPr>
        <w:t>1</w:t>
      </w:r>
      <w:r>
        <w:rPr>
          <w:rFonts w:hint="eastAsia"/>
          <w:color w:val="auto"/>
          <w:sz w:val="24"/>
        </w:rPr>
        <w:t>％±</w:t>
      </w:r>
      <w:r>
        <w:rPr>
          <w:color w:val="auto"/>
          <w:sz w:val="24"/>
        </w:rPr>
        <w:t>1</w:t>
      </w:r>
      <w:r>
        <w:rPr>
          <w:rFonts w:hint="eastAsia"/>
          <w:color w:val="auto"/>
          <w:sz w:val="24"/>
        </w:rPr>
        <w:t>A；</w:t>
      </w:r>
    </w:p>
    <w:p>
      <w:pPr>
        <w:pStyle w:val="9"/>
        <w:numPr>
          <w:ilvl w:val="2"/>
          <w:numId w:val="2"/>
        </w:numPr>
        <w:spacing w:line="360" w:lineRule="auto"/>
        <w:ind w:firstLineChars="0"/>
        <w:rPr>
          <w:color w:val="auto"/>
          <w:sz w:val="24"/>
        </w:rPr>
      </w:pPr>
      <w:r>
        <w:rPr>
          <w:rFonts w:hint="eastAsia"/>
          <w:color w:val="auto"/>
          <w:sz w:val="24"/>
        </w:rPr>
        <w:t>对地电压：测量范围1kV-20kV，测量精度±</w:t>
      </w:r>
      <w:r>
        <w:rPr>
          <w:color w:val="auto"/>
          <w:sz w:val="24"/>
        </w:rPr>
        <w:t>5</w:t>
      </w:r>
      <w:r>
        <w:rPr>
          <w:rFonts w:hint="eastAsia"/>
          <w:color w:val="auto"/>
          <w:sz w:val="24"/>
        </w:rPr>
        <w:t>％±1</w:t>
      </w:r>
      <w:r>
        <w:rPr>
          <w:color w:val="auto"/>
          <w:sz w:val="24"/>
        </w:rPr>
        <w:t>00V</w:t>
      </w:r>
      <w:r>
        <w:rPr>
          <w:rFonts w:hint="eastAsia"/>
          <w:color w:val="auto"/>
          <w:sz w:val="24"/>
        </w:rPr>
        <w:t>；</w:t>
      </w:r>
    </w:p>
    <w:p>
      <w:pPr>
        <w:pStyle w:val="9"/>
        <w:numPr>
          <w:ilvl w:val="2"/>
          <w:numId w:val="2"/>
        </w:numPr>
        <w:spacing w:line="360" w:lineRule="auto"/>
        <w:ind w:firstLineChars="0"/>
        <w:rPr>
          <w:color w:val="auto"/>
          <w:sz w:val="24"/>
        </w:rPr>
      </w:pPr>
      <w:r>
        <w:rPr>
          <w:rFonts w:hint="eastAsia"/>
          <w:color w:val="auto"/>
          <w:sz w:val="24"/>
        </w:rPr>
        <w:t>行波电流：测量范围1A-</w:t>
      </w:r>
      <w:r>
        <w:rPr>
          <w:rFonts w:hint="eastAsia"/>
          <w:color w:val="auto"/>
          <w:sz w:val="24"/>
          <w:lang w:val="en-US" w:eastAsia="zh-CN"/>
        </w:rPr>
        <w:t>2</w:t>
      </w:r>
      <w:r>
        <w:rPr>
          <w:rFonts w:hint="eastAsia"/>
          <w:color w:val="auto"/>
          <w:sz w:val="24"/>
        </w:rPr>
        <w:t>00A，测量精度±</w:t>
      </w:r>
      <w:r>
        <w:rPr>
          <w:color w:val="auto"/>
          <w:sz w:val="24"/>
        </w:rPr>
        <w:t>5</w:t>
      </w:r>
      <w:r>
        <w:rPr>
          <w:rFonts w:hint="eastAsia"/>
          <w:color w:val="auto"/>
          <w:sz w:val="24"/>
        </w:rPr>
        <w:t>％±</w:t>
      </w:r>
      <w:r>
        <w:rPr>
          <w:color w:val="auto"/>
          <w:sz w:val="24"/>
        </w:rPr>
        <w:t>2</w:t>
      </w:r>
      <w:r>
        <w:rPr>
          <w:rFonts w:hint="eastAsia"/>
          <w:color w:val="auto"/>
          <w:sz w:val="24"/>
        </w:rPr>
        <w:t>A。</w:t>
      </w:r>
    </w:p>
    <w:p>
      <w:pPr>
        <w:pStyle w:val="6"/>
        <w:rPr>
          <w:rFonts w:eastAsiaTheme="minorEastAsia"/>
          <w:color w:val="auto"/>
          <w:sz w:val="28"/>
          <w:szCs w:val="28"/>
        </w:rPr>
      </w:pPr>
      <w:bookmarkStart w:id="18" w:name="_Toc57813327"/>
      <w:r>
        <w:rPr>
          <w:rFonts w:eastAsiaTheme="minorEastAsia"/>
          <w:color w:val="auto"/>
          <w:sz w:val="28"/>
          <w:szCs w:val="28"/>
        </w:rPr>
        <w:t>3.2.2 通信要求</w:t>
      </w:r>
      <w:bookmarkEnd w:id="18"/>
    </w:p>
    <w:p>
      <w:pPr>
        <w:spacing w:line="360" w:lineRule="auto"/>
        <w:ind w:firstLine="480" w:firstLineChars="200"/>
        <w:rPr>
          <w:color w:val="auto"/>
          <w:sz w:val="24"/>
        </w:rPr>
      </w:pPr>
      <w:r>
        <w:rPr>
          <w:rFonts w:hint="eastAsia"/>
          <w:color w:val="auto"/>
          <w:sz w:val="24"/>
        </w:rPr>
        <w:t>1）</w:t>
      </w:r>
      <w:r>
        <w:rPr>
          <w:color w:val="auto"/>
          <w:sz w:val="24"/>
        </w:rPr>
        <w:t>装置可</w:t>
      </w:r>
      <w:r>
        <w:rPr>
          <w:rFonts w:hint="eastAsia"/>
          <w:color w:val="auto"/>
          <w:sz w:val="24"/>
        </w:rPr>
        <w:t>以无线</w:t>
      </w:r>
      <w:r>
        <w:rPr>
          <w:color w:val="auto"/>
          <w:sz w:val="24"/>
        </w:rPr>
        <w:t>通讯方式将数据</w:t>
      </w:r>
      <w:r>
        <w:rPr>
          <w:rFonts w:hint="eastAsia"/>
          <w:color w:val="auto"/>
          <w:sz w:val="24"/>
        </w:rPr>
        <w:t>远传；</w:t>
      </w:r>
    </w:p>
    <w:p>
      <w:pPr>
        <w:spacing w:line="360" w:lineRule="auto"/>
        <w:ind w:firstLine="480" w:firstLineChars="200"/>
        <w:rPr>
          <w:color w:val="auto"/>
          <w:sz w:val="24"/>
        </w:rPr>
      </w:pPr>
      <w:r>
        <w:rPr>
          <w:color w:val="auto"/>
          <w:sz w:val="24"/>
        </w:rPr>
        <w:t>2</w:t>
      </w:r>
      <w:r>
        <w:rPr>
          <w:rFonts w:hint="eastAsia"/>
          <w:color w:val="auto"/>
          <w:sz w:val="24"/>
        </w:rPr>
        <w:t>）在通讯中断时，自动保存测得的数据，待通讯恢复后，及时将存储的数据远传或响应征召上传。</w:t>
      </w:r>
    </w:p>
    <w:p>
      <w:pPr>
        <w:pStyle w:val="6"/>
        <w:rPr>
          <w:rFonts w:eastAsiaTheme="minorEastAsia"/>
          <w:color w:val="auto"/>
          <w:sz w:val="28"/>
          <w:szCs w:val="28"/>
        </w:rPr>
      </w:pPr>
      <w:bookmarkStart w:id="19" w:name="_Toc57813328"/>
      <w:r>
        <w:rPr>
          <w:rFonts w:eastAsiaTheme="minorEastAsia"/>
          <w:color w:val="auto"/>
          <w:sz w:val="28"/>
          <w:szCs w:val="28"/>
        </w:rPr>
        <w:t>3.2.3 参数设置要求</w:t>
      </w:r>
      <w:bookmarkEnd w:id="19"/>
    </w:p>
    <w:p>
      <w:pPr>
        <w:spacing w:line="360" w:lineRule="auto"/>
        <w:ind w:firstLine="480" w:firstLineChars="200"/>
        <w:rPr>
          <w:color w:val="auto"/>
          <w:sz w:val="24"/>
        </w:rPr>
      </w:pPr>
      <w:r>
        <w:rPr>
          <w:rFonts w:hint="eastAsia"/>
          <w:color w:val="auto"/>
          <w:sz w:val="24"/>
        </w:rPr>
        <w:t>装置可远程修改遥测上报频率、动作设定值等。</w:t>
      </w:r>
    </w:p>
    <w:p>
      <w:pPr>
        <w:pStyle w:val="6"/>
        <w:rPr>
          <w:rFonts w:eastAsiaTheme="minorEastAsia"/>
          <w:color w:val="auto"/>
          <w:sz w:val="28"/>
          <w:szCs w:val="28"/>
        </w:rPr>
      </w:pPr>
      <w:bookmarkStart w:id="20" w:name="_Toc57813329"/>
      <w:r>
        <w:rPr>
          <w:rFonts w:eastAsiaTheme="minorEastAsia"/>
          <w:color w:val="auto"/>
          <w:sz w:val="28"/>
          <w:szCs w:val="28"/>
        </w:rPr>
        <w:t xml:space="preserve">3.2.4 </w:t>
      </w:r>
      <w:r>
        <w:rPr>
          <w:rFonts w:hint="eastAsia" w:eastAsiaTheme="minorEastAsia"/>
          <w:color w:val="auto"/>
          <w:sz w:val="28"/>
          <w:szCs w:val="28"/>
        </w:rPr>
        <w:t>防误动功能</w:t>
      </w:r>
      <w:bookmarkEnd w:id="20"/>
    </w:p>
    <w:p>
      <w:pPr>
        <w:tabs>
          <w:tab w:val="left" w:pos="1980"/>
        </w:tabs>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装置应具有以下防误动功能：</w:t>
      </w:r>
    </w:p>
    <w:p>
      <w:pPr>
        <w:tabs>
          <w:tab w:val="left" w:pos="1980"/>
        </w:tabs>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1）负荷波动防误动；</w:t>
      </w:r>
    </w:p>
    <w:p>
      <w:pPr>
        <w:tabs>
          <w:tab w:val="left" w:pos="1980"/>
        </w:tabs>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2）线路突合负载涌流防误动；</w:t>
      </w:r>
    </w:p>
    <w:p>
      <w:pPr>
        <w:tabs>
          <w:tab w:val="left" w:pos="1980"/>
        </w:tabs>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3）人工投切大负荷防误动；</w:t>
      </w:r>
    </w:p>
    <w:p>
      <w:pPr>
        <w:tabs>
          <w:tab w:val="left" w:pos="1980"/>
        </w:tabs>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4）非故障支路重合闸合闸涌流防误动；</w:t>
      </w:r>
    </w:p>
    <w:p>
      <w:pPr>
        <w:tabs>
          <w:tab w:val="left" w:pos="1980"/>
        </w:tabs>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5）带电装卸防误动。</w:t>
      </w:r>
    </w:p>
    <w:p>
      <w:pPr>
        <w:pStyle w:val="6"/>
        <w:rPr>
          <w:rFonts w:eastAsiaTheme="minorEastAsia"/>
          <w:color w:val="auto"/>
          <w:sz w:val="28"/>
          <w:szCs w:val="28"/>
        </w:rPr>
      </w:pPr>
      <w:bookmarkStart w:id="21" w:name="_Toc57813330"/>
      <w:r>
        <w:rPr>
          <w:rFonts w:eastAsiaTheme="minorEastAsia"/>
          <w:color w:val="auto"/>
          <w:sz w:val="28"/>
          <w:szCs w:val="28"/>
        </w:rPr>
        <w:t xml:space="preserve">3.2.5 </w:t>
      </w:r>
      <w:r>
        <w:rPr>
          <w:rFonts w:hint="eastAsia" w:eastAsiaTheme="minorEastAsia"/>
          <w:color w:val="auto"/>
          <w:sz w:val="28"/>
          <w:szCs w:val="28"/>
        </w:rPr>
        <w:t>电源要求</w:t>
      </w:r>
      <w:bookmarkEnd w:id="21"/>
    </w:p>
    <w:p>
      <w:pPr>
        <w:tabs>
          <w:tab w:val="left" w:pos="1980"/>
        </w:tabs>
        <w:spacing w:line="360" w:lineRule="auto"/>
        <w:ind w:firstLine="480" w:firstLineChars="200"/>
        <w:rPr>
          <w:rFonts w:ascii="Times New Roman" w:hAnsi="Times New Roman"/>
          <w:color w:val="auto"/>
          <w:sz w:val="24"/>
        </w:rPr>
      </w:pPr>
      <w:r>
        <w:rPr>
          <w:rFonts w:ascii="Times New Roman" w:hAnsi="Times New Roman"/>
          <w:color w:val="auto"/>
          <w:sz w:val="24"/>
        </w:rPr>
        <w:t>装置应采用CT 取电与太阳能混合供电，CT 取电应能正确适用于线路轻载负荷线路的正常工作，要求启动电流最低支持3A。</w:t>
      </w:r>
    </w:p>
    <w:p>
      <w:pPr>
        <w:pStyle w:val="6"/>
        <w:rPr>
          <w:rFonts w:eastAsiaTheme="minorEastAsia"/>
          <w:color w:val="auto"/>
          <w:sz w:val="28"/>
          <w:szCs w:val="28"/>
        </w:rPr>
      </w:pPr>
      <w:bookmarkStart w:id="22" w:name="_Toc57813331"/>
      <w:r>
        <w:rPr>
          <w:rFonts w:eastAsiaTheme="minorEastAsia"/>
          <w:color w:val="auto"/>
          <w:sz w:val="28"/>
          <w:szCs w:val="28"/>
        </w:rPr>
        <w:t>3.2.6 防护等级要求</w:t>
      </w:r>
      <w:bookmarkEnd w:id="22"/>
    </w:p>
    <w:p>
      <w:pPr>
        <w:tabs>
          <w:tab w:val="left" w:pos="1980"/>
        </w:tabs>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装置应具有</w:t>
      </w:r>
      <w:r>
        <w:rPr>
          <w:rFonts w:ascii="Times New Roman" w:hAnsi="Times New Roman" w:eastAsiaTheme="minorEastAsia"/>
          <w:color w:val="auto"/>
          <w:sz w:val="24"/>
          <w:highlight w:val="none"/>
        </w:rPr>
        <w:t>IP6</w:t>
      </w:r>
      <w:r>
        <w:rPr>
          <w:rFonts w:hint="eastAsia" w:ascii="Times New Roman" w:hAnsi="Times New Roman" w:eastAsiaTheme="minorEastAsia"/>
          <w:color w:val="auto"/>
          <w:sz w:val="24"/>
          <w:highlight w:val="none"/>
          <w:lang w:val="en-US" w:eastAsia="zh-CN"/>
        </w:rPr>
        <w:t>6</w:t>
      </w:r>
      <w:r>
        <w:rPr>
          <w:rFonts w:ascii="Times New Roman" w:hAnsi="Times New Roman" w:eastAsiaTheme="minorEastAsia"/>
          <w:color w:val="auto"/>
          <w:sz w:val="24"/>
          <w:highlight w:val="none"/>
        </w:rPr>
        <w:t>及</w:t>
      </w:r>
      <w:r>
        <w:rPr>
          <w:rFonts w:ascii="Times New Roman" w:hAnsi="Times New Roman" w:eastAsiaTheme="minorEastAsia"/>
          <w:color w:val="auto"/>
          <w:sz w:val="24"/>
        </w:rPr>
        <w:t>以上防护等级。</w:t>
      </w:r>
    </w:p>
    <w:p>
      <w:pPr>
        <w:pStyle w:val="6"/>
        <w:rPr>
          <w:rFonts w:eastAsiaTheme="minorEastAsia"/>
          <w:color w:val="auto"/>
          <w:sz w:val="28"/>
          <w:szCs w:val="28"/>
        </w:rPr>
      </w:pPr>
      <w:bookmarkStart w:id="23" w:name="_Toc57813332"/>
      <w:r>
        <w:rPr>
          <w:rFonts w:eastAsiaTheme="minorEastAsia"/>
          <w:color w:val="auto"/>
          <w:sz w:val="28"/>
          <w:szCs w:val="28"/>
        </w:rPr>
        <w:t>3</w:t>
      </w:r>
      <w:r>
        <w:rPr>
          <w:rFonts w:hint="eastAsia" w:eastAsiaTheme="minorEastAsia"/>
          <w:color w:val="auto"/>
          <w:sz w:val="28"/>
          <w:szCs w:val="28"/>
        </w:rPr>
        <w:t>.2.</w:t>
      </w:r>
      <w:r>
        <w:rPr>
          <w:rFonts w:eastAsiaTheme="minorEastAsia"/>
          <w:color w:val="auto"/>
          <w:sz w:val="28"/>
          <w:szCs w:val="28"/>
        </w:rPr>
        <w:t>7</w:t>
      </w:r>
      <w:r>
        <w:rPr>
          <w:rFonts w:hint="eastAsia" w:eastAsiaTheme="minorEastAsia"/>
          <w:color w:val="auto"/>
          <w:sz w:val="28"/>
          <w:szCs w:val="28"/>
        </w:rPr>
        <w:t xml:space="preserve"> 安装要求</w:t>
      </w:r>
      <w:bookmarkEnd w:id="23"/>
    </w:p>
    <w:p>
      <w:pPr>
        <w:tabs>
          <w:tab w:val="left" w:pos="1980"/>
        </w:tabs>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装置可带电进行安装和拆卸，支持架空裸导线及绝缘导线，适应导线截面35mm</w:t>
      </w:r>
      <w:r>
        <w:rPr>
          <w:rFonts w:ascii="Times New Roman" w:hAnsi="Times New Roman" w:eastAsiaTheme="minorEastAsia"/>
          <w:color w:val="auto"/>
          <w:sz w:val="24"/>
          <w:vertAlign w:val="superscript"/>
        </w:rPr>
        <w:t>2</w:t>
      </w:r>
      <w:r>
        <w:rPr>
          <w:rFonts w:ascii="Times New Roman" w:hAnsi="Times New Roman" w:eastAsiaTheme="minorEastAsia"/>
          <w:color w:val="auto"/>
          <w:sz w:val="24"/>
        </w:rPr>
        <w:t>～240mm</w:t>
      </w:r>
      <w:r>
        <w:rPr>
          <w:rFonts w:ascii="Times New Roman" w:hAnsi="Times New Roman" w:eastAsiaTheme="minorEastAsia"/>
          <w:color w:val="auto"/>
          <w:sz w:val="24"/>
          <w:vertAlign w:val="superscript"/>
        </w:rPr>
        <w:t>2</w:t>
      </w:r>
      <w:r>
        <w:rPr>
          <w:rFonts w:ascii="Times New Roman" w:hAnsi="Times New Roman" w:eastAsiaTheme="minorEastAsia"/>
          <w:color w:val="auto"/>
          <w:sz w:val="24"/>
        </w:rPr>
        <w:t>。</w:t>
      </w:r>
    </w:p>
    <w:p>
      <w:pPr>
        <w:pStyle w:val="6"/>
        <w:rPr>
          <w:rFonts w:eastAsiaTheme="minorEastAsia"/>
          <w:color w:val="auto"/>
          <w:sz w:val="28"/>
          <w:szCs w:val="28"/>
        </w:rPr>
      </w:pPr>
      <w:bookmarkStart w:id="24" w:name="_Toc57813333"/>
      <w:r>
        <w:rPr>
          <w:rFonts w:eastAsiaTheme="minorEastAsia"/>
          <w:color w:val="auto"/>
          <w:sz w:val="28"/>
          <w:szCs w:val="28"/>
        </w:rPr>
        <w:t>3.2.8工作环境</w:t>
      </w:r>
      <w:bookmarkEnd w:id="24"/>
    </w:p>
    <w:p>
      <w:pPr>
        <w:spacing w:line="360" w:lineRule="auto"/>
        <w:ind w:firstLine="480" w:firstLineChars="200"/>
        <w:rPr>
          <w:rFonts w:ascii="Times New Roman" w:hAnsi="Times New Roman" w:eastAsiaTheme="minorEastAsia"/>
          <w:color w:val="auto"/>
          <w:sz w:val="24"/>
        </w:rPr>
      </w:pPr>
      <w:bookmarkStart w:id="25" w:name="_Toc161571112"/>
      <w:bookmarkStart w:id="26" w:name="_Toc161766284"/>
      <w:bookmarkStart w:id="27" w:name="_Toc161766526"/>
      <w:bookmarkStart w:id="28" w:name="_Toc161742454"/>
      <w:r>
        <w:rPr>
          <w:rFonts w:ascii="Times New Roman" w:hAnsi="Times New Roman" w:eastAsiaTheme="minorEastAsia"/>
          <w:color w:val="auto"/>
          <w:sz w:val="24"/>
        </w:rPr>
        <w:t>1）环境温度：－40℃～＋70℃；</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2）相对湿度：0～100％；</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3）工作海拔：0m～5000m；</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4）污秽等级：不低于V级；</w:t>
      </w:r>
    </w:p>
    <w:bookmarkEnd w:id="25"/>
    <w:bookmarkEnd w:id="26"/>
    <w:bookmarkEnd w:id="27"/>
    <w:bookmarkEnd w:id="28"/>
    <w:p>
      <w:pPr>
        <w:pStyle w:val="6"/>
        <w:rPr>
          <w:rFonts w:hint="eastAsia" w:eastAsiaTheme="minorEastAsia"/>
          <w:color w:val="auto"/>
          <w:sz w:val="28"/>
          <w:szCs w:val="28"/>
        </w:rPr>
      </w:pPr>
      <w:bookmarkStart w:id="29" w:name="_Toc490993896"/>
      <w:bookmarkStart w:id="30" w:name="_Toc57813334"/>
      <w:r>
        <w:rPr>
          <w:rFonts w:hint="eastAsia" w:eastAsiaTheme="minorEastAsia"/>
          <w:color w:val="auto"/>
          <w:sz w:val="28"/>
          <w:szCs w:val="28"/>
        </w:rPr>
        <w:t>3.2.9 安全性要求</w:t>
      </w:r>
    </w:p>
    <w:p>
      <w:pPr>
        <w:spacing w:line="360" w:lineRule="auto"/>
        <w:ind w:firstLine="480" w:firstLineChars="200"/>
        <w:rPr>
          <w:rFonts w:hint="eastAsia" w:ascii="Times New Roman" w:hAnsi="Times New Roman" w:eastAsiaTheme="minorEastAsia"/>
          <w:color w:val="auto"/>
          <w:sz w:val="24"/>
        </w:rPr>
      </w:pPr>
      <w:r>
        <w:rPr>
          <w:rFonts w:hint="eastAsia" w:ascii="Times New Roman" w:hAnsi="Times New Roman" w:eastAsiaTheme="minorEastAsia"/>
          <w:color w:val="auto"/>
          <w:sz w:val="24"/>
          <w:lang w:val="en-US" w:eastAsia="zh-CN"/>
        </w:rPr>
        <w:t>1</w:t>
      </w:r>
      <w:r>
        <w:rPr>
          <w:rFonts w:hint="eastAsia" w:ascii="Times New Roman" w:hAnsi="Times New Roman" w:eastAsiaTheme="minorEastAsia"/>
          <w:color w:val="auto"/>
          <w:sz w:val="24"/>
        </w:rPr>
        <w:t>）装置应不影响配电线路的运行安全；</w:t>
      </w:r>
    </w:p>
    <w:p>
      <w:pPr>
        <w:spacing w:line="360" w:lineRule="auto"/>
        <w:ind w:firstLine="480" w:firstLineChars="200"/>
        <w:rPr>
          <w:rFonts w:hint="eastAsia" w:ascii="Times New Roman" w:hAnsi="Times New Roman" w:eastAsiaTheme="minorEastAsia"/>
          <w:color w:val="auto"/>
          <w:sz w:val="24"/>
          <w:highlight w:val="none"/>
          <w:lang w:eastAsia="zh-CN"/>
        </w:rPr>
      </w:pPr>
      <w:r>
        <w:rPr>
          <w:rFonts w:hint="eastAsia" w:ascii="Times New Roman" w:hAnsi="Times New Roman" w:eastAsiaTheme="minorEastAsia"/>
          <w:color w:val="auto"/>
          <w:sz w:val="24"/>
          <w:highlight w:val="none"/>
          <w:lang w:val="en-US" w:eastAsia="zh-CN"/>
        </w:rPr>
        <w:t>2</w:t>
      </w:r>
      <w:r>
        <w:rPr>
          <w:rFonts w:hint="eastAsia" w:ascii="Times New Roman" w:hAnsi="Times New Roman" w:eastAsiaTheme="minorEastAsia"/>
          <w:color w:val="auto"/>
          <w:sz w:val="24"/>
          <w:highlight w:val="none"/>
        </w:rPr>
        <w:t>）装置应具备</w:t>
      </w:r>
      <w:r>
        <w:rPr>
          <w:rFonts w:hint="eastAsia" w:ascii="Times New Roman" w:hAnsi="Times New Roman" w:eastAsiaTheme="minorEastAsia"/>
          <w:color w:val="auto"/>
          <w:sz w:val="24"/>
          <w:highlight w:val="none"/>
          <w:lang w:val="en-US" w:eastAsia="zh-CN"/>
        </w:rPr>
        <w:t>与招标方内网</w:t>
      </w:r>
      <w:r>
        <w:rPr>
          <w:rFonts w:hint="eastAsia" w:ascii="Times New Roman" w:hAnsi="Times New Roman" w:eastAsiaTheme="minorEastAsia"/>
          <w:b w:val="0"/>
          <w:bCs w:val="0"/>
          <w:color w:val="auto"/>
          <w:sz w:val="24"/>
          <w:highlight w:val="none"/>
          <w:lang w:val="en-US" w:eastAsia="zh-CN"/>
        </w:rPr>
        <w:t>的运行监测</w:t>
      </w:r>
      <w:r>
        <w:rPr>
          <w:rFonts w:hint="eastAsia" w:ascii="Times New Roman" w:hAnsi="Times New Roman" w:eastAsiaTheme="minorEastAsia"/>
          <w:color w:val="auto"/>
          <w:sz w:val="24"/>
          <w:highlight w:val="none"/>
          <w:lang w:val="en-US" w:eastAsia="zh-CN"/>
        </w:rPr>
        <w:t>平台</w:t>
      </w:r>
      <w:r>
        <w:rPr>
          <w:rFonts w:hint="eastAsia" w:ascii="Times New Roman" w:hAnsi="Times New Roman" w:eastAsiaTheme="minorEastAsia"/>
          <w:color w:val="auto"/>
          <w:sz w:val="24"/>
          <w:highlight w:val="none"/>
        </w:rPr>
        <w:t>实现数据对接、认证</w:t>
      </w:r>
      <w:r>
        <w:rPr>
          <w:rFonts w:hint="eastAsia" w:ascii="Times New Roman" w:hAnsi="Times New Roman" w:eastAsiaTheme="minorEastAsia"/>
          <w:color w:val="auto"/>
          <w:sz w:val="24"/>
          <w:highlight w:val="none"/>
          <w:lang w:val="en-US" w:eastAsia="zh-CN"/>
        </w:rPr>
        <w:t>和分析功能，并符合招标方网络</w:t>
      </w:r>
      <w:r>
        <w:rPr>
          <w:rFonts w:hint="eastAsia" w:ascii="Times New Roman" w:hAnsi="Times New Roman" w:eastAsiaTheme="minorEastAsia"/>
          <w:color w:val="auto"/>
          <w:sz w:val="24"/>
          <w:highlight w:val="none"/>
        </w:rPr>
        <w:t>安全</w:t>
      </w:r>
      <w:r>
        <w:rPr>
          <w:rFonts w:hint="eastAsia" w:ascii="Times New Roman" w:hAnsi="Times New Roman" w:eastAsiaTheme="minorEastAsia"/>
          <w:color w:val="auto"/>
          <w:sz w:val="24"/>
          <w:highlight w:val="none"/>
          <w:lang w:val="en-US" w:eastAsia="zh-CN"/>
        </w:rPr>
        <w:t>要求</w:t>
      </w:r>
      <w:r>
        <w:rPr>
          <w:rFonts w:hint="eastAsia" w:ascii="Times New Roman" w:hAnsi="Times New Roman" w:eastAsiaTheme="minorEastAsia"/>
          <w:color w:val="auto"/>
          <w:sz w:val="24"/>
          <w:highlight w:val="none"/>
          <w:lang w:eastAsia="zh-CN"/>
        </w:rPr>
        <w:t>；</w:t>
      </w:r>
    </w:p>
    <w:p>
      <w:pPr>
        <w:spacing w:line="360" w:lineRule="auto"/>
        <w:ind w:firstLine="480" w:firstLineChars="200"/>
        <w:rPr>
          <w:rFonts w:hint="eastAsia" w:ascii="Times New Roman" w:hAnsi="Times New Roman" w:eastAsiaTheme="minorEastAsia"/>
          <w:color w:val="auto"/>
          <w:sz w:val="24"/>
          <w:lang w:eastAsia="zh-CN"/>
        </w:rPr>
      </w:pPr>
      <w:r>
        <w:rPr>
          <w:rFonts w:hint="eastAsia" w:ascii="Times New Roman" w:hAnsi="Times New Roman" w:eastAsiaTheme="minorEastAsia"/>
          <w:color w:val="auto"/>
          <w:sz w:val="24"/>
          <w:lang w:val="en-US" w:eastAsia="zh-CN"/>
        </w:rPr>
        <w:t>3</w:t>
      </w:r>
      <w:r>
        <w:rPr>
          <w:rFonts w:hint="eastAsia" w:ascii="Times New Roman" w:hAnsi="Times New Roman" w:eastAsiaTheme="minorEastAsia"/>
          <w:color w:val="auto"/>
          <w:sz w:val="24"/>
        </w:rPr>
        <w:t>）装置通信回路均应符合Q/CSG1204009中对电力设备在线监测系统的安全防护要求</w:t>
      </w:r>
      <w:r>
        <w:rPr>
          <w:rFonts w:hint="eastAsia" w:ascii="Times New Roman" w:hAnsi="Times New Roman" w:eastAsiaTheme="minorEastAsia"/>
          <w:color w:val="auto"/>
          <w:sz w:val="24"/>
          <w:lang w:eastAsia="zh-CN"/>
        </w:rPr>
        <w:t>。</w:t>
      </w:r>
    </w:p>
    <w:p>
      <w:pPr>
        <w:pStyle w:val="3"/>
        <w:rPr>
          <w:rFonts w:ascii="Times New Roman" w:hAnsi="Times New Roman" w:cs="Times New Roman"/>
          <w:color w:val="auto"/>
          <w:sz w:val="32"/>
          <w:szCs w:val="32"/>
        </w:rPr>
      </w:pPr>
      <w:r>
        <w:rPr>
          <w:rFonts w:ascii="Times New Roman" w:hAnsi="Times New Roman" w:cs="Times New Roman"/>
          <w:color w:val="auto"/>
          <w:sz w:val="32"/>
          <w:szCs w:val="32"/>
        </w:rPr>
        <w:t>4</w:t>
      </w:r>
      <w:r>
        <w:rPr>
          <w:rFonts w:hint="eastAsia" w:ascii="Times New Roman" w:hAnsi="Times New Roman" w:cs="Times New Roman"/>
          <w:color w:val="auto"/>
          <w:sz w:val="32"/>
          <w:szCs w:val="32"/>
        </w:rPr>
        <w:t>.性能要求</w:t>
      </w:r>
      <w:bookmarkEnd w:id="29"/>
      <w:bookmarkEnd w:id="30"/>
    </w:p>
    <w:p>
      <w:pPr>
        <w:pStyle w:val="5"/>
        <w:spacing w:beforeAutospacing="0" w:afterAutospacing="0" w:line="360" w:lineRule="auto"/>
        <w:rPr>
          <w:rFonts w:ascii="Times New Roman" w:hAnsi="Times New Roman"/>
          <w:color w:val="auto"/>
          <w:sz w:val="30"/>
          <w:szCs w:val="30"/>
        </w:rPr>
      </w:pPr>
      <w:bookmarkStart w:id="31" w:name="_Toc57813335"/>
      <w:r>
        <w:rPr>
          <w:rFonts w:ascii="Times New Roman" w:hAnsi="Times New Roman"/>
          <w:color w:val="auto"/>
          <w:sz w:val="30"/>
          <w:szCs w:val="30"/>
        </w:rPr>
        <w:t>4.1功能检验要求</w:t>
      </w:r>
      <w:bookmarkEnd w:id="31"/>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a）通信模块试验：依次开启及关闭监测终端电源，重复开启及关闭三次，每次时间间隔不少于5min。检查数据中心站能否收到监测终端返回的控制响应命令；</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b）控制模块试验：开启监测终端电源，通过数据中心站分别发送设备重启、设备自检、行波测量阈值修改等命令，每次时间间隔不小于5min，检查数据中心站能否收到监测终端返回的控制响应命令。通过数据中心站远程升级监测终端程序，检查监测终端能够返回正确的程序版本。</w:t>
      </w:r>
    </w:p>
    <w:p>
      <w:pPr>
        <w:pStyle w:val="5"/>
        <w:spacing w:beforeAutospacing="0" w:afterAutospacing="0" w:line="360" w:lineRule="auto"/>
        <w:rPr>
          <w:rFonts w:ascii="Times New Roman" w:hAnsi="Times New Roman"/>
          <w:color w:val="auto"/>
          <w:sz w:val="30"/>
          <w:szCs w:val="30"/>
        </w:rPr>
      </w:pPr>
      <w:bookmarkStart w:id="32" w:name="_Toc57813336"/>
      <w:r>
        <w:rPr>
          <w:rFonts w:ascii="Times New Roman" w:hAnsi="Times New Roman"/>
          <w:color w:val="auto"/>
          <w:sz w:val="30"/>
          <w:szCs w:val="30"/>
        </w:rPr>
        <w:t>4.2</w:t>
      </w:r>
      <w:r>
        <w:rPr>
          <w:rFonts w:hint="eastAsia" w:ascii="Times New Roman" w:hAnsi="Times New Roman"/>
          <w:color w:val="auto"/>
          <w:sz w:val="30"/>
          <w:szCs w:val="30"/>
        </w:rPr>
        <w:t>高温试验要求</w:t>
      </w:r>
      <w:bookmarkEnd w:id="32"/>
    </w:p>
    <w:p>
      <w:pPr>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将装置置于试验箱中，将装置保持在非通电状态下，箱内温度为</w:t>
      </w:r>
      <w:r>
        <w:rPr>
          <w:rFonts w:ascii="Times New Roman" w:hAnsi="Times New Roman" w:eastAsiaTheme="minorEastAsia"/>
          <w:color w:val="auto"/>
          <w:sz w:val="24"/>
        </w:rPr>
        <w:t>7</w:t>
      </w:r>
      <w:r>
        <w:rPr>
          <w:rFonts w:hint="eastAsia" w:ascii="Times New Roman" w:hAnsi="Times New Roman" w:eastAsiaTheme="minorEastAsia"/>
          <w:color w:val="auto"/>
          <w:sz w:val="24"/>
        </w:rPr>
        <w:t>0℃，保持</w:t>
      </w:r>
      <w:r>
        <w:rPr>
          <w:rFonts w:ascii="Times New Roman" w:hAnsi="Times New Roman" w:eastAsiaTheme="minorEastAsia"/>
          <w:color w:val="auto"/>
          <w:sz w:val="24"/>
        </w:rPr>
        <w:t>4</w:t>
      </w:r>
      <w:r>
        <w:rPr>
          <w:rFonts w:hint="eastAsia" w:ascii="Times New Roman" w:hAnsi="Times New Roman" w:eastAsiaTheme="minorEastAsia"/>
          <w:color w:val="auto"/>
          <w:sz w:val="24"/>
        </w:rPr>
        <w:t>h，试验期间及试验后，装置功能正常。</w:t>
      </w:r>
    </w:p>
    <w:p>
      <w:pPr>
        <w:pStyle w:val="5"/>
        <w:spacing w:beforeAutospacing="0" w:afterAutospacing="0" w:line="360" w:lineRule="auto"/>
        <w:rPr>
          <w:rFonts w:ascii="Times New Roman" w:hAnsi="Times New Roman"/>
          <w:color w:val="auto"/>
          <w:sz w:val="30"/>
          <w:szCs w:val="30"/>
        </w:rPr>
      </w:pPr>
      <w:bookmarkStart w:id="33" w:name="_Toc57813337"/>
      <w:r>
        <w:rPr>
          <w:rFonts w:ascii="Times New Roman" w:hAnsi="Times New Roman"/>
          <w:color w:val="auto"/>
          <w:sz w:val="30"/>
          <w:szCs w:val="30"/>
        </w:rPr>
        <w:t>4.3</w:t>
      </w:r>
      <w:r>
        <w:rPr>
          <w:rFonts w:hint="eastAsia" w:ascii="Times New Roman" w:hAnsi="Times New Roman"/>
          <w:color w:val="auto"/>
          <w:sz w:val="30"/>
          <w:szCs w:val="30"/>
        </w:rPr>
        <w:t>低温试验要求</w:t>
      </w:r>
      <w:bookmarkEnd w:id="33"/>
    </w:p>
    <w:p>
      <w:pPr>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将装置置于试验箱中，将装置保持在非通电状态下，箱内温度为-</w:t>
      </w:r>
      <w:r>
        <w:rPr>
          <w:rFonts w:ascii="Times New Roman" w:hAnsi="Times New Roman" w:eastAsiaTheme="minorEastAsia"/>
          <w:color w:val="auto"/>
          <w:sz w:val="24"/>
        </w:rPr>
        <w:t>20</w:t>
      </w:r>
      <w:r>
        <w:rPr>
          <w:rFonts w:hint="eastAsia" w:ascii="Times New Roman" w:hAnsi="Times New Roman" w:eastAsiaTheme="minorEastAsia"/>
          <w:color w:val="auto"/>
          <w:sz w:val="24"/>
        </w:rPr>
        <w:t>℃，保持</w:t>
      </w:r>
      <w:r>
        <w:rPr>
          <w:rFonts w:ascii="Times New Roman" w:hAnsi="Times New Roman" w:eastAsiaTheme="minorEastAsia"/>
          <w:color w:val="auto"/>
          <w:sz w:val="24"/>
        </w:rPr>
        <w:t>4</w:t>
      </w:r>
      <w:r>
        <w:rPr>
          <w:rFonts w:hint="eastAsia" w:ascii="Times New Roman" w:hAnsi="Times New Roman" w:eastAsiaTheme="minorEastAsia"/>
          <w:color w:val="auto"/>
          <w:sz w:val="24"/>
        </w:rPr>
        <w:t>h，试验期间及试验后，样品功能正常。</w:t>
      </w:r>
    </w:p>
    <w:p>
      <w:pPr>
        <w:pStyle w:val="5"/>
        <w:spacing w:beforeAutospacing="0" w:afterAutospacing="0" w:line="360" w:lineRule="auto"/>
        <w:rPr>
          <w:rFonts w:ascii="Times New Roman" w:hAnsi="Times New Roman"/>
          <w:color w:val="auto"/>
          <w:sz w:val="30"/>
          <w:szCs w:val="30"/>
        </w:rPr>
      </w:pPr>
      <w:bookmarkStart w:id="34" w:name="_Toc57813338"/>
      <w:r>
        <w:rPr>
          <w:rFonts w:ascii="Times New Roman" w:hAnsi="Times New Roman"/>
          <w:color w:val="auto"/>
          <w:sz w:val="30"/>
          <w:szCs w:val="30"/>
        </w:rPr>
        <w:t>4.4</w:t>
      </w:r>
      <w:r>
        <w:rPr>
          <w:rFonts w:hint="eastAsia" w:ascii="Times New Roman" w:hAnsi="Times New Roman"/>
          <w:color w:val="auto"/>
          <w:sz w:val="30"/>
          <w:szCs w:val="30"/>
        </w:rPr>
        <w:t>冲击</w:t>
      </w:r>
      <w:r>
        <w:rPr>
          <w:rFonts w:ascii="Times New Roman" w:hAnsi="Times New Roman"/>
          <w:color w:val="auto"/>
          <w:sz w:val="30"/>
          <w:szCs w:val="30"/>
        </w:rPr>
        <w:t>电流测量实验</w:t>
      </w:r>
      <w:r>
        <w:rPr>
          <w:rFonts w:hint="eastAsia" w:ascii="Times New Roman" w:hAnsi="Times New Roman"/>
          <w:color w:val="auto"/>
          <w:sz w:val="30"/>
          <w:szCs w:val="30"/>
        </w:rPr>
        <w:t>要求</w:t>
      </w:r>
      <w:bookmarkEnd w:id="34"/>
    </w:p>
    <w:p>
      <w:pPr>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冲击电流</w:t>
      </w:r>
      <w:r>
        <w:rPr>
          <w:rFonts w:ascii="Times New Roman" w:hAnsi="Times New Roman" w:eastAsiaTheme="minorEastAsia"/>
          <w:color w:val="auto"/>
          <w:sz w:val="24"/>
        </w:rPr>
        <w:t>在</w:t>
      </w:r>
      <w:r>
        <w:rPr>
          <w:rFonts w:hint="eastAsia" w:ascii="Times New Roman" w:hAnsi="Times New Roman" w:eastAsiaTheme="minorEastAsia"/>
          <w:color w:val="auto"/>
          <w:sz w:val="24"/>
        </w:rPr>
        <w:t>1A</w:t>
      </w:r>
      <w:r>
        <w:rPr>
          <w:rFonts w:ascii="Times New Roman" w:hAnsi="Times New Roman" w:eastAsiaTheme="minorEastAsia"/>
          <w:color w:val="auto"/>
          <w:sz w:val="24"/>
        </w:rPr>
        <w:t>~500A</w:t>
      </w:r>
      <w:r>
        <w:rPr>
          <w:rFonts w:hint="eastAsia" w:ascii="Times New Roman" w:hAnsi="Times New Roman" w:eastAsiaTheme="minorEastAsia"/>
          <w:color w:val="auto"/>
          <w:sz w:val="24"/>
        </w:rPr>
        <w:t>范围内</w:t>
      </w:r>
      <w:r>
        <w:rPr>
          <w:rFonts w:ascii="Times New Roman" w:hAnsi="Times New Roman" w:eastAsiaTheme="minorEastAsia"/>
          <w:color w:val="auto"/>
          <w:sz w:val="24"/>
        </w:rPr>
        <w:t>，测量偏差不超过</w:t>
      </w:r>
      <w:r>
        <w:rPr>
          <w:rFonts w:hint="eastAsia" w:ascii="Times New Roman" w:hAnsi="Times New Roman" w:eastAsiaTheme="minorEastAsia"/>
          <w:color w:val="auto"/>
          <w:sz w:val="24"/>
        </w:rPr>
        <w:t>±5％±2A。</w:t>
      </w:r>
    </w:p>
    <w:p>
      <w:pPr>
        <w:pStyle w:val="5"/>
        <w:spacing w:beforeAutospacing="0" w:afterAutospacing="0" w:line="360" w:lineRule="auto"/>
        <w:rPr>
          <w:rFonts w:ascii="Times New Roman" w:hAnsi="Times New Roman"/>
          <w:color w:val="auto"/>
          <w:sz w:val="30"/>
          <w:szCs w:val="30"/>
        </w:rPr>
      </w:pPr>
      <w:bookmarkStart w:id="35" w:name="_Toc57813339"/>
      <w:r>
        <w:rPr>
          <w:rFonts w:ascii="Times New Roman" w:hAnsi="Times New Roman"/>
          <w:color w:val="auto"/>
          <w:sz w:val="30"/>
          <w:szCs w:val="30"/>
        </w:rPr>
        <w:t>4.5</w:t>
      </w:r>
      <w:r>
        <w:rPr>
          <w:rFonts w:hint="eastAsia" w:ascii="Times New Roman" w:hAnsi="Times New Roman"/>
          <w:color w:val="auto"/>
          <w:sz w:val="30"/>
          <w:szCs w:val="30"/>
        </w:rPr>
        <w:t>防护等级试验要求</w:t>
      </w:r>
      <w:bookmarkEnd w:id="35"/>
    </w:p>
    <w:p>
      <w:pPr>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a）装置防尘等级满足IP</w:t>
      </w:r>
      <w:r>
        <w:rPr>
          <w:rFonts w:hint="eastAsia" w:ascii="Times New Roman" w:hAnsi="Times New Roman" w:eastAsiaTheme="minorEastAsia"/>
          <w:color w:val="auto"/>
          <w:sz w:val="24"/>
          <w:lang w:val="en-US" w:eastAsia="zh-CN"/>
        </w:rPr>
        <w:t>6</w:t>
      </w:r>
      <w:r>
        <w:rPr>
          <w:rFonts w:hint="eastAsia" w:ascii="Times New Roman" w:hAnsi="Times New Roman" w:eastAsiaTheme="minorEastAsia"/>
          <w:color w:val="auto"/>
          <w:sz w:val="24"/>
        </w:rPr>
        <w:t>X。将装置置于砂尘箱中，试验时间8h，试验后箱壳体内</w:t>
      </w:r>
      <w:r>
        <w:rPr>
          <w:rFonts w:hint="eastAsia" w:ascii="Times New Roman" w:hAnsi="Times New Roman" w:eastAsiaTheme="minorEastAsia"/>
          <w:color w:val="auto"/>
          <w:sz w:val="24"/>
          <w:lang w:val="en-US" w:eastAsia="zh-CN"/>
        </w:rPr>
        <w:t>达到完全防止粉尘进入的要求</w:t>
      </w:r>
      <w:r>
        <w:rPr>
          <w:rFonts w:hint="eastAsia" w:ascii="Times New Roman" w:hAnsi="Times New Roman" w:eastAsiaTheme="minorEastAsia"/>
          <w:color w:val="auto"/>
          <w:sz w:val="24"/>
        </w:rPr>
        <w:t>。</w:t>
      </w:r>
    </w:p>
    <w:p>
      <w:pPr>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b）装置防水等级满足IPX</w:t>
      </w:r>
      <w:r>
        <w:rPr>
          <w:rFonts w:ascii="Times New Roman" w:hAnsi="Times New Roman" w:eastAsiaTheme="minorEastAsia"/>
          <w:color w:val="auto"/>
          <w:sz w:val="24"/>
        </w:rPr>
        <w:t>6</w:t>
      </w:r>
      <w:r>
        <w:rPr>
          <w:rFonts w:hint="eastAsia" w:ascii="Times New Roman" w:hAnsi="Times New Roman" w:eastAsiaTheme="minorEastAsia"/>
          <w:color w:val="auto"/>
          <w:sz w:val="24"/>
        </w:rPr>
        <w:t>。</w:t>
      </w:r>
      <w:r>
        <w:rPr>
          <w:rFonts w:ascii="Times New Roman" w:hAnsi="Times New Roman" w:eastAsiaTheme="minorEastAsia"/>
          <w:color w:val="auto"/>
          <w:sz w:val="24"/>
        </w:rPr>
        <w:t>喷嘴内径</w:t>
      </w:r>
      <w:r>
        <w:rPr>
          <w:rFonts w:hint="eastAsia" w:ascii="Times New Roman" w:hAnsi="Times New Roman" w:eastAsiaTheme="minorEastAsia"/>
          <w:color w:val="auto"/>
          <w:sz w:val="24"/>
        </w:rPr>
        <w:t>12.5</w:t>
      </w:r>
      <w:r>
        <w:rPr>
          <w:rFonts w:ascii="Times New Roman" w:hAnsi="Times New Roman" w:eastAsiaTheme="minorEastAsia"/>
          <w:color w:val="auto"/>
          <w:sz w:val="24"/>
        </w:rPr>
        <w:t>mm，水流量</w:t>
      </w:r>
      <w:r>
        <w:rPr>
          <w:rFonts w:hint="eastAsia" w:ascii="Times New Roman" w:hAnsi="Times New Roman" w:eastAsiaTheme="minorEastAsia"/>
          <w:color w:val="auto"/>
          <w:sz w:val="24"/>
        </w:rPr>
        <w:t>100（1±5</w:t>
      </w:r>
      <w:r>
        <w:rPr>
          <w:rFonts w:ascii="Times New Roman" w:hAnsi="Times New Roman" w:eastAsiaTheme="minorEastAsia"/>
          <w:color w:val="auto"/>
          <w:sz w:val="24"/>
        </w:rPr>
        <w:t>%</w:t>
      </w:r>
      <w:r>
        <w:rPr>
          <w:rFonts w:hint="eastAsia" w:ascii="Times New Roman" w:hAnsi="Times New Roman" w:eastAsiaTheme="minorEastAsia"/>
          <w:color w:val="auto"/>
          <w:sz w:val="24"/>
        </w:rPr>
        <w:t>）L/</w:t>
      </w:r>
      <w:r>
        <w:rPr>
          <w:rFonts w:ascii="Times New Roman" w:hAnsi="Times New Roman" w:eastAsiaTheme="minorEastAsia"/>
          <w:color w:val="auto"/>
          <w:sz w:val="24"/>
        </w:rPr>
        <w:t>min，主水流的中心部分在离喷嘴</w:t>
      </w:r>
      <w:r>
        <w:rPr>
          <w:rFonts w:hint="eastAsia" w:ascii="Times New Roman" w:hAnsi="Times New Roman" w:eastAsiaTheme="minorEastAsia"/>
          <w:color w:val="auto"/>
          <w:sz w:val="24"/>
        </w:rPr>
        <w:t>2.5</w:t>
      </w:r>
      <w:r>
        <w:rPr>
          <w:rFonts w:ascii="Times New Roman" w:hAnsi="Times New Roman" w:eastAsiaTheme="minorEastAsia"/>
          <w:color w:val="auto"/>
          <w:sz w:val="24"/>
        </w:rPr>
        <w:t>m处直径约为</w:t>
      </w:r>
      <w:r>
        <w:rPr>
          <w:rFonts w:hint="eastAsia" w:ascii="Times New Roman" w:hAnsi="Times New Roman" w:eastAsiaTheme="minorEastAsia"/>
          <w:color w:val="auto"/>
          <w:sz w:val="24"/>
        </w:rPr>
        <w:t>120</w:t>
      </w:r>
      <w:r>
        <w:rPr>
          <w:rFonts w:ascii="Times New Roman" w:hAnsi="Times New Roman" w:eastAsiaTheme="minorEastAsia"/>
          <w:color w:val="auto"/>
          <w:sz w:val="24"/>
        </w:rPr>
        <w:t>mm的圆，碰嘴至试品外壳距离</w:t>
      </w:r>
      <w:r>
        <w:rPr>
          <w:rFonts w:hint="eastAsia" w:ascii="Times New Roman" w:hAnsi="Times New Roman" w:eastAsiaTheme="minorEastAsia"/>
          <w:color w:val="auto"/>
          <w:sz w:val="24"/>
        </w:rPr>
        <w:t>2.5</w:t>
      </w:r>
      <w:r>
        <w:rPr>
          <w:rFonts w:ascii="Times New Roman" w:hAnsi="Times New Roman" w:eastAsiaTheme="minorEastAsia"/>
          <w:color w:val="auto"/>
          <w:sz w:val="24"/>
        </w:rPr>
        <w:t>m~3m，试验时间</w:t>
      </w:r>
      <w:r>
        <w:rPr>
          <w:rFonts w:hint="eastAsia" w:ascii="Times New Roman" w:hAnsi="Times New Roman" w:eastAsiaTheme="minorEastAsia"/>
          <w:color w:val="auto"/>
          <w:sz w:val="24"/>
        </w:rPr>
        <w:t>5</w:t>
      </w:r>
      <w:r>
        <w:rPr>
          <w:rFonts w:ascii="Times New Roman" w:hAnsi="Times New Roman" w:eastAsiaTheme="minorEastAsia"/>
          <w:color w:val="auto"/>
          <w:sz w:val="24"/>
        </w:rPr>
        <w:t>min。试验中</w:t>
      </w:r>
      <w:r>
        <w:rPr>
          <w:rFonts w:hint="eastAsia" w:ascii="Times New Roman" w:hAnsi="Times New Roman" w:eastAsiaTheme="minorEastAsia"/>
          <w:color w:val="auto"/>
          <w:sz w:val="24"/>
        </w:rPr>
        <w:t>如</w:t>
      </w:r>
      <w:r>
        <w:rPr>
          <w:rFonts w:ascii="Times New Roman" w:hAnsi="Times New Roman" w:eastAsiaTheme="minorEastAsia"/>
          <w:color w:val="auto"/>
          <w:sz w:val="24"/>
        </w:rPr>
        <w:t>进水应不影响设备的正常操作和破坏安全性</w:t>
      </w:r>
      <w:r>
        <w:rPr>
          <w:rFonts w:hint="eastAsia" w:ascii="Times New Roman" w:hAnsi="Times New Roman" w:eastAsiaTheme="minorEastAsia"/>
          <w:color w:val="auto"/>
          <w:sz w:val="24"/>
        </w:rPr>
        <w:t>，</w:t>
      </w:r>
      <w:r>
        <w:rPr>
          <w:rFonts w:ascii="Times New Roman" w:hAnsi="Times New Roman" w:eastAsiaTheme="minorEastAsia"/>
          <w:color w:val="auto"/>
          <w:sz w:val="24"/>
        </w:rPr>
        <w:t>水不进入带电部件</w:t>
      </w:r>
      <w:r>
        <w:rPr>
          <w:rFonts w:hint="eastAsia" w:ascii="Times New Roman" w:hAnsi="Times New Roman" w:eastAsiaTheme="minorEastAsia"/>
          <w:color w:val="auto"/>
          <w:sz w:val="24"/>
        </w:rPr>
        <w:t>。</w:t>
      </w:r>
    </w:p>
    <w:p>
      <w:pPr>
        <w:pStyle w:val="5"/>
        <w:spacing w:beforeAutospacing="0" w:afterAutospacing="0" w:line="360" w:lineRule="auto"/>
        <w:rPr>
          <w:rFonts w:ascii="Times New Roman" w:hAnsi="Times New Roman"/>
          <w:color w:val="auto"/>
          <w:sz w:val="30"/>
          <w:szCs w:val="30"/>
        </w:rPr>
      </w:pPr>
      <w:bookmarkStart w:id="36" w:name="_Toc57813340"/>
      <w:r>
        <w:rPr>
          <w:rFonts w:ascii="Times New Roman" w:hAnsi="Times New Roman"/>
          <w:color w:val="auto"/>
          <w:sz w:val="30"/>
          <w:szCs w:val="30"/>
        </w:rPr>
        <w:t>4.6</w:t>
      </w:r>
      <w:r>
        <w:rPr>
          <w:rFonts w:hint="eastAsia" w:ascii="Times New Roman" w:hAnsi="Times New Roman"/>
          <w:color w:val="auto"/>
          <w:sz w:val="30"/>
          <w:szCs w:val="30"/>
        </w:rPr>
        <w:t>电磁兼容性试验</w:t>
      </w:r>
      <w:bookmarkEnd w:id="36"/>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a</w:t>
      </w:r>
      <w:r>
        <w:rPr>
          <w:rFonts w:hint="eastAsia" w:ascii="Times New Roman" w:hAnsi="Times New Roman" w:eastAsiaTheme="minorEastAsia"/>
          <w:color w:val="auto"/>
          <w:sz w:val="24"/>
        </w:rPr>
        <w:t>）阻尼振荡磁场抗扰度试验</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3"/>
        <w:gridCol w:w="1200"/>
        <w:gridCol w:w="1245"/>
        <w:gridCol w:w="4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3" w:type="dxa"/>
            <w:vAlign w:val="center"/>
          </w:tcPr>
          <w:p>
            <w:pPr>
              <w:spacing w:line="360" w:lineRule="auto"/>
              <w:jc w:val="center"/>
              <w:rPr>
                <w:rFonts w:ascii="Times New Roman" w:hAnsi="Times New Roman"/>
                <w:color w:val="auto"/>
                <w:szCs w:val="21"/>
              </w:rPr>
            </w:pPr>
            <w:r>
              <w:rPr>
                <w:rFonts w:ascii="Times New Roman" w:hAnsi="Times New Roman"/>
                <w:color w:val="auto"/>
                <w:szCs w:val="21"/>
              </w:rPr>
              <w:t>测试端口</w:t>
            </w:r>
          </w:p>
        </w:tc>
        <w:tc>
          <w:tcPr>
            <w:tcW w:w="1200" w:type="dxa"/>
            <w:vAlign w:val="center"/>
          </w:tcPr>
          <w:p>
            <w:pPr>
              <w:spacing w:line="360" w:lineRule="auto"/>
              <w:jc w:val="center"/>
              <w:rPr>
                <w:rFonts w:ascii="Times New Roman" w:hAnsi="Times New Roman"/>
                <w:color w:val="auto"/>
                <w:szCs w:val="21"/>
              </w:rPr>
            </w:pPr>
            <w:r>
              <w:rPr>
                <w:rFonts w:ascii="Times New Roman" w:hAnsi="Times New Roman"/>
                <w:color w:val="auto"/>
                <w:szCs w:val="21"/>
              </w:rPr>
              <w:t>磁场强度</w:t>
            </w:r>
          </w:p>
        </w:tc>
        <w:tc>
          <w:tcPr>
            <w:tcW w:w="1245" w:type="dxa"/>
            <w:vAlign w:val="center"/>
          </w:tcPr>
          <w:p>
            <w:pPr>
              <w:spacing w:line="360" w:lineRule="auto"/>
              <w:jc w:val="center"/>
              <w:rPr>
                <w:rFonts w:ascii="Times New Roman" w:hAnsi="Times New Roman"/>
                <w:color w:val="auto"/>
                <w:szCs w:val="21"/>
              </w:rPr>
            </w:pPr>
            <w:r>
              <w:rPr>
                <w:rFonts w:ascii="Times New Roman" w:hAnsi="Times New Roman"/>
                <w:color w:val="auto"/>
                <w:szCs w:val="21"/>
              </w:rPr>
              <w:t>试验等级</w:t>
            </w:r>
          </w:p>
        </w:tc>
        <w:tc>
          <w:tcPr>
            <w:tcW w:w="4904" w:type="dxa"/>
            <w:vAlign w:val="center"/>
          </w:tcPr>
          <w:p>
            <w:pPr>
              <w:spacing w:line="360" w:lineRule="auto"/>
              <w:jc w:val="center"/>
              <w:rPr>
                <w:rFonts w:ascii="Times New Roman" w:hAnsi="Times New Roman"/>
                <w:color w:val="auto"/>
                <w:szCs w:val="21"/>
              </w:rPr>
            </w:pPr>
            <w:r>
              <w:rPr>
                <w:rFonts w:ascii="Times New Roman" w:hAnsi="Times New Roman"/>
                <w:color w:val="auto"/>
                <w:szCs w:val="21"/>
              </w:rPr>
              <w:t>受试设备试验现象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3" w:type="dxa"/>
            <w:vAlign w:val="center"/>
          </w:tcPr>
          <w:p>
            <w:pPr>
              <w:spacing w:line="360" w:lineRule="auto"/>
              <w:jc w:val="center"/>
              <w:rPr>
                <w:rFonts w:ascii="Times New Roman" w:hAnsi="Times New Roman"/>
                <w:color w:val="auto"/>
                <w:szCs w:val="21"/>
              </w:rPr>
            </w:pPr>
            <w:r>
              <w:rPr>
                <w:rFonts w:ascii="Times New Roman" w:hAnsi="Times New Roman"/>
                <w:color w:val="auto"/>
                <w:szCs w:val="21"/>
              </w:rPr>
              <w:t>外壳</w:t>
            </w:r>
          </w:p>
        </w:tc>
        <w:tc>
          <w:tcPr>
            <w:tcW w:w="1200" w:type="dxa"/>
            <w:vAlign w:val="center"/>
          </w:tcPr>
          <w:p>
            <w:pPr>
              <w:spacing w:line="360" w:lineRule="auto"/>
              <w:jc w:val="center"/>
              <w:rPr>
                <w:rFonts w:ascii="Times New Roman" w:hAnsi="Times New Roman"/>
                <w:color w:val="auto"/>
                <w:szCs w:val="21"/>
              </w:rPr>
            </w:pPr>
            <w:r>
              <w:rPr>
                <w:rFonts w:ascii="Times New Roman" w:hAnsi="Times New Roman"/>
                <w:color w:val="auto"/>
                <w:szCs w:val="21"/>
              </w:rPr>
              <w:t>100A/m</w:t>
            </w:r>
          </w:p>
        </w:tc>
        <w:tc>
          <w:tcPr>
            <w:tcW w:w="1245" w:type="dxa"/>
            <w:vAlign w:val="center"/>
          </w:tcPr>
          <w:p>
            <w:pPr>
              <w:spacing w:line="360" w:lineRule="auto"/>
              <w:jc w:val="center"/>
              <w:rPr>
                <w:rFonts w:ascii="Times New Roman" w:hAnsi="Times New Roman"/>
                <w:color w:val="auto"/>
                <w:szCs w:val="21"/>
              </w:rPr>
            </w:pPr>
            <w:r>
              <w:rPr>
                <w:rFonts w:ascii="Times New Roman" w:hAnsi="Times New Roman"/>
                <w:color w:val="auto"/>
                <w:szCs w:val="21"/>
              </w:rPr>
              <w:t>5级</w:t>
            </w:r>
          </w:p>
        </w:tc>
        <w:tc>
          <w:tcPr>
            <w:tcW w:w="4904" w:type="dxa"/>
            <w:vAlign w:val="center"/>
          </w:tcPr>
          <w:p>
            <w:pPr>
              <w:spacing w:line="360" w:lineRule="auto"/>
              <w:jc w:val="center"/>
              <w:rPr>
                <w:rFonts w:ascii="Times New Roman" w:hAnsi="Times New Roman"/>
                <w:color w:val="auto"/>
                <w:szCs w:val="21"/>
              </w:rPr>
            </w:pPr>
            <w:r>
              <w:rPr>
                <w:rFonts w:ascii="Times New Roman" w:hAnsi="Times New Roman"/>
                <w:color w:val="auto"/>
                <w:szCs w:val="21"/>
              </w:rPr>
              <w:t>装置工作性能正常，不应出现任何故障</w:t>
            </w:r>
          </w:p>
        </w:tc>
      </w:tr>
    </w:tbl>
    <w:p>
      <w:pPr>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环境条件：环境温度为2</w:t>
      </w:r>
      <w:r>
        <w:rPr>
          <w:rFonts w:ascii="Times New Roman" w:hAnsi="Times New Roman" w:eastAsiaTheme="minorEastAsia"/>
          <w:color w:val="auto"/>
          <w:sz w:val="24"/>
        </w:rPr>
        <w:t>4</w:t>
      </w:r>
      <w:r>
        <w:rPr>
          <w:rFonts w:hint="eastAsia" w:ascii="Times New Roman" w:hAnsi="Times New Roman" w:eastAsiaTheme="minorEastAsia"/>
          <w:color w:val="auto"/>
          <w:sz w:val="24"/>
        </w:rPr>
        <w:t>℃，相对湿度</w:t>
      </w:r>
      <w:r>
        <w:rPr>
          <w:rFonts w:ascii="Times New Roman" w:hAnsi="Times New Roman" w:eastAsiaTheme="minorEastAsia"/>
          <w:color w:val="auto"/>
          <w:sz w:val="24"/>
        </w:rPr>
        <w:t>54</w:t>
      </w:r>
      <w:r>
        <w:rPr>
          <w:rFonts w:hint="eastAsia" w:ascii="Times New Roman" w:hAnsi="Times New Roman" w:eastAsiaTheme="minorEastAsia"/>
          <w:color w:val="auto"/>
          <w:sz w:val="24"/>
        </w:rPr>
        <w:t>%，大气压力10</w:t>
      </w:r>
      <w:r>
        <w:rPr>
          <w:rFonts w:ascii="Times New Roman" w:hAnsi="Times New Roman" w:eastAsiaTheme="minorEastAsia"/>
          <w:color w:val="auto"/>
          <w:sz w:val="24"/>
        </w:rPr>
        <w:t>0.6</w:t>
      </w:r>
      <w:r>
        <w:rPr>
          <w:rFonts w:hint="eastAsia" w:ascii="Times New Roman" w:hAnsi="Times New Roman" w:eastAsiaTheme="minorEastAsia"/>
          <w:color w:val="auto"/>
          <w:sz w:val="24"/>
        </w:rPr>
        <w:t>kPa。</w:t>
      </w:r>
    </w:p>
    <w:p>
      <w:pPr>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装置工作状态：接通电源，使装置处于正常工作状态，现场通过陪试设备监测装置是否发生误动作或损坏。</w:t>
      </w:r>
    </w:p>
    <w:p>
      <w:pPr>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测试参数：试验等级5级，磁场强度100A/m。</w:t>
      </w:r>
    </w:p>
    <w:p>
      <w:pPr>
        <w:spacing w:line="360" w:lineRule="auto"/>
        <w:ind w:firstLine="480" w:firstLineChars="200"/>
        <w:rPr>
          <w:rFonts w:ascii="Times New Roman" w:hAnsi="Times New Roman" w:eastAsiaTheme="minorEastAsia"/>
          <w:color w:val="auto"/>
          <w:sz w:val="24"/>
        </w:rPr>
      </w:pPr>
      <w:r>
        <w:rPr>
          <w:rFonts w:ascii="Times New Roman" w:hAnsi="Times New Roman" w:eastAsiaTheme="minorEastAsia"/>
          <w:color w:val="auto"/>
          <w:sz w:val="24"/>
        </w:rPr>
        <w:t>b</w:t>
      </w:r>
      <w:r>
        <w:rPr>
          <w:rFonts w:hint="eastAsia" w:ascii="Times New Roman" w:hAnsi="Times New Roman" w:eastAsiaTheme="minorEastAsia"/>
          <w:color w:val="auto"/>
          <w:sz w:val="24"/>
        </w:rPr>
        <w:t>）射频电磁场辐射抗扰度试验</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3"/>
        <w:gridCol w:w="1320"/>
        <w:gridCol w:w="2025"/>
        <w:gridCol w:w="4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3" w:type="dxa"/>
            <w:vAlign w:val="center"/>
          </w:tcPr>
          <w:p>
            <w:pPr>
              <w:spacing w:line="360" w:lineRule="auto"/>
              <w:jc w:val="center"/>
              <w:rPr>
                <w:rFonts w:ascii="Times New Roman" w:hAnsi="Times New Roman"/>
                <w:color w:val="auto"/>
                <w:szCs w:val="21"/>
              </w:rPr>
            </w:pPr>
            <w:r>
              <w:rPr>
                <w:rFonts w:hint="eastAsia" w:ascii="Times New Roman" w:hAnsi="Times New Roman"/>
                <w:color w:val="auto"/>
                <w:szCs w:val="21"/>
              </w:rPr>
              <w:t>测试端口</w:t>
            </w:r>
          </w:p>
        </w:tc>
        <w:tc>
          <w:tcPr>
            <w:tcW w:w="1320" w:type="dxa"/>
            <w:vAlign w:val="center"/>
          </w:tcPr>
          <w:p>
            <w:pPr>
              <w:spacing w:line="360" w:lineRule="auto"/>
              <w:jc w:val="center"/>
              <w:rPr>
                <w:rFonts w:ascii="Times New Roman" w:hAnsi="Times New Roman"/>
                <w:color w:val="auto"/>
                <w:szCs w:val="21"/>
              </w:rPr>
            </w:pPr>
            <w:r>
              <w:rPr>
                <w:rFonts w:hint="eastAsia" w:ascii="Times New Roman" w:hAnsi="Times New Roman"/>
                <w:color w:val="auto"/>
                <w:szCs w:val="21"/>
              </w:rPr>
              <w:t>频率范围</w:t>
            </w:r>
          </w:p>
        </w:tc>
        <w:tc>
          <w:tcPr>
            <w:tcW w:w="2025" w:type="dxa"/>
            <w:vAlign w:val="center"/>
          </w:tcPr>
          <w:p>
            <w:pPr>
              <w:spacing w:line="360" w:lineRule="auto"/>
              <w:jc w:val="center"/>
              <w:rPr>
                <w:rFonts w:ascii="Times New Roman" w:hAnsi="Times New Roman"/>
                <w:color w:val="auto"/>
                <w:szCs w:val="21"/>
              </w:rPr>
            </w:pPr>
            <w:r>
              <w:rPr>
                <w:rFonts w:hint="eastAsia" w:ascii="Times New Roman" w:hAnsi="Times New Roman"/>
                <w:color w:val="auto"/>
                <w:szCs w:val="21"/>
              </w:rPr>
              <w:t>试验等级</w:t>
            </w:r>
          </w:p>
        </w:tc>
        <w:tc>
          <w:tcPr>
            <w:tcW w:w="4004" w:type="dxa"/>
            <w:vAlign w:val="center"/>
          </w:tcPr>
          <w:p>
            <w:pPr>
              <w:spacing w:line="360" w:lineRule="auto"/>
              <w:jc w:val="center"/>
              <w:rPr>
                <w:rFonts w:ascii="Times New Roman" w:hAnsi="Times New Roman"/>
                <w:color w:val="auto"/>
                <w:szCs w:val="21"/>
              </w:rPr>
            </w:pPr>
            <w:r>
              <w:rPr>
                <w:rFonts w:hint="eastAsia" w:ascii="Times New Roman" w:hAnsi="Times New Roman"/>
                <w:color w:val="auto"/>
                <w:szCs w:val="21"/>
              </w:rPr>
              <w:t>受试设备试验现象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3" w:type="dxa"/>
            <w:vAlign w:val="center"/>
          </w:tcPr>
          <w:p>
            <w:pPr>
              <w:spacing w:line="360" w:lineRule="auto"/>
              <w:jc w:val="center"/>
              <w:rPr>
                <w:rFonts w:ascii="Times New Roman" w:hAnsi="Times New Roman"/>
                <w:color w:val="auto"/>
                <w:szCs w:val="21"/>
              </w:rPr>
            </w:pPr>
            <w:r>
              <w:rPr>
                <w:rFonts w:hint="eastAsia" w:ascii="Times New Roman" w:hAnsi="Times New Roman"/>
                <w:color w:val="auto"/>
                <w:szCs w:val="21"/>
              </w:rPr>
              <w:t>外壳</w:t>
            </w:r>
          </w:p>
        </w:tc>
        <w:tc>
          <w:tcPr>
            <w:tcW w:w="1320" w:type="dxa"/>
            <w:vAlign w:val="center"/>
          </w:tcPr>
          <w:p>
            <w:pPr>
              <w:spacing w:line="360" w:lineRule="auto"/>
              <w:jc w:val="center"/>
              <w:rPr>
                <w:rFonts w:ascii="Times New Roman" w:hAnsi="Times New Roman"/>
                <w:color w:val="auto"/>
                <w:szCs w:val="21"/>
              </w:rPr>
            </w:pPr>
            <w:r>
              <w:rPr>
                <w:rFonts w:hint="eastAsia" w:ascii="Times New Roman" w:hAnsi="Times New Roman"/>
                <w:color w:val="auto"/>
                <w:szCs w:val="21"/>
              </w:rPr>
              <w:t>80MHz~1GHz</w:t>
            </w:r>
          </w:p>
        </w:tc>
        <w:tc>
          <w:tcPr>
            <w:tcW w:w="2025" w:type="dxa"/>
            <w:vAlign w:val="center"/>
          </w:tcPr>
          <w:p>
            <w:pPr>
              <w:spacing w:line="360" w:lineRule="auto"/>
              <w:jc w:val="center"/>
              <w:rPr>
                <w:rFonts w:ascii="Times New Roman" w:hAnsi="Times New Roman"/>
                <w:color w:val="auto"/>
                <w:szCs w:val="21"/>
              </w:rPr>
            </w:pPr>
            <w:r>
              <w:rPr>
                <w:rFonts w:hint="eastAsia" w:ascii="Times New Roman" w:hAnsi="Times New Roman"/>
                <w:color w:val="auto"/>
                <w:szCs w:val="21"/>
              </w:rPr>
              <w:t>10V/m</w:t>
            </w:r>
          </w:p>
          <w:p>
            <w:pPr>
              <w:spacing w:line="360" w:lineRule="auto"/>
              <w:jc w:val="center"/>
              <w:rPr>
                <w:rFonts w:ascii="Times New Roman" w:hAnsi="Times New Roman"/>
                <w:color w:val="auto"/>
                <w:szCs w:val="21"/>
              </w:rPr>
            </w:pPr>
            <w:r>
              <w:rPr>
                <w:rFonts w:hint="eastAsia" w:ascii="Times New Roman" w:hAnsi="Times New Roman"/>
                <w:color w:val="auto"/>
                <w:szCs w:val="21"/>
              </w:rPr>
              <w:t>（载波r，m，s值）</w:t>
            </w:r>
          </w:p>
        </w:tc>
        <w:tc>
          <w:tcPr>
            <w:tcW w:w="4004" w:type="dxa"/>
            <w:vAlign w:val="center"/>
          </w:tcPr>
          <w:p>
            <w:pPr>
              <w:spacing w:line="360" w:lineRule="auto"/>
              <w:jc w:val="center"/>
              <w:rPr>
                <w:rFonts w:ascii="Times New Roman" w:hAnsi="Times New Roman"/>
                <w:color w:val="auto"/>
                <w:szCs w:val="21"/>
              </w:rPr>
            </w:pPr>
            <w:r>
              <w:rPr>
                <w:rFonts w:hint="eastAsia" w:ascii="Times New Roman" w:hAnsi="Times New Roman"/>
                <w:color w:val="auto"/>
                <w:szCs w:val="21"/>
              </w:rPr>
              <w:t>装置工作性能正常，不应出现任何故障</w:t>
            </w:r>
          </w:p>
        </w:tc>
      </w:tr>
    </w:tbl>
    <w:p>
      <w:pPr>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环境条件：环境温度为2</w:t>
      </w:r>
      <w:r>
        <w:rPr>
          <w:rFonts w:ascii="Times New Roman" w:hAnsi="Times New Roman" w:eastAsiaTheme="minorEastAsia"/>
          <w:color w:val="auto"/>
          <w:sz w:val="24"/>
        </w:rPr>
        <w:t>4</w:t>
      </w:r>
      <w:r>
        <w:rPr>
          <w:rFonts w:hint="eastAsia" w:ascii="Times New Roman" w:hAnsi="Times New Roman" w:eastAsiaTheme="minorEastAsia"/>
          <w:color w:val="auto"/>
          <w:sz w:val="24"/>
        </w:rPr>
        <w:t>℃，相对湿度</w:t>
      </w:r>
      <w:r>
        <w:rPr>
          <w:rFonts w:ascii="Times New Roman" w:hAnsi="Times New Roman" w:eastAsiaTheme="minorEastAsia"/>
          <w:color w:val="auto"/>
          <w:sz w:val="24"/>
        </w:rPr>
        <w:t>54</w:t>
      </w:r>
      <w:r>
        <w:rPr>
          <w:rFonts w:hint="eastAsia" w:ascii="Times New Roman" w:hAnsi="Times New Roman" w:eastAsiaTheme="minorEastAsia"/>
          <w:color w:val="auto"/>
          <w:sz w:val="24"/>
        </w:rPr>
        <w:t>%，大气压力10</w:t>
      </w:r>
      <w:r>
        <w:rPr>
          <w:rFonts w:ascii="Times New Roman" w:hAnsi="Times New Roman" w:eastAsiaTheme="minorEastAsia"/>
          <w:color w:val="auto"/>
          <w:sz w:val="24"/>
        </w:rPr>
        <w:t>0.6</w:t>
      </w:r>
      <w:r>
        <w:rPr>
          <w:rFonts w:hint="eastAsia" w:ascii="Times New Roman" w:hAnsi="Times New Roman" w:eastAsiaTheme="minorEastAsia"/>
          <w:color w:val="auto"/>
          <w:sz w:val="24"/>
        </w:rPr>
        <w:t>kPa。</w:t>
      </w:r>
    </w:p>
    <w:p>
      <w:pPr>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装置工作状态：接通电源，使装置处于正常工作状态，现场通过陪试设备监测装置是否发生误动作或损坏。</w:t>
      </w:r>
    </w:p>
    <w:p>
      <w:pPr>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测试参数：频率范围为80MHz~1GHz，1kHz正弦波调幅（80%AM调制深度）。</w:t>
      </w:r>
    </w:p>
    <w:p>
      <w:pPr>
        <w:pStyle w:val="5"/>
        <w:spacing w:beforeAutospacing="0" w:afterAutospacing="0" w:line="360" w:lineRule="auto"/>
        <w:rPr>
          <w:rFonts w:ascii="Times New Roman" w:hAnsi="Times New Roman"/>
          <w:color w:val="auto"/>
          <w:sz w:val="30"/>
          <w:szCs w:val="30"/>
        </w:rPr>
      </w:pPr>
      <w:bookmarkStart w:id="37" w:name="_Toc57813341"/>
      <w:bookmarkStart w:id="38" w:name="_Toc490993910"/>
      <w:r>
        <w:rPr>
          <w:rFonts w:ascii="Times New Roman" w:hAnsi="Times New Roman"/>
          <w:color w:val="auto"/>
          <w:sz w:val="30"/>
          <w:szCs w:val="30"/>
        </w:rPr>
        <w:t>4.7</w:t>
      </w:r>
      <w:r>
        <w:rPr>
          <w:rFonts w:hint="eastAsia" w:ascii="Times New Roman" w:hAnsi="Times New Roman"/>
          <w:color w:val="auto"/>
          <w:sz w:val="30"/>
          <w:szCs w:val="30"/>
        </w:rPr>
        <w:t>试验分类</w:t>
      </w:r>
      <w:bookmarkEnd w:id="37"/>
      <w:bookmarkEnd w:id="38"/>
    </w:p>
    <w:p>
      <w:pPr>
        <w:pStyle w:val="6"/>
        <w:rPr>
          <w:rFonts w:eastAsiaTheme="minorEastAsia"/>
          <w:color w:val="auto"/>
          <w:sz w:val="28"/>
          <w:szCs w:val="28"/>
        </w:rPr>
      </w:pPr>
      <w:bookmarkStart w:id="39" w:name="_Toc490993911"/>
      <w:bookmarkStart w:id="40" w:name="_Toc437851465"/>
      <w:bookmarkStart w:id="41" w:name="_Toc57813342"/>
      <w:bookmarkStart w:id="42" w:name="_Toc435603061"/>
      <w:r>
        <w:rPr>
          <w:rFonts w:eastAsiaTheme="minorEastAsia"/>
          <w:color w:val="auto"/>
          <w:sz w:val="28"/>
          <w:szCs w:val="28"/>
        </w:rPr>
        <w:t>4.7.1</w:t>
      </w:r>
      <w:r>
        <w:rPr>
          <w:rFonts w:hint="eastAsia" w:eastAsiaTheme="minorEastAsia"/>
          <w:color w:val="auto"/>
          <w:sz w:val="28"/>
          <w:szCs w:val="28"/>
        </w:rPr>
        <w:t>出厂</w:t>
      </w:r>
      <w:r>
        <w:rPr>
          <w:rFonts w:eastAsiaTheme="minorEastAsia"/>
          <w:color w:val="auto"/>
          <w:sz w:val="28"/>
          <w:szCs w:val="28"/>
        </w:rPr>
        <w:t>试验</w:t>
      </w:r>
      <w:bookmarkEnd w:id="39"/>
      <w:bookmarkEnd w:id="40"/>
      <w:bookmarkEnd w:id="41"/>
      <w:bookmarkEnd w:id="42"/>
    </w:p>
    <w:p>
      <w:pPr>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以同一个厂家、同一个合同、同一时期交货的同一型号产品为一个供货批次。抽检批在供货批中随机选取若干套，抽检样品型号与数量根据抽检原则、抽检比例及抽检产品质量情况适当调整。</w:t>
      </w:r>
    </w:p>
    <w:p>
      <w:pPr>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规定DQL=0，若抽检批中有1台及以上样品抽检不合格，则判定该抽检批产品不合格；若全部样品抽检合格，则判定该抽检批产品合格。</w:t>
      </w:r>
    </w:p>
    <w:p>
      <w:pPr>
        <w:pStyle w:val="4"/>
        <w:spacing w:before="156" w:beforeLines="50" w:after="156" w:afterLines="50"/>
        <w:jc w:val="center"/>
        <w:rPr>
          <w:rFonts w:ascii="Times New Roman" w:hAnsi="Times New Roman" w:cs="Times New Roman" w:eastAsiaTheme="minorEastAsia"/>
          <w:color w:val="auto"/>
          <w:sz w:val="21"/>
          <w:szCs w:val="21"/>
        </w:rPr>
      </w:pPr>
      <w:r>
        <w:rPr>
          <w:rStyle w:val="33"/>
          <w:rFonts w:ascii="Times New Roman" w:hAnsi="Times New Roman" w:cs="Times New Roman" w:eastAsiaTheme="minorEastAsia"/>
          <w:color w:val="auto"/>
          <w:sz w:val="21"/>
          <w:szCs w:val="21"/>
        </w:rPr>
        <w:t>表4.7-1抽查试验项目及依据</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2552"/>
        <w:gridCol w:w="1459"/>
        <w:gridCol w:w="1460"/>
        <w:gridCol w:w="2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729" w:type="dxa"/>
            <w:vAlign w:val="center"/>
          </w:tcPr>
          <w:p>
            <w:pPr>
              <w:spacing w:line="240" w:lineRule="exact"/>
              <w:jc w:val="center"/>
              <w:rPr>
                <w:rFonts w:ascii="Times New Roman" w:hAnsi="Times New Roman" w:eastAsiaTheme="minorEastAsia"/>
                <w:color w:val="auto"/>
                <w:szCs w:val="21"/>
              </w:rPr>
            </w:pPr>
            <w:r>
              <w:rPr>
                <w:rFonts w:ascii="Times New Roman" w:hAnsi="Times New Roman" w:eastAsiaTheme="minorEastAsia"/>
                <w:color w:val="auto"/>
                <w:szCs w:val="21"/>
              </w:rPr>
              <w:t>序号</w:t>
            </w:r>
          </w:p>
        </w:tc>
        <w:tc>
          <w:tcPr>
            <w:tcW w:w="2552"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试验项目</w:t>
            </w:r>
          </w:p>
        </w:tc>
        <w:tc>
          <w:tcPr>
            <w:tcW w:w="1459" w:type="dxa"/>
            <w:vAlign w:val="center"/>
          </w:tcPr>
          <w:p>
            <w:pPr>
              <w:ind w:left="-126"/>
              <w:jc w:val="center"/>
              <w:rPr>
                <w:rFonts w:ascii="Times New Roman" w:hAnsi="Times New Roman" w:eastAsiaTheme="minorEastAsia"/>
                <w:color w:val="auto"/>
                <w:szCs w:val="21"/>
              </w:rPr>
            </w:pPr>
            <w:r>
              <w:rPr>
                <w:rFonts w:ascii="Times New Roman" w:hAnsi="Times New Roman" w:eastAsiaTheme="minorEastAsia"/>
                <w:color w:val="auto"/>
                <w:szCs w:val="21"/>
              </w:rPr>
              <w:t>出厂检验</w:t>
            </w:r>
          </w:p>
        </w:tc>
        <w:tc>
          <w:tcPr>
            <w:tcW w:w="1460" w:type="dxa"/>
            <w:vAlign w:val="center"/>
          </w:tcPr>
          <w:p>
            <w:pPr>
              <w:ind w:left="-126"/>
              <w:jc w:val="center"/>
              <w:rPr>
                <w:rFonts w:ascii="Times New Roman" w:hAnsi="Times New Roman" w:eastAsiaTheme="minorEastAsia"/>
                <w:color w:val="auto"/>
                <w:szCs w:val="21"/>
              </w:rPr>
            </w:pPr>
            <w:r>
              <w:rPr>
                <w:rFonts w:ascii="Times New Roman" w:hAnsi="Times New Roman" w:eastAsiaTheme="minorEastAsia"/>
                <w:color w:val="auto"/>
                <w:szCs w:val="21"/>
              </w:rPr>
              <w:t>委托检验</w:t>
            </w:r>
          </w:p>
        </w:tc>
        <w:tc>
          <w:tcPr>
            <w:tcW w:w="2145" w:type="dxa"/>
            <w:vAlign w:val="center"/>
          </w:tcPr>
          <w:p>
            <w:pPr>
              <w:adjustRightInd w:val="0"/>
              <w:snapToGrid w:val="0"/>
              <w:spacing w:line="360" w:lineRule="auto"/>
              <w:jc w:val="center"/>
              <w:rPr>
                <w:rFonts w:ascii="Times New Roman" w:hAnsi="Times New Roman" w:eastAsiaTheme="minorEastAsia"/>
                <w:color w:val="auto"/>
                <w:szCs w:val="21"/>
              </w:rPr>
            </w:pPr>
            <w:r>
              <w:rPr>
                <w:rFonts w:ascii="Times New Roman" w:hAnsi="Times New Roman" w:eastAsiaTheme="minorEastAsia"/>
                <w:color w:val="auto"/>
                <w:szCs w:val="21"/>
              </w:rPr>
              <w:t>试验依据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729"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1</w:t>
            </w:r>
          </w:p>
        </w:tc>
        <w:tc>
          <w:tcPr>
            <w:tcW w:w="2552" w:type="dxa"/>
            <w:vAlign w:val="center"/>
          </w:tcPr>
          <w:p>
            <w:pPr>
              <w:snapToGrid w:val="0"/>
              <w:spacing w:line="360" w:lineRule="atLeast"/>
              <w:ind w:left="42" w:leftChars="20" w:right="61" w:rightChars="29"/>
              <w:jc w:val="center"/>
              <w:rPr>
                <w:rFonts w:ascii="Times New Roman" w:hAnsi="Times New Roman" w:eastAsiaTheme="minorEastAsia"/>
                <w:color w:val="auto"/>
                <w:szCs w:val="21"/>
              </w:rPr>
            </w:pPr>
            <w:r>
              <w:rPr>
                <w:rFonts w:ascii="Times New Roman" w:hAnsi="Times New Roman" w:eastAsiaTheme="minorEastAsia"/>
                <w:color w:val="auto"/>
                <w:szCs w:val="21"/>
              </w:rPr>
              <w:t>外观检查</w:t>
            </w:r>
          </w:p>
        </w:tc>
        <w:tc>
          <w:tcPr>
            <w:tcW w:w="1459" w:type="dxa"/>
            <w:vAlign w:val="center"/>
          </w:tcPr>
          <w:p>
            <w:pPr>
              <w:snapToGrid w:val="0"/>
              <w:ind w:right="38" w:rightChars="18"/>
              <w:jc w:val="center"/>
              <w:rPr>
                <w:rFonts w:ascii="Times New Roman" w:hAnsi="Times New Roman" w:eastAsiaTheme="minorEastAsia"/>
                <w:color w:val="auto"/>
                <w:spacing w:val="-6"/>
                <w:szCs w:val="21"/>
              </w:rPr>
            </w:pPr>
            <w:r>
              <w:rPr>
                <w:rFonts w:ascii="Times New Roman" w:hAnsi="Times New Roman" w:eastAsiaTheme="minorEastAsia"/>
                <w:color w:val="auto"/>
                <w:szCs w:val="21"/>
              </w:rPr>
              <w:t>√</w:t>
            </w:r>
          </w:p>
        </w:tc>
        <w:tc>
          <w:tcPr>
            <w:tcW w:w="1460"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2145"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参见以上相关要求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jc w:val="center"/>
        </w:trPr>
        <w:tc>
          <w:tcPr>
            <w:tcW w:w="729"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2</w:t>
            </w:r>
          </w:p>
        </w:tc>
        <w:tc>
          <w:tcPr>
            <w:tcW w:w="2552" w:type="dxa"/>
            <w:vAlign w:val="center"/>
          </w:tcPr>
          <w:p>
            <w:pPr>
              <w:jc w:val="center"/>
              <w:rPr>
                <w:rFonts w:ascii="Times New Roman" w:hAnsi="Times New Roman" w:eastAsiaTheme="minorEastAsia"/>
                <w:color w:val="auto"/>
                <w:szCs w:val="21"/>
              </w:rPr>
            </w:pPr>
            <w:r>
              <w:rPr>
                <w:rFonts w:ascii="Times New Roman" w:hAnsi="Times New Roman" w:eastAsiaTheme="minorEastAsia"/>
                <w:bCs/>
                <w:color w:val="auto"/>
                <w:szCs w:val="21"/>
              </w:rPr>
              <w:t>功能试验</w:t>
            </w:r>
          </w:p>
        </w:tc>
        <w:tc>
          <w:tcPr>
            <w:tcW w:w="1459"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1460" w:type="dxa"/>
            <w:vAlign w:val="center"/>
          </w:tcPr>
          <w:p>
            <w:pPr>
              <w:jc w:val="center"/>
              <w:rPr>
                <w:rFonts w:ascii="Times New Roman" w:hAnsi="Times New Roman" w:eastAsiaTheme="minorEastAsia"/>
                <w:color w:val="auto"/>
                <w:spacing w:val="-10"/>
                <w:szCs w:val="21"/>
              </w:rPr>
            </w:pPr>
            <w:r>
              <w:rPr>
                <w:rFonts w:ascii="Times New Roman" w:hAnsi="Times New Roman" w:eastAsiaTheme="minorEastAsia"/>
                <w:color w:val="auto"/>
                <w:szCs w:val="21"/>
              </w:rPr>
              <w:t>√</w:t>
            </w:r>
          </w:p>
        </w:tc>
        <w:tc>
          <w:tcPr>
            <w:tcW w:w="2145"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参见以上相关要求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atLeast"/>
          <w:jc w:val="center"/>
        </w:trPr>
        <w:tc>
          <w:tcPr>
            <w:tcW w:w="729"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3</w:t>
            </w:r>
          </w:p>
        </w:tc>
        <w:tc>
          <w:tcPr>
            <w:tcW w:w="2552"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高温试验</w:t>
            </w:r>
          </w:p>
        </w:tc>
        <w:tc>
          <w:tcPr>
            <w:tcW w:w="1459" w:type="dxa"/>
            <w:vAlign w:val="center"/>
          </w:tcPr>
          <w:p>
            <w:pPr>
              <w:spacing w:line="240" w:lineRule="exact"/>
              <w:ind w:firstLine="525" w:firstLineChars="250"/>
              <w:rPr>
                <w:rFonts w:hint="eastAsia" w:ascii="Times New Roman" w:hAnsi="Times New Roman" w:eastAsiaTheme="minorEastAsia"/>
                <w:color w:val="auto"/>
                <w:szCs w:val="21"/>
              </w:rPr>
            </w:pPr>
          </w:p>
        </w:tc>
        <w:tc>
          <w:tcPr>
            <w:tcW w:w="1460"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2145"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参见以上相关要求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729"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4</w:t>
            </w:r>
          </w:p>
        </w:tc>
        <w:tc>
          <w:tcPr>
            <w:tcW w:w="2552"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低温试验</w:t>
            </w:r>
          </w:p>
        </w:tc>
        <w:tc>
          <w:tcPr>
            <w:tcW w:w="1459" w:type="dxa"/>
            <w:vAlign w:val="center"/>
          </w:tcPr>
          <w:p>
            <w:pPr>
              <w:ind w:firstLine="525" w:firstLineChars="250"/>
              <w:jc w:val="center"/>
              <w:rPr>
                <w:rFonts w:ascii="Times New Roman" w:hAnsi="Times New Roman" w:eastAsiaTheme="minorEastAsia"/>
                <w:color w:val="auto"/>
                <w:szCs w:val="21"/>
              </w:rPr>
            </w:pPr>
          </w:p>
        </w:tc>
        <w:tc>
          <w:tcPr>
            <w:tcW w:w="1460"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2145"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参见以上相关要求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729"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5</w:t>
            </w:r>
          </w:p>
        </w:tc>
        <w:tc>
          <w:tcPr>
            <w:tcW w:w="2552"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冲击电流测量试验</w:t>
            </w:r>
          </w:p>
        </w:tc>
        <w:tc>
          <w:tcPr>
            <w:tcW w:w="1459" w:type="dxa"/>
            <w:vAlign w:val="center"/>
          </w:tcPr>
          <w:p>
            <w:pPr>
              <w:ind w:firstLine="525" w:firstLineChars="250"/>
              <w:jc w:val="center"/>
              <w:rPr>
                <w:rFonts w:ascii="Times New Roman" w:hAnsi="Times New Roman" w:eastAsiaTheme="minorEastAsia"/>
                <w:color w:val="auto"/>
                <w:szCs w:val="21"/>
              </w:rPr>
            </w:pPr>
          </w:p>
        </w:tc>
        <w:tc>
          <w:tcPr>
            <w:tcW w:w="1460"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2145"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参见以上相关要求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6</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防护等级试验</w:t>
            </w:r>
          </w:p>
        </w:tc>
        <w:tc>
          <w:tcPr>
            <w:tcW w:w="1459" w:type="dxa"/>
            <w:tcBorders>
              <w:top w:val="single" w:color="auto" w:sz="4" w:space="0"/>
              <w:left w:val="single" w:color="auto" w:sz="4" w:space="0"/>
              <w:bottom w:val="single" w:color="auto" w:sz="4" w:space="0"/>
              <w:right w:val="single" w:color="auto" w:sz="4" w:space="0"/>
            </w:tcBorders>
            <w:vAlign w:val="center"/>
          </w:tcPr>
          <w:p>
            <w:pPr>
              <w:snapToGrid w:val="0"/>
              <w:ind w:left="78" w:leftChars="37" w:right="38" w:rightChars="18" w:firstLine="420" w:firstLineChars="200"/>
              <w:jc w:val="center"/>
              <w:rPr>
                <w:rFonts w:ascii="Times New Roman" w:hAnsi="Times New Roman" w:eastAsiaTheme="minorEastAsia"/>
                <w:color w:val="auto"/>
                <w:szCs w:val="21"/>
              </w:rPr>
            </w:pPr>
          </w:p>
        </w:tc>
        <w:tc>
          <w:tcPr>
            <w:tcW w:w="1460" w:type="dxa"/>
            <w:tcBorders>
              <w:top w:val="single" w:color="auto" w:sz="4" w:space="0"/>
              <w:left w:val="single" w:color="auto" w:sz="4" w:space="0"/>
              <w:bottom w:val="single" w:color="auto" w:sz="4" w:space="0"/>
              <w:right w:val="single" w:color="auto" w:sz="4" w:space="0"/>
            </w:tcBorders>
            <w:vAlign w:val="center"/>
          </w:tcPr>
          <w:p>
            <w:pPr>
              <w:snapToGrid w:val="0"/>
              <w:ind w:right="-118" w:rightChars="-56"/>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214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参见以上相关要求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7</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电磁兼容性试验（阻尼振荡磁场抗扰度试验）</w:t>
            </w:r>
          </w:p>
        </w:tc>
        <w:tc>
          <w:tcPr>
            <w:tcW w:w="1459" w:type="dxa"/>
            <w:tcBorders>
              <w:top w:val="single" w:color="auto" w:sz="4" w:space="0"/>
              <w:left w:val="single" w:color="auto" w:sz="4" w:space="0"/>
              <w:bottom w:val="single" w:color="auto" w:sz="4" w:space="0"/>
              <w:right w:val="single" w:color="auto" w:sz="4" w:space="0"/>
            </w:tcBorders>
            <w:vAlign w:val="center"/>
          </w:tcPr>
          <w:p>
            <w:pPr>
              <w:snapToGrid w:val="0"/>
              <w:ind w:left="78" w:leftChars="37" w:right="38" w:rightChars="18" w:firstLine="420" w:firstLineChars="200"/>
              <w:jc w:val="center"/>
              <w:rPr>
                <w:rFonts w:ascii="Times New Roman" w:hAnsi="Times New Roman" w:eastAsiaTheme="minorEastAsia"/>
                <w:color w:val="auto"/>
                <w:szCs w:val="21"/>
              </w:rPr>
            </w:pPr>
          </w:p>
        </w:tc>
        <w:tc>
          <w:tcPr>
            <w:tcW w:w="1460" w:type="dxa"/>
            <w:tcBorders>
              <w:top w:val="single" w:color="auto" w:sz="4" w:space="0"/>
              <w:left w:val="single" w:color="auto" w:sz="4" w:space="0"/>
              <w:bottom w:val="single" w:color="auto" w:sz="4" w:space="0"/>
              <w:right w:val="single" w:color="auto" w:sz="4" w:space="0"/>
            </w:tcBorders>
            <w:vAlign w:val="center"/>
          </w:tcPr>
          <w:p>
            <w:pPr>
              <w:snapToGrid w:val="0"/>
              <w:ind w:right="-118" w:rightChars="-56"/>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214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参见以上相关要求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2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8</w:t>
            </w:r>
          </w:p>
        </w:tc>
        <w:tc>
          <w:tcPr>
            <w:tcW w:w="2552" w:type="dxa"/>
            <w:tcBorders>
              <w:top w:val="single" w:color="auto" w:sz="4" w:space="0"/>
              <w:left w:val="single" w:color="auto" w:sz="4" w:space="0"/>
              <w:bottom w:val="single" w:color="auto" w:sz="4" w:space="0"/>
              <w:right w:val="single" w:color="auto" w:sz="4" w:space="0"/>
            </w:tcBorders>
            <w:vAlign w:val="center"/>
          </w:tcPr>
          <w:p>
            <w:pPr>
              <w:snapToGrid w:val="0"/>
              <w:spacing w:line="360" w:lineRule="atLeast"/>
              <w:ind w:right="61" w:rightChars="29"/>
              <w:jc w:val="center"/>
              <w:rPr>
                <w:rFonts w:ascii="Times New Roman" w:hAnsi="Times New Roman" w:eastAsiaTheme="minorEastAsia"/>
                <w:color w:val="auto"/>
                <w:szCs w:val="21"/>
              </w:rPr>
            </w:pPr>
            <w:r>
              <w:rPr>
                <w:rFonts w:ascii="Times New Roman" w:hAnsi="Times New Roman" w:eastAsiaTheme="minorEastAsia"/>
                <w:color w:val="auto"/>
                <w:szCs w:val="21"/>
              </w:rPr>
              <w:t>电磁兼容性试验（射频电磁场辐射抗扰度试验）</w:t>
            </w:r>
          </w:p>
        </w:tc>
        <w:tc>
          <w:tcPr>
            <w:tcW w:w="1459" w:type="dxa"/>
            <w:tcBorders>
              <w:top w:val="single" w:color="auto" w:sz="4" w:space="0"/>
              <w:left w:val="single" w:color="auto" w:sz="4" w:space="0"/>
              <w:bottom w:val="single" w:color="auto" w:sz="4" w:space="0"/>
              <w:right w:val="single" w:color="auto" w:sz="4" w:space="0"/>
            </w:tcBorders>
            <w:vAlign w:val="center"/>
          </w:tcPr>
          <w:p>
            <w:pPr>
              <w:snapToGrid w:val="0"/>
              <w:ind w:left="78" w:leftChars="37" w:right="38" w:rightChars="18" w:firstLine="420" w:firstLineChars="200"/>
              <w:jc w:val="center"/>
              <w:rPr>
                <w:rFonts w:ascii="Times New Roman" w:hAnsi="Times New Roman" w:eastAsiaTheme="minorEastAsia"/>
                <w:color w:val="auto"/>
                <w:szCs w:val="21"/>
              </w:rPr>
            </w:pPr>
          </w:p>
        </w:tc>
        <w:tc>
          <w:tcPr>
            <w:tcW w:w="1460" w:type="dxa"/>
            <w:tcBorders>
              <w:top w:val="single" w:color="auto" w:sz="4" w:space="0"/>
              <w:left w:val="single" w:color="auto" w:sz="4" w:space="0"/>
              <w:bottom w:val="single" w:color="auto" w:sz="4" w:space="0"/>
              <w:right w:val="single" w:color="auto" w:sz="4" w:space="0"/>
            </w:tcBorders>
            <w:vAlign w:val="center"/>
          </w:tcPr>
          <w:p>
            <w:pPr>
              <w:snapToGrid w:val="0"/>
              <w:ind w:right="-118" w:rightChars="-56"/>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214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参见以上相关要求</w:t>
            </w:r>
          </w:p>
        </w:tc>
      </w:tr>
    </w:tbl>
    <w:p>
      <w:pPr>
        <w:pStyle w:val="6"/>
        <w:rPr>
          <w:rFonts w:eastAsiaTheme="minorEastAsia"/>
          <w:color w:val="auto"/>
          <w:sz w:val="28"/>
          <w:szCs w:val="28"/>
        </w:rPr>
      </w:pPr>
      <w:bookmarkStart w:id="43" w:name="_Toc57813343"/>
      <w:bookmarkStart w:id="44" w:name="_Toc490993912"/>
      <w:r>
        <w:rPr>
          <w:rFonts w:eastAsiaTheme="minorEastAsia"/>
          <w:color w:val="auto"/>
          <w:sz w:val="28"/>
          <w:szCs w:val="28"/>
        </w:rPr>
        <w:t>4.7.2</w:t>
      </w:r>
      <w:r>
        <w:rPr>
          <w:rFonts w:hint="eastAsia" w:eastAsiaTheme="minorEastAsia"/>
          <w:color w:val="auto"/>
          <w:sz w:val="28"/>
          <w:szCs w:val="28"/>
        </w:rPr>
        <w:t>抽检</w:t>
      </w:r>
      <w:r>
        <w:rPr>
          <w:rFonts w:eastAsiaTheme="minorEastAsia"/>
          <w:color w:val="auto"/>
          <w:sz w:val="28"/>
          <w:szCs w:val="28"/>
        </w:rPr>
        <w:t>试验</w:t>
      </w:r>
      <w:bookmarkEnd w:id="43"/>
      <w:bookmarkEnd w:id="44"/>
    </w:p>
    <w:p>
      <w:pPr>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以同一个厂家、同一个合同、同一时期交货的同一型号产品为一个供货批次。抽检批在供货批中随机选取若干台，抽检样品型号与数量根据抽检原则、抽检比例及抽检产品质量情况适当调整。</w:t>
      </w:r>
    </w:p>
    <w:p>
      <w:pPr>
        <w:spacing w:line="360" w:lineRule="auto"/>
        <w:ind w:firstLine="480" w:firstLineChars="200"/>
        <w:rPr>
          <w:rFonts w:ascii="Times New Roman" w:hAnsi="Times New Roman" w:eastAsiaTheme="minorEastAsia"/>
          <w:color w:val="auto"/>
          <w:sz w:val="24"/>
        </w:rPr>
      </w:pPr>
      <w:r>
        <w:rPr>
          <w:rFonts w:hint="eastAsia" w:ascii="Times New Roman" w:hAnsi="Times New Roman" w:eastAsiaTheme="minorEastAsia"/>
          <w:color w:val="auto"/>
          <w:sz w:val="24"/>
        </w:rPr>
        <w:t>规定DQL=0，若抽检批中有1台及以上样品抽检不合格，则判定该抽检批产品不合格；若全部样品抽检合格，则判定该抽检批产品合格。</w:t>
      </w:r>
    </w:p>
    <w:p>
      <w:pPr>
        <w:pStyle w:val="4"/>
        <w:spacing w:before="156" w:beforeLines="50" w:after="156" w:afterLines="50"/>
        <w:jc w:val="center"/>
        <w:rPr>
          <w:rStyle w:val="33"/>
          <w:rFonts w:asciiTheme="minorEastAsia" w:hAnsiTheme="minorEastAsia" w:eastAsiaTheme="minorEastAsia"/>
          <w:color w:val="auto"/>
          <w:sz w:val="21"/>
          <w:szCs w:val="21"/>
        </w:rPr>
      </w:pPr>
      <w:r>
        <w:rPr>
          <w:rStyle w:val="33"/>
          <w:rFonts w:hint="eastAsia" w:asciiTheme="minorEastAsia" w:hAnsiTheme="minorEastAsia" w:eastAsiaTheme="minorEastAsia"/>
          <w:color w:val="auto"/>
          <w:sz w:val="21"/>
          <w:szCs w:val="21"/>
        </w:rPr>
        <w:t>表</w:t>
      </w:r>
      <w:r>
        <w:rPr>
          <w:rStyle w:val="33"/>
          <w:rFonts w:asciiTheme="minorEastAsia" w:hAnsiTheme="minorEastAsia" w:eastAsiaTheme="minorEastAsia"/>
          <w:color w:val="auto"/>
          <w:sz w:val="21"/>
          <w:szCs w:val="21"/>
        </w:rPr>
        <w:t>4.7-2</w:t>
      </w:r>
      <w:r>
        <w:rPr>
          <w:rStyle w:val="33"/>
          <w:rFonts w:hint="eastAsia" w:asciiTheme="minorEastAsia" w:hAnsiTheme="minorEastAsia" w:eastAsiaTheme="minorEastAsia"/>
          <w:color w:val="auto"/>
          <w:sz w:val="21"/>
          <w:szCs w:val="21"/>
        </w:rPr>
        <w:t xml:space="preserve"> 抽查试验项目及依据</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4"/>
        <w:gridCol w:w="2908"/>
        <w:gridCol w:w="1252"/>
        <w:gridCol w:w="1526"/>
        <w:gridCol w:w="2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514" w:type="dxa"/>
            <w:vAlign w:val="center"/>
          </w:tcPr>
          <w:p>
            <w:pPr>
              <w:spacing w:line="240" w:lineRule="exact"/>
              <w:jc w:val="center"/>
              <w:rPr>
                <w:rFonts w:ascii="Times New Roman" w:hAnsi="Times New Roman" w:eastAsiaTheme="minorEastAsia"/>
                <w:color w:val="auto"/>
                <w:szCs w:val="21"/>
              </w:rPr>
            </w:pPr>
            <w:r>
              <w:rPr>
                <w:rFonts w:ascii="Times New Roman" w:hAnsi="Times New Roman" w:eastAsiaTheme="minorEastAsia"/>
                <w:color w:val="auto"/>
                <w:szCs w:val="21"/>
              </w:rPr>
              <w:t>序号</w:t>
            </w:r>
          </w:p>
        </w:tc>
        <w:tc>
          <w:tcPr>
            <w:tcW w:w="290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试验项目</w:t>
            </w:r>
          </w:p>
        </w:tc>
        <w:tc>
          <w:tcPr>
            <w:tcW w:w="1252" w:type="dxa"/>
            <w:vAlign w:val="center"/>
          </w:tcPr>
          <w:p>
            <w:pPr>
              <w:ind w:left="-126"/>
              <w:jc w:val="center"/>
              <w:rPr>
                <w:rFonts w:ascii="Times New Roman" w:hAnsi="Times New Roman" w:eastAsiaTheme="minorEastAsia"/>
                <w:color w:val="auto"/>
                <w:szCs w:val="21"/>
              </w:rPr>
            </w:pPr>
            <w:r>
              <w:rPr>
                <w:rFonts w:ascii="Times New Roman" w:hAnsi="Times New Roman" w:eastAsiaTheme="minorEastAsia"/>
                <w:color w:val="auto"/>
                <w:szCs w:val="21"/>
              </w:rPr>
              <w:t>出厂检验</w:t>
            </w:r>
          </w:p>
        </w:tc>
        <w:tc>
          <w:tcPr>
            <w:tcW w:w="1526" w:type="dxa"/>
            <w:vAlign w:val="center"/>
          </w:tcPr>
          <w:p>
            <w:pPr>
              <w:ind w:left="-126"/>
              <w:jc w:val="center"/>
              <w:rPr>
                <w:rFonts w:ascii="Times New Roman" w:hAnsi="Times New Roman" w:eastAsiaTheme="minorEastAsia"/>
                <w:color w:val="auto"/>
                <w:szCs w:val="21"/>
              </w:rPr>
            </w:pPr>
            <w:r>
              <w:rPr>
                <w:rFonts w:ascii="Times New Roman" w:hAnsi="Times New Roman" w:eastAsiaTheme="minorEastAsia"/>
                <w:color w:val="auto"/>
                <w:szCs w:val="21"/>
              </w:rPr>
              <w:t>委托检验</w:t>
            </w:r>
          </w:p>
        </w:tc>
        <w:tc>
          <w:tcPr>
            <w:tcW w:w="2145" w:type="dxa"/>
            <w:vAlign w:val="center"/>
          </w:tcPr>
          <w:p>
            <w:pPr>
              <w:adjustRightInd w:val="0"/>
              <w:snapToGrid w:val="0"/>
              <w:spacing w:line="360" w:lineRule="auto"/>
              <w:jc w:val="center"/>
              <w:rPr>
                <w:rFonts w:ascii="Times New Roman" w:hAnsi="Times New Roman" w:eastAsiaTheme="minorEastAsia"/>
                <w:color w:val="auto"/>
                <w:szCs w:val="21"/>
              </w:rPr>
            </w:pPr>
            <w:r>
              <w:rPr>
                <w:rFonts w:ascii="Times New Roman" w:hAnsi="Times New Roman" w:eastAsiaTheme="minorEastAsia"/>
                <w:color w:val="auto"/>
                <w:szCs w:val="21"/>
              </w:rPr>
              <w:t>试验依据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514"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1</w:t>
            </w:r>
          </w:p>
        </w:tc>
        <w:tc>
          <w:tcPr>
            <w:tcW w:w="2908" w:type="dxa"/>
            <w:vAlign w:val="center"/>
          </w:tcPr>
          <w:p>
            <w:pPr>
              <w:snapToGrid w:val="0"/>
              <w:spacing w:line="360" w:lineRule="atLeast"/>
              <w:ind w:left="42" w:leftChars="20" w:right="61" w:rightChars="29"/>
              <w:jc w:val="center"/>
              <w:rPr>
                <w:rFonts w:ascii="Times New Roman" w:hAnsi="Times New Roman" w:eastAsiaTheme="minorEastAsia"/>
                <w:color w:val="auto"/>
                <w:szCs w:val="21"/>
              </w:rPr>
            </w:pPr>
            <w:r>
              <w:rPr>
                <w:rFonts w:ascii="Times New Roman" w:hAnsi="Times New Roman" w:eastAsiaTheme="minorEastAsia"/>
                <w:color w:val="auto"/>
                <w:szCs w:val="21"/>
              </w:rPr>
              <w:t>外观检查</w:t>
            </w:r>
          </w:p>
        </w:tc>
        <w:tc>
          <w:tcPr>
            <w:tcW w:w="1252" w:type="dxa"/>
            <w:vAlign w:val="center"/>
          </w:tcPr>
          <w:p>
            <w:pPr>
              <w:snapToGrid w:val="0"/>
              <w:ind w:right="38" w:rightChars="18"/>
              <w:jc w:val="center"/>
              <w:rPr>
                <w:rFonts w:ascii="Times New Roman" w:hAnsi="Times New Roman" w:eastAsiaTheme="minorEastAsia"/>
                <w:color w:val="auto"/>
                <w:spacing w:val="-6"/>
                <w:szCs w:val="21"/>
              </w:rPr>
            </w:pPr>
            <w:r>
              <w:rPr>
                <w:rFonts w:ascii="Times New Roman" w:hAnsi="Times New Roman" w:eastAsiaTheme="minorEastAsia"/>
                <w:color w:val="auto"/>
                <w:szCs w:val="21"/>
              </w:rPr>
              <w:t>√</w:t>
            </w:r>
          </w:p>
        </w:tc>
        <w:tc>
          <w:tcPr>
            <w:tcW w:w="1526"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2145"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参见以上相关要求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jc w:val="center"/>
        </w:trPr>
        <w:tc>
          <w:tcPr>
            <w:tcW w:w="514"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2</w:t>
            </w:r>
          </w:p>
        </w:tc>
        <w:tc>
          <w:tcPr>
            <w:tcW w:w="2908" w:type="dxa"/>
            <w:vAlign w:val="center"/>
          </w:tcPr>
          <w:p>
            <w:pPr>
              <w:jc w:val="center"/>
              <w:rPr>
                <w:rFonts w:ascii="Times New Roman" w:hAnsi="Times New Roman" w:eastAsiaTheme="minorEastAsia"/>
                <w:color w:val="auto"/>
                <w:szCs w:val="21"/>
              </w:rPr>
            </w:pPr>
            <w:r>
              <w:rPr>
                <w:rFonts w:ascii="Times New Roman" w:hAnsi="Times New Roman" w:eastAsiaTheme="minorEastAsia"/>
                <w:bCs/>
                <w:color w:val="auto"/>
                <w:szCs w:val="21"/>
              </w:rPr>
              <w:t>功能试验</w:t>
            </w:r>
          </w:p>
        </w:tc>
        <w:tc>
          <w:tcPr>
            <w:tcW w:w="1252"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1526" w:type="dxa"/>
            <w:vAlign w:val="center"/>
          </w:tcPr>
          <w:p>
            <w:pPr>
              <w:jc w:val="center"/>
              <w:rPr>
                <w:rFonts w:ascii="Times New Roman" w:hAnsi="Times New Roman" w:eastAsiaTheme="minorEastAsia"/>
                <w:color w:val="auto"/>
                <w:spacing w:val="-10"/>
                <w:szCs w:val="21"/>
              </w:rPr>
            </w:pPr>
            <w:r>
              <w:rPr>
                <w:rFonts w:ascii="Times New Roman" w:hAnsi="Times New Roman" w:eastAsiaTheme="minorEastAsia"/>
                <w:color w:val="auto"/>
                <w:szCs w:val="21"/>
              </w:rPr>
              <w:t>√</w:t>
            </w:r>
          </w:p>
        </w:tc>
        <w:tc>
          <w:tcPr>
            <w:tcW w:w="2145"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参见以上相关要求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atLeast"/>
          <w:jc w:val="center"/>
        </w:trPr>
        <w:tc>
          <w:tcPr>
            <w:tcW w:w="514"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3</w:t>
            </w:r>
          </w:p>
        </w:tc>
        <w:tc>
          <w:tcPr>
            <w:tcW w:w="290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高温试验</w:t>
            </w:r>
          </w:p>
        </w:tc>
        <w:tc>
          <w:tcPr>
            <w:tcW w:w="1252" w:type="dxa"/>
            <w:vAlign w:val="center"/>
          </w:tcPr>
          <w:p>
            <w:pPr>
              <w:spacing w:line="240" w:lineRule="exact"/>
              <w:ind w:firstLine="525" w:firstLineChars="250"/>
              <w:jc w:val="center"/>
              <w:rPr>
                <w:rFonts w:ascii="Times New Roman" w:hAnsi="Times New Roman" w:eastAsiaTheme="minorEastAsia"/>
                <w:color w:val="auto"/>
                <w:szCs w:val="21"/>
              </w:rPr>
            </w:pPr>
          </w:p>
        </w:tc>
        <w:tc>
          <w:tcPr>
            <w:tcW w:w="1526"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2145"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参见以上相关要求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514"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4</w:t>
            </w:r>
          </w:p>
        </w:tc>
        <w:tc>
          <w:tcPr>
            <w:tcW w:w="290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低温试验</w:t>
            </w:r>
          </w:p>
        </w:tc>
        <w:tc>
          <w:tcPr>
            <w:tcW w:w="1252" w:type="dxa"/>
            <w:vAlign w:val="center"/>
          </w:tcPr>
          <w:p>
            <w:pPr>
              <w:ind w:firstLine="525" w:firstLineChars="250"/>
              <w:jc w:val="center"/>
              <w:rPr>
                <w:rFonts w:ascii="Times New Roman" w:hAnsi="Times New Roman" w:eastAsiaTheme="minorEastAsia"/>
                <w:color w:val="auto"/>
                <w:szCs w:val="21"/>
              </w:rPr>
            </w:pPr>
          </w:p>
        </w:tc>
        <w:tc>
          <w:tcPr>
            <w:tcW w:w="1526"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2145"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参见以上相关要求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514"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5</w:t>
            </w:r>
          </w:p>
        </w:tc>
        <w:tc>
          <w:tcPr>
            <w:tcW w:w="2908"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冲击电流测量试验</w:t>
            </w:r>
          </w:p>
        </w:tc>
        <w:tc>
          <w:tcPr>
            <w:tcW w:w="1252" w:type="dxa"/>
            <w:vAlign w:val="center"/>
          </w:tcPr>
          <w:p>
            <w:pPr>
              <w:ind w:firstLine="525" w:firstLineChars="250"/>
              <w:jc w:val="center"/>
              <w:rPr>
                <w:rFonts w:ascii="Times New Roman" w:hAnsi="Times New Roman" w:eastAsiaTheme="minorEastAsia"/>
                <w:color w:val="auto"/>
                <w:szCs w:val="21"/>
              </w:rPr>
            </w:pPr>
          </w:p>
        </w:tc>
        <w:tc>
          <w:tcPr>
            <w:tcW w:w="1526"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2145" w:type="dxa"/>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参见以上相关要求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6</w:t>
            </w:r>
          </w:p>
        </w:tc>
        <w:tc>
          <w:tcPr>
            <w:tcW w:w="2908" w:type="dxa"/>
            <w:tcBorders>
              <w:top w:val="single" w:color="auto" w:sz="4" w:space="0"/>
              <w:left w:val="single" w:color="auto" w:sz="4" w:space="0"/>
              <w:bottom w:val="single" w:color="auto" w:sz="4" w:space="0"/>
              <w:right w:val="single" w:color="auto" w:sz="4" w:space="0"/>
            </w:tcBorders>
            <w:vAlign w:val="center"/>
          </w:tcPr>
          <w:p>
            <w:pPr>
              <w:snapToGrid w:val="0"/>
              <w:spacing w:line="360" w:lineRule="atLeast"/>
              <w:ind w:right="61" w:rightChars="29"/>
              <w:jc w:val="center"/>
              <w:rPr>
                <w:rFonts w:ascii="Times New Roman" w:hAnsi="Times New Roman" w:eastAsiaTheme="minorEastAsia"/>
                <w:color w:val="auto"/>
                <w:szCs w:val="21"/>
              </w:rPr>
            </w:pPr>
            <w:r>
              <w:rPr>
                <w:rFonts w:ascii="Times New Roman" w:hAnsi="Times New Roman" w:eastAsiaTheme="minorEastAsia"/>
                <w:color w:val="auto"/>
                <w:szCs w:val="21"/>
              </w:rPr>
              <w:t>防护等级试验</w:t>
            </w:r>
          </w:p>
        </w:tc>
        <w:tc>
          <w:tcPr>
            <w:tcW w:w="1252" w:type="dxa"/>
            <w:tcBorders>
              <w:top w:val="single" w:color="auto" w:sz="4" w:space="0"/>
              <w:left w:val="single" w:color="auto" w:sz="4" w:space="0"/>
              <w:bottom w:val="single" w:color="auto" w:sz="4" w:space="0"/>
              <w:right w:val="single" w:color="auto" w:sz="4" w:space="0"/>
            </w:tcBorders>
            <w:vAlign w:val="center"/>
          </w:tcPr>
          <w:p>
            <w:pPr>
              <w:snapToGrid w:val="0"/>
              <w:ind w:left="78" w:leftChars="37" w:right="38" w:rightChars="18" w:firstLine="420" w:firstLineChars="200"/>
              <w:jc w:val="center"/>
              <w:rPr>
                <w:rFonts w:ascii="Times New Roman" w:hAnsi="Times New Roman" w:eastAsiaTheme="minorEastAsia"/>
                <w:color w:val="auto"/>
                <w:szCs w:val="21"/>
              </w:rPr>
            </w:pPr>
          </w:p>
        </w:tc>
        <w:tc>
          <w:tcPr>
            <w:tcW w:w="1526" w:type="dxa"/>
            <w:tcBorders>
              <w:top w:val="single" w:color="auto" w:sz="4" w:space="0"/>
              <w:left w:val="single" w:color="auto" w:sz="4" w:space="0"/>
              <w:bottom w:val="single" w:color="auto" w:sz="4" w:space="0"/>
              <w:right w:val="single" w:color="auto" w:sz="4" w:space="0"/>
            </w:tcBorders>
            <w:vAlign w:val="center"/>
          </w:tcPr>
          <w:p>
            <w:pPr>
              <w:snapToGrid w:val="0"/>
              <w:ind w:right="-118" w:rightChars="-56"/>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214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参见以上相关要求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7</w:t>
            </w:r>
          </w:p>
        </w:tc>
        <w:tc>
          <w:tcPr>
            <w:tcW w:w="2908" w:type="dxa"/>
            <w:tcBorders>
              <w:top w:val="single" w:color="auto" w:sz="4" w:space="0"/>
              <w:left w:val="single" w:color="auto" w:sz="4" w:space="0"/>
              <w:bottom w:val="single" w:color="auto" w:sz="4" w:space="0"/>
              <w:right w:val="single" w:color="auto" w:sz="4" w:space="0"/>
            </w:tcBorders>
            <w:vAlign w:val="center"/>
          </w:tcPr>
          <w:p>
            <w:pPr>
              <w:snapToGrid w:val="0"/>
              <w:spacing w:line="360" w:lineRule="atLeast"/>
              <w:ind w:right="61" w:rightChars="29"/>
              <w:jc w:val="center"/>
              <w:rPr>
                <w:rFonts w:ascii="Times New Roman" w:hAnsi="Times New Roman" w:eastAsiaTheme="minorEastAsia"/>
                <w:color w:val="auto"/>
                <w:szCs w:val="21"/>
              </w:rPr>
            </w:pPr>
            <w:r>
              <w:rPr>
                <w:rFonts w:ascii="Times New Roman" w:hAnsi="Times New Roman" w:eastAsiaTheme="minorEastAsia"/>
                <w:color w:val="auto"/>
                <w:szCs w:val="21"/>
              </w:rPr>
              <w:t>电磁兼容性试验（阻尼振荡磁场抗扰度试验）</w:t>
            </w:r>
          </w:p>
        </w:tc>
        <w:tc>
          <w:tcPr>
            <w:tcW w:w="1252" w:type="dxa"/>
            <w:tcBorders>
              <w:top w:val="single" w:color="auto" w:sz="4" w:space="0"/>
              <w:left w:val="single" w:color="auto" w:sz="4" w:space="0"/>
              <w:bottom w:val="single" w:color="auto" w:sz="4" w:space="0"/>
              <w:right w:val="single" w:color="auto" w:sz="4" w:space="0"/>
            </w:tcBorders>
            <w:vAlign w:val="center"/>
          </w:tcPr>
          <w:p>
            <w:pPr>
              <w:snapToGrid w:val="0"/>
              <w:ind w:left="78" w:leftChars="37" w:right="38" w:rightChars="18" w:firstLine="420" w:firstLineChars="200"/>
              <w:jc w:val="center"/>
              <w:rPr>
                <w:rFonts w:ascii="Times New Roman" w:hAnsi="Times New Roman" w:eastAsiaTheme="minorEastAsia"/>
                <w:color w:val="auto"/>
                <w:szCs w:val="21"/>
              </w:rPr>
            </w:pPr>
          </w:p>
        </w:tc>
        <w:tc>
          <w:tcPr>
            <w:tcW w:w="1526" w:type="dxa"/>
            <w:tcBorders>
              <w:top w:val="single" w:color="auto" w:sz="4" w:space="0"/>
              <w:left w:val="single" w:color="auto" w:sz="4" w:space="0"/>
              <w:bottom w:val="single" w:color="auto" w:sz="4" w:space="0"/>
              <w:right w:val="single" w:color="auto" w:sz="4" w:space="0"/>
            </w:tcBorders>
            <w:vAlign w:val="center"/>
          </w:tcPr>
          <w:p>
            <w:pPr>
              <w:snapToGrid w:val="0"/>
              <w:ind w:right="-118" w:rightChars="-56"/>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214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参见以上相关要求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51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szCs w:val="21"/>
              </w:rPr>
              <w:t>8</w:t>
            </w:r>
          </w:p>
        </w:tc>
        <w:tc>
          <w:tcPr>
            <w:tcW w:w="2908" w:type="dxa"/>
            <w:tcBorders>
              <w:top w:val="single" w:color="auto" w:sz="4" w:space="0"/>
              <w:left w:val="single" w:color="auto" w:sz="4" w:space="0"/>
              <w:bottom w:val="single" w:color="auto" w:sz="4" w:space="0"/>
              <w:right w:val="single" w:color="auto" w:sz="4" w:space="0"/>
            </w:tcBorders>
            <w:vAlign w:val="center"/>
          </w:tcPr>
          <w:p>
            <w:pPr>
              <w:snapToGrid w:val="0"/>
              <w:spacing w:line="360" w:lineRule="atLeast"/>
              <w:ind w:right="61" w:rightChars="29"/>
              <w:jc w:val="center"/>
              <w:rPr>
                <w:rFonts w:ascii="Times New Roman" w:hAnsi="Times New Roman" w:eastAsiaTheme="minorEastAsia"/>
                <w:color w:val="auto"/>
                <w:szCs w:val="21"/>
              </w:rPr>
            </w:pPr>
            <w:r>
              <w:rPr>
                <w:rFonts w:ascii="Times New Roman" w:hAnsi="Times New Roman" w:eastAsiaTheme="minorEastAsia"/>
                <w:color w:val="auto"/>
                <w:szCs w:val="21"/>
              </w:rPr>
              <w:t>电磁兼容性试验（射频电磁场辐射抗扰度试验）</w:t>
            </w:r>
          </w:p>
        </w:tc>
        <w:tc>
          <w:tcPr>
            <w:tcW w:w="1252" w:type="dxa"/>
            <w:tcBorders>
              <w:top w:val="single" w:color="auto" w:sz="4" w:space="0"/>
              <w:left w:val="single" w:color="auto" w:sz="4" w:space="0"/>
              <w:bottom w:val="single" w:color="auto" w:sz="4" w:space="0"/>
              <w:right w:val="single" w:color="auto" w:sz="4" w:space="0"/>
            </w:tcBorders>
            <w:vAlign w:val="center"/>
          </w:tcPr>
          <w:p>
            <w:pPr>
              <w:snapToGrid w:val="0"/>
              <w:ind w:left="78" w:leftChars="37" w:right="38" w:rightChars="18" w:firstLine="420" w:firstLineChars="200"/>
              <w:jc w:val="center"/>
              <w:rPr>
                <w:rFonts w:ascii="Times New Roman" w:hAnsi="Times New Roman" w:eastAsiaTheme="minorEastAsia"/>
                <w:color w:val="auto"/>
                <w:szCs w:val="21"/>
              </w:rPr>
            </w:pPr>
          </w:p>
        </w:tc>
        <w:tc>
          <w:tcPr>
            <w:tcW w:w="1526" w:type="dxa"/>
            <w:tcBorders>
              <w:top w:val="single" w:color="auto" w:sz="4" w:space="0"/>
              <w:left w:val="single" w:color="auto" w:sz="4" w:space="0"/>
              <w:bottom w:val="single" w:color="auto" w:sz="4" w:space="0"/>
              <w:right w:val="single" w:color="auto" w:sz="4" w:space="0"/>
            </w:tcBorders>
            <w:vAlign w:val="center"/>
          </w:tcPr>
          <w:p>
            <w:pPr>
              <w:snapToGrid w:val="0"/>
              <w:ind w:right="-118" w:rightChars="-56"/>
              <w:jc w:val="center"/>
              <w:rPr>
                <w:rFonts w:ascii="Times New Roman" w:hAnsi="Times New Roman" w:eastAsiaTheme="minorEastAsia"/>
                <w:color w:val="auto"/>
                <w:szCs w:val="21"/>
              </w:rPr>
            </w:pPr>
            <w:r>
              <w:rPr>
                <w:rFonts w:ascii="Times New Roman" w:hAnsi="Times New Roman" w:eastAsiaTheme="minorEastAsia"/>
                <w:color w:val="auto"/>
                <w:szCs w:val="21"/>
              </w:rPr>
              <w:t>√</w:t>
            </w:r>
          </w:p>
        </w:tc>
        <w:tc>
          <w:tcPr>
            <w:tcW w:w="214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color w:val="auto"/>
                <w:szCs w:val="21"/>
              </w:rPr>
            </w:pPr>
            <w:r>
              <w:rPr>
                <w:rFonts w:ascii="Times New Roman" w:hAnsi="Times New Roman" w:eastAsiaTheme="minorEastAsia"/>
                <w:color w:val="auto"/>
                <w:kern w:val="0"/>
                <w:szCs w:val="21"/>
              </w:rPr>
              <w:t>参见以上相关要求</w:t>
            </w:r>
          </w:p>
        </w:tc>
      </w:tr>
    </w:tbl>
    <w:p>
      <w:pPr>
        <w:rPr>
          <w:color w:val="auto"/>
        </w:rPr>
      </w:pPr>
    </w:p>
    <w:p>
      <w:pPr>
        <w:pStyle w:val="3"/>
        <w:rPr>
          <w:rFonts w:ascii="Times New Roman" w:hAnsi="Times New Roman" w:cs="Times New Roman"/>
          <w:color w:val="auto"/>
          <w:sz w:val="32"/>
          <w:szCs w:val="32"/>
        </w:rPr>
      </w:pPr>
      <w:bookmarkStart w:id="45" w:name="_Toc490993914"/>
      <w:bookmarkStart w:id="46" w:name="_Toc57813344"/>
      <w:r>
        <w:rPr>
          <w:rFonts w:ascii="Times New Roman" w:hAnsi="Times New Roman" w:cs="Times New Roman"/>
          <w:color w:val="auto"/>
          <w:sz w:val="32"/>
          <w:szCs w:val="32"/>
        </w:rPr>
        <w:t>5</w:t>
      </w:r>
      <w:r>
        <w:rPr>
          <w:rFonts w:hint="eastAsia" w:ascii="Times New Roman" w:hAnsi="Times New Roman" w:cs="Times New Roman"/>
          <w:color w:val="auto"/>
          <w:sz w:val="32"/>
          <w:szCs w:val="32"/>
        </w:rPr>
        <w:t>.储运条件</w:t>
      </w:r>
      <w:bookmarkEnd w:id="45"/>
      <w:bookmarkEnd w:id="46"/>
    </w:p>
    <w:p>
      <w:pPr>
        <w:spacing w:line="360" w:lineRule="auto"/>
        <w:ind w:firstLine="480" w:firstLineChars="200"/>
        <w:rPr>
          <w:color w:val="auto"/>
        </w:rPr>
      </w:pPr>
      <w:r>
        <w:rPr>
          <w:rFonts w:hint="eastAsia" w:ascii="Times New Roman" w:hAnsi="Times New Roman" w:eastAsiaTheme="minorEastAsia"/>
          <w:color w:val="auto"/>
          <w:sz w:val="24"/>
        </w:rPr>
        <w:t>应无腐蚀金属和破坏绝缘的气体及严重的霉菌存在，不得含有爆炸危险的介质存在。</w:t>
      </w:r>
    </w:p>
    <w:bookmarkEnd w:id="0"/>
    <w:p>
      <w:pPr>
        <w:pStyle w:val="3"/>
        <w:rPr>
          <w:rFonts w:ascii="Times New Roman" w:hAnsi="Times New Roman" w:cs="Times New Roman"/>
          <w:color w:val="auto"/>
          <w:sz w:val="32"/>
          <w:szCs w:val="32"/>
        </w:rPr>
      </w:pPr>
      <w:bookmarkStart w:id="47" w:name="_Toc57813345"/>
      <w:r>
        <w:rPr>
          <w:rFonts w:ascii="Times New Roman" w:hAnsi="Times New Roman" w:cs="Times New Roman"/>
          <w:color w:val="auto"/>
          <w:sz w:val="32"/>
          <w:szCs w:val="32"/>
        </w:rPr>
        <w:t>6</w:t>
      </w:r>
      <w:bookmarkStart w:id="48" w:name="_Toc411262253"/>
      <w:bookmarkStart w:id="49" w:name="_Toc411342253"/>
      <w:r>
        <w:rPr>
          <w:rFonts w:hint="eastAsia" w:ascii="Times New Roman" w:hAnsi="Times New Roman" w:cs="Times New Roman"/>
          <w:color w:val="auto"/>
          <w:sz w:val="32"/>
          <w:szCs w:val="32"/>
        </w:rPr>
        <w:t>.验收和培训</w:t>
      </w:r>
      <w:bookmarkEnd w:id="47"/>
      <w:bookmarkEnd w:id="48"/>
      <w:bookmarkEnd w:id="49"/>
    </w:p>
    <w:p>
      <w:pPr>
        <w:numPr>
          <w:ilvl w:val="1"/>
          <w:numId w:val="3"/>
        </w:numPr>
        <w:suppressAutoHyphens/>
        <w:spacing w:line="360" w:lineRule="auto"/>
        <w:ind w:left="0" w:firstLine="0"/>
        <w:rPr>
          <w:rFonts w:ascii="宋体" w:hAnsi="宋体" w:cs="Arial"/>
          <w:color w:val="auto"/>
          <w:sz w:val="24"/>
        </w:rPr>
      </w:pPr>
      <w:bookmarkStart w:id="50" w:name="_Toc319915057"/>
      <w:bookmarkStart w:id="51" w:name="_Toc319930078"/>
      <w:bookmarkStart w:id="52" w:name="_Toc319930182"/>
      <w:r>
        <w:rPr>
          <w:rFonts w:hint="eastAsia" w:ascii="宋体" w:hAnsi="宋体" w:cs="Arial"/>
          <w:color w:val="auto"/>
          <w:sz w:val="24"/>
        </w:rPr>
        <w:t>投标</w:t>
      </w:r>
      <w:r>
        <w:rPr>
          <w:rFonts w:ascii="宋体" w:hAnsi="宋体" w:cs="Arial"/>
          <w:color w:val="auto"/>
          <w:sz w:val="24"/>
        </w:rPr>
        <w:t>设备在</w:t>
      </w:r>
      <w:r>
        <w:rPr>
          <w:rFonts w:hint="eastAsia" w:ascii="宋体" w:hAnsi="宋体" w:cs="Arial"/>
          <w:color w:val="auto"/>
          <w:sz w:val="24"/>
        </w:rPr>
        <w:t>交货前，</w:t>
      </w:r>
      <w:r>
        <w:rPr>
          <w:rFonts w:ascii="宋体" w:hAnsi="宋体" w:cs="Arial"/>
          <w:color w:val="auto"/>
          <w:sz w:val="24"/>
        </w:rPr>
        <w:t>按照招标</w:t>
      </w:r>
      <w:r>
        <w:rPr>
          <w:rFonts w:hint="eastAsia" w:ascii="宋体" w:hAnsi="宋体" w:cs="Arial"/>
          <w:color w:val="auto"/>
          <w:sz w:val="24"/>
        </w:rPr>
        <w:t>技术</w:t>
      </w:r>
      <w:r>
        <w:rPr>
          <w:rFonts w:ascii="宋体" w:hAnsi="宋体" w:cs="Arial"/>
          <w:color w:val="auto"/>
          <w:sz w:val="24"/>
        </w:rPr>
        <w:t>参数逐一进行检测</w:t>
      </w:r>
      <w:r>
        <w:rPr>
          <w:rFonts w:hint="eastAsia" w:ascii="宋体" w:hAnsi="宋体" w:cs="Arial"/>
          <w:color w:val="auto"/>
          <w:sz w:val="24"/>
        </w:rPr>
        <w:t>。在</w:t>
      </w:r>
      <w:r>
        <w:rPr>
          <w:rFonts w:ascii="宋体" w:hAnsi="宋体" w:cs="Arial"/>
          <w:color w:val="auto"/>
          <w:sz w:val="24"/>
        </w:rPr>
        <w:t>拿到检测合格报告后，</w:t>
      </w:r>
      <w:r>
        <w:rPr>
          <w:rFonts w:hint="eastAsia" w:ascii="宋体" w:hAnsi="宋体" w:cs="Arial"/>
          <w:color w:val="auto"/>
          <w:sz w:val="24"/>
        </w:rPr>
        <w:t>方可</w:t>
      </w:r>
      <w:r>
        <w:rPr>
          <w:rFonts w:ascii="宋体" w:hAnsi="宋体" w:cs="Arial"/>
          <w:color w:val="auto"/>
          <w:sz w:val="24"/>
        </w:rPr>
        <w:t>送货至项目单位。</w:t>
      </w:r>
    </w:p>
    <w:p>
      <w:pPr>
        <w:numPr>
          <w:ilvl w:val="1"/>
          <w:numId w:val="3"/>
        </w:numPr>
        <w:suppressAutoHyphens/>
        <w:spacing w:line="360" w:lineRule="auto"/>
        <w:ind w:left="0" w:firstLine="0"/>
        <w:rPr>
          <w:rFonts w:ascii="宋体" w:hAnsi="宋体" w:cs="Arial"/>
          <w:color w:val="auto"/>
          <w:sz w:val="24"/>
        </w:rPr>
      </w:pPr>
      <w:r>
        <w:rPr>
          <w:rFonts w:ascii="宋体" w:hAnsi="宋体" w:cs="Arial"/>
          <w:color w:val="auto"/>
          <w:sz w:val="24"/>
        </w:rPr>
        <w:t>交货后</w:t>
      </w:r>
      <w:bookmarkStart w:id="53" w:name="_Toc319930181"/>
      <w:bookmarkStart w:id="54" w:name="_Toc319915056"/>
      <w:bookmarkStart w:id="55" w:name="_Toc319930077"/>
      <w:r>
        <w:rPr>
          <w:rFonts w:hint="eastAsia" w:ascii="宋体" w:hAnsi="宋体" w:cs="Arial"/>
          <w:color w:val="auto"/>
          <w:sz w:val="24"/>
        </w:rPr>
        <w:t>项目单位将</w:t>
      </w:r>
      <w:r>
        <w:rPr>
          <w:rFonts w:ascii="宋体" w:hAnsi="宋体" w:cs="Arial"/>
          <w:color w:val="auto"/>
          <w:sz w:val="24"/>
        </w:rPr>
        <w:t>严格按照本次招标技术文件对供货设备逐项验收，</w:t>
      </w:r>
      <w:r>
        <w:rPr>
          <w:rFonts w:hint="eastAsia" w:ascii="宋体" w:hAnsi="宋体" w:cs="Arial"/>
          <w:color w:val="auto"/>
          <w:sz w:val="24"/>
        </w:rPr>
        <w:t>技术参数</w:t>
      </w:r>
      <w:r>
        <w:rPr>
          <w:rFonts w:ascii="宋体" w:hAnsi="宋体" w:cs="Arial"/>
          <w:color w:val="auto"/>
          <w:sz w:val="24"/>
        </w:rPr>
        <w:t>如有不符</w:t>
      </w:r>
      <w:r>
        <w:rPr>
          <w:rFonts w:hint="eastAsia" w:ascii="宋体" w:hAnsi="宋体" w:cs="Arial"/>
          <w:color w:val="auto"/>
          <w:sz w:val="24"/>
        </w:rPr>
        <w:t>或设备实际功能达不到现场使用要求</w:t>
      </w:r>
      <w:r>
        <w:rPr>
          <w:rFonts w:ascii="宋体" w:hAnsi="宋体" w:cs="Arial"/>
          <w:color w:val="auto"/>
          <w:sz w:val="24"/>
        </w:rPr>
        <w:t>，</w:t>
      </w:r>
      <w:r>
        <w:rPr>
          <w:rFonts w:hint="eastAsia" w:ascii="宋体" w:hAnsi="宋体" w:cs="Arial"/>
          <w:color w:val="auto"/>
          <w:sz w:val="24"/>
        </w:rPr>
        <w:t>项目单位</w:t>
      </w:r>
      <w:r>
        <w:rPr>
          <w:rFonts w:ascii="宋体" w:hAnsi="宋体" w:cs="Arial"/>
          <w:color w:val="auto"/>
          <w:sz w:val="24"/>
        </w:rPr>
        <w:t>有权拒绝收货并终止合同，所有损失及责任由卖方承担。</w:t>
      </w:r>
      <w:bookmarkEnd w:id="53"/>
      <w:bookmarkEnd w:id="54"/>
      <w:bookmarkEnd w:id="55"/>
    </w:p>
    <w:p>
      <w:pPr>
        <w:numPr>
          <w:ilvl w:val="1"/>
          <w:numId w:val="3"/>
        </w:numPr>
        <w:suppressAutoHyphens/>
        <w:spacing w:line="360" w:lineRule="auto"/>
        <w:ind w:left="0" w:firstLine="0"/>
        <w:rPr>
          <w:rFonts w:hint="eastAsia" w:ascii="宋体" w:hAnsi="宋体" w:cs="Arial"/>
          <w:color w:val="auto"/>
          <w:sz w:val="24"/>
        </w:rPr>
      </w:pPr>
      <w:r>
        <w:rPr>
          <w:rFonts w:hint="eastAsia" w:ascii="宋体" w:hAnsi="宋体" w:cs="Arial"/>
          <w:color w:val="auto"/>
          <w:sz w:val="24"/>
        </w:rPr>
        <w:t>培训前</w:t>
      </w:r>
      <w:r>
        <w:rPr>
          <w:rFonts w:ascii="宋体" w:hAnsi="宋体" w:cs="Arial"/>
          <w:color w:val="auto"/>
          <w:sz w:val="24"/>
        </w:rPr>
        <w:t>提供相应的培训资料</w:t>
      </w:r>
      <w:r>
        <w:rPr>
          <w:rFonts w:hint="eastAsia" w:ascii="宋体" w:hAnsi="宋体" w:cs="Arial"/>
          <w:color w:val="auto"/>
          <w:sz w:val="24"/>
        </w:rPr>
        <w:t>和产品使用说明书</w:t>
      </w:r>
      <w:r>
        <w:rPr>
          <w:rFonts w:ascii="宋体" w:hAnsi="宋体" w:cs="Arial"/>
          <w:color w:val="auto"/>
          <w:sz w:val="24"/>
        </w:rPr>
        <w:t>。</w:t>
      </w:r>
    </w:p>
    <w:p>
      <w:pPr>
        <w:pStyle w:val="3"/>
        <w:rPr>
          <w:rFonts w:ascii="Times New Roman" w:hAnsi="Times New Roman" w:cs="Times New Roman"/>
          <w:color w:val="auto"/>
          <w:sz w:val="32"/>
          <w:szCs w:val="32"/>
        </w:rPr>
      </w:pPr>
      <w:bookmarkStart w:id="56" w:name="_Toc57813346"/>
      <w:bookmarkStart w:id="57" w:name="_Toc411262254"/>
      <w:bookmarkStart w:id="58" w:name="_Toc411342254"/>
      <w:r>
        <w:rPr>
          <w:rFonts w:ascii="Times New Roman" w:hAnsi="Times New Roman" w:cs="Times New Roman"/>
          <w:color w:val="auto"/>
          <w:sz w:val="32"/>
          <w:szCs w:val="32"/>
        </w:rPr>
        <w:t>7</w:t>
      </w:r>
      <w:r>
        <w:rPr>
          <w:rFonts w:hint="eastAsia" w:ascii="Times New Roman" w:hAnsi="Times New Roman" w:cs="Times New Roman"/>
          <w:color w:val="auto"/>
          <w:sz w:val="32"/>
          <w:szCs w:val="32"/>
        </w:rPr>
        <w:t>.技术支持和售后服务</w:t>
      </w:r>
      <w:bookmarkEnd w:id="56"/>
      <w:bookmarkEnd w:id="57"/>
      <w:bookmarkEnd w:id="58"/>
    </w:p>
    <w:bookmarkEnd w:id="50"/>
    <w:bookmarkEnd w:id="51"/>
    <w:bookmarkEnd w:id="52"/>
    <w:p>
      <w:pPr>
        <w:pStyle w:val="40"/>
        <w:numPr>
          <w:ilvl w:val="0"/>
          <w:numId w:val="4"/>
        </w:numPr>
        <w:suppressAutoHyphens/>
        <w:spacing w:before="46" w:beforeLines="15" w:line="360" w:lineRule="auto"/>
        <w:ind w:firstLineChars="0"/>
        <w:rPr>
          <w:rFonts w:ascii="Times New Roman" w:hAnsi="Times New Roman"/>
          <w:color w:val="auto"/>
          <w:sz w:val="24"/>
        </w:rPr>
      </w:pPr>
      <w:bookmarkStart w:id="59" w:name="_Toc319915060"/>
      <w:bookmarkStart w:id="60" w:name="_Toc319930081"/>
      <w:bookmarkStart w:id="61" w:name="_Toc319930185"/>
      <w:r>
        <w:rPr>
          <w:rFonts w:ascii="Times New Roman" w:hAnsi="Times New Roman"/>
          <w:color w:val="auto"/>
          <w:sz w:val="24"/>
        </w:rPr>
        <w:t>设备的免费质保期</w:t>
      </w:r>
      <w:r>
        <w:rPr>
          <w:rFonts w:hint="eastAsia" w:ascii="Times New Roman" w:hAnsi="Times New Roman"/>
          <w:color w:val="auto"/>
          <w:sz w:val="24"/>
          <w:lang w:val="en-US" w:eastAsia="zh-CN"/>
        </w:rPr>
        <w:t>2</w:t>
      </w:r>
      <w:r>
        <w:rPr>
          <w:rFonts w:ascii="Times New Roman" w:hAnsi="Times New Roman"/>
          <w:color w:val="auto"/>
          <w:sz w:val="24"/>
        </w:rPr>
        <w:t>年</w:t>
      </w:r>
      <w:bookmarkEnd w:id="59"/>
      <w:bookmarkEnd w:id="60"/>
      <w:bookmarkEnd w:id="61"/>
      <w:r>
        <w:rPr>
          <w:rFonts w:ascii="Times New Roman" w:hAnsi="Times New Roman"/>
          <w:color w:val="auto"/>
          <w:sz w:val="24"/>
        </w:rPr>
        <w:t>，终身维修。</w:t>
      </w:r>
    </w:p>
    <w:p>
      <w:pPr>
        <w:pStyle w:val="40"/>
        <w:numPr>
          <w:ilvl w:val="0"/>
          <w:numId w:val="4"/>
        </w:numPr>
        <w:suppressAutoHyphens/>
        <w:spacing w:before="46" w:beforeLines="15" w:line="360" w:lineRule="auto"/>
        <w:ind w:firstLineChars="0"/>
        <w:rPr>
          <w:rFonts w:ascii="Times New Roman" w:hAnsi="Times New Roman"/>
          <w:color w:val="auto"/>
          <w:sz w:val="24"/>
          <w:highlight w:val="none"/>
        </w:rPr>
      </w:pPr>
      <w:r>
        <w:rPr>
          <w:rFonts w:hint="eastAsia" w:ascii="Times New Roman" w:hAnsi="Times New Roman"/>
          <w:color w:val="auto"/>
          <w:sz w:val="24"/>
          <w:highlight w:val="none"/>
          <w:lang w:val="en-US" w:eastAsia="zh-CN"/>
        </w:rPr>
        <w:t>卖方应在交货前基于招标方部署在内网的运行监测平台开发相应的应用模块，并配合做好在线监测设备接入调试。</w:t>
      </w:r>
    </w:p>
    <w:p>
      <w:pPr>
        <w:pStyle w:val="40"/>
        <w:numPr>
          <w:ilvl w:val="0"/>
          <w:numId w:val="4"/>
        </w:numPr>
        <w:suppressAutoHyphens/>
        <w:spacing w:before="46" w:beforeLines="15" w:line="360" w:lineRule="auto"/>
        <w:ind w:firstLineChars="0"/>
        <w:rPr>
          <w:rFonts w:ascii="Times New Roman" w:hAnsi="Times New Roman"/>
          <w:color w:val="auto"/>
          <w:sz w:val="24"/>
        </w:rPr>
      </w:pPr>
      <w:bookmarkStart w:id="62" w:name="_Toc319930085"/>
      <w:bookmarkStart w:id="63" w:name="_Toc319930189"/>
      <w:bookmarkStart w:id="64" w:name="_Toc319915064"/>
      <w:r>
        <w:rPr>
          <w:rFonts w:ascii="Times New Roman" w:hAnsi="Times New Roman"/>
          <w:color w:val="auto"/>
          <w:sz w:val="24"/>
        </w:rPr>
        <w:t>卖方对售后服务的需求必须在</w:t>
      </w:r>
      <w:r>
        <w:rPr>
          <w:rFonts w:hint="eastAsia" w:ascii="Times New Roman" w:hAnsi="Times New Roman"/>
          <w:color w:val="auto"/>
          <w:sz w:val="24"/>
        </w:rPr>
        <w:t>8</w:t>
      </w:r>
      <w:r>
        <w:rPr>
          <w:rFonts w:ascii="Times New Roman" w:hAnsi="Times New Roman"/>
          <w:color w:val="auto"/>
          <w:sz w:val="24"/>
        </w:rPr>
        <w:t>小时</w:t>
      </w:r>
      <w:r>
        <w:rPr>
          <w:rFonts w:hint="eastAsia" w:ascii="Times New Roman" w:hAnsi="Times New Roman"/>
          <w:color w:val="auto"/>
          <w:sz w:val="24"/>
        </w:rPr>
        <w:t>内</w:t>
      </w:r>
      <w:r>
        <w:rPr>
          <w:rFonts w:ascii="Times New Roman" w:hAnsi="Times New Roman"/>
          <w:color w:val="auto"/>
          <w:sz w:val="24"/>
        </w:rPr>
        <w:t>答复，在</w:t>
      </w:r>
      <w:r>
        <w:rPr>
          <w:rFonts w:hint="eastAsia" w:ascii="Times New Roman" w:hAnsi="Times New Roman"/>
          <w:color w:val="auto"/>
          <w:sz w:val="24"/>
        </w:rPr>
        <w:t>24</w:t>
      </w:r>
      <w:r>
        <w:rPr>
          <w:rFonts w:ascii="Times New Roman" w:hAnsi="Times New Roman"/>
          <w:color w:val="auto"/>
          <w:sz w:val="24"/>
        </w:rPr>
        <w:t>小时内提供技术服务</w:t>
      </w:r>
      <w:bookmarkEnd w:id="62"/>
      <w:bookmarkEnd w:id="63"/>
      <w:bookmarkEnd w:id="64"/>
      <w:r>
        <w:rPr>
          <w:rFonts w:hint="eastAsia" w:ascii="Times New Roman" w:hAnsi="Times New Roman"/>
          <w:color w:val="auto"/>
          <w:sz w:val="24"/>
        </w:rPr>
        <w:t>。</w:t>
      </w:r>
    </w:p>
    <w:p>
      <w:pPr>
        <w:pStyle w:val="40"/>
        <w:numPr>
          <w:ilvl w:val="0"/>
          <w:numId w:val="4"/>
        </w:numPr>
        <w:suppressAutoHyphens/>
        <w:spacing w:before="46" w:beforeLines="15" w:line="360" w:lineRule="auto"/>
        <w:ind w:firstLineChars="0"/>
        <w:rPr>
          <w:rFonts w:ascii="Times New Roman" w:hAnsi="Times New Roman"/>
          <w:color w:val="auto"/>
          <w:sz w:val="24"/>
        </w:rPr>
      </w:pPr>
      <w:bookmarkStart w:id="65" w:name="_Toc319915065"/>
      <w:bookmarkStart w:id="66" w:name="_Toc319930190"/>
      <w:bookmarkStart w:id="67" w:name="_Toc319930086"/>
      <w:r>
        <w:rPr>
          <w:rFonts w:ascii="Times New Roman" w:hAnsi="Times New Roman"/>
          <w:color w:val="auto"/>
          <w:sz w:val="24"/>
        </w:rPr>
        <w:t>卖方长期提供备件采购和供应服务</w:t>
      </w:r>
      <w:r>
        <w:rPr>
          <w:rFonts w:hint="eastAsia" w:ascii="Times New Roman" w:hAnsi="Times New Roman"/>
          <w:color w:val="auto"/>
          <w:sz w:val="24"/>
          <w:highlight w:val="none"/>
          <w:lang w:eastAsia="zh-CN"/>
        </w:rPr>
        <w:t>、</w:t>
      </w:r>
      <w:r>
        <w:rPr>
          <w:rFonts w:hint="eastAsia" w:ascii="Times New Roman" w:hAnsi="Times New Roman"/>
          <w:strike w:val="0"/>
          <w:dstrike w:val="0"/>
          <w:color w:val="auto"/>
          <w:sz w:val="24"/>
          <w:highlight w:val="none"/>
          <w:lang w:val="en-US" w:eastAsia="zh-CN"/>
        </w:rPr>
        <w:t>终端升级和应用模块维护</w:t>
      </w:r>
      <w:r>
        <w:rPr>
          <w:rFonts w:hint="eastAsia" w:ascii="Times New Roman" w:hAnsi="Times New Roman"/>
          <w:color w:val="auto"/>
          <w:sz w:val="24"/>
          <w:highlight w:val="none"/>
          <w:lang w:val="en-US" w:eastAsia="zh-CN"/>
        </w:rPr>
        <w:t>服务</w:t>
      </w:r>
      <w:r>
        <w:rPr>
          <w:rFonts w:ascii="Times New Roman" w:hAnsi="Times New Roman"/>
          <w:color w:val="auto"/>
          <w:sz w:val="24"/>
          <w:highlight w:val="none"/>
        </w:rPr>
        <w:t>。</w:t>
      </w:r>
      <w:bookmarkEnd w:id="65"/>
      <w:bookmarkEnd w:id="66"/>
      <w:bookmarkEnd w:id="67"/>
    </w:p>
    <w:p>
      <w:pPr>
        <w:spacing w:before="46" w:beforeLines="15"/>
        <w:rPr>
          <w:rFonts w:ascii="宋体" w:hAnsi="宋体" w:cs="Arial"/>
          <w:szCs w:val="21"/>
        </w:rPr>
      </w:pPr>
    </w:p>
    <w:p>
      <w:pPr>
        <w:spacing w:line="440" w:lineRule="exact"/>
        <w:ind w:left="567"/>
        <w:jc w:val="left"/>
        <w:rPr>
          <w:rFonts w:ascii="宋体" w:hAnsi="宋体" w:cs="Arial"/>
          <w:b/>
          <w:szCs w:val="21"/>
        </w:rPr>
      </w:pPr>
      <w:r>
        <w:rPr>
          <w:rFonts w:hint="eastAsia" w:ascii="宋体" w:hAnsi="宋体" w:cs="Arial"/>
          <w:b/>
          <w:szCs w:val="21"/>
        </w:rPr>
        <w:t>附表1、供货</w:t>
      </w:r>
      <w:r>
        <w:rPr>
          <w:rFonts w:ascii="宋体" w:hAnsi="宋体" w:cs="Arial"/>
          <w:b/>
          <w:szCs w:val="21"/>
        </w:rPr>
        <w:t>一览表</w:t>
      </w:r>
    </w:p>
    <w:tbl>
      <w:tblPr>
        <w:tblStyle w:val="20"/>
        <w:tblW w:w="8363" w:type="dxa"/>
        <w:tblInd w:w="392" w:type="dxa"/>
        <w:tblLayout w:type="fixed"/>
        <w:tblCellMar>
          <w:top w:w="0" w:type="dxa"/>
          <w:left w:w="108" w:type="dxa"/>
          <w:bottom w:w="0" w:type="dxa"/>
          <w:right w:w="108" w:type="dxa"/>
        </w:tblCellMar>
      </w:tblPr>
      <w:tblGrid>
        <w:gridCol w:w="709"/>
        <w:gridCol w:w="3543"/>
        <w:gridCol w:w="851"/>
        <w:gridCol w:w="709"/>
        <w:gridCol w:w="2551"/>
      </w:tblGrid>
      <w:tr>
        <w:tblPrEx>
          <w:tblCellMar>
            <w:top w:w="0" w:type="dxa"/>
            <w:left w:w="108" w:type="dxa"/>
            <w:bottom w:w="0" w:type="dxa"/>
            <w:right w:w="108" w:type="dxa"/>
          </w:tblCellMar>
        </w:tblPrEx>
        <w:trPr>
          <w:trHeight w:val="454" w:hRule="atLeast"/>
        </w:trPr>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440" w:lineRule="exact"/>
              <w:rPr>
                <w:rFonts w:ascii="宋体" w:hAnsi="宋体" w:cs="Arial"/>
                <w:b/>
                <w:szCs w:val="21"/>
              </w:rPr>
            </w:pPr>
            <w:r>
              <w:rPr>
                <w:rFonts w:ascii="宋体" w:hAnsi="宋体" w:cs="Arial"/>
                <w:b/>
                <w:szCs w:val="21"/>
              </w:rPr>
              <w:t>序号</w:t>
            </w:r>
          </w:p>
        </w:tc>
        <w:tc>
          <w:tcPr>
            <w:tcW w:w="3543" w:type="dxa"/>
            <w:tcBorders>
              <w:top w:val="single" w:color="auto" w:sz="4" w:space="0"/>
              <w:left w:val="nil"/>
              <w:bottom w:val="single" w:color="auto" w:sz="4" w:space="0"/>
              <w:right w:val="single" w:color="auto" w:sz="4" w:space="0"/>
            </w:tcBorders>
            <w:vAlign w:val="center"/>
          </w:tcPr>
          <w:p>
            <w:pPr>
              <w:widowControl/>
              <w:spacing w:line="440" w:lineRule="exact"/>
              <w:ind w:firstLine="480"/>
              <w:jc w:val="center"/>
              <w:rPr>
                <w:rFonts w:ascii="宋体" w:hAnsi="宋体" w:cs="Arial"/>
                <w:b/>
                <w:bCs/>
                <w:szCs w:val="21"/>
              </w:rPr>
            </w:pPr>
            <w:r>
              <w:rPr>
                <w:rFonts w:ascii="宋体" w:hAnsi="宋体" w:cs="Arial"/>
                <w:b/>
                <w:bCs/>
                <w:szCs w:val="21"/>
              </w:rPr>
              <w:t>设备名称</w:t>
            </w:r>
          </w:p>
        </w:tc>
        <w:tc>
          <w:tcPr>
            <w:tcW w:w="851" w:type="dxa"/>
            <w:tcBorders>
              <w:top w:val="single" w:color="auto" w:sz="4" w:space="0"/>
              <w:left w:val="nil"/>
              <w:bottom w:val="single" w:color="auto" w:sz="4" w:space="0"/>
              <w:right w:val="single" w:color="auto" w:sz="4" w:space="0"/>
            </w:tcBorders>
            <w:vAlign w:val="center"/>
          </w:tcPr>
          <w:p>
            <w:pPr>
              <w:widowControl/>
              <w:spacing w:line="440" w:lineRule="exact"/>
              <w:rPr>
                <w:rFonts w:ascii="宋体" w:hAnsi="宋体" w:cs="Arial"/>
                <w:b/>
                <w:bCs/>
                <w:szCs w:val="21"/>
              </w:rPr>
            </w:pPr>
            <w:r>
              <w:rPr>
                <w:rFonts w:ascii="宋体" w:hAnsi="宋体" w:cs="Arial"/>
                <w:b/>
                <w:bCs/>
                <w:szCs w:val="21"/>
              </w:rPr>
              <w:t>单位</w:t>
            </w:r>
          </w:p>
        </w:tc>
        <w:tc>
          <w:tcPr>
            <w:tcW w:w="709" w:type="dxa"/>
            <w:tcBorders>
              <w:top w:val="single" w:color="auto" w:sz="4" w:space="0"/>
              <w:left w:val="nil"/>
              <w:bottom w:val="single" w:color="auto" w:sz="4" w:space="0"/>
              <w:right w:val="single" w:color="auto" w:sz="4" w:space="0"/>
            </w:tcBorders>
            <w:vAlign w:val="center"/>
          </w:tcPr>
          <w:p>
            <w:pPr>
              <w:widowControl/>
              <w:spacing w:line="440" w:lineRule="exact"/>
              <w:rPr>
                <w:rFonts w:ascii="宋体" w:hAnsi="宋体" w:cs="Arial"/>
                <w:b/>
                <w:bCs/>
                <w:szCs w:val="21"/>
              </w:rPr>
            </w:pPr>
            <w:r>
              <w:rPr>
                <w:rFonts w:ascii="宋体" w:hAnsi="宋体" w:cs="Arial"/>
                <w:b/>
                <w:bCs/>
                <w:szCs w:val="21"/>
              </w:rPr>
              <w:t>数量</w:t>
            </w:r>
          </w:p>
        </w:tc>
        <w:tc>
          <w:tcPr>
            <w:tcW w:w="2551" w:type="dxa"/>
            <w:tcBorders>
              <w:top w:val="single" w:color="auto" w:sz="4" w:space="0"/>
              <w:left w:val="nil"/>
              <w:bottom w:val="single" w:color="auto" w:sz="4" w:space="0"/>
              <w:right w:val="single" w:color="auto" w:sz="4" w:space="0"/>
            </w:tcBorders>
            <w:vAlign w:val="center"/>
          </w:tcPr>
          <w:p>
            <w:pPr>
              <w:widowControl/>
              <w:spacing w:line="440" w:lineRule="exact"/>
              <w:jc w:val="center"/>
              <w:rPr>
                <w:rFonts w:ascii="宋体" w:hAnsi="宋体" w:cs="Arial"/>
                <w:b/>
                <w:bCs/>
                <w:szCs w:val="21"/>
              </w:rPr>
            </w:pPr>
            <w:r>
              <w:rPr>
                <w:rFonts w:ascii="宋体" w:hAnsi="宋体" w:cs="Arial"/>
                <w:b/>
                <w:bCs/>
                <w:szCs w:val="21"/>
              </w:rPr>
              <w:t>生产厂家和原产国</w:t>
            </w:r>
          </w:p>
        </w:tc>
      </w:tr>
      <w:tr>
        <w:tblPrEx>
          <w:tblCellMar>
            <w:top w:w="0" w:type="dxa"/>
            <w:left w:w="108" w:type="dxa"/>
            <w:bottom w:w="0" w:type="dxa"/>
            <w:right w:w="108" w:type="dxa"/>
          </w:tblCellMar>
        </w:tblPrEx>
        <w:trPr>
          <w:trHeight w:val="454" w:hRule="atLeast"/>
        </w:trPr>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440" w:lineRule="exact"/>
              <w:ind w:firstLine="174" w:firstLineChars="83"/>
              <w:rPr>
                <w:rFonts w:ascii="宋体" w:hAnsi="宋体" w:cs="Arial"/>
                <w:szCs w:val="21"/>
              </w:rPr>
            </w:pPr>
            <w:r>
              <w:rPr>
                <w:rFonts w:ascii="宋体" w:hAnsi="宋体" w:cs="Arial"/>
                <w:szCs w:val="21"/>
              </w:rPr>
              <w:t>1</w:t>
            </w:r>
          </w:p>
        </w:tc>
        <w:tc>
          <w:tcPr>
            <w:tcW w:w="3543" w:type="dxa"/>
            <w:tcBorders>
              <w:top w:val="single" w:color="auto" w:sz="4" w:space="0"/>
              <w:left w:val="nil"/>
              <w:bottom w:val="single" w:color="auto" w:sz="4" w:space="0"/>
              <w:right w:val="single" w:color="auto" w:sz="4" w:space="0"/>
            </w:tcBorders>
            <w:vAlign w:val="center"/>
          </w:tcPr>
          <w:p>
            <w:pPr>
              <w:pStyle w:val="36"/>
              <w:spacing w:line="400" w:lineRule="atLeast"/>
              <w:ind w:firstLine="0" w:firstLineChars="0"/>
              <w:jc w:val="left"/>
              <w:rPr>
                <w:rFonts w:ascii="宋体" w:hAnsi="宋体" w:cs="Arial"/>
                <w:szCs w:val="21"/>
              </w:rPr>
            </w:pPr>
          </w:p>
        </w:tc>
        <w:tc>
          <w:tcPr>
            <w:tcW w:w="851" w:type="dxa"/>
            <w:tcBorders>
              <w:top w:val="single" w:color="auto" w:sz="4" w:space="0"/>
              <w:left w:val="nil"/>
              <w:bottom w:val="single" w:color="auto" w:sz="4" w:space="0"/>
              <w:right w:val="single" w:color="auto" w:sz="4" w:space="0"/>
            </w:tcBorders>
            <w:vAlign w:val="center"/>
          </w:tcPr>
          <w:p>
            <w:pPr>
              <w:widowControl/>
              <w:spacing w:line="440" w:lineRule="exact"/>
              <w:ind w:firstLine="174" w:firstLineChars="83"/>
              <w:rPr>
                <w:rFonts w:ascii="宋体" w:hAnsi="宋体" w:cs="Arial"/>
                <w:szCs w:val="21"/>
              </w:rPr>
            </w:pPr>
          </w:p>
        </w:tc>
        <w:tc>
          <w:tcPr>
            <w:tcW w:w="709" w:type="dxa"/>
            <w:tcBorders>
              <w:top w:val="single" w:color="auto" w:sz="4" w:space="0"/>
              <w:left w:val="nil"/>
              <w:bottom w:val="single" w:color="auto" w:sz="4" w:space="0"/>
              <w:right w:val="single" w:color="auto" w:sz="4" w:space="0"/>
            </w:tcBorders>
            <w:vAlign w:val="center"/>
          </w:tcPr>
          <w:p>
            <w:pPr>
              <w:widowControl/>
              <w:spacing w:line="440" w:lineRule="exact"/>
              <w:ind w:firstLine="174" w:firstLineChars="83"/>
              <w:rPr>
                <w:rFonts w:ascii="宋体" w:hAnsi="宋体" w:cs="Arial"/>
                <w:szCs w:val="21"/>
              </w:rPr>
            </w:pPr>
          </w:p>
        </w:tc>
        <w:tc>
          <w:tcPr>
            <w:tcW w:w="2551" w:type="dxa"/>
            <w:tcBorders>
              <w:top w:val="single" w:color="auto" w:sz="4" w:space="0"/>
              <w:left w:val="nil"/>
              <w:bottom w:val="single" w:color="auto" w:sz="4" w:space="0"/>
              <w:right w:val="single" w:color="auto" w:sz="4" w:space="0"/>
            </w:tcBorders>
            <w:vAlign w:val="center"/>
          </w:tcPr>
          <w:p>
            <w:pPr>
              <w:widowControl/>
              <w:spacing w:line="440" w:lineRule="exact"/>
              <w:jc w:val="center"/>
              <w:rPr>
                <w:rFonts w:ascii="宋体" w:hAnsi="宋体" w:cs="Arial"/>
                <w:szCs w:val="21"/>
              </w:rPr>
            </w:pPr>
          </w:p>
        </w:tc>
      </w:tr>
      <w:tr>
        <w:tblPrEx>
          <w:tblCellMar>
            <w:top w:w="0" w:type="dxa"/>
            <w:left w:w="108" w:type="dxa"/>
            <w:bottom w:w="0" w:type="dxa"/>
            <w:right w:w="108" w:type="dxa"/>
          </w:tblCellMar>
        </w:tblPrEx>
        <w:trPr>
          <w:trHeight w:val="454" w:hRule="atLeast"/>
        </w:trPr>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440" w:lineRule="exact"/>
              <w:ind w:firstLine="174" w:firstLineChars="83"/>
              <w:rPr>
                <w:rFonts w:ascii="宋体" w:hAnsi="宋体" w:cs="Arial"/>
                <w:szCs w:val="21"/>
              </w:rPr>
            </w:pPr>
            <w:r>
              <w:rPr>
                <w:rFonts w:hint="eastAsia" w:ascii="宋体" w:hAnsi="宋体" w:cs="Arial"/>
                <w:szCs w:val="21"/>
              </w:rPr>
              <w:t>2</w:t>
            </w:r>
          </w:p>
        </w:tc>
        <w:tc>
          <w:tcPr>
            <w:tcW w:w="3543" w:type="dxa"/>
            <w:tcBorders>
              <w:top w:val="single" w:color="auto" w:sz="4" w:space="0"/>
              <w:left w:val="nil"/>
              <w:bottom w:val="single" w:color="auto" w:sz="4" w:space="0"/>
              <w:right w:val="single" w:color="auto" w:sz="4" w:space="0"/>
            </w:tcBorders>
            <w:vAlign w:val="center"/>
          </w:tcPr>
          <w:p>
            <w:pPr>
              <w:pStyle w:val="36"/>
              <w:spacing w:line="400" w:lineRule="atLeast"/>
              <w:ind w:firstLine="0" w:firstLineChars="0"/>
              <w:jc w:val="left"/>
              <w:rPr>
                <w:rFonts w:ascii="宋体" w:hAnsi="宋体" w:cs="Arial"/>
                <w:szCs w:val="21"/>
              </w:rPr>
            </w:pPr>
          </w:p>
        </w:tc>
        <w:tc>
          <w:tcPr>
            <w:tcW w:w="851" w:type="dxa"/>
            <w:tcBorders>
              <w:top w:val="single" w:color="auto" w:sz="4" w:space="0"/>
              <w:left w:val="nil"/>
              <w:bottom w:val="single" w:color="auto" w:sz="4" w:space="0"/>
              <w:right w:val="single" w:color="auto" w:sz="4" w:space="0"/>
            </w:tcBorders>
            <w:vAlign w:val="center"/>
          </w:tcPr>
          <w:p>
            <w:pPr>
              <w:widowControl/>
              <w:spacing w:line="440" w:lineRule="exact"/>
              <w:ind w:firstLine="174" w:firstLineChars="83"/>
              <w:rPr>
                <w:rFonts w:ascii="宋体" w:hAnsi="宋体" w:cs="Arial"/>
                <w:szCs w:val="21"/>
              </w:rPr>
            </w:pPr>
          </w:p>
        </w:tc>
        <w:tc>
          <w:tcPr>
            <w:tcW w:w="709" w:type="dxa"/>
            <w:tcBorders>
              <w:top w:val="single" w:color="auto" w:sz="4" w:space="0"/>
              <w:left w:val="nil"/>
              <w:bottom w:val="single" w:color="auto" w:sz="4" w:space="0"/>
              <w:right w:val="single" w:color="auto" w:sz="4" w:space="0"/>
            </w:tcBorders>
            <w:vAlign w:val="center"/>
          </w:tcPr>
          <w:p>
            <w:pPr>
              <w:widowControl/>
              <w:spacing w:line="440" w:lineRule="exact"/>
              <w:ind w:firstLine="174" w:firstLineChars="83"/>
              <w:rPr>
                <w:rFonts w:ascii="宋体" w:hAnsi="宋体" w:cs="Arial"/>
                <w:szCs w:val="21"/>
              </w:rPr>
            </w:pPr>
          </w:p>
        </w:tc>
        <w:tc>
          <w:tcPr>
            <w:tcW w:w="2551" w:type="dxa"/>
            <w:tcBorders>
              <w:top w:val="single" w:color="auto" w:sz="4" w:space="0"/>
              <w:left w:val="nil"/>
              <w:bottom w:val="single" w:color="auto" w:sz="4" w:space="0"/>
              <w:right w:val="single" w:color="auto" w:sz="4" w:space="0"/>
            </w:tcBorders>
            <w:vAlign w:val="center"/>
          </w:tcPr>
          <w:p>
            <w:pPr>
              <w:widowControl/>
              <w:spacing w:line="440" w:lineRule="exact"/>
              <w:jc w:val="center"/>
              <w:rPr>
                <w:rFonts w:ascii="宋体" w:hAnsi="宋体" w:cs="Arial"/>
                <w:szCs w:val="21"/>
              </w:rPr>
            </w:pPr>
          </w:p>
        </w:tc>
      </w:tr>
      <w:tr>
        <w:tblPrEx>
          <w:tblCellMar>
            <w:top w:w="0" w:type="dxa"/>
            <w:left w:w="108" w:type="dxa"/>
            <w:bottom w:w="0" w:type="dxa"/>
            <w:right w:w="108" w:type="dxa"/>
          </w:tblCellMar>
        </w:tblPrEx>
        <w:trPr>
          <w:trHeight w:val="454" w:hRule="atLeast"/>
        </w:trPr>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440" w:lineRule="exact"/>
              <w:ind w:firstLine="174" w:firstLineChars="83"/>
              <w:rPr>
                <w:rFonts w:ascii="宋体" w:hAnsi="宋体" w:cs="Arial"/>
                <w:szCs w:val="21"/>
              </w:rPr>
            </w:pPr>
            <w:r>
              <w:rPr>
                <w:rFonts w:hint="eastAsia" w:ascii="宋体" w:hAnsi="宋体" w:cs="Arial"/>
                <w:szCs w:val="21"/>
              </w:rPr>
              <w:t>3</w:t>
            </w:r>
          </w:p>
        </w:tc>
        <w:tc>
          <w:tcPr>
            <w:tcW w:w="3543" w:type="dxa"/>
            <w:tcBorders>
              <w:top w:val="single" w:color="auto" w:sz="4" w:space="0"/>
              <w:left w:val="nil"/>
              <w:bottom w:val="single" w:color="auto" w:sz="4" w:space="0"/>
              <w:right w:val="single" w:color="auto" w:sz="4" w:space="0"/>
            </w:tcBorders>
            <w:vAlign w:val="center"/>
          </w:tcPr>
          <w:p>
            <w:pPr>
              <w:pStyle w:val="36"/>
              <w:spacing w:line="400" w:lineRule="atLeast"/>
              <w:ind w:firstLine="0" w:firstLineChars="0"/>
              <w:jc w:val="left"/>
              <w:rPr>
                <w:rFonts w:ascii="宋体" w:hAnsi="宋体" w:cs="Arial"/>
                <w:szCs w:val="21"/>
              </w:rPr>
            </w:pPr>
          </w:p>
        </w:tc>
        <w:tc>
          <w:tcPr>
            <w:tcW w:w="851" w:type="dxa"/>
            <w:tcBorders>
              <w:top w:val="single" w:color="auto" w:sz="4" w:space="0"/>
              <w:left w:val="nil"/>
              <w:bottom w:val="single" w:color="auto" w:sz="4" w:space="0"/>
              <w:right w:val="single" w:color="auto" w:sz="4" w:space="0"/>
            </w:tcBorders>
            <w:vAlign w:val="center"/>
          </w:tcPr>
          <w:p>
            <w:pPr>
              <w:widowControl/>
              <w:spacing w:line="440" w:lineRule="exact"/>
              <w:ind w:firstLine="174" w:firstLineChars="83"/>
              <w:rPr>
                <w:rFonts w:ascii="宋体" w:hAnsi="宋体" w:cs="Arial"/>
                <w:szCs w:val="21"/>
              </w:rPr>
            </w:pPr>
          </w:p>
        </w:tc>
        <w:tc>
          <w:tcPr>
            <w:tcW w:w="709" w:type="dxa"/>
            <w:tcBorders>
              <w:top w:val="single" w:color="auto" w:sz="4" w:space="0"/>
              <w:left w:val="nil"/>
              <w:bottom w:val="single" w:color="auto" w:sz="4" w:space="0"/>
              <w:right w:val="single" w:color="auto" w:sz="4" w:space="0"/>
            </w:tcBorders>
            <w:vAlign w:val="center"/>
          </w:tcPr>
          <w:p>
            <w:pPr>
              <w:widowControl/>
              <w:spacing w:line="440" w:lineRule="exact"/>
              <w:ind w:firstLine="174" w:firstLineChars="83"/>
              <w:rPr>
                <w:rFonts w:ascii="宋体" w:hAnsi="宋体" w:cs="Arial"/>
                <w:szCs w:val="21"/>
              </w:rPr>
            </w:pPr>
          </w:p>
        </w:tc>
        <w:tc>
          <w:tcPr>
            <w:tcW w:w="2551" w:type="dxa"/>
            <w:tcBorders>
              <w:top w:val="single" w:color="auto" w:sz="4" w:space="0"/>
              <w:left w:val="nil"/>
              <w:bottom w:val="single" w:color="auto" w:sz="4" w:space="0"/>
              <w:right w:val="single" w:color="auto" w:sz="4" w:space="0"/>
            </w:tcBorders>
            <w:vAlign w:val="center"/>
          </w:tcPr>
          <w:p>
            <w:pPr>
              <w:widowControl/>
              <w:spacing w:line="440" w:lineRule="exact"/>
              <w:jc w:val="center"/>
              <w:rPr>
                <w:rFonts w:ascii="宋体" w:hAnsi="宋体" w:cs="Arial"/>
                <w:szCs w:val="21"/>
              </w:rPr>
            </w:pPr>
          </w:p>
        </w:tc>
      </w:tr>
      <w:tr>
        <w:tblPrEx>
          <w:tblCellMar>
            <w:top w:w="0" w:type="dxa"/>
            <w:left w:w="108" w:type="dxa"/>
            <w:bottom w:w="0" w:type="dxa"/>
            <w:right w:w="108" w:type="dxa"/>
          </w:tblCellMar>
        </w:tblPrEx>
        <w:trPr>
          <w:trHeight w:val="454" w:hRule="atLeast"/>
        </w:trPr>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440" w:lineRule="exact"/>
              <w:ind w:firstLine="174" w:firstLineChars="83"/>
              <w:rPr>
                <w:rFonts w:ascii="宋体" w:hAnsi="宋体" w:cs="Arial"/>
                <w:szCs w:val="21"/>
              </w:rPr>
            </w:pPr>
            <w:r>
              <w:rPr>
                <w:rFonts w:hint="eastAsia" w:ascii="宋体" w:hAnsi="宋体" w:cs="Arial"/>
                <w:szCs w:val="21"/>
              </w:rPr>
              <w:t>4</w:t>
            </w:r>
          </w:p>
        </w:tc>
        <w:tc>
          <w:tcPr>
            <w:tcW w:w="3543" w:type="dxa"/>
            <w:tcBorders>
              <w:top w:val="single" w:color="auto" w:sz="4" w:space="0"/>
              <w:left w:val="nil"/>
              <w:bottom w:val="single" w:color="auto" w:sz="4" w:space="0"/>
              <w:right w:val="single" w:color="auto" w:sz="4" w:space="0"/>
            </w:tcBorders>
            <w:vAlign w:val="center"/>
          </w:tcPr>
          <w:p>
            <w:pPr>
              <w:pStyle w:val="36"/>
              <w:spacing w:line="400" w:lineRule="atLeast"/>
              <w:ind w:firstLine="0" w:firstLineChars="0"/>
              <w:jc w:val="left"/>
              <w:rPr>
                <w:rFonts w:ascii="宋体" w:hAnsi="宋体" w:cs="Arial"/>
                <w:szCs w:val="21"/>
              </w:rPr>
            </w:pPr>
          </w:p>
        </w:tc>
        <w:tc>
          <w:tcPr>
            <w:tcW w:w="851" w:type="dxa"/>
            <w:tcBorders>
              <w:top w:val="single" w:color="auto" w:sz="4" w:space="0"/>
              <w:left w:val="nil"/>
              <w:bottom w:val="single" w:color="auto" w:sz="4" w:space="0"/>
              <w:right w:val="single" w:color="auto" w:sz="4" w:space="0"/>
            </w:tcBorders>
            <w:vAlign w:val="center"/>
          </w:tcPr>
          <w:p>
            <w:pPr>
              <w:widowControl/>
              <w:spacing w:line="440" w:lineRule="exact"/>
              <w:ind w:firstLine="174" w:firstLineChars="83"/>
              <w:rPr>
                <w:rFonts w:ascii="宋体" w:hAnsi="宋体" w:cs="Arial"/>
                <w:szCs w:val="21"/>
              </w:rPr>
            </w:pPr>
          </w:p>
        </w:tc>
        <w:tc>
          <w:tcPr>
            <w:tcW w:w="709" w:type="dxa"/>
            <w:tcBorders>
              <w:top w:val="single" w:color="auto" w:sz="4" w:space="0"/>
              <w:left w:val="nil"/>
              <w:bottom w:val="single" w:color="auto" w:sz="4" w:space="0"/>
              <w:right w:val="single" w:color="auto" w:sz="4" w:space="0"/>
            </w:tcBorders>
            <w:vAlign w:val="center"/>
          </w:tcPr>
          <w:p>
            <w:pPr>
              <w:widowControl/>
              <w:spacing w:line="440" w:lineRule="exact"/>
              <w:ind w:firstLine="174" w:firstLineChars="83"/>
              <w:rPr>
                <w:rFonts w:ascii="宋体" w:hAnsi="宋体" w:cs="Arial"/>
                <w:szCs w:val="21"/>
              </w:rPr>
            </w:pPr>
          </w:p>
        </w:tc>
        <w:tc>
          <w:tcPr>
            <w:tcW w:w="2551" w:type="dxa"/>
            <w:tcBorders>
              <w:top w:val="single" w:color="auto" w:sz="4" w:space="0"/>
              <w:left w:val="nil"/>
              <w:bottom w:val="single" w:color="auto" w:sz="4" w:space="0"/>
              <w:right w:val="single" w:color="auto" w:sz="4" w:space="0"/>
            </w:tcBorders>
            <w:vAlign w:val="center"/>
          </w:tcPr>
          <w:p>
            <w:pPr>
              <w:widowControl/>
              <w:spacing w:line="440" w:lineRule="exact"/>
              <w:jc w:val="center"/>
              <w:rPr>
                <w:rFonts w:ascii="宋体" w:hAnsi="宋体" w:cs="Arial"/>
                <w:szCs w:val="21"/>
              </w:rPr>
            </w:pPr>
          </w:p>
        </w:tc>
      </w:tr>
      <w:tr>
        <w:tblPrEx>
          <w:tblCellMar>
            <w:top w:w="0" w:type="dxa"/>
            <w:left w:w="108" w:type="dxa"/>
            <w:bottom w:w="0" w:type="dxa"/>
            <w:right w:w="108" w:type="dxa"/>
          </w:tblCellMar>
        </w:tblPrEx>
        <w:trPr>
          <w:trHeight w:val="454" w:hRule="atLeast"/>
        </w:trPr>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440" w:lineRule="exact"/>
              <w:ind w:firstLine="174" w:firstLineChars="83"/>
              <w:rPr>
                <w:rFonts w:ascii="宋体" w:hAnsi="宋体" w:cs="Arial"/>
                <w:szCs w:val="21"/>
              </w:rPr>
            </w:pPr>
            <w:r>
              <w:rPr>
                <w:rFonts w:ascii="宋体" w:hAnsi="宋体" w:cs="Arial"/>
                <w:szCs w:val="21"/>
              </w:rPr>
              <w:t>…</w:t>
            </w:r>
          </w:p>
        </w:tc>
        <w:tc>
          <w:tcPr>
            <w:tcW w:w="3543" w:type="dxa"/>
            <w:tcBorders>
              <w:top w:val="single" w:color="auto" w:sz="4" w:space="0"/>
              <w:left w:val="nil"/>
              <w:bottom w:val="single" w:color="auto" w:sz="4" w:space="0"/>
              <w:right w:val="single" w:color="auto" w:sz="4" w:space="0"/>
            </w:tcBorders>
            <w:vAlign w:val="center"/>
          </w:tcPr>
          <w:p>
            <w:pPr>
              <w:pStyle w:val="36"/>
              <w:spacing w:line="400" w:lineRule="atLeast"/>
              <w:ind w:firstLine="0" w:firstLineChars="0"/>
              <w:jc w:val="left"/>
              <w:rPr>
                <w:rFonts w:ascii="宋体" w:hAnsi="宋体" w:cs="Arial"/>
                <w:szCs w:val="21"/>
              </w:rPr>
            </w:pPr>
          </w:p>
        </w:tc>
        <w:tc>
          <w:tcPr>
            <w:tcW w:w="851" w:type="dxa"/>
            <w:tcBorders>
              <w:top w:val="single" w:color="auto" w:sz="4" w:space="0"/>
              <w:left w:val="nil"/>
              <w:bottom w:val="single" w:color="auto" w:sz="4" w:space="0"/>
              <w:right w:val="single" w:color="auto" w:sz="4" w:space="0"/>
            </w:tcBorders>
            <w:vAlign w:val="center"/>
          </w:tcPr>
          <w:p>
            <w:pPr>
              <w:widowControl/>
              <w:spacing w:line="440" w:lineRule="exact"/>
              <w:ind w:firstLine="174" w:firstLineChars="83"/>
              <w:rPr>
                <w:rFonts w:ascii="宋体" w:hAnsi="宋体" w:cs="Arial"/>
                <w:szCs w:val="21"/>
              </w:rPr>
            </w:pPr>
          </w:p>
        </w:tc>
        <w:tc>
          <w:tcPr>
            <w:tcW w:w="709" w:type="dxa"/>
            <w:tcBorders>
              <w:top w:val="single" w:color="auto" w:sz="4" w:space="0"/>
              <w:left w:val="nil"/>
              <w:bottom w:val="single" w:color="auto" w:sz="4" w:space="0"/>
              <w:right w:val="single" w:color="auto" w:sz="4" w:space="0"/>
            </w:tcBorders>
            <w:vAlign w:val="center"/>
          </w:tcPr>
          <w:p>
            <w:pPr>
              <w:widowControl/>
              <w:spacing w:line="440" w:lineRule="exact"/>
              <w:ind w:firstLine="174" w:firstLineChars="83"/>
              <w:rPr>
                <w:rFonts w:ascii="宋体" w:hAnsi="宋体" w:cs="Arial"/>
                <w:szCs w:val="21"/>
              </w:rPr>
            </w:pPr>
          </w:p>
        </w:tc>
        <w:tc>
          <w:tcPr>
            <w:tcW w:w="2551" w:type="dxa"/>
            <w:tcBorders>
              <w:top w:val="single" w:color="auto" w:sz="4" w:space="0"/>
              <w:left w:val="nil"/>
              <w:bottom w:val="single" w:color="auto" w:sz="4" w:space="0"/>
              <w:right w:val="single" w:color="auto" w:sz="4" w:space="0"/>
            </w:tcBorders>
            <w:vAlign w:val="center"/>
          </w:tcPr>
          <w:p>
            <w:pPr>
              <w:widowControl/>
              <w:spacing w:line="440" w:lineRule="exact"/>
              <w:jc w:val="center"/>
              <w:rPr>
                <w:rFonts w:ascii="宋体" w:hAnsi="宋体" w:cs="Arial"/>
                <w:szCs w:val="21"/>
              </w:rPr>
            </w:pPr>
          </w:p>
        </w:tc>
      </w:tr>
    </w:tbl>
    <w:p>
      <w:pPr>
        <w:spacing w:line="360" w:lineRule="auto"/>
        <w:ind w:firstLine="420"/>
        <w:rPr>
          <w:rFonts w:ascii="宋体" w:hAnsi="宋体" w:cs="Arial"/>
          <w:sz w:val="24"/>
        </w:rPr>
      </w:pPr>
    </w:p>
    <w:p>
      <w:pPr>
        <w:spacing w:line="440" w:lineRule="exact"/>
        <w:ind w:left="567"/>
        <w:jc w:val="left"/>
        <w:rPr>
          <w:rFonts w:ascii="宋体" w:hAnsi="宋体" w:cs="Arial"/>
          <w:b/>
          <w:szCs w:val="21"/>
        </w:rPr>
      </w:pPr>
      <w:r>
        <w:rPr>
          <w:rFonts w:ascii="宋体" w:hAnsi="宋体" w:cs="Arial"/>
          <w:b/>
          <w:szCs w:val="21"/>
        </w:rPr>
        <w:t>附表2：技术应答表</w:t>
      </w:r>
    </w:p>
    <w:tbl>
      <w:tblPr>
        <w:tblStyle w:val="20"/>
        <w:tblW w:w="8363"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9"/>
        <w:gridCol w:w="1134"/>
        <w:gridCol w:w="2727"/>
        <w:gridCol w:w="2166"/>
        <w:gridCol w:w="1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0" w:hRule="exact"/>
        </w:trPr>
        <w:tc>
          <w:tcPr>
            <w:tcW w:w="709" w:type="dxa"/>
            <w:vMerge w:val="restart"/>
          </w:tcPr>
          <w:p>
            <w:pPr>
              <w:pStyle w:val="38"/>
              <w:spacing w:line="235" w:lineRule="auto"/>
              <w:jc w:val="center"/>
              <w:rPr>
                <w:rFonts w:ascii="宋体" w:hAnsi="宋体" w:cs="Arial"/>
                <w:position w:val="-57"/>
              </w:rPr>
            </w:pPr>
            <w:r>
              <w:rPr>
                <w:rFonts w:ascii="宋体" w:hAnsi="宋体" w:cs="Arial"/>
                <w:position w:val="-57"/>
              </w:rPr>
              <w:t>序号</w:t>
            </w:r>
          </w:p>
        </w:tc>
        <w:tc>
          <w:tcPr>
            <w:tcW w:w="3861" w:type="dxa"/>
            <w:gridSpan w:val="2"/>
            <w:vAlign w:val="center"/>
          </w:tcPr>
          <w:p>
            <w:pPr>
              <w:pStyle w:val="38"/>
              <w:spacing w:line="235" w:lineRule="auto"/>
              <w:jc w:val="center"/>
              <w:rPr>
                <w:rFonts w:ascii="宋体" w:hAnsi="宋体" w:cs="Arial"/>
                <w:position w:val="30"/>
              </w:rPr>
            </w:pPr>
            <w:r>
              <w:rPr>
                <w:rFonts w:ascii="宋体" w:hAnsi="宋体" w:cs="Arial"/>
                <w:position w:val="30"/>
              </w:rPr>
              <w:t>招标技术文件</w:t>
            </w:r>
          </w:p>
        </w:tc>
        <w:tc>
          <w:tcPr>
            <w:tcW w:w="3793" w:type="dxa"/>
            <w:gridSpan w:val="2"/>
            <w:vAlign w:val="center"/>
          </w:tcPr>
          <w:p>
            <w:pPr>
              <w:pStyle w:val="38"/>
              <w:spacing w:line="235" w:lineRule="auto"/>
              <w:jc w:val="center"/>
              <w:rPr>
                <w:rFonts w:ascii="宋体" w:hAnsi="宋体" w:cs="Arial"/>
                <w:position w:val="30"/>
              </w:rPr>
            </w:pPr>
            <w:r>
              <w:rPr>
                <w:rFonts w:ascii="宋体" w:hAnsi="宋体" w:cs="Arial"/>
                <w:position w:val="30"/>
              </w:rPr>
              <w:t>投标技术文件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709" w:type="dxa"/>
            <w:vMerge w:val="continue"/>
          </w:tcPr>
          <w:p>
            <w:pPr>
              <w:rPr>
                <w:rFonts w:ascii="宋体" w:hAnsi="宋体" w:cs="Arial"/>
              </w:rPr>
            </w:pPr>
          </w:p>
        </w:tc>
        <w:tc>
          <w:tcPr>
            <w:tcW w:w="1134" w:type="dxa"/>
            <w:vAlign w:val="center"/>
          </w:tcPr>
          <w:p>
            <w:pPr>
              <w:pStyle w:val="38"/>
              <w:spacing w:line="235" w:lineRule="auto"/>
              <w:jc w:val="center"/>
              <w:rPr>
                <w:rFonts w:ascii="宋体" w:hAnsi="宋体" w:cs="Arial"/>
                <w:position w:val="-27"/>
              </w:rPr>
            </w:pPr>
            <w:r>
              <w:rPr>
                <w:rFonts w:ascii="宋体" w:hAnsi="宋体" w:cs="Arial"/>
                <w:position w:val="-27"/>
              </w:rPr>
              <w:t>条目</w:t>
            </w:r>
          </w:p>
        </w:tc>
        <w:tc>
          <w:tcPr>
            <w:tcW w:w="2727" w:type="dxa"/>
            <w:vAlign w:val="center"/>
          </w:tcPr>
          <w:p>
            <w:pPr>
              <w:pStyle w:val="38"/>
              <w:spacing w:line="235" w:lineRule="auto"/>
              <w:jc w:val="center"/>
              <w:rPr>
                <w:rFonts w:ascii="宋体" w:hAnsi="宋体" w:cs="Arial"/>
                <w:position w:val="-27"/>
              </w:rPr>
            </w:pPr>
            <w:r>
              <w:rPr>
                <w:rFonts w:ascii="宋体" w:hAnsi="宋体" w:cs="Arial"/>
                <w:position w:val="-27"/>
              </w:rPr>
              <w:t>技术要求</w:t>
            </w:r>
          </w:p>
        </w:tc>
        <w:tc>
          <w:tcPr>
            <w:tcW w:w="2166" w:type="dxa"/>
            <w:vAlign w:val="center"/>
          </w:tcPr>
          <w:p>
            <w:pPr>
              <w:pStyle w:val="38"/>
              <w:spacing w:line="235" w:lineRule="auto"/>
              <w:jc w:val="center"/>
              <w:rPr>
                <w:rFonts w:ascii="宋体" w:hAnsi="宋体" w:cs="Arial"/>
                <w:position w:val="-27"/>
              </w:rPr>
            </w:pPr>
            <w:r>
              <w:rPr>
                <w:rFonts w:ascii="宋体" w:hAnsi="宋体" w:cs="Arial"/>
                <w:position w:val="-27"/>
              </w:rPr>
              <w:t>技术参数</w:t>
            </w:r>
          </w:p>
        </w:tc>
        <w:tc>
          <w:tcPr>
            <w:tcW w:w="1627" w:type="dxa"/>
            <w:vAlign w:val="center"/>
          </w:tcPr>
          <w:p>
            <w:pPr>
              <w:pStyle w:val="38"/>
              <w:spacing w:line="235" w:lineRule="auto"/>
              <w:jc w:val="center"/>
              <w:rPr>
                <w:rFonts w:ascii="宋体" w:hAnsi="宋体" w:cs="Arial"/>
                <w:position w:val="-27"/>
              </w:rPr>
            </w:pPr>
            <w:r>
              <w:rPr>
                <w:rFonts w:ascii="宋体" w:hAnsi="宋体" w:cs="Arial"/>
                <w:position w:val="-27"/>
              </w:rPr>
              <w:t>是否存在偏差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exact"/>
        </w:trPr>
        <w:tc>
          <w:tcPr>
            <w:tcW w:w="709" w:type="dxa"/>
            <w:vAlign w:val="center"/>
          </w:tcPr>
          <w:p>
            <w:pPr>
              <w:pStyle w:val="38"/>
              <w:spacing w:line="235" w:lineRule="auto"/>
              <w:jc w:val="center"/>
              <w:rPr>
                <w:rFonts w:ascii="宋体" w:hAnsi="宋体" w:cs="Arial"/>
                <w:sz w:val="24"/>
              </w:rPr>
            </w:pPr>
            <w:r>
              <w:rPr>
                <w:rFonts w:ascii="宋体" w:hAnsi="宋体" w:cs="Arial"/>
                <w:sz w:val="24"/>
              </w:rPr>
              <w:t>1</w:t>
            </w:r>
          </w:p>
        </w:tc>
        <w:tc>
          <w:tcPr>
            <w:tcW w:w="1134" w:type="dxa"/>
          </w:tcPr>
          <w:p>
            <w:pPr>
              <w:pStyle w:val="38"/>
              <w:spacing w:line="235" w:lineRule="auto"/>
              <w:jc w:val="center"/>
              <w:rPr>
                <w:rFonts w:ascii="宋体" w:hAnsi="宋体" w:cs="Arial"/>
                <w:sz w:val="24"/>
              </w:rPr>
            </w:pPr>
          </w:p>
        </w:tc>
        <w:tc>
          <w:tcPr>
            <w:tcW w:w="2727" w:type="dxa"/>
          </w:tcPr>
          <w:p>
            <w:pPr>
              <w:pStyle w:val="38"/>
              <w:spacing w:line="235" w:lineRule="auto"/>
              <w:rPr>
                <w:rFonts w:ascii="宋体" w:hAnsi="宋体" w:cs="Arial"/>
                <w:sz w:val="24"/>
              </w:rPr>
            </w:pPr>
          </w:p>
        </w:tc>
        <w:tc>
          <w:tcPr>
            <w:tcW w:w="2166" w:type="dxa"/>
          </w:tcPr>
          <w:p>
            <w:pPr>
              <w:pStyle w:val="38"/>
              <w:spacing w:line="235" w:lineRule="auto"/>
              <w:rPr>
                <w:rFonts w:ascii="宋体" w:hAnsi="宋体" w:cs="Arial"/>
                <w:sz w:val="24"/>
              </w:rPr>
            </w:pPr>
          </w:p>
        </w:tc>
        <w:tc>
          <w:tcPr>
            <w:tcW w:w="1627" w:type="dxa"/>
          </w:tcPr>
          <w:p>
            <w:pPr>
              <w:pStyle w:val="38"/>
              <w:spacing w:line="235" w:lineRule="auto"/>
              <w:rPr>
                <w:rFonts w:ascii="宋体" w:hAnsi="宋体"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exact"/>
        </w:trPr>
        <w:tc>
          <w:tcPr>
            <w:tcW w:w="709" w:type="dxa"/>
            <w:vAlign w:val="center"/>
          </w:tcPr>
          <w:p>
            <w:pPr>
              <w:pStyle w:val="38"/>
              <w:spacing w:line="235" w:lineRule="auto"/>
              <w:jc w:val="center"/>
              <w:rPr>
                <w:rFonts w:ascii="宋体" w:hAnsi="宋体" w:cs="Arial"/>
                <w:sz w:val="24"/>
              </w:rPr>
            </w:pPr>
            <w:r>
              <w:rPr>
                <w:rFonts w:hint="eastAsia" w:ascii="宋体" w:hAnsi="宋体" w:cs="Arial"/>
                <w:sz w:val="24"/>
              </w:rPr>
              <w:t>2</w:t>
            </w:r>
          </w:p>
        </w:tc>
        <w:tc>
          <w:tcPr>
            <w:tcW w:w="1134" w:type="dxa"/>
          </w:tcPr>
          <w:p>
            <w:pPr>
              <w:pStyle w:val="38"/>
              <w:spacing w:line="235" w:lineRule="auto"/>
              <w:jc w:val="center"/>
              <w:rPr>
                <w:rFonts w:ascii="宋体" w:hAnsi="宋体" w:cs="Arial"/>
                <w:sz w:val="24"/>
              </w:rPr>
            </w:pPr>
          </w:p>
        </w:tc>
        <w:tc>
          <w:tcPr>
            <w:tcW w:w="2727" w:type="dxa"/>
          </w:tcPr>
          <w:p>
            <w:pPr>
              <w:pStyle w:val="38"/>
              <w:spacing w:line="235" w:lineRule="auto"/>
              <w:rPr>
                <w:rFonts w:ascii="宋体" w:hAnsi="宋体" w:cs="Arial"/>
                <w:sz w:val="24"/>
              </w:rPr>
            </w:pPr>
          </w:p>
        </w:tc>
        <w:tc>
          <w:tcPr>
            <w:tcW w:w="2166" w:type="dxa"/>
          </w:tcPr>
          <w:p>
            <w:pPr>
              <w:pStyle w:val="38"/>
              <w:spacing w:line="235" w:lineRule="auto"/>
              <w:rPr>
                <w:rFonts w:ascii="宋体" w:hAnsi="宋体" w:cs="Arial"/>
                <w:sz w:val="24"/>
              </w:rPr>
            </w:pPr>
          </w:p>
        </w:tc>
        <w:tc>
          <w:tcPr>
            <w:tcW w:w="1627" w:type="dxa"/>
          </w:tcPr>
          <w:p>
            <w:pPr>
              <w:pStyle w:val="38"/>
              <w:spacing w:line="235" w:lineRule="auto"/>
              <w:rPr>
                <w:rFonts w:ascii="宋体" w:hAnsi="宋体"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exact"/>
        </w:trPr>
        <w:tc>
          <w:tcPr>
            <w:tcW w:w="709" w:type="dxa"/>
            <w:vAlign w:val="center"/>
          </w:tcPr>
          <w:p>
            <w:pPr>
              <w:pStyle w:val="38"/>
              <w:spacing w:line="235" w:lineRule="auto"/>
              <w:jc w:val="center"/>
              <w:rPr>
                <w:rFonts w:ascii="宋体" w:hAnsi="宋体" w:cs="Arial"/>
                <w:sz w:val="24"/>
              </w:rPr>
            </w:pPr>
            <w:r>
              <w:rPr>
                <w:rFonts w:hint="eastAsia" w:ascii="宋体" w:hAnsi="宋体" w:cs="Arial"/>
                <w:sz w:val="24"/>
              </w:rPr>
              <w:t>3</w:t>
            </w:r>
          </w:p>
        </w:tc>
        <w:tc>
          <w:tcPr>
            <w:tcW w:w="1134" w:type="dxa"/>
          </w:tcPr>
          <w:p>
            <w:pPr>
              <w:pStyle w:val="38"/>
              <w:spacing w:line="235" w:lineRule="auto"/>
              <w:jc w:val="center"/>
              <w:rPr>
                <w:rFonts w:ascii="宋体" w:hAnsi="宋体" w:cs="Arial"/>
                <w:sz w:val="24"/>
              </w:rPr>
            </w:pPr>
          </w:p>
        </w:tc>
        <w:tc>
          <w:tcPr>
            <w:tcW w:w="2727" w:type="dxa"/>
          </w:tcPr>
          <w:p>
            <w:pPr>
              <w:pStyle w:val="38"/>
              <w:spacing w:line="235" w:lineRule="auto"/>
              <w:rPr>
                <w:rFonts w:ascii="宋体" w:hAnsi="宋体" w:cs="Arial"/>
                <w:sz w:val="24"/>
              </w:rPr>
            </w:pPr>
          </w:p>
        </w:tc>
        <w:tc>
          <w:tcPr>
            <w:tcW w:w="2166" w:type="dxa"/>
          </w:tcPr>
          <w:p>
            <w:pPr>
              <w:pStyle w:val="38"/>
              <w:spacing w:line="235" w:lineRule="auto"/>
              <w:rPr>
                <w:rFonts w:ascii="宋体" w:hAnsi="宋体" w:cs="Arial"/>
                <w:sz w:val="24"/>
              </w:rPr>
            </w:pPr>
          </w:p>
        </w:tc>
        <w:tc>
          <w:tcPr>
            <w:tcW w:w="1627" w:type="dxa"/>
          </w:tcPr>
          <w:p>
            <w:pPr>
              <w:pStyle w:val="38"/>
              <w:spacing w:line="235" w:lineRule="auto"/>
              <w:rPr>
                <w:rFonts w:ascii="宋体" w:hAnsi="宋体"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exact"/>
        </w:trPr>
        <w:tc>
          <w:tcPr>
            <w:tcW w:w="709" w:type="dxa"/>
            <w:vAlign w:val="center"/>
          </w:tcPr>
          <w:p>
            <w:pPr>
              <w:pStyle w:val="38"/>
              <w:spacing w:line="235" w:lineRule="auto"/>
              <w:jc w:val="center"/>
              <w:rPr>
                <w:rFonts w:ascii="宋体" w:hAnsi="宋体" w:cs="Arial"/>
                <w:sz w:val="24"/>
              </w:rPr>
            </w:pPr>
            <w:r>
              <w:rPr>
                <w:rFonts w:hint="eastAsia" w:ascii="宋体" w:hAnsi="宋体" w:cs="Arial"/>
                <w:sz w:val="24"/>
              </w:rPr>
              <w:t>4</w:t>
            </w:r>
          </w:p>
        </w:tc>
        <w:tc>
          <w:tcPr>
            <w:tcW w:w="1134" w:type="dxa"/>
          </w:tcPr>
          <w:p>
            <w:pPr>
              <w:pStyle w:val="38"/>
              <w:spacing w:line="235" w:lineRule="auto"/>
              <w:jc w:val="center"/>
              <w:rPr>
                <w:rFonts w:ascii="宋体" w:hAnsi="宋体" w:cs="Arial"/>
                <w:sz w:val="24"/>
              </w:rPr>
            </w:pPr>
          </w:p>
        </w:tc>
        <w:tc>
          <w:tcPr>
            <w:tcW w:w="2727" w:type="dxa"/>
          </w:tcPr>
          <w:p>
            <w:pPr>
              <w:pStyle w:val="38"/>
              <w:spacing w:line="235" w:lineRule="auto"/>
              <w:rPr>
                <w:rFonts w:ascii="宋体" w:hAnsi="宋体" w:cs="Arial"/>
                <w:sz w:val="24"/>
              </w:rPr>
            </w:pPr>
          </w:p>
        </w:tc>
        <w:tc>
          <w:tcPr>
            <w:tcW w:w="2166" w:type="dxa"/>
          </w:tcPr>
          <w:p>
            <w:pPr>
              <w:pStyle w:val="38"/>
              <w:spacing w:line="235" w:lineRule="auto"/>
              <w:rPr>
                <w:rFonts w:ascii="宋体" w:hAnsi="宋体" w:cs="Arial"/>
                <w:sz w:val="24"/>
              </w:rPr>
            </w:pPr>
          </w:p>
        </w:tc>
        <w:tc>
          <w:tcPr>
            <w:tcW w:w="1627" w:type="dxa"/>
          </w:tcPr>
          <w:p>
            <w:pPr>
              <w:pStyle w:val="38"/>
              <w:spacing w:line="235" w:lineRule="auto"/>
              <w:rPr>
                <w:rFonts w:ascii="宋体" w:hAnsi="宋体"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exact"/>
        </w:trPr>
        <w:tc>
          <w:tcPr>
            <w:tcW w:w="709" w:type="dxa"/>
            <w:vAlign w:val="center"/>
          </w:tcPr>
          <w:p>
            <w:pPr>
              <w:pStyle w:val="38"/>
              <w:spacing w:line="235" w:lineRule="auto"/>
              <w:ind w:firstLine="240" w:firstLineChars="100"/>
              <w:rPr>
                <w:rFonts w:ascii="宋体" w:hAnsi="宋体" w:cs="Arial"/>
                <w:sz w:val="24"/>
              </w:rPr>
            </w:pPr>
            <w:r>
              <w:rPr>
                <w:rFonts w:ascii="宋体" w:hAnsi="宋体" w:cs="Arial"/>
                <w:sz w:val="24"/>
              </w:rPr>
              <w:t>…</w:t>
            </w:r>
          </w:p>
        </w:tc>
        <w:tc>
          <w:tcPr>
            <w:tcW w:w="1134" w:type="dxa"/>
          </w:tcPr>
          <w:p>
            <w:pPr>
              <w:pStyle w:val="38"/>
              <w:spacing w:line="235" w:lineRule="auto"/>
              <w:jc w:val="center"/>
              <w:rPr>
                <w:rFonts w:ascii="宋体" w:hAnsi="宋体" w:cs="Arial"/>
                <w:sz w:val="24"/>
              </w:rPr>
            </w:pPr>
          </w:p>
        </w:tc>
        <w:tc>
          <w:tcPr>
            <w:tcW w:w="2727" w:type="dxa"/>
          </w:tcPr>
          <w:p>
            <w:pPr>
              <w:pStyle w:val="38"/>
              <w:spacing w:line="235" w:lineRule="auto"/>
              <w:rPr>
                <w:rFonts w:ascii="宋体" w:hAnsi="宋体" w:cs="Arial"/>
                <w:sz w:val="24"/>
              </w:rPr>
            </w:pPr>
          </w:p>
        </w:tc>
        <w:tc>
          <w:tcPr>
            <w:tcW w:w="2166" w:type="dxa"/>
          </w:tcPr>
          <w:p>
            <w:pPr>
              <w:pStyle w:val="38"/>
              <w:spacing w:line="235" w:lineRule="auto"/>
              <w:rPr>
                <w:rFonts w:ascii="宋体" w:hAnsi="宋体" w:cs="Arial"/>
                <w:sz w:val="24"/>
              </w:rPr>
            </w:pPr>
          </w:p>
        </w:tc>
        <w:tc>
          <w:tcPr>
            <w:tcW w:w="1627" w:type="dxa"/>
          </w:tcPr>
          <w:p>
            <w:pPr>
              <w:pStyle w:val="38"/>
              <w:spacing w:line="235" w:lineRule="auto"/>
              <w:rPr>
                <w:rFonts w:ascii="宋体" w:hAnsi="宋体" w:cs="Arial"/>
                <w:sz w:val="24"/>
              </w:rPr>
            </w:pPr>
          </w:p>
        </w:tc>
      </w:tr>
    </w:tbl>
    <w:p>
      <w:pPr>
        <w:spacing w:line="440" w:lineRule="exact"/>
        <w:ind w:left="567"/>
        <w:jc w:val="left"/>
        <w:rPr>
          <w:rFonts w:ascii="宋体" w:hAnsi="宋体" w:cs="Arial"/>
          <w:b/>
          <w:szCs w:val="21"/>
        </w:rPr>
      </w:pPr>
    </w:p>
    <w:p>
      <w:pPr>
        <w:spacing w:line="440" w:lineRule="exact"/>
        <w:ind w:left="567"/>
        <w:jc w:val="left"/>
        <w:rPr>
          <w:rFonts w:ascii="宋体" w:hAnsi="宋体" w:cs="Arial"/>
          <w:b/>
          <w:szCs w:val="21"/>
        </w:rPr>
      </w:pPr>
      <w:r>
        <w:rPr>
          <w:rFonts w:ascii="宋体" w:hAnsi="宋体" w:cs="Arial"/>
          <w:b/>
          <w:szCs w:val="21"/>
        </w:rPr>
        <w:t>附表3：差异表的格式</w:t>
      </w:r>
    </w:p>
    <w:tbl>
      <w:tblPr>
        <w:tblStyle w:val="20"/>
        <w:tblW w:w="8363"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9"/>
        <w:gridCol w:w="1134"/>
        <w:gridCol w:w="2727"/>
        <w:gridCol w:w="1082"/>
        <w:gridCol w:w="2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0" w:hRule="exact"/>
        </w:trPr>
        <w:tc>
          <w:tcPr>
            <w:tcW w:w="709" w:type="dxa"/>
            <w:vMerge w:val="restart"/>
          </w:tcPr>
          <w:p>
            <w:pPr>
              <w:pStyle w:val="38"/>
              <w:spacing w:line="235" w:lineRule="auto"/>
              <w:jc w:val="center"/>
              <w:rPr>
                <w:rFonts w:ascii="宋体" w:hAnsi="宋体" w:cs="Arial"/>
                <w:position w:val="-57"/>
              </w:rPr>
            </w:pPr>
            <w:r>
              <w:rPr>
                <w:rFonts w:ascii="宋体" w:hAnsi="宋体" w:cs="Arial"/>
                <w:position w:val="-57"/>
              </w:rPr>
              <w:t>序号</w:t>
            </w:r>
          </w:p>
        </w:tc>
        <w:tc>
          <w:tcPr>
            <w:tcW w:w="3861" w:type="dxa"/>
            <w:gridSpan w:val="2"/>
            <w:vAlign w:val="center"/>
          </w:tcPr>
          <w:p>
            <w:pPr>
              <w:pStyle w:val="38"/>
              <w:spacing w:line="235" w:lineRule="auto"/>
              <w:jc w:val="center"/>
              <w:rPr>
                <w:rFonts w:ascii="宋体" w:hAnsi="宋体" w:cs="Arial"/>
                <w:position w:val="30"/>
              </w:rPr>
            </w:pPr>
            <w:r>
              <w:rPr>
                <w:rFonts w:ascii="宋体" w:hAnsi="宋体" w:cs="Arial"/>
                <w:position w:val="30"/>
              </w:rPr>
              <w:t>招标技术文件</w:t>
            </w:r>
          </w:p>
        </w:tc>
        <w:tc>
          <w:tcPr>
            <w:tcW w:w="3793" w:type="dxa"/>
            <w:gridSpan w:val="2"/>
            <w:vAlign w:val="center"/>
          </w:tcPr>
          <w:p>
            <w:pPr>
              <w:pStyle w:val="38"/>
              <w:spacing w:line="235" w:lineRule="auto"/>
              <w:jc w:val="center"/>
              <w:rPr>
                <w:rFonts w:ascii="宋体" w:hAnsi="宋体" w:cs="Arial"/>
                <w:position w:val="30"/>
              </w:rPr>
            </w:pPr>
            <w:r>
              <w:rPr>
                <w:rFonts w:ascii="宋体" w:hAnsi="宋体" w:cs="Arial"/>
                <w:position w:val="30"/>
              </w:rPr>
              <w:t>投标技术文件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709" w:type="dxa"/>
            <w:vMerge w:val="continue"/>
          </w:tcPr>
          <w:p>
            <w:pPr>
              <w:rPr>
                <w:rFonts w:ascii="宋体" w:hAnsi="宋体" w:cs="Arial"/>
              </w:rPr>
            </w:pPr>
          </w:p>
        </w:tc>
        <w:tc>
          <w:tcPr>
            <w:tcW w:w="1134" w:type="dxa"/>
            <w:vAlign w:val="center"/>
          </w:tcPr>
          <w:p>
            <w:pPr>
              <w:pStyle w:val="38"/>
              <w:spacing w:line="235" w:lineRule="auto"/>
              <w:jc w:val="center"/>
              <w:rPr>
                <w:rFonts w:ascii="宋体" w:hAnsi="宋体" w:cs="Arial"/>
                <w:position w:val="-27"/>
              </w:rPr>
            </w:pPr>
            <w:r>
              <w:rPr>
                <w:rFonts w:ascii="宋体" w:hAnsi="宋体" w:cs="Arial"/>
                <w:position w:val="-27"/>
              </w:rPr>
              <w:t>条目</w:t>
            </w:r>
          </w:p>
        </w:tc>
        <w:tc>
          <w:tcPr>
            <w:tcW w:w="2727" w:type="dxa"/>
            <w:vAlign w:val="center"/>
          </w:tcPr>
          <w:p>
            <w:pPr>
              <w:pStyle w:val="38"/>
              <w:spacing w:line="235" w:lineRule="auto"/>
              <w:jc w:val="center"/>
              <w:rPr>
                <w:rFonts w:ascii="宋体" w:hAnsi="宋体" w:cs="Arial"/>
                <w:position w:val="-27"/>
              </w:rPr>
            </w:pPr>
            <w:r>
              <w:rPr>
                <w:rFonts w:ascii="宋体" w:hAnsi="宋体" w:cs="Arial"/>
                <w:position w:val="-27"/>
              </w:rPr>
              <w:t>技术要求</w:t>
            </w:r>
          </w:p>
        </w:tc>
        <w:tc>
          <w:tcPr>
            <w:tcW w:w="1082" w:type="dxa"/>
            <w:vAlign w:val="center"/>
          </w:tcPr>
          <w:p>
            <w:pPr>
              <w:pStyle w:val="38"/>
              <w:spacing w:line="235" w:lineRule="auto"/>
              <w:jc w:val="center"/>
              <w:rPr>
                <w:rFonts w:ascii="宋体" w:hAnsi="宋体" w:cs="Arial"/>
                <w:position w:val="-27"/>
              </w:rPr>
            </w:pPr>
            <w:r>
              <w:rPr>
                <w:rFonts w:ascii="宋体" w:hAnsi="宋体" w:cs="Arial"/>
                <w:position w:val="-27"/>
              </w:rPr>
              <w:t>差异</w:t>
            </w:r>
          </w:p>
        </w:tc>
        <w:tc>
          <w:tcPr>
            <w:tcW w:w="2711" w:type="dxa"/>
            <w:vAlign w:val="center"/>
          </w:tcPr>
          <w:p>
            <w:pPr>
              <w:pStyle w:val="38"/>
              <w:spacing w:line="235" w:lineRule="auto"/>
              <w:jc w:val="center"/>
              <w:rPr>
                <w:rFonts w:ascii="宋体" w:hAnsi="宋体" w:cs="Arial"/>
                <w:position w:val="-27"/>
              </w:rPr>
            </w:pPr>
            <w:r>
              <w:rPr>
                <w:rFonts w:ascii="宋体" w:hAnsi="宋体" w:cs="Arial"/>
                <w:position w:val="-27"/>
              </w:rPr>
              <w:t>差异澄清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exact"/>
        </w:trPr>
        <w:tc>
          <w:tcPr>
            <w:tcW w:w="709" w:type="dxa"/>
            <w:vAlign w:val="center"/>
          </w:tcPr>
          <w:p>
            <w:pPr>
              <w:pStyle w:val="38"/>
              <w:spacing w:line="235" w:lineRule="auto"/>
              <w:jc w:val="center"/>
              <w:rPr>
                <w:rFonts w:ascii="宋体" w:hAnsi="宋体" w:cs="Arial"/>
                <w:sz w:val="24"/>
              </w:rPr>
            </w:pPr>
            <w:r>
              <w:rPr>
                <w:rFonts w:ascii="宋体" w:hAnsi="宋体" w:cs="Arial"/>
                <w:sz w:val="24"/>
              </w:rPr>
              <w:t>1</w:t>
            </w:r>
          </w:p>
        </w:tc>
        <w:tc>
          <w:tcPr>
            <w:tcW w:w="1134" w:type="dxa"/>
          </w:tcPr>
          <w:p>
            <w:pPr>
              <w:pStyle w:val="38"/>
              <w:spacing w:line="235" w:lineRule="auto"/>
              <w:rPr>
                <w:rFonts w:ascii="宋体" w:hAnsi="宋体" w:cs="Arial"/>
                <w:sz w:val="24"/>
              </w:rPr>
            </w:pPr>
          </w:p>
        </w:tc>
        <w:tc>
          <w:tcPr>
            <w:tcW w:w="2727" w:type="dxa"/>
          </w:tcPr>
          <w:p>
            <w:pPr>
              <w:pStyle w:val="38"/>
              <w:spacing w:line="235" w:lineRule="auto"/>
              <w:rPr>
                <w:rFonts w:ascii="宋体" w:hAnsi="宋体" w:cs="Arial"/>
                <w:sz w:val="24"/>
              </w:rPr>
            </w:pPr>
          </w:p>
        </w:tc>
        <w:tc>
          <w:tcPr>
            <w:tcW w:w="1082" w:type="dxa"/>
          </w:tcPr>
          <w:p>
            <w:pPr>
              <w:pStyle w:val="38"/>
              <w:spacing w:line="235" w:lineRule="auto"/>
              <w:rPr>
                <w:rFonts w:ascii="宋体" w:hAnsi="宋体" w:cs="Arial"/>
                <w:sz w:val="24"/>
              </w:rPr>
            </w:pPr>
          </w:p>
        </w:tc>
        <w:tc>
          <w:tcPr>
            <w:tcW w:w="2711" w:type="dxa"/>
          </w:tcPr>
          <w:p>
            <w:pPr>
              <w:pStyle w:val="38"/>
              <w:spacing w:line="235" w:lineRule="auto"/>
              <w:rPr>
                <w:rFonts w:ascii="宋体" w:hAnsi="宋体"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exact"/>
        </w:trPr>
        <w:tc>
          <w:tcPr>
            <w:tcW w:w="709" w:type="dxa"/>
            <w:vAlign w:val="center"/>
          </w:tcPr>
          <w:p>
            <w:pPr>
              <w:pStyle w:val="38"/>
              <w:spacing w:line="235" w:lineRule="auto"/>
              <w:jc w:val="center"/>
              <w:rPr>
                <w:rFonts w:ascii="宋体" w:hAnsi="宋体" w:cs="Arial"/>
                <w:sz w:val="24"/>
              </w:rPr>
            </w:pPr>
            <w:r>
              <w:rPr>
                <w:rFonts w:hint="eastAsia" w:ascii="宋体" w:hAnsi="宋体" w:cs="Arial"/>
                <w:sz w:val="24"/>
              </w:rPr>
              <w:t>2</w:t>
            </w:r>
          </w:p>
        </w:tc>
        <w:tc>
          <w:tcPr>
            <w:tcW w:w="1134" w:type="dxa"/>
          </w:tcPr>
          <w:p>
            <w:pPr>
              <w:pStyle w:val="38"/>
              <w:spacing w:line="235" w:lineRule="auto"/>
              <w:rPr>
                <w:rFonts w:ascii="宋体" w:hAnsi="宋体" w:cs="Arial"/>
                <w:sz w:val="24"/>
              </w:rPr>
            </w:pPr>
          </w:p>
        </w:tc>
        <w:tc>
          <w:tcPr>
            <w:tcW w:w="2727" w:type="dxa"/>
          </w:tcPr>
          <w:p>
            <w:pPr>
              <w:pStyle w:val="38"/>
              <w:spacing w:line="235" w:lineRule="auto"/>
              <w:rPr>
                <w:rFonts w:ascii="宋体" w:hAnsi="宋体" w:cs="Arial"/>
                <w:sz w:val="24"/>
              </w:rPr>
            </w:pPr>
          </w:p>
        </w:tc>
        <w:tc>
          <w:tcPr>
            <w:tcW w:w="1082" w:type="dxa"/>
          </w:tcPr>
          <w:p>
            <w:pPr>
              <w:pStyle w:val="38"/>
              <w:spacing w:line="235" w:lineRule="auto"/>
              <w:rPr>
                <w:rFonts w:ascii="宋体" w:hAnsi="宋体" w:cs="Arial"/>
                <w:sz w:val="24"/>
              </w:rPr>
            </w:pPr>
          </w:p>
        </w:tc>
        <w:tc>
          <w:tcPr>
            <w:tcW w:w="2711" w:type="dxa"/>
          </w:tcPr>
          <w:p>
            <w:pPr>
              <w:pStyle w:val="38"/>
              <w:spacing w:line="235" w:lineRule="auto"/>
              <w:rPr>
                <w:rFonts w:ascii="宋体" w:hAnsi="宋体"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exact"/>
        </w:trPr>
        <w:tc>
          <w:tcPr>
            <w:tcW w:w="709" w:type="dxa"/>
            <w:vAlign w:val="center"/>
          </w:tcPr>
          <w:p>
            <w:pPr>
              <w:pStyle w:val="38"/>
              <w:spacing w:line="235" w:lineRule="auto"/>
              <w:ind w:firstLine="240" w:firstLineChars="100"/>
              <w:rPr>
                <w:rFonts w:ascii="宋体" w:hAnsi="宋体" w:cs="Arial"/>
                <w:sz w:val="24"/>
              </w:rPr>
            </w:pPr>
            <w:r>
              <w:rPr>
                <w:rFonts w:ascii="宋体" w:hAnsi="宋体" w:cs="Arial"/>
                <w:sz w:val="24"/>
              </w:rPr>
              <w:t>…</w:t>
            </w:r>
          </w:p>
        </w:tc>
        <w:tc>
          <w:tcPr>
            <w:tcW w:w="1134" w:type="dxa"/>
          </w:tcPr>
          <w:p>
            <w:pPr>
              <w:pStyle w:val="38"/>
              <w:spacing w:line="235" w:lineRule="auto"/>
              <w:rPr>
                <w:rFonts w:ascii="宋体" w:hAnsi="宋体" w:cs="Arial"/>
                <w:sz w:val="24"/>
              </w:rPr>
            </w:pPr>
          </w:p>
        </w:tc>
        <w:tc>
          <w:tcPr>
            <w:tcW w:w="2727" w:type="dxa"/>
          </w:tcPr>
          <w:p>
            <w:pPr>
              <w:pStyle w:val="38"/>
              <w:spacing w:line="235" w:lineRule="auto"/>
              <w:rPr>
                <w:rFonts w:ascii="宋体" w:hAnsi="宋体" w:cs="Arial"/>
                <w:sz w:val="24"/>
              </w:rPr>
            </w:pPr>
          </w:p>
        </w:tc>
        <w:tc>
          <w:tcPr>
            <w:tcW w:w="1082" w:type="dxa"/>
          </w:tcPr>
          <w:p>
            <w:pPr>
              <w:pStyle w:val="38"/>
              <w:spacing w:line="235" w:lineRule="auto"/>
              <w:rPr>
                <w:rFonts w:ascii="宋体" w:hAnsi="宋体" w:cs="Arial"/>
                <w:sz w:val="24"/>
              </w:rPr>
            </w:pPr>
          </w:p>
        </w:tc>
        <w:tc>
          <w:tcPr>
            <w:tcW w:w="2711" w:type="dxa"/>
          </w:tcPr>
          <w:p>
            <w:pPr>
              <w:pStyle w:val="38"/>
              <w:spacing w:line="235" w:lineRule="auto"/>
              <w:rPr>
                <w:rFonts w:ascii="宋体" w:hAnsi="宋体" w:cs="Arial"/>
                <w:sz w:val="24"/>
              </w:rPr>
            </w:pPr>
          </w:p>
        </w:tc>
      </w:tr>
    </w:tbl>
    <w:p>
      <w:pPr>
        <w:spacing w:line="440" w:lineRule="exact"/>
        <w:ind w:left="567"/>
        <w:jc w:val="left"/>
        <w:rPr>
          <w:rFonts w:ascii="宋体" w:hAnsi="宋体" w:cs="Arial"/>
          <w:b/>
          <w:szCs w:val="21"/>
        </w:rPr>
      </w:pPr>
      <w:bookmarkStart w:id="68" w:name="_Toc162858603"/>
      <w:bookmarkEnd w:id="68"/>
      <w:bookmarkStart w:id="69" w:name="_Toc164146314"/>
      <w:bookmarkEnd w:id="69"/>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4590638"/>
      <w:showingPlcHdr/>
    </w:sdtPr>
    <w:sdtContent>
      <w:p>
        <w:pPr>
          <w:pStyle w:val="14"/>
        </w:pPr>
        <w:r>
          <w:t xml:space="preserve">     </w:t>
        </w:r>
      </w:p>
    </w:sdtContent>
  </w:sdt>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rFonts w:hint="eastAsia"/>
      </w:rPr>
      <w:t xml:space="preserve">                                              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jc w:val="center"/>
      <w:rPr>
        <w:sz w:val="21"/>
        <w:szCs w:val="21"/>
      </w:rPr>
    </w:pPr>
    <w:r>
      <w:rPr>
        <w:sz w:val="21"/>
        <w:szCs w:val="21"/>
        <w:lang w:val="zh-CN"/>
      </w:rPr>
      <w:t xml:space="preserve">~ </w:t>
    </w:r>
    <w:r>
      <w:rPr>
        <w:rFonts w:asciiTheme="minorHAnsi" w:hAnsiTheme="minorHAnsi" w:eastAsiaTheme="minorEastAsia" w:cstheme="minorBidi"/>
        <w:sz w:val="21"/>
        <w:szCs w:val="21"/>
      </w:rPr>
      <w:fldChar w:fldCharType="begin"/>
    </w:r>
    <w:r>
      <w:rPr>
        <w:sz w:val="21"/>
        <w:szCs w:val="21"/>
      </w:rPr>
      <w:instrText xml:space="preserve">PAGE    \* MERGEFORMAT</w:instrText>
    </w:r>
    <w:r>
      <w:rPr>
        <w:rFonts w:asciiTheme="minorHAnsi" w:hAnsiTheme="minorHAnsi" w:eastAsiaTheme="minorEastAsia" w:cstheme="minorBidi"/>
        <w:sz w:val="21"/>
        <w:szCs w:val="21"/>
      </w:rPr>
      <w:fldChar w:fldCharType="separate"/>
    </w:r>
    <w:r>
      <w:rPr>
        <w:sz w:val="21"/>
        <w:szCs w:val="21"/>
        <w:lang w:val="zh-CN"/>
      </w:rPr>
      <w:t>1</w:t>
    </w:r>
    <w:r>
      <w:rPr>
        <w:sz w:val="21"/>
        <w:szCs w:val="21"/>
      </w:rPr>
      <w:fldChar w:fldCharType="end"/>
    </w:r>
    <w:r>
      <w:rPr>
        <w:sz w:val="21"/>
        <w:szCs w:val="21"/>
        <w:lang w:val="zh-CN"/>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31"/>
      <w:lvlText w:val="%1%2"/>
      <w:lvlJc w:val="left"/>
      <w:pPr>
        <w:tabs>
          <w:tab w:val="left" w:pos="360"/>
        </w:tabs>
        <w:ind w:left="0" w:firstLine="0"/>
      </w:pPr>
      <w:rPr>
        <w:rFonts w:hint="eastAsia" w:ascii="黑体" w:hAnsi="Times New Roman" w:eastAsia="黑体"/>
        <w:b/>
        <w:i w:val="0"/>
        <w:sz w:val="20"/>
      </w:rPr>
    </w:lvl>
    <w:lvl w:ilvl="2" w:tentative="0">
      <w:start w:val="1"/>
      <w:numFmt w:val="decimal"/>
      <w:pStyle w:val="30"/>
      <w:lvlText w:val="%1%2.%3"/>
      <w:lvlJc w:val="left"/>
      <w:pPr>
        <w:tabs>
          <w:tab w:val="left" w:pos="720"/>
        </w:tabs>
        <w:ind w:left="0" w:firstLine="0"/>
      </w:pPr>
      <w:rPr>
        <w:rFonts w:hint="eastAsia" w:ascii="黑体" w:hAnsi="Times New Roman" w:eastAsia="黑体"/>
        <w:b/>
        <w:i w:val="0"/>
        <w:sz w:val="21"/>
      </w:rPr>
    </w:lvl>
    <w:lvl w:ilvl="3" w:tentative="0">
      <w:start w:val="1"/>
      <w:numFmt w:val="decimal"/>
      <w:lvlText w:val="%1%2.%3.%4"/>
      <w:lvlJc w:val="left"/>
      <w:pPr>
        <w:tabs>
          <w:tab w:val="left" w:pos="720"/>
        </w:tabs>
        <w:ind w:left="0" w:firstLine="0"/>
      </w:pPr>
      <w:rPr>
        <w:rFonts w:hint="eastAsia" w:ascii="黑体" w:hAnsi="Times New Roman" w:eastAsia="黑体"/>
        <w:b/>
        <w:i w:val="0"/>
        <w:sz w:val="21"/>
      </w:rPr>
    </w:lvl>
    <w:lvl w:ilvl="4" w:tentative="0">
      <w:start w:val="1"/>
      <w:numFmt w:val="decimal"/>
      <w:lvlText w:val="%2.%3.%4.%5"/>
      <w:lvlJc w:val="left"/>
      <w:pPr>
        <w:tabs>
          <w:tab w:val="left" w:pos="1080"/>
        </w:tabs>
        <w:ind w:left="0" w:firstLine="0"/>
      </w:pPr>
      <w:rPr>
        <w:rFonts w:hint="eastAsia" w:ascii="黑体" w:hAnsi="Times New Roman" w:eastAsia="黑体"/>
        <w:b/>
        <w:i w:val="0"/>
        <w:sz w:val="21"/>
      </w:rPr>
    </w:lvl>
    <w:lvl w:ilvl="5" w:tentative="0">
      <w:start w:val="1"/>
      <w:numFmt w:val="decimal"/>
      <w:lvlText w:val="%2.%3.%4.%5.%6"/>
      <w:lvlJc w:val="left"/>
      <w:pPr>
        <w:tabs>
          <w:tab w:val="left" w:pos="1021"/>
        </w:tabs>
        <w:ind w:left="1021" w:hanging="1021"/>
      </w:pPr>
      <w:rPr>
        <w:rFonts w:hint="eastAsia" w:ascii="黑体" w:hAnsi="Times New Roman" w:eastAsia="黑体"/>
        <w:b/>
        <w:i w:val="0"/>
        <w:sz w:val="21"/>
      </w:rPr>
    </w:lvl>
    <w:lvl w:ilvl="6" w:tentative="0">
      <w:start w:val="1"/>
      <w:numFmt w:val="decimal"/>
      <w:lvlRestart w:val="5"/>
      <w:lvlText w:val="%2.%3.%4.%5.%6.%7"/>
      <w:lvlJc w:val="left"/>
      <w:pPr>
        <w:tabs>
          <w:tab w:val="left" w:pos="1440"/>
        </w:tabs>
        <w:ind w:left="0" w:firstLine="0"/>
      </w:pPr>
      <w:rPr>
        <w:rFonts w:hint="eastAsia" w:ascii="黑体" w:hAnsi="Times New Roman" w:eastAsia="黑体"/>
        <w:b/>
        <w:i w:val="0"/>
        <w:sz w:val="21"/>
      </w:rPr>
    </w:lvl>
    <w:lvl w:ilvl="7" w:tentative="0">
      <w:start w:val="1"/>
      <w:numFmt w:val="decimal"/>
      <w:lvlRestart w:val="5"/>
      <w:lvlText w:val="图 %2.0.%5 -%8"/>
      <w:lvlJc w:val="left"/>
      <w:pPr>
        <w:tabs>
          <w:tab w:val="left" w:pos="144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1">
    <w:nsid w:val="3B4D4C0A"/>
    <w:multiLevelType w:val="multilevel"/>
    <w:tmpl w:val="3B4D4C0A"/>
    <w:lvl w:ilvl="0" w:tentative="0">
      <w:start w:val="1"/>
      <w:numFmt w:val="decimal"/>
      <w:lvlText w:val="7.%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DF06762"/>
    <w:multiLevelType w:val="multilevel"/>
    <w:tmpl w:val="3DF06762"/>
    <w:lvl w:ilvl="0" w:tentative="0">
      <w:start w:val="1"/>
      <w:numFmt w:val="decimal"/>
      <w:lvlText w:val="%1."/>
      <w:lvlJc w:val="left"/>
      <w:pPr>
        <w:ind w:left="425" w:hanging="425"/>
      </w:pPr>
      <w:rPr>
        <w:sz w:val="24"/>
        <w:szCs w:val="24"/>
      </w:rPr>
    </w:lvl>
    <w:lvl w:ilvl="1" w:tentative="0">
      <w:start w:val="1"/>
      <w:numFmt w:val="decimal"/>
      <w:lvlText w:val="6.%2"/>
      <w:lvlJc w:val="left"/>
      <w:pPr>
        <w:ind w:left="567" w:hanging="567"/>
      </w:pPr>
      <w:rPr>
        <w:rFonts w:hint="eastAsia"/>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5BB5A23"/>
    <w:multiLevelType w:val="multilevel"/>
    <w:tmpl w:val="45BB5A23"/>
    <w:lvl w:ilvl="0" w:tentative="0">
      <w:start w:val="1"/>
      <w:numFmt w:val="japaneseCounting"/>
      <w:lvlText w:val="%1、"/>
      <w:lvlJc w:val="left"/>
      <w:pPr>
        <w:tabs>
          <w:tab w:val="left" w:pos="900"/>
        </w:tabs>
        <w:ind w:left="900" w:hanging="480"/>
      </w:pPr>
      <w:rPr>
        <w:rFonts w:hint="eastAsia"/>
      </w:rPr>
    </w:lvl>
    <w:lvl w:ilvl="1" w:tentative="0">
      <w:start w:val="1"/>
      <w:numFmt w:val="decimal"/>
      <w:lvlText w:val="%2）"/>
      <w:lvlJc w:val="left"/>
      <w:pPr>
        <w:tabs>
          <w:tab w:val="left" w:pos="1200"/>
        </w:tabs>
        <w:ind w:left="1200" w:hanging="360"/>
      </w:pPr>
      <w:rPr>
        <w:rFonts w:hint="eastAsia"/>
      </w:rPr>
    </w:lvl>
    <w:lvl w:ilvl="2" w:tentative="0">
      <w:start w:val="1"/>
      <w:numFmt w:val="decimal"/>
      <w:lvlText w:val="%3)"/>
      <w:lvlJc w:val="left"/>
      <w:pPr>
        <w:tabs>
          <w:tab w:val="left" w:pos="839"/>
        </w:tabs>
        <w:ind w:left="839" w:hanging="419"/>
      </w:pPr>
      <w:rPr>
        <w:rFonts w:hint="eastAsia"/>
      </w:r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180014"/>
    <w:rsid w:val="000130DC"/>
    <w:rsid w:val="00013BEA"/>
    <w:rsid w:val="00017942"/>
    <w:rsid w:val="00076B1C"/>
    <w:rsid w:val="000D737C"/>
    <w:rsid w:val="00132756"/>
    <w:rsid w:val="00185AA2"/>
    <w:rsid w:val="001D2314"/>
    <w:rsid w:val="00273884"/>
    <w:rsid w:val="0028267B"/>
    <w:rsid w:val="002C1CBD"/>
    <w:rsid w:val="002F124B"/>
    <w:rsid w:val="00347DDA"/>
    <w:rsid w:val="003A2B05"/>
    <w:rsid w:val="003A5992"/>
    <w:rsid w:val="003B4623"/>
    <w:rsid w:val="003C0E5F"/>
    <w:rsid w:val="004254C0"/>
    <w:rsid w:val="004450AE"/>
    <w:rsid w:val="004544A0"/>
    <w:rsid w:val="004E63D7"/>
    <w:rsid w:val="004E6699"/>
    <w:rsid w:val="00541C16"/>
    <w:rsid w:val="005558F8"/>
    <w:rsid w:val="00591249"/>
    <w:rsid w:val="00603106"/>
    <w:rsid w:val="00617DE6"/>
    <w:rsid w:val="00692926"/>
    <w:rsid w:val="00694FCF"/>
    <w:rsid w:val="006B19F7"/>
    <w:rsid w:val="006B1FEE"/>
    <w:rsid w:val="006E4024"/>
    <w:rsid w:val="007023D7"/>
    <w:rsid w:val="007E7481"/>
    <w:rsid w:val="0081644D"/>
    <w:rsid w:val="008463BB"/>
    <w:rsid w:val="008D715C"/>
    <w:rsid w:val="009103FD"/>
    <w:rsid w:val="00941A0A"/>
    <w:rsid w:val="009505D1"/>
    <w:rsid w:val="00996538"/>
    <w:rsid w:val="009D39F9"/>
    <w:rsid w:val="009E313D"/>
    <w:rsid w:val="00A64A3E"/>
    <w:rsid w:val="00A7401E"/>
    <w:rsid w:val="00AA194B"/>
    <w:rsid w:val="00AF2444"/>
    <w:rsid w:val="00B24F76"/>
    <w:rsid w:val="00B40611"/>
    <w:rsid w:val="00B42A4C"/>
    <w:rsid w:val="00B467BA"/>
    <w:rsid w:val="00B720C7"/>
    <w:rsid w:val="00C0523B"/>
    <w:rsid w:val="00C154B8"/>
    <w:rsid w:val="00D25086"/>
    <w:rsid w:val="00D8670C"/>
    <w:rsid w:val="00E04657"/>
    <w:rsid w:val="00E44A4B"/>
    <w:rsid w:val="00E66055"/>
    <w:rsid w:val="00E906D3"/>
    <w:rsid w:val="00EA153F"/>
    <w:rsid w:val="00EA2C97"/>
    <w:rsid w:val="00ED3B47"/>
    <w:rsid w:val="00F822B1"/>
    <w:rsid w:val="00FD1C84"/>
    <w:rsid w:val="00FE124E"/>
    <w:rsid w:val="01C139E6"/>
    <w:rsid w:val="023175F6"/>
    <w:rsid w:val="03472883"/>
    <w:rsid w:val="035A08D4"/>
    <w:rsid w:val="044353B7"/>
    <w:rsid w:val="04B16F17"/>
    <w:rsid w:val="06C33A9B"/>
    <w:rsid w:val="08011098"/>
    <w:rsid w:val="08A27553"/>
    <w:rsid w:val="09152D91"/>
    <w:rsid w:val="0A2B721E"/>
    <w:rsid w:val="0B7D6648"/>
    <w:rsid w:val="0BE36F7D"/>
    <w:rsid w:val="0CE1665B"/>
    <w:rsid w:val="0ED50EC9"/>
    <w:rsid w:val="11094C8A"/>
    <w:rsid w:val="12DA6698"/>
    <w:rsid w:val="137D3964"/>
    <w:rsid w:val="14A860D0"/>
    <w:rsid w:val="19B30B6F"/>
    <w:rsid w:val="1A4D5C8C"/>
    <w:rsid w:val="1A8C5B4B"/>
    <w:rsid w:val="1A9B1E8A"/>
    <w:rsid w:val="1B0808B7"/>
    <w:rsid w:val="1CAA45F0"/>
    <w:rsid w:val="1E9F3A83"/>
    <w:rsid w:val="1FC573ED"/>
    <w:rsid w:val="23B054A6"/>
    <w:rsid w:val="2D331915"/>
    <w:rsid w:val="2FD44A0C"/>
    <w:rsid w:val="303C4EDB"/>
    <w:rsid w:val="303E26F6"/>
    <w:rsid w:val="34236D31"/>
    <w:rsid w:val="34B519E8"/>
    <w:rsid w:val="36CC15FA"/>
    <w:rsid w:val="37D27BEE"/>
    <w:rsid w:val="38865BFA"/>
    <w:rsid w:val="391B003F"/>
    <w:rsid w:val="3BE26D15"/>
    <w:rsid w:val="3CA43677"/>
    <w:rsid w:val="3CA462CE"/>
    <w:rsid w:val="3F303F95"/>
    <w:rsid w:val="432C13C2"/>
    <w:rsid w:val="43716819"/>
    <w:rsid w:val="47FE2438"/>
    <w:rsid w:val="4BC36ACD"/>
    <w:rsid w:val="4D877C3B"/>
    <w:rsid w:val="4E3F1601"/>
    <w:rsid w:val="4F02195D"/>
    <w:rsid w:val="508E6C86"/>
    <w:rsid w:val="50C5099A"/>
    <w:rsid w:val="56360AFF"/>
    <w:rsid w:val="57534C23"/>
    <w:rsid w:val="59303A61"/>
    <w:rsid w:val="594823FB"/>
    <w:rsid w:val="5B513218"/>
    <w:rsid w:val="5B6A0515"/>
    <w:rsid w:val="6284312B"/>
    <w:rsid w:val="65F67B6A"/>
    <w:rsid w:val="68E618F1"/>
    <w:rsid w:val="6985301C"/>
    <w:rsid w:val="6A12740C"/>
    <w:rsid w:val="6DBF2751"/>
    <w:rsid w:val="6E2340F9"/>
    <w:rsid w:val="6E6764DE"/>
    <w:rsid w:val="6E7B1825"/>
    <w:rsid w:val="6F7F8CB7"/>
    <w:rsid w:val="70C81FA4"/>
    <w:rsid w:val="70F34F32"/>
    <w:rsid w:val="71C80221"/>
    <w:rsid w:val="765A4C24"/>
    <w:rsid w:val="771B07E4"/>
    <w:rsid w:val="7819191E"/>
    <w:rsid w:val="784D4A1F"/>
    <w:rsid w:val="78553040"/>
    <w:rsid w:val="79180014"/>
    <w:rsid w:val="7C0C2A5A"/>
    <w:rsid w:val="7D374087"/>
    <w:rsid w:val="7DDF9EF6"/>
    <w:rsid w:val="7E63154B"/>
    <w:rsid w:val="F9FF4380"/>
    <w:rsid w:val="FC3DE8F2"/>
    <w:rsid w:val="FFDECDE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semiHidden="0" w:name="heading 3" w:locked="1"/>
    <w:lsdException w:qFormat="1" w:uiPriority="9" w:semiHidden="0"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iPriority="0" w:semiHidden="0" w:name="Normal Indent" w:locked="1"/>
    <w:lsdException w:uiPriority="99" w:name="footnote text" w:locked="1"/>
    <w:lsdException w:qFormat="1" w:uiPriority="99" w:name="annotation text" w:locked="1"/>
    <w:lsdException w:qFormat="1" w:uiPriority="99" w:semiHidden="0" w:name="header" w:locked="1"/>
    <w:lsdException w:qFormat="1" w:uiPriority="99" w:semiHidden="0" w:name="footer" w:locked="1"/>
    <w:lsdException w:uiPriority="99" w:name="index heading" w:locked="1"/>
    <w:lsdException w:qFormat="1" w:uiPriority="35" w:semiHidden="0"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0" w:semiHidden="0"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4"/>
    <w:next w:val="1"/>
    <w:qFormat/>
    <w:locked/>
    <w:uiPriority w:val="9"/>
    <w:pPr>
      <w:keepNext/>
      <w:keepLines/>
      <w:spacing w:before="240" w:after="240" w:line="420" w:lineRule="auto"/>
      <w:jc w:val="left"/>
      <w:outlineLvl w:val="0"/>
    </w:pPr>
    <w:rPr>
      <w:rFonts w:ascii="宋体" w:hAnsi="宋体" w:cs="宋体"/>
      <w:b/>
      <w:sz w:val="24"/>
      <w:szCs w:val="21"/>
    </w:rPr>
  </w:style>
  <w:style w:type="paragraph" w:styleId="5">
    <w:name w:val="heading 2"/>
    <w:basedOn w:val="1"/>
    <w:next w:val="1"/>
    <w:link w:val="24"/>
    <w:qFormat/>
    <w:uiPriority w:val="99"/>
    <w:pPr>
      <w:spacing w:beforeAutospacing="1" w:afterAutospacing="1"/>
      <w:jc w:val="left"/>
      <w:outlineLvl w:val="1"/>
    </w:pPr>
    <w:rPr>
      <w:rFonts w:ascii="宋体" w:hAnsi="宋体"/>
      <w:b/>
      <w:kern w:val="0"/>
      <w:sz w:val="36"/>
      <w:szCs w:val="36"/>
    </w:rPr>
  </w:style>
  <w:style w:type="paragraph" w:styleId="6">
    <w:name w:val="heading 3"/>
    <w:basedOn w:val="1"/>
    <w:next w:val="1"/>
    <w:unhideWhenUsed/>
    <w:qFormat/>
    <w:locked/>
    <w:uiPriority w:val="9"/>
    <w:pPr>
      <w:keepNext/>
      <w:keepLines/>
      <w:tabs>
        <w:tab w:val="left" w:pos="432"/>
        <w:tab w:val="left" w:pos="720"/>
      </w:tabs>
      <w:spacing w:line="413" w:lineRule="auto"/>
      <w:outlineLvl w:val="2"/>
    </w:pPr>
    <w:rPr>
      <w:rFonts w:ascii="Times New Roman" w:hAnsi="Times New Roman" w:eastAsia="黑体"/>
      <w:b/>
      <w:szCs w:val="20"/>
    </w:rPr>
  </w:style>
  <w:style w:type="paragraph" w:styleId="7">
    <w:name w:val="heading 4"/>
    <w:basedOn w:val="1"/>
    <w:next w:val="1"/>
    <w:unhideWhenUsed/>
    <w:qFormat/>
    <w:locked/>
    <w:uiPriority w:val="9"/>
    <w:pPr>
      <w:keepNext/>
      <w:keepLines/>
      <w:tabs>
        <w:tab w:val="left" w:pos="432"/>
        <w:tab w:val="left" w:pos="864"/>
      </w:tabs>
      <w:spacing w:line="372" w:lineRule="auto"/>
      <w:ind w:left="864" w:hanging="864"/>
      <w:outlineLvl w:val="3"/>
    </w:pPr>
    <w:rPr>
      <w:rFonts w:ascii="Arial" w:hAnsi="Arial" w:eastAsia="黑体"/>
      <w:szCs w:val="20"/>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style>
  <w:style w:type="paragraph" w:styleId="4">
    <w:name w:val="caption"/>
    <w:basedOn w:val="1"/>
    <w:next w:val="1"/>
    <w:unhideWhenUsed/>
    <w:qFormat/>
    <w:locked/>
    <w:uiPriority w:val="35"/>
    <w:rPr>
      <w:rFonts w:eastAsia="黑体" w:asciiTheme="majorHAnsi" w:hAnsiTheme="majorHAnsi" w:cstheme="majorBidi"/>
      <w:sz w:val="20"/>
      <w:szCs w:val="20"/>
    </w:rPr>
  </w:style>
  <w:style w:type="paragraph" w:styleId="8">
    <w:name w:val="toc 7"/>
    <w:basedOn w:val="1"/>
    <w:next w:val="1"/>
    <w:qFormat/>
    <w:uiPriority w:val="99"/>
    <w:pPr>
      <w:ind w:left="2520" w:leftChars="1200"/>
    </w:pPr>
  </w:style>
  <w:style w:type="paragraph" w:styleId="9">
    <w:name w:val="Normal Indent"/>
    <w:basedOn w:val="1"/>
    <w:link w:val="39"/>
    <w:unhideWhenUsed/>
    <w:qFormat/>
    <w:locked/>
    <w:uiPriority w:val="0"/>
    <w:pPr>
      <w:ind w:firstLine="420" w:firstLineChars="200"/>
    </w:pPr>
    <w:rPr>
      <w:rFonts w:ascii="Times New Roman" w:hAnsi="Times New Roman"/>
      <w:szCs w:val="20"/>
    </w:rPr>
  </w:style>
  <w:style w:type="paragraph" w:styleId="10">
    <w:name w:val="annotation text"/>
    <w:basedOn w:val="1"/>
    <w:semiHidden/>
    <w:unhideWhenUsed/>
    <w:qFormat/>
    <w:locked/>
    <w:uiPriority w:val="99"/>
    <w:pPr>
      <w:jc w:val="left"/>
    </w:pPr>
  </w:style>
  <w:style w:type="paragraph" w:styleId="11">
    <w:name w:val="toc 5"/>
    <w:basedOn w:val="1"/>
    <w:next w:val="1"/>
    <w:qFormat/>
    <w:uiPriority w:val="99"/>
    <w:pPr>
      <w:ind w:left="1680" w:leftChars="800"/>
    </w:pPr>
  </w:style>
  <w:style w:type="paragraph" w:styleId="12">
    <w:name w:val="toc 3"/>
    <w:basedOn w:val="1"/>
    <w:next w:val="1"/>
    <w:qFormat/>
    <w:uiPriority w:val="39"/>
    <w:pPr>
      <w:ind w:left="840" w:leftChars="400"/>
    </w:pPr>
  </w:style>
  <w:style w:type="paragraph" w:styleId="13">
    <w:name w:val="toc 8"/>
    <w:basedOn w:val="1"/>
    <w:next w:val="1"/>
    <w:qFormat/>
    <w:uiPriority w:val="99"/>
    <w:pPr>
      <w:ind w:left="2940" w:leftChars="1400"/>
    </w:pPr>
  </w:style>
  <w:style w:type="paragraph" w:styleId="14">
    <w:name w:val="footer"/>
    <w:basedOn w:val="1"/>
    <w:link w:val="25"/>
    <w:unhideWhenUsed/>
    <w:qFormat/>
    <w:locked/>
    <w:uiPriority w:val="99"/>
    <w:pPr>
      <w:tabs>
        <w:tab w:val="center" w:pos="4153"/>
        <w:tab w:val="right" w:pos="8306"/>
      </w:tabs>
      <w:snapToGrid w:val="0"/>
      <w:jc w:val="left"/>
    </w:pPr>
    <w:rPr>
      <w:sz w:val="18"/>
    </w:rPr>
  </w:style>
  <w:style w:type="paragraph" w:styleId="15">
    <w:name w:val="header"/>
    <w:basedOn w:val="1"/>
    <w:link w:val="26"/>
    <w:unhideWhenUsed/>
    <w:qFormat/>
    <w:locked/>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toc 4"/>
    <w:basedOn w:val="1"/>
    <w:next w:val="1"/>
    <w:qFormat/>
    <w:uiPriority w:val="99"/>
    <w:pPr>
      <w:ind w:left="1260" w:leftChars="600"/>
    </w:pPr>
  </w:style>
  <w:style w:type="paragraph" w:styleId="17">
    <w:name w:val="toc 6"/>
    <w:basedOn w:val="1"/>
    <w:next w:val="1"/>
    <w:qFormat/>
    <w:uiPriority w:val="99"/>
    <w:pPr>
      <w:ind w:left="2100" w:leftChars="1000"/>
    </w:pPr>
  </w:style>
  <w:style w:type="paragraph" w:styleId="18">
    <w:name w:val="toc 2"/>
    <w:basedOn w:val="1"/>
    <w:next w:val="1"/>
    <w:qFormat/>
    <w:uiPriority w:val="39"/>
    <w:pPr>
      <w:ind w:left="420" w:leftChars="200"/>
    </w:pPr>
  </w:style>
  <w:style w:type="paragraph" w:styleId="19">
    <w:name w:val="toc 9"/>
    <w:basedOn w:val="1"/>
    <w:next w:val="1"/>
    <w:qFormat/>
    <w:uiPriority w:val="99"/>
    <w:pPr>
      <w:ind w:left="3360" w:leftChars="1600"/>
    </w:pPr>
  </w:style>
  <w:style w:type="character" w:styleId="22">
    <w:name w:val="page number"/>
    <w:basedOn w:val="21"/>
    <w:qFormat/>
    <w:locked/>
    <w:uiPriority w:val="0"/>
  </w:style>
  <w:style w:type="character" w:styleId="23">
    <w:name w:val="Hyperlink"/>
    <w:basedOn w:val="21"/>
    <w:unhideWhenUsed/>
    <w:qFormat/>
    <w:locked/>
    <w:uiPriority w:val="99"/>
    <w:rPr>
      <w:color w:val="0000FF" w:themeColor="hyperlink"/>
      <w:u w:val="single"/>
      <w14:textFill>
        <w14:solidFill>
          <w14:schemeClr w14:val="hlink"/>
        </w14:solidFill>
      </w14:textFill>
    </w:rPr>
  </w:style>
  <w:style w:type="character" w:customStyle="1" w:styleId="24">
    <w:name w:val="标题 2 Char"/>
    <w:link w:val="5"/>
    <w:semiHidden/>
    <w:qFormat/>
    <w:locked/>
    <w:uiPriority w:val="99"/>
    <w:rPr>
      <w:rFonts w:ascii="Cambria" w:hAnsi="Cambria" w:eastAsia="宋体" w:cs="Times New Roman"/>
      <w:b/>
      <w:bCs/>
      <w:sz w:val="32"/>
      <w:szCs w:val="32"/>
    </w:rPr>
  </w:style>
  <w:style w:type="character" w:customStyle="1" w:styleId="25">
    <w:name w:val="页脚 Char"/>
    <w:link w:val="14"/>
    <w:qFormat/>
    <w:uiPriority w:val="99"/>
    <w:rPr>
      <w:rFonts w:ascii="Calibri" w:hAnsi="Calibri"/>
      <w:kern w:val="2"/>
      <w:sz w:val="18"/>
      <w:szCs w:val="24"/>
    </w:rPr>
  </w:style>
  <w:style w:type="character" w:customStyle="1" w:styleId="26">
    <w:name w:val="页眉 Char"/>
    <w:link w:val="15"/>
    <w:qFormat/>
    <w:uiPriority w:val="99"/>
    <w:rPr>
      <w:rFonts w:ascii="Calibri" w:hAnsi="Calibri"/>
      <w:kern w:val="2"/>
      <w:sz w:val="18"/>
      <w:szCs w:val="24"/>
    </w:rPr>
  </w:style>
  <w:style w:type="paragraph" w:customStyle="1" w:styleId="27">
    <w:name w:val="TOC 标题1"/>
    <w:basedOn w:val="3"/>
    <w:next w:val="1"/>
    <w:unhideWhenUsed/>
    <w:qFormat/>
    <w:uiPriority w:val="39"/>
    <w:pPr>
      <w:widowControl/>
      <w:spacing w:after="0" w:line="259" w:lineRule="auto"/>
      <w:outlineLvl w:val="9"/>
    </w:pPr>
    <w:rPr>
      <w:rFonts w:asciiTheme="majorHAnsi" w:hAnsiTheme="majorHAnsi" w:eastAsiaTheme="majorEastAsia" w:cstheme="majorBidi"/>
      <w:color w:val="376092" w:themeColor="accent1" w:themeShade="BF"/>
      <w:kern w:val="0"/>
      <w:sz w:val="32"/>
      <w:szCs w:val="32"/>
    </w:rPr>
  </w:style>
  <w:style w:type="paragraph" w:customStyle="1" w:styleId="28">
    <w:name w:val="列出段落1"/>
    <w:basedOn w:val="1"/>
    <w:qFormat/>
    <w:uiPriority w:val="34"/>
    <w:pPr>
      <w:ind w:firstLine="420" w:firstLineChars="200"/>
    </w:pPr>
  </w:style>
  <w:style w:type="paragraph" w:customStyle="1" w:styleId="29">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paragraph" w:customStyle="1" w:styleId="30">
    <w:name w:val="一级条标题"/>
    <w:basedOn w:val="31"/>
    <w:next w:val="32"/>
    <w:qFormat/>
    <w:uiPriority w:val="0"/>
    <w:pPr>
      <w:numPr>
        <w:ilvl w:val="2"/>
      </w:numPr>
      <w:tabs>
        <w:tab w:val="left" w:pos="420"/>
        <w:tab w:val="left" w:pos="525"/>
      </w:tabs>
      <w:spacing w:beforeLines="0" w:afterLines="0"/>
      <w:outlineLvl w:val="2"/>
    </w:pPr>
  </w:style>
  <w:style w:type="paragraph" w:customStyle="1" w:styleId="31">
    <w:name w:val="章标题"/>
    <w:next w:val="32"/>
    <w:qFormat/>
    <w:uiPriority w:val="0"/>
    <w:pPr>
      <w:numPr>
        <w:ilvl w:val="1"/>
        <w:numId w:val="1"/>
      </w:numPr>
      <w:tabs>
        <w:tab w:val="left" w:pos="420"/>
        <w:tab w:val="clear" w:pos="360"/>
      </w:tabs>
      <w:spacing w:beforeLines="50" w:afterLines="50"/>
      <w:jc w:val="both"/>
      <w:outlineLvl w:val="1"/>
    </w:pPr>
    <w:rPr>
      <w:rFonts w:ascii="黑体" w:hAnsi="Times New Roman" w:eastAsia="黑体" w:cs="Times New Roman"/>
      <w:b/>
      <w:sz w:val="21"/>
      <w:lang w:val="en-US" w:eastAsia="zh-CN" w:bidi="ar-SA"/>
    </w:rPr>
  </w:style>
  <w:style w:type="paragraph" w:customStyle="1" w:styleId="32">
    <w:name w:val="段"/>
    <w:qFormat/>
    <w:uiPriority w:val="99"/>
    <w:pPr>
      <w:ind w:firstLine="200" w:firstLineChars="200"/>
      <w:jc w:val="both"/>
    </w:pPr>
    <w:rPr>
      <w:rFonts w:ascii="宋体" w:hAnsi="Times New Roman" w:eastAsia="宋体" w:cs="Times New Roman"/>
      <w:sz w:val="21"/>
      <w:lang w:val="en-US" w:eastAsia="zh-CN" w:bidi="ar-SA"/>
    </w:rPr>
  </w:style>
  <w:style w:type="character" w:customStyle="1" w:styleId="33">
    <w:name w:val="表题 + (西文) 宋体 Char Char Char Char Char Char Char Char"/>
    <w:link w:val="34"/>
    <w:qFormat/>
    <w:uiPriority w:val="0"/>
    <w:rPr>
      <w:rFonts w:hAnsi="宋体" w:eastAsia="黑体" w:cstheme="minorBidi"/>
      <w:szCs w:val="22"/>
    </w:rPr>
  </w:style>
  <w:style w:type="paragraph" w:customStyle="1" w:styleId="34">
    <w:name w:val="表题 + (西文) 宋体 Char Char Char Char Char Char Char"/>
    <w:basedOn w:val="4"/>
    <w:link w:val="33"/>
    <w:qFormat/>
    <w:uiPriority w:val="0"/>
    <w:pPr>
      <w:adjustRightInd w:val="0"/>
      <w:spacing w:before="120" w:after="120" w:line="320" w:lineRule="exact"/>
      <w:jc w:val="center"/>
      <w:textAlignment w:val="baseline"/>
    </w:pPr>
    <w:rPr>
      <w:rFonts w:hAnsi="宋体" w:cstheme="minorBidi"/>
      <w:szCs w:val="22"/>
    </w:rPr>
  </w:style>
  <w:style w:type="character" w:customStyle="1" w:styleId="35">
    <w:name w:val="font01"/>
    <w:basedOn w:val="21"/>
    <w:qFormat/>
    <w:uiPriority w:val="0"/>
    <w:rPr>
      <w:rFonts w:hint="eastAsia" w:ascii="宋体" w:hAnsi="宋体" w:eastAsia="宋体" w:cs="宋体"/>
      <w:color w:val="000000"/>
      <w:sz w:val="22"/>
      <w:szCs w:val="22"/>
      <w:u w:val="none"/>
    </w:rPr>
  </w:style>
  <w:style w:type="paragraph" w:customStyle="1" w:styleId="36">
    <w:name w:val="列出段落2"/>
    <w:basedOn w:val="1"/>
    <w:qFormat/>
    <w:uiPriority w:val="99"/>
    <w:pPr>
      <w:ind w:firstLine="420" w:firstLineChars="200"/>
    </w:pPr>
  </w:style>
  <w:style w:type="paragraph" w:customStyle="1" w:styleId="37">
    <w:name w:val="TOC 标题2"/>
    <w:basedOn w:val="3"/>
    <w:next w:val="1"/>
    <w:unhideWhenUsed/>
    <w:qFormat/>
    <w:uiPriority w:val="39"/>
    <w:pPr>
      <w:widowControl/>
      <w:spacing w:after="0" w:line="259" w:lineRule="auto"/>
      <w:outlineLvl w:val="9"/>
    </w:pPr>
    <w:rPr>
      <w:rFonts w:asciiTheme="majorHAnsi" w:hAnsiTheme="majorHAnsi" w:eastAsiaTheme="majorEastAsia" w:cstheme="majorBidi"/>
      <w:b w:val="0"/>
      <w:color w:val="376092" w:themeColor="accent1" w:themeShade="BF"/>
      <w:kern w:val="0"/>
      <w:sz w:val="32"/>
      <w:szCs w:val="32"/>
    </w:rPr>
  </w:style>
  <w:style w:type="paragraph" w:customStyle="1" w:styleId="38">
    <w:name w:val="WW-普通文字"/>
    <w:basedOn w:val="1"/>
    <w:qFormat/>
    <w:uiPriority w:val="0"/>
    <w:pPr>
      <w:suppressAutoHyphens/>
      <w:spacing w:line="290" w:lineRule="auto"/>
    </w:pPr>
    <w:rPr>
      <w:rFonts w:ascii="Courier New" w:hAnsi="Courier New"/>
      <w:kern w:val="1"/>
      <w:szCs w:val="20"/>
    </w:rPr>
  </w:style>
  <w:style w:type="character" w:customStyle="1" w:styleId="39">
    <w:name w:val="正文缩进 Char"/>
    <w:link w:val="9"/>
    <w:qFormat/>
    <w:locked/>
    <w:uiPriority w:val="0"/>
    <w:rPr>
      <w:kern w:val="2"/>
      <w:sz w:val="21"/>
    </w:rPr>
  </w:style>
  <w:style w:type="paragraph" w:styleId="4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E7793B0-6B6B-4F4D-91E8-63BE1DD0630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11</Pages>
  <Words>1045</Words>
  <Characters>5958</Characters>
  <Lines>49</Lines>
  <Paragraphs>13</Paragraphs>
  <TotalTime>41</TotalTime>
  <ScaleCrop>false</ScaleCrop>
  <LinksUpToDate>false</LinksUpToDate>
  <CharactersWithSpaces>6990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2020-11-30T18:16:00Z</dcterms:created>
  <dc:creator>emmy810</dc:creator>
  <cp:lastModifiedBy>吴艺</cp:lastModifiedBy>
  <dcterms:modified xsi:type="dcterms:W3CDTF">2026-05-15T07:53:21Z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E6CBCFD5DCBBDD963335046ACCC3B5D7_43</vt:lpwstr>
  </property>
</Properties>
</file>